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975C64">
                <w:t>C/108/D/1831/2008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975C64">
                <w:rPr>
                  <w:lang w:val="en-US"/>
                </w:rPr>
                <w:t>25 November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B6A38" w:rsidRPr="009B6A38" w:rsidRDefault="009B6A38" w:rsidP="007721BC">
      <w:pPr>
        <w:spacing w:before="80"/>
        <w:rPr>
          <w:b/>
          <w:sz w:val="24"/>
          <w:szCs w:val="24"/>
        </w:rPr>
      </w:pPr>
      <w:r w:rsidRPr="009B6A38">
        <w:rPr>
          <w:b/>
          <w:sz w:val="24"/>
          <w:szCs w:val="24"/>
        </w:rPr>
        <w:t>Комитет по правам человека</w:t>
      </w:r>
    </w:p>
    <w:p w:rsidR="009B6A38" w:rsidRPr="00067F9C" w:rsidRDefault="009B6A38" w:rsidP="00D80D03">
      <w:pPr>
        <w:pStyle w:val="HChGR"/>
        <w:spacing w:before="320" w:after="200"/>
      </w:pPr>
      <w:r w:rsidRPr="00067F9C">
        <w:tab/>
      </w:r>
      <w:r w:rsidRPr="00067F9C">
        <w:tab/>
        <w:t>Сообщение № 1831/2008</w:t>
      </w:r>
    </w:p>
    <w:p w:rsidR="009B6A38" w:rsidRPr="00663FAD" w:rsidRDefault="009B6A38" w:rsidP="00311E82">
      <w:pPr>
        <w:pStyle w:val="H1GR"/>
        <w:spacing w:before="240"/>
      </w:pPr>
      <w:r w:rsidRPr="00067F9C">
        <w:tab/>
      </w:r>
      <w:r w:rsidRPr="00067F9C">
        <w:tab/>
        <w:t>Соображения, принятые Комитетом н</w:t>
      </w:r>
      <w:r>
        <w:t xml:space="preserve">а его </w:t>
      </w:r>
      <w:r w:rsidR="00663FAD">
        <w:t>108-</w:t>
      </w:r>
      <w:r>
        <w:t>й сессии</w:t>
      </w:r>
      <w:r>
        <w:br/>
        <w:t>(8</w:t>
      </w:r>
      <w:r w:rsidRPr="009B6A38">
        <w:t>−</w:t>
      </w:r>
      <w:r w:rsidRPr="00067F9C">
        <w:t>26 июля 2013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3829"/>
      </w:tblGrid>
      <w:tr w:rsidR="009B6A38" w:rsidRPr="00001A5A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29" w:type="dxa"/>
          </w:tcPr>
          <w:p w:rsidR="009B6A38" w:rsidRPr="00001A5A" w:rsidRDefault="009B6A38" w:rsidP="007721BC">
            <w:pPr>
              <w:spacing w:after="100" w:line="220" w:lineRule="atLeast"/>
            </w:pPr>
            <w:r w:rsidRPr="00067F9C">
              <w:t>Джеллулом Ларби (представлен органи</w:t>
            </w:r>
            <w:r>
              <w:t>-</w:t>
            </w:r>
            <w:r w:rsidR="006F74DF">
              <w:t xml:space="preserve">зацией ТРИАЛ </w:t>
            </w:r>
            <w:r w:rsidR="006F74DF" w:rsidRPr="006F74DF">
              <w:t>−</w:t>
            </w:r>
            <w:r w:rsidRPr="00067F9C">
              <w:t xml:space="preserve"> Швейцарской ассоци</w:t>
            </w:r>
            <w:r>
              <w:t>-</w:t>
            </w:r>
            <w:r w:rsidRPr="00067F9C">
              <w:t>ацией по борьбе с безнаказанностью)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>
              <w:rPr>
                <w:i/>
              </w:rPr>
              <w:t>Предполагаемые жертвы</w:t>
            </w:r>
            <w:r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9B6A38" w:rsidRDefault="009B6A38" w:rsidP="007721BC">
            <w:pPr>
              <w:spacing w:after="100" w:line="220" w:lineRule="atLeast"/>
            </w:pPr>
            <w:r w:rsidRPr="00067F9C">
              <w:t>Джиллали Ларби (отец автора) и автор сообщения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29" w:type="dxa"/>
          </w:tcPr>
          <w:p w:rsidR="009B6A38" w:rsidRDefault="009B6A38" w:rsidP="007721BC">
            <w:pPr>
              <w:spacing w:after="100" w:line="220" w:lineRule="atLeast"/>
            </w:pPr>
            <w:r w:rsidRPr="00067F9C">
              <w:t>Алжир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29" w:type="dxa"/>
          </w:tcPr>
          <w:p w:rsidR="009B6A38" w:rsidRPr="002A4F6C" w:rsidRDefault="009B6A38" w:rsidP="007721BC">
            <w:pPr>
              <w:spacing w:after="100" w:line="220" w:lineRule="atLeast"/>
            </w:pPr>
            <w:r w:rsidRPr="00067F9C">
              <w:t>24 октября 2008 года</w:t>
            </w:r>
            <w:r w:rsidRPr="00067F9C">
              <w:rPr>
                <w:iCs/>
              </w:rPr>
              <w:t xml:space="preserve"> (первоначальное представление)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29" w:type="dxa"/>
          </w:tcPr>
          <w:p w:rsidR="009B6A38" w:rsidRDefault="009B6A38" w:rsidP="007721BC">
            <w:pPr>
              <w:spacing w:after="100" w:line="220" w:lineRule="atLeast"/>
            </w:pPr>
            <w:r>
              <w:t>р</w:t>
            </w:r>
            <w:r w:rsidRPr="00067F9C">
              <w:t>ешение Специального докладчика в соответствии с правилами 92 и 97 правил процедуры, препровожденное государ</w:t>
            </w:r>
            <w:r>
              <w:t>-</w:t>
            </w:r>
            <w:r w:rsidRPr="00067F9C">
              <w:t>ству-участнику 5 декабря 2</w:t>
            </w:r>
            <w:r w:rsidR="007721BC">
              <w:t>008 года</w:t>
            </w:r>
            <w:r w:rsidR="007721BC" w:rsidRPr="007721BC">
              <w:br/>
            </w:r>
            <w:r>
              <w:t>(в</w:t>
            </w:r>
            <w:r w:rsidR="00381965">
              <w:t xml:space="preserve"> </w:t>
            </w:r>
            <w:r w:rsidRPr="00067F9C">
              <w:t>виде док</w:t>
            </w:r>
            <w:r w:rsidRPr="00067F9C">
              <w:t>у</w:t>
            </w:r>
            <w:r w:rsidRPr="00067F9C">
              <w:t>мента не издавалось)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829" w:type="dxa"/>
            <w:vAlign w:val="bottom"/>
          </w:tcPr>
          <w:p w:rsidR="009B6A38" w:rsidRDefault="009B6A38" w:rsidP="007721BC">
            <w:pPr>
              <w:spacing w:after="100" w:line="220" w:lineRule="atLeast"/>
            </w:pPr>
            <w:r w:rsidRPr="00067F9C">
              <w:t>25 июля 2013 года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29" w:type="dxa"/>
          </w:tcPr>
          <w:p w:rsidR="009B6A38" w:rsidRDefault="009B6A38" w:rsidP="007721BC">
            <w:pPr>
              <w:spacing w:after="100" w:line="220" w:lineRule="atLeast"/>
            </w:pPr>
            <w:r>
              <w:t>н</w:t>
            </w:r>
            <w:r w:rsidRPr="00067F9C">
              <w:t>асильственное исчезновение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D80D03" w:rsidP="007721BC">
            <w:pPr>
              <w:spacing w:after="100" w:line="220" w:lineRule="atLeast"/>
              <w:rPr>
                <w:i/>
                <w:iCs/>
              </w:rPr>
            </w:pPr>
            <w:r>
              <w:rPr>
                <w:i/>
                <w:iCs/>
              </w:rPr>
              <w:t>Процедурный вопрос</w:t>
            </w:r>
            <w:r w:rsidR="009B6A38"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9B6A38" w:rsidRDefault="00D80D03" w:rsidP="007721BC">
            <w:pPr>
              <w:spacing w:after="100" w:line="220" w:lineRule="atLeast"/>
            </w:pPr>
            <w:r>
              <w:rPr>
                <w:iCs/>
              </w:rPr>
              <w:t>и</w:t>
            </w:r>
            <w:r w:rsidRPr="00067F9C">
              <w:rPr>
                <w:iCs/>
              </w:rPr>
              <w:t>счерпание внутренних средств правовой защиты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29" w:type="dxa"/>
          </w:tcPr>
          <w:p w:rsidR="009B6A38" w:rsidRDefault="00D80D03" w:rsidP="007721BC">
            <w:pPr>
              <w:spacing w:after="100" w:line="220" w:lineRule="atLeast"/>
            </w:pPr>
            <w:r>
              <w:t>п</w:t>
            </w:r>
            <w:r w:rsidRPr="00067F9C">
              <w:t>раво на жизнь, запрещение пыток и жестокого и бесчеловечного обращения, право на свободу и неприкосновенность личности, уважение достоинства челове</w:t>
            </w:r>
            <w:r>
              <w:t>-</w:t>
            </w:r>
            <w:r w:rsidRPr="00067F9C">
              <w:t>ческой личности, признание правосубъ</w:t>
            </w:r>
            <w:r>
              <w:t>-</w:t>
            </w:r>
            <w:r w:rsidRPr="00067F9C">
              <w:t>ектности и право на эффективное средст</w:t>
            </w:r>
            <w:r>
              <w:t>-</w:t>
            </w:r>
            <w:r w:rsidRPr="00067F9C">
              <w:t>во правовой защиты, незаконное посяга</w:t>
            </w:r>
            <w:r>
              <w:t>-</w:t>
            </w:r>
            <w:r w:rsidRPr="00067F9C">
              <w:t>тельство на неприкосновенность жилища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9B6A38" w:rsidRDefault="00D80D03" w:rsidP="007721BC">
            <w:pPr>
              <w:spacing w:after="100" w:line="220" w:lineRule="atLeast"/>
            </w:pPr>
            <w:r w:rsidRPr="00067F9C">
              <w:t>2 (пункт 3), 6 (пункт 1), 7, 9 (пункты</w:t>
            </w:r>
            <w:r w:rsidR="00EE0F46">
              <w:rPr>
                <w:lang w:val="en-US"/>
              </w:rPr>
              <w:t> </w:t>
            </w:r>
            <w:r>
              <w:t>1−</w:t>
            </w:r>
            <w:r w:rsidRPr="00067F9C">
              <w:t>4), 10 (пункт</w:t>
            </w:r>
            <w:r w:rsidR="00381965" w:rsidRPr="00381965">
              <w:t xml:space="preserve"> </w:t>
            </w:r>
            <w:r w:rsidRPr="00067F9C">
              <w:t>1) и 16</w:t>
            </w:r>
          </w:p>
        </w:tc>
      </w:tr>
      <w:tr w:rsidR="009B6A38" w:rsidTr="009B6A38">
        <w:tc>
          <w:tcPr>
            <w:tcW w:w="2975" w:type="dxa"/>
          </w:tcPr>
          <w:p w:rsidR="009B6A38" w:rsidRPr="00CB613D" w:rsidRDefault="009B6A38" w:rsidP="007721BC">
            <w:pPr>
              <w:spacing w:after="100" w:line="220" w:lineRule="atLeast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="006F74DF">
              <w:rPr>
                <w:i/>
                <w:iCs/>
              </w:rPr>
              <w:t>ья</w:t>
            </w:r>
            <w:r w:rsidRPr="00CB613D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29" w:type="dxa"/>
          </w:tcPr>
          <w:p w:rsidR="009B6A38" w:rsidRDefault="00D80D03" w:rsidP="007721BC">
            <w:pPr>
              <w:spacing w:after="100" w:line="220" w:lineRule="atLeast"/>
            </w:pPr>
            <w:r w:rsidRPr="00067F9C">
              <w:t xml:space="preserve">5 (пункт 2 </w:t>
            </w:r>
            <w:r w:rsidRPr="00067F9C">
              <w:rPr>
                <w:lang w:val="fr-FR"/>
              </w:rPr>
              <w:t>b</w:t>
            </w:r>
            <w:r w:rsidRPr="00067F9C">
              <w:t>))</w:t>
            </w:r>
          </w:p>
        </w:tc>
      </w:tr>
    </w:tbl>
    <w:p w:rsidR="009B6A38" w:rsidRPr="00311E82" w:rsidRDefault="00311E82" w:rsidP="00F34B4D">
      <w:pPr>
        <w:pStyle w:val="HChGR"/>
        <w:rPr>
          <w:lang w:val="en-US"/>
        </w:rPr>
      </w:pPr>
      <w:r>
        <w:t>Приложение</w:t>
      </w:r>
    </w:p>
    <w:p w:rsidR="009B6A38" w:rsidRPr="00067F9C" w:rsidRDefault="00F34B4D" w:rsidP="00F34B4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B6A38" w:rsidRPr="00067F9C">
        <w:t>Соображе</w:t>
      </w:r>
      <w:r w:rsidR="007721BC">
        <w:t>ния Комитета по правам человека</w:t>
      </w:r>
      <w:r w:rsidR="007721BC" w:rsidRPr="007721BC">
        <w:br/>
      </w:r>
      <w:r w:rsidR="009B6A38" w:rsidRPr="00067F9C">
        <w:t>в</w:t>
      </w:r>
      <w:r w:rsidR="00381965">
        <w:t xml:space="preserve"> </w:t>
      </w:r>
      <w:r w:rsidR="009B6A38" w:rsidRPr="00067F9C">
        <w:t>соответствии с</w:t>
      </w:r>
      <w:r w:rsidR="00381965">
        <w:t xml:space="preserve"> </w:t>
      </w:r>
      <w:r w:rsidR="009B6A38" w:rsidRPr="00067F9C">
        <w:t>пунктом 4 статьи 5 Факультативного протокола к</w:t>
      </w:r>
      <w:r w:rsidR="00381965">
        <w:t xml:space="preserve"> </w:t>
      </w:r>
      <w:r w:rsidR="009B6A38" w:rsidRPr="00067F9C">
        <w:t>Меж</w:t>
      </w:r>
      <w:r w:rsidR="00170196">
        <w:t>дународному пакту о гражданских</w:t>
      </w:r>
      <w:r w:rsidR="00170196">
        <w:br/>
      </w:r>
      <w:r w:rsidR="009B6A38" w:rsidRPr="00067F9C">
        <w:t>и политических правах (</w:t>
      </w:r>
      <w:r w:rsidR="00663FAD">
        <w:t>108-</w:t>
      </w:r>
      <w:r w:rsidR="009B6A38" w:rsidRPr="00067F9C">
        <w:t>я сессия)</w:t>
      </w:r>
    </w:p>
    <w:p w:rsidR="009B6A38" w:rsidRPr="00067F9C" w:rsidRDefault="009B6A38" w:rsidP="00F34B4D">
      <w:pPr>
        <w:pStyle w:val="SingleTxtGR"/>
      </w:pPr>
      <w:r w:rsidRPr="00067F9C">
        <w:t>относительно</w:t>
      </w:r>
    </w:p>
    <w:p w:rsidR="009B6A38" w:rsidRDefault="00F34B4D" w:rsidP="00F34B4D">
      <w:pPr>
        <w:pStyle w:val="H1GR"/>
        <w:rPr>
          <w:b w:val="0"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B6A38" w:rsidRPr="00067F9C">
        <w:t>Сообщения № 1831/2008</w:t>
      </w:r>
      <w:r w:rsidR="009B6A38" w:rsidRPr="00F34B4D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3829"/>
      </w:tblGrid>
      <w:tr w:rsidR="00F34B4D" w:rsidRPr="00001A5A" w:rsidTr="000474FF">
        <w:tc>
          <w:tcPr>
            <w:tcW w:w="2975" w:type="dxa"/>
          </w:tcPr>
          <w:p w:rsidR="00F34B4D" w:rsidRPr="00CB613D" w:rsidRDefault="00F34B4D" w:rsidP="000474FF">
            <w:pPr>
              <w:spacing w:after="120" w:line="230" w:lineRule="atLeast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29" w:type="dxa"/>
          </w:tcPr>
          <w:p w:rsidR="00F34B4D" w:rsidRPr="00001A5A" w:rsidRDefault="00F34B4D" w:rsidP="000474FF">
            <w:pPr>
              <w:spacing w:after="120" w:line="230" w:lineRule="atLeast"/>
            </w:pPr>
            <w:r w:rsidRPr="00067F9C">
              <w:t>Джеллулом Ларби (представлен органи</w:t>
            </w:r>
            <w:r>
              <w:t>-</w:t>
            </w:r>
            <w:r w:rsidR="006F74DF">
              <w:t>зацией ТРИАЛ −</w:t>
            </w:r>
            <w:r w:rsidRPr="00067F9C">
              <w:t xml:space="preserve"> Швейцарской ассоци</w:t>
            </w:r>
            <w:r>
              <w:t>-</w:t>
            </w:r>
            <w:r w:rsidRPr="00067F9C">
              <w:t>ацией по борьбе с безнаказанностью)</w:t>
            </w:r>
          </w:p>
        </w:tc>
      </w:tr>
      <w:tr w:rsidR="00F34B4D" w:rsidTr="000474FF">
        <w:tc>
          <w:tcPr>
            <w:tcW w:w="2975" w:type="dxa"/>
          </w:tcPr>
          <w:p w:rsidR="00F34B4D" w:rsidRPr="00CB613D" w:rsidRDefault="00F34B4D" w:rsidP="000474FF">
            <w:pPr>
              <w:spacing w:after="120" w:line="230" w:lineRule="atLeast"/>
              <w:rPr>
                <w:i/>
              </w:rPr>
            </w:pPr>
            <w:r>
              <w:rPr>
                <w:i/>
              </w:rPr>
              <w:t>Предполагаемые жертвы</w:t>
            </w:r>
            <w:r w:rsidRPr="00CB613D">
              <w:rPr>
                <w:i/>
              </w:rPr>
              <w:t>:</w:t>
            </w:r>
          </w:p>
        </w:tc>
        <w:tc>
          <w:tcPr>
            <w:tcW w:w="3829" w:type="dxa"/>
          </w:tcPr>
          <w:p w:rsidR="00F34B4D" w:rsidRDefault="00F34B4D" w:rsidP="000474FF">
            <w:pPr>
              <w:spacing w:after="120" w:line="230" w:lineRule="atLeast"/>
            </w:pPr>
            <w:r w:rsidRPr="00067F9C">
              <w:t>Джиллали Ларби (отец автора) и автор сообщения</w:t>
            </w:r>
          </w:p>
        </w:tc>
      </w:tr>
      <w:tr w:rsidR="00F34B4D" w:rsidTr="000474FF">
        <w:tc>
          <w:tcPr>
            <w:tcW w:w="2975" w:type="dxa"/>
          </w:tcPr>
          <w:p w:rsidR="00F34B4D" w:rsidRPr="00CB613D" w:rsidRDefault="00F34B4D" w:rsidP="000474FF">
            <w:pPr>
              <w:spacing w:after="120" w:line="230" w:lineRule="atLeast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29" w:type="dxa"/>
          </w:tcPr>
          <w:p w:rsidR="00F34B4D" w:rsidRDefault="00F34B4D" w:rsidP="000474FF">
            <w:pPr>
              <w:spacing w:after="120" w:line="230" w:lineRule="atLeast"/>
            </w:pPr>
            <w:r w:rsidRPr="00067F9C">
              <w:t>Алжир</w:t>
            </w:r>
          </w:p>
        </w:tc>
      </w:tr>
      <w:tr w:rsidR="00F34B4D" w:rsidRPr="002A4F6C" w:rsidTr="000474FF">
        <w:tc>
          <w:tcPr>
            <w:tcW w:w="2975" w:type="dxa"/>
          </w:tcPr>
          <w:p w:rsidR="00F34B4D" w:rsidRPr="00CB613D" w:rsidRDefault="00F34B4D" w:rsidP="000474FF">
            <w:pPr>
              <w:spacing w:after="120" w:line="230" w:lineRule="atLeast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29" w:type="dxa"/>
          </w:tcPr>
          <w:p w:rsidR="00F34B4D" w:rsidRPr="002A4F6C" w:rsidRDefault="00F34B4D" w:rsidP="000474FF">
            <w:pPr>
              <w:spacing w:after="120" w:line="230" w:lineRule="atLeast"/>
            </w:pPr>
            <w:r w:rsidRPr="00067F9C">
              <w:t>24 октября 2008 года</w:t>
            </w:r>
            <w:r w:rsidRPr="00067F9C">
              <w:rPr>
                <w:iCs/>
              </w:rPr>
              <w:t xml:space="preserve"> (первоначальное представление)</w:t>
            </w:r>
          </w:p>
        </w:tc>
      </w:tr>
    </w:tbl>
    <w:p w:rsidR="009B6A38" w:rsidRPr="00067F9C" w:rsidRDefault="003E6110" w:rsidP="003E6110">
      <w:pPr>
        <w:pStyle w:val="SingleTxtGR"/>
        <w:rPr>
          <w:i/>
        </w:rPr>
      </w:pPr>
      <w:r>
        <w:rPr>
          <w:i/>
          <w:lang w:val="en-US"/>
        </w:rPr>
        <w:tab/>
      </w:r>
      <w:r w:rsidR="009B6A38" w:rsidRPr="00067F9C">
        <w:rPr>
          <w:i/>
        </w:rPr>
        <w:t>Комитет по правам человека</w:t>
      </w:r>
      <w:r w:rsidR="009B6A38" w:rsidRPr="00067F9C">
        <w:t>, учрежденный в соответствии со статьей 28 Ме</w:t>
      </w:r>
      <w:r w:rsidR="009B6A38" w:rsidRPr="00067F9C">
        <w:t>ж</w:t>
      </w:r>
      <w:r w:rsidR="009B6A38" w:rsidRPr="00067F9C">
        <w:t>дународного пакта о гражданских и политических правах,</w:t>
      </w:r>
    </w:p>
    <w:p w:rsidR="009B6A38" w:rsidRPr="00067F9C" w:rsidRDefault="003E6110" w:rsidP="003E6110">
      <w:pPr>
        <w:pStyle w:val="SingleTxtGR"/>
        <w:rPr>
          <w:i/>
          <w:iCs/>
        </w:rPr>
      </w:pPr>
      <w:r>
        <w:rPr>
          <w:i/>
          <w:lang w:val="en-US"/>
        </w:rPr>
        <w:tab/>
      </w:r>
      <w:r w:rsidR="009B6A38" w:rsidRPr="00067F9C">
        <w:rPr>
          <w:i/>
        </w:rPr>
        <w:t>на своем заседании</w:t>
      </w:r>
      <w:r w:rsidR="00381965" w:rsidRPr="00381965">
        <w:rPr>
          <w:i/>
          <w:iCs/>
        </w:rPr>
        <w:t xml:space="preserve"> </w:t>
      </w:r>
      <w:r w:rsidR="009B6A38" w:rsidRPr="00067F9C">
        <w:t>25 июля 2013 года,</w:t>
      </w:r>
    </w:p>
    <w:p w:rsidR="009B6A38" w:rsidRPr="00067F9C" w:rsidRDefault="003E6110" w:rsidP="003E6110">
      <w:pPr>
        <w:pStyle w:val="SingleTxtGR"/>
        <w:rPr>
          <w:i/>
          <w:iCs/>
        </w:rPr>
      </w:pPr>
      <w:r w:rsidRPr="00381965">
        <w:rPr>
          <w:i/>
        </w:rPr>
        <w:tab/>
      </w:r>
      <w:r w:rsidR="009B6A38" w:rsidRPr="00067F9C">
        <w:rPr>
          <w:i/>
        </w:rPr>
        <w:t>завершив</w:t>
      </w:r>
      <w:r w:rsidR="009B6A38" w:rsidRPr="00067F9C">
        <w:t xml:space="preserve"> рассмотрение сообщения № 1831/2008, представленного Дже</w:t>
      </w:r>
      <w:r w:rsidR="009B6A38" w:rsidRPr="00067F9C">
        <w:t>л</w:t>
      </w:r>
      <w:r w:rsidR="009B6A38" w:rsidRPr="00067F9C">
        <w:t>лулом Ларби в соответс</w:t>
      </w:r>
      <w:r w:rsidR="009B6A38" w:rsidRPr="00067F9C">
        <w:t>т</w:t>
      </w:r>
      <w:r w:rsidR="009B6A38" w:rsidRPr="00067F9C">
        <w:t xml:space="preserve">вии с Факультативным </w:t>
      </w:r>
      <w:r w:rsidR="009B6A38" w:rsidRPr="00663FAD">
        <w:t xml:space="preserve">протоколом к </w:t>
      </w:r>
      <w:r w:rsidR="009B6A38" w:rsidRPr="00067F9C">
        <w:t>Международному пакту о гражданских и политических пр</w:t>
      </w:r>
      <w:r w:rsidR="009B6A38" w:rsidRPr="00067F9C">
        <w:t>а</w:t>
      </w:r>
      <w:r w:rsidR="009B6A38" w:rsidRPr="00067F9C">
        <w:t>вах,</w:t>
      </w:r>
    </w:p>
    <w:p w:rsidR="009B6A38" w:rsidRPr="00067F9C" w:rsidRDefault="003E6110" w:rsidP="003E6110">
      <w:pPr>
        <w:pStyle w:val="SingleTxtGR"/>
        <w:rPr>
          <w:i/>
        </w:rPr>
      </w:pPr>
      <w:r>
        <w:rPr>
          <w:i/>
          <w:lang w:val="en-US"/>
        </w:rPr>
        <w:tab/>
      </w:r>
      <w:r w:rsidR="009B6A38" w:rsidRPr="00067F9C">
        <w:rPr>
          <w:i/>
        </w:rPr>
        <w:t>приняв во внимание</w:t>
      </w:r>
      <w:r w:rsidR="009B6A38" w:rsidRPr="00067F9C">
        <w:t xml:space="preserve"> всю </w:t>
      </w:r>
      <w:r w:rsidR="009B6A38" w:rsidRPr="00663FAD">
        <w:t>письменную ин</w:t>
      </w:r>
      <w:r w:rsidR="009B6A38" w:rsidRPr="00067F9C">
        <w:t>формацию, представленную ему автором сообщения и г</w:t>
      </w:r>
      <w:r w:rsidR="009B6A38" w:rsidRPr="00067F9C">
        <w:t>о</w:t>
      </w:r>
      <w:r w:rsidR="009B6A38" w:rsidRPr="00067F9C">
        <w:t>сударством-участником,</w:t>
      </w:r>
    </w:p>
    <w:p w:rsidR="009B6A38" w:rsidRPr="00663FAD" w:rsidRDefault="003E6110" w:rsidP="003E6110">
      <w:pPr>
        <w:pStyle w:val="SingleTxtGR"/>
      </w:pPr>
      <w:r>
        <w:rPr>
          <w:i/>
          <w:lang w:val="en-US"/>
        </w:rPr>
        <w:tab/>
      </w:r>
      <w:r w:rsidR="009B6A38" w:rsidRPr="009B6A38">
        <w:rPr>
          <w:i/>
        </w:rPr>
        <w:t>принимает</w:t>
      </w:r>
      <w:r w:rsidR="009B6A38" w:rsidRPr="009B6A38">
        <w:t xml:space="preserve"> </w:t>
      </w:r>
      <w:r w:rsidR="009B6A38" w:rsidRPr="00663FAD">
        <w:t>следующее:</w:t>
      </w:r>
    </w:p>
    <w:p w:rsidR="009B6A38" w:rsidRPr="00067F9C" w:rsidRDefault="003E6110" w:rsidP="003E611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9B6A38" w:rsidRPr="00067F9C">
        <w:t>Соображения в соответствии с пунктом 4 статьи 5 Факультативного протокола</w:t>
      </w:r>
    </w:p>
    <w:p w:rsidR="009B6A38" w:rsidRPr="00067F9C" w:rsidRDefault="009B6A38" w:rsidP="003E6110">
      <w:pPr>
        <w:pStyle w:val="SingleTxtGR"/>
      </w:pPr>
      <w:r w:rsidRPr="00067F9C">
        <w:t>1.1</w:t>
      </w:r>
      <w:r w:rsidRPr="00067F9C">
        <w:tab/>
        <w:t>Автором сообщения является Джелл</w:t>
      </w:r>
      <w:r w:rsidR="003E6110">
        <w:t>ул Ларби, гражданин Алжира 1975</w:t>
      </w:r>
      <w:r w:rsidR="007721BC">
        <w:rPr>
          <w:lang w:val="en-US"/>
        </w:rPr>
        <w:t> </w:t>
      </w:r>
      <w:r w:rsidRPr="00067F9C">
        <w:t>года рождения. Он утверждает, что его отец Джиллали Ларби стал жер</w:t>
      </w:r>
      <w:r w:rsidRPr="00067F9C">
        <w:t>т</w:t>
      </w:r>
      <w:r w:rsidRPr="00067F9C">
        <w:t>вой нарушения Алжиром своих прав, предусмотренных в пунк</w:t>
      </w:r>
      <w:r w:rsidR="007721BC">
        <w:t>те 3 статьи 2; пункте</w:t>
      </w:r>
      <w:r w:rsidR="007721BC">
        <w:rPr>
          <w:lang w:val="en-US"/>
        </w:rPr>
        <w:t> </w:t>
      </w:r>
      <w:r w:rsidRPr="00067F9C">
        <w:t>1 статьи 6; статье 7; пунктах</w:t>
      </w:r>
      <w:r w:rsidR="00381965" w:rsidRPr="00381965">
        <w:t xml:space="preserve"> </w:t>
      </w:r>
      <w:r w:rsidRPr="00067F9C">
        <w:t>1, 2, 3 и</w:t>
      </w:r>
      <w:r w:rsidR="00381965" w:rsidRPr="00381965">
        <w:t xml:space="preserve"> </w:t>
      </w:r>
      <w:r w:rsidRPr="00067F9C">
        <w:t>4 статьи 9; пункте 1 статьи 10 и в статье</w:t>
      </w:r>
      <w:r w:rsidR="007721BC">
        <w:rPr>
          <w:lang w:val="en-US"/>
        </w:rPr>
        <w:t> </w:t>
      </w:r>
      <w:r w:rsidRPr="00067F9C">
        <w:t>16 Международного пакта о гражданских и политических правах. Сам автор сообщения считает себя жертвой нарушения Алжиром своих прав, пред</w:t>
      </w:r>
      <w:r w:rsidRPr="00067F9C">
        <w:t>у</w:t>
      </w:r>
      <w:r w:rsidRPr="00067F9C">
        <w:t>смотренных в пункте 3 статьи 2 и в статье 7 Пакта. Он представлен адвокатом.</w:t>
      </w:r>
    </w:p>
    <w:p w:rsidR="009B6A38" w:rsidRPr="00067F9C" w:rsidRDefault="009B6A38" w:rsidP="003E6110">
      <w:pPr>
        <w:pStyle w:val="SingleTxtGR"/>
      </w:pPr>
      <w:r w:rsidRPr="00067F9C">
        <w:t>1.2</w:t>
      </w:r>
      <w:r w:rsidRPr="00067F9C">
        <w:tab/>
        <w:t>5 декабря 2008 года в соответствии с правилом 92 своих правил процед</w:t>
      </w:r>
      <w:r w:rsidRPr="00067F9C">
        <w:t>у</w:t>
      </w:r>
      <w:r w:rsidRPr="00067F9C">
        <w:t>ры Комитет через посредство своего Специального докладчика по новым соо</w:t>
      </w:r>
      <w:r w:rsidRPr="00067F9C">
        <w:t>б</w:t>
      </w:r>
      <w:r w:rsidRPr="00067F9C">
        <w:t>щениям и временным мерам о</w:t>
      </w:r>
      <w:r w:rsidRPr="00067F9C">
        <w:t>б</w:t>
      </w:r>
      <w:r w:rsidRPr="00067F9C">
        <w:t>ратился к государству-участнику с просьбой не принимать никаких мер, которые могут затруднить автору и членам его семьи пользование правом на подачу индивидуальной жалобы в Комитет. Таким обр</w:t>
      </w:r>
      <w:r w:rsidRPr="00067F9C">
        <w:t>а</w:t>
      </w:r>
      <w:r w:rsidRPr="00067F9C">
        <w:t>зом, государству-участнику была направлена просьба не приме</w:t>
      </w:r>
      <w:r w:rsidR="000474FF">
        <w:t>нять к автору и</w:t>
      </w:r>
      <w:r w:rsidR="00381965">
        <w:t xml:space="preserve"> </w:t>
      </w:r>
      <w:r w:rsidRPr="00067F9C">
        <w:t>членам его семьи свое внутреннее законодательство, в частности Постановл</w:t>
      </w:r>
      <w:r w:rsidRPr="00067F9C">
        <w:t>е</w:t>
      </w:r>
      <w:r w:rsidRPr="00067F9C">
        <w:t>ние № 06-01 об осуществлении Хартии за мир и национальное примирение.</w:t>
      </w:r>
    </w:p>
    <w:p w:rsidR="009B6A38" w:rsidRPr="00067F9C" w:rsidRDefault="009B6A38" w:rsidP="003E6110">
      <w:pPr>
        <w:pStyle w:val="SingleTxtGR"/>
      </w:pPr>
      <w:r w:rsidRPr="00067F9C">
        <w:t>1.3</w:t>
      </w:r>
      <w:r w:rsidRPr="00067F9C">
        <w:tab/>
        <w:t>12 марта 2009 года Комитет через посредство своего Специального до</w:t>
      </w:r>
      <w:r w:rsidRPr="00067F9C">
        <w:t>к</w:t>
      </w:r>
      <w:r w:rsidRPr="00067F9C">
        <w:t>ладчика по новым сообщениям и временным мерам принял решение не ра</w:t>
      </w:r>
      <w:r w:rsidRPr="00067F9C">
        <w:t>с</w:t>
      </w:r>
      <w:r w:rsidRPr="00067F9C">
        <w:t>сматривать вопрос о приемлемости сообщения отдельно от существа де</w:t>
      </w:r>
      <w:r w:rsidR="000474FF">
        <w:t>ла.</w:t>
      </w:r>
    </w:p>
    <w:p w:rsidR="009B6A38" w:rsidRPr="00067F9C" w:rsidRDefault="003E6110" w:rsidP="003E6110">
      <w:pPr>
        <w:pStyle w:val="H23GR"/>
      </w:pPr>
      <w:r w:rsidRPr="000474FF">
        <w:tab/>
      </w:r>
      <w:r w:rsidRPr="000474FF">
        <w:tab/>
      </w:r>
      <w:r w:rsidR="009B6A38" w:rsidRPr="00067F9C">
        <w:t>Факты в изложении автора</w:t>
      </w:r>
    </w:p>
    <w:p w:rsidR="009B6A38" w:rsidRPr="00067F9C" w:rsidRDefault="009B6A38" w:rsidP="003E6110">
      <w:pPr>
        <w:pStyle w:val="SingleTxtGR"/>
      </w:pPr>
      <w:r w:rsidRPr="00067F9C">
        <w:t>2.1</w:t>
      </w:r>
      <w:r w:rsidRPr="00067F9C">
        <w:tab/>
        <w:t>Поздним утром 25 мая 1994 года Джиллали Ларби и один из его работн</w:t>
      </w:r>
      <w:r w:rsidRPr="00067F9C">
        <w:t>и</w:t>
      </w:r>
      <w:r w:rsidRPr="00067F9C">
        <w:t>ков ехали в такси в Мешраа-Сфа – деревню, которая находилась примерно в д</w:t>
      </w:r>
      <w:r w:rsidRPr="00067F9C">
        <w:t>е</w:t>
      </w:r>
      <w:r w:rsidRPr="00067F9C">
        <w:t>вяти километрах от принадлежавшего ему фермерского хозяйства, чтобы пр</w:t>
      </w:r>
      <w:r w:rsidRPr="00067F9C">
        <w:t>о</w:t>
      </w:r>
      <w:r w:rsidRPr="00067F9C">
        <w:t>извести там покупки. На въезде в деревню располагался кордон жандарм</w:t>
      </w:r>
      <w:r w:rsidRPr="00067F9C">
        <w:t>е</w:t>
      </w:r>
      <w:r w:rsidRPr="00067F9C">
        <w:t>рии. После проверки удостоверений личности Джиллали Ларби был до</w:t>
      </w:r>
      <w:r w:rsidRPr="00067F9C">
        <w:t>с</w:t>
      </w:r>
      <w:r w:rsidRPr="00067F9C">
        <w:t>тавлен в штаб бригады жандармерии. Автор сообщает, что один из знакомых семьи Ла</w:t>
      </w:r>
      <w:r w:rsidRPr="00067F9C">
        <w:t>р</w:t>
      </w:r>
      <w:r w:rsidRPr="00067F9C">
        <w:t>би оказа</w:t>
      </w:r>
      <w:r w:rsidRPr="00067F9C">
        <w:t>л</w:t>
      </w:r>
      <w:r w:rsidRPr="00067F9C">
        <w:t xml:space="preserve">ся свидетелем этого ареста. </w:t>
      </w:r>
    </w:p>
    <w:p w:rsidR="009B6A38" w:rsidRPr="00067F9C" w:rsidRDefault="009B6A38" w:rsidP="003E6110">
      <w:pPr>
        <w:pStyle w:val="SingleTxtGR"/>
      </w:pPr>
      <w:r w:rsidRPr="00067F9C">
        <w:t>2.2</w:t>
      </w:r>
      <w:r w:rsidRPr="00067F9C">
        <w:tab/>
        <w:t>Узнав об аресте, дед автора по отцовской линии отправился в Мешраа-Сфа в сопровождении двух других своих сыновей и внука (автора настоящего сообщения). Жандармы отказались сообщить ему причины ареста его сына и, несмотря на его неоднократные просьбы, не позволили увидеться с с</w:t>
      </w:r>
      <w:r w:rsidRPr="00067F9C">
        <w:t>ы</w:t>
      </w:r>
      <w:r w:rsidRPr="00067F9C">
        <w:t xml:space="preserve">ном. При этом они согласились передать ему еду и сигареты. </w:t>
      </w:r>
    </w:p>
    <w:p w:rsidR="009B6A38" w:rsidRPr="00067F9C" w:rsidRDefault="009B6A38" w:rsidP="003E6110">
      <w:pPr>
        <w:pStyle w:val="SingleTxtGR"/>
      </w:pPr>
      <w:r w:rsidRPr="00067F9C">
        <w:t>2.3</w:t>
      </w:r>
      <w:r w:rsidRPr="00067F9C">
        <w:tab/>
        <w:t>31 мая 1994 года те же сотрудники жандармерии сообщили членам семьи, явившимся с намерением получить свидание с Джиллали Ларби, что он был п</w:t>
      </w:r>
      <w:r w:rsidRPr="00067F9C">
        <w:t>е</w:t>
      </w:r>
      <w:r w:rsidRPr="00067F9C">
        <w:t>реведен в управление жанда</w:t>
      </w:r>
      <w:r w:rsidRPr="00067F9C">
        <w:t>р</w:t>
      </w:r>
      <w:r w:rsidRPr="00067F9C">
        <w:t>мерии в Меллаку. Тогда отец Джиллали Ларби, двое других его сыновей и автор сообщения о</w:t>
      </w:r>
      <w:r w:rsidRPr="00067F9C">
        <w:t>т</w:t>
      </w:r>
      <w:r w:rsidRPr="00067F9C">
        <w:t>правились в Меллаку, где им удалось увидеться с задержанным. Джиллали Ларби, который выглядел очень изможденным, с отчетливыми следами побоев на лице, пожаловался на то, что его пытали в расположении бригады в Мешраа-Сфа, но в присутствии своих надзирателей вынужден был добавить, что после перевода с ним обращаются хорошо. Он также сообщил, что его допросили с ведением протокола, что он просил доставить его к судье и что его заверили, что его дело будет рассмотр</w:t>
      </w:r>
      <w:r w:rsidRPr="00067F9C">
        <w:t>е</w:t>
      </w:r>
      <w:r w:rsidRPr="00067F9C">
        <w:t>но законным порядком и что его в ближайшее время доставят к прокурору Ре</w:t>
      </w:r>
      <w:r w:rsidRPr="00067F9C">
        <w:t>с</w:t>
      </w:r>
      <w:r w:rsidRPr="00067F9C">
        <w:t>публики. В действительности</w:t>
      </w:r>
      <w:r w:rsidR="00381965">
        <w:t xml:space="preserve"> </w:t>
      </w:r>
      <w:r w:rsidRPr="00067F9C">
        <w:t>Джиллали Ларби был доставлен к прок</w:t>
      </w:r>
      <w:r w:rsidRPr="00067F9C">
        <w:t>у</w:t>
      </w:r>
      <w:r w:rsidRPr="00067F9C">
        <w:t>рору Республики в суде Тиарета 8 июня 1994 года, после 13 дней содержания под стражей. В тот день несколько человек видели его в автомобиле, доставившем его в суд Тиарета. Тогда же он был возвращен в расположение той же бр</w:t>
      </w:r>
      <w:r w:rsidRPr="00067F9C">
        <w:t>и</w:t>
      </w:r>
      <w:r w:rsidRPr="00067F9C">
        <w:t>гады жандармерии. В последующие дни членам семьи Джиллали Ларби разрешали свидания с ним; он сообщил им, что провел несколько часов в ожидании возле кабинета прокурора, но так и не был принят, поскольку прокурор якобы прик</w:t>
      </w:r>
      <w:r w:rsidRPr="00067F9C">
        <w:t>а</w:t>
      </w:r>
      <w:r w:rsidRPr="00067F9C">
        <w:t xml:space="preserve">зал жандармам </w:t>
      </w:r>
      <w:r w:rsidR="003E6110">
        <w:t>"</w:t>
      </w:r>
      <w:r w:rsidRPr="00067F9C">
        <w:t>вернуть его в камеру</w:t>
      </w:r>
      <w:r w:rsidR="003E6110">
        <w:t>"</w:t>
      </w:r>
      <w:r w:rsidRPr="00067F9C">
        <w:t>.</w:t>
      </w:r>
    </w:p>
    <w:p w:rsidR="009B6A38" w:rsidRPr="00067F9C" w:rsidRDefault="009B6A38" w:rsidP="003E6110">
      <w:pPr>
        <w:pStyle w:val="SingleTxtGR"/>
      </w:pPr>
      <w:r w:rsidRPr="00067F9C">
        <w:t>2.4</w:t>
      </w:r>
      <w:r w:rsidRPr="00067F9C">
        <w:tab/>
        <w:t>Содержание под стражей в Меллаку продолжалось до 13 июня 1994 года. 14 июня, к</w:t>
      </w:r>
      <w:r w:rsidRPr="00067F9C">
        <w:t>о</w:t>
      </w:r>
      <w:r w:rsidRPr="00067F9C">
        <w:t xml:space="preserve">гда отец Джиллали Ларби явился с продуктовой передачей для сына, жандармы отказались ее принять и сообщили, что его сын </w:t>
      </w:r>
      <w:r w:rsidR="003E6110">
        <w:t>"</w:t>
      </w:r>
      <w:r w:rsidRPr="00067F9C">
        <w:t>был переве</w:t>
      </w:r>
      <w:r w:rsidR="003E6110">
        <w:t>ден". С</w:t>
      </w:r>
      <w:r w:rsidR="007721BC">
        <w:rPr>
          <w:lang w:val="en-US"/>
        </w:rPr>
        <w:t> </w:t>
      </w:r>
      <w:r w:rsidRPr="00067F9C">
        <w:t>тех пор семье ничего не известно о судьбе Джиллали Ларби.</w:t>
      </w:r>
    </w:p>
    <w:p w:rsidR="009B6A38" w:rsidRPr="00067F9C" w:rsidRDefault="009B6A38" w:rsidP="003E6110">
      <w:pPr>
        <w:pStyle w:val="SingleTxtGR"/>
      </w:pPr>
      <w:r w:rsidRPr="00067F9C">
        <w:t>2.5</w:t>
      </w:r>
      <w:r w:rsidRPr="00067F9C">
        <w:tab/>
        <w:t>Отец Джиллали Ларби и его близкие постоянно вели поиски и предпр</w:t>
      </w:r>
      <w:r w:rsidRPr="00067F9C">
        <w:t>и</w:t>
      </w:r>
      <w:r w:rsidRPr="00067F9C">
        <w:t>нимали шаги для его обнаружения. Отец искал его в подразделениях жандарм</w:t>
      </w:r>
      <w:r w:rsidRPr="00067F9C">
        <w:t>е</w:t>
      </w:r>
      <w:r w:rsidRPr="00067F9C">
        <w:t>рии и в военных казармах региона: в Мешраа-Сфа, где его сын сначала был п</w:t>
      </w:r>
      <w:r w:rsidRPr="00067F9C">
        <w:t>о</w:t>
      </w:r>
      <w:r w:rsidRPr="00067F9C">
        <w:t>мещен под стражу, в Тиарете, а также во Френде, когда ему стало и</w:t>
      </w:r>
      <w:r w:rsidRPr="00067F9C">
        <w:t>з</w:t>
      </w:r>
      <w:r w:rsidRPr="00067F9C">
        <w:t>вестно, что там содержится множество арестантов. Не узнав ничего нового, отец Джиллали Ларби отправился в Оран, в штаб военного округа, где ему посоветовали обр</w:t>
      </w:r>
      <w:r w:rsidRPr="00067F9C">
        <w:t>а</w:t>
      </w:r>
      <w:r w:rsidRPr="00067F9C">
        <w:t>титься за информацией в военную тюрьму Мерс-эль-Кебир. В течение лета и осени 1994 года он трижды посетил эту тюрьму. Он явился в суд Тиарета, где после долгих процедур был вместе с матерью автора принят прокурором Ре</w:t>
      </w:r>
      <w:r w:rsidRPr="00067F9C">
        <w:t>с</w:t>
      </w:r>
      <w:r w:rsidRPr="00067F9C">
        <w:t xml:space="preserve">публики </w:t>
      </w:r>
      <w:r w:rsidR="00170196">
        <w:t>и вручил ему письменную жалобу.</w:t>
      </w:r>
    </w:p>
    <w:p w:rsidR="009B6A38" w:rsidRPr="00067F9C" w:rsidRDefault="009B6A38" w:rsidP="003E6110">
      <w:pPr>
        <w:pStyle w:val="SingleTxtGR"/>
      </w:pPr>
      <w:r w:rsidRPr="00067F9C">
        <w:t>2.6</w:t>
      </w:r>
      <w:r w:rsidRPr="00067F9C">
        <w:tab/>
        <w:t>Затем в течение 1995 года дед автора еще несколько раз являлся к этому же прокурору, однако ни он, ни мать автора, ни кто-либо из свидетелей, кот</w:t>
      </w:r>
      <w:r w:rsidRPr="00067F9C">
        <w:t>о</w:t>
      </w:r>
      <w:r w:rsidRPr="00067F9C">
        <w:t>рых он назвал и которым были известны обстоятельства дела, не были засл</w:t>
      </w:r>
      <w:r w:rsidRPr="00067F9C">
        <w:t>у</w:t>
      </w:r>
      <w:r w:rsidRPr="00067F9C">
        <w:t>шаны в рамках уголовного расследования. Фактич</w:t>
      </w:r>
      <w:r w:rsidRPr="00067F9C">
        <w:t>е</w:t>
      </w:r>
      <w:r w:rsidRPr="00067F9C">
        <w:t>ски прокуратура Тиарета так и не провела расследования и не предоставила объяснений о судьбе исчезну</w:t>
      </w:r>
      <w:r w:rsidRPr="00067F9C">
        <w:t>в</w:t>
      </w:r>
      <w:r w:rsidR="00170196">
        <w:t>шего лица.</w:t>
      </w:r>
    </w:p>
    <w:p w:rsidR="009B6A38" w:rsidRPr="00067F9C" w:rsidRDefault="009B6A38" w:rsidP="003E6110">
      <w:pPr>
        <w:pStyle w:val="SingleTxtGR"/>
      </w:pPr>
      <w:r w:rsidRPr="00067F9C">
        <w:t>2.7</w:t>
      </w:r>
      <w:r w:rsidRPr="00067F9C">
        <w:tab/>
        <w:t>В сентябре 1994 года дед автора направил письма в неправительс</w:t>
      </w:r>
      <w:r w:rsidRPr="00067F9C">
        <w:t>т</w:t>
      </w:r>
      <w:r w:rsidRPr="00067F9C">
        <w:t>венные организации и в Национальный наблюдательный центр по правам чел</w:t>
      </w:r>
      <w:r w:rsidRPr="00067F9C">
        <w:t>о</w:t>
      </w:r>
      <w:r w:rsidRPr="00067F9C">
        <w:t>века, чтобы проинформировать их об исчезновении своего сына и попросить их вм</w:t>
      </w:r>
      <w:r w:rsidRPr="00067F9C">
        <w:t>е</w:t>
      </w:r>
      <w:r w:rsidR="00170196">
        <w:t>шаться.</w:t>
      </w:r>
    </w:p>
    <w:p w:rsidR="009B6A38" w:rsidRPr="00067F9C" w:rsidRDefault="009B6A38" w:rsidP="003E6110">
      <w:pPr>
        <w:pStyle w:val="SingleTxtGR"/>
      </w:pPr>
      <w:r w:rsidRPr="00067F9C">
        <w:t>2.8</w:t>
      </w:r>
      <w:r w:rsidRPr="00067F9C">
        <w:tab/>
        <w:t>После смерти деда в 1998 году автор сообщения и его мать продолжили поиски Джиллали Ларби. Они неоднократно являлись в суд Тиарета, пытаясь узнать, что стало с их многочисленными жалобами; несколько месяцев спустя им пришлось прекратить все попытки ввиду отказа прокурора принимать их</w:t>
      </w:r>
      <w:r w:rsidR="00170196">
        <w:t xml:space="preserve"> и из страха перед репрессиями.</w:t>
      </w:r>
    </w:p>
    <w:p w:rsidR="009B6A38" w:rsidRPr="00067F9C" w:rsidRDefault="009B6A38" w:rsidP="003E6110">
      <w:pPr>
        <w:pStyle w:val="SingleTxtGR"/>
      </w:pPr>
      <w:r w:rsidRPr="00067F9C">
        <w:t>2.9</w:t>
      </w:r>
      <w:r w:rsidRPr="00067F9C">
        <w:tab/>
        <w:t>В 2004 году автор вновь обратился к властям с письмом, в котором пр</w:t>
      </w:r>
      <w:r w:rsidRPr="00067F9C">
        <w:t>о</w:t>
      </w:r>
      <w:r w:rsidRPr="00067F9C">
        <w:t>сил предоставить ему информацию об отце. 19 мая 2004 года он направил письма начальнику органов безопасности, в управление вилайи Тиарет, предс</w:t>
      </w:r>
      <w:r w:rsidRPr="00067F9C">
        <w:t>е</w:t>
      </w:r>
      <w:r w:rsidRPr="00067F9C">
        <w:t>дателю Национальной консультативной комиссии по поощрению и защите прав человека (НККПЗПЧ) и президенту Республики, но ни на одно из них не пол</w:t>
      </w:r>
      <w:r w:rsidRPr="00067F9C">
        <w:t>у</w:t>
      </w:r>
      <w:r w:rsidRPr="00067F9C">
        <w:t>чил ответа. 29 ноября 2006 года в своем письме президенту Республики и пр</w:t>
      </w:r>
      <w:r w:rsidRPr="00067F9C">
        <w:t>о</w:t>
      </w:r>
      <w:r w:rsidRPr="00067F9C">
        <w:t>курору Ре</w:t>
      </w:r>
      <w:r w:rsidRPr="00067F9C">
        <w:t>с</w:t>
      </w:r>
      <w:r w:rsidRPr="00067F9C">
        <w:t>публики в суде Тиарета он напомнил о множестве предпринятых им шагов. Кроме того, в з</w:t>
      </w:r>
      <w:r w:rsidRPr="00067F9C">
        <w:t>а</w:t>
      </w:r>
      <w:r w:rsidRPr="00067F9C">
        <w:t>казном письме на имя прокурора Республики в суде Тиарета он напомнил о многочисленных жалобах, к</w:t>
      </w:r>
      <w:r w:rsidRPr="00067F9C">
        <w:t>о</w:t>
      </w:r>
      <w:r w:rsidRPr="00067F9C">
        <w:t>торые в предыдущие годы были поданы отцом исчезнувшего лица и матерью автора и которые не вызвали никакой реакции со стороны прокурора. Все эти последние обращ</w:t>
      </w:r>
      <w:r w:rsidR="00170196">
        <w:t>ения также остались без ответа.</w:t>
      </w:r>
    </w:p>
    <w:p w:rsidR="009B6A38" w:rsidRPr="00067F9C" w:rsidRDefault="009B6A38" w:rsidP="00141816">
      <w:pPr>
        <w:pStyle w:val="SingleTxtGR"/>
      </w:pPr>
      <w:r w:rsidRPr="00067F9C">
        <w:t>2.10</w:t>
      </w:r>
      <w:r w:rsidRPr="00067F9C">
        <w:tab/>
        <w:t>Автор утверждает, что у него нет возможности обращаться в какие-либо судебные инстанции после введения в действие 27 февраля 2006 года Пост</w:t>
      </w:r>
      <w:r w:rsidRPr="00067F9C">
        <w:t>а</w:t>
      </w:r>
      <w:r w:rsidRPr="00067F9C">
        <w:t>новления № 06-01 об осуществлении Хартии за мир и национальное примир</w:t>
      </w:r>
      <w:r w:rsidRPr="00067F9C">
        <w:t>е</w:t>
      </w:r>
      <w:r w:rsidRPr="00067F9C">
        <w:t>ние, принятой путем референдума 29 сентября 2005 года, поскольку он запр</w:t>
      </w:r>
      <w:r w:rsidRPr="00067F9C">
        <w:t>е</w:t>
      </w:r>
      <w:r w:rsidRPr="00067F9C">
        <w:t>щает любое обращение в суд с жалобой на действия военнослужащих и сотру</w:t>
      </w:r>
      <w:r w:rsidRPr="00067F9C">
        <w:t>д</w:t>
      </w:r>
      <w:r w:rsidRPr="00067F9C">
        <w:t>ников органов</w:t>
      </w:r>
      <w:r w:rsidR="00381965">
        <w:t xml:space="preserve"> </w:t>
      </w:r>
      <w:r w:rsidRPr="00067F9C">
        <w:t>безопасности Алжира в связи с событиями, происходившими в стране в пе</w:t>
      </w:r>
      <w:r w:rsidR="003E6110">
        <w:t>риод 1993</w:t>
      </w:r>
      <w:r w:rsidR="003E6110" w:rsidRPr="003E6110">
        <w:t>−</w:t>
      </w:r>
      <w:r w:rsidRPr="00067F9C">
        <w:t>1998 годов. Автор указывает, что, поскольку все вну</w:t>
      </w:r>
      <w:r w:rsidRPr="00067F9C">
        <w:t>т</w:t>
      </w:r>
      <w:r w:rsidRPr="00067F9C">
        <w:t>ренние средства правовой защиты оказались неэффективными и бесполезными и поскольку близкие Джиллали Ларби теперь по закону лишены своего права на обращение в суд, для обеспечения приемлемости своего сообщения в Комитете он больше не обязан ни продолжать предпринимать шаги и процедуры на вну</w:t>
      </w:r>
      <w:r w:rsidRPr="00067F9C">
        <w:t>т</w:t>
      </w:r>
      <w:r w:rsidRPr="00067F9C">
        <w:t>реннем уровне, ни подвергать себя опасности уголовного преслед</w:t>
      </w:r>
      <w:r w:rsidRPr="00067F9C">
        <w:t>о</w:t>
      </w:r>
      <w:r w:rsidR="00170196">
        <w:t>вания.</w:t>
      </w:r>
    </w:p>
    <w:p w:rsidR="009B6A38" w:rsidRPr="00067F9C" w:rsidRDefault="000474FF" w:rsidP="000474FF">
      <w:pPr>
        <w:pStyle w:val="H23GR"/>
      </w:pPr>
      <w:r>
        <w:tab/>
      </w:r>
      <w:r>
        <w:tab/>
      </w:r>
      <w:r w:rsidR="009B6A38" w:rsidRPr="00067F9C">
        <w:t>Жалоба</w:t>
      </w:r>
    </w:p>
    <w:p w:rsidR="009B6A38" w:rsidRPr="00067F9C" w:rsidRDefault="009B6A38" w:rsidP="000474FF">
      <w:pPr>
        <w:pStyle w:val="SingleTxtGR"/>
      </w:pPr>
      <w:r w:rsidRPr="00067F9C">
        <w:t>3.1</w:t>
      </w:r>
      <w:r w:rsidRPr="00067F9C">
        <w:tab/>
        <w:t>Автор утверждает, что его отец стал жертвой насильственного исчезнов</w:t>
      </w:r>
      <w:r w:rsidRPr="00067F9C">
        <w:t>е</w:t>
      </w:r>
      <w:r w:rsidRPr="00067F9C">
        <w:t>ния. Он</w:t>
      </w:r>
      <w:r w:rsidR="00381965">
        <w:t xml:space="preserve"> </w:t>
      </w:r>
      <w:r w:rsidRPr="00067F9C">
        <w:t>считает, что через 14 лет после исчезновения его отца из ра</w:t>
      </w:r>
      <w:r w:rsidRPr="00067F9C">
        <w:t>с</w:t>
      </w:r>
      <w:r w:rsidRPr="00067F9C">
        <w:t>положения бригады национальной жа</w:t>
      </w:r>
      <w:r w:rsidRPr="00067F9C">
        <w:t>н</w:t>
      </w:r>
      <w:r w:rsidRPr="00067F9C">
        <w:t>дармерии в Меллаку шансы обнаружить его живым являются ничтожными. Длительное отсутствие его отца, а также о</w:t>
      </w:r>
      <w:r w:rsidRPr="00067F9C">
        <w:t>б</w:t>
      </w:r>
      <w:r w:rsidRPr="00067F9C">
        <w:t>стоятельства и условия проведения его ареста дают основания полагать, что он скончался в период содержания под стражей. Тайное содержание под стражей сопряжено с высоким риском посягательства на право на жизнь. Угроза, которой подвергае</w:t>
      </w:r>
      <w:r w:rsidRPr="00067F9C">
        <w:t>т</w:t>
      </w:r>
      <w:r w:rsidRPr="00067F9C">
        <w:t>ся жизнь потерпевшего, представляет собой нарушение статьи 6, поскольку г</w:t>
      </w:r>
      <w:r w:rsidRPr="00067F9C">
        <w:t>о</w:t>
      </w:r>
      <w:r w:rsidRPr="00067F9C">
        <w:t>сударство не выполнило своего обязательства по защите основного права на жизнь. В то же время государство не приложило никаких усилий для провед</w:t>
      </w:r>
      <w:r w:rsidRPr="00067F9C">
        <w:t>е</w:t>
      </w:r>
      <w:r w:rsidRPr="00067F9C">
        <w:t>ния расследования по делу об исчезновении потерпевшего, что также является нарушением позитивных обязательств, возложенных на государство в соотве</w:t>
      </w:r>
      <w:r w:rsidRPr="00067F9C">
        <w:t>т</w:t>
      </w:r>
      <w:r w:rsidRPr="00067F9C">
        <w:t>ствии со статьей 6 Пакта. Поэтому автор утверждает, что его отец стал жертвой нарушения статьи 6 в сов</w:t>
      </w:r>
      <w:r w:rsidRPr="00067F9C">
        <w:t>о</w:t>
      </w:r>
      <w:r w:rsidRPr="00067F9C">
        <w:t>купно</w:t>
      </w:r>
      <w:r w:rsidR="00170196">
        <w:t>сти с пунктом 3 статьи 2 Пакта.</w:t>
      </w:r>
    </w:p>
    <w:p w:rsidR="009B6A38" w:rsidRPr="00067F9C" w:rsidRDefault="009B6A38" w:rsidP="000474FF">
      <w:pPr>
        <w:pStyle w:val="SingleTxtGR"/>
      </w:pPr>
      <w:r w:rsidRPr="00067F9C">
        <w:t>3.2</w:t>
      </w:r>
      <w:r w:rsidRPr="00067F9C">
        <w:tab/>
        <w:t>Отец автора сообщил своему отцу (т</w:t>
      </w:r>
      <w:r w:rsidR="00080CF5">
        <w:t>.</w:t>
      </w:r>
      <w:r w:rsidRPr="00067F9C">
        <w:t>е</w:t>
      </w:r>
      <w:r w:rsidR="00080CF5">
        <w:t>.</w:t>
      </w:r>
      <w:r w:rsidRPr="00067F9C">
        <w:t xml:space="preserve"> деду автора) о том, что его пыт</w:t>
      </w:r>
      <w:r w:rsidRPr="00067F9C">
        <w:t>а</w:t>
      </w:r>
      <w:r w:rsidRPr="00067F9C">
        <w:t>ли в штабе бригады жандармерии Мешраа-Сфа, где он содержался под стражей после ареста, причем на его лице име</w:t>
      </w:r>
      <w:r w:rsidR="00170196">
        <w:t>лись отчетливые следы побоев. С</w:t>
      </w:r>
      <w:r w:rsidR="00141816">
        <w:rPr>
          <w:lang w:val="en-US"/>
        </w:rPr>
        <w:t> </w:t>
      </w:r>
      <w:r w:rsidRPr="00067F9C">
        <w:t>другой стороны, согласно практике Комитета, сам факт того, что человек был подвер</w:t>
      </w:r>
      <w:r w:rsidRPr="00067F9C">
        <w:t>г</w:t>
      </w:r>
      <w:r w:rsidRPr="00067F9C">
        <w:t>нут насильственному исчезновению, является элементом бесчеловечного или унижающего достоинство обращения. Кроме того, чувств</w:t>
      </w:r>
      <w:r w:rsidR="00080CF5">
        <w:t>а</w:t>
      </w:r>
      <w:r w:rsidRPr="00067F9C">
        <w:t xml:space="preserve"> тревоги и страдания, вызванные бессрочным содержанием под стражей без связи с семьей и вне</w:t>
      </w:r>
      <w:r w:rsidRPr="00067F9C">
        <w:t>ш</w:t>
      </w:r>
      <w:r w:rsidRPr="00067F9C">
        <w:t>ним миром, равносил</w:t>
      </w:r>
      <w:r w:rsidRPr="00067F9C">
        <w:t>ь</w:t>
      </w:r>
      <w:r w:rsidRPr="00067F9C">
        <w:t xml:space="preserve">ны обращению, противоречащему статье 7 Пакта. </w:t>
      </w:r>
    </w:p>
    <w:p w:rsidR="009B6A38" w:rsidRPr="00067F9C" w:rsidRDefault="009B6A38" w:rsidP="000474FF">
      <w:pPr>
        <w:pStyle w:val="SingleTxtGR"/>
      </w:pPr>
      <w:r w:rsidRPr="00067F9C">
        <w:t>3.3</w:t>
      </w:r>
      <w:r w:rsidRPr="00067F9C">
        <w:tab/>
        <w:t>Отец автора был арестован жандармами в униформе, которые не имели ордера на арест и не сообщили ему причины ареста, что является нарушением его прав, предусмотренных пунктами 1 и 2 статьи 9 Пакта. Он был до</w:t>
      </w:r>
      <w:r w:rsidRPr="00067F9C">
        <w:t>с</w:t>
      </w:r>
      <w:r w:rsidRPr="00067F9C">
        <w:t>тавлен в суд Тиарета через 13 дней после ареста, то есть с превышением 12-дневного срока, определенного законодательством. При этом его так и не доставили в о</w:t>
      </w:r>
      <w:r w:rsidRPr="00067F9C">
        <w:t>р</w:t>
      </w:r>
      <w:r w:rsidRPr="00067F9C">
        <w:t>ган власти, уполномоченный исполнять судебные функции, в данном случае – к</w:t>
      </w:r>
      <w:r w:rsidR="00141816">
        <w:rPr>
          <w:lang w:val="en-US"/>
        </w:rPr>
        <w:t> </w:t>
      </w:r>
      <w:r w:rsidRPr="00067F9C">
        <w:t>прокурору Республики суда в Тиарете, в нарушение пункта 3 статьи 9 Пакта. Являясь жертвой насильственного исчезновения, он физически не мог ни п</w:t>
      </w:r>
      <w:r w:rsidRPr="00067F9C">
        <w:t>о</w:t>
      </w:r>
      <w:r w:rsidRPr="00067F9C">
        <w:t>дать жалобу, чтобы оспорить правоме</w:t>
      </w:r>
      <w:r w:rsidRPr="00067F9C">
        <w:t>р</w:t>
      </w:r>
      <w:r w:rsidRPr="00067F9C">
        <w:t>ность своего задержания, ни обратиться к судье с ходатайством об</w:t>
      </w:r>
      <w:r w:rsidR="00381965">
        <w:t xml:space="preserve"> </w:t>
      </w:r>
      <w:r w:rsidRPr="00067F9C">
        <w:t>освобождении, ни даже обратиться к какому-либо н</w:t>
      </w:r>
      <w:r w:rsidRPr="00067F9C">
        <w:t>а</w:t>
      </w:r>
      <w:r w:rsidRPr="00067F9C">
        <w:t>ходящемуся на свободе</w:t>
      </w:r>
      <w:r w:rsidR="00381965">
        <w:t xml:space="preserve"> </w:t>
      </w:r>
      <w:r w:rsidRPr="00067F9C">
        <w:t>третьему лицу с просьбой обеспечить его защиту; эта ситуация представляет собой нарушение пункта 4 статьи 9 Пакта.</w:t>
      </w:r>
    </w:p>
    <w:p w:rsidR="009B6A38" w:rsidRPr="00067F9C" w:rsidRDefault="009B6A38" w:rsidP="000474FF">
      <w:pPr>
        <w:pStyle w:val="SingleTxtGR"/>
      </w:pPr>
      <w:r w:rsidRPr="00067F9C">
        <w:t>3.4</w:t>
      </w:r>
      <w:r w:rsidRPr="00067F9C">
        <w:tab/>
        <w:t>Если будет установлено, что отец автора является жертвой наруш</w:t>
      </w:r>
      <w:r w:rsidRPr="00067F9C">
        <w:t>е</w:t>
      </w:r>
      <w:r w:rsidRPr="00067F9C">
        <w:t>ния статьи 7, то невозможно будет утверждать, что он пользовался защитой, к</w:t>
      </w:r>
      <w:r w:rsidRPr="00067F9C">
        <w:t>о</w:t>
      </w:r>
      <w:r w:rsidRPr="00067F9C">
        <w:t>торая должна ему предоставляться с</w:t>
      </w:r>
      <w:r w:rsidRPr="00067F9C">
        <w:t>о</w:t>
      </w:r>
      <w:r w:rsidRPr="00067F9C">
        <w:t xml:space="preserve">гласно пункту 1 статьи 10 Пакта. </w:t>
      </w:r>
    </w:p>
    <w:p w:rsidR="009B6A38" w:rsidRPr="00067F9C" w:rsidRDefault="009B6A38" w:rsidP="000474FF">
      <w:pPr>
        <w:pStyle w:val="SingleTxtGR"/>
      </w:pPr>
      <w:r w:rsidRPr="00067F9C">
        <w:t>3.5</w:t>
      </w:r>
      <w:r w:rsidRPr="00067F9C">
        <w:tab/>
        <w:t>Став жертвой негласного содержания под стражей, отец автора был ни</w:t>
      </w:r>
      <w:r w:rsidRPr="00067F9C">
        <w:t>з</w:t>
      </w:r>
      <w:r w:rsidRPr="00067F9C">
        <w:t xml:space="preserve">веден до состояния </w:t>
      </w:r>
      <w:r w:rsidR="003E6110">
        <w:t>"</w:t>
      </w:r>
      <w:r w:rsidRPr="00067F9C">
        <w:t>неправосубъектности</w:t>
      </w:r>
      <w:r w:rsidR="003E6110">
        <w:t>"</w:t>
      </w:r>
      <w:r w:rsidRPr="00067F9C">
        <w:t>, что представляет собой нар</w:t>
      </w:r>
      <w:r w:rsidRPr="00067F9C">
        <w:t>у</w:t>
      </w:r>
      <w:r w:rsidRPr="00067F9C">
        <w:t>шение статьи 16 Пакта.</w:t>
      </w:r>
    </w:p>
    <w:p w:rsidR="009B6A38" w:rsidRPr="00067F9C" w:rsidRDefault="009B6A38" w:rsidP="000474FF">
      <w:pPr>
        <w:pStyle w:val="SingleTxtGR"/>
      </w:pPr>
      <w:r w:rsidRPr="00067F9C">
        <w:t>3.6</w:t>
      </w:r>
      <w:r w:rsidRPr="00067F9C">
        <w:tab/>
        <w:t>Являясь жертвой насильственного исчезновения, Джиллали Ларби в н</w:t>
      </w:r>
      <w:r w:rsidRPr="00067F9C">
        <w:t>а</w:t>
      </w:r>
      <w:r w:rsidRPr="00067F9C">
        <w:t>рушение пункта</w:t>
      </w:r>
      <w:r w:rsidR="00080CF5">
        <w:t xml:space="preserve"> 3</w:t>
      </w:r>
      <w:r w:rsidRPr="00067F9C">
        <w:t xml:space="preserve"> статьи </w:t>
      </w:r>
      <w:r w:rsidR="00080CF5">
        <w:t>2</w:t>
      </w:r>
      <w:r w:rsidRPr="00067F9C">
        <w:t xml:space="preserve"> Пакта был лишен права на подачу апелляции, чтобы оспорить правомерность своего задержания. Его близкие использовали все з</w:t>
      </w:r>
      <w:r w:rsidRPr="00067F9C">
        <w:t>а</w:t>
      </w:r>
      <w:r w:rsidRPr="00067F9C">
        <w:t>конные средства, чтобы получить правдивую информацию о его судьбе, однако предпринятые ими действия оказались безрезультатными.</w:t>
      </w:r>
    </w:p>
    <w:p w:rsidR="009B6A38" w:rsidRPr="00067F9C" w:rsidRDefault="009B6A38" w:rsidP="000474FF">
      <w:pPr>
        <w:pStyle w:val="SingleTxtGR"/>
      </w:pPr>
      <w:r w:rsidRPr="00067F9C">
        <w:t>3.7</w:t>
      </w:r>
      <w:r w:rsidRPr="00067F9C">
        <w:tab/>
        <w:t>Что касается самого автора и членов его семьи, то это исчезновение по- прежнему является для них парализующим, болезненным и вызывающим тр</w:t>
      </w:r>
      <w:r w:rsidRPr="00067F9C">
        <w:t>е</w:t>
      </w:r>
      <w:r w:rsidRPr="00067F9C">
        <w:t>вогу испытанием, так как они до сих пор ничего не знают о судьбе Джиллали Ларби,</w:t>
      </w:r>
      <w:r w:rsidRPr="00067F9C" w:rsidDel="001D53FD">
        <w:t xml:space="preserve"> </w:t>
      </w:r>
      <w:r w:rsidR="00170196">
        <w:t>что противоречит статье 7 Пакта</w:t>
      </w:r>
      <w:r w:rsidRPr="00921005">
        <w:rPr>
          <w:sz w:val="18"/>
          <w:vertAlign w:val="superscript"/>
          <w:lang w:val="fr-CH"/>
        </w:rPr>
        <w:footnoteReference w:id="2"/>
      </w:r>
      <w:r w:rsidR="00170196">
        <w:t>,</w:t>
      </w:r>
      <w:r w:rsidRPr="00067F9C" w:rsidDel="001D53FD">
        <w:t xml:space="preserve"> </w:t>
      </w:r>
      <w:r w:rsidRPr="00067F9C">
        <w:t>рассматриваемой в совокупности с пунктом 3 статьи 2 Пакта.</w:t>
      </w:r>
    </w:p>
    <w:p w:rsidR="009B6A38" w:rsidRPr="00067F9C" w:rsidRDefault="000474FF" w:rsidP="000474FF">
      <w:pPr>
        <w:pStyle w:val="H23GR"/>
      </w:pPr>
      <w:r>
        <w:tab/>
      </w:r>
      <w:r>
        <w:tab/>
      </w:r>
      <w:r w:rsidR="009B6A38" w:rsidRPr="00067F9C">
        <w:t>Замечания государства-участника относительно приемлемости сооб</w:t>
      </w:r>
      <w:r w:rsidR="00170196">
        <w:t>щения</w:t>
      </w:r>
    </w:p>
    <w:p w:rsidR="009B6A38" w:rsidRPr="00067F9C" w:rsidRDefault="009B6A38" w:rsidP="000474FF">
      <w:pPr>
        <w:pStyle w:val="SingleTxtGR"/>
      </w:pPr>
      <w:r w:rsidRPr="00067F9C">
        <w:t>4.1</w:t>
      </w:r>
      <w:r w:rsidRPr="00067F9C">
        <w:tab/>
        <w:t xml:space="preserve">3 марта 2009 года государство-участник оспорило приемлемость данного сообщения и десяти других сообщений, представленных в Комитет по правам человека, в </w:t>
      </w:r>
      <w:r w:rsidR="003E6110">
        <w:t>"</w:t>
      </w:r>
      <w:r w:rsidRPr="00067F9C">
        <w:t>Справочном меморандуме о неприемлемости сообщений, пре</w:t>
      </w:r>
      <w:r w:rsidRPr="00067F9C">
        <w:t>д</w:t>
      </w:r>
      <w:r w:rsidRPr="00067F9C">
        <w:t>ставляемых в Комитет по правам человека в связи с осуществлением Ха</w:t>
      </w:r>
      <w:r w:rsidRPr="00067F9C">
        <w:t>р</w:t>
      </w:r>
      <w:r w:rsidRPr="00067F9C">
        <w:t>тии за мир и национальное примирение</w:t>
      </w:r>
      <w:r w:rsidR="003E6110">
        <w:t>"</w:t>
      </w:r>
      <w:r w:rsidRPr="00067F9C">
        <w:t>. Оно считает, что сообщения о предполага</w:t>
      </w:r>
      <w:r w:rsidRPr="00067F9C">
        <w:t>е</w:t>
      </w:r>
      <w:r w:rsidRPr="00067F9C">
        <w:t>мой ответственности государственных должностных лиц или других лиц, де</w:t>
      </w:r>
      <w:r w:rsidRPr="00067F9C">
        <w:t>й</w:t>
      </w:r>
      <w:r w:rsidRPr="00067F9C">
        <w:t>ствующих от имени органов государственной власти, за случаи насил</w:t>
      </w:r>
      <w:r w:rsidRPr="00067F9C">
        <w:t>ь</w:t>
      </w:r>
      <w:r w:rsidRPr="00067F9C">
        <w:t>ственных исчезновений, происх</w:t>
      </w:r>
      <w:r w:rsidRPr="00067F9C">
        <w:t>о</w:t>
      </w:r>
      <w:r w:rsidRPr="00067F9C">
        <w:t>дивших в течение рассматриваемого периода, а именно в 1993−1998 годах, должны рассматриваться в более общем контексте с учетом социально-политической ситуации и уровня безопасности в стране в период, когда правительство вело борьбу с терроризмом, целью которого явл</w:t>
      </w:r>
      <w:r w:rsidRPr="00067F9C">
        <w:t>я</w:t>
      </w:r>
      <w:r w:rsidRPr="00067F9C">
        <w:t xml:space="preserve">лось </w:t>
      </w:r>
      <w:r w:rsidR="003E6110">
        <w:t>"</w:t>
      </w:r>
      <w:r w:rsidRPr="00067F9C">
        <w:t>крушение республиканского государства</w:t>
      </w:r>
      <w:r w:rsidR="003E6110">
        <w:t>"</w:t>
      </w:r>
      <w:r w:rsidRPr="00067F9C">
        <w:t>. С учетом сложившейся обст</w:t>
      </w:r>
      <w:r w:rsidRPr="00067F9C">
        <w:t>а</w:t>
      </w:r>
      <w:r w:rsidRPr="00067F9C">
        <w:t>новки и согласно Конституции (статьям 87 и 91) были приняты меры защитного х</w:t>
      </w:r>
      <w:r w:rsidRPr="00067F9C">
        <w:t>а</w:t>
      </w:r>
      <w:r w:rsidRPr="00067F9C">
        <w:t>рактера, и правительство Алжира в соответствии с пунктом 3 статьи 4 Пакта уведомило Секретариат Организации Объединенных Наций о введении чрезв</w:t>
      </w:r>
      <w:r w:rsidRPr="00067F9C">
        <w:t>ы</w:t>
      </w:r>
      <w:r w:rsidRPr="00067F9C">
        <w:t>чайного положения.</w:t>
      </w:r>
    </w:p>
    <w:p w:rsidR="009B6A38" w:rsidRPr="00067F9C" w:rsidRDefault="009B6A38" w:rsidP="000474FF">
      <w:pPr>
        <w:pStyle w:val="SingleTxtGR"/>
      </w:pPr>
      <w:r w:rsidRPr="00067F9C">
        <w:t>4.2</w:t>
      </w:r>
      <w:r w:rsidRPr="00067F9C">
        <w:tab/>
        <w:t>В указанный период правительство было вынуждено бороться с нефо</w:t>
      </w:r>
      <w:r w:rsidRPr="00067F9C">
        <w:t>р</w:t>
      </w:r>
      <w:r w:rsidRPr="00067F9C">
        <w:t>мальными группами. В связи с этим некоторые мероприятия проводились бе</w:t>
      </w:r>
      <w:r w:rsidRPr="00067F9C">
        <w:t>с</w:t>
      </w:r>
      <w:r w:rsidRPr="00067F9C">
        <w:t>системно и в тех местах, где присутствовало гражданское население, кот</w:t>
      </w:r>
      <w:r w:rsidRPr="00067F9C">
        <w:t>о</w:t>
      </w:r>
      <w:r w:rsidRPr="00067F9C">
        <w:t>рому было трудно отличить действия террористических групп от действий правоо</w:t>
      </w:r>
      <w:r w:rsidRPr="00067F9C">
        <w:t>х</w:t>
      </w:r>
      <w:r w:rsidRPr="00067F9C">
        <w:t>ранительных органов, которых гражданское население считает ответстве</w:t>
      </w:r>
      <w:r w:rsidRPr="00067F9C">
        <w:t>н</w:t>
      </w:r>
      <w:r w:rsidRPr="00067F9C">
        <w:t>ными за многие насильственные исчезновения. Поэтому государство-участник счит</w:t>
      </w:r>
      <w:r w:rsidRPr="00067F9C">
        <w:t>а</w:t>
      </w:r>
      <w:r w:rsidRPr="00067F9C">
        <w:t>ет, что случаи насильственных исчезновений могут быть обусловлены разли</w:t>
      </w:r>
      <w:r w:rsidRPr="00067F9C">
        <w:t>ч</w:t>
      </w:r>
      <w:r w:rsidRPr="00067F9C">
        <w:t>ными причинами, однако в них нельзя обвинять правительство. Судя по инфо</w:t>
      </w:r>
      <w:r w:rsidRPr="00067F9C">
        <w:t>р</w:t>
      </w:r>
      <w:r w:rsidRPr="00067F9C">
        <w:t>мации, полученной из различных независимых источников, включая печатные издания и правозащитные организации, все исчезновения, произошедшие в Алжире в</w:t>
      </w:r>
      <w:r w:rsidR="00381965" w:rsidRPr="00381965">
        <w:t xml:space="preserve"> </w:t>
      </w:r>
      <w:r w:rsidRPr="00067F9C">
        <w:t>рассматриваемый период, можно отнести к одному из шести типовых случаев, ни за один из которых государство не несет ответственности. В первом случае лица, об исчезновении которых заявляли их близкие, на самом деле ух</w:t>
      </w:r>
      <w:r w:rsidRPr="00067F9C">
        <w:t>о</w:t>
      </w:r>
      <w:r w:rsidRPr="00067F9C">
        <w:t>дили в подполье по своей воле, чтобы присоединиться к вооруженным групп</w:t>
      </w:r>
      <w:r w:rsidRPr="00067F9C">
        <w:t>и</w:t>
      </w:r>
      <w:r w:rsidRPr="00067F9C">
        <w:t>ровкам, попросив свои семьи заявить о</w:t>
      </w:r>
      <w:r w:rsidR="00381965" w:rsidRPr="00381965">
        <w:t xml:space="preserve"> </w:t>
      </w:r>
      <w:r w:rsidRPr="00067F9C">
        <w:t>том, что они были арестованы служб</w:t>
      </w:r>
      <w:r w:rsidRPr="00067F9C">
        <w:t>а</w:t>
      </w:r>
      <w:r w:rsidRPr="00067F9C">
        <w:t xml:space="preserve">ми безопасности, чтобы </w:t>
      </w:r>
      <w:r w:rsidR="003E6110">
        <w:t>"</w:t>
      </w:r>
      <w:r w:rsidRPr="00067F9C">
        <w:t>замести следы</w:t>
      </w:r>
      <w:r w:rsidR="003E6110">
        <w:t>"</w:t>
      </w:r>
      <w:r w:rsidRPr="00067F9C">
        <w:t xml:space="preserve"> и избежать </w:t>
      </w:r>
      <w:r w:rsidR="003E6110">
        <w:t>"</w:t>
      </w:r>
      <w:r w:rsidRPr="00067F9C">
        <w:t>преследования</w:t>
      </w:r>
      <w:r w:rsidR="003E6110">
        <w:t>"</w:t>
      </w:r>
      <w:r w:rsidRPr="00067F9C">
        <w:t xml:space="preserve"> со стор</w:t>
      </w:r>
      <w:r w:rsidRPr="00067F9C">
        <w:t>о</w:t>
      </w:r>
      <w:r w:rsidRPr="00067F9C">
        <w:t>ны полиции. Во втором случае лица, объявленные исчезнувшими после того, как они были арестованы службами безопасности, уходили в подполье после своего освобождения. В третьем случае исчезнувшие лица были похищены членами вооруженных группировок, которых ошибочно принимали за военн</w:t>
      </w:r>
      <w:r w:rsidRPr="00067F9C">
        <w:t>о</w:t>
      </w:r>
      <w:r w:rsidRPr="00067F9C">
        <w:t>служащих или сотрудников служб безопасности, поскольку они не называли с</w:t>
      </w:r>
      <w:r w:rsidRPr="00067F9C">
        <w:t>е</w:t>
      </w:r>
      <w:r w:rsidRPr="00067F9C">
        <w:t>бя или же пользовались похищенной униформой или удостоверениями пол</w:t>
      </w:r>
      <w:r w:rsidRPr="00067F9C">
        <w:t>и</w:t>
      </w:r>
      <w:r w:rsidRPr="00067F9C">
        <w:t>цейских или вое</w:t>
      </w:r>
      <w:r w:rsidRPr="00067F9C">
        <w:t>н</w:t>
      </w:r>
      <w:r w:rsidRPr="00067F9C">
        <w:t>нослужащих. В четвертом случае лица, разыскиваемые их семьями, по собственной инициативе решали оставить своих близких, а иногда даже покинуть страну из-за личных проблем или семе</w:t>
      </w:r>
      <w:r w:rsidRPr="00067F9C">
        <w:t>й</w:t>
      </w:r>
      <w:r w:rsidRPr="00067F9C">
        <w:t>ных споров. В пятом случае лица, которых объявили исчезнувшими их семьи, в действительности являлись находившимися в розыске террористами, которые были убиты и пох</w:t>
      </w:r>
      <w:r w:rsidRPr="00067F9C">
        <w:t>о</w:t>
      </w:r>
      <w:r w:rsidRPr="00067F9C">
        <w:t>ронены в местах действия боевиков в результате внутренних распрей, столкн</w:t>
      </w:r>
      <w:r w:rsidRPr="00067F9C">
        <w:t>о</w:t>
      </w:r>
      <w:r w:rsidRPr="00067F9C">
        <w:t>вений на идейной почве или споров по поводу дележа военных трофеев между соперничающими вооруженными группировками. Н</w:t>
      </w:r>
      <w:r w:rsidRPr="00067F9C">
        <w:t>а</w:t>
      </w:r>
      <w:r w:rsidRPr="00067F9C">
        <w:t>конец, государство-участник упоминает о шестом типовом случае, когда исчезнувшие лица на с</w:t>
      </w:r>
      <w:r w:rsidRPr="00067F9C">
        <w:t>а</w:t>
      </w:r>
      <w:r w:rsidRPr="00067F9C">
        <w:t>мом деле проживали на территории страны или за границей под другим именем и по поддельным документам, изготовленным преступными группами.</w:t>
      </w:r>
    </w:p>
    <w:p w:rsidR="009B6A38" w:rsidRPr="00067F9C" w:rsidRDefault="009B6A38" w:rsidP="000474FF">
      <w:pPr>
        <w:pStyle w:val="SingleTxtGR"/>
      </w:pPr>
      <w:r w:rsidRPr="00067F9C">
        <w:t>4.3</w:t>
      </w:r>
      <w:r w:rsidRPr="00067F9C">
        <w:tab/>
        <w:t>Государство-участник подчеркивает, что, учитывая разнообразие и сло</w:t>
      </w:r>
      <w:r w:rsidRPr="00067F9C">
        <w:t>ж</w:t>
      </w:r>
      <w:r w:rsidRPr="00067F9C">
        <w:t xml:space="preserve">ность ситуаций, охватываемых общим понятием </w:t>
      </w:r>
      <w:r w:rsidR="003E6110">
        <w:t>"</w:t>
      </w:r>
      <w:r w:rsidRPr="00067F9C">
        <w:t>исчезновение</w:t>
      </w:r>
      <w:r w:rsidR="003E6110">
        <w:t>"</w:t>
      </w:r>
      <w:r w:rsidRPr="00067F9C">
        <w:t>, законодател</w:t>
      </w:r>
      <w:r w:rsidRPr="00067F9C">
        <w:t>ь</w:t>
      </w:r>
      <w:r w:rsidRPr="00067F9C">
        <w:t>ные органы Алжира после проведения референдума по Хартии за мир и наци</w:t>
      </w:r>
      <w:r w:rsidRPr="00067F9C">
        <w:t>о</w:t>
      </w:r>
      <w:r w:rsidRPr="00067F9C">
        <w:t xml:space="preserve">нальное примирение предложили рассматривать вопрос об исчезнувших лицах в рамках глобального подхода, предполагающего взятие на себя заботы обо всех исчезнувших в ходе </w:t>
      </w:r>
      <w:r w:rsidR="003E6110">
        <w:t>"</w:t>
      </w:r>
      <w:r w:rsidRPr="00067F9C">
        <w:t>национальной трагедии</w:t>
      </w:r>
      <w:r w:rsidR="003E6110">
        <w:t>"</w:t>
      </w:r>
      <w:r w:rsidRPr="00067F9C">
        <w:t xml:space="preserve"> лицах, оказание помощи всем жертвам для преодоления этого испытания и предоставление всем жертвам и</w:t>
      </w:r>
      <w:r w:rsidRPr="00067F9C">
        <w:t>с</w:t>
      </w:r>
      <w:r w:rsidRPr="00067F9C">
        <w:t>чезновений и их правопреемникам права</w:t>
      </w:r>
      <w:r w:rsidR="00170196">
        <w:t xml:space="preserve"> на возмещение ущерба. Согласно</w:t>
      </w:r>
      <w:r w:rsidR="00170196">
        <w:br/>
      </w:r>
      <w:r w:rsidRPr="00067F9C">
        <w:t>статистическим отчетам Министерства внут</w:t>
      </w:r>
      <w:r w:rsidR="00616BAC">
        <w:t>ренних дел, было заявлено</w:t>
      </w:r>
      <w:r w:rsidR="00616BAC" w:rsidRPr="00616BAC">
        <w:br/>
      </w:r>
      <w:r w:rsidRPr="00067F9C">
        <w:t>о 8</w:t>
      </w:r>
      <w:r w:rsidR="00381965" w:rsidRPr="00381965">
        <w:t xml:space="preserve"> </w:t>
      </w:r>
      <w:r w:rsidR="00170196">
        <w:t>023</w:t>
      </w:r>
      <w:r w:rsidR="00381965">
        <w:t xml:space="preserve"> </w:t>
      </w:r>
      <w:r w:rsidRPr="00067F9C">
        <w:t>случаях исчезновения, рассмотрено 6</w:t>
      </w:r>
      <w:r w:rsidR="00381965" w:rsidRPr="00381965">
        <w:t xml:space="preserve"> </w:t>
      </w:r>
      <w:r w:rsidRPr="00067F9C">
        <w:t>774 дела, принято для возмещения ущерба 5</w:t>
      </w:r>
      <w:r w:rsidR="00381965" w:rsidRPr="00381965">
        <w:t xml:space="preserve"> </w:t>
      </w:r>
      <w:r w:rsidRPr="00067F9C">
        <w:t>704 дела, отклонено 934 дела, а</w:t>
      </w:r>
      <w:r w:rsidR="00381965" w:rsidRPr="00381965">
        <w:t xml:space="preserve"> </w:t>
      </w:r>
      <w:r w:rsidRPr="00067F9C">
        <w:t>еще 136 дел находятся на стадии ра</w:t>
      </w:r>
      <w:r w:rsidRPr="00067F9C">
        <w:t>с</w:t>
      </w:r>
      <w:r w:rsidRPr="00067F9C">
        <w:t>смотрения. Всем жертвам в порядке в</w:t>
      </w:r>
      <w:r w:rsidR="00170196">
        <w:t>озмещения ущерба было выплачено</w:t>
      </w:r>
      <w:r w:rsidR="00170196">
        <w:br/>
      </w:r>
      <w:r w:rsidRPr="00067F9C">
        <w:t>в общей сложности 371</w:t>
      </w:r>
      <w:r w:rsidR="00381965" w:rsidRPr="00381965">
        <w:t xml:space="preserve"> </w:t>
      </w:r>
      <w:r w:rsidRPr="00067F9C">
        <w:t>459</w:t>
      </w:r>
      <w:r w:rsidR="00381965" w:rsidRPr="00381965">
        <w:t xml:space="preserve"> </w:t>
      </w:r>
      <w:r w:rsidRPr="00067F9C">
        <w:t>390 а</w:t>
      </w:r>
      <w:r w:rsidR="00616BAC">
        <w:t>лжирских динаров. Помимо этого,</w:t>
      </w:r>
      <w:r w:rsidR="00616BAC" w:rsidRPr="00616BAC">
        <w:br/>
      </w:r>
      <w:r w:rsidRPr="00067F9C">
        <w:t>1</w:t>
      </w:r>
      <w:r w:rsidR="00381965" w:rsidRPr="00381965">
        <w:t xml:space="preserve"> </w:t>
      </w:r>
      <w:r w:rsidRPr="00067F9C">
        <w:t>320</w:t>
      </w:r>
      <w:r w:rsidR="00381965" w:rsidRPr="00381965">
        <w:t xml:space="preserve"> </w:t>
      </w:r>
      <w:r w:rsidRPr="00067F9C">
        <w:t>824</w:t>
      </w:r>
      <w:r w:rsidR="00381965" w:rsidRPr="00381965">
        <w:t xml:space="preserve"> </w:t>
      </w:r>
      <w:r w:rsidR="00170196">
        <w:t>683</w:t>
      </w:r>
      <w:r w:rsidR="00381965">
        <w:t xml:space="preserve"> </w:t>
      </w:r>
      <w:r w:rsidRPr="00067F9C">
        <w:t>алжирских динара было ассигновано на выплату ежемесячных пенсий.</w:t>
      </w:r>
    </w:p>
    <w:p w:rsidR="009B6A38" w:rsidRPr="00067F9C" w:rsidRDefault="009B6A38" w:rsidP="000474FF">
      <w:pPr>
        <w:pStyle w:val="SingleTxtGR"/>
      </w:pPr>
      <w:r w:rsidRPr="00067F9C">
        <w:t>4.4</w:t>
      </w:r>
      <w:r w:rsidRPr="00067F9C">
        <w:tab/>
        <w:t>Государство-участник также утверждает, что внутренние средства прав</w:t>
      </w:r>
      <w:r w:rsidRPr="00067F9C">
        <w:t>о</w:t>
      </w:r>
      <w:r w:rsidRPr="00067F9C">
        <w:t>вой защиты не были исчерпаны. Оно подчеркивает важность проведения разл</w:t>
      </w:r>
      <w:r w:rsidRPr="00067F9C">
        <w:t>и</w:t>
      </w:r>
      <w:r w:rsidRPr="00067F9C">
        <w:t>чия между простыми обращениями в политические или административные о</w:t>
      </w:r>
      <w:r w:rsidRPr="00067F9C">
        <w:t>р</w:t>
      </w:r>
      <w:r w:rsidRPr="00067F9C">
        <w:t>ганы, жалобами в консультативные или посреднические инстанции, не име</w:t>
      </w:r>
      <w:r w:rsidRPr="00067F9C">
        <w:t>ю</w:t>
      </w:r>
      <w:r w:rsidRPr="00067F9C">
        <w:t>щими исковой силы, и исковыми заявлениями, подаваемыми в различные ко</w:t>
      </w:r>
      <w:r w:rsidRPr="00067F9C">
        <w:t>м</w:t>
      </w:r>
      <w:r w:rsidRPr="00067F9C">
        <w:t>петентные судебные органы. Государство-участник отмечает, что, согласно у</w:t>
      </w:r>
      <w:r w:rsidRPr="00067F9C">
        <w:t>т</w:t>
      </w:r>
      <w:r w:rsidRPr="00067F9C">
        <w:t>верждениям авторов</w:t>
      </w:r>
      <w:r w:rsidRPr="00921005">
        <w:rPr>
          <w:sz w:val="18"/>
          <w:vertAlign w:val="superscript"/>
          <w:lang w:val="fr-FR"/>
        </w:rPr>
        <w:footnoteReference w:id="3"/>
      </w:r>
      <w:r w:rsidRPr="00067F9C">
        <w:t>, заявители направляли письма в политические или адм</w:t>
      </w:r>
      <w:r w:rsidRPr="00067F9C">
        <w:t>и</w:t>
      </w:r>
      <w:r w:rsidRPr="00067F9C">
        <w:t>нистративные органы, обращались в консультативные или посреднические и</w:t>
      </w:r>
      <w:r w:rsidRPr="00067F9C">
        <w:t>н</w:t>
      </w:r>
      <w:r w:rsidRPr="00067F9C">
        <w:t>станции и подавали ходатайства в органы прокуратуры (генеральным прокур</w:t>
      </w:r>
      <w:r w:rsidRPr="00067F9C">
        <w:t>о</w:t>
      </w:r>
      <w:r w:rsidRPr="00067F9C">
        <w:t>рам или прокурорам Республики), по сути не начиная обжалования в суде</w:t>
      </w:r>
      <w:r w:rsidRPr="00067F9C">
        <w:t>б</w:t>
      </w:r>
      <w:r w:rsidRPr="00067F9C">
        <w:t>ном порядке или не доводя его до конца с использованием всех имеющихся проц</w:t>
      </w:r>
      <w:r w:rsidRPr="00067F9C">
        <w:t>е</w:t>
      </w:r>
      <w:r w:rsidRPr="00067F9C">
        <w:t xml:space="preserve">дур обжалования </w:t>
      </w:r>
      <w:r w:rsidR="00844393">
        <w:t>−</w:t>
      </w:r>
      <w:r w:rsidRPr="00067F9C">
        <w:t xml:space="preserve"> как апелляционного, так и кассационного. Из всех перечи</w:t>
      </w:r>
      <w:r w:rsidRPr="00067F9C">
        <w:t>с</w:t>
      </w:r>
      <w:r w:rsidRPr="00067F9C">
        <w:t>ленных органов власти лишь органы прокуратуры по закону имеют право во</w:t>
      </w:r>
      <w:r w:rsidRPr="00067F9C">
        <w:t>з</w:t>
      </w:r>
      <w:r w:rsidRPr="00067F9C">
        <w:t>буждать предварительное расследование и передавать дело следственному с</w:t>
      </w:r>
      <w:r w:rsidRPr="00067F9C">
        <w:t>у</w:t>
      </w:r>
      <w:r w:rsidRPr="00067F9C">
        <w:t>дье. В алжирской системе правосудия прокурор Республики принимает жал</w:t>
      </w:r>
      <w:r w:rsidRPr="00067F9C">
        <w:t>о</w:t>
      </w:r>
      <w:r w:rsidRPr="00067F9C">
        <w:t>бы и при необходимости возбуждает уголовное преследование. В то же время для защиты прав потерпевшего или его правопреемников в Уголовно-процессуальном кодексе пред</w:t>
      </w:r>
      <w:r w:rsidRPr="00067F9C">
        <w:t>у</w:t>
      </w:r>
      <w:r w:rsidRPr="00067F9C">
        <w:t>смотрено, что последние могут воспользоваться процедурой обжалования с</w:t>
      </w:r>
      <w:r w:rsidR="00381965" w:rsidRPr="00381965">
        <w:t xml:space="preserve"> </w:t>
      </w:r>
      <w:r w:rsidRPr="00067F9C">
        <w:t>подачей гражданского иска непосредственно сле</w:t>
      </w:r>
      <w:r w:rsidRPr="00067F9C">
        <w:t>д</w:t>
      </w:r>
      <w:r w:rsidRPr="00067F9C">
        <w:t>ственному судье. В этом случае именно потерпевший, а не прокурор, направл</w:t>
      </w:r>
      <w:r w:rsidRPr="00067F9C">
        <w:t>я</w:t>
      </w:r>
      <w:r w:rsidRPr="00067F9C">
        <w:t>ет следственному судье заявление с просьбой возбудить уголовное дело. Такое средство правовой защиты, предусмотренное в статьях 72 и 73 Уголовно-процессуального кодекса, не было использовано, хотя это позволило бы возб</w:t>
      </w:r>
      <w:r w:rsidRPr="00067F9C">
        <w:t>у</w:t>
      </w:r>
      <w:r w:rsidRPr="00067F9C">
        <w:t>дить уголовное дело и обязать следственного судью провести расследование, даже если бы про</w:t>
      </w:r>
      <w:r w:rsidR="00170196">
        <w:t>куратура приняла иное решение.</w:t>
      </w:r>
    </w:p>
    <w:p w:rsidR="009B6A38" w:rsidRPr="00067F9C" w:rsidRDefault="009B6A38" w:rsidP="000474FF">
      <w:pPr>
        <w:pStyle w:val="SingleTxtGR"/>
      </w:pPr>
      <w:r w:rsidRPr="00067F9C">
        <w:t>4.5</w:t>
      </w:r>
      <w:r w:rsidRPr="00067F9C">
        <w:tab/>
        <w:t>Кроме того, государство-участник отмечает, что, по мнению автора, после принятия в результате референдума Хартии за мир и национальное пр</w:t>
      </w:r>
      <w:r w:rsidRPr="00067F9C">
        <w:t>и</w:t>
      </w:r>
      <w:r w:rsidRPr="00067F9C">
        <w:t>мирение и предписаний по ее применению, в частности статьи 45 Постановл</w:t>
      </w:r>
      <w:r w:rsidRPr="00067F9C">
        <w:t>е</w:t>
      </w:r>
      <w:r w:rsidR="000474FF">
        <w:t>ния</w:t>
      </w:r>
      <w:r w:rsidR="00616BAC">
        <w:rPr>
          <w:lang w:val="en-US"/>
        </w:rPr>
        <w:t> </w:t>
      </w:r>
      <w:r w:rsidR="000474FF">
        <w:t>№</w:t>
      </w:r>
      <w:r w:rsidR="00616BAC">
        <w:rPr>
          <w:lang w:val="en-US"/>
        </w:rPr>
        <w:t> </w:t>
      </w:r>
      <w:r w:rsidR="000474FF">
        <w:t>06</w:t>
      </w:r>
      <w:r w:rsidR="00381965">
        <w:t>−</w:t>
      </w:r>
      <w:r w:rsidRPr="00067F9C">
        <w:t>01, уже нельзя считать, что в Алжире имеются эффективные вну</w:t>
      </w:r>
      <w:r w:rsidRPr="00067F9C">
        <w:t>т</w:t>
      </w:r>
      <w:r w:rsidRPr="00067F9C">
        <w:t>ренние средства правовой защиты для семей жертв исчезновения. На этом о</w:t>
      </w:r>
      <w:r w:rsidRPr="00067F9C">
        <w:t>с</w:t>
      </w:r>
      <w:r w:rsidRPr="00067F9C">
        <w:t>новании автор счел себя</w:t>
      </w:r>
      <w:r w:rsidR="00381965">
        <w:t xml:space="preserve"> </w:t>
      </w:r>
      <w:r w:rsidRPr="00067F9C">
        <w:t>избавленным от обязанности обращаться в компетен</w:t>
      </w:r>
      <w:r w:rsidRPr="00067F9C">
        <w:t>т</w:t>
      </w:r>
      <w:r w:rsidRPr="00067F9C">
        <w:t>ные судебные органы, предрешая их позицию и их оценку в связи с применен</w:t>
      </w:r>
      <w:r w:rsidRPr="00067F9C">
        <w:t>и</w:t>
      </w:r>
      <w:r w:rsidRPr="00067F9C">
        <w:t>ем этого постановления. Однако автор не может ссылаться на этот закон и на документы по его применению для обоснования решения не использовать имеющиеся судебные процедуры. Государство-участник напоминает о практике Комитета, с</w:t>
      </w:r>
      <w:r w:rsidRPr="00067F9C">
        <w:t>о</w:t>
      </w:r>
      <w:r w:rsidRPr="00067F9C">
        <w:t xml:space="preserve">гласно которой </w:t>
      </w:r>
      <w:r w:rsidR="003E6110">
        <w:t>"</w:t>
      </w:r>
      <w:r w:rsidRPr="00067F9C">
        <w:t>уверенность или субъективная презумпция какого-либо лица в отношении бесполезности обращения за юридической помощью не избавляет это лицо от необходимости исчерпания всех внутренних средств пр</w:t>
      </w:r>
      <w:r w:rsidRPr="00067F9C">
        <w:t>а</w:t>
      </w:r>
      <w:r w:rsidRPr="00067F9C">
        <w:t>вовой з</w:t>
      </w:r>
      <w:r w:rsidRPr="00067F9C">
        <w:t>а</w:t>
      </w:r>
      <w:r w:rsidRPr="00067F9C">
        <w:t>щиты</w:t>
      </w:r>
      <w:r w:rsidR="003E6110">
        <w:t>"</w:t>
      </w:r>
      <w:r w:rsidRPr="00921005">
        <w:rPr>
          <w:sz w:val="18"/>
          <w:vertAlign w:val="superscript"/>
          <w:lang w:val="fr-FR"/>
        </w:rPr>
        <w:footnoteReference w:id="4"/>
      </w:r>
      <w:r w:rsidRPr="00067F9C">
        <w:t>.</w:t>
      </w:r>
    </w:p>
    <w:p w:rsidR="009B6A38" w:rsidRPr="00067F9C" w:rsidRDefault="000474FF" w:rsidP="000474FF">
      <w:pPr>
        <w:pStyle w:val="SingleTxtGR"/>
      </w:pPr>
      <w:r>
        <w:t>4.6</w:t>
      </w:r>
      <w:r>
        <w:tab/>
      </w:r>
      <w:r w:rsidR="009B6A38" w:rsidRPr="00067F9C">
        <w:t>Далее государство-участник обращает внимание на характер, основы и содержание Хартии за мир и национальное примирение, а также документов по ее применению. Оно подчеркивает, что в соответствии с принципом неотъе</w:t>
      </w:r>
      <w:r w:rsidR="009B6A38" w:rsidRPr="00067F9C">
        <w:t>м</w:t>
      </w:r>
      <w:r w:rsidR="009B6A38" w:rsidRPr="00067F9C">
        <w:t>лемости мира, ставшим первоосновой межд</w:t>
      </w:r>
      <w:r w:rsidR="009B6A38" w:rsidRPr="00067F9C">
        <w:t>у</w:t>
      </w:r>
      <w:r w:rsidR="009B6A38" w:rsidRPr="00067F9C">
        <w:t>народного права на мир, Комитету нужно было бы следить за поддержан</w:t>
      </w:r>
      <w:r w:rsidR="009B6A38" w:rsidRPr="00067F9C">
        <w:t>и</w:t>
      </w:r>
      <w:r w:rsidR="009B6A38" w:rsidRPr="00067F9C">
        <w:t>ем и укреплением мира и способствовать национальному примирению, чтобы позволить государствам, в которых возни</w:t>
      </w:r>
      <w:r w:rsidR="009B6A38" w:rsidRPr="00067F9C">
        <w:t>к</w:t>
      </w:r>
      <w:r w:rsidR="009B6A38" w:rsidRPr="00067F9C">
        <w:t>ли внутренние кризисы, укреплять свой потенциал. Стремясь к</w:t>
      </w:r>
      <w:r w:rsidR="00381965">
        <w:t xml:space="preserve"> </w:t>
      </w:r>
      <w:r w:rsidR="009B6A38" w:rsidRPr="00067F9C">
        <w:t>достижению национального примирения, государство-участник приняло Хартию, пред</w:t>
      </w:r>
      <w:r w:rsidR="009B6A38" w:rsidRPr="00067F9C">
        <w:t>у</w:t>
      </w:r>
      <w:r w:rsidR="009B6A38" w:rsidRPr="00067F9C">
        <w:t>смотрев в законе о ее применении юридические меры по прекращению уголо</w:t>
      </w:r>
      <w:r w:rsidR="009B6A38" w:rsidRPr="00067F9C">
        <w:t>в</w:t>
      </w:r>
      <w:r w:rsidR="009B6A38" w:rsidRPr="00067F9C">
        <w:t>ных дел и замене или смягчению наказания для всех лиц, которые виновны в совершении террористических актов или на которых распространяются пол</w:t>
      </w:r>
      <w:r w:rsidR="009B6A38" w:rsidRPr="00067F9C">
        <w:t>о</w:t>
      </w:r>
      <w:r w:rsidR="009B6A38" w:rsidRPr="00067F9C">
        <w:t>жения, касающиеся гражданских беспорядков, за исключением лиц, соверши</w:t>
      </w:r>
      <w:r w:rsidR="009B6A38" w:rsidRPr="00067F9C">
        <w:t>в</w:t>
      </w:r>
      <w:r w:rsidR="009B6A38" w:rsidRPr="00067F9C">
        <w:t>ших массовые убийства или изнасилования, устраивавших взрывы в общес</w:t>
      </w:r>
      <w:r w:rsidR="009B6A38" w:rsidRPr="00067F9C">
        <w:t>т</w:t>
      </w:r>
      <w:r w:rsidR="009B6A38" w:rsidRPr="00067F9C">
        <w:t>венных местах или причастных к совершению таких актов. В этом постановл</w:t>
      </w:r>
      <w:r w:rsidR="009B6A38" w:rsidRPr="00067F9C">
        <w:t>е</w:t>
      </w:r>
      <w:r w:rsidR="009B6A38" w:rsidRPr="00067F9C">
        <w:t xml:space="preserve">нии предусмотрена также судебная процедура признания исчезнувшего лица умершим, позволяющая правопреемникам такого лица получить компенсацию в качестве жертв </w:t>
      </w:r>
      <w:r w:rsidR="003E6110">
        <w:t>"</w:t>
      </w:r>
      <w:r w:rsidR="009B6A38" w:rsidRPr="00067F9C">
        <w:t>национальной трагедии</w:t>
      </w:r>
      <w:r w:rsidR="003E6110">
        <w:t>"</w:t>
      </w:r>
      <w:r w:rsidR="009B6A38" w:rsidRPr="00067F9C">
        <w:t>. Кроме того, были предусмотрены с</w:t>
      </w:r>
      <w:r w:rsidR="009B6A38" w:rsidRPr="00067F9C">
        <w:t>о</w:t>
      </w:r>
      <w:r w:rsidR="009B6A38" w:rsidRPr="00067F9C">
        <w:t>циально-экономические меры, в частности меры по оказанию помощи в пр</w:t>
      </w:r>
      <w:r w:rsidR="009B6A38" w:rsidRPr="00067F9C">
        <w:t>о</w:t>
      </w:r>
      <w:r w:rsidR="009B6A38" w:rsidRPr="00067F9C">
        <w:t>фессиональной реинтеграции или по выплате компенсации всем лицам, явля</w:t>
      </w:r>
      <w:r w:rsidR="009B6A38" w:rsidRPr="00067F9C">
        <w:t>ю</w:t>
      </w:r>
      <w:r w:rsidR="009B6A38" w:rsidRPr="00067F9C">
        <w:t xml:space="preserve">щимся жертвами </w:t>
      </w:r>
      <w:r w:rsidR="003E6110">
        <w:t>"</w:t>
      </w:r>
      <w:r w:rsidR="009B6A38" w:rsidRPr="00067F9C">
        <w:t>национальной трагедии</w:t>
      </w:r>
      <w:r w:rsidR="003E6110">
        <w:t>"</w:t>
      </w:r>
      <w:r w:rsidR="009B6A38" w:rsidRPr="00067F9C">
        <w:t>. Наконец, в данном постановлении предусмотрены политические меры, в том числе запрет на политическую де</w:t>
      </w:r>
      <w:r w:rsidR="009B6A38" w:rsidRPr="00067F9C">
        <w:t>я</w:t>
      </w:r>
      <w:r w:rsidR="009B6A38" w:rsidRPr="00067F9C">
        <w:t xml:space="preserve">тельность для любого лица, которое в прошлом способствовало </w:t>
      </w:r>
      <w:r w:rsidR="003E6110">
        <w:t>"</w:t>
      </w:r>
      <w:r w:rsidR="009B6A38" w:rsidRPr="00067F9C">
        <w:t>национальной трагедии</w:t>
      </w:r>
      <w:r w:rsidR="003E6110">
        <w:t>"</w:t>
      </w:r>
      <w:r w:rsidR="009B6A38" w:rsidRPr="00067F9C">
        <w:t>, используя религиозные мотивы, а также объявление недопустимым всякого преследования в индивидуальном или коллективном порядке военн</w:t>
      </w:r>
      <w:r w:rsidR="009B6A38" w:rsidRPr="00067F9C">
        <w:t>о</w:t>
      </w:r>
      <w:r w:rsidR="009B6A38" w:rsidRPr="00067F9C">
        <w:t>служащих и сотрудников органов безопасности Республики всех категорий за действия, совершенные в целях обеспечения безопасности людей и их имущ</w:t>
      </w:r>
      <w:r w:rsidR="009B6A38" w:rsidRPr="00067F9C">
        <w:t>е</w:t>
      </w:r>
      <w:r w:rsidR="009B6A38" w:rsidRPr="00067F9C">
        <w:t>ства, защиты нации и сохранения учреждений Респу</w:t>
      </w:r>
      <w:r w:rsidR="009B6A38" w:rsidRPr="00067F9C">
        <w:t>б</w:t>
      </w:r>
      <w:r w:rsidR="009B6A38" w:rsidRPr="00067F9C">
        <w:t>лики.</w:t>
      </w:r>
    </w:p>
    <w:p w:rsidR="009B6A38" w:rsidRPr="00067F9C" w:rsidRDefault="009B6A38" w:rsidP="000474FF">
      <w:pPr>
        <w:pStyle w:val="SingleTxtGR"/>
      </w:pPr>
      <w:r w:rsidRPr="00067F9C">
        <w:t>4.7</w:t>
      </w:r>
      <w:r w:rsidRPr="00067F9C">
        <w:tab/>
        <w:t xml:space="preserve">Помимо создания компенсационных фондов для всех жертв </w:t>
      </w:r>
      <w:r w:rsidR="003E6110">
        <w:t>"</w:t>
      </w:r>
      <w:r w:rsidRPr="00067F9C">
        <w:t>национал</w:t>
      </w:r>
      <w:r w:rsidRPr="00067F9C">
        <w:t>ь</w:t>
      </w:r>
      <w:r w:rsidRPr="00067F9C">
        <w:t>ной траг</w:t>
      </w:r>
      <w:r w:rsidRPr="00067F9C">
        <w:t>е</w:t>
      </w:r>
      <w:r w:rsidRPr="00067F9C">
        <w:t>дии</w:t>
      </w:r>
      <w:r w:rsidR="003E6110">
        <w:t>"</w:t>
      </w:r>
      <w:r w:rsidRPr="00067F9C">
        <w:t>, суверенный народ Алжира, как сообщает государство-участник, согласился встать на путь национального примирения, которое является еди</w:t>
      </w:r>
      <w:r w:rsidRPr="00067F9C">
        <w:t>н</w:t>
      </w:r>
      <w:r w:rsidRPr="00067F9C">
        <w:t>ственным средством для исцеления его ран. Государство-участник подчеркив</w:t>
      </w:r>
      <w:r w:rsidRPr="00067F9C">
        <w:t>а</w:t>
      </w:r>
      <w:r w:rsidRPr="00067F9C">
        <w:t>ет, что провозглашение Хартии за мир и национальное примирение свидетел</w:t>
      </w:r>
      <w:r w:rsidRPr="00067F9C">
        <w:t>ь</w:t>
      </w:r>
      <w:r w:rsidRPr="00067F9C">
        <w:t>ствует о стремлении избежать судебных споров, разоблачений со ст</w:t>
      </w:r>
      <w:r w:rsidRPr="00067F9C">
        <w:t>о</w:t>
      </w:r>
      <w:r w:rsidRPr="00067F9C">
        <w:t>роны средств массовой информации и сведения политических счетов. В связи с этим государство-участник считает, что факты, упомянутые автором, охвачены гл</w:t>
      </w:r>
      <w:r w:rsidRPr="00067F9C">
        <w:t>о</w:t>
      </w:r>
      <w:r w:rsidRPr="00067F9C">
        <w:t>бальным внутренним механизмом урегулирования, предусмотренным в Ха</w:t>
      </w:r>
      <w:r w:rsidRPr="00067F9C">
        <w:t>р</w:t>
      </w:r>
      <w:r w:rsidRPr="00067F9C">
        <w:t>тии.</w:t>
      </w:r>
    </w:p>
    <w:p w:rsidR="009B6A38" w:rsidRPr="00067F9C" w:rsidRDefault="009B6A38" w:rsidP="000474FF">
      <w:pPr>
        <w:pStyle w:val="SingleTxtGR"/>
      </w:pPr>
      <w:r w:rsidRPr="00067F9C">
        <w:t>4.8</w:t>
      </w:r>
      <w:r w:rsidRPr="00067F9C">
        <w:tab/>
        <w:t>Государство-участник просит Комитет констатировать сходство фактов и ситуаций, описанных автором, принять во внимание социально-политическое положение и уровень безопасности того периода, когда они имели место, сд</w:t>
      </w:r>
      <w:r w:rsidRPr="00067F9C">
        <w:t>е</w:t>
      </w:r>
      <w:r w:rsidRPr="00067F9C">
        <w:t>лать вывод о том, что автор не исчерпал все внутренние средства правовой з</w:t>
      </w:r>
      <w:r w:rsidRPr="00067F9C">
        <w:t>а</w:t>
      </w:r>
      <w:r w:rsidRPr="00067F9C">
        <w:t>щиты, признать, что власти государства-участника разработали внутренний м</w:t>
      </w:r>
      <w:r w:rsidRPr="00067F9C">
        <w:t>е</w:t>
      </w:r>
      <w:r w:rsidRPr="00067F9C">
        <w:t>ханизм для рассмотрения и глобального урегулирования случаев, о которых г</w:t>
      </w:r>
      <w:r w:rsidRPr="00067F9C">
        <w:t>о</w:t>
      </w:r>
      <w:r w:rsidRPr="00067F9C">
        <w:t>ворится в сообщениях, в соответствии с</w:t>
      </w:r>
      <w:r w:rsidR="00381965">
        <w:t xml:space="preserve"> </w:t>
      </w:r>
      <w:r w:rsidRPr="00067F9C">
        <w:t>положениями о мире и национальном примирении, которые согласуются с принципами Устава Организации Объед</w:t>
      </w:r>
      <w:r w:rsidRPr="00067F9C">
        <w:t>и</w:t>
      </w:r>
      <w:r w:rsidRPr="00067F9C">
        <w:t>ненных Наций, а также соответствующих пактов и</w:t>
      </w:r>
      <w:r w:rsidR="00381965" w:rsidRPr="00381965">
        <w:t xml:space="preserve"> </w:t>
      </w:r>
      <w:r w:rsidRPr="00067F9C">
        <w:t>конвенций; объявить соо</w:t>
      </w:r>
      <w:r w:rsidRPr="00067F9C">
        <w:t>б</w:t>
      </w:r>
      <w:r w:rsidRPr="00067F9C">
        <w:t>щение неприемлемым и</w:t>
      </w:r>
      <w:r w:rsidR="00381965" w:rsidRPr="00381965">
        <w:t xml:space="preserve"> </w:t>
      </w:r>
      <w:r w:rsidRPr="00067F9C">
        <w:t>предложить автору убедительнее обосновать свою ж</w:t>
      </w:r>
      <w:r w:rsidRPr="00067F9C">
        <w:t>а</w:t>
      </w:r>
      <w:r w:rsidR="00DB1976">
        <w:t>лобу.</w:t>
      </w:r>
    </w:p>
    <w:p w:rsidR="009B6A38" w:rsidRPr="00067F9C" w:rsidRDefault="00DB1976" w:rsidP="00DB1976">
      <w:pPr>
        <w:pStyle w:val="H23GR"/>
      </w:pPr>
      <w:r>
        <w:tab/>
      </w:r>
      <w:r>
        <w:tab/>
      </w:r>
      <w:r w:rsidR="009B6A38" w:rsidRPr="00067F9C">
        <w:t>Дополнительные замечания государства-участника относительно приемлемости сообщения</w:t>
      </w:r>
    </w:p>
    <w:p w:rsidR="009B6A38" w:rsidRPr="00067F9C" w:rsidRDefault="009B6A38" w:rsidP="00DB1976">
      <w:pPr>
        <w:pStyle w:val="SingleTxtGR"/>
      </w:pPr>
      <w:r w:rsidRPr="00067F9C">
        <w:t>5.1</w:t>
      </w:r>
      <w:r w:rsidRPr="00067F9C">
        <w:tab/>
        <w:t>9 октября 2009 года государство-участник направило в Комитет дополн</w:t>
      </w:r>
      <w:r w:rsidRPr="00067F9C">
        <w:t>и</w:t>
      </w:r>
      <w:r w:rsidRPr="00067F9C">
        <w:t>тельный меморандум, в котором оно поинтересовалось, не является ли пре</w:t>
      </w:r>
      <w:r w:rsidRPr="00067F9C">
        <w:t>д</w:t>
      </w:r>
      <w:r w:rsidRPr="00067F9C">
        <w:t>ставление в Комитет ряда индивидуальных сообщений злоупотреблением обычной процедурой в целях представления на рассмотрение Комитета гл</w:t>
      </w:r>
      <w:r w:rsidRPr="00067F9C">
        <w:t>о</w:t>
      </w:r>
      <w:r w:rsidRPr="00067F9C">
        <w:t>бального исторического вопроса, причины возникновения и обстоятельства к</w:t>
      </w:r>
      <w:r w:rsidRPr="00067F9C">
        <w:t>о</w:t>
      </w:r>
      <w:r w:rsidRPr="00067F9C">
        <w:t xml:space="preserve">торого Комитету неизвестны. Государство-участник в этой связи отмечает, что </w:t>
      </w:r>
      <w:r w:rsidR="003E6110">
        <w:t>"</w:t>
      </w:r>
      <w:r w:rsidRPr="00067F9C">
        <w:t>индивидуальные</w:t>
      </w:r>
      <w:r w:rsidR="003E6110">
        <w:t>"</w:t>
      </w:r>
      <w:r w:rsidRPr="00067F9C">
        <w:t xml:space="preserve"> сообщения ограничиваются общим контекстом, в котором имели место случаи исчезновений, причем основной акцент в них делается и</w:t>
      </w:r>
      <w:r w:rsidRPr="00067F9C">
        <w:t>с</w:t>
      </w:r>
      <w:r w:rsidRPr="00067F9C">
        <w:t>ключительно на действия правоохранительных органов и никогда не приводи</w:t>
      </w:r>
      <w:r w:rsidRPr="00067F9C">
        <w:t>т</w:t>
      </w:r>
      <w:r w:rsidRPr="00067F9C">
        <w:t>ся информация о действиях различных вооруженных группировок, использу</w:t>
      </w:r>
      <w:r w:rsidRPr="00067F9C">
        <w:t>ю</w:t>
      </w:r>
      <w:r w:rsidRPr="00067F9C">
        <w:t>щих преступные методы фальсификации, чтобы переложить ответственность на воор</w:t>
      </w:r>
      <w:r w:rsidRPr="00067F9C">
        <w:t>у</w:t>
      </w:r>
      <w:r w:rsidRPr="00067F9C">
        <w:t>женные силы.</w:t>
      </w:r>
    </w:p>
    <w:p w:rsidR="009B6A38" w:rsidRPr="00067F9C" w:rsidRDefault="009B6A38" w:rsidP="00DB1976">
      <w:pPr>
        <w:pStyle w:val="SingleTxtGR"/>
      </w:pPr>
      <w:r w:rsidRPr="00067F9C">
        <w:t>5.2</w:t>
      </w:r>
      <w:r w:rsidRPr="00067F9C">
        <w:tab/>
        <w:t>Государство-участник подчеркивает, что оно не намерено высказ</w:t>
      </w:r>
      <w:r w:rsidRPr="00067F9C">
        <w:t>ы</w:t>
      </w:r>
      <w:r w:rsidRPr="00067F9C">
        <w:t>ваться по вопросам существа вышеупомянутых сообщений до тех пор, пока не будет решен вопрос об их приемлемости, и утверждает, что любой судебный или кв</w:t>
      </w:r>
      <w:r w:rsidRPr="00067F9C">
        <w:t>а</w:t>
      </w:r>
      <w:r w:rsidRPr="00067F9C">
        <w:t>зисудебный орган обязан сначала рассмотреть преюдициальные вопр</w:t>
      </w:r>
      <w:r w:rsidRPr="00067F9C">
        <w:t>о</w:t>
      </w:r>
      <w:r w:rsidRPr="00067F9C">
        <w:t>сы и только потом приступать к рассмотрению вопросов существа. По мнению гос</w:t>
      </w:r>
      <w:r w:rsidRPr="00067F9C">
        <w:t>у</w:t>
      </w:r>
      <w:r w:rsidRPr="00067F9C">
        <w:t>дарства-участника, решение о совместном и одновременном рассмотрении в</w:t>
      </w:r>
      <w:r w:rsidRPr="00067F9C">
        <w:t>о</w:t>
      </w:r>
      <w:r w:rsidRPr="00067F9C">
        <w:t>проса о приемлемости сообщения и вопроса существа в данном деле, которое к тому же не было согласовано, нанесет вред рассмотрению представленных с</w:t>
      </w:r>
      <w:r w:rsidRPr="00067F9C">
        <w:t>о</w:t>
      </w:r>
      <w:r w:rsidRPr="00067F9C">
        <w:t>общений как с учетом их глобального характера, так и с точки зрения прис</w:t>
      </w:r>
      <w:r w:rsidRPr="00067F9C">
        <w:t>у</w:t>
      </w:r>
      <w:r w:rsidRPr="00067F9C">
        <w:t>щих им особенностей. Сославшись на правила процедуры Комитета, государс</w:t>
      </w:r>
      <w:r w:rsidRPr="00067F9C">
        <w:t>т</w:t>
      </w:r>
      <w:r w:rsidRPr="00067F9C">
        <w:t>во-участник отмечает, что правила рассмотрения Комитетом вопроса о приемл</w:t>
      </w:r>
      <w:r w:rsidRPr="00067F9C">
        <w:t>е</w:t>
      </w:r>
      <w:r w:rsidRPr="00067F9C">
        <w:t>мости сообщения и вопросов существа дела и</w:t>
      </w:r>
      <w:r w:rsidR="00616BAC">
        <w:t>зложены в отдельных разделах, и</w:t>
      </w:r>
      <w:r w:rsidR="00616BAC">
        <w:rPr>
          <w:lang w:val="en-US"/>
        </w:rPr>
        <w:t> </w:t>
      </w:r>
      <w:r w:rsidRPr="00067F9C">
        <w:t>поэтому эти вопросы можно было бы рассмотреть отдельно. В отношении и</w:t>
      </w:r>
      <w:r w:rsidRPr="00067F9C">
        <w:t>с</w:t>
      </w:r>
      <w:r w:rsidRPr="00067F9C">
        <w:t>черпания внутренних средств правовой защиты государство-участник подче</w:t>
      </w:r>
      <w:r w:rsidRPr="00067F9C">
        <w:t>р</w:t>
      </w:r>
      <w:r w:rsidRPr="00067F9C">
        <w:t>кивает, что ни одна жалоба или просьба автора о предоставлении информации не была направлена в порядке, который позволил бы обеспечить их рассмотр</w:t>
      </w:r>
      <w:r w:rsidRPr="00067F9C">
        <w:t>е</w:t>
      </w:r>
      <w:r w:rsidRPr="00067F9C">
        <w:t xml:space="preserve">ние судебными органами страны. </w:t>
      </w:r>
    </w:p>
    <w:p w:rsidR="009B6A38" w:rsidRPr="00067F9C" w:rsidRDefault="009B6A38" w:rsidP="00DB1976">
      <w:pPr>
        <w:pStyle w:val="SingleTxtGR"/>
      </w:pPr>
      <w:r w:rsidRPr="00067F9C">
        <w:t>5.3</w:t>
      </w:r>
      <w:r w:rsidRPr="00067F9C">
        <w:tab/>
        <w:t>Ссылаясь на предыдущие решения Комитета, касающиеся обязанности по исчерпанию внутренних средств правовой защиты, государство-участник подчеркивает, что простые сомнения в отношении возможности достижения успеха, а также опасения по поводу затягивания разбирательства не</w:t>
      </w:r>
      <w:r w:rsidR="00381965" w:rsidRPr="00381965">
        <w:t xml:space="preserve"> </w:t>
      </w:r>
      <w:r w:rsidRPr="00067F9C">
        <w:t>являются основанием для освобождения автора от обязанности в отношении исчерпания этих средств. По поводу утверждения о невозможности использования любых средств правовой защиты по данному делу вследствие обнародования Хартии государство-участник заявляет, что отсутствие каких-либо дейс</w:t>
      </w:r>
      <w:r w:rsidRPr="00067F9C">
        <w:t>т</w:t>
      </w:r>
      <w:r w:rsidRPr="00067F9C">
        <w:t>вий со стороны автора по представлению своих жалоб на рассмотрение не позволило алжи</w:t>
      </w:r>
      <w:r w:rsidRPr="00067F9C">
        <w:t>р</w:t>
      </w:r>
      <w:r w:rsidRPr="00067F9C">
        <w:t>ским властям сформировать мнение относ</w:t>
      </w:r>
      <w:r w:rsidRPr="00067F9C">
        <w:t>и</w:t>
      </w:r>
      <w:r w:rsidRPr="00067F9C">
        <w:t>тельно сферы охвата и пределов применимости положений этой Хартии. Кроме того, согласно уп</w:t>
      </w:r>
      <w:r w:rsidRPr="00067F9C">
        <w:t>о</w:t>
      </w:r>
      <w:r w:rsidRPr="00067F9C">
        <w:t>минавшемуся постановлению, неприемлемыми надлежит признавать только те жалобы, кот</w:t>
      </w:r>
      <w:r w:rsidRPr="00067F9C">
        <w:t>о</w:t>
      </w:r>
      <w:r w:rsidRPr="00067F9C">
        <w:t xml:space="preserve">рые были поданы в отношении </w:t>
      </w:r>
      <w:r w:rsidR="003E6110">
        <w:t>"</w:t>
      </w:r>
      <w:r w:rsidRPr="00067F9C">
        <w:t>подразделений сил обороны и служб безопа</w:t>
      </w:r>
      <w:r w:rsidRPr="00067F9C">
        <w:t>с</w:t>
      </w:r>
      <w:r w:rsidRPr="00067F9C">
        <w:t>ности Республики</w:t>
      </w:r>
      <w:r w:rsidR="003E6110">
        <w:t>"</w:t>
      </w:r>
      <w:r w:rsidRPr="00067F9C">
        <w:t xml:space="preserve"> в связи с действиями, совершенными ими в соответствии с поставленными перед ними основными задачами по защите Республики, в ч</w:t>
      </w:r>
      <w:r w:rsidRPr="00067F9C">
        <w:t>а</w:t>
      </w:r>
      <w:r w:rsidRPr="00067F9C">
        <w:t>стности действиями по обеспечению безопасности населения и сохранности имущества, защите государства и охране его институтов. Вместе с тем все по</w:t>
      </w:r>
      <w:r w:rsidRPr="00067F9C">
        <w:t>д</w:t>
      </w:r>
      <w:r w:rsidRPr="00067F9C">
        <w:t>твержденные док</w:t>
      </w:r>
      <w:r w:rsidRPr="00067F9C">
        <w:t>а</w:t>
      </w:r>
      <w:r w:rsidRPr="00067F9C">
        <w:t>зательствами жалобы на превышение силами обороны и службами безопасности своих полномочий могут быть переданы для расслед</w:t>
      </w:r>
      <w:r w:rsidRPr="00067F9C">
        <w:t>о</w:t>
      </w:r>
      <w:r w:rsidRPr="00067F9C">
        <w:t>вания в компетентные суде</w:t>
      </w:r>
      <w:r w:rsidRPr="00067F9C">
        <w:t>б</w:t>
      </w:r>
      <w:r w:rsidRPr="00067F9C">
        <w:t xml:space="preserve">ные инстанции. </w:t>
      </w:r>
    </w:p>
    <w:p w:rsidR="009B6A38" w:rsidRPr="00067F9C" w:rsidRDefault="009B6A38" w:rsidP="00DB1976">
      <w:pPr>
        <w:pStyle w:val="SingleTxtGR"/>
      </w:pPr>
      <w:r w:rsidRPr="00067F9C">
        <w:t>5.4</w:t>
      </w:r>
      <w:r w:rsidRPr="00067F9C">
        <w:tab/>
        <w:t>В вербальной ноте от 6 октября 2010 года государство-участник вновь подробно излагает свои замечания по поводу приемлемости сообщения, кот</w:t>
      </w:r>
      <w:r w:rsidRPr="00067F9C">
        <w:t>о</w:t>
      </w:r>
      <w:r w:rsidRPr="00067F9C">
        <w:t>рые уже были представлены Ком</w:t>
      </w:r>
      <w:r w:rsidRPr="00067F9C">
        <w:t>и</w:t>
      </w:r>
      <w:r w:rsidRPr="00067F9C">
        <w:t>тету ранее.</w:t>
      </w:r>
    </w:p>
    <w:p w:rsidR="009B6A38" w:rsidRPr="00067F9C" w:rsidRDefault="00DB1976" w:rsidP="00DB1976">
      <w:pPr>
        <w:pStyle w:val="H23GR"/>
      </w:pPr>
      <w:r>
        <w:tab/>
      </w:r>
      <w:r>
        <w:tab/>
      </w:r>
      <w:r w:rsidR="009B6A38" w:rsidRPr="00067F9C">
        <w:t>Комментарии автора сообщения по замечаниям государства-участника</w:t>
      </w:r>
    </w:p>
    <w:p w:rsidR="009B6A38" w:rsidRPr="00067F9C" w:rsidRDefault="009B6A38" w:rsidP="00DB1976">
      <w:pPr>
        <w:pStyle w:val="SingleTxtGR"/>
      </w:pPr>
      <w:r w:rsidRPr="00067F9C">
        <w:t>6.1</w:t>
      </w:r>
      <w:r w:rsidRPr="00067F9C">
        <w:tab/>
        <w:t>24 апреля 2013 года автор представил свои комментарии по замечаниям государства-участника относительно приемлемости сообщения и изложил д</w:t>
      </w:r>
      <w:r w:rsidRPr="00067F9C">
        <w:t>о</w:t>
      </w:r>
      <w:r w:rsidRPr="00067F9C">
        <w:t>полнительные аргументы по существу дела. Автор подчеркивает, что государс</w:t>
      </w:r>
      <w:r w:rsidRPr="00067F9C">
        <w:t>т</w:t>
      </w:r>
      <w:r w:rsidRPr="00067F9C">
        <w:t>во-участник признало компетенцию Комитета рассматривать сообщения от о</w:t>
      </w:r>
      <w:r w:rsidRPr="00067F9C">
        <w:t>т</w:t>
      </w:r>
      <w:r w:rsidRPr="00067F9C">
        <w:t>дельных лиц. Эта компетенция носит общий характер, и ее осуществление К</w:t>
      </w:r>
      <w:r w:rsidRPr="00067F9C">
        <w:t>о</w:t>
      </w:r>
      <w:r w:rsidRPr="00067F9C">
        <w:t>митетом не подлежит ограничению со стороны государства-участника. В час</w:t>
      </w:r>
      <w:r w:rsidRPr="00067F9C">
        <w:t>т</w:t>
      </w:r>
      <w:r w:rsidRPr="00067F9C">
        <w:t>ности, государство-участник не вправе судить о целесообразности рассмотр</w:t>
      </w:r>
      <w:r w:rsidRPr="00067F9C">
        <w:t>е</w:t>
      </w:r>
      <w:r w:rsidRPr="00067F9C">
        <w:t>ния Комитетом какой-либо конкретной ситуации. Такой анализ является прер</w:t>
      </w:r>
      <w:r w:rsidRPr="00067F9C">
        <w:t>о</w:t>
      </w:r>
      <w:r w:rsidRPr="00067F9C">
        <w:t>гативой Комитета и проводится тогда, когда Комитет приступает к рассмотр</w:t>
      </w:r>
      <w:r w:rsidRPr="00067F9C">
        <w:t>е</w:t>
      </w:r>
      <w:r w:rsidRPr="00067F9C">
        <w:t xml:space="preserve">нию сообщения. Автор полагает, что факт принятия государством-участником внутренних мер законодательного и административного характера для взятия на себя расходов, связанных с жертвами </w:t>
      </w:r>
      <w:r w:rsidR="003E6110">
        <w:t>"</w:t>
      </w:r>
      <w:r w:rsidRPr="00067F9C">
        <w:t>национальной трагедии</w:t>
      </w:r>
      <w:r w:rsidR="003E6110">
        <w:t>"</w:t>
      </w:r>
      <w:r w:rsidRPr="00067F9C">
        <w:t>, не может пр</w:t>
      </w:r>
      <w:r w:rsidRPr="00067F9C">
        <w:t>и</w:t>
      </w:r>
      <w:r w:rsidRPr="00067F9C">
        <w:t>водиться на стадии решения вопроса о приемлемости сообщения в качестве о</w:t>
      </w:r>
      <w:r w:rsidRPr="00067F9C">
        <w:t>с</w:t>
      </w:r>
      <w:r w:rsidRPr="00067F9C">
        <w:t>нования для лишения отдельных лиц, находящихся под его юрисдикцией, права использовать механизм, предусмотренный в Факультативном протоколе. Теор</w:t>
      </w:r>
      <w:r w:rsidRPr="00067F9C">
        <w:t>е</w:t>
      </w:r>
      <w:r w:rsidRPr="00067F9C">
        <w:t>тически такие меры действительно могут повлиять на урегулирование тяжбы, однако их необходимо анализировать во врем</w:t>
      </w:r>
      <w:r w:rsidR="00381965">
        <w:t>я рассмотрения существа дела, а</w:t>
      </w:r>
      <w:r w:rsidR="00616BAC">
        <w:rPr>
          <w:lang w:val="en-US"/>
        </w:rPr>
        <w:t> </w:t>
      </w:r>
      <w:r w:rsidRPr="00067F9C">
        <w:t>не вопроса о приемлемости сообщения. В данном случае принятые меры з</w:t>
      </w:r>
      <w:r w:rsidRPr="00067F9C">
        <w:t>а</w:t>
      </w:r>
      <w:r w:rsidRPr="00067F9C">
        <w:t>конодательного характера представляют собой нарушение прав, предусмотре</w:t>
      </w:r>
      <w:r w:rsidRPr="00067F9C">
        <w:t>н</w:t>
      </w:r>
      <w:r w:rsidRPr="00067F9C">
        <w:t>ных в Пакте, что уже было отмечено К</w:t>
      </w:r>
      <w:r w:rsidRPr="00067F9C">
        <w:t>о</w:t>
      </w:r>
      <w:r w:rsidRPr="00067F9C">
        <w:t>митетом</w:t>
      </w:r>
      <w:r w:rsidRPr="00921005">
        <w:rPr>
          <w:sz w:val="18"/>
          <w:vertAlign w:val="superscript"/>
          <w:lang w:val="fr-CH"/>
        </w:rPr>
        <w:footnoteReference w:id="5"/>
      </w:r>
      <w:r w:rsidRPr="00067F9C">
        <w:t>.</w:t>
      </w:r>
    </w:p>
    <w:p w:rsidR="009B6A38" w:rsidRPr="00067F9C" w:rsidRDefault="00DB1976" w:rsidP="00DB1976">
      <w:pPr>
        <w:pStyle w:val="SingleTxtGR"/>
      </w:pPr>
      <w:r>
        <w:t>6.2</w:t>
      </w:r>
      <w:r>
        <w:tab/>
      </w:r>
      <w:r w:rsidR="009B6A38" w:rsidRPr="00067F9C">
        <w:t>Автор напоминает, что объявление в Алжире 9</w:t>
      </w:r>
      <w:r w:rsidR="00381965">
        <w:t xml:space="preserve"> </w:t>
      </w:r>
      <w:r w:rsidR="009B6A38" w:rsidRPr="00067F9C">
        <w:t>февраля 1992 года чре</w:t>
      </w:r>
      <w:r w:rsidR="009B6A38" w:rsidRPr="00067F9C">
        <w:t>з</w:t>
      </w:r>
      <w:r w:rsidR="009B6A38" w:rsidRPr="00067F9C">
        <w:t>вычайного положения никоим образом не затрагивает право граждан напра</w:t>
      </w:r>
      <w:r w:rsidR="009B6A38" w:rsidRPr="00067F9C">
        <w:t>в</w:t>
      </w:r>
      <w:r w:rsidR="009B6A38" w:rsidRPr="00067F9C">
        <w:t>лять сообщения в Комитет. Действительно, статья 4 Пакта предусматривает, что объявление чрезвычайного положения может служить основанием для отсту</w:t>
      </w:r>
      <w:r w:rsidR="009B6A38" w:rsidRPr="00067F9C">
        <w:t>п</w:t>
      </w:r>
      <w:r w:rsidR="009B6A38" w:rsidRPr="00067F9C">
        <w:t>ления только от отдельных положений самого Пакта и не затрагивает осущес</w:t>
      </w:r>
      <w:r w:rsidR="009B6A38" w:rsidRPr="00067F9C">
        <w:t>т</w:t>
      </w:r>
      <w:r w:rsidR="009B6A38" w:rsidRPr="00067F9C">
        <w:t>вление прав, закрепленных в Факультативном протоколе к нему. В связи с этим автор считает, что соображения государства-участника в отношении уместности сообщения не являются веским основанием для признания сообщения непр</w:t>
      </w:r>
      <w:r w:rsidR="009B6A38" w:rsidRPr="00067F9C">
        <w:t>и</w:t>
      </w:r>
      <w:r w:rsidR="009B6A38" w:rsidRPr="00067F9C">
        <w:t>емлемым.</w:t>
      </w:r>
    </w:p>
    <w:p w:rsidR="009B6A38" w:rsidRPr="00067F9C" w:rsidRDefault="009B6A38" w:rsidP="00DB1976">
      <w:pPr>
        <w:pStyle w:val="SingleTxtGR"/>
      </w:pPr>
      <w:r w:rsidRPr="00067F9C">
        <w:t>6.3</w:t>
      </w:r>
      <w:r w:rsidRPr="00067F9C">
        <w:tab/>
        <w:t>С другой стороны, автор возвращается к утверждению государства-участника о том, что в соответствии с требованием, касающимся исчерпания внутренних средств правовой защиты, автор обязан ходатайствовать о возбу</w:t>
      </w:r>
      <w:r w:rsidRPr="00067F9C">
        <w:t>ж</w:t>
      </w:r>
      <w:r w:rsidRPr="00067F9C">
        <w:t>дении уголовного дела путем подачи следственному судье жалобы с одновр</w:t>
      </w:r>
      <w:r w:rsidRPr="00067F9C">
        <w:t>е</w:t>
      </w:r>
      <w:r w:rsidRPr="00067F9C">
        <w:t>менным предъявлением гражданского иска согласно статье 72 и последующим статьям Уголовно-процессуального кодекса. Автор ссылается на решение по индивидуальному с</w:t>
      </w:r>
      <w:r w:rsidRPr="00067F9C">
        <w:t>о</w:t>
      </w:r>
      <w:r w:rsidRPr="00067F9C">
        <w:t xml:space="preserve">общению, касающемуся государства-участника, в котором Комитет заявил, что </w:t>
      </w:r>
      <w:r w:rsidR="003E6110">
        <w:t>"</w:t>
      </w:r>
      <w:r w:rsidRPr="00067F9C">
        <w:t>государство-участник обязано не только провести тщ</w:t>
      </w:r>
      <w:r w:rsidRPr="00067F9C">
        <w:t>а</w:t>
      </w:r>
      <w:r w:rsidRPr="00067F9C">
        <w:t>тельное расследование предполагаемых нарушений прав человека, особенно в случае насильственных исчезновений или нарушений права на жизнь, но и во</w:t>
      </w:r>
      <w:r w:rsidRPr="00067F9C">
        <w:t>з</w:t>
      </w:r>
      <w:r w:rsidRPr="00067F9C">
        <w:t>будить уголовное дело против любого лица, которое считается виновным в с</w:t>
      </w:r>
      <w:r w:rsidRPr="00067F9C">
        <w:t>о</w:t>
      </w:r>
      <w:r w:rsidRPr="00067F9C">
        <w:t>вершении этих нарушений, предать его суду и подвергнуть наказанию. Подача гражданского иска в случае таких серьезных правонарушений, о которых зая</w:t>
      </w:r>
      <w:r w:rsidRPr="00067F9C">
        <w:t>в</w:t>
      </w:r>
      <w:r w:rsidRPr="00067F9C">
        <w:t>лено в настоящем деле, не может заменить преслед</w:t>
      </w:r>
      <w:r w:rsidRPr="00067F9C">
        <w:t>о</w:t>
      </w:r>
      <w:r w:rsidRPr="00067F9C">
        <w:t>вание, которое должно быть возбуждено самим прокурором Республики</w:t>
      </w:r>
      <w:r w:rsidR="003E6110">
        <w:t>"</w:t>
      </w:r>
      <w:r w:rsidRPr="00921005">
        <w:rPr>
          <w:sz w:val="18"/>
          <w:vertAlign w:val="superscript"/>
          <w:lang w:val="fr-CH"/>
        </w:rPr>
        <w:footnoteReference w:id="6"/>
      </w:r>
      <w:r w:rsidRPr="00067F9C">
        <w:t>.</w:t>
      </w:r>
      <w:r w:rsidRPr="00067F9C">
        <w:rPr>
          <w:i/>
        </w:rPr>
        <w:t xml:space="preserve"> </w:t>
      </w:r>
      <w:r w:rsidRPr="00067F9C">
        <w:t>П</w:t>
      </w:r>
      <w:r w:rsidRPr="00067F9C">
        <w:t>о</w:t>
      </w:r>
      <w:r w:rsidRPr="00067F9C">
        <w:t>этому автор считает, что, учитывая</w:t>
      </w:r>
      <w:r w:rsidR="00381965">
        <w:t xml:space="preserve"> серьезность указанных деяний, </w:t>
      </w:r>
      <w:r w:rsidRPr="00067F9C">
        <w:t>компетентным органам сл</w:t>
      </w:r>
      <w:r w:rsidRPr="00067F9C">
        <w:t>е</w:t>
      </w:r>
      <w:r w:rsidRPr="00067F9C">
        <w:t>довало рассмотреть данное дело. Однако это не было сделано, хотя члены семьи Джиллали Ларби после его ареста 25 мая 1994 года безуспешно пытались д</w:t>
      </w:r>
      <w:r w:rsidRPr="00067F9C">
        <w:t>о</w:t>
      </w:r>
      <w:r w:rsidRPr="00067F9C">
        <w:t>биться получения информации о его судьбе.</w:t>
      </w:r>
    </w:p>
    <w:p w:rsidR="009B6A38" w:rsidRPr="00067F9C" w:rsidRDefault="009B6A38" w:rsidP="00DB1976">
      <w:pPr>
        <w:pStyle w:val="SingleTxtGR"/>
      </w:pPr>
      <w:r w:rsidRPr="00067F9C">
        <w:t>6.4</w:t>
      </w:r>
      <w:r w:rsidRPr="00067F9C">
        <w:tab/>
        <w:t>Близкие Джиллали Ларби охватили своими поисками все бригады жа</w:t>
      </w:r>
      <w:r w:rsidRPr="00067F9C">
        <w:t>н</w:t>
      </w:r>
      <w:r w:rsidRPr="00067F9C">
        <w:t>дармерии, казармы и военные тюрьмы региона. Они вручили письменную ж</w:t>
      </w:r>
      <w:r w:rsidRPr="00067F9C">
        <w:t>а</w:t>
      </w:r>
      <w:r w:rsidRPr="00067F9C">
        <w:t>лобу прокурору Республики в суде Тиарета, который посещали несколько раз. Они обращались в алжирскую лигу защиты прав человека, в местную се</w:t>
      </w:r>
      <w:r w:rsidRPr="00067F9C">
        <w:t>к</w:t>
      </w:r>
      <w:r w:rsidRPr="00067F9C">
        <w:t xml:space="preserve">цию и секретариат организации </w:t>
      </w:r>
      <w:r w:rsidR="003E6110">
        <w:t>"</w:t>
      </w:r>
      <w:r w:rsidRPr="00067F9C">
        <w:t>Международная амнистия</w:t>
      </w:r>
      <w:r w:rsidR="003E6110">
        <w:t>"</w:t>
      </w:r>
      <w:r w:rsidRPr="00067F9C">
        <w:t>, а также в Наци</w:t>
      </w:r>
      <w:r w:rsidRPr="00067F9C">
        <w:t>о</w:t>
      </w:r>
      <w:r w:rsidRPr="00067F9C">
        <w:t>нальный наблюдательный центр по правам человека. Кроме того, семья потерпевшего обращалась к начальнику органов безопасности, в управление вилайи Тиарет, председателю НККПЗПЧ и президенту Республики. Близкие потерпевшего ни разу не получили ответа на предпринятые ими обращения. По просьбе супруги потерпевшего органами национальной жандармерии 2 марта 2010 года было выдано свидетельство об исчезновении в ходе национальной трагедии. Кроме того, весной 2005 года члены Специальной комиссии при НККПЗПЧ приняли мать автора и устно подтвердили ей, что дело Джиллали Ларби было отнесено к категории дел о насильственных исчезновениях. При этом ей не удалось пол</w:t>
      </w:r>
      <w:r w:rsidRPr="00067F9C">
        <w:t>у</w:t>
      </w:r>
      <w:r w:rsidRPr="00067F9C">
        <w:t xml:space="preserve">чить дополнительную информацию о судьбе Джиллали Ларби. </w:t>
      </w:r>
    </w:p>
    <w:p w:rsidR="009B6A38" w:rsidRPr="00067F9C" w:rsidRDefault="009B6A38" w:rsidP="00DB1976">
      <w:pPr>
        <w:pStyle w:val="SingleTxtGR"/>
      </w:pPr>
      <w:r w:rsidRPr="00067F9C">
        <w:t>6.5</w:t>
      </w:r>
      <w:r w:rsidRPr="00067F9C">
        <w:tab/>
        <w:t>После подачи индивидуального сообщения в Комитет семья потерпевш</w:t>
      </w:r>
      <w:r w:rsidRPr="00067F9C">
        <w:t>е</w:t>
      </w:r>
      <w:r w:rsidRPr="00067F9C">
        <w:t>го продолжала обращаться в органы власти Алжира, стремясь получить инфо</w:t>
      </w:r>
      <w:r w:rsidRPr="00067F9C">
        <w:t>р</w:t>
      </w:r>
      <w:r w:rsidRPr="00067F9C">
        <w:t>мацию о судьбе исчезнувшего лица. Так, 27 ноября 2010 года семья направила обстоятельный доклад об исчезновении Джиллали Ларби президенту Республ</w:t>
      </w:r>
      <w:r w:rsidRPr="00067F9C">
        <w:t>и</w:t>
      </w:r>
      <w:r w:rsidRPr="00067F9C">
        <w:t xml:space="preserve">ки, министру юстиции </w:t>
      </w:r>
      <w:r w:rsidR="002D22F7">
        <w:t xml:space="preserve">− </w:t>
      </w:r>
      <w:r w:rsidRPr="00067F9C">
        <w:t>хранителю печати, министру внутренних дел и мес</w:t>
      </w:r>
      <w:r w:rsidRPr="00067F9C">
        <w:t>т</w:t>
      </w:r>
      <w:r w:rsidRPr="00067F9C">
        <w:t>ного самоуправления и командующему национальной жандармерией. В резул</w:t>
      </w:r>
      <w:r w:rsidRPr="00067F9C">
        <w:t>ь</w:t>
      </w:r>
      <w:r w:rsidRPr="00067F9C">
        <w:t>тате всех предпринятых обращений 11 января 2011 года супруга поте</w:t>
      </w:r>
      <w:r w:rsidRPr="00067F9C">
        <w:t>р</w:t>
      </w:r>
      <w:r w:rsidRPr="00067F9C">
        <w:t>певшего была заслушана прокурором Республики в суде Тиарета. В протоколе она уп</w:t>
      </w:r>
      <w:r w:rsidRPr="00067F9C">
        <w:t>о</w:t>
      </w:r>
      <w:r w:rsidRPr="00067F9C">
        <w:t>минает о постановлении отдела по делам семьи Про</w:t>
      </w:r>
      <w:r w:rsidR="00381965">
        <w:t>куратуры Тиарета от 1 июля 2010</w:t>
      </w:r>
      <w:r w:rsidR="00616BAC">
        <w:rPr>
          <w:lang w:val="en-US"/>
        </w:rPr>
        <w:t> </w:t>
      </w:r>
      <w:r w:rsidRPr="00067F9C">
        <w:t>года, в котором ее жалоба объявляется приемлемой по форме и по сущес</w:t>
      </w:r>
      <w:r w:rsidRPr="00067F9C">
        <w:t>т</w:t>
      </w:r>
      <w:r w:rsidRPr="00067F9C">
        <w:t xml:space="preserve">ву и которое открывает путь к проведению всестороннего расследования дела об исчезновении и, в частности, к заслушанию свидетелей. На основании этого постановления 9 февраля 2011 года двое свидетелей </w:t>
      </w:r>
      <w:r w:rsidR="002D22F7">
        <w:t>−</w:t>
      </w:r>
      <w:r w:rsidRPr="00067F9C">
        <w:t xml:space="preserve"> один коллега и один с</w:t>
      </w:r>
      <w:r w:rsidRPr="00067F9C">
        <w:t>о</w:t>
      </w:r>
      <w:r w:rsidR="00381965">
        <w:t>сед потерпевшего −</w:t>
      </w:r>
      <w:r w:rsidRPr="00067F9C">
        <w:t xml:space="preserve"> были заслушаны в отделе по делам семьи Прокуратуры Тиарета; они сообщили, что Джиллали Ларби не появлялся с 1994 года и что с тех пор им ничего не известно о его судьбе, что было подтверждено членами семьи, которые присутствовали на слушании. Тем не менее, упомянутые мног</w:t>
      </w:r>
      <w:r w:rsidRPr="00067F9C">
        <w:t>о</w:t>
      </w:r>
      <w:r w:rsidRPr="00067F9C">
        <w:t>численные шаги так и не привели ни к возбуждению расследования, ни к пр</w:t>
      </w:r>
      <w:r w:rsidRPr="00067F9C">
        <w:t>е</w:t>
      </w:r>
      <w:r w:rsidRPr="00067F9C">
        <w:t>следов</w:t>
      </w:r>
      <w:r w:rsidRPr="00067F9C">
        <w:t>а</w:t>
      </w:r>
      <w:r w:rsidRPr="00067F9C">
        <w:t>нию и наказанию лиц, виновных в этом насильственном исчезновении, ни к выплате компенсации семье потерпевшего. Следовательно, автора нельзя упрекнуть в том, что он не исчерпал все средства правовой защиты, не напр</w:t>
      </w:r>
      <w:r w:rsidRPr="00067F9C">
        <w:t>а</w:t>
      </w:r>
      <w:r w:rsidRPr="00067F9C">
        <w:t>вив следственному судье жалобу с одновременным предъявлением гражданск</w:t>
      </w:r>
      <w:r w:rsidRPr="00067F9C">
        <w:t>о</w:t>
      </w:r>
      <w:r w:rsidRPr="00067F9C">
        <w:t>го иска в связи со столь серьезным нарушением прав человека, к</w:t>
      </w:r>
      <w:r w:rsidRPr="00067F9C">
        <w:t>о</w:t>
      </w:r>
      <w:r w:rsidRPr="00067F9C">
        <w:t>торое не должно было игнорироваться госуда</w:t>
      </w:r>
      <w:r w:rsidRPr="00067F9C">
        <w:t>р</w:t>
      </w:r>
      <w:r w:rsidRPr="00067F9C">
        <w:t>ством-участником.</w:t>
      </w:r>
      <w:r w:rsidR="00381965">
        <w:t xml:space="preserve"> </w:t>
      </w:r>
    </w:p>
    <w:p w:rsidR="009B6A38" w:rsidRPr="00616BAC" w:rsidRDefault="009B6A38" w:rsidP="00DB1976">
      <w:pPr>
        <w:pStyle w:val="SingleTxtGR"/>
      </w:pPr>
      <w:r w:rsidRPr="00067F9C">
        <w:t>6.6</w:t>
      </w:r>
      <w:r w:rsidRPr="00067F9C">
        <w:tab/>
        <w:t xml:space="preserve">В связи с доводом государства-участника о том, что простая </w:t>
      </w:r>
      <w:r w:rsidR="003E6110">
        <w:t>"</w:t>
      </w:r>
      <w:r w:rsidRPr="00067F9C">
        <w:t>ув</w:t>
      </w:r>
      <w:r w:rsidRPr="00067F9C">
        <w:t>е</w:t>
      </w:r>
      <w:r w:rsidRPr="00067F9C">
        <w:t>ренность или субъективная убежденность</w:t>
      </w:r>
      <w:r w:rsidR="003E6110">
        <w:t>"</w:t>
      </w:r>
      <w:r w:rsidRPr="00067F9C">
        <w:t xml:space="preserve"> не является основанием для освобождения а</w:t>
      </w:r>
      <w:r w:rsidRPr="00067F9C">
        <w:t>в</w:t>
      </w:r>
      <w:r w:rsidRPr="00067F9C">
        <w:t>тора сообщения от обязанности исчерпать внутренние средства правовой защ</w:t>
      </w:r>
      <w:r w:rsidRPr="00067F9C">
        <w:t>и</w:t>
      </w:r>
      <w:r w:rsidRPr="00067F9C">
        <w:t>ты, автор ссылается на статью 45 Постановления № 06-01, в которой объявляе</w:t>
      </w:r>
      <w:r w:rsidRPr="00067F9C">
        <w:t>т</w:t>
      </w:r>
      <w:r w:rsidRPr="00067F9C">
        <w:t>ся недопустимым всякое преследование в индивидуальном или коллективном порядке сотрудников всех подразделений сил обороны и безопасности. Кажд</w:t>
      </w:r>
      <w:r w:rsidRPr="00067F9C">
        <w:t>о</w:t>
      </w:r>
      <w:r w:rsidRPr="00067F9C">
        <w:t>му, кто обратится с подобной жалобой или сообщением о правонарушении, гр</w:t>
      </w:r>
      <w:r w:rsidRPr="00067F9C">
        <w:t>о</w:t>
      </w:r>
      <w:r w:rsidRPr="00067F9C">
        <w:t>зит наказание в виде тюремного заключения на срок от трех до пяти лет и штрафа в размере от 250</w:t>
      </w:r>
      <w:r w:rsidR="00381965" w:rsidRPr="00381965">
        <w:t xml:space="preserve"> </w:t>
      </w:r>
      <w:r w:rsidRPr="00067F9C">
        <w:t>000 до 500</w:t>
      </w:r>
      <w:r w:rsidR="00381965" w:rsidRPr="00381965">
        <w:t xml:space="preserve"> </w:t>
      </w:r>
      <w:r w:rsidRPr="00067F9C">
        <w:t>000 алжирских динаров. Таким образом, государству-участнику не удалось убедительно показать, как подача жалобы с предъявлением гражданского иска позволила бы компетентным судебным орг</w:t>
      </w:r>
      <w:r w:rsidRPr="00067F9C">
        <w:t>а</w:t>
      </w:r>
      <w:r w:rsidRPr="00067F9C">
        <w:t>нам принять к рассмотрению поданную жалобу и провести по ней соответс</w:t>
      </w:r>
      <w:r w:rsidRPr="00067F9C">
        <w:t>т</w:t>
      </w:r>
      <w:r w:rsidRPr="00067F9C">
        <w:t>вующее расследование, что повлекло бы за собой нарушение статьи 45 Пост</w:t>
      </w:r>
      <w:r w:rsidRPr="00067F9C">
        <w:t>а</w:t>
      </w:r>
      <w:r w:rsidRPr="00067F9C">
        <w:t>новления, и как автор мог бы избежать наказания, установленного в статье 46 Постановления. Как подтверждает практика договорных органов, анализ этих положений позволяет сделать вывод о том, что любая жалоба на нарушения, предположительно совершенные алжирскими должностными л</w:t>
      </w:r>
      <w:r w:rsidRPr="00067F9C">
        <w:t>и</w:t>
      </w:r>
      <w:r w:rsidRPr="00067F9C">
        <w:t>цами, не только была бы объявлена неприемлемой, но и повлекла бы за собой уголовное нак</w:t>
      </w:r>
      <w:r w:rsidRPr="00067F9C">
        <w:t>а</w:t>
      </w:r>
      <w:r w:rsidRPr="00067F9C">
        <w:t>зание подавшего ее лица. Автор отм</w:t>
      </w:r>
      <w:r w:rsidRPr="00067F9C">
        <w:t>е</w:t>
      </w:r>
      <w:r w:rsidRPr="00067F9C">
        <w:t>чает, что государство-участник не привело ни одного примера дела, рассмотрение которого, несмотря на существование вышеупомянутого постановления, завершилось бы привлечением к ответстве</w:t>
      </w:r>
      <w:r w:rsidRPr="00067F9C">
        <w:t>н</w:t>
      </w:r>
      <w:r w:rsidRPr="00067F9C">
        <w:t>ности лиц, виновных в нарушениях прав человека в случае, аналогичном ра</w:t>
      </w:r>
      <w:r w:rsidRPr="00067F9C">
        <w:t>с</w:t>
      </w:r>
      <w:r w:rsidRPr="00067F9C">
        <w:t>сматрива</w:t>
      </w:r>
      <w:r w:rsidRPr="00067F9C">
        <w:t>е</w:t>
      </w:r>
      <w:r w:rsidR="00616BAC">
        <w:t>мому сообщению.</w:t>
      </w:r>
    </w:p>
    <w:p w:rsidR="009B6A38" w:rsidRPr="00067F9C" w:rsidRDefault="009B6A38" w:rsidP="00DB1976">
      <w:pPr>
        <w:pStyle w:val="SingleTxtGR"/>
      </w:pPr>
      <w:r w:rsidRPr="00067F9C">
        <w:t>6.7</w:t>
      </w:r>
      <w:r w:rsidRPr="00067F9C">
        <w:tab/>
        <w:t>Относительно существа сообщения автор отмечает, что государс</w:t>
      </w:r>
      <w:r w:rsidRPr="00067F9C">
        <w:t>т</w:t>
      </w:r>
      <w:r w:rsidRPr="00067F9C">
        <w:t>во-участник ограничилось лишь перечислением в общем виде возможных обсто</w:t>
      </w:r>
      <w:r w:rsidRPr="00067F9C">
        <w:t>я</w:t>
      </w:r>
      <w:r w:rsidRPr="00067F9C">
        <w:t xml:space="preserve">тельств исчезновения жертв </w:t>
      </w:r>
      <w:r w:rsidR="003E6110">
        <w:t>"</w:t>
      </w:r>
      <w:r w:rsidRPr="00067F9C">
        <w:t>национальной трагедии</w:t>
      </w:r>
      <w:r w:rsidR="003E6110">
        <w:t>"</w:t>
      </w:r>
      <w:r w:rsidRPr="00067F9C">
        <w:t>. Эти общие замечания никак не опровергают факты, изложенные в настоящем сообщении. К</w:t>
      </w:r>
      <w:r w:rsidR="00381965" w:rsidRPr="00381965">
        <w:t xml:space="preserve"> </w:t>
      </w:r>
      <w:r w:rsidRPr="00067F9C">
        <w:t>тому же они сформулированы точно таким же образом, как и в отношении других дел, что свидетельствует о том, что государство-участник по-прежнему не н</w:t>
      </w:r>
      <w:r w:rsidRPr="00067F9C">
        <w:t>а</w:t>
      </w:r>
      <w:r w:rsidRPr="00067F9C">
        <w:t>мерено рассматр</w:t>
      </w:r>
      <w:r w:rsidRPr="00067F9C">
        <w:t>и</w:t>
      </w:r>
      <w:r w:rsidRPr="00067F9C">
        <w:t>вать эти дела в индивидуальном порядке.</w:t>
      </w:r>
    </w:p>
    <w:p w:rsidR="009B6A38" w:rsidRPr="00067F9C" w:rsidRDefault="009B6A38" w:rsidP="00DB1976">
      <w:pPr>
        <w:pStyle w:val="SingleTxtGR"/>
      </w:pPr>
      <w:r w:rsidRPr="00067F9C">
        <w:t>6.8</w:t>
      </w:r>
      <w:r w:rsidRPr="00067F9C">
        <w:tab/>
        <w:t>Автор напоминает, что в соответствии с пунктом 1 правила 100 правил процедуры Комитета и с практикой договорных органов, при отсутствии зам</w:t>
      </w:r>
      <w:r w:rsidRPr="00067F9C">
        <w:t>е</w:t>
      </w:r>
      <w:r w:rsidRPr="00067F9C">
        <w:t>чаний по существу дела со стороны государства-участника утверждения заяв</w:t>
      </w:r>
      <w:r w:rsidRPr="00067F9C">
        <w:t>и</w:t>
      </w:r>
      <w:r w:rsidRPr="00067F9C">
        <w:t>теля должны быть полностью приняты во внимание. Многочисленные сообщ</w:t>
      </w:r>
      <w:r w:rsidRPr="00067F9C">
        <w:t>е</w:t>
      </w:r>
      <w:r w:rsidRPr="00067F9C">
        <w:t>ния о действиях правоохранительных органов в течение рассматриваемого п</w:t>
      </w:r>
      <w:r w:rsidRPr="00067F9C">
        <w:t>е</w:t>
      </w:r>
      <w:r w:rsidRPr="00067F9C">
        <w:t>риода и многочисленные обращения, направленные членами семьи потерпе</w:t>
      </w:r>
      <w:r w:rsidRPr="00067F9C">
        <w:t>в</w:t>
      </w:r>
      <w:r w:rsidRPr="00067F9C">
        <w:t>шего, подтверждают правдивость и достоверность утверждений, изложенных автором в сообщении. С учетом того, что государство-участник несет ответс</w:t>
      </w:r>
      <w:r w:rsidRPr="00067F9C">
        <w:t>т</w:t>
      </w:r>
      <w:r w:rsidRPr="00067F9C">
        <w:t>венность за исчезновение его отца, автор не может представить дополнител</w:t>
      </w:r>
      <w:r w:rsidRPr="00067F9C">
        <w:t>ь</w:t>
      </w:r>
      <w:r w:rsidRPr="00067F9C">
        <w:t>ную информацию для обоснования своего сообщения, поскольку такой инфо</w:t>
      </w:r>
      <w:r w:rsidRPr="00067F9C">
        <w:t>р</w:t>
      </w:r>
      <w:r w:rsidRPr="00067F9C">
        <w:t>мацией обладает только государство-участник. Кроме того, автор считает, что отсутствие замечаний относительно существа сообщения со стороны госуда</w:t>
      </w:r>
      <w:r w:rsidRPr="00067F9C">
        <w:t>р</w:t>
      </w:r>
      <w:r w:rsidRPr="00067F9C">
        <w:t>ства-участника свидетельствует о молчаливом признании им совершенных н</w:t>
      </w:r>
      <w:r w:rsidRPr="00067F9C">
        <w:t>а</w:t>
      </w:r>
      <w:r w:rsidRPr="00067F9C">
        <w:t>рушений.</w:t>
      </w:r>
    </w:p>
    <w:p w:rsidR="009B6A38" w:rsidRPr="00067F9C" w:rsidRDefault="00DB1976" w:rsidP="00DB1976">
      <w:pPr>
        <w:pStyle w:val="H23GR"/>
      </w:pPr>
      <w:r>
        <w:tab/>
      </w:r>
      <w:r>
        <w:tab/>
      </w:r>
      <w:r w:rsidR="009B6A38" w:rsidRPr="00067F9C">
        <w:t>Вопросы и процедура их рассмотрения в Комитете</w:t>
      </w:r>
    </w:p>
    <w:p w:rsidR="009B6A38" w:rsidRPr="00067F9C" w:rsidRDefault="009B6A38" w:rsidP="00DB1976">
      <w:pPr>
        <w:pStyle w:val="H4GR"/>
        <w:spacing w:before="240"/>
      </w:pPr>
      <w:r w:rsidRPr="00067F9C">
        <w:t>•</w:t>
      </w:r>
      <w:r w:rsidRPr="00067F9C">
        <w:tab/>
      </w:r>
      <w:r w:rsidR="00DB1976">
        <w:tab/>
      </w:r>
      <w:r w:rsidRPr="00067F9C">
        <w:t>Рассмотрение вопроса о приемлемости</w:t>
      </w:r>
    </w:p>
    <w:p w:rsidR="009B6A38" w:rsidRPr="00067F9C" w:rsidRDefault="00F564B6" w:rsidP="00DB1976">
      <w:pPr>
        <w:pStyle w:val="SingleTxtGR"/>
      </w:pPr>
      <w:r>
        <w:t>7.</w:t>
      </w:r>
      <w:r w:rsidR="009B6A38" w:rsidRPr="00067F9C">
        <w:t>1.</w:t>
      </w:r>
      <w:r w:rsidR="009B6A38" w:rsidRPr="00067F9C">
        <w:tab/>
      </w:r>
      <w:r w:rsidR="00DC5508" w:rsidRPr="00710513">
        <w:rPr>
          <w:lang w:eastAsia="ru-RU"/>
        </w:rPr>
        <w:t xml:space="preserve">Прежде всего, Комитет напоминает, что решение Специального </w:t>
      </w:r>
      <w:r w:rsidR="009B6A38" w:rsidRPr="00067F9C">
        <w:t>докла</w:t>
      </w:r>
      <w:r w:rsidR="009B6A38" w:rsidRPr="00067F9C">
        <w:t>д</w:t>
      </w:r>
      <w:r w:rsidR="009B6A38" w:rsidRPr="00067F9C">
        <w:t>чика о том, чтобы не проводить раздельного рассмотрения вопроса о приемл</w:t>
      </w:r>
      <w:r w:rsidR="009B6A38" w:rsidRPr="00067F9C">
        <w:t>е</w:t>
      </w:r>
      <w:r w:rsidR="009B6A38" w:rsidRPr="00067F9C">
        <w:t>мости сообщения и вопросов его существа (см. пункт 1.3), не исключает во</w:t>
      </w:r>
      <w:r w:rsidR="009B6A38" w:rsidRPr="00067F9C">
        <w:t>з</w:t>
      </w:r>
      <w:r w:rsidR="009B6A38" w:rsidRPr="00067F9C">
        <w:t>можности рассмотрения этих вопросов Комитетом в два этапа, а совм</w:t>
      </w:r>
      <w:r w:rsidR="009B6A38" w:rsidRPr="00067F9C">
        <w:t>е</w:t>
      </w:r>
      <w:r w:rsidR="009B6A38" w:rsidRPr="00067F9C">
        <w:t>стное рассмотрение приемлемости и существа не означает одновременности их ра</w:t>
      </w:r>
      <w:r w:rsidR="009B6A38" w:rsidRPr="00067F9C">
        <w:t>с</w:t>
      </w:r>
      <w:r w:rsidR="009B6A38" w:rsidRPr="00067F9C">
        <w:t>смотрения. Следовательно, прежде чем рассматривать любую жалобу, изложе</w:t>
      </w:r>
      <w:r w:rsidR="009B6A38" w:rsidRPr="00067F9C">
        <w:t>н</w:t>
      </w:r>
      <w:r w:rsidR="009B6A38" w:rsidRPr="00067F9C">
        <w:t>ную в сообщении, Комитет в соответствии с правилом 93 своих правил проц</w:t>
      </w:r>
      <w:r w:rsidR="009B6A38" w:rsidRPr="00067F9C">
        <w:t>е</w:t>
      </w:r>
      <w:r w:rsidR="009B6A38" w:rsidRPr="00067F9C">
        <w:t>дуры должен определить, является ли сообщение приемлемым согласно Ф</w:t>
      </w:r>
      <w:r w:rsidR="009B6A38" w:rsidRPr="00067F9C">
        <w:t>а</w:t>
      </w:r>
      <w:r w:rsidR="009B6A38" w:rsidRPr="00067F9C">
        <w:t>культативному протоколу.</w:t>
      </w:r>
    </w:p>
    <w:p w:rsidR="009B6A38" w:rsidRPr="00067F9C" w:rsidRDefault="009B6A38" w:rsidP="00DB1976">
      <w:pPr>
        <w:pStyle w:val="SingleTxtGR"/>
        <w:rPr>
          <w:i/>
        </w:rPr>
      </w:pPr>
      <w:r w:rsidRPr="00067F9C">
        <w:t>7.2</w:t>
      </w:r>
      <w:r w:rsidRPr="00067F9C">
        <w:tab/>
        <w:t>В соответствии с подпунктом а) пункта 2 статьи 5 Факультативного пр</w:t>
      </w:r>
      <w:r w:rsidRPr="00067F9C">
        <w:t>о</w:t>
      </w:r>
      <w:r w:rsidRPr="00067F9C">
        <w:t>токола Комитет удостоверился в том, что этот вопрос не рассматривается в с</w:t>
      </w:r>
      <w:r w:rsidRPr="00067F9C">
        <w:t>о</w:t>
      </w:r>
      <w:r w:rsidRPr="00067F9C">
        <w:t>ответствии с другой процедурой международного разбирательства или урегул</w:t>
      </w:r>
      <w:r w:rsidRPr="00067F9C">
        <w:t>и</w:t>
      </w:r>
      <w:r w:rsidRPr="00067F9C">
        <w:t xml:space="preserve">рования. </w:t>
      </w:r>
    </w:p>
    <w:p w:rsidR="009B6A38" w:rsidRPr="00067F9C" w:rsidRDefault="009B6A38" w:rsidP="00DB1976">
      <w:pPr>
        <w:pStyle w:val="SingleTxtGR"/>
      </w:pPr>
      <w:r w:rsidRPr="00067F9C">
        <w:t>7.3</w:t>
      </w:r>
      <w:r w:rsidRPr="00067F9C">
        <w:tab/>
        <w:t>Комитет отмечает, что, по мнению государства-участника, автор не и</w:t>
      </w:r>
      <w:r w:rsidRPr="00067F9C">
        <w:t>с</w:t>
      </w:r>
      <w:r w:rsidRPr="00067F9C">
        <w:t>черпал внутренние средства правовой защиты, поскольку он не рассматривал возможность подачи гражда</w:t>
      </w:r>
      <w:r w:rsidRPr="00067F9C">
        <w:t>н</w:t>
      </w:r>
      <w:r w:rsidRPr="00067F9C">
        <w:t>ского иска следственному судье в</w:t>
      </w:r>
      <w:r w:rsidR="00381965" w:rsidRPr="00381965">
        <w:t xml:space="preserve"> </w:t>
      </w:r>
      <w:r w:rsidRPr="00067F9C">
        <w:t>соответствии со статьями 72 и 73 Уголовно-процессуального кодекса. Кроме того, Комитет о</w:t>
      </w:r>
      <w:r w:rsidRPr="00067F9C">
        <w:t>т</w:t>
      </w:r>
      <w:r w:rsidRPr="00067F9C">
        <w:t>мечает, что, по утверждению государства-участника, автор напра</w:t>
      </w:r>
      <w:r w:rsidRPr="00067F9C">
        <w:t>в</w:t>
      </w:r>
      <w:r w:rsidRPr="00067F9C">
        <w:t>лял письма в политические и административные органы и обращался с жалобами в органы прокуратуры (к генеральным прокурорам и прокурорам Республики), фактич</w:t>
      </w:r>
      <w:r w:rsidRPr="00067F9C">
        <w:t>е</w:t>
      </w:r>
      <w:r w:rsidRPr="00067F9C">
        <w:t>ски не начав процедуру обжалования в судебном порядке и не доведя ее до ко</w:t>
      </w:r>
      <w:r w:rsidRPr="00067F9C">
        <w:t>н</w:t>
      </w:r>
      <w:r w:rsidRPr="00067F9C">
        <w:t>ца с использованием всех имеющихся во</w:t>
      </w:r>
      <w:r w:rsidRPr="00067F9C">
        <w:t>з</w:t>
      </w:r>
      <w:r w:rsidRPr="00067F9C">
        <w:t>можностей обжалования</w:t>
      </w:r>
      <w:r w:rsidR="00381965" w:rsidRPr="00381965">
        <w:t xml:space="preserve"> </w:t>
      </w:r>
      <w:r w:rsidRPr="00067F9C">
        <w:t>в порядке апелляции и кассации. Комитет принимает к сведению аргумент автора о том, что семья передала письменную жалобу прокурору Республики в суде Тиарета, к которому члены семьи неоднократно являлись на прием; что они обращались в алжирскую лигу защиты прав человека и в Национальный наблюдательный центр по правам человека; что они</w:t>
      </w:r>
      <w:r w:rsidR="00381965">
        <w:t xml:space="preserve"> </w:t>
      </w:r>
      <w:r w:rsidRPr="00067F9C">
        <w:t>н</w:t>
      </w:r>
      <w:r w:rsidRPr="00067F9C">
        <w:t>а</w:t>
      </w:r>
      <w:r w:rsidRPr="00067F9C">
        <w:t>правляли письма начальнику органов безопасности, в управление вилайи Тиарет, председателю НККПЗПЧ и през</w:t>
      </w:r>
      <w:r w:rsidRPr="00067F9C">
        <w:t>и</w:t>
      </w:r>
      <w:r w:rsidRPr="00067F9C">
        <w:t>денту Республики, но ни на одно из них так и не получили ответа. Кроме того, Комитет</w:t>
      </w:r>
      <w:r w:rsidR="00381965">
        <w:t xml:space="preserve"> </w:t>
      </w:r>
      <w:r w:rsidRPr="00067F9C">
        <w:t>отмечает, что семья направила обстоятельный доклад об исчезнов</w:t>
      </w:r>
      <w:r w:rsidRPr="00067F9C">
        <w:t>е</w:t>
      </w:r>
      <w:r w:rsidRPr="00067F9C">
        <w:t xml:space="preserve">нии Джиллали Ларби президенту Республики, министру юстиции </w:t>
      </w:r>
      <w:r w:rsidR="00DC5508">
        <w:t>−</w:t>
      </w:r>
      <w:r w:rsidRPr="00067F9C">
        <w:t xml:space="preserve"> хранителю п</w:t>
      </w:r>
      <w:r w:rsidRPr="00067F9C">
        <w:t>е</w:t>
      </w:r>
      <w:r w:rsidRPr="00067F9C">
        <w:t>чати, министру внутренних дел и местного самоуправления и командующему национальной жандармерией. Комитет далее отмечает, что 11 января 2011 года супруга Джиллали Ларби была заслушана прокурором Республики в суде Ти</w:t>
      </w:r>
      <w:r w:rsidRPr="00067F9C">
        <w:t>а</w:t>
      </w:r>
      <w:r w:rsidRPr="00067F9C">
        <w:t>рета и что 9 февраля 2011 года двое свидетелей дали показания в отделе по д</w:t>
      </w:r>
      <w:r w:rsidRPr="00067F9C">
        <w:t>е</w:t>
      </w:r>
      <w:r w:rsidRPr="00067F9C">
        <w:t>лам семьи Прокуратуры Тиарета, но что это не дало никакого результата. Ком</w:t>
      </w:r>
      <w:r w:rsidRPr="00067F9C">
        <w:t>и</w:t>
      </w:r>
      <w:r w:rsidRPr="00067F9C">
        <w:t>тет также отмечает, что все пре</w:t>
      </w:r>
      <w:r w:rsidRPr="00067F9C">
        <w:t>д</w:t>
      </w:r>
      <w:r w:rsidRPr="00067F9C">
        <w:t>принятые действия не привели ни к реальному расследованию, ни к преследованию и наказанию лиц, виновных в этих насил</w:t>
      </w:r>
      <w:r w:rsidRPr="00067F9C">
        <w:t>ь</w:t>
      </w:r>
      <w:r w:rsidRPr="00067F9C">
        <w:t>ственных исчезновениях, ни к выплате компенсации семье потерпевшего. Н</w:t>
      </w:r>
      <w:r w:rsidRPr="00067F9C">
        <w:t>а</w:t>
      </w:r>
      <w:r w:rsidRPr="00067F9C">
        <w:t>ряду с этим Комитет принимает к сведению аргумент автора о том, что, согла</w:t>
      </w:r>
      <w:r w:rsidRPr="00067F9C">
        <w:t>с</w:t>
      </w:r>
      <w:r w:rsidRPr="00067F9C">
        <w:t>но Постановлению № 06-01, обращение в суд с жалобой на действия военн</w:t>
      </w:r>
      <w:r w:rsidRPr="00067F9C">
        <w:t>о</w:t>
      </w:r>
      <w:r w:rsidRPr="00067F9C">
        <w:t>служащих или сотрудников органов безопасности Республики запрещается под страхом уголовного преследования; следовательно, это освобождает потерпе</w:t>
      </w:r>
      <w:r w:rsidRPr="00067F9C">
        <w:t>в</w:t>
      </w:r>
      <w:r w:rsidRPr="00067F9C">
        <w:t>ших от необходимости исчерпания внутренних средств прав</w:t>
      </w:r>
      <w:r w:rsidRPr="00067F9C">
        <w:t>о</w:t>
      </w:r>
      <w:r w:rsidRPr="00067F9C">
        <w:t xml:space="preserve">вой защиты. </w:t>
      </w:r>
    </w:p>
    <w:p w:rsidR="009B6A38" w:rsidRPr="00067F9C" w:rsidRDefault="009B6A38" w:rsidP="00DB1976">
      <w:pPr>
        <w:pStyle w:val="SingleTxtGR"/>
      </w:pPr>
      <w:r w:rsidRPr="00067F9C">
        <w:t>7.4</w:t>
      </w:r>
      <w:r w:rsidRPr="00067F9C">
        <w:tab/>
        <w:t>Комитет напоминает о том, что государство-участник обязано не только проводить тщательные расследования предполагаемых нарушений прав челов</w:t>
      </w:r>
      <w:r w:rsidRPr="00067F9C">
        <w:t>е</w:t>
      </w:r>
      <w:r w:rsidRPr="00067F9C">
        <w:t>ка, доведенных до сведения соответствующих органов, в частности, к</w:t>
      </w:r>
      <w:r w:rsidRPr="00067F9C">
        <w:t>о</w:t>
      </w:r>
      <w:r w:rsidRPr="00067F9C">
        <w:t>гда речь идет о насильственных исчезновениях или п</w:t>
      </w:r>
      <w:r w:rsidRPr="00067F9C">
        <w:t>о</w:t>
      </w:r>
      <w:r w:rsidRPr="00067F9C">
        <w:t>сягательствах на право на жизнь, но и привлекать к уголовной ответственности любых лиц, которые могут быть виновными в этих нарушениях, осуществлять судебное разбирательство и н</w:t>
      </w:r>
      <w:r w:rsidRPr="00067F9C">
        <w:t>а</w:t>
      </w:r>
      <w:r w:rsidRPr="00067F9C">
        <w:t>значать наказание этим лицам</w:t>
      </w:r>
      <w:r w:rsidRPr="00921005">
        <w:rPr>
          <w:sz w:val="18"/>
          <w:vertAlign w:val="superscript"/>
          <w:lang w:val="fr-CH"/>
        </w:rPr>
        <w:footnoteReference w:id="7"/>
      </w:r>
      <w:r w:rsidRPr="00067F9C">
        <w:t>. Семья Джиллали Ларби неоднократно заявляла компетентным властям о его исчезновении, но государство-участник так и не провело углубленного и тщательного расследования по делу об исчезновении отца автора, несмотря на наличие серьезных утверждений о насильственном исчезновении. Кроме того, государство-участник не предоставило никакой и</w:t>
      </w:r>
      <w:r w:rsidRPr="00067F9C">
        <w:t>н</w:t>
      </w:r>
      <w:r w:rsidRPr="00067F9C">
        <w:t>формации, позволяющей придти к выводу о предоставлении возможн</w:t>
      </w:r>
      <w:r w:rsidRPr="00067F9C">
        <w:t>о</w:t>
      </w:r>
      <w:r w:rsidRPr="00067F9C">
        <w:t>стей для использования эффективных и доступных средств правовой защиты, причем Постановление № 06-01 от 27 февраля 2006 года по-прежнему применяется, н</w:t>
      </w:r>
      <w:r w:rsidRPr="00067F9C">
        <w:t>е</w:t>
      </w:r>
      <w:r w:rsidRPr="00067F9C">
        <w:t>смотря на то, что Комитетом были вынесены рек</w:t>
      </w:r>
      <w:r w:rsidRPr="00067F9C">
        <w:t>о</w:t>
      </w:r>
      <w:r w:rsidRPr="00067F9C">
        <w:t>мендации о его приведении в соответствие с положениями Пакта (</w:t>
      </w:r>
      <w:r w:rsidRPr="00067F9C">
        <w:rPr>
          <w:lang w:val="fr-CH"/>
        </w:rPr>
        <w:t>CCPR</w:t>
      </w:r>
      <w:r w:rsidRPr="00067F9C">
        <w:t>/</w:t>
      </w:r>
      <w:r w:rsidRPr="00067F9C">
        <w:rPr>
          <w:lang w:val="fr-CH"/>
        </w:rPr>
        <w:t>C</w:t>
      </w:r>
      <w:r w:rsidRPr="00067F9C">
        <w:t>/</w:t>
      </w:r>
      <w:r w:rsidRPr="00067F9C">
        <w:rPr>
          <w:lang w:val="fr-CH"/>
        </w:rPr>
        <w:t>DZA</w:t>
      </w:r>
      <w:r w:rsidRPr="00067F9C">
        <w:t>/</w:t>
      </w:r>
      <w:r w:rsidRPr="00067F9C">
        <w:rPr>
          <w:lang w:val="fr-CH"/>
        </w:rPr>
        <w:t>CO</w:t>
      </w:r>
      <w:r w:rsidRPr="00067F9C">
        <w:t>/3, пункты</w:t>
      </w:r>
      <w:r w:rsidR="00381965" w:rsidRPr="00381965">
        <w:t xml:space="preserve"> </w:t>
      </w:r>
      <w:r w:rsidRPr="00067F9C">
        <w:t>7,</w:t>
      </w:r>
      <w:r w:rsidR="00381965" w:rsidRPr="00381965">
        <w:t xml:space="preserve"> </w:t>
      </w:r>
      <w:r w:rsidRPr="00067F9C">
        <w:t>8</w:t>
      </w:r>
      <w:r w:rsidR="00381965" w:rsidRPr="00381965">
        <w:t xml:space="preserve"> </w:t>
      </w:r>
      <w:r w:rsidRPr="00067F9C">
        <w:t>и</w:t>
      </w:r>
      <w:r w:rsidR="00381965" w:rsidRPr="00381965">
        <w:t xml:space="preserve"> </w:t>
      </w:r>
      <w:r w:rsidRPr="00067F9C">
        <w:t>13). К</w:t>
      </w:r>
      <w:r w:rsidRPr="00067F9C">
        <w:t>о</w:t>
      </w:r>
      <w:r w:rsidRPr="00067F9C">
        <w:t>митет считает, что подача гражданского иска в случае таких серьезных прав</w:t>
      </w:r>
      <w:r w:rsidRPr="00067F9C">
        <w:t>о</w:t>
      </w:r>
      <w:r w:rsidRPr="00067F9C">
        <w:t>нарушений, о которых заявлено в настоящем сообщении, не может заменить преследование, которое должно быть возбуждено самим прокурором Республ</w:t>
      </w:r>
      <w:r w:rsidRPr="00067F9C">
        <w:t>и</w:t>
      </w:r>
      <w:r w:rsidRPr="00067F9C">
        <w:t>ки</w:t>
      </w:r>
      <w:r w:rsidRPr="00921005">
        <w:rPr>
          <w:sz w:val="18"/>
          <w:vertAlign w:val="superscript"/>
          <w:lang w:val="fr-CH"/>
        </w:rPr>
        <w:footnoteReference w:id="8"/>
      </w:r>
      <w:r w:rsidRPr="00067F9C">
        <w:t>. Кроме того, в связи с неточным характером формулировок статей 45 и 46 указанного постановления и тем фактом, что государство-участник не предст</w:t>
      </w:r>
      <w:r w:rsidRPr="00067F9C">
        <w:t>а</w:t>
      </w:r>
      <w:r w:rsidRPr="00067F9C">
        <w:t>вило убедительной информации, касающейся их толкования и применения на практике, опасения в отношении последствий подачи жалобы, выраженные а</w:t>
      </w:r>
      <w:r w:rsidRPr="00067F9C">
        <w:t>в</w:t>
      </w:r>
      <w:r w:rsidRPr="00067F9C">
        <w:t>тором сообщения, можно считать обоснованными.</w:t>
      </w:r>
      <w:r w:rsidR="00381965">
        <w:t xml:space="preserve"> </w:t>
      </w:r>
    </w:p>
    <w:p w:rsidR="009B6A38" w:rsidRPr="00067F9C" w:rsidRDefault="009B6A38" w:rsidP="00DB1976">
      <w:pPr>
        <w:pStyle w:val="SingleTxtGR"/>
      </w:pPr>
      <w:r w:rsidRPr="00067F9C">
        <w:t>7.5</w:t>
      </w:r>
      <w:r w:rsidRPr="00067F9C">
        <w:tab/>
        <w:t>Комитет считает, что в целях признания приемлемости сообщения автор должен исчерпать только те средства правовой защиты, которые позволяют ур</w:t>
      </w:r>
      <w:r w:rsidRPr="00067F9C">
        <w:t>е</w:t>
      </w:r>
      <w:r w:rsidRPr="00067F9C">
        <w:t>гулировать ситуацию, возникшую в связи с указанным насильственным исче</w:t>
      </w:r>
      <w:r w:rsidRPr="00067F9C">
        <w:t>з</w:t>
      </w:r>
      <w:r w:rsidRPr="00067F9C">
        <w:t xml:space="preserve">новением. Учитывая все вышеизложенные соображения, Комитет приходит к выводу, что подпункт </w:t>
      </w:r>
      <w:r w:rsidRPr="00067F9C">
        <w:rPr>
          <w:lang w:val="en-US"/>
        </w:rPr>
        <w:t>b</w:t>
      </w:r>
      <w:r w:rsidRPr="00067F9C">
        <w:t>) пункта 2 статьи 5 Факультативного протокола не явл</w:t>
      </w:r>
      <w:r w:rsidRPr="00067F9C">
        <w:t>я</w:t>
      </w:r>
      <w:r w:rsidRPr="00067F9C">
        <w:t xml:space="preserve">ется препятствием для признания настоящего сообщения приемлемым. </w:t>
      </w:r>
    </w:p>
    <w:p w:rsidR="009B6A38" w:rsidRPr="00067F9C" w:rsidRDefault="009B6A38" w:rsidP="00DB1976">
      <w:pPr>
        <w:pStyle w:val="SingleTxtGR"/>
      </w:pPr>
      <w:r w:rsidRPr="00067F9C">
        <w:t>7.6</w:t>
      </w:r>
      <w:r w:rsidRPr="00067F9C">
        <w:tab/>
        <w:t>Комитет считает, что автору сообщения удалось достаточно обосновать свои утверждения в той мере, в какой они вызывают вопросы по пункту 1 ст</w:t>
      </w:r>
      <w:r w:rsidRPr="00067F9C">
        <w:t>а</w:t>
      </w:r>
      <w:r w:rsidRPr="00067F9C">
        <w:t>тьи 6, по статьям</w:t>
      </w:r>
      <w:r w:rsidR="00381965" w:rsidRPr="00381965">
        <w:t xml:space="preserve"> </w:t>
      </w:r>
      <w:r w:rsidRPr="00067F9C">
        <w:t>7, 9, 10, 16 и по пункту 3 статьи 2 Пакта, и поэтому приступ</w:t>
      </w:r>
      <w:r w:rsidRPr="00067F9C">
        <w:t>а</w:t>
      </w:r>
      <w:r w:rsidRPr="00067F9C">
        <w:t xml:space="preserve">ет к рассмотрению сообщения по существу. </w:t>
      </w:r>
    </w:p>
    <w:p w:rsidR="009B6A38" w:rsidRPr="00067F9C" w:rsidRDefault="00DB1976" w:rsidP="00DB1976">
      <w:pPr>
        <w:pStyle w:val="H4GR"/>
        <w:spacing w:before="240"/>
      </w:pPr>
      <w:r>
        <w:tab/>
      </w:r>
      <w:r>
        <w:tab/>
      </w:r>
      <w:r w:rsidR="009B6A38" w:rsidRPr="00067F9C">
        <w:t>Рассмотрение сообщения по существу</w:t>
      </w:r>
    </w:p>
    <w:p w:rsidR="009B6A38" w:rsidRPr="00067F9C" w:rsidRDefault="009B6A38" w:rsidP="00DB1976">
      <w:pPr>
        <w:pStyle w:val="SingleTxtGR"/>
      </w:pPr>
      <w:r w:rsidRPr="00067F9C">
        <w:t>8.1</w:t>
      </w:r>
      <w:r w:rsidRPr="00067F9C">
        <w:tab/>
        <w:t>Комитет по правам человека рассмотрел настоящее сообщение с учетом всех сведений, представленных ему сторонами, в соответствии с пунктом 1 ст</w:t>
      </w:r>
      <w:r w:rsidRPr="00067F9C">
        <w:t>а</w:t>
      </w:r>
      <w:r w:rsidRPr="00067F9C">
        <w:t>тьи 5 Факультативного прот</w:t>
      </w:r>
      <w:r w:rsidRPr="00067F9C">
        <w:t>о</w:t>
      </w:r>
      <w:r w:rsidRPr="00067F9C">
        <w:t>кола.</w:t>
      </w:r>
    </w:p>
    <w:p w:rsidR="009B6A38" w:rsidRPr="00067F9C" w:rsidRDefault="009B6A38" w:rsidP="00DB1976">
      <w:pPr>
        <w:pStyle w:val="SingleTxtGR"/>
      </w:pPr>
      <w:r w:rsidRPr="00067F9C">
        <w:t>8.2</w:t>
      </w:r>
      <w:r w:rsidRPr="00067F9C">
        <w:tab/>
        <w:t>В ответ на серьезные жалобы, поданные авторами нескольких сообщ</w:t>
      </w:r>
      <w:r w:rsidRPr="00067F9C">
        <w:t>е</w:t>
      </w:r>
      <w:r w:rsidRPr="00067F9C">
        <w:t>ний, включая автора настоящего сообщения, государство-участник пре</w:t>
      </w:r>
      <w:r w:rsidRPr="00067F9C">
        <w:t>д</w:t>
      </w:r>
      <w:r w:rsidRPr="00067F9C">
        <w:t>ставило замечания коллективного и общего характера. Оно ограничилось у</w:t>
      </w:r>
      <w:r w:rsidRPr="00067F9C">
        <w:t>т</w:t>
      </w:r>
      <w:r w:rsidRPr="00067F9C">
        <w:t>верждением о том, что сообщения, в которых ответственность за случаи насильственных и</w:t>
      </w:r>
      <w:r w:rsidRPr="00067F9C">
        <w:t>с</w:t>
      </w:r>
      <w:r w:rsidRPr="00067F9C">
        <w:t>чезновений, произошедших в период 1993</w:t>
      </w:r>
      <w:r w:rsidR="00DC5508">
        <w:t>−</w:t>
      </w:r>
      <w:r w:rsidRPr="00067F9C">
        <w:t>1998 годов, возлагается на госуда</w:t>
      </w:r>
      <w:r w:rsidRPr="00067F9C">
        <w:t>р</w:t>
      </w:r>
      <w:r w:rsidRPr="00067F9C">
        <w:t>ственных должностных лиц или на лиц, действовавших от имени органов гос</w:t>
      </w:r>
      <w:r w:rsidRPr="00067F9C">
        <w:t>у</w:t>
      </w:r>
      <w:r w:rsidRPr="00067F9C">
        <w:t>дарственной власти, должны рассматриваться в более общем контексте с уч</w:t>
      </w:r>
      <w:r w:rsidRPr="00067F9C">
        <w:t>е</w:t>
      </w:r>
      <w:r w:rsidRPr="00067F9C">
        <w:t>том социально-политического положения и условий безопасности в</w:t>
      </w:r>
      <w:r w:rsidR="00381965" w:rsidRPr="00381965">
        <w:t xml:space="preserve"> </w:t>
      </w:r>
      <w:r w:rsidRPr="00067F9C">
        <w:t>стране в период, когда правительство вело борьбу с терроризмом. Комитет вновь ссыл</w:t>
      </w:r>
      <w:r w:rsidRPr="00067F9C">
        <w:t>а</w:t>
      </w:r>
      <w:r w:rsidRPr="00067F9C">
        <w:t>ется на свои прошлые решения</w:t>
      </w:r>
      <w:r w:rsidRPr="00921005">
        <w:rPr>
          <w:sz w:val="18"/>
          <w:vertAlign w:val="superscript"/>
          <w:lang w:val="fr-CH"/>
        </w:rPr>
        <w:footnoteReference w:id="9"/>
      </w:r>
      <w:r w:rsidRPr="00067F9C">
        <w:t xml:space="preserve"> и напоминает, что государство-участник не м</w:t>
      </w:r>
      <w:r w:rsidRPr="00067F9C">
        <w:t>о</w:t>
      </w:r>
      <w:r w:rsidRPr="00067F9C">
        <w:t>жет противопоставлять положения Хартии за мир и национал</w:t>
      </w:r>
      <w:r w:rsidRPr="00067F9C">
        <w:t>ь</w:t>
      </w:r>
      <w:r w:rsidRPr="00067F9C">
        <w:t>ное примирение аргументам лиц, которые ссылаются на положения Пакта или которые направ</w:t>
      </w:r>
      <w:r w:rsidRPr="00067F9C">
        <w:t>и</w:t>
      </w:r>
      <w:r w:rsidRPr="00067F9C">
        <w:t>ли или могли бы направить сообщения Комитету. В Пакте содержится требов</w:t>
      </w:r>
      <w:r w:rsidRPr="00067F9C">
        <w:t>а</w:t>
      </w:r>
      <w:r w:rsidRPr="00067F9C">
        <w:t>ние о том, чтобы государство-участник проявляло заботу о судьбе каждого ч</w:t>
      </w:r>
      <w:r w:rsidRPr="00067F9C">
        <w:t>е</w:t>
      </w:r>
      <w:r w:rsidRPr="00067F9C">
        <w:t>ловека и относилось к каждому с уважением достоинства, присущего человеч</w:t>
      </w:r>
      <w:r w:rsidRPr="00067F9C">
        <w:t>е</w:t>
      </w:r>
      <w:r w:rsidRPr="00067F9C">
        <w:t>ской личности. Без внесения рекомендованных Комитетом поправок Постано</w:t>
      </w:r>
      <w:r w:rsidRPr="00067F9C">
        <w:t>в</w:t>
      </w:r>
      <w:r w:rsidRPr="00067F9C">
        <w:t>ление № 06-01, как представляется, способствует поощр</w:t>
      </w:r>
      <w:r w:rsidRPr="00067F9C">
        <w:t>е</w:t>
      </w:r>
      <w:r w:rsidRPr="00067F9C">
        <w:t>нию безнаказанности и поэтому в его нынешнем виде не может быть совмест</w:t>
      </w:r>
      <w:r w:rsidRPr="00067F9C">
        <w:t>и</w:t>
      </w:r>
      <w:r w:rsidR="00381965">
        <w:t>мо с положениями Пакта.</w:t>
      </w:r>
    </w:p>
    <w:p w:rsidR="009B6A38" w:rsidRPr="00067F9C" w:rsidRDefault="009B6A38" w:rsidP="00DB1976">
      <w:pPr>
        <w:pStyle w:val="SingleTxtGR"/>
      </w:pPr>
      <w:r w:rsidRPr="00067F9C">
        <w:t>8.3</w:t>
      </w:r>
      <w:r w:rsidRPr="00067F9C">
        <w:tab/>
        <w:t>Комитет отмечает, что государство-участник не ответило на заявления а</w:t>
      </w:r>
      <w:r w:rsidRPr="00067F9C">
        <w:t>в</w:t>
      </w:r>
      <w:r w:rsidRPr="00067F9C">
        <w:t>торов по существу дела, и напоминает о своих прошлых решениях</w:t>
      </w:r>
      <w:r w:rsidRPr="00921005">
        <w:rPr>
          <w:sz w:val="18"/>
          <w:vertAlign w:val="superscript"/>
          <w:lang w:val="fr-CH"/>
        </w:rPr>
        <w:footnoteReference w:id="10"/>
      </w:r>
      <w:r w:rsidRPr="00067F9C">
        <w:t>, в соотве</w:t>
      </w:r>
      <w:r w:rsidRPr="00067F9C">
        <w:t>т</w:t>
      </w:r>
      <w:r w:rsidRPr="00067F9C">
        <w:t>ствии с которыми бремя доказывания не должно возлагаться исключ</w:t>
      </w:r>
      <w:r w:rsidRPr="00067F9C">
        <w:t>и</w:t>
      </w:r>
      <w:r w:rsidRPr="00067F9C">
        <w:t>тельно на автора сообщения, тем более что автор и гос</w:t>
      </w:r>
      <w:r w:rsidRPr="00067F9C">
        <w:t>у</w:t>
      </w:r>
      <w:r w:rsidRPr="00067F9C">
        <w:t>дарство-участник не всегда имеют равный доступ к доказательствам, и зачастую только государство-участник ра</w:t>
      </w:r>
      <w:r w:rsidRPr="00067F9C">
        <w:t>с</w:t>
      </w:r>
      <w:r w:rsidRPr="00067F9C">
        <w:t>полагает необходимой информацией. Из пункта 2 статьи 4 Факул</w:t>
      </w:r>
      <w:r w:rsidRPr="00067F9C">
        <w:t>ь</w:t>
      </w:r>
      <w:r w:rsidRPr="00067F9C">
        <w:t>тативного протокола следует, что государство-участник обязано проводить добросовес</w:t>
      </w:r>
      <w:r w:rsidRPr="00067F9C">
        <w:t>т</w:t>
      </w:r>
      <w:r w:rsidRPr="00067F9C">
        <w:t>ное расследование всех выдвинутых против него и его представителей обвин</w:t>
      </w:r>
      <w:r w:rsidRPr="00067F9C">
        <w:t>е</w:t>
      </w:r>
      <w:r w:rsidRPr="00067F9C">
        <w:t>ний в нарушении Пакта и передать Комитету имеющуюся у него инфо</w:t>
      </w:r>
      <w:r w:rsidRPr="00067F9C">
        <w:t>р</w:t>
      </w:r>
      <w:r w:rsidRPr="00067F9C">
        <w:t>мацию</w:t>
      </w:r>
      <w:r w:rsidRPr="00921005">
        <w:rPr>
          <w:sz w:val="18"/>
          <w:vertAlign w:val="superscript"/>
          <w:lang w:val="fr-CH"/>
        </w:rPr>
        <w:footnoteReference w:id="11"/>
      </w:r>
      <w:r w:rsidRPr="00067F9C">
        <w:t>. Поскольку государство-участник не представило Комитету никаких пояснений по этому вопросу, он соглашается признать утверждения автора заслужива</w:t>
      </w:r>
      <w:r w:rsidRPr="00067F9C">
        <w:t>ю</w:t>
      </w:r>
      <w:r w:rsidRPr="00067F9C">
        <w:t>щими доверия, коль скоро они являются достаточно обоснованными.</w:t>
      </w:r>
    </w:p>
    <w:p w:rsidR="009B6A38" w:rsidRPr="00067F9C" w:rsidRDefault="009B6A38" w:rsidP="00DB1976">
      <w:pPr>
        <w:pStyle w:val="SingleTxtGR"/>
      </w:pPr>
      <w:r w:rsidRPr="00067F9C">
        <w:t>8.4</w:t>
      </w:r>
      <w:r w:rsidRPr="00067F9C">
        <w:tab/>
        <w:t>Комитет отмечает, что, по утверждению автора, его отец Джиллали Ларби был арестован жандармами поздним утром 25 мая 1994 года; что свидетелями ареста были его работник и один из друзей семьи. Он далее отмечает, что, по мнению автора, продолжительное отсутствие его отца, а также обсто</w:t>
      </w:r>
      <w:r w:rsidRPr="00067F9C">
        <w:t>я</w:t>
      </w:r>
      <w:r w:rsidRPr="00067F9C">
        <w:t>тельства и условия его ареста дают основания полагать, что он скончался в период соде</w:t>
      </w:r>
      <w:r w:rsidRPr="00067F9C">
        <w:t>р</w:t>
      </w:r>
      <w:r w:rsidRPr="00067F9C">
        <w:t>жания под стражей. Комитет констатирует, что государство-участник не пре</w:t>
      </w:r>
      <w:r w:rsidRPr="00067F9C">
        <w:t>д</w:t>
      </w:r>
      <w:r w:rsidRPr="00067F9C">
        <w:t>ставило никаких аргументов, опровергающих это утверждение. Комитет нап</w:t>
      </w:r>
      <w:r w:rsidRPr="00067F9C">
        <w:t>о</w:t>
      </w:r>
      <w:r w:rsidRPr="00067F9C">
        <w:t>минает, что в случае насильственного исчезновения лишение человека св</w:t>
      </w:r>
      <w:r w:rsidRPr="00067F9C">
        <w:t>о</w:t>
      </w:r>
      <w:r w:rsidRPr="00067F9C">
        <w:t>боды, за которым следуют отказ от признания этого факта или сокрытие и</w:t>
      </w:r>
      <w:r w:rsidRPr="00067F9C">
        <w:t>н</w:t>
      </w:r>
      <w:r w:rsidRPr="00067F9C">
        <w:t>формации о дальнейшей судьбе пропавшего без вести лица, равнозначны лишению этого лица защиты закона и созданию постоянной и серьезной угрозы его жизни, к</w:t>
      </w:r>
      <w:r w:rsidRPr="00067F9C">
        <w:t>о</w:t>
      </w:r>
      <w:r w:rsidRPr="00067F9C">
        <w:t>торую государство должно осознавать. В данном случае Комитет ко</w:t>
      </w:r>
      <w:r w:rsidRPr="00067F9C">
        <w:t>н</w:t>
      </w:r>
      <w:r w:rsidRPr="00067F9C">
        <w:t>статирует, что государство-участник не представило никакой информации, позволяющей заключить, что оно выполнило свое обязательство по защите жизни Джиллали Ларби. Следовательно, Комитет делает вывод о том, что государство-участник не выполнило своего обязательства по защите жизни Джиллали Ларби, нар</w:t>
      </w:r>
      <w:r w:rsidRPr="00067F9C">
        <w:t>у</w:t>
      </w:r>
      <w:r w:rsidRPr="00067F9C">
        <w:t>шив пункт 1 статьи 6 Пакта.</w:t>
      </w:r>
    </w:p>
    <w:p w:rsidR="009B6A38" w:rsidRPr="00067F9C" w:rsidRDefault="009B6A38" w:rsidP="00DB1976">
      <w:pPr>
        <w:pStyle w:val="SingleTxtGR"/>
      </w:pPr>
      <w:r w:rsidRPr="00067F9C">
        <w:t>8.5</w:t>
      </w:r>
      <w:r w:rsidRPr="00067F9C">
        <w:tab/>
        <w:t>Комитет признает ту степень страданий, которую вызывает содержание под стражей без связи с внешним миром в течение неопределенного периода времени. Он напоминает о своем замечании общего порядка № 20 (1992 год) о запрещении пыток и жестоких, бесчеловечных или унижающих достоинство видов обращения и наказания</w:t>
      </w:r>
      <w:r w:rsidRPr="00921005">
        <w:rPr>
          <w:sz w:val="18"/>
          <w:vertAlign w:val="superscript"/>
          <w:lang w:val="fr-CH"/>
        </w:rPr>
        <w:footnoteReference w:id="12"/>
      </w:r>
      <w:r w:rsidRPr="00067F9C">
        <w:t>, в котором государствам-участникам рекоменд</w:t>
      </w:r>
      <w:r w:rsidRPr="00067F9C">
        <w:t>у</w:t>
      </w:r>
      <w:r w:rsidRPr="00067F9C">
        <w:t>ется принять меры по запрещению тайного содержания под стражей.</w:t>
      </w:r>
      <w:r w:rsidRPr="00067F9C">
        <w:rPr>
          <w:i/>
        </w:rPr>
        <w:t xml:space="preserve"> </w:t>
      </w:r>
      <w:r w:rsidRPr="00067F9C">
        <w:t>Комитет отмечает, что в данном случае Джиллали Ларби был арестован полицией 3 и</w:t>
      </w:r>
      <w:r w:rsidRPr="00067F9C">
        <w:t>ю</w:t>
      </w:r>
      <w:r w:rsidRPr="00067F9C">
        <w:t>ля 1995 года, что его пытали в расположении бригады жандармерии в Мешраа-Сфа, что к тому же у него на лице имелись отчетливые следы побоев и что его судьба до сих пор неизвестна.</w:t>
      </w:r>
      <w:r w:rsidRPr="00067F9C">
        <w:rPr>
          <w:i/>
        </w:rPr>
        <w:t xml:space="preserve"> </w:t>
      </w:r>
      <w:r w:rsidRPr="00067F9C">
        <w:t>В отсутствие убедительных объяснений по этому вопросу со стороны государства-участника Комитет считает, что ук</w:t>
      </w:r>
      <w:r w:rsidRPr="00067F9C">
        <w:t>а</w:t>
      </w:r>
      <w:r w:rsidRPr="00067F9C">
        <w:t>занные факты представляют собой</w:t>
      </w:r>
      <w:r w:rsidR="00381965">
        <w:t xml:space="preserve"> </w:t>
      </w:r>
      <w:r w:rsidRPr="00067F9C">
        <w:t>нарушение статьи 7 Пакта в отношении Джиллали Ларби</w:t>
      </w:r>
      <w:r w:rsidRPr="00921005">
        <w:rPr>
          <w:sz w:val="18"/>
          <w:vertAlign w:val="superscript"/>
          <w:lang w:val="fr-CH"/>
        </w:rPr>
        <w:footnoteReference w:id="13"/>
      </w:r>
      <w:r w:rsidRPr="00067F9C">
        <w:t>.</w:t>
      </w:r>
    </w:p>
    <w:p w:rsidR="009B6A38" w:rsidRPr="00067F9C" w:rsidRDefault="009B6A38" w:rsidP="00DB1976">
      <w:pPr>
        <w:pStyle w:val="SingleTxtGR"/>
      </w:pPr>
      <w:r w:rsidRPr="00067F9C">
        <w:t>8.6</w:t>
      </w:r>
      <w:r w:rsidRPr="00067F9C">
        <w:tab/>
        <w:t>Комитет также принимает к сведению тревогу и беспокойство автора по поводу исчезновения Джиллали Ларби. Он считает, что представленные ему факты свидетельствуют о нарушении статьи 7 Пакта в отношении автора соо</w:t>
      </w:r>
      <w:r w:rsidRPr="00067F9C">
        <w:t>б</w:t>
      </w:r>
      <w:r w:rsidRPr="00067F9C">
        <w:t>щения</w:t>
      </w:r>
      <w:r w:rsidRPr="00921005">
        <w:rPr>
          <w:sz w:val="18"/>
          <w:vertAlign w:val="superscript"/>
          <w:lang w:val="fr-CH"/>
        </w:rPr>
        <w:footnoteReference w:id="14"/>
      </w:r>
      <w:r w:rsidRPr="00067F9C">
        <w:t>.</w:t>
      </w:r>
    </w:p>
    <w:p w:rsidR="009B6A38" w:rsidRPr="00067F9C" w:rsidRDefault="009B6A38" w:rsidP="00DB1976">
      <w:pPr>
        <w:pStyle w:val="SingleTxtGR"/>
      </w:pPr>
      <w:r w:rsidRPr="00067F9C">
        <w:t>8.7</w:t>
      </w:r>
      <w:r w:rsidRPr="00067F9C">
        <w:tab/>
        <w:t>Что касается жалоб на нарушение статьи 9, то Комитет принимает к св</w:t>
      </w:r>
      <w:r w:rsidRPr="00067F9C">
        <w:t>е</w:t>
      </w:r>
      <w:r w:rsidRPr="00067F9C">
        <w:t>дению утверждения автора о том, что Джиллали Ларби был арестован 25 мая 1994 года жандармами в униформе, не имевшими ордера на арест, что ему не сообщили причин ареста, не предъявили обвинения и не доставили в суде</w:t>
      </w:r>
      <w:r w:rsidRPr="00067F9C">
        <w:t>б</w:t>
      </w:r>
      <w:r w:rsidRPr="00067F9C">
        <w:t>ный орган, где он мог бы оспорить законность своего задержания. В</w:t>
      </w:r>
      <w:r w:rsidR="00381965" w:rsidRPr="00381965">
        <w:t xml:space="preserve"> </w:t>
      </w:r>
      <w:r w:rsidRPr="00067F9C">
        <w:t>отсутствие уб</w:t>
      </w:r>
      <w:r w:rsidRPr="00067F9C">
        <w:t>е</w:t>
      </w:r>
      <w:r w:rsidRPr="00067F9C">
        <w:t>дительных разъяснений со стороны государства-участника Комитет прих</w:t>
      </w:r>
      <w:r w:rsidRPr="00067F9C">
        <w:t>о</w:t>
      </w:r>
      <w:r w:rsidRPr="00067F9C">
        <w:t>дит к выводу о н</w:t>
      </w:r>
      <w:r w:rsidRPr="00067F9C">
        <w:t>а</w:t>
      </w:r>
      <w:r w:rsidRPr="00067F9C">
        <w:t>рушении статьи 9 в отношении Джиллали Ларби</w:t>
      </w:r>
      <w:r w:rsidRPr="00921005">
        <w:rPr>
          <w:sz w:val="18"/>
          <w:vertAlign w:val="superscript"/>
          <w:lang w:val="fr-CH"/>
        </w:rPr>
        <w:footnoteReference w:id="15"/>
      </w:r>
      <w:r w:rsidRPr="00067F9C">
        <w:rPr>
          <w:i/>
        </w:rPr>
        <w:t>.</w:t>
      </w:r>
    </w:p>
    <w:p w:rsidR="009B6A38" w:rsidRPr="00067F9C" w:rsidRDefault="009B6A38" w:rsidP="00DB1976">
      <w:pPr>
        <w:pStyle w:val="SingleTxtGR"/>
      </w:pPr>
      <w:r w:rsidRPr="00067F9C">
        <w:t>8.8</w:t>
      </w:r>
      <w:r w:rsidRPr="00067F9C">
        <w:tab/>
        <w:t>Относительно жалобы по пункту 1 статьи 10 Комитет вновь заявл</w:t>
      </w:r>
      <w:r w:rsidRPr="00067F9C">
        <w:t>я</w:t>
      </w:r>
      <w:r w:rsidRPr="00067F9C">
        <w:t>ет, что лица, лишенные свободы, не должны испытывать иных лишений и тягот пом</w:t>
      </w:r>
      <w:r w:rsidRPr="00067F9C">
        <w:t>и</w:t>
      </w:r>
      <w:r w:rsidRPr="00067F9C">
        <w:t>мо тех, которые являются результатом лишения свободы, и что необходимо с</w:t>
      </w:r>
      <w:r w:rsidRPr="00067F9C">
        <w:t>о</w:t>
      </w:r>
      <w:r w:rsidRPr="00067F9C">
        <w:t>блюдать их право на гуманное обращение и на уважение их достоинства. Пр</w:t>
      </w:r>
      <w:r w:rsidRPr="00067F9C">
        <w:t>и</w:t>
      </w:r>
      <w:r w:rsidRPr="00067F9C">
        <w:t>няв во внимание факт тайного содержания Джиллали Ларби под стражей и то обстоятельство, что государство-участник не представило информации по эт</w:t>
      </w:r>
      <w:r w:rsidRPr="00067F9C">
        <w:t>о</w:t>
      </w:r>
      <w:r w:rsidRPr="00067F9C">
        <w:t>му вопросу, Комитет делает вывод о нарушении пункта 1 статьи 10 Пакта</w:t>
      </w:r>
      <w:r w:rsidRPr="00921005">
        <w:rPr>
          <w:sz w:val="18"/>
          <w:vertAlign w:val="superscript"/>
          <w:lang w:val="fr-CH"/>
        </w:rPr>
        <w:footnoteReference w:id="16"/>
      </w:r>
      <w:r w:rsidRPr="00067F9C">
        <w:t>.</w:t>
      </w:r>
    </w:p>
    <w:p w:rsidR="009B6A38" w:rsidRPr="00067F9C" w:rsidRDefault="009B6A38" w:rsidP="00DB1976">
      <w:pPr>
        <w:pStyle w:val="SingleTxtGR"/>
      </w:pPr>
      <w:r w:rsidRPr="00067F9C">
        <w:t>8.9</w:t>
      </w:r>
      <w:r w:rsidRPr="00067F9C">
        <w:tab/>
        <w:t>В отношении жалобы на нарушение статьи 16 Комитет вновь ссылается на свою постоянную практику, согласно которой факт преднамеренного лиш</w:t>
      </w:r>
      <w:r w:rsidRPr="00067F9C">
        <w:t>е</w:t>
      </w:r>
      <w:r w:rsidRPr="00067F9C">
        <w:t>ния какого-либо лица защиты закона на продолжительный период времени м</w:t>
      </w:r>
      <w:r w:rsidRPr="00067F9C">
        <w:t>о</w:t>
      </w:r>
      <w:r w:rsidRPr="00067F9C">
        <w:t>жет представлять собой отказ в признании лица субъектом права, если жертва находилась в руках сотрудников государственных органов в то время, когда ее видели в последний раз, и если ее близким систематически мешают получить доступ к п</w:t>
      </w:r>
      <w:r w:rsidRPr="00067F9C">
        <w:t>о</w:t>
      </w:r>
      <w:r w:rsidRPr="00067F9C">
        <w:t>тенциально эффективным средствам правовой защиты, в том числе судебным (пункт 3 статьи 2 Пакта)</w:t>
      </w:r>
      <w:r w:rsidRPr="00921005">
        <w:rPr>
          <w:sz w:val="18"/>
          <w:vertAlign w:val="superscript"/>
          <w:lang w:val="fr-CH"/>
        </w:rPr>
        <w:footnoteReference w:id="17"/>
      </w:r>
      <w:r w:rsidRPr="00067F9C">
        <w:t>. В данном случае Комитет отмечает, что государство-участник не представило никакой информации об участи и мест</w:t>
      </w:r>
      <w:r w:rsidRPr="00067F9C">
        <w:t>о</w:t>
      </w:r>
      <w:r w:rsidRPr="00067F9C">
        <w:t>нахождении исчезнувшего лица, несмотря на многочисленные обращения авт</w:t>
      </w:r>
      <w:r w:rsidRPr="00067F9C">
        <w:t>о</w:t>
      </w:r>
      <w:r w:rsidRPr="00067F9C">
        <w:t>ра и его семьи к государству-участнику. Комитет делает вывод о том, что н</w:t>
      </w:r>
      <w:r w:rsidRPr="00067F9C">
        <w:t>а</w:t>
      </w:r>
      <w:r w:rsidRPr="00067F9C">
        <w:t xml:space="preserve">сильственное исчезновение </w:t>
      </w:r>
      <w:r w:rsidR="00381965">
        <w:t xml:space="preserve">Джиллали Ларби </w:t>
      </w:r>
      <w:r w:rsidRPr="00067F9C">
        <w:t xml:space="preserve">с 25 мая 1994 </w:t>
      </w:r>
      <w:r w:rsidR="00DC5508">
        <w:t xml:space="preserve">года </w:t>
      </w:r>
      <w:r w:rsidRPr="00067F9C">
        <w:t>лишило его защиты закона и права на признание его правосубъектности, что является н</w:t>
      </w:r>
      <w:r w:rsidRPr="00067F9C">
        <w:t>а</w:t>
      </w:r>
      <w:r w:rsidRPr="00067F9C">
        <w:t>рушением статьи 16 Пакта.</w:t>
      </w:r>
    </w:p>
    <w:p w:rsidR="009B6A38" w:rsidRPr="00DD11E5" w:rsidRDefault="009B6A38" w:rsidP="00DD11E5">
      <w:pPr>
        <w:pStyle w:val="SingleTxtGR"/>
      </w:pPr>
      <w:r w:rsidRPr="00067F9C">
        <w:t>8.10</w:t>
      </w:r>
      <w:r w:rsidRPr="00067F9C">
        <w:tab/>
        <w:t>Автор ссылается на пункт 3 статьи 2 Пакта, в соответствии с которым г</w:t>
      </w:r>
      <w:r w:rsidRPr="00067F9C">
        <w:t>о</w:t>
      </w:r>
      <w:r w:rsidRPr="00067F9C">
        <w:t>сударства-участники обязаны обеспечить любому лицу, права которого, призн</w:t>
      </w:r>
      <w:r w:rsidRPr="00067F9C">
        <w:t>а</w:t>
      </w:r>
      <w:r w:rsidRPr="00067F9C">
        <w:t>ваемые в Пакте, могли быть нарушены, эффективное средство правовой защ</w:t>
      </w:r>
      <w:r w:rsidRPr="00067F9C">
        <w:t>и</w:t>
      </w:r>
      <w:r w:rsidRPr="00067F9C">
        <w:t>ты. Комитет придает большое значение созданию государствами-участниками надлежащих судебных и административных механизмов для рассмотрения ж</w:t>
      </w:r>
      <w:r w:rsidRPr="00067F9C">
        <w:t>а</w:t>
      </w:r>
      <w:r w:rsidRPr="00067F9C">
        <w:t>лоб на нарушения этих прав. Он напоминает о</w:t>
      </w:r>
      <w:r w:rsidR="00921005">
        <w:t xml:space="preserve"> своем замечании общего поря</w:t>
      </w:r>
      <w:r w:rsidR="00921005">
        <w:t>д</w:t>
      </w:r>
      <w:r w:rsidR="00921005">
        <w:t>ка</w:t>
      </w:r>
      <w:r w:rsidR="00DD11E5">
        <w:rPr>
          <w:lang w:val="en-US"/>
        </w:rPr>
        <w:t> </w:t>
      </w:r>
      <w:r w:rsidRPr="00067F9C">
        <w:t>№ 31 (2004 год) о характере общего юридического обязательства, налагаем</w:t>
      </w:r>
      <w:r w:rsidRPr="00067F9C">
        <w:t>о</w:t>
      </w:r>
      <w:r w:rsidRPr="00067F9C">
        <w:t>го на государства</w:t>
      </w:r>
      <w:r w:rsidR="00DC5508">
        <w:t xml:space="preserve"> − </w:t>
      </w:r>
      <w:r w:rsidRPr="00067F9C">
        <w:t>участники Пакта</w:t>
      </w:r>
      <w:r w:rsidRPr="00921005">
        <w:rPr>
          <w:sz w:val="18"/>
          <w:vertAlign w:val="superscript"/>
          <w:lang w:val="fr-CH"/>
        </w:rPr>
        <w:footnoteReference w:id="18"/>
      </w:r>
      <w:r w:rsidRPr="00067F9C">
        <w:t>, в котором, в частности, указано, что н</w:t>
      </w:r>
      <w:r w:rsidRPr="00067F9C">
        <w:t>е</w:t>
      </w:r>
      <w:r w:rsidRPr="00067F9C">
        <w:t>принятие государством-участником мер для проведения расследования в связи с жалобами на нарушения может само по себе рассматриваться как отдельное н</w:t>
      </w:r>
      <w:r w:rsidRPr="00067F9C">
        <w:t>а</w:t>
      </w:r>
      <w:r w:rsidRPr="00067F9C">
        <w:t>рушение Пакта. В данном случае семья потерпевшего сообщила об исчезнов</w:t>
      </w:r>
      <w:r w:rsidRPr="00067F9C">
        <w:t>е</w:t>
      </w:r>
      <w:r w:rsidRPr="00067F9C">
        <w:t>нии Джиллали Ларби</w:t>
      </w:r>
      <w:r w:rsidR="00381965">
        <w:t xml:space="preserve"> </w:t>
      </w:r>
      <w:r w:rsidRPr="00067F9C">
        <w:t>компетентным органам, в частности прокурору Республ</w:t>
      </w:r>
      <w:r w:rsidRPr="00067F9C">
        <w:t>и</w:t>
      </w:r>
      <w:r w:rsidRPr="00067F9C">
        <w:t>ки в суде Тиарета и Генеральному прокурору в суде Тиарета, начальнику орг</w:t>
      </w:r>
      <w:r w:rsidRPr="00067F9C">
        <w:t>а</w:t>
      </w:r>
      <w:r w:rsidRPr="00067F9C">
        <w:t>нов безопасности, в управление вилайи Тиарет, председателю НККПЗПЧ и пр</w:t>
      </w:r>
      <w:r w:rsidRPr="00067F9C">
        <w:t>е</w:t>
      </w:r>
      <w:r w:rsidRPr="00067F9C">
        <w:t>зиденту Республики, но все действия оказались безрезультатными: государс</w:t>
      </w:r>
      <w:r w:rsidRPr="00067F9C">
        <w:t>т</w:t>
      </w:r>
      <w:r w:rsidRPr="00067F9C">
        <w:t>вом-участником не было проведено никакого углубленного и тщательного ра</w:t>
      </w:r>
      <w:r w:rsidRPr="00067F9C">
        <w:t>с</w:t>
      </w:r>
      <w:r w:rsidRPr="00067F9C">
        <w:t>следования в связи с исчезновением отца автора. С другой стороны, из-за о</w:t>
      </w:r>
      <w:r w:rsidRPr="00067F9C">
        <w:t>т</w:t>
      </w:r>
      <w:r w:rsidRPr="00067F9C">
        <w:t>сутствия юридической возможности обратиться в какую-либо судебную и</w:t>
      </w:r>
      <w:r w:rsidRPr="00067F9C">
        <w:t>н</w:t>
      </w:r>
      <w:r w:rsidRPr="00067F9C">
        <w:t>станцию после принятия Пост</w:t>
      </w:r>
      <w:r w:rsidRPr="00067F9C">
        <w:t>а</w:t>
      </w:r>
      <w:r w:rsidRPr="00067F9C">
        <w:t>новления № 06-01 об</w:t>
      </w:r>
      <w:r w:rsidR="00381965" w:rsidRPr="00381965">
        <w:t xml:space="preserve"> </w:t>
      </w:r>
      <w:r w:rsidRPr="00067F9C">
        <w:t>осуществлении Хартии за мир и национальное примирение Джиллали Ла</w:t>
      </w:r>
      <w:r w:rsidRPr="00067F9C">
        <w:t>р</w:t>
      </w:r>
      <w:r w:rsidRPr="00067F9C">
        <w:t>би, автор и его семья по-прежнему не имеют доступа к эффективным средствам правовой защиты, п</w:t>
      </w:r>
      <w:r w:rsidRPr="00067F9C">
        <w:t>о</w:t>
      </w:r>
      <w:r w:rsidRPr="00067F9C">
        <w:t>скольку в соответствии с этим постановлением любое обращение в суд в ц</w:t>
      </w:r>
      <w:r w:rsidRPr="00067F9C">
        <w:t>е</w:t>
      </w:r>
      <w:r w:rsidRPr="00067F9C">
        <w:t>лях проведения разбирательства по таким тяжким преступлениям, как действия, приводящие к насильственным исчезновениям, запрещается под угрозой т</w:t>
      </w:r>
      <w:r w:rsidRPr="00067F9C">
        <w:t>ю</w:t>
      </w:r>
      <w:r w:rsidRPr="00067F9C">
        <w:t>ремного заключения</w:t>
      </w:r>
      <w:r w:rsidR="00381965">
        <w:t xml:space="preserve"> </w:t>
      </w:r>
      <w:r w:rsidRPr="00067F9C">
        <w:t>(</w:t>
      </w:r>
      <w:r w:rsidRPr="00DD11E5">
        <w:t>CCPR</w:t>
      </w:r>
      <w:r w:rsidRPr="00067F9C">
        <w:t>/</w:t>
      </w:r>
      <w:r w:rsidRPr="00DD11E5">
        <w:t>C</w:t>
      </w:r>
      <w:r w:rsidRPr="00067F9C">
        <w:t>/</w:t>
      </w:r>
      <w:r w:rsidRPr="00DD11E5">
        <w:t>DZA</w:t>
      </w:r>
      <w:r w:rsidRPr="00067F9C">
        <w:t>/</w:t>
      </w:r>
      <w:r w:rsidRPr="00DD11E5">
        <w:t>CO</w:t>
      </w:r>
      <w:r w:rsidRPr="00067F9C">
        <w:t>/3, пункт 7). Исходя из этого Комитет делает вывод, что представленные ему факты сви</w:t>
      </w:r>
      <w:r w:rsidR="00616BAC">
        <w:t>детельствуют о нарушении пункта</w:t>
      </w:r>
      <w:r w:rsidR="00616BAC" w:rsidRPr="00DD11E5">
        <w:t> </w:t>
      </w:r>
      <w:r w:rsidRPr="00067F9C">
        <w:t>3 статьи 2, рассматриваемого в совокупности с пунктом 1 статьи 6 и статьями 7, 9, 10 и 16 Пакта</w:t>
      </w:r>
      <w:r w:rsidR="00DC5508">
        <w:t>,</w:t>
      </w:r>
      <w:r w:rsidRPr="00067F9C">
        <w:t xml:space="preserve"> в отношении Джиллали Ларби, и пункта 3 статьи 2 Пакта, рассматриваемого в совокупности со статьей 7</w:t>
      </w:r>
      <w:r w:rsidR="00DC5508">
        <w:t>,</w:t>
      </w:r>
      <w:r w:rsidR="00DD11E5">
        <w:t xml:space="preserve"> в отношении автора с</w:t>
      </w:r>
      <w:r w:rsidR="00DD11E5">
        <w:t>о</w:t>
      </w:r>
      <w:r w:rsidR="00DD11E5">
        <w:t>общения.</w:t>
      </w:r>
    </w:p>
    <w:p w:rsidR="009B6A38" w:rsidRPr="00067F9C" w:rsidRDefault="009B6A38" w:rsidP="00DB1976">
      <w:pPr>
        <w:pStyle w:val="SingleTxtGR"/>
      </w:pPr>
      <w:r w:rsidRPr="00067F9C">
        <w:t>9.</w:t>
      </w:r>
      <w:r w:rsidRPr="00067F9C">
        <w:tab/>
        <w:t>Действуя в соответствии с пунктом 4 статьи 5 Факультативного протокола к Международному пакту о гражданских и политических правах, Комитет по правам человека констатирует, что представленные ему факты св</w:t>
      </w:r>
      <w:r w:rsidRPr="00067F9C">
        <w:t>и</w:t>
      </w:r>
      <w:r w:rsidRPr="00067F9C">
        <w:t>детельствуют о нарушении государством-участником пун</w:t>
      </w:r>
      <w:r w:rsidRPr="00067F9C">
        <w:t>к</w:t>
      </w:r>
      <w:r w:rsidRPr="00067F9C">
        <w:t>та 1 статьи 6, статей 7 и 9, пункта 1 статьи 10, статьи 16 и пункта 3 статьи 2, рассматриваемого в совокупности со статьями 6 (пункт 1), 7, 9, 10 (пункт 1) и 16 Пакта</w:t>
      </w:r>
      <w:r w:rsidR="00DC5508">
        <w:t>,</w:t>
      </w:r>
      <w:r w:rsidRPr="00067F9C">
        <w:t xml:space="preserve"> в отношении Джиллали Ла</w:t>
      </w:r>
      <w:r w:rsidRPr="00067F9C">
        <w:t>р</w:t>
      </w:r>
      <w:r w:rsidRPr="00067F9C">
        <w:t>би. Кроме того, он констатирует нарушение статьи 7 и пункта 3 статьи 2, ра</w:t>
      </w:r>
      <w:r w:rsidRPr="00067F9C">
        <w:t>с</w:t>
      </w:r>
      <w:r w:rsidRPr="00067F9C">
        <w:t>сматриваемого в совокупности со статьей 7 Пакта, в отношении автора сообщ</w:t>
      </w:r>
      <w:r w:rsidRPr="00067F9C">
        <w:t>е</w:t>
      </w:r>
      <w:r w:rsidRPr="00067F9C">
        <w:t>ния.</w:t>
      </w:r>
    </w:p>
    <w:p w:rsidR="009B6A38" w:rsidRPr="00067F9C" w:rsidRDefault="00921005" w:rsidP="00DB1976">
      <w:pPr>
        <w:pStyle w:val="SingleTxtGR"/>
      </w:pPr>
      <w:r>
        <w:t>10.</w:t>
      </w:r>
      <w:r>
        <w:tab/>
      </w:r>
      <w:r w:rsidR="009B6A38" w:rsidRPr="00067F9C">
        <w:t>В соответствии с пунктом 3 статьи 2 Пакта государство-участник обяз</w:t>
      </w:r>
      <w:r w:rsidR="009B6A38" w:rsidRPr="00067F9C">
        <w:t>а</w:t>
      </w:r>
      <w:r w:rsidR="009B6A38" w:rsidRPr="00067F9C">
        <w:t>но обеспечить автору и его семье эффективное средство правовой защиты, в час</w:t>
      </w:r>
      <w:r w:rsidR="009B6A38" w:rsidRPr="00067F9C">
        <w:t>т</w:t>
      </w:r>
      <w:r w:rsidR="009B6A38" w:rsidRPr="00067F9C">
        <w:t>ности: а) провести углубленное и тщательное расследование по факту исчезн</w:t>
      </w:r>
      <w:r w:rsidR="009B6A38" w:rsidRPr="00067F9C">
        <w:t>о</w:t>
      </w:r>
      <w:r w:rsidR="009B6A38" w:rsidRPr="00067F9C">
        <w:t xml:space="preserve">вения Джиллали Ларби; </w:t>
      </w:r>
      <w:r w:rsidR="009B6A38" w:rsidRPr="00067F9C">
        <w:rPr>
          <w:lang w:val="fr-CH"/>
        </w:rPr>
        <w:t>b</w:t>
      </w:r>
      <w:r w:rsidR="009B6A38" w:rsidRPr="00067F9C">
        <w:t>)</w:t>
      </w:r>
      <w:r w:rsidR="00381965" w:rsidRPr="00381965">
        <w:t xml:space="preserve"> </w:t>
      </w:r>
      <w:r w:rsidR="009B6A38" w:rsidRPr="00067F9C">
        <w:t>предоставить автору и его семье подробную инфо</w:t>
      </w:r>
      <w:r w:rsidR="009B6A38" w:rsidRPr="00067F9C">
        <w:t>р</w:t>
      </w:r>
      <w:r w:rsidR="009B6A38" w:rsidRPr="00067F9C">
        <w:t>мацию о результатах своего расследования; с) немедленно освободить соотве</w:t>
      </w:r>
      <w:r w:rsidR="009B6A38" w:rsidRPr="00067F9C">
        <w:t>т</w:t>
      </w:r>
      <w:r w:rsidR="009B6A38" w:rsidRPr="00067F9C">
        <w:t>ствующее лицо, если оно по-прежнем</w:t>
      </w:r>
      <w:r w:rsidR="00DD11E5">
        <w:t>у тайно содержится под стражей;</w:t>
      </w:r>
      <w:r w:rsidR="00DD11E5" w:rsidRPr="00DD11E5">
        <w:br/>
      </w:r>
      <w:r w:rsidR="009B6A38" w:rsidRPr="00067F9C">
        <w:rPr>
          <w:lang w:val="en-US"/>
        </w:rPr>
        <w:t>d</w:t>
      </w:r>
      <w:r w:rsidR="009B6A38" w:rsidRPr="00067F9C">
        <w:t>) в случае, если Джиллали Ларби скончался,</w:t>
      </w:r>
      <w:r w:rsidR="00DD11E5">
        <w:t xml:space="preserve"> передать его останки семье; е)</w:t>
      </w:r>
      <w:r w:rsidR="00DD11E5">
        <w:rPr>
          <w:lang w:val="en-US"/>
        </w:rPr>
        <w:t> </w:t>
      </w:r>
      <w:r w:rsidR="009B6A38" w:rsidRPr="00067F9C">
        <w:t>привлечь к ответственности, осудить и наказать лиц, виновных в соверше</w:t>
      </w:r>
      <w:r w:rsidR="009B6A38" w:rsidRPr="00067F9C">
        <w:t>н</w:t>
      </w:r>
      <w:r w:rsidR="009B6A38" w:rsidRPr="00067F9C">
        <w:t xml:space="preserve">ных нарушениях; и </w:t>
      </w:r>
      <w:r w:rsidR="009B6A38" w:rsidRPr="00067F9C">
        <w:rPr>
          <w:lang w:val="en-US"/>
        </w:rPr>
        <w:t>f</w:t>
      </w:r>
      <w:r w:rsidR="009B6A38" w:rsidRPr="00067F9C">
        <w:t>)</w:t>
      </w:r>
      <w:r w:rsidR="00381965" w:rsidRPr="00381965">
        <w:t xml:space="preserve"> </w:t>
      </w:r>
      <w:r w:rsidR="009B6A38" w:rsidRPr="00067F9C">
        <w:t>предоставить соответствующую компенсацию за доп</w:t>
      </w:r>
      <w:r w:rsidR="009B6A38" w:rsidRPr="00067F9C">
        <w:t>у</w:t>
      </w:r>
      <w:r w:rsidR="009B6A38" w:rsidRPr="00067F9C">
        <w:t>щенные нарушения автору, а также Джиллали Ларби, если он еще жив. Несмо</w:t>
      </w:r>
      <w:r w:rsidR="009B6A38" w:rsidRPr="00067F9C">
        <w:t>т</w:t>
      </w:r>
      <w:r w:rsidR="009B6A38" w:rsidRPr="00067F9C">
        <w:t>ря на Постановление</w:t>
      </w:r>
      <w:r w:rsidR="00381965" w:rsidRPr="00381965">
        <w:t xml:space="preserve"> </w:t>
      </w:r>
      <w:r w:rsidR="009B6A38" w:rsidRPr="00067F9C">
        <w:t>№</w:t>
      </w:r>
      <w:r w:rsidR="00BD667B">
        <w:t> </w:t>
      </w:r>
      <w:r w:rsidR="009B6A38" w:rsidRPr="00067F9C">
        <w:t>06-01, государству-участнику следует также позаб</w:t>
      </w:r>
      <w:r w:rsidR="009B6A38" w:rsidRPr="00067F9C">
        <w:t>о</w:t>
      </w:r>
      <w:r w:rsidR="009B6A38" w:rsidRPr="00067F9C">
        <w:t>титься о том, чтобы не нарушать право на эффективное средство правовой з</w:t>
      </w:r>
      <w:r w:rsidR="009B6A38" w:rsidRPr="00067F9C">
        <w:t>а</w:t>
      </w:r>
      <w:r w:rsidR="009B6A38" w:rsidRPr="00067F9C">
        <w:t>щиты, принадлежащее жертвам таких преступлений, как пытки, внесудебные казни и насил</w:t>
      </w:r>
      <w:r w:rsidR="009B6A38" w:rsidRPr="00067F9C">
        <w:t>ь</w:t>
      </w:r>
      <w:r w:rsidR="009B6A38" w:rsidRPr="00067F9C">
        <w:t>ственные исчезновения. Наряду с этим государство-участник обязано принять меры для обеспечения того, чтобы аналогичные нарушения не повторялись в будущем.</w:t>
      </w:r>
    </w:p>
    <w:p w:rsidR="009B6A38" w:rsidRPr="00067F9C" w:rsidRDefault="00DD11E5" w:rsidP="00DB1976">
      <w:pPr>
        <w:pStyle w:val="SingleTxtGR"/>
      </w:pPr>
      <w:r w:rsidRPr="000118C3">
        <w:t>11</w:t>
      </w:r>
      <w:r w:rsidR="009B6A38" w:rsidRPr="00067F9C">
        <w:t>.</w:t>
      </w:r>
      <w:r w:rsidR="009B6A38" w:rsidRPr="00067F9C">
        <w:tab/>
      </w:r>
      <w:r w:rsidR="000118C3" w:rsidRPr="002C6304">
        <w:t>С учетом того, что, присоединившись к Факультативному протоколу, г</w:t>
      </w:r>
      <w:r w:rsidR="000118C3" w:rsidRPr="002C6304">
        <w:t>о</w:t>
      </w:r>
      <w:r w:rsidR="000118C3" w:rsidRPr="002C6304">
        <w:t>сударство-участник признало компетенцию Комитета определять наличие или отсутствие нар</w:t>
      </w:r>
      <w:r w:rsidR="000118C3" w:rsidRPr="002C6304">
        <w:t>у</w:t>
      </w:r>
      <w:r w:rsidR="000118C3" w:rsidRPr="002C6304">
        <w:t>шений Пакта и что, согласно статье 2 Пакта, государство-участник обязалось обеспеч</w:t>
      </w:r>
      <w:r w:rsidR="000118C3" w:rsidRPr="002C6304">
        <w:t>и</w:t>
      </w:r>
      <w:r w:rsidR="000118C3" w:rsidRPr="002C6304">
        <w:t>вать всем находящимся в пределах его территории и под его юрисдикцией лицам признаваемые в Пакте права и эффективные и имеющие исковую силу средства правовой защиты в случае установленного факта нарушения, Комитет хотел бы получить от государства-участника в теч</w:t>
      </w:r>
      <w:r w:rsidR="000118C3" w:rsidRPr="002C6304">
        <w:t>е</w:t>
      </w:r>
      <w:r w:rsidR="000118C3" w:rsidRPr="002C6304">
        <w:t>ние 180 дней информацию о мерах, принятых во исполнение настоящих соо</w:t>
      </w:r>
      <w:r w:rsidR="000118C3" w:rsidRPr="002C6304">
        <w:t>б</w:t>
      </w:r>
      <w:r w:rsidR="000118C3" w:rsidRPr="002C6304">
        <w:t xml:space="preserve">ражений. Государству-участнику предлагается также обнародовать настоящие соображения </w:t>
      </w:r>
      <w:r w:rsidR="000118C3">
        <w:t xml:space="preserve">и обеспечить их широкое распространение </w:t>
      </w:r>
      <w:r w:rsidR="000118C3" w:rsidRPr="002C6304">
        <w:t>на официаль</w:t>
      </w:r>
      <w:r w:rsidR="000118C3">
        <w:t>ных яз</w:t>
      </w:r>
      <w:r w:rsidR="000118C3">
        <w:t>ы</w:t>
      </w:r>
      <w:r w:rsidR="000118C3">
        <w:t>ках</w:t>
      </w:r>
      <w:r w:rsidR="009B6A38" w:rsidRPr="00067F9C">
        <w:t>.</w:t>
      </w:r>
    </w:p>
    <w:p w:rsidR="009B6A38" w:rsidRPr="00067F9C" w:rsidRDefault="009B6A38" w:rsidP="00DB1976">
      <w:pPr>
        <w:pStyle w:val="SingleTxtGR"/>
      </w:pPr>
      <w:r w:rsidRPr="00067F9C">
        <w:t>[Принято на английском, испанском и французском языках, причем языком ор</w:t>
      </w:r>
      <w:r w:rsidRPr="00067F9C">
        <w:t>и</w:t>
      </w:r>
      <w:r w:rsidRPr="00067F9C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067F9C">
        <w:t>е</w:t>
      </w:r>
      <w:r w:rsidRPr="00067F9C">
        <w:t>неральной Ассамблее.]</w:t>
      </w:r>
    </w:p>
    <w:p w:rsidR="009B6A38" w:rsidRPr="00067F9C" w:rsidRDefault="00921005" w:rsidP="00921005">
      <w:pPr>
        <w:pStyle w:val="HChGR"/>
        <w:pageBreakBefore/>
      </w:pPr>
      <w:r>
        <w:t>Приложение</w:t>
      </w:r>
    </w:p>
    <w:p w:rsidR="009B6A38" w:rsidRPr="00067F9C" w:rsidRDefault="00921005" w:rsidP="00921005">
      <w:pPr>
        <w:pStyle w:val="H1GR"/>
      </w:pPr>
      <w:r>
        <w:tab/>
      </w:r>
      <w:r>
        <w:tab/>
      </w:r>
      <w:r w:rsidR="009B6A38" w:rsidRPr="00067F9C">
        <w:t>Особое мнение г-на Фабиана Омара Сальвиоли и г-на Виктора Мануэля Родр</w:t>
      </w:r>
      <w:r w:rsidR="009B6A38" w:rsidRPr="00067F9C">
        <w:t>и</w:t>
      </w:r>
      <w:r w:rsidR="009B6A38" w:rsidRPr="00067F9C">
        <w:t>геса-Ресии</w:t>
      </w:r>
    </w:p>
    <w:p w:rsidR="009B6A38" w:rsidRPr="00067F9C" w:rsidRDefault="00921005" w:rsidP="00921005">
      <w:pPr>
        <w:pStyle w:val="SingleTxtGR"/>
      </w:pPr>
      <w:r>
        <w:t>1.</w:t>
      </w:r>
      <w:r>
        <w:tab/>
      </w:r>
      <w:r w:rsidR="009B6A38" w:rsidRPr="00067F9C">
        <w:t xml:space="preserve">Мы согласны с решением Комитета </w:t>
      </w:r>
      <w:r>
        <w:t>по правам человека по сообщ</w:t>
      </w:r>
      <w:r>
        <w:t>е</w:t>
      </w:r>
      <w:r>
        <w:t>нию</w:t>
      </w:r>
      <w:r w:rsidR="000118C3">
        <w:rPr>
          <w:lang w:val="en-US"/>
        </w:rPr>
        <w:t> </w:t>
      </w:r>
      <w:r>
        <w:t>№</w:t>
      </w:r>
      <w:r w:rsidR="000118C3">
        <w:rPr>
          <w:lang w:val="en-US"/>
        </w:rPr>
        <w:t> </w:t>
      </w:r>
      <w:r w:rsidR="009B6A38" w:rsidRPr="00067F9C">
        <w:t>1831/2008, в котором Комитет констатировал в отношении Джиллали Ларби н</w:t>
      </w:r>
      <w:r w:rsidR="009B6A38" w:rsidRPr="00067F9C">
        <w:t>а</w:t>
      </w:r>
      <w:r w:rsidR="009B6A38" w:rsidRPr="00067F9C">
        <w:t>рушение прав, гарантируемых в статьях 6 (пункт 1), 7, 9, 10 (пункт 1) и 16 Пакта, и обязательств, предусмотренных в пункте 3 статьи 2, рассматр</w:t>
      </w:r>
      <w:r w:rsidR="009B6A38" w:rsidRPr="00067F9C">
        <w:t>и</w:t>
      </w:r>
      <w:r w:rsidR="009B6A38" w:rsidRPr="00067F9C">
        <w:t>ваемом в совокупности со статьями 6 (пункт 1), 7, 9, 10 (пункт 1) и 16, а также в отнош</w:t>
      </w:r>
      <w:r w:rsidR="009B6A38" w:rsidRPr="00067F9C">
        <w:t>е</w:t>
      </w:r>
      <w:r w:rsidR="009B6A38" w:rsidRPr="00067F9C">
        <w:t>нии автора – нарушение статьи 7 и пункта 3 статьи 2, рассматриваемого в сов</w:t>
      </w:r>
      <w:r w:rsidR="009B6A38" w:rsidRPr="00067F9C">
        <w:t>о</w:t>
      </w:r>
      <w:r w:rsidR="009B6A38" w:rsidRPr="00067F9C">
        <w:t>купности с этой же статьей.</w:t>
      </w:r>
    </w:p>
    <w:p w:rsidR="009B6A38" w:rsidRPr="00067F9C" w:rsidRDefault="00921005" w:rsidP="00921005">
      <w:pPr>
        <w:pStyle w:val="SingleTxtGR"/>
      </w:pPr>
      <w:r>
        <w:t>2.</w:t>
      </w:r>
      <w:r>
        <w:tab/>
      </w:r>
      <w:r w:rsidR="009B6A38" w:rsidRPr="00067F9C">
        <w:t>Однако мы озабочены тем фактом, что в своих соображениях по выш</w:t>
      </w:r>
      <w:r w:rsidR="009B6A38" w:rsidRPr="00067F9C">
        <w:t>е</w:t>
      </w:r>
      <w:r w:rsidR="009B6A38" w:rsidRPr="00067F9C">
        <w:t>упомянутому сообщению Комитет не рассматривает в качестве дополнительн</w:t>
      </w:r>
      <w:r w:rsidR="009B6A38" w:rsidRPr="00067F9C">
        <w:t>о</w:t>
      </w:r>
      <w:r w:rsidR="009B6A38" w:rsidRPr="00067F9C">
        <w:t xml:space="preserve">го нарушения Пакта наличие внутренних положений </w:t>
      </w:r>
      <w:r w:rsidR="00BD667B">
        <w:t>−</w:t>
      </w:r>
      <w:r w:rsidR="009B6A38" w:rsidRPr="00067F9C">
        <w:t xml:space="preserve"> а именно статей 45 и 46 П</w:t>
      </w:r>
      <w:r w:rsidR="009B6A38" w:rsidRPr="00067F9C">
        <w:t>о</w:t>
      </w:r>
      <w:r w:rsidR="009B6A38" w:rsidRPr="00067F9C">
        <w:t xml:space="preserve">становления № 06-01, </w:t>
      </w:r>
      <w:r w:rsidR="00BD667B">
        <w:t>−</w:t>
      </w:r>
      <w:r w:rsidR="009B6A38" w:rsidRPr="00067F9C">
        <w:t xml:space="preserve"> которые сами по себе противоречат Пакту.</w:t>
      </w:r>
    </w:p>
    <w:p w:rsidR="009B6A38" w:rsidRPr="00067F9C" w:rsidRDefault="00921005" w:rsidP="00921005">
      <w:pPr>
        <w:pStyle w:val="SingleTxtGR"/>
      </w:pPr>
      <w:r>
        <w:t>3.</w:t>
      </w:r>
      <w:r>
        <w:tab/>
      </w:r>
      <w:r w:rsidR="009B6A38" w:rsidRPr="00067F9C">
        <w:t>Мы с сожалением напоминаем, что наша правовая оценка последствий существования и применения упомянутых статей отличается от оценки бол</w:t>
      </w:r>
      <w:r w:rsidR="009B6A38" w:rsidRPr="00067F9C">
        <w:t>ь</w:t>
      </w:r>
      <w:r w:rsidR="009B6A38" w:rsidRPr="00067F9C">
        <w:t>шинства членов Комитета; статьи 45 и 46 Постановления № 06-01 от 27 февр</w:t>
      </w:r>
      <w:r w:rsidR="009B6A38" w:rsidRPr="00067F9C">
        <w:t>а</w:t>
      </w:r>
      <w:r w:rsidR="009B6A38" w:rsidRPr="00067F9C">
        <w:t>ля 2006 года об осуществлении Хартии за мир и национальное примирение, принятой путем референдума 29 сентября 2005 года, запрещают возбуждение любого судебного иска</w:t>
      </w:r>
      <w:r w:rsidR="00381965">
        <w:t xml:space="preserve"> </w:t>
      </w:r>
      <w:r w:rsidR="009B6A38" w:rsidRPr="00067F9C">
        <w:t>в отношении военнослужащих и сотрудников органов безопасности Алжира в связи с такими преступлениями, как пытки, внесуде</w:t>
      </w:r>
      <w:r w:rsidR="009B6A38" w:rsidRPr="00067F9C">
        <w:t>б</w:t>
      </w:r>
      <w:r w:rsidR="009B6A38" w:rsidRPr="00067F9C">
        <w:t>ные казни и насильственные исчезновения. Согласно этим положениям, любому лицу за подачу подобной жалобы или сообщения о правонарушении грозит н</w:t>
      </w:r>
      <w:r w:rsidR="009B6A38" w:rsidRPr="00067F9C">
        <w:t>а</w:t>
      </w:r>
      <w:r w:rsidR="009B6A38" w:rsidRPr="00067F9C">
        <w:t>казание в виде тюремного заключения на срок от трех до пяти лет и штрафа в размере от 250</w:t>
      </w:r>
      <w:r w:rsidR="00381965" w:rsidRPr="00381965">
        <w:t xml:space="preserve"> </w:t>
      </w:r>
      <w:r w:rsidR="009B6A38" w:rsidRPr="00067F9C">
        <w:t>000 до 500</w:t>
      </w:r>
      <w:r w:rsidR="00381965" w:rsidRPr="00381965">
        <w:t xml:space="preserve"> </w:t>
      </w:r>
      <w:r w:rsidR="009B6A38" w:rsidRPr="00067F9C">
        <w:t>000 алжирских динаров.</w:t>
      </w:r>
    </w:p>
    <w:p w:rsidR="009B6A38" w:rsidRPr="00067F9C" w:rsidRDefault="00921005" w:rsidP="00921005">
      <w:pPr>
        <w:pStyle w:val="SingleTxtGR"/>
      </w:pPr>
      <w:r>
        <w:t>4.</w:t>
      </w:r>
      <w:r>
        <w:tab/>
      </w:r>
      <w:r w:rsidR="009B6A38" w:rsidRPr="00067F9C">
        <w:t>Комитет не удовлетворил наше пожелание и непосредственно не заявил о том, что содержание статьи 45 Постановления № 06-01 идет вразрез с полож</w:t>
      </w:r>
      <w:r w:rsidR="009B6A38" w:rsidRPr="00067F9C">
        <w:t>е</w:t>
      </w:r>
      <w:r w:rsidR="009B6A38" w:rsidRPr="00067F9C">
        <w:t>ниями статьи 14, в которых предусмотрено право каждого человека на доступ к правосудию для отстаивания своих прав. Комитету следовало бы также сделать вывод о нарушении пункта 2 статьи 2, предусматривающего обязательство г</w:t>
      </w:r>
      <w:r w:rsidR="009B6A38" w:rsidRPr="00067F9C">
        <w:t>о</w:t>
      </w:r>
      <w:r w:rsidR="009B6A38" w:rsidRPr="00067F9C">
        <w:t>сударств-участников приводить свое законодательство в соответствие с норм</w:t>
      </w:r>
      <w:r w:rsidR="009B6A38" w:rsidRPr="00067F9C">
        <w:t>а</w:t>
      </w:r>
      <w:r w:rsidR="009B6A38" w:rsidRPr="00067F9C">
        <w:t>ми, определенн</w:t>
      </w:r>
      <w:r w:rsidR="009B6A38" w:rsidRPr="00067F9C">
        <w:t>ы</w:t>
      </w:r>
      <w:r w:rsidR="009B6A38" w:rsidRPr="00067F9C">
        <w:t>ми в Пакте.</w:t>
      </w:r>
    </w:p>
    <w:p w:rsidR="009B6A38" w:rsidRPr="00067F9C" w:rsidRDefault="00921005" w:rsidP="00921005">
      <w:pPr>
        <w:pStyle w:val="SingleTxtGR"/>
      </w:pPr>
      <w:r>
        <w:t>5.</w:t>
      </w:r>
      <w:r>
        <w:tab/>
      </w:r>
      <w:r w:rsidR="009B6A38" w:rsidRPr="00067F9C">
        <w:t>Большинство членов Комитета придерживается практики, состоящей в том, чтобы не констатировать нарушение прав, не заявленных авторами соо</w:t>
      </w:r>
      <w:r w:rsidR="009B6A38" w:rsidRPr="00067F9C">
        <w:t>б</w:t>
      </w:r>
      <w:r w:rsidR="009B6A38" w:rsidRPr="00067F9C">
        <w:t xml:space="preserve">щения, тем самым воздерживаясь от применения юридического принципа </w:t>
      </w:r>
      <w:r w:rsidR="009B6A38" w:rsidRPr="00067F9C">
        <w:rPr>
          <w:lang w:val="fr-CH"/>
        </w:rPr>
        <w:t>jura</w:t>
      </w:r>
      <w:r w:rsidR="009B6A38" w:rsidRPr="00067F9C">
        <w:t xml:space="preserve"> </w:t>
      </w:r>
      <w:r w:rsidR="009B6A38" w:rsidRPr="00067F9C">
        <w:rPr>
          <w:lang w:val="fr-CH"/>
        </w:rPr>
        <w:t>novit</w:t>
      </w:r>
      <w:r w:rsidR="009B6A38" w:rsidRPr="00067F9C">
        <w:t xml:space="preserve"> </w:t>
      </w:r>
      <w:r w:rsidR="009B6A38" w:rsidRPr="00067F9C">
        <w:rPr>
          <w:lang w:val="fr-CH"/>
        </w:rPr>
        <w:t>curia</w:t>
      </w:r>
      <w:r w:rsidR="009B6A38" w:rsidRPr="00067F9C">
        <w:t>; действуя таким образом, Комитет безосновательно сам ограничивает свои полномочия, что не делает чести международному органу по защите прав чел</w:t>
      </w:r>
      <w:r w:rsidR="009B6A38" w:rsidRPr="00067F9C">
        <w:t>о</w:t>
      </w:r>
      <w:r w:rsidR="009B6A38" w:rsidRPr="00067F9C">
        <w:t>века.</w:t>
      </w:r>
    </w:p>
    <w:p w:rsidR="009B6A38" w:rsidRPr="00067F9C" w:rsidRDefault="00921005" w:rsidP="00921005">
      <w:pPr>
        <w:pStyle w:val="SingleTxtGR"/>
      </w:pPr>
      <w:r>
        <w:t>6.</w:t>
      </w:r>
      <w:r>
        <w:tab/>
      </w:r>
      <w:r w:rsidR="009B6A38" w:rsidRPr="00067F9C">
        <w:t>При этом следует отметить, что эта пресловутая практика не только ош</w:t>
      </w:r>
      <w:r w:rsidR="009B6A38" w:rsidRPr="00067F9C">
        <w:t>и</w:t>
      </w:r>
      <w:r w:rsidR="009B6A38" w:rsidRPr="00067F9C">
        <w:t xml:space="preserve">бочна, но и непостоянна: иногда Комитет самостоятельно применял в своих решениях юридический принцип </w:t>
      </w:r>
      <w:r w:rsidR="009B6A38" w:rsidRPr="00067F9C">
        <w:rPr>
          <w:lang w:val="fr-CH"/>
        </w:rPr>
        <w:t>jura</w:t>
      </w:r>
      <w:r w:rsidR="009B6A38" w:rsidRPr="00067F9C">
        <w:t xml:space="preserve"> </w:t>
      </w:r>
      <w:r w:rsidR="009B6A38" w:rsidRPr="00067F9C">
        <w:rPr>
          <w:lang w:val="fr-CH"/>
        </w:rPr>
        <w:t>novit</w:t>
      </w:r>
      <w:r w:rsidR="009B6A38" w:rsidRPr="00067F9C">
        <w:t xml:space="preserve"> </w:t>
      </w:r>
      <w:r w:rsidR="009B6A38" w:rsidRPr="00067F9C">
        <w:rPr>
          <w:lang w:val="fr-CH"/>
        </w:rPr>
        <w:t>curi</w:t>
      </w:r>
      <w:r w:rsidR="009B6A38" w:rsidRPr="00067F9C">
        <w:t>а, хотя непосредственно не уп</w:t>
      </w:r>
      <w:r w:rsidR="009B6A38" w:rsidRPr="00067F9C">
        <w:t>о</w:t>
      </w:r>
      <w:r w:rsidR="009B6A38" w:rsidRPr="00067F9C">
        <w:t>минал его. В последние годы наблюдался целый ряд дел, где он по собственной инициативе надлежащим образом применял Пакт к изложенным фактам, ди</w:t>
      </w:r>
      <w:r w:rsidR="009B6A38" w:rsidRPr="00067F9C">
        <w:t>с</w:t>
      </w:r>
      <w:r w:rsidR="009B6A38" w:rsidRPr="00067F9C">
        <w:t>танцируясь от правовой арг</w:t>
      </w:r>
      <w:r w:rsidR="009B6A38" w:rsidRPr="00067F9C">
        <w:t>у</w:t>
      </w:r>
      <w:r w:rsidR="009B6A38" w:rsidRPr="00067F9C">
        <w:t>ментации или статей, прямо упоминаемых сторонами</w:t>
      </w:r>
      <w:r w:rsidR="009B6A38" w:rsidRPr="00067F9C">
        <w:rPr>
          <w:vertAlign w:val="superscript"/>
          <w:lang w:val="fr-CH"/>
        </w:rPr>
        <w:footnoteReference w:customMarkFollows="1" w:id="19"/>
        <w:t>a</w:t>
      </w:r>
      <w:r w:rsidR="009B6A38" w:rsidRPr="00067F9C">
        <w:t>.</w:t>
      </w:r>
    </w:p>
    <w:p w:rsidR="009B6A38" w:rsidRPr="00067F9C" w:rsidRDefault="00921005" w:rsidP="00921005">
      <w:pPr>
        <w:pStyle w:val="SingleTxtGR"/>
      </w:pPr>
      <w:r>
        <w:t>7.</w:t>
      </w:r>
      <w:r>
        <w:tab/>
      </w:r>
      <w:r w:rsidR="009B6A38" w:rsidRPr="00067F9C">
        <w:t>Само существование статей 45 и 46 Постановления № 06-01, которые предусматривают возмо</w:t>
      </w:r>
      <w:r w:rsidR="009B6A38" w:rsidRPr="00067F9C">
        <w:t>ж</w:t>
      </w:r>
      <w:r w:rsidR="009B6A38" w:rsidRPr="00067F9C">
        <w:t>ность осудить к тюремному заключению или штрафу любое лицо, подавшее жалобу на нарушения, указанные в этих положениях, противоречит Пакту, поскольку приводит к установлению обстановки безнак</w:t>
      </w:r>
      <w:r w:rsidR="009B6A38" w:rsidRPr="00067F9C">
        <w:t>а</w:t>
      </w:r>
      <w:r w:rsidR="009B6A38" w:rsidRPr="00067F9C">
        <w:t>занности, препятствующей любому расследованию, привлечению к ответстве</w:t>
      </w:r>
      <w:r w:rsidR="009B6A38" w:rsidRPr="00067F9C">
        <w:t>н</w:t>
      </w:r>
      <w:r w:rsidR="009B6A38" w:rsidRPr="00067F9C">
        <w:t>ности или выплате компенсации в случаях серьезных нарушений прав чел</w:t>
      </w:r>
      <w:r w:rsidR="00BD667B">
        <w:t>овека, таких</w:t>
      </w:r>
      <w:r w:rsidR="009B6A38" w:rsidRPr="00067F9C">
        <w:t xml:space="preserve"> как насильственное исчезновение Джиллали Ларби (отца автора), судьба которого до сих пор неизвестна. Законодательное запрещение заявлять о фа</w:t>
      </w:r>
      <w:r w:rsidR="009B6A38" w:rsidRPr="00067F9C">
        <w:t>к</w:t>
      </w:r>
      <w:r w:rsidR="009B6A38" w:rsidRPr="00067F9C">
        <w:t>тах, имевших место в данном деле и в других аналогичных делах, и, следов</w:t>
      </w:r>
      <w:r w:rsidR="009B6A38" w:rsidRPr="00067F9C">
        <w:t>а</w:t>
      </w:r>
      <w:r w:rsidR="009B6A38" w:rsidRPr="00067F9C">
        <w:t>тельно, проводить соответствующее расследование, способствует безнаказа</w:t>
      </w:r>
      <w:r w:rsidR="009B6A38" w:rsidRPr="00067F9C">
        <w:t>н</w:t>
      </w:r>
      <w:r w:rsidR="009B6A38" w:rsidRPr="00067F9C">
        <w:t>ности в нарушение права на доступ к правосудию, так как это постановление предусматривает наказание за осуществление права на подачу жалобы на де</w:t>
      </w:r>
      <w:r w:rsidR="009B6A38" w:rsidRPr="00067F9C">
        <w:t>й</w:t>
      </w:r>
      <w:r w:rsidR="009B6A38" w:rsidRPr="00067F9C">
        <w:t>ствия, подобные тем, которые явились причиной настоящего сообщения, ибо повлекли за собой насильственное исчезновение людей.</w:t>
      </w:r>
    </w:p>
    <w:p w:rsidR="009B6A38" w:rsidRPr="009B6A38" w:rsidRDefault="00921005" w:rsidP="00921005">
      <w:pPr>
        <w:pStyle w:val="SingleTxtGR"/>
      </w:pPr>
      <w:r>
        <w:t>8.</w:t>
      </w:r>
      <w:r>
        <w:tab/>
      </w:r>
      <w:r w:rsidR="009B6A38" w:rsidRPr="00067F9C">
        <w:t>Меры по возмещению ущерба, требуемые Комитетом во избежание п</w:t>
      </w:r>
      <w:r w:rsidR="009B6A38" w:rsidRPr="00067F9C">
        <w:t>о</w:t>
      </w:r>
      <w:r w:rsidR="009B6A38" w:rsidRPr="00067F9C">
        <w:t>вторения подобных фактов в других аналогичных случаях, являются недост</w:t>
      </w:r>
      <w:r w:rsidR="009B6A38" w:rsidRPr="00067F9C">
        <w:t>а</w:t>
      </w:r>
      <w:r w:rsidR="009B6A38" w:rsidRPr="00067F9C">
        <w:t>точными. Действительно, в своих соображениях Комитет указывает, что</w:t>
      </w:r>
      <w:r w:rsidR="00381965">
        <w:t xml:space="preserve"> </w:t>
      </w:r>
      <w:r w:rsidR="003E6110">
        <w:t>"</w:t>
      </w:r>
      <w:r w:rsidR="009B6A38" w:rsidRPr="00067F9C">
        <w:t>гос</w:t>
      </w:r>
      <w:r w:rsidR="009B6A38" w:rsidRPr="00067F9C">
        <w:t>у</w:t>
      </w:r>
      <w:r w:rsidR="009B6A38" w:rsidRPr="00067F9C">
        <w:t>дарству-участнику следует также позаботиться о том, чтобы не нарушать право на эффективное средство правовой защиты, принадлежащее жертвам таких пр</w:t>
      </w:r>
      <w:r w:rsidR="009B6A38" w:rsidRPr="00067F9C">
        <w:t>е</w:t>
      </w:r>
      <w:r w:rsidR="009B6A38" w:rsidRPr="00067F9C">
        <w:t>ступлений, как пытки, внесудебные казни и насильственные исчезновения</w:t>
      </w:r>
      <w:r w:rsidR="003E6110">
        <w:t>"</w:t>
      </w:r>
      <w:r w:rsidR="009B6A38" w:rsidRPr="00067F9C">
        <w:t xml:space="preserve"> (пункт 10). По нашему мнению, Комитет должен был четко и прямо заявить, что пр</w:t>
      </w:r>
      <w:r w:rsidR="009B6A38" w:rsidRPr="00067F9C">
        <w:t>е</w:t>
      </w:r>
      <w:r w:rsidR="009B6A38" w:rsidRPr="00067F9C">
        <w:t>дусмотренный Постановлением № 01-06 запрет на подачу в</w:t>
      </w:r>
      <w:r w:rsidR="00381965">
        <w:t xml:space="preserve"> </w:t>
      </w:r>
      <w:r w:rsidR="009B6A38" w:rsidRPr="00067F9C">
        <w:t>суд жалобы с целью добиться возбуждения расследования случаев пыток, внесудебных ка</w:t>
      </w:r>
      <w:r w:rsidR="009B6A38" w:rsidRPr="00067F9C">
        <w:t>з</w:t>
      </w:r>
      <w:r w:rsidR="009B6A38" w:rsidRPr="00067F9C">
        <w:t>ней или насильственных исчезновений наносит ущерб общему обязательству, закрепленному в пункте 2 статьи 2 Пакта, согласно которому алжирское гос</w:t>
      </w:r>
      <w:r w:rsidR="009B6A38" w:rsidRPr="00067F9C">
        <w:t>у</w:t>
      </w:r>
      <w:r w:rsidR="009B6A38" w:rsidRPr="00067F9C">
        <w:t xml:space="preserve">дарство обязано, </w:t>
      </w:r>
      <w:r w:rsidR="003E6110">
        <w:t>"</w:t>
      </w:r>
      <w:r w:rsidR="009B6A38" w:rsidRPr="00067F9C">
        <w:t>если это уже не предусмотрено существующими законод</w:t>
      </w:r>
      <w:r w:rsidR="009B6A38" w:rsidRPr="00067F9C">
        <w:t>а</w:t>
      </w:r>
      <w:r w:rsidR="009B6A38" w:rsidRPr="00067F9C">
        <w:t xml:space="preserve">тельными или другими мерами, […] принять необходимые меры в соответствии со своими конституционными процедурами и положениями […] Пакта </w:t>
      </w:r>
      <w:r w:rsidR="009B6A38" w:rsidRPr="00067F9C">
        <w:rPr>
          <w:i/>
        </w:rPr>
        <w:t>для пр</w:t>
      </w:r>
      <w:r w:rsidR="009B6A38" w:rsidRPr="00067F9C">
        <w:rPr>
          <w:i/>
        </w:rPr>
        <w:t>и</w:t>
      </w:r>
      <w:r w:rsidR="009B6A38" w:rsidRPr="00067F9C">
        <w:rPr>
          <w:i/>
        </w:rPr>
        <w:t>нятия таких законодательных или других мер, которые могут оказаться нео</w:t>
      </w:r>
      <w:r w:rsidR="009B6A38" w:rsidRPr="00067F9C">
        <w:rPr>
          <w:i/>
        </w:rPr>
        <w:t>б</w:t>
      </w:r>
      <w:r w:rsidR="009B6A38" w:rsidRPr="00067F9C">
        <w:rPr>
          <w:i/>
        </w:rPr>
        <w:t xml:space="preserve">ходимыми для осуществления прав, признаваемых в […] </w:t>
      </w:r>
      <w:r w:rsidR="009B6A38" w:rsidRPr="009B6A38">
        <w:rPr>
          <w:i/>
        </w:rPr>
        <w:t>Пакте</w:t>
      </w:r>
      <w:r w:rsidR="009B6A38" w:rsidRPr="009B6A38">
        <w:t>.</w:t>
      </w:r>
      <w:r w:rsidR="003E6110">
        <w:t>"</w:t>
      </w:r>
      <w:r w:rsidR="009B6A38" w:rsidRPr="009B6A38">
        <w:t xml:space="preserve"> (курсив</w:t>
      </w:r>
      <w:r w:rsidR="009B6A38" w:rsidRPr="00067F9C">
        <w:t xml:space="preserve"> д</w:t>
      </w:r>
      <w:r w:rsidR="009B6A38" w:rsidRPr="00067F9C">
        <w:t>о</w:t>
      </w:r>
      <w:r w:rsidR="009B6A38" w:rsidRPr="00067F9C">
        <w:t>бавлен).</w:t>
      </w:r>
    </w:p>
    <w:p w:rsidR="009B6A38" w:rsidRPr="00067F9C" w:rsidRDefault="00921005" w:rsidP="00921005">
      <w:pPr>
        <w:pStyle w:val="SingleTxtGR"/>
      </w:pPr>
      <w:r>
        <w:t>9.</w:t>
      </w:r>
      <w:r>
        <w:tab/>
      </w:r>
      <w:r w:rsidR="009B6A38" w:rsidRPr="00067F9C">
        <w:t>Статьи 45 и 46 Постановления № 06-01 поощряют безнаказанность и л</w:t>
      </w:r>
      <w:r w:rsidR="009B6A38" w:rsidRPr="00067F9C">
        <w:t>и</w:t>
      </w:r>
      <w:r w:rsidR="009B6A38" w:rsidRPr="00067F9C">
        <w:t>шают жертв этих тяжких правонарушений, а также их близких, права на эффе</w:t>
      </w:r>
      <w:r w:rsidR="009B6A38" w:rsidRPr="00067F9C">
        <w:t>к</w:t>
      </w:r>
      <w:r w:rsidR="009B6A38" w:rsidRPr="00067F9C">
        <w:t>тивное средство судебной защиты, препятствуя им в установлении истины, в осущес</w:t>
      </w:r>
      <w:r w:rsidR="009B6A38" w:rsidRPr="00067F9C">
        <w:t>т</w:t>
      </w:r>
      <w:r w:rsidR="009B6A38" w:rsidRPr="00067F9C">
        <w:t>влении своего основного права на обращение в суд и на обжалование и в получении полной компенсации. Даже если допустить, что остальные пол</w:t>
      </w:r>
      <w:r w:rsidR="009B6A38" w:rsidRPr="00067F9C">
        <w:t>о</w:t>
      </w:r>
      <w:r w:rsidR="009B6A38" w:rsidRPr="00067F9C">
        <w:t>жения Постановления № 06-01 способствуют миру и национальному примир</w:t>
      </w:r>
      <w:r w:rsidR="009B6A38" w:rsidRPr="00067F9C">
        <w:t>е</w:t>
      </w:r>
      <w:r w:rsidR="009B6A38" w:rsidRPr="00067F9C">
        <w:t>нию в Алжире, это не должно достигаться в ущерб основным правам жертв и их ро</w:t>
      </w:r>
      <w:r w:rsidR="009B6A38" w:rsidRPr="00067F9C">
        <w:t>д</w:t>
      </w:r>
      <w:r w:rsidR="009B6A38" w:rsidRPr="00067F9C">
        <w:t>ственников, переживающих последствия этих тяжких правонарушений, и тем более не должно означать, что</w:t>
      </w:r>
      <w:r w:rsidR="00381965">
        <w:t xml:space="preserve"> </w:t>
      </w:r>
      <w:r w:rsidR="009B6A38" w:rsidRPr="00067F9C">
        <w:t>упомянутым родственникам грозят наказ</w:t>
      </w:r>
      <w:r w:rsidR="009B6A38" w:rsidRPr="00067F9C">
        <w:t>а</w:t>
      </w:r>
      <w:r w:rsidR="009B6A38" w:rsidRPr="00067F9C">
        <w:t>ния и санкции, которые причинят им двойные страдания, если они воспольз</w:t>
      </w:r>
      <w:r w:rsidR="009B6A38" w:rsidRPr="00067F9C">
        <w:t>у</w:t>
      </w:r>
      <w:r w:rsidR="009B6A38" w:rsidRPr="00067F9C">
        <w:t>ются своим правом на подачу жалобы в суд – правом, которое к тому же являе</w:t>
      </w:r>
      <w:r w:rsidR="009B6A38" w:rsidRPr="00067F9C">
        <w:t>т</w:t>
      </w:r>
      <w:r w:rsidR="009B6A38" w:rsidRPr="00067F9C">
        <w:t>ся одним из инструментов, позволяющих защищать и гарантировать права ч</w:t>
      </w:r>
      <w:r w:rsidR="009B6A38" w:rsidRPr="00067F9C">
        <w:t>е</w:t>
      </w:r>
      <w:r w:rsidR="009B6A38" w:rsidRPr="00067F9C">
        <w:t>ловека, отступление от которых не допускается (такие, как право на жизнь или право не подвергаться пытке), в том числе во время чрезвычайного положения (пункт 2 статьи 4 Пакта).</w:t>
      </w:r>
    </w:p>
    <w:p w:rsidR="009B6A38" w:rsidRPr="00067F9C" w:rsidRDefault="00921005" w:rsidP="00921005">
      <w:pPr>
        <w:pStyle w:val="SingleTxtGR"/>
      </w:pPr>
      <w:r>
        <w:t>10.</w:t>
      </w:r>
      <w:r>
        <w:tab/>
      </w:r>
      <w:r w:rsidR="009B6A38" w:rsidRPr="00067F9C">
        <w:t>Отсутствие законной возможности обращаться в суд, являющееся следс</w:t>
      </w:r>
      <w:r w:rsidR="009B6A38" w:rsidRPr="00067F9C">
        <w:t>т</w:t>
      </w:r>
      <w:r w:rsidR="009B6A38" w:rsidRPr="00067F9C">
        <w:t>вием принятия Постановления № 06-01 об осуществлении Хартии за мир и н</w:t>
      </w:r>
      <w:r w:rsidR="009B6A38" w:rsidRPr="00067F9C">
        <w:t>а</w:t>
      </w:r>
      <w:r w:rsidR="009B6A38" w:rsidRPr="00067F9C">
        <w:t>циональное примирение, лишило и прод</w:t>
      </w:r>
      <w:r w:rsidR="000118C3">
        <w:t>олжает лишать Джиллали Ларби, а</w:t>
      </w:r>
      <w:r w:rsidR="000118C3">
        <w:rPr>
          <w:lang w:val="en-US"/>
        </w:rPr>
        <w:t> </w:t>
      </w:r>
      <w:r w:rsidR="009B6A38" w:rsidRPr="00067F9C">
        <w:t>та</w:t>
      </w:r>
      <w:r w:rsidR="009B6A38" w:rsidRPr="00067F9C">
        <w:t>к</w:t>
      </w:r>
      <w:r w:rsidR="009B6A38" w:rsidRPr="00067F9C">
        <w:t>же автора и его семью всякого доступа к эффективным средствам правовой з</w:t>
      </w:r>
      <w:r w:rsidR="009B6A38" w:rsidRPr="00067F9C">
        <w:t>а</w:t>
      </w:r>
      <w:r w:rsidR="009B6A38" w:rsidRPr="00067F9C">
        <w:t>щиты, поскольку в соответствии с этим постановлением любое обращение в суд в целях проведения разбирательства по таким наиболее тяжким преступл</w:t>
      </w:r>
      <w:r w:rsidR="009B6A38" w:rsidRPr="00067F9C">
        <w:t>е</w:t>
      </w:r>
      <w:r w:rsidR="009B6A38" w:rsidRPr="00067F9C">
        <w:t>ниям, как действия, приводящие к насильственным исчезновениям, запрещается под угрозой тюремного заключения.</w:t>
      </w:r>
    </w:p>
    <w:p w:rsidR="009B6A38" w:rsidRPr="000118C3" w:rsidRDefault="00921005" w:rsidP="00921005">
      <w:pPr>
        <w:pStyle w:val="SingleTxtGR"/>
      </w:pPr>
      <w:r>
        <w:t>11.</w:t>
      </w:r>
      <w:r>
        <w:tab/>
      </w:r>
      <w:r w:rsidR="009B6A38" w:rsidRPr="00067F9C">
        <w:t>В качестве меры по возмещению, направленной на обеспечение гарантий неповторения рассматриваемых фактов, Комитет должен был открыто потреб</w:t>
      </w:r>
      <w:r w:rsidR="009B6A38" w:rsidRPr="00067F9C">
        <w:t>о</w:t>
      </w:r>
      <w:r w:rsidR="009B6A38" w:rsidRPr="00067F9C">
        <w:t>вать, чтобы алжирское государство выполнило обязательство, предусмотренное в пункте 2 статьи 2, и, соответственно, чтобы оно приняло законодательные или иные меры для упразднения статей 45 и 46 Постановления № 06-01 и тем с</w:t>
      </w:r>
      <w:r w:rsidR="009B6A38" w:rsidRPr="00067F9C">
        <w:t>а</w:t>
      </w:r>
      <w:r w:rsidR="009B6A38" w:rsidRPr="00067F9C">
        <w:t>мым отменило запреты, наказания, санкции и любые другие препятствия, п</w:t>
      </w:r>
      <w:r w:rsidR="009B6A38" w:rsidRPr="00067F9C">
        <w:t>о</w:t>
      </w:r>
      <w:r w:rsidR="009B6A38" w:rsidRPr="00067F9C">
        <w:t>зволяющие оставлять безнаказанны</w:t>
      </w:r>
      <w:r w:rsidR="00BD667B">
        <w:t>ми тяжкие правонарушения, такие</w:t>
      </w:r>
      <w:r w:rsidR="009B6A38" w:rsidRPr="00067F9C">
        <w:t xml:space="preserve"> как н</w:t>
      </w:r>
      <w:r w:rsidR="009B6A38" w:rsidRPr="00067F9C">
        <w:t>а</w:t>
      </w:r>
      <w:r w:rsidR="009B6A38" w:rsidRPr="00067F9C">
        <w:t>сильственные исчезновения, пытки и внесудебные казни – как для жертв, ук</w:t>
      </w:r>
      <w:r w:rsidR="009B6A38" w:rsidRPr="00067F9C">
        <w:t>а</w:t>
      </w:r>
      <w:r w:rsidR="009B6A38" w:rsidRPr="00067F9C">
        <w:t>занных в настоящем сообщении, так и для жертв и их родственников, наход</w:t>
      </w:r>
      <w:r w:rsidR="009B6A38" w:rsidRPr="00067F9C">
        <w:t>я</w:t>
      </w:r>
      <w:r w:rsidR="000118C3">
        <w:t>щихся в аналогичных ситуациях.</w:t>
      </w:r>
    </w:p>
    <w:p w:rsidR="009B6A38" w:rsidRDefault="009B6A38" w:rsidP="00921005">
      <w:pPr>
        <w:pStyle w:val="SingleTxtGR"/>
      </w:pPr>
      <w:r w:rsidRPr="00067F9C">
        <w:t>[Составлено на английском, испанском и французском языках, причем языком оригинала являе</w:t>
      </w:r>
      <w:r w:rsidRPr="00067F9C">
        <w:t>т</w:t>
      </w:r>
      <w:r w:rsidRPr="00067F9C">
        <w:t>ся испанский. Впоследствии будет издано также на арабском, китайском и русском языках в качестве части ежегодного доклада Комитета Г</w:t>
      </w:r>
      <w:r w:rsidRPr="00067F9C">
        <w:t>е</w:t>
      </w:r>
      <w:r w:rsidRPr="00067F9C">
        <w:t>неральной Ассамблее.]</w:t>
      </w:r>
    </w:p>
    <w:p w:rsidR="00921005" w:rsidRPr="00921005" w:rsidRDefault="00921005" w:rsidP="009210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1005" w:rsidRPr="00921005" w:rsidSect="0084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E6" w:rsidRDefault="00D518E6">
      <w:r>
        <w:rPr>
          <w:lang w:val="en-US"/>
        </w:rPr>
        <w:tab/>
      </w:r>
      <w:r>
        <w:separator/>
      </w:r>
    </w:p>
  </w:endnote>
  <w:endnote w:type="continuationSeparator" w:id="0">
    <w:p w:rsidR="00D518E6" w:rsidRDefault="00D5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5" w:rsidRPr="005F0588" w:rsidRDefault="00DD11E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62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GE.13-49047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5" w:rsidRPr="005F0588" w:rsidRDefault="00DD11E5">
    <w:pPr>
      <w:pStyle w:val="Footer"/>
      <w:rPr>
        <w:lang w:val="en-US"/>
      </w:rPr>
    </w:pPr>
    <w:r>
      <w:rPr>
        <w:lang w:val="en-US"/>
      </w:rPr>
      <w:t>GE.13-49047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626A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D11E5" w:rsidTr="00611264">
      <w:trPr>
        <w:trHeight w:val="438"/>
      </w:trPr>
      <w:tc>
        <w:tcPr>
          <w:tcW w:w="4068" w:type="dxa"/>
          <w:vAlign w:val="bottom"/>
        </w:tcPr>
        <w:p w:rsidR="00DD11E5" w:rsidRPr="00663FAD" w:rsidRDefault="00DD11E5" w:rsidP="00611264">
          <w:r>
            <w:rPr>
              <w:lang w:val="en-US"/>
            </w:rPr>
            <w:t>GE.13-49047   (R)</w:t>
          </w:r>
          <w:r w:rsidR="00663FAD">
            <w:t xml:space="preserve">  130114  130114</w:t>
          </w:r>
        </w:p>
      </w:tc>
      <w:tc>
        <w:tcPr>
          <w:tcW w:w="4663" w:type="dxa"/>
          <w:vMerge w:val="restart"/>
          <w:vAlign w:val="bottom"/>
        </w:tcPr>
        <w:p w:rsidR="00DD11E5" w:rsidRDefault="00DD11E5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D11E5" w:rsidRDefault="00972A44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8&amp;Size=2&amp;Lang=R"/>
              </v:shape>
            </w:pict>
          </w:r>
        </w:p>
      </w:tc>
    </w:tr>
    <w:tr w:rsidR="00DD11E5" w:rsidRPr="00797A78" w:rsidTr="00611264">
      <w:tc>
        <w:tcPr>
          <w:tcW w:w="4068" w:type="dxa"/>
          <w:vAlign w:val="bottom"/>
        </w:tcPr>
        <w:p w:rsidR="00DD11E5" w:rsidRPr="00972A44" w:rsidRDefault="00972A44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72A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D11E5" w:rsidRDefault="00DD11E5" w:rsidP="00611264"/>
      </w:tc>
      <w:tc>
        <w:tcPr>
          <w:tcW w:w="1124" w:type="dxa"/>
          <w:vMerge/>
        </w:tcPr>
        <w:p w:rsidR="00DD11E5" w:rsidRDefault="00DD11E5" w:rsidP="00611264"/>
      </w:tc>
    </w:tr>
  </w:tbl>
  <w:p w:rsidR="00DD11E5" w:rsidRDefault="00DD11E5" w:rsidP="00381289">
    <w:pPr>
      <w:spacing w:line="240" w:lineRule="auto"/>
      <w:rPr>
        <w:sz w:val="2"/>
        <w:szCs w:val="2"/>
        <w:lang w:val="en-US"/>
      </w:rPr>
    </w:pPr>
  </w:p>
  <w:p w:rsidR="00DD11E5" w:rsidRPr="002D7E3C" w:rsidRDefault="00DD11E5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DD11E5" w:rsidRDefault="00DD11E5" w:rsidP="006E7AF7">
                <w:pPr>
                  <w:rPr>
                    <w:lang w:val="en-US"/>
                  </w:rPr>
                </w:pPr>
              </w:p>
              <w:p w:rsidR="00DD11E5" w:rsidRDefault="00DD11E5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4626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E6" w:rsidRPr="00F71F63" w:rsidRDefault="00D518E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18E6" w:rsidRPr="00F71F63" w:rsidRDefault="00D518E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18E6" w:rsidRPr="00635E86" w:rsidRDefault="00D518E6" w:rsidP="00635E86">
      <w:pPr>
        <w:pStyle w:val="Footer"/>
      </w:pPr>
    </w:p>
  </w:footnote>
  <w:footnote w:id="1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rStyle w:val="FootnoteReference"/>
          <w:lang w:val="ru-RU"/>
        </w:rPr>
        <w:tab/>
      </w:r>
      <w:r w:rsidRPr="003E6110">
        <w:rPr>
          <w:rStyle w:val="FootnoteReference"/>
          <w:sz w:val="20"/>
          <w:vertAlign w:val="baseline"/>
          <w:lang w:val="ru-RU"/>
        </w:rPr>
        <w:t>*</w:t>
      </w:r>
      <w:r w:rsidRPr="00067F9C">
        <w:rPr>
          <w:lang w:val="ru-RU"/>
        </w:rPr>
        <w:tab/>
      </w:r>
      <w:r>
        <w:rPr>
          <w:szCs w:val="18"/>
          <w:lang w:val="ru-RU"/>
        </w:rPr>
        <w:t xml:space="preserve">В рассмотрении настоящего сообщения принимали участие следующие члены Комитета: г-н </w:t>
      </w:r>
      <w:r>
        <w:rPr>
          <w:lang w:val="ru-RU"/>
        </w:rPr>
        <w:t>Ядх Бен Ашур, г-жа Кристина Шане</w:t>
      </w:r>
      <w:r>
        <w:rPr>
          <w:bCs/>
          <w:szCs w:val="18"/>
          <w:lang w:val="ru-RU"/>
        </w:rPr>
        <w:t xml:space="preserve">, </w:t>
      </w:r>
      <w:r>
        <w:rPr>
          <w:lang w:val="ru-RU"/>
        </w:rPr>
        <w:t>г-н Ахм</w:t>
      </w:r>
      <w:r w:rsidR="00663FAD">
        <w:rPr>
          <w:lang w:val="ru-RU"/>
        </w:rPr>
        <w:t>а</w:t>
      </w:r>
      <w:r>
        <w:rPr>
          <w:lang w:val="ru-RU"/>
        </w:rPr>
        <w:t>д Амин Фатхалла,</w:t>
      </w:r>
      <w:r>
        <w:rPr>
          <w:lang w:val="ru-RU"/>
        </w:rPr>
        <w:br/>
        <w:t>г-н Корнелис Флинтерман, г-н Юдзи Ивасава, г-н Вальтер Келин, г-жа Зонке Занеле Майодина,</w:t>
      </w:r>
      <w:r w:rsidRPr="00067F9C">
        <w:rPr>
          <w:bCs/>
          <w:szCs w:val="18"/>
          <w:lang w:val="ru-RU"/>
        </w:rPr>
        <w:t xml:space="preserve"> </w:t>
      </w:r>
      <w:r>
        <w:rPr>
          <w:bCs/>
          <w:szCs w:val="18"/>
          <w:lang w:val="ru-RU"/>
        </w:rPr>
        <w:t>г-н Кешоу Парсад Матадин</w:t>
      </w:r>
      <w:r w:rsidRPr="00067F9C">
        <w:rPr>
          <w:bCs/>
          <w:szCs w:val="18"/>
          <w:lang w:val="ru-RU"/>
        </w:rPr>
        <w:t xml:space="preserve">, </w:t>
      </w:r>
      <w:r>
        <w:rPr>
          <w:lang w:val="ru-RU"/>
        </w:rPr>
        <w:t>г-н Джеральд Л. Нойман</w:t>
      </w:r>
      <w:r w:rsidRPr="00067F9C">
        <w:rPr>
          <w:bCs/>
          <w:szCs w:val="18"/>
          <w:lang w:val="ru-RU"/>
        </w:rPr>
        <w:t xml:space="preserve">, </w:t>
      </w:r>
      <w:r>
        <w:rPr>
          <w:bCs/>
          <w:szCs w:val="18"/>
          <w:lang w:val="ru-RU"/>
        </w:rPr>
        <w:t>сэр Найджел Родли</w:t>
      </w:r>
      <w:r w:rsidRPr="00067F9C">
        <w:rPr>
          <w:bCs/>
          <w:szCs w:val="18"/>
          <w:lang w:val="ru-RU"/>
        </w:rPr>
        <w:t xml:space="preserve">, </w:t>
      </w:r>
      <w:r>
        <w:rPr>
          <w:bCs/>
          <w:szCs w:val="18"/>
          <w:lang w:val="ru-RU"/>
        </w:rPr>
        <w:t>г-н Виктор Мануэль Родригес-Ресия</w:t>
      </w:r>
      <w:r w:rsidRPr="00067F9C">
        <w:rPr>
          <w:bCs/>
          <w:szCs w:val="18"/>
          <w:lang w:val="ru-RU"/>
        </w:rPr>
        <w:t xml:space="preserve">, </w:t>
      </w:r>
      <w:r>
        <w:rPr>
          <w:lang w:val="ru-RU"/>
        </w:rPr>
        <w:t>г-н Фабиан Омар Сальвиоли, г-жа Аня Зайберт-Фор</w:t>
      </w:r>
      <w:r w:rsidRPr="00067F9C">
        <w:rPr>
          <w:bCs/>
          <w:szCs w:val="18"/>
          <w:lang w:val="ru-RU"/>
        </w:rPr>
        <w:t>,</w:t>
      </w:r>
      <w:r>
        <w:rPr>
          <w:bCs/>
          <w:szCs w:val="18"/>
          <w:lang w:val="ru-RU"/>
        </w:rPr>
        <w:t xml:space="preserve"> г-н Юваль Шани</w:t>
      </w:r>
      <w:r w:rsidRPr="00067F9C">
        <w:rPr>
          <w:bCs/>
          <w:szCs w:val="18"/>
          <w:lang w:val="ru-RU"/>
        </w:rPr>
        <w:t>,</w:t>
      </w:r>
      <w:r>
        <w:rPr>
          <w:bCs/>
          <w:szCs w:val="18"/>
          <w:lang w:val="ru-RU"/>
        </w:rPr>
        <w:t xml:space="preserve"> г-н Константин Вардзелашвили и г-жа Марго Ватервал</w:t>
      </w:r>
      <w:r>
        <w:rPr>
          <w:szCs w:val="18"/>
          <w:lang w:val="ru-RU"/>
        </w:rPr>
        <w:t>.</w:t>
      </w:r>
    </w:p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067F9C">
        <w:rPr>
          <w:lang w:val="ru-RU"/>
        </w:rPr>
        <w:tab/>
      </w:r>
      <w:r>
        <w:rPr>
          <w:szCs w:val="18"/>
          <w:lang w:val="ru-RU"/>
        </w:rPr>
        <w:t>В соответствии с правилом 90 правил процедуры Комитета член Комитета</w:t>
      </w:r>
      <w:r>
        <w:rPr>
          <w:szCs w:val="18"/>
          <w:lang w:val="ru-RU"/>
        </w:rPr>
        <w:br/>
        <w:t>г-н Лазхари Бузид не принимал участия в рассмотрении настоящего сообщения.</w:t>
      </w:r>
    </w:p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067F9C">
        <w:rPr>
          <w:lang w:val="ru-RU"/>
        </w:rPr>
        <w:tab/>
      </w:r>
      <w:r>
        <w:rPr>
          <w:szCs w:val="18"/>
          <w:lang w:val="ru-RU"/>
        </w:rPr>
        <w:t>К настоящим соображениям прилагается текст особого мнения, выраженного членами Комитета г-ном Сальвиоли и г-ном Родригесом-Ресией</w:t>
      </w:r>
      <w:r w:rsidRPr="00067F9C">
        <w:rPr>
          <w:lang w:val="ru-RU"/>
        </w:rPr>
        <w:t>.</w:t>
      </w:r>
    </w:p>
  </w:footnote>
  <w:footnote w:id="2">
    <w:p w:rsidR="00DD11E5" w:rsidRPr="00067F9C" w:rsidRDefault="00DD11E5" w:rsidP="009B6A38">
      <w:pPr>
        <w:tabs>
          <w:tab w:val="right" w:pos="1021"/>
        </w:tabs>
        <w:spacing w:line="220" w:lineRule="exact"/>
        <w:ind w:left="1134" w:right="1134" w:hanging="1134"/>
        <w:rPr>
          <w:sz w:val="18"/>
        </w:rPr>
      </w:pPr>
      <w:r w:rsidRPr="00067F9C">
        <w:rPr>
          <w:sz w:val="18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sz w:val="18"/>
        </w:rPr>
        <w:tab/>
      </w:r>
      <w:r>
        <w:rPr>
          <w:sz w:val="18"/>
        </w:rPr>
        <w:t xml:space="preserve">В этой связи автор ссылается, например, на сообщение № </w:t>
      </w:r>
      <w:r w:rsidRPr="00067F9C">
        <w:rPr>
          <w:sz w:val="18"/>
        </w:rPr>
        <w:t>107/1981</w:t>
      </w:r>
      <w:r>
        <w:rPr>
          <w:sz w:val="18"/>
        </w:rPr>
        <w:t xml:space="preserve"> </w:t>
      </w:r>
      <w:r>
        <w:rPr>
          <w:i/>
          <w:sz w:val="18"/>
        </w:rPr>
        <w:t>Алмейда против Уругвая</w:t>
      </w:r>
      <w:r w:rsidRPr="00067F9C">
        <w:rPr>
          <w:sz w:val="18"/>
        </w:rPr>
        <w:t xml:space="preserve">, </w:t>
      </w:r>
      <w:r>
        <w:rPr>
          <w:sz w:val="18"/>
        </w:rPr>
        <w:t xml:space="preserve">Соображения, принятые 21 июля </w:t>
      </w:r>
      <w:r w:rsidRPr="00067F9C">
        <w:rPr>
          <w:sz w:val="18"/>
        </w:rPr>
        <w:t>1983</w:t>
      </w:r>
      <w:r>
        <w:rPr>
          <w:sz w:val="18"/>
        </w:rPr>
        <w:t xml:space="preserve"> года</w:t>
      </w:r>
      <w:r w:rsidRPr="00067F9C">
        <w:rPr>
          <w:sz w:val="18"/>
        </w:rPr>
        <w:t xml:space="preserve">; </w:t>
      </w:r>
      <w:r>
        <w:rPr>
          <w:sz w:val="18"/>
        </w:rPr>
        <w:t>сообщение № 992/2001</w:t>
      </w:r>
      <w:r>
        <w:rPr>
          <w:sz w:val="18"/>
        </w:rPr>
        <w:br/>
      </w:r>
      <w:r>
        <w:rPr>
          <w:i/>
          <w:sz w:val="18"/>
        </w:rPr>
        <w:t>Бусруал против Алжира</w:t>
      </w:r>
      <w:r w:rsidRPr="00067F9C">
        <w:rPr>
          <w:sz w:val="18"/>
        </w:rPr>
        <w:t xml:space="preserve">, </w:t>
      </w:r>
      <w:r>
        <w:rPr>
          <w:sz w:val="18"/>
        </w:rPr>
        <w:t xml:space="preserve">Соображения, принятые 30 марта </w:t>
      </w:r>
      <w:r w:rsidRPr="00067F9C">
        <w:rPr>
          <w:sz w:val="18"/>
        </w:rPr>
        <w:t>2006</w:t>
      </w:r>
      <w:r>
        <w:rPr>
          <w:sz w:val="18"/>
        </w:rPr>
        <w:t xml:space="preserve"> года</w:t>
      </w:r>
      <w:r w:rsidRPr="00067F9C">
        <w:rPr>
          <w:sz w:val="18"/>
        </w:rPr>
        <w:t>,</w:t>
      </w:r>
      <w:r>
        <w:rPr>
          <w:sz w:val="18"/>
        </w:rPr>
        <w:t xml:space="preserve"> пункт</w:t>
      </w:r>
      <w:r w:rsidRPr="006C0BCA">
        <w:rPr>
          <w:sz w:val="18"/>
          <w:lang w:val="fr-FR"/>
        </w:rPr>
        <w:t> </w:t>
      </w:r>
      <w:r>
        <w:rPr>
          <w:sz w:val="18"/>
        </w:rPr>
        <w:t>9.8;</w:t>
      </w:r>
      <w:r>
        <w:rPr>
          <w:sz w:val="18"/>
        </w:rPr>
        <w:br/>
        <w:t>соо</w:t>
      </w:r>
      <w:r>
        <w:rPr>
          <w:sz w:val="18"/>
        </w:rPr>
        <w:t>б</w:t>
      </w:r>
      <w:r>
        <w:rPr>
          <w:sz w:val="18"/>
        </w:rPr>
        <w:t xml:space="preserve">щение № </w:t>
      </w:r>
      <w:r w:rsidRPr="00067F9C">
        <w:rPr>
          <w:sz w:val="18"/>
        </w:rPr>
        <w:t>950/2000</w:t>
      </w:r>
      <w:r w:rsidRPr="0084660B">
        <w:rPr>
          <w:i/>
        </w:rPr>
        <w:t xml:space="preserve"> </w:t>
      </w:r>
      <w:r w:rsidRPr="0084660B">
        <w:rPr>
          <w:i/>
          <w:sz w:val="18"/>
          <w:szCs w:val="18"/>
        </w:rPr>
        <w:t>Сарма против Шри-Ланки</w:t>
      </w:r>
      <w:r w:rsidRPr="0084660B">
        <w:rPr>
          <w:sz w:val="18"/>
          <w:szCs w:val="18"/>
        </w:rPr>
        <w:t>, Сооб</w:t>
      </w:r>
      <w:r>
        <w:rPr>
          <w:sz w:val="18"/>
          <w:szCs w:val="18"/>
        </w:rPr>
        <w:t>ражения, принятые 16</w:t>
      </w:r>
      <w:r w:rsidRPr="0084660B">
        <w:rPr>
          <w:sz w:val="18"/>
          <w:szCs w:val="18"/>
        </w:rPr>
        <w:t> июля 2003 года, пункт 9.</w:t>
      </w:r>
      <w:r>
        <w:rPr>
          <w:sz w:val="18"/>
          <w:szCs w:val="18"/>
        </w:rPr>
        <w:t>5</w:t>
      </w:r>
      <w:r w:rsidRPr="00067F9C">
        <w:rPr>
          <w:sz w:val="18"/>
        </w:rPr>
        <w:t>;</w:t>
      </w:r>
      <w:r>
        <w:rPr>
          <w:sz w:val="18"/>
        </w:rPr>
        <w:t xml:space="preserve"> сообщение № </w:t>
      </w:r>
      <w:r w:rsidRPr="00067F9C">
        <w:rPr>
          <w:sz w:val="18"/>
        </w:rPr>
        <w:t xml:space="preserve">886/1999 </w:t>
      </w:r>
      <w:r>
        <w:rPr>
          <w:i/>
          <w:sz w:val="18"/>
        </w:rPr>
        <w:t>Бондаренко против Беларуси</w:t>
      </w:r>
      <w:r>
        <w:rPr>
          <w:sz w:val="18"/>
        </w:rPr>
        <w:t>,</w:t>
      </w:r>
      <w:r>
        <w:rPr>
          <w:sz w:val="18"/>
        </w:rPr>
        <w:br/>
        <w:t>Соображ</w:t>
      </w:r>
      <w:r>
        <w:rPr>
          <w:sz w:val="18"/>
        </w:rPr>
        <w:t>е</w:t>
      </w:r>
      <w:r>
        <w:rPr>
          <w:sz w:val="18"/>
        </w:rPr>
        <w:t xml:space="preserve">ния, принятые 3 апреля </w:t>
      </w:r>
      <w:r w:rsidRPr="00067F9C">
        <w:rPr>
          <w:sz w:val="18"/>
        </w:rPr>
        <w:t>2003</w:t>
      </w:r>
      <w:r>
        <w:rPr>
          <w:sz w:val="18"/>
        </w:rPr>
        <w:t xml:space="preserve"> года</w:t>
      </w:r>
      <w:r w:rsidRPr="00067F9C">
        <w:rPr>
          <w:sz w:val="18"/>
        </w:rPr>
        <w:t>,</w:t>
      </w:r>
      <w:r>
        <w:rPr>
          <w:sz w:val="18"/>
        </w:rPr>
        <w:t xml:space="preserve"> пункт </w:t>
      </w:r>
      <w:r w:rsidRPr="00067F9C">
        <w:rPr>
          <w:sz w:val="18"/>
        </w:rPr>
        <w:t xml:space="preserve">10.2; </w:t>
      </w:r>
      <w:r>
        <w:rPr>
          <w:sz w:val="18"/>
        </w:rPr>
        <w:t xml:space="preserve">и на </w:t>
      </w:r>
      <w:r w:rsidRPr="0084660B">
        <w:rPr>
          <w:sz w:val="18"/>
          <w:szCs w:val="18"/>
        </w:rPr>
        <w:t>заключительные замеч</w:t>
      </w:r>
      <w:r>
        <w:rPr>
          <w:sz w:val="18"/>
          <w:szCs w:val="18"/>
        </w:rPr>
        <w:t>ания Комитета, касающиеся второ</w:t>
      </w:r>
      <w:r w:rsidRPr="0084660B">
        <w:rPr>
          <w:sz w:val="18"/>
          <w:szCs w:val="18"/>
        </w:rPr>
        <w:t>го периодического доклада Алжира</w:t>
      </w:r>
      <w:r>
        <w:rPr>
          <w:sz w:val="18"/>
          <w:szCs w:val="18"/>
        </w:rPr>
        <w:t xml:space="preserve"> </w:t>
      </w:r>
      <w:r w:rsidRPr="00067F9C">
        <w:rPr>
          <w:sz w:val="18"/>
        </w:rPr>
        <w:t>(</w:t>
      </w:r>
      <w:r w:rsidRPr="006C0BCA">
        <w:rPr>
          <w:sz w:val="18"/>
          <w:lang w:val="fr-FR"/>
        </w:rPr>
        <w:t>CCPR</w:t>
      </w:r>
      <w:r w:rsidRPr="00067F9C">
        <w:rPr>
          <w:sz w:val="18"/>
        </w:rPr>
        <w:t>/</w:t>
      </w:r>
      <w:r w:rsidRPr="006C0BCA">
        <w:rPr>
          <w:sz w:val="18"/>
          <w:lang w:val="fr-FR"/>
        </w:rPr>
        <w:t>C</w:t>
      </w:r>
      <w:r w:rsidRPr="00067F9C">
        <w:rPr>
          <w:sz w:val="18"/>
        </w:rPr>
        <w:t>/79/</w:t>
      </w:r>
      <w:r w:rsidRPr="006C0BCA">
        <w:rPr>
          <w:sz w:val="18"/>
          <w:lang w:val="fr-FR"/>
        </w:rPr>
        <w:t>Add</w:t>
      </w:r>
      <w:r w:rsidRPr="00067F9C">
        <w:rPr>
          <w:sz w:val="18"/>
        </w:rPr>
        <w:t>.95),</w:t>
      </w:r>
      <w:r>
        <w:rPr>
          <w:sz w:val="18"/>
          <w:szCs w:val="18"/>
        </w:rPr>
        <w:t xml:space="preserve"> </w:t>
      </w:r>
      <w:r w:rsidRPr="0084660B">
        <w:rPr>
          <w:sz w:val="18"/>
          <w:szCs w:val="18"/>
        </w:rPr>
        <w:t>принятые</w:t>
      </w:r>
      <w:r>
        <w:rPr>
          <w:sz w:val="18"/>
          <w:szCs w:val="18"/>
        </w:rPr>
        <w:t xml:space="preserve"> 29 июля 1998 г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да, пункт </w:t>
      </w:r>
      <w:r w:rsidRPr="00067F9C">
        <w:rPr>
          <w:sz w:val="18"/>
        </w:rPr>
        <w:t>10.</w:t>
      </w:r>
    </w:p>
  </w:footnote>
  <w:footnote w:id="3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szCs w:val="18"/>
          <w:lang w:val="ru-RU"/>
        </w:rPr>
        <w:tab/>
      </w:r>
      <w:r w:rsidRPr="006C0BCA">
        <w:rPr>
          <w:rStyle w:val="FootnoteReference"/>
          <w:szCs w:val="18"/>
          <w:lang w:val="fr-FR"/>
        </w:rPr>
        <w:footnoteRef/>
      </w:r>
      <w:r w:rsidRPr="00067F9C">
        <w:rPr>
          <w:szCs w:val="18"/>
          <w:lang w:val="ru-RU"/>
        </w:rPr>
        <w:tab/>
      </w:r>
      <w:r w:rsidRPr="00C91903">
        <w:rPr>
          <w:lang w:val="ru-RU"/>
        </w:rPr>
        <w:t>Государство-участник ответило в общей сложнос</w:t>
      </w:r>
      <w:r>
        <w:rPr>
          <w:lang w:val="ru-RU"/>
        </w:rPr>
        <w:t xml:space="preserve">ти на 11 различных сообщений и </w:t>
      </w:r>
      <w:r w:rsidRPr="00067F9C">
        <w:rPr>
          <w:lang w:val="ru-RU"/>
        </w:rPr>
        <w:t xml:space="preserve">в своем меморандуме </w:t>
      </w:r>
      <w:r>
        <w:rPr>
          <w:lang w:val="ru-RU"/>
        </w:rPr>
        <w:t>ведет речь об</w:t>
      </w:r>
      <w:r w:rsidRPr="00067F9C">
        <w:rPr>
          <w:lang w:val="ru-RU"/>
        </w:rPr>
        <w:t xml:space="preserve"> </w:t>
      </w:r>
      <w:r w:rsidR="00844393">
        <w:rPr>
          <w:lang w:val="ru-RU"/>
        </w:rPr>
        <w:t>"</w:t>
      </w:r>
      <w:r w:rsidRPr="00C91903">
        <w:rPr>
          <w:lang w:val="ru-RU"/>
        </w:rPr>
        <w:t>автор</w:t>
      </w:r>
      <w:r>
        <w:rPr>
          <w:lang w:val="ru-RU"/>
        </w:rPr>
        <w:t>ах</w:t>
      </w:r>
      <w:r w:rsidR="00844393">
        <w:rPr>
          <w:lang w:val="ru-RU"/>
        </w:rPr>
        <w:t>"</w:t>
      </w:r>
      <w:r w:rsidRPr="00C91903">
        <w:rPr>
          <w:lang w:val="ru-RU"/>
        </w:rPr>
        <w:t xml:space="preserve">. Это понятие </w:t>
      </w:r>
      <w:r>
        <w:rPr>
          <w:lang w:val="ru-RU"/>
        </w:rPr>
        <w:t>включает также</w:t>
      </w:r>
      <w:r w:rsidRPr="00C9190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C91903">
        <w:rPr>
          <w:lang w:val="ru-RU"/>
        </w:rPr>
        <w:t>автор</w:t>
      </w:r>
      <w:r>
        <w:rPr>
          <w:lang w:val="ru-RU"/>
        </w:rPr>
        <w:t>а</w:t>
      </w:r>
      <w:r w:rsidRPr="00C91903">
        <w:rPr>
          <w:lang w:val="ru-RU"/>
        </w:rPr>
        <w:t xml:space="preserve"> настоящего сообщения</w:t>
      </w:r>
      <w:r>
        <w:rPr>
          <w:szCs w:val="18"/>
          <w:lang w:val="ru-RU"/>
        </w:rPr>
        <w:t xml:space="preserve">. </w:t>
      </w:r>
    </w:p>
  </w:footnote>
  <w:footnote w:id="4">
    <w:p w:rsidR="00DD11E5" w:rsidRPr="00067F9C" w:rsidRDefault="00DD11E5" w:rsidP="009B6A38">
      <w:pPr>
        <w:pStyle w:val="FootnoteText"/>
        <w:jc w:val="both"/>
        <w:rPr>
          <w:lang w:val="ru-RU"/>
        </w:rPr>
      </w:pPr>
      <w:r w:rsidRPr="00067F9C">
        <w:rPr>
          <w:szCs w:val="18"/>
          <w:lang w:val="ru-RU"/>
        </w:rPr>
        <w:tab/>
      </w:r>
      <w:r w:rsidRPr="006C0BCA">
        <w:rPr>
          <w:rStyle w:val="FootnoteReference"/>
          <w:szCs w:val="18"/>
          <w:lang w:val="fr-FR"/>
        </w:rPr>
        <w:footnoteRef/>
      </w:r>
      <w:r w:rsidRPr="00067F9C">
        <w:rPr>
          <w:szCs w:val="18"/>
          <w:lang w:val="ru-RU"/>
        </w:rPr>
        <w:tab/>
      </w:r>
      <w:r w:rsidRPr="00C91903">
        <w:rPr>
          <w:lang w:val="ru-RU"/>
        </w:rPr>
        <w:t xml:space="preserve">Государство-участник </w:t>
      </w:r>
      <w:r>
        <w:rPr>
          <w:lang w:val="ru-RU"/>
        </w:rPr>
        <w:t>ссылается</w:t>
      </w:r>
      <w:r w:rsidRPr="00C91903">
        <w:rPr>
          <w:lang w:val="ru-RU"/>
        </w:rPr>
        <w:t xml:space="preserve">, в частности, </w:t>
      </w:r>
      <w:r>
        <w:rPr>
          <w:lang w:val="ru-RU"/>
        </w:rPr>
        <w:t xml:space="preserve">на </w:t>
      </w:r>
      <w:r w:rsidRPr="00C91903">
        <w:rPr>
          <w:lang w:val="ru-RU"/>
        </w:rPr>
        <w:t>сообщени</w:t>
      </w:r>
      <w:r>
        <w:rPr>
          <w:lang w:val="ru-RU"/>
        </w:rPr>
        <w:t>я</w:t>
      </w:r>
      <w:r w:rsidRPr="00C91903">
        <w:rPr>
          <w:lang w:val="ru-RU"/>
        </w:rPr>
        <w:t xml:space="preserve"> № 210/1986 и </w:t>
      </w:r>
      <w:r>
        <w:rPr>
          <w:lang w:val="ru-RU"/>
        </w:rPr>
        <w:t xml:space="preserve">№ 225/1987 </w:t>
      </w:r>
      <w:r w:rsidRPr="00C91903">
        <w:rPr>
          <w:i/>
          <w:lang w:val="ru-RU"/>
        </w:rPr>
        <w:t>Пратт и Морган против Ямайки</w:t>
      </w:r>
      <w:r w:rsidRPr="00067F9C">
        <w:rPr>
          <w:i/>
          <w:lang w:val="ru-RU"/>
        </w:rPr>
        <w:t>,</w:t>
      </w:r>
      <w:r w:rsidRPr="00C91903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C91903">
        <w:rPr>
          <w:lang w:val="ru-RU"/>
        </w:rPr>
        <w:t>, принятые 6 апреля 1989 года</w:t>
      </w:r>
      <w:r w:rsidRPr="00067F9C">
        <w:rPr>
          <w:lang w:val="ru-RU"/>
        </w:rPr>
        <w:t>.</w:t>
      </w:r>
    </w:p>
  </w:footnote>
  <w:footnote w:id="5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Автор цитирует заключительные замечания Комитета по правам человека, касающиеся третьего периодического доклада Алжира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принятые 1 ноября </w:t>
      </w:r>
      <w:r w:rsidRPr="00067F9C">
        <w:rPr>
          <w:szCs w:val="18"/>
          <w:lang w:val="ru-RU"/>
        </w:rPr>
        <w:t>2007</w:t>
      </w:r>
      <w:r>
        <w:rPr>
          <w:szCs w:val="18"/>
          <w:lang w:val="ru-RU"/>
        </w:rPr>
        <w:t xml:space="preserve"> года</w:t>
      </w:r>
      <w:r w:rsidRPr="00067F9C">
        <w:rPr>
          <w:szCs w:val="18"/>
          <w:lang w:val="ru-RU"/>
        </w:rPr>
        <w:t xml:space="preserve"> (</w:t>
      </w:r>
      <w:r>
        <w:rPr>
          <w:szCs w:val="18"/>
        </w:rPr>
        <w:t>CCPR</w:t>
      </w:r>
      <w:r w:rsidRPr="00067F9C">
        <w:rPr>
          <w:szCs w:val="18"/>
          <w:lang w:val="ru-RU"/>
        </w:rPr>
        <w:t>/</w:t>
      </w:r>
      <w:r>
        <w:rPr>
          <w:szCs w:val="18"/>
        </w:rPr>
        <w:t>C</w:t>
      </w:r>
      <w:r w:rsidRPr="00067F9C">
        <w:rPr>
          <w:szCs w:val="18"/>
          <w:lang w:val="ru-RU"/>
        </w:rPr>
        <w:t>/</w:t>
      </w:r>
      <w:r>
        <w:rPr>
          <w:szCs w:val="18"/>
        </w:rPr>
        <w:t>DZA</w:t>
      </w:r>
      <w:r w:rsidRPr="00067F9C">
        <w:rPr>
          <w:szCs w:val="18"/>
          <w:lang w:val="ru-RU"/>
        </w:rPr>
        <w:t>/</w:t>
      </w:r>
      <w:r>
        <w:rPr>
          <w:szCs w:val="18"/>
        </w:rPr>
        <w:t>CO</w:t>
      </w:r>
      <w:r w:rsidRPr="00067F9C">
        <w:rPr>
          <w:szCs w:val="18"/>
          <w:lang w:val="ru-RU"/>
        </w:rPr>
        <w:t xml:space="preserve">/3), </w:t>
      </w:r>
      <w:r>
        <w:rPr>
          <w:szCs w:val="18"/>
          <w:lang w:val="ru-RU"/>
        </w:rPr>
        <w:t xml:space="preserve">пункты </w:t>
      </w:r>
      <w:r w:rsidRPr="00067F9C">
        <w:rPr>
          <w:szCs w:val="18"/>
          <w:lang w:val="ru-RU"/>
        </w:rPr>
        <w:t xml:space="preserve">7, 8 </w:t>
      </w:r>
      <w:r>
        <w:rPr>
          <w:szCs w:val="18"/>
          <w:lang w:val="ru-RU"/>
        </w:rPr>
        <w:t>и</w:t>
      </w:r>
      <w:r>
        <w:rPr>
          <w:szCs w:val="18"/>
        </w:rPr>
        <w:t> </w:t>
      </w:r>
      <w:r w:rsidRPr="00067F9C">
        <w:rPr>
          <w:szCs w:val="18"/>
          <w:lang w:val="ru-RU"/>
        </w:rPr>
        <w:t xml:space="preserve">13. </w:t>
      </w:r>
      <w:r>
        <w:rPr>
          <w:szCs w:val="18"/>
          <w:lang w:val="ru-RU"/>
        </w:rPr>
        <w:t>Он ссылается также на</w:t>
      </w:r>
      <w:r w:rsidRPr="00616BAC">
        <w:rPr>
          <w:szCs w:val="18"/>
          <w:lang w:val="ru-RU"/>
        </w:rPr>
        <w:br/>
      </w:r>
      <w:r>
        <w:rPr>
          <w:szCs w:val="18"/>
          <w:lang w:val="ru-RU"/>
        </w:rPr>
        <w:t xml:space="preserve">сообщения № </w:t>
      </w:r>
      <w:r w:rsidRPr="00067F9C">
        <w:rPr>
          <w:szCs w:val="18"/>
          <w:lang w:val="ru-RU"/>
        </w:rPr>
        <w:t xml:space="preserve">1588/2007 </w:t>
      </w:r>
      <w:r>
        <w:rPr>
          <w:i/>
          <w:szCs w:val="18"/>
          <w:lang w:val="ru-RU"/>
        </w:rPr>
        <w:t>Беназиза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26 июля </w:t>
      </w:r>
      <w:r w:rsidRPr="00067F9C">
        <w:rPr>
          <w:szCs w:val="18"/>
          <w:lang w:val="ru-RU"/>
        </w:rPr>
        <w:t>2010</w:t>
      </w:r>
      <w:r>
        <w:rPr>
          <w:szCs w:val="18"/>
          <w:lang w:val="ru-RU"/>
        </w:rPr>
        <w:t xml:space="preserve"> года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</w:t>
      </w:r>
      <w:r w:rsidRPr="00067F9C">
        <w:rPr>
          <w:szCs w:val="18"/>
          <w:lang w:val="ru-RU"/>
        </w:rPr>
        <w:t xml:space="preserve"> 9.2, </w:t>
      </w:r>
      <w:r>
        <w:rPr>
          <w:szCs w:val="18"/>
          <w:lang w:val="ru-RU"/>
        </w:rPr>
        <w:t xml:space="preserve">и № </w:t>
      </w:r>
      <w:r w:rsidRPr="00067F9C">
        <w:rPr>
          <w:szCs w:val="18"/>
          <w:lang w:val="ru-RU"/>
        </w:rPr>
        <w:t>1196/2003</w:t>
      </w:r>
      <w:r>
        <w:rPr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Бушерф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30 марта </w:t>
      </w:r>
      <w:r w:rsidRPr="00067F9C">
        <w:rPr>
          <w:szCs w:val="18"/>
          <w:lang w:val="ru-RU"/>
        </w:rPr>
        <w:t>2006</w:t>
      </w:r>
      <w:r>
        <w:rPr>
          <w:szCs w:val="18"/>
          <w:lang w:val="ru-RU"/>
        </w:rPr>
        <w:t xml:space="preserve"> года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067F9C">
        <w:rPr>
          <w:szCs w:val="18"/>
          <w:lang w:val="ru-RU"/>
        </w:rPr>
        <w:t xml:space="preserve">11. </w:t>
      </w:r>
      <w:r>
        <w:rPr>
          <w:szCs w:val="18"/>
          <w:lang w:val="ru-RU"/>
        </w:rPr>
        <w:t>Кроме того, автор ссылается на заключительные замечания Комитета против пыток, касающиеся третьего периодического доклада Алжира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принятые</w:t>
      </w:r>
      <w:r w:rsidRPr="00067F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13 мая</w:t>
      </w:r>
      <w:r w:rsidRPr="00067F9C">
        <w:rPr>
          <w:szCs w:val="18"/>
          <w:lang w:val="ru-RU"/>
        </w:rPr>
        <w:t xml:space="preserve"> 2008</w:t>
      </w:r>
      <w:r>
        <w:rPr>
          <w:szCs w:val="18"/>
          <w:lang w:val="ru-RU"/>
        </w:rPr>
        <w:t xml:space="preserve"> года</w:t>
      </w:r>
      <w:r w:rsidRPr="00067F9C">
        <w:rPr>
          <w:szCs w:val="18"/>
          <w:lang w:val="ru-RU"/>
        </w:rPr>
        <w:t xml:space="preserve"> (</w:t>
      </w:r>
      <w:r>
        <w:rPr>
          <w:szCs w:val="18"/>
        </w:rPr>
        <w:t>CAT</w:t>
      </w:r>
      <w:r w:rsidRPr="00067F9C">
        <w:rPr>
          <w:szCs w:val="18"/>
          <w:lang w:val="ru-RU"/>
        </w:rPr>
        <w:t>/</w:t>
      </w:r>
      <w:r>
        <w:rPr>
          <w:szCs w:val="18"/>
        </w:rPr>
        <w:t>C</w:t>
      </w:r>
      <w:r w:rsidRPr="00067F9C">
        <w:rPr>
          <w:szCs w:val="18"/>
          <w:lang w:val="ru-RU"/>
        </w:rPr>
        <w:t>/</w:t>
      </w:r>
      <w:r>
        <w:rPr>
          <w:szCs w:val="18"/>
        </w:rPr>
        <w:t>DZA</w:t>
      </w:r>
      <w:r w:rsidRPr="00067F9C">
        <w:rPr>
          <w:szCs w:val="18"/>
          <w:lang w:val="ru-RU"/>
        </w:rPr>
        <w:t>/</w:t>
      </w:r>
      <w:r>
        <w:rPr>
          <w:szCs w:val="18"/>
        </w:rPr>
        <w:t>CO</w:t>
      </w:r>
      <w:r w:rsidRPr="00067F9C">
        <w:rPr>
          <w:szCs w:val="18"/>
          <w:lang w:val="ru-RU"/>
        </w:rPr>
        <w:t xml:space="preserve">/3), </w:t>
      </w:r>
      <w:r>
        <w:rPr>
          <w:szCs w:val="18"/>
          <w:lang w:val="ru-RU"/>
        </w:rPr>
        <w:t xml:space="preserve">пункты </w:t>
      </w:r>
      <w:r w:rsidRPr="00067F9C">
        <w:rPr>
          <w:szCs w:val="18"/>
          <w:lang w:val="ru-RU"/>
        </w:rPr>
        <w:t xml:space="preserve">11, 13 </w:t>
      </w:r>
      <w:r>
        <w:rPr>
          <w:szCs w:val="18"/>
          <w:lang w:val="ru-RU"/>
        </w:rPr>
        <w:t>и</w:t>
      </w:r>
      <w:r w:rsidRPr="00067F9C">
        <w:rPr>
          <w:szCs w:val="18"/>
          <w:lang w:val="ru-RU"/>
        </w:rPr>
        <w:t xml:space="preserve"> 17. </w:t>
      </w:r>
      <w:r>
        <w:rPr>
          <w:szCs w:val="18"/>
          <w:lang w:val="ru-RU"/>
        </w:rPr>
        <w:t xml:space="preserve">Наконец, он цитирует замечание общего порядка № </w:t>
      </w:r>
      <w:r w:rsidRPr="00067F9C">
        <w:rPr>
          <w:szCs w:val="18"/>
          <w:lang w:val="ru-RU"/>
        </w:rPr>
        <w:t>29 (2001</w:t>
      </w:r>
      <w:r>
        <w:rPr>
          <w:szCs w:val="18"/>
          <w:lang w:val="ru-RU"/>
        </w:rPr>
        <w:t xml:space="preserve"> год</w:t>
      </w:r>
      <w:r w:rsidRPr="00067F9C">
        <w:rPr>
          <w:szCs w:val="18"/>
          <w:lang w:val="ru-RU"/>
        </w:rPr>
        <w:t>)</w:t>
      </w:r>
      <w:r>
        <w:rPr>
          <w:szCs w:val="18"/>
          <w:lang w:val="ru-RU"/>
        </w:rPr>
        <w:t xml:space="preserve"> об отступлении от положений Пакта во время чрезвычайного положения </w:t>
      </w:r>
      <w:r w:rsidRPr="00067F9C">
        <w:rPr>
          <w:szCs w:val="18"/>
          <w:lang w:val="ru-RU"/>
        </w:rPr>
        <w:t>(</w:t>
      </w:r>
      <w:r>
        <w:rPr>
          <w:i/>
          <w:iCs/>
          <w:lang w:val="ru-RU"/>
        </w:rPr>
        <w:t>Официальные отчеты Генеральной Ассамблеи, пятьдесят шестая сессия</w:t>
      </w:r>
      <w:r w:rsidRPr="00067F9C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Дополнение № </w:t>
      </w:r>
      <w:r w:rsidRPr="00067F9C">
        <w:rPr>
          <w:i/>
          <w:iCs/>
          <w:lang w:val="ru-RU"/>
        </w:rPr>
        <w:t>40</w:t>
      </w:r>
      <w:r w:rsidRPr="00067F9C">
        <w:rPr>
          <w:iCs/>
          <w:lang w:val="ru-RU"/>
        </w:rPr>
        <w:t>,</w:t>
      </w:r>
      <w:r w:rsidRPr="00067F9C">
        <w:rPr>
          <w:lang w:val="ru-RU"/>
        </w:rPr>
        <w:t xml:space="preserve"> </w:t>
      </w:r>
      <w:r>
        <w:rPr>
          <w:lang w:val="ru-RU"/>
        </w:rPr>
        <w:t xml:space="preserve">том </w:t>
      </w:r>
      <w:r w:rsidRPr="00C227D7">
        <w:t>I</w:t>
      </w:r>
      <w:r w:rsidRPr="00067F9C">
        <w:rPr>
          <w:i/>
          <w:iCs/>
          <w:lang w:val="ru-RU"/>
        </w:rPr>
        <w:t xml:space="preserve"> </w:t>
      </w:r>
      <w:r w:rsidRPr="00067F9C">
        <w:rPr>
          <w:lang w:val="ru-RU"/>
        </w:rPr>
        <w:t>(</w:t>
      </w:r>
      <w:r>
        <w:t>A</w:t>
      </w:r>
      <w:r w:rsidRPr="00067F9C">
        <w:rPr>
          <w:lang w:val="ru-RU"/>
        </w:rPr>
        <w:t>/56/40 (</w:t>
      </w:r>
      <w:r>
        <w:t>Vol</w:t>
      </w:r>
      <w:r w:rsidRPr="00067F9C">
        <w:rPr>
          <w:lang w:val="ru-RU"/>
        </w:rPr>
        <w:t>.</w:t>
      </w:r>
      <w:r>
        <w:t> I</w:t>
      </w:r>
      <w:r w:rsidRPr="00067F9C">
        <w:rPr>
          <w:lang w:val="ru-RU"/>
        </w:rPr>
        <w:t xml:space="preserve">)), </w:t>
      </w:r>
      <w:r>
        <w:rPr>
          <w:lang w:val="ru-RU"/>
        </w:rPr>
        <w:t xml:space="preserve">приложение </w:t>
      </w:r>
      <w:r w:rsidRPr="00C227D7">
        <w:t>VI</w:t>
      </w:r>
      <w:r w:rsidRPr="00067F9C">
        <w:rPr>
          <w:szCs w:val="18"/>
          <w:lang w:val="ru-RU"/>
        </w:rPr>
        <w:t xml:space="preserve">). </w:t>
      </w:r>
    </w:p>
  </w:footnote>
  <w:footnote w:id="6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szCs w:val="18"/>
          <w:lang w:val="ru-RU"/>
        </w:rPr>
        <w:tab/>
      </w:r>
      <w:r w:rsidRPr="0084341A">
        <w:rPr>
          <w:vertAlign w:val="superscript"/>
        </w:rPr>
        <w:footnoteRef/>
      </w:r>
      <w:r w:rsidRPr="00067F9C">
        <w:rPr>
          <w:szCs w:val="18"/>
          <w:lang w:val="ru-RU"/>
        </w:rPr>
        <w:tab/>
      </w:r>
      <w:r w:rsidR="00844393">
        <w:rPr>
          <w:szCs w:val="18"/>
          <w:lang w:val="ru-RU"/>
        </w:rPr>
        <w:t xml:space="preserve">Сообщение № </w:t>
      </w:r>
      <w:r w:rsidR="00844393" w:rsidRPr="00067F9C">
        <w:rPr>
          <w:szCs w:val="18"/>
          <w:lang w:val="ru-RU"/>
        </w:rPr>
        <w:t xml:space="preserve">1588/2007 </w:t>
      </w:r>
      <w:r w:rsidR="00844393">
        <w:rPr>
          <w:i/>
          <w:szCs w:val="18"/>
          <w:lang w:val="ru-RU"/>
        </w:rPr>
        <w:t>Беназиза против Алжира</w:t>
      </w:r>
      <w:r w:rsidR="00844393" w:rsidRPr="00067F9C">
        <w:rPr>
          <w:szCs w:val="18"/>
          <w:lang w:val="ru-RU"/>
        </w:rPr>
        <w:t xml:space="preserve">, </w:t>
      </w:r>
      <w:r w:rsidR="00844393">
        <w:rPr>
          <w:szCs w:val="18"/>
          <w:lang w:val="ru-RU"/>
        </w:rPr>
        <w:t xml:space="preserve">Соображения, принятые 26 июля </w:t>
      </w:r>
      <w:r w:rsidR="00844393" w:rsidRPr="00067F9C">
        <w:rPr>
          <w:szCs w:val="18"/>
          <w:lang w:val="ru-RU"/>
        </w:rPr>
        <w:t>2010</w:t>
      </w:r>
      <w:r w:rsidR="00844393">
        <w:rPr>
          <w:szCs w:val="18"/>
          <w:lang w:val="ru-RU"/>
        </w:rPr>
        <w:t xml:space="preserve"> года</w:t>
      </w:r>
      <w:r w:rsidR="002D22F7">
        <w:rPr>
          <w:szCs w:val="18"/>
          <w:lang w:val="ru-RU"/>
        </w:rPr>
        <w:t>,</w:t>
      </w:r>
      <w:r w:rsidRPr="00067F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пункт </w:t>
      </w:r>
      <w:r w:rsidRPr="00067F9C">
        <w:rPr>
          <w:szCs w:val="18"/>
          <w:lang w:val="ru-RU"/>
        </w:rPr>
        <w:t>8.3.</w:t>
      </w:r>
    </w:p>
  </w:footnote>
  <w:footnote w:id="7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например, сообщение № </w:t>
      </w:r>
      <w:r w:rsidRPr="00067F9C">
        <w:rPr>
          <w:szCs w:val="18"/>
          <w:lang w:val="ru-RU"/>
        </w:rPr>
        <w:t>1791/2008</w:t>
      </w:r>
      <w:r>
        <w:rPr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22 марта </w:t>
      </w:r>
      <w:r w:rsidRPr="00067F9C">
        <w:rPr>
          <w:szCs w:val="18"/>
          <w:lang w:val="ru-RU"/>
        </w:rPr>
        <w:t>2013</w:t>
      </w:r>
      <w:r>
        <w:rPr>
          <w:szCs w:val="18"/>
          <w:lang w:val="ru-RU"/>
        </w:rPr>
        <w:t xml:space="preserve"> года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067F9C">
        <w:rPr>
          <w:szCs w:val="18"/>
          <w:lang w:val="ru-RU"/>
        </w:rPr>
        <w:t>7.4</w:t>
      </w:r>
      <w:r w:rsidRPr="00067F9C">
        <w:rPr>
          <w:lang w:val="ru-RU"/>
        </w:rPr>
        <w:t>.</w:t>
      </w:r>
    </w:p>
  </w:footnote>
  <w:footnote w:id="8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>
        <w:rPr>
          <w:rStyle w:val="FootnoteReference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szCs w:val="18"/>
          <w:lang w:val="ru-RU"/>
        </w:rPr>
        <w:t>7.4</w:t>
      </w:r>
      <w:r w:rsidRPr="00067F9C">
        <w:rPr>
          <w:lang w:val="ru-RU"/>
        </w:rPr>
        <w:t>.</w:t>
      </w:r>
    </w:p>
  </w:footnote>
  <w:footnote w:id="9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067F9C">
        <w:rPr>
          <w:lang w:val="ru-RU"/>
        </w:rPr>
        <w:t>8.2.</w:t>
      </w:r>
    </w:p>
  </w:footnote>
  <w:footnote w:id="10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>8.3.</w:t>
      </w:r>
    </w:p>
  </w:footnote>
  <w:footnote w:id="11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>8.3.</w:t>
      </w:r>
    </w:p>
  </w:footnote>
  <w:footnote w:id="12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</w:rPr>
        <w:footnoteRef/>
      </w:r>
      <w:r w:rsidRPr="00067F9C">
        <w:rPr>
          <w:lang w:val="ru-RU"/>
        </w:rPr>
        <w:tab/>
      </w:r>
      <w:r>
        <w:rPr>
          <w:i/>
          <w:iCs/>
          <w:lang w:val="ru-RU"/>
        </w:rPr>
        <w:t>Официальные отчеты Генеральной Ассамблеи</w:t>
      </w:r>
      <w:r w:rsidRPr="00067F9C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сорок седьмая сессия</w:t>
      </w:r>
      <w:r w:rsidRPr="00067F9C">
        <w:rPr>
          <w:i/>
          <w:iCs/>
          <w:lang w:val="ru-RU"/>
        </w:rPr>
        <w:t>,</w:t>
      </w:r>
      <w:r>
        <w:rPr>
          <w:i/>
          <w:iCs/>
          <w:lang w:val="ru-RU"/>
        </w:rPr>
        <w:br/>
        <w:t>Дополнение № </w:t>
      </w:r>
      <w:r w:rsidRPr="00067F9C">
        <w:rPr>
          <w:i/>
          <w:iCs/>
          <w:lang w:val="ru-RU"/>
        </w:rPr>
        <w:t>40</w:t>
      </w:r>
      <w:r>
        <w:rPr>
          <w:lang w:val="ru-RU"/>
        </w:rPr>
        <w:t xml:space="preserve"> </w:t>
      </w:r>
      <w:r w:rsidRPr="00067F9C">
        <w:rPr>
          <w:lang w:val="ru-RU"/>
        </w:rPr>
        <w:t>(</w:t>
      </w:r>
      <w:r w:rsidRPr="0084341A">
        <w:t>A</w:t>
      </w:r>
      <w:r w:rsidRPr="00067F9C">
        <w:rPr>
          <w:lang w:val="ru-RU"/>
        </w:rPr>
        <w:t xml:space="preserve">/47/40), </w:t>
      </w:r>
      <w:r>
        <w:rPr>
          <w:lang w:val="ru-RU"/>
        </w:rPr>
        <w:t xml:space="preserve">приложение </w:t>
      </w:r>
      <w:r w:rsidRPr="0084341A">
        <w:t>VI</w:t>
      </w:r>
      <w:r w:rsidRPr="00067F9C">
        <w:rPr>
          <w:lang w:val="ru-RU"/>
        </w:rPr>
        <w:t xml:space="preserve">, </w:t>
      </w:r>
      <w:r>
        <w:rPr>
          <w:lang w:val="ru-RU"/>
        </w:rPr>
        <w:t xml:space="preserve">раздел </w:t>
      </w:r>
      <w:r w:rsidRPr="0084341A">
        <w:t>A</w:t>
      </w:r>
      <w:r w:rsidRPr="00067F9C">
        <w:rPr>
          <w:lang w:val="ru-RU"/>
        </w:rPr>
        <w:t>.</w:t>
      </w:r>
    </w:p>
  </w:footnote>
  <w:footnote w:id="13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>8.5</w:t>
      </w:r>
      <w:r w:rsidRPr="00067F9C">
        <w:rPr>
          <w:szCs w:val="18"/>
          <w:lang w:val="ru-RU"/>
        </w:rPr>
        <w:t>.</w:t>
      </w:r>
    </w:p>
  </w:footnote>
  <w:footnote w:id="14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 xml:space="preserve"> 8.6.</w:t>
      </w:r>
    </w:p>
  </w:footnote>
  <w:footnote w:id="15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 xml:space="preserve"> 8.7.</w:t>
      </w:r>
    </w:p>
  </w:footnote>
  <w:footnote w:id="16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 xml:space="preserve"> 8.8.</w:t>
      </w:r>
    </w:p>
  </w:footnote>
  <w:footnote w:id="17">
    <w:p w:rsidR="00DD11E5" w:rsidRPr="00067F9C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  <w:lang w:val="fr-FR"/>
        </w:rPr>
        <w:footnoteRef/>
      </w:r>
      <w:r w:rsidRPr="00067F9C">
        <w:rPr>
          <w:lang w:val="ru-RU"/>
        </w:rPr>
        <w:tab/>
      </w:r>
      <w:r>
        <w:rPr>
          <w:szCs w:val="18"/>
          <w:lang w:val="ru-RU"/>
        </w:rPr>
        <w:t>См.</w:t>
      </w:r>
      <w:r w:rsidRPr="00067F9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</w:t>
      </w:r>
      <w:r w:rsidRPr="00067F9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067F9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4341A">
        <w:rPr>
          <w:szCs w:val="18"/>
        </w:rPr>
        <w:t> </w:t>
      </w:r>
      <w:r w:rsidRPr="00067F9C">
        <w:rPr>
          <w:lang w:val="ru-RU"/>
        </w:rPr>
        <w:t xml:space="preserve"> 8.9.</w:t>
      </w:r>
    </w:p>
  </w:footnote>
  <w:footnote w:id="18">
    <w:p w:rsidR="00DD11E5" w:rsidRPr="000118C3" w:rsidRDefault="00DD11E5" w:rsidP="009B6A38">
      <w:pPr>
        <w:pStyle w:val="FootnoteText"/>
        <w:rPr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</w:rPr>
        <w:footnoteRef/>
      </w:r>
      <w:r w:rsidRPr="00067F9C">
        <w:rPr>
          <w:lang w:val="ru-RU"/>
        </w:rPr>
        <w:tab/>
      </w:r>
      <w:r>
        <w:rPr>
          <w:i/>
          <w:iCs/>
          <w:lang w:val="ru-RU"/>
        </w:rPr>
        <w:t>Официальные отчеты Генеральной Ассамблеи</w:t>
      </w:r>
      <w:r w:rsidRPr="00067F9C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пятьдесят девятая сессия</w:t>
      </w:r>
      <w:r w:rsidRPr="00067F9C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Дополнение № </w:t>
      </w:r>
      <w:r w:rsidRPr="00067F9C">
        <w:rPr>
          <w:i/>
          <w:iCs/>
          <w:lang w:val="ru-RU"/>
        </w:rPr>
        <w:t>40</w:t>
      </w:r>
      <w:r w:rsidRPr="00067F9C">
        <w:rPr>
          <w:lang w:val="ru-RU"/>
        </w:rPr>
        <w:t xml:space="preserve">, </w:t>
      </w:r>
      <w:r>
        <w:rPr>
          <w:lang w:val="ru-RU"/>
        </w:rPr>
        <w:t>том</w:t>
      </w:r>
      <w:r w:rsidRPr="00C227D7">
        <w:t> I</w:t>
      </w:r>
      <w:r w:rsidRPr="00067F9C">
        <w:rPr>
          <w:i/>
          <w:iCs/>
          <w:lang w:val="ru-RU"/>
        </w:rPr>
        <w:t xml:space="preserve"> </w:t>
      </w:r>
      <w:r w:rsidRPr="00067F9C">
        <w:rPr>
          <w:lang w:val="ru-RU"/>
        </w:rPr>
        <w:t>(</w:t>
      </w:r>
      <w:r>
        <w:t>A</w:t>
      </w:r>
      <w:r w:rsidRPr="00067F9C">
        <w:rPr>
          <w:lang w:val="ru-RU"/>
        </w:rPr>
        <w:t>/59/40 (</w:t>
      </w:r>
      <w:r>
        <w:t>Vol</w:t>
      </w:r>
      <w:r w:rsidRPr="00067F9C">
        <w:rPr>
          <w:lang w:val="ru-RU"/>
        </w:rPr>
        <w:t>.</w:t>
      </w:r>
      <w:r>
        <w:t> I</w:t>
      </w:r>
      <w:r w:rsidRPr="00067F9C">
        <w:rPr>
          <w:lang w:val="ru-RU"/>
        </w:rPr>
        <w:t xml:space="preserve">)), </w:t>
      </w:r>
      <w:r>
        <w:rPr>
          <w:lang w:val="ru-RU"/>
        </w:rPr>
        <w:t>приложение</w:t>
      </w:r>
      <w:r w:rsidRPr="00C227D7">
        <w:t> III</w:t>
      </w:r>
      <w:r>
        <w:rPr>
          <w:lang w:val="ru-RU"/>
        </w:rPr>
        <w:t>.</w:t>
      </w:r>
    </w:p>
  </w:footnote>
  <w:footnote w:id="19">
    <w:p w:rsidR="00DD11E5" w:rsidRPr="00067F9C" w:rsidRDefault="00DD11E5" w:rsidP="009B6A38">
      <w:pPr>
        <w:pStyle w:val="FootnoteText"/>
        <w:rPr>
          <w:szCs w:val="18"/>
          <w:lang w:val="ru-RU"/>
        </w:rPr>
      </w:pPr>
      <w:r w:rsidRPr="00067F9C">
        <w:rPr>
          <w:lang w:val="ru-RU"/>
        </w:rPr>
        <w:tab/>
      </w:r>
      <w:r w:rsidRPr="006C0BCA">
        <w:rPr>
          <w:rStyle w:val="FootnoteReference"/>
        </w:rPr>
        <w:t>a</w:t>
      </w:r>
      <w:r w:rsidRPr="00067F9C">
        <w:rPr>
          <w:lang w:val="ru-RU"/>
        </w:rPr>
        <w:tab/>
      </w:r>
      <w:r w:rsidRPr="006131DF">
        <w:rPr>
          <w:szCs w:val="18"/>
          <w:lang w:val="ru-RU"/>
        </w:rPr>
        <w:t>Комитет по правам человека</w:t>
      </w:r>
      <w:r w:rsidRPr="00067F9C">
        <w:rPr>
          <w:szCs w:val="18"/>
          <w:lang w:val="ru-RU"/>
        </w:rPr>
        <w:t>:</w:t>
      </w:r>
      <w:r w:rsidRPr="006131DF">
        <w:rPr>
          <w:szCs w:val="18"/>
          <w:lang w:val="ru-RU"/>
        </w:rPr>
        <w:t xml:space="preserve"> Сообщение № </w:t>
      </w:r>
      <w:r w:rsidRPr="00067F9C">
        <w:rPr>
          <w:color w:val="000000"/>
          <w:szCs w:val="18"/>
          <w:lang w:val="ru-RU"/>
        </w:rPr>
        <w:t>1390/2005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Кореба против Беларуси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25 октября </w:t>
      </w:r>
      <w:r w:rsidRPr="00067F9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;</w:t>
      </w:r>
      <w:r w:rsidRPr="006131DF">
        <w:rPr>
          <w:color w:val="000000"/>
          <w:szCs w:val="18"/>
          <w:lang w:val="ru-RU"/>
        </w:rPr>
        <w:t xml:space="preserve"> Сообщение № </w:t>
      </w:r>
      <w:r w:rsidRPr="00067F9C">
        <w:rPr>
          <w:color w:val="000000"/>
          <w:szCs w:val="18"/>
          <w:lang w:val="ru-RU"/>
        </w:rPr>
        <w:t>1225/2003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Эшонов против Узбекистана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Соображения, принятые 22 июля </w:t>
      </w:r>
      <w:r w:rsidRPr="00067F9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Pr="00067F9C">
        <w:rPr>
          <w:color w:val="000000"/>
          <w:szCs w:val="18"/>
          <w:lang w:val="ru-RU"/>
        </w:rPr>
        <w:t>8.3</w:t>
      </w:r>
      <w:r w:rsidRPr="006131DF">
        <w:rPr>
          <w:color w:val="000000"/>
          <w:szCs w:val="18"/>
          <w:lang w:val="ru-RU"/>
        </w:rPr>
        <w:t xml:space="preserve">; Сообщение № </w:t>
      </w:r>
      <w:r w:rsidRPr="00067F9C">
        <w:rPr>
          <w:color w:val="000000"/>
          <w:szCs w:val="18"/>
          <w:lang w:val="ru-RU"/>
        </w:rPr>
        <w:t>1206/2003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Р.М и С.И. против Узбекистана</w:t>
      </w:r>
      <w:r w:rsidRPr="00067F9C">
        <w:rPr>
          <w:color w:val="000000"/>
          <w:szCs w:val="18"/>
          <w:lang w:val="ru-RU"/>
        </w:rPr>
        <w:t xml:space="preserve">, </w:t>
      </w:r>
      <w:r w:rsidR="000118C3">
        <w:rPr>
          <w:color w:val="000000"/>
          <w:szCs w:val="18"/>
          <w:lang w:val="ru-RU"/>
        </w:rPr>
        <w:t>Соображения, принятые 10</w:t>
      </w:r>
      <w:r w:rsidR="000118C3">
        <w:rPr>
          <w:color w:val="000000"/>
          <w:szCs w:val="18"/>
          <w:lang w:val="en-US"/>
        </w:rPr>
        <w:t> </w:t>
      </w:r>
      <w:r w:rsidRPr="006131DF">
        <w:rPr>
          <w:color w:val="000000"/>
          <w:szCs w:val="18"/>
          <w:lang w:val="ru-RU"/>
        </w:rPr>
        <w:t xml:space="preserve">марта </w:t>
      </w:r>
      <w:r w:rsidRPr="00067F9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067F9C">
        <w:rPr>
          <w:color w:val="000000"/>
          <w:szCs w:val="18"/>
          <w:lang w:val="ru-RU"/>
        </w:rPr>
        <w:t>6.3</w:t>
      </w:r>
      <w:r w:rsidRPr="006131DF">
        <w:rPr>
          <w:color w:val="000000"/>
          <w:szCs w:val="18"/>
          <w:lang w:val="ru-RU"/>
        </w:rPr>
        <w:t xml:space="preserve"> и</w:t>
      </w:r>
      <w:r w:rsidRPr="00067F9C">
        <w:rPr>
          <w:color w:val="000000"/>
          <w:szCs w:val="18"/>
          <w:lang w:val="ru-RU"/>
        </w:rPr>
        <w:t xml:space="preserve"> 9.2, </w:t>
      </w:r>
      <w:r w:rsidRPr="006131DF">
        <w:rPr>
          <w:color w:val="000000"/>
          <w:szCs w:val="18"/>
          <w:lang w:val="ru-RU"/>
        </w:rPr>
        <w:t>где Комитет сделал вывод об отсутствии нарушения</w:t>
      </w:r>
      <w:r w:rsidRPr="00067F9C">
        <w:rPr>
          <w:color w:val="000000"/>
          <w:szCs w:val="18"/>
          <w:lang w:val="ru-RU"/>
        </w:rPr>
        <w:t>;</w:t>
      </w:r>
      <w:r w:rsidRPr="006131DF">
        <w:rPr>
          <w:color w:val="000000"/>
          <w:szCs w:val="18"/>
          <w:lang w:val="ru-RU"/>
        </w:rPr>
        <w:t xml:space="preserve"> Сообщение № </w:t>
      </w:r>
      <w:r w:rsidRPr="00067F9C">
        <w:rPr>
          <w:color w:val="000000"/>
          <w:szCs w:val="18"/>
          <w:lang w:val="ru-RU"/>
        </w:rPr>
        <w:t>1520/2006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Мвамба против Замбии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10 марта </w:t>
      </w:r>
      <w:r w:rsidRPr="00067F9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;</w:t>
      </w:r>
      <w:r w:rsidRPr="006131DF">
        <w:rPr>
          <w:color w:val="000000"/>
          <w:szCs w:val="18"/>
          <w:lang w:val="ru-RU"/>
        </w:rPr>
        <w:t xml:space="preserve"> Сообщение № </w:t>
      </w:r>
      <w:r w:rsidRPr="00067F9C">
        <w:rPr>
          <w:color w:val="000000"/>
          <w:szCs w:val="18"/>
          <w:lang w:val="ru-RU"/>
        </w:rPr>
        <w:t>1320/2004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Пиментель и другие против Филиппин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19 марта </w:t>
      </w:r>
      <w:r w:rsidRPr="00067F9C">
        <w:rPr>
          <w:color w:val="000000"/>
          <w:szCs w:val="18"/>
          <w:lang w:val="ru-RU"/>
        </w:rPr>
        <w:t>2007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067F9C">
        <w:rPr>
          <w:color w:val="000000"/>
          <w:szCs w:val="18"/>
          <w:lang w:val="ru-RU"/>
        </w:rPr>
        <w:t xml:space="preserve">3 </w:t>
      </w:r>
      <w:r w:rsidRPr="006131DF">
        <w:rPr>
          <w:color w:val="000000"/>
          <w:szCs w:val="18"/>
          <w:lang w:val="ru-RU"/>
        </w:rPr>
        <w:t xml:space="preserve">и </w:t>
      </w:r>
      <w:r w:rsidRPr="00067F9C">
        <w:rPr>
          <w:color w:val="000000"/>
          <w:szCs w:val="18"/>
          <w:lang w:val="ru-RU"/>
        </w:rPr>
        <w:t xml:space="preserve">8.3; </w:t>
      </w:r>
      <w:r w:rsidRPr="006131DF">
        <w:rPr>
          <w:color w:val="000000"/>
          <w:szCs w:val="18"/>
          <w:lang w:val="ru-RU"/>
        </w:rPr>
        <w:t>Сообщение №</w:t>
      </w:r>
      <w:r w:rsidRPr="006131DF">
        <w:rPr>
          <w:szCs w:val="18"/>
          <w:lang w:val="fr-FR"/>
        </w:rPr>
        <w:t> </w:t>
      </w:r>
      <w:r w:rsidRPr="00067F9C">
        <w:rPr>
          <w:color w:val="000000"/>
          <w:szCs w:val="18"/>
          <w:lang w:val="ru-RU"/>
        </w:rPr>
        <w:t>1177/2003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Иломбе и Шандве против Демократической Республики Конго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17 марта </w:t>
      </w:r>
      <w:r w:rsidRPr="00067F9C">
        <w:rPr>
          <w:color w:val="000000"/>
          <w:szCs w:val="18"/>
          <w:lang w:val="ru-RU"/>
        </w:rPr>
        <w:t>2006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067F9C">
        <w:rPr>
          <w:color w:val="000000"/>
          <w:szCs w:val="18"/>
          <w:lang w:val="ru-RU"/>
        </w:rPr>
        <w:t>5.5, 6.5</w:t>
      </w:r>
      <w:r w:rsidRPr="006131DF">
        <w:rPr>
          <w:color w:val="000000"/>
          <w:szCs w:val="18"/>
          <w:lang w:val="ru-RU"/>
        </w:rPr>
        <w:t xml:space="preserve"> и</w:t>
      </w:r>
      <w:r w:rsidRPr="00067F9C">
        <w:rPr>
          <w:color w:val="000000"/>
          <w:szCs w:val="18"/>
          <w:lang w:val="ru-RU"/>
        </w:rPr>
        <w:t xml:space="preserve"> 9;</w:t>
      </w:r>
      <w:r w:rsidRPr="006131DF">
        <w:rPr>
          <w:color w:val="000000"/>
          <w:szCs w:val="18"/>
          <w:lang w:val="ru-RU"/>
        </w:rPr>
        <w:t xml:space="preserve"> Сообщение № </w:t>
      </w:r>
      <w:r w:rsidRPr="00067F9C">
        <w:rPr>
          <w:color w:val="000000"/>
          <w:szCs w:val="18"/>
          <w:lang w:val="ru-RU"/>
        </w:rPr>
        <w:t xml:space="preserve">973/2001 </w:t>
      </w:r>
      <w:r w:rsidRPr="006131DF">
        <w:rPr>
          <w:i/>
          <w:color w:val="000000"/>
          <w:szCs w:val="18"/>
          <w:lang w:val="ru-RU"/>
        </w:rPr>
        <w:t>Халилова против Таджикистана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30 марта </w:t>
      </w:r>
      <w:r w:rsidRPr="00067F9C">
        <w:rPr>
          <w:color w:val="000000"/>
          <w:szCs w:val="18"/>
          <w:lang w:val="ru-RU"/>
        </w:rPr>
        <w:t>2005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="000118C3">
        <w:rPr>
          <w:color w:val="000000"/>
          <w:szCs w:val="18"/>
          <w:lang w:val="ru-RU"/>
        </w:rPr>
        <w:t>3.7;</w:t>
      </w:r>
      <w:r w:rsidR="000118C3" w:rsidRPr="000118C3">
        <w:rPr>
          <w:color w:val="000000"/>
          <w:szCs w:val="18"/>
          <w:lang w:val="ru-RU"/>
        </w:rPr>
        <w:br/>
      </w:r>
      <w:r w:rsidRPr="006131DF">
        <w:rPr>
          <w:color w:val="000000"/>
          <w:szCs w:val="18"/>
          <w:lang w:val="ru-RU"/>
        </w:rPr>
        <w:t xml:space="preserve">и Сообщение № </w:t>
      </w:r>
      <w:r w:rsidRPr="00067F9C">
        <w:rPr>
          <w:color w:val="000000"/>
          <w:szCs w:val="18"/>
          <w:lang w:val="ru-RU"/>
        </w:rPr>
        <w:t>1044/2002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Шукурова против Таджикистана</w:t>
      </w:r>
      <w:r w:rsidRPr="00067F9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17 марта </w:t>
      </w:r>
      <w:r w:rsidRPr="00067F9C">
        <w:rPr>
          <w:color w:val="000000"/>
          <w:szCs w:val="18"/>
          <w:lang w:val="ru-RU"/>
        </w:rPr>
        <w:t>2006</w:t>
      </w:r>
      <w:r w:rsidRPr="006131DF">
        <w:rPr>
          <w:color w:val="000000"/>
          <w:szCs w:val="18"/>
          <w:lang w:val="ru-RU"/>
        </w:rPr>
        <w:t xml:space="preserve"> года</w:t>
      </w:r>
      <w:r w:rsidRPr="00067F9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Pr="00067F9C">
        <w:rPr>
          <w:color w:val="000000"/>
          <w:szCs w:val="18"/>
          <w:lang w:val="ru-RU"/>
        </w:rPr>
        <w:t>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5" w:rsidRPr="005F0588" w:rsidRDefault="00DD11E5">
    <w:pPr>
      <w:pStyle w:val="Header"/>
      <w:rPr>
        <w:lang w:val="en-US"/>
      </w:rPr>
    </w:pPr>
    <w:r>
      <w:rPr>
        <w:lang w:val="en-US"/>
      </w:rPr>
      <w:t>CCPR/C/108/D/1831/2008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5" w:rsidRPr="005F0588" w:rsidRDefault="00DD11E5" w:rsidP="007721BC">
    <w:pPr>
      <w:pStyle w:val="Header"/>
      <w:rPr>
        <w:lang w:val="en-US"/>
      </w:rPr>
    </w:pPr>
    <w:r>
      <w:rPr>
        <w:lang w:val="en-US"/>
      </w:rPr>
      <w:tab/>
      <w:t>CCPR/C/108/D/1831/2008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44" w:rsidRDefault="00972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CFF387A"/>
    <w:multiLevelType w:val="hybridMultilevel"/>
    <w:tmpl w:val="CAC4495C"/>
    <w:lvl w:ilvl="0" w:tplc="B284E52E">
      <w:start w:val="1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F6969"/>
    <w:multiLevelType w:val="hybridMultilevel"/>
    <w:tmpl w:val="E32CD59A"/>
    <w:lvl w:ilvl="0" w:tplc="304E9880">
      <w:start w:val="1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427418BE"/>
    <w:multiLevelType w:val="multilevel"/>
    <w:tmpl w:val="AB48612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3B82BB9"/>
    <w:multiLevelType w:val="hybridMultilevel"/>
    <w:tmpl w:val="CD4A13DE"/>
    <w:lvl w:ilvl="0" w:tplc="083090EA">
      <w:start w:val="49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476406A5"/>
    <w:multiLevelType w:val="hybridMultilevel"/>
    <w:tmpl w:val="99FE0DA4"/>
    <w:lvl w:ilvl="0" w:tplc="4CA02742">
      <w:start w:val="80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43D5D1C"/>
    <w:multiLevelType w:val="multilevel"/>
    <w:tmpl w:val="7C649BA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7483139A"/>
    <w:multiLevelType w:val="hybridMultilevel"/>
    <w:tmpl w:val="786A1E9A"/>
    <w:lvl w:ilvl="0" w:tplc="A1606A34">
      <w:start w:val="1"/>
      <w:numFmt w:val="bullet"/>
      <w:lvlText w:val="•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18"/>
  </w:num>
  <w:num w:numId="19">
    <w:abstractNumId w:val="18"/>
  </w:num>
  <w:num w:numId="20">
    <w:abstractNumId w:val="22"/>
  </w:num>
  <w:num w:numId="21">
    <w:abstractNumId w:val="18"/>
  </w:num>
  <w:num w:numId="22">
    <w:abstractNumId w:val="21"/>
  </w:num>
  <w:num w:numId="23">
    <w:abstractNumId w:val="21"/>
  </w:num>
  <w:num w:numId="24">
    <w:abstractNumId w:val="24"/>
  </w:num>
  <w:num w:numId="25">
    <w:abstractNumId w:val="14"/>
  </w:num>
  <w:num w:numId="26">
    <w:abstractNumId w:val="12"/>
  </w:num>
  <w:num w:numId="27">
    <w:abstractNumId w:val="25"/>
  </w:num>
  <w:num w:numId="28">
    <w:abstractNumId w:val="13"/>
  </w:num>
  <w:num w:numId="29">
    <w:abstractNumId w:val="11"/>
  </w:num>
  <w:num w:numId="30">
    <w:abstractNumId w:val="20"/>
  </w:num>
  <w:num w:numId="31">
    <w:abstractNumId w:val="16"/>
  </w:num>
  <w:num w:numId="32">
    <w:abstractNumId w:val="15"/>
  </w:num>
  <w:num w:numId="33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C64"/>
    <w:rsid w:val="000033D8"/>
    <w:rsid w:val="00005C1C"/>
    <w:rsid w:val="000118C3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4FF"/>
    <w:rsid w:val="0006401A"/>
    <w:rsid w:val="00072C27"/>
    <w:rsid w:val="00080CF5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1816"/>
    <w:rsid w:val="001463F7"/>
    <w:rsid w:val="0015769C"/>
    <w:rsid w:val="00170196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2F7"/>
    <w:rsid w:val="002D6C07"/>
    <w:rsid w:val="002E0CE6"/>
    <w:rsid w:val="002E1163"/>
    <w:rsid w:val="002E43F3"/>
    <w:rsid w:val="00311E82"/>
    <w:rsid w:val="003215F5"/>
    <w:rsid w:val="00332891"/>
    <w:rsid w:val="00356BB2"/>
    <w:rsid w:val="00360477"/>
    <w:rsid w:val="00367FC9"/>
    <w:rsid w:val="003711A1"/>
    <w:rsid w:val="00372123"/>
    <w:rsid w:val="00381289"/>
    <w:rsid w:val="00381965"/>
    <w:rsid w:val="00386581"/>
    <w:rsid w:val="00387100"/>
    <w:rsid w:val="003951D3"/>
    <w:rsid w:val="003978C6"/>
    <w:rsid w:val="003B40A9"/>
    <w:rsid w:val="003C016E"/>
    <w:rsid w:val="003D5EBD"/>
    <w:rsid w:val="003E6110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686B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16BAC"/>
    <w:rsid w:val="00635E86"/>
    <w:rsid w:val="00636A37"/>
    <w:rsid w:val="006501A5"/>
    <w:rsid w:val="006567B2"/>
    <w:rsid w:val="00662ADE"/>
    <w:rsid w:val="00663FAD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6F74DF"/>
    <w:rsid w:val="007022AF"/>
    <w:rsid w:val="0070327E"/>
    <w:rsid w:val="00707B5F"/>
    <w:rsid w:val="00735602"/>
    <w:rsid w:val="0075279B"/>
    <w:rsid w:val="00753748"/>
    <w:rsid w:val="00762446"/>
    <w:rsid w:val="007721BC"/>
    <w:rsid w:val="00781ACB"/>
    <w:rsid w:val="007832EE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4393"/>
    <w:rsid w:val="008455CF"/>
    <w:rsid w:val="0084613B"/>
    <w:rsid w:val="0084626A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1005"/>
    <w:rsid w:val="00926904"/>
    <w:rsid w:val="009372F0"/>
    <w:rsid w:val="00955022"/>
    <w:rsid w:val="00957B4D"/>
    <w:rsid w:val="00964EEA"/>
    <w:rsid w:val="00972A44"/>
    <w:rsid w:val="00975C64"/>
    <w:rsid w:val="00980C86"/>
    <w:rsid w:val="009B1D9B"/>
    <w:rsid w:val="009B4074"/>
    <w:rsid w:val="009B6A38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0486"/>
    <w:rsid w:val="00B81305"/>
    <w:rsid w:val="00BB17DC"/>
    <w:rsid w:val="00BB1AF9"/>
    <w:rsid w:val="00BB4C4A"/>
    <w:rsid w:val="00BC7F12"/>
    <w:rsid w:val="00BD3CAE"/>
    <w:rsid w:val="00BD5F3C"/>
    <w:rsid w:val="00BD667B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3910"/>
    <w:rsid w:val="00D340EF"/>
    <w:rsid w:val="00D518E6"/>
    <w:rsid w:val="00D6236B"/>
    <w:rsid w:val="00D76358"/>
    <w:rsid w:val="00D809D1"/>
    <w:rsid w:val="00D80D03"/>
    <w:rsid w:val="00D84ECF"/>
    <w:rsid w:val="00DA2851"/>
    <w:rsid w:val="00DA2B7C"/>
    <w:rsid w:val="00DA5686"/>
    <w:rsid w:val="00DB1976"/>
    <w:rsid w:val="00DB2FC0"/>
    <w:rsid w:val="00DC5508"/>
    <w:rsid w:val="00DD11E5"/>
    <w:rsid w:val="00DF18FA"/>
    <w:rsid w:val="00DF49CA"/>
    <w:rsid w:val="00DF775B"/>
    <w:rsid w:val="00E007F3"/>
    <w:rsid w:val="00E00DEA"/>
    <w:rsid w:val="00E06EF0"/>
    <w:rsid w:val="00E11679"/>
    <w:rsid w:val="00E307D1"/>
    <w:rsid w:val="00E34ECA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0F46"/>
    <w:rsid w:val="00EE516D"/>
    <w:rsid w:val="00EF4D1B"/>
    <w:rsid w:val="00EF7295"/>
    <w:rsid w:val="00F069D1"/>
    <w:rsid w:val="00F1503D"/>
    <w:rsid w:val="00F22712"/>
    <w:rsid w:val="00F275F5"/>
    <w:rsid w:val="00F33188"/>
    <w:rsid w:val="00F34B4D"/>
    <w:rsid w:val="00F35BDE"/>
    <w:rsid w:val="00F52A0E"/>
    <w:rsid w:val="00F564B6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,ftref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9B6A3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customStyle="1" w:styleId="SingleTxtG">
    <w:name w:val="_ Single Txt_G"/>
    <w:basedOn w:val="Normal"/>
    <w:link w:val="SingleTxtGChar"/>
    <w:rsid w:val="009B6A3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rsid w:val="009B6A3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MG">
    <w:name w:val="__S_M_G"/>
    <w:basedOn w:val="Normal"/>
    <w:next w:val="Normal"/>
    <w:rsid w:val="009B6A3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SG">
    <w:name w:val="__S_S_G"/>
    <w:basedOn w:val="Normal"/>
    <w:next w:val="Normal"/>
    <w:rsid w:val="009B6A3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9B6A3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9B6A38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9B6A38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character" w:customStyle="1" w:styleId="FootnoteTextChar">
    <w:name w:val="Footnote Text Char"/>
    <w:aliases w:val="5_GR Char,5_G Char"/>
    <w:link w:val="FootnoteText"/>
    <w:rsid w:val="009B6A38"/>
    <w:rPr>
      <w:spacing w:val="5"/>
      <w:w w:val="104"/>
      <w:kern w:val="14"/>
      <w:sz w:val="18"/>
      <w:lang w:val="en-GB" w:eastAsia="ru-RU" w:bidi="ar-SA"/>
    </w:rPr>
  </w:style>
  <w:style w:type="character" w:customStyle="1" w:styleId="SingleTxtGChar">
    <w:name w:val="_ Single Txt_G Char"/>
    <w:link w:val="SingleTxtG"/>
    <w:locked/>
    <w:rsid w:val="009B6A38"/>
    <w:rPr>
      <w:lang w:val="fr-CH" w:eastAsia="en-US" w:bidi="ar-SA"/>
    </w:rPr>
  </w:style>
  <w:style w:type="paragraph" w:customStyle="1" w:styleId="ParNoG">
    <w:name w:val="_ParNo_G"/>
    <w:basedOn w:val="SingleTxtG"/>
    <w:rsid w:val="009B6A38"/>
    <w:pPr>
      <w:numPr>
        <w:numId w:val="26"/>
      </w:numPr>
      <w:tabs>
        <w:tab w:val="clear" w:pos="1701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rsid w:val="009B6A38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fr-CH"/>
    </w:rPr>
  </w:style>
  <w:style w:type="character" w:customStyle="1" w:styleId="BalloonTextChar">
    <w:name w:val="Balloon Text Char"/>
    <w:link w:val="BalloonText"/>
    <w:rsid w:val="009B6A38"/>
    <w:rPr>
      <w:rFonts w:ascii="Tahoma" w:hAnsi="Tahoma"/>
      <w:sz w:val="16"/>
      <w:szCs w:val="16"/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21</Pages>
  <Words>8017</Words>
  <Characters>53316</Characters>
  <Application>Microsoft Office Outlook</Application>
  <DocSecurity>4</DocSecurity>
  <Lines>935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Благодатских Анна</cp:lastModifiedBy>
  <cp:revision>2</cp:revision>
  <cp:lastPrinted>2014-01-13T09:36:00Z</cp:lastPrinted>
  <dcterms:created xsi:type="dcterms:W3CDTF">2014-01-13T12:33:00Z</dcterms:created>
  <dcterms:modified xsi:type="dcterms:W3CDTF">2014-01-13T12:33:00Z</dcterms:modified>
</cp:coreProperties>
</file>