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32FA5" w:rsidP="00E32FA5">
            <w:pPr>
              <w:bidi w:val="0"/>
              <w:spacing w:after="20"/>
              <w:jc w:val="left"/>
              <w:rPr>
                <w:szCs w:val="20"/>
              </w:rPr>
            </w:pPr>
            <w:r w:rsidRPr="00E32FA5">
              <w:rPr>
                <w:sz w:val="40"/>
                <w:szCs w:val="20"/>
              </w:rPr>
              <w:t>CCPR</w:t>
            </w:r>
            <w:r>
              <w:rPr>
                <w:szCs w:val="20"/>
              </w:rPr>
              <w:t>/C/109/D/1764/2008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32FA5" w:rsidRDefault="00E32FA5" w:rsidP="00E32FA5">
            <w:pPr>
              <w:bidi w:val="0"/>
              <w:spacing w:before="240"/>
              <w:jc w:val="left"/>
            </w:pPr>
            <w:r>
              <w:t>Distr.: General</w:t>
            </w:r>
          </w:p>
          <w:p w:rsidR="00E32FA5" w:rsidRDefault="00E32FA5" w:rsidP="00E32FA5">
            <w:pPr>
              <w:bidi w:val="0"/>
              <w:jc w:val="left"/>
            </w:pPr>
            <w:r>
              <w:t>2 December 2013</w:t>
            </w:r>
          </w:p>
          <w:p w:rsidR="00E32FA5" w:rsidRDefault="00E32FA5" w:rsidP="00E32FA5">
            <w:pPr>
              <w:bidi w:val="0"/>
              <w:jc w:val="left"/>
            </w:pPr>
            <w:r>
              <w:t>Arabic</w:t>
            </w:r>
          </w:p>
          <w:p w:rsidR="00257225" w:rsidRPr="008B4BC6" w:rsidRDefault="00E32FA5" w:rsidP="00E32FA5">
            <w:pPr>
              <w:bidi w:val="0"/>
              <w:jc w:val="left"/>
            </w:pPr>
            <w:r>
              <w:t>Original: English</w:t>
            </w:r>
          </w:p>
        </w:tc>
      </w:tr>
    </w:tbl>
    <w:p w:rsidR="00E32FA5" w:rsidRDefault="00E32FA5" w:rsidP="00E32FA5">
      <w:pPr>
        <w:spacing w:before="120" w:line="380" w:lineRule="exact"/>
        <w:rPr>
          <w:rFonts w:hint="cs"/>
          <w:b/>
          <w:bCs/>
          <w:rtl/>
        </w:rPr>
      </w:pPr>
      <w:r w:rsidRPr="00BD0578">
        <w:rPr>
          <w:rFonts w:hint="cs"/>
          <w:b/>
          <w:bCs/>
          <w:sz w:val="26"/>
          <w:szCs w:val="36"/>
          <w:rtl/>
        </w:rPr>
        <w:t>اللجنة المعنية بحقوق الإنسان</w:t>
      </w:r>
    </w:p>
    <w:p w:rsidR="00E32FA5" w:rsidRDefault="00E32FA5" w:rsidP="00E32FA5">
      <w:pPr>
        <w:pStyle w:val="HChGA"/>
        <w:rPr>
          <w:rFonts w:hint="cs"/>
          <w:rtl/>
        </w:rPr>
      </w:pPr>
      <w:r>
        <w:rPr>
          <w:rFonts w:hint="cs"/>
          <w:rtl/>
        </w:rPr>
        <w:tab/>
      </w:r>
      <w:r>
        <w:rPr>
          <w:rFonts w:hint="cs"/>
          <w:rtl/>
        </w:rPr>
        <w:tab/>
        <w:t>البلاغ رقم 1764/2008</w:t>
      </w:r>
    </w:p>
    <w:p w:rsidR="00E32FA5" w:rsidRPr="000655F1" w:rsidRDefault="00E32FA5" w:rsidP="00E32FA5">
      <w:pPr>
        <w:pStyle w:val="H1GA"/>
        <w:rPr>
          <w:rFonts w:hint="cs"/>
          <w:spacing w:val="-6"/>
          <w:rtl/>
        </w:rPr>
      </w:pPr>
      <w:r w:rsidRPr="000655F1">
        <w:rPr>
          <w:spacing w:val="-6"/>
          <w:rtl/>
        </w:rPr>
        <w:tab/>
      </w:r>
      <w:r w:rsidRPr="000655F1">
        <w:rPr>
          <w:spacing w:val="-6"/>
          <w:rtl/>
        </w:rPr>
        <w:tab/>
      </w:r>
      <w:r w:rsidRPr="000655F1">
        <w:rPr>
          <w:rFonts w:hint="cs"/>
          <w:spacing w:val="-6"/>
          <w:rtl/>
        </w:rPr>
        <w:t>آ</w:t>
      </w:r>
      <w:r w:rsidRPr="000655F1">
        <w:rPr>
          <w:spacing w:val="-6"/>
          <w:rtl/>
        </w:rPr>
        <w:t>راء اعتمدتها اللجنة في دور</w:t>
      </w:r>
      <w:r w:rsidRPr="000655F1">
        <w:rPr>
          <w:rFonts w:hint="cs"/>
          <w:spacing w:val="-6"/>
          <w:rtl/>
        </w:rPr>
        <w:t>تها</w:t>
      </w:r>
      <w:r w:rsidRPr="000655F1">
        <w:rPr>
          <w:spacing w:val="-6"/>
          <w:rtl/>
        </w:rPr>
        <w:t xml:space="preserve"> </w:t>
      </w:r>
      <w:r>
        <w:rPr>
          <w:rFonts w:hint="cs"/>
          <w:spacing w:val="-6"/>
          <w:rtl/>
        </w:rPr>
        <w:t xml:space="preserve">109 </w:t>
      </w:r>
      <w:r w:rsidRPr="000655F1">
        <w:rPr>
          <w:rFonts w:hint="cs"/>
          <w:spacing w:val="-6"/>
          <w:rtl/>
        </w:rPr>
        <w:t>(</w:t>
      </w:r>
      <w:r>
        <w:rPr>
          <w:rFonts w:hint="cs"/>
          <w:spacing w:val="-6"/>
          <w:rtl/>
        </w:rPr>
        <w:t xml:space="preserve">14 تشرين الأول/أكتوبر </w:t>
      </w:r>
      <w:r>
        <w:rPr>
          <w:spacing w:val="-6"/>
          <w:rtl/>
        </w:rPr>
        <w:t>–</w:t>
      </w:r>
      <w:r>
        <w:rPr>
          <w:rFonts w:hint="cs"/>
          <w:spacing w:val="-6"/>
          <w:rtl/>
        </w:rPr>
        <w:t xml:space="preserve"> 1 تشرين الثاني/نوفمبر 2013</w:t>
      </w:r>
      <w:r w:rsidRPr="000655F1">
        <w:rPr>
          <w:rFonts w:hint="cs"/>
          <w:spacing w:val="-6"/>
          <w:rtl/>
        </w:rPr>
        <w:t>)</w:t>
      </w:r>
    </w:p>
    <w:p w:rsidR="00E32FA5" w:rsidRDefault="00E32FA5" w:rsidP="00E32FA5">
      <w:pPr>
        <w:pStyle w:val="SingleTxtGA"/>
        <w:tabs>
          <w:tab w:val="clear" w:pos="4649"/>
          <w:tab w:val="clear" w:pos="5330"/>
          <w:tab w:val="left" w:pos="4778"/>
        </w:tabs>
        <w:ind w:left="4778" w:hanging="2880"/>
        <w:rPr>
          <w:rtl/>
        </w:rPr>
      </w:pPr>
      <w:r w:rsidRPr="0090541E">
        <w:rPr>
          <w:i/>
          <w:iCs/>
          <w:rtl/>
        </w:rPr>
        <w:t>المقدم من</w:t>
      </w:r>
      <w:r w:rsidRPr="0023292F">
        <w:rPr>
          <w:i/>
          <w:iCs/>
          <w:rtl/>
        </w:rPr>
        <w:t>:</w:t>
      </w:r>
      <w:r>
        <w:rPr>
          <w:rtl/>
        </w:rPr>
        <w:tab/>
      </w:r>
      <w:r>
        <w:rPr>
          <w:rtl/>
        </w:rPr>
        <w:tab/>
      </w:r>
      <w:r>
        <w:rPr>
          <w:rFonts w:hint="cs"/>
          <w:rtl/>
        </w:rPr>
        <w:tab/>
        <w:t>زيد الله وجب أوغلي أليكبيروف (تمثله أخته، رافيزات ماغاراموفا)</w:t>
      </w:r>
    </w:p>
    <w:p w:rsidR="00E32FA5" w:rsidRDefault="00E32FA5" w:rsidP="00E32FA5">
      <w:pPr>
        <w:pStyle w:val="SingleTxtGA"/>
        <w:tabs>
          <w:tab w:val="clear" w:pos="4649"/>
          <w:tab w:val="clear" w:pos="5330"/>
        </w:tabs>
        <w:ind w:left="4778" w:hanging="2880"/>
        <w:rPr>
          <w:rFonts w:hint="cs"/>
          <w:rtl/>
        </w:rPr>
      </w:pPr>
      <w:r w:rsidRPr="0090541E">
        <w:rPr>
          <w:i/>
          <w:iCs/>
          <w:rtl/>
        </w:rPr>
        <w:t xml:space="preserve">الشخص </w:t>
      </w:r>
      <w:r>
        <w:rPr>
          <w:rFonts w:hint="cs"/>
          <w:i/>
          <w:iCs/>
          <w:rtl/>
        </w:rPr>
        <w:t xml:space="preserve">المدعي </w:t>
      </w:r>
      <w:r w:rsidRPr="0090541E">
        <w:rPr>
          <w:i/>
          <w:iCs/>
          <w:rtl/>
        </w:rPr>
        <w:t>أنه ضحي</w:t>
      </w:r>
      <w:r>
        <w:rPr>
          <w:rFonts w:hint="cs"/>
          <w:i/>
          <w:iCs/>
          <w:rtl/>
        </w:rPr>
        <w:t>ة</w:t>
      </w:r>
      <w:r w:rsidRPr="0023292F">
        <w:rPr>
          <w:i/>
          <w:iCs/>
          <w:rtl/>
        </w:rPr>
        <w:t>:</w:t>
      </w:r>
      <w:r>
        <w:rPr>
          <w:rtl/>
        </w:rPr>
        <w:tab/>
      </w:r>
      <w:r>
        <w:rPr>
          <w:rFonts w:hint="cs"/>
          <w:rtl/>
        </w:rPr>
        <w:t>صاحب البلاغ</w:t>
      </w:r>
    </w:p>
    <w:p w:rsidR="00E32FA5" w:rsidRDefault="00E32FA5" w:rsidP="00E32FA5">
      <w:pPr>
        <w:pStyle w:val="SingleTxtGA"/>
        <w:tabs>
          <w:tab w:val="clear" w:pos="4649"/>
          <w:tab w:val="clear" w:pos="5330"/>
          <w:tab w:val="left" w:pos="4778"/>
        </w:tabs>
        <w:ind w:left="4778" w:hanging="2880"/>
        <w:rPr>
          <w:rFonts w:hint="cs"/>
          <w:rtl/>
        </w:rPr>
      </w:pPr>
      <w:r w:rsidRPr="0090541E">
        <w:rPr>
          <w:i/>
          <w:iCs/>
          <w:rtl/>
        </w:rPr>
        <w:t>الدولة الطرف</w:t>
      </w:r>
      <w:r w:rsidRPr="0023292F">
        <w:rPr>
          <w:i/>
          <w:iCs/>
          <w:rtl/>
        </w:rPr>
        <w:t>:</w:t>
      </w:r>
      <w:r w:rsidRPr="0023292F">
        <w:rPr>
          <w:rFonts w:hint="cs"/>
          <w:i/>
          <w:iCs/>
          <w:rtl/>
        </w:rPr>
        <w:tab/>
      </w:r>
      <w:r>
        <w:rPr>
          <w:rFonts w:hint="cs"/>
          <w:rtl/>
        </w:rPr>
        <w:tab/>
      </w:r>
      <w:r>
        <w:rPr>
          <w:rtl/>
        </w:rPr>
        <w:tab/>
      </w:r>
      <w:r>
        <w:rPr>
          <w:rFonts w:hint="cs"/>
          <w:rtl/>
        </w:rPr>
        <w:t>الاتحاد الروسي</w:t>
      </w:r>
    </w:p>
    <w:p w:rsidR="00E32FA5" w:rsidRDefault="00E32FA5" w:rsidP="00E32FA5">
      <w:pPr>
        <w:pStyle w:val="SingleTxtGA"/>
        <w:tabs>
          <w:tab w:val="clear" w:pos="4649"/>
          <w:tab w:val="clear" w:pos="5330"/>
          <w:tab w:val="left" w:pos="4778"/>
        </w:tabs>
        <w:ind w:left="4778" w:hanging="2880"/>
        <w:rPr>
          <w:rFonts w:hint="cs"/>
          <w:rtl/>
        </w:rPr>
      </w:pPr>
      <w:r w:rsidRPr="0023292F">
        <w:rPr>
          <w:i/>
          <w:iCs/>
          <w:rtl/>
        </w:rPr>
        <w:t>تاريخ تقديم البلاغ:</w:t>
      </w:r>
      <w:r>
        <w:rPr>
          <w:rtl/>
        </w:rPr>
        <w:tab/>
      </w:r>
      <w:r>
        <w:rPr>
          <w:rFonts w:hint="cs"/>
          <w:rtl/>
        </w:rPr>
        <w:tab/>
        <w:t>16 كانون الثاني/يناير 2008</w:t>
      </w:r>
      <w:r>
        <w:rPr>
          <w:rtl/>
        </w:rPr>
        <w:t xml:space="preserve"> </w:t>
      </w:r>
    </w:p>
    <w:p w:rsidR="00E32FA5" w:rsidRDefault="00E32FA5" w:rsidP="00E32FA5">
      <w:pPr>
        <w:pStyle w:val="SingleTxtGA"/>
        <w:tabs>
          <w:tab w:val="clear" w:pos="4649"/>
          <w:tab w:val="clear" w:pos="5330"/>
          <w:tab w:val="left" w:pos="4778"/>
        </w:tabs>
        <w:ind w:left="4778" w:hanging="2880"/>
        <w:rPr>
          <w:rtl/>
        </w:rPr>
      </w:pPr>
      <w:r w:rsidRPr="0023292F">
        <w:rPr>
          <w:i/>
          <w:iCs/>
          <w:rtl/>
        </w:rPr>
        <w:t>الوث</w:t>
      </w:r>
      <w:r w:rsidRPr="0023292F">
        <w:rPr>
          <w:rFonts w:hint="cs"/>
          <w:i/>
          <w:iCs/>
          <w:rtl/>
        </w:rPr>
        <w:t>ي</w:t>
      </w:r>
      <w:r w:rsidRPr="0023292F">
        <w:rPr>
          <w:i/>
          <w:iCs/>
          <w:rtl/>
        </w:rPr>
        <w:t>ق</w:t>
      </w:r>
      <w:r w:rsidRPr="0023292F">
        <w:rPr>
          <w:rFonts w:hint="cs"/>
          <w:i/>
          <w:iCs/>
          <w:rtl/>
        </w:rPr>
        <w:t>ة</w:t>
      </w:r>
      <w:r w:rsidRPr="0023292F">
        <w:rPr>
          <w:i/>
          <w:iCs/>
          <w:rtl/>
        </w:rPr>
        <w:t xml:space="preserve"> المرجعية:</w:t>
      </w:r>
      <w:r w:rsidRPr="0023292F">
        <w:rPr>
          <w:i/>
          <w:iCs/>
          <w:rtl/>
        </w:rPr>
        <w:tab/>
      </w:r>
      <w:r>
        <w:rPr>
          <w:rtl/>
        </w:rPr>
        <w:tab/>
      </w:r>
      <w:r>
        <w:rPr>
          <w:rFonts w:hint="cs"/>
          <w:rtl/>
        </w:rPr>
        <w:tab/>
      </w:r>
      <w:r>
        <w:rPr>
          <w:rtl/>
        </w:rPr>
        <w:t>قرار المقرر الخاص</w:t>
      </w:r>
      <w:r>
        <w:rPr>
          <w:rFonts w:hint="cs"/>
          <w:rtl/>
        </w:rPr>
        <w:t xml:space="preserve"> المتخذ </w:t>
      </w:r>
      <w:r>
        <w:rPr>
          <w:rtl/>
        </w:rPr>
        <w:t>بموجب المادة</w:t>
      </w:r>
      <w:r>
        <w:rPr>
          <w:rFonts w:hint="cs"/>
          <w:rtl/>
        </w:rPr>
        <w:t> </w:t>
      </w:r>
      <w:r>
        <w:rPr>
          <w:rtl/>
        </w:rPr>
        <w:t>97 والمحال إلى الدولة الطرف في</w:t>
      </w:r>
      <w:r>
        <w:rPr>
          <w:rFonts w:hint="cs"/>
          <w:rtl/>
        </w:rPr>
        <w:t xml:space="preserve"> 5 آذار/مارس 2008</w:t>
      </w:r>
      <w:r>
        <w:rPr>
          <w:rtl/>
        </w:rPr>
        <w:t xml:space="preserve"> (لم يصدر في شكل وثيقة)</w:t>
      </w:r>
    </w:p>
    <w:p w:rsidR="00E32FA5" w:rsidRDefault="00E32FA5" w:rsidP="00E32FA5">
      <w:pPr>
        <w:pStyle w:val="SingleTxtGA"/>
        <w:tabs>
          <w:tab w:val="clear" w:pos="4649"/>
          <w:tab w:val="clear" w:pos="5330"/>
          <w:tab w:val="left" w:pos="4778"/>
        </w:tabs>
        <w:ind w:left="4778" w:hanging="2880"/>
        <w:rPr>
          <w:rFonts w:hint="cs"/>
          <w:rtl/>
        </w:rPr>
      </w:pPr>
      <w:r w:rsidRPr="0023292F">
        <w:rPr>
          <w:i/>
          <w:iCs/>
          <w:rtl/>
        </w:rPr>
        <w:t>تاريخ اعتماد الآراء:</w:t>
      </w:r>
      <w:r>
        <w:rPr>
          <w:rtl/>
        </w:rPr>
        <w:tab/>
      </w:r>
      <w:r>
        <w:rPr>
          <w:rFonts w:hint="cs"/>
          <w:rtl/>
        </w:rPr>
        <w:tab/>
        <w:t>21 تشرين الأول/أكتوبر 2013</w:t>
      </w:r>
    </w:p>
    <w:p w:rsidR="00E32FA5" w:rsidRDefault="00E32FA5" w:rsidP="00E32FA5">
      <w:pPr>
        <w:pStyle w:val="SingleTxtGA"/>
        <w:tabs>
          <w:tab w:val="clear" w:pos="4649"/>
          <w:tab w:val="clear" w:pos="5330"/>
          <w:tab w:val="left" w:pos="4778"/>
        </w:tabs>
        <w:ind w:left="4778" w:hanging="2880"/>
        <w:rPr>
          <w:rFonts w:hint="cs"/>
          <w:rtl/>
        </w:rPr>
      </w:pPr>
      <w:r w:rsidRPr="0023292F">
        <w:rPr>
          <w:i/>
          <w:iCs/>
          <w:rtl/>
        </w:rPr>
        <w:t>الموضوع:</w:t>
      </w:r>
      <w:r w:rsidRPr="0023292F">
        <w:rPr>
          <w:i/>
          <w:iCs/>
          <w:rtl/>
        </w:rPr>
        <w:tab/>
      </w:r>
      <w:r>
        <w:rPr>
          <w:rFonts w:hint="cs"/>
          <w:rtl/>
        </w:rPr>
        <w:tab/>
      </w:r>
      <w:r>
        <w:rPr>
          <w:rFonts w:hint="cs"/>
          <w:rtl/>
        </w:rPr>
        <w:tab/>
        <w:t xml:space="preserve">عدم </w:t>
      </w:r>
      <w:r>
        <w:rPr>
          <w:rFonts w:hint="cs"/>
          <w:rtl/>
          <w:lang/>
        </w:rPr>
        <w:t>وجود هيئة محلفين</w:t>
      </w:r>
      <w:r w:rsidRPr="00200A6A">
        <w:rPr>
          <w:rFonts w:hint="cs"/>
          <w:rtl/>
          <w:lang/>
        </w:rPr>
        <w:t xml:space="preserve"> </w:t>
      </w:r>
      <w:r>
        <w:rPr>
          <w:rFonts w:hint="cs"/>
          <w:rtl/>
          <w:lang/>
        </w:rPr>
        <w:t>وإبدال عقوبة الإعدام بالسجن المؤبد</w:t>
      </w:r>
    </w:p>
    <w:p w:rsidR="00E32FA5" w:rsidRDefault="00E32FA5" w:rsidP="00E32FA5">
      <w:pPr>
        <w:pStyle w:val="SingleTxtGA"/>
        <w:tabs>
          <w:tab w:val="clear" w:pos="4649"/>
          <w:tab w:val="clear" w:pos="5330"/>
          <w:tab w:val="left" w:pos="4778"/>
        </w:tabs>
        <w:ind w:left="4778" w:hanging="2880"/>
        <w:rPr>
          <w:rFonts w:hint="cs"/>
          <w:rtl/>
        </w:rPr>
      </w:pPr>
      <w:r w:rsidRPr="0023292F">
        <w:rPr>
          <w:i/>
          <w:iCs/>
          <w:rtl/>
        </w:rPr>
        <w:t>المس</w:t>
      </w:r>
      <w:r w:rsidRPr="0023292F">
        <w:rPr>
          <w:rFonts w:hint="cs"/>
          <w:i/>
          <w:iCs/>
          <w:rtl/>
        </w:rPr>
        <w:t xml:space="preserve">ائل </w:t>
      </w:r>
      <w:r w:rsidRPr="0023292F">
        <w:rPr>
          <w:i/>
          <w:iCs/>
          <w:rtl/>
        </w:rPr>
        <w:t>الإجرائية:</w:t>
      </w:r>
      <w:r w:rsidRPr="0023292F">
        <w:rPr>
          <w:i/>
          <w:iCs/>
          <w:rtl/>
        </w:rPr>
        <w:tab/>
      </w:r>
      <w:r w:rsidRPr="0023292F">
        <w:rPr>
          <w:i/>
          <w:iCs/>
          <w:rtl/>
        </w:rPr>
        <w:tab/>
      </w:r>
      <w:r>
        <w:rPr>
          <w:rFonts w:hint="cs"/>
          <w:rtl/>
        </w:rPr>
        <w:tab/>
      </w:r>
      <w:r>
        <w:rPr>
          <w:rFonts w:hint="cs"/>
          <w:rtl/>
          <w:lang/>
        </w:rPr>
        <w:t>درجة دعم الادعاءات بأدلة؛ واستنفاد سبل الانتصاف المحلية</w:t>
      </w:r>
    </w:p>
    <w:p w:rsidR="00E32FA5" w:rsidRDefault="00E32FA5" w:rsidP="00E32FA5">
      <w:pPr>
        <w:spacing w:after="120" w:line="380" w:lineRule="exact"/>
        <w:ind w:left="4778" w:right="1247" w:hanging="2880"/>
        <w:rPr>
          <w:rFonts w:hint="cs"/>
          <w:rtl/>
        </w:rPr>
      </w:pPr>
      <w:r w:rsidRPr="0023292F">
        <w:rPr>
          <w:i/>
          <w:iCs/>
          <w:rtl/>
        </w:rPr>
        <w:t xml:space="preserve">المسائل </w:t>
      </w:r>
      <w:r w:rsidRPr="0023292F">
        <w:rPr>
          <w:rFonts w:hint="cs"/>
          <w:i/>
          <w:iCs/>
          <w:rtl/>
        </w:rPr>
        <w:t>الموضوعية</w:t>
      </w:r>
      <w:r w:rsidRPr="0023292F">
        <w:rPr>
          <w:i/>
          <w:iCs/>
          <w:rtl/>
        </w:rPr>
        <w:t>:</w:t>
      </w:r>
      <w:r w:rsidRPr="00FF3D3D">
        <w:rPr>
          <w:rFonts w:hint="cs"/>
          <w:rtl/>
        </w:rPr>
        <w:tab/>
      </w:r>
      <w:r>
        <w:rPr>
          <w:rFonts w:hint="cs"/>
          <w:rtl/>
        </w:rPr>
        <w:t>الحق في سبيل انتصاف فعال؛ والحق في الحياة؛ وحظر التعذيب والمعاملة أو العقوبة القاسية أو اللاإنسانية أو المهينة؛</w:t>
      </w:r>
      <w:r w:rsidRPr="00462BCB">
        <w:rPr>
          <w:rFonts w:hint="cs"/>
          <w:sz w:val="30"/>
          <w:rtl/>
        </w:rPr>
        <w:t xml:space="preserve"> </w:t>
      </w:r>
      <w:r>
        <w:rPr>
          <w:rFonts w:hint="cs"/>
          <w:sz w:val="30"/>
          <w:rtl/>
        </w:rPr>
        <w:t>و</w:t>
      </w:r>
      <w:r>
        <w:rPr>
          <w:rFonts w:hint="cs"/>
          <w:rtl/>
          <w:lang/>
        </w:rPr>
        <w:t xml:space="preserve">الحق في محاكمة عادلة أمام محكمة مستقلة ونزيهة؛ وسرية المراسلات؛ وتطبيق القانون الجنائي بأثر رجعي مع تخفيف العقوبة؛ </w:t>
      </w:r>
      <w:r>
        <w:rPr>
          <w:rFonts w:hint="cs"/>
          <w:rtl/>
        </w:rPr>
        <w:t>و</w:t>
      </w:r>
      <w:r>
        <w:rPr>
          <w:rFonts w:hint="cs"/>
          <w:rtl/>
          <w:lang/>
        </w:rPr>
        <w:t>حظر التمييز</w:t>
      </w:r>
    </w:p>
    <w:p w:rsidR="00E32FA5" w:rsidRDefault="00E32FA5" w:rsidP="00E32FA5">
      <w:pPr>
        <w:spacing w:after="120" w:line="380" w:lineRule="exact"/>
        <w:ind w:left="4778" w:right="1247" w:hanging="2880"/>
        <w:rPr>
          <w:rFonts w:hint="cs"/>
          <w:rtl/>
        </w:rPr>
      </w:pPr>
      <w:r w:rsidRPr="00FF3D3D">
        <w:rPr>
          <w:i/>
          <w:iCs/>
          <w:rtl/>
        </w:rPr>
        <w:t>مواد العهد</w:t>
      </w:r>
      <w:r w:rsidRPr="0023292F">
        <w:rPr>
          <w:i/>
          <w:iCs/>
          <w:rtl/>
        </w:rPr>
        <w:t>:</w:t>
      </w:r>
      <w:r w:rsidRPr="00FF3D3D">
        <w:rPr>
          <w:rFonts w:hint="cs"/>
          <w:rtl/>
        </w:rPr>
        <w:tab/>
      </w:r>
      <w:r>
        <w:rPr>
          <w:rFonts w:hint="cs"/>
          <w:rtl/>
        </w:rPr>
        <w:t>2 و6 و7 و14 و 15 و17 و26</w:t>
      </w:r>
    </w:p>
    <w:p w:rsidR="00E32FA5" w:rsidRPr="00FF3D3D" w:rsidRDefault="00E32FA5" w:rsidP="00E32FA5">
      <w:pPr>
        <w:spacing w:after="120" w:line="380" w:lineRule="exact"/>
        <w:ind w:left="4535" w:right="1247" w:hanging="2607"/>
        <w:rPr>
          <w:rFonts w:hint="cs"/>
          <w:rtl/>
        </w:rPr>
      </w:pPr>
      <w:r w:rsidRPr="00FF3D3D">
        <w:rPr>
          <w:i/>
          <w:iCs/>
          <w:rtl/>
        </w:rPr>
        <w:t>مواد البروتوكول الاختياري</w:t>
      </w:r>
      <w:r w:rsidRPr="0023292F">
        <w:rPr>
          <w:i/>
          <w:iCs/>
          <w:rtl/>
        </w:rPr>
        <w:t>:</w:t>
      </w:r>
      <w:r>
        <w:rPr>
          <w:rFonts w:hint="cs"/>
          <w:rtl/>
        </w:rPr>
        <w:tab/>
      </w:r>
      <w:r w:rsidRPr="00FF3D3D">
        <w:rPr>
          <w:rFonts w:hint="cs"/>
          <w:rtl/>
        </w:rPr>
        <w:tab/>
      </w:r>
      <w:r>
        <w:rPr>
          <w:rFonts w:hint="cs"/>
          <w:rtl/>
        </w:rPr>
        <w:t xml:space="preserve">المادة </w:t>
      </w:r>
      <w:r>
        <w:rPr>
          <w:rFonts w:hint="cs"/>
          <w:rtl/>
          <w:lang/>
        </w:rPr>
        <w:t>2 والفقرة 2(ب) من المادة 5</w:t>
      </w:r>
    </w:p>
    <w:p w:rsidR="00E32FA5" w:rsidRDefault="00E32FA5" w:rsidP="00E32FA5">
      <w:pPr>
        <w:spacing w:after="240" w:line="480" w:lineRule="auto"/>
        <w:rPr>
          <w:rFonts w:hint="cs"/>
          <w:sz w:val="22"/>
          <w:rtl/>
        </w:rPr>
      </w:pPr>
    </w:p>
    <w:p w:rsidR="00E32FA5" w:rsidRDefault="00E32FA5" w:rsidP="00E32FA5">
      <w:pPr>
        <w:spacing w:after="240" w:line="480" w:lineRule="auto"/>
        <w:rPr>
          <w:rFonts w:hint="cs"/>
          <w:sz w:val="22"/>
          <w:rtl/>
        </w:rPr>
      </w:pPr>
    </w:p>
    <w:p w:rsidR="00E32FA5" w:rsidRDefault="00E32FA5" w:rsidP="00E32FA5">
      <w:pPr>
        <w:spacing w:after="240" w:line="480" w:lineRule="auto"/>
        <w:rPr>
          <w:rFonts w:hint="cs"/>
          <w:sz w:val="22"/>
          <w:rtl/>
        </w:rPr>
      </w:pPr>
    </w:p>
    <w:p w:rsidR="00E32FA5" w:rsidRPr="00AC3CC3" w:rsidRDefault="00E32FA5" w:rsidP="00E32FA5">
      <w:pPr>
        <w:pStyle w:val="HChGA"/>
        <w:spacing w:before="120"/>
        <w:rPr>
          <w:rtl/>
        </w:rPr>
      </w:pPr>
      <w:r>
        <w:rPr>
          <w:rtl/>
        </w:rPr>
        <w:br w:type="page"/>
      </w:r>
      <w:r w:rsidRPr="00AC3CC3">
        <w:rPr>
          <w:rtl/>
        </w:rPr>
        <w:t>المرفق</w:t>
      </w:r>
    </w:p>
    <w:p w:rsidR="00E32FA5" w:rsidRPr="00E32FA5" w:rsidRDefault="00E32FA5" w:rsidP="00E32FA5">
      <w:pPr>
        <w:pStyle w:val="HChGA"/>
        <w:rPr>
          <w:rFonts w:hint="cs"/>
          <w:rtl/>
        </w:rPr>
      </w:pPr>
      <w:r w:rsidRPr="00E32FA5">
        <w:rPr>
          <w:rFonts w:hint="cs"/>
          <w:rtl/>
        </w:rPr>
        <w:tab/>
      </w:r>
      <w:r w:rsidRPr="00E32FA5">
        <w:rPr>
          <w:rFonts w:hint="cs"/>
          <w:rtl/>
        </w:rPr>
        <w:tab/>
      </w:r>
      <w:r w:rsidRPr="00E32FA5">
        <w:rPr>
          <w:rtl/>
        </w:rPr>
        <w:t>آراء اللجنة المعنية بحقوق الإنسان بموجب الفقرة 4 من المادة 5 من البروتوكول</w:t>
      </w:r>
      <w:r w:rsidRPr="00E32FA5">
        <w:rPr>
          <w:rFonts w:hint="cs"/>
          <w:rtl/>
        </w:rPr>
        <w:t xml:space="preserve"> </w:t>
      </w:r>
      <w:r w:rsidRPr="00E32FA5">
        <w:rPr>
          <w:rtl/>
        </w:rPr>
        <w:t xml:space="preserve">الاختياري </w:t>
      </w:r>
      <w:r w:rsidRPr="00E32FA5">
        <w:rPr>
          <w:rFonts w:hint="cs"/>
          <w:rtl/>
        </w:rPr>
        <w:t>الملحق با</w:t>
      </w:r>
      <w:r w:rsidRPr="00E32FA5">
        <w:rPr>
          <w:rtl/>
        </w:rPr>
        <w:t>لعهد الدولي الخاص بالحقوق المدنية والسياسية</w:t>
      </w:r>
      <w:r w:rsidRPr="00E32FA5">
        <w:rPr>
          <w:rFonts w:hint="cs"/>
          <w:b w:val="0"/>
          <w:bCs w:val="0"/>
          <w:rtl/>
        </w:rPr>
        <w:t xml:space="preserve"> (الدورة 109)</w:t>
      </w:r>
    </w:p>
    <w:p w:rsidR="00E32FA5" w:rsidRPr="00FF3D3D" w:rsidRDefault="00E32FA5" w:rsidP="00E32FA5">
      <w:pPr>
        <w:pStyle w:val="SingleTxtGA"/>
        <w:spacing w:line="360" w:lineRule="exact"/>
        <w:rPr>
          <w:rtl/>
        </w:rPr>
      </w:pPr>
      <w:r w:rsidRPr="00FF3D3D">
        <w:rPr>
          <w:rtl/>
        </w:rPr>
        <w:t>بشأن</w:t>
      </w:r>
    </w:p>
    <w:p w:rsidR="00E32FA5" w:rsidRPr="00E32FA5" w:rsidRDefault="00E32FA5" w:rsidP="00E32FA5">
      <w:pPr>
        <w:pStyle w:val="H1GA"/>
        <w:rPr>
          <w:rFonts w:hint="cs"/>
          <w:sz w:val="20"/>
          <w:rtl/>
        </w:rPr>
      </w:pPr>
      <w:r w:rsidRPr="00E32FA5">
        <w:rPr>
          <w:rFonts w:hint="cs"/>
          <w:rtl/>
        </w:rPr>
        <w:tab/>
      </w:r>
      <w:r w:rsidRPr="00E32FA5">
        <w:rPr>
          <w:rFonts w:hint="cs"/>
          <w:rtl/>
        </w:rPr>
        <w:tab/>
      </w:r>
      <w:r w:rsidRPr="00E32FA5">
        <w:rPr>
          <w:rtl/>
        </w:rPr>
        <w:t xml:space="preserve">البلاغ رقم </w:t>
      </w:r>
      <w:r w:rsidRPr="00E32FA5">
        <w:rPr>
          <w:rFonts w:hint="cs"/>
          <w:rtl/>
        </w:rPr>
        <w:t>1764</w:t>
      </w:r>
      <w:r w:rsidRPr="00E32FA5">
        <w:rPr>
          <w:rtl/>
        </w:rPr>
        <w:t>/</w:t>
      </w:r>
      <w:r w:rsidRPr="00E32FA5">
        <w:rPr>
          <w:rFonts w:hint="cs"/>
          <w:rtl/>
        </w:rPr>
        <w:t>2008</w:t>
      </w:r>
      <w:r w:rsidRPr="00E32FA5">
        <w:rPr>
          <w:rStyle w:val="FootnoteReference"/>
          <w:b/>
          <w:szCs w:val="24"/>
          <w:vertAlign w:val="baseline"/>
          <w:rtl/>
        </w:rPr>
        <w:footnoteReference w:customMarkFollows="1" w:id="1"/>
        <w:t>*</w:t>
      </w:r>
    </w:p>
    <w:p w:rsidR="00E32FA5" w:rsidRDefault="00E32FA5" w:rsidP="00E32FA5">
      <w:pPr>
        <w:pStyle w:val="SingleTxtGA"/>
        <w:ind w:left="4649" w:hanging="3402"/>
        <w:rPr>
          <w:rtl/>
        </w:rPr>
      </w:pPr>
      <w:r>
        <w:rPr>
          <w:rFonts w:hint="cs"/>
          <w:i/>
          <w:iCs/>
          <w:rtl/>
        </w:rPr>
        <w:tab/>
      </w:r>
      <w:r w:rsidRPr="0090541E">
        <w:rPr>
          <w:i/>
          <w:iCs/>
          <w:rtl/>
        </w:rPr>
        <w:t>المقدم من</w:t>
      </w:r>
      <w:r w:rsidRPr="0023292F">
        <w:rPr>
          <w:i/>
          <w:iCs/>
          <w:rtl/>
        </w:rPr>
        <w:t>:</w:t>
      </w:r>
      <w:r>
        <w:rPr>
          <w:rtl/>
        </w:rPr>
        <w:tab/>
      </w:r>
      <w:r>
        <w:rPr>
          <w:rtl/>
        </w:rPr>
        <w:tab/>
      </w:r>
      <w:r>
        <w:rPr>
          <w:rFonts w:hint="cs"/>
          <w:rtl/>
        </w:rPr>
        <w:tab/>
        <w:t>زيد الله وجب أوغلي أليكبيروف (تمثله أخته، رافيزات ماغاراموفا)</w:t>
      </w:r>
    </w:p>
    <w:p w:rsidR="00E32FA5" w:rsidRDefault="00E32FA5" w:rsidP="00E32FA5">
      <w:pPr>
        <w:pStyle w:val="SingleTxtGA"/>
        <w:rPr>
          <w:rFonts w:hint="cs"/>
          <w:rtl/>
        </w:rPr>
      </w:pPr>
      <w:r>
        <w:rPr>
          <w:rFonts w:hint="cs"/>
          <w:i/>
          <w:iCs/>
          <w:rtl/>
        </w:rPr>
        <w:tab/>
      </w:r>
      <w:r w:rsidRPr="0090541E">
        <w:rPr>
          <w:i/>
          <w:iCs/>
          <w:rtl/>
        </w:rPr>
        <w:t xml:space="preserve">الشخص </w:t>
      </w:r>
      <w:r>
        <w:rPr>
          <w:rFonts w:hint="cs"/>
          <w:i/>
          <w:iCs/>
          <w:rtl/>
        </w:rPr>
        <w:t xml:space="preserve">المدعي </w:t>
      </w:r>
      <w:r w:rsidRPr="0090541E">
        <w:rPr>
          <w:i/>
          <w:iCs/>
          <w:rtl/>
        </w:rPr>
        <w:t>أنه ضحي</w:t>
      </w:r>
      <w:r>
        <w:rPr>
          <w:rFonts w:hint="cs"/>
          <w:i/>
          <w:iCs/>
          <w:rtl/>
        </w:rPr>
        <w:t>ة</w:t>
      </w:r>
      <w:r w:rsidRPr="0023292F">
        <w:rPr>
          <w:i/>
          <w:iCs/>
          <w:rtl/>
        </w:rPr>
        <w:t>:</w:t>
      </w:r>
      <w:r>
        <w:rPr>
          <w:rtl/>
        </w:rPr>
        <w:tab/>
      </w:r>
      <w:r>
        <w:rPr>
          <w:rFonts w:hint="cs"/>
          <w:rtl/>
        </w:rPr>
        <w:t>صاحب البلاغ</w:t>
      </w:r>
    </w:p>
    <w:p w:rsidR="00E32FA5" w:rsidRDefault="00E32FA5" w:rsidP="00E32FA5">
      <w:pPr>
        <w:pStyle w:val="SingleTxtGA"/>
        <w:rPr>
          <w:rFonts w:hint="cs"/>
          <w:rtl/>
        </w:rPr>
      </w:pPr>
      <w:r>
        <w:rPr>
          <w:rFonts w:hint="cs"/>
          <w:i/>
          <w:iCs/>
          <w:rtl/>
        </w:rPr>
        <w:tab/>
      </w:r>
      <w:r w:rsidRPr="0090541E">
        <w:rPr>
          <w:i/>
          <w:iCs/>
          <w:rtl/>
        </w:rPr>
        <w:t>الدولة الطرف</w:t>
      </w:r>
      <w:r w:rsidRPr="0023292F">
        <w:rPr>
          <w:i/>
          <w:iCs/>
          <w:rtl/>
        </w:rPr>
        <w:t>:</w:t>
      </w:r>
      <w:r w:rsidRPr="0023292F">
        <w:rPr>
          <w:rFonts w:hint="cs"/>
          <w:i/>
          <w:iCs/>
          <w:rtl/>
        </w:rPr>
        <w:tab/>
      </w:r>
      <w:r>
        <w:rPr>
          <w:rFonts w:hint="cs"/>
          <w:rtl/>
        </w:rPr>
        <w:tab/>
      </w:r>
      <w:r>
        <w:rPr>
          <w:rtl/>
        </w:rPr>
        <w:tab/>
      </w:r>
      <w:r>
        <w:rPr>
          <w:rFonts w:hint="cs"/>
          <w:rtl/>
        </w:rPr>
        <w:t>الاتحاد الروسي</w:t>
      </w:r>
    </w:p>
    <w:p w:rsidR="00E32FA5" w:rsidRDefault="00E32FA5" w:rsidP="00E32FA5">
      <w:pPr>
        <w:pStyle w:val="SingleTxtGA"/>
        <w:rPr>
          <w:rFonts w:hint="cs"/>
          <w:rtl/>
        </w:rPr>
      </w:pPr>
      <w:r>
        <w:rPr>
          <w:rFonts w:hint="cs"/>
          <w:i/>
          <w:iCs/>
          <w:rtl/>
        </w:rPr>
        <w:tab/>
      </w:r>
      <w:r w:rsidRPr="0023292F">
        <w:rPr>
          <w:i/>
          <w:iCs/>
          <w:rtl/>
        </w:rPr>
        <w:t>تاريخ تقديم البلاغ:</w:t>
      </w:r>
      <w:r>
        <w:rPr>
          <w:rtl/>
        </w:rPr>
        <w:tab/>
      </w:r>
      <w:r>
        <w:rPr>
          <w:rFonts w:hint="cs"/>
          <w:rtl/>
        </w:rPr>
        <w:tab/>
        <w:t>16 كانون الثاني/يناير 2008</w:t>
      </w:r>
      <w:r>
        <w:rPr>
          <w:rtl/>
        </w:rPr>
        <w:t xml:space="preserve"> </w:t>
      </w:r>
    </w:p>
    <w:p w:rsidR="00E32FA5" w:rsidRDefault="00E32FA5" w:rsidP="00E32FA5">
      <w:pPr>
        <w:pStyle w:val="SingleTxtGA"/>
        <w:rPr>
          <w:rFonts w:hint="cs"/>
          <w:sz w:val="22"/>
          <w:rtl/>
        </w:rPr>
      </w:pPr>
      <w:r>
        <w:rPr>
          <w:rFonts w:hint="cs"/>
          <w:i/>
          <w:iCs/>
          <w:rtl/>
        </w:rPr>
        <w:tab/>
      </w:r>
      <w:r w:rsidRPr="00FF3D3D">
        <w:rPr>
          <w:i/>
          <w:iCs/>
          <w:rtl/>
        </w:rPr>
        <w:t>إن اللجنة المعنية بحقوق الإنسان،</w:t>
      </w:r>
      <w:r>
        <w:rPr>
          <w:rtl/>
        </w:rPr>
        <w:t xml:space="preserve"> الم</w:t>
      </w:r>
      <w:r w:rsidRPr="00FF3D3D">
        <w:rPr>
          <w:rtl/>
        </w:rPr>
        <w:t>نشأة بموجب المادة 28 من العهد الدولي الخاص بالحقوق المدنية والسياسية،</w:t>
      </w:r>
    </w:p>
    <w:p w:rsidR="00E32FA5" w:rsidRDefault="00E32FA5" w:rsidP="00E32FA5">
      <w:pPr>
        <w:pStyle w:val="SingleTxtGA"/>
        <w:rPr>
          <w:rFonts w:hint="cs"/>
          <w:rtl/>
        </w:rPr>
      </w:pPr>
      <w:r>
        <w:rPr>
          <w:rFonts w:hint="cs"/>
          <w:i/>
          <w:iCs/>
          <w:rtl/>
        </w:rPr>
        <w:tab/>
      </w:r>
      <w:r w:rsidRPr="00FF3D3D">
        <w:rPr>
          <w:i/>
          <w:iCs/>
          <w:rtl/>
        </w:rPr>
        <w:t>وقد اجتمعت في</w:t>
      </w:r>
      <w:r w:rsidRPr="00FF3D3D">
        <w:rPr>
          <w:rtl/>
        </w:rPr>
        <w:t xml:space="preserve"> </w:t>
      </w:r>
      <w:r>
        <w:rPr>
          <w:rFonts w:hint="cs"/>
          <w:rtl/>
        </w:rPr>
        <w:t>21 تشرين الأول/أكتوبر 2013</w:t>
      </w:r>
      <w:r w:rsidRPr="00FF3D3D">
        <w:rPr>
          <w:rtl/>
        </w:rPr>
        <w:t>،</w:t>
      </w:r>
    </w:p>
    <w:p w:rsidR="00E32FA5" w:rsidRDefault="00E32FA5" w:rsidP="00E32FA5">
      <w:pPr>
        <w:pStyle w:val="SingleTxtGA"/>
        <w:rPr>
          <w:rFonts w:hint="cs"/>
          <w:sz w:val="22"/>
          <w:rtl/>
        </w:rPr>
      </w:pPr>
      <w:r>
        <w:rPr>
          <w:rFonts w:hint="cs"/>
          <w:i/>
          <w:iCs/>
          <w:rtl/>
        </w:rPr>
        <w:tab/>
      </w:r>
      <w:r w:rsidRPr="00FF3D3D">
        <w:rPr>
          <w:i/>
          <w:iCs/>
          <w:rtl/>
        </w:rPr>
        <w:t>وقد فرغت</w:t>
      </w:r>
      <w:r w:rsidRPr="005512AF">
        <w:rPr>
          <w:rtl/>
        </w:rPr>
        <w:t xml:space="preserve"> من</w:t>
      </w:r>
      <w:r w:rsidRPr="00FF3D3D">
        <w:rPr>
          <w:rtl/>
        </w:rPr>
        <w:t xml:space="preserve"> النظر في البلاغ رقم </w:t>
      </w:r>
      <w:r>
        <w:rPr>
          <w:rFonts w:hint="cs"/>
          <w:rtl/>
        </w:rPr>
        <w:t>1764</w:t>
      </w:r>
      <w:r w:rsidRPr="00FF3D3D">
        <w:rPr>
          <w:rtl/>
        </w:rPr>
        <w:t>/</w:t>
      </w:r>
      <w:r>
        <w:rPr>
          <w:rFonts w:hint="cs"/>
          <w:rtl/>
        </w:rPr>
        <w:t>2008</w:t>
      </w:r>
      <w:r w:rsidRPr="00FF3D3D">
        <w:rPr>
          <w:rtl/>
        </w:rPr>
        <w:t>، المقدم إ</w:t>
      </w:r>
      <w:r>
        <w:rPr>
          <w:rFonts w:hint="cs"/>
          <w:rtl/>
        </w:rPr>
        <w:t>ليها</w:t>
      </w:r>
      <w:r w:rsidRPr="00FF3D3D">
        <w:rPr>
          <w:rtl/>
        </w:rPr>
        <w:t xml:space="preserve"> </w:t>
      </w:r>
      <w:r>
        <w:rPr>
          <w:rFonts w:hint="cs"/>
          <w:rtl/>
        </w:rPr>
        <w:t>مـن زيد الله وجب أوغلي أليكبيروف</w:t>
      </w:r>
      <w:r w:rsidRPr="00FF3D3D">
        <w:rPr>
          <w:rtl/>
        </w:rPr>
        <w:t xml:space="preserve"> بموجب البروتوكول الاختياري للعهد الدولي الخاص بالحقوق المدنية والسياسية،</w:t>
      </w:r>
    </w:p>
    <w:p w:rsidR="00E32FA5" w:rsidRDefault="00E32FA5" w:rsidP="00E32FA5">
      <w:pPr>
        <w:pStyle w:val="SingleTxtGA"/>
        <w:rPr>
          <w:rFonts w:hint="cs"/>
          <w:sz w:val="22"/>
          <w:rtl/>
        </w:rPr>
      </w:pPr>
      <w:r>
        <w:rPr>
          <w:rFonts w:hint="cs"/>
          <w:i/>
          <w:iCs/>
          <w:rtl/>
        </w:rPr>
        <w:tab/>
      </w:r>
      <w:r w:rsidRPr="00FF3D3D">
        <w:rPr>
          <w:i/>
          <w:iCs/>
          <w:rtl/>
        </w:rPr>
        <w:t>وقد وضعت في اعتبارها</w:t>
      </w:r>
      <w:r w:rsidRPr="00FF3D3D">
        <w:rPr>
          <w:rtl/>
        </w:rPr>
        <w:t xml:space="preserve"> جميع المعلومات المكتوبة التي أتاحها لها صاحب</w:t>
      </w:r>
      <w:r w:rsidRPr="00FF3D3D">
        <w:rPr>
          <w:rFonts w:hint="cs"/>
          <w:rtl/>
        </w:rPr>
        <w:t xml:space="preserve"> </w:t>
      </w:r>
      <w:r>
        <w:rPr>
          <w:rtl/>
        </w:rPr>
        <w:t>البلاغ</w:t>
      </w:r>
      <w:r>
        <w:rPr>
          <w:rFonts w:hint="cs"/>
          <w:rtl/>
        </w:rPr>
        <w:t xml:space="preserve"> والدولة الطرف</w:t>
      </w:r>
      <w:r w:rsidRPr="00FF3D3D">
        <w:rPr>
          <w:rtl/>
        </w:rPr>
        <w:t>،</w:t>
      </w:r>
    </w:p>
    <w:p w:rsidR="00E32FA5" w:rsidRDefault="00E32FA5" w:rsidP="00E32FA5">
      <w:pPr>
        <w:pStyle w:val="SingleTxtGA"/>
        <w:rPr>
          <w:rFonts w:hint="cs"/>
          <w:sz w:val="22"/>
          <w:rtl/>
        </w:rPr>
      </w:pPr>
      <w:r>
        <w:rPr>
          <w:rFonts w:hint="cs"/>
          <w:i/>
          <w:iCs/>
          <w:rtl/>
        </w:rPr>
        <w:tab/>
      </w:r>
      <w:r w:rsidRPr="008B2EB3">
        <w:rPr>
          <w:rFonts w:hint="cs"/>
          <w:i/>
          <w:iCs/>
          <w:rtl/>
        </w:rPr>
        <w:t xml:space="preserve">تعتمد </w:t>
      </w:r>
      <w:r w:rsidRPr="008F338F">
        <w:rPr>
          <w:rFonts w:hint="cs"/>
          <w:rtl/>
        </w:rPr>
        <w:t>ما يلي</w:t>
      </w:r>
      <w:r w:rsidRPr="008B2EB3">
        <w:rPr>
          <w:rFonts w:hint="cs"/>
          <w:rtl/>
        </w:rPr>
        <w:t>:</w:t>
      </w:r>
    </w:p>
    <w:p w:rsidR="00E32FA5" w:rsidRPr="00D26ABA" w:rsidRDefault="00E32FA5" w:rsidP="00E32FA5">
      <w:pPr>
        <w:pStyle w:val="H1GA"/>
        <w:spacing w:before="120"/>
        <w:rPr>
          <w:rFonts w:hint="cs"/>
          <w:rtl/>
        </w:rPr>
      </w:pPr>
      <w:r>
        <w:rPr>
          <w:rFonts w:hint="cs"/>
          <w:rtl/>
        </w:rPr>
        <w:tab/>
      </w:r>
      <w:r>
        <w:rPr>
          <w:rFonts w:hint="cs"/>
          <w:rtl/>
        </w:rPr>
        <w:tab/>
      </w:r>
      <w:r w:rsidRPr="00D26ABA">
        <w:rPr>
          <w:rFonts w:hint="cs"/>
          <w:rtl/>
        </w:rPr>
        <w:t>ال</w:t>
      </w:r>
      <w:r w:rsidRPr="00D26ABA">
        <w:rPr>
          <w:rtl/>
        </w:rPr>
        <w:t>آراء</w:t>
      </w:r>
      <w:r w:rsidRPr="00D26ABA">
        <w:rPr>
          <w:rFonts w:hint="cs"/>
          <w:rtl/>
        </w:rPr>
        <w:t xml:space="preserve"> </w:t>
      </w:r>
      <w:r w:rsidRPr="00D26ABA">
        <w:rPr>
          <w:rtl/>
        </w:rPr>
        <w:t>بموجب الفقرة 4 من المادة 5 من البروتوكول الاختياري</w:t>
      </w:r>
    </w:p>
    <w:p w:rsidR="00E32FA5" w:rsidRDefault="00E32FA5" w:rsidP="005512AF">
      <w:pPr>
        <w:pStyle w:val="SingleTxtGA"/>
        <w:rPr>
          <w:rFonts w:hint="cs"/>
          <w:rtl/>
        </w:rPr>
      </w:pPr>
      <w:r>
        <w:rPr>
          <w:rFonts w:hint="cs"/>
          <w:rtl/>
        </w:rPr>
        <w:t>1-</w:t>
      </w:r>
      <w:r>
        <w:rPr>
          <w:rFonts w:hint="cs"/>
          <w:rtl/>
        </w:rPr>
        <w:tab/>
        <w:t>صاحب البلاغ هو زيد الله وجب أوغلي أليكبيروف، وهو مواطن آذري من مواليد عام 1971 يقضي حالي</w:t>
      </w:r>
      <w:r w:rsidR="00D152F4">
        <w:rPr>
          <w:rFonts w:hint="cs"/>
          <w:rtl/>
        </w:rPr>
        <w:t xml:space="preserve">اً </w:t>
      </w:r>
      <w:r>
        <w:rPr>
          <w:rFonts w:hint="cs"/>
          <w:rtl/>
        </w:rPr>
        <w:t xml:space="preserve">عقوبة بالسجن المؤبد </w:t>
      </w:r>
      <w:r>
        <w:rPr>
          <w:rFonts w:hint="cs"/>
          <w:rtl/>
          <w:lang/>
        </w:rPr>
        <w:t>في سجن سول - إيلتسك في الاتحاد الروسي. وهو يدعي أنه وقع ضحية انتهاك الدولة الطرف</w:t>
      </w:r>
      <w:r w:rsidRPr="000655F1">
        <w:rPr>
          <w:rFonts w:hint="cs"/>
          <w:vertAlign w:val="superscript"/>
          <w:rtl/>
          <w:lang/>
        </w:rPr>
        <w:t>(</w:t>
      </w:r>
      <w:r w:rsidRPr="000655F1">
        <w:rPr>
          <w:rStyle w:val="FootnoteReference"/>
          <w:rtl/>
          <w:lang/>
        </w:rPr>
        <w:footnoteReference w:id="2"/>
      </w:r>
      <w:r w:rsidRPr="000655F1">
        <w:rPr>
          <w:rFonts w:hint="cs"/>
          <w:vertAlign w:val="superscript"/>
          <w:rtl/>
          <w:lang/>
        </w:rPr>
        <w:t>)</w:t>
      </w:r>
      <w:r w:rsidR="005512AF">
        <w:rPr>
          <w:rFonts w:hint="cs"/>
          <w:rtl/>
          <w:lang/>
        </w:rPr>
        <w:t xml:space="preserve"> </w:t>
      </w:r>
      <w:r>
        <w:rPr>
          <w:rFonts w:hint="cs"/>
          <w:rtl/>
          <w:lang/>
        </w:rPr>
        <w:t>لحقوقه بموجب المواد 2 و6 و7 و14 و15 و17 و26 من العهد. و</w:t>
      </w:r>
      <w:r>
        <w:rPr>
          <w:rFonts w:hint="cs"/>
          <w:rtl/>
        </w:rPr>
        <w:t xml:space="preserve">تمثله أخته، رافيزات ماغاراموفا. </w:t>
      </w:r>
    </w:p>
    <w:p w:rsidR="00E32FA5" w:rsidRPr="00D26ABA" w:rsidRDefault="00E32FA5" w:rsidP="00E32FA5">
      <w:pPr>
        <w:pStyle w:val="H23GA"/>
        <w:rPr>
          <w:rFonts w:hint="cs"/>
          <w:rtl/>
        </w:rPr>
      </w:pPr>
      <w:r>
        <w:rPr>
          <w:rFonts w:hint="cs"/>
          <w:rtl/>
        </w:rPr>
        <w:tab/>
      </w:r>
      <w:r>
        <w:rPr>
          <w:rFonts w:hint="cs"/>
          <w:rtl/>
        </w:rPr>
        <w:tab/>
      </w:r>
      <w:r w:rsidRPr="00D26ABA">
        <w:rPr>
          <w:rFonts w:hint="cs"/>
          <w:rtl/>
        </w:rPr>
        <w:t>الوقائع كما قدمها صاحب البلاغ</w:t>
      </w:r>
    </w:p>
    <w:p w:rsidR="00E32FA5" w:rsidRDefault="00E32FA5" w:rsidP="00441F8C">
      <w:pPr>
        <w:pStyle w:val="SingleTxtGA"/>
        <w:rPr>
          <w:rFonts w:hint="cs"/>
          <w:rtl/>
          <w:lang/>
        </w:rPr>
      </w:pPr>
      <w:r>
        <w:rPr>
          <w:rFonts w:hint="cs"/>
          <w:rtl/>
        </w:rPr>
        <w:t>2-1</w:t>
      </w:r>
      <w:r>
        <w:rPr>
          <w:rFonts w:hint="cs"/>
          <w:rtl/>
        </w:rPr>
        <w:tab/>
      </w:r>
      <w:r>
        <w:rPr>
          <w:rFonts w:hint="cs"/>
          <w:sz w:val="22"/>
          <w:rtl/>
        </w:rPr>
        <w:t xml:space="preserve">في 13 تشرين الأول/أكتوبر 1995، حكمت محكمة مورمانسك الإقليمية، </w:t>
      </w:r>
      <w:r>
        <w:rPr>
          <w:rFonts w:hint="cs"/>
          <w:rtl/>
          <w:lang/>
        </w:rPr>
        <w:t xml:space="preserve">التي كانت </w:t>
      </w:r>
      <w:r w:rsidR="00441F8C">
        <w:rPr>
          <w:rFonts w:hint="cs"/>
          <w:rtl/>
          <w:lang/>
        </w:rPr>
        <w:t xml:space="preserve">مؤلفة </w:t>
      </w:r>
      <w:r>
        <w:rPr>
          <w:rFonts w:hint="cs"/>
          <w:rtl/>
          <w:lang/>
        </w:rPr>
        <w:t>من قاض محترف ومن قاضيين مساعدين له،</w:t>
      </w:r>
      <w:r>
        <w:rPr>
          <w:rFonts w:hint="cs"/>
          <w:sz w:val="22"/>
          <w:rtl/>
        </w:rPr>
        <w:t xml:space="preserve"> على صاحب البلاغ </w:t>
      </w:r>
      <w:r>
        <w:rPr>
          <w:rFonts w:hint="cs"/>
          <w:rtl/>
          <w:lang/>
        </w:rPr>
        <w:t>بالإعدام ومصادرة ممتلكاته بناء على تهم عدة. ويدعي صاحب البلاغ أنه لم يحاكم</w:t>
      </w:r>
      <w:r w:rsidR="00441F8C">
        <w:rPr>
          <w:rFonts w:hint="cs"/>
          <w:rtl/>
          <w:lang/>
        </w:rPr>
        <w:t xml:space="preserve"> أمام محكمة مختصة، لأنه حرم من حقه </w:t>
      </w:r>
      <w:r>
        <w:rPr>
          <w:rFonts w:hint="cs"/>
          <w:rtl/>
          <w:lang/>
        </w:rPr>
        <w:t>في أن تنظر في قضيته هيئة محلفين، وهذا الحق مكفول في المواد</w:t>
      </w:r>
      <w:r>
        <w:rPr>
          <w:rFonts w:hint="eastAsia"/>
          <w:rtl/>
          <w:lang/>
        </w:rPr>
        <w:t> </w:t>
      </w:r>
      <w:r>
        <w:rPr>
          <w:rFonts w:hint="cs"/>
          <w:rtl/>
          <w:lang/>
        </w:rPr>
        <w:t>20</w:t>
      </w:r>
      <w:r>
        <w:rPr>
          <w:vertAlign w:val="superscript"/>
          <w:rtl/>
          <w:lang/>
        </w:rPr>
        <w:t>(</w:t>
      </w:r>
      <w:r>
        <w:rPr>
          <w:rStyle w:val="FootnoteReference"/>
          <w:rtl/>
          <w:lang/>
        </w:rPr>
        <w:footnoteReference w:id="3"/>
      </w:r>
      <w:r w:rsidRPr="00312FAE">
        <w:rPr>
          <w:vertAlign w:val="superscript"/>
          <w:rtl/>
          <w:lang/>
        </w:rPr>
        <w:t>)</w:t>
      </w:r>
      <w:r>
        <w:rPr>
          <w:rFonts w:hint="cs"/>
          <w:rtl/>
          <w:lang/>
        </w:rPr>
        <w:t xml:space="preserve"> و47</w:t>
      </w:r>
      <w:r>
        <w:rPr>
          <w:vertAlign w:val="superscript"/>
          <w:rtl/>
          <w:lang/>
        </w:rPr>
        <w:t>(</w:t>
      </w:r>
      <w:r>
        <w:rPr>
          <w:rStyle w:val="FootnoteReference"/>
          <w:rtl/>
          <w:lang/>
        </w:rPr>
        <w:footnoteReference w:id="4"/>
      </w:r>
      <w:r w:rsidRPr="00B40EAF">
        <w:rPr>
          <w:vertAlign w:val="superscript"/>
          <w:rtl/>
          <w:lang/>
        </w:rPr>
        <w:t>)</w:t>
      </w:r>
      <w:r>
        <w:rPr>
          <w:rFonts w:hint="cs"/>
          <w:rtl/>
          <w:lang/>
        </w:rPr>
        <w:t xml:space="preserve"> و19</w:t>
      </w:r>
      <w:r>
        <w:rPr>
          <w:vertAlign w:val="superscript"/>
          <w:rtl/>
          <w:lang/>
        </w:rPr>
        <w:t>(</w:t>
      </w:r>
      <w:r>
        <w:rPr>
          <w:rStyle w:val="FootnoteReference"/>
          <w:rtl/>
          <w:lang/>
        </w:rPr>
        <w:footnoteReference w:id="5"/>
      </w:r>
      <w:r w:rsidRPr="00C70475">
        <w:rPr>
          <w:vertAlign w:val="superscript"/>
          <w:rtl/>
          <w:lang/>
        </w:rPr>
        <w:t>)</w:t>
      </w:r>
      <w:r>
        <w:rPr>
          <w:rFonts w:hint="cs"/>
          <w:rtl/>
          <w:lang/>
        </w:rPr>
        <w:t xml:space="preserve"> من الدستور الروسي (ويشار إليها لاحق</w:t>
      </w:r>
      <w:r w:rsidR="00D152F4">
        <w:rPr>
          <w:rFonts w:hint="cs"/>
          <w:rtl/>
          <w:lang/>
        </w:rPr>
        <w:t xml:space="preserve">اً </w:t>
      </w:r>
      <w:r>
        <w:rPr>
          <w:rFonts w:hint="cs"/>
          <w:rtl/>
          <w:lang/>
        </w:rPr>
        <w:t>باسم "الدستور").</w:t>
      </w:r>
    </w:p>
    <w:p w:rsidR="00E32FA5" w:rsidRDefault="00E32FA5" w:rsidP="008D5A20">
      <w:pPr>
        <w:pStyle w:val="SingleTxtGA"/>
        <w:rPr>
          <w:rFonts w:hint="cs"/>
          <w:sz w:val="22"/>
          <w:rtl/>
        </w:rPr>
      </w:pPr>
      <w:r>
        <w:rPr>
          <w:rFonts w:hint="cs"/>
          <w:rtl/>
        </w:rPr>
        <w:t>2-2</w:t>
      </w:r>
      <w:r>
        <w:rPr>
          <w:rFonts w:hint="cs"/>
          <w:rtl/>
        </w:rPr>
        <w:tab/>
      </w:r>
      <w:r w:rsidRPr="006A14DE">
        <w:rPr>
          <w:rFonts w:ascii="Traditional Arabic" w:hAnsi="Traditional Arabic" w:hint="cs"/>
          <w:spacing w:val="-4"/>
          <w:sz w:val="30"/>
          <w:rtl/>
        </w:rPr>
        <w:t>و</w:t>
      </w:r>
      <w:r>
        <w:rPr>
          <w:rFonts w:ascii="Traditional Arabic" w:hAnsi="Traditional Arabic" w:hint="cs"/>
          <w:spacing w:val="-4"/>
          <w:sz w:val="30"/>
          <w:rtl/>
        </w:rPr>
        <w:t xml:space="preserve">يشير صاحب البلاغ إلى أنه في 16 تموز/يوليه 1993، ريثما يُنشأ </w:t>
      </w:r>
      <w:r w:rsidRPr="006A14DE">
        <w:rPr>
          <w:rFonts w:ascii="Traditional Arabic" w:hAnsi="Traditional Arabic" w:hint="cs"/>
          <w:spacing w:val="-4"/>
          <w:sz w:val="30"/>
          <w:rtl/>
        </w:rPr>
        <w:t xml:space="preserve">نظام هيئة </w:t>
      </w:r>
      <w:r>
        <w:rPr>
          <w:rFonts w:ascii="Traditional Arabic" w:hAnsi="Traditional Arabic" w:hint="cs"/>
          <w:spacing w:val="-4"/>
          <w:sz w:val="30"/>
          <w:rtl/>
        </w:rPr>
        <w:t>ال</w:t>
      </w:r>
      <w:r w:rsidRPr="006A14DE">
        <w:rPr>
          <w:rFonts w:ascii="Traditional Arabic" w:hAnsi="Traditional Arabic" w:hint="cs"/>
          <w:spacing w:val="-4"/>
          <w:sz w:val="30"/>
          <w:rtl/>
        </w:rPr>
        <w:t xml:space="preserve">محلفين في الاتحاد الروسي، </w:t>
      </w:r>
      <w:r w:rsidR="00441F8C">
        <w:rPr>
          <w:rFonts w:ascii="Traditional Arabic" w:hAnsi="Traditional Arabic" w:hint="cs"/>
          <w:sz w:val="30"/>
          <w:rtl/>
        </w:rPr>
        <w:t xml:space="preserve">اعتُمد </w:t>
      </w:r>
      <w:r>
        <w:rPr>
          <w:rFonts w:ascii="Traditional Arabic" w:hAnsi="Traditional Arabic" w:hint="cs"/>
          <w:sz w:val="30"/>
          <w:rtl/>
        </w:rPr>
        <w:t>قانون تغيير وتعديل قانون جمهورية روسيا الاتحادية الاشتراكية السوفياتية (ويشار إليها لاحق</w:t>
      </w:r>
      <w:r w:rsidR="00D152F4">
        <w:rPr>
          <w:rFonts w:ascii="Traditional Arabic" w:hAnsi="Traditional Arabic" w:hint="cs"/>
          <w:sz w:val="30"/>
          <w:rtl/>
        </w:rPr>
        <w:t xml:space="preserve">اً </w:t>
      </w:r>
      <w:r>
        <w:rPr>
          <w:rFonts w:ascii="Traditional Arabic" w:hAnsi="Traditional Arabic" w:hint="cs"/>
          <w:sz w:val="30"/>
          <w:rtl/>
        </w:rPr>
        <w:t>باسم "روسيا الاتحادية") المتعلق بالنظام القضائي في روسيا الاتحادية، و</w:t>
      </w:r>
      <w:r>
        <w:rPr>
          <w:rFonts w:hint="cs"/>
          <w:rtl/>
          <w:lang/>
        </w:rPr>
        <w:t xml:space="preserve">قانون الإجراءات الجنائية </w:t>
      </w:r>
      <w:r>
        <w:rPr>
          <w:rFonts w:ascii="Traditional Arabic" w:hAnsi="Traditional Arabic" w:hint="cs"/>
          <w:sz w:val="30"/>
          <w:rtl/>
        </w:rPr>
        <w:t>في روسيا الاتحادية، والقانون الجنائي في روسيا الاتحادية، و</w:t>
      </w:r>
      <w:r>
        <w:rPr>
          <w:rFonts w:hint="cs"/>
          <w:rtl/>
          <w:lang/>
        </w:rPr>
        <w:t>قانون المخالفات الإدارية</w:t>
      </w:r>
      <w:r w:rsidRPr="00B23016">
        <w:rPr>
          <w:rFonts w:ascii="Traditional Arabic" w:hAnsi="Traditional Arabic" w:hint="cs"/>
          <w:sz w:val="30"/>
          <w:rtl/>
        </w:rPr>
        <w:t xml:space="preserve"> </w:t>
      </w:r>
      <w:r>
        <w:rPr>
          <w:rFonts w:ascii="Traditional Arabic" w:hAnsi="Traditional Arabic" w:hint="cs"/>
          <w:sz w:val="30"/>
          <w:rtl/>
        </w:rPr>
        <w:t>في روسيا الاتحادية (ويشار إليه لاحق</w:t>
      </w:r>
      <w:r w:rsidR="00D152F4">
        <w:rPr>
          <w:rFonts w:ascii="Traditional Arabic" w:hAnsi="Traditional Arabic" w:hint="cs"/>
          <w:sz w:val="30"/>
          <w:rtl/>
        </w:rPr>
        <w:t xml:space="preserve">اً </w:t>
      </w:r>
      <w:r>
        <w:rPr>
          <w:rFonts w:ascii="Traditional Arabic" w:hAnsi="Traditional Arabic" w:hint="cs"/>
          <w:sz w:val="30"/>
          <w:rtl/>
        </w:rPr>
        <w:t>باسم "قانون 16 تموز/يوليه 1993"). و</w:t>
      </w:r>
      <w:r w:rsidR="008D5A20">
        <w:rPr>
          <w:rFonts w:ascii="Traditional Arabic" w:hAnsi="Traditional Arabic" w:hint="cs"/>
          <w:sz w:val="30"/>
          <w:rtl/>
        </w:rPr>
        <w:t xml:space="preserve">قد </w:t>
      </w:r>
      <w:r>
        <w:rPr>
          <w:rFonts w:ascii="Traditional Arabic" w:hAnsi="Traditional Arabic" w:hint="cs"/>
          <w:sz w:val="30"/>
          <w:rtl/>
        </w:rPr>
        <w:t xml:space="preserve">أضافت الفقرة 7 من المادة الثانية مادة جديدة إلى </w:t>
      </w:r>
      <w:r>
        <w:rPr>
          <w:rFonts w:hint="cs"/>
          <w:rtl/>
          <w:lang/>
        </w:rPr>
        <w:t xml:space="preserve">قانون الإجراءات </w:t>
      </w:r>
      <w:r w:rsidRPr="00441F8C">
        <w:rPr>
          <w:rFonts w:hint="cs"/>
          <w:spacing w:val="-2"/>
          <w:rtl/>
          <w:lang/>
        </w:rPr>
        <w:t xml:space="preserve">الجنائية </w:t>
      </w:r>
      <w:r w:rsidRPr="00441F8C">
        <w:rPr>
          <w:rFonts w:ascii="Traditional Arabic" w:hAnsi="Traditional Arabic" w:hint="cs"/>
          <w:spacing w:val="-2"/>
          <w:sz w:val="30"/>
          <w:rtl/>
          <w:lang/>
        </w:rPr>
        <w:t>في روسيا الاتحادية</w:t>
      </w:r>
      <w:r w:rsidRPr="00441F8C">
        <w:rPr>
          <w:rFonts w:ascii="Traditional Arabic" w:hAnsi="Traditional Arabic" w:hint="cs"/>
          <w:spacing w:val="-2"/>
          <w:sz w:val="30"/>
          <w:rtl/>
        </w:rPr>
        <w:t xml:space="preserve"> بشأن "المحاكمة أمام هيئة محلفين" هي المادة 10.</w:t>
      </w:r>
      <w:r w:rsidRPr="00441F8C">
        <w:rPr>
          <w:rFonts w:hint="cs"/>
          <w:spacing w:val="-2"/>
          <w:sz w:val="22"/>
          <w:rtl/>
        </w:rPr>
        <w:t xml:space="preserve"> </w:t>
      </w:r>
      <w:r w:rsidRPr="00441F8C">
        <w:rPr>
          <w:rFonts w:ascii="Traditional Arabic" w:hAnsi="Traditional Arabic" w:hint="cs"/>
          <w:spacing w:val="-2"/>
          <w:sz w:val="30"/>
          <w:rtl/>
        </w:rPr>
        <w:t>وبموجب الفقرة</w:t>
      </w:r>
      <w:r w:rsidR="00441F8C">
        <w:rPr>
          <w:rFonts w:ascii="Traditional Arabic" w:hAnsi="Traditional Arabic" w:hint="cs"/>
          <w:sz w:val="30"/>
          <w:rtl/>
        </w:rPr>
        <w:t xml:space="preserve"> </w:t>
      </w:r>
      <w:r>
        <w:rPr>
          <w:rFonts w:ascii="Traditional Arabic" w:hAnsi="Traditional Arabic" w:hint="cs"/>
          <w:sz w:val="30"/>
          <w:rtl/>
        </w:rPr>
        <w:t xml:space="preserve">2 من قرار المجلس الأعلى الروسي </w:t>
      </w:r>
      <w:r>
        <w:rPr>
          <w:rFonts w:ascii="Traditional Arabic" w:hAnsi="Traditional Arabic"/>
          <w:sz w:val="30"/>
          <w:rtl/>
        </w:rPr>
        <w:t>(</w:t>
      </w:r>
      <w:r>
        <w:rPr>
          <w:rFonts w:ascii="Traditional Arabic" w:hAnsi="Traditional Arabic" w:hint="cs"/>
          <w:sz w:val="30"/>
          <w:rtl/>
        </w:rPr>
        <w:t>البرلمان</w:t>
      </w:r>
      <w:r>
        <w:rPr>
          <w:rFonts w:ascii="Traditional Arabic" w:hAnsi="Traditional Arabic"/>
          <w:sz w:val="30"/>
          <w:rtl/>
        </w:rPr>
        <w:t>)</w:t>
      </w:r>
      <w:r>
        <w:rPr>
          <w:rFonts w:ascii="Traditional Arabic" w:hAnsi="Traditional Arabic" w:hint="cs"/>
          <w:sz w:val="30"/>
          <w:rtl/>
        </w:rPr>
        <w:t xml:space="preserve"> الذي اعت</w:t>
      </w:r>
      <w:r w:rsidR="008D5A20">
        <w:rPr>
          <w:rFonts w:ascii="Traditional Arabic" w:hAnsi="Traditional Arabic" w:hint="cs"/>
          <w:sz w:val="30"/>
          <w:rtl/>
        </w:rPr>
        <w:t>ُ</w:t>
      </w:r>
      <w:r>
        <w:rPr>
          <w:rFonts w:ascii="Traditional Arabic" w:hAnsi="Traditional Arabic" w:hint="cs"/>
          <w:sz w:val="30"/>
          <w:rtl/>
        </w:rPr>
        <w:t>مد أيضاً في 16 تموز/يوليه 1993 (ويشار إليه لاحق</w:t>
      </w:r>
      <w:r w:rsidR="00D152F4">
        <w:rPr>
          <w:rFonts w:ascii="Traditional Arabic" w:hAnsi="Traditional Arabic" w:hint="cs"/>
          <w:sz w:val="30"/>
          <w:rtl/>
        </w:rPr>
        <w:t xml:space="preserve">اً </w:t>
      </w:r>
      <w:r>
        <w:rPr>
          <w:rFonts w:ascii="Traditional Arabic" w:hAnsi="Traditional Arabic" w:hint="cs"/>
          <w:sz w:val="30"/>
          <w:rtl/>
        </w:rPr>
        <w:t xml:space="preserve">باسم "قرار </w:t>
      </w:r>
      <w:r w:rsidR="00441F8C">
        <w:rPr>
          <w:rFonts w:ascii="Traditional Arabic" w:hAnsi="Traditional Arabic" w:hint="cs"/>
          <w:sz w:val="30"/>
          <w:rtl/>
        </w:rPr>
        <w:t>16</w:t>
      </w:r>
      <w:r>
        <w:rPr>
          <w:rFonts w:ascii="Traditional Arabic" w:hAnsi="Traditional Arabic" w:hint="cs"/>
          <w:sz w:val="30"/>
          <w:rtl/>
        </w:rPr>
        <w:t xml:space="preserve"> تموز/يوليه 1993")، تَقرر إجراء المحاكمات أمام هيئات محلفين في أول الأمر في خمس مناطق فقط في الاتحاد الروسي </w:t>
      </w:r>
      <w:r>
        <w:rPr>
          <w:rFonts w:ascii="Traditional Arabic" w:hAnsi="Traditional Arabic"/>
          <w:sz w:val="30"/>
          <w:rtl/>
        </w:rPr>
        <w:t>(</w:t>
      </w:r>
      <w:r>
        <w:rPr>
          <w:rFonts w:ascii="Traditional Arabic" w:hAnsi="Traditional Arabic" w:hint="cs"/>
          <w:sz w:val="30"/>
          <w:rtl/>
        </w:rPr>
        <w:t>إيفانوفو، ورايزان، وساراتوف، وستافروبول، وموسكو</w:t>
      </w:r>
      <w:r>
        <w:rPr>
          <w:rFonts w:ascii="Traditional Arabic" w:hAnsi="Traditional Arabic"/>
          <w:sz w:val="30"/>
          <w:rtl/>
        </w:rPr>
        <w:t>)</w:t>
      </w:r>
      <w:r>
        <w:rPr>
          <w:rFonts w:ascii="Traditional Arabic" w:hAnsi="Traditional Arabic" w:hint="cs"/>
          <w:sz w:val="30"/>
          <w:rtl/>
        </w:rPr>
        <w:t xml:space="preserve"> اعتباراً من 1 تشرين الثاني/نوفمبر 1993، ثم في أربع مناطق أخرى </w:t>
      </w:r>
      <w:r>
        <w:rPr>
          <w:rFonts w:ascii="Traditional Arabic" w:hAnsi="Traditional Arabic"/>
          <w:sz w:val="30"/>
          <w:rtl/>
        </w:rPr>
        <w:t>(</w:t>
      </w:r>
      <w:r>
        <w:rPr>
          <w:rFonts w:ascii="Traditional Arabic" w:hAnsi="Traditional Arabic" w:hint="cs"/>
          <w:sz w:val="30"/>
          <w:rtl/>
        </w:rPr>
        <w:t>ألتاي، وأوليانوفسك، وروستوف، وكراسنودار</w:t>
      </w:r>
      <w:r>
        <w:rPr>
          <w:rFonts w:ascii="Traditional Arabic" w:hAnsi="Traditional Arabic"/>
          <w:sz w:val="30"/>
          <w:rtl/>
        </w:rPr>
        <w:t>)</w:t>
      </w:r>
      <w:r>
        <w:rPr>
          <w:rFonts w:ascii="Traditional Arabic" w:hAnsi="Traditional Arabic" w:hint="cs"/>
          <w:sz w:val="30"/>
          <w:rtl/>
        </w:rPr>
        <w:t xml:space="preserve"> اعتباراً من 1 كانون الثاني/يناير 1994.</w:t>
      </w:r>
      <w:r>
        <w:rPr>
          <w:rFonts w:hint="cs"/>
          <w:sz w:val="22"/>
          <w:rtl/>
        </w:rPr>
        <w:t xml:space="preserve"> وعليه، ابتداء من 13 تشرين الأول/أكتوبر 1995، أي عندما صدر الحكم على صاحب البلاغ، كانت ه</w:t>
      </w:r>
      <w:r w:rsidR="00441F8C">
        <w:rPr>
          <w:rFonts w:hint="cs"/>
          <w:sz w:val="22"/>
          <w:rtl/>
        </w:rPr>
        <w:t>يئات ال</w:t>
      </w:r>
      <w:r>
        <w:rPr>
          <w:rFonts w:hint="cs"/>
          <w:sz w:val="22"/>
          <w:rtl/>
        </w:rPr>
        <w:t xml:space="preserve">محلفين هي التي تنظر في الدعاوى التي يُقضى فيها </w:t>
      </w:r>
      <w:r w:rsidR="00441F8C">
        <w:rPr>
          <w:rFonts w:hint="cs"/>
          <w:sz w:val="22"/>
          <w:rtl/>
        </w:rPr>
        <w:t xml:space="preserve">بعقوبة </w:t>
      </w:r>
      <w:r>
        <w:rPr>
          <w:rFonts w:hint="cs"/>
          <w:sz w:val="22"/>
          <w:rtl/>
        </w:rPr>
        <w:t>الإعدام في تسع مناطق من الاتحاد الروسي. ويدعي صاحب البلاغ في</w:t>
      </w:r>
      <w:r w:rsidR="008D5A20">
        <w:rPr>
          <w:rFonts w:hint="eastAsia"/>
          <w:sz w:val="22"/>
          <w:rtl/>
        </w:rPr>
        <w:t> </w:t>
      </w:r>
      <w:r>
        <w:rPr>
          <w:rFonts w:hint="cs"/>
          <w:sz w:val="22"/>
          <w:rtl/>
        </w:rPr>
        <w:t>هذا الصدد أن هيئة المحلفين لم تنعقد في منطقة مورمانسك آنئذ، الأمر الذي يخل بالمادتين</w:t>
      </w:r>
      <w:r w:rsidR="008D5A20">
        <w:rPr>
          <w:rFonts w:hint="eastAsia"/>
          <w:sz w:val="22"/>
          <w:rtl/>
        </w:rPr>
        <w:t> </w:t>
      </w:r>
      <w:r>
        <w:rPr>
          <w:rFonts w:hint="cs"/>
          <w:sz w:val="22"/>
          <w:rtl/>
        </w:rPr>
        <w:t>15</w:t>
      </w:r>
      <w:r>
        <w:rPr>
          <w:sz w:val="22"/>
          <w:vertAlign w:val="superscript"/>
          <w:rtl/>
        </w:rPr>
        <w:t>(</w:t>
      </w:r>
      <w:r>
        <w:rPr>
          <w:rStyle w:val="FootnoteReference"/>
          <w:rtl/>
        </w:rPr>
        <w:footnoteReference w:id="6"/>
      </w:r>
      <w:r w:rsidRPr="00374030">
        <w:rPr>
          <w:sz w:val="22"/>
          <w:vertAlign w:val="superscript"/>
          <w:rtl/>
        </w:rPr>
        <w:t>)</w:t>
      </w:r>
      <w:r>
        <w:rPr>
          <w:rFonts w:hint="cs"/>
          <w:sz w:val="22"/>
          <w:rtl/>
        </w:rPr>
        <w:t xml:space="preserve"> </w:t>
      </w:r>
      <w:r w:rsidRPr="00441F8C">
        <w:rPr>
          <w:rFonts w:hint="cs"/>
          <w:sz w:val="22"/>
          <w:rtl/>
        </w:rPr>
        <w:t>و</w:t>
      </w:r>
      <w:r w:rsidR="00441F8C">
        <w:rPr>
          <w:rFonts w:hint="cs"/>
          <w:sz w:val="22"/>
          <w:rtl/>
        </w:rPr>
        <w:t>46</w:t>
      </w:r>
      <w:r>
        <w:rPr>
          <w:sz w:val="22"/>
          <w:vertAlign w:val="superscript"/>
          <w:rtl/>
        </w:rPr>
        <w:t>(</w:t>
      </w:r>
      <w:r>
        <w:rPr>
          <w:rStyle w:val="FootnoteReference"/>
          <w:rtl/>
        </w:rPr>
        <w:footnoteReference w:id="7"/>
      </w:r>
      <w:r w:rsidRPr="00BF12ED">
        <w:rPr>
          <w:sz w:val="22"/>
          <w:vertAlign w:val="superscript"/>
          <w:rtl/>
        </w:rPr>
        <w:t>)</w:t>
      </w:r>
      <w:r>
        <w:rPr>
          <w:rFonts w:hint="cs"/>
          <w:sz w:val="22"/>
          <w:rtl/>
        </w:rPr>
        <w:t xml:space="preserve"> من الدستور.</w:t>
      </w:r>
    </w:p>
    <w:p w:rsidR="00E32FA5" w:rsidRDefault="00E32FA5" w:rsidP="00441F8C">
      <w:pPr>
        <w:pStyle w:val="SingleTxtGA"/>
        <w:rPr>
          <w:rFonts w:hint="cs"/>
          <w:sz w:val="22"/>
          <w:rtl/>
        </w:rPr>
      </w:pPr>
      <w:r>
        <w:rPr>
          <w:rFonts w:hint="cs"/>
          <w:sz w:val="22"/>
          <w:rtl/>
        </w:rPr>
        <w:t>2-3</w:t>
      </w:r>
      <w:r>
        <w:rPr>
          <w:rFonts w:hint="cs"/>
          <w:sz w:val="22"/>
          <w:rtl/>
        </w:rPr>
        <w:tab/>
      </w:r>
      <w:r w:rsidRPr="007745A7">
        <w:rPr>
          <w:rFonts w:ascii="Traditional Arabic" w:hAnsi="Traditional Arabic"/>
          <w:sz w:val="30"/>
          <w:rtl/>
        </w:rPr>
        <w:t>و</w:t>
      </w:r>
      <w:r>
        <w:rPr>
          <w:rFonts w:ascii="Traditional Arabic" w:hAnsi="Traditional Arabic" w:hint="cs"/>
          <w:sz w:val="30"/>
          <w:rtl/>
        </w:rPr>
        <w:t>في 23 كانون الثاني/</w:t>
      </w:r>
      <w:r w:rsidR="00441F8C">
        <w:rPr>
          <w:rFonts w:ascii="Traditional Arabic" w:hAnsi="Traditional Arabic" w:hint="cs"/>
          <w:sz w:val="30"/>
          <w:rtl/>
        </w:rPr>
        <w:t>يناير</w:t>
      </w:r>
      <w:r w:rsidR="008D5A20">
        <w:rPr>
          <w:rFonts w:ascii="Traditional Arabic" w:hAnsi="Traditional Arabic" w:hint="cs"/>
          <w:sz w:val="30"/>
          <w:rtl/>
        </w:rPr>
        <w:t xml:space="preserve"> </w:t>
      </w:r>
      <w:r>
        <w:rPr>
          <w:rFonts w:ascii="Traditional Arabic" w:hAnsi="Traditional Arabic" w:hint="cs"/>
          <w:sz w:val="30"/>
          <w:rtl/>
        </w:rPr>
        <w:t xml:space="preserve">1996، أيّدت المحكمة العليا الحكم الصادر في حق صاحب البلاغ. ومع أن صاحب البلاغ لم يثر </w:t>
      </w:r>
      <w:r w:rsidR="00441F8C">
        <w:rPr>
          <w:rFonts w:ascii="Traditional Arabic" w:hAnsi="Traditional Arabic" w:hint="cs"/>
          <w:sz w:val="30"/>
          <w:rtl/>
        </w:rPr>
        <w:t xml:space="preserve">مسألة </w:t>
      </w:r>
      <w:r>
        <w:rPr>
          <w:rFonts w:ascii="Traditional Arabic" w:hAnsi="Traditional Arabic" w:hint="cs"/>
          <w:sz w:val="30"/>
          <w:rtl/>
        </w:rPr>
        <w:t xml:space="preserve">انتهاك أحكام الدستور في الدعوى بالنقض التي قدمها </w:t>
      </w:r>
      <w:r w:rsidR="00441F8C">
        <w:rPr>
          <w:rFonts w:ascii="Traditional Arabic" w:hAnsi="Traditional Arabic" w:hint="cs"/>
          <w:sz w:val="30"/>
          <w:rtl/>
        </w:rPr>
        <w:t xml:space="preserve">وذلك </w:t>
      </w:r>
      <w:r>
        <w:rPr>
          <w:rFonts w:ascii="Traditional Arabic" w:hAnsi="Traditional Arabic" w:hint="cs"/>
          <w:sz w:val="30"/>
          <w:rtl/>
        </w:rPr>
        <w:t xml:space="preserve">بسبب جهله للقانون، </w:t>
      </w:r>
      <w:r w:rsidR="00441F8C">
        <w:rPr>
          <w:rFonts w:ascii="Traditional Arabic" w:hAnsi="Traditional Arabic" w:hint="cs"/>
          <w:sz w:val="30"/>
          <w:rtl/>
        </w:rPr>
        <w:t>فهو يرى أنه ك</w:t>
      </w:r>
      <w:r>
        <w:rPr>
          <w:rFonts w:ascii="Traditional Arabic" w:hAnsi="Traditional Arabic" w:hint="cs"/>
          <w:sz w:val="30"/>
          <w:rtl/>
        </w:rPr>
        <w:t>ان على المحكمة العليا أن تلاحظ هذه الانتهاكات وأن تُلغي الحكم الصادر في حقه.</w:t>
      </w:r>
    </w:p>
    <w:p w:rsidR="00E32FA5" w:rsidRDefault="00E32FA5" w:rsidP="008D5A20">
      <w:pPr>
        <w:pStyle w:val="SingleTxtGA"/>
        <w:rPr>
          <w:rFonts w:hint="cs"/>
          <w:sz w:val="22"/>
          <w:rtl/>
          <w:lang/>
        </w:rPr>
      </w:pPr>
      <w:r>
        <w:rPr>
          <w:rFonts w:hint="cs"/>
          <w:sz w:val="22"/>
          <w:rtl/>
        </w:rPr>
        <w:t>2-4</w:t>
      </w:r>
      <w:r>
        <w:rPr>
          <w:rFonts w:hint="cs"/>
          <w:sz w:val="22"/>
          <w:rtl/>
        </w:rPr>
        <w:tab/>
      </w:r>
      <w:r>
        <w:rPr>
          <w:rFonts w:ascii="Traditional Arabic" w:hAnsi="Traditional Arabic" w:hint="cs"/>
          <w:sz w:val="30"/>
          <w:rtl/>
        </w:rPr>
        <w:t xml:space="preserve">وفي 21 كانون الأول/ديسمبر 1998، صدر عفو عن صاحب البلاغ بموجب مرسوم رئاسي، وخُفف الحكم من الإعدام إلى السجن المؤبد. ويقول صاحب البلاغ إن </w:t>
      </w:r>
      <w:r w:rsidR="00441F8C">
        <w:rPr>
          <w:rFonts w:ascii="Traditional Arabic" w:hAnsi="Traditional Arabic" w:hint="cs"/>
          <w:sz w:val="30"/>
          <w:rtl/>
        </w:rPr>
        <w:t xml:space="preserve">حكم </w:t>
      </w:r>
      <w:r>
        <w:rPr>
          <w:rFonts w:ascii="Traditional Arabic" w:hAnsi="Traditional Arabic" w:hint="cs"/>
          <w:sz w:val="30"/>
          <w:rtl/>
        </w:rPr>
        <w:t xml:space="preserve">السجن المؤبد </w:t>
      </w:r>
      <w:r w:rsidR="00441F8C">
        <w:rPr>
          <w:rFonts w:ascii="Traditional Arabic" w:hAnsi="Traditional Arabic" w:hint="cs"/>
          <w:sz w:val="30"/>
          <w:rtl/>
        </w:rPr>
        <w:t xml:space="preserve">تقرر </w:t>
      </w:r>
      <w:r>
        <w:rPr>
          <w:rFonts w:ascii="Traditional Arabic" w:hAnsi="Traditional Arabic" w:hint="cs"/>
          <w:sz w:val="30"/>
          <w:rtl/>
        </w:rPr>
        <w:t xml:space="preserve">بموجب المرسوم الرئاسي، الأمر الذي ينتهك المادة 18 من الدستور التي تنص على أن المحاكم في الاتحاد الروسي هي </w:t>
      </w:r>
      <w:r w:rsidR="00441F8C">
        <w:rPr>
          <w:rFonts w:ascii="Traditional Arabic" w:hAnsi="Traditional Arabic" w:hint="cs"/>
          <w:sz w:val="30"/>
          <w:rtl/>
        </w:rPr>
        <w:t xml:space="preserve">وحدها </w:t>
      </w:r>
      <w:r>
        <w:rPr>
          <w:rFonts w:ascii="Traditional Arabic" w:hAnsi="Traditional Arabic" w:hint="cs"/>
          <w:sz w:val="30"/>
          <w:rtl/>
        </w:rPr>
        <w:t xml:space="preserve">المخوّلة </w:t>
      </w:r>
      <w:r w:rsidR="00441F8C">
        <w:rPr>
          <w:rFonts w:ascii="Traditional Arabic" w:hAnsi="Traditional Arabic" w:hint="cs"/>
          <w:sz w:val="30"/>
          <w:rtl/>
        </w:rPr>
        <w:t xml:space="preserve">سلطة </w:t>
      </w:r>
      <w:r>
        <w:rPr>
          <w:rFonts w:ascii="Traditional Arabic" w:hAnsi="Traditional Arabic" w:hint="cs"/>
          <w:sz w:val="30"/>
          <w:rtl/>
        </w:rPr>
        <w:t>إقامة العدل. أضف إلى ذلك أن المرسوم الرئاسي نفسه يتعارض مع المادة 54 من الدستور</w:t>
      </w:r>
      <w:r w:rsidRPr="006A14DE">
        <w:rPr>
          <w:rFonts w:ascii="Traditional Arabic" w:hAnsi="Traditional Arabic" w:hint="cs"/>
          <w:sz w:val="30"/>
          <w:vertAlign w:val="superscript"/>
          <w:rtl/>
        </w:rPr>
        <w:t>(</w:t>
      </w:r>
      <w:r w:rsidRPr="006A14DE">
        <w:rPr>
          <w:rStyle w:val="FootnoteReference"/>
          <w:rtl/>
        </w:rPr>
        <w:footnoteReference w:id="8"/>
      </w:r>
      <w:r w:rsidRPr="006A14DE">
        <w:rPr>
          <w:rFonts w:ascii="Traditional Arabic" w:hAnsi="Traditional Arabic" w:hint="cs"/>
          <w:sz w:val="30"/>
          <w:vertAlign w:val="superscript"/>
          <w:rtl/>
        </w:rPr>
        <w:t>)</w:t>
      </w:r>
      <w:r>
        <w:rPr>
          <w:rFonts w:ascii="Traditional Arabic" w:hAnsi="Traditional Arabic" w:hint="cs"/>
          <w:sz w:val="30"/>
          <w:rtl/>
        </w:rPr>
        <w:t xml:space="preserve"> والمادة 10 من القانون الجنائي الروسي، لأن </w:t>
      </w:r>
      <w:r>
        <w:rPr>
          <w:rFonts w:hint="cs"/>
          <w:rtl/>
          <w:lang/>
        </w:rPr>
        <w:t xml:space="preserve">القانون الجنائي المعمول به في </w:t>
      </w:r>
      <w:r>
        <w:rPr>
          <w:rFonts w:ascii="Traditional Arabic" w:hAnsi="Traditional Arabic" w:hint="cs"/>
          <w:sz w:val="30"/>
          <w:rtl/>
        </w:rPr>
        <w:t xml:space="preserve">روسيا الاتحادية </w:t>
      </w:r>
      <w:r>
        <w:rPr>
          <w:rFonts w:hint="cs"/>
          <w:rtl/>
          <w:lang/>
        </w:rPr>
        <w:t xml:space="preserve">وقت ارتكاب الجريمة </w:t>
      </w:r>
      <w:r w:rsidRPr="003353FC">
        <w:rPr>
          <w:rFonts w:ascii="Traditional Arabic" w:hAnsi="Traditional Arabic"/>
          <w:rtl/>
          <w:lang/>
        </w:rPr>
        <w:t>(تموز/يوليه 1994)</w:t>
      </w:r>
      <w:r>
        <w:rPr>
          <w:rFonts w:ascii="Traditional Arabic" w:hAnsi="Traditional Arabic" w:hint="cs"/>
          <w:rtl/>
          <w:lang/>
        </w:rPr>
        <w:t xml:space="preserve"> لم يكن ينص على السجن المؤبد باعتباره شكلاً من أشكال العقاب وأن أقصى عقوبة على الجريمة التي اقترفها هي السجن لمدة</w:t>
      </w:r>
      <w:r>
        <w:rPr>
          <w:rFonts w:ascii="Traditional Arabic" w:hAnsi="Traditional Arabic" w:hint="eastAsia"/>
          <w:rtl/>
          <w:lang/>
        </w:rPr>
        <w:t> </w:t>
      </w:r>
      <w:r>
        <w:rPr>
          <w:rFonts w:ascii="Traditional Arabic" w:hAnsi="Traditional Arabic" w:hint="cs"/>
          <w:rtl/>
          <w:lang/>
        </w:rPr>
        <w:t>15 عاماً أو عقوبة الإعدام.</w:t>
      </w:r>
    </w:p>
    <w:p w:rsidR="00E32FA5" w:rsidRDefault="00E32FA5" w:rsidP="00D152F4">
      <w:pPr>
        <w:pStyle w:val="SingleTxtGA"/>
        <w:rPr>
          <w:rFonts w:hint="cs"/>
          <w:sz w:val="22"/>
          <w:rtl/>
          <w:lang/>
        </w:rPr>
      </w:pPr>
      <w:r>
        <w:rPr>
          <w:rFonts w:hint="cs"/>
          <w:sz w:val="22"/>
          <w:rtl/>
        </w:rPr>
        <w:t>2-5</w:t>
      </w:r>
      <w:r>
        <w:rPr>
          <w:rFonts w:hint="cs"/>
          <w:sz w:val="22"/>
          <w:rtl/>
        </w:rPr>
        <w:tab/>
      </w:r>
      <w:r>
        <w:rPr>
          <w:rFonts w:ascii="Traditional Arabic" w:hAnsi="Traditional Arabic" w:hint="cs"/>
          <w:sz w:val="30"/>
          <w:rtl/>
        </w:rPr>
        <w:t>وبناءً على طلب من محكمة مدينة موسكو، واستناداً إلى الشكاوى المقدمة من ثلاثة سجناء (السيد ج.، والسيد ف.، والسيد ك.)، نظرت المحكمة الدستورية</w:t>
      </w:r>
      <w:r w:rsidR="00441F8C">
        <w:rPr>
          <w:rFonts w:ascii="Traditional Arabic" w:hAnsi="Traditional Arabic" w:hint="cs"/>
          <w:sz w:val="30"/>
          <w:rtl/>
        </w:rPr>
        <w:t xml:space="preserve"> الروسية </w:t>
      </w:r>
      <w:r>
        <w:rPr>
          <w:rFonts w:ascii="Traditional Arabic" w:hAnsi="Traditional Arabic" w:hint="cs"/>
          <w:sz w:val="30"/>
          <w:rtl/>
        </w:rPr>
        <w:t>في دستورية الفقرتين 1 و2 من قرار 16 تموز/يوليه 1993</w:t>
      </w:r>
      <w:r>
        <w:rPr>
          <w:rFonts w:ascii="Traditional Arabic" w:hAnsi="Traditional Arabic"/>
          <w:sz w:val="30"/>
          <w:vertAlign w:val="superscript"/>
          <w:rtl/>
        </w:rPr>
        <w:t>(</w:t>
      </w:r>
      <w:r>
        <w:rPr>
          <w:rStyle w:val="FootnoteReference"/>
          <w:rtl/>
        </w:rPr>
        <w:footnoteReference w:id="9"/>
      </w:r>
      <w:r w:rsidRPr="00491CFE">
        <w:rPr>
          <w:rFonts w:ascii="Traditional Arabic" w:hAnsi="Traditional Arabic"/>
          <w:sz w:val="30"/>
          <w:vertAlign w:val="superscript"/>
          <w:rtl/>
        </w:rPr>
        <w:t>)</w:t>
      </w:r>
      <w:r>
        <w:rPr>
          <w:rFonts w:ascii="Traditional Arabic" w:hAnsi="Traditional Arabic" w:hint="cs"/>
          <w:sz w:val="30"/>
          <w:rtl/>
        </w:rPr>
        <w:t>. وفي 2 شباط/فبراير 1999، خلُصت المحكمة الدستورية إلى أن جزءاً من الفقرة 1 من القرار كان مخالفاً للمواد 19 و20 و46 من الدستور</w:t>
      </w:r>
      <w:r w:rsidR="00441F8C">
        <w:rPr>
          <w:rFonts w:ascii="Traditional Arabic" w:hAnsi="Traditional Arabic" w:hint="cs"/>
          <w:sz w:val="30"/>
          <w:rtl/>
        </w:rPr>
        <w:t xml:space="preserve"> لأنه لا ينص على إعمال الحق المكفول لجميع المتهمين الذين قد يُحكم عليهم بالإعدام، أي حقهم في أن تنظر في قضاياهم هيئات محلفين في جميع أراضي الاتحاد الروسي.</w:t>
      </w:r>
      <w:r w:rsidR="00D152F4">
        <w:rPr>
          <w:rFonts w:ascii="Traditional Arabic" w:hAnsi="Traditional Arabic" w:hint="cs"/>
          <w:sz w:val="30"/>
          <w:rtl/>
        </w:rPr>
        <w:t xml:space="preserve"> </w:t>
      </w:r>
      <w:r>
        <w:rPr>
          <w:rFonts w:ascii="Traditional Arabic" w:hAnsi="Traditional Arabic" w:hint="cs"/>
          <w:sz w:val="30"/>
          <w:rtl/>
        </w:rPr>
        <w:t>ورأت المحكمة أنه لم يعد في الإمكان الاستناد إلى الفقرة 1 من قرار 16 تموز/</w:t>
      </w:r>
      <w:r w:rsidR="005512AF">
        <w:rPr>
          <w:rFonts w:ascii="Traditional Arabic" w:hAnsi="Traditional Arabic" w:hint="cs"/>
          <w:sz w:val="30"/>
          <w:rtl/>
        </w:rPr>
        <w:t xml:space="preserve"> </w:t>
      </w:r>
      <w:r w:rsidR="00441F8C">
        <w:rPr>
          <w:rFonts w:ascii="Traditional Arabic" w:hAnsi="Traditional Arabic" w:hint="cs"/>
          <w:sz w:val="30"/>
          <w:rtl/>
        </w:rPr>
        <w:t xml:space="preserve"> </w:t>
      </w:r>
      <w:r>
        <w:rPr>
          <w:rFonts w:ascii="Traditional Arabic" w:hAnsi="Traditional Arabic" w:hint="cs"/>
          <w:sz w:val="30"/>
          <w:rtl/>
        </w:rPr>
        <w:t xml:space="preserve">يوليه 1993 لرفض التماسات انعقاد هيئة محلفين وأنه ينبغي أن يُكفل للمحكوم عليهم الحق في أن تنظر هيئة محلفين في </w:t>
      </w:r>
      <w:r w:rsidR="00441F8C">
        <w:rPr>
          <w:rFonts w:ascii="Traditional Arabic" w:hAnsi="Traditional Arabic" w:hint="cs"/>
          <w:sz w:val="30"/>
          <w:rtl/>
        </w:rPr>
        <w:t>قضاياهم</w:t>
      </w:r>
      <w:r>
        <w:rPr>
          <w:rFonts w:ascii="Traditional Arabic" w:hAnsi="Traditional Arabic" w:hint="cs"/>
          <w:sz w:val="30"/>
          <w:rtl/>
        </w:rPr>
        <w:t>.</w:t>
      </w:r>
      <w:r>
        <w:rPr>
          <w:rFonts w:hint="cs"/>
          <w:sz w:val="22"/>
          <w:rtl/>
        </w:rPr>
        <w:t xml:space="preserve"> </w:t>
      </w:r>
      <w:r>
        <w:rPr>
          <w:rFonts w:ascii="Traditional Arabic" w:hAnsi="Traditional Arabic" w:hint="cs"/>
          <w:sz w:val="30"/>
          <w:rtl/>
        </w:rPr>
        <w:t xml:space="preserve">وفي الفترة </w:t>
      </w:r>
      <w:r w:rsidR="00441F8C">
        <w:rPr>
          <w:rFonts w:ascii="Traditional Arabic" w:hAnsi="Traditional Arabic" w:hint="cs"/>
          <w:sz w:val="30"/>
          <w:rtl/>
        </w:rPr>
        <w:t xml:space="preserve">الممتدة </w:t>
      </w:r>
      <w:r>
        <w:rPr>
          <w:rFonts w:ascii="Traditional Arabic" w:hAnsi="Traditional Arabic" w:hint="cs"/>
          <w:sz w:val="30"/>
          <w:rtl/>
        </w:rPr>
        <w:t xml:space="preserve">بين دخول قرار المحكمة الدستورية حيز التنفيذ في 2 شباط/فبراير 1999 وبدء نفاذ قانون اتحادي ينص على الحق في </w:t>
      </w:r>
      <w:r>
        <w:rPr>
          <w:rFonts w:hint="cs"/>
          <w:rtl/>
          <w:lang/>
        </w:rPr>
        <w:t>محاكمة أمام هيئة محلفين في جميع أنحاء روسيا، لم يكن يجوز للمحاكم أياً كان تشكيلها (هيئة محلفين أو</w:t>
      </w:r>
      <w:r w:rsidR="00D152F4">
        <w:rPr>
          <w:rFonts w:hint="eastAsia"/>
          <w:rtl/>
          <w:lang/>
        </w:rPr>
        <w:t> </w:t>
      </w:r>
      <w:r>
        <w:rPr>
          <w:rFonts w:hint="cs"/>
          <w:rtl/>
          <w:lang/>
        </w:rPr>
        <w:t>هيئة مكونة من ثلاثة قضاة محترفين أو من قاض واحد محترف وقاضيين مساعدين له)</w:t>
      </w:r>
      <w:r>
        <w:rPr>
          <w:rFonts w:cs="Times New Roman" w:hint="cs"/>
          <w:rtl/>
          <w:lang/>
        </w:rPr>
        <w:t xml:space="preserve"> </w:t>
      </w:r>
      <w:r>
        <w:rPr>
          <w:rFonts w:ascii="Traditional Arabic" w:hAnsi="Traditional Arabic" w:hint="cs"/>
          <w:rtl/>
          <w:lang/>
        </w:rPr>
        <w:t>إصدار أحكام</w:t>
      </w:r>
      <w:r>
        <w:rPr>
          <w:rFonts w:ascii="Traditional Arabic" w:hAnsi="Traditional Arabic"/>
          <w:rtl/>
          <w:lang/>
        </w:rPr>
        <w:t xml:space="preserve"> </w:t>
      </w:r>
      <w:r>
        <w:rPr>
          <w:rFonts w:ascii="Traditional Arabic" w:hAnsi="Traditional Arabic" w:hint="cs"/>
          <w:rtl/>
          <w:lang/>
        </w:rPr>
        <w:t>ب</w:t>
      </w:r>
      <w:r w:rsidRPr="001806FF">
        <w:rPr>
          <w:rFonts w:ascii="Traditional Arabic" w:hAnsi="Traditional Arabic"/>
          <w:rtl/>
          <w:lang/>
        </w:rPr>
        <w:t>الإعدام.</w:t>
      </w:r>
    </w:p>
    <w:p w:rsidR="00E32FA5" w:rsidRDefault="00E32FA5" w:rsidP="00441F8C">
      <w:pPr>
        <w:pStyle w:val="SingleTxtGA"/>
        <w:rPr>
          <w:rFonts w:hint="cs"/>
          <w:sz w:val="22"/>
          <w:rtl/>
        </w:rPr>
      </w:pPr>
      <w:r>
        <w:rPr>
          <w:rFonts w:hint="cs"/>
          <w:sz w:val="22"/>
          <w:rtl/>
        </w:rPr>
        <w:t>2-6</w:t>
      </w:r>
      <w:r>
        <w:rPr>
          <w:rFonts w:hint="cs"/>
          <w:sz w:val="22"/>
          <w:rtl/>
        </w:rPr>
        <w:tab/>
        <w:t>ويدعي صاحب البلاغ أ</w:t>
      </w:r>
      <w:r w:rsidR="00441F8C">
        <w:rPr>
          <w:rFonts w:hint="cs"/>
          <w:sz w:val="22"/>
          <w:rtl/>
        </w:rPr>
        <w:t xml:space="preserve">نه بموجب </w:t>
      </w:r>
      <w:r>
        <w:rPr>
          <w:rFonts w:hint="cs"/>
          <w:sz w:val="22"/>
          <w:rtl/>
        </w:rPr>
        <w:t xml:space="preserve">المادة 10 من القانون الجنائي والمادة 54 من الدستور والفقرة 13 من المادة 397 من قانون الإجراءات الجنائية </w:t>
      </w:r>
      <w:r w:rsidR="00441F8C">
        <w:rPr>
          <w:rFonts w:hint="cs"/>
          <w:sz w:val="22"/>
          <w:rtl/>
        </w:rPr>
        <w:t xml:space="preserve">تنص، </w:t>
      </w:r>
      <w:r>
        <w:rPr>
          <w:rFonts w:hint="cs"/>
          <w:sz w:val="22"/>
          <w:rtl/>
        </w:rPr>
        <w:t xml:space="preserve">من المفترض </w:t>
      </w:r>
      <w:r w:rsidR="00441F8C">
        <w:rPr>
          <w:rFonts w:hint="cs"/>
          <w:sz w:val="22"/>
          <w:rtl/>
        </w:rPr>
        <w:t xml:space="preserve">أن توفق محكمة مختصة، بمبادرة منها، بين الحكم الصادر </w:t>
      </w:r>
      <w:r>
        <w:rPr>
          <w:rFonts w:hint="cs"/>
          <w:sz w:val="22"/>
          <w:rtl/>
        </w:rPr>
        <w:t xml:space="preserve">وقرار المحكمة الدستورية المؤرخ 2 شباط/فبراير 1999؛ وذلك لم </w:t>
      </w:r>
      <w:r w:rsidR="00441F8C">
        <w:rPr>
          <w:rFonts w:hint="cs"/>
          <w:sz w:val="22"/>
          <w:rtl/>
        </w:rPr>
        <w:t xml:space="preserve">يحدث، </w:t>
      </w:r>
      <w:r>
        <w:rPr>
          <w:rFonts w:hint="cs"/>
          <w:sz w:val="22"/>
          <w:rtl/>
        </w:rPr>
        <w:t xml:space="preserve">وهو لم يلتمس من </w:t>
      </w:r>
      <w:r w:rsidR="00441F8C">
        <w:rPr>
          <w:rFonts w:hint="cs"/>
          <w:sz w:val="22"/>
          <w:rtl/>
        </w:rPr>
        <w:t xml:space="preserve">المحكمة إجراء </w:t>
      </w:r>
      <w:r>
        <w:rPr>
          <w:rFonts w:hint="cs"/>
          <w:sz w:val="22"/>
          <w:rtl/>
        </w:rPr>
        <w:t>مراجعة قضائية بسبب جهله بالقانون.</w:t>
      </w:r>
    </w:p>
    <w:p w:rsidR="00E32FA5" w:rsidRDefault="00E32FA5" w:rsidP="00441F8C">
      <w:pPr>
        <w:pStyle w:val="SingleTxtGA"/>
        <w:rPr>
          <w:rFonts w:hint="cs"/>
          <w:sz w:val="22"/>
          <w:rtl/>
        </w:rPr>
      </w:pPr>
      <w:r>
        <w:rPr>
          <w:rFonts w:hint="cs"/>
          <w:sz w:val="22"/>
          <w:rtl/>
        </w:rPr>
        <w:t>2-7</w:t>
      </w:r>
      <w:r>
        <w:rPr>
          <w:rFonts w:hint="cs"/>
          <w:sz w:val="22"/>
          <w:rtl/>
        </w:rPr>
        <w:tab/>
        <w:t xml:space="preserve">وفي عام 2004، </w:t>
      </w:r>
      <w:r w:rsidR="00441F8C">
        <w:rPr>
          <w:rFonts w:hint="cs"/>
          <w:sz w:val="22"/>
          <w:rtl/>
        </w:rPr>
        <w:t xml:space="preserve">قدّم </w:t>
      </w:r>
      <w:r>
        <w:rPr>
          <w:rFonts w:hint="cs"/>
          <w:sz w:val="22"/>
          <w:rtl/>
        </w:rPr>
        <w:t xml:space="preserve">صاحب البلاغ </w:t>
      </w:r>
      <w:r w:rsidR="00441F8C">
        <w:rPr>
          <w:rFonts w:hint="cs"/>
          <w:sz w:val="22"/>
          <w:rtl/>
        </w:rPr>
        <w:t xml:space="preserve">التماساً </w:t>
      </w:r>
      <w:r>
        <w:rPr>
          <w:rFonts w:hint="cs"/>
          <w:sz w:val="22"/>
          <w:rtl/>
        </w:rPr>
        <w:t>إلى محكمة مدينة سول</w:t>
      </w:r>
      <w:r w:rsidR="005512AF">
        <w:rPr>
          <w:rFonts w:hint="cs"/>
          <w:sz w:val="22"/>
          <w:rtl/>
        </w:rPr>
        <w:t xml:space="preserve"> </w:t>
      </w:r>
      <w:r>
        <w:rPr>
          <w:rFonts w:hint="cs"/>
          <w:sz w:val="22"/>
          <w:rtl/>
        </w:rPr>
        <w:t>-</w:t>
      </w:r>
      <w:r w:rsidR="005512AF">
        <w:rPr>
          <w:rFonts w:hint="cs"/>
          <w:sz w:val="22"/>
          <w:rtl/>
        </w:rPr>
        <w:t xml:space="preserve"> </w:t>
      </w:r>
      <w:r>
        <w:rPr>
          <w:rFonts w:hint="cs"/>
          <w:sz w:val="22"/>
          <w:rtl/>
        </w:rPr>
        <w:t>إيلتسك بمنطقة أورنورغ للتوفيق بين قضيته والتغييرات التي أدخلها على القانون الجنائي القانون الصادر في 8 كانون الأول/ديسمبر 2003 "بشأن تغيير القانون الجنائي</w:t>
      </w:r>
      <w:r w:rsidRPr="00E37AA8">
        <w:rPr>
          <w:rFonts w:hint="cs"/>
          <w:sz w:val="22"/>
          <w:rtl/>
        </w:rPr>
        <w:t xml:space="preserve"> </w:t>
      </w:r>
      <w:r>
        <w:rPr>
          <w:rFonts w:hint="cs"/>
          <w:sz w:val="22"/>
          <w:rtl/>
        </w:rPr>
        <w:t>وتعديله". وفي 29 حزيران/يونيه 2004، راجعت محكمة مدينة سول</w:t>
      </w:r>
      <w:r w:rsidR="00441F8C">
        <w:rPr>
          <w:rFonts w:hint="cs"/>
          <w:sz w:val="22"/>
          <w:rtl/>
        </w:rPr>
        <w:t xml:space="preserve"> </w:t>
      </w:r>
      <w:r>
        <w:rPr>
          <w:rFonts w:hint="cs"/>
          <w:sz w:val="22"/>
          <w:rtl/>
        </w:rPr>
        <w:t>-</w:t>
      </w:r>
      <w:r w:rsidR="00441F8C">
        <w:rPr>
          <w:rFonts w:hint="cs"/>
          <w:sz w:val="22"/>
          <w:rtl/>
        </w:rPr>
        <w:t xml:space="preserve"> </w:t>
      </w:r>
      <w:r>
        <w:rPr>
          <w:rFonts w:hint="cs"/>
          <w:sz w:val="22"/>
          <w:rtl/>
        </w:rPr>
        <w:t>إيلتسك الحكم الصادر في حق صاحب البلاغ وغيرت ا</w:t>
      </w:r>
      <w:r w:rsidR="00441F8C">
        <w:rPr>
          <w:rFonts w:hint="cs"/>
          <w:sz w:val="22"/>
          <w:rtl/>
        </w:rPr>
        <w:t xml:space="preserve">لتوصيف </w:t>
      </w:r>
      <w:r>
        <w:rPr>
          <w:rFonts w:hint="cs"/>
          <w:sz w:val="22"/>
          <w:rtl/>
        </w:rPr>
        <w:t>القانوني لبعض أفعاله، لكنها أبقت على عقوبة السجن المؤبد. ويدعي صاحب البلاغ أن محكمة سول</w:t>
      </w:r>
      <w:r w:rsidR="008D5A20">
        <w:rPr>
          <w:rFonts w:hint="cs"/>
          <w:sz w:val="22"/>
          <w:rtl/>
        </w:rPr>
        <w:t xml:space="preserve"> </w:t>
      </w:r>
      <w:r>
        <w:rPr>
          <w:rFonts w:hint="cs"/>
          <w:sz w:val="22"/>
          <w:rtl/>
        </w:rPr>
        <w:t>-</w:t>
      </w:r>
      <w:r w:rsidR="008D5A20">
        <w:rPr>
          <w:rFonts w:hint="cs"/>
          <w:sz w:val="22"/>
          <w:rtl/>
        </w:rPr>
        <w:t xml:space="preserve"> </w:t>
      </w:r>
      <w:r>
        <w:rPr>
          <w:rFonts w:hint="cs"/>
          <w:sz w:val="22"/>
          <w:rtl/>
        </w:rPr>
        <w:t>إيلتسك لم توفق بين الحكم الصادر عليه والقانون الذي كان ساري</w:t>
      </w:r>
      <w:r w:rsidR="00D152F4">
        <w:rPr>
          <w:rFonts w:hint="cs"/>
          <w:sz w:val="22"/>
          <w:rtl/>
        </w:rPr>
        <w:t xml:space="preserve">اً </w:t>
      </w:r>
      <w:r>
        <w:rPr>
          <w:rFonts w:hint="cs"/>
          <w:sz w:val="22"/>
          <w:rtl/>
        </w:rPr>
        <w:t>آنذاك، وبالتحديد قرار المحكمة الدستورية المؤرخ 2 شباط/فبراير 1999.</w:t>
      </w:r>
    </w:p>
    <w:p w:rsidR="00E32FA5" w:rsidRDefault="00E32FA5" w:rsidP="00441F8C">
      <w:pPr>
        <w:pStyle w:val="SingleTxtGA"/>
        <w:rPr>
          <w:rFonts w:hint="cs"/>
          <w:sz w:val="22"/>
          <w:rtl/>
        </w:rPr>
      </w:pPr>
      <w:r>
        <w:rPr>
          <w:rFonts w:hint="cs"/>
          <w:sz w:val="22"/>
          <w:rtl/>
        </w:rPr>
        <w:t>2-8</w:t>
      </w:r>
      <w:r>
        <w:rPr>
          <w:rFonts w:hint="cs"/>
          <w:sz w:val="22"/>
          <w:rtl/>
        </w:rPr>
        <w:tab/>
      </w:r>
      <w:r>
        <w:rPr>
          <w:rFonts w:ascii="Traditional Arabic" w:hAnsi="Traditional Arabic" w:hint="cs"/>
          <w:sz w:val="30"/>
          <w:rtl/>
        </w:rPr>
        <w:t>وفي آذار/مارس 2006، علم صاحب البلاغ بقرار محكمة مدينة زلاتوست في منطقة شيليابنسك الصادر في 29 كانون الثاني/يناير 2001 الذي جعل</w:t>
      </w:r>
      <w:r w:rsidRPr="00B21738">
        <w:rPr>
          <w:rFonts w:ascii="Traditional Arabic" w:hAnsi="Traditional Arabic" w:hint="cs"/>
          <w:sz w:val="30"/>
          <w:rtl/>
        </w:rPr>
        <w:t xml:space="preserve"> </w:t>
      </w:r>
      <w:r>
        <w:rPr>
          <w:rFonts w:ascii="Traditional Arabic" w:hAnsi="Traditional Arabic" w:hint="cs"/>
          <w:sz w:val="30"/>
          <w:rtl/>
        </w:rPr>
        <w:t>العقوبة الصادرة في حق سجين آخر، السيد د.، "تتوافق مع قرار المحكمة الدستورية الصادر في 2 شباط/</w:t>
      </w:r>
      <w:r w:rsidR="00441F8C">
        <w:rPr>
          <w:rFonts w:ascii="Traditional Arabic" w:hAnsi="Traditional Arabic" w:hint="cs"/>
          <w:sz w:val="30"/>
          <w:rtl/>
        </w:rPr>
        <w:t xml:space="preserve">    </w:t>
      </w:r>
      <w:r>
        <w:rPr>
          <w:rFonts w:ascii="Traditional Arabic" w:hAnsi="Traditional Arabic" w:hint="cs"/>
          <w:sz w:val="30"/>
          <w:rtl/>
        </w:rPr>
        <w:t xml:space="preserve">فبراير 1999". وقيل لصاحب البلاغ إن هذا القرار </w:t>
      </w:r>
      <w:r w:rsidR="00441F8C">
        <w:rPr>
          <w:rFonts w:ascii="Traditional Arabic" w:hAnsi="Traditional Arabic" w:hint="cs"/>
          <w:sz w:val="30"/>
          <w:rtl/>
        </w:rPr>
        <w:t xml:space="preserve">يشكل </w:t>
      </w:r>
      <w:r>
        <w:rPr>
          <w:rFonts w:ascii="Traditional Arabic" w:hAnsi="Traditional Arabic" w:hint="cs"/>
          <w:sz w:val="30"/>
          <w:rtl/>
        </w:rPr>
        <w:t xml:space="preserve">سابقة يُمكنه </w:t>
      </w:r>
      <w:r w:rsidR="00441F8C">
        <w:rPr>
          <w:rFonts w:ascii="Traditional Arabic" w:hAnsi="Traditional Arabic" w:hint="cs"/>
          <w:sz w:val="30"/>
          <w:rtl/>
        </w:rPr>
        <w:t xml:space="preserve">الاستناد إليها </w:t>
      </w:r>
      <w:r>
        <w:rPr>
          <w:rFonts w:ascii="Traditional Arabic" w:hAnsi="Traditional Arabic" w:hint="cs"/>
          <w:sz w:val="30"/>
          <w:rtl/>
        </w:rPr>
        <w:t>لتقديم التماس إلى محكمة مختصة بشأن قضيته. وفي تاريخ غير محدد، قدم صاحب البلاغ هذا الالتماس إلى محكمة سول</w:t>
      </w:r>
      <w:r w:rsidR="00D152F4">
        <w:rPr>
          <w:rFonts w:ascii="Traditional Arabic" w:hAnsi="Traditional Arabic" w:hint="cs"/>
          <w:sz w:val="30"/>
          <w:rtl/>
        </w:rPr>
        <w:t xml:space="preserve"> </w:t>
      </w:r>
      <w:r>
        <w:rPr>
          <w:rFonts w:ascii="Traditional Arabic" w:hAnsi="Traditional Arabic" w:hint="cs"/>
          <w:sz w:val="30"/>
          <w:rtl/>
        </w:rPr>
        <w:t>-</w:t>
      </w:r>
      <w:r w:rsidR="00D152F4">
        <w:rPr>
          <w:rFonts w:ascii="Traditional Arabic" w:hAnsi="Traditional Arabic" w:hint="cs"/>
          <w:sz w:val="30"/>
          <w:rtl/>
        </w:rPr>
        <w:t xml:space="preserve"> </w:t>
      </w:r>
      <w:r>
        <w:rPr>
          <w:rFonts w:ascii="Traditional Arabic" w:hAnsi="Traditional Arabic" w:hint="cs"/>
          <w:sz w:val="30"/>
          <w:rtl/>
        </w:rPr>
        <w:t>إيلتسك المحلية في منطقة أورنبرغ</w:t>
      </w:r>
      <w:r>
        <w:rPr>
          <w:rFonts w:hint="cs"/>
          <w:sz w:val="22"/>
          <w:rtl/>
        </w:rPr>
        <w:t>.</w:t>
      </w:r>
    </w:p>
    <w:p w:rsidR="00E32FA5" w:rsidRDefault="00E32FA5" w:rsidP="00441F8C">
      <w:pPr>
        <w:pStyle w:val="SingleTxtGA"/>
        <w:rPr>
          <w:rFonts w:ascii="Traditional Arabic" w:hAnsi="Traditional Arabic" w:hint="cs"/>
          <w:sz w:val="30"/>
          <w:rtl/>
        </w:rPr>
      </w:pPr>
      <w:r>
        <w:rPr>
          <w:rFonts w:hint="cs"/>
          <w:sz w:val="22"/>
          <w:rtl/>
        </w:rPr>
        <w:t>2-9</w:t>
      </w:r>
      <w:r>
        <w:rPr>
          <w:rFonts w:hint="cs"/>
          <w:sz w:val="22"/>
          <w:rtl/>
        </w:rPr>
        <w:tab/>
        <w:t xml:space="preserve">وفي 23 آب/أغسطس 2006، رفضت </w:t>
      </w:r>
      <w:r>
        <w:rPr>
          <w:rFonts w:ascii="Traditional Arabic" w:hAnsi="Traditional Arabic" w:hint="cs"/>
          <w:sz w:val="30"/>
          <w:rtl/>
        </w:rPr>
        <w:t>محكمة مدينة سول</w:t>
      </w:r>
      <w:r>
        <w:rPr>
          <w:rFonts w:ascii="Traditional Arabic" w:hAnsi="Traditional Arabic" w:hint="eastAsia"/>
          <w:sz w:val="30"/>
          <w:rtl/>
        </w:rPr>
        <w:t> </w:t>
      </w:r>
      <w:r>
        <w:rPr>
          <w:rFonts w:ascii="Traditional Arabic" w:hAnsi="Traditional Arabic" w:hint="cs"/>
          <w:sz w:val="30"/>
          <w:rtl/>
        </w:rPr>
        <w:t xml:space="preserve">- إيلتسك في منطقة أورنبرغ التماس صاحب البلاغ بحجة عدم الاختصاص، وعللت قرارها بكون القضية تخضع </w:t>
      </w:r>
      <w:r w:rsidR="00441F8C">
        <w:rPr>
          <w:rFonts w:ascii="Traditional Arabic" w:hAnsi="Traditional Arabic" w:hint="cs"/>
          <w:sz w:val="30"/>
          <w:rtl/>
        </w:rPr>
        <w:t xml:space="preserve">لاختصاص </w:t>
      </w:r>
      <w:r>
        <w:rPr>
          <w:rFonts w:hint="cs"/>
          <w:rtl/>
          <w:lang/>
        </w:rPr>
        <w:t xml:space="preserve">رئاسة المحكمة العليا. ويدعي صاحب البلاغ أن هذا القرار انتهك حقوقه بموجب الفقرة 13 من المادة 397 من قانون الإجراءات الجنائية والمادة 19 من الدستور، لأن هذه المحكمة تحتل نفس المكانة في التدرج الهرمي للمحاكم شأنها شأن محكمة مدينة </w:t>
      </w:r>
      <w:r>
        <w:rPr>
          <w:rFonts w:ascii="Traditional Arabic" w:hAnsi="Traditional Arabic" w:hint="cs"/>
          <w:sz w:val="30"/>
          <w:rtl/>
        </w:rPr>
        <w:t>زلاتوست في منطقة شيليابنسك (انظر الفقرة 2-8 أعلاه)، ومن المفترض أن</w:t>
      </w:r>
      <w:r>
        <w:rPr>
          <w:rFonts w:hint="cs"/>
          <w:rtl/>
        </w:rPr>
        <w:t>ها</w:t>
      </w:r>
      <w:r>
        <w:rPr>
          <w:rFonts w:ascii="Traditional Arabic" w:hAnsi="Traditional Arabic" w:hint="cs"/>
          <w:sz w:val="30"/>
          <w:rtl/>
        </w:rPr>
        <w:t xml:space="preserve"> تتمتع بنفس سلطة هذه الأخيرة في</w:t>
      </w:r>
      <w:r>
        <w:rPr>
          <w:rFonts w:ascii="Traditional Arabic" w:hAnsi="Traditional Arabic" w:hint="eastAsia"/>
          <w:sz w:val="30"/>
          <w:rtl/>
        </w:rPr>
        <w:t> </w:t>
      </w:r>
      <w:r>
        <w:rPr>
          <w:rFonts w:ascii="Traditional Arabic" w:hAnsi="Traditional Arabic" w:hint="cs"/>
          <w:sz w:val="30"/>
          <w:rtl/>
        </w:rPr>
        <w:t>أن تجعل العقوبة الصادرة في حقه تتوافق مع قرار المحكمة الدستورية الصادر في 2 شباط/فبراير 1999.</w:t>
      </w:r>
    </w:p>
    <w:p w:rsidR="000D7C77" w:rsidRDefault="00E32FA5" w:rsidP="008D5A20">
      <w:pPr>
        <w:pStyle w:val="SingleTxtGA"/>
        <w:rPr>
          <w:rFonts w:hint="cs"/>
          <w:sz w:val="22"/>
          <w:rtl/>
        </w:rPr>
      </w:pPr>
      <w:r>
        <w:rPr>
          <w:rFonts w:ascii="Traditional Arabic" w:hAnsi="Traditional Arabic" w:hint="cs"/>
          <w:sz w:val="30"/>
          <w:rtl/>
        </w:rPr>
        <w:t>2-10</w:t>
      </w:r>
      <w:r>
        <w:rPr>
          <w:rFonts w:ascii="Traditional Arabic" w:hAnsi="Traditional Arabic" w:hint="cs"/>
          <w:sz w:val="30"/>
          <w:rtl/>
        </w:rPr>
        <w:tab/>
        <w:t>وفي تشرين الأول/أكتوبر 2006، قدم صاحب البلاغ التماس</w:t>
      </w:r>
      <w:r w:rsidR="00D152F4">
        <w:rPr>
          <w:rFonts w:ascii="Traditional Arabic" w:hAnsi="Traditional Arabic" w:hint="cs"/>
          <w:sz w:val="30"/>
          <w:rtl/>
        </w:rPr>
        <w:t xml:space="preserve">اً </w:t>
      </w:r>
      <w:r>
        <w:rPr>
          <w:rFonts w:ascii="Traditional Arabic" w:hAnsi="Traditional Arabic" w:hint="cs"/>
          <w:sz w:val="30"/>
          <w:rtl/>
        </w:rPr>
        <w:t>إلى رئيس المحكمة العليا. وفي 2 آذار/مارس 2007، رفض أحد قضاة هذه المحكمة الالتماس بحجة أن صاحب البلاغ لم يشارك في الإجراءات الدستورية التي أدت إلى قرار المحكمة الدستورية الصادر في 2 شباط/فبراير 1999. وعليه، لا يوجد سند بمقتضى المادة 49 من قانون الإجراءات الجنائية</w:t>
      </w:r>
      <w:r>
        <w:rPr>
          <w:rFonts w:hint="cs"/>
          <w:sz w:val="22"/>
          <w:rtl/>
        </w:rPr>
        <w:t xml:space="preserve"> أو المراجعة القضائية للحكم الصادر عليه. ويزعم صاحب البلاغ أن الحكم على السيد د. (انظر الفقرة 2-8 أعلاه) صدر على نحو يتوافق مع قرار المحكمة الدستورية المؤرخ 2 شباط/فبراير 1999 رغم عدم مشاركة السيد د. في الإجراءات الدستورية المذكورة. أضف إلى ذلك أنه لا يجوز للمحكمة الدستورية أن تتخذ قرارين في الموضوع</w:t>
      </w:r>
      <w:r w:rsidR="000D7C77">
        <w:rPr>
          <w:rFonts w:hint="cs"/>
          <w:sz w:val="22"/>
          <w:rtl/>
        </w:rPr>
        <w:t xml:space="preserve"> نفسه</w:t>
      </w:r>
      <w:r>
        <w:rPr>
          <w:rFonts w:hint="cs"/>
          <w:sz w:val="22"/>
          <w:rtl/>
        </w:rPr>
        <w:t xml:space="preserve">؛ ومتى ظهرت قضية مشابهة، </w:t>
      </w:r>
      <w:r w:rsidR="000D7C77">
        <w:rPr>
          <w:rFonts w:hint="cs"/>
          <w:sz w:val="22"/>
          <w:rtl/>
        </w:rPr>
        <w:t xml:space="preserve">كان على </w:t>
      </w:r>
      <w:r>
        <w:rPr>
          <w:rFonts w:hint="cs"/>
          <w:sz w:val="22"/>
          <w:rtl/>
        </w:rPr>
        <w:t>المحاكم أن تسترشد بقرار المحكمة الدستورية القائم</w:t>
      </w:r>
      <w:r>
        <w:rPr>
          <w:sz w:val="22"/>
          <w:vertAlign w:val="superscript"/>
          <w:rtl/>
        </w:rPr>
        <w:t>(</w:t>
      </w:r>
      <w:r>
        <w:rPr>
          <w:rStyle w:val="FootnoteReference"/>
          <w:rtl/>
        </w:rPr>
        <w:footnoteReference w:id="10"/>
      </w:r>
      <w:r w:rsidRPr="00EA45DE">
        <w:rPr>
          <w:sz w:val="22"/>
          <w:vertAlign w:val="superscript"/>
          <w:rtl/>
        </w:rPr>
        <w:t>)</w:t>
      </w:r>
      <w:r>
        <w:rPr>
          <w:rFonts w:hint="cs"/>
          <w:sz w:val="22"/>
          <w:rtl/>
        </w:rPr>
        <w:t>.</w:t>
      </w:r>
    </w:p>
    <w:p w:rsidR="00E32FA5" w:rsidRDefault="00E32FA5" w:rsidP="00D152F4">
      <w:pPr>
        <w:pStyle w:val="SingleTxtGA"/>
        <w:rPr>
          <w:rFonts w:hint="cs"/>
          <w:sz w:val="22"/>
          <w:rtl/>
        </w:rPr>
      </w:pPr>
      <w:r>
        <w:rPr>
          <w:rFonts w:hint="cs"/>
          <w:sz w:val="22"/>
          <w:rtl/>
        </w:rPr>
        <w:t>2-11</w:t>
      </w:r>
      <w:r>
        <w:rPr>
          <w:rFonts w:hint="cs"/>
          <w:sz w:val="22"/>
          <w:rtl/>
        </w:rPr>
        <w:tab/>
        <w:t>وأبلغت أخت صاحب البلاغ اللجنة، في رسالة تلقتها اللجنة في 31 آب/</w:t>
      </w:r>
      <w:r w:rsidR="000D7C77">
        <w:rPr>
          <w:rFonts w:hint="cs"/>
          <w:sz w:val="22"/>
          <w:rtl/>
        </w:rPr>
        <w:t xml:space="preserve">  </w:t>
      </w:r>
      <w:r>
        <w:rPr>
          <w:rFonts w:hint="cs"/>
          <w:sz w:val="22"/>
          <w:rtl/>
        </w:rPr>
        <w:t xml:space="preserve">أغسطس 2010، بأن صاحب البلاغ لا يزال يعاني صعوبات </w:t>
      </w:r>
      <w:r w:rsidR="000D7C77">
        <w:rPr>
          <w:rFonts w:hint="cs"/>
          <w:sz w:val="22"/>
          <w:rtl/>
        </w:rPr>
        <w:t xml:space="preserve">في </w:t>
      </w:r>
      <w:r>
        <w:rPr>
          <w:rFonts w:hint="cs"/>
          <w:sz w:val="22"/>
          <w:rtl/>
        </w:rPr>
        <w:t>تلقي رسائل تتعلق بهذا البلاغ</w:t>
      </w:r>
      <w:r w:rsidRPr="00E37AA8">
        <w:rPr>
          <w:rFonts w:hint="cs"/>
          <w:sz w:val="22"/>
          <w:rtl/>
        </w:rPr>
        <w:t xml:space="preserve"> </w:t>
      </w:r>
      <w:r>
        <w:rPr>
          <w:rFonts w:hint="cs"/>
          <w:sz w:val="22"/>
          <w:rtl/>
        </w:rPr>
        <w:t>وإرسالها. وبالخصوص، رغم تلقيه رسالة اللجنة المؤرخة 31 آذار/مارس 2010، لم</w:t>
      </w:r>
      <w:r w:rsidR="00D152F4">
        <w:rPr>
          <w:rFonts w:hint="eastAsia"/>
          <w:sz w:val="22"/>
          <w:rtl/>
        </w:rPr>
        <w:t> </w:t>
      </w:r>
      <w:r>
        <w:rPr>
          <w:rFonts w:hint="cs"/>
          <w:sz w:val="22"/>
          <w:rtl/>
        </w:rPr>
        <w:t>يصل إليها قط تعليقاته المؤرخة 4 أيار/مايو 2010</w:t>
      </w:r>
      <w:r>
        <w:rPr>
          <w:sz w:val="22"/>
          <w:vertAlign w:val="superscript"/>
          <w:rtl/>
        </w:rPr>
        <w:t>(</w:t>
      </w:r>
      <w:r>
        <w:rPr>
          <w:rStyle w:val="FootnoteReference"/>
          <w:rtl/>
        </w:rPr>
        <w:footnoteReference w:id="11"/>
      </w:r>
      <w:r w:rsidRPr="000E7141">
        <w:rPr>
          <w:sz w:val="22"/>
          <w:vertAlign w:val="superscript"/>
          <w:rtl/>
        </w:rPr>
        <w:t>)</w:t>
      </w:r>
      <w:r>
        <w:rPr>
          <w:rFonts w:hint="cs"/>
          <w:sz w:val="22"/>
          <w:rtl/>
        </w:rPr>
        <w:t xml:space="preserve"> التي أرسِلت إلى عنوانها كي تحولها لاحق</w:t>
      </w:r>
      <w:r w:rsidR="00D152F4">
        <w:rPr>
          <w:rFonts w:hint="cs"/>
          <w:sz w:val="22"/>
          <w:rtl/>
        </w:rPr>
        <w:t xml:space="preserve">اً </w:t>
      </w:r>
      <w:r>
        <w:rPr>
          <w:rFonts w:hint="cs"/>
          <w:sz w:val="22"/>
          <w:rtl/>
        </w:rPr>
        <w:t>إلى اللجنة. وفي 7 تموز/يوليه 2010، أرسل صاحب البلاغ نسخة من تعليقاته المؤرخة 4 أيا</w:t>
      </w:r>
      <w:r w:rsidR="000D7C77">
        <w:rPr>
          <w:rFonts w:hint="cs"/>
          <w:sz w:val="22"/>
          <w:rtl/>
        </w:rPr>
        <w:t xml:space="preserve">ر/مايو 2010 إلى عنوانها، لكنها لم تصل إليها </w:t>
      </w:r>
      <w:r>
        <w:rPr>
          <w:rFonts w:hint="cs"/>
          <w:sz w:val="22"/>
          <w:rtl/>
        </w:rPr>
        <w:t>هي الأخرى. وطلبت أخت صاحب البلاغ إلى اللجنة ما يلي: (1) ألا تتوقف عن النظر في البلاغ؛ (2) أن تُعْلم البعثة الدائمة للاتحاد الروسي في جنيف بالتدخل في المراسلات مع اللجنة؛ (3) أن تطلب إلى البعثة الدائمة للاتحاد الروسي توضيح الأمور</w:t>
      </w:r>
      <w:r>
        <w:rPr>
          <w:sz w:val="22"/>
          <w:vertAlign w:val="superscript"/>
          <w:rtl/>
        </w:rPr>
        <w:t>(</w:t>
      </w:r>
      <w:r>
        <w:rPr>
          <w:rStyle w:val="FootnoteReference"/>
          <w:rtl/>
        </w:rPr>
        <w:footnoteReference w:id="12"/>
      </w:r>
      <w:r w:rsidRPr="00203E9A">
        <w:rPr>
          <w:sz w:val="22"/>
          <w:vertAlign w:val="superscript"/>
          <w:rtl/>
        </w:rPr>
        <w:t>)</w:t>
      </w:r>
      <w:r>
        <w:rPr>
          <w:rFonts w:hint="cs"/>
          <w:sz w:val="22"/>
          <w:rtl/>
        </w:rPr>
        <w:t>.</w:t>
      </w:r>
    </w:p>
    <w:p w:rsidR="00E32FA5" w:rsidRPr="00066B34" w:rsidRDefault="000D7C77" w:rsidP="000D7C77">
      <w:pPr>
        <w:pStyle w:val="H23GA"/>
        <w:rPr>
          <w:rFonts w:hint="cs"/>
          <w:rtl/>
        </w:rPr>
      </w:pPr>
      <w:r>
        <w:rPr>
          <w:rFonts w:hint="cs"/>
          <w:rtl/>
        </w:rPr>
        <w:tab/>
      </w:r>
      <w:r>
        <w:rPr>
          <w:rFonts w:hint="cs"/>
          <w:rtl/>
        </w:rPr>
        <w:tab/>
      </w:r>
      <w:r w:rsidR="00E32FA5" w:rsidRPr="00066B34">
        <w:rPr>
          <w:rFonts w:hint="cs"/>
          <w:rtl/>
        </w:rPr>
        <w:t>الشكوى</w:t>
      </w:r>
    </w:p>
    <w:p w:rsidR="00E32FA5" w:rsidRDefault="00E32FA5" w:rsidP="008D5A20">
      <w:pPr>
        <w:pStyle w:val="SingleTxtGA"/>
        <w:rPr>
          <w:rFonts w:hint="cs"/>
          <w:sz w:val="22"/>
          <w:rtl/>
        </w:rPr>
      </w:pPr>
      <w:r>
        <w:rPr>
          <w:rFonts w:hint="cs"/>
          <w:sz w:val="22"/>
          <w:rtl/>
        </w:rPr>
        <w:t>3-1</w:t>
      </w:r>
      <w:r>
        <w:rPr>
          <w:rFonts w:hint="cs"/>
          <w:sz w:val="22"/>
          <w:rtl/>
        </w:rPr>
        <w:tab/>
        <w:t xml:space="preserve">يدعي </w:t>
      </w:r>
      <w:r w:rsidRPr="00E558E9">
        <w:rPr>
          <w:rFonts w:hint="cs"/>
          <w:kern w:val="16"/>
          <w:rtl/>
        </w:rPr>
        <w:t xml:space="preserve">صاحب البلاغ أن </w:t>
      </w:r>
      <w:r>
        <w:rPr>
          <w:rFonts w:hint="cs"/>
          <w:kern w:val="16"/>
          <w:rtl/>
        </w:rPr>
        <w:t xml:space="preserve">الوقائع المذكورة أعلاه </w:t>
      </w:r>
      <w:r w:rsidR="000D7C77">
        <w:rPr>
          <w:rFonts w:hint="cs"/>
          <w:kern w:val="16"/>
          <w:rtl/>
        </w:rPr>
        <w:t xml:space="preserve">تشكل </w:t>
      </w:r>
      <w:r>
        <w:rPr>
          <w:rFonts w:hint="cs"/>
          <w:kern w:val="16"/>
          <w:rtl/>
        </w:rPr>
        <w:t xml:space="preserve">انتهاكات من </w:t>
      </w:r>
      <w:r w:rsidR="000D7C77">
        <w:rPr>
          <w:rFonts w:hint="cs"/>
          <w:kern w:val="16"/>
          <w:rtl/>
        </w:rPr>
        <w:t xml:space="preserve">قبل </w:t>
      </w:r>
      <w:r>
        <w:rPr>
          <w:rFonts w:hint="cs"/>
          <w:kern w:val="16"/>
          <w:rtl/>
        </w:rPr>
        <w:t xml:space="preserve">الدولة الطرف لحقوقه المكفولة بالمواد 2 و6 و7 و14 و15 </w:t>
      </w:r>
      <w:r>
        <w:rPr>
          <w:rFonts w:hint="cs"/>
          <w:rtl/>
        </w:rPr>
        <w:t>و26 من العهد</w:t>
      </w:r>
      <w:r>
        <w:rPr>
          <w:kern w:val="16"/>
          <w:vertAlign w:val="superscript"/>
          <w:rtl/>
        </w:rPr>
        <w:t>(</w:t>
      </w:r>
      <w:r>
        <w:rPr>
          <w:rStyle w:val="FootnoteReference"/>
          <w:rtl/>
        </w:rPr>
        <w:footnoteReference w:id="13"/>
      </w:r>
      <w:r w:rsidRPr="0067622C">
        <w:rPr>
          <w:kern w:val="16"/>
          <w:vertAlign w:val="superscript"/>
          <w:rtl/>
        </w:rPr>
        <w:t>)</w:t>
      </w:r>
      <w:r w:rsidR="000D7C77">
        <w:rPr>
          <w:rFonts w:hint="cs"/>
          <w:kern w:val="16"/>
          <w:rtl/>
        </w:rPr>
        <w:t>. ويجا</w:t>
      </w:r>
      <w:r w:rsidR="008D5A20">
        <w:rPr>
          <w:rFonts w:hint="cs"/>
          <w:kern w:val="16"/>
          <w:rtl/>
        </w:rPr>
        <w:t>د</w:t>
      </w:r>
      <w:r w:rsidR="000D7C77">
        <w:rPr>
          <w:rFonts w:hint="cs"/>
          <w:kern w:val="16"/>
          <w:rtl/>
        </w:rPr>
        <w:t xml:space="preserve">ل </w:t>
      </w:r>
      <w:r w:rsidR="008D5A20">
        <w:rPr>
          <w:rFonts w:hint="cs"/>
          <w:kern w:val="16"/>
          <w:rtl/>
        </w:rPr>
        <w:t xml:space="preserve">صاحب البلاغ </w:t>
      </w:r>
      <w:r w:rsidR="000D7C77">
        <w:rPr>
          <w:rFonts w:hint="cs"/>
          <w:kern w:val="16"/>
          <w:rtl/>
        </w:rPr>
        <w:t xml:space="preserve">بالقول خاصة إنه لم يحاكم من قبل محكمة مختصة، الأمر الذي ينتهك المواد 2 و6 و14 من العهد. وهو يشير إلى المادتين 14 و15 من العهد ليشتكي من أنه لم يوفَّق بين عقوبته وقرار المحكمة الدستورية المؤرخ 2 </w:t>
      </w:r>
      <w:r w:rsidR="000D7C77" w:rsidRPr="000D7C77">
        <w:rPr>
          <w:rFonts w:hint="cs"/>
          <w:kern w:val="16"/>
          <w:sz w:val="30"/>
          <w:rtl/>
        </w:rPr>
        <w:t xml:space="preserve">شباط/فبراير </w:t>
      </w:r>
      <w:r w:rsidR="000D7C77">
        <w:rPr>
          <w:rFonts w:hint="cs"/>
          <w:kern w:val="16"/>
          <w:rtl/>
        </w:rPr>
        <w:t>1999 الذي يمنح جميع المتهمين الحق في أن تنظر هيئة محلفين في قضاياهم الجنائية. وهو يجا</w:t>
      </w:r>
      <w:r w:rsidR="008D5A20">
        <w:rPr>
          <w:rFonts w:hint="cs"/>
          <w:kern w:val="16"/>
          <w:rtl/>
        </w:rPr>
        <w:t>د</w:t>
      </w:r>
      <w:r w:rsidR="000D7C77">
        <w:rPr>
          <w:rFonts w:hint="cs"/>
          <w:kern w:val="16"/>
          <w:rtl/>
        </w:rPr>
        <w:t>ل أيضاً بأن ما يلي ينتهك المادة 15 من العهد: (1) الجهة التي عفت عنه هي الرئيس لا المحكمة رقم أن المحاكم المحلية هي المسؤولة عن إقامة العدل في روسيا؛ (2) صدر في حقه حكم أشد مما كان مطبّقاً وق</w:t>
      </w:r>
      <w:r w:rsidR="008D5A20">
        <w:rPr>
          <w:rFonts w:hint="cs"/>
          <w:kern w:val="16"/>
          <w:rtl/>
        </w:rPr>
        <w:t>ت</w:t>
      </w:r>
      <w:r w:rsidR="000D7C77">
        <w:rPr>
          <w:rFonts w:hint="cs"/>
          <w:kern w:val="16"/>
          <w:rtl/>
        </w:rPr>
        <w:t xml:space="preserve"> ارتكاب الجريمة، أي السجن 15 عاماً، وذلك نتيجة تحويل العقوبات. ويزعم صاحب البلاغ أيضاً أنه أخِلّ بالمادة</w:t>
      </w:r>
      <w:r w:rsidR="000D7C77">
        <w:rPr>
          <w:rFonts w:hint="eastAsia"/>
          <w:kern w:val="16"/>
          <w:rtl/>
        </w:rPr>
        <w:t> </w:t>
      </w:r>
      <w:r w:rsidR="000D7C77">
        <w:rPr>
          <w:rFonts w:hint="cs"/>
          <w:kern w:val="16"/>
          <w:rtl/>
        </w:rPr>
        <w:t>26 من العهد بسبب رفض محاكمته بمشاركة هيئة محلفين في منطقة مورمانسك، علماً بأن القضايا التي يُحكم فيها بالإعدام تنظر فيها هيئات محلفين في مناطق روسيا التسع الأخرى.</w:t>
      </w:r>
      <w:r>
        <w:rPr>
          <w:rFonts w:hint="cs"/>
          <w:sz w:val="22"/>
          <w:rtl/>
        </w:rPr>
        <w:t xml:space="preserve"> </w:t>
      </w:r>
    </w:p>
    <w:p w:rsidR="00E32FA5" w:rsidRDefault="00E32FA5" w:rsidP="00E32FA5">
      <w:pPr>
        <w:pStyle w:val="SingleTxtGA"/>
        <w:rPr>
          <w:rFonts w:hint="cs"/>
          <w:sz w:val="22"/>
          <w:rtl/>
        </w:rPr>
      </w:pPr>
      <w:r>
        <w:rPr>
          <w:rFonts w:hint="cs"/>
          <w:sz w:val="22"/>
          <w:rtl/>
        </w:rPr>
        <w:t>3-2</w:t>
      </w:r>
      <w:r>
        <w:rPr>
          <w:rFonts w:hint="cs"/>
          <w:sz w:val="22"/>
          <w:rtl/>
        </w:rPr>
        <w:tab/>
        <w:t xml:space="preserve">ويشتكي </w:t>
      </w:r>
      <w:r w:rsidR="000D7C77">
        <w:rPr>
          <w:rFonts w:hint="cs"/>
          <w:sz w:val="22"/>
          <w:rtl/>
        </w:rPr>
        <w:t xml:space="preserve">صاحب البلاغ </w:t>
      </w:r>
      <w:r>
        <w:rPr>
          <w:rFonts w:hint="cs"/>
          <w:sz w:val="22"/>
          <w:rtl/>
        </w:rPr>
        <w:t>أيض</w:t>
      </w:r>
      <w:r w:rsidR="00D152F4">
        <w:rPr>
          <w:rFonts w:hint="cs"/>
          <w:sz w:val="22"/>
          <w:rtl/>
        </w:rPr>
        <w:t xml:space="preserve">اً </w:t>
      </w:r>
      <w:r>
        <w:rPr>
          <w:rFonts w:hint="cs"/>
          <w:sz w:val="22"/>
          <w:rtl/>
        </w:rPr>
        <w:t>من التدخل غير المشروع في مراسلاته مع اللجنة بشأن بلاغه، الأمر الذي يثير قضايا في إطار الفقرة 1 من الماد 17 من العهد.</w:t>
      </w:r>
    </w:p>
    <w:p w:rsidR="00E32FA5" w:rsidRPr="000F0F41" w:rsidRDefault="00C15488" w:rsidP="00C15488">
      <w:pPr>
        <w:pStyle w:val="H23GA"/>
        <w:rPr>
          <w:rFonts w:hint="cs"/>
          <w:sz w:val="22"/>
          <w:rtl/>
          <w:lang/>
        </w:rPr>
      </w:pPr>
      <w:r>
        <w:rPr>
          <w:rFonts w:hint="cs"/>
          <w:rtl/>
          <w:lang/>
        </w:rPr>
        <w:tab/>
      </w:r>
      <w:r>
        <w:rPr>
          <w:rFonts w:hint="cs"/>
          <w:rtl/>
          <w:lang/>
        </w:rPr>
        <w:tab/>
      </w:r>
      <w:r w:rsidR="00E32FA5" w:rsidRPr="000F0F41">
        <w:rPr>
          <w:rFonts w:hint="cs"/>
          <w:rtl/>
          <w:lang/>
        </w:rPr>
        <w:t>ملاحظات الدولة الطرف بشأن المقبولية والأسس الموضوعية</w:t>
      </w:r>
    </w:p>
    <w:p w:rsidR="00E32FA5" w:rsidRDefault="00E32FA5" w:rsidP="00C15488">
      <w:pPr>
        <w:pStyle w:val="SingleTxtGA"/>
        <w:rPr>
          <w:rFonts w:hint="cs"/>
          <w:sz w:val="22"/>
          <w:rtl/>
          <w:lang/>
        </w:rPr>
      </w:pPr>
      <w:r>
        <w:rPr>
          <w:rFonts w:hint="cs"/>
          <w:sz w:val="22"/>
          <w:rtl/>
          <w:lang/>
        </w:rPr>
        <w:t>4-1</w:t>
      </w:r>
      <w:r>
        <w:rPr>
          <w:rFonts w:hint="cs"/>
          <w:sz w:val="22"/>
          <w:rtl/>
          <w:lang/>
        </w:rPr>
        <w:tab/>
      </w:r>
      <w:r>
        <w:rPr>
          <w:rFonts w:hint="cs"/>
          <w:spacing w:val="-4"/>
          <w:sz w:val="22"/>
          <w:rtl/>
        </w:rPr>
        <w:t xml:space="preserve">أفادت الدولة الطرف، بمذكرة </w:t>
      </w:r>
      <w:r>
        <w:rPr>
          <w:rFonts w:hint="cs"/>
          <w:rtl/>
          <w:lang/>
        </w:rPr>
        <w:t>شفوية مؤرخة 22 تموز/يوليه 2008، بأن القرارات التي اعتُمدت في قضية صاحب البلاغ تتوافق مع التزاماتها الدولية وقانونها المحلي، وأنْ ليس لادعاءاته أي أساس. و</w:t>
      </w:r>
      <w:r w:rsidR="00C15488">
        <w:rPr>
          <w:rFonts w:hint="cs"/>
          <w:rtl/>
          <w:lang/>
        </w:rPr>
        <w:t xml:space="preserve">قد </w:t>
      </w:r>
      <w:r>
        <w:rPr>
          <w:rFonts w:hint="cs"/>
          <w:rtl/>
          <w:lang/>
        </w:rPr>
        <w:t xml:space="preserve">أصدرت المحكمة الإقليمية في مورمانسك </w:t>
      </w:r>
      <w:r w:rsidR="00C15488">
        <w:rPr>
          <w:rFonts w:hint="cs"/>
          <w:rtl/>
          <w:lang/>
        </w:rPr>
        <w:t>حكماً ب</w:t>
      </w:r>
      <w:r>
        <w:rPr>
          <w:rFonts w:hint="cs"/>
          <w:rtl/>
          <w:lang/>
        </w:rPr>
        <w:t xml:space="preserve">الإعدام في حق صاحب البلاغ في 13 تشرين الأول/أكتوبر 1995، ونظرت في قضيته </w:t>
      </w:r>
      <w:r w:rsidR="00C15488">
        <w:rPr>
          <w:rFonts w:hint="cs"/>
          <w:rtl/>
          <w:lang/>
        </w:rPr>
        <w:t xml:space="preserve">محكمة </w:t>
      </w:r>
      <w:r>
        <w:rPr>
          <w:rFonts w:hint="cs"/>
          <w:rtl/>
          <w:lang/>
        </w:rPr>
        <w:t>تتألف من قاض محترف وقاضيين مساعدين له. وفي 23 كانون الثاني/يناير 1996، أيدت المحكمة العليا</w:t>
      </w:r>
      <w:r w:rsidR="00C15488">
        <w:rPr>
          <w:rFonts w:hint="eastAsia"/>
          <w:rtl/>
          <w:lang/>
        </w:rPr>
        <w:t> </w:t>
      </w:r>
      <w:r>
        <w:rPr>
          <w:rFonts w:hint="cs"/>
          <w:rtl/>
          <w:lang/>
        </w:rPr>
        <w:t>الحكم في مرحلة الاستئناف. وفي 29 حزيران/يونيه 2004، راجعت محكمة مدينة سول</w:t>
      </w:r>
      <w:r w:rsidR="00C15488">
        <w:rPr>
          <w:rFonts w:hint="cs"/>
          <w:rtl/>
          <w:lang/>
        </w:rPr>
        <w:t xml:space="preserve"> </w:t>
      </w:r>
      <w:r>
        <w:rPr>
          <w:rFonts w:hint="cs"/>
          <w:rtl/>
          <w:lang/>
        </w:rPr>
        <w:t>-</w:t>
      </w:r>
      <w:r w:rsidR="00C15488">
        <w:rPr>
          <w:rFonts w:hint="cs"/>
          <w:rtl/>
          <w:lang/>
        </w:rPr>
        <w:t xml:space="preserve"> </w:t>
      </w:r>
      <w:r>
        <w:rPr>
          <w:rFonts w:hint="cs"/>
          <w:rtl/>
          <w:lang/>
        </w:rPr>
        <w:t>إيلتسك الحكم وغيرت ا</w:t>
      </w:r>
      <w:r w:rsidR="00C15488">
        <w:rPr>
          <w:rFonts w:hint="cs"/>
          <w:rtl/>
          <w:lang/>
        </w:rPr>
        <w:t xml:space="preserve">لتوصيف </w:t>
      </w:r>
      <w:r>
        <w:rPr>
          <w:rFonts w:hint="cs"/>
          <w:rtl/>
          <w:lang/>
        </w:rPr>
        <w:t xml:space="preserve">القانوني لبعض أفعاله، الأمر الذي </w:t>
      </w:r>
      <w:r w:rsidR="00C15488">
        <w:rPr>
          <w:rFonts w:hint="cs"/>
          <w:rtl/>
          <w:lang/>
        </w:rPr>
        <w:t xml:space="preserve">جعله متوافقاً </w:t>
      </w:r>
      <w:r>
        <w:rPr>
          <w:rFonts w:hint="cs"/>
          <w:rtl/>
          <w:lang/>
        </w:rPr>
        <w:t>مع قانون 8 كانون الأول/ديسمبر 2003</w:t>
      </w:r>
      <w:r>
        <w:rPr>
          <w:vertAlign w:val="superscript"/>
          <w:rtl/>
          <w:lang/>
        </w:rPr>
        <w:t>(</w:t>
      </w:r>
      <w:r>
        <w:rPr>
          <w:rStyle w:val="FootnoteReference"/>
          <w:rtl/>
          <w:lang/>
        </w:rPr>
        <w:footnoteReference w:id="14"/>
      </w:r>
      <w:r w:rsidRPr="000F0F41">
        <w:rPr>
          <w:vertAlign w:val="superscript"/>
          <w:rtl/>
          <w:lang/>
        </w:rPr>
        <w:t>)</w:t>
      </w:r>
      <w:r>
        <w:rPr>
          <w:rFonts w:hint="cs"/>
          <w:rtl/>
          <w:lang/>
        </w:rPr>
        <w:t>.</w:t>
      </w:r>
      <w:r>
        <w:rPr>
          <w:rFonts w:hint="cs"/>
          <w:sz w:val="22"/>
          <w:rtl/>
          <w:lang/>
        </w:rPr>
        <w:t xml:space="preserve"> وأكدت المحكمة الحكم على صاحب البلاغ بالسجن المؤبد.</w:t>
      </w:r>
    </w:p>
    <w:p w:rsidR="00E32FA5" w:rsidRDefault="00E32FA5" w:rsidP="00C15488">
      <w:pPr>
        <w:pStyle w:val="SingleTxtGA"/>
        <w:rPr>
          <w:rFonts w:hint="cs"/>
          <w:sz w:val="22"/>
          <w:rtl/>
        </w:rPr>
      </w:pPr>
      <w:r>
        <w:rPr>
          <w:rFonts w:hint="cs"/>
          <w:sz w:val="22"/>
          <w:rtl/>
          <w:lang/>
        </w:rPr>
        <w:t>4-2</w:t>
      </w:r>
      <w:r>
        <w:rPr>
          <w:rFonts w:hint="cs"/>
          <w:sz w:val="22"/>
          <w:rtl/>
          <w:lang/>
        </w:rPr>
        <w:tab/>
        <w:t>وعمل</w:t>
      </w:r>
      <w:r w:rsidR="00D152F4">
        <w:rPr>
          <w:rFonts w:hint="cs"/>
          <w:sz w:val="22"/>
          <w:rtl/>
          <w:lang/>
        </w:rPr>
        <w:t xml:space="preserve">اً </w:t>
      </w:r>
      <w:r>
        <w:rPr>
          <w:rFonts w:hint="cs"/>
          <w:sz w:val="22"/>
          <w:rtl/>
          <w:lang/>
        </w:rPr>
        <w:t xml:space="preserve">بالمادة 421 من قانون الإجراءات الجنائية لروسيا الاتحادية، يحق لكل متهم بارتكاب جريمة يعاقَب عليها بالإعدام وتندرج ضمن اختصاصات محكمة على صعيد الإقليم أو المنطقة أو المدينة، وفق ما تنص </w:t>
      </w:r>
      <w:r w:rsidR="00C15488">
        <w:rPr>
          <w:rFonts w:hint="cs"/>
          <w:sz w:val="22"/>
          <w:rtl/>
          <w:lang/>
        </w:rPr>
        <w:t xml:space="preserve">عليه </w:t>
      </w:r>
      <w:r>
        <w:rPr>
          <w:rFonts w:hint="cs"/>
          <w:sz w:val="22"/>
          <w:rtl/>
          <w:lang/>
        </w:rPr>
        <w:t>المادة 36 من القانون، أن يطلب مشاركة هيئة محلفين في النظر في قضيته.</w:t>
      </w:r>
      <w:r>
        <w:rPr>
          <w:rFonts w:hint="cs"/>
          <w:sz w:val="22"/>
          <w:rtl/>
        </w:rPr>
        <w:t xml:space="preserve"> و</w:t>
      </w:r>
      <w:r w:rsidR="00C15488">
        <w:rPr>
          <w:rFonts w:hint="cs"/>
          <w:sz w:val="22"/>
          <w:rtl/>
        </w:rPr>
        <w:t xml:space="preserve">قد </w:t>
      </w:r>
      <w:r>
        <w:rPr>
          <w:rFonts w:hint="cs"/>
          <w:sz w:val="22"/>
          <w:rtl/>
        </w:rPr>
        <w:t xml:space="preserve">اتُّهم صاحب البلاغ </w:t>
      </w:r>
      <w:r w:rsidR="00C15488">
        <w:rPr>
          <w:rFonts w:hint="cs"/>
          <w:sz w:val="22"/>
          <w:rtl/>
        </w:rPr>
        <w:t xml:space="preserve">بارتكاب </w:t>
      </w:r>
      <w:r>
        <w:rPr>
          <w:rFonts w:hint="cs"/>
          <w:sz w:val="22"/>
          <w:rtl/>
        </w:rPr>
        <w:t>جريمة تندرج ضمن اختصاص إحدى تلك المحاكم. لكن إمكانية مشاركة هيئات محلفين في المحاكمات لم تكن قد أتيحت في منطقة مورمانسك حين النظر في قضية الحكم عليه بالإعدام. وينص الباب 6 من الفصل 2 من "</w:t>
      </w:r>
      <w:r>
        <w:rPr>
          <w:rFonts w:hint="cs"/>
          <w:rtl/>
          <w:lang/>
        </w:rPr>
        <w:t>الأحكام الختامية والانتقالية" من الدستور على استبقاء الإجراء القائم المتعلق بنظر المحاكم في هذه الفئة من القضايا إلى حين بدء نفاذ القانون الاتحادي الذي يُحدد إجراء النظر في القضايا من طرف هيئة محلفين.</w:t>
      </w:r>
    </w:p>
    <w:p w:rsidR="00E32FA5" w:rsidRDefault="00E32FA5" w:rsidP="00C15488">
      <w:pPr>
        <w:pStyle w:val="SingleTxtGA"/>
        <w:rPr>
          <w:rFonts w:hint="cs"/>
          <w:sz w:val="22"/>
          <w:rtl/>
        </w:rPr>
      </w:pPr>
      <w:r>
        <w:rPr>
          <w:rFonts w:hint="cs"/>
          <w:sz w:val="22"/>
          <w:rtl/>
        </w:rPr>
        <w:t>4-3</w:t>
      </w:r>
      <w:r>
        <w:rPr>
          <w:rFonts w:hint="cs"/>
          <w:sz w:val="22"/>
          <w:rtl/>
        </w:rPr>
        <w:tab/>
        <w:t>وعمل</w:t>
      </w:r>
      <w:r w:rsidR="00D152F4">
        <w:rPr>
          <w:rFonts w:hint="cs"/>
          <w:sz w:val="22"/>
          <w:rtl/>
        </w:rPr>
        <w:t xml:space="preserve">اً </w:t>
      </w:r>
      <w:r>
        <w:rPr>
          <w:rFonts w:hint="cs"/>
          <w:sz w:val="22"/>
          <w:rtl/>
        </w:rPr>
        <w:t xml:space="preserve">بالمادة 8 من القانون الاتحادي رقم </w:t>
      </w:r>
      <w:r>
        <w:rPr>
          <w:sz w:val="22"/>
          <w:lang w:val="fr-CH"/>
        </w:rPr>
        <w:t>177-FZ</w:t>
      </w:r>
      <w:r>
        <w:rPr>
          <w:rFonts w:hint="cs"/>
          <w:sz w:val="22"/>
          <w:rtl/>
        </w:rPr>
        <w:t xml:space="preserve"> المؤرخ 18 كانون الأول/ديسمبر 2001 "بشأن إنفاذ قانون الإجراءات الجنائية الروسي" المعدل، بدأ العمل بالمحاكمات التي تشارك فيها هيئات محلفين في منطقة مورمانسك اعتبار</w:t>
      </w:r>
      <w:r w:rsidR="00D152F4">
        <w:rPr>
          <w:rFonts w:hint="cs"/>
          <w:sz w:val="22"/>
          <w:rtl/>
        </w:rPr>
        <w:t xml:space="preserve">اً </w:t>
      </w:r>
      <w:r>
        <w:rPr>
          <w:rFonts w:hint="cs"/>
          <w:sz w:val="22"/>
          <w:rtl/>
        </w:rPr>
        <w:t>من 1 كانون الثاني/يناير 2003. وفي 13 نيسان/أبريل 2000، نظرت المحكمة الدستورية في دستورية المادة 421 من قانون الإجراءات الجنائية لروسيا الاتحادية. وقضت المحكمة، في قرارها رقم</w:t>
      </w:r>
      <w:r w:rsidR="00C15488">
        <w:rPr>
          <w:rFonts w:hint="eastAsia"/>
          <w:sz w:val="22"/>
          <w:rtl/>
        </w:rPr>
        <w:t> </w:t>
      </w:r>
      <w:r>
        <w:rPr>
          <w:rFonts w:hint="cs"/>
          <w:sz w:val="22"/>
          <w:rtl/>
        </w:rPr>
        <w:t>69-0، بأن إحالة دعوى جنائية تنظر فيها محكمة لديها اختصاص إقليمي يخولها ذلك إ</w:t>
      </w:r>
      <w:r w:rsidR="00C15488">
        <w:rPr>
          <w:rFonts w:hint="cs"/>
          <w:sz w:val="22"/>
          <w:rtl/>
        </w:rPr>
        <w:t xml:space="preserve">لى محكمة أخرى لسبب واحد هو عدم توافر </w:t>
      </w:r>
      <w:r>
        <w:rPr>
          <w:rFonts w:hint="cs"/>
          <w:sz w:val="22"/>
          <w:rtl/>
        </w:rPr>
        <w:t xml:space="preserve">إمكانية مشاركة هيئة محلفين في المحكمة السابقة </w:t>
      </w:r>
      <w:r w:rsidR="00C15488">
        <w:rPr>
          <w:rFonts w:hint="cs"/>
          <w:sz w:val="22"/>
          <w:rtl/>
        </w:rPr>
        <w:t xml:space="preserve">أمر </w:t>
      </w:r>
      <w:r>
        <w:rPr>
          <w:rFonts w:hint="cs"/>
          <w:sz w:val="22"/>
          <w:rtl/>
        </w:rPr>
        <w:t>يتعارض مع الفقرة 1 من المادة 47 من الدستور. وتشير الدولة الطرف أيض</w:t>
      </w:r>
      <w:r w:rsidR="00D152F4">
        <w:rPr>
          <w:rFonts w:hint="cs"/>
          <w:sz w:val="22"/>
          <w:rtl/>
        </w:rPr>
        <w:t xml:space="preserve">اً </w:t>
      </w:r>
      <w:r>
        <w:rPr>
          <w:rFonts w:hint="cs"/>
          <w:sz w:val="22"/>
          <w:rtl/>
        </w:rPr>
        <w:t xml:space="preserve">إلى أن صاحب البلاغ لم يعترض، وقت الأحداث، على أن </w:t>
      </w:r>
      <w:r w:rsidR="00C15488">
        <w:rPr>
          <w:rFonts w:hint="cs"/>
          <w:sz w:val="22"/>
          <w:rtl/>
        </w:rPr>
        <w:t>ت</w:t>
      </w:r>
      <w:r>
        <w:rPr>
          <w:rFonts w:hint="cs"/>
          <w:sz w:val="22"/>
          <w:rtl/>
        </w:rPr>
        <w:t xml:space="preserve">نظر في </w:t>
      </w:r>
      <w:r w:rsidR="00C15488">
        <w:rPr>
          <w:rFonts w:hint="cs"/>
          <w:sz w:val="22"/>
          <w:rtl/>
        </w:rPr>
        <w:t xml:space="preserve">قضيته </w:t>
      </w:r>
      <w:r>
        <w:rPr>
          <w:rFonts w:hint="cs"/>
          <w:sz w:val="22"/>
          <w:rtl/>
        </w:rPr>
        <w:t>الجنائية محكمة يشارك فيها قاضيان مساعدان. وعليه، فقد نظرت في قضيته محكمة مشكلة وفق الأصول.</w:t>
      </w:r>
    </w:p>
    <w:p w:rsidR="00E32FA5" w:rsidRDefault="00E32FA5" w:rsidP="00D152F4">
      <w:pPr>
        <w:pStyle w:val="SingleTxtGA"/>
        <w:rPr>
          <w:rFonts w:hint="cs"/>
          <w:sz w:val="22"/>
          <w:rtl/>
        </w:rPr>
      </w:pPr>
      <w:r>
        <w:rPr>
          <w:rFonts w:hint="cs"/>
          <w:sz w:val="22"/>
          <w:rtl/>
        </w:rPr>
        <w:t>4-4</w:t>
      </w:r>
      <w:r>
        <w:rPr>
          <w:rFonts w:hint="cs"/>
          <w:sz w:val="22"/>
          <w:rtl/>
        </w:rPr>
        <w:tab/>
      </w:r>
      <w:r>
        <w:rPr>
          <w:rFonts w:ascii="Traditional Arabic" w:hAnsi="Traditional Arabic" w:hint="cs"/>
          <w:sz w:val="30"/>
          <w:rtl/>
        </w:rPr>
        <w:t>و</w:t>
      </w:r>
      <w:r w:rsidR="00C15488">
        <w:rPr>
          <w:rFonts w:ascii="Traditional Arabic" w:hAnsi="Traditional Arabic" w:hint="cs"/>
          <w:sz w:val="30"/>
          <w:rtl/>
        </w:rPr>
        <w:t xml:space="preserve">تقول الدولة الطرف إنه قد </w:t>
      </w:r>
      <w:r>
        <w:rPr>
          <w:rFonts w:ascii="Traditional Arabic" w:hAnsi="Traditional Arabic" w:hint="cs"/>
          <w:sz w:val="30"/>
          <w:rtl/>
        </w:rPr>
        <w:t>صدر عفو عن صاحب البلاغ</w:t>
      </w:r>
      <w:r w:rsidRPr="00936702">
        <w:rPr>
          <w:rFonts w:ascii="Traditional Arabic" w:hAnsi="Traditional Arabic" w:hint="cs"/>
          <w:sz w:val="30"/>
          <w:rtl/>
        </w:rPr>
        <w:t xml:space="preserve"> </w:t>
      </w:r>
      <w:r>
        <w:rPr>
          <w:rFonts w:ascii="Traditional Arabic" w:hAnsi="Traditional Arabic" w:hint="cs"/>
          <w:sz w:val="30"/>
          <w:rtl/>
        </w:rPr>
        <w:t>في 21 كانون الأول/ديسمبر 1998 بموجب مرسوم رئاسي خفف الحكم الصادر في حقه من الإعدام إلى السجن المؤبد.</w:t>
      </w:r>
      <w:r>
        <w:rPr>
          <w:rFonts w:hint="cs"/>
          <w:sz w:val="22"/>
          <w:rtl/>
        </w:rPr>
        <w:t xml:space="preserve"> </w:t>
      </w:r>
      <w:r w:rsidR="00C15488">
        <w:rPr>
          <w:rFonts w:hint="cs"/>
          <w:sz w:val="22"/>
          <w:rtl/>
        </w:rPr>
        <w:t xml:space="preserve">وهذا العفو هو </w:t>
      </w:r>
      <w:r>
        <w:rPr>
          <w:rFonts w:hint="cs"/>
          <w:sz w:val="22"/>
          <w:rtl/>
        </w:rPr>
        <w:t xml:space="preserve">من صلاحيات الرئيس الدستورية، وهو لا يخضع لإطار إقامة العدل في القضايا الجنائية الذي يجب أن يتوافق مع المادتين 10 و54 من القانون الجنائي الروسي اللتين تمنعان التطبيق بأثر رجعي للقانون الذي يشدد مسؤولية الشخص. </w:t>
      </w:r>
      <w:r w:rsidR="00C15488">
        <w:rPr>
          <w:rFonts w:hint="cs"/>
          <w:sz w:val="22"/>
          <w:rtl/>
        </w:rPr>
        <w:t>و</w:t>
      </w:r>
      <w:r>
        <w:rPr>
          <w:rFonts w:hint="cs"/>
          <w:sz w:val="22"/>
          <w:rtl/>
        </w:rPr>
        <w:t>لقد صدر العفو الرئاسي وفق</w:t>
      </w:r>
      <w:r w:rsidR="00D152F4">
        <w:rPr>
          <w:rFonts w:hint="cs"/>
          <w:sz w:val="22"/>
          <w:rtl/>
        </w:rPr>
        <w:t xml:space="preserve">اً </w:t>
      </w:r>
      <w:r>
        <w:rPr>
          <w:rFonts w:hint="cs"/>
          <w:sz w:val="22"/>
          <w:rtl/>
        </w:rPr>
        <w:t xml:space="preserve">للمادتين 59 و85 من القانون الجنائي الروسي الذي كان </w:t>
      </w:r>
      <w:r w:rsidR="00C15488">
        <w:rPr>
          <w:rFonts w:hint="cs"/>
          <w:sz w:val="22"/>
          <w:rtl/>
        </w:rPr>
        <w:t xml:space="preserve">سارياً </w:t>
      </w:r>
      <w:r>
        <w:rPr>
          <w:rFonts w:hint="cs"/>
          <w:sz w:val="22"/>
          <w:rtl/>
        </w:rPr>
        <w:t>آنئذ والذي ينص على إمكانية تحويل أحكام الإعدام إلى أحكام بالسجن المؤبد. وتنص المادة 24 من القانون الجنائي لروسيا الاتحادية، الذي كان نافذ</w:t>
      </w:r>
      <w:r w:rsidR="00D152F4">
        <w:rPr>
          <w:rFonts w:hint="cs"/>
          <w:sz w:val="22"/>
          <w:rtl/>
        </w:rPr>
        <w:t xml:space="preserve">اً </w:t>
      </w:r>
      <w:r>
        <w:rPr>
          <w:rFonts w:hint="cs"/>
          <w:sz w:val="22"/>
          <w:rtl/>
        </w:rPr>
        <w:t>وقت ارتكاب صاحب البلاغ الجريمة، على تحويل عقوبة الإعدام إلى السجن المؤبد. والعفو لا يقترن بقضايا المسؤولية الجنائية أو</w:t>
      </w:r>
      <w:r w:rsidR="00D152F4">
        <w:rPr>
          <w:rFonts w:hint="eastAsia"/>
          <w:sz w:val="22"/>
          <w:rtl/>
        </w:rPr>
        <w:t> </w:t>
      </w:r>
      <w:r>
        <w:rPr>
          <w:rFonts w:hint="cs"/>
          <w:sz w:val="22"/>
          <w:rtl/>
        </w:rPr>
        <w:t>تقرير العقوبات، التي تحكمها أحكام الإجراءات الجنائية ولا يبت فيها إلا المحاكم.</w:t>
      </w:r>
    </w:p>
    <w:p w:rsidR="00E32FA5" w:rsidRDefault="00E32FA5" w:rsidP="00C15488">
      <w:pPr>
        <w:pStyle w:val="SingleTxtGA"/>
        <w:rPr>
          <w:rFonts w:hint="cs"/>
          <w:sz w:val="22"/>
          <w:rtl/>
        </w:rPr>
      </w:pPr>
      <w:r>
        <w:rPr>
          <w:rFonts w:hint="cs"/>
          <w:sz w:val="22"/>
          <w:rtl/>
        </w:rPr>
        <w:t>4-5</w:t>
      </w:r>
      <w:r>
        <w:rPr>
          <w:rFonts w:hint="cs"/>
          <w:sz w:val="22"/>
          <w:rtl/>
        </w:rPr>
        <w:tab/>
        <w:t>وتشير الدولة الطرف أيض</w:t>
      </w:r>
      <w:r w:rsidR="00D152F4">
        <w:rPr>
          <w:rFonts w:hint="cs"/>
          <w:sz w:val="22"/>
          <w:rtl/>
        </w:rPr>
        <w:t xml:space="preserve">اً </w:t>
      </w:r>
      <w:r>
        <w:rPr>
          <w:rFonts w:hint="cs"/>
          <w:sz w:val="22"/>
          <w:rtl/>
        </w:rPr>
        <w:t>إلى قراري المحكمة الدستورية رقم 60-0 و61-0 المؤرخين 11 كانون الثاني/يناير 2002 في قضيتي أ. ج. وإ. ف</w:t>
      </w:r>
      <w:r w:rsidR="008D5A20">
        <w:rPr>
          <w:rFonts w:hint="cs"/>
          <w:sz w:val="22"/>
          <w:rtl/>
        </w:rPr>
        <w:t>.</w:t>
      </w:r>
      <w:r>
        <w:rPr>
          <w:rFonts w:hint="cs"/>
          <w:sz w:val="22"/>
          <w:rtl/>
        </w:rPr>
        <w:t xml:space="preserve"> على الترتيب،</w:t>
      </w:r>
      <w:r>
        <w:rPr>
          <w:rFonts w:hint="cs"/>
          <w:rtl/>
          <w:lang/>
        </w:rPr>
        <w:t xml:space="preserve"> اللذين جاء فيهما أن</w:t>
      </w:r>
      <w:r w:rsidRPr="00641EB5">
        <w:rPr>
          <w:rFonts w:hint="cs"/>
          <w:rtl/>
          <w:lang/>
        </w:rPr>
        <w:t xml:space="preserve"> </w:t>
      </w:r>
      <w:r>
        <w:rPr>
          <w:rFonts w:hint="cs"/>
          <w:rtl/>
          <w:lang/>
        </w:rPr>
        <w:t>العفو، بوصفه فعل</w:t>
      </w:r>
      <w:r w:rsidR="00D152F4">
        <w:rPr>
          <w:rFonts w:hint="cs"/>
          <w:rtl/>
          <w:lang/>
        </w:rPr>
        <w:t xml:space="preserve">اً </w:t>
      </w:r>
      <w:r>
        <w:rPr>
          <w:rFonts w:hint="cs"/>
          <w:rtl/>
          <w:lang/>
        </w:rPr>
        <w:t xml:space="preserve">من أفعال الرحمة، لا يمكن أن يُحمِّل المدان </w:t>
      </w:r>
      <w:r w:rsidR="00C15488">
        <w:rPr>
          <w:rFonts w:hint="cs"/>
          <w:rtl/>
          <w:lang/>
        </w:rPr>
        <w:t xml:space="preserve">عواقب </w:t>
      </w:r>
      <w:r>
        <w:rPr>
          <w:rFonts w:hint="cs"/>
          <w:rtl/>
          <w:lang/>
        </w:rPr>
        <w:t xml:space="preserve">أشد من تلك التي ينص عليها القانون الجنائي الذي يحدد المسؤولية الجنائية </w:t>
      </w:r>
      <w:r w:rsidR="00C15488">
        <w:rPr>
          <w:rFonts w:hint="cs"/>
          <w:rtl/>
          <w:lang/>
        </w:rPr>
        <w:t xml:space="preserve">والتي </w:t>
      </w:r>
      <w:r>
        <w:rPr>
          <w:rFonts w:hint="cs"/>
          <w:rtl/>
          <w:lang/>
        </w:rPr>
        <w:t>قررتها المحكمة في قضية بعينها.</w:t>
      </w:r>
      <w:r>
        <w:rPr>
          <w:rFonts w:hint="cs"/>
          <w:sz w:val="22"/>
          <w:rtl/>
          <w:lang/>
        </w:rPr>
        <w:t xml:space="preserve"> </w:t>
      </w:r>
      <w:r>
        <w:rPr>
          <w:rFonts w:hint="cs"/>
          <w:rtl/>
          <w:lang/>
        </w:rPr>
        <w:t xml:space="preserve">وعلى هذا، لا يمكن اعتبار </w:t>
      </w:r>
      <w:r w:rsidR="00C15488">
        <w:rPr>
          <w:rFonts w:hint="cs"/>
          <w:rtl/>
          <w:lang/>
        </w:rPr>
        <w:t xml:space="preserve">أن </w:t>
      </w:r>
      <w:r>
        <w:rPr>
          <w:rFonts w:hint="cs"/>
          <w:rtl/>
          <w:lang/>
        </w:rPr>
        <w:t xml:space="preserve">إبدال عقوبة الإعدام بعقوبة أخف بموجب القانون الجنائي المعمول به </w:t>
      </w:r>
      <w:r w:rsidRPr="00C4059B">
        <w:rPr>
          <w:rFonts w:ascii="Traditional Arabic" w:hAnsi="Traditional Arabic"/>
          <w:rtl/>
          <w:lang/>
        </w:rPr>
        <w:t>(في قضية صاحب البلاغ، استبدلت عقوبته بعقوبة ا</w:t>
      </w:r>
      <w:r w:rsidR="00C15488">
        <w:rPr>
          <w:rFonts w:ascii="Traditional Arabic" w:hAnsi="Traditional Arabic" w:hint="cs"/>
          <w:rtl/>
          <w:lang/>
        </w:rPr>
        <w:t xml:space="preserve">لسجن </w:t>
      </w:r>
      <w:r w:rsidRPr="00C4059B">
        <w:rPr>
          <w:rFonts w:ascii="Traditional Arabic" w:hAnsi="Traditional Arabic"/>
          <w:rtl/>
          <w:lang/>
        </w:rPr>
        <w:t>المؤبد)</w:t>
      </w:r>
      <w:r>
        <w:rPr>
          <w:rFonts w:ascii="Traditional Arabic" w:hAnsi="Traditional Arabic" w:hint="cs"/>
          <w:rtl/>
          <w:lang/>
        </w:rPr>
        <w:t xml:space="preserve"> نتيجة لصدور العفو الرئاسي </w:t>
      </w:r>
      <w:r>
        <w:rPr>
          <w:rFonts w:hint="cs"/>
          <w:rtl/>
          <w:lang/>
        </w:rPr>
        <w:t>قد أساء إلى وضع المدان.</w:t>
      </w:r>
    </w:p>
    <w:p w:rsidR="00E32FA5" w:rsidRDefault="00E32FA5" w:rsidP="005512AF">
      <w:pPr>
        <w:pStyle w:val="SingleTxtGA"/>
        <w:rPr>
          <w:rFonts w:hint="cs"/>
          <w:sz w:val="22"/>
          <w:rtl/>
        </w:rPr>
      </w:pPr>
      <w:r>
        <w:rPr>
          <w:rFonts w:hint="cs"/>
          <w:sz w:val="22"/>
          <w:rtl/>
        </w:rPr>
        <w:t>4-6</w:t>
      </w:r>
      <w:r>
        <w:rPr>
          <w:rFonts w:hint="cs"/>
          <w:sz w:val="22"/>
          <w:rtl/>
        </w:rPr>
        <w:tab/>
        <w:t xml:space="preserve">وتنص الفقرة 4(1) من المادة 413 من قانون الإجراءات الجنائية الروسي النافذ منذ 1 تموز/يوليه 2002 على أنه يمكن إعادة النظر في دعوى جنائية متى نشأت ظروف جديدة، </w:t>
      </w:r>
      <w:r w:rsidR="00D152F4">
        <w:rPr>
          <w:rFonts w:hint="cs"/>
          <w:sz w:val="22"/>
          <w:rtl/>
        </w:rPr>
        <w:t>لا سيما</w:t>
      </w:r>
      <w:r>
        <w:rPr>
          <w:rFonts w:hint="cs"/>
          <w:sz w:val="22"/>
          <w:rtl/>
        </w:rPr>
        <w:t xml:space="preserve"> إذا رأت المحكمة الدستورية أن القانون المطبق على دعوى من ذلك القبيل يتعارض مع الدستور. وتشير الدولة الطرف إلى أن صاحب البلاغ لم يشارك في الإجراءات المعروضة على المحكمة الدستورية التي أفضت إلى قرار 2 شباط/فبراير 1999. وعليه، ليس في المادة</w:t>
      </w:r>
      <w:r w:rsidR="005512AF">
        <w:rPr>
          <w:rFonts w:hint="eastAsia"/>
          <w:sz w:val="22"/>
          <w:rtl/>
        </w:rPr>
        <w:t> </w:t>
      </w:r>
      <w:r>
        <w:rPr>
          <w:rFonts w:hint="cs"/>
          <w:sz w:val="22"/>
          <w:rtl/>
        </w:rPr>
        <w:t xml:space="preserve">49 من قانون الإجراءات الجنائية الروسي ما يوجب إعادة النظر في </w:t>
      </w:r>
      <w:r w:rsidR="00C15488">
        <w:rPr>
          <w:rFonts w:hint="cs"/>
          <w:sz w:val="22"/>
          <w:rtl/>
        </w:rPr>
        <w:t>القضية</w:t>
      </w:r>
      <w:r>
        <w:rPr>
          <w:rFonts w:hint="cs"/>
          <w:sz w:val="22"/>
          <w:rtl/>
        </w:rPr>
        <w:t>.</w:t>
      </w:r>
    </w:p>
    <w:p w:rsidR="00E32FA5" w:rsidRDefault="00E32FA5" w:rsidP="00C15488">
      <w:pPr>
        <w:pStyle w:val="SingleTxtGA"/>
        <w:rPr>
          <w:rFonts w:hint="cs"/>
          <w:sz w:val="22"/>
          <w:rtl/>
        </w:rPr>
      </w:pPr>
      <w:r>
        <w:rPr>
          <w:rFonts w:hint="cs"/>
          <w:sz w:val="22"/>
          <w:rtl/>
        </w:rPr>
        <w:t>4-7</w:t>
      </w:r>
      <w:r>
        <w:rPr>
          <w:rFonts w:hint="cs"/>
          <w:sz w:val="22"/>
          <w:rtl/>
        </w:rPr>
        <w:tab/>
        <w:t xml:space="preserve">ولا يوجد في قرار محكمة مدينة </w:t>
      </w:r>
      <w:r>
        <w:rPr>
          <w:rFonts w:ascii="Traditional Arabic" w:hAnsi="Traditional Arabic" w:hint="cs"/>
          <w:sz w:val="30"/>
          <w:rtl/>
        </w:rPr>
        <w:t>زلاتوست</w:t>
      </w:r>
      <w:r>
        <w:rPr>
          <w:rFonts w:hint="cs"/>
          <w:sz w:val="22"/>
          <w:rtl/>
        </w:rPr>
        <w:t xml:space="preserve"> المؤرخ 29 كانون الثاني/يناير 2001 ما</w:t>
      </w:r>
      <w:r w:rsidR="00C15488">
        <w:rPr>
          <w:rFonts w:hint="eastAsia"/>
          <w:sz w:val="22"/>
          <w:rtl/>
        </w:rPr>
        <w:t> </w:t>
      </w:r>
      <w:r>
        <w:rPr>
          <w:rFonts w:hint="cs"/>
          <w:sz w:val="22"/>
          <w:rtl/>
        </w:rPr>
        <w:t xml:space="preserve">يستدعي إعادة النظر في </w:t>
      </w:r>
      <w:r w:rsidR="00C15488">
        <w:rPr>
          <w:rFonts w:hint="cs"/>
          <w:sz w:val="22"/>
          <w:rtl/>
        </w:rPr>
        <w:t xml:space="preserve">قضية </w:t>
      </w:r>
      <w:r>
        <w:rPr>
          <w:rFonts w:hint="cs"/>
          <w:sz w:val="22"/>
          <w:rtl/>
        </w:rPr>
        <w:t xml:space="preserve">صاحب البلاغ. فقرارات المحاكم ليس لها قيمة السابقة القضائية في القانون الروسي. أضف إلى ذلك أن تعديلات المادة 24 من القانون الجنائي الروسي، التي نصت على إمكانية </w:t>
      </w:r>
      <w:r w:rsidR="00C15488">
        <w:rPr>
          <w:rFonts w:hint="cs"/>
          <w:sz w:val="22"/>
          <w:rtl/>
        </w:rPr>
        <w:t xml:space="preserve">تخفيف </w:t>
      </w:r>
      <w:r>
        <w:rPr>
          <w:rFonts w:hint="cs"/>
          <w:sz w:val="22"/>
          <w:rtl/>
        </w:rPr>
        <w:t>عقوبة الإعدام إلى</w:t>
      </w:r>
      <w:r w:rsidR="00C15488">
        <w:rPr>
          <w:rFonts w:hint="cs"/>
          <w:sz w:val="22"/>
          <w:rtl/>
        </w:rPr>
        <w:t xml:space="preserve"> عقوبة</w:t>
      </w:r>
      <w:r>
        <w:rPr>
          <w:rFonts w:hint="cs"/>
          <w:sz w:val="22"/>
          <w:rtl/>
        </w:rPr>
        <w:t xml:space="preserve"> السجن المؤبد بواسطة العفو </w:t>
      </w:r>
      <w:r w:rsidR="00C15488">
        <w:rPr>
          <w:rFonts w:hint="cs"/>
          <w:sz w:val="22"/>
          <w:rtl/>
        </w:rPr>
        <w:t xml:space="preserve">قد </w:t>
      </w:r>
      <w:r>
        <w:rPr>
          <w:rFonts w:hint="cs"/>
          <w:sz w:val="22"/>
          <w:rtl/>
        </w:rPr>
        <w:t xml:space="preserve">أدخلت بمقتضى القانون رقم 4123-1 المؤرخ 17 كانون الأول/ديسمبر </w:t>
      </w:r>
      <w:r w:rsidR="00C15488">
        <w:rPr>
          <w:rFonts w:hint="cs"/>
          <w:sz w:val="22"/>
          <w:rtl/>
        </w:rPr>
        <w:t>1992، و</w:t>
      </w:r>
      <w:r>
        <w:rPr>
          <w:rFonts w:hint="cs"/>
          <w:sz w:val="22"/>
          <w:rtl/>
        </w:rPr>
        <w:t>دخلت حيز ال</w:t>
      </w:r>
      <w:r w:rsidR="00C15488">
        <w:rPr>
          <w:rFonts w:hint="cs"/>
          <w:sz w:val="22"/>
          <w:rtl/>
        </w:rPr>
        <w:t xml:space="preserve">نفاذ </w:t>
      </w:r>
      <w:r>
        <w:rPr>
          <w:rFonts w:hint="cs"/>
          <w:sz w:val="22"/>
          <w:rtl/>
        </w:rPr>
        <w:t>في 6 كانون الثاني/يناير 1993. وقبل</w:t>
      </w:r>
      <w:r w:rsidR="00C15488">
        <w:rPr>
          <w:rFonts w:hint="cs"/>
          <w:sz w:val="22"/>
          <w:rtl/>
        </w:rPr>
        <w:t xml:space="preserve"> ذلك، نصّت </w:t>
      </w:r>
      <w:r>
        <w:rPr>
          <w:rFonts w:hint="cs"/>
          <w:sz w:val="22"/>
          <w:rtl/>
        </w:rPr>
        <w:t>المادة 24 من القانون الجنائي لروسيا الاتحادية، الذي أدخلت عليه تعديلات في 2</w:t>
      </w:r>
      <w:r w:rsidR="00C15488">
        <w:rPr>
          <w:rFonts w:hint="cs"/>
          <w:sz w:val="22"/>
          <w:rtl/>
        </w:rPr>
        <w:t xml:space="preserve">8 أيار/مايو 1986، على إمكانية تخفيف </w:t>
      </w:r>
      <w:r>
        <w:rPr>
          <w:rFonts w:hint="cs"/>
          <w:sz w:val="22"/>
          <w:rtl/>
        </w:rPr>
        <w:t xml:space="preserve">عقوبة الإعدام إلى </w:t>
      </w:r>
      <w:r w:rsidR="00C15488">
        <w:rPr>
          <w:rFonts w:hint="cs"/>
          <w:sz w:val="22"/>
          <w:rtl/>
        </w:rPr>
        <w:t xml:space="preserve">عقوبة </w:t>
      </w:r>
      <w:r>
        <w:rPr>
          <w:rFonts w:hint="cs"/>
          <w:sz w:val="22"/>
          <w:rtl/>
        </w:rPr>
        <w:t>السجن مدة تتراوح بين 15 و20 عام</w:t>
      </w:r>
      <w:r w:rsidR="00D152F4">
        <w:rPr>
          <w:rFonts w:hint="cs"/>
          <w:sz w:val="22"/>
          <w:rtl/>
        </w:rPr>
        <w:t xml:space="preserve">اً. </w:t>
      </w:r>
      <w:r>
        <w:rPr>
          <w:rFonts w:hint="cs"/>
          <w:sz w:val="22"/>
          <w:rtl/>
        </w:rPr>
        <w:t>فالسيد د.، الذي غَيرت عقوبتَه محكمة مدينة</w:t>
      </w:r>
      <w:r w:rsidRPr="00C65F27">
        <w:rPr>
          <w:rFonts w:ascii="Traditional Arabic" w:hAnsi="Traditional Arabic" w:hint="cs"/>
          <w:sz w:val="30"/>
          <w:rtl/>
        </w:rPr>
        <w:t xml:space="preserve"> </w:t>
      </w:r>
      <w:r>
        <w:rPr>
          <w:rFonts w:ascii="Traditional Arabic" w:hAnsi="Traditional Arabic" w:hint="cs"/>
          <w:sz w:val="30"/>
          <w:rtl/>
        </w:rPr>
        <w:t>زلاتوست</w:t>
      </w:r>
      <w:r>
        <w:rPr>
          <w:sz w:val="22"/>
          <w:vertAlign w:val="superscript"/>
          <w:rtl/>
        </w:rPr>
        <w:t>(</w:t>
      </w:r>
      <w:r>
        <w:rPr>
          <w:rStyle w:val="FootnoteReference"/>
          <w:rtl/>
        </w:rPr>
        <w:footnoteReference w:id="15"/>
      </w:r>
      <w:r w:rsidRPr="00094012">
        <w:rPr>
          <w:sz w:val="22"/>
          <w:vertAlign w:val="superscript"/>
          <w:rtl/>
        </w:rPr>
        <w:t>)</w:t>
      </w:r>
      <w:r>
        <w:rPr>
          <w:rFonts w:hint="cs"/>
          <w:sz w:val="22"/>
          <w:rtl/>
        </w:rPr>
        <w:t>، ارتكب الجريمة في 12 تشرين الثاني/</w:t>
      </w:r>
      <w:r w:rsidR="00C15488">
        <w:rPr>
          <w:rFonts w:hint="cs"/>
          <w:sz w:val="22"/>
          <w:rtl/>
        </w:rPr>
        <w:t xml:space="preserve">  </w:t>
      </w:r>
      <w:r>
        <w:rPr>
          <w:rFonts w:hint="cs"/>
          <w:sz w:val="22"/>
          <w:rtl/>
        </w:rPr>
        <w:t xml:space="preserve">نوفمبر 1992، أي قبل دخول القانون الاتحادي المؤرخ 17 كانون الأول/ديسمبر 1992 حيز </w:t>
      </w:r>
      <w:r w:rsidR="00C15488">
        <w:rPr>
          <w:rFonts w:hint="cs"/>
          <w:sz w:val="22"/>
          <w:rtl/>
        </w:rPr>
        <w:t>النفاذ</w:t>
      </w:r>
      <w:r>
        <w:rPr>
          <w:rFonts w:hint="cs"/>
          <w:sz w:val="22"/>
          <w:rtl/>
        </w:rPr>
        <w:t xml:space="preserve">. وعليه، لا يوجد في ملف القضية أي شيء يوحي بأن صاحب البلاغ </w:t>
      </w:r>
      <w:r w:rsidR="00C15488">
        <w:rPr>
          <w:rFonts w:hint="cs"/>
          <w:sz w:val="22"/>
          <w:rtl/>
        </w:rPr>
        <w:t xml:space="preserve">قد </w:t>
      </w:r>
      <w:r>
        <w:rPr>
          <w:rFonts w:hint="cs"/>
          <w:sz w:val="22"/>
          <w:rtl/>
        </w:rPr>
        <w:t xml:space="preserve">حُرم </w:t>
      </w:r>
      <w:r w:rsidR="00C15488">
        <w:rPr>
          <w:rFonts w:hint="cs"/>
          <w:sz w:val="22"/>
          <w:rtl/>
        </w:rPr>
        <w:t xml:space="preserve">من </w:t>
      </w:r>
      <w:r>
        <w:rPr>
          <w:rFonts w:hint="cs"/>
          <w:sz w:val="22"/>
          <w:rtl/>
        </w:rPr>
        <w:t>حقوقه في إطار القانون الجنائي لروسيا الاتحادية وقانون الإجراءات الجنائية لروسيا الاتحادية المطبقين في ذلك الحين أو بموجب أحكام العهد.</w:t>
      </w:r>
    </w:p>
    <w:p w:rsidR="00E32FA5" w:rsidRPr="008E0536" w:rsidRDefault="00C15488" w:rsidP="00C15488">
      <w:pPr>
        <w:pStyle w:val="H23GA"/>
        <w:rPr>
          <w:rFonts w:hint="cs"/>
          <w:rtl/>
        </w:rPr>
      </w:pPr>
      <w:r>
        <w:rPr>
          <w:rFonts w:hint="cs"/>
          <w:rtl/>
        </w:rPr>
        <w:tab/>
      </w:r>
      <w:r>
        <w:rPr>
          <w:rFonts w:hint="cs"/>
          <w:rtl/>
        </w:rPr>
        <w:tab/>
      </w:r>
      <w:r w:rsidR="00E32FA5" w:rsidRPr="008E0536">
        <w:rPr>
          <w:rFonts w:hint="cs"/>
          <w:rtl/>
        </w:rPr>
        <w:t>تعليقات صاحب البلاغ على ملاحظات الدولة الطرف</w:t>
      </w:r>
    </w:p>
    <w:p w:rsidR="00E32FA5" w:rsidRDefault="00E32FA5" w:rsidP="00C15488">
      <w:pPr>
        <w:pStyle w:val="SingleTxtGA"/>
        <w:rPr>
          <w:rFonts w:hint="cs"/>
          <w:sz w:val="22"/>
          <w:rtl/>
        </w:rPr>
      </w:pPr>
      <w:r>
        <w:rPr>
          <w:rFonts w:hint="cs"/>
          <w:sz w:val="22"/>
          <w:rtl/>
        </w:rPr>
        <w:t>5-1</w:t>
      </w:r>
      <w:r>
        <w:rPr>
          <w:rFonts w:hint="cs"/>
          <w:sz w:val="22"/>
          <w:rtl/>
        </w:rPr>
        <w:tab/>
        <w:t>في 6 كانون الأول/ديسمبر 2011، اعترض صاحب البلاغ على حجة الدولة الطرف التي تذهب إلى أن القانون الاتحادي الذي ينص على مشاركة هيئات محلفين في المحاكمات لم يكن نافذ</w:t>
      </w:r>
      <w:r w:rsidR="00D152F4">
        <w:rPr>
          <w:rFonts w:hint="cs"/>
          <w:sz w:val="22"/>
          <w:rtl/>
        </w:rPr>
        <w:t xml:space="preserve">اً </w:t>
      </w:r>
      <w:r>
        <w:rPr>
          <w:rFonts w:hint="cs"/>
          <w:sz w:val="22"/>
          <w:rtl/>
        </w:rPr>
        <w:t>وقت إصدار الحكم عليه (في 13 تشرين الأول/أكتوبر 1995) وأن هذه المشاركة لم يكن معمول</w:t>
      </w:r>
      <w:r w:rsidR="00D152F4">
        <w:rPr>
          <w:rFonts w:hint="cs"/>
          <w:sz w:val="22"/>
          <w:rtl/>
        </w:rPr>
        <w:t xml:space="preserve">اً </w:t>
      </w:r>
      <w:r>
        <w:rPr>
          <w:rFonts w:hint="cs"/>
          <w:sz w:val="22"/>
          <w:rtl/>
        </w:rPr>
        <w:t>بها في منطقة مورمانسك. و</w:t>
      </w:r>
      <w:r w:rsidR="00C15488">
        <w:rPr>
          <w:rFonts w:hint="cs"/>
          <w:sz w:val="22"/>
          <w:rtl/>
        </w:rPr>
        <w:t xml:space="preserve">هو </w:t>
      </w:r>
      <w:r>
        <w:rPr>
          <w:rFonts w:hint="cs"/>
          <w:sz w:val="22"/>
          <w:rtl/>
        </w:rPr>
        <w:t>يجادل بالقول إن إمكانية مشاركة هيئات المحلفين في المحاكمات أتيحت ب</w:t>
      </w:r>
      <w:r w:rsidR="00C15488">
        <w:rPr>
          <w:rFonts w:hint="cs"/>
          <w:sz w:val="22"/>
          <w:rtl/>
        </w:rPr>
        <w:t xml:space="preserve">موجب </w:t>
      </w:r>
      <w:r>
        <w:rPr>
          <w:rFonts w:hint="cs"/>
          <w:sz w:val="22"/>
          <w:rtl/>
        </w:rPr>
        <w:t>قانون 16 تموز/يوليه 1993</w:t>
      </w:r>
      <w:r>
        <w:rPr>
          <w:sz w:val="22"/>
          <w:vertAlign w:val="superscript"/>
          <w:rtl/>
        </w:rPr>
        <w:t>(</w:t>
      </w:r>
      <w:r>
        <w:rPr>
          <w:rStyle w:val="FootnoteReference"/>
          <w:rtl/>
        </w:rPr>
        <w:footnoteReference w:id="16"/>
      </w:r>
      <w:r w:rsidRPr="00094012">
        <w:rPr>
          <w:sz w:val="22"/>
          <w:vertAlign w:val="superscript"/>
          <w:rtl/>
        </w:rPr>
        <w:t>)</w:t>
      </w:r>
      <w:r>
        <w:rPr>
          <w:rFonts w:hint="cs"/>
          <w:sz w:val="22"/>
          <w:rtl/>
        </w:rPr>
        <w:t xml:space="preserve">، أي </w:t>
      </w:r>
      <w:r w:rsidR="00C15488">
        <w:rPr>
          <w:rFonts w:hint="cs"/>
          <w:sz w:val="22"/>
          <w:rtl/>
        </w:rPr>
        <w:t xml:space="preserve">حتى </w:t>
      </w:r>
      <w:r>
        <w:rPr>
          <w:rFonts w:hint="cs"/>
          <w:sz w:val="22"/>
          <w:rtl/>
        </w:rPr>
        <w:t xml:space="preserve">قبل دخول دستور روسيا المؤرخ 12 كانون الأول/ديسمبر 1993 حيز </w:t>
      </w:r>
      <w:r w:rsidR="00C15488">
        <w:rPr>
          <w:rFonts w:hint="cs"/>
          <w:sz w:val="22"/>
          <w:rtl/>
        </w:rPr>
        <w:t>النفاذ</w:t>
      </w:r>
      <w:r>
        <w:rPr>
          <w:rFonts w:hint="cs"/>
          <w:sz w:val="22"/>
          <w:rtl/>
        </w:rPr>
        <w:t>. وعمل</w:t>
      </w:r>
      <w:r w:rsidR="00D152F4">
        <w:rPr>
          <w:rFonts w:hint="cs"/>
          <w:sz w:val="22"/>
          <w:rtl/>
        </w:rPr>
        <w:t xml:space="preserve">اً </w:t>
      </w:r>
      <w:r>
        <w:rPr>
          <w:rFonts w:hint="cs"/>
          <w:sz w:val="22"/>
          <w:rtl/>
        </w:rPr>
        <w:t>بقرار المجلس الأعلى الروسي المؤرخ 16 تموز/يوليه 1993</w:t>
      </w:r>
      <w:r>
        <w:rPr>
          <w:sz w:val="22"/>
          <w:vertAlign w:val="superscript"/>
          <w:rtl/>
        </w:rPr>
        <w:t>(</w:t>
      </w:r>
      <w:r>
        <w:rPr>
          <w:rStyle w:val="FootnoteReference"/>
          <w:rtl/>
        </w:rPr>
        <w:footnoteReference w:id="17"/>
      </w:r>
      <w:r w:rsidRPr="00CA42E5">
        <w:rPr>
          <w:sz w:val="22"/>
          <w:vertAlign w:val="superscript"/>
          <w:rtl/>
        </w:rPr>
        <w:t>)</w:t>
      </w:r>
      <w:r>
        <w:rPr>
          <w:rFonts w:hint="cs"/>
          <w:sz w:val="22"/>
          <w:rtl/>
        </w:rPr>
        <w:t>، كان من المفترض إتاحة إمكانية مشاركة هيئات المحلفين في المحاكمات في تسع مناطق بحلول 1 كانون الثاني/</w:t>
      </w:r>
      <w:r w:rsidR="00C15488">
        <w:rPr>
          <w:rFonts w:hint="cs"/>
          <w:sz w:val="22"/>
          <w:rtl/>
        </w:rPr>
        <w:t xml:space="preserve">     </w:t>
      </w:r>
      <w:r>
        <w:rPr>
          <w:rFonts w:hint="cs"/>
          <w:sz w:val="22"/>
          <w:rtl/>
        </w:rPr>
        <w:t>يناير 1994 على أقصى تقدير.</w:t>
      </w:r>
    </w:p>
    <w:p w:rsidR="00E32FA5" w:rsidRDefault="00E32FA5" w:rsidP="00C15488">
      <w:pPr>
        <w:pStyle w:val="SingleTxtGA"/>
        <w:rPr>
          <w:rFonts w:hint="cs"/>
          <w:sz w:val="22"/>
          <w:rtl/>
        </w:rPr>
      </w:pPr>
      <w:r w:rsidRPr="00C15488">
        <w:rPr>
          <w:rFonts w:hint="cs"/>
          <w:spacing w:val="-2"/>
          <w:sz w:val="22"/>
          <w:rtl/>
        </w:rPr>
        <w:t>5-2</w:t>
      </w:r>
      <w:r w:rsidRPr="00C15488">
        <w:rPr>
          <w:rFonts w:hint="cs"/>
          <w:spacing w:val="-2"/>
          <w:sz w:val="22"/>
          <w:rtl/>
        </w:rPr>
        <w:tab/>
        <w:t>ويدفع صاحب البلاغ قائل</w:t>
      </w:r>
      <w:r w:rsidR="00D152F4">
        <w:rPr>
          <w:rFonts w:hint="cs"/>
          <w:spacing w:val="-2"/>
          <w:sz w:val="22"/>
          <w:rtl/>
        </w:rPr>
        <w:t xml:space="preserve">اً </w:t>
      </w:r>
      <w:r w:rsidRPr="00C15488">
        <w:rPr>
          <w:rFonts w:hint="cs"/>
          <w:spacing w:val="-2"/>
          <w:sz w:val="22"/>
          <w:rtl/>
        </w:rPr>
        <w:t xml:space="preserve">إن الوقت المتاح للدولة الطرف، من 12 كانون </w:t>
      </w:r>
      <w:r w:rsidRPr="00C15488">
        <w:rPr>
          <w:rFonts w:hint="cs"/>
          <w:spacing w:val="-4"/>
          <w:sz w:val="22"/>
          <w:rtl/>
        </w:rPr>
        <w:t>الأول/ديسمبر 1993 (تاريخ دخول الدستور حيز ال</w:t>
      </w:r>
      <w:r w:rsidR="00C15488" w:rsidRPr="00C15488">
        <w:rPr>
          <w:rFonts w:hint="cs"/>
          <w:spacing w:val="-4"/>
          <w:sz w:val="22"/>
          <w:rtl/>
        </w:rPr>
        <w:t>نفاذ</w:t>
      </w:r>
      <w:r w:rsidRPr="00C15488">
        <w:rPr>
          <w:rFonts w:hint="cs"/>
          <w:spacing w:val="-4"/>
          <w:sz w:val="22"/>
          <w:rtl/>
        </w:rPr>
        <w:t>) إلى 13 تشرين الأول/أكتوبر</w:t>
      </w:r>
      <w:r>
        <w:rPr>
          <w:rFonts w:hint="cs"/>
          <w:sz w:val="22"/>
          <w:rtl/>
        </w:rPr>
        <w:t xml:space="preserve"> 1995 (تاريخ إصدار الحكم</w:t>
      </w:r>
      <w:r w:rsidR="00C15488">
        <w:rPr>
          <w:rFonts w:hint="cs"/>
          <w:sz w:val="22"/>
          <w:rtl/>
        </w:rPr>
        <w:t xml:space="preserve"> عليه</w:t>
      </w:r>
      <w:r>
        <w:rPr>
          <w:rFonts w:hint="cs"/>
          <w:sz w:val="22"/>
          <w:rtl/>
        </w:rPr>
        <w:t>)، كان كافي</w:t>
      </w:r>
      <w:r w:rsidR="00D152F4">
        <w:rPr>
          <w:rFonts w:hint="cs"/>
          <w:sz w:val="22"/>
          <w:rtl/>
        </w:rPr>
        <w:t xml:space="preserve">اً </w:t>
      </w:r>
      <w:r>
        <w:rPr>
          <w:rFonts w:hint="cs"/>
          <w:sz w:val="22"/>
          <w:rtl/>
        </w:rPr>
        <w:t>لإتاحة إمكانية مشاركة هيئات المحلفين في المحاكمات في جميع أرجاء الاتحاد الروسي. و</w:t>
      </w:r>
      <w:r w:rsidR="00C15488">
        <w:rPr>
          <w:rFonts w:hint="cs"/>
          <w:sz w:val="22"/>
          <w:rtl/>
        </w:rPr>
        <w:t xml:space="preserve">قد </w:t>
      </w:r>
      <w:r>
        <w:rPr>
          <w:rFonts w:hint="cs"/>
          <w:sz w:val="22"/>
          <w:rtl/>
        </w:rPr>
        <w:t xml:space="preserve">ترتب على عدم فعل الدولة الطرف ذلك انتهاك لحقوقه بموجب في المادتين 20 و47 من الدستور والمادة 6 من العهد، لأنه حُرم </w:t>
      </w:r>
      <w:r w:rsidR="00C15488">
        <w:rPr>
          <w:rFonts w:hint="cs"/>
          <w:sz w:val="22"/>
          <w:rtl/>
        </w:rPr>
        <w:t xml:space="preserve">من </w:t>
      </w:r>
      <w:r>
        <w:rPr>
          <w:rFonts w:hint="cs"/>
          <w:sz w:val="22"/>
          <w:rtl/>
        </w:rPr>
        <w:t>إمكانية التماس أن تنظر هيئة محلفين في قضيته. و</w:t>
      </w:r>
      <w:r w:rsidR="00C15488">
        <w:rPr>
          <w:rFonts w:hint="cs"/>
          <w:sz w:val="22"/>
          <w:rtl/>
        </w:rPr>
        <w:t xml:space="preserve">هو </w:t>
      </w:r>
      <w:r>
        <w:rPr>
          <w:rFonts w:hint="cs"/>
          <w:sz w:val="22"/>
          <w:rtl/>
        </w:rPr>
        <w:t>يدعي أيض</w:t>
      </w:r>
      <w:r w:rsidR="00D152F4">
        <w:rPr>
          <w:rFonts w:hint="cs"/>
          <w:sz w:val="22"/>
          <w:rtl/>
        </w:rPr>
        <w:t xml:space="preserve">اً </w:t>
      </w:r>
      <w:r w:rsidR="00C15488">
        <w:rPr>
          <w:rFonts w:hint="cs"/>
          <w:sz w:val="22"/>
          <w:rtl/>
        </w:rPr>
        <w:t xml:space="preserve">حدوث </w:t>
      </w:r>
      <w:r>
        <w:rPr>
          <w:rFonts w:hint="cs"/>
          <w:sz w:val="22"/>
          <w:rtl/>
        </w:rPr>
        <w:t xml:space="preserve">انتهاك </w:t>
      </w:r>
      <w:r w:rsidR="00C15488">
        <w:rPr>
          <w:rFonts w:hint="cs"/>
          <w:sz w:val="22"/>
          <w:rtl/>
        </w:rPr>
        <w:t>ل</w:t>
      </w:r>
      <w:r>
        <w:rPr>
          <w:rFonts w:hint="cs"/>
          <w:sz w:val="22"/>
          <w:rtl/>
        </w:rPr>
        <w:t xml:space="preserve">حقوقه بمقتضى المادة 19 من الدستور والمادة 26 من العهد اللتين تحميان الحق في المساواة أمام القانون، لأن عدم إتاحة الدولة الطرف إمكانية مشاركة هيئات المحلفين في المحاكمات في منطقة مورمانسك </w:t>
      </w:r>
      <w:r w:rsidR="00C15488">
        <w:rPr>
          <w:rFonts w:hint="cs"/>
          <w:sz w:val="22"/>
          <w:rtl/>
        </w:rPr>
        <w:t xml:space="preserve">قد </w:t>
      </w:r>
      <w:r>
        <w:rPr>
          <w:rFonts w:hint="cs"/>
          <w:sz w:val="22"/>
          <w:rtl/>
        </w:rPr>
        <w:t xml:space="preserve">أضر به مقارنة بالمتهمين في المناطق التسع الأخرى حيث يمكنهم طلب نظر هيئة محلفين في </w:t>
      </w:r>
      <w:r w:rsidR="00C15488">
        <w:rPr>
          <w:rFonts w:hint="cs"/>
          <w:sz w:val="22"/>
          <w:rtl/>
        </w:rPr>
        <w:t xml:space="preserve">قضاياهم. ويدعي صاحب البلاغ </w:t>
      </w:r>
      <w:r>
        <w:rPr>
          <w:rFonts w:hint="cs"/>
          <w:sz w:val="22"/>
          <w:rtl/>
        </w:rPr>
        <w:t>أيض</w:t>
      </w:r>
      <w:r w:rsidR="00D152F4">
        <w:rPr>
          <w:rFonts w:hint="cs"/>
          <w:sz w:val="22"/>
          <w:rtl/>
        </w:rPr>
        <w:t xml:space="preserve">اً </w:t>
      </w:r>
      <w:r>
        <w:rPr>
          <w:rFonts w:hint="cs"/>
          <w:sz w:val="22"/>
          <w:rtl/>
        </w:rPr>
        <w:t xml:space="preserve">أن عدم إعمال الدولة الطرف الحق في طلب نظر هيئة محلفين في </w:t>
      </w:r>
      <w:r w:rsidR="00C15488">
        <w:rPr>
          <w:rFonts w:hint="cs"/>
          <w:sz w:val="22"/>
          <w:rtl/>
        </w:rPr>
        <w:t>قضيته</w:t>
      </w:r>
      <w:r>
        <w:rPr>
          <w:rFonts w:hint="cs"/>
          <w:sz w:val="22"/>
          <w:rtl/>
        </w:rPr>
        <w:t xml:space="preserve">، </w:t>
      </w:r>
      <w:r w:rsidR="00C15488">
        <w:rPr>
          <w:rFonts w:hint="cs"/>
          <w:sz w:val="22"/>
          <w:rtl/>
        </w:rPr>
        <w:t xml:space="preserve">وهو حق تنص عليه </w:t>
      </w:r>
      <w:r>
        <w:rPr>
          <w:rFonts w:hint="cs"/>
          <w:sz w:val="22"/>
          <w:rtl/>
        </w:rPr>
        <w:t xml:space="preserve">المادة 20 من الدستور، يعني أن محكمة مورمانسك الإقليمية، المؤلفة من قاض محترف وقاضيين مساعدين حكموا بإدانته في 13 تشرين الأول/أكتوبر 1995، لم تكن مختصة في الحكم عليه بالإعدام. وعلى هذا، فبعد دخول الدستور حيز </w:t>
      </w:r>
      <w:r w:rsidR="00C15488">
        <w:rPr>
          <w:rFonts w:hint="cs"/>
          <w:sz w:val="22"/>
          <w:rtl/>
        </w:rPr>
        <w:t xml:space="preserve">النفاذ </w:t>
      </w:r>
      <w:r>
        <w:rPr>
          <w:rFonts w:hint="cs"/>
          <w:sz w:val="22"/>
          <w:rtl/>
        </w:rPr>
        <w:t>في 12 كانون الأول/ديسمبر 1993، وهو ينص على أنه لا يجوز تطبيق عقوبة الإعدام ما لم تنظر فيها هيئة محلفين، كان ينبغي للدولة الطرف أن تعتمد قانون</w:t>
      </w:r>
      <w:r w:rsidR="00D152F4">
        <w:rPr>
          <w:rFonts w:hint="cs"/>
          <w:sz w:val="22"/>
          <w:rtl/>
        </w:rPr>
        <w:t xml:space="preserve">اً </w:t>
      </w:r>
      <w:r>
        <w:rPr>
          <w:rFonts w:hint="cs"/>
          <w:sz w:val="22"/>
          <w:rtl/>
        </w:rPr>
        <w:t>يمنع الحكم بالإعدام إلى أن تُسن المحاكمات التي تشارك فيها هيئات محلفين في جميع أنحاء روسيا. لكن قانون</w:t>
      </w:r>
      <w:r w:rsidR="00D152F4">
        <w:rPr>
          <w:rFonts w:hint="cs"/>
          <w:sz w:val="22"/>
          <w:rtl/>
        </w:rPr>
        <w:t xml:space="preserve">اً </w:t>
      </w:r>
      <w:r>
        <w:rPr>
          <w:rFonts w:hint="cs"/>
          <w:sz w:val="22"/>
          <w:rtl/>
        </w:rPr>
        <w:t xml:space="preserve">من ذلك القبيل لم يعتمد إلا بعد </w:t>
      </w:r>
      <w:r w:rsidR="00C15488">
        <w:rPr>
          <w:rFonts w:hint="cs"/>
          <w:sz w:val="22"/>
          <w:rtl/>
        </w:rPr>
        <w:t xml:space="preserve">صدور </w:t>
      </w:r>
      <w:r>
        <w:rPr>
          <w:rFonts w:hint="cs"/>
          <w:sz w:val="22"/>
          <w:rtl/>
        </w:rPr>
        <w:t xml:space="preserve">قرار المحكمة الدستورية المؤرخ 2 شباط/فبراير 1999 الذي استحثّته </w:t>
      </w:r>
      <w:r w:rsidR="00C15488">
        <w:rPr>
          <w:rFonts w:hint="cs"/>
          <w:sz w:val="22"/>
          <w:rtl/>
        </w:rPr>
        <w:t xml:space="preserve">التماسات </w:t>
      </w:r>
      <w:r>
        <w:rPr>
          <w:rFonts w:hint="cs"/>
          <w:sz w:val="22"/>
          <w:rtl/>
        </w:rPr>
        <w:t>المواطنين التي تزعم حدوث انتهاكات لحقوقهم في محاكمات تشارك فيها هيئات محلفين.</w:t>
      </w:r>
    </w:p>
    <w:p w:rsidR="00E32FA5" w:rsidRDefault="00E32FA5" w:rsidP="00C15488">
      <w:pPr>
        <w:pStyle w:val="SingleTxtGA"/>
        <w:rPr>
          <w:rFonts w:hint="cs"/>
          <w:sz w:val="22"/>
          <w:rtl/>
        </w:rPr>
      </w:pPr>
      <w:r>
        <w:rPr>
          <w:rFonts w:hint="cs"/>
          <w:sz w:val="22"/>
          <w:rtl/>
        </w:rPr>
        <w:t>5-3</w:t>
      </w:r>
      <w:r>
        <w:rPr>
          <w:rFonts w:hint="cs"/>
          <w:sz w:val="22"/>
          <w:rtl/>
        </w:rPr>
        <w:tab/>
        <w:t>ويدعي صاحب البلاغ أيض</w:t>
      </w:r>
      <w:r w:rsidR="00D152F4">
        <w:rPr>
          <w:rFonts w:hint="cs"/>
          <w:sz w:val="22"/>
          <w:rtl/>
        </w:rPr>
        <w:t xml:space="preserve">اً </w:t>
      </w:r>
      <w:r>
        <w:rPr>
          <w:rFonts w:hint="cs"/>
          <w:sz w:val="22"/>
          <w:rtl/>
        </w:rPr>
        <w:t>أن تحويل عقوبة الإعدام إلى</w:t>
      </w:r>
      <w:r w:rsidR="00C15488">
        <w:rPr>
          <w:rFonts w:hint="cs"/>
          <w:sz w:val="22"/>
          <w:rtl/>
        </w:rPr>
        <w:t xml:space="preserve"> عقوبة</w:t>
      </w:r>
      <w:r>
        <w:rPr>
          <w:rFonts w:hint="cs"/>
          <w:sz w:val="22"/>
          <w:rtl/>
        </w:rPr>
        <w:t xml:space="preserve"> السجن المؤبد غير قانوني لأنه </w:t>
      </w:r>
      <w:r w:rsidR="00C15488">
        <w:rPr>
          <w:rFonts w:hint="cs"/>
          <w:sz w:val="22"/>
          <w:rtl/>
        </w:rPr>
        <w:t xml:space="preserve">بمقتضى القانون الجنائي لروسيا الاتحادية النافذ وقت ارتكاب الجريمة </w:t>
      </w:r>
      <w:r>
        <w:rPr>
          <w:rFonts w:hint="cs"/>
          <w:sz w:val="22"/>
          <w:rtl/>
        </w:rPr>
        <w:t>لا يجوز أن تتجاوز مدة السجن 20 عاما</w:t>
      </w:r>
      <w:r w:rsidR="00C15488">
        <w:rPr>
          <w:rFonts w:hint="cs"/>
          <w:sz w:val="22"/>
          <w:rtl/>
        </w:rPr>
        <w:t>ً.</w:t>
      </w:r>
    </w:p>
    <w:p w:rsidR="00E32FA5" w:rsidRDefault="00E32FA5" w:rsidP="009A03F8">
      <w:pPr>
        <w:pStyle w:val="SingleTxtGA"/>
        <w:rPr>
          <w:rFonts w:ascii="Traditional Arabic" w:hAnsi="Traditional Arabic" w:hint="cs"/>
          <w:sz w:val="30"/>
          <w:rtl/>
        </w:rPr>
      </w:pPr>
      <w:r>
        <w:rPr>
          <w:rFonts w:hint="cs"/>
          <w:sz w:val="22"/>
          <w:rtl/>
        </w:rPr>
        <w:t>5-4</w:t>
      </w:r>
      <w:r>
        <w:rPr>
          <w:rFonts w:hint="cs"/>
          <w:sz w:val="22"/>
          <w:rtl/>
        </w:rPr>
        <w:tab/>
        <w:t>وبالإشارة إلى قرار المحكمة الدستورية المؤرخ 2 شباط/فبراير 1999، يلاحظ صاحب البلاغ أنه أعيد النظر في الحكم الصادر في حق السيد ف.</w:t>
      </w:r>
      <w:r>
        <w:rPr>
          <w:sz w:val="22"/>
          <w:vertAlign w:val="superscript"/>
          <w:rtl/>
        </w:rPr>
        <w:t>(</w:t>
      </w:r>
      <w:r>
        <w:rPr>
          <w:rStyle w:val="FootnoteReference"/>
          <w:rtl/>
        </w:rPr>
        <w:footnoteReference w:id="18"/>
      </w:r>
      <w:r w:rsidRPr="00C5008B">
        <w:rPr>
          <w:sz w:val="22"/>
          <w:vertAlign w:val="superscript"/>
          <w:rtl/>
        </w:rPr>
        <w:t>)</w:t>
      </w:r>
      <w:r>
        <w:rPr>
          <w:rFonts w:hint="cs"/>
          <w:sz w:val="22"/>
          <w:rtl/>
        </w:rPr>
        <w:t>، الذي كان خلف هذا القرار. و</w:t>
      </w:r>
      <w:r w:rsidR="00C15488">
        <w:rPr>
          <w:rFonts w:hint="cs"/>
          <w:sz w:val="22"/>
          <w:rtl/>
        </w:rPr>
        <w:t xml:space="preserve">هو </w:t>
      </w:r>
      <w:r>
        <w:rPr>
          <w:rFonts w:hint="cs"/>
          <w:sz w:val="22"/>
          <w:rtl/>
        </w:rPr>
        <w:t xml:space="preserve">يرى أن هذا يعني أن المحكمة الدستورية اعترفت بالآتي: (1) أن الحكم بالإعدام على السيد ف. يخل بالدستور؛ (2) أن هذا الإخلال كان قبل </w:t>
      </w:r>
      <w:r w:rsidR="00C15488">
        <w:rPr>
          <w:rFonts w:hint="cs"/>
          <w:sz w:val="22"/>
          <w:rtl/>
        </w:rPr>
        <w:t xml:space="preserve">صدور </w:t>
      </w:r>
      <w:r>
        <w:rPr>
          <w:rFonts w:hint="cs"/>
          <w:sz w:val="22"/>
          <w:rtl/>
        </w:rPr>
        <w:t>قرار المحكمة الدستورية المؤرخ 2 شباط/فبراير 1999. ونظر</w:t>
      </w:r>
      <w:r w:rsidR="00D152F4">
        <w:rPr>
          <w:rFonts w:hint="cs"/>
          <w:sz w:val="22"/>
          <w:rtl/>
        </w:rPr>
        <w:t xml:space="preserve">اً </w:t>
      </w:r>
      <w:r>
        <w:rPr>
          <w:rFonts w:hint="cs"/>
          <w:sz w:val="22"/>
          <w:rtl/>
        </w:rPr>
        <w:t>إلى أن الحكم بإعدام صاحب البلاغ، مثله مثل السيد ف</w:t>
      </w:r>
      <w:r w:rsidR="008D5A20">
        <w:rPr>
          <w:rFonts w:hint="cs"/>
          <w:sz w:val="22"/>
          <w:rtl/>
        </w:rPr>
        <w:t>.</w:t>
      </w:r>
      <w:r>
        <w:rPr>
          <w:rFonts w:hint="cs"/>
          <w:sz w:val="22"/>
          <w:rtl/>
        </w:rPr>
        <w:t xml:space="preserve">، </w:t>
      </w:r>
      <w:r w:rsidR="009A03F8">
        <w:rPr>
          <w:rFonts w:hint="cs"/>
          <w:sz w:val="22"/>
          <w:rtl/>
        </w:rPr>
        <w:t xml:space="preserve">صدر </w:t>
      </w:r>
      <w:r>
        <w:rPr>
          <w:rFonts w:hint="cs"/>
          <w:sz w:val="22"/>
          <w:rtl/>
        </w:rPr>
        <w:t xml:space="preserve">قبل قرار 2 شباط/فبراير 1999، يدعي صاحب البلاغ </w:t>
      </w:r>
      <w:r w:rsidR="009A03F8">
        <w:rPr>
          <w:rFonts w:hint="cs"/>
          <w:sz w:val="22"/>
          <w:rtl/>
        </w:rPr>
        <w:t xml:space="preserve">حدوث </w:t>
      </w:r>
      <w:r>
        <w:rPr>
          <w:rFonts w:hint="cs"/>
          <w:sz w:val="22"/>
          <w:rtl/>
        </w:rPr>
        <w:t xml:space="preserve">انتهاك </w:t>
      </w:r>
      <w:r w:rsidR="009A03F8">
        <w:rPr>
          <w:rFonts w:hint="cs"/>
          <w:sz w:val="22"/>
          <w:rtl/>
        </w:rPr>
        <w:t>ل</w:t>
      </w:r>
      <w:r>
        <w:rPr>
          <w:rFonts w:hint="cs"/>
          <w:sz w:val="22"/>
          <w:rtl/>
        </w:rPr>
        <w:t xml:space="preserve">حقوقه في المساواة أمام القانون وفي </w:t>
      </w:r>
      <w:r w:rsidR="009A03F8">
        <w:rPr>
          <w:rFonts w:hint="cs"/>
          <w:sz w:val="22"/>
          <w:rtl/>
        </w:rPr>
        <w:t>ال</w:t>
      </w:r>
      <w:r>
        <w:rPr>
          <w:rFonts w:hint="cs"/>
          <w:sz w:val="22"/>
          <w:rtl/>
        </w:rPr>
        <w:t xml:space="preserve">حماية </w:t>
      </w:r>
      <w:r w:rsidR="009A03F8">
        <w:rPr>
          <w:rFonts w:hint="cs"/>
          <w:sz w:val="22"/>
          <w:rtl/>
        </w:rPr>
        <w:t xml:space="preserve">التي يكفلها </w:t>
      </w:r>
      <w:r>
        <w:rPr>
          <w:rFonts w:hint="cs"/>
          <w:sz w:val="22"/>
          <w:rtl/>
        </w:rPr>
        <w:t xml:space="preserve">القانون بموجب المادة 19 من الدستور والمادة 26 من العهد. ويزعم </w:t>
      </w:r>
      <w:r w:rsidR="009A03F8">
        <w:rPr>
          <w:rFonts w:hint="cs"/>
          <w:sz w:val="22"/>
          <w:rtl/>
        </w:rPr>
        <w:t xml:space="preserve">صاحب البلاغ </w:t>
      </w:r>
      <w:r>
        <w:rPr>
          <w:rFonts w:hint="cs"/>
          <w:sz w:val="22"/>
          <w:rtl/>
        </w:rPr>
        <w:t>أيض</w:t>
      </w:r>
      <w:r w:rsidR="00D152F4">
        <w:rPr>
          <w:rFonts w:hint="cs"/>
          <w:sz w:val="22"/>
          <w:rtl/>
        </w:rPr>
        <w:t xml:space="preserve">اً </w:t>
      </w:r>
      <w:r>
        <w:rPr>
          <w:rFonts w:hint="cs"/>
          <w:sz w:val="22"/>
          <w:rtl/>
        </w:rPr>
        <w:t xml:space="preserve">أن هذا الانتهاك ينبغي أن </w:t>
      </w:r>
      <w:r w:rsidR="009A03F8">
        <w:rPr>
          <w:rFonts w:hint="cs"/>
          <w:sz w:val="22"/>
          <w:rtl/>
        </w:rPr>
        <w:t xml:space="preserve">يستتبع </w:t>
      </w:r>
      <w:r>
        <w:rPr>
          <w:rFonts w:hint="cs"/>
          <w:sz w:val="22"/>
          <w:rtl/>
        </w:rPr>
        <w:t xml:space="preserve">إعادة النظر في </w:t>
      </w:r>
      <w:r w:rsidR="009A03F8">
        <w:rPr>
          <w:rFonts w:hint="cs"/>
          <w:sz w:val="22"/>
          <w:rtl/>
        </w:rPr>
        <w:t xml:space="preserve">قضيته </w:t>
      </w:r>
      <w:r>
        <w:rPr>
          <w:rFonts w:hint="cs"/>
          <w:sz w:val="22"/>
          <w:rtl/>
        </w:rPr>
        <w:t xml:space="preserve">بسبب الظروف الجديدة التي طرأت، وذلك بمقتضى الفقرة 4(1) من المادة 413 من قانون الإجراءات الجنائية الروسي. </w:t>
      </w:r>
      <w:r w:rsidR="009A03F8">
        <w:rPr>
          <w:rFonts w:hint="cs"/>
          <w:sz w:val="22"/>
          <w:rtl/>
        </w:rPr>
        <w:t xml:space="preserve">وهو </w:t>
      </w:r>
      <w:r>
        <w:rPr>
          <w:rFonts w:hint="cs"/>
          <w:sz w:val="22"/>
          <w:rtl/>
        </w:rPr>
        <w:t xml:space="preserve">يعترض على حجة الدولة الطرف القائلة إن نتائج الإجراءات الدستورية لا تنطبق على قضيته لأنه لم يشارك فيها. ويشير </w:t>
      </w:r>
      <w:r w:rsidR="009A03F8">
        <w:rPr>
          <w:rFonts w:hint="cs"/>
          <w:sz w:val="22"/>
          <w:rtl/>
        </w:rPr>
        <w:t xml:space="preserve">صاحب البلاغ </w:t>
      </w:r>
      <w:r>
        <w:rPr>
          <w:rFonts w:hint="cs"/>
          <w:sz w:val="22"/>
          <w:rtl/>
        </w:rPr>
        <w:t xml:space="preserve">إلى قرار محكمة مدينة زلاتوست المؤرخ 29 كانون الثاني/يناير 2001 </w:t>
      </w:r>
      <w:r>
        <w:rPr>
          <w:rFonts w:ascii="Traditional Arabic" w:hAnsi="Traditional Arabic" w:hint="cs"/>
          <w:sz w:val="30"/>
          <w:rtl/>
        </w:rPr>
        <w:t>الذي جعل</w:t>
      </w:r>
      <w:r w:rsidRPr="00B21738">
        <w:rPr>
          <w:rFonts w:ascii="Traditional Arabic" w:hAnsi="Traditional Arabic" w:hint="cs"/>
          <w:sz w:val="30"/>
          <w:rtl/>
        </w:rPr>
        <w:t xml:space="preserve"> </w:t>
      </w:r>
      <w:r>
        <w:rPr>
          <w:rFonts w:ascii="Traditional Arabic" w:hAnsi="Traditional Arabic" w:hint="cs"/>
          <w:sz w:val="30"/>
          <w:rtl/>
        </w:rPr>
        <w:t>العقوبة الصادرة في حق سجين آخر، السيد د.، تتوافق مع قرار المحكمة الدستورية رغم أنه لم يشارك هو الآخر في الإجراءات الدستورية</w:t>
      </w:r>
      <w:r>
        <w:rPr>
          <w:rFonts w:ascii="Traditional Arabic" w:hAnsi="Traditional Arabic"/>
          <w:sz w:val="30"/>
          <w:vertAlign w:val="superscript"/>
          <w:rtl/>
        </w:rPr>
        <w:t>(</w:t>
      </w:r>
      <w:r>
        <w:rPr>
          <w:rStyle w:val="FootnoteReference"/>
          <w:rtl/>
        </w:rPr>
        <w:footnoteReference w:id="19"/>
      </w:r>
      <w:r w:rsidRPr="00313939">
        <w:rPr>
          <w:rFonts w:ascii="Traditional Arabic" w:hAnsi="Traditional Arabic"/>
          <w:sz w:val="30"/>
          <w:vertAlign w:val="superscript"/>
          <w:rtl/>
        </w:rPr>
        <w:t>)</w:t>
      </w:r>
      <w:r>
        <w:rPr>
          <w:rFonts w:ascii="Traditional Arabic" w:hAnsi="Traditional Arabic" w:hint="cs"/>
          <w:sz w:val="30"/>
          <w:rtl/>
        </w:rPr>
        <w:t>.</w:t>
      </w:r>
    </w:p>
    <w:p w:rsidR="00E32FA5" w:rsidRDefault="009A03F8" w:rsidP="009A03F8">
      <w:pPr>
        <w:pStyle w:val="SingleTxtGA"/>
        <w:rPr>
          <w:rFonts w:ascii="Traditional Arabic" w:hAnsi="Traditional Arabic" w:hint="cs"/>
          <w:sz w:val="30"/>
          <w:rtl/>
        </w:rPr>
      </w:pPr>
      <w:r>
        <w:rPr>
          <w:rFonts w:ascii="Traditional Arabic" w:hAnsi="Traditional Arabic" w:hint="cs"/>
          <w:sz w:val="30"/>
          <w:rtl/>
        </w:rPr>
        <w:t>5-5</w:t>
      </w:r>
      <w:r>
        <w:rPr>
          <w:rFonts w:ascii="Traditional Arabic" w:hAnsi="Traditional Arabic" w:hint="cs"/>
          <w:sz w:val="30"/>
          <w:rtl/>
        </w:rPr>
        <w:tab/>
        <w:t xml:space="preserve">وفنّد </w:t>
      </w:r>
      <w:r w:rsidR="00E32FA5">
        <w:rPr>
          <w:rFonts w:ascii="Traditional Arabic" w:hAnsi="Traditional Arabic" w:hint="cs"/>
          <w:sz w:val="30"/>
          <w:rtl/>
        </w:rPr>
        <w:t>صاحب البلاغ حجة الدولة الطرف التي تذهب إلى أن القانون</w:t>
      </w:r>
      <w:r>
        <w:rPr>
          <w:rFonts w:ascii="Traditional Arabic" w:hAnsi="Traditional Arabic" w:hint="cs"/>
          <w:sz w:val="30"/>
          <w:rtl/>
        </w:rPr>
        <w:t xml:space="preserve"> كان</w:t>
      </w:r>
      <w:r w:rsidR="00E32FA5">
        <w:rPr>
          <w:rFonts w:ascii="Traditional Arabic" w:hAnsi="Traditional Arabic" w:hint="cs"/>
          <w:sz w:val="30"/>
          <w:rtl/>
        </w:rPr>
        <w:t xml:space="preserve">، وقت ارتكاب السيد د. جريمته، ينص على إمكانية تحويل عقوبة الإعدام إلى </w:t>
      </w:r>
      <w:r>
        <w:rPr>
          <w:rFonts w:ascii="Traditional Arabic" w:hAnsi="Traditional Arabic" w:hint="cs"/>
          <w:sz w:val="30"/>
          <w:rtl/>
        </w:rPr>
        <w:t xml:space="preserve">عقوبة </w:t>
      </w:r>
      <w:r w:rsidR="00E32FA5">
        <w:rPr>
          <w:rFonts w:ascii="Traditional Arabic" w:hAnsi="Traditional Arabic" w:hint="cs"/>
          <w:sz w:val="30"/>
          <w:rtl/>
        </w:rPr>
        <w:t>السجن مدة تتراوح بين 15 و20 عام</w:t>
      </w:r>
      <w:r w:rsidR="00D152F4">
        <w:rPr>
          <w:rFonts w:ascii="Traditional Arabic" w:hAnsi="Traditional Arabic" w:hint="cs"/>
          <w:sz w:val="30"/>
          <w:rtl/>
        </w:rPr>
        <w:t xml:space="preserve">اً، </w:t>
      </w:r>
      <w:r w:rsidR="00E32FA5">
        <w:rPr>
          <w:rFonts w:ascii="Traditional Arabic" w:hAnsi="Traditional Arabic" w:hint="cs"/>
          <w:sz w:val="30"/>
          <w:rtl/>
        </w:rPr>
        <w:t>في حين أن القانون</w:t>
      </w:r>
      <w:r>
        <w:rPr>
          <w:rFonts w:ascii="Traditional Arabic" w:hAnsi="Traditional Arabic" w:hint="cs"/>
          <w:sz w:val="30"/>
          <w:rtl/>
        </w:rPr>
        <w:t xml:space="preserve"> كان</w:t>
      </w:r>
      <w:r w:rsidR="00E32FA5">
        <w:rPr>
          <w:rFonts w:ascii="Traditional Arabic" w:hAnsi="Traditional Arabic" w:hint="cs"/>
          <w:sz w:val="30"/>
          <w:rtl/>
        </w:rPr>
        <w:t>، حين ارتكاب صاحب البلاغ جريمته، ينص على تحويل العقوبة إلى السجن المؤبد. و</w:t>
      </w:r>
      <w:r>
        <w:rPr>
          <w:rFonts w:ascii="Traditional Arabic" w:hAnsi="Traditional Arabic" w:hint="cs"/>
          <w:sz w:val="30"/>
          <w:rtl/>
        </w:rPr>
        <w:t xml:space="preserve">هو </w:t>
      </w:r>
      <w:r w:rsidR="00E32FA5">
        <w:rPr>
          <w:rFonts w:ascii="Traditional Arabic" w:hAnsi="Traditional Arabic" w:hint="cs"/>
          <w:sz w:val="30"/>
          <w:rtl/>
        </w:rPr>
        <w:t>يدفع بأن هذا الحكم يتعارض مع المادة 21 من القانون الجنائي لروسيا الاتحادية لأن السجن المؤبد لا يرِد ضمن قائمة أنواع العقوبات التي ينص عليها. وعليه، لا يجوز للرئيس، لدى ممارسته حقه في العفو، أن يحدد عقوبة لا سند لها في القانون المحلي.</w:t>
      </w:r>
    </w:p>
    <w:p w:rsidR="00E32FA5" w:rsidRDefault="00E32FA5" w:rsidP="009A03F8">
      <w:pPr>
        <w:pStyle w:val="SingleTxtGA"/>
        <w:rPr>
          <w:rFonts w:ascii="Traditional Arabic" w:hAnsi="Traditional Arabic" w:hint="cs"/>
          <w:sz w:val="30"/>
          <w:rtl/>
        </w:rPr>
      </w:pPr>
      <w:r>
        <w:rPr>
          <w:rFonts w:ascii="Traditional Arabic" w:hAnsi="Traditional Arabic" w:hint="cs"/>
          <w:sz w:val="30"/>
          <w:rtl/>
        </w:rPr>
        <w:t>5-6</w:t>
      </w:r>
      <w:r>
        <w:rPr>
          <w:rFonts w:ascii="Traditional Arabic" w:hAnsi="Traditional Arabic" w:hint="cs"/>
          <w:sz w:val="30"/>
          <w:rtl/>
        </w:rPr>
        <w:tab/>
        <w:t xml:space="preserve">وفي ضوء ما تقدّم، يطلب صاحب البلاغ أن تجعل الدولة الطرف عقوبته تتوافق مع قرار المحكمة الدستورية الصادر في 2 شباط/فبراير 1999 مثلما فعلت محكمة مدينة زلاتوست في قضية السيد د. فإن تعذّر ذلك، فإنه يطلب مراجعة العقوبة وإسقاطها </w:t>
      </w:r>
      <w:r w:rsidR="009A03F8">
        <w:rPr>
          <w:rFonts w:ascii="Traditional Arabic" w:hAnsi="Traditional Arabic" w:hint="cs"/>
          <w:sz w:val="30"/>
          <w:rtl/>
        </w:rPr>
        <w:t xml:space="preserve">وإحالة القضية </w:t>
      </w:r>
      <w:r>
        <w:rPr>
          <w:rFonts w:ascii="Traditional Arabic" w:hAnsi="Traditional Arabic" w:hint="cs"/>
          <w:sz w:val="30"/>
          <w:rtl/>
        </w:rPr>
        <w:t>إلى محكمة مورمانسك الإقليمية كي تعيد النظر فيها بمشاركة هيئة محلفين، وذلك وفق</w:t>
      </w:r>
      <w:r w:rsidR="00D152F4">
        <w:rPr>
          <w:rFonts w:ascii="Traditional Arabic" w:hAnsi="Traditional Arabic" w:hint="cs"/>
          <w:sz w:val="30"/>
          <w:rtl/>
        </w:rPr>
        <w:t xml:space="preserve">اً </w:t>
      </w:r>
      <w:r>
        <w:rPr>
          <w:rFonts w:ascii="Traditional Arabic" w:hAnsi="Traditional Arabic" w:hint="cs"/>
          <w:sz w:val="30"/>
          <w:rtl/>
        </w:rPr>
        <w:t>للقرار المذكور، نظر</w:t>
      </w:r>
      <w:r w:rsidR="00D152F4">
        <w:rPr>
          <w:rFonts w:ascii="Traditional Arabic" w:hAnsi="Traditional Arabic" w:hint="cs"/>
          <w:sz w:val="30"/>
          <w:rtl/>
        </w:rPr>
        <w:t xml:space="preserve">اً </w:t>
      </w:r>
      <w:r>
        <w:rPr>
          <w:rFonts w:ascii="Traditional Arabic" w:hAnsi="Traditional Arabic" w:hint="cs"/>
          <w:sz w:val="30"/>
          <w:rtl/>
        </w:rPr>
        <w:t xml:space="preserve">إلى أن إمكانية مشاركة هيئات محلفين في المحاكمات </w:t>
      </w:r>
      <w:r w:rsidR="009A03F8">
        <w:rPr>
          <w:rFonts w:ascii="Traditional Arabic" w:hAnsi="Traditional Arabic" w:hint="cs"/>
          <w:sz w:val="30"/>
          <w:rtl/>
        </w:rPr>
        <w:t xml:space="preserve">قد </w:t>
      </w:r>
      <w:r>
        <w:rPr>
          <w:rFonts w:ascii="Traditional Arabic" w:hAnsi="Traditional Arabic" w:hint="cs"/>
          <w:sz w:val="30"/>
          <w:rtl/>
        </w:rPr>
        <w:t>أتيحت في جميع أرجاء الاتحاد الروسي منذ 1 كانون الثاني/يناير 2010.</w:t>
      </w:r>
    </w:p>
    <w:p w:rsidR="00E32FA5" w:rsidRDefault="00E32FA5" w:rsidP="00E32FA5">
      <w:pPr>
        <w:pStyle w:val="SingleTxtGA"/>
        <w:rPr>
          <w:rFonts w:ascii="Traditional Arabic" w:hAnsi="Traditional Arabic" w:hint="cs"/>
          <w:sz w:val="30"/>
          <w:rtl/>
        </w:rPr>
      </w:pPr>
      <w:r>
        <w:rPr>
          <w:rFonts w:ascii="Traditional Arabic" w:hAnsi="Traditional Arabic" w:hint="cs"/>
          <w:sz w:val="30"/>
          <w:rtl/>
        </w:rPr>
        <w:t>5-7</w:t>
      </w:r>
      <w:r>
        <w:rPr>
          <w:rFonts w:ascii="Traditional Arabic" w:hAnsi="Traditional Arabic" w:hint="cs"/>
          <w:sz w:val="30"/>
          <w:rtl/>
        </w:rPr>
        <w:tab/>
        <w:t>ودعم صاحب البلاغ تعليقاته برسالة مفتوحة موجهة إلى رئيس المحكمة العليا بواسطة محام من ستافروبول، في روسيا، تشير إلى صعوبات تطبيق قرار المحكمة الدستورية المؤرخ 2 شباط/فبراير 1999 على أحكام الإعدام التي أصبحت نهائية قبل هذا التاريخ.</w:t>
      </w:r>
    </w:p>
    <w:p w:rsidR="00E32FA5" w:rsidRPr="00DB3212" w:rsidRDefault="009A03F8" w:rsidP="009A03F8">
      <w:pPr>
        <w:pStyle w:val="H23GA"/>
        <w:rPr>
          <w:rFonts w:hint="cs"/>
          <w:rtl/>
        </w:rPr>
      </w:pPr>
      <w:r>
        <w:rPr>
          <w:rFonts w:hint="cs"/>
          <w:rtl/>
        </w:rPr>
        <w:tab/>
      </w:r>
      <w:r>
        <w:rPr>
          <w:rFonts w:hint="cs"/>
          <w:rtl/>
        </w:rPr>
        <w:tab/>
      </w:r>
      <w:r w:rsidR="00E32FA5">
        <w:rPr>
          <w:rFonts w:hint="cs"/>
          <w:rtl/>
        </w:rPr>
        <w:t>ال</w:t>
      </w:r>
      <w:r w:rsidR="00E32FA5" w:rsidRPr="00DB3212">
        <w:rPr>
          <w:rFonts w:hint="cs"/>
          <w:rtl/>
        </w:rPr>
        <w:t xml:space="preserve">ملاحظات </w:t>
      </w:r>
      <w:r w:rsidR="00E32FA5">
        <w:rPr>
          <w:rFonts w:hint="cs"/>
          <w:rtl/>
        </w:rPr>
        <w:t>ال</w:t>
      </w:r>
      <w:r w:rsidR="00E32FA5" w:rsidRPr="00DB3212">
        <w:rPr>
          <w:rFonts w:hint="cs"/>
          <w:rtl/>
        </w:rPr>
        <w:t>إضافية</w:t>
      </w:r>
      <w:r w:rsidR="00E32FA5">
        <w:rPr>
          <w:rFonts w:hint="cs"/>
          <w:rtl/>
        </w:rPr>
        <w:t xml:space="preserve"> المقدمة</w:t>
      </w:r>
      <w:r w:rsidR="00E32FA5" w:rsidRPr="00DB3212">
        <w:rPr>
          <w:rFonts w:hint="cs"/>
          <w:rtl/>
        </w:rPr>
        <w:t xml:space="preserve"> من الدولة الطرف</w:t>
      </w:r>
    </w:p>
    <w:p w:rsidR="00E32FA5" w:rsidRDefault="00E32FA5" w:rsidP="009A03F8">
      <w:pPr>
        <w:pStyle w:val="SingleTxtGA"/>
        <w:rPr>
          <w:rFonts w:ascii="Traditional Arabic" w:hAnsi="Traditional Arabic" w:hint="cs"/>
          <w:sz w:val="30"/>
          <w:rtl/>
        </w:rPr>
      </w:pPr>
      <w:r>
        <w:rPr>
          <w:rFonts w:ascii="Traditional Arabic" w:hAnsi="Traditional Arabic" w:hint="cs"/>
          <w:sz w:val="30"/>
          <w:rtl/>
        </w:rPr>
        <w:t>6-1</w:t>
      </w:r>
      <w:r>
        <w:rPr>
          <w:rFonts w:ascii="Traditional Arabic" w:hAnsi="Traditional Arabic" w:hint="cs"/>
          <w:sz w:val="30"/>
          <w:rtl/>
        </w:rPr>
        <w:tab/>
        <w:t xml:space="preserve">في </w:t>
      </w:r>
      <w:r w:rsidR="009A03F8">
        <w:rPr>
          <w:rFonts w:ascii="Traditional Arabic" w:hAnsi="Traditional Arabic" w:hint="cs"/>
          <w:sz w:val="30"/>
          <w:rtl/>
        </w:rPr>
        <w:t xml:space="preserve">مذكرة </w:t>
      </w:r>
      <w:r>
        <w:rPr>
          <w:rFonts w:ascii="Traditional Arabic" w:hAnsi="Traditional Arabic" w:hint="cs"/>
          <w:sz w:val="30"/>
          <w:rtl/>
        </w:rPr>
        <w:t xml:space="preserve">شفوية مؤرخة 21 شباط/فبراير 2011، </w:t>
      </w:r>
      <w:r w:rsidR="009A03F8">
        <w:rPr>
          <w:rFonts w:ascii="Traditional Arabic" w:hAnsi="Traditional Arabic" w:hint="cs"/>
          <w:sz w:val="30"/>
          <w:rtl/>
        </w:rPr>
        <w:t xml:space="preserve">أفادت </w:t>
      </w:r>
      <w:r>
        <w:rPr>
          <w:rFonts w:ascii="Traditional Arabic" w:hAnsi="Traditional Arabic" w:hint="cs"/>
          <w:sz w:val="30"/>
          <w:rtl/>
        </w:rPr>
        <w:t xml:space="preserve">الدولة الطرف </w:t>
      </w:r>
      <w:r w:rsidR="009A03F8">
        <w:rPr>
          <w:rFonts w:ascii="Traditional Arabic" w:hAnsi="Traditional Arabic" w:hint="cs"/>
          <w:sz w:val="30"/>
          <w:rtl/>
        </w:rPr>
        <w:t>ب</w:t>
      </w:r>
      <w:r>
        <w:rPr>
          <w:rFonts w:ascii="Traditional Arabic" w:hAnsi="Traditional Arabic" w:hint="cs"/>
          <w:sz w:val="30"/>
          <w:rtl/>
        </w:rPr>
        <w:t xml:space="preserve">أن صاحب البلاغ يقضي عقوبة </w:t>
      </w:r>
      <w:r w:rsidR="009A03F8">
        <w:rPr>
          <w:rFonts w:ascii="Traditional Arabic" w:hAnsi="Traditional Arabic" w:hint="cs"/>
          <w:sz w:val="30"/>
          <w:rtl/>
        </w:rPr>
        <w:t xml:space="preserve">السجن </w:t>
      </w:r>
      <w:r>
        <w:rPr>
          <w:rFonts w:ascii="Traditional Arabic" w:hAnsi="Traditional Arabic" w:hint="cs"/>
          <w:sz w:val="30"/>
          <w:rtl/>
        </w:rPr>
        <w:t>منذ 23 أيار/مايو 2001 في السجن رقم 6 التابع لإدارة ال</w:t>
      </w:r>
      <w:r w:rsidR="009A03F8">
        <w:rPr>
          <w:rFonts w:ascii="Traditional Arabic" w:hAnsi="Traditional Arabic" w:hint="cs"/>
          <w:sz w:val="30"/>
          <w:rtl/>
        </w:rPr>
        <w:t xml:space="preserve">سجون الاتحادية في منطقة أورنبرغ، وقد أرسل </w:t>
      </w:r>
      <w:r>
        <w:rPr>
          <w:rFonts w:ascii="Traditional Arabic" w:hAnsi="Traditional Arabic" w:hint="cs"/>
          <w:sz w:val="30"/>
          <w:rtl/>
        </w:rPr>
        <w:t>في أثناء هذه الفترة 87 رسالة إلى سلطات محلية ومنظمات غير حكومية شتى، منها ثلاث رسائل إلى اللجنة</w:t>
      </w:r>
      <w:r>
        <w:rPr>
          <w:rFonts w:ascii="Traditional Arabic" w:hAnsi="Traditional Arabic"/>
          <w:sz w:val="30"/>
          <w:vertAlign w:val="superscript"/>
          <w:rtl/>
        </w:rPr>
        <w:t>(</w:t>
      </w:r>
      <w:r>
        <w:rPr>
          <w:rStyle w:val="FootnoteReference"/>
          <w:rtl/>
        </w:rPr>
        <w:footnoteReference w:id="20"/>
      </w:r>
      <w:r w:rsidRPr="00AE6042">
        <w:rPr>
          <w:rFonts w:ascii="Traditional Arabic" w:hAnsi="Traditional Arabic"/>
          <w:sz w:val="30"/>
          <w:vertAlign w:val="superscript"/>
          <w:rtl/>
        </w:rPr>
        <w:t>)</w:t>
      </w:r>
      <w:r>
        <w:rPr>
          <w:rFonts w:ascii="Traditional Arabic" w:hAnsi="Traditional Arabic" w:hint="cs"/>
          <w:sz w:val="30"/>
          <w:rtl/>
        </w:rPr>
        <w:t xml:space="preserve"> ورسالة إلى منظمة الأمم المتحدة</w:t>
      </w:r>
      <w:r>
        <w:rPr>
          <w:rFonts w:ascii="Traditional Arabic" w:hAnsi="Traditional Arabic"/>
          <w:sz w:val="30"/>
          <w:vertAlign w:val="superscript"/>
          <w:rtl/>
        </w:rPr>
        <w:t>(</w:t>
      </w:r>
      <w:r>
        <w:rPr>
          <w:rStyle w:val="FootnoteReference"/>
          <w:rtl/>
        </w:rPr>
        <w:footnoteReference w:id="21"/>
      </w:r>
      <w:r w:rsidRPr="00DD3ECA">
        <w:rPr>
          <w:rFonts w:ascii="Traditional Arabic" w:hAnsi="Traditional Arabic"/>
          <w:sz w:val="30"/>
          <w:vertAlign w:val="superscript"/>
          <w:rtl/>
        </w:rPr>
        <w:t>)</w:t>
      </w:r>
      <w:r>
        <w:rPr>
          <w:rFonts w:ascii="Traditional Arabic" w:hAnsi="Traditional Arabic" w:hint="cs"/>
          <w:sz w:val="30"/>
          <w:rtl/>
        </w:rPr>
        <w:t>. ولم تسجل إدارة السجن أي تأخير في معالجة مراسلات صاحب البلاغ أو إرسالها. وكان صاحب البلاغ يبلَّغ حسب الأصول بأن رسائله أرسلت، والأمر الذي يؤكده توقيعه على المستندات المؤيدة. وتقول إدارة السجون إنها لم تتلق أي رسالة موجهة من اللجنة إلى صاحب البلاغ.</w:t>
      </w:r>
    </w:p>
    <w:p w:rsidR="00E32FA5" w:rsidRDefault="00E32FA5" w:rsidP="009A03F8">
      <w:pPr>
        <w:pStyle w:val="SingleTxtGA"/>
        <w:rPr>
          <w:rFonts w:ascii="Traditional Arabic" w:hAnsi="Traditional Arabic" w:hint="cs"/>
          <w:sz w:val="30"/>
          <w:rtl/>
        </w:rPr>
      </w:pPr>
      <w:r>
        <w:rPr>
          <w:rFonts w:ascii="Traditional Arabic" w:hAnsi="Traditional Arabic" w:hint="cs"/>
          <w:sz w:val="30"/>
          <w:rtl/>
        </w:rPr>
        <w:t>6-2</w:t>
      </w:r>
      <w:r>
        <w:rPr>
          <w:rFonts w:ascii="Traditional Arabic" w:hAnsi="Traditional Arabic" w:hint="cs"/>
          <w:sz w:val="30"/>
          <w:rtl/>
        </w:rPr>
        <w:tab/>
        <w:t>وت</w:t>
      </w:r>
      <w:r w:rsidR="009A03F8">
        <w:rPr>
          <w:rFonts w:ascii="Traditional Arabic" w:hAnsi="Traditional Arabic" w:hint="cs"/>
          <w:sz w:val="30"/>
          <w:rtl/>
        </w:rPr>
        <w:t xml:space="preserve">قول </w:t>
      </w:r>
      <w:r>
        <w:rPr>
          <w:rFonts w:ascii="Traditional Arabic" w:hAnsi="Traditional Arabic" w:hint="cs"/>
          <w:sz w:val="30"/>
          <w:rtl/>
        </w:rPr>
        <w:t>الدولة الطرف أيض</w:t>
      </w:r>
      <w:r w:rsidR="00D152F4">
        <w:rPr>
          <w:rFonts w:ascii="Traditional Arabic" w:hAnsi="Traditional Arabic" w:hint="cs"/>
          <w:sz w:val="30"/>
          <w:rtl/>
        </w:rPr>
        <w:t xml:space="preserve">اً </w:t>
      </w:r>
      <w:r w:rsidR="009A03F8">
        <w:rPr>
          <w:rFonts w:ascii="Traditional Arabic" w:hAnsi="Traditional Arabic" w:hint="cs"/>
          <w:sz w:val="30"/>
          <w:rtl/>
        </w:rPr>
        <w:t xml:space="preserve">إن </w:t>
      </w:r>
      <w:r>
        <w:rPr>
          <w:rFonts w:ascii="Traditional Arabic" w:hAnsi="Traditional Arabic" w:hint="cs"/>
          <w:sz w:val="30"/>
          <w:rtl/>
        </w:rPr>
        <w:t>صاحب البلاغ لم يشتك قط من أي تدخل في إرسال رسائله أو تلقيها عندما كان محبوس</w:t>
      </w:r>
      <w:r w:rsidR="00D152F4">
        <w:rPr>
          <w:rFonts w:ascii="Traditional Arabic" w:hAnsi="Traditional Arabic" w:hint="cs"/>
          <w:sz w:val="30"/>
          <w:rtl/>
        </w:rPr>
        <w:t xml:space="preserve">اً </w:t>
      </w:r>
      <w:r>
        <w:rPr>
          <w:rFonts w:ascii="Traditional Arabic" w:hAnsi="Traditional Arabic" w:hint="cs"/>
          <w:sz w:val="30"/>
          <w:rtl/>
        </w:rPr>
        <w:t>في السجن رقم 6. يضاف إلى ذلك أن م</w:t>
      </w:r>
      <w:r w:rsidR="009A03F8">
        <w:rPr>
          <w:rFonts w:ascii="Traditional Arabic" w:hAnsi="Traditional Arabic" w:hint="cs"/>
          <w:sz w:val="30"/>
          <w:rtl/>
        </w:rPr>
        <w:t xml:space="preserve">راقبة الخدمة من قبل سلطات السجن، عقب استفسار من قبل </w:t>
      </w:r>
      <w:r>
        <w:rPr>
          <w:rFonts w:ascii="Traditional Arabic" w:hAnsi="Traditional Arabic" w:hint="cs"/>
          <w:sz w:val="30"/>
          <w:rtl/>
        </w:rPr>
        <w:t>اللجنة</w:t>
      </w:r>
      <w:r>
        <w:rPr>
          <w:rFonts w:ascii="Traditional Arabic" w:hAnsi="Traditional Arabic"/>
          <w:sz w:val="30"/>
          <w:vertAlign w:val="superscript"/>
          <w:rtl/>
        </w:rPr>
        <w:t>(</w:t>
      </w:r>
      <w:r>
        <w:rPr>
          <w:rStyle w:val="FootnoteReference"/>
          <w:rtl/>
        </w:rPr>
        <w:footnoteReference w:id="22"/>
      </w:r>
      <w:r w:rsidRPr="00941C64">
        <w:rPr>
          <w:rFonts w:ascii="Traditional Arabic" w:hAnsi="Traditional Arabic"/>
          <w:sz w:val="30"/>
          <w:vertAlign w:val="superscript"/>
          <w:rtl/>
        </w:rPr>
        <w:t>)</w:t>
      </w:r>
      <w:r>
        <w:rPr>
          <w:rFonts w:ascii="Traditional Arabic" w:hAnsi="Traditional Arabic" w:hint="cs"/>
          <w:sz w:val="30"/>
          <w:rtl/>
        </w:rPr>
        <w:t xml:space="preserve"> لم تثبت أي انتهاك لحقوق صاحب البلاغ في الاقتراح وتقديم الطلبات ورفع الشكاوى، </w:t>
      </w:r>
      <w:r w:rsidR="009A03F8">
        <w:rPr>
          <w:rFonts w:ascii="Traditional Arabic" w:hAnsi="Traditional Arabic" w:hint="cs"/>
          <w:sz w:val="30"/>
          <w:rtl/>
        </w:rPr>
        <w:t xml:space="preserve">وهي الحقوق </w:t>
      </w:r>
      <w:r>
        <w:rPr>
          <w:rFonts w:ascii="Traditional Arabic" w:hAnsi="Traditional Arabic" w:hint="cs"/>
          <w:sz w:val="30"/>
          <w:rtl/>
        </w:rPr>
        <w:t>المنصوص عليها في المادة 12 من قانون الإجراءات الجنائية الروسي.</w:t>
      </w:r>
    </w:p>
    <w:p w:rsidR="00E32FA5" w:rsidRPr="002F6ACE" w:rsidRDefault="009A03F8" w:rsidP="009A03F8">
      <w:pPr>
        <w:pStyle w:val="H23GA"/>
        <w:rPr>
          <w:rFonts w:hint="cs"/>
          <w:rtl/>
        </w:rPr>
      </w:pPr>
      <w:r>
        <w:rPr>
          <w:rFonts w:hint="cs"/>
          <w:rtl/>
        </w:rPr>
        <w:tab/>
      </w:r>
      <w:r>
        <w:rPr>
          <w:rFonts w:hint="cs"/>
          <w:rtl/>
        </w:rPr>
        <w:tab/>
      </w:r>
      <w:r w:rsidR="00E32FA5">
        <w:rPr>
          <w:rFonts w:hint="cs"/>
          <w:rtl/>
        </w:rPr>
        <w:t>التعليقات</w:t>
      </w:r>
      <w:r w:rsidR="00E32FA5" w:rsidRPr="002F6ACE">
        <w:rPr>
          <w:rFonts w:hint="cs"/>
          <w:rtl/>
        </w:rPr>
        <w:t xml:space="preserve"> الإضافية المقدمة من صاحب البلاغ</w:t>
      </w:r>
    </w:p>
    <w:p w:rsidR="00E32FA5" w:rsidRDefault="00E32FA5" w:rsidP="00E32FA5">
      <w:pPr>
        <w:pStyle w:val="SingleTxtGA"/>
        <w:rPr>
          <w:rFonts w:ascii="Traditional Arabic" w:hAnsi="Traditional Arabic" w:hint="cs"/>
          <w:sz w:val="30"/>
          <w:rtl/>
        </w:rPr>
      </w:pPr>
      <w:r>
        <w:rPr>
          <w:rFonts w:ascii="Traditional Arabic" w:hAnsi="Traditional Arabic" w:hint="cs"/>
          <w:sz w:val="30"/>
          <w:rtl/>
        </w:rPr>
        <w:t>7-1</w:t>
      </w:r>
      <w:r>
        <w:rPr>
          <w:rFonts w:ascii="Traditional Arabic" w:hAnsi="Traditional Arabic" w:hint="cs"/>
          <w:sz w:val="30"/>
          <w:rtl/>
        </w:rPr>
        <w:tab/>
        <w:t>في 6 كانون الأول/ديسمبر 2011، أضاف صاحب البلاغ أنه تلقى خمس رسائل من اللجنة تطلب إليه تقديم تعليقات على ملاحظات الدولة الطرف. و</w:t>
      </w:r>
      <w:r w:rsidR="009A03F8">
        <w:rPr>
          <w:rFonts w:ascii="Traditional Arabic" w:hAnsi="Traditional Arabic" w:hint="cs"/>
          <w:sz w:val="30"/>
          <w:rtl/>
        </w:rPr>
        <w:t xml:space="preserve">قد </w:t>
      </w:r>
      <w:r>
        <w:rPr>
          <w:rFonts w:ascii="Traditional Arabic" w:hAnsi="Traditional Arabic" w:hint="cs"/>
          <w:sz w:val="30"/>
          <w:rtl/>
        </w:rPr>
        <w:t>وصلت إليه الرسالة الأخيرة يوم 2 كانون الأول/ديسمبر 2011. وأشار إلى أنه رد على الرسائل الأربع الأولى، وهذا ما تؤكده جزئي</w:t>
      </w:r>
      <w:r w:rsidR="00D152F4">
        <w:rPr>
          <w:rFonts w:ascii="Traditional Arabic" w:hAnsi="Traditional Arabic" w:hint="cs"/>
          <w:sz w:val="30"/>
          <w:rtl/>
        </w:rPr>
        <w:t xml:space="preserve">اً </w:t>
      </w:r>
      <w:r>
        <w:rPr>
          <w:rFonts w:ascii="Traditional Arabic" w:hAnsi="Traditional Arabic" w:hint="cs"/>
          <w:sz w:val="30"/>
          <w:rtl/>
        </w:rPr>
        <w:t>ملاحظات الدولة الطرف</w:t>
      </w:r>
      <w:r w:rsidR="009A03F8">
        <w:rPr>
          <w:rFonts w:ascii="Traditional Arabic" w:hAnsi="Traditional Arabic" w:hint="cs"/>
          <w:sz w:val="30"/>
          <w:rtl/>
        </w:rPr>
        <w:t xml:space="preserve"> المقدمة</w:t>
      </w:r>
      <w:r>
        <w:rPr>
          <w:rFonts w:ascii="Traditional Arabic" w:hAnsi="Traditional Arabic" w:hint="cs"/>
          <w:sz w:val="30"/>
          <w:rtl/>
        </w:rPr>
        <w:t xml:space="preserve"> بتاريخ 21 شباط/فبراير 2011.</w:t>
      </w:r>
    </w:p>
    <w:p w:rsidR="00E32FA5" w:rsidRDefault="00E32FA5" w:rsidP="009A03F8">
      <w:pPr>
        <w:pStyle w:val="SingleTxtGA"/>
        <w:rPr>
          <w:rFonts w:ascii="Traditional Arabic" w:hAnsi="Traditional Arabic" w:hint="cs"/>
          <w:sz w:val="30"/>
          <w:rtl/>
        </w:rPr>
      </w:pPr>
      <w:r w:rsidRPr="008D5A20">
        <w:rPr>
          <w:rFonts w:ascii="Traditional Arabic" w:hAnsi="Traditional Arabic" w:hint="cs"/>
          <w:spacing w:val="-2"/>
          <w:sz w:val="30"/>
          <w:rtl/>
        </w:rPr>
        <w:t>7-2</w:t>
      </w:r>
      <w:r w:rsidRPr="008D5A20">
        <w:rPr>
          <w:rFonts w:ascii="Traditional Arabic" w:hAnsi="Traditional Arabic" w:hint="cs"/>
          <w:spacing w:val="-2"/>
          <w:sz w:val="30"/>
          <w:rtl/>
        </w:rPr>
        <w:tab/>
        <w:t>ويؤكد صاحب البلاغ ما ذكرته الدولة الطرف من أنه بعث ثلاث رسائل إلى اللجنة</w:t>
      </w:r>
      <w:r w:rsidRPr="008D5A20">
        <w:rPr>
          <w:rFonts w:ascii="Traditional Arabic" w:hAnsi="Traditional Arabic" w:hint="cs"/>
          <w:spacing w:val="-4"/>
          <w:sz w:val="30"/>
          <w:rtl/>
        </w:rPr>
        <w:t xml:space="preserve"> بواسطة سلطات السجن رقم 6. وتضمنت تلك الرسائل تعليقاته على ملاحظات الدولة الطرف المؤرخة 22 تموز/يوليه 2008. وكانت الرسالة الأخيرة مسجل</w:t>
      </w:r>
      <w:r w:rsidR="005512AF" w:rsidRPr="008D5A20">
        <w:rPr>
          <w:rFonts w:ascii="Traditional Arabic" w:hAnsi="Traditional Arabic" w:hint="cs"/>
          <w:spacing w:val="-4"/>
          <w:sz w:val="30"/>
          <w:rtl/>
        </w:rPr>
        <w:t>ـ</w:t>
      </w:r>
      <w:r w:rsidRPr="008D5A20">
        <w:rPr>
          <w:rFonts w:ascii="Traditional Arabic" w:hAnsi="Traditional Arabic" w:hint="cs"/>
          <w:spacing w:val="-4"/>
          <w:sz w:val="30"/>
          <w:rtl/>
        </w:rPr>
        <w:t xml:space="preserve">ة بالرقم </w:t>
      </w:r>
      <w:r w:rsidRPr="008D5A20">
        <w:rPr>
          <w:spacing w:val="-4"/>
        </w:rPr>
        <w:t>56/5 A-54</w:t>
      </w:r>
      <w:r w:rsidRPr="008D5A20">
        <w:rPr>
          <w:rFonts w:ascii="Traditional Arabic" w:hAnsi="Traditional Arabic" w:hint="cs"/>
          <w:spacing w:val="-4"/>
          <w:sz w:val="30"/>
          <w:rtl/>
        </w:rPr>
        <w:t xml:space="preserve"> وأرسلت يوم 28 تموز/يوليه 2010. وأرسل صاحب البلاغ نسخ</w:t>
      </w:r>
      <w:r w:rsidR="00D152F4" w:rsidRPr="008D5A20">
        <w:rPr>
          <w:rFonts w:ascii="Traditional Arabic" w:hAnsi="Traditional Arabic" w:hint="cs"/>
          <w:spacing w:val="-4"/>
          <w:sz w:val="30"/>
          <w:rtl/>
        </w:rPr>
        <w:t xml:space="preserve">اً </w:t>
      </w:r>
      <w:r w:rsidRPr="008D5A20">
        <w:rPr>
          <w:rFonts w:ascii="Traditional Arabic" w:hAnsi="Traditional Arabic" w:hint="cs"/>
          <w:spacing w:val="-4"/>
          <w:sz w:val="30"/>
          <w:rtl/>
        </w:rPr>
        <w:t>من هذه الرسائل إلى أخته</w:t>
      </w:r>
      <w:r>
        <w:rPr>
          <w:rFonts w:ascii="Traditional Arabic" w:hAnsi="Traditional Arabic" w:hint="cs"/>
          <w:sz w:val="30"/>
          <w:rtl/>
        </w:rPr>
        <w:t xml:space="preserve"> وطلب </w:t>
      </w:r>
      <w:r w:rsidR="009A03F8">
        <w:rPr>
          <w:rFonts w:ascii="Traditional Arabic" w:hAnsi="Traditional Arabic" w:hint="cs"/>
          <w:sz w:val="30"/>
          <w:rtl/>
        </w:rPr>
        <w:t>منها</w:t>
      </w:r>
      <w:r>
        <w:rPr>
          <w:rFonts w:ascii="Traditional Arabic" w:hAnsi="Traditional Arabic" w:hint="cs"/>
          <w:sz w:val="30"/>
          <w:rtl/>
        </w:rPr>
        <w:t xml:space="preserve"> أن تبعثها إلى اللجنة. ويبدو أن أخته لم </w:t>
      </w:r>
      <w:r w:rsidR="009A03F8">
        <w:rPr>
          <w:rFonts w:ascii="Traditional Arabic" w:hAnsi="Traditional Arabic" w:hint="cs"/>
          <w:sz w:val="30"/>
          <w:rtl/>
        </w:rPr>
        <w:t xml:space="preserve">تتلق تلك النسخ التي لم تصل </w:t>
      </w:r>
      <w:r w:rsidR="009A03F8" w:rsidRPr="009A03F8">
        <w:rPr>
          <w:rFonts w:ascii="Traditional Arabic" w:hAnsi="Traditional Arabic" w:hint="cs"/>
          <w:spacing w:val="-4"/>
          <w:sz w:val="30"/>
          <w:rtl/>
        </w:rPr>
        <w:t xml:space="preserve">إلى اللجنة أيضاً. </w:t>
      </w:r>
      <w:r w:rsidRPr="009A03F8">
        <w:rPr>
          <w:rFonts w:ascii="Traditional Arabic" w:hAnsi="Traditional Arabic" w:hint="cs"/>
          <w:spacing w:val="-4"/>
          <w:sz w:val="30"/>
          <w:rtl/>
        </w:rPr>
        <w:t>وعليه، اشتكت أخته من التدخل في مراسلاتها (في 31 آب/أغسطس</w:t>
      </w:r>
      <w:r>
        <w:rPr>
          <w:rFonts w:ascii="Traditional Arabic" w:hAnsi="Traditional Arabic" w:hint="cs"/>
          <w:sz w:val="30"/>
          <w:rtl/>
        </w:rPr>
        <w:t xml:space="preserve"> 2010) وطلبت اللجنة إلى الدولة الطرف التعليق على الوضع (في 24 تشرين الثاني/نوفمبر 2010).</w:t>
      </w:r>
    </w:p>
    <w:p w:rsidR="00E32FA5" w:rsidRDefault="00E32FA5" w:rsidP="00E32FA5">
      <w:pPr>
        <w:pStyle w:val="SingleTxtGA"/>
        <w:rPr>
          <w:rFonts w:ascii="Traditional Arabic" w:hAnsi="Traditional Arabic" w:hint="cs"/>
          <w:sz w:val="30"/>
          <w:rtl/>
        </w:rPr>
      </w:pPr>
      <w:r>
        <w:rPr>
          <w:rFonts w:ascii="Traditional Arabic" w:hAnsi="Traditional Arabic" w:hint="cs"/>
          <w:sz w:val="30"/>
          <w:rtl/>
        </w:rPr>
        <w:t>7-3</w:t>
      </w:r>
      <w:r>
        <w:rPr>
          <w:rFonts w:ascii="Traditional Arabic" w:hAnsi="Traditional Arabic" w:hint="cs"/>
          <w:sz w:val="30"/>
          <w:rtl/>
        </w:rPr>
        <w:tab/>
        <w:t>ويضيف صاحب البلاغ أن سلطات السجن رقم 6 أبلغته في مطلع كانون الأول/ديسمبر 2010 بطلب اللجنة المؤرخ 24 تشرين الثاني/نوفمبر 2010. وجاء في ملاحظات الدولة الطرف المؤرخة 21 شباط/فبراير 2011 أن صاحب البلاغ أكد خطي</w:t>
      </w:r>
      <w:r w:rsidR="00D152F4">
        <w:rPr>
          <w:rFonts w:ascii="Traditional Arabic" w:hAnsi="Traditional Arabic" w:hint="cs"/>
          <w:sz w:val="30"/>
          <w:rtl/>
        </w:rPr>
        <w:t xml:space="preserve">اً </w:t>
      </w:r>
      <w:r>
        <w:rPr>
          <w:rFonts w:ascii="Traditional Arabic" w:hAnsi="Traditional Arabic" w:hint="cs"/>
          <w:sz w:val="30"/>
          <w:rtl/>
        </w:rPr>
        <w:t>أن سلطات السجن لم تتدخل في مراسلاته، وبعثت جميع رسائله إلى اللجنة وإلى أخته وأبلغته بأرقام تسجيلها. ويؤكد صاحب البلاغ من جديد أنه عاجز عن تفسير سبب عدم وصول الرسائل إلى المرسَل إليهم.</w:t>
      </w:r>
    </w:p>
    <w:p w:rsidR="00E32FA5" w:rsidRPr="00DD3E8C" w:rsidRDefault="009A03F8" w:rsidP="009A03F8">
      <w:pPr>
        <w:pStyle w:val="H23GA"/>
        <w:rPr>
          <w:rFonts w:hint="cs"/>
          <w:rtl/>
        </w:rPr>
      </w:pPr>
      <w:r>
        <w:rPr>
          <w:rtl/>
        </w:rPr>
        <w:br w:type="page"/>
      </w:r>
      <w:r>
        <w:rPr>
          <w:rFonts w:hint="cs"/>
          <w:rtl/>
        </w:rPr>
        <w:tab/>
      </w:r>
      <w:r>
        <w:rPr>
          <w:rFonts w:hint="cs"/>
          <w:rtl/>
        </w:rPr>
        <w:tab/>
      </w:r>
      <w:r w:rsidR="00E32FA5" w:rsidRPr="00DD3E8C">
        <w:rPr>
          <w:rFonts w:hint="cs"/>
          <w:rtl/>
        </w:rPr>
        <w:t>المسائل والإجراءات المعروضة على اللجنة</w:t>
      </w:r>
    </w:p>
    <w:p w:rsidR="00E32FA5" w:rsidRPr="00DD3E8C" w:rsidRDefault="009A03F8" w:rsidP="009A03F8">
      <w:pPr>
        <w:pStyle w:val="H4GA"/>
        <w:rPr>
          <w:rFonts w:hint="cs"/>
          <w:rtl/>
        </w:rPr>
      </w:pPr>
      <w:r>
        <w:rPr>
          <w:rFonts w:hint="cs"/>
          <w:rtl/>
        </w:rPr>
        <w:tab/>
      </w:r>
      <w:r>
        <w:rPr>
          <w:rFonts w:hint="cs"/>
          <w:rtl/>
        </w:rPr>
        <w:tab/>
      </w:r>
      <w:r w:rsidR="00E32FA5" w:rsidRPr="00DD3E8C">
        <w:rPr>
          <w:rFonts w:hint="cs"/>
          <w:rtl/>
        </w:rPr>
        <w:t>النظر في المقبولية</w:t>
      </w:r>
    </w:p>
    <w:p w:rsidR="00E32FA5" w:rsidRDefault="00E32FA5" w:rsidP="00E32FA5">
      <w:pPr>
        <w:pStyle w:val="SingleTxtGA"/>
        <w:rPr>
          <w:rFonts w:ascii="Traditional Arabic" w:hAnsi="Traditional Arabic" w:hint="cs"/>
          <w:sz w:val="30"/>
          <w:rtl/>
        </w:rPr>
      </w:pPr>
      <w:r>
        <w:rPr>
          <w:rFonts w:ascii="Traditional Arabic" w:hAnsi="Traditional Arabic" w:hint="cs"/>
          <w:sz w:val="30"/>
          <w:rtl/>
        </w:rPr>
        <w:t>8-1</w:t>
      </w:r>
      <w:r>
        <w:rPr>
          <w:rFonts w:ascii="Traditional Arabic" w:hAnsi="Traditional Arabic" w:hint="cs"/>
          <w:sz w:val="30"/>
          <w:rtl/>
        </w:rPr>
        <w:tab/>
      </w:r>
      <w:r>
        <w:rPr>
          <w:rFonts w:hint="cs"/>
          <w:rtl/>
          <w:lang/>
        </w:rPr>
        <w:t>قبل النظر في أيّ ادعاءات ترد في بلاغ ما، يتعين على اللجنة المعنية بحقوق الإنسان، وفقاً للمادة 93 من نظامها الداخلي، أن تقرر ما إذا كان البلاغ مقبولاً أم لا بموجب البروتوكول الاختياري الملحق بالعهد.</w:t>
      </w:r>
    </w:p>
    <w:p w:rsidR="00E32FA5" w:rsidRDefault="00E32FA5" w:rsidP="00AA5323">
      <w:pPr>
        <w:pStyle w:val="SingleTxtGA"/>
        <w:rPr>
          <w:rFonts w:hint="cs"/>
          <w:rtl/>
        </w:rPr>
      </w:pPr>
      <w:r>
        <w:rPr>
          <w:rFonts w:ascii="Traditional Arabic" w:hAnsi="Traditional Arabic" w:hint="cs"/>
          <w:sz w:val="30"/>
          <w:rtl/>
        </w:rPr>
        <w:t>8-2</w:t>
      </w:r>
      <w:r>
        <w:rPr>
          <w:rFonts w:ascii="Traditional Arabic" w:hAnsi="Traditional Arabic" w:hint="cs"/>
          <w:sz w:val="30"/>
          <w:rtl/>
        </w:rPr>
        <w:tab/>
      </w:r>
      <w:r>
        <w:rPr>
          <w:rFonts w:hint="cs"/>
          <w:rtl/>
        </w:rPr>
        <w:t>و</w:t>
      </w:r>
      <w:r>
        <w:rPr>
          <w:rFonts w:hint="cs"/>
          <w:rtl/>
          <w:lang/>
        </w:rPr>
        <w:t xml:space="preserve">قد تيقنت اللجنة، وفق ما تقتضيه الفقرة 2(أ) من المادة 5 من البروتوكول الاختياري، من أن المسألة نفسها ليست قيد البحث في إطار أي إجراء آخر من إجراءات التحقيق الدولي أو التسوية الدولية. وتشير </w:t>
      </w:r>
      <w:r>
        <w:rPr>
          <w:rFonts w:hint="cs"/>
          <w:rtl/>
        </w:rPr>
        <w:t>اللجنة إلى أن شكوى مماثلة مقدمة من صاحب البلاغ قد رفضتها المحكمة الأوروبية لحقوق الإ</w:t>
      </w:r>
      <w:r w:rsidR="00AA5323">
        <w:rPr>
          <w:rFonts w:hint="cs"/>
          <w:rtl/>
        </w:rPr>
        <w:t>نسان بتاريخ 17 نيسان/أبريل 2009،</w:t>
      </w:r>
      <w:r>
        <w:rPr>
          <w:rFonts w:hint="cs"/>
          <w:rtl/>
        </w:rPr>
        <w:t xml:space="preserve"> لكنها تشير إلى أن المسألة لم تعد معلقة أمام أي إجراءات للتحقيق الدولي أو التسوية </w:t>
      </w:r>
      <w:r w:rsidR="00AA5323">
        <w:rPr>
          <w:rFonts w:hint="cs"/>
          <w:rtl/>
        </w:rPr>
        <w:t xml:space="preserve">الدولية </w:t>
      </w:r>
      <w:r>
        <w:rPr>
          <w:rFonts w:hint="cs"/>
          <w:rtl/>
        </w:rPr>
        <w:t>وأن الاتحاد الروسي لم يتحفظ على الفقرة 2(أ) من المادة 5 من البروتوكول الاختياري. وعليه، لا تمنع الفقرة 2(أ) من المادة 5 من البروتوكول الاختياري اللجنة من النظر في هذا البلاغ.</w:t>
      </w:r>
    </w:p>
    <w:p w:rsidR="00E32FA5" w:rsidRDefault="00E32FA5" w:rsidP="00AA5323">
      <w:pPr>
        <w:pStyle w:val="SingleTxtGA"/>
        <w:rPr>
          <w:rFonts w:ascii="Traditional Arabic" w:hAnsi="Traditional Arabic" w:hint="cs"/>
          <w:sz w:val="30"/>
          <w:rtl/>
        </w:rPr>
      </w:pPr>
      <w:r>
        <w:rPr>
          <w:rFonts w:hint="cs"/>
          <w:rtl/>
        </w:rPr>
        <w:t>8-3</w:t>
      </w:r>
      <w:r>
        <w:rPr>
          <w:rFonts w:hint="cs"/>
          <w:rtl/>
        </w:rPr>
        <w:tab/>
        <w:t xml:space="preserve">وتشير اللجنة إلى أن صاحب البلاغ يدعي </w:t>
      </w:r>
      <w:r w:rsidR="00AA5323">
        <w:rPr>
          <w:rFonts w:hint="cs"/>
          <w:rtl/>
        </w:rPr>
        <w:t xml:space="preserve">حدوث </w:t>
      </w:r>
      <w:r>
        <w:rPr>
          <w:rFonts w:hint="cs"/>
          <w:rtl/>
        </w:rPr>
        <w:t xml:space="preserve">انتهاك </w:t>
      </w:r>
      <w:r w:rsidR="00AA5323">
        <w:rPr>
          <w:rFonts w:hint="cs"/>
          <w:rtl/>
        </w:rPr>
        <w:t>ل</w:t>
      </w:r>
      <w:r>
        <w:rPr>
          <w:rFonts w:hint="cs"/>
          <w:rtl/>
        </w:rPr>
        <w:t xml:space="preserve">حقوقه في إطار المادة 2 من العهد دون أن يوضح طبيعة هذا الانتهاك. </w:t>
      </w:r>
      <w:r>
        <w:rPr>
          <w:rFonts w:hint="cs"/>
          <w:rtl/>
          <w:lang w:val="fr-CH"/>
        </w:rPr>
        <w:t xml:space="preserve">وتلاحظ اللجنة أن نص المادة 2 من العهد، الذي يحدد التزامات عامة للدول الأطراف، لا يمكن أن تنشأ عنه وحده بمعزل عن غيره مطالبة في بلاغ </w:t>
      </w:r>
      <w:r w:rsidR="00AA5323">
        <w:rPr>
          <w:rFonts w:hint="cs"/>
          <w:rtl/>
          <w:lang w:val="fr-CH"/>
        </w:rPr>
        <w:t xml:space="preserve">يُقدّم </w:t>
      </w:r>
      <w:r>
        <w:rPr>
          <w:rFonts w:hint="cs"/>
          <w:rtl/>
          <w:lang w:val="fr-CH"/>
        </w:rPr>
        <w:t>بموجب البروتوكول الاختياري</w:t>
      </w:r>
      <w:r>
        <w:rPr>
          <w:vertAlign w:val="superscript"/>
          <w:rtl/>
          <w:lang w:val="fr-CH"/>
        </w:rPr>
        <w:t>(</w:t>
      </w:r>
      <w:r>
        <w:rPr>
          <w:rStyle w:val="FootnoteReference"/>
          <w:rtl/>
          <w:lang w:val="fr-CH"/>
        </w:rPr>
        <w:footnoteReference w:id="23"/>
      </w:r>
      <w:r w:rsidRPr="00941C64">
        <w:rPr>
          <w:rFonts w:ascii="Traditional Arabic" w:hAnsi="Traditional Arabic"/>
          <w:sz w:val="30"/>
          <w:vertAlign w:val="superscript"/>
          <w:rtl/>
        </w:rPr>
        <w:t>)</w:t>
      </w:r>
      <w:r>
        <w:rPr>
          <w:rFonts w:ascii="Traditional Arabic" w:hAnsi="Traditional Arabic" w:hint="cs"/>
          <w:sz w:val="30"/>
          <w:rtl/>
        </w:rPr>
        <w:t xml:space="preserve">. </w:t>
      </w:r>
      <w:r w:rsidR="00AA5323">
        <w:rPr>
          <w:rFonts w:ascii="Traditional Arabic" w:hAnsi="Traditional Arabic" w:hint="cs"/>
          <w:sz w:val="30"/>
          <w:rtl/>
        </w:rPr>
        <w:t xml:space="preserve">إلا أنه </w:t>
      </w:r>
      <w:r>
        <w:rPr>
          <w:rFonts w:ascii="Traditional Arabic" w:hAnsi="Traditional Arabic" w:hint="cs"/>
          <w:sz w:val="30"/>
          <w:rtl/>
        </w:rPr>
        <w:t>ما دام صاحب البلاغ يحتج بالمادة 2 بمعية المادة 14 باعتبارهما أساس ادعائه ممارسة التمييز في حقه بحرمانه من الحق في محاكمة تشارك فيها هيئة محلفين، فإن اللجنة ترى الادعاء مدعم</w:t>
      </w:r>
      <w:r w:rsidR="00D152F4">
        <w:rPr>
          <w:rFonts w:ascii="Traditional Arabic" w:hAnsi="Traditional Arabic" w:hint="cs"/>
          <w:sz w:val="30"/>
          <w:rtl/>
        </w:rPr>
        <w:t xml:space="preserve">اً </w:t>
      </w:r>
      <w:r>
        <w:rPr>
          <w:rFonts w:ascii="Traditional Arabic" w:hAnsi="Traditional Arabic" w:hint="cs"/>
          <w:sz w:val="30"/>
          <w:rtl/>
        </w:rPr>
        <w:t>بما يكفي من الأدلة كي تنظر في مقبوليته.</w:t>
      </w:r>
    </w:p>
    <w:p w:rsidR="00E32FA5" w:rsidRDefault="00E32FA5" w:rsidP="00E32FA5">
      <w:pPr>
        <w:pStyle w:val="SingleTxtGA"/>
        <w:rPr>
          <w:rFonts w:ascii="Traditional Arabic" w:hAnsi="Traditional Arabic" w:hint="cs"/>
          <w:sz w:val="30"/>
          <w:rtl/>
          <w:lang/>
        </w:rPr>
      </w:pPr>
      <w:r>
        <w:rPr>
          <w:rFonts w:ascii="Traditional Arabic" w:hAnsi="Traditional Arabic" w:hint="cs"/>
          <w:sz w:val="30"/>
          <w:rtl/>
        </w:rPr>
        <w:t>8-4</w:t>
      </w:r>
      <w:r>
        <w:rPr>
          <w:rFonts w:ascii="Traditional Arabic" w:hAnsi="Traditional Arabic" w:hint="cs"/>
          <w:sz w:val="30"/>
          <w:rtl/>
        </w:rPr>
        <w:tab/>
        <w:t>وتحيط اللجنة علم</w:t>
      </w:r>
      <w:r w:rsidR="00D152F4">
        <w:rPr>
          <w:rFonts w:ascii="Traditional Arabic" w:hAnsi="Traditional Arabic" w:hint="cs"/>
          <w:sz w:val="30"/>
          <w:rtl/>
        </w:rPr>
        <w:t xml:space="preserve">اً </w:t>
      </w:r>
      <w:r>
        <w:rPr>
          <w:rFonts w:ascii="Traditional Arabic" w:hAnsi="Traditional Arabic" w:hint="cs"/>
          <w:sz w:val="30"/>
          <w:rtl/>
        </w:rPr>
        <w:t xml:space="preserve">بادعاء صاحب البلاغ أن حقوقه بموجب المادة 7 من العهد </w:t>
      </w:r>
      <w:r w:rsidR="00AA5323">
        <w:rPr>
          <w:rFonts w:ascii="Traditional Arabic" w:hAnsi="Traditional Arabic" w:hint="cs"/>
          <w:sz w:val="30"/>
          <w:rtl/>
        </w:rPr>
        <w:t xml:space="preserve">قد </w:t>
      </w:r>
      <w:r>
        <w:rPr>
          <w:rFonts w:ascii="Traditional Arabic" w:hAnsi="Traditional Arabic" w:hint="cs"/>
          <w:sz w:val="30"/>
          <w:rtl/>
        </w:rPr>
        <w:t xml:space="preserve">انتهكت. </w:t>
      </w:r>
      <w:r>
        <w:rPr>
          <w:rFonts w:ascii="Traditional Arabic" w:hAnsi="Traditional Arabic" w:hint="cs"/>
          <w:rtl/>
          <w:lang/>
        </w:rPr>
        <w:t xml:space="preserve">وفي غياب أيّ معلومات أو أدلة تدعم ادعاء صاحب البلاغ </w:t>
      </w:r>
      <w:r w:rsidR="00AA5323">
        <w:rPr>
          <w:rFonts w:ascii="Traditional Arabic" w:hAnsi="Traditional Arabic" w:hint="cs"/>
          <w:rtl/>
          <w:lang/>
        </w:rPr>
        <w:t xml:space="preserve">حدوث </w:t>
      </w:r>
      <w:r>
        <w:rPr>
          <w:rFonts w:ascii="Traditional Arabic" w:hAnsi="Traditional Arabic" w:hint="cs"/>
          <w:rtl/>
          <w:lang/>
        </w:rPr>
        <w:t xml:space="preserve">انتهاك </w:t>
      </w:r>
      <w:r w:rsidR="00AA5323">
        <w:rPr>
          <w:rFonts w:ascii="Traditional Arabic" w:hAnsi="Traditional Arabic" w:hint="cs"/>
          <w:rtl/>
          <w:lang/>
        </w:rPr>
        <w:t>ل</w:t>
      </w:r>
      <w:r>
        <w:rPr>
          <w:rFonts w:ascii="Traditional Arabic" w:hAnsi="Traditional Arabic" w:hint="cs"/>
          <w:rtl/>
          <w:lang/>
        </w:rPr>
        <w:t xml:space="preserve">حقوقه المنصوص عليها في المادة 7 من العهد، تستنتج اللجنة أن هذا الادعاء غير مدعم بأدلة كافية </w:t>
      </w:r>
      <w:r>
        <w:rPr>
          <w:rFonts w:hint="cs"/>
          <w:rtl/>
          <w:lang/>
        </w:rPr>
        <w:t>لأغراض المقبولية، وتعلن أن البلاغ غير مقبولٍ بموجب المادة 2 من البروتوكول الاختياري.</w:t>
      </w:r>
    </w:p>
    <w:p w:rsidR="00E32FA5" w:rsidRDefault="00E32FA5" w:rsidP="00AA5323">
      <w:pPr>
        <w:pStyle w:val="SingleTxtGA"/>
        <w:rPr>
          <w:rFonts w:ascii="Traditional Arabic" w:hAnsi="Traditional Arabic" w:hint="cs"/>
          <w:sz w:val="30"/>
          <w:rtl/>
          <w:lang/>
        </w:rPr>
      </w:pPr>
      <w:r>
        <w:rPr>
          <w:rFonts w:ascii="Traditional Arabic" w:hAnsi="Traditional Arabic" w:hint="cs"/>
          <w:sz w:val="30"/>
          <w:rtl/>
          <w:lang/>
        </w:rPr>
        <w:t>8-5</w:t>
      </w:r>
      <w:r>
        <w:rPr>
          <w:rFonts w:ascii="Traditional Arabic" w:hAnsi="Traditional Arabic" w:hint="cs"/>
          <w:sz w:val="30"/>
          <w:rtl/>
          <w:lang/>
        </w:rPr>
        <w:tab/>
        <w:t>وتحيط اللجنة علم</w:t>
      </w:r>
      <w:r w:rsidR="00D152F4">
        <w:rPr>
          <w:rFonts w:ascii="Traditional Arabic" w:hAnsi="Traditional Arabic" w:hint="cs"/>
          <w:sz w:val="30"/>
          <w:rtl/>
          <w:lang/>
        </w:rPr>
        <w:t xml:space="preserve">اً </w:t>
      </w:r>
      <w:r>
        <w:rPr>
          <w:rFonts w:ascii="Traditional Arabic" w:hAnsi="Traditional Arabic" w:hint="cs"/>
          <w:sz w:val="30"/>
          <w:rtl/>
          <w:lang/>
        </w:rPr>
        <w:t>أيض</w:t>
      </w:r>
      <w:r w:rsidR="00D152F4">
        <w:rPr>
          <w:rFonts w:ascii="Traditional Arabic" w:hAnsi="Traditional Arabic" w:hint="cs"/>
          <w:sz w:val="30"/>
          <w:rtl/>
          <w:lang/>
        </w:rPr>
        <w:t xml:space="preserve">اً </w:t>
      </w:r>
      <w:r>
        <w:rPr>
          <w:rFonts w:ascii="Traditional Arabic" w:hAnsi="Traditional Arabic" w:hint="cs"/>
          <w:sz w:val="30"/>
          <w:rtl/>
          <w:lang/>
        </w:rPr>
        <w:t xml:space="preserve">بادعاء أخت صاحب البلاغ المتعلق بالتدخل المزعوم من </w:t>
      </w:r>
      <w:r w:rsidR="00AA5323">
        <w:rPr>
          <w:rFonts w:ascii="Traditional Arabic" w:hAnsi="Traditional Arabic" w:hint="cs"/>
          <w:sz w:val="30"/>
          <w:rtl/>
          <w:lang/>
        </w:rPr>
        <w:t xml:space="preserve">قبل </w:t>
      </w:r>
      <w:r>
        <w:rPr>
          <w:rFonts w:ascii="Traditional Arabic" w:hAnsi="Traditional Arabic" w:hint="cs"/>
          <w:sz w:val="30"/>
          <w:rtl/>
          <w:lang/>
        </w:rPr>
        <w:t>سلطات السجن رقم 6 في مراسلات صاحب البلاغ المتصلة بهذا البلاغ، الأمر الذي قد يثير قضايا في إطار المادة 17 من العهد</w:t>
      </w:r>
      <w:r>
        <w:rPr>
          <w:rFonts w:ascii="Traditional Arabic" w:hAnsi="Traditional Arabic"/>
          <w:sz w:val="30"/>
          <w:vertAlign w:val="superscript"/>
          <w:rtl/>
          <w:lang/>
        </w:rPr>
        <w:t>(</w:t>
      </w:r>
      <w:r>
        <w:rPr>
          <w:rStyle w:val="FootnoteReference"/>
          <w:rtl/>
          <w:lang/>
        </w:rPr>
        <w:footnoteReference w:id="24"/>
      </w:r>
      <w:r w:rsidRPr="005A737A">
        <w:rPr>
          <w:rFonts w:ascii="Traditional Arabic" w:hAnsi="Traditional Arabic"/>
          <w:sz w:val="30"/>
          <w:vertAlign w:val="superscript"/>
          <w:rtl/>
          <w:lang/>
        </w:rPr>
        <w:t>)</w:t>
      </w:r>
      <w:r>
        <w:rPr>
          <w:rFonts w:ascii="Traditional Arabic" w:hAnsi="Traditional Arabic" w:hint="cs"/>
          <w:sz w:val="30"/>
          <w:rtl/>
          <w:lang/>
        </w:rPr>
        <w:t xml:space="preserve">. وتشير اللجنة إلى أن صاحب البلاغ لم يشتك قط من تدخل سلطات السجن رقم 6 في مراسلاته أثناء الفترة محل النظر، وهذا ما قالته الدولة الطرف واعترف به صاحب البلاغ. وتشير </w:t>
      </w:r>
      <w:r w:rsidR="00AA5323">
        <w:rPr>
          <w:rFonts w:ascii="Traditional Arabic" w:hAnsi="Traditional Arabic" w:hint="cs"/>
          <w:sz w:val="30"/>
          <w:rtl/>
          <w:lang/>
        </w:rPr>
        <w:t xml:space="preserve">اللجنة </w:t>
      </w:r>
      <w:r>
        <w:rPr>
          <w:rFonts w:ascii="Traditional Arabic" w:hAnsi="Traditional Arabic" w:hint="cs"/>
          <w:sz w:val="30"/>
          <w:rtl/>
          <w:lang/>
        </w:rPr>
        <w:t>أيض</w:t>
      </w:r>
      <w:r w:rsidR="00D152F4">
        <w:rPr>
          <w:rFonts w:ascii="Traditional Arabic" w:hAnsi="Traditional Arabic" w:hint="cs"/>
          <w:sz w:val="30"/>
          <w:rtl/>
          <w:lang/>
        </w:rPr>
        <w:t xml:space="preserve">اً </w:t>
      </w:r>
      <w:r>
        <w:rPr>
          <w:rFonts w:ascii="Traditional Arabic" w:hAnsi="Traditional Arabic" w:hint="cs"/>
          <w:sz w:val="30"/>
          <w:rtl/>
          <w:lang/>
        </w:rPr>
        <w:t>إلى أن الدولة الطرف أجرت تحقيق</w:t>
      </w:r>
      <w:r w:rsidR="00D152F4">
        <w:rPr>
          <w:rFonts w:ascii="Traditional Arabic" w:hAnsi="Traditional Arabic" w:hint="cs"/>
          <w:sz w:val="30"/>
          <w:rtl/>
          <w:lang/>
        </w:rPr>
        <w:t xml:space="preserve">اً </w:t>
      </w:r>
      <w:r>
        <w:rPr>
          <w:rFonts w:ascii="Traditional Arabic" w:hAnsi="Traditional Arabic" w:hint="cs"/>
          <w:sz w:val="30"/>
          <w:rtl/>
          <w:lang/>
        </w:rPr>
        <w:t>رسمي</w:t>
      </w:r>
      <w:r w:rsidR="00D152F4">
        <w:rPr>
          <w:rFonts w:ascii="Traditional Arabic" w:hAnsi="Traditional Arabic" w:hint="cs"/>
          <w:sz w:val="30"/>
          <w:rtl/>
          <w:lang/>
        </w:rPr>
        <w:t xml:space="preserve">اً </w:t>
      </w:r>
      <w:r>
        <w:rPr>
          <w:rFonts w:ascii="Traditional Arabic" w:hAnsi="Traditional Arabic" w:hint="cs"/>
          <w:sz w:val="30"/>
          <w:rtl/>
          <w:lang/>
        </w:rPr>
        <w:t xml:space="preserve">في هذه الادعاءات، وتبين أن سلطات السجن عالجت مراسلات صاحب البلاغ الواردة والصادرة وأرسلتها </w:t>
      </w:r>
      <w:r w:rsidR="00AA5323">
        <w:rPr>
          <w:rFonts w:ascii="Traditional Arabic" w:hAnsi="Traditional Arabic" w:hint="cs"/>
          <w:sz w:val="30"/>
          <w:rtl/>
          <w:lang/>
        </w:rPr>
        <w:t xml:space="preserve">في الوقت المناسب وأبلغته بذلك، </w:t>
      </w:r>
      <w:r>
        <w:rPr>
          <w:rFonts w:ascii="Traditional Arabic" w:hAnsi="Traditional Arabic" w:hint="cs"/>
          <w:sz w:val="30"/>
          <w:rtl/>
          <w:lang/>
        </w:rPr>
        <w:t>الأمر الذي يؤكده توقيعه</w:t>
      </w:r>
      <w:r>
        <w:rPr>
          <w:rFonts w:ascii="Traditional Arabic" w:hAnsi="Traditional Arabic"/>
          <w:sz w:val="30"/>
          <w:vertAlign w:val="superscript"/>
          <w:rtl/>
          <w:lang/>
        </w:rPr>
        <w:t>(</w:t>
      </w:r>
      <w:r>
        <w:rPr>
          <w:rStyle w:val="FootnoteReference"/>
          <w:rtl/>
          <w:lang/>
        </w:rPr>
        <w:footnoteReference w:id="25"/>
      </w:r>
      <w:r w:rsidRPr="00723A49">
        <w:rPr>
          <w:rFonts w:ascii="Traditional Arabic" w:hAnsi="Traditional Arabic"/>
          <w:sz w:val="30"/>
          <w:vertAlign w:val="superscript"/>
          <w:rtl/>
          <w:lang/>
        </w:rPr>
        <w:t>)</w:t>
      </w:r>
      <w:r>
        <w:rPr>
          <w:rFonts w:ascii="Traditional Arabic" w:hAnsi="Traditional Arabic" w:hint="cs"/>
          <w:sz w:val="30"/>
          <w:rtl/>
          <w:lang/>
        </w:rPr>
        <w:t xml:space="preserve">. وتلاحظ </w:t>
      </w:r>
      <w:r w:rsidR="00AA5323">
        <w:rPr>
          <w:rFonts w:ascii="Traditional Arabic" w:hAnsi="Traditional Arabic" w:hint="cs"/>
          <w:sz w:val="30"/>
          <w:rtl/>
          <w:lang/>
        </w:rPr>
        <w:t xml:space="preserve">اللجنة </w:t>
      </w:r>
      <w:r>
        <w:rPr>
          <w:rFonts w:ascii="Traditional Arabic" w:hAnsi="Traditional Arabic" w:hint="cs"/>
          <w:sz w:val="30"/>
          <w:rtl/>
          <w:lang/>
        </w:rPr>
        <w:t>أيض</w:t>
      </w:r>
      <w:r w:rsidR="00D152F4">
        <w:rPr>
          <w:rFonts w:ascii="Traditional Arabic" w:hAnsi="Traditional Arabic" w:hint="cs"/>
          <w:sz w:val="30"/>
          <w:rtl/>
          <w:lang/>
        </w:rPr>
        <w:t xml:space="preserve">اً </w:t>
      </w:r>
      <w:r>
        <w:rPr>
          <w:rFonts w:ascii="Traditional Arabic" w:hAnsi="Traditional Arabic" w:hint="cs"/>
          <w:sz w:val="30"/>
          <w:rtl/>
          <w:lang/>
        </w:rPr>
        <w:t xml:space="preserve">أن صاحب البلاغ لا يعترض على الحجج التي ساقتها الدولة الطرف </w:t>
      </w:r>
      <w:r w:rsidR="00AA5323">
        <w:rPr>
          <w:rFonts w:ascii="Traditional Arabic" w:hAnsi="Traditional Arabic" w:hint="cs"/>
          <w:sz w:val="30"/>
          <w:rtl/>
          <w:lang/>
        </w:rPr>
        <w:t xml:space="preserve">والواردة </w:t>
      </w:r>
      <w:r>
        <w:rPr>
          <w:rFonts w:ascii="Traditional Arabic" w:hAnsi="Traditional Arabic" w:hint="cs"/>
          <w:sz w:val="30"/>
          <w:rtl/>
          <w:lang/>
        </w:rPr>
        <w:t>أعلاه ويؤكد أنه تلقى جميع رسائل اللجنة المتعلقة بقضيته ورد عليها</w:t>
      </w:r>
      <w:r>
        <w:rPr>
          <w:rFonts w:ascii="Traditional Arabic" w:hAnsi="Traditional Arabic"/>
          <w:sz w:val="30"/>
          <w:vertAlign w:val="superscript"/>
          <w:rtl/>
          <w:lang/>
        </w:rPr>
        <w:t>(</w:t>
      </w:r>
      <w:r>
        <w:rPr>
          <w:rStyle w:val="FootnoteReference"/>
          <w:rtl/>
          <w:lang/>
        </w:rPr>
        <w:footnoteReference w:id="26"/>
      </w:r>
      <w:r w:rsidRPr="00473AC1">
        <w:rPr>
          <w:rFonts w:ascii="Traditional Arabic" w:hAnsi="Traditional Arabic"/>
          <w:sz w:val="30"/>
          <w:vertAlign w:val="superscript"/>
          <w:rtl/>
          <w:lang/>
        </w:rPr>
        <w:t>)</w:t>
      </w:r>
      <w:r>
        <w:rPr>
          <w:rFonts w:ascii="Traditional Arabic" w:hAnsi="Traditional Arabic" w:hint="cs"/>
          <w:sz w:val="30"/>
          <w:rtl/>
          <w:lang/>
        </w:rPr>
        <w:t xml:space="preserve">. ولا يسع اللجنة، والحالة هذه، أن تستنتج أن عدم </w:t>
      </w:r>
      <w:r w:rsidR="00AA5323">
        <w:rPr>
          <w:rFonts w:ascii="Traditional Arabic" w:hAnsi="Traditional Arabic" w:hint="cs"/>
          <w:sz w:val="30"/>
          <w:rtl/>
          <w:lang/>
        </w:rPr>
        <w:t xml:space="preserve">تلقي اللجنة رسالة صاحب البلاغ </w:t>
      </w:r>
      <w:r>
        <w:rPr>
          <w:rFonts w:ascii="Traditional Arabic" w:hAnsi="Traditional Arabic" w:hint="cs"/>
          <w:sz w:val="30"/>
          <w:rtl/>
          <w:lang/>
        </w:rPr>
        <w:t>المؤرخة 4 أيار/مايو 2010 يعزى إلى سلطات الدولة الطرف. وعليه، ترى اللجنة أن هذا الجزء من البلاغ</w:t>
      </w:r>
      <w:r w:rsidRPr="00C827F1">
        <w:rPr>
          <w:rFonts w:ascii="Traditional Arabic" w:hAnsi="Traditional Arabic" w:hint="cs"/>
          <w:rtl/>
          <w:lang/>
        </w:rPr>
        <w:t xml:space="preserve"> </w:t>
      </w:r>
      <w:r>
        <w:rPr>
          <w:rFonts w:ascii="Traditional Arabic" w:hAnsi="Traditional Arabic" w:hint="cs"/>
          <w:rtl/>
          <w:lang/>
        </w:rPr>
        <w:t>غير مدعم بأدلة ك</w:t>
      </w:r>
      <w:r w:rsidR="00AA5323">
        <w:rPr>
          <w:rFonts w:ascii="Traditional Arabic" w:hAnsi="Traditional Arabic" w:hint="cs"/>
          <w:rtl/>
          <w:lang/>
        </w:rPr>
        <w:t>افية لأغراض المقبولية</w:t>
      </w:r>
      <w:r w:rsidR="00AA5323">
        <w:rPr>
          <w:rFonts w:hint="cs"/>
          <w:rtl/>
          <w:lang/>
        </w:rPr>
        <w:t>،</w:t>
      </w:r>
      <w:r>
        <w:rPr>
          <w:rFonts w:hint="cs"/>
          <w:rtl/>
          <w:lang/>
        </w:rPr>
        <w:t xml:space="preserve"> وتعلن أن</w:t>
      </w:r>
      <w:r w:rsidR="00AA5323">
        <w:rPr>
          <w:rFonts w:hint="cs"/>
          <w:rtl/>
          <w:lang/>
        </w:rPr>
        <w:t xml:space="preserve">ه </w:t>
      </w:r>
      <w:r>
        <w:rPr>
          <w:rFonts w:hint="cs"/>
          <w:rtl/>
          <w:lang/>
        </w:rPr>
        <w:t>غير مقبول بموجب المادة 2 من البروتوكول الاختياري.</w:t>
      </w:r>
    </w:p>
    <w:p w:rsidR="00E32FA5" w:rsidRDefault="00E32FA5" w:rsidP="00AA5323">
      <w:pPr>
        <w:pStyle w:val="SingleTxtGA"/>
        <w:rPr>
          <w:rFonts w:ascii="Traditional Arabic" w:hAnsi="Traditional Arabic" w:hint="cs"/>
          <w:sz w:val="30"/>
          <w:rtl/>
          <w:lang/>
        </w:rPr>
      </w:pPr>
      <w:r>
        <w:rPr>
          <w:rFonts w:ascii="Traditional Arabic" w:hAnsi="Traditional Arabic" w:hint="cs"/>
          <w:sz w:val="30"/>
          <w:rtl/>
          <w:lang/>
        </w:rPr>
        <w:t>8-6</w:t>
      </w:r>
      <w:r>
        <w:rPr>
          <w:rFonts w:ascii="Traditional Arabic" w:hAnsi="Traditional Arabic" w:hint="cs"/>
          <w:sz w:val="30"/>
          <w:rtl/>
          <w:lang/>
        </w:rPr>
        <w:tab/>
      </w:r>
      <w:r>
        <w:rPr>
          <w:rFonts w:hint="cs"/>
          <w:rtl/>
          <w:lang/>
        </w:rPr>
        <w:t xml:space="preserve">وتعتبر اللجنة أن الادعاءات المتبقية التي </w:t>
      </w:r>
      <w:r w:rsidR="008D5A20">
        <w:rPr>
          <w:rFonts w:hint="cs"/>
          <w:rtl/>
          <w:lang/>
        </w:rPr>
        <w:t>تث</w:t>
      </w:r>
      <w:r w:rsidR="00AA5323">
        <w:rPr>
          <w:rFonts w:hint="cs"/>
          <w:rtl/>
          <w:lang/>
        </w:rPr>
        <w:t xml:space="preserve">ير </w:t>
      </w:r>
      <w:r>
        <w:rPr>
          <w:rFonts w:hint="cs"/>
          <w:rtl/>
          <w:lang/>
        </w:rPr>
        <w:t xml:space="preserve">قضايا في إطار المادة 2؛ والمادة 6؛ والفقرة 1 من المادة 14؛ والفقرة 1 من المادة 15؛ والمادة 26 من العهد، </w:t>
      </w:r>
      <w:r w:rsidR="00AA5323">
        <w:rPr>
          <w:rFonts w:hint="cs"/>
          <w:rtl/>
          <w:lang/>
        </w:rPr>
        <w:t xml:space="preserve">جاءت مدعمة بأدلة </w:t>
      </w:r>
      <w:r>
        <w:rPr>
          <w:rFonts w:hint="cs"/>
          <w:rtl/>
          <w:lang/>
        </w:rPr>
        <w:t>كافية لأغراض المقبولية، و</w:t>
      </w:r>
      <w:r w:rsidR="00AA5323">
        <w:rPr>
          <w:rFonts w:hint="cs"/>
          <w:rtl/>
          <w:lang/>
        </w:rPr>
        <w:t xml:space="preserve">من ثم </w:t>
      </w:r>
      <w:r>
        <w:rPr>
          <w:rFonts w:hint="cs"/>
          <w:rtl/>
          <w:lang/>
        </w:rPr>
        <w:t xml:space="preserve">تشرع </w:t>
      </w:r>
      <w:r w:rsidR="00AA5323">
        <w:rPr>
          <w:rFonts w:hint="cs"/>
          <w:rtl/>
          <w:lang/>
        </w:rPr>
        <w:t xml:space="preserve">اللجنة </w:t>
      </w:r>
      <w:r>
        <w:rPr>
          <w:rFonts w:hint="cs"/>
          <w:rtl/>
          <w:lang/>
        </w:rPr>
        <w:t>في النظر في أسسها الموضوعية.</w:t>
      </w:r>
    </w:p>
    <w:p w:rsidR="00E32FA5" w:rsidRPr="005C157F" w:rsidRDefault="00AA5323" w:rsidP="00AA5323">
      <w:pPr>
        <w:pStyle w:val="H4GA"/>
        <w:rPr>
          <w:rFonts w:hint="cs"/>
          <w:rtl/>
          <w:lang/>
        </w:rPr>
      </w:pPr>
      <w:r>
        <w:rPr>
          <w:rFonts w:hint="cs"/>
          <w:rtl/>
          <w:lang/>
        </w:rPr>
        <w:tab/>
      </w:r>
      <w:r>
        <w:rPr>
          <w:rFonts w:hint="cs"/>
          <w:rtl/>
          <w:lang/>
        </w:rPr>
        <w:tab/>
      </w:r>
      <w:r w:rsidR="00E32FA5" w:rsidRPr="005C157F">
        <w:rPr>
          <w:rFonts w:hint="cs"/>
          <w:rtl/>
          <w:lang/>
        </w:rPr>
        <w:t>النظر في الأسس الموضوعية</w:t>
      </w:r>
    </w:p>
    <w:p w:rsidR="00E32FA5" w:rsidRDefault="00E32FA5" w:rsidP="00E32FA5">
      <w:pPr>
        <w:pStyle w:val="SingleTxtGA"/>
        <w:rPr>
          <w:rFonts w:ascii="Traditional Arabic" w:hAnsi="Traditional Arabic" w:hint="cs"/>
          <w:sz w:val="30"/>
          <w:rtl/>
          <w:lang/>
        </w:rPr>
      </w:pPr>
      <w:r>
        <w:rPr>
          <w:rFonts w:ascii="Traditional Arabic" w:hAnsi="Traditional Arabic" w:hint="cs"/>
          <w:sz w:val="30"/>
          <w:rtl/>
          <w:lang/>
        </w:rPr>
        <w:t>9-1</w:t>
      </w:r>
      <w:r>
        <w:rPr>
          <w:rFonts w:ascii="Traditional Arabic" w:hAnsi="Traditional Arabic" w:hint="cs"/>
          <w:sz w:val="30"/>
          <w:rtl/>
          <w:lang/>
        </w:rPr>
        <w:tab/>
      </w:r>
      <w:r>
        <w:rPr>
          <w:rFonts w:hint="cs"/>
          <w:rtl/>
          <w:lang/>
        </w:rPr>
        <w:t>نظرت اللجنة المعنية بحقوق الإنسان في البلاغ في ضوء جميع المعلومات التي تلقتها وفقاً للفقرة 1 من المادة 5 من البروتوكول الاختياري.</w:t>
      </w:r>
    </w:p>
    <w:p w:rsidR="00E32FA5" w:rsidRDefault="00E32FA5" w:rsidP="00D152F4">
      <w:pPr>
        <w:pStyle w:val="SingleTxtGA"/>
        <w:rPr>
          <w:rFonts w:ascii="Traditional Arabic" w:hAnsi="Traditional Arabic" w:hint="cs"/>
          <w:sz w:val="30"/>
          <w:rtl/>
          <w:lang/>
        </w:rPr>
      </w:pPr>
      <w:r>
        <w:rPr>
          <w:rFonts w:ascii="Traditional Arabic" w:hAnsi="Traditional Arabic" w:hint="cs"/>
          <w:sz w:val="30"/>
          <w:rtl/>
          <w:lang/>
        </w:rPr>
        <w:t>9-2</w:t>
      </w:r>
      <w:r>
        <w:rPr>
          <w:rFonts w:ascii="Traditional Arabic" w:hAnsi="Traditional Arabic" w:hint="cs"/>
          <w:sz w:val="30"/>
          <w:rtl/>
          <w:lang/>
        </w:rPr>
        <w:tab/>
        <w:t xml:space="preserve">وتشير اللجنة إلى أن ادعاءات صاحب البلاغ (1) أنه لم تتَح له إمكانية محاكمته بمشاركة هيئة محلفين؛ </w:t>
      </w:r>
      <w:r w:rsidR="00DF0379">
        <w:rPr>
          <w:rFonts w:ascii="Traditional Arabic" w:hAnsi="Traditional Arabic" w:hint="cs"/>
          <w:sz w:val="30"/>
          <w:rtl/>
          <w:lang/>
        </w:rPr>
        <w:t>و</w:t>
      </w:r>
      <w:r>
        <w:rPr>
          <w:rFonts w:ascii="Traditional Arabic" w:hAnsi="Traditional Arabic" w:hint="cs"/>
          <w:sz w:val="30"/>
          <w:rtl/>
          <w:lang/>
        </w:rPr>
        <w:t xml:space="preserve">(2) أن المحاكم المحلية لم تجعل الحكم بالإعدام الصادر في حقه </w:t>
      </w:r>
      <w:r w:rsidR="00DF0379">
        <w:rPr>
          <w:rFonts w:ascii="Traditional Arabic" w:hAnsi="Traditional Arabic" w:hint="cs"/>
          <w:sz w:val="30"/>
          <w:rtl/>
          <w:lang/>
        </w:rPr>
        <w:t xml:space="preserve">متوافقاً </w:t>
      </w:r>
      <w:r>
        <w:rPr>
          <w:rFonts w:ascii="Traditional Arabic" w:hAnsi="Traditional Arabic" w:hint="cs"/>
          <w:sz w:val="30"/>
          <w:rtl/>
          <w:lang/>
        </w:rPr>
        <w:t xml:space="preserve">مع قرار المحكمة الدستورية المؤرخ 2 شباط/فبراير 1999؛ </w:t>
      </w:r>
      <w:r w:rsidR="00DF0379">
        <w:rPr>
          <w:rFonts w:ascii="Traditional Arabic" w:hAnsi="Traditional Arabic" w:hint="cs"/>
          <w:sz w:val="30"/>
          <w:rtl/>
          <w:lang/>
        </w:rPr>
        <w:t xml:space="preserve">و(3) </w:t>
      </w:r>
      <w:r>
        <w:rPr>
          <w:rFonts w:ascii="Traditional Arabic" w:hAnsi="Traditional Arabic" w:hint="cs"/>
          <w:sz w:val="30"/>
          <w:rtl/>
          <w:lang/>
        </w:rPr>
        <w:t>أن العفو عنه قرره الرئيس وليس المحكمة</w:t>
      </w:r>
      <w:r w:rsidR="008D5A20">
        <w:rPr>
          <w:rFonts w:ascii="Traditional Arabic" w:hAnsi="Traditional Arabic" w:hint="cs"/>
          <w:sz w:val="30"/>
          <w:rtl/>
          <w:lang/>
        </w:rPr>
        <w:t>،</w:t>
      </w:r>
      <w:r w:rsidR="00DF0379">
        <w:rPr>
          <w:rFonts w:ascii="Traditional Arabic" w:hAnsi="Traditional Arabic" w:hint="cs"/>
          <w:sz w:val="30"/>
          <w:rtl/>
          <w:lang/>
        </w:rPr>
        <w:t xml:space="preserve"> هي ادعاءات</w:t>
      </w:r>
      <w:r>
        <w:rPr>
          <w:rFonts w:ascii="Traditional Arabic" w:hAnsi="Traditional Arabic" w:hint="cs"/>
          <w:sz w:val="30"/>
          <w:rtl/>
          <w:lang/>
        </w:rPr>
        <w:t xml:space="preserve"> تثير قضايا في إطار الفقرة 1 من المادة 14 من العهد، خاصة ما</w:t>
      </w:r>
      <w:r w:rsidR="00D152F4">
        <w:rPr>
          <w:rFonts w:ascii="Traditional Arabic" w:hAnsi="Traditional Arabic" w:hint="eastAsia"/>
          <w:sz w:val="30"/>
          <w:rtl/>
          <w:lang/>
        </w:rPr>
        <w:t> </w:t>
      </w:r>
      <w:r>
        <w:rPr>
          <w:rFonts w:ascii="Traditional Arabic" w:hAnsi="Traditional Arabic" w:hint="cs"/>
          <w:sz w:val="30"/>
          <w:rtl/>
          <w:lang/>
        </w:rPr>
        <w:t xml:space="preserve">تعلق منها بالحق في محاكمة عادلة </w:t>
      </w:r>
      <w:r w:rsidR="00DF0379">
        <w:rPr>
          <w:rFonts w:ascii="Traditional Arabic" w:hAnsi="Traditional Arabic" w:hint="cs"/>
          <w:sz w:val="30"/>
          <w:rtl/>
          <w:lang/>
        </w:rPr>
        <w:t xml:space="preserve">أمام </w:t>
      </w:r>
      <w:r>
        <w:rPr>
          <w:rFonts w:ascii="Traditional Arabic" w:hAnsi="Traditional Arabic" w:hint="cs"/>
          <w:sz w:val="30"/>
          <w:rtl/>
          <w:lang/>
        </w:rPr>
        <w:t>محكمة مختصة، وهذا ما ينص عليه القانون.</w:t>
      </w:r>
    </w:p>
    <w:p w:rsidR="00E32FA5" w:rsidRDefault="00E32FA5" w:rsidP="00DF0379">
      <w:pPr>
        <w:pStyle w:val="SingleTxtGA"/>
        <w:rPr>
          <w:rFonts w:ascii="Traditional Arabic" w:hAnsi="Traditional Arabic" w:hint="cs"/>
          <w:sz w:val="30"/>
          <w:rtl/>
          <w:lang/>
        </w:rPr>
      </w:pPr>
      <w:r>
        <w:rPr>
          <w:rFonts w:ascii="Traditional Arabic" w:hAnsi="Traditional Arabic" w:hint="cs"/>
          <w:sz w:val="30"/>
          <w:rtl/>
        </w:rPr>
        <w:t>9-3</w:t>
      </w:r>
      <w:r>
        <w:rPr>
          <w:rFonts w:ascii="Traditional Arabic" w:hAnsi="Traditional Arabic" w:hint="cs"/>
          <w:sz w:val="30"/>
          <w:rtl/>
        </w:rPr>
        <w:tab/>
      </w:r>
      <w:r>
        <w:rPr>
          <w:rFonts w:ascii="Traditional Arabic" w:hAnsi="Traditional Arabic" w:hint="cs"/>
          <w:rtl/>
        </w:rPr>
        <w:t>و</w:t>
      </w:r>
      <w:r w:rsidR="00DF0379">
        <w:rPr>
          <w:rFonts w:ascii="Traditional Arabic" w:hAnsi="Traditional Arabic" w:hint="cs"/>
          <w:rtl/>
        </w:rPr>
        <w:t>فيما يتعلق ب</w:t>
      </w:r>
      <w:r>
        <w:rPr>
          <w:rFonts w:ascii="Traditional Arabic" w:hAnsi="Traditional Arabic" w:hint="cs"/>
          <w:rtl/>
        </w:rPr>
        <w:t xml:space="preserve">عدم إمكانية المحاكمة بمشاركة هيئة محلفين في قضية صاحب البلاغ، </w:t>
      </w:r>
      <w:r>
        <w:rPr>
          <w:rFonts w:ascii="Traditional Arabic" w:hAnsi="Traditional Arabic" w:hint="cs"/>
          <w:rtl/>
          <w:lang/>
        </w:rPr>
        <w:t>تحيط اللجنة علماً بحجة الدولة الطرف التي تفيد بأن الحكم صدر في 13 تشرين الأول/أكتوبر 1995 من جانب محكمة تتألف من قاض محترف ومن قاضيين مساعدين له، وبر</w:t>
      </w:r>
      <w:r w:rsidR="00DF0379">
        <w:rPr>
          <w:rFonts w:ascii="Traditional Arabic" w:hAnsi="Traditional Arabic" w:hint="cs"/>
          <w:rtl/>
          <w:lang/>
        </w:rPr>
        <w:t>ّ</w:t>
      </w:r>
      <w:r>
        <w:rPr>
          <w:rFonts w:ascii="Traditional Arabic" w:hAnsi="Traditional Arabic" w:hint="cs"/>
          <w:rtl/>
          <w:lang/>
        </w:rPr>
        <w:t>ر</w:t>
      </w:r>
      <w:r w:rsidR="00DF0379">
        <w:rPr>
          <w:rFonts w:ascii="Traditional Arabic" w:hAnsi="Traditional Arabic" w:hint="cs"/>
          <w:rtl/>
          <w:lang/>
        </w:rPr>
        <w:t>ت</w:t>
      </w:r>
      <w:r>
        <w:rPr>
          <w:rFonts w:ascii="Traditional Arabic" w:hAnsi="Traditional Arabic" w:hint="cs"/>
          <w:rtl/>
          <w:lang/>
        </w:rPr>
        <w:t xml:space="preserve"> ذلك بأن المحاكمات </w:t>
      </w:r>
      <w:r w:rsidR="00DF0379">
        <w:rPr>
          <w:rFonts w:ascii="Traditional Arabic" w:hAnsi="Traditional Arabic" w:hint="cs"/>
          <w:rtl/>
          <w:lang/>
        </w:rPr>
        <w:t xml:space="preserve">بمشاركة هيئة </w:t>
      </w:r>
      <w:r>
        <w:rPr>
          <w:rFonts w:ascii="Traditional Arabic" w:hAnsi="Traditional Arabic" w:hint="cs"/>
          <w:rtl/>
          <w:lang/>
        </w:rPr>
        <w:t xml:space="preserve">محلفين لم تكن قد بدأت بعد، في ذلك الوقت، في منطقة </w:t>
      </w:r>
      <w:r>
        <w:rPr>
          <w:rFonts w:hint="cs"/>
          <w:rtl/>
          <w:lang/>
        </w:rPr>
        <w:t>مورمانسك. وتلاحظ اللجنة أيض</w:t>
      </w:r>
      <w:r w:rsidR="00D152F4">
        <w:rPr>
          <w:rFonts w:hint="cs"/>
          <w:rtl/>
          <w:lang/>
        </w:rPr>
        <w:t xml:space="preserve">اً </w:t>
      </w:r>
      <w:r>
        <w:rPr>
          <w:rFonts w:hint="cs"/>
          <w:rtl/>
          <w:lang/>
        </w:rPr>
        <w:t xml:space="preserve">أن صاحب البلاغ لم يعترض، </w:t>
      </w:r>
      <w:r w:rsidR="00DF0379">
        <w:rPr>
          <w:rFonts w:hint="cs"/>
          <w:rtl/>
          <w:lang/>
        </w:rPr>
        <w:t xml:space="preserve">حينئذ </w:t>
      </w:r>
      <w:r>
        <w:rPr>
          <w:rFonts w:hint="cs"/>
          <w:rtl/>
          <w:lang/>
        </w:rPr>
        <w:t xml:space="preserve">على أن تنظر </w:t>
      </w:r>
      <w:r w:rsidR="00DF0379">
        <w:rPr>
          <w:rFonts w:hint="cs"/>
          <w:rtl/>
          <w:lang/>
        </w:rPr>
        <w:t xml:space="preserve">في قضيته الجنائية </w:t>
      </w:r>
      <w:r>
        <w:rPr>
          <w:rFonts w:hint="cs"/>
          <w:rtl/>
          <w:lang/>
        </w:rPr>
        <w:t>محكمة مشكلة على ذلك النحو وأنه لم يرفض ذلك قط. و</w:t>
      </w:r>
      <w:r w:rsidR="00DF0379">
        <w:rPr>
          <w:rFonts w:hint="cs"/>
          <w:rtl/>
          <w:lang/>
        </w:rPr>
        <w:t xml:space="preserve">هي </w:t>
      </w:r>
      <w:r>
        <w:rPr>
          <w:rFonts w:hint="cs"/>
          <w:rtl/>
          <w:lang/>
        </w:rPr>
        <w:t xml:space="preserve">تلاحظ أيضاً قول الدولة الطرف بأن محكمة مختصة أنشئت بموجب القانون هي التي نظرت في قضية صاحب البلاغ لأن الباب 6 من الفصل 2 "الأحكام الختامية والانتقالية" من الدستور ينص على استبقاء الإجراء السابق الذي يقضي بأن تنظر المحاكم في هذه الفئة من القضايا إلى </w:t>
      </w:r>
      <w:r w:rsidR="00DF0379">
        <w:rPr>
          <w:rFonts w:hint="cs"/>
          <w:rtl/>
          <w:lang/>
        </w:rPr>
        <w:t xml:space="preserve">حين </w:t>
      </w:r>
      <w:r w:rsidRPr="00DF0379">
        <w:rPr>
          <w:rFonts w:hint="cs"/>
          <w:spacing w:val="-4"/>
          <w:rtl/>
          <w:lang/>
        </w:rPr>
        <w:t xml:space="preserve">بدء نفاذ القانون الاتحادي الذي يحدد إجراء النظر في القضايا </w:t>
      </w:r>
      <w:r w:rsidR="00DF0379" w:rsidRPr="00DF0379">
        <w:rPr>
          <w:rFonts w:hint="cs"/>
          <w:spacing w:val="-4"/>
          <w:rtl/>
          <w:lang/>
        </w:rPr>
        <w:t xml:space="preserve">بمشاركة </w:t>
      </w:r>
      <w:r w:rsidRPr="00DF0379">
        <w:rPr>
          <w:rFonts w:hint="cs"/>
          <w:spacing w:val="-4"/>
          <w:rtl/>
          <w:lang/>
        </w:rPr>
        <w:t>هيئة محلفين.</w:t>
      </w:r>
      <w:r w:rsidRPr="00DF0379">
        <w:rPr>
          <w:rFonts w:ascii="Traditional Arabic" w:hAnsi="Traditional Arabic" w:hint="cs"/>
          <w:spacing w:val="-4"/>
          <w:sz w:val="30"/>
          <w:rtl/>
          <w:lang/>
        </w:rPr>
        <w:t xml:space="preserve"> وتحيط اللجنة علم</w:t>
      </w:r>
      <w:r w:rsidR="00D152F4">
        <w:rPr>
          <w:rFonts w:ascii="Traditional Arabic" w:hAnsi="Traditional Arabic" w:hint="cs"/>
          <w:spacing w:val="-4"/>
          <w:sz w:val="30"/>
          <w:rtl/>
          <w:lang/>
        </w:rPr>
        <w:t xml:space="preserve">اً </w:t>
      </w:r>
      <w:r w:rsidRPr="00DF0379">
        <w:rPr>
          <w:rFonts w:ascii="Traditional Arabic" w:hAnsi="Traditional Arabic" w:hint="cs"/>
          <w:spacing w:val="-4"/>
          <w:sz w:val="30"/>
          <w:rtl/>
          <w:lang/>
        </w:rPr>
        <w:t>بإشارة الدولة الطرف إلى قرار المحكمة الدستورية المؤرخ 13 نيسان/أبريل</w:t>
      </w:r>
      <w:r>
        <w:rPr>
          <w:rFonts w:ascii="Traditional Arabic" w:hAnsi="Traditional Arabic" w:hint="cs"/>
          <w:sz w:val="30"/>
          <w:rtl/>
          <w:lang/>
        </w:rPr>
        <w:t xml:space="preserve"> 2000 الذي</w:t>
      </w:r>
      <w:r w:rsidR="00DF0379">
        <w:rPr>
          <w:rFonts w:ascii="Traditional Arabic" w:hAnsi="Traditional Arabic" w:hint="eastAsia"/>
          <w:sz w:val="30"/>
          <w:rtl/>
          <w:lang/>
        </w:rPr>
        <w:t> </w:t>
      </w:r>
      <w:r>
        <w:rPr>
          <w:rFonts w:ascii="Traditional Arabic" w:hAnsi="Traditional Arabic" w:hint="cs"/>
          <w:sz w:val="30"/>
          <w:rtl/>
          <w:lang/>
        </w:rPr>
        <w:t>جاء فيه أن إحالة دعوى جنائية كي تنظر فيها محكمة غير المحكمة التي لها ولاية قضائية إقليمية عليها، لسبب واحد هو عدم إتاحة إمكانية مشاركة هيئة محلفين في المحاكمة، قد تبلغ حد انتهاك الحق الدستوري الذي يكفل أن تنظر في الدعوى محكمة مختصة</w:t>
      </w:r>
      <w:r>
        <w:rPr>
          <w:rFonts w:ascii="Traditional Arabic" w:hAnsi="Traditional Arabic"/>
          <w:sz w:val="30"/>
          <w:vertAlign w:val="superscript"/>
          <w:rtl/>
          <w:lang/>
        </w:rPr>
        <w:t>(</w:t>
      </w:r>
      <w:r>
        <w:rPr>
          <w:rStyle w:val="FootnoteReference"/>
          <w:rtl/>
          <w:lang/>
        </w:rPr>
        <w:footnoteReference w:id="27"/>
      </w:r>
      <w:r w:rsidRPr="00045DA4">
        <w:rPr>
          <w:rFonts w:ascii="Traditional Arabic" w:hAnsi="Traditional Arabic"/>
          <w:sz w:val="30"/>
          <w:vertAlign w:val="superscript"/>
          <w:rtl/>
          <w:lang/>
        </w:rPr>
        <w:t>)</w:t>
      </w:r>
      <w:r>
        <w:rPr>
          <w:rFonts w:ascii="Traditional Arabic" w:hAnsi="Traditional Arabic" w:hint="cs"/>
          <w:sz w:val="30"/>
          <w:rtl/>
          <w:lang/>
        </w:rPr>
        <w:t>. وفي ضوء هذه التوضيحات، ترى اللجنة أن</w:t>
      </w:r>
      <w:r w:rsidR="00DF0379">
        <w:rPr>
          <w:rFonts w:ascii="Traditional Arabic" w:hAnsi="Traditional Arabic" w:hint="cs"/>
          <w:sz w:val="30"/>
          <w:rtl/>
          <w:lang/>
        </w:rPr>
        <w:t xml:space="preserve"> قضية </w:t>
      </w:r>
      <w:r>
        <w:rPr>
          <w:rFonts w:ascii="Traditional Arabic" w:hAnsi="Traditional Arabic" w:hint="cs"/>
          <w:sz w:val="30"/>
          <w:rtl/>
          <w:lang/>
        </w:rPr>
        <w:t>صاحب البلاغ نظرت فيها محكمة مختصة بالمعنى الوارد في الفقرة 1 من المادة 14 من العهد</w:t>
      </w:r>
      <w:r>
        <w:rPr>
          <w:rFonts w:ascii="Traditional Arabic" w:hAnsi="Traditional Arabic"/>
          <w:sz w:val="30"/>
          <w:vertAlign w:val="superscript"/>
          <w:rtl/>
          <w:lang/>
        </w:rPr>
        <w:t>(</w:t>
      </w:r>
      <w:r>
        <w:rPr>
          <w:rStyle w:val="FootnoteReference"/>
          <w:rtl/>
          <w:lang/>
        </w:rPr>
        <w:footnoteReference w:id="28"/>
      </w:r>
      <w:r w:rsidRPr="00097B1C">
        <w:rPr>
          <w:rFonts w:ascii="Traditional Arabic" w:hAnsi="Traditional Arabic"/>
          <w:sz w:val="30"/>
          <w:vertAlign w:val="superscript"/>
          <w:rtl/>
          <w:lang/>
        </w:rPr>
        <w:t>)</w:t>
      </w:r>
      <w:r>
        <w:rPr>
          <w:rFonts w:ascii="Traditional Arabic" w:hAnsi="Traditional Arabic" w:hint="cs"/>
          <w:sz w:val="30"/>
          <w:rtl/>
          <w:lang/>
        </w:rPr>
        <w:t>.</w:t>
      </w:r>
    </w:p>
    <w:p w:rsidR="00E32FA5" w:rsidRDefault="00E32FA5" w:rsidP="00764EBB">
      <w:pPr>
        <w:pStyle w:val="SingleTxtGA"/>
        <w:rPr>
          <w:rFonts w:ascii="Traditional Arabic" w:hAnsi="Traditional Arabic" w:hint="cs"/>
          <w:rtl/>
        </w:rPr>
      </w:pPr>
      <w:r>
        <w:rPr>
          <w:rFonts w:ascii="Traditional Arabic" w:hAnsi="Traditional Arabic" w:hint="cs"/>
          <w:sz w:val="30"/>
          <w:rtl/>
          <w:lang/>
        </w:rPr>
        <w:t>9-4</w:t>
      </w:r>
      <w:r>
        <w:rPr>
          <w:rFonts w:ascii="Traditional Arabic" w:hAnsi="Traditional Arabic" w:hint="cs"/>
          <w:sz w:val="30"/>
          <w:rtl/>
          <w:lang/>
        </w:rPr>
        <w:tab/>
        <w:t>و</w:t>
      </w:r>
      <w:r w:rsidR="00DF0379">
        <w:rPr>
          <w:rFonts w:ascii="Traditional Arabic" w:hAnsi="Traditional Arabic" w:hint="cs"/>
          <w:sz w:val="30"/>
          <w:rtl/>
          <w:lang/>
        </w:rPr>
        <w:t>فيما يخص ادعاء أن ا</w:t>
      </w:r>
      <w:r>
        <w:rPr>
          <w:rFonts w:ascii="Traditional Arabic" w:hAnsi="Traditional Arabic" w:hint="cs"/>
          <w:sz w:val="30"/>
          <w:rtl/>
          <w:lang/>
        </w:rPr>
        <w:t xml:space="preserve">لمحاكم المحلية لم تُعِد النظر في الحكم بالإعدام على صاحب البلاغ بناء على قرار المحكمة الدستورية الصادر في 2 شباط/فبراير 1999، تلاحظ اللجنة أن جوهر القضية هو أن صاحب البلاغ يعترض على التطبيق الزمني لقرار المحكمة الدستورية وعدم الاقتداء بمحكمة مدينة زلاتوست. وعليه، يتعلق هذا الادعاء بتفسير القانون المحلي. </w:t>
      </w:r>
      <w:r w:rsidR="00DF0379">
        <w:rPr>
          <w:rFonts w:ascii="Traditional Arabic" w:hAnsi="Traditional Arabic" w:hint="cs"/>
          <w:sz w:val="30"/>
          <w:rtl/>
          <w:lang/>
        </w:rPr>
        <w:t xml:space="preserve">وتذكر اللجنة سوابق قراراتها </w:t>
      </w:r>
      <w:r>
        <w:rPr>
          <w:rFonts w:hint="cs"/>
          <w:rtl/>
        </w:rPr>
        <w:t>للتأكيد على أن تقييم الوقائع والأدلة وتفسير التشريعات المحلية مسألة تحسمها مبدئياً محاكم الدولة الطرف، ما لم يكن ذلك متعسف</w:t>
      </w:r>
      <w:r w:rsidR="00D152F4">
        <w:rPr>
          <w:rFonts w:hint="cs"/>
          <w:rtl/>
        </w:rPr>
        <w:t xml:space="preserve">اً </w:t>
      </w:r>
      <w:r>
        <w:rPr>
          <w:rFonts w:hint="cs"/>
          <w:rtl/>
        </w:rPr>
        <w:t>تعسف</w:t>
      </w:r>
      <w:r w:rsidR="00D152F4">
        <w:rPr>
          <w:rFonts w:hint="cs"/>
          <w:rtl/>
        </w:rPr>
        <w:t xml:space="preserve">اً </w:t>
      </w:r>
      <w:r>
        <w:rPr>
          <w:rFonts w:hint="cs"/>
          <w:rtl/>
        </w:rPr>
        <w:t>واضح</w:t>
      </w:r>
      <w:r w:rsidR="00D152F4">
        <w:rPr>
          <w:rFonts w:hint="cs"/>
          <w:rtl/>
        </w:rPr>
        <w:t xml:space="preserve">اً </w:t>
      </w:r>
      <w:r>
        <w:rPr>
          <w:rFonts w:hint="cs"/>
          <w:rtl/>
        </w:rPr>
        <w:t>أو يصل إلى حد إنكار العدالة</w:t>
      </w:r>
      <w:r>
        <w:rPr>
          <w:rFonts w:ascii="Traditional Arabic" w:hAnsi="Traditional Arabic"/>
          <w:sz w:val="30"/>
          <w:vertAlign w:val="superscript"/>
          <w:rtl/>
        </w:rPr>
        <w:t>(</w:t>
      </w:r>
      <w:r>
        <w:rPr>
          <w:rStyle w:val="FootnoteReference"/>
          <w:rtl/>
        </w:rPr>
        <w:footnoteReference w:id="29"/>
      </w:r>
      <w:r w:rsidRPr="004A23C2">
        <w:rPr>
          <w:rFonts w:ascii="Traditional Arabic" w:hAnsi="Traditional Arabic"/>
          <w:sz w:val="30"/>
          <w:vertAlign w:val="superscript"/>
          <w:rtl/>
        </w:rPr>
        <w:t>)</w:t>
      </w:r>
      <w:r>
        <w:rPr>
          <w:rFonts w:ascii="Traditional Arabic" w:hAnsi="Traditional Arabic" w:hint="cs"/>
          <w:sz w:val="30"/>
          <w:rtl/>
        </w:rPr>
        <w:t xml:space="preserve">. بيد أن صاحب البلاغ لم يثبت أن </w:t>
      </w:r>
      <w:r w:rsidR="00DF0379">
        <w:rPr>
          <w:rFonts w:ascii="Traditional Arabic" w:hAnsi="Traditional Arabic" w:hint="cs"/>
          <w:sz w:val="30"/>
          <w:rtl/>
        </w:rPr>
        <w:t xml:space="preserve">الحال كان </w:t>
      </w:r>
      <w:r>
        <w:rPr>
          <w:rFonts w:ascii="Traditional Arabic" w:hAnsi="Traditional Arabic" w:hint="cs"/>
          <w:sz w:val="30"/>
          <w:rtl/>
        </w:rPr>
        <w:t>كذلك في قرار محكمة مدينة سول</w:t>
      </w:r>
      <w:r w:rsidR="00DF0379">
        <w:rPr>
          <w:rFonts w:ascii="Traditional Arabic" w:hAnsi="Traditional Arabic" w:hint="cs"/>
          <w:sz w:val="30"/>
          <w:rtl/>
        </w:rPr>
        <w:t xml:space="preserve"> </w:t>
      </w:r>
      <w:r>
        <w:rPr>
          <w:rFonts w:ascii="Traditional Arabic" w:hAnsi="Traditional Arabic" w:hint="cs"/>
          <w:sz w:val="30"/>
          <w:rtl/>
        </w:rPr>
        <w:t>-</w:t>
      </w:r>
      <w:r w:rsidRPr="004A23C2">
        <w:rPr>
          <w:rFonts w:hint="cs"/>
          <w:rtl/>
          <w:lang/>
        </w:rPr>
        <w:t xml:space="preserve"> </w:t>
      </w:r>
      <w:r>
        <w:rPr>
          <w:rFonts w:hint="cs"/>
          <w:rtl/>
          <w:lang/>
        </w:rPr>
        <w:t>إيلتسك</w:t>
      </w:r>
      <w:r w:rsidRPr="004A23C2">
        <w:rPr>
          <w:rFonts w:hint="cs"/>
          <w:sz w:val="22"/>
          <w:rtl/>
        </w:rPr>
        <w:t xml:space="preserve"> </w:t>
      </w:r>
      <w:r>
        <w:rPr>
          <w:rFonts w:hint="cs"/>
          <w:sz w:val="22"/>
          <w:rtl/>
        </w:rPr>
        <w:t>بمنطقة أورنورغ</w:t>
      </w:r>
      <w:r>
        <w:rPr>
          <w:sz w:val="22"/>
          <w:vertAlign w:val="superscript"/>
          <w:rtl/>
        </w:rPr>
        <w:t>(</w:t>
      </w:r>
      <w:r>
        <w:rPr>
          <w:rStyle w:val="FootnoteReference"/>
          <w:rtl/>
        </w:rPr>
        <w:footnoteReference w:id="30"/>
      </w:r>
      <w:r w:rsidRPr="00F81D29">
        <w:rPr>
          <w:rFonts w:ascii="Traditional Arabic" w:hAnsi="Traditional Arabic"/>
          <w:sz w:val="30"/>
          <w:vertAlign w:val="superscript"/>
          <w:rtl/>
        </w:rPr>
        <w:t>)</w:t>
      </w:r>
      <w:r>
        <w:rPr>
          <w:rFonts w:ascii="Traditional Arabic" w:hAnsi="Traditional Arabic" w:hint="cs"/>
          <w:sz w:val="30"/>
          <w:rtl/>
        </w:rPr>
        <w:t xml:space="preserve"> التي أعادت النظر في الحكم الصادر في حقه. وتذكّر اللجنة بالتحديد </w:t>
      </w:r>
      <w:r w:rsidR="00DF0379" w:rsidRPr="00DF0379">
        <w:rPr>
          <w:rFonts w:ascii="Traditional Arabic" w:hAnsi="Traditional Arabic" w:hint="cs"/>
          <w:sz w:val="30"/>
          <w:rtl/>
        </w:rPr>
        <w:t>ب‍</w:t>
      </w:r>
      <w:r w:rsidR="00DF0379">
        <w:rPr>
          <w:rFonts w:ascii="Traditional Arabic" w:hAnsi="Traditional Arabic" w:hint="cs"/>
          <w:sz w:val="30"/>
          <w:rtl/>
        </w:rPr>
        <w:t xml:space="preserve"> </w:t>
      </w:r>
      <w:r>
        <w:rPr>
          <w:rFonts w:ascii="Traditional Arabic" w:hAnsi="Traditional Arabic" w:hint="cs"/>
          <w:sz w:val="30"/>
          <w:rtl/>
        </w:rPr>
        <w:t>"أن</w:t>
      </w:r>
      <w:r>
        <w:rPr>
          <w:rFonts w:hint="cs"/>
          <w:rtl/>
          <w:lang/>
        </w:rPr>
        <w:t xml:space="preserve"> ما حكمت به المحكمة الدستورية منذ لحظة دخول قرارها حيز النفاذ </w:t>
      </w:r>
      <w:r w:rsidRPr="004E5F9F">
        <w:rPr>
          <w:rFonts w:ascii="Traditional Arabic" w:hAnsi="Traditional Arabic"/>
          <w:rtl/>
          <w:lang/>
        </w:rPr>
        <w:t>(2</w:t>
      </w:r>
      <w:r>
        <w:rPr>
          <w:rFonts w:ascii="Traditional Arabic" w:hAnsi="Traditional Arabic" w:hint="cs"/>
          <w:rtl/>
          <w:lang/>
        </w:rPr>
        <w:t> </w:t>
      </w:r>
      <w:r w:rsidRPr="004E5F9F">
        <w:rPr>
          <w:rFonts w:ascii="Traditional Arabic" w:hAnsi="Traditional Arabic"/>
          <w:rtl/>
          <w:lang/>
        </w:rPr>
        <w:t>شباط/فبراير 1999)</w:t>
      </w:r>
      <w:r>
        <w:rPr>
          <w:rFonts w:ascii="Traditional Arabic" w:hAnsi="Traditional Arabic" w:hint="cs"/>
          <w:rtl/>
          <w:lang/>
        </w:rPr>
        <w:t xml:space="preserve"> وإلى غاية اعتماد القانون الاتحادي </w:t>
      </w:r>
      <w:r w:rsidR="00DF0379">
        <w:rPr>
          <w:rFonts w:ascii="Traditional Arabic" w:hAnsi="Traditional Arabic" w:hint="cs"/>
          <w:rtl/>
          <w:lang/>
        </w:rPr>
        <w:t xml:space="preserve">الذي </w:t>
      </w:r>
      <w:r>
        <w:rPr>
          <w:rFonts w:ascii="Traditional Arabic" w:hAnsi="Traditional Arabic" w:hint="cs"/>
          <w:rtl/>
          <w:lang/>
        </w:rPr>
        <w:t xml:space="preserve">يكفل </w:t>
      </w:r>
      <w:r>
        <w:rPr>
          <w:rFonts w:hint="cs"/>
          <w:kern w:val="16"/>
          <w:sz w:val="22"/>
          <w:rtl/>
          <w:lang/>
        </w:rPr>
        <w:t xml:space="preserve">حق المتهمين بارتكاب جرائم يُعاقب عليها بعقوبة الإعدام في أن يُحاكموا أمام هيئة محلفين، هو </w:t>
      </w:r>
      <w:r>
        <w:rPr>
          <w:rFonts w:ascii="Traditional Arabic" w:hAnsi="Traditional Arabic" w:hint="cs"/>
          <w:rtl/>
          <w:lang/>
        </w:rPr>
        <w:t>أن الحكم بالإعدام لم يعد جائزاً.</w:t>
      </w:r>
      <w:r>
        <w:rPr>
          <w:rFonts w:ascii="Traditional Arabic" w:hAnsi="Traditional Arabic" w:hint="cs"/>
          <w:sz w:val="30"/>
          <w:rtl/>
        </w:rPr>
        <w:t xml:space="preserve"> </w:t>
      </w:r>
      <w:r>
        <w:rPr>
          <w:rFonts w:ascii="Traditional Arabic" w:hAnsi="Traditional Arabic" w:hint="cs"/>
          <w:rtl/>
          <w:lang/>
        </w:rPr>
        <w:t xml:space="preserve">وتُحيط اللجنة علماً بحجة الدولة الطرف التي </w:t>
      </w:r>
      <w:r w:rsidR="00DF0379">
        <w:rPr>
          <w:rFonts w:ascii="Traditional Arabic" w:hAnsi="Traditional Arabic" w:hint="cs"/>
          <w:rtl/>
          <w:lang/>
        </w:rPr>
        <w:t xml:space="preserve">تعتبر </w:t>
      </w:r>
      <w:r>
        <w:rPr>
          <w:rFonts w:ascii="Traditional Arabic" w:hAnsi="Traditional Arabic" w:hint="cs"/>
          <w:rtl/>
          <w:lang/>
        </w:rPr>
        <w:t>أن</w:t>
      </w:r>
      <w:r w:rsidR="00DF0379">
        <w:rPr>
          <w:rFonts w:ascii="Traditional Arabic" w:hAnsi="Traditional Arabic" w:hint="eastAsia"/>
          <w:rtl/>
          <w:lang/>
        </w:rPr>
        <w:t> </w:t>
      </w:r>
      <w:r>
        <w:rPr>
          <w:rFonts w:ascii="Traditional Arabic" w:hAnsi="Traditional Arabic" w:hint="cs"/>
          <w:rtl/>
          <w:lang/>
        </w:rPr>
        <w:t xml:space="preserve">القرار ليس له أثر رجعي وأن الأحكام بالإعدام التي صدرت قبل دخوله حيز النفاذ </w:t>
      </w:r>
      <w:r>
        <w:rPr>
          <w:rFonts w:ascii="Traditional Arabic" w:hAnsi="Traditional Arabic"/>
          <w:rtl/>
          <w:lang/>
        </w:rPr>
        <w:t>(</w:t>
      </w:r>
      <w:r>
        <w:rPr>
          <w:rFonts w:ascii="Traditional Arabic" w:hAnsi="Traditional Arabic" w:hint="cs"/>
          <w:rtl/>
          <w:lang/>
        </w:rPr>
        <w:t>أي</w:t>
      </w:r>
      <w:r w:rsidR="00DF0379">
        <w:rPr>
          <w:rFonts w:ascii="Traditional Arabic" w:hAnsi="Traditional Arabic" w:hint="eastAsia"/>
          <w:rtl/>
          <w:lang/>
        </w:rPr>
        <w:t> </w:t>
      </w:r>
      <w:r>
        <w:rPr>
          <w:rFonts w:ascii="Traditional Arabic" w:hAnsi="Traditional Arabic" w:hint="cs"/>
          <w:rtl/>
          <w:lang/>
        </w:rPr>
        <w:t>قبل</w:t>
      </w:r>
      <w:r w:rsidR="00DF0379">
        <w:rPr>
          <w:rFonts w:ascii="Traditional Arabic" w:hAnsi="Traditional Arabic" w:hint="eastAsia"/>
          <w:rtl/>
          <w:lang/>
        </w:rPr>
        <w:t> </w:t>
      </w:r>
      <w:r>
        <w:rPr>
          <w:rFonts w:ascii="Traditional Arabic" w:hAnsi="Traditional Arabic" w:hint="cs"/>
          <w:rtl/>
          <w:lang/>
        </w:rPr>
        <w:t>2 شباط/فبراير 1999</w:t>
      </w:r>
      <w:r>
        <w:rPr>
          <w:rFonts w:ascii="Traditional Arabic" w:hAnsi="Traditional Arabic"/>
          <w:rtl/>
          <w:lang/>
        </w:rPr>
        <w:t>)</w:t>
      </w:r>
      <w:r>
        <w:rPr>
          <w:rFonts w:ascii="Traditional Arabic" w:hAnsi="Traditional Arabic" w:hint="cs"/>
          <w:rtl/>
          <w:lang/>
        </w:rPr>
        <w:t xml:space="preserve"> لم تراجع على أساس هذا القرار. وتُلاحظ اللجنة أن حكم الإعدام صدر في حق صاحب البلاغ في 13 تشرين الأول/أكتوبر 1995، </w:t>
      </w:r>
      <w:r w:rsidR="00DF0379">
        <w:rPr>
          <w:rFonts w:ascii="Traditional Arabic" w:hAnsi="Traditional Arabic" w:hint="cs"/>
          <w:rtl/>
          <w:lang/>
        </w:rPr>
        <w:t xml:space="preserve">أي </w:t>
      </w:r>
      <w:r>
        <w:rPr>
          <w:rFonts w:ascii="Traditional Arabic" w:hAnsi="Traditional Arabic" w:hint="cs"/>
          <w:rtl/>
          <w:lang/>
        </w:rPr>
        <w:t xml:space="preserve">بعد مضي أكثر من ثلاث سنوات وسبعة أشهر </w:t>
      </w:r>
      <w:r w:rsidR="00DF0379">
        <w:rPr>
          <w:rFonts w:ascii="Traditional Arabic" w:hAnsi="Traditional Arabic" w:hint="cs"/>
          <w:rtl/>
          <w:lang/>
        </w:rPr>
        <w:t xml:space="preserve">على </w:t>
      </w:r>
      <w:r>
        <w:rPr>
          <w:rFonts w:ascii="Traditional Arabic" w:hAnsi="Traditional Arabic" w:hint="cs"/>
          <w:rtl/>
          <w:lang/>
        </w:rPr>
        <w:t xml:space="preserve">دخول القرار المذكور حيز النفاذ، ومن ثم لا يمكن </w:t>
      </w:r>
      <w:r w:rsidR="00764EBB">
        <w:rPr>
          <w:rFonts w:ascii="Traditional Arabic" w:hAnsi="Traditional Arabic" w:hint="cs"/>
          <w:rtl/>
          <w:lang/>
        </w:rPr>
        <w:t xml:space="preserve">اتخاذ </w:t>
      </w:r>
      <w:r>
        <w:rPr>
          <w:rFonts w:ascii="Traditional Arabic" w:hAnsi="Traditional Arabic" w:hint="cs"/>
          <w:rtl/>
          <w:lang/>
        </w:rPr>
        <w:t>القرار أساس</w:t>
      </w:r>
      <w:r w:rsidR="00D152F4">
        <w:rPr>
          <w:rFonts w:ascii="Traditional Arabic" w:hAnsi="Traditional Arabic" w:hint="cs"/>
          <w:rtl/>
          <w:lang/>
        </w:rPr>
        <w:t xml:space="preserve">اً </w:t>
      </w:r>
      <w:r>
        <w:rPr>
          <w:rFonts w:ascii="Traditional Arabic" w:hAnsi="Traditional Arabic" w:hint="cs"/>
          <w:rtl/>
          <w:lang/>
        </w:rPr>
        <w:t>قانوني</w:t>
      </w:r>
      <w:r w:rsidR="00D152F4">
        <w:rPr>
          <w:rFonts w:ascii="Traditional Arabic" w:hAnsi="Traditional Arabic" w:hint="cs"/>
          <w:rtl/>
          <w:lang/>
        </w:rPr>
        <w:t xml:space="preserve">اً </w:t>
      </w:r>
      <w:r>
        <w:rPr>
          <w:rFonts w:ascii="Traditional Arabic" w:hAnsi="Traditional Arabic" w:hint="cs"/>
          <w:rtl/>
          <w:lang/>
        </w:rPr>
        <w:t>لإعادة النظر في الحكم الصادر في حقه.</w:t>
      </w:r>
      <w:r>
        <w:rPr>
          <w:rFonts w:ascii="Traditional Arabic" w:hAnsi="Traditional Arabic" w:hint="cs"/>
          <w:rtl/>
        </w:rPr>
        <w:t xml:space="preserve"> وتحيط اللجنة علم</w:t>
      </w:r>
      <w:r w:rsidR="00D152F4">
        <w:rPr>
          <w:rFonts w:ascii="Traditional Arabic" w:hAnsi="Traditional Arabic" w:hint="cs"/>
          <w:rtl/>
        </w:rPr>
        <w:t xml:space="preserve">اً </w:t>
      </w:r>
      <w:r>
        <w:rPr>
          <w:rFonts w:ascii="Traditional Arabic" w:hAnsi="Traditional Arabic" w:hint="cs"/>
          <w:rtl/>
        </w:rPr>
        <w:t>أيض</w:t>
      </w:r>
      <w:r w:rsidR="00D152F4">
        <w:rPr>
          <w:rFonts w:ascii="Traditional Arabic" w:hAnsi="Traditional Arabic" w:hint="cs"/>
          <w:rtl/>
        </w:rPr>
        <w:t xml:space="preserve">اً </w:t>
      </w:r>
      <w:r>
        <w:rPr>
          <w:rFonts w:ascii="Traditional Arabic" w:hAnsi="Traditional Arabic" w:hint="cs"/>
          <w:rtl/>
        </w:rPr>
        <w:t xml:space="preserve">بحجة الدولة الطرف القائلة إن قرار محكمة مدينة زلاتوست كان يتعلق بشخص، غير صاحب البلاغ، كان </w:t>
      </w:r>
      <w:r w:rsidR="00764EBB">
        <w:rPr>
          <w:rFonts w:ascii="Traditional Arabic" w:hAnsi="Traditional Arabic" w:hint="cs"/>
          <w:rtl/>
        </w:rPr>
        <w:t xml:space="preserve">قد </w:t>
      </w:r>
      <w:r>
        <w:rPr>
          <w:rFonts w:ascii="Traditional Arabic" w:hAnsi="Traditional Arabic" w:hint="cs"/>
          <w:rtl/>
        </w:rPr>
        <w:t>أدين باقتراف جريمة قبل إدخال تعديل على القانون الجنائي في عام</w:t>
      </w:r>
      <w:r w:rsidR="00764EBB">
        <w:rPr>
          <w:rFonts w:ascii="Traditional Arabic" w:hAnsi="Traditional Arabic" w:hint="eastAsia"/>
          <w:rtl/>
        </w:rPr>
        <w:t> </w:t>
      </w:r>
      <w:r>
        <w:rPr>
          <w:rFonts w:ascii="Traditional Arabic" w:hAnsi="Traditional Arabic" w:hint="cs"/>
          <w:rtl/>
        </w:rPr>
        <w:t xml:space="preserve">1992. وفي ضوء ما سلف، </w:t>
      </w:r>
      <w:r w:rsidR="00764EBB">
        <w:rPr>
          <w:rFonts w:ascii="Traditional Arabic" w:hAnsi="Traditional Arabic" w:hint="cs"/>
          <w:rtl/>
        </w:rPr>
        <w:t xml:space="preserve">تخلص </w:t>
      </w:r>
      <w:r>
        <w:rPr>
          <w:rFonts w:ascii="Traditional Arabic" w:hAnsi="Traditional Arabic" w:hint="cs"/>
          <w:rtl/>
        </w:rPr>
        <w:t>اللجنة إلى عدم وجود ما يوحي بتعسف أو حرمان من العدالة في القضية موضع النظر.</w:t>
      </w:r>
    </w:p>
    <w:p w:rsidR="00E32FA5" w:rsidRDefault="00E32FA5" w:rsidP="00764EBB">
      <w:pPr>
        <w:pStyle w:val="SingleTxtGA"/>
        <w:rPr>
          <w:rFonts w:ascii="Traditional Arabic" w:hAnsi="Traditional Arabic" w:hint="cs"/>
          <w:sz w:val="30"/>
          <w:rtl/>
        </w:rPr>
      </w:pPr>
      <w:r>
        <w:rPr>
          <w:rFonts w:ascii="Traditional Arabic" w:hAnsi="Traditional Arabic" w:hint="cs"/>
          <w:rtl/>
        </w:rPr>
        <w:t>9-5</w:t>
      </w:r>
      <w:r>
        <w:rPr>
          <w:rFonts w:ascii="Traditional Arabic" w:hAnsi="Traditional Arabic" w:hint="cs"/>
          <w:rtl/>
        </w:rPr>
        <w:tab/>
        <w:t>و</w:t>
      </w:r>
      <w:r w:rsidR="00764EBB">
        <w:rPr>
          <w:rFonts w:ascii="Traditional Arabic" w:hAnsi="Traditional Arabic" w:hint="cs"/>
          <w:rtl/>
        </w:rPr>
        <w:t>فيما يتعلق ب</w:t>
      </w:r>
      <w:r>
        <w:rPr>
          <w:rFonts w:ascii="Traditional Arabic" w:hAnsi="Traditional Arabic" w:hint="cs"/>
          <w:rtl/>
        </w:rPr>
        <w:t xml:space="preserve">اعتراض صاحب البلاغ على </w:t>
      </w:r>
      <w:r w:rsidR="00764EBB">
        <w:rPr>
          <w:rFonts w:ascii="Traditional Arabic" w:hAnsi="Traditional Arabic" w:hint="cs"/>
          <w:rtl/>
        </w:rPr>
        <w:t xml:space="preserve">تغيير </w:t>
      </w:r>
      <w:r>
        <w:rPr>
          <w:rFonts w:ascii="Traditional Arabic" w:hAnsi="Traditional Arabic" w:hint="cs"/>
          <w:rtl/>
        </w:rPr>
        <w:t xml:space="preserve">العقوبة الصادرة في حقه </w:t>
      </w:r>
      <w:r w:rsidR="00764EBB">
        <w:rPr>
          <w:rFonts w:ascii="Traditional Arabic" w:hAnsi="Traditional Arabic" w:hint="cs"/>
          <w:rtl/>
        </w:rPr>
        <w:t xml:space="preserve">بموجب </w:t>
      </w:r>
      <w:r>
        <w:rPr>
          <w:rFonts w:ascii="Traditional Arabic" w:hAnsi="Traditional Arabic" w:hint="cs"/>
          <w:rtl/>
        </w:rPr>
        <w:t>مرسوم رئاسي بدل</w:t>
      </w:r>
      <w:r w:rsidR="00D152F4">
        <w:rPr>
          <w:rFonts w:ascii="Traditional Arabic" w:hAnsi="Traditional Arabic" w:hint="cs"/>
          <w:rtl/>
        </w:rPr>
        <w:t xml:space="preserve">اً </w:t>
      </w:r>
      <w:r>
        <w:rPr>
          <w:rFonts w:ascii="Traditional Arabic" w:hAnsi="Traditional Arabic" w:hint="cs"/>
          <w:rtl/>
        </w:rPr>
        <w:t xml:space="preserve">من قرار </w:t>
      </w:r>
      <w:r w:rsidR="00764EBB">
        <w:rPr>
          <w:rFonts w:ascii="Traditional Arabic" w:hAnsi="Traditional Arabic" w:hint="cs"/>
          <w:rtl/>
        </w:rPr>
        <w:t xml:space="preserve">صادر عن </w:t>
      </w:r>
      <w:r>
        <w:rPr>
          <w:rFonts w:ascii="Traditional Arabic" w:hAnsi="Traditional Arabic" w:hint="cs"/>
          <w:rtl/>
        </w:rPr>
        <w:t xml:space="preserve">محكمة، تشير اللجنة إلى حجج الدولة الطرف التي تفيد بأن </w:t>
      </w:r>
      <w:r w:rsidR="00764EBB">
        <w:rPr>
          <w:rFonts w:ascii="Traditional Arabic" w:hAnsi="Traditional Arabic" w:hint="cs"/>
          <w:rtl/>
        </w:rPr>
        <w:t xml:space="preserve">هذا </w:t>
      </w:r>
      <w:r>
        <w:rPr>
          <w:rFonts w:ascii="Traditional Arabic" w:hAnsi="Traditional Arabic" w:hint="cs"/>
          <w:rtl/>
        </w:rPr>
        <w:t>المرسوم اعت</w:t>
      </w:r>
      <w:r w:rsidR="00764EBB">
        <w:rPr>
          <w:rFonts w:ascii="Traditional Arabic" w:hAnsi="Traditional Arabic" w:hint="cs"/>
          <w:rtl/>
        </w:rPr>
        <w:t>ُ</w:t>
      </w:r>
      <w:r>
        <w:rPr>
          <w:rFonts w:ascii="Traditional Arabic" w:hAnsi="Traditional Arabic" w:hint="cs"/>
          <w:rtl/>
        </w:rPr>
        <w:t>مد بمقتضى صلاحي</w:t>
      </w:r>
      <w:r w:rsidR="00764EBB">
        <w:rPr>
          <w:rFonts w:ascii="Traditional Arabic" w:hAnsi="Traditional Arabic" w:hint="cs"/>
          <w:rtl/>
        </w:rPr>
        <w:t>ات</w:t>
      </w:r>
      <w:r>
        <w:rPr>
          <w:rFonts w:ascii="Traditional Arabic" w:hAnsi="Traditional Arabic" w:hint="cs"/>
          <w:rtl/>
        </w:rPr>
        <w:t xml:space="preserve"> الرئيس الدستورية </w:t>
      </w:r>
      <w:r w:rsidR="00764EBB">
        <w:rPr>
          <w:rFonts w:ascii="Traditional Arabic" w:hAnsi="Traditional Arabic" w:hint="cs"/>
          <w:rtl/>
        </w:rPr>
        <w:t>الم</w:t>
      </w:r>
      <w:r w:rsidR="008D5A20">
        <w:rPr>
          <w:rFonts w:ascii="Traditional Arabic" w:hAnsi="Traditional Arabic" w:hint="cs"/>
          <w:rtl/>
        </w:rPr>
        <w:t>ت</w:t>
      </w:r>
      <w:r w:rsidR="00764EBB">
        <w:rPr>
          <w:rFonts w:ascii="Traditional Arabic" w:hAnsi="Traditional Arabic" w:hint="cs"/>
          <w:rtl/>
        </w:rPr>
        <w:t xml:space="preserve">علقة </w:t>
      </w:r>
      <w:r>
        <w:rPr>
          <w:rFonts w:ascii="Traditional Arabic" w:hAnsi="Traditional Arabic" w:hint="cs"/>
          <w:rtl/>
        </w:rPr>
        <w:t>بالعفو وصدر وفق</w:t>
      </w:r>
      <w:r w:rsidR="00D152F4">
        <w:rPr>
          <w:rFonts w:ascii="Traditional Arabic" w:hAnsi="Traditional Arabic" w:hint="cs"/>
          <w:rtl/>
        </w:rPr>
        <w:t xml:space="preserve">اً </w:t>
      </w:r>
      <w:r>
        <w:rPr>
          <w:rFonts w:ascii="Traditional Arabic" w:hAnsi="Traditional Arabic" w:hint="cs"/>
          <w:rtl/>
        </w:rPr>
        <w:t>للمادتين 59 و85 من قانون الإجراءات الجنائية لروسيا الاتحادية الذي كان نافذ</w:t>
      </w:r>
      <w:r w:rsidR="00D152F4">
        <w:rPr>
          <w:rFonts w:ascii="Traditional Arabic" w:hAnsi="Traditional Arabic" w:hint="cs"/>
          <w:rtl/>
        </w:rPr>
        <w:t xml:space="preserve">اً </w:t>
      </w:r>
      <w:r>
        <w:rPr>
          <w:rFonts w:ascii="Traditional Arabic" w:hAnsi="Traditional Arabic" w:hint="cs"/>
          <w:rtl/>
        </w:rPr>
        <w:t xml:space="preserve">وقت </w:t>
      </w:r>
      <w:r w:rsidR="00764EBB">
        <w:rPr>
          <w:rFonts w:ascii="Traditional Arabic" w:hAnsi="Traditional Arabic" w:hint="cs"/>
          <w:rtl/>
        </w:rPr>
        <w:t xml:space="preserve">صدور </w:t>
      </w:r>
      <w:r>
        <w:rPr>
          <w:rFonts w:ascii="Traditional Arabic" w:hAnsi="Traditional Arabic" w:hint="cs"/>
          <w:rtl/>
        </w:rPr>
        <w:t xml:space="preserve">العفو، والمادة 24 من قانون الإجراءات الجنائية لروسيا الاتحادية النافذ وقت ارتكاب الجريمة، وكلاهما ينصان على إمكانية تحويل عقوبة الإعدام إلى </w:t>
      </w:r>
      <w:r w:rsidR="00764EBB">
        <w:rPr>
          <w:rFonts w:ascii="Traditional Arabic" w:hAnsi="Traditional Arabic" w:hint="cs"/>
          <w:rtl/>
        </w:rPr>
        <w:t xml:space="preserve">عقوبة </w:t>
      </w:r>
      <w:r>
        <w:rPr>
          <w:rFonts w:ascii="Traditional Arabic" w:hAnsi="Traditional Arabic" w:hint="cs"/>
          <w:rtl/>
        </w:rPr>
        <w:t>السجن المؤبد</w:t>
      </w:r>
      <w:r>
        <w:rPr>
          <w:rFonts w:ascii="Traditional Arabic" w:hAnsi="Traditional Arabic"/>
          <w:vertAlign w:val="superscript"/>
          <w:rtl/>
        </w:rPr>
        <w:t>(</w:t>
      </w:r>
      <w:r>
        <w:rPr>
          <w:rStyle w:val="FootnoteReference"/>
          <w:rtl/>
        </w:rPr>
        <w:footnoteReference w:id="31"/>
      </w:r>
      <w:r w:rsidRPr="002E3B98">
        <w:rPr>
          <w:rFonts w:ascii="Traditional Arabic" w:hAnsi="Traditional Arabic"/>
          <w:vertAlign w:val="superscript"/>
          <w:rtl/>
        </w:rPr>
        <w:t>)</w:t>
      </w:r>
      <w:r>
        <w:rPr>
          <w:rFonts w:ascii="Traditional Arabic" w:hAnsi="Traditional Arabic" w:hint="cs"/>
          <w:rtl/>
        </w:rPr>
        <w:t>.</w:t>
      </w:r>
      <w:r>
        <w:rPr>
          <w:rFonts w:ascii="Traditional Arabic" w:hAnsi="Traditional Arabic" w:hint="cs"/>
          <w:sz w:val="30"/>
          <w:rtl/>
        </w:rPr>
        <w:t xml:space="preserve"> وتذكّر اللجنة بأن السلطة التقديرية </w:t>
      </w:r>
      <w:r w:rsidR="00764EBB">
        <w:rPr>
          <w:rFonts w:ascii="Traditional Arabic" w:hAnsi="Traditional Arabic" w:hint="cs"/>
          <w:sz w:val="30"/>
          <w:rtl/>
        </w:rPr>
        <w:t xml:space="preserve">لتغيير </w:t>
      </w:r>
      <w:r>
        <w:rPr>
          <w:rFonts w:ascii="Traditional Arabic" w:hAnsi="Traditional Arabic" w:hint="cs"/>
          <w:sz w:val="30"/>
          <w:rtl/>
        </w:rPr>
        <w:t>العقوبات، التي تتعلق تحديد</w:t>
      </w:r>
      <w:r w:rsidR="00D152F4">
        <w:rPr>
          <w:rFonts w:ascii="Traditional Arabic" w:hAnsi="Traditional Arabic" w:hint="cs"/>
          <w:sz w:val="30"/>
          <w:rtl/>
        </w:rPr>
        <w:t xml:space="preserve">اً </w:t>
      </w:r>
      <w:r>
        <w:rPr>
          <w:rFonts w:ascii="Traditional Arabic" w:hAnsi="Traditional Arabic" w:hint="cs"/>
          <w:sz w:val="30"/>
          <w:rtl/>
        </w:rPr>
        <w:t>بأحكام الإعدام المنصوص عليها في الفقرة 4 من المادة 6 من العهد، قد تفوَّض لرئيس الدولة أو هيئة تنفيذية أخرى دون الإخلال بالمادة 14</w:t>
      </w:r>
      <w:r>
        <w:rPr>
          <w:rFonts w:ascii="Traditional Arabic" w:hAnsi="Traditional Arabic"/>
          <w:sz w:val="30"/>
          <w:vertAlign w:val="superscript"/>
          <w:rtl/>
        </w:rPr>
        <w:t>(</w:t>
      </w:r>
      <w:r>
        <w:rPr>
          <w:rStyle w:val="FootnoteReference"/>
          <w:rtl/>
        </w:rPr>
        <w:footnoteReference w:id="32"/>
      </w:r>
      <w:r w:rsidRPr="001E2D24">
        <w:rPr>
          <w:rFonts w:ascii="Traditional Arabic" w:hAnsi="Traditional Arabic"/>
          <w:sz w:val="30"/>
          <w:vertAlign w:val="superscript"/>
          <w:rtl/>
        </w:rPr>
        <w:t>)</w:t>
      </w:r>
      <w:r>
        <w:rPr>
          <w:rFonts w:ascii="Traditional Arabic" w:hAnsi="Traditional Arabic" w:hint="cs"/>
          <w:sz w:val="30"/>
          <w:rtl/>
        </w:rPr>
        <w:t>.</w:t>
      </w:r>
      <w:r w:rsidR="00D152F4">
        <w:rPr>
          <w:rFonts w:ascii="Traditional Arabic" w:hAnsi="Traditional Arabic" w:hint="cs"/>
          <w:sz w:val="30"/>
          <w:rtl/>
        </w:rPr>
        <w:t xml:space="preserve"> </w:t>
      </w:r>
      <w:r>
        <w:rPr>
          <w:rFonts w:ascii="Traditional Arabic" w:hAnsi="Traditional Arabic" w:hint="cs"/>
          <w:sz w:val="30"/>
          <w:rtl/>
        </w:rPr>
        <w:t xml:space="preserve">وعليه، ليس لدى اللجنة أي سند يسمح لها بأن تستنتج </w:t>
      </w:r>
      <w:r w:rsidR="00764EBB">
        <w:rPr>
          <w:rFonts w:ascii="Traditional Arabic" w:hAnsi="Traditional Arabic" w:hint="cs"/>
          <w:sz w:val="30"/>
          <w:rtl/>
        </w:rPr>
        <w:t xml:space="preserve">بأن </w:t>
      </w:r>
      <w:r>
        <w:rPr>
          <w:rFonts w:ascii="Traditional Arabic" w:hAnsi="Traditional Arabic" w:hint="cs"/>
          <w:sz w:val="30"/>
          <w:rtl/>
        </w:rPr>
        <w:t xml:space="preserve">موقف الدولة الطرف، </w:t>
      </w:r>
      <w:r w:rsidR="00764EBB">
        <w:rPr>
          <w:rFonts w:ascii="Traditional Arabic" w:hAnsi="Traditional Arabic" w:hint="cs"/>
          <w:sz w:val="30"/>
          <w:rtl/>
        </w:rPr>
        <w:t xml:space="preserve">الذي يعتبر </w:t>
      </w:r>
      <w:r>
        <w:rPr>
          <w:rFonts w:ascii="Traditional Arabic" w:hAnsi="Traditional Arabic" w:hint="cs"/>
          <w:sz w:val="30"/>
          <w:rtl/>
        </w:rPr>
        <w:t xml:space="preserve">قرار العفو الممنوح للسلطة التنفيذية </w:t>
      </w:r>
      <w:r w:rsidR="00764EBB">
        <w:rPr>
          <w:rFonts w:ascii="Traditional Arabic" w:hAnsi="Traditional Arabic" w:hint="cs"/>
          <w:sz w:val="30"/>
          <w:rtl/>
        </w:rPr>
        <w:t xml:space="preserve">يتوافق </w:t>
      </w:r>
      <w:r>
        <w:rPr>
          <w:rFonts w:ascii="Traditional Arabic" w:hAnsi="Traditional Arabic" w:hint="cs"/>
          <w:sz w:val="30"/>
          <w:rtl/>
        </w:rPr>
        <w:t>مع الدستور</w:t>
      </w:r>
      <w:r w:rsidR="00764EBB">
        <w:rPr>
          <w:rFonts w:ascii="Traditional Arabic" w:hAnsi="Traditional Arabic" w:hint="cs"/>
          <w:sz w:val="30"/>
          <w:rtl/>
        </w:rPr>
        <w:t xml:space="preserve"> كان متعسفاً</w:t>
      </w:r>
      <w:r>
        <w:rPr>
          <w:rFonts w:ascii="Traditional Arabic" w:hAnsi="Traditional Arabic" w:hint="cs"/>
          <w:sz w:val="30"/>
          <w:rtl/>
        </w:rPr>
        <w:t>.</w:t>
      </w:r>
    </w:p>
    <w:p w:rsidR="00E32FA5" w:rsidRDefault="00E32FA5" w:rsidP="00764EBB">
      <w:pPr>
        <w:pStyle w:val="SingleTxtGA"/>
        <w:rPr>
          <w:rFonts w:ascii="Traditional Arabic" w:hAnsi="Traditional Arabic" w:hint="cs"/>
          <w:sz w:val="30"/>
          <w:rtl/>
          <w:lang/>
        </w:rPr>
      </w:pPr>
      <w:r>
        <w:rPr>
          <w:rFonts w:ascii="Traditional Arabic" w:hAnsi="Traditional Arabic" w:hint="cs"/>
          <w:sz w:val="30"/>
          <w:rtl/>
        </w:rPr>
        <w:t>9-6</w:t>
      </w:r>
      <w:r>
        <w:rPr>
          <w:rFonts w:ascii="Traditional Arabic" w:hAnsi="Traditional Arabic" w:hint="cs"/>
          <w:sz w:val="30"/>
          <w:rtl/>
        </w:rPr>
        <w:tab/>
      </w:r>
      <w:r>
        <w:rPr>
          <w:rFonts w:ascii="Traditional Arabic" w:hAnsi="Traditional Arabic" w:hint="cs"/>
          <w:rtl/>
          <w:lang/>
        </w:rPr>
        <w:t xml:space="preserve">وفي ضوء </w:t>
      </w:r>
      <w:r>
        <w:rPr>
          <w:rFonts w:hint="cs"/>
          <w:rtl/>
          <w:lang/>
        </w:rPr>
        <w:t xml:space="preserve">الاعتبارات الواردة أعلاه، تخلص اللجنة إلى أن مستندات الملف لا تسمح لها باستنتاج أن حقوق صاحب البلاغ المكفولة </w:t>
      </w:r>
      <w:r w:rsidR="00764EBB">
        <w:rPr>
          <w:rFonts w:hint="cs"/>
          <w:rtl/>
          <w:lang/>
        </w:rPr>
        <w:t xml:space="preserve">بموجب </w:t>
      </w:r>
      <w:r>
        <w:rPr>
          <w:rFonts w:hint="cs"/>
          <w:rtl/>
          <w:lang/>
        </w:rPr>
        <w:t>الفقرة</w:t>
      </w:r>
      <w:r>
        <w:rPr>
          <w:rFonts w:hint="eastAsia"/>
          <w:rtl/>
          <w:lang/>
        </w:rPr>
        <w:t> </w:t>
      </w:r>
      <w:r>
        <w:rPr>
          <w:rFonts w:hint="cs"/>
          <w:rtl/>
          <w:lang/>
        </w:rPr>
        <w:t>1 من المادة 14 من العهد قد انتهكت في هذه القضية.</w:t>
      </w:r>
    </w:p>
    <w:p w:rsidR="00E32FA5" w:rsidRDefault="00E32FA5" w:rsidP="00764EBB">
      <w:pPr>
        <w:pStyle w:val="SingleTxtGA"/>
        <w:rPr>
          <w:rFonts w:hint="cs"/>
          <w:rtl/>
          <w:lang/>
        </w:rPr>
      </w:pPr>
      <w:r>
        <w:rPr>
          <w:rFonts w:ascii="Traditional Arabic" w:hAnsi="Traditional Arabic" w:hint="cs"/>
          <w:sz w:val="30"/>
          <w:rtl/>
          <w:lang/>
        </w:rPr>
        <w:t>9-7</w:t>
      </w:r>
      <w:r>
        <w:rPr>
          <w:rFonts w:ascii="Traditional Arabic" w:hAnsi="Traditional Arabic" w:hint="cs"/>
          <w:sz w:val="30"/>
          <w:rtl/>
          <w:lang/>
        </w:rPr>
        <w:tab/>
      </w:r>
      <w:r>
        <w:rPr>
          <w:rFonts w:hint="cs"/>
          <w:rtl/>
          <w:lang/>
        </w:rPr>
        <w:t xml:space="preserve">وفيما يتعلق بادعاء صاحب البلاغ </w:t>
      </w:r>
      <w:r w:rsidR="00764EBB">
        <w:rPr>
          <w:rFonts w:hint="cs"/>
          <w:rtl/>
          <w:lang/>
        </w:rPr>
        <w:t xml:space="preserve">المندرج في إطار </w:t>
      </w:r>
      <w:r>
        <w:rPr>
          <w:rFonts w:hint="cs"/>
          <w:rtl/>
          <w:lang/>
        </w:rPr>
        <w:t xml:space="preserve">المادة 6 من العهد، تُلاحظ اللجنة أن العفو عنه صدر بمرسوم رئاسي في 21 كانون الأول/ديسمبر 1998 وأن عقوبة الإعدام الصادرة في حقه في 13 تشرين الأول/أكتوبر 1995 حولت إلى عقوبة بالسجن المؤبد. وفي ظل هذه الظروف، لن تبحث اللجنة ادعاءات صاحب البلاغ </w:t>
      </w:r>
      <w:r w:rsidR="00764EBB">
        <w:rPr>
          <w:rFonts w:hint="cs"/>
          <w:rtl/>
          <w:lang/>
        </w:rPr>
        <w:t xml:space="preserve">المندرجة في إطار </w:t>
      </w:r>
      <w:r>
        <w:rPr>
          <w:rFonts w:hint="cs"/>
          <w:rtl/>
          <w:lang/>
        </w:rPr>
        <w:t>هذه المادة من العهد بحث</w:t>
      </w:r>
      <w:r w:rsidR="00D152F4">
        <w:rPr>
          <w:rFonts w:hint="cs"/>
          <w:rtl/>
          <w:lang/>
        </w:rPr>
        <w:t xml:space="preserve">اً </w:t>
      </w:r>
      <w:r>
        <w:rPr>
          <w:rFonts w:hint="cs"/>
          <w:rtl/>
          <w:lang/>
        </w:rPr>
        <w:t>مستقلا</w:t>
      </w:r>
      <w:r w:rsidR="008D5A20">
        <w:rPr>
          <w:rFonts w:hint="cs"/>
          <w:vertAlign w:val="superscript"/>
          <w:rtl/>
          <w:lang/>
        </w:rPr>
        <w:t>ً</w:t>
      </w:r>
      <w:r>
        <w:rPr>
          <w:vertAlign w:val="superscript"/>
          <w:rtl/>
          <w:lang/>
        </w:rPr>
        <w:t>(</w:t>
      </w:r>
      <w:r>
        <w:rPr>
          <w:rStyle w:val="FootnoteReference"/>
          <w:rtl/>
          <w:lang/>
        </w:rPr>
        <w:footnoteReference w:id="33"/>
      </w:r>
      <w:r w:rsidRPr="005243D5">
        <w:rPr>
          <w:vertAlign w:val="superscript"/>
          <w:rtl/>
          <w:lang/>
        </w:rPr>
        <w:t>)</w:t>
      </w:r>
      <w:r>
        <w:rPr>
          <w:rFonts w:hint="cs"/>
          <w:rtl/>
          <w:lang/>
        </w:rPr>
        <w:t>.</w:t>
      </w:r>
    </w:p>
    <w:p w:rsidR="00E32FA5" w:rsidRDefault="00E32FA5" w:rsidP="00764EBB">
      <w:pPr>
        <w:pStyle w:val="SingleTxtGA"/>
        <w:rPr>
          <w:rFonts w:ascii="Traditional Arabic" w:hAnsi="Traditional Arabic" w:hint="cs"/>
          <w:sz w:val="30"/>
          <w:rtl/>
        </w:rPr>
      </w:pPr>
      <w:r>
        <w:rPr>
          <w:rFonts w:hint="cs"/>
          <w:rtl/>
          <w:lang/>
        </w:rPr>
        <w:t>9-8</w:t>
      </w:r>
      <w:r>
        <w:rPr>
          <w:rFonts w:hint="cs"/>
          <w:rtl/>
          <w:lang/>
        </w:rPr>
        <w:tab/>
      </w:r>
      <w:r>
        <w:rPr>
          <w:rFonts w:ascii="Traditional Arabic" w:hAnsi="Traditional Arabic" w:hint="cs"/>
          <w:sz w:val="30"/>
          <w:rtl/>
        </w:rPr>
        <w:t xml:space="preserve">وتشير اللجنة إلى ادعاء صاحب البلاغ أن إبدال </w:t>
      </w:r>
      <w:r w:rsidR="00764EBB">
        <w:rPr>
          <w:rFonts w:ascii="Traditional Arabic" w:hAnsi="Traditional Arabic" w:hint="cs"/>
          <w:sz w:val="30"/>
          <w:rtl/>
        </w:rPr>
        <w:t xml:space="preserve">عقوبة </w:t>
      </w:r>
      <w:r>
        <w:rPr>
          <w:rFonts w:ascii="Traditional Arabic" w:hAnsi="Traditional Arabic" w:hint="cs"/>
          <w:sz w:val="30"/>
          <w:rtl/>
        </w:rPr>
        <w:t xml:space="preserve">الإعدام </w:t>
      </w:r>
      <w:r w:rsidR="00764EBB">
        <w:rPr>
          <w:rFonts w:ascii="Traditional Arabic" w:hAnsi="Traditional Arabic" w:hint="cs"/>
          <w:sz w:val="30"/>
          <w:rtl/>
        </w:rPr>
        <w:t xml:space="preserve">بعقوبة </w:t>
      </w:r>
      <w:r>
        <w:rPr>
          <w:rFonts w:ascii="Traditional Arabic" w:hAnsi="Traditional Arabic" w:hint="cs"/>
          <w:sz w:val="30"/>
          <w:rtl/>
        </w:rPr>
        <w:t xml:space="preserve">السجن المؤبد </w:t>
      </w:r>
      <w:r w:rsidR="00764EBB">
        <w:rPr>
          <w:rFonts w:ascii="Traditional Arabic" w:hAnsi="Traditional Arabic" w:hint="cs"/>
          <w:sz w:val="30"/>
          <w:rtl/>
        </w:rPr>
        <w:t xml:space="preserve">انتهك حقوقه </w:t>
      </w:r>
      <w:r>
        <w:rPr>
          <w:rFonts w:ascii="Traditional Arabic" w:hAnsi="Traditional Arabic" w:hint="cs"/>
          <w:sz w:val="30"/>
          <w:rtl/>
        </w:rPr>
        <w:t>بموجب الفقرة 1 من المادة 15 من العهد. و</w:t>
      </w:r>
      <w:r w:rsidR="00764EBB">
        <w:rPr>
          <w:rFonts w:ascii="Traditional Arabic" w:hAnsi="Traditional Arabic" w:hint="cs"/>
          <w:sz w:val="30"/>
          <w:rtl/>
        </w:rPr>
        <w:t xml:space="preserve">هي </w:t>
      </w:r>
      <w:r>
        <w:rPr>
          <w:rFonts w:ascii="Traditional Arabic" w:hAnsi="Traditional Arabic" w:hint="cs"/>
          <w:sz w:val="30"/>
          <w:rtl/>
        </w:rPr>
        <w:t>تشير أيض</w:t>
      </w:r>
      <w:r w:rsidR="00D152F4">
        <w:rPr>
          <w:rFonts w:ascii="Traditional Arabic" w:hAnsi="Traditional Arabic" w:hint="cs"/>
          <w:sz w:val="30"/>
          <w:rtl/>
        </w:rPr>
        <w:t xml:space="preserve">اً </w:t>
      </w:r>
      <w:r>
        <w:rPr>
          <w:rFonts w:ascii="Traditional Arabic" w:hAnsi="Traditional Arabic" w:hint="cs"/>
          <w:sz w:val="30"/>
          <w:rtl/>
        </w:rPr>
        <w:t xml:space="preserve">إلى حجج صاحب البلاغ التي جاء فيها أن </w:t>
      </w:r>
      <w:r>
        <w:rPr>
          <w:rFonts w:ascii="Traditional Arabic" w:hAnsi="Traditional Arabic"/>
          <w:sz w:val="30"/>
          <w:rtl/>
        </w:rPr>
        <w:t>(</w:t>
      </w:r>
      <w:r>
        <w:rPr>
          <w:rFonts w:ascii="Traditional Arabic" w:hAnsi="Traditional Arabic" w:hint="cs"/>
          <w:sz w:val="30"/>
          <w:rtl/>
        </w:rPr>
        <w:t>أ</w:t>
      </w:r>
      <w:r>
        <w:rPr>
          <w:rFonts w:ascii="Traditional Arabic" w:hAnsi="Traditional Arabic"/>
          <w:sz w:val="30"/>
          <w:rtl/>
        </w:rPr>
        <w:t>)</w:t>
      </w:r>
      <w:r>
        <w:rPr>
          <w:rFonts w:ascii="Traditional Arabic" w:hAnsi="Traditional Arabic" w:hint="cs"/>
          <w:sz w:val="30"/>
          <w:rtl/>
        </w:rPr>
        <w:t xml:space="preserve"> قرار المحكمة الدستورية الصادر في 2 شباط/فبراير 1999 حظر </w:t>
      </w:r>
      <w:r w:rsidR="00764EBB">
        <w:rPr>
          <w:rFonts w:ascii="Traditional Arabic" w:hAnsi="Traditional Arabic" w:hint="cs"/>
          <w:sz w:val="30"/>
          <w:rtl/>
        </w:rPr>
        <w:t xml:space="preserve">فرض </w:t>
      </w:r>
      <w:r>
        <w:rPr>
          <w:rFonts w:ascii="Traditional Arabic" w:hAnsi="Traditional Arabic" w:hint="cs"/>
          <w:sz w:val="30"/>
          <w:rtl/>
        </w:rPr>
        <w:t xml:space="preserve">عقوبة الإعدام، ومن ثم خُففت العقوبة على الجريمة التي ارتكبها </w:t>
      </w:r>
      <w:r>
        <w:rPr>
          <w:rFonts w:ascii="Traditional Arabic" w:hAnsi="Traditional Arabic"/>
          <w:sz w:val="30"/>
          <w:rtl/>
        </w:rPr>
        <w:t>(</w:t>
      </w:r>
      <w:r>
        <w:rPr>
          <w:rFonts w:ascii="Traditional Arabic" w:hAnsi="Traditional Arabic" w:hint="cs"/>
          <w:sz w:val="30"/>
          <w:rtl/>
        </w:rPr>
        <w:t>السجن لمدة أقصاها</w:t>
      </w:r>
      <w:r w:rsidR="00764EBB">
        <w:rPr>
          <w:rFonts w:ascii="Traditional Arabic" w:hAnsi="Traditional Arabic" w:hint="eastAsia"/>
          <w:sz w:val="30"/>
          <w:rtl/>
        </w:rPr>
        <w:t> </w:t>
      </w:r>
      <w:r>
        <w:rPr>
          <w:rFonts w:ascii="Traditional Arabic" w:hAnsi="Traditional Arabic" w:hint="cs"/>
          <w:sz w:val="30"/>
          <w:rtl/>
        </w:rPr>
        <w:t>15 عام</w:t>
      </w:r>
      <w:r w:rsidR="00D152F4">
        <w:rPr>
          <w:rFonts w:ascii="Traditional Arabic" w:hAnsi="Traditional Arabic" w:hint="cs"/>
          <w:sz w:val="30"/>
          <w:rtl/>
        </w:rPr>
        <w:t xml:space="preserve">اً </w:t>
      </w:r>
      <w:r>
        <w:rPr>
          <w:rFonts w:ascii="Traditional Arabic" w:hAnsi="Traditional Arabic" w:hint="cs"/>
          <w:sz w:val="30"/>
          <w:rtl/>
        </w:rPr>
        <w:t>أو 20 عاماً</w:t>
      </w:r>
      <w:r>
        <w:rPr>
          <w:rFonts w:ascii="Traditional Arabic" w:hAnsi="Traditional Arabic"/>
          <w:sz w:val="30"/>
          <w:rtl/>
        </w:rPr>
        <w:t>)</w:t>
      </w:r>
      <w:r>
        <w:rPr>
          <w:rFonts w:ascii="Traditional Arabic" w:hAnsi="Traditional Arabic"/>
          <w:sz w:val="30"/>
          <w:vertAlign w:val="superscript"/>
          <w:rtl/>
        </w:rPr>
        <w:t>(</w:t>
      </w:r>
      <w:r>
        <w:rPr>
          <w:rStyle w:val="FootnoteReference"/>
          <w:rtl/>
        </w:rPr>
        <w:footnoteReference w:id="34"/>
      </w:r>
      <w:r w:rsidRPr="00A14DD6">
        <w:rPr>
          <w:rFonts w:ascii="Traditional Arabic" w:hAnsi="Traditional Arabic"/>
          <w:sz w:val="30"/>
          <w:vertAlign w:val="superscript"/>
          <w:rtl/>
        </w:rPr>
        <w:t>)</w:t>
      </w:r>
      <w:r>
        <w:rPr>
          <w:rFonts w:ascii="Traditional Arabic" w:hAnsi="Traditional Arabic" w:hint="cs"/>
          <w:sz w:val="30"/>
          <w:rtl/>
        </w:rPr>
        <w:t>؛ (2) نتيجة للعفو الرئاسي، فُرضت عليه عقوبة أشد من تلك التي فُرضت وقت ارتكاب الجريمة؛ (3) كان ينبغي لمحكمة أن تقرر إصدار العفو.</w:t>
      </w:r>
    </w:p>
    <w:p w:rsidR="00E32FA5" w:rsidRDefault="00E32FA5" w:rsidP="00764EBB">
      <w:pPr>
        <w:pStyle w:val="SingleTxtGA"/>
        <w:rPr>
          <w:rFonts w:ascii="Traditional Arabic" w:hAnsi="Traditional Arabic" w:hint="cs"/>
          <w:sz w:val="30"/>
          <w:rtl/>
        </w:rPr>
      </w:pPr>
      <w:r>
        <w:rPr>
          <w:rFonts w:ascii="Traditional Arabic" w:hAnsi="Traditional Arabic" w:hint="cs"/>
          <w:sz w:val="30"/>
          <w:rtl/>
        </w:rPr>
        <w:t>9-9</w:t>
      </w:r>
      <w:r>
        <w:rPr>
          <w:rFonts w:ascii="Traditional Arabic" w:hAnsi="Traditional Arabic" w:hint="cs"/>
          <w:sz w:val="30"/>
          <w:rtl/>
        </w:rPr>
        <w:tab/>
      </w:r>
      <w:r>
        <w:rPr>
          <w:rFonts w:hint="cs"/>
          <w:rtl/>
          <w:lang/>
        </w:rPr>
        <w:t xml:space="preserve">وتُلاحظ اللجنة أن الفقرة 1 من المادة 15 من العهد تعتبر طبيعة العقوبة والغرض منها </w:t>
      </w:r>
      <w:r w:rsidR="00764EBB">
        <w:rPr>
          <w:rFonts w:hint="cs"/>
          <w:rtl/>
          <w:lang/>
        </w:rPr>
        <w:t xml:space="preserve">وتوصيفها </w:t>
      </w:r>
      <w:r>
        <w:rPr>
          <w:rFonts w:hint="cs"/>
          <w:rtl/>
          <w:lang/>
        </w:rPr>
        <w:t xml:space="preserve">في القانون الوطني والإجراءات المرتبطة </w:t>
      </w:r>
      <w:r w:rsidR="00764EBB">
        <w:rPr>
          <w:rFonts w:hint="cs"/>
          <w:rtl/>
          <w:lang/>
        </w:rPr>
        <w:t xml:space="preserve">بتحديدها </w:t>
      </w:r>
      <w:r>
        <w:rPr>
          <w:rFonts w:hint="cs"/>
          <w:rtl/>
          <w:lang/>
        </w:rPr>
        <w:t>وتطبيقها جزءاً من الإجراءات الجنائية.</w:t>
      </w:r>
      <w:r>
        <w:rPr>
          <w:rFonts w:ascii="Traditional Arabic" w:hAnsi="Traditional Arabic" w:hint="cs"/>
          <w:sz w:val="30"/>
          <w:rtl/>
          <w:lang/>
        </w:rPr>
        <w:t xml:space="preserve"> </w:t>
      </w:r>
      <w:r>
        <w:rPr>
          <w:rFonts w:hint="cs"/>
          <w:rtl/>
          <w:lang/>
        </w:rPr>
        <w:t>وتفيد اللجنة بأن العفو إجراء يتسم في جوهره بطابع إنساني أو تقديري أو تدفعه اعتبارات العدالة</w:t>
      </w:r>
      <w:r w:rsidR="00764EBB">
        <w:rPr>
          <w:rFonts w:hint="cs"/>
          <w:rtl/>
          <w:lang/>
        </w:rPr>
        <w:t xml:space="preserve">، وهو </w:t>
      </w:r>
      <w:r>
        <w:rPr>
          <w:rFonts w:hint="cs"/>
          <w:rtl/>
          <w:lang/>
        </w:rPr>
        <w:t>لا يعني حدوث خطأ قضائي</w:t>
      </w:r>
      <w:r>
        <w:rPr>
          <w:rFonts w:ascii="Traditional Arabic" w:hAnsi="Traditional Arabic"/>
          <w:sz w:val="30"/>
          <w:vertAlign w:val="superscript"/>
          <w:rtl/>
          <w:lang/>
        </w:rPr>
        <w:t>(</w:t>
      </w:r>
      <w:r>
        <w:rPr>
          <w:rStyle w:val="FootnoteReference"/>
          <w:rtl/>
          <w:lang/>
        </w:rPr>
        <w:footnoteReference w:id="35"/>
      </w:r>
      <w:r w:rsidRPr="006341FE">
        <w:rPr>
          <w:rFonts w:ascii="Traditional Arabic" w:hAnsi="Traditional Arabic"/>
          <w:sz w:val="30"/>
          <w:vertAlign w:val="superscript"/>
          <w:rtl/>
          <w:lang/>
        </w:rPr>
        <w:t>)</w:t>
      </w:r>
      <w:r w:rsidR="00764EBB">
        <w:rPr>
          <w:rFonts w:ascii="Traditional Arabic" w:hAnsi="Traditional Arabic" w:hint="cs"/>
          <w:sz w:val="30"/>
          <w:rtl/>
          <w:lang/>
        </w:rPr>
        <w:t xml:space="preserve">. وتشير اللجنة إلى </w:t>
      </w:r>
      <w:r>
        <w:rPr>
          <w:rFonts w:ascii="Traditional Arabic" w:hAnsi="Traditional Arabic" w:hint="cs"/>
          <w:sz w:val="30"/>
          <w:rtl/>
          <w:lang/>
        </w:rPr>
        <w:t xml:space="preserve">أن الدولة الطرف ترى أنه يمكن تحويل عقوبة الإعدام إلى </w:t>
      </w:r>
      <w:r w:rsidR="00764EBB">
        <w:rPr>
          <w:rFonts w:ascii="Traditional Arabic" w:hAnsi="Traditional Arabic" w:hint="cs"/>
          <w:sz w:val="30"/>
          <w:rtl/>
          <w:lang/>
        </w:rPr>
        <w:t xml:space="preserve">عقوبة </w:t>
      </w:r>
      <w:r>
        <w:rPr>
          <w:rFonts w:ascii="Traditional Arabic" w:hAnsi="Traditional Arabic" w:hint="cs"/>
          <w:sz w:val="30"/>
          <w:rtl/>
          <w:lang/>
        </w:rPr>
        <w:t xml:space="preserve">السجن المؤبد في إطار كل من القانون النافذ وقت </w:t>
      </w:r>
      <w:r w:rsidR="00764EBB">
        <w:rPr>
          <w:rFonts w:ascii="Traditional Arabic" w:hAnsi="Traditional Arabic" w:hint="cs"/>
          <w:sz w:val="30"/>
          <w:rtl/>
          <w:lang/>
        </w:rPr>
        <w:t xml:space="preserve">ارتكاب </w:t>
      </w:r>
      <w:r>
        <w:rPr>
          <w:rFonts w:ascii="Traditional Arabic" w:hAnsi="Traditional Arabic" w:hint="cs"/>
          <w:sz w:val="30"/>
          <w:rtl/>
          <w:lang/>
        </w:rPr>
        <w:t xml:space="preserve">الجريمة والقانون النافذ وقت </w:t>
      </w:r>
      <w:r w:rsidR="00764EBB">
        <w:rPr>
          <w:rFonts w:ascii="Traditional Arabic" w:hAnsi="Traditional Arabic" w:hint="cs"/>
          <w:sz w:val="30"/>
          <w:rtl/>
          <w:lang/>
        </w:rPr>
        <w:t xml:space="preserve">صدور </w:t>
      </w:r>
      <w:r>
        <w:rPr>
          <w:rFonts w:ascii="Traditional Arabic" w:hAnsi="Traditional Arabic" w:hint="cs"/>
          <w:sz w:val="30"/>
          <w:rtl/>
          <w:lang/>
        </w:rPr>
        <w:t>العفو وإلى أن سلطة تخفيف العقوبة مخولة للرئيس دستوري</w:t>
      </w:r>
      <w:r w:rsidR="00D152F4">
        <w:rPr>
          <w:rFonts w:ascii="Traditional Arabic" w:hAnsi="Traditional Arabic" w:hint="cs"/>
          <w:sz w:val="30"/>
          <w:rtl/>
          <w:lang/>
        </w:rPr>
        <w:t xml:space="preserve">اً </w:t>
      </w:r>
      <w:r>
        <w:rPr>
          <w:rFonts w:ascii="Traditional Arabic" w:hAnsi="Traditional Arabic" w:hint="cs"/>
          <w:sz w:val="30"/>
          <w:rtl/>
          <w:lang/>
        </w:rPr>
        <w:t>في كل الأوقات</w:t>
      </w:r>
      <w:r>
        <w:rPr>
          <w:rFonts w:ascii="Traditional Arabic" w:hAnsi="Traditional Arabic"/>
          <w:sz w:val="30"/>
          <w:vertAlign w:val="superscript"/>
          <w:rtl/>
          <w:lang/>
        </w:rPr>
        <w:t>(</w:t>
      </w:r>
      <w:r>
        <w:rPr>
          <w:rStyle w:val="FootnoteReference"/>
          <w:rtl/>
          <w:lang/>
        </w:rPr>
        <w:footnoteReference w:id="36"/>
      </w:r>
      <w:r w:rsidRPr="00F14CB3">
        <w:rPr>
          <w:rFonts w:ascii="Traditional Arabic" w:hAnsi="Traditional Arabic"/>
          <w:sz w:val="30"/>
          <w:vertAlign w:val="superscript"/>
          <w:rtl/>
          <w:lang/>
        </w:rPr>
        <w:t>)</w:t>
      </w:r>
      <w:r>
        <w:rPr>
          <w:rFonts w:ascii="Traditional Arabic" w:hAnsi="Traditional Arabic" w:hint="cs"/>
          <w:sz w:val="30"/>
          <w:rtl/>
          <w:lang/>
        </w:rPr>
        <w:t>.</w:t>
      </w:r>
      <w:r>
        <w:rPr>
          <w:rFonts w:hint="cs"/>
          <w:rtl/>
          <w:lang/>
        </w:rPr>
        <w:t xml:space="preserve"> وتُلاحظ </w:t>
      </w:r>
      <w:r w:rsidR="00764EBB">
        <w:rPr>
          <w:rFonts w:hint="cs"/>
          <w:rtl/>
          <w:lang/>
        </w:rPr>
        <w:t xml:space="preserve">اللجنة </w:t>
      </w:r>
      <w:r>
        <w:rPr>
          <w:rFonts w:hint="cs"/>
          <w:rtl/>
          <w:lang/>
        </w:rPr>
        <w:t>أيض</w:t>
      </w:r>
      <w:r w:rsidR="00D152F4">
        <w:rPr>
          <w:rFonts w:hint="cs"/>
          <w:rtl/>
          <w:lang/>
        </w:rPr>
        <w:t xml:space="preserve">اً </w:t>
      </w:r>
      <w:r>
        <w:rPr>
          <w:rFonts w:hint="cs"/>
          <w:rtl/>
          <w:lang/>
        </w:rPr>
        <w:t>أن السجن المؤبد لا يمكن أن يكون بأي حال من الأحوال عقوبة أشد من عقوبة الإعدام.</w:t>
      </w:r>
      <w:r w:rsidRPr="00414C1F">
        <w:rPr>
          <w:rFonts w:hint="cs"/>
          <w:rtl/>
          <w:lang/>
        </w:rPr>
        <w:t xml:space="preserve"> </w:t>
      </w:r>
      <w:r>
        <w:rPr>
          <w:rFonts w:hint="cs"/>
          <w:rtl/>
          <w:lang/>
        </w:rPr>
        <w:t>و</w:t>
      </w:r>
      <w:r w:rsidR="00764EBB">
        <w:rPr>
          <w:rFonts w:hint="cs"/>
          <w:rtl/>
          <w:lang/>
        </w:rPr>
        <w:t xml:space="preserve">هي </w:t>
      </w:r>
      <w:r>
        <w:rPr>
          <w:rFonts w:hint="cs"/>
          <w:rtl/>
          <w:lang/>
        </w:rPr>
        <w:t>تستنتج من ثم أن الفقرة 1 من المادة 15 من العهد لم تُنتهك</w:t>
      </w:r>
      <w:r>
        <w:rPr>
          <w:vertAlign w:val="superscript"/>
          <w:rtl/>
          <w:lang/>
        </w:rPr>
        <w:t>(</w:t>
      </w:r>
      <w:r>
        <w:rPr>
          <w:rStyle w:val="FootnoteReference"/>
          <w:rtl/>
          <w:lang/>
        </w:rPr>
        <w:footnoteReference w:id="37"/>
      </w:r>
      <w:r w:rsidRPr="002504B5">
        <w:rPr>
          <w:vertAlign w:val="superscript"/>
          <w:rtl/>
          <w:lang/>
        </w:rPr>
        <w:t>)</w:t>
      </w:r>
      <w:r>
        <w:rPr>
          <w:rFonts w:hint="cs"/>
          <w:rtl/>
          <w:lang/>
        </w:rPr>
        <w:t>.</w:t>
      </w:r>
    </w:p>
    <w:p w:rsidR="00E32FA5" w:rsidRDefault="00E32FA5" w:rsidP="008D5A20">
      <w:pPr>
        <w:pStyle w:val="SingleTxtGA"/>
        <w:rPr>
          <w:rFonts w:ascii="Traditional Arabic" w:hAnsi="Traditional Arabic" w:hint="cs"/>
          <w:sz w:val="30"/>
          <w:rtl/>
          <w:lang/>
        </w:rPr>
      </w:pPr>
      <w:r>
        <w:rPr>
          <w:rFonts w:ascii="Traditional Arabic" w:hAnsi="Traditional Arabic" w:hint="cs"/>
          <w:sz w:val="30"/>
          <w:rtl/>
        </w:rPr>
        <w:t>9-10</w:t>
      </w:r>
      <w:r>
        <w:rPr>
          <w:rFonts w:ascii="Traditional Arabic" w:hAnsi="Traditional Arabic" w:hint="cs"/>
          <w:sz w:val="30"/>
          <w:rtl/>
        </w:rPr>
        <w:tab/>
        <w:t>وتلاحظ اللجنة أن صاحب البلاغ يدعي أيض</w:t>
      </w:r>
      <w:r w:rsidR="00D152F4">
        <w:rPr>
          <w:rFonts w:ascii="Traditional Arabic" w:hAnsi="Traditional Arabic" w:hint="cs"/>
          <w:sz w:val="30"/>
          <w:rtl/>
        </w:rPr>
        <w:t xml:space="preserve">اً </w:t>
      </w:r>
      <w:r w:rsidR="00764EBB">
        <w:rPr>
          <w:rFonts w:ascii="Traditional Arabic" w:hAnsi="Traditional Arabic" w:hint="cs"/>
          <w:sz w:val="30"/>
          <w:rtl/>
        </w:rPr>
        <w:t xml:space="preserve">حدوث </w:t>
      </w:r>
      <w:r>
        <w:rPr>
          <w:rFonts w:ascii="Traditional Arabic" w:hAnsi="Traditional Arabic" w:hint="cs"/>
          <w:sz w:val="30"/>
          <w:rtl/>
        </w:rPr>
        <w:t>انتهاك حقوقه في إطار المادة</w:t>
      </w:r>
      <w:r w:rsidR="008D5A20">
        <w:rPr>
          <w:rFonts w:ascii="Traditional Arabic" w:hAnsi="Traditional Arabic" w:hint="eastAsia"/>
          <w:sz w:val="30"/>
          <w:rtl/>
        </w:rPr>
        <w:t> </w:t>
      </w:r>
      <w:r>
        <w:rPr>
          <w:rFonts w:ascii="Traditional Arabic" w:hAnsi="Traditional Arabic" w:hint="cs"/>
          <w:sz w:val="30"/>
          <w:rtl/>
        </w:rPr>
        <w:t xml:space="preserve">26 من العهد لأنه لم يُتَح له خيار نظر هيئة محلفين في </w:t>
      </w:r>
      <w:r w:rsidR="00764EBB">
        <w:rPr>
          <w:rFonts w:ascii="Traditional Arabic" w:hAnsi="Traditional Arabic" w:hint="cs"/>
          <w:sz w:val="30"/>
          <w:rtl/>
        </w:rPr>
        <w:t>قضيته</w:t>
      </w:r>
      <w:r>
        <w:rPr>
          <w:rFonts w:ascii="Traditional Arabic" w:hAnsi="Traditional Arabic" w:hint="cs"/>
          <w:sz w:val="30"/>
          <w:rtl/>
        </w:rPr>
        <w:t>، علم</w:t>
      </w:r>
      <w:r w:rsidR="00D152F4">
        <w:rPr>
          <w:rFonts w:ascii="Traditional Arabic" w:hAnsi="Traditional Arabic" w:hint="cs"/>
          <w:sz w:val="30"/>
          <w:rtl/>
        </w:rPr>
        <w:t xml:space="preserve">اً </w:t>
      </w:r>
      <w:r>
        <w:rPr>
          <w:rFonts w:ascii="Traditional Arabic" w:hAnsi="Traditional Arabic" w:hint="cs"/>
          <w:sz w:val="30"/>
          <w:rtl/>
        </w:rPr>
        <w:t>بأن هذا الخيار متاح لمتهمين محكوم عليهم بالإعدام في مناطق من روسيا. وتحيط اللجنة علم</w:t>
      </w:r>
      <w:r w:rsidR="00D152F4">
        <w:rPr>
          <w:rFonts w:ascii="Traditional Arabic" w:hAnsi="Traditional Arabic" w:hint="cs"/>
          <w:sz w:val="30"/>
          <w:rtl/>
        </w:rPr>
        <w:t xml:space="preserve">اً </w:t>
      </w:r>
      <w:r>
        <w:rPr>
          <w:rFonts w:ascii="Traditional Arabic" w:hAnsi="Traditional Arabic" w:hint="cs"/>
          <w:sz w:val="30"/>
          <w:rtl/>
        </w:rPr>
        <w:t xml:space="preserve">بإشارة الدولة الطرف إلى الباب 6 من الفصل 2 من "الأحكام الختامية والانتقالية" من دستور الاتحاد الروسي </w:t>
      </w:r>
      <w:r>
        <w:rPr>
          <w:rFonts w:hint="cs"/>
          <w:rtl/>
          <w:lang/>
        </w:rPr>
        <w:t>الذي ينص على استبقاء الإجراء السابق الذي يقضي بأن تنظر المحاكم في هذه الفئة من القضايا إلى أن يُعتمد القانون الاتحادي</w:t>
      </w:r>
      <w:r w:rsidRPr="00AC2D59">
        <w:rPr>
          <w:rFonts w:hint="cs"/>
          <w:rtl/>
          <w:lang/>
        </w:rPr>
        <w:t xml:space="preserve"> </w:t>
      </w:r>
      <w:r>
        <w:rPr>
          <w:rFonts w:hint="cs"/>
          <w:rtl/>
          <w:lang/>
        </w:rPr>
        <w:t xml:space="preserve">الذي يحدد إجراء النظر في القضايا من جانب محكمة </w:t>
      </w:r>
      <w:r w:rsidR="00764EBB">
        <w:rPr>
          <w:rFonts w:hint="cs"/>
          <w:rtl/>
          <w:lang/>
        </w:rPr>
        <w:t xml:space="preserve">تشارك فيها </w:t>
      </w:r>
      <w:r>
        <w:rPr>
          <w:rFonts w:hint="cs"/>
          <w:rtl/>
          <w:lang/>
        </w:rPr>
        <w:t>هيئة محلفين</w:t>
      </w:r>
      <w:r>
        <w:rPr>
          <w:vertAlign w:val="superscript"/>
          <w:rtl/>
          <w:lang/>
        </w:rPr>
        <w:t>(</w:t>
      </w:r>
      <w:r>
        <w:rPr>
          <w:rStyle w:val="FootnoteReference"/>
          <w:rtl/>
          <w:lang/>
        </w:rPr>
        <w:footnoteReference w:id="38"/>
      </w:r>
      <w:r w:rsidRPr="0071528E">
        <w:rPr>
          <w:vertAlign w:val="superscript"/>
          <w:rtl/>
          <w:lang/>
        </w:rPr>
        <w:t>)</w:t>
      </w:r>
      <w:r>
        <w:rPr>
          <w:rFonts w:hint="cs"/>
          <w:rtl/>
          <w:lang/>
        </w:rPr>
        <w:t>.</w:t>
      </w:r>
      <w:r>
        <w:rPr>
          <w:rFonts w:ascii="Traditional Arabic" w:hAnsi="Traditional Arabic" w:hint="cs"/>
          <w:sz w:val="30"/>
          <w:rtl/>
        </w:rPr>
        <w:t xml:space="preserve"> وتحيط </w:t>
      </w:r>
      <w:r w:rsidR="00764EBB">
        <w:rPr>
          <w:rFonts w:ascii="Traditional Arabic" w:hAnsi="Traditional Arabic" w:hint="cs"/>
          <w:sz w:val="30"/>
          <w:rtl/>
        </w:rPr>
        <w:t xml:space="preserve">اللجنة </w:t>
      </w:r>
      <w:r>
        <w:rPr>
          <w:rFonts w:ascii="Traditional Arabic" w:hAnsi="Traditional Arabic" w:hint="cs"/>
          <w:sz w:val="30"/>
          <w:rtl/>
        </w:rPr>
        <w:t>علم</w:t>
      </w:r>
      <w:r w:rsidR="00D152F4">
        <w:rPr>
          <w:rFonts w:ascii="Traditional Arabic" w:hAnsi="Traditional Arabic" w:hint="cs"/>
          <w:sz w:val="30"/>
          <w:rtl/>
        </w:rPr>
        <w:t xml:space="preserve">اً </w:t>
      </w:r>
      <w:r>
        <w:rPr>
          <w:rFonts w:ascii="Traditional Arabic" w:hAnsi="Traditional Arabic" w:hint="cs"/>
          <w:sz w:val="30"/>
          <w:rtl/>
        </w:rPr>
        <w:t>أيض</w:t>
      </w:r>
      <w:r w:rsidR="00D152F4">
        <w:rPr>
          <w:rFonts w:ascii="Traditional Arabic" w:hAnsi="Traditional Arabic" w:hint="cs"/>
          <w:sz w:val="30"/>
          <w:rtl/>
        </w:rPr>
        <w:t xml:space="preserve">اً </w:t>
      </w:r>
      <w:r>
        <w:rPr>
          <w:rFonts w:ascii="Traditional Arabic" w:hAnsi="Traditional Arabic" w:hint="cs"/>
          <w:sz w:val="30"/>
          <w:rtl/>
        </w:rPr>
        <w:t xml:space="preserve">بأن المحاكمات التي تشارك فيها هيئات محلفين </w:t>
      </w:r>
      <w:r w:rsidR="00764EBB">
        <w:rPr>
          <w:rFonts w:ascii="Traditional Arabic" w:hAnsi="Traditional Arabic" w:hint="cs"/>
          <w:sz w:val="30"/>
          <w:rtl/>
        </w:rPr>
        <w:t xml:space="preserve">يُعمل بها </w:t>
      </w:r>
      <w:r>
        <w:rPr>
          <w:rFonts w:ascii="Traditional Arabic" w:hAnsi="Traditional Arabic" w:hint="cs"/>
          <w:sz w:val="30"/>
          <w:rtl/>
        </w:rPr>
        <w:t>في تسع مناطق روسية، لكن منطقة مورمانسك ليست من بينها</w:t>
      </w:r>
      <w:r>
        <w:rPr>
          <w:rFonts w:ascii="Traditional Arabic" w:hAnsi="Traditional Arabic"/>
          <w:sz w:val="30"/>
          <w:vertAlign w:val="superscript"/>
          <w:rtl/>
        </w:rPr>
        <w:t>(</w:t>
      </w:r>
      <w:r>
        <w:rPr>
          <w:rStyle w:val="FootnoteReference"/>
          <w:rtl/>
        </w:rPr>
        <w:footnoteReference w:id="39"/>
      </w:r>
      <w:r w:rsidRPr="00324DF1">
        <w:rPr>
          <w:rFonts w:ascii="Traditional Arabic" w:hAnsi="Traditional Arabic"/>
          <w:sz w:val="30"/>
          <w:vertAlign w:val="superscript"/>
          <w:rtl/>
        </w:rPr>
        <w:t>)</w:t>
      </w:r>
      <w:r>
        <w:rPr>
          <w:rFonts w:ascii="Traditional Arabic" w:hAnsi="Traditional Arabic" w:hint="cs"/>
          <w:sz w:val="30"/>
          <w:rtl/>
        </w:rPr>
        <w:t xml:space="preserve">. </w:t>
      </w:r>
      <w:r w:rsidR="00764EBB">
        <w:rPr>
          <w:rFonts w:ascii="Traditional Arabic" w:hAnsi="Traditional Arabic" w:hint="cs"/>
          <w:sz w:val="30"/>
          <w:rtl/>
        </w:rPr>
        <w:t xml:space="preserve">وقد </w:t>
      </w:r>
      <w:r>
        <w:rPr>
          <w:rFonts w:ascii="Traditional Arabic" w:hAnsi="Traditional Arabic" w:hint="cs"/>
          <w:sz w:val="30"/>
          <w:rtl/>
        </w:rPr>
        <w:t>جاء في المعلومات التي قدمتها الدولة الطرف أنه بدأ العمل بالمحاكمات بمشاركة هيئة محلفين في منطقة مورمانسك في 1 كانون الثاني/يناير 2003 عمل</w:t>
      </w:r>
      <w:r w:rsidR="00D152F4">
        <w:rPr>
          <w:rFonts w:ascii="Traditional Arabic" w:hAnsi="Traditional Arabic" w:hint="cs"/>
          <w:sz w:val="30"/>
          <w:rtl/>
        </w:rPr>
        <w:t xml:space="preserve">اً </w:t>
      </w:r>
      <w:r>
        <w:rPr>
          <w:rFonts w:ascii="Traditional Arabic" w:hAnsi="Traditional Arabic" w:hint="cs"/>
          <w:sz w:val="30"/>
          <w:rtl/>
        </w:rPr>
        <w:t>بالمادة 8 من القانون الاتحادي المؤرخ 18 كانون الأول/ديسمبر 2001</w:t>
      </w:r>
      <w:r>
        <w:rPr>
          <w:rFonts w:ascii="Traditional Arabic" w:hAnsi="Traditional Arabic"/>
          <w:sz w:val="30"/>
          <w:vertAlign w:val="superscript"/>
          <w:rtl/>
        </w:rPr>
        <w:t>(</w:t>
      </w:r>
      <w:r>
        <w:rPr>
          <w:rStyle w:val="FootnoteReference"/>
          <w:rtl/>
        </w:rPr>
        <w:footnoteReference w:id="40"/>
      </w:r>
      <w:r w:rsidRPr="006C1C61">
        <w:rPr>
          <w:rFonts w:ascii="Traditional Arabic" w:hAnsi="Traditional Arabic"/>
          <w:sz w:val="30"/>
          <w:vertAlign w:val="superscript"/>
          <w:rtl/>
        </w:rPr>
        <w:t>)</w:t>
      </w:r>
      <w:r>
        <w:rPr>
          <w:rFonts w:ascii="Traditional Arabic" w:hAnsi="Traditional Arabic" w:hint="cs"/>
          <w:sz w:val="30"/>
          <w:rtl/>
        </w:rPr>
        <w:t>.</w:t>
      </w:r>
      <w:r>
        <w:rPr>
          <w:rFonts w:hint="cs"/>
          <w:rtl/>
          <w:lang/>
        </w:rPr>
        <w:t xml:space="preserve"> وتشير اللجنة إلى </w:t>
      </w:r>
      <w:r w:rsidR="00764EBB">
        <w:rPr>
          <w:rFonts w:hint="cs"/>
          <w:rtl/>
          <w:lang/>
        </w:rPr>
        <w:t>سوابق آرائها</w:t>
      </w:r>
      <w:r>
        <w:rPr>
          <w:rFonts w:ascii="Traditional Arabic" w:hAnsi="Traditional Arabic"/>
          <w:sz w:val="30"/>
          <w:vertAlign w:val="superscript"/>
          <w:rtl/>
        </w:rPr>
        <w:t>(</w:t>
      </w:r>
      <w:r>
        <w:rPr>
          <w:rStyle w:val="FootnoteReference"/>
          <w:rtl/>
        </w:rPr>
        <w:footnoteReference w:id="41"/>
      </w:r>
      <w:r w:rsidRPr="00AE5889">
        <w:rPr>
          <w:rFonts w:ascii="Traditional Arabic" w:hAnsi="Traditional Arabic"/>
          <w:sz w:val="30"/>
          <w:vertAlign w:val="superscript"/>
          <w:rtl/>
        </w:rPr>
        <w:t>)</w:t>
      </w:r>
      <w:r>
        <w:rPr>
          <w:rFonts w:ascii="Traditional Arabic" w:hAnsi="Traditional Arabic" w:hint="cs"/>
          <w:sz w:val="30"/>
          <w:rtl/>
        </w:rPr>
        <w:t xml:space="preserve"> </w:t>
      </w:r>
      <w:r>
        <w:rPr>
          <w:rFonts w:hint="cs"/>
          <w:rtl/>
          <w:lang/>
        </w:rPr>
        <w:t>للإفادة بأن العهد لا</w:t>
      </w:r>
      <w:r>
        <w:rPr>
          <w:rFonts w:hint="eastAsia"/>
          <w:rtl/>
          <w:lang/>
        </w:rPr>
        <w:t> </w:t>
      </w:r>
      <w:r>
        <w:rPr>
          <w:rFonts w:hint="cs"/>
          <w:rtl/>
          <w:lang/>
        </w:rPr>
        <w:t>يتضمن أي حكم ينص على الحق في إجراء محاكمة أمام هيئة محلفين في القضايا الجنائية؛ وإذا كان هذا الحق منصوصاً عليه في القانون المحلي ويمنح لبعض الأفراد المتهمين بارتكاب جرائم، فإنه يتعين منحه على قدم المساواة لمتهمين آخرين في وضع مماثل. وأية حالة تمييز في هذا الصدد يجب أن تكون قائمة على أسس موضوعية ومعقولة. وتلاحظ اللجنة أن إمكانية إجراء محاكمة أمام هيئة محلفين مسألة يحسمها قانون اتحادي، ولكن لم</w:t>
      </w:r>
      <w:r w:rsidR="00764EBB">
        <w:rPr>
          <w:rFonts w:hint="eastAsia"/>
          <w:rtl/>
          <w:lang/>
        </w:rPr>
        <w:t> </w:t>
      </w:r>
      <w:r>
        <w:rPr>
          <w:rFonts w:hint="cs"/>
          <w:rtl/>
          <w:lang/>
        </w:rPr>
        <w:t>يكن هناك قانون اتحادي بشأن هذا الموضوع حتى صدور القانون المذكور في 18 كانون الأول/ديسمبر 2001. وترى اللجنة أن كون دولة اتحادي</w:t>
      </w:r>
      <w:r w:rsidR="00764EBB">
        <w:rPr>
          <w:rFonts w:hint="cs"/>
          <w:rtl/>
          <w:lang/>
        </w:rPr>
        <w:t>ة</w:t>
      </w:r>
      <w:r>
        <w:rPr>
          <w:rFonts w:hint="cs"/>
          <w:rtl/>
          <w:lang/>
        </w:rPr>
        <w:t xml:space="preserve"> </w:t>
      </w:r>
      <w:r w:rsidR="00764EBB">
        <w:rPr>
          <w:rFonts w:hint="cs"/>
          <w:rtl/>
          <w:lang/>
        </w:rPr>
        <w:t>ت</w:t>
      </w:r>
      <w:r>
        <w:rPr>
          <w:rFonts w:hint="cs"/>
          <w:rtl/>
          <w:lang/>
        </w:rPr>
        <w:t xml:space="preserve">جيز الفوارق بين الوحدات الاتحادية بشأن المحاكمة </w:t>
      </w:r>
      <w:r w:rsidR="00764EBB">
        <w:rPr>
          <w:rFonts w:hint="cs"/>
          <w:rtl/>
          <w:lang/>
        </w:rPr>
        <w:t>أمام هيئة محلفين هو أمر</w:t>
      </w:r>
      <w:r>
        <w:rPr>
          <w:rFonts w:hint="cs"/>
          <w:rtl/>
          <w:lang/>
        </w:rPr>
        <w:t xml:space="preserve"> لا يعد في حد ذاته انتهاكاً للمادة 26 من العهد</w:t>
      </w:r>
      <w:r>
        <w:rPr>
          <w:rFonts w:ascii="Traditional Arabic" w:hAnsi="Traditional Arabic"/>
          <w:sz w:val="30"/>
          <w:vertAlign w:val="superscript"/>
          <w:rtl/>
          <w:lang/>
        </w:rPr>
        <w:t>(</w:t>
      </w:r>
      <w:r>
        <w:rPr>
          <w:rStyle w:val="FootnoteReference"/>
          <w:rtl/>
          <w:lang/>
        </w:rPr>
        <w:footnoteReference w:id="42"/>
      </w:r>
      <w:r w:rsidRPr="004431A7">
        <w:rPr>
          <w:rFonts w:ascii="Traditional Arabic" w:hAnsi="Traditional Arabic"/>
          <w:sz w:val="30"/>
          <w:vertAlign w:val="superscript"/>
          <w:rtl/>
          <w:lang/>
        </w:rPr>
        <w:t>)</w:t>
      </w:r>
      <w:r>
        <w:rPr>
          <w:rFonts w:ascii="Traditional Arabic" w:hAnsi="Traditional Arabic" w:hint="cs"/>
          <w:sz w:val="30"/>
          <w:rtl/>
          <w:lang/>
        </w:rPr>
        <w:t>.</w:t>
      </w:r>
      <w:r>
        <w:rPr>
          <w:rFonts w:hint="cs"/>
          <w:rtl/>
          <w:lang/>
        </w:rPr>
        <w:t xml:space="preserve"> وبما أن صاحب البلاغ لم يُقدم أية معلومات تفيد بأن محاكمات أمـام هيئة محلفين وفي قضايا يترتب عليها الحكـم بالإعدام أُجريت في </w:t>
      </w:r>
      <w:r>
        <w:rPr>
          <w:rFonts w:ascii="Traditional Arabic" w:hAnsi="Traditional Arabic" w:hint="cs"/>
          <w:rtl/>
          <w:lang/>
        </w:rPr>
        <w:t xml:space="preserve">منطقة </w:t>
      </w:r>
      <w:r>
        <w:rPr>
          <w:rFonts w:hint="cs"/>
          <w:rtl/>
          <w:lang/>
        </w:rPr>
        <w:t>مورمانسك من أجل إثبات الفرق في المعاملة بينه وبين المتهمين الآخرين، فإنه لا يمكن للجنة أن تستنتج أن الدولـة الطـرف قد انتهكت المادة 26 من العهد.</w:t>
      </w:r>
      <w:r>
        <w:rPr>
          <w:rFonts w:ascii="Traditional Arabic" w:hAnsi="Traditional Arabic" w:hint="cs"/>
          <w:sz w:val="30"/>
          <w:rtl/>
          <w:lang/>
        </w:rPr>
        <w:t xml:space="preserve"> ولم تستنتج اللجنة، لأسباب مماثلة، </w:t>
      </w:r>
      <w:r w:rsidR="00764EBB">
        <w:rPr>
          <w:rFonts w:ascii="Traditional Arabic" w:hAnsi="Traditional Arabic" w:hint="cs"/>
          <w:sz w:val="30"/>
          <w:rtl/>
          <w:lang/>
        </w:rPr>
        <w:t xml:space="preserve">حدوث </w:t>
      </w:r>
      <w:r>
        <w:rPr>
          <w:rFonts w:ascii="Traditional Arabic" w:hAnsi="Traditional Arabic" w:hint="cs"/>
          <w:sz w:val="30"/>
          <w:rtl/>
          <w:lang/>
        </w:rPr>
        <w:t>أي انتهاك لحقوق صاحب البلاغ في إطار الفقرة 1 من المادة 2، مقترنةً بالمادة 14 من العهد.</w:t>
      </w:r>
    </w:p>
    <w:p w:rsidR="00E32FA5" w:rsidRDefault="00E32FA5" w:rsidP="00E32FA5">
      <w:pPr>
        <w:pStyle w:val="SingleTxtGA"/>
        <w:rPr>
          <w:rFonts w:hint="cs"/>
          <w:rtl/>
          <w:lang/>
        </w:rPr>
      </w:pPr>
      <w:r>
        <w:rPr>
          <w:rFonts w:ascii="Traditional Arabic" w:hAnsi="Traditional Arabic" w:hint="cs"/>
          <w:sz w:val="30"/>
          <w:rtl/>
          <w:lang/>
        </w:rPr>
        <w:t>10-</w:t>
      </w:r>
      <w:r>
        <w:rPr>
          <w:rFonts w:ascii="Traditional Arabic" w:hAnsi="Traditional Arabic" w:hint="cs"/>
          <w:sz w:val="30"/>
          <w:rtl/>
          <w:lang/>
        </w:rPr>
        <w:tab/>
      </w:r>
      <w:r>
        <w:rPr>
          <w:rFonts w:hint="cs"/>
          <w:rtl/>
          <w:lang/>
        </w:rPr>
        <w:t>واللجنة المعنية بحقوق الإنسان، إذ تتصرف وفقاً للفقرة 4 من المادة 5 من البروتوكول الاختياري الملحق بالعهد الدولي الخاص بالحقوق المدنية والسياسية، ترى أن الوقائع المعروضة عليها لا تكشف عن حدوث انتهاك لأي حكم من أحكام العهد.</w:t>
      </w:r>
    </w:p>
    <w:p w:rsidR="00E32FA5" w:rsidRDefault="00E32FA5" w:rsidP="00764EBB">
      <w:pPr>
        <w:pStyle w:val="SingleTxtGA"/>
        <w:rPr>
          <w:rFonts w:hint="cs"/>
          <w:rtl/>
        </w:rPr>
      </w:pPr>
      <w:r>
        <w:rPr>
          <w:rFonts w:hint="cs"/>
          <w:rtl/>
          <w:lang/>
        </w:rPr>
        <w:t>[اعتُمد</w:t>
      </w:r>
      <w:r w:rsidR="00764EBB">
        <w:rPr>
          <w:rFonts w:hint="cs"/>
          <w:rtl/>
          <w:lang/>
        </w:rPr>
        <w:t>ت</w:t>
      </w:r>
      <w:r>
        <w:rPr>
          <w:rFonts w:hint="cs"/>
          <w:rtl/>
          <w:lang/>
        </w:rPr>
        <w:t xml:space="preserve"> بالإسبانية والإنكليزية والفرنسية، علماً بأن النص الإنكليزي هو النص الأصلي</w:t>
      </w:r>
      <w:r w:rsidRPr="005E42EF">
        <w:rPr>
          <w:rFonts w:hint="cs"/>
          <w:spacing w:val="-2"/>
          <w:rtl/>
        </w:rPr>
        <w:t>.</w:t>
      </w:r>
      <w:r w:rsidRPr="00423849">
        <w:rPr>
          <w:rFonts w:hint="cs"/>
          <w:rtl/>
          <w:lang/>
        </w:rPr>
        <w:t xml:space="preserve"> </w:t>
      </w:r>
      <w:r>
        <w:rPr>
          <w:rFonts w:hint="cs"/>
          <w:rtl/>
          <w:lang/>
        </w:rPr>
        <w:t>وس</w:t>
      </w:r>
      <w:r w:rsidR="00764EBB">
        <w:rPr>
          <w:rFonts w:hint="cs"/>
          <w:rtl/>
          <w:lang/>
        </w:rPr>
        <w:t>ت</w:t>
      </w:r>
      <w:r>
        <w:rPr>
          <w:rFonts w:hint="cs"/>
          <w:rtl/>
          <w:lang/>
        </w:rPr>
        <w:t>صدر لاحقاً باللغات الروسية والصينية والعربية أيضاً كجزء من تقرير اللجنة السنوي المقدم إلى الجمعية العامة</w:t>
      </w:r>
      <w:r>
        <w:rPr>
          <w:rFonts w:hint="cs"/>
          <w:spacing w:val="-2"/>
          <w:rtl/>
        </w:rPr>
        <w:t>.</w:t>
      </w:r>
      <w:r w:rsidRPr="005E42EF">
        <w:rPr>
          <w:rFonts w:hint="cs"/>
          <w:spacing w:val="-2"/>
          <w:rtl/>
        </w:rPr>
        <w:t>]</w:t>
      </w:r>
      <w:r>
        <w:rPr>
          <w:rFonts w:hint="cs"/>
          <w:rtl/>
        </w:rPr>
        <w:t xml:space="preserve"> </w:t>
      </w:r>
    </w:p>
    <w:p w:rsidR="00E32FA5" w:rsidRPr="00D152F4" w:rsidRDefault="00D152F4" w:rsidP="00D152F4">
      <w:pPr>
        <w:spacing w:before="120"/>
        <w:jc w:val="center"/>
        <w:rPr>
          <w:rFonts w:hint="cs"/>
          <w:u w:val="single"/>
          <w:rtl/>
        </w:rPr>
      </w:pPr>
      <w:r>
        <w:rPr>
          <w:u w:val="single"/>
          <w:rtl/>
        </w:rPr>
        <w:tab/>
      </w:r>
      <w:r>
        <w:rPr>
          <w:u w:val="single"/>
          <w:rtl/>
        </w:rPr>
        <w:tab/>
      </w:r>
      <w:r>
        <w:rPr>
          <w:u w:val="single"/>
          <w:rtl/>
        </w:rPr>
        <w:tab/>
      </w:r>
    </w:p>
    <w:p w:rsidR="008B4BC6" w:rsidRPr="008B4BC6" w:rsidRDefault="008B4BC6" w:rsidP="00E32FA5">
      <w:pPr>
        <w:pStyle w:val="SingleTxtGA"/>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70B" w:rsidRPr="00FE6865" w:rsidRDefault="0009170B" w:rsidP="00FE6865">
      <w:pPr>
        <w:pStyle w:val="Footer"/>
      </w:pPr>
    </w:p>
  </w:endnote>
  <w:endnote w:type="continuationSeparator" w:id="0">
    <w:p w:rsidR="0009170B" w:rsidRDefault="00091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Pr="00E32FA5" w:rsidRDefault="00E32FA5" w:rsidP="00E32FA5">
    <w:pPr>
      <w:pStyle w:val="Footer"/>
      <w:tabs>
        <w:tab w:val="right" w:pos="9598"/>
      </w:tabs>
    </w:pPr>
    <w:r>
      <w:t>GE.13-49356</w:t>
    </w:r>
    <w:r>
      <w:tab/>
    </w:r>
    <w:r w:rsidRPr="00E32FA5">
      <w:rPr>
        <w:b/>
        <w:sz w:val="18"/>
      </w:rPr>
      <w:fldChar w:fldCharType="begin"/>
    </w:r>
    <w:r w:rsidRPr="00E32FA5">
      <w:rPr>
        <w:b/>
        <w:sz w:val="18"/>
      </w:rPr>
      <w:instrText xml:space="preserve"> PAGE  \* MERGEFORMAT </w:instrText>
    </w:r>
    <w:r w:rsidRPr="00E32FA5">
      <w:rPr>
        <w:b/>
        <w:sz w:val="18"/>
      </w:rPr>
      <w:fldChar w:fldCharType="separate"/>
    </w:r>
    <w:r w:rsidR="00D20AE0">
      <w:rPr>
        <w:b/>
        <w:noProof/>
        <w:sz w:val="18"/>
      </w:rPr>
      <w:t>2</w:t>
    </w:r>
    <w:r w:rsidRPr="00E32FA5">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Pr="00E32FA5" w:rsidRDefault="00E32FA5" w:rsidP="00E32FA5">
    <w:pPr>
      <w:pStyle w:val="Footer"/>
      <w:tabs>
        <w:tab w:val="right" w:pos="9598"/>
      </w:tabs>
      <w:rPr>
        <w:b/>
        <w:sz w:val="18"/>
      </w:rPr>
    </w:pPr>
    <w:r w:rsidRPr="00E32FA5">
      <w:rPr>
        <w:b/>
        <w:sz w:val="18"/>
      </w:rPr>
      <w:fldChar w:fldCharType="begin"/>
    </w:r>
    <w:r w:rsidRPr="00E32FA5">
      <w:rPr>
        <w:b/>
        <w:sz w:val="18"/>
      </w:rPr>
      <w:instrText xml:space="preserve"> PAGE  \* MERGEFORMAT </w:instrText>
    </w:r>
    <w:r w:rsidRPr="00E32FA5">
      <w:rPr>
        <w:b/>
        <w:sz w:val="18"/>
      </w:rPr>
      <w:fldChar w:fldCharType="separate"/>
    </w:r>
    <w:r w:rsidR="00D20AE0">
      <w:rPr>
        <w:b/>
        <w:noProof/>
        <w:sz w:val="18"/>
      </w:rPr>
      <w:t>19</w:t>
    </w:r>
    <w:r w:rsidRPr="00E32FA5">
      <w:rPr>
        <w:b/>
        <w:sz w:val="18"/>
      </w:rPr>
      <w:fldChar w:fldCharType="end"/>
    </w:r>
    <w:r>
      <w:rPr>
        <w:b/>
        <w:sz w:val="18"/>
      </w:rPr>
      <w:tab/>
    </w:r>
    <w:r>
      <w:t>GE.13-49356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Default="00E32FA5" w:rsidP="00E32FA5">
    <w:pPr>
      <w:pStyle w:val="Footer"/>
      <w:jc w:val="right"/>
    </w:pPr>
    <w:r>
      <w:rPr>
        <w:sz w:val="20"/>
      </w:rPr>
      <w:t>(A)   GE.13-49356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8D5A20">
      <w:rPr>
        <w:sz w:val="20"/>
      </w:rPr>
      <w:t xml:space="preserve">    140114    16</w:t>
    </w:r>
    <w:r>
      <w:rPr>
        <w:sz w:val="20"/>
      </w:rPr>
      <w:t>0114</w:t>
    </w:r>
    <w:r w:rsidR="00D20AE0">
      <w:br/>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sidRPr="00D20AE0">
      <w:rPr>
        <w:rFonts w:ascii="C39T30Lfz" w:hAnsi="C39T30Lfz"/>
        <w:sz w:val="56"/>
      </w:rPr>
      <w:t></w:t>
    </w:r>
    <w:r w:rsidR="00D20AE0">
      <w:rPr>
        <w:noProof/>
        <w:lang w:val="en-US"/>
      </w:rPr>
      <w:pict>
        <v:shape id="_x0000_s2054" type="#_x0000_t75" style="position:absolute;left:0;text-align:left;margin-left:.05pt;margin-top:0;width:50.25pt;height:50.25pt;z-index:3;mso-position-horizontal-relative:text;mso-position-vertical-relative:text" o:allowincell="f">
          <v:imagedata r:id="rId2" o:title="2008&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70B" w:rsidRDefault="0009170B" w:rsidP="007E4686">
      <w:pPr>
        <w:pStyle w:val="Footer"/>
        <w:bidi/>
        <w:spacing w:after="80" w:line="200" w:lineRule="exact"/>
        <w:ind w:left="680"/>
      </w:pPr>
      <w:r>
        <w:rPr>
          <w:rFonts w:hint="cs"/>
          <w:rtl/>
        </w:rPr>
        <w:t>__________</w:t>
      </w:r>
    </w:p>
  </w:footnote>
  <w:footnote w:type="continuationSeparator" w:id="0">
    <w:p w:rsidR="0009170B" w:rsidRDefault="0009170B" w:rsidP="007E4686">
      <w:pPr>
        <w:pStyle w:val="Footer"/>
        <w:bidi/>
        <w:spacing w:after="80" w:line="200" w:lineRule="exact"/>
        <w:ind w:left="680"/>
      </w:pPr>
      <w:r>
        <w:rPr>
          <w:rFonts w:hint="cs"/>
          <w:rtl/>
        </w:rPr>
        <w:t>__________</w:t>
      </w:r>
    </w:p>
  </w:footnote>
  <w:footnote w:id="1">
    <w:p w:rsidR="00E32FA5" w:rsidRPr="00E32FA5" w:rsidRDefault="00E32FA5" w:rsidP="005512AF">
      <w:pPr>
        <w:pStyle w:val="footnoteText0"/>
        <w:spacing w:afterLines="60"/>
        <w:rPr>
          <w:rFonts w:hint="cs"/>
          <w:rtl/>
        </w:rPr>
      </w:pPr>
      <w:r>
        <w:rPr>
          <w:rtl/>
        </w:rPr>
        <w:tab/>
      </w:r>
      <w:r w:rsidRPr="00E32FA5">
        <w:rPr>
          <w:rStyle w:val="FootnoteReference"/>
          <w:sz w:val="20"/>
          <w:vertAlign w:val="baseline"/>
          <w:rtl/>
        </w:rPr>
        <w:t>*</w:t>
      </w:r>
      <w:r>
        <w:rPr>
          <w:rtl/>
        </w:rPr>
        <w:tab/>
      </w:r>
      <w:r w:rsidRPr="00F1182F">
        <w:rPr>
          <w:rtl/>
        </w:rPr>
        <w:t xml:space="preserve">شارك أعضاء اللجنة التالية أسماؤهم في </w:t>
      </w:r>
      <w:r w:rsidRPr="00F1182F">
        <w:rPr>
          <w:rFonts w:hint="cs"/>
          <w:rtl/>
        </w:rPr>
        <w:t xml:space="preserve">دراسة </w:t>
      </w:r>
      <w:r w:rsidRPr="00F1182F">
        <w:rPr>
          <w:rtl/>
        </w:rPr>
        <w:t>هذا البلاغ:</w:t>
      </w:r>
      <w:r w:rsidRPr="00F1182F">
        <w:rPr>
          <w:rFonts w:hint="cs"/>
          <w:rtl/>
        </w:rPr>
        <w:t xml:space="preserve"> السيد عياض بن عاشور، والسيد ل</w:t>
      </w:r>
      <w:r w:rsidRPr="00F1182F">
        <w:rPr>
          <w:rtl/>
        </w:rPr>
        <w:t>زه</w:t>
      </w:r>
      <w:r w:rsidRPr="00F1182F">
        <w:rPr>
          <w:rFonts w:hint="cs"/>
          <w:rtl/>
        </w:rPr>
        <w:t>ا</w:t>
      </w:r>
      <w:r w:rsidRPr="00F1182F">
        <w:rPr>
          <w:rtl/>
        </w:rPr>
        <w:t>ري</w:t>
      </w:r>
      <w:r w:rsidRPr="00F1182F">
        <w:rPr>
          <w:rFonts w:hint="cs"/>
          <w:rtl/>
        </w:rPr>
        <w:t xml:space="preserve"> بوزيد،</w:t>
      </w:r>
      <w:r w:rsidRPr="00F1182F">
        <w:rPr>
          <w:rtl/>
        </w:rPr>
        <w:t xml:space="preserve"> </w:t>
      </w:r>
      <w:r w:rsidRPr="00F1182F">
        <w:rPr>
          <w:rFonts w:hint="cs"/>
          <w:rtl/>
        </w:rPr>
        <w:t>و</w:t>
      </w:r>
      <w:r w:rsidRPr="00F1182F">
        <w:rPr>
          <w:rFonts w:hint="cs"/>
          <w:rtl/>
          <w:lang/>
        </w:rPr>
        <w:t xml:space="preserve">السيدة كريستين شانيه، </w:t>
      </w:r>
      <w:r w:rsidRPr="00F1182F">
        <w:rPr>
          <w:rFonts w:hint="cs"/>
          <w:rtl/>
        </w:rPr>
        <w:t>والسيد أحمد أمين فتح الله، و</w:t>
      </w:r>
      <w:r w:rsidRPr="00F1182F">
        <w:rPr>
          <w:rFonts w:hint="cs"/>
          <w:rtl/>
          <w:lang/>
        </w:rPr>
        <w:t>السيد كورنيليس فلينترمان،</w:t>
      </w:r>
      <w:r w:rsidRPr="00F1182F">
        <w:rPr>
          <w:rFonts w:hint="cs"/>
          <w:rtl/>
        </w:rPr>
        <w:t xml:space="preserve"> والسيد يوجي إواساوا،</w:t>
      </w:r>
      <w:r>
        <w:rPr>
          <w:rFonts w:hint="cs"/>
          <w:rtl/>
        </w:rPr>
        <w:t xml:space="preserve"> والسيد فالتر كالين،</w:t>
      </w:r>
      <w:r w:rsidRPr="00F1182F">
        <w:rPr>
          <w:rFonts w:hint="cs"/>
          <w:rtl/>
        </w:rPr>
        <w:t xml:space="preserve"> والسيدة زونكي زانيلي</w:t>
      </w:r>
      <w:r w:rsidRPr="00F1182F">
        <w:rPr>
          <w:rFonts w:hint="cs"/>
          <w:rtl/>
          <w:lang/>
        </w:rPr>
        <w:t xml:space="preserve"> ماجودينا، </w:t>
      </w:r>
      <w:r w:rsidRPr="00F1182F">
        <w:rPr>
          <w:rFonts w:hint="cs"/>
          <w:rtl/>
        </w:rPr>
        <w:t>والسيد</w:t>
      </w:r>
      <w:r w:rsidRPr="00F1182F">
        <w:rPr>
          <w:rtl/>
        </w:rPr>
        <w:t xml:space="preserve"> </w:t>
      </w:r>
      <w:r w:rsidRPr="00F1182F">
        <w:rPr>
          <w:rFonts w:hint="cs"/>
          <w:rtl/>
          <w:lang/>
        </w:rPr>
        <w:t>خيشو برساد ماتادين،</w:t>
      </w:r>
      <w:r w:rsidRPr="00F1182F">
        <w:rPr>
          <w:rFonts w:hint="cs"/>
          <w:rtl/>
        </w:rPr>
        <w:t xml:space="preserve"> </w:t>
      </w:r>
      <w:r w:rsidRPr="00F1182F">
        <w:rPr>
          <w:rFonts w:hint="cs"/>
          <w:rtl/>
          <w:lang/>
        </w:rPr>
        <w:t>والسيد جيرالد ل. نومان</w:t>
      </w:r>
      <w:r w:rsidRPr="00F1182F">
        <w:rPr>
          <w:rFonts w:hint="cs"/>
          <w:rtl/>
        </w:rPr>
        <w:t>،</w:t>
      </w:r>
      <w:r w:rsidRPr="00F1182F">
        <w:rPr>
          <w:rtl/>
        </w:rPr>
        <w:t xml:space="preserve"> </w:t>
      </w:r>
      <w:r w:rsidRPr="00F1182F">
        <w:rPr>
          <w:rFonts w:hint="cs"/>
          <w:rtl/>
        </w:rPr>
        <w:t>و</w:t>
      </w:r>
      <w:r w:rsidRPr="00F1182F">
        <w:rPr>
          <w:rFonts w:hint="cs"/>
          <w:rtl/>
          <w:lang/>
        </w:rPr>
        <w:t>السير نايجل رودلي</w:t>
      </w:r>
      <w:r>
        <w:rPr>
          <w:rFonts w:hint="cs"/>
          <w:rtl/>
          <w:lang/>
        </w:rPr>
        <w:t>،</w:t>
      </w:r>
      <w:r w:rsidRPr="00F1182F">
        <w:rPr>
          <w:rFonts w:hint="cs"/>
          <w:rtl/>
        </w:rPr>
        <w:t xml:space="preserve"> والسيد </w:t>
      </w:r>
      <w:r w:rsidRPr="00F1182F">
        <w:rPr>
          <w:rFonts w:hint="cs"/>
          <w:rtl/>
          <w:lang/>
        </w:rPr>
        <w:t xml:space="preserve">فيكتور مانويل رودريغيز - رييسيا، </w:t>
      </w:r>
      <w:r w:rsidRPr="00F1182F">
        <w:rPr>
          <w:rFonts w:hint="cs"/>
          <w:rtl/>
        </w:rPr>
        <w:t>والسيد</w:t>
      </w:r>
      <w:r w:rsidRPr="00F1182F">
        <w:rPr>
          <w:rFonts w:hint="eastAsia"/>
          <w:rtl/>
        </w:rPr>
        <w:t> </w:t>
      </w:r>
      <w:r w:rsidRPr="00F1182F">
        <w:rPr>
          <w:rFonts w:hint="cs"/>
          <w:rtl/>
        </w:rPr>
        <w:t xml:space="preserve">فابيان عمر سالفيولي، والسيدة </w:t>
      </w:r>
      <w:r w:rsidRPr="00F1182F">
        <w:rPr>
          <w:rFonts w:hint="cs"/>
          <w:rtl/>
          <w:lang/>
        </w:rPr>
        <w:t>أنيا زايبرت - فوهر</w:t>
      </w:r>
      <w:r w:rsidRPr="00F1182F">
        <w:rPr>
          <w:rFonts w:hint="cs"/>
          <w:rtl/>
        </w:rPr>
        <w:t xml:space="preserve">، والسيد </w:t>
      </w:r>
      <w:r w:rsidRPr="00F1182F">
        <w:rPr>
          <w:rFonts w:hint="cs"/>
          <w:rtl/>
          <w:lang/>
        </w:rPr>
        <w:t xml:space="preserve">يوفال شاني، </w:t>
      </w:r>
      <w:r w:rsidRPr="00F1182F">
        <w:rPr>
          <w:rFonts w:hint="cs"/>
          <w:rtl/>
        </w:rPr>
        <w:t>والسيد</w:t>
      </w:r>
      <w:r w:rsidRPr="00F1182F">
        <w:rPr>
          <w:rFonts w:hint="cs"/>
          <w:rtl/>
          <w:lang/>
        </w:rPr>
        <w:t xml:space="preserve"> كونستانتين فردزيلاشفيلي، والسيدة</w:t>
      </w:r>
      <w:r w:rsidR="005512AF">
        <w:rPr>
          <w:rFonts w:hint="eastAsia"/>
          <w:rtl/>
          <w:lang/>
        </w:rPr>
        <w:t> </w:t>
      </w:r>
      <w:r w:rsidRPr="00F1182F">
        <w:rPr>
          <w:rFonts w:hint="cs"/>
          <w:rtl/>
          <w:lang/>
        </w:rPr>
        <w:t>مارغو واترفال</w:t>
      </w:r>
      <w:r w:rsidRPr="00F1182F">
        <w:rPr>
          <w:rFonts w:hint="cs"/>
          <w:rtl/>
        </w:rPr>
        <w:t>.</w:t>
      </w:r>
    </w:p>
  </w:footnote>
  <w:footnote w:id="2">
    <w:p w:rsidR="00E32FA5" w:rsidRPr="00F1182F" w:rsidRDefault="00E32FA5" w:rsidP="00E32FA5">
      <w:pPr>
        <w:pStyle w:val="FootnoteText"/>
        <w:numPr>
          <w:ilvl w:val="0"/>
          <w:numId w:val="40"/>
        </w:numPr>
        <w:tabs>
          <w:tab w:val="clear" w:pos="1295"/>
        </w:tabs>
        <w:spacing w:after="60" w:line="300" w:lineRule="exact"/>
        <w:ind w:left="1247" w:right="1247"/>
        <w:rPr>
          <w:rFonts w:hint="cs"/>
          <w:sz w:val="18"/>
          <w:szCs w:val="26"/>
        </w:rPr>
      </w:pPr>
      <w:r w:rsidRPr="00F1182F">
        <w:rPr>
          <w:rFonts w:hint="cs"/>
          <w:sz w:val="18"/>
          <w:szCs w:val="26"/>
          <w:rtl/>
        </w:rPr>
        <w:t xml:space="preserve">دخل </w:t>
      </w:r>
      <w:r w:rsidRPr="00E32FA5">
        <w:rPr>
          <w:rFonts w:hint="cs"/>
          <w:rtl/>
        </w:rPr>
        <w:t>البروتوكول</w:t>
      </w:r>
      <w:r w:rsidRPr="00F1182F">
        <w:rPr>
          <w:rFonts w:hint="cs"/>
          <w:sz w:val="18"/>
          <w:szCs w:val="26"/>
          <w:rtl/>
        </w:rPr>
        <w:t xml:space="preserve"> الاختياري حيز النفاذ في الدولة الطرف في 1 كانون الثاني/يناير 1992.</w:t>
      </w:r>
    </w:p>
  </w:footnote>
  <w:footnote w:id="3">
    <w:p w:rsidR="00E32FA5" w:rsidRDefault="00E32FA5" w:rsidP="00E32FA5">
      <w:pPr>
        <w:pStyle w:val="FootnoteText"/>
        <w:numPr>
          <w:ilvl w:val="0"/>
          <w:numId w:val="40"/>
        </w:numPr>
        <w:tabs>
          <w:tab w:val="clear" w:pos="1295"/>
        </w:tabs>
        <w:spacing w:after="60" w:line="300" w:lineRule="exact"/>
        <w:ind w:left="1247" w:right="1247"/>
        <w:rPr>
          <w:rFonts w:hint="cs"/>
        </w:rPr>
      </w:pPr>
      <w:r>
        <w:rPr>
          <w:rFonts w:hint="cs"/>
          <w:sz w:val="26"/>
          <w:szCs w:val="26"/>
          <w:rtl/>
        </w:rPr>
        <w:t xml:space="preserve">تنص المادة </w:t>
      </w:r>
      <w:r w:rsidRPr="00E32FA5">
        <w:rPr>
          <w:rFonts w:hint="cs"/>
          <w:rtl/>
        </w:rPr>
        <w:t>20</w:t>
      </w:r>
      <w:r>
        <w:rPr>
          <w:rFonts w:hint="cs"/>
          <w:sz w:val="26"/>
          <w:szCs w:val="26"/>
          <w:rtl/>
        </w:rPr>
        <w:t xml:space="preserve"> من الدستور على ما يلي: "(1) حق الحياة مكفول لكل شخص؛ (2) يجوز أن ينص قانون اتحادي على الحكم بالإعدام، إلى حين إلغائه، بو</w:t>
      </w:r>
      <w:r w:rsidRPr="00E32FA5">
        <w:rPr>
          <w:rFonts w:hint="cs"/>
          <w:rtl/>
        </w:rPr>
        <w:t>ص</w:t>
      </w:r>
      <w:r>
        <w:rPr>
          <w:rFonts w:hint="cs"/>
          <w:sz w:val="26"/>
          <w:szCs w:val="26"/>
          <w:rtl/>
        </w:rPr>
        <w:t>فه عقوبة استثنائية تطبق عند ارتكاب جرائم خطيرة للغاية تمس الحياة؛ وللمتهم الحق في أن تنظر هيئة محلفين في قضيته".</w:t>
      </w:r>
    </w:p>
  </w:footnote>
  <w:footnote w:id="4">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 xml:space="preserve">تنص </w:t>
      </w:r>
      <w:r w:rsidRPr="00E32FA5">
        <w:rPr>
          <w:rFonts w:hint="cs"/>
          <w:rtl/>
        </w:rPr>
        <w:t>المادة</w:t>
      </w:r>
      <w:r w:rsidR="00441F8C">
        <w:rPr>
          <w:rFonts w:hint="cs"/>
          <w:sz w:val="26"/>
          <w:szCs w:val="26"/>
          <w:rtl/>
        </w:rPr>
        <w:t xml:space="preserve"> 47 من الدستور على ما يلي</w:t>
      </w:r>
      <w:r>
        <w:rPr>
          <w:rFonts w:hint="cs"/>
          <w:sz w:val="26"/>
          <w:szCs w:val="26"/>
          <w:rtl/>
        </w:rPr>
        <w:t>: "(1) لا يجوز حرمان أي شخص من حقه في أن تنظر في قضيته محكمة مختصة وقاض مختص بموجب القانون. (2) للمتهم الحق في أن تنظر هيئة محلفين في قضيته متى نصّ القانون الاتحادي على ذلك".</w:t>
      </w:r>
    </w:p>
  </w:footnote>
  <w:footnote w:id="5">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 xml:space="preserve">تنص </w:t>
      </w:r>
      <w:r w:rsidRPr="00E32FA5">
        <w:rPr>
          <w:rFonts w:hint="cs"/>
          <w:rtl/>
        </w:rPr>
        <w:t>الفقرة</w:t>
      </w:r>
      <w:r>
        <w:rPr>
          <w:rFonts w:hint="cs"/>
          <w:sz w:val="26"/>
          <w:szCs w:val="26"/>
          <w:rtl/>
        </w:rPr>
        <w:t xml:space="preserve"> 1 من المادة 19 من الدستور على ما </w:t>
      </w:r>
      <w:r w:rsidR="00441F8C">
        <w:rPr>
          <w:rFonts w:hint="cs"/>
          <w:sz w:val="26"/>
          <w:szCs w:val="26"/>
          <w:rtl/>
        </w:rPr>
        <w:t>يلي</w:t>
      </w:r>
      <w:r>
        <w:rPr>
          <w:rFonts w:hint="cs"/>
          <w:sz w:val="26"/>
          <w:szCs w:val="26"/>
          <w:rtl/>
        </w:rPr>
        <w:t>: "كل الناس سواسية أمام القانون والمحاكم".</w:t>
      </w:r>
    </w:p>
  </w:footnote>
  <w:footnote w:id="6">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تنص الفقرة 1 من المادة 15 من الدستور على ما يلي: "دستور الاتحاد الروسي هو القانون الأسمى وآثاره مباشرة ويطبق في جميع أراضي الاتحاد الروسي. ولا يجوز أن تتعارض مع الدستور القوانين وغيرها من الصكوك القانونية المعتمدة في الاتحاد الروسي".</w:t>
      </w:r>
    </w:p>
  </w:footnote>
  <w:footnote w:id="7">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تنص الفقرة 1 من الماد</w:t>
      </w:r>
      <w:r w:rsidR="00441F8C">
        <w:rPr>
          <w:rFonts w:hint="cs"/>
          <w:sz w:val="26"/>
          <w:szCs w:val="26"/>
          <w:rtl/>
        </w:rPr>
        <w:t>ة</w:t>
      </w:r>
      <w:r>
        <w:rPr>
          <w:rFonts w:hint="cs"/>
          <w:sz w:val="26"/>
          <w:szCs w:val="26"/>
          <w:rtl/>
        </w:rPr>
        <w:t xml:space="preserve"> 46 من الدستور عل</w:t>
      </w:r>
      <w:r w:rsidR="00441F8C">
        <w:rPr>
          <w:rFonts w:hint="cs"/>
          <w:sz w:val="26"/>
          <w:szCs w:val="26"/>
          <w:rtl/>
        </w:rPr>
        <w:t>ى ما يلي</w:t>
      </w:r>
      <w:r>
        <w:rPr>
          <w:rFonts w:hint="cs"/>
          <w:sz w:val="26"/>
          <w:szCs w:val="26"/>
          <w:rtl/>
        </w:rPr>
        <w:t>: "الحماية القضائية للحقوق والحريات مكفولة لكل شخص".</w:t>
      </w:r>
    </w:p>
  </w:footnote>
  <w:footnote w:id="8">
    <w:p w:rsidR="00E32FA5" w:rsidRPr="00F1182F" w:rsidRDefault="00E32FA5" w:rsidP="00441F8C">
      <w:pPr>
        <w:pStyle w:val="FootnoteText"/>
        <w:numPr>
          <w:ilvl w:val="0"/>
          <w:numId w:val="40"/>
        </w:numPr>
        <w:tabs>
          <w:tab w:val="clear" w:pos="1295"/>
        </w:tabs>
        <w:spacing w:after="60" w:line="300" w:lineRule="exact"/>
        <w:ind w:left="1247" w:right="1247"/>
        <w:rPr>
          <w:rFonts w:hint="cs"/>
          <w:sz w:val="18"/>
          <w:szCs w:val="26"/>
        </w:rPr>
      </w:pPr>
      <w:r>
        <w:rPr>
          <w:rFonts w:hint="cs"/>
          <w:sz w:val="18"/>
          <w:szCs w:val="26"/>
          <w:rtl/>
        </w:rPr>
        <w:t>تنص</w:t>
      </w:r>
      <w:r w:rsidRPr="00F1182F">
        <w:rPr>
          <w:rFonts w:hint="cs"/>
          <w:sz w:val="18"/>
          <w:szCs w:val="26"/>
          <w:rtl/>
        </w:rPr>
        <w:t xml:space="preserve"> </w:t>
      </w:r>
      <w:r w:rsidRPr="00E32FA5">
        <w:rPr>
          <w:rFonts w:hint="cs"/>
          <w:rtl/>
        </w:rPr>
        <w:t>المادة</w:t>
      </w:r>
      <w:r w:rsidRPr="00F1182F">
        <w:rPr>
          <w:rFonts w:hint="cs"/>
          <w:sz w:val="18"/>
          <w:szCs w:val="26"/>
          <w:rtl/>
        </w:rPr>
        <w:t xml:space="preserve"> 54 </w:t>
      </w:r>
      <w:r>
        <w:rPr>
          <w:rFonts w:hint="cs"/>
          <w:sz w:val="18"/>
          <w:szCs w:val="26"/>
          <w:rtl/>
        </w:rPr>
        <w:t>على ما ي</w:t>
      </w:r>
      <w:r w:rsidR="00441F8C">
        <w:rPr>
          <w:rFonts w:hint="cs"/>
          <w:sz w:val="18"/>
          <w:szCs w:val="26"/>
          <w:rtl/>
        </w:rPr>
        <w:t>لي</w:t>
      </w:r>
      <w:r w:rsidRPr="00F1182F">
        <w:rPr>
          <w:sz w:val="18"/>
          <w:szCs w:val="26"/>
          <w:rtl/>
        </w:rPr>
        <w:t>:</w:t>
      </w:r>
      <w:r w:rsidRPr="00F1182F">
        <w:rPr>
          <w:rFonts w:hint="cs"/>
          <w:sz w:val="18"/>
          <w:szCs w:val="26"/>
          <w:rtl/>
        </w:rPr>
        <w:t xml:space="preserve"> </w:t>
      </w:r>
      <w:r w:rsidRPr="00F1182F">
        <w:rPr>
          <w:sz w:val="18"/>
          <w:szCs w:val="26"/>
          <w:rtl/>
        </w:rPr>
        <w:t>(</w:t>
      </w:r>
      <w:r w:rsidRPr="00F1182F">
        <w:rPr>
          <w:rFonts w:hint="cs"/>
          <w:sz w:val="18"/>
          <w:szCs w:val="26"/>
          <w:rtl/>
        </w:rPr>
        <w:t>1</w:t>
      </w:r>
      <w:r w:rsidRPr="00F1182F">
        <w:rPr>
          <w:sz w:val="18"/>
          <w:szCs w:val="26"/>
          <w:rtl/>
        </w:rPr>
        <w:t xml:space="preserve">) </w:t>
      </w:r>
      <w:r w:rsidRPr="00F1182F">
        <w:rPr>
          <w:rFonts w:hint="cs"/>
          <w:sz w:val="18"/>
          <w:szCs w:val="26"/>
          <w:rtl/>
        </w:rPr>
        <w:t>ليس للقانون الذي يقضي بمسؤولية شخص أو يشدده</w:t>
      </w:r>
      <w:r>
        <w:rPr>
          <w:rFonts w:hint="cs"/>
          <w:sz w:val="18"/>
          <w:szCs w:val="26"/>
          <w:rtl/>
        </w:rPr>
        <w:t>ا</w:t>
      </w:r>
      <w:r w:rsidRPr="00F1182F">
        <w:rPr>
          <w:rFonts w:hint="cs"/>
          <w:sz w:val="18"/>
          <w:szCs w:val="26"/>
          <w:rtl/>
        </w:rPr>
        <w:t xml:space="preserve"> أثر رجعي؛ </w:t>
      </w:r>
      <w:r w:rsidRPr="00F1182F">
        <w:rPr>
          <w:sz w:val="18"/>
          <w:szCs w:val="26"/>
          <w:rtl/>
        </w:rPr>
        <w:t>(</w:t>
      </w:r>
      <w:r w:rsidRPr="00F1182F">
        <w:rPr>
          <w:rFonts w:hint="cs"/>
          <w:sz w:val="18"/>
          <w:szCs w:val="26"/>
          <w:rtl/>
        </w:rPr>
        <w:t>2</w:t>
      </w:r>
      <w:r w:rsidRPr="00F1182F">
        <w:rPr>
          <w:sz w:val="18"/>
          <w:szCs w:val="26"/>
          <w:rtl/>
        </w:rPr>
        <w:t>)</w:t>
      </w:r>
      <w:r w:rsidRPr="00F1182F">
        <w:rPr>
          <w:rFonts w:hint="cs"/>
          <w:sz w:val="18"/>
          <w:szCs w:val="26"/>
          <w:rtl/>
        </w:rPr>
        <w:t xml:space="preserve"> لا يجوز </w:t>
      </w:r>
      <w:r>
        <w:rPr>
          <w:rFonts w:hint="cs"/>
          <w:sz w:val="18"/>
          <w:szCs w:val="26"/>
          <w:rtl/>
        </w:rPr>
        <w:t>اتهام</w:t>
      </w:r>
      <w:r w:rsidRPr="00F1182F">
        <w:rPr>
          <w:rFonts w:hint="cs"/>
          <w:sz w:val="18"/>
          <w:szCs w:val="26"/>
          <w:rtl/>
        </w:rPr>
        <w:t xml:space="preserve"> شخص </w:t>
      </w:r>
      <w:r>
        <w:rPr>
          <w:rFonts w:hint="cs"/>
          <w:sz w:val="18"/>
          <w:szCs w:val="26"/>
          <w:rtl/>
        </w:rPr>
        <w:t>بأي</w:t>
      </w:r>
      <w:r w:rsidRPr="00F1182F">
        <w:rPr>
          <w:rFonts w:hint="cs"/>
          <w:sz w:val="18"/>
          <w:szCs w:val="26"/>
          <w:rtl/>
        </w:rPr>
        <w:t xml:space="preserve"> فعل لم </w:t>
      </w:r>
      <w:r>
        <w:rPr>
          <w:rFonts w:hint="cs"/>
          <w:sz w:val="18"/>
          <w:szCs w:val="26"/>
          <w:rtl/>
        </w:rPr>
        <w:t>يُعَد</w:t>
      </w:r>
      <w:r w:rsidRPr="00F1182F">
        <w:rPr>
          <w:rFonts w:hint="cs"/>
          <w:sz w:val="18"/>
          <w:szCs w:val="26"/>
          <w:rtl/>
        </w:rPr>
        <w:t xml:space="preserve"> جريمة وقت اقترا</w:t>
      </w:r>
      <w:r>
        <w:rPr>
          <w:rFonts w:hint="cs"/>
          <w:sz w:val="18"/>
          <w:szCs w:val="26"/>
          <w:rtl/>
        </w:rPr>
        <w:t>فه. فإن نص القانون، بعد ارتكاب الجريمة، على</w:t>
      </w:r>
      <w:r w:rsidRPr="00F1182F">
        <w:rPr>
          <w:rFonts w:hint="cs"/>
          <w:sz w:val="18"/>
          <w:szCs w:val="26"/>
          <w:rtl/>
        </w:rPr>
        <w:t xml:space="preserve"> رفع المسؤولية </w:t>
      </w:r>
      <w:r>
        <w:rPr>
          <w:rFonts w:hint="cs"/>
          <w:sz w:val="18"/>
          <w:szCs w:val="26"/>
          <w:rtl/>
        </w:rPr>
        <w:t xml:space="preserve">الجنائية أو تخفيف العقوبة، </w:t>
      </w:r>
      <w:r w:rsidRPr="00F1182F">
        <w:rPr>
          <w:rFonts w:hint="cs"/>
          <w:sz w:val="18"/>
          <w:szCs w:val="26"/>
          <w:rtl/>
        </w:rPr>
        <w:t>ط</w:t>
      </w:r>
      <w:r>
        <w:rPr>
          <w:rFonts w:hint="cs"/>
          <w:sz w:val="18"/>
          <w:szCs w:val="26"/>
          <w:rtl/>
        </w:rPr>
        <w:t>ُ</w:t>
      </w:r>
      <w:r w:rsidRPr="00F1182F">
        <w:rPr>
          <w:rFonts w:hint="cs"/>
          <w:sz w:val="18"/>
          <w:szCs w:val="26"/>
          <w:rtl/>
        </w:rPr>
        <w:t>بق القانون الجديد.</w:t>
      </w:r>
    </w:p>
  </w:footnote>
  <w:footnote w:id="9">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 xml:space="preserve">انظر </w:t>
      </w:r>
      <w:r w:rsidRPr="00E32FA5">
        <w:rPr>
          <w:rFonts w:hint="cs"/>
          <w:rtl/>
        </w:rPr>
        <w:t>الفقرة</w:t>
      </w:r>
      <w:r>
        <w:rPr>
          <w:rFonts w:hint="cs"/>
          <w:sz w:val="26"/>
          <w:szCs w:val="26"/>
          <w:rtl/>
        </w:rPr>
        <w:t xml:space="preserve"> 2-2 أعلاه.</w:t>
      </w:r>
    </w:p>
  </w:footnote>
  <w:footnote w:id="10">
    <w:p w:rsidR="00E32FA5" w:rsidRDefault="00E32FA5" w:rsidP="00441F8C">
      <w:pPr>
        <w:pStyle w:val="FootnoteText"/>
        <w:numPr>
          <w:ilvl w:val="0"/>
          <w:numId w:val="40"/>
        </w:numPr>
        <w:tabs>
          <w:tab w:val="clear" w:pos="1295"/>
        </w:tabs>
        <w:spacing w:after="60" w:line="300" w:lineRule="exact"/>
        <w:ind w:left="1247" w:right="1247"/>
      </w:pPr>
      <w:r w:rsidRPr="00E32FA5">
        <w:rPr>
          <w:rFonts w:hint="cs"/>
          <w:rtl/>
        </w:rPr>
        <w:t>في</w:t>
      </w:r>
      <w:r>
        <w:rPr>
          <w:rFonts w:hint="cs"/>
          <w:sz w:val="26"/>
          <w:szCs w:val="26"/>
          <w:rtl/>
        </w:rPr>
        <w:t xml:space="preserve"> </w:t>
      </w:r>
      <w:r w:rsidRPr="00441F8C">
        <w:rPr>
          <w:rFonts w:hint="cs"/>
          <w:sz w:val="18"/>
          <w:szCs w:val="26"/>
          <w:rtl/>
        </w:rPr>
        <w:t>10</w:t>
      </w:r>
      <w:r>
        <w:rPr>
          <w:rFonts w:hint="cs"/>
          <w:sz w:val="26"/>
          <w:szCs w:val="26"/>
          <w:rtl/>
        </w:rPr>
        <w:t xml:space="preserve"> أيلول/سبتمبر 2008، قدم صاحب البلاغ طلبا</w:t>
      </w:r>
      <w:r w:rsidR="008D5A20">
        <w:rPr>
          <w:rFonts w:hint="cs"/>
          <w:sz w:val="26"/>
          <w:szCs w:val="26"/>
          <w:rtl/>
        </w:rPr>
        <w:t>ً</w:t>
      </w:r>
      <w:r>
        <w:rPr>
          <w:rFonts w:hint="cs"/>
          <w:sz w:val="26"/>
          <w:szCs w:val="26"/>
          <w:rtl/>
        </w:rPr>
        <w:t xml:space="preserve"> إلى المحكمة الأوروبية لحقوق الإنسان مدعيا انتهاك المادة 7 (لا عقوبة بلا قانون) من الاتفاقية الأوروبية. وفي 17 نيسان/أبريل 2009، أعلنت المحكمة الأوروبية لحقوق الإنسان أن شكوى صاحب البلاغ غير مقبولة لأنها لا تستوفي معايير المقبولية المنصوص عليها في المادتين 34 و35 من الاتفاقية. وبالنظر إلى جميع المستندات المعروضة عليها، قضت </w:t>
      </w:r>
      <w:r w:rsidR="000D7C77">
        <w:rPr>
          <w:rFonts w:hint="cs"/>
          <w:sz w:val="26"/>
          <w:szCs w:val="26"/>
          <w:rtl/>
        </w:rPr>
        <w:t xml:space="preserve">المحكمة </w:t>
      </w:r>
      <w:r>
        <w:rPr>
          <w:rFonts w:hint="cs"/>
          <w:sz w:val="26"/>
          <w:szCs w:val="26"/>
          <w:rtl/>
        </w:rPr>
        <w:t>بأن الشكاوى التي رفعها صاحب البلاغ، ما دامت تندرج ضمن اختصاصها، لا تكشف عن أي انتهاك للحقوق والحريات المنصوص عليها في الاتفاقية أو بروتوكولاتها.</w:t>
      </w:r>
    </w:p>
  </w:footnote>
  <w:footnote w:id="11">
    <w:p w:rsidR="00E32FA5" w:rsidRDefault="00E32FA5" w:rsidP="00441F8C">
      <w:pPr>
        <w:pStyle w:val="FootnoteText"/>
        <w:numPr>
          <w:ilvl w:val="0"/>
          <w:numId w:val="40"/>
        </w:numPr>
        <w:tabs>
          <w:tab w:val="clear" w:pos="1295"/>
        </w:tabs>
        <w:spacing w:after="60" w:line="300" w:lineRule="exact"/>
        <w:ind w:left="1247" w:right="1247"/>
      </w:pPr>
      <w:r>
        <w:rPr>
          <w:rFonts w:hint="cs"/>
          <w:sz w:val="26"/>
          <w:szCs w:val="26"/>
          <w:rtl/>
        </w:rPr>
        <w:t xml:space="preserve">لم تصل </w:t>
      </w:r>
      <w:r w:rsidRPr="00441F8C">
        <w:rPr>
          <w:rFonts w:hint="cs"/>
          <w:sz w:val="18"/>
          <w:szCs w:val="26"/>
          <w:rtl/>
        </w:rPr>
        <w:t>إلى</w:t>
      </w:r>
      <w:r>
        <w:rPr>
          <w:rFonts w:hint="cs"/>
          <w:sz w:val="26"/>
          <w:szCs w:val="26"/>
          <w:rtl/>
        </w:rPr>
        <w:t xml:space="preserve"> اللجنة رسالة صاحب البلاغ المؤرخة 4 أيار/مايو 2010.</w:t>
      </w:r>
    </w:p>
  </w:footnote>
  <w:footnote w:id="12">
    <w:p w:rsidR="00E32FA5" w:rsidRDefault="00E32FA5" w:rsidP="000D7C77">
      <w:pPr>
        <w:pStyle w:val="FootnoteText"/>
        <w:numPr>
          <w:ilvl w:val="0"/>
          <w:numId w:val="40"/>
        </w:numPr>
        <w:tabs>
          <w:tab w:val="clear" w:pos="1295"/>
        </w:tabs>
        <w:spacing w:after="60" w:line="300" w:lineRule="exact"/>
        <w:ind w:left="1247" w:right="1247"/>
      </w:pPr>
      <w:r>
        <w:rPr>
          <w:rFonts w:hint="cs"/>
          <w:sz w:val="26"/>
          <w:szCs w:val="26"/>
          <w:rtl/>
        </w:rPr>
        <w:t>في 24 تشرين الثاني/نوفمبر 2010، طلبت اللجنة إلى الدولة الطرف أن تعلق على المعلومات التي قدمتها أخت صاحب البلاغ عن صعوبة تلق</w:t>
      </w:r>
      <w:r w:rsidR="000D7C77">
        <w:rPr>
          <w:rFonts w:hint="cs"/>
          <w:sz w:val="26"/>
          <w:szCs w:val="26"/>
          <w:rtl/>
        </w:rPr>
        <w:t xml:space="preserve">يه وإرساله </w:t>
      </w:r>
      <w:r>
        <w:rPr>
          <w:rFonts w:hint="cs"/>
          <w:sz w:val="26"/>
          <w:szCs w:val="26"/>
          <w:rtl/>
        </w:rPr>
        <w:t>الرسائل المتصلة بهذا البلاغ بسبب التدخل المزعوم من سلطات السجن.</w:t>
      </w:r>
    </w:p>
  </w:footnote>
  <w:footnote w:id="13">
    <w:p w:rsidR="00E32FA5" w:rsidRDefault="00E32FA5" w:rsidP="000D7C77">
      <w:pPr>
        <w:pStyle w:val="FootnoteText"/>
        <w:numPr>
          <w:ilvl w:val="0"/>
          <w:numId w:val="40"/>
        </w:numPr>
        <w:tabs>
          <w:tab w:val="clear" w:pos="1295"/>
        </w:tabs>
        <w:spacing w:after="60" w:line="300" w:lineRule="exact"/>
        <w:ind w:left="1247" w:right="1247"/>
      </w:pPr>
      <w:r w:rsidRPr="00E32FA5">
        <w:rPr>
          <w:rFonts w:hint="cs"/>
          <w:rtl/>
        </w:rPr>
        <w:t>أضاف</w:t>
      </w:r>
      <w:r>
        <w:rPr>
          <w:rFonts w:hint="cs"/>
          <w:sz w:val="26"/>
          <w:szCs w:val="26"/>
          <w:rtl/>
        </w:rPr>
        <w:t xml:space="preserve"> صاحب البلاغ المادة 7 إلى قائمته الأولية من مواد العهد المنتهكة، لكنه لم يشر إليها لاحقا ولم يوضح مدى </w:t>
      </w:r>
      <w:r w:rsidR="000D7C77">
        <w:rPr>
          <w:rFonts w:hint="cs"/>
          <w:sz w:val="26"/>
          <w:szCs w:val="26"/>
          <w:rtl/>
        </w:rPr>
        <w:t xml:space="preserve">صلتها </w:t>
      </w:r>
      <w:r>
        <w:rPr>
          <w:rFonts w:hint="cs"/>
          <w:sz w:val="26"/>
          <w:szCs w:val="26"/>
          <w:rtl/>
        </w:rPr>
        <w:t>بشكواه.</w:t>
      </w:r>
    </w:p>
  </w:footnote>
  <w:footnote w:id="14">
    <w:p w:rsidR="00E32FA5" w:rsidRDefault="00E32FA5" w:rsidP="00441F8C">
      <w:pPr>
        <w:pStyle w:val="FootnoteText"/>
        <w:numPr>
          <w:ilvl w:val="0"/>
          <w:numId w:val="40"/>
        </w:numPr>
        <w:tabs>
          <w:tab w:val="clear" w:pos="1295"/>
        </w:tabs>
        <w:spacing w:after="60" w:line="300" w:lineRule="exact"/>
        <w:ind w:left="1247" w:right="1247"/>
      </w:pPr>
      <w:r w:rsidRPr="00C15488">
        <w:rPr>
          <w:rFonts w:hint="cs"/>
          <w:sz w:val="26"/>
          <w:szCs w:val="26"/>
          <w:rtl/>
        </w:rPr>
        <w:t>انظر</w:t>
      </w:r>
      <w:r w:rsidRPr="00C15488">
        <w:rPr>
          <w:rFonts w:hint="cs"/>
          <w:sz w:val="32"/>
          <w:szCs w:val="32"/>
          <w:rtl/>
        </w:rPr>
        <w:t xml:space="preserve"> </w:t>
      </w:r>
      <w:r>
        <w:rPr>
          <w:rFonts w:hint="cs"/>
          <w:sz w:val="26"/>
          <w:szCs w:val="26"/>
          <w:rtl/>
        </w:rPr>
        <w:t>الفقرة 2-7 أعلاه.</w:t>
      </w:r>
    </w:p>
  </w:footnote>
  <w:footnote w:id="15">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2-8 أعلاه.</w:t>
      </w:r>
    </w:p>
  </w:footnote>
  <w:footnote w:id="16">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2-2 أعلاه.</w:t>
      </w:r>
    </w:p>
  </w:footnote>
  <w:footnote w:id="17">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المرجع نفسه.</w:t>
      </w:r>
    </w:p>
  </w:footnote>
  <w:footnote w:id="18">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2-5 أعلاه.</w:t>
      </w:r>
    </w:p>
  </w:footnote>
  <w:footnote w:id="19">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2-8 أعلاه.</w:t>
      </w:r>
    </w:p>
  </w:footnote>
  <w:footnote w:id="20">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رسالتان مرقمتان </w:t>
      </w:r>
      <w:r w:rsidR="008D5A20">
        <w:rPr>
          <w:sz w:val="18"/>
          <w:szCs w:val="26"/>
        </w:rPr>
        <w:t>5</w:t>
      </w:r>
      <w:r w:rsidRPr="00441F8C">
        <w:rPr>
          <w:sz w:val="18"/>
          <w:szCs w:val="26"/>
        </w:rPr>
        <w:t>6/4-A-54</w:t>
      </w:r>
      <w:r w:rsidR="00D152F4">
        <w:rPr>
          <w:sz w:val="18"/>
          <w:szCs w:val="26"/>
          <w:rtl/>
        </w:rPr>
        <w:t xml:space="preserve"> </w:t>
      </w:r>
      <w:r w:rsidRPr="00441F8C">
        <w:rPr>
          <w:rFonts w:hint="cs"/>
          <w:sz w:val="18"/>
          <w:szCs w:val="26"/>
          <w:rtl/>
        </w:rPr>
        <w:t xml:space="preserve">ومؤرختان 8 و18 حزيران/يونيه 2009، ورسالة مرقمة </w:t>
      </w:r>
      <w:r w:rsidRPr="00441F8C">
        <w:rPr>
          <w:sz w:val="18"/>
          <w:szCs w:val="26"/>
        </w:rPr>
        <w:t>56/5-A-54</w:t>
      </w:r>
      <w:r w:rsidR="00D152F4">
        <w:rPr>
          <w:sz w:val="18"/>
          <w:szCs w:val="26"/>
          <w:rtl/>
        </w:rPr>
        <w:t xml:space="preserve"> </w:t>
      </w:r>
      <w:r w:rsidRPr="00441F8C">
        <w:rPr>
          <w:rFonts w:hint="cs"/>
          <w:sz w:val="18"/>
          <w:szCs w:val="26"/>
          <w:rtl/>
        </w:rPr>
        <w:t>ومؤرخة 28 تموز/يوليه 2010.</w:t>
      </w:r>
    </w:p>
  </w:footnote>
  <w:footnote w:id="21">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رسالة مرقمة </w:t>
      </w:r>
      <w:r w:rsidRPr="00441F8C">
        <w:rPr>
          <w:sz w:val="18"/>
          <w:szCs w:val="26"/>
        </w:rPr>
        <w:t>56/4-A/114</w:t>
      </w:r>
      <w:r w:rsidR="00D152F4">
        <w:rPr>
          <w:sz w:val="18"/>
          <w:szCs w:val="26"/>
          <w:rtl/>
        </w:rPr>
        <w:t xml:space="preserve"> </w:t>
      </w:r>
      <w:r w:rsidRPr="00441F8C">
        <w:rPr>
          <w:rFonts w:hint="cs"/>
          <w:sz w:val="18"/>
          <w:szCs w:val="26"/>
          <w:rtl/>
        </w:rPr>
        <w:t>ومؤرخة 30 تشرين الثاني/نوفمبر 2009.</w:t>
      </w:r>
    </w:p>
  </w:footnote>
  <w:footnote w:id="22">
    <w:p w:rsidR="00E32FA5" w:rsidRPr="00441F8C" w:rsidRDefault="00E32FA5" w:rsidP="009A03F8">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في 24 تشرين الثاني/نوفمبر 2010، طلبت اللجنة إلى الدولة الطرف أن تعلق على المعلومات التي قدمتها أخت صاحب البلاغ عن الصعوبة التي واجهها لتلقي</w:t>
      </w:r>
      <w:r w:rsidR="009A03F8">
        <w:rPr>
          <w:rFonts w:hint="cs"/>
          <w:sz w:val="18"/>
          <w:szCs w:val="26"/>
          <w:rtl/>
        </w:rPr>
        <w:t xml:space="preserve"> وإرسال </w:t>
      </w:r>
      <w:r w:rsidRPr="00441F8C">
        <w:rPr>
          <w:rFonts w:hint="cs"/>
          <w:sz w:val="18"/>
          <w:szCs w:val="26"/>
          <w:rtl/>
        </w:rPr>
        <w:t>الرسائل المتعلقة بهذا البلاغ بسبب ما ادعي أنه تدخل من سلطات السجن (انظر الفقرة 2-11 أعلاه).</w:t>
      </w:r>
    </w:p>
  </w:footnote>
  <w:footnote w:id="23">
    <w:p w:rsidR="00E32FA5" w:rsidRPr="00441F8C" w:rsidRDefault="00E32FA5" w:rsidP="00AA5323">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في جملة</w:t>
      </w:r>
      <w:r w:rsidR="00AA5323">
        <w:rPr>
          <w:rFonts w:hint="cs"/>
          <w:sz w:val="18"/>
          <w:szCs w:val="26"/>
          <w:rtl/>
        </w:rPr>
        <w:t xml:space="preserve"> مراجع</w:t>
      </w:r>
      <w:r w:rsidRPr="00441F8C">
        <w:rPr>
          <w:rFonts w:hint="cs"/>
          <w:sz w:val="18"/>
          <w:szCs w:val="26"/>
          <w:rtl/>
        </w:rPr>
        <w:t xml:space="preserve">، البلاغ رقم 316/1988، </w:t>
      </w:r>
      <w:r w:rsidRPr="005512AF">
        <w:rPr>
          <w:rFonts w:hint="cs"/>
          <w:i/>
          <w:iCs/>
          <w:sz w:val="18"/>
          <w:szCs w:val="26"/>
          <w:rtl/>
        </w:rPr>
        <w:t>سي. إي. أ. ضد فنلندا</w:t>
      </w:r>
      <w:r w:rsidRPr="00441F8C">
        <w:rPr>
          <w:rFonts w:hint="cs"/>
          <w:sz w:val="18"/>
          <w:szCs w:val="26"/>
          <w:rtl/>
        </w:rPr>
        <w:t xml:space="preserve">، </w:t>
      </w:r>
      <w:r w:rsidR="00AA5323">
        <w:rPr>
          <w:rFonts w:hint="cs"/>
          <w:sz w:val="18"/>
          <w:szCs w:val="26"/>
          <w:rtl/>
        </w:rPr>
        <w:t xml:space="preserve">القرار </w:t>
      </w:r>
      <w:r w:rsidRPr="00441F8C">
        <w:rPr>
          <w:rFonts w:hint="cs"/>
          <w:sz w:val="18"/>
          <w:szCs w:val="26"/>
          <w:rtl/>
        </w:rPr>
        <w:t>الصادر في 10 تموز/</w:t>
      </w:r>
      <w:r w:rsidR="005512AF">
        <w:rPr>
          <w:rFonts w:hint="cs"/>
          <w:sz w:val="18"/>
          <w:szCs w:val="26"/>
          <w:rtl/>
        </w:rPr>
        <w:t xml:space="preserve"> </w:t>
      </w:r>
      <w:r w:rsidRPr="00441F8C">
        <w:rPr>
          <w:rFonts w:hint="cs"/>
          <w:sz w:val="18"/>
          <w:szCs w:val="26"/>
          <w:rtl/>
        </w:rPr>
        <w:t xml:space="preserve">يوليه 1991، الفقرة 6-2؛ والبلاغ رقم 802/1998، </w:t>
      </w:r>
      <w:r w:rsidRPr="005512AF">
        <w:rPr>
          <w:rFonts w:hint="cs"/>
          <w:i/>
          <w:iCs/>
          <w:sz w:val="18"/>
          <w:szCs w:val="26"/>
          <w:rtl/>
        </w:rPr>
        <w:t>رودجرسن ضد أستراليا</w:t>
      </w:r>
      <w:r w:rsidRPr="00441F8C">
        <w:rPr>
          <w:rFonts w:hint="cs"/>
          <w:sz w:val="18"/>
          <w:szCs w:val="26"/>
          <w:rtl/>
        </w:rPr>
        <w:t xml:space="preserve">، الآراء المعتمدة في 3 نيسان/أبريل 2002؛ والبلاغ رقم 1213/2003، </w:t>
      </w:r>
      <w:r w:rsidRPr="005512AF">
        <w:rPr>
          <w:rFonts w:hint="cs"/>
          <w:i/>
          <w:iCs/>
          <w:sz w:val="18"/>
          <w:szCs w:val="26"/>
          <w:rtl/>
        </w:rPr>
        <w:t>ساستر رودريغز وآخرون ضد إسبانيا</w:t>
      </w:r>
      <w:r w:rsidR="00AA5323">
        <w:rPr>
          <w:rFonts w:hint="cs"/>
          <w:sz w:val="18"/>
          <w:szCs w:val="26"/>
          <w:rtl/>
        </w:rPr>
        <w:t>، ال</w:t>
      </w:r>
      <w:r w:rsidRPr="00441F8C">
        <w:rPr>
          <w:rFonts w:hint="cs"/>
          <w:sz w:val="18"/>
          <w:szCs w:val="26"/>
          <w:rtl/>
        </w:rPr>
        <w:t>قر</w:t>
      </w:r>
      <w:r w:rsidR="00AA5323">
        <w:rPr>
          <w:rFonts w:hint="cs"/>
          <w:sz w:val="18"/>
          <w:szCs w:val="26"/>
          <w:rtl/>
        </w:rPr>
        <w:t>ا</w:t>
      </w:r>
      <w:r w:rsidRPr="00441F8C">
        <w:rPr>
          <w:rFonts w:hint="cs"/>
          <w:sz w:val="18"/>
          <w:szCs w:val="26"/>
          <w:rtl/>
        </w:rPr>
        <w:t>ر الصادر في 28 آذار/مارس 2007، الفقرة 6-6.</w:t>
      </w:r>
    </w:p>
  </w:footnote>
  <w:footnote w:id="24">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الفقرة 2-11 أعلاه؛ والبلاغ رقم 512/1992، </w:t>
      </w:r>
      <w:r w:rsidRPr="005512AF">
        <w:rPr>
          <w:rFonts w:hint="cs"/>
          <w:i/>
          <w:iCs/>
          <w:sz w:val="18"/>
          <w:szCs w:val="26"/>
          <w:rtl/>
        </w:rPr>
        <w:t>بِنتو ضد ترينيداد وتوباغو</w:t>
      </w:r>
      <w:r w:rsidRPr="00441F8C">
        <w:rPr>
          <w:rFonts w:hint="cs"/>
          <w:sz w:val="18"/>
          <w:szCs w:val="26"/>
          <w:rtl/>
        </w:rPr>
        <w:t>، الآراء المعتمدة في 16 تموز/يوليه 1996، الفقرة 8-5.</w:t>
      </w:r>
    </w:p>
  </w:footnote>
  <w:footnote w:id="25">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الفقرتين 6-1 و6-2 أعلاه.</w:t>
      </w:r>
    </w:p>
  </w:footnote>
  <w:footnote w:id="26">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الفقرتين 7-1 و7-3 أعلاه.</w:t>
      </w:r>
    </w:p>
  </w:footnote>
  <w:footnote w:id="27">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الفقرتين 4-2 و4-3 أعلاه.</w:t>
      </w:r>
    </w:p>
  </w:footnote>
  <w:footnote w:id="28">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البلاغ رقم 1861/2009، </w:t>
      </w:r>
      <w:r w:rsidRPr="005512AF">
        <w:rPr>
          <w:rFonts w:hint="cs"/>
          <w:i/>
          <w:iCs/>
          <w:sz w:val="18"/>
          <w:szCs w:val="26"/>
          <w:rtl/>
        </w:rPr>
        <w:t>باكوروف ضد الاتحاد الروسي</w:t>
      </w:r>
      <w:r w:rsidRPr="00441F8C">
        <w:rPr>
          <w:rFonts w:hint="cs"/>
          <w:sz w:val="18"/>
          <w:szCs w:val="26"/>
          <w:rtl/>
        </w:rPr>
        <w:t>، الآراء المعتمدة في 25 آذار/مارس 2013، الفقرة 10-3.</w:t>
      </w:r>
    </w:p>
  </w:footnote>
  <w:footnote w:id="29">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مثلا البلاغ رقم 967/2001، </w:t>
      </w:r>
      <w:r w:rsidRPr="005512AF">
        <w:rPr>
          <w:rFonts w:hint="cs"/>
          <w:i/>
          <w:iCs/>
          <w:sz w:val="18"/>
          <w:szCs w:val="26"/>
          <w:rtl/>
        </w:rPr>
        <w:t>فالونتين أوستروخوف ضد الاتحاد الروسي</w:t>
      </w:r>
      <w:r w:rsidRPr="00441F8C">
        <w:rPr>
          <w:rFonts w:hint="cs"/>
          <w:sz w:val="18"/>
          <w:szCs w:val="26"/>
          <w:rtl/>
        </w:rPr>
        <w:t>، القرار المعتمد في 31 آذار/مارس 2005، الفقرة 6-4.</w:t>
      </w:r>
    </w:p>
  </w:footnote>
  <w:footnote w:id="30">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الفقرتين 2-7 و2-9 أعلاه.</w:t>
      </w:r>
    </w:p>
  </w:footnote>
  <w:footnote w:id="31">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4-4 أعلاه.</w:t>
      </w:r>
    </w:p>
  </w:footnote>
  <w:footnote w:id="32">
    <w:p w:rsidR="00E32FA5" w:rsidRPr="005512AF" w:rsidRDefault="00E32FA5" w:rsidP="008D5A20">
      <w:pPr>
        <w:pStyle w:val="FootnoteText"/>
        <w:numPr>
          <w:ilvl w:val="0"/>
          <w:numId w:val="40"/>
        </w:numPr>
        <w:tabs>
          <w:tab w:val="clear" w:pos="1295"/>
        </w:tabs>
        <w:spacing w:after="60" w:line="300" w:lineRule="exact"/>
        <w:ind w:left="1247" w:right="1247"/>
        <w:rPr>
          <w:spacing w:val="-4"/>
          <w:sz w:val="18"/>
          <w:szCs w:val="26"/>
        </w:rPr>
      </w:pPr>
      <w:r w:rsidRPr="005512AF">
        <w:rPr>
          <w:rFonts w:hint="cs"/>
          <w:sz w:val="18"/>
          <w:szCs w:val="26"/>
          <w:rtl/>
        </w:rPr>
        <w:t xml:space="preserve">انظر التعليق العام رقم 32(2007) بشأن الحق في المساواة أمام المحاكم والهيئات القضائية </w:t>
      </w:r>
      <w:r w:rsidR="00764EBB" w:rsidRPr="005512AF">
        <w:rPr>
          <w:rFonts w:hint="cs"/>
          <w:sz w:val="18"/>
          <w:szCs w:val="26"/>
          <w:rtl/>
        </w:rPr>
        <w:t xml:space="preserve">والحق </w:t>
      </w:r>
      <w:r w:rsidRPr="005512AF">
        <w:rPr>
          <w:rFonts w:hint="cs"/>
          <w:sz w:val="18"/>
          <w:szCs w:val="26"/>
          <w:rtl/>
        </w:rPr>
        <w:t>في محاكمة</w:t>
      </w:r>
      <w:r w:rsidR="005512AF">
        <w:rPr>
          <w:rFonts w:hint="eastAsia"/>
          <w:sz w:val="18"/>
          <w:szCs w:val="26"/>
          <w:rtl/>
        </w:rPr>
        <w:t> </w:t>
      </w:r>
      <w:r w:rsidRPr="005512AF">
        <w:rPr>
          <w:rFonts w:hint="cs"/>
          <w:sz w:val="18"/>
          <w:szCs w:val="26"/>
          <w:rtl/>
        </w:rPr>
        <w:t xml:space="preserve">عادلة، </w:t>
      </w:r>
      <w:r w:rsidRPr="008D5A20">
        <w:rPr>
          <w:i/>
          <w:iCs/>
          <w:sz w:val="18"/>
          <w:szCs w:val="26"/>
          <w:rtl/>
        </w:rPr>
        <w:t>الوثائق الرسمية للجمعية العامة، الدورة الثانية والستون، الملحق رقم</w:t>
      </w:r>
      <w:r w:rsidR="005512AF" w:rsidRPr="008D5A20">
        <w:rPr>
          <w:rFonts w:hint="cs"/>
          <w:i/>
          <w:iCs/>
          <w:sz w:val="18"/>
          <w:szCs w:val="26"/>
          <w:rtl/>
        </w:rPr>
        <w:t xml:space="preserve"> </w:t>
      </w:r>
      <w:r w:rsidRPr="008D5A20">
        <w:rPr>
          <w:i/>
          <w:iCs/>
          <w:sz w:val="18"/>
          <w:szCs w:val="26"/>
          <w:rtl/>
        </w:rPr>
        <w:t>40، المجلد الأول</w:t>
      </w:r>
      <w:r w:rsidRPr="005512AF">
        <w:rPr>
          <w:sz w:val="18"/>
          <w:szCs w:val="26"/>
          <w:rtl/>
        </w:rPr>
        <w:t xml:space="preserve"> </w:t>
      </w:r>
      <w:r w:rsidRPr="005512AF">
        <w:rPr>
          <w:rFonts w:hint="cs"/>
          <w:spacing w:val="-4"/>
          <w:sz w:val="18"/>
          <w:szCs w:val="26"/>
          <w:rtl/>
        </w:rPr>
        <w:t>(</w:t>
      </w:r>
      <w:r w:rsidRPr="005512AF">
        <w:rPr>
          <w:spacing w:val="-4"/>
          <w:sz w:val="18"/>
          <w:szCs w:val="26"/>
        </w:rPr>
        <w:t>A/62/40 Vol. I</w:t>
      </w:r>
      <w:r w:rsidRPr="005512AF">
        <w:rPr>
          <w:rFonts w:hint="cs"/>
          <w:spacing w:val="-4"/>
          <w:sz w:val="18"/>
          <w:szCs w:val="26"/>
          <w:rtl/>
        </w:rPr>
        <w:t>)، المرف</w:t>
      </w:r>
      <w:r w:rsidR="005512AF" w:rsidRPr="005512AF">
        <w:rPr>
          <w:rFonts w:hint="cs"/>
          <w:spacing w:val="-4"/>
          <w:sz w:val="18"/>
          <w:szCs w:val="26"/>
          <w:rtl/>
        </w:rPr>
        <w:t>ـ</w:t>
      </w:r>
      <w:r w:rsidRPr="005512AF">
        <w:rPr>
          <w:rFonts w:hint="cs"/>
          <w:spacing w:val="-4"/>
          <w:sz w:val="18"/>
          <w:szCs w:val="26"/>
          <w:rtl/>
        </w:rPr>
        <w:t xml:space="preserve">ق السادس، الفقرة 17؛ والبلاغ رقم 845/1998، </w:t>
      </w:r>
      <w:r w:rsidRPr="005512AF">
        <w:rPr>
          <w:rFonts w:hint="cs"/>
          <w:i/>
          <w:iCs/>
          <w:spacing w:val="-4"/>
          <w:sz w:val="18"/>
          <w:szCs w:val="26"/>
          <w:rtl/>
        </w:rPr>
        <w:t>كنيدي ضد ترينيداد وتوباغو</w:t>
      </w:r>
      <w:r w:rsidRPr="005512AF">
        <w:rPr>
          <w:rFonts w:hint="cs"/>
          <w:spacing w:val="-4"/>
          <w:sz w:val="18"/>
          <w:szCs w:val="26"/>
          <w:rtl/>
        </w:rPr>
        <w:t>، الآراء المعتمدة في 26 آذار/مارس 2002، الفقرة 7-4.</w:t>
      </w:r>
    </w:p>
  </w:footnote>
  <w:footnote w:id="33">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مثلا</w:t>
      </w:r>
      <w:r w:rsidR="008D5A20">
        <w:rPr>
          <w:rFonts w:hint="cs"/>
          <w:sz w:val="18"/>
          <w:szCs w:val="26"/>
          <w:rtl/>
        </w:rPr>
        <w:t>ً</w:t>
      </w:r>
      <w:r w:rsidRPr="00441F8C">
        <w:rPr>
          <w:rFonts w:hint="cs"/>
          <w:sz w:val="18"/>
          <w:szCs w:val="26"/>
          <w:rtl/>
        </w:rPr>
        <w:t xml:space="preserve"> البلاغ رقم 1861/2009، </w:t>
      </w:r>
      <w:r w:rsidRPr="005512AF">
        <w:rPr>
          <w:rFonts w:hint="cs"/>
          <w:i/>
          <w:iCs/>
          <w:sz w:val="18"/>
          <w:szCs w:val="26"/>
          <w:rtl/>
        </w:rPr>
        <w:t>بوكاروف ضد الاتحاد الروسي</w:t>
      </w:r>
      <w:r w:rsidRPr="00441F8C">
        <w:rPr>
          <w:rFonts w:hint="cs"/>
          <w:sz w:val="18"/>
          <w:szCs w:val="26"/>
          <w:rtl/>
        </w:rPr>
        <w:t>، الآراء المعتمدة في 25 آذار/</w:t>
      </w:r>
      <w:r w:rsidR="005512AF">
        <w:rPr>
          <w:rFonts w:hint="cs"/>
          <w:sz w:val="18"/>
          <w:szCs w:val="26"/>
          <w:rtl/>
        </w:rPr>
        <w:t xml:space="preserve">     </w:t>
      </w:r>
      <w:r w:rsidRPr="00441F8C">
        <w:rPr>
          <w:rFonts w:hint="cs"/>
          <w:sz w:val="18"/>
          <w:szCs w:val="26"/>
          <w:rtl/>
        </w:rPr>
        <w:t>مارس 2013، الفقرة 10-5.</w:t>
      </w:r>
    </w:p>
  </w:footnote>
  <w:footnote w:id="34">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يشير صاحب البلاغ إلى السجن 15 عاما</w:t>
      </w:r>
      <w:r w:rsidR="008D5A20">
        <w:rPr>
          <w:rFonts w:hint="cs"/>
          <w:sz w:val="18"/>
          <w:szCs w:val="26"/>
          <w:rtl/>
        </w:rPr>
        <w:t>ً</w:t>
      </w:r>
      <w:r w:rsidRPr="00441F8C">
        <w:rPr>
          <w:rFonts w:hint="cs"/>
          <w:sz w:val="18"/>
          <w:szCs w:val="26"/>
          <w:rtl/>
        </w:rPr>
        <w:t xml:space="preserve"> في الفقرة 3-1 أعلاه، لكن حتى 20 عاما في الفقرة 5-3 أعلاه.</w:t>
      </w:r>
    </w:p>
  </w:footnote>
  <w:footnote w:id="35">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البلاغ رقم 1425/2005، </w:t>
      </w:r>
      <w:r w:rsidRPr="005512AF">
        <w:rPr>
          <w:rFonts w:hint="cs"/>
          <w:i/>
          <w:iCs/>
          <w:sz w:val="18"/>
          <w:szCs w:val="26"/>
          <w:rtl/>
        </w:rPr>
        <w:t>مارز ضد الاتحاد الروسي</w:t>
      </w:r>
      <w:r w:rsidRPr="00441F8C">
        <w:rPr>
          <w:rFonts w:hint="cs"/>
          <w:sz w:val="18"/>
          <w:szCs w:val="26"/>
          <w:rtl/>
        </w:rPr>
        <w:t>، الآراء المعتمدة في 21 تشرين الأول/أكتوبر 2009، الفقرة 6-6.</w:t>
      </w:r>
    </w:p>
  </w:footnote>
  <w:footnote w:id="36">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4-4 أعلاه.</w:t>
      </w:r>
    </w:p>
  </w:footnote>
  <w:footnote w:id="37">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البلاغ رقم 1861/2009، </w:t>
      </w:r>
      <w:r w:rsidRPr="005512AF">
        <w:rPr>
          <w:rFonts w:hint="cs"/>
          <w:i/>
          <w:iCs/>
          <w:sz w:val="18"/>
          <w:szCs w:val="26"/>
          <w:rtl/>
        </w:rPr>
        <w:t>باكوروف ضد الاتحاد الروسي</w:t>
      </w:r>
      <w:r w:rsidRPr="00441F8C">
        <w:rPr>
          <w:rFonts w:hint="cs"/>
          <w:sz w:val="18"/>
          <w:szCs w:val="26"/>
          <w:rtl/>
        </w:rPr>
        <w:t>، الفقرة 10-9.</w:t>
      </w:r>
    </w:p>
  </w:footnote>
  <w:footnote w:id="38">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4-2 أعلاه.</w:t>
      </w:r>
    </w:p>
  </w:footnote>
  <w:footnote w:id="39">
    <w:p w:rsidR="00E32FA5" w:rsidRPr="00441F8C" w:rsidRDefault="00E32FA5" w:rsidP="00441F8C">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انظر الفقرة 2-2 أعلاه.</w:t>
      </w:r>
    </w:p>
  </w:footnote>
  <w:footnote w:id="40">
    <w:p w:rsidR="00E32FA5" w:rsidRPr="00441F8C" w:rsidRDefault="00764EBB" w:rsidP="00441F8C">
      <w:pPr>
        <w:pStyle w:val="FootnoteText"/>
        <w:numPr>
          <w:ilvl w:val="0"/>
          <w:numId w:val="40"/>
        </w:numPr>
        <w:tabs>
          <w:tab w:val="clear" w:pos="1295"/>
        </w:tabs>
        <w:spacing w:after="60" w:line="300" w:lineRule="exact"/>
        <w:ind w:left="1247" w:right="1247"/>
        <w:rPr>
          <w:sz w:val="18"/>
          <w:szCs w:val="26"/>
        </w:rPr>
      </w:pPr>
      <w:r>
        <w:rPr>
          <w:rFonts w:hint="cs"/>
          <w:sz w:val="18"/>
          <w:szCs w:val="26"/>
          <w:rtl/>
        </w:rPr>
        <w:t xml:space="preserve">انظر </w:t>
      </w:r>
      <w:r w:rsidR="00E32FA5" w:rsidRPr="00441F8C">
        <w:rPr>
          <w:rFonts w:hint="cs"/>
          <w:sz w:val="18"/>
          <w:szCs w:val="26"/>
          <w:rtl/>
        </w:rPr>
        <w:t>الفقرة 4-3 أعلاه.</w:t>
      </w:r>
    </w:p>
  </w:footnote>
  <w:footnote w:id="41">
    <w:p w:rsidR="00E32FA5" w:rsidRPr="00441F8C" w:rsidRDefault="00E32FA5" w:rsidP="005512AF">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البلاغ رقم 1861/2009، </w:t>
      </w:r>
      <w:r w:rsidRPr="005512AF">
        <w:rPr>
          <w:rFonts w:hint="cs"/>
          <w:i/>
          <w:iCs/>
          <w:sz w:val="18"/>
          <w:szCs w:val="26"/>
          <w:rtl/>
        </w:rPr>
        <w:t>باكوروف ضد الاتحاد الروسي</w:t>
      </w:r>
      <w:r w:rsidRPr="00441F8C">
        <w:rPr>
          <w:rFonts w:hint="cs"/>
          <w:sz w:val="18"/>
          <w:szCs w:val="26"/>
          <w:rtl/>
        </w:rPr>
        <w:t>، الفقرة 10-6، والبلاغ رقم</w:t>
      </w:r>
      <w:r w:rsidR="005512AF">
        <w:rPr>
          <w:rFonts w:hint="eastAsia"/>
          <w:sz w:val="18"/>
          <w:szCs w:val="26"/>
          <w:rtl/>
        </w:rPr>
        <w:t> </w:t>
      </w:r>
      <w:r w:rsidRPr="00441F8C">
        <w:rPr>
          <w:rFonts w:hint="cs"/>
          <w:sz w:val="18"/>
          <w:szCs w:val="26"/>
          <w:rtl/>
        </w:rPr>
        <w:t xml:space="preserve">790/1997، </w:t>
      </w:r>
      <w:r w:rsidRPr="005512AF">
        <w:rPr>
          <w:rFonts w:hint="cs"/>
          <w:i/>
          <w:iCs/>
          <w:sz w:val="18"/>
          <w:szCs w:val="26"/>
          <w:rtl/>
        </w:rPr>
        <w:t>شيبان ضد الاتحاد الروسي</w:t>
      </w:r>
      <w:r w:rsidRPr="00441F8C">
        <w:rPr>
          <w:rFonts w:hint="cs"/>
          <w:sz w:val="18"/>
          <w:szCs w:val="26"/>
          <w:rtl/>
        </w:rPr>
        <w:t>، الآراء المعتمدة في 24 تموز/يوليه 2001، الفقرة 7-2.</w:t>
      </w:r>
    </w:p>
  </w:footnote>
  <w:footnote w:id="42">
    <w:p w:rsidR="00E32FA5" w:rsidRPr="00441F8C" w:rsidRDefault="00E32FA5" w:rsidP="005512AF">
      <w:pPr>
        <w:pStyle w:val="FootnoteText"/>
        <w:numPr>
          <w:ilvl w:val="0"/>
          <w:numId w:val="40"/>
        </w:numPr>
        <w:tabs>
          <w:tab w:val="clear" w:pos="1295"/>
        </w:tabs>
        <w:spacing w:after="60" w:line="300" w:lineRule="exact"/>
        <w:ind w:left="1247" w:right="1247"/>
        <w:rPr>
          <w:sz w:val="18"/>
          <w:szCs w:val="26"/>
        </w:rPr>
      </w:pPr>
      <w:r w:rsidRPr="00441F8C">
        <w:rPr>
          <w:rFonts w:hint="cs"/>
          <w:sz w:val="18"/>
          <w:szCs w:val="26"/>
          <w:rtl/>
        </w:rPr>
        <w:t xml:space="preserve">انظر البلاغ رقم 1861/2009، </w:t>
      </w:r>
      <w:r w:rsidRPr="005512AF">
        <w:rPr>
          <w:rFonts w:hint="cs"/>
          <w:i/>
          <w:iCs/>
          <w:sz w:val="18"/>
          <w:szCs w:val="26"/>
          <w:rtl/>
        </w:rPr>
        <w:t>باروكوف ضد الاتحاد الروسي</w:t>
      </w:r>
      <w:r w:rsidRPr="00441F8C">
        <w:rPr>
          <w:rFonts w:hint="cs"/>
          <w:sz w:val="18"/>
          <w:szCs w:val="26"/>
          <w:rtl/>
        </w:rPr>
        <w:t>، الفقرة 10-6، والبلاغ رقم</w:t>
      </w:r>
      <w:r w:rsidR="005512AF">
        <w:rPr>
          <w:rFonts w:hint="eastAsia"/>
          <w:sz w:val="18"/>
          <w:szCs w:val="26"/>
          <w:rtl/>
        </w:rPr>
        <w:t> </w:t>
      </w:r>
      <w:r w:rsidRPr="00441F8C">
        <w:rPr>
          <w:rFonts w:hint="cs"/>
          <w:sz w:val="18"/>
          <w:szCs w:val="26"/>
          <w:rtl/>
        </w:rPr>
        <w:t xml:space="preserve">1425/2005، </w:t>
      </w:r>
      <w:r w:rsidRPr="005512AF">
        <w:rPr>
          <w:rFonts w:hint="cs"/>
          <w:i/>
          <w:iCs/>
          <w:sz w:val="18"/>
          <w:szCs w:val="26"/>
          <w:rtl/>
        </w:rPr>
        <w:t>مارز ضد الاتحاد الروسي</w:t>
      </w:r>
      <w:r w:rsidRPr="00441F8C">
        <w:rPr>
          <w:rFonts w:hint="cs"/>
          <w:sz w:val="18"/>
          <w:szCs w:val="26"/>
          <w:rtl/>
        </w:rPr>
        <w:t>، الفقرة 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Pr="00E32FA5" w:rsidRDefault="00E32FA5" w:rsidP="00E32FA5">
    <w:pPr>
      <w:pStyle w:val="Header"/>
      <w:jc w:val="right"/>
    </w:pPr>
    <w:r w:rsidRPr="00E32FA5">
      <w:t>CCPR/C/109/D/1764/2008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Pr="00E32FA5" w:rsidRDefault="00E32FA5" w:rsidP="00E32FA5">
    <w:pPr>
      <w:pStyle w:val="Header"/>
      <w:jc w:val="left"/>
    </w:pPr>
    <w:r w:rsidRPr="00E32FA5">
      <w:t>CCPR/C/109/D/1764/2008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A5" w:rsidRDefault="00E32FA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E32FA5" w:rsidRPr="008F6743" w:rsidRDefault="00E32FA5"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CD2CCD10">
      <w:start w:val="1"/>
      <w:numFmt w:val="decimal"/>
      <w:pStyle w:val="ParaNoGA"/>
      <w:lvlText w:val="%1-"/>
      <w:lvlJc w:val="left"/>
      <w:pPr>
        <w:tabs>
          <w:tab w:val="num" w:pos="1361"/>
        </w:tabs>
        <w:ind w:left="1247" w:firstLine="0"/>
      </w:pPr>
      <w:rPr>
        <w:rFonts w:hint="default"/>
      </w:rPr>
    </w:lvl>
    <w:lvl w:ilvl="1" w:tplc="9E92B13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32138F5"/>
    <w:multiLevelType w:val="hybridMultilevel"/>
    <w:tmpl w:val="E8ACD658"/>
    <w:lvl w:ilvl="0" w:tplc="72AA477E">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FE22EF7E">
      <w:start w:val="1"/>
      <w:numFmt w:val="decimal"/>
      <w:lvlRestart w:val="0"/>
      <w:lvlText w:val="(%2)"/>
      <w:lvlJc w:val="right"/>
      <w:pPr>
        <w:tabs>
          <w:tab w:val="num" w:pos="1355"/>
        </w:tabs>
        <w:ind w:left="1355"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331A"/>
    <w:rsid w:val="00040E25"/>
    <w:rsid w:val="00042149"/>
    <w:rsid w:val="000648EA"/>
    <w:rsid w:val="0009170B"/>
    <w:rsid w:val="000957C8"/>
    <w:rsid w:val="00097049"/>
    <w:rsid w:val="000A04D5"/>
    <w:rsid w:val="000B52F2"/>
    <w:rsid w:val="000D0EAE"/>
    <w:rsid w:val="000D5380"/>
    <w:rsid w:val="000D6654"/>
    <w:rsid w:val="000D7C77"/>
    <w:rsid w:val="000E103D"/>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B4356"/>
    <w:rsid w:val="003F08A8"/>
    <w:rsid w:val="004250E3"/>
    <w:rsid w:val="00441F8C"/>
    <w:rsid w:val="0044376D"/>
    <w:rsid w:val="004705C1"/>
    <w:rsid w:val="00472A81"/>
    <w:rsid w:val="004A20A6"/>
    <w:rsid w:val="004B2C92"/>
    <w:rsid w:val="004D6A3A"/>
    <w:rsid w:val="004F4AD7"/>
    <w:rsid w:val="005512AF"/>
    <w:rsid w:val="00557CD3"/>
    <w:rsid w:val="00571432"/>
    <w:rsid w:val="005732A2"/>
    <w:rsid w:val="005762A5"/>
    <w:rsid w:val="00590BA3"/>
    <w:rsid w:val="005B46D9"/>
    <w:rsid w:val="005B7AE0"/>
    <w:rsid w:val="005E23F5"/>
    <w:rsid w:val="005F146F"/>
    <w:rsid w:val="005F71B6"/>
    <w:rsid w:val="00612391"/>
    <w:rsid w:val="00654786"/>
    <w:rsid w:val="00660FD4"/>
    <w:rsid w:val="00665BE4"/>
    <w:rsid w:val="006A331A"/>
    <w:rsid w:val="006A4425"/>
    <w:rsid w:val="006B00A4"/>
    <w:rsid w:val="006B4669"/>
    <w:rsid w:val="006D3CFA"/>
    <w:rsid w:val="006F6BF8"/>
    <w:rsid w:val="00707BDF"/>
    <w:rsid w:val="00710727"/>
    <w:rsid w:val="00715F45"/>
    <w:rsid w:val="0072608F"/>
    <w:rsid w:val="00731815"/>
    <w:rsid w:val="00731B84"/>
    <w:rsid w:val="00734AE7"/>
    <w:rsid w:val="00764EBB"/>
    <w:rsid w:val="0079344E"/>
    <w:rsid w:val="007E197F"/>
    <w:rsid w:val="007E2786"/>
    <w:rsid w:val="007E4686"/>
    <w:rsid w:val="007F68C4"/>
    <w:rsid w:val="008153DE"/>
    <w:rsid w:val="00852A10"/>
    <w:rsid w:val="00862634"/>
    <w:rsid w:val="00866C59"/>
    <w:rsid w:val="00877306"/>
    <w:rsid w:val="00885524"/>
    <w:rsid w:val="008A6242"/>
    <w:rsid w:val="008B4BC6"/>
    <w:rsid w:val="008D5A20"/>
    <w:rsid w:val="008E1B49"/>
    <w:rsid w:val="008F6743"/>
    <w:rsid w:val="00901E57"/>
    <w:rsid w:val="009070DF"/>
    <w:rsid w:val="00935F0E"/>
    <w:rsid w:val="0095208F"/>
    <w:rsid w:val="00977B3F"/>
    <w:rsid w:val="009814AE"/>
    <w:rsid w:val="009901D3"/>
    <w:rsid w:val="0099038B"/>
    <w:rsid w:val="00996BBE"/>
    <w:rsid w:val="009A03F8"/>
    <w:rsid w:val="009B2C03"/>
    <w:rsid w:val="009B6E48"/>
    <w:rsid w:val="009D17B9"/>
    <w:rsid w:val="009D1DD5"/>
    <w:rsid w:val="009F722C"/>
    <w:rsid w:val="00A26157"/>
    <w:rsid w:val="00A265C3"/>
    <w:rsid w:val="00A43F9A"/>
    <w:rsid w:val="00A53F38"/>
    <w:rsid w:val="00A543D4"/>
    <w:rsid w:val="00AA5323"/>
    <w:rsid w:val="00AD0014"/>
    <w:rsid w:val="00AD4CF2"/>
    <w:rsid w:val="00AF0BBA"/>
    <w:rsid w:val="00B25159"/>
    <w:rsid w:val="00B30468"/>
    <w:rsid w:val="00B44E31"/>
    <w:rsid w:val="00BA4F7E"/>
    <w:rsid w:val="00BB2C41"/>
    <w:rsid w:val="00BC55C8"/>
    <w:rsid w:val="00BC5C10"/>
    <w:rsid w:val="00BE2964"/>
    <w:rsid w:val="00C15488"/>
    <w:rsid w:val="00C21623"/>
    <w:rsid w:val="00C24FBD"/>
    <w:rsid w:val="00C473BA"/>
    <w:rsid w:val="00C611ED"/>
    <w:rsid w:val="00C6490A"/>
    <w:rsid w:val="00C64FE1"/>
    <w:rsid w:val="00C726D2"/>
    <w:rsid w:val="00C74296"/>
    <w:rsid w:val="00C8345E"/>
    <w:rsid w:val="00CA5F7C"/>
    <w:rsid w:val="00D152F4"/>
    <w:rsid w:val="00D20AE0"/>
    <w:rsid w:val="00D51067"/>
    <w:rsid w:val="00D75657"/>
    <w:rsid w:val="00D960AD"/>
    <w:rsid w:val="00DA0E0E"/>
    <w:rsid w:val="00DB0885"/>
    <w:rsid w:val="00DB0C39"/>
    <w:rsid w:val="00DB7679"/>
    <w:rsid w:val="00DD0157"/>
    <w:rsid w:val="00DF0379"/>
    <w:rsid w:val="00DF1702"/>
    <w:rsid w:val="00DF4DD8"/>
    <w:rsid w:val="00DF668E"/>
    <w:rsid w:val="00E04826"/>
    <w:rsid w:val="00E14D2B"/>
    <w:rsid w:val="00E20DBA"/>
    <w:rsid w:val="00E32FA5"/>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Footnote number,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E32FA5"/>
    <w:rPr>
      <w:rFonts w:cs="Traditional Arabic"/>
      <w:szCs w:val="30"/>
      <w:lang w:val="en-US" w:eastAsia="en-US" w:bidi="ar-SA"/>
    </w:rPr>
  </w:style>
  <w:style w:type="character" w:customStyle="1" w:styleId="H1GAChar">
    <w:name w:val="_ H_1_GA Char"/>
    <w:basedOn w:val="DefaultParagraphFont"/>
    <w:link w:val="H1GA"/>
    <w:rsid w:val="00E32FA5"/>
    <w:rPr>
      <w:rFonts w:cs="Traditional Arabic"/>
      <w:b/>
      <w:bCs/>
      <w:sz w:val="24"/>
      <w:szCs w:val="34"/>
      <w:lang w:val="en-US"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19</Pages>
  <Words>5007</Words>
  <Characters>28543</Characters>
  <Application>Microsoft Office Outlook</Application>
  <DocSecurity>4</DocSecurity>
  <Lines>237</Lines>
  <Paragraphs>66</Paragraphs>
  <ScaleCrop>false</ScaleCrop>
  <HeadingPairs>
    <vt:vector size="2" baseType="variant">
      <vt:variant>
        <vt:lpstr>العنوان</vt:lpstr>
      </vt:variant>
      <vt:variant>
        <vt:i4>1</vt:i4>
      </vt:variant>
    </vt:vector>
  </HeadingPairs>
  <TitlesOfParts>
    <vt:vector size="1" baseType="lpstr">
      <vt:lpstr>CCPR/C/109/D/1764/2008</vt:lpstr>
    </vt:vector>
  </TitlesOfParts>
  <Company>CSD</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CCPR/C/109/D/1764/2008</dc:title>
  <dc:subject>GHANNAMI- EL-HAJ</dc:subject>
  <dc:creator>BUHNAM</dc:creator>
  <cp:keywords/>
  <dc:description/>
  <cp:lastModifiedBy>TPS</cp:lastModifiedBy>
  <cp:revision>2</cp:revision>
  <cp:lastPrinted>2009-10-16T12:16:00Z</cp:lastPrinted>
  <dcterms:created xsi:type="dcterms:W3CDTF">2014-01-17T09:14:00Z</dcterms:created>
  <dcterms:modified xsi:type="dcterms:W3CDTF">2014-01-17T09:14:00Z</dcterms:modified>
</cp:coreProperties>
</file>