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17B31" w:rsidRPr="00DB58B5" w:rsidTr="00B17B31">
        <w:trPr>
          <w:trHeight w:hRule="exact" w:val="851"/>
        </w:trPr>
        <w:tc>
          <w:tcPr>
            <w:tcW w:w="1276" w:type="dxa"/>
            <w:tcBorders>
              <w:bottom w:val="single" w:sz="4" w:space="0" w:color="auto"/>
            </w:tcBorders>
          </w:tcPr>
          <w:p w:rsidR="00B17B31" w:rsidRPr="00DB58B5" w:rsidRDefault="00B17B31" w:rsidP="00747513"/>
        </w:tc>
        <w:tc>
          <w:tcPr>
            <w:tcW w:w="2268" w:type="dxa"/>
            <w:tcBorders>
              <w:bottom w:val="single" w:sz="4" w:space="0" w:color="auto"/>
            </w:tcBorders>
            <w:vAlign w:val="bottom"/>
          </w:tcPr>
          <w:p w:rsidR="00B17B31" w:rsidRPr="00DB58B5" w:rsidRDefault="00B17B31" w:rsidP="00B17B3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17B31" w:rsidRPr="00DB58B5" w:rsidRDefault="00F35D42" w:rsidP="00F35D42">
            <w:pPr>
              <w:jc w:val="right"/>
            </w:pPr>
            <w:r w:rsidRPr="00F35D42">
              <w:rPr>
                <w:sz w:val="40"/>
              </w:rPr>
              <w:t>CCPR</w:t>
            </w:r>
            <w:r>
              <w:t>/C/109/D/1764/2008</w:t>
            </w:r>
          </w:p>
        </w:tc>
      </w:tr>
      <w:tr w:rsidR="00B17B31" w:rsidRPr="00DB58B5" w:rsidTr="00B17B31">
        <w:trPr>
          <w:trHeight w:hRule="exact" w:val="2835"/>
        </w:trPr>
        <w:tc>
          <w:tcPr>
            <w:tcW w:w="1276" w:type="dxa"/>
            <w:tcBorders>
              <w:top w:val="single" w:sz="4" w:space="0" w:color="auto"/>
              <w:bottom w:val="single" w:sz="12" w:space="0" w:color="auto"/>
            </w:tcBorders>
          </w:tcPr>
          <w:p w:rsidR="00B17B31" w:rsidRPr="00DB58B5" w:rsidRDefault="00B17B31" w:rsidP="00B17B31">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17B31" w:rsidRPr="009717AD" w:rsidRDefault="00B17B31" w:rsidP="00B17B31">
            <w:pPr>
              <w:spacing w:before="120" w:line="380" w:lineRule="exact"/>
              <w:rPr>
                <w:b/>
                <w:sz w:val="34"/>
                <w:szCs w:val="34"/>
              </w:rPr>
            </w:pPr>
            <w:r w:rsidRPr="009717AD">
              <w:rPr>
                <w:b/>
                <w:sz w:val="34"/>
                <w:szCs w:val="34"/>
              </w:rPr>
              <w:t>Pacte international relatif</w:t>
            </w:r>
            <w:r w:rsidRPr="009717AD">
              <w:rPr>
                <w:b/>
                <w:sz w:val="34"/>
                <w:szCs w:val="34"/>
              </w:rPr>
              <w:br/>
              <w:t>aux droits civils et politiques</w:t>
            </w:r>
          </w:p>
        </w:tc>
        <w:tc>
          <w:tcPr>
            <w:tcW w:w="2835" w:type="dxa"/>
            <w:tcBorders>
              <w:top w:val="single" w:sz="4" w:space="0" w:color="auto"/>
              <w:bottom w:val="single" w:sz="12" w:space="0" w:color="auto"/>
            </w:tcBorders>
          </w:tcPr>
          <w:p w:rsidR="00F35D42" w:rsidRDefault="00B17B31" w:rsidP="00B17B31">
            <w:pPr>
              <w:spacing w:before="240"/>
            </w:pPr>
            <w:r w:rsidRPr="00DB58B5">
              <w:t xml:space="preserve">Distr. </w:t>
            </w:r>
            <w:r w:rsidR="0025063E">
              <w:t>générale</w:t>
            </w:r>
          </w:p>
          <w:p w:rsidR="00F35D42" w:rsidRDefault="00F35D42" w:rsidP="00F35D42">
            <w:pPr>
              <w:spacing w:line="240" w:lineRule="exact"/>
            </w:pPr>
            <w:r>
              <w:t>2 décembre 2013</w:t>
            </w:r>
          </w:p>
          <w:p w:rsidR="00F35D42" w:rsidRDefault="00F35D42" w:rsidP="00F35D42">
            <w:pPr>
              <w:spacing w:line="240" w:lineRule="exact"/>
            </w:pPr>
            <w:r>
              <w:t>Français</w:t>
            </w:r>
          </w:p>
          <w:p w:rsidR="00B17B31" w:rsidRPr="00DB58B5" w:rsidRDefault="00F35D42" w:rsidP="00F35D42">
            <w:pPr>
              <w:spacing w:line="240" w:lineRule="exact"/>
            </w:pPr>
            <w:r>
              <w:t>Original: anglais</w:t>
            </w:r>
          </w:p>
        </w:tc>
      </w:tr>
    </w:tbl>
    <w:p w:rsidR="00642728" w:rsidRDefault="00642728" w:rsidP="00FD511F">
      <w:pPr>
        <w:spacing w:before="120" w:line="240" w:lineRule="exact"/>
        <w:rPr>
          <w:b/>
          <w:sz w:val="24"/>
          <w:szCs w:val="24"/>
        </w:rPr>
      </w:pPr>
      <w:r w:rsidRPr="00FD511F">
        <w:rPr>
          <w:b/>
          <w:sz w:val="24"/>
          <w:szCs w:val="24"/>
        </w:rPr>
        <w:t>C</w:t>
      </w:r>
      <w:r w:rsidR="00FD511F" w:rsidRPr="00FD511F">
        <w:rPr>
          <w:b/>
          <w:sz w:val="24"/>
          <w:szCs w:val="24"/>
        </w:rPr>
        <w:t>omité des droits de l</w:t>
      </w:r>
      <w:r w:rsidR="00747513">
        <w:rPr>
          <w:b/>
          <w:sz w:val="24"/>
          <w:szCs w:val="24"/>
        </w:rPr>
        <w:t>’</w:t>
      </w:r>
      <w:r w:rsidR="00FD511F" w:rsidRPr="00FD511F">
        <w:rPr>
          <w:b/>
          <w:sz w:val="24"/>
          <w:szCs w:val="24"/>
        </w:rPr>
        <w:t>homme</w:t>
      </w:r>
    </w:p>
    <w:p w:rsidR="00F35D42" w:rsidRPr="009F7F79" w:rsidRDefault="00F35D42" w:rsidP="007D53C6">
      <w:pPr>
        <w:pStyle w:val="HChG"/>
        <w:spacing w:before="320" w:after="220"/>
      </w:pPr>
      <w:r>
        <w:tab/>
      </w:r>
      <w:r>
        <w:tab/>
        <w:t>Communication n</w:t>
      </w:r>
      <w:r>
        <w:rPr>
          <w:vertAlign w:val="superscript"/>
        </w:rPr>
        <w:t>o</w:t>
      </w:r>
      <w:r>
        <w:t> 1764/2008</w:t>
      </w:r>
    </w:p>
    <w:p w:rsidR="00F35D42" w:rsidRPr="009F7F79" w:rsidRDefault="00F35D42" w:rsidP="00F35D42">
      <w:pPr>
        <w:pStyle w:val="H1G"/>
      </w:pPr>
      <w:r>
        <w:tab/>
      </w:r>
      <w:r>
        <w:tab/>
        <w:t>Constatations adoptées par le Comité à sa 109</w:t>
      </w:r>
      <w:r w:rsidRPr="00F35D42">
        <w:rPr>
          <w:vertAlign w:val="superscript"/>
        </w:rPr>
        <w:t>e</w:t>
      </w:r>
      <w:r>
        <w:t xml:space="preserve"> session</w:t>
      </w:r>
      <w:r>
        <w:br/>
        <w:t>(14 octobre-1</w:t>
      </w:r>
      <w:r w:rsidRPr="00F35D42">
        <w:rPr>
          <w:vertAlign w:val="superscript"/>
        </w:rPr>
        <w:t>er</w:t>
      </w:r>
      <w:r>
        <w:t xml:space="preserve"> novembre 2013)</w:t>
      </w:r>
    </w:p>
    <w:tbl>
      <w:tblPr>
        <w:tblW w:w="0" w:type="auto"/>
        <w:tblInd w:w="1701" w:type="dxa"/>
        <w:tblLayout w:type="fixed"/>
        <w:tblCellMar>
          <w:left w:w="0" w:type="dxa"/>
          <w:right w:w="0" w:type="dxa"/>
        </w:tblCellMar>
        <w:tblLook w:val="01E0"/>
      </w:tblPr>
      <w:tblGrid>
        <w:gridCol w:w="3119"/>
        <w:gridCol w:w="3686"/>
      </w:tblGrid>
      <w:tr w:rsidR="00F35D42" w:rsidTr="00F35D42">
        <w:tc>
          <w:tcPr>
            <w:tcW w:w="3119" w:type="dxa"/>
          </w:tcPr>
          <w:p w:rsidR="00F35D42" w:rsidRPr="00B32AA4" w:rsidRDefault="00F35D42" w:rsidP="00747513">
            <w:r>
              <w:rPr>
                <w:i/>
              </w:rPr>
              <w:t xml:space="preserve">Communication présentée </w:t>
            </w:r>
            <w:r w:rsidRPr="00B32AA4">
              <w:rPr>
                <w:i/>
              </w:rPr>
              <w:t>par</w:t>
            </w:r>
            <w:r w:rsidRPr="00ED45EB">
              <w:t>:</w:t>
            </w:r>
          </w:p>
        </w:tc>
        <w:tc>
          <w:tcPr>
            <w:tcW w:w="3686" w:type="dxa"/>
          </w:tcPr>
          <w:p w:rsidR="00F35D42" w:rsidRPr="009F7744" w:rsidRDefault="00F35D42" w:rsidP="00747513">
            <w:pPr>
              <w:spacing w:after="120"/>
            </w:pPr>
            <w:r w:rsidRPr="00402FDE">
              <w:rPr>
                <w:lang w:val="fr-FR"/>
              </w:rPr>
              <w:t>Zeydulla Vagab Ogly Alekperov (représenté par sa sœur, Rafizat Magaramova)</w:t>
            </w:r>
          </w:p>
        </w:tc>
      </w:tr>
      <w:tr w:rsidR="00F35D42" w:rsidTr="00F35D42">
        <w:tc>
          <w:tcPr>
            <w:tcW w:w="3119" w:type="dxa"/>
          </w:tcPr>
          <w:p w:rsidR="00F35D42" w:rsidRPr="00B32AA4" w:rsidRDefault="00F35D42" w:rsidP="00747513">
            <w:r w:rsidRPr="00B32AA4">
              <w:rPr>
                <w:i/>
              </w:rPr>
              <w:t>Au nom de</w:t>
            </w:r>
            <w:r w:rsidRPr="00ED45EB">
              <w:t>:</w:t>
            </w:r>
          </w:p>
        </w:tc>
        <w:tc>
          <w:tcPr>
            <w:tcW w:w="3686" w:type="dxa"/>
          </w:tcPr>
          <w:p w:rsidR="00F35D42" w:rsidRPr="009F7744" w:rsidRDefault="00F35D42" w:rsidP="00747513">
            <w:pPr>
              <w:spacing w:after="120"/>
            </w:pPr>
            <w:r>
              <w:t>L</w:t>
            </w:r>
            <w:r w:rsidR="00747513">
              <w:t>’</w:t>
            </w:r>
            <w:r>
              <w:t>auteur</w:t>
            </w:r>
          </w:p>
        </w:tc>
      </w:tr>
      <w:tr w:rsidR="00F35D42" w:rsidTr="00F35D42">
        <w:tc>
          <w:tcPr>
            <w:tcW w:w="3119" w:type="dxa"/>
          </w:tcPr>
          <w:p w:rsidR="00F35D42" w:rsidRPr="00B32AA4" w:rsidRDefault="00F35D42" w:rsidP="00747513">
            <w:r w:rsidRPr="00B32AA4">
              <w:rPr>
                <w:i/>
              </w:rPr>
              <w:t>État partie</w:t>
            </w:r>
            <w:r w:rsidRPr="00ED45EB">
              <w:t>:</w:t>
            </w:r>
          </w:p>
        </w:tc>
        <w:tc>
          <w:tcPr>
            <w:tcW w:w="3686" w:type="dxa"/>
          </w:tcPr>
          <w:p w:rsidR="00F35D42" w:rsidRPr="009F7744" w:rsidRDefault="00F35D42" w:rsidP="00747513">
            <w:pPr>
              <w:spacing w:after="120"/>
            </w:pPr>
            <w:r>
              <w:t>Fédération de Russie</w:t>
            </w:r>
          </w:p>
        </w:tc>
      </w:tr>
      <w:tr w:rsidR="00F35D42" w:rsidTr="00F35D42">
        <w:tc>
          <w:tcPr>
            <w:tcW w:w="3119" w:type="dxa"/>
          </w:tcPr>
          <w:p w:rsidR="00F35D42" w:rsidRPr="00B32AA4" w:rsidRDefault="00F35D42" w:rsidP="00747513">
            <w:r w:rsidRPr="00B32AA4">
              <w:rPr>
                <w:i/>
              </w:rPr>
              <w:t>Date de la communication</w:t>
            </w:r>
            <w:r w:rsidRPr="00ED45EB">
              <w:t>:</w:t>
            </w:r>
          </w:p>
        </w:tc>
        <w:tc>
          <w:tcPr>
            <w:tcW w:w="3686" w:type="dxa"/>
          </w:tcPr>
          <w:p w:rsidR="00F35D42" w:rsidRPr="009F7744" w:rsidRDefault="00F35D42" w:rsidP="00747513">
            <w:pPr>
              <w:spacing w:after="120"/>
            </w:pPr>
            <w:r>
              <w:t>16 janvier 2008</w:t>
            </w:r>
          </w:p>
        </w:tc>
      </w:tr>
      <w:tr w:rsidR="00F35D42" w:rsidTr="00F35D42">
        <w:tc>
          <w:tcPr>
            <w:tcW w:w="3119" w:type="dxa"/>
          </w:tcPr>
          <w:p w:rsidR="00F35D42" w:rsidRPr="00B32AA4" w:rsidRDefault="00F35D42" w:rsidP="00747513">
            <w:r w:rsidRPr="00B32AA4">
              <w:rPr>
                <w:i/>
              </w:rPr>
              <w:t>Références</w:t>
            </w:r>
            <w:r w:rsidRPr="00ED45EB">
              <w:t>:</w:t>
            </w:r>
          </w:p>
        </w:tc>
        <w:tc>
          <w:tcPr>
            <w:tcW w:w="3686" w:type="dxa"/>
          </w:tcPr>
          <w:p w:rsidR="00F35D42" w:rsidRPr="009F7744" w:rsidRDefault="00F35D42" w:rsidP="00747513">
            <w:pPr>
              <w:spacing w:after="120"/>
            </w:pPr>
            <w:r w:rsidRPr="00402FDE">
              <w:rPr>
                <w:lang w:val="fr-FR"/>
              </w:rPr>
              <w:t>Décision prise par le Rapporteur spécial en application de l</w:t>
            </w:r>
            <w:r w:rsidR="00747513">
              <w:rPr>
                <w:lang w:val="fr-FR"/>
              </w:rPr>
              <w:t>’</w:t>
            </w:r>
            <w:r w:rsidRPr="00402FDE">
              <w:rPr>
                <w:lang w:val="fr-FR"/>
              </w:rPr>
              <w:t>article 97 du Règlement intérieur, communiquée à l</w:t>
            </w:r>
            <w:r w:rsidR="00747513">
              <w:rPr>
                <w:lang w:val="fr-FR"/>
              </w:rPr>
              <w:t>’</w:t>
            </w:r>
            <w:r>
              <w:rPr>
                <w:lang w:val="fr-FR"/>
              </w:rPr>
              <w:t>État partie le 5 </w:t>
            </w:r>
            <w:r w:rsidRPr="00402FDE">
              <w:rPr>
                <w:lang w:val="fr-FR"/>
              </w:rPr>
              <w:t>mars 2008 (non publiée sous forme de document)</w:t>
            </w:r>
          </w:p>
        </w:tc>
      </w:tr>
      <w:tr w:rsidR="00F35D42" w:rsidTr="00F35D42">
        <w:tc>
          <w:tcPr>
            <w:tcW w:w="3119" w:type="dxa"/>
          </w:tcPr>
          <w:p w:rsidR="00F35D42" w:rsidRPr="00B32AA4" w:rsidRDefault="00F35D42" w:rsidP="00747513">
            <w:r w:rsidRPr="00B32AA4">
              <w:rPr>
                <w:i/>
              </w:rPr>
              <w:t xml:space="preserve">Date de </w:t>
            </w:r>
            <w:r>
              <w:rPr>
                <w:i/>
              </w:rPr>
              <w:t>l</w:t>
            </w:r>
            <w:r w:rsidR="00747513">
              <w:rPr>
                <w:i/>
              </w:rPr>
              <w:t>’</w:t>
            </w:r>
            <w:r>
              <w:rPr>
                <w:i/>
              </w:rPr>
              <w:t>adoption des constatations</w:t>
            </w:r>
            <w:r w:rsidRPr="00D4683F">
              <w:t>:</w:t>
            </w:r>
          </w:p>
        </w:tc>
        <w:tc>
          <w:tcPr>
            <w:tcW w:w="3686" w:type="dxa"/>
            <w:vAlign w:val="bottom"/>
          </w:tcPr>
          <w:p w:rsidR="00F35D42" w:rsidRPr="009F7744" w:rsidRDefault="00F35D42" w:rsidP="00747513">
            <w:pPr>
              <w:spacing w:after="120"/>
            </w:pPr>
            <w:r>
              <w:t>21 octobre 2013</w:t>
            </w:r>
          </w:p>
        </w:tc>
      </w:tr>
      <w:tr w:rsidR="00F35D42" w:rsidTr="00F35D42">
        <w:tc>
          <w:tcPr>
            <w:tcW w:w="3119" w:type="dxa"/>
          </w:tcPr>
          <w:p w:rsidR="00F35D42" w:rsidRPr="00B32AA4" w:rsidRDefault="00F35D42" w:rsidP="00747513">
            <w:r w:rsidRPr="00B32AA4">
              <w:rPr>
                <w:i/>
                <w:iCs/>
              </w:rPr>
              <w:t>Objet</w:t>
            </w:r>
            <w:r w:rsidRPr="00ED45EB">
              <w:t>:</w:t>
            </w:r>
          </w:p>
        </w:tc>
        <w:tc>
          <w:tcPr>
            <w:tcW w:w="3686" w:type="dxa"/>
          </w:tcPr>
          <w:p w:rsidR="00F35D42" w:rsidRPr="009F7744" w:rsidRDefault="00F35D42" w:rsidP="00747513">
            <w:pPr>
              <w:spacing w:after="120"/>
            </w:pPr>
            <w:r w:rsidRPr="00402FDE">
              <w:rPr>
                <w:lang w:val="fr-FR"/>
              </w:rPr>
              <w:t>Impossibilité de bénéficier d</w:t>
            </w:r>
            <w:r w:rsidR="00747513">
              <w:rPr>
                <w:lang w:val="fr-FR"/>
              </w:rPr>
              <w:t>’</w:t>
            </w:r>
            <w:r w:rsidRPr="00402FDE">
              <w:rPr>
                <w:lang w:val="fr-FR"/>
              </w:rPr>
              <w:t>un procès avec jury et commutation de la peine capitale en peine de réclusion à perpétuité</w:t>
            </w:r>
          </w:p>
        </w:tc>
      </w:tr>
      <w:tr w:rsidR="00F35D42" w:rsidTr="00F35D42">
        <w:tc>
          <w:tcPr>
            <w:tcW w:w="3119" w:type="dxa"/>
          </w:tcPr>
          <w:p w:rsidR="00F35D42" w:rsidRPr="00B32AA4" w:rsidRDefault="00F35D42" w:rsidP="00747513">
            <w:r w:rsidRPr="00B32AA4">
              <w:rPr>
                <w:i/>
                <w:iCs/>
              </w:rPr>
              <w:t>Questions de procédure</w:t>
            </w:r>
            <w:r w:rsidRPr="00ED45EB">
              <w:t>:</w:t>
            </w:r>
          </w:p>
        </w:tc>
        <w:tc>
          <w:tcPr>
            <w:tcW w:w="3686" w:type="dxa"/>
          </w:tcPr>
          <w:p w:rsidR="00F35D42" w:rsidRPr="009F7744" w:rsidRDefault="00F35D42" w:rsidP="00747513">
            <w:pPr>
              <w:spacing w:after="120"/>
            </w:pPr>
            <w:r w:rsidRPr="00402FDE">
              <w:rPr>
                <w:lang w:val="fr-FR"/>
              </w:rPr>
              <w:t xml:space="preserve">Griefs insuffisamment étayés; épuisement des recours internes </w:t>
            </w:r>
          </w:p>
        </w:tc>
      </w:tr>
      <w:tr w:rsidR="00F35D42" w:rsidTr="00F35D42">
        <w:tc>
          <w:tcPr>
            <w:tcW w:w="3119" w:type="dxa"/>
          </w:tcPr>
          <w:p w:rsidR="00F35D42" w:rsidRPr="00B32AA4" w:rsidRDefault="00F35D42" w:rsidP="00747513">
            <w:r w:rsidRPr="00B32AA4">
              <w:rPr>
                <w:i/>
                <w:iCs/>
              </w:rPr>
              <w:t>Questions de fond</w:t>
            </w:r>
            <w:r w:rsidRPr="00ED45EB">
              <w:t>:</w:t>
            </w:r>
          </w:p>
        </w:tc>
        <w:tc>
          <w:tcPr>
            <w:tcW w:w="3686" w:type="dxa"/>
          </w:tcPr>
          <w:p w:rsidR="00F35D42" w:rsidRPr="009F7744" w:rsidRDefault="00F35D42" w:rsidP="00747513">
            <w:pPr>
              <w:spacing w:after="120"/>
            </w:pPr>
            <w:r w:rsidRPr="00402FDE">
              <w:rPr>
                <w:lang w:val="fr-FR"/>
              </w:rPr>
              <w:t>Droit à un recours utile; droit à la vie</w:t>
            </w:r>
            <w:r w:rsidRPr="00402FDE">
              <w:rPr>
                <w:iCs/>
                <w:lang w:val="fr-FR"/>
              </w:rPr>
              <w:t xml:space="preserve">; </w:t>
            </w:r>
            <w:r w:rsidRPr="00402FDE">
              <w:rPr>
                <w:lang w:val="fr-FR"/>
              </w:rPr>
              <w:t>interdiction de la torture et des peines ou traitements cruels, inhumains ou dégradants</w:t>
            </w:r>
            <w:r w:rsidRPr="00402FDE">
              <w:rPr>
                <w:iCs/>
                <w:lang w:val="fr-FR"/>
              </w:rPr>
              <w:t xml:space="preserve">; </w:t>
            </w:r>
            <w:r w:rsidRPr="00402FDE">
              <w:rPr>
                <w:lang w:val="fr-FR"/>
              </w:rPr>
              <w:t xml:space="preserve">droit à un procès équitable par un tribunal indépendant et impartial; </w:t>
            </w:r>
            <w:r>
              <w:rPr>
                <w:lang w:val="fr-FR"/>
              </w:rPr>
              <w:t>droit d</w:t>
            </w:r>
            <w:r w:rsidR="00747513">
              <w:rPr>
                <w:lang w:val="fr-FR"/>
              </w:rPr>
              <w:t>’</w:t>
            </w:r>
            <w:r>
              <w:rPr>
                <w:lang w:val="fr-FR"/>
              </w:rPr>
              <w:t>être à l</w:t>
            </w:r>
            <w:r w:rsidR="00747513">
              <w:rPr>
                <w:lang w:val="fr-FR"/>
              </w:rPr>
              <w:t>’</w:t>
            </w:r>
            <w:r>
              <w:rPr>
                <w:lang w:val="fr-FR"/>
              </w:rPr>
              <w:t xml:space="preserve">abri de toute immixtion dans la correspondance; </w:t>
            </w:r>
            <w:r w:rsidRPr="00402FDE">
              <w:rPr>
                <w:lang w:val="fr-FR"/>
              </w:rPr>
              <w:t>application rétroactive d</w:t>
            </w:r>
            <w:r w:rsidR="00747513">
              <w:rPr>
                <w:lang w:val="fr-FR"/>
              </w:rPr>
              <w:t>’</w:t>
            </w:r>
            <w:r w:rsidRPr="00402FDE">
              <w:rPr>
                <w:lang w:val="fr-FR"/>
              </w:rPr>
              <w:t>une loi pénale prévoyant une peine plus légère; interdiction de la discrimination</w:t>
            </w:r>
          </w:p>
        </w:tc>
      </w:tr>
      <w:tr w:rsidR="00F35D42" w:rsidTr="00F35D42">
        <w:tc>
          <w:tcPr>
            <w:tcW w:w="3119" w:type="dxa"/>
          </w:tcPr>
          <w:p w:rsidR="00F35D42" w:rsidRPr="00B32AA4" w:rsidRDefault="00F35D42" w:rsidP="00747513">
            <w:r>
              <w:rPr>
                <w:i/>
                <w:iCs/>
              </w:rPr>
              <w:t>Articles</w:t>
            </w:r>
            <w:r w:rsidRPr="00B32AA4">
              <w:rPr>
                <w:i/>
                <w:iCs/>
              </w:rPr>
              <w:t xml:space="preserve"> du Pacte</w:t>
            </w:r>
            <w:r w:rsidRPr="00ED45EB">
              <w:t>:</w:t>
            </w:r>
          </w:p>
        </w:tc>
        <w:tc>
          <w:tcPr>
            <w:tcW w:w="3686" w:type="dxa"/>
          </w:tcPr>
          <w:p w:rsidR="00F35D42" w:rsidRPr="009F7744" w:rsidRDefault="00F35D42" w:rsidP="00747513">
            <w:pPr>
              <w:spacing w:after="120"/>
            </w:pPr>
            <w:r w:rsidRPr="00402FDE">
              <w:rPr>
                <w:iCs/>
                <w:lang w:val="fr-FR"/>
              </w:rPr>
              <w:t>2, 6, 7, 14, 15</w:t>
            </w:r>
            <w:r>
              <w:rPr>
                <w:iCs/>
                <w:lang w:val="fr-FR"/>
              </w:rPr>
              <w:t>, 17</w:t>
            </w:r>
            <w:r w:rsidRPr="00402FDE">
              <w:rPr>
                <w:iCs/>
                <w:lang w:val="fr-FR"/>
              </w:rPr>
              <w:t xml:space="preserve"> et 26</w:t>
            </w:r>
          </w:p>
        </w:tc>
      </w:tr>
      <w:tr w:rsidR="00F35D42" w:rsidTr="00F35D42">
        <w:tc>
          <w:tcPr>
            <w:tcW w:w="3119" w:type="dxa"/>
          </w:tcPr>
          <w:p w:rsidR="00F35D42" w:rsidRPr="00B32AA4" w:rsidRDefault="00F35D42" w:rsidP="00747513">
            <w:r>
              <w:rPr>
                <w:i/>
                <w:iCs/>
              </w:rPr>
              <w:t>Articles</w:t>
            </w:r>
            <w:r w:rsidRPr="00B32AA4">
              <w:rPr>
                <w:i/>
                <w:iCs/>
              </w:rPr>
              <w:t xml:space="preserve"> du Protocole facultatif</w:t>
            </w:r>
            <w:r w:rsidRPr="00ED45EB">
              <w:t>:</w:t>
            </w:r>
          </w:p>
        </w:tc>
        <w:tc>
          <w:tcPr>
            <w:tcW w:w="3686" w:type="dxa"/>
          </w:tcPr>
          <w:p w:rsidR="00F35D42" w:rsidRPr="009F7744" w:rsidRDefault="00F35D42" w:rsidP="00747513">
            <w:pPr>
              <w:spacing w:after="120"/>
            </w:pPr>
            <w:r w:rsidRPr="00402FDE">
              <w:rPr>
                <w:lang w:val="fr-FR"/>
              </w:rPr>
              <w:t>2 et 5 (par.</w:t>
            </w:r>
            <w:r w:rsidR="007D53C6">
              <w:rPr>
                <w:lang w:val="fr-FR"/>
              </w:rPr>
              <w:t> </w:t>
            </w:r>
            <w:r w:rsidRPr="00402FDE">
              <w:rPr>
                <w:lang w:val="fr-FR"/>
              </w:rPr>
              <w:t>2</w:t>
            </w:r>
            <w:r w:rsidR="007D53C6">
              <w:rPr>
                <w:lang w:val="fr-FR"/>
              </w:rPr>
              <w:t> </w:t>
            </w:r>
            <w:r w:rsidRPr="00402FDE">
              <w:rPr>
                <w:lang w:val="fr-FR"/>
              </w:rPr>
              <w:t>b))</w:t>
            </w:r>
          </w:p>
        </w:tc>
      </w:tr>
    </w:tbl>
    <w:p w:rsidR="00F35D42" w:rsidRDefault="00F35D42" w:rsidP="00F35D42">
      <w:pPr>
        <w:pStyle w:val="HChG"/>
      </w:pPr>
      <w:r>
        <w:br w:type="page"/>
        <w:t>Annexe</w:t>
      </w:r>
    </w:p>
    <w:p w:rsidR="00F35D42" w:rsidRDefault="00F35D42" w:rsidP="00F35D42">
      <w:pPr>
        <w:pStyle w:val="HChG"/>
      </w:pPr>
      <w:r>
        <w:tab/>
      </w:r>
      <w:r>
        <w:tab/>
        <w:t>Constatations du Comité des droits de l</w:t>
      </w:r>
      <w:r w:rsidR="00747513">
        <w:t>’</w:t>
      </w:r>
      <w:r>
        <w:t>homme au titre du paragraphe 4 de l</w:t>
      </w:r>
      <w:r w:rsidR="00747513">
        <w:t>’</w:t>
      </w:r>
      <w:r>
        <w:t>article 5 du Protocole facultatif se rapportant au Pacte international relatif aux droits civils et politiques (109</w:t>
      </w:r>
      <w:r w:rsidRPr="000506C2">
        <w:rPr>
          <w:vertAlign w:val="superscript"/>
        </w:rPr>
        <w:t>e</w:t>
      </w:r>
      <w:r>
        <w:t xml:space="preserve"> session)</w:t>
      </w:r>
    </w:p>
    <w:p w:rsidR="00F35D42" w:rsidRDefault="00F35D42" w:rsidP="00F35D42">
      <w:pPr>
        <w:pStyle w:val="SingleTxtG"/>
      </w:pPr>
      <w:r>
        <w:t>concernant la</w:t>
      </w:r>
    </w:p>
    <w:p w:rsidR="00F35D42" w:rsidRDefault="00F35D42" w:rsidP="00F35D42">
      <w:pPr>
        <w:pStyle w:val="H1G"/>
      </w:pPr>
      <w:r>
        <w:tab/>
      </w:r>
      <w:r>
        <w:tab/>
        <w:t xml:space="preserve">Communication </w:t>
      </w:r>
      <w:r>
        <w:rPr>
          <w:rFonts w:eastAsia="MS Mincho"/>
        </w:rPr>
        <w:t>n</w:t>
      </w:r>
      <w:r>
        <w:rPr>
          <w:rFonts w:eastAsia="MS Mincho"/>
          <w:vertAlign w:val="superscript"/>
        </w:rPr>
        <w:t>o</w:t>
      </w:r>
      <w:r>
        <w:t xml:space="preserve"> 1764/2008</w:t>
      </w:r>
      <w:r w:rsidRPr="00291CE9">
        <w:rPr>
          <w:rStyle w:val="FootnoteReference"/>
          <w:b w:val="0"/>
          <w:sz w:val="20"/>
          <w:vertAlign w:val="baseline"/>
        </w:rPr>
        <w:footnoteReference w:customMarkFollows="1" w:id="2"/>
        <w:t>*</w:t>
      </w:r>
    </w:p>
    <w:tbl>
      <w:tblPr>
        <w:tblW w:w="0" w:type="auto"/>
        <w:tblInd w:w="1701" w:type="dxa"/>
        <w:tblLayout w:type="fixed"/>
        <w:tblCellMar>
          <w:left w:w="0" w:type="dxa"/>
          <w:right w:w="0" w:type="dxa"/>
        </w:tblCellMar>
        <w:tblLook w:val="01E0"/>
      </w:tblPr>
      <w:tblGrid>
        <w:gridCol w:w="2410"/>
        <w:gridCol w:w="4394"/>
      </w:tblGrid>
      <w:tr w:rsidR="00F35D42" w:rsidRPr="005D29C8" w:rsidTr="00747513">
        <w:tc>
          <w:tcPr>
            <w:tcW w:w="2410" w:type="dxa"/>
          </w:tcPr>
          <w:p w:rsidR="00F35D42" w:rsidRPr="005D29C8" w:rsidRDefault="00F35D42" w:rsidP="00747513">
            <w:pPr>
              <w:spacing w:after="120"/>
              <w:rPr>
                <w:i/>
              </w:rPr>
            </w:pPr>
            <w:r w:rsidRPr="005D29C8">
              <w:rPr>
                <w:i/>
              </w:rPr>
              <w:t>Présentée par</w:t>
            </w:r>
            <w:r w:rsidRPr="00ED45EB">
              <w:t>:</w:t>
            </w:r>
          </w:p>
        </w:tc>
        <w:tc>
          <w:tcPr>
            <w:tcW w:w="4394" w:type="dxa"/>
          </w:tcPr>
          <w:p w:rsidR="00F35D42" w:rsidRPr="005D29C8" w:rsidRDefault="00F35D42" w:rsidP="00747513">
            <w:pPr>
              <w:spacing w:after="120"/>
            </w:pPr>
            <w:r w:rsidRPr="00402FDE">
              <w:rPr>
                <w:lang w:val="fr-FR"/>
              </w:rPr>
              <w:t>Zeydulla V</w:t>
            </w:r>
            <w:r>
              <w:rPr>
                <w:lang w:val="fr-FR"/>
              </w:rPr>
              <w:t>agab Ogly Alekperov (représenté</w:t>
            </w:r>
            <w:r>
              <w:rPr>
                <w:lang w:val="fr-FR"/>
              </w:rPr>
              <w:br/>
            </w:r>
            <w:r w:rsidRPr="00402FDE">
              <w:rPr>
                <w:lang w:val="fr-FR"/>
              </w:rPr>
              <w:t>par sa sœur, M</w:t>
            </w:r>
            <w:r w:rsidRPr="00402FDE">
              <w:rPr>
                <w:vertAlign w:val="superscript"/>
                <w:lang w:val="fr-FR"/>
              </w:rPr>
              <w:t>me</w:t>
            </w:r>
            <w:r w:rsidRPr="00402FDE">
              <w:rPr>
                <w:lang w:val="fr-FR"/>
              </w:rPr>
              <w:t xml:space="preserve"> Rafizat Magaramova)</w:t>
            </w:r>
          </w:p>
        </w:tc>
      </w:tr>
      <w:tr w:rsidR="00F35D42" w:rsidRPr="005D29C8" w:rsidTr="00747513">
        <w:tc>
          <w:tcPr>
            <w:tcW w:w="2410" w:type="dxa"/>
          </w:tcPr>
          <w:p w:rsidR="00F35D42" w:rsidRPr="005D29C8" w:rsidRDefault="00F35D42" w:rsidP="00747513">
            <w:pPr>
              <w:spacing w:after="120"/>
              <w:rPr>
                <w:i/>
              </w:rPr>
            </w:pPr>
            <w:r w:rsidRPr="005D29C8">
              <w:rPr>
                <w:i/>
              </w:rPr>
              <w:t>Au nom de</w:t>
            </w:r>
            <w:r w:rsidRPr="00ED45EB">
              <w:t>:</w:t>
            </w:r>
          </w:p>
        </w:tc>
        <w:tc>
          <w:tcPr>
            <w:tcW w:w="4394" w:type="dxa"/>
          </w:tcPr>
          <w:p w:rsidR="00F35D42" w:rsidRPr="005D29C8" w:rsidRDefault="00F35D42" w:rsidP="00747513">
            <w:pPr>
              <w:spacing w:after="120"/>
            </w:pPr>
            <w:r>
              <w:t>L</w:t>
            </w:r>
            <w:r w:rsidR="00747513">
              <w:t>’</w:t>
            </w:r>
            <w:r>
              <w:t>auteur</w:t>
            </w:r>
          </w:p>
        </w:tc>
      </w:tr>
      <w:tr w:rsidR="00F35D42" w:rsidRPr="005D29C8" w:rsidTr="00747513">
        <w:tc>
          <w:tcPr>
            <w:tcW w:w="2410" w:type="dxa"/>
          </w:tcPr>
          <w:p w:rsidR="00F35D42" w:rsidRPr="005D29C8" w:rsidRDefault="00F35D42" w:rsidP="00747513">
            <w:pPr>
              <w:spacing w:after="120"/>
              <w:rPr>
                <w:i/>
              </w:rPr>
            </w:pPr>
            <w:r w:rsidRPr="005D29C8">
              <w:rPr>
                <w:i/>
              </w:rPr>
              <w:t>État partie</w:t>
            </w:r>
            <w:r w:rsidRPr="00ED45EB">
              <w:t>:</w:t>
            </w:r>
          </w:p>
        </w:tc>
        <w:tc>
          <w:tcPr>
            <w:tcW w:w="4394" w:type="dxa"/>
          </w:tcPr>
          <w:p w:rsidR="00F35D42" w:rsidRPr="005D29C8" w:rsidRDefault="00F35D42" w:rsidP="00747513">
            <w:pPr>
              <w:spacing w:after="120"/>
            </w:pPr>
            <w:r>
              <w:t>Fédération de Russie</w:t>
            </w:r>
          </w:p>
        </w:tc>
      </w:tr>
      <w:tr w:rsidR="00F35D42" w:rsidRPr="005D29C8" w:rsidTr="00747513">
        <w:tc>
          <w:tcPr>
            <w:tcW w:w="2410" w:type="dxa"/>
          </w:tcPr>
          <w:p w:rsidR="00F35D42" w:rsidRPr="005D29C8" w:rsidRDefault="00F35D42" w:rsidP="00747513">
            <w:pPr>
              <w:spacing w:after="240"/>
              <w:rPr>
                <w:i/>
              </w:rPr>
            </w:pPr>
            <w:r w:rsidRPr="005D29C8">
              <w:rPr>
                <w:i/>
              </w:rPr>
              <w:t>Date de la communication</w:t>
            </w:r>
            <w:r w:rsidRPr="00ED45EB">
              <w:t>:</w:t>
            </w:r>
          </w:p>
        </w:tc>
        <w:tc>
          <w:tcPr>
            <w:tcW w:w="4394" w:type="dxa"/>
          </w:tcPr>
          <w:p w:rsidR="00F35D42" w:rsidRPr="005D29C8" w:rsidRDefault="00F35D42" w:rsidP="00747513">
            <w:pPr>
              <w:spacing w:after="240"/>
            </w:pPr>
            <w:r>
              <w:t>16 janvier 2008</w:t>
            </w:r>
          </w:p>
        </w:tc>
      </w:tr>
    </w:tbl>
    <w:p w:rsidR="00F35D42" w:rsidRDefault="00F35D42" w:rsidP="00F35D42">
      <w:pPr>
        <w:pStyle w:val="SingleTxtG"/>
        <w:ind w:firstLine="567"/>
      </w:pPr>
      <w:r w:rsidRPr="00B57784">
        <w:rPr>
          <w:i/>
        </w:rPr>
        <w:t>Le Comité des droits de l</w:t>
      </w:r>
      <w:r w:rsidR="00747513">
        <w:rPr>
          <w:i/>
        </w:rPr>
        <w:t>’</w:t>
      </w:r>
      <w:r w:rsidRPr="00B57784">
        <w:rPr>
          <w:i/>
        </w:rPr>
        <w:t>homme</w:t>
      </w:r>
      <w:r>
        <w:t>, institué en vertu de l</w:t>
      </w:r>
      <w:r w:rsidR="00747513">
        <w:t>’</w:t>
      </w:r>
      <w:r>
        <w:t>article 28 du Pacte international relatif aux droits civils et politiques,</w:t>
      </w:r>
    </w:p>
    <w:p w:rsidR="00F35D42" w:rsidRDefault="00F35D42" w:rsidP="00F35D42">
      <w:pPr>
        <w:pStyle w:val="SingleTxtG"/>
        <w:spacing w:before="120"/>
        <w:ind w:firstLine="567"/>
      </w:pPr>
      <w:r w:rsidRPr="003A3315">
        <w:rPr>
          <w:i/>
        </w:rPr>
        <w:t>Réuni</w:t>
      </w:r>
      <w:r w:rsidRPr="003A3315">
        <w:rPr>
          <w:i/>
          <w:iCs/>
        </w:rPr>
        <w:t xml:space="preserve"> le</w:t>
      </w:r>
      <w:r w:rsidRPr="0070216A">
        <w:t xml:space="preserve"> </w:t>
      </w:r>
      <w:r w:rsidR="00CB720D">
        <w:t>21 </w:t>
      </w:r>
      <w:r>
        <w:t>octobre 2013,</w:t>
      </w:r>
    </w:p>
    <w:p w:rsidR="00F35D42" w:rsidRDefault="00F35D42" w:rsidP="00F35D42">
      <w:pPr>
        <w:pStyle w:val="SingleTxtG"/>
        <w:spacing w:before="120"/>
        <w:ind w:firstLine="567"/>
      </w:pPr>
      <w:r>
        <w:rPr>
          <w:i/>
          <w:iCs/>
        </w:rPr>
        <w:t>Ayant achevé</w:t>
      </w:r>
      <w:r>
        <w:t xml:space="preserve"> l</w:t>
      </w:r>
      <w:r w:rsidR="00747513">
        <w:t>’</w:t>
      </w:r>
      <w:r>
        <w:t>examen de la communication n</w:t>
      </w:r>
      <w:r>
        <w:rPr>
          <w:vertAlign w:val="superscript"/>
        </w:rPr>
        <w:t>o</w:t>
      </w:r>
      <w:r>
        <w:t xml:space="preserve"> 1764/2008 présentée par </w:t>
      </w:r>
      <w:proofErr w:type="spellStart"/>
      <w:r w:rsidRPr="00402FDE">
        <w:rPr>
          <w:lang w:val="fr-FR"/>
        </w:rPr>
        <w:t>Zeydulla</w:t>
      </w:r>
      <w:proofErr w:type="spellEnd"/>
      <w:r w:rsidR="00FF0E21">
        <w:rPr>
          <w:lang w:val="fr-FR"/>
        </w:rPr>
        <w:t> </w:t>
      </w:r>
      <w:proofErr w:type="spellStart"/>
      <w:r w:rsidRPr="00402FDE">
        <w:rPr>
          <w:lang w:val="fr-FR"/>
        </w:rPr>
        <w:t>Vagab</w:t>
      </w:r>
      <w:proofErr w:type="spellEnd"/>
      <w:r w:rsidRPr="00402FDE">
        <w:rPr>
          <w:lang w:val="fr-FR"/>
        </w:rPr>
        <w:t xml:space="preserve"> </w:t>
      </w:r>
      <w:proofErr w:type="spellStart"/>
      <w:r w:rsidRPr="00402FDE">
        <w:rPr>
          <w:lang w:val="fr-FR"/>
        </w:rPr>
        <w:t>Ogly</w:t>
      </w:r>
      <w:proofErr w:type="spellEnd"/>
      <w:r w:rsidRPr="00402FDE">
        <w:rPr>
          <w:lang w:val="fr-FR"/>
        </w:rPr>
        <w:t xml:space="preserve"> </w:t>
      </w:r>
      <w:proofErr w:type="spellStart"/>
      <w:r w:rsidRPr="00402FDE">
        <w:rPr>
          <w:lang w:val="fr-FR"/>
        </w:rPr>
        <w:t>Alekperov</w:t>
      </w:r>
      <w:proofErr w:type="spellEnd"/>
      <w:r w:rsidRPr="00402FDE">
        <w:rPr>
          <w:lang w:val="fr-FR"/>
        </w:rPr>
        <w:t xml:space="preserve"> </w:t>
      </w:r>
      <w:r>
        <w:t>en vertu du Protocole facultatif se rapportant au Pacte international relatif aux droits civils et politiques,</w:t>
      </w:r>
    </w:p>
    <w:p w:rsidR="00F35D42" w:rsidRDefault="00F35D42" w:rsidP="00F35D42">
      <w:pPr>
        <w:pStyle w:val="SingleTxtG"/>
        <w:spacing w:before="120"/>
        <w:ind w:firstLine="567"/>
      </w:pPr>
      <w:r>
        <w:rPr>
          <w:i/>
          <w:iCs/>
        </w:rPr>
        <w:t>Ayant tenu compte</w:t>
      </w:r>
      <w:r>
        <w:t xml:space="preserve"> de toutes les informations écrites qui lui ont été communiquées par l</w:t>
      </w:r>
      <w:r w:rsidR="00747513">
        <w:t>’</w:t>
      </w:r>
      <w:r>
        <w:t>auteur de la communication et l</w:t>
      </w:r>
      <w:r w:rsidR="00747513">
        <w:t>’</w:t>
      </w:r>
      <w:r>
        <w:t>État partie,</w:t>
      </w:r>
    </w:p>
    <w:p w:rsidR="00F35D42" w:rsidRDefault="00F35D42" w:rsidP="00F35D42">
      <w:pPr>
        <w:pStyle w:val="SingleTxtG"/>
        <w:ind w:firstLine="567"/>
      </w:pPr>
      <w:r w:rsidRPr="00B57784">
        <w:rPr>
          <w:i/>
        </w:rPr>
        <w:t>Adopte</w:t>
      </w:r>
      <w:r>
        <w:t xml:space="preserve"> ce qui suit:</w:t>
      </w:r>
    </w:p>
    <w:p w:rsidR="00F35D42" w:rsidRDefault="00F35D42" w:rsidP="00F35D42">
      <w:pPr>
        <w:pStyle w:val="H1G"/>
      </w:pPr>
      <w:r>
        <w:tab/>
      </w:r>
      <w:r>
        <w:tab/>
        <w:t>Constatations au titre du paragraphe 4 de l</w:t>
      </w:r>
      <w:r w:rsidR="00747513">
        <w:t>’</w:t>
      </w:r>
      <w:r>
        <w:t>article 5</w:t>
      </w:r>
      <w:r>
        <w:br/>
        <w:t>du Protocole facultatif</w:t>
      </w:r>
    </w:p>
    <w:p w:rsidR="00F35D42" w:rsidRPr="00402FDE" w:rsidRDefault="00F35D42" w:rsidP="00F35D42">
      <w:pPr>
        <w:pStyle w:val="ParNoG"/>
        <w:rPr>
          <w:lang w:val="fr-FR"/>
        </w:rPr>
      </w:pPr>
      <w:r w:rsidRPr="00402FDE">
        <w:rPr>
          <w:lang w:val="fr-FR"/>
        </w:rPr>
        <w:t>L</w:t>
      </w:r>
      <w:r w:rsidR="00747513">
        <w:rPr>
          <w:lang w:val="fr-FR"/>
        </w:rPr>
        <w:t>’</w:t>
      </w:r>
      <w:r w:rsidRPr="00402FDE">
        <w:rPr>
          <w:lang w:val="fr-FR"/>
        </w:rPr>
        <w:t xml:space="preserve">auteur de la communication est </w:t>
      </w:r>
      <w:proofErr w:type="spellStart"/>
      <w:r w:rsidRPr="00402FDE">
        <w:rPr>
          <w:lang w:val="fr-FR"/>
        </w:rPr>
        <w:t>Zeydulla</w:t>
      </w:r>
      <w:proofErr w:type="spellEnd"/>
      <w:r w:rsidRPr="00402FDE">
        <w:rPr>
          <w:lang w:val="fr-FR"/>
        </w:rPr>
        <w:t xml:space="preserve"> </w:t>
      </w:r>
      <w:proofErr w:type="spellStart"/>
      <w:r w:rsidRPr="00402FDE">
        <w:rPr>
          <w:lang w:val="fr-FR"/>
        </w:rPr>
        <w:t>Vagab</w:t>
      </w:r>
      <w:proofErr w:type="spellEnd"/>
      <w:r w:rsidRPr="00402FDE">
        <w:rPr>
          <w:lang w:val="fr-FR"/>
        </w:rPr>
        <w:t xml:space="preserve"> </w:t>
      </w:r>
      <w:proofErr w:type="spellStart"/>
      <w:r w:rsidRPr="00402FDE">
        <w:rPr>
          <w:lang w:val="fr-FR"/>
        </w:rPr>
        <w:t>Ogly</w:t>
      </w:r>
      <w:proofErr w:type="spellEnd"/>
      <w:r w:rsidRPr="00402FDE">
        <w:rPr>
          <w:lang w:val="fr-FR"/>
        </w:rPr>
        <w:t xml:space="preserve"> </w:t>
      </w:r>
      <w:proofErr w:type="spellStart"/>
      <w:r w:rsidRPr="00402FDE">
        <w:rPr>
          <w:lang w:val="fr-FR"/>
        </w:rPr>
        <w:t>Alekperov</w:t>
      </w:r>
      <w:proofErr w:type="spellEnd"/>
      <w:r w:rsidRPr="00402FDE">
        <w:rPr>
          <w:lang w:val="fr-FR"/>
        </w:rPr>
        <w:t xml:space="preserve">, de nationalité azerbaïdjanaise, né en 1971, qui exécute actuellement une peine de réclusion à perpétuité dans un établissement pénitentiaire de </w:t>
      </w:r>
      <w:proofErr w:type="spellStart"/>
      <w:r w:rsidRPr="00402FDE">
        <w:rPr>
          <w:lang w:val="fr-FR"/>
        </w:rPr>
        <w:t>Sol-Iletsk</w:t>
      </w:r>
      <w:proofErr w:type="spellEnd"/>
      <w:r w:rsidRPr="00402FDE">
        <w:rPr>
          <w:lang w:val="fr-FR"/>
        </w:rPr>
        <w:t>, dans la Fédération de Russie. Il affirme être victime de violation par l</w:t>
      </w:r>
      <w:r w:rsidR="00747513">
        <w:rPr>
          <w:lang w:val="fr-FR"/>
        </w:rPr>
        <w:t>’</w:t>
      </w:r>
      <w:r w:rsidRPr="00402FDE">
        <w:rPr>
          <w:lang w:val="fr-FR"/>
        </w:rPr>
        <w:t>État partie</w:t>
      </w:r>
      <w:r>
        <w:rPr>
          <w:rStyle w:val="FootnoteReference"/>
        </w:rPr>
        <w:footnoteReference w:id="3"/>
      </w:r>
      <w:r w:rsidRPr="00402FDE">
        <w:rPr>
          <w:lang w:val="fr-FR"/>
        </w:rPr>
        <w:t xml:space="preserve"> des droits garantis par les articles 2, 6, 7, 14, 15</w:t>
      </w:r>
      <w:r>
        <w:rPr>
          <w:lang w:val="fr-FR"/>
        </w:rPr>
        <w:t>, 17</w:t>
      </w:r>
      <w:r w:rsidRPr="00402FDE">
        <w:rPr>
          <w:lang w:val="fr-FR"/>
        </w:rPr>
        <w:t xml:space="preserve"> et 26 du Pacte. Il est représenté par sa sœur, </w:t>
      </w:r>
      <w:proofErr w:type="spellStart"/>
      <w:r w:rsidRPr="00402FDE">
        <w:rPr>
          <w:lang w:val="fr-FR"/>
        </w:rPr>
        <w:t>Rafizat</w:t>
      </w:r>
      <w:proofErr w:type="spellEnd"/>
      <w:r w:rsidRPr="00402FDE">
        <w:rPr>
          <w:lang w:val="fr-FR"/>
        </w:rPr>
        <w:t xml:space="preserve"> </w:t>
      </w:r>
      <w:proofErr w:type="spellStart"/>
      <w:r w:rsidRPr="00402FDE">
        <w:rPr>
          <w:lang w:val="fr-FR"/>
        </w:rPr>
        <w:t>Magaramova</w:t>
      </w:r>
      <w:proofErr w:type="spellEnd"/>
      <w:r w:rsidRPr="00402FDE">
        <w:rPr>
          <w:lang w:val="fr-FR"/>
        </w:rPr>
        <w:t xml:space="preserve">. </w:t>
      </w:r>
    </w:p>
    <w:p w:rsidR="00F35D42" w:rsidRPr="00402FDE" w:rsidRDefault="00F35D42" w:rsidP="00F35D42">
      <w:pPr>
        <w:pStyle w:val="H23G"/>
        <w:rPr>
          <w:lang w:val="fr-FR"/>
        </w:rPr>
      </w:pPr>
      <w:r w:rsidRPr="00402FDE">
        <w:rPr>
          <w:lang w:val="fr-FR"/>
        </w:rPr>
        <w:tab/>
      </w:r>
      <w:r w:rsidRPr="00402FDE">
        <w:rPr>
          <w:lang w:val="fr-FR"/>
        </w:rPr>
        <w:tab/>
        <w:t>Rappel des faits présentés par l</w:t>
      </w:r>
      <w:r w:rsidR="00747513">
        <w:rPr>
          <w:lang w:val="fr-FR"/>
        </w:rPr>
        <w:t>’</w:t>
      </w:r>
      <w:r w:rsidRPr="00402FDE">
        <w:rPr>
          <w:lang w:val="fr-FR"/>
        </w:rPr>
        <w:t>auteur</w:t>
      </w:r>
    </w:p>
    <w:p w:rsidR="00F35D42" w:rsidRPr="00402FDE" w:rsidRDefault="00F35D42" w:rsidP="00F35D42">
      <w:pPr>
        <w:pStyle w:val="SingleTxtG"/>
        <w:rPr>
          <w:lang w:val="fr-FR"/>
        </w:rPr>
      </w:pPr>
      <w:r w:rsidRPr="00402FDE">
        <w:rPr>
          <w:lang w:val="fr-FR"/>
        </w:rPr>
        <w:t>2.1</w:t>
      </w:r>
      <w:r w:rsidRPr="00402FDE">
        <w:rPr>
          <w:lang w:val="fr-FR"/>
        </w:rPr>
        <w:tab/>
        <w:t>Le 13</w:t>
      </w:r>
      <w:r w:rsidR="00CB720D">
        <w:rPr>
          <w:lang w:val="fr-FR"/>
        </w:rPr>
        <w:t> </w:t>
      </w:r>
      <w:r w:rsidRPr="00402FDE">
        <w:rPr>
          <w:lang w:val="fr-FR"/>
        </w:rPr>
        <w:t>octobre 1995, l</w:t>
      </w:r>
      <w:r w:rsidR="00747513">
        <w:rPr>
          <w:lang w:val="fr-FR"/>
        </w:rPr>
        <w:t>’</w:t>
      </w:r>
      <w:r w:rsidRPr="00402FDE">
        <w:rPr>
          <w:lang w:val="fr-FR"/>
        </w:rPr>
        <w:t xml:space="preserve">auteur a été condamné pour de multiples infractions à la peine </w:t>
      </w:r>
      <w:r>
        <w:rPr>
          <w:lang w:val="fr-FR"/>
        </w:rPr>
        <w:t>capitale</w:t>
      </w:r>
      <w:r w:rsidRPr="00402FDE">
        <w:rPr>
          <w:lang w:val="fr-FR"/>
        </w:rPr>
        <w:t xml:space="preserve"> assortie de la confiscation de ses biens par le tribunal régional de Mourmansk, composé d</w:t>
      </w:r>
      <w:r w:rsidR="00747513">
        <w:rPr>
          <w:lang w:val="fr-FR"/>
        </w:rPr>
        <w:t>’</w:t>
      </w:r>
      <w:r w:rsidRPr="00402FDE">
        <w:rPr>
          <w:lang w:val="fr-FR"/>
        </w:rPr>
        <w:t>un juge professionnel assisté de deux juges non professionnels. Il affirme ne pas avoir été jugé par un tribunal compétent, étant donné qu</w:t>
      </w:r>
      <w:r w:rsidR="00747513">
        <w:rPr>
          <w:lang w:val="fr-FR"/>
        </w:rPr>
        <w:t>’</w:t>
      </w:r>
      <w:r w:rsidRPr="00402FDE">
        <w:rPr>
          <w:lang w:val="fr-FR"/>
        </w:rPr>
        <w:t>il a été privé du droit d</w:t>
      </w:r>
      <w:r w:rsidR="00747513">
        <w:rPr>
          <w:lang w:val="fr-FR"/>
        </w:rPr>
        <w:t>’</w:t>
      </w:r>
      <w:r w:rsidRPr="00402FDE">
        <w:rPr>
          <w:lang w:val="fr-FR"/>
        </w:rPr>
        <w:t>être jugé par un jury, que lui garantissent les articles 20</w:t>
      </w:r>
      <w:r>
        <w:rPr>
          <w:rStyle w:val="FootnoteReference"/>
        </w:rPr>
        <w:footnoteReference w:id="4"/>
      </w:r>
      <w:r w:rsidRPr="00402FDE">
        <w:rPr>
          <w:lang w:val="fr-FR"/>
        </w:rPr>
        <w:t>, 47</w:t>
      </w:r>
      <w:r>
        <w:rPr>
          <w:rStyle w:val="FootnoteReference"/>
        </w:rPr>
        <w:footnoteReference w:id="5"/>
      </w:r>
      <w:r w:rsidRPr="00402FDE">
        <w:rPr>
          <w:lang w:val="fr-FR"/>
        </w:rPr>
        <w:t xml:space="preserve"> et 19</w:t>
      </w:r>
      <w:r>
        <w:rPr>
          <w:rStyle w:val="FootnoteReference"/>
        </w:rPr>
        <w:footnoteReference w:id="6"/>
      </w:r>
      <w:r w:rsidRPr="00402FDE">
        <w:rPr>
          <w:lang w:val="fr-FR"/>
        </w:rPr>
        <w:t xml:space="preserve"> de la Constitution russe (ci-après «la Constitution»).</w:t>
      </w:r>
    </w:p>
    <w:p w:rsidR="00F35D42" w:rsidRPr="00402FDE" w:rsidRDefault="00F35D42" w:rsidP="00F35D42">
      <w:pPr>
        <w:pStyle w:val="SingleTxtG"/>
        <w:rPr>
          <w:lang w:val="fr-FR"/>
        </w:rPr>
      </w:pPr>
      <w:r w:rsidRPr="00402FDE">
        <w:rPr>
          <w:lang w:val="fr-FR"/>
        </w:rPr>
        <w:t>2.2</w:t>
      </w:r>
      <w:r w:rsidRPr="00402FDE">
        <w:rPr>
          <w:lang w:val="fr-FR"/>
        </w:rPr>
        <w:tab/>
        <w:t>L</w:t>
      </w:r>
      <w:r w:rsidR="00747513">
        <w:rPr>
          <w:lang w:val="fr-FR"/>
        </w:rPr>
        <w:t>’</w:t>
      </w:r>
      <w:r w:rsidRPr="00402FDE">
        <w:rPr>
          <w:lang w:val="fr-FR"/>
        </w:rPr>
        <w:t>auteur note que le 16</w:t>
      </w:r>
      <w:r w:rsidR="00CB720D">
        <w:rPr>
          <w:lang w:val="fr-FR"/>
        </w:rPr>
        <w:t> </w:t>
      </w:r>
      <w:r w:rsidRPr="00402FDE">
        <w:rPr>
          <w:lang w:val="fr-FR"/>
        </w:rPr>
        <w:t>juillet 1993, en attendant la mise en place du système de jugement par jury dans la Fédération de Russie, la loi portant modification et adaptation de la législation de la République socialiste fédérative soviétique de Russie (RSFSR) (à savoir la loi sur le système judiciaire, le Code de procédure pénale, le Code pénal et le Code des infractions administratives) a été adoptée. Le paragraphe 7 de l</w:t>
      </w:r>
      <w:r w:rsidR="00747513">
        <w:rPr>
          <w:lang w:val="fr-FR"/>
        </w:rPr>
        <w:t>’</w:t>
      </w:r>
      <w:r w:rsidRPr="00402FDE">
        <w:rPr>
          <w:lang w:val="fr-FR"/>
        </w:rPr>
        <w:t>article 2 de cette loi dispose qu</w:t>
      </w:r>
      <w:r w:rsidR="00747513">
        <w:rPr>
          <w:lang w:val="fr-FR"/>
        </w:rPr>
        <w:t>’</w:t>
      </w:r>
      <w:r w:rsidRPr="00402FDE">
        <w:rPr>
          <w:lang w:val="fr-FR"/>
        </w:rPr>
        <w:t>un nouvel article 10, intitulé «Du jugement par jury», est ajouté au Code de procédure pénale. Conformément au paragraphe 2 de la décision du Conseil suprême (Parlement) également adoptée le 16 juillet 1993, les procès avec jury devaient, dans un premier temps, être mis en place à partir du 1</w:t>
      </w:r>
      <w:r w:rsidRPr="00402FDE">
        <w:rPr>
          <w:vertAlign w:val="superscript"/>
          <w:lang w:val="fr-FR"/>
        </w:rPr>
        <w:t>er</w:t>
      </w:r>
      <w:r w:rsidRPr="00402FDE">
        <w:rPr>
          <w:lang w:val="fr-FR"/>
        </w:rPr>
        <w:t> novembre 1993 dans cinq régions de la Fédération de Russie (Stavropol, Ivanovo, Moscou, Riazan et Saratov) et à partir du 1</w:t>
      </w:r>
      <w:r w:rsidRPr="00402FDE">
        <w:rPr>
          <w:vertAlign w:val="superscript"/>
          <w:lang w:val="fr-FR"/>
        </w:rPr>
        <w:t>er</w:t>
      </w:r>
      <w:r w:rsidRPr="00402FDE">
        <w:rPr>
          <w:lang w:val="fr-FR"/>
        </w:rPr>
        <w:t> janvier 1994 dans quatre autres régions (Altaï, Krasnodar, Oulianovsk et Rostov). Par conséquent, au 13 octobre 1995, date à laquelle l</w:t>
      </w:r>
      <w:r w:rsidR="00747513">
        <w:rPr>
          <w:lang w:val="fr-FR"/>
        </w:rPr>
        <w:t>’</w:t>
      </w:r>
      <w:r w:rsidRPr="00402FDE">
        <w:rPr>
          <w:lang w:val="fr-FR"/>
        </w:rPr>
        <w:t>auteur a été condamné, les affaires dans lesquelles la peine capitale pouvait être prononcée étaient examinées par un jury dans ces neuf régions de la Fédération de Russie. À ce sujet, l</w:t>
      </w:r>
      <w:r w:rsidR="00747513">
        <w:rPr>
          <w:lang w:val="fr-FR"/>
        </w:rPr>
        <w:t>’</w:t>
      </w:r>
      <w:r w:rsidRPr="00402FDE">
        <w:rPr>
          <w:lang w:val="fr-FR"/>
        </w:rPr>
        <w:t>auteur affirme que, en violation des articles 15</w:t>
      </w:r>
      <w:r>
        <w:rPr>
          <w:rStyle w:val="FootnoteReference"/>
        </w:rPr>
        <w:footnoteReference w:id="7"/>
      </w:r>
      <w:r>
        <w:rPr>
          <w:lang w:val="fr-FR"/>
        </w:rPr>
        <w:t xml:space="preserve"> et </w:t>
      </w:r>
      <w:r w:rsidRPr="00402FDE">
        <w:rPr>
          <w:lang w:val="fr-FR"/>
        </w:rPr>
        <w:t>46</w:t>
      </w:r>
      <w:r>
        <w:rPr>
          <w:rStyle w:val="FootnoteReference"/>
        </w:rPr>
        <w:footnoteReference w:id="8"/>
      </w:r>
      <w:r w:rsidRPr="00402FDE">
        <w:rPr>
          <w:lang w:val="fr-FR"/>
        </w:rPr>
        <w:t xml:space="preserve"> de la Constitution, le système de jugement par jury n</w:t>
      </w:r>
      <w:r w:rsidR="00747513">
        <w:rPr>
          <w:lang w:val="fr-FR"/>
        </w:rPr>
        <w:t>’</w:t>
      </w:r>
      <w:r w:rsidRPr="00402FDE">
        <w:rPr>
          <w:lang w:val="fr-FR"/>
        </w:rPr>
        <w:t>avait pas été mis en place dans la région de Mourmansk à cette date.</w:t>
      </w:r>
    </w:p>
    <w:p w:rsidR="00F35D42" w:rsidRPr="00402FDE" w:rsidRDefault="00F35D42" w:rsidP="00F35D42">
      <w:pPr>
        <w:pStyle w:val="SingleTxtG"/>
        <w:rPr>
          <w:lang w:val="fr-FR"/>
        </w:rPr>
      </w:pPr>
      <w:r w:rsidRPr="00402FDE">
        <w:rPr>
          <w:lang w:val="fr-FR"/>
        </w:rPr>
        <w:t>2.3</w:t>
      </w:r>
      <w:r w:rsidRPr="00402FDE">
        <w:rPr>
          <w:lang w:val="fr-FR"/>
        </w:rPr>
        <w:tab/>
        <w:t>Le 23</w:t>
      </w:r>
      <w:r w:rsidR="00CB720D">
        <w:rPr>
          <w:lang w:val="fr-FR"/>
        </w:rPr>
        <w:t> </w:t>
      </w:r>
      <w:r w:rsidRPr="00402FDE">
        <w:rPr>
          <w:lang w:val="fr-FR"/>
        </w:rPr>
        <w:t>janvier 1996, la Cour suprême a confirmé le jugement rendu contre l</w:t>
      </w:r>
      <w:r w:rsidR="00747513">
        <w:rPr>
          <w:lang w:val="fr-FR"/>
        </w:rPr>
        <w:t>’</w:t>
      </w:r>
      <w:r w:rsidRPr="00402FDE">
        <w:rPr>
          <w:lang w:val="fr-FR"/>
        </w:rPr>
        <w:t>auteur. Celui-ci fait valoir que, bien qu</w:t>
      </w:r>
      <w:r w:rsidR="00747513">
        <w:rPr>
          <w:lang w:val="fr-FR"/>
        </w:rPr>
        <w:t>’</w:t>
      </w:r>
      <w:r w:rsidRPr="00402FDE">
        <w:rPr>
          <w:lang w:val="fr-FR"/>
        </w:rPr>
        <w:t>il n</w:t>
      </w:r>
      <w:r w:rsidR="00747513">
        <w:rPr>
          <w:lang w:val="fr-FR"/>
        </w:rPr>
        <w:t>’</w:t>
      </w:r>
      <w:r w:rsidRPr="00402FDE">
        <w:rPr>
          <w:lang w:val="fr-FR"/>
        </w:rPr>
        <w:t xml:space="preserve">ait pas invoqué une violation des dispositions de la Constitution lors de son recours en annulation par ignorance de la loi, la Cour suprême </w:t>
      </w:r>
      <w:r w:rsidR="00CB720D">
        <w:rPr>
          <w:lang w:val="fr-FR"/>
        </w:rPr>
        <w:t>était dans l</w:t>
      </w:r>
      <w:r w:rsidR="00747513">
        <w:rPr>
          <w:lang w:val="fr-FR"/>
        </w:rPr>
        <w:t>’</w:t>
      </w:r>
      <w:r w:rsidR="00CB720D">
        <w:rPr>
          <w:lang w:val="fr-FR"/>
        </w:rPr>
        <w:t xml:space="preserve">obligation de relever </w:t>
      </w:r>
      <w:r w:rsidRPr="00402FDE">
        <w:rPr>
          <w:lang w:val="fr-FR"/>
        </w:rPr>
        <w:t xml:space="preserve">ces violations et </w:t>
      </w:r>
      <w:r w:rsidR="00CB720D">
        <w:rPr>
          <w:lang w:val="fr-FR"/>
        </w:rPr>
        <w:t>d</w:t>
      </w:r>
      <w:r w:rsidR="00747513">
        <w:rPr>
          <w:lang w:val="fr-FR"/>
        </w:rPr>
        <w:t>’</w:t>
      </w:r>
      <w:r w:rsidR="00CB720D">
        <w:rPr>
          <w:lang w:val="fr-FR"/>
        </w:rPr>
        <w:t>infirmer sa condamnation.</w:t>
      </w:r>
    </w:p>
    <w:p w:rsidR="00F35D42" w:rsidRPr="00402FDE" w:rsidRDefault="00F35D42" w:rsidP="00F35D42">
      <w:pPr>
        <w:pStyle w:val="SingleTxtG"/>
        <w:rPr>
          <w:lang w:val="fr-FR"/>
        </w:rPr>
      </w:pPr>
      <w:r w:rsidRPr="00402FDE">
        <w:rPr>
          <w:lang w:val="fr-FR"/>
        </w:rPr>
        <w:t>2.4</w:t>
      </w:r>
      <w:r w:rsidRPr="00402FDE">
        <w:rPr>
          <w:lang w:val="fr-FR"/>
        </w:rPr>
        <w:tab/>
        <w:t>Le 21</w:t>
      </w:r>
      <w:r w:rsidR="00CB720D">
        <w:rPr>
          <w:lang w:val="fr-FR"/>
        </w:rPr>
        <w:t> </w:t>
      </w:r>
      <w:r w:rsidRPr="00402FDE">
        <w:rPr>
          <w:lang w:val="fr-FR"/>
        </w:rPr>
        <w:t>décembre 1998, la peine capitale prononcée contre l</w:t>
      </w:r>
      <w:r w:rsidR="00747513">
        <w:rPr>
          <w:lang w:val="fr-FR"/>
        </w:rPr>
        <w:t>’</w:t>
      </w:r>
      <w:r w:rsidRPr="00402FDE">
        <w:rPr>
          <w:lang w:val="fr-FR"/>
        </w:rPr>
        <w:t>auteur a été commuée en peine de réclusion à perpétuité par un décret de grâce présidentielle. L</w:t>
      </w:r>
      <w:r w:rsidR="00747513">
        <w:rPr>
          <w:lang w:val="fr-FR"/>
        </w:rPr>
        <w:t>’</w:t>
      </w:r>
      <w:r w:rsidRPr="00402FDE">
        <w:rPr>
          <w:lang w:val="fr-FR"/>
        </w:rPr>
        <w:t>auteur fait valoir que, en violation de l</w:t>
      </w:r>
      <w:r w:rsidR="00747513">
        <w:rPr>
          <w:lang w:val="fr-FR"/>
        </w:rPr>
        <w:t>’</w:t>
      </w:r>
      <w:r w:rsidRPr="00402FDE">
        <w:rPr>
          <w:lang w:val="fr-FR"/>
        </w:rPr>
        <w:t>article</w:t>
      </w:r>
      <w:r w:rsidR="00CB720D">
        <w:rPr>
          <w:lang w:val="fr-FR"/>
        </w:rPr>
        <w:t> </w:t>
      </w:r>
      <w:r w:rsidRPr="00402FDE">
        <w:rPr>
          <w:lang w:val="fr-FR"/>
        </w:rPr>
        <w:t>18 de la Constitution, selon lequel l</w:t>
      </w:r>
      <w:r w:rsidR="00747513">
        <w:rPr>
          <w:lang w:val="fr-FR"/>
        </w:rPr>
        <w:t>’</w:t>
      </w:r>
      <w:r w:rsidRPr="00402FDE">
        <w:rPr>
          <w:lang w:val="fr-FR"/>
        </w:rPr>
        <w:t>administration de la justice dans la Fédération de Russie est du ressort exclusif des tribunaux, sa réclusion à perpétuité a été prescrite par décret présidentiel. En outre, le décret présidentiel lui-même est contraire à l</w:t>
      </w:r>
      <w:r w:rsidR="00747513">
        <w:rPr>
          <w:lang w:val="fr-FR"/>
        </w:rPr>
        <w:t>’</w:t>
      </w:r>
      <w:r w:rsidRPr="00402FDE">
        <w:rPr>
          <w:lang w:val="fr-FR"/>
        </w:rPr>
        <w:t>article 54 de la Constitution</w:t>
      </w:r>
      <w:r>
        <w:rPr>
          <w:rStyle w:val="FootnoteReference"/>
        </w:rPr>
        <w:footnoteReference w:id="9"/>
      </w:r>
      <w:r w:rsidRPr="00402FDE">
        <w:rPr>
          <w:lang w:val="fr-FR"/>
        </w:rPr>
        <w:t xml:space="preserve"> et à l</w:t>
      </w:r>
      <w:r w:rsidR="00747513">
        <w:rPr>
          <w:lang w:val="fr-FR"/>
        </w:rPr>
        <w:t>’</w:t>
      </w:r>
      <w:r w:rsidRPr="00402FDE">
        <w:rPr>
          <w:lang w:val="fr-FR"/>
        </w:rPr>
        <w:t>article</w:t>
      </w:r>
      <w:r w:rsidR="00CB720D">
        <w:rPr>
          <w:lang w:val="fr-FR"/>
        </w:rPr>
        <w:t> </w:t>
      </w:r>
      <w:r w:rsidRPr="00402FDE">
        <w:rPr>
          <w:lang w:val="fr-FR"/>
        </w:rPr>
        <w:t>10 du Code pénal russe, car le Code pénal de</w:t>
      </w:r>
      <w:r w:rsidR="00FF0E21">
        <w:rPr>
          <w:lang w:val="fr-FR"/>
        </w:rPr>
        <w:t> </w:t>
      </w:r>
      <w:r w:rsidRPr="00402FDE">
        <w:rPr>
          <w:lang w:val="fr-FR"/>
        </w:rPr>
        <w:t>la RSFSR qui était en vigueur au moment où l</w:t>
      </w:r>
      <w:r w:rsidR="00747513">
        <w:rPr>
          <w:lang w:val="fr-FR"/>
        </w:rPr>
        <w:t>’</w:t>
      </w:r>
      <w:r w:rsidRPr="00402FDE">
        <w:rPr>
          <w:lang w:val="fr-FR"/>
        </w:rPr>
        <w:t>infraction a été commise (juillet</w:t>
      </w:r>
      <w:r w:rsidR="00CB720D">
        <w:rPr>
          <w:lang w:val="fr-FR"/>
        </w:rPr>
        <w:t xml:space="preserve"> </w:t>
      </w:r>
      <w:r w:rsidRPr="00402FDE">
        <w:rPr>
          <w:lang w:val="fr-FR"/>
        </w:rPr>
        <w:t>1994) ne prévoyait pas la réclusion à perpétuité. La peine prévue pour l</w:t>
      </w:r>
      <w:r w:rsidR="00747513">
        <w:rPr>
          <w:lang w:val="fr-FR"/>
        </w:rPr>
        <w:t>’</w:t>
      </w:r>
      <w:r w:rsidRPr="00402FDE">
        <w:rPr>
          <w:lang w:val="fr-FR"/>
        </w:rPr>
        <w:t xml:space="preserve">infraction en question était </w:t>
      </w:r>
      <w:r>
        <w:rPr>
          <w:lang w:val="fr-FR"/>
        </w:rPr>
        <w:t>quinze</w:t>
      </w:r>
      <w:r w:rsidRPr="00402FDE">
        <w:rPr>
          <w:lang w:val="fr-FR"/>
        </w:rPr>
        <w:t xml:space="preserve"> ans d</w:t>
      </w:r>
      <w:r w:rsidR="00747513">
        <w:rPr>
          <w:lang w:val="fr-FR"/>
        </w:rPr>
        <w:t>’</w:t>
      </w:r>
      <w:r w:rsidRPr="00402FDE">
        <w:rPr>
          <w:lang w:val="fr-FR"/>
        </w:rPr>
        <w:t>emprisonnement ou la peine capitale.</w:t>
      </w:r>
    </w:p>
    <w:p w:rsidR="00F35D42" w:rsidRPr="00CB720D" w:rsidRDefault="00F35D42" w:rsidP="00F35D42">
      <w:pPr>
        <w:pStyle w:val="SingleTxtG"/>
        <w:rPr>
          <w:spacing w:val="-1"/>
          <w:lang w:val="fr-FR"/>
        </w:rPr>
      </w:pPr>
      <w:r w:rsidRPr="00402FDE">
        <w:rPr>
          <w:lang w:val="fr-FR"/>
        </w:rPr>
        <w:t>2.5</w:t>
      </w:r>
      <w:r w:rsidRPr="00402FDE">
        <w:rPr>
          <w:lang w:val="fr-FR"/>
        </w:rPr>
        <w:tab/>
        <w:t>À la requête du tribunal municipal de Moscou et à la suite des plaintes déposées par trois détenus,</w:t>
      </w:r>
      <w:r>
        <w:rPr>
          <w:lang w:val="fr-FR"/>
        </w:rPr>
        <w:t xml:space="preserve"> </w:t>
      </w:r>
      <w:r w:rsidRPr="00402FDE">
        <w:rPr>
          <w:lang w:val="fr-FR"/>
        </w:rPr>
        <w:t>G.,</w:t>
      </w:r>
      <w:r>
        <w:rPr>
          <w:lang w:val="fr-FR"/>
        </w:rPr>
        <w:t xml:space="preserve"> </w:t>
      </w:r>
      <w:r w:rsidRPr="00402FDE">
        <w:rPr>
          <w:lang w:val="fr-FR"/>
        </w:rPr>
        <w:t>F. et</w:t>
      </w:r>
      <w:r>
        <w:rPr>
          <w:lang w:val="fr-FR"/>
        </w:rPr>
        <w:t xml:space="preserve"> </w:t>
      </w:r>
      <w:r w:rsidRPr="00402FDE">
        <w:rPr>
          <w:lang w:val="fr-FR"/>
        </w:rPr>
        <w:t xml:space="preserve">K., la Cour constitutionnelle russe a examiné la constitutionnalité des paragraphes 1 et 2 de la décision du </w:t>
      </w:r>
      <w:r>
        <w:rPr>
          <w:lang w:val="fr-FR"/>
        </w:rPr>
        <w:t>16 juillet 1993</w:t>
      </w:r>
      <w:r>
        <w:rPr>
          <w:rStyle w:val="FootnoteReference"/>
        </w:rPr>
        <w:footnoteReference w:id="10"/>
      </w:r>
      <w:r w:rsidRPr="00402FDE">
        <w:rPr>
          <w:lang w:val="fr-FR"/>
        </w:rPr>
        <w:t>. Le 2 février 1999, elle a conclu qu</w:t>
      </w:r>
      <w:r>
        <w:rPr>
          <w:lang w:val="fr-FR"/>
        </w:rPr>
        <w:t>e le</w:t>
      </w:r>
      <w:r w:rsidRPr="00402FDE">
        <w:rPr>
          <w:lang w:val="fr-FR"/>
        </w:rPr>
        <w:t xml:space="preserve"> paragraphe 1 de la décision était </w:t>
      </w:r>
      <w:r>
        <w:rPr>
          <w:lang w:val="fr-FR"/>
        </w:rPr>
        <w:t xml:space="preserve">en partie </w:t>
      </w:r>
      <w:r w:rsidRPr="00402FDE">
        <w:rPr>
          <w:lang w:val="fr-FR"/>
        </w:rPr>
        <w:t>contraire aux articles</w:t>
      </w:r>
      <w:r w:rsidR="00FD2245">
        <w:rPr>
          <w:lang w:val="fr-FR"/>
        </w:rPr>
        <w:t> </w:t>
      </w:r>
      <w:r w:rsidRPr="00402FDE">
        <w:rPr>
          <w:lang w:val="fr-FR"/>
        </w:rPr>
        <w:t>19, 20 et 46 de la Constitution car il ne permettait pas la réalisation du droit, accordé à tous les accusés passibles de la peine capitale, d</w:t>
      </w:r>
      <w:r w:rsidR="00747513">
        <w:rPr>
          <w:lang w:val="fr-FR"/>
        </w:rPr>
        <w:t>’</w:t>
      </w:r>
      <w:r w:rsidRPr="00402FDE">
        <w:rPr>
          <w:lang w:val="fr-FR"/>
        </w:rPr>
        <w:t>être jugés par un jury dans tout le territoire de la Fédération de Russie. Elle a indiqué que le paragraphe 1 de la décision du 16 juillet 1993 ne pouvait plus être invoqué pour rejeter la demande d</w:t>
      </w:r>
      <w:r w:rsidR="00747513">
        <w:rPr>
          <w:lang w:val="fr-FR"/>
        </w:rPr>
        <w:t>’</w:t>
      </w:r>
      <w:r w:rsidRPr="00402FDE">
        <w:rPr>
          <w:lang w:val="fr-FR"/>
        </w:rPr>
        <w:t>un accusé passible de la peine capitale d</w:t>
      </w:r>
      <w:r w:rsidR="00747513">
        <w:rPr>
          <w:lang w:val="fr-FR"/>
        </w:rPr>
        <w:t>’</w:t>
      </w:r>
      <w:r w:rsidRPr="00402FDE">
        <w:rPr>
          <w:lang w:val="fr-FR"/>
        </w:rPr>
        <w:t xml:space="preserve">être jugé par un jury et que les condamnés devaient avoir la possibilité de faire examiner leur cause par un jury. </w:t>
      </w:r>
      <w:r w:rsidRPr="00CB720D">
        <w:rPr>
          <w:spacing w:val="-1"/>
          <w:lang w:val="fr-FR"/>
        </w:rPr>
        <w:t>Entre l</w:t>
      </w:r>
      <w:r w:rsidR="00747513">
        <w:rPr>
          <w:spacing w:val="-1"/>
          <w:lang w:val="fr-FR"/>
        </w:rPr>
        <w:t>’</w:t>
      </w:r>
      <w:r w:rsidRPr="00CB720D">
        <w:rPr>
          <w:spacing w:val="-1"/>
          <w:lang w:val="fr-FR"/>
        </w:rPr>
        <w:t>entrée en vigueur de la décision de la Cour constitutionnelle en date du 2 février 1999 et l</w:t>
      </w:r>
      <w:r w:rsidR="00747513">
        <w:rPr>
          <w:spacing w:val="-1"/>
          <w:lang w:val="fr-FR"/>
        </w:rPr>
        <w:t>’</w:t>
      </w:r>
      <w:r w:rsidRPr="00CB720D">
        <w:rPr>
          <w:spacing w:val="-1"/>
          <w:lang w:val="fr-FR"/>
        </w:rPr>
        <w:t>entrée en vigueur d</w:t>
      </w:r>
      <w:r w:rsidR="00747513">
        <w:rPr>
          <w:spacing w:val="-1"/>
          <w:lang w:val="fr-FR"/>
        </w:rPr>
        <w:t>’</w:t>
      </w:r>
      <w:r w:rsidRPr="00CB720D">
        <w:rPr>
          <w:spacing w:val="-1"/>
          <w:lang w:val="fr-FR"/>
        </w:rPr>
        <w:t xml:space="preserve">une loi fédérale garantissant la réalisation effective du droit à un procès avec jury dans tout le territoire de la Russie, la peine capitale ne pouvait plus être imposée par un tribunal, quelle que soit sa composition (jurés, </w:t>
      </w:r>
      <w:r w:rsidR="00CB720D" w:rsidRPr="00CB720D">
        <w:rPr>
          <w:spacing w:val="-1"/>
          <w:lang w:val="fr-FR"/>
        </w:rPr>
        <w:t xml:space="preserve">avec </w:t>
      </w:r>
      <w:r w:rsidRPr="00CB720D">
        <w:rPr>
          <w:spacing w:val="-1"/>
          <w:lang w:val="fr-FR"/>
        </w:rPr>
        <w:t xml:space="preserve">trois juges professionnels ou un juge professionnel assisté de </w:t>
      </w:r>
      <w:r w:rsidR="00CB720D" w:rsidRPr="00CB720D">
        <w:rPr>
          <w:spacing w:val="-1"/>
          <w:lang w:val="fr-FR"/>
        </w:rPr>
        <w:t>deux juges non professionnels).</w:t>
      </w:r>
    </w:p>
    <w:p w:rsidR="00F35D42" w:rsidRPr="00402FDE" w:rsidRDefault="00F35D42" w:rsidP="00F35D42">
      <w:pPr>
        <w:pStyle w:val="SingleTxtG"/>
        <w:rPr>
          <w:lang w:val="fr-FR"/>
        </w:rPr>
      </w:pPr>
      <w:r w:rsidRPr="00402FDE">
        <w:rPr>
          <w:lang w:val="fr-FR"/>
        </w:rPr>
        <w:t>2.6</w:t>
      </w:r>
      <w:r w:rsidRPr="00402FDE">
        <w:rPr>
          <w:lang w:val="fr-FR"/>
        </w:rPr>
        <w:tab/>
        <w:t>L</w:t>
      </w:r>
      <w:r w:rsidR="00747513">
        <w:rPr>
          <w:lang w:val="fr-FR"/>
        </w:rPr>
        <w:t>’</w:t>
      </w:r>
      <w:r w:rsidRPr="00402FDE">
        <w:rPr>
          <w:lang w:val="fr-FR"/>
        </w:rPr>
        <w:t>auteur fait valoir que conformément à l</w:t>
      </w:r>
      <w:r w:rsidR="00747513">
        <w:rPr>
          <w:lang w:val="fr-FR"/>
        </w:rPr>
        <w:t>’</w:t>
      </w:r>
      <w:r w:rsidRPr="00402FDE">
        <w:rPr>
          <w:lang w:val="fr-FR"/>
        </w:rPr>
        <w:t>article</w:t>
      </w:r>
      <w:r w:rsidR="00CB720D">
        <w:rPr>
          <w:lang w:val="fr-FR"/>
        </w:rPr>
        <w:t> </w:t>
      </w:r>
      <w:r w:rsidRPr="00402FDE">
        <w:rPr>
          <w:lang w:val="fr-FR"/>
        </w:rPr>
        <w:t>10 du Code Pénal, à l</w:t>
      </w:r>
      <w:r w:rsidR="00747513">
        <w:rPr>
          <w:lang w:val="fr-FR"/>
        </w:rPr>
        <w:t>’</w:t>
      </w:r>
      <w:r w:rsidRPr="00402FDE">
        <w:rPr>
          <w:lang w:val="fr-FR"/>
        </w:rPr>
        <w:t>article</w:t>
      </w:r>
      <w:r w:rsidR="00CB720D">
        <w:rPr>
          <w:lang w:val="fr-FR"/>
        </w:rPr>
        <w:t> </w:t>
      </w:r>
      <w:r w:rsidRPr="00402FDE">
        <w:rPr>
          <w:lang w:val="fr-FR"/>
        </w:rPr>
        <w:t>54 de la Constitution et au paragraphe</w:t>
      </w:r>
      <w:r w:rsidR="00CB720D">
        <w:rPr>
          <w:lang w:val="fr-FR"/>
        </w:rPr>
        <w:t> </w:t>
      </w:r>
      <w:r w:rsidRPr="00402FDE">
        <w:rPr>
          <w:lang w:val="fr-FR"/>
        </w:rPr>
        <w:t>13 de l</w:t>
      </w:r>
      <w:r w:rsidR="00747513">
        <w:rPr>
          <w:lang w:val="fr-FR"/>
        </w:rPr>
        <w:t>’</w:t>
      </w:r>
      <w:r w:rsidRPr="00402FDE">
        <w:rPr>
          <w:lang w:val="fr-FR"/>
        </w:rPr>
        <w:t>article</w:t>
      </w:r>
      <w:r w:rsidR="00CB720D">
        <w:rPr>
          <w:lang w:val="fr-FR"/>
        </w:rPr>
        <w:t> </w:t>
      </w:r>
      <w:r w:rsidRPr="00402FDE">
        <w:rPr>
          <w:lang w:val="fr-FR"/>
        </w:rPr>
        <w:t xml:space="preserve">397 du Code de procédure pénale, le tribunal compétent aurait dû, de son propre chef, mettre la sentence prononcée contre lui en conformité avec la décision de la Cour constitutionnelle </w:t>
      </w:r>
      <w:r>
        <w:rPr>
          <w:lang w:val="fr-FR"/>
        </w:rPr>
        <w:t>en date du 2 février 1999. Cela </w:t>
      </w:r>
      <w:r w:rsidRPr="00402FDE">
        <w:rPr>
          <w:lang w:val="fr-FR"/>
        </w:rPr>
        <w:t>n</w:t>
      </w:r>
      <w:r w:rsidR="00747513">
        <w:rPr>
          <w:lang w:val="fr-FR"/>
        </w:rPr>
        <w:t>’</w:t>
      </w:r>
      <w:r w:rsidRPr="00402FDE">
        <w:rPr>
          <w:lang w:val="fr-FR"/>
        </w:rPr>
        <w:t>avait pas été le cas et l</w:t>
      </w:r>
      <w:r w:rsidR="00747513">
        <w:rPr>
          <w:lang w:val="fr-FR"/>
        </w:rPr>
        <w:t>’</w:t>
      </w:r>
      <w:r w:rsidRPr="00402FDE">
        <w:rPr>
          <w:lang w:val="fr-FR"/>
        </w:rPr>
        <w:t>auteur n</w:t>
      </w:r>
      <w:r w:rsidR="00747513">
        <w:rPr>
          <w:lang w:val="fr-FR"/>
        </w:rPr>
        <w:t>’</w:t>
      </w:r>
      <w:r w:rsidRPr="00402FDE">
        <w:rPr>
          <w:lang w:val="fr-FR"/>
        </w:rPr>
        <w:t>avait pas demandé au tribunal d</w:t>
      </w:r>
      <w:r w:rsidR="00747513">
        <w:rPr>
          <w:lang w:val="fr-FR"/>
        </w:rPr>
        <w:t>’</w:t>
      </w:r>
      <w:r w:rsidRPr="00402FDE">
        <w:rPr>
          <w:lang w:val="fr-FR"/>
        </w:rPr>
        <w:t>engager une procédure de réexamen par ignorance de la loi.</w:t>
      </w:r>
    </w:p>
    <w:p w:rsidR="00F35D42" w:rsidRPr="00402FDE" w:rsidRDefault="00F35D42" w:rsidP="00F35D42">
      <w:pPr>
        <w:pStyle w:val="SingleTxtG"/>
        <w:rPr>
          <w:lang w:val="fr-FR"/>
        </w:rPr>
      </w:pPr>
      <w:r w:rsidRPr="00402FDE">
        <w:rPr>
          <w:lang w:val="fr-FR"/>
        </w:rPr>
        <w:t>2.7</w:t>
      </w:r>
      <w:r w:rsidRPr="00402FDE">
        <w:rPr>
          <w:lang w:val="fr-FR"/>
        </w:rPr>
        <w:tab/>
        <w:t>En 2004, l</w:t>
      </w:r>
      <w:r w:rsidR="00747513">
        <w:rPr>
          <w:lang w:val="fr-FR"/>
        </w:rPr>
        <w:t>’</w:t>
      </w:r>
      <w:r w:rsidRPr="00402FDE">
        <w:rPr>
          <w:lang w:val="fr-FR"/>
        </w:rPr>
        <w:t xml:space="preserve">auteur a demandé au tribunal de district de </w:t>
      </w:r>
      <w:proofErr w:type="spellStart"/>
      <w:r w:rsidRPr="00402FDE">
        <w:rPr>
          <w:lang w:val="fr-FR"/>
        </w:rPr>
        <w:t>Sol-Iletsk</w:t>
      </w:r>
      <w:proofErr w:type="spellEnd"/>
      <w:r w:rsidRPr="00402FDE">
        <w:rPr>
          <w:lang w:val="fr-FR"/>
        </w:rPr>
        <w:t>, dans la région d</w:t>
      </w:r>
      <w:r w:rsidR="00747513">
        <w:rPr>
          <w:lang w:val="fr-FR"/>
        </w:rPr>
        <w:t>’</w:t>
      </w:r>
      <w:r w:rsidRPr="00402FDE">
        <w:rPr>
          <w:lang w:val="fr-FR"/>
        </w:rPr>
        <w:t>Orenbourg, de mettre sa sentence en conformité avec les modifications introduites dans le Code pénal par la loi du 8</w:t>
      </w:r>
      <w:r w:rsidR="00747513">
        <w:rPr>
          <w:lang w:val="fr-FR"/>
        </w:rPr>
        <w:t> </w:t>
      </w:r>
      <w:r w:rsidRPr="00402FDE">
        <w:rPr>
          <w:lang w:val="fr-FR"/>
        </w:rPr>
        <w:t>décembre 2003 portant modification et adaptation du Code pénal. Le 29</w:t>
      </w:r>
      <w:r w:rsidR="006D046F">
        <w:rPr>
          <w:lang w:val="fr-FR"/>
        </w:rPr>
        <w:t> </w:t>
      </w:r>
      <w:r w:rsidRPr="00402FDE">
        <w:rPr>
          <w:lang w:val="fr-FR"/>
        </w:rPr>
        <w:t xml:space="preserve">juin 2004, le tribunal de district de </w:t>
      </w:r>
      <w:proofErr w:type="spellStart"/>
      <w:r w:rsidRPr="00402FDE">
        <w:rPr>
          <w:lang w:val="fr-FR"/>
        </w:rPr>
        <w:t>Sol-Iletsk</w:t>
      </w:r>
      <w:proofErr w:type="spellEnd"/>
      <w:r w:rsidRPr="00402FDE">
        <w:rPr>
          <w:lang w:val="fr-FR"/>
        </w:rPr>
        <w:t xml:space="preserve"> a examiné la condamnation de l</w:t>
      </w:r>
      <w:r w:rsidR="00747513">
        <w:rPr>
          <w:lang w:val="fr-FR"/>
        </w:rPr>
        <w:t>’</w:t>
      </w:r>
      <w:r w:rsidRPr="00402FDE">
        <w:rPr>
          <w:lang w:val="fr-FR"/>
        </w:rPr>
        <w:t>auteur, a modifié la qualification juridique de certains de ses actes mais a maintenu la peine de réclusion à perpétuité. L</w:t>
      </w:r>
      <w:r w:rsidR="00747513">
        <w:rPr>
          <w:lang w:val="fr-FR"/>
        </w:rPr>
        <w:t>’</w:t>
      </w:r>
      <w:r w:rsidRPr="00402FDE">
        <w:rPr>
          <w:lang w:val="fr-FR"/>
        </w:rPr>
        <w:t xml:space="preserve">auteur affirme que le tribunal de district </w:t>
      </w:r>
      <w:r>
        <w:rPr>
          <w:lang w:val="fr-FR"/>
        </w:rPr>
        <w:t xml:space="preserve">de </w:t>
      </w:r>
      <w:proofErr w:type="spellStart"/>
      <w:r w:rsidRPr="00402FDE">
        <w:rPr>
          <w:lang w:val="fr-FR"/>
        </w:rPr>
        <w:t>Sol-Iletsk</w:t>
      </w:r>
      <w:proofErr w:type="spellEnd"/>
      <w:r w:rsidRPr="00402FDE">
        <w:rPr>
          <w:lang w:val="fr-FR"/>
        </w:rPr>
        <w:t xml:space="preserve"> a omis de rendre sa peine conforme à la loi alors en vigueur, et, plus précisément, à la décision rendue par la Cour constitutionnelle le 2</w:t>
      </w:r>
      <w:r w:rsidR="006D046F">
        <w:rPr>
          <w:lang w:val="fr-FR"/>
        </w:rPr>
        <w:t> </w:t>
      </w:r>
      <w:r w:rsidRPr="00402FDE">
        <w:rPr>
          <w:lang w:val="fr-FR"/>
        </w:rPr>
        <w:t>février 1999.</w:t>
      </w:r>
    </w:p>
    <w:p w:rsidR="00F35D42" w:rsidRPr="00402FDE" w:rsidRDefault="00F35D42" w:rsidP="00F35D42">
      <w:pPr>
        <w:pStyle w:val="SingleTxtG"/>
        <w:rPr>
          <w:lang w:val="fr-FR"/>
        </w:rPr>
      </w:pPr>
      <w:r w:rsidRPr="00402FDE">
        <w:rPr>
          <w:lang w:val="fr-FR"/>
        </w:rPr>
        <w:t>2.8</w:t>
      </w:r>
      <w:r w:rsidRPr="00402FDE">
        <w:rPr>
          <w:lang w:val="fr-FR"/>
        </w:rPr>
        <w:tab/>
        <w:t>En mars 2006, l</w:t>
      </w:r>
      <w:r w:rsidR="00747513">
        <w:rPr>
          <w:lang w:val="fr-FR"/>
        </w:rPr>
        <w:t>’</w:t>
      </w:r>
      <w:r w:rsidRPr="00402FDE">
        <w:rPr>
          <w:lang w:val="fr-FR"/>
        </w:rPr>
        <w:t>auteur a été informé de la décision par laquelle le tribunal municipal de Zlatooust, dans la région de Tcheliabinsk, le 29</w:t>
      </w:r>
      <w:r w:rsidR="006D046F">
        <w:rPr>
          <w:lang w:val="fr-FR"/>
        </w:rPr>
        <w:t> </w:t>
      </w:r>
      <w:r w:rsidRPr="00402FDE">
        <w:rPr>
          <w:lang w:val="fr-FR"/>
        </w:rPr>
        <w:t>janvier 2001, avait mis la condamnation prononcée contre un autre détenu, D., en conformité avec la décision de la Cour constitutionnelle en date du 2 février 1999. Ayant appris que cette décision constituait un précédent qu</w:t>
      </w:r>
      <w:r w:rsidR="00747513">
        <w:rPr>
          <w:lang w:val="fr-FR"/>
        </w:rPr>
        <w:t>’</w:t>
      </w:r>
      <w:r w:rsidRPr="00402FDE">
        <w:rPr>
          <w:lang w:val="fr-FR"/>
        </w:rPr>
        <w:t>il pouvait invoquer pour demander à être jugé par un tribunal compétent, l</w:t>
      </w:r>
      <w:r w:rsidR="00747513">
        <w:rPr>
          <w:lang w:val="fr-FR"/>
        </w:rPr>
        <w:t>’</w:t>
      </w:r>
      <w:r w:rsidRPr="00402FDE">
        <w:rPr>
          <w:lang w:val="fr-FR"/>
        </w:rPr>
        <w:t xml:space="preserve">auteur, à une date non précisée, a introduit une demande en ce sens auprès du tribunal de district de </w:t>
      </w:r>
      <w:proofErr w:type="spellStart"/>
      <w:r w:rsidRPr="00402FDE">
        <w:rPr>
          <w:lang w:val="fr-FR"/>
        </w:rPr>
        <w:t>Sol-Iletsk</w:t>
      </w:r>
      <w:proofErr w:type="spellEnd"/>
      <w:r w:rsidRPr="00402FDE">
        <w:rPr>
          <w:lang w:val="fr-FR"/>
        </w:rPr>
        <w:t xml:space="preserve"> de la région d</w:t>
      </w:r>
      <w:r w:rsidR="00747513">
        <w:rPr>
          <w:lang w:val="fr-FR"/>
        </w:rPr>
        <w:t>’</w:t>
      </w:r>
      <w:r w:rsidRPr="00402FDE">
        <w:rPr>
          <w:lang w:val="fr-FR"/>
        </w:rPr>
        <w:t>Orenbourg.</w:t>
      </w:r>
    </w:p>
    <w:p w:rsidR="00F35D42" w:rsidRPr="00402FDE" w:rsidRDefault="00F35D42" w:rsidP="00F35D42">
      <w:pPr>
        <w:pStyle w:val="SingleTxtG"/>
        <w:rPr>
          <w:lang w:val="fr-FR"/>
        </w:rPr>
      </w:pPr>
      <w:r w:rsidRPr="00402FDE">
        <w:rPr>
          <w:lang w:val="fr-FR"/>
        </w:rPr>
        <w:t>2.9</w:t>
      </w:r>
      <w:r w:rsidRPr="00402FDE">
        <w:rPr>
          <w:lang w:val="fr-FR"/>
        </w:rPr>
        <w:tab/>
        <w:t>Le 23</w:t>
      </w:r>
      <w:r w:rsidR="006D046F">
        <w:rPr>
          <w:lang w:val="fr-FR"/>
        </w:rPr>
        <w:t> </w:t>
      </w:r>
      <w:r w:rsidRPr="00402FDE">
        <w:rPr>
          <w:lang w:val="fr-FR"/>
        </w:rPr>
        <w:t xml:space="preserve">août 2006, le tribunal de district de </w:t>
      </w:r>
      <w:proofErr w:type="spellStart"/>
      <w:r w:rsidRPr="00402FDE">
        <w:rPr>
          <w:lang w:val="fr-FR"/>
        </w:rPr>
        <w:t>Sol-Iletsk</w:t>
      </w:r>
      <w:proofErr w:type="spellEnd"/>
      <w:r w:rsidRPr="00402FDE">
        <w:rPr>
          <w:lang w:val="fr-FR"/>
        </w:rPr>
        <w:t xml:space="preserve"> de la région d</w:t>
      </w:r>
      <w:r w:rsidR="00747513">
        <w:rPr>
          <w:lang w:val="fr-FR"/>
        </w:rPr>
        <w:t>’</w:t>
      </w:r>
      <w:r w:rsidRPr="00402FDE">
        <w:rPr>
          <w:lang w:val="fr-FR"/>
        </w:rPr>
        <w:t>Orenbourg s</w:t>
      </w:r>
      <w:r w:rsidR="00747513">
        <w:rPr>
          <w:lang w:val="fr-FR"/>
        </w:rPr>
        <w:t>’</w:t>
      </w:r>
      <w:r w:rsidRPr="00402FDE">
        <w:rPr>
          <w:lang w:val="fr-FR"/>
        </w:rPr>
        <w:t>est déclaré incompétent et a rejeté la demande, expliquant que la question relevait de la compétence du Présidium de la Cour suprême. L</w:t>
      </w:r>
      <w:r w:rsidR="00747513">
        <w:rPr>
          <w:lang w:val="fr-FR"/>
        </w:rPr>
        <w:t>’</w:t>
      </w:r>
      <w:r w:rsidRPr="00402FDE">
        <w:rPr>
          <w:lang w:val="fr-FR"/>
        </w:rPr>
        <w:t>auteur affirme que cette décision a violé des droits qui lui sont reconnus par le paragraphe</w:t>
      </w:r>
      <w:r w:rsidR="006D046F">
        <w:rPr>
          <w:lang w:val="fr-FR"/>
        </w:rPr>
        <w:t> </w:t>
      </w:r>
      <w:r w:rsidRPr="00402FDE">
        <w:rPr>
          <w:lang w:val="fr-FR"/>
        </w:rPr>
        <w:t>13 de l</w:t>
      </w:r>
      <w:r w:rsidR="00747513">
        <w:rPr>
          <w:lang w:val="fr-FR"/>
        </w:rPr>
        <w:t>’</w:t>
      </w:r>
      <w:r w:rsidRPr="00402FDE">
        <w:rPr>
          <w:lang w:val="fr-FR"/>
        </w:rPr>
        <w:t>article</w:t>
      </w:r>
      <w:r w:rsidR="006D046F">
        <w:rPr>
          <w:lang w:val="fr-FR"/>
        </w:rPr>
        <w:t> </w:t>
      </w:r>
      <w:r w:rsidRPr="00402FDE">
        <w:rPr>
          <w:lang w:val="fr-FR"/>
        </w:rPr>
        <w:t>397 du Code de procédure pénale et l</w:t>
      </w:r>
      <w:r w:rsidR="00747513">
        <w:rPr>
          <w:lang w:val="fr-FR"/>
        </w:rPr>
        <w:t>’</w:t>
      </w:r>
      <w:r w:rsidRPr="00402FDE">
        <w:rPr>
          <w:lang w:val="fr-FR"/>
        </w:rPr>
        <w:t>article</w:t>
      </w:r>
      <w:r w:rsidR="006D046F">
        <w:rPr>
          <w:lang w:val="fr-FR"/>
        </w:rPr>
        <w:t> </w:t>
      </w:r>
      <w:r w:rsidRPr="00402FDE">
        <w:rPr>
          <w:lang w:val="fr-FR"/>
        </w:rPr>
        <w:t xml:space="preserve">19 de la Constitution, car ce tribunal était du même niveau hiérarchique que le tribunal municipal de Zlatooust de la région </w:t>
      </w:r>
      <w:r>
        <w:rPr>
          <w:lang w:val="fr-FR"/>
        </w:rPr>
        <w:t>de Tcheliabinsk (voir par.</w:t>
      </w:r>
      <w:r w:rsidR="006D046F">
        <w:rPr>
          <w:lang w:val="fr-FR"/>
        </w:rPr>
        <w:t> </w:t>
      </w:r>
      <w:r w:rsidRPr="00402FDE">
        <w:rPr>
          <w:lang w:val="fr-FR"/>
        </w:rPr>
        <w:t>2.8) et avait donc la même autorité que celui-ci pour mettre la sentence prononcée contre lui en conformité avec la décision de la Cour constitutionnelle en date du 2</w:t>
      </w:r>
      <w:r w:rsidR="006D046F">
        <w:rPr>
          <w:lang w:val="fr-FR"/>
        </w:rPr>
        <w:t> </w:t>
      </w:r>
      <w:r w:rsidRPr="00402FDE">
        <w:rPr>
          <w:lang w:val="fr-FR"/>
        </w:rPr>
        <w:t>février 1999.</w:t>
      </w:r>
    </w:p>
    <w:p w:rsidR="00F35D42" w:rsidRPr="00BC0199" w:rsidRDefault="00F35D42" w:rsidP="00F35D42">
      <w:pPr>
        <w:pStyle w:val="SingleTxtG"/>
        <w:rPr>
          <w:spacing w:val="-1"/>
          <w:lang w:val="fr-FR"/>
        </w:rPr>
      </w:pPr>
      <w:r w:rsidRPr="00402FDE">
        <w:rPr>
          <w:lang w:val="fr-FR"/>
        </w:rPr>
        <w:t>2.10</w:t>
      </w:r>
      <w:r w:rsidRPr="00402FDE">
        <w:rPr>
          <w:lang w:val="fr-FR"/>
        </w:rPr>
        <w:tab/>
      </w:r>
      <w:r w:rsidRPr="00BC0199">
        <w:rPr>
          <w:spacing w:val="-1"/>
          <w:lang w:val="fr-FR"/>
        </w:rPr>
        <w:t>En octobre 2006, l</w:t>
      </w:r>
      <w:r w:rsidR="00747513">
        <w:rPr>
          <w:spacing w:val="-1"/>
          <w:lang w:val="fr-FR"/>
        </w:rPr>
        <w:t>’</w:t>
      </w:r>
      <w:r w:rsidRPr="00BC0199">
        <w:rPr>
          <w:spacing w:val="-1"/>
          <w:lang w:val="fr-FR"/>
        </w:rPr>
        <w:t>auteur a introduit un recours auprès du Président de la Cour suprême. Le 2</w:t>
      </w:r>
      <w:r w:rsidR="000A13B7" w:rsidRPr="00BC0199">
        <w:rPr>
          <w:spacing w:val="-1"/>
          <w:lang w:val="fr-FR"/>
        </w:rPr>
        <w:t> </w:t>
      </w:r>
      <w:r w:rsidRPr="00BC0199">
        <w:rPr>
          <w:spacing w:val="-1"/>
          <w:lang w:val="fr-FR"/>
        </w:rPr>
        <w:t>mars 2007, le recours a été rejeté par un juge de la Cour suprême au motif que l</w:t>
      </w:r>
      <w:r w:rsidR="00747513">
        <w:rPr>
          <w:spacing w:val="-1"/>
          <w:lang w:val="fr-FR"/>
        </w:rPr>
        <w:t>’</w:t>
      </w:r>
      <w:r w:rsidRPr="00BC0199">
        <w:rPr>
          <w:spacing w:val="-1"/>
          <w:lang w:val="fr-FR"/>
        </w:rPr>
        <w:t>auteur n</w:t>
      </w:r>
      <w:r w:rsidR="00747513">
        <w:rPr>
          <w:spacing w:val="-1"/>
          <w:lang w:val="fr-FR"/>
        </w:rPr>
        <w:t>’</w:t>
      </w:r>
      <w:r w:rsidRPr="00BC0199">
        <w:rPr>
          <w:spacing w:val="-1"/>
          <w:lang w:val="fr-FR"/>
        </w:rPr>
        <w:t>avait pas pris part à la procédure constitutionnelle qui avait abouti à la décision rendue par la Cour constitutionnelle le 2</w:t>
      </w:r>
      <w:r w:rsidR="000A13B7" w:rsidRPr="00BC0199">
        <w:rPr>
          <w:spacing w:val="-1"/>
          <w:lang w:val="fr-FR"/>
        </w:rPr>
        <w:t> </w:t>
      </w:r>
      <w:r w:rsidRPr="00BC0199">
        <w:rPr>
          <w:spacing w:val="-1"/>
          <w:lang w:val="fr-FR"/>
        </w:rPr>
        <w:t>février 1999. Rien, dans l</w:t>
      </w:r>
      <w:r w:rsidR="00747513">
        <w:rPr>
          <w:spacing w:val="-1"/>
          <w:lang w:val="fr-FR"/>
        </w:rPr>
        <w:t>’</w:t>
      </w:r>
      <w:r w:rsidR="000A13B7" w:rsidRPr="00BC0199">
        <w:rPr>
          <w:spacing w:val="-1"/>
          <w:lang w:val="fr-FR"/>
        </w:rPr>
        <w:t>article </w:t>
      </w:r>
      <w:r w:rsidRPr="00BC0199">
        <w:rPr>
          <w:spacing w:val="-1"/>
          <w:lang w:val="fr-FR"/>
        </w:rPr>
        <w:t>49 du Code de procédure pénale, ne pouvait donc être invoqué comme motif de révision de sa condamnation. L</w:t>
      </w:r>
      <w:r w:rsidR="00747513">
        <w:rPr>
          <w:spacing w:val="-1"/>
          <w:lang w:val="fr-FR"/>
        </w:rPr>
        <w:t>’</w:t>
      </w:r>
      <w:r w:rsidRPr="00BC0199">
        <w:rPr>
          <w:spacing w:val="-1"/>
          <w:lang w:val="fr-FR"/>
        </w:rPr>
        <w:t>auteur fait valoir que bien que D. (voir par.</w:t>
      </w:r>
      <w:r w:rsidR="000A13B7" w:rsidRPr="00BC0199">
        <w:rPr>
          <w:spacing w:val="-1"/>
          <w:lang w:val="fr-FR"/>
        </w:rPr>
        <w:t> </w:t>
      </w:r>
      <w:r w:rsidRPr="00BC0199">
        <w:rPr>
          <w:spacing w:val="-1"/>
          <w:lang w:val="fr-FR"/>
        </w:rPr>
        <w:t>2.8) n</w:t>
      </w:r>
      <w:r w:rsidR="00747513">
        <w:rPr>
          <w:spacing w:val="-1"/>
          <w:lang w:val="fr-FR"/>
        </w:rPr>
        <w:t>’</w:t>
      </w:r>
      <w:r w:rsidRPr="00BC0199">
        <w:rPr>
          <w:spacing w:val="-1"/>
          <w:lang w:val="fr-FR"/>
        </w:rPr>
        <w:t>ait pas pris part à la procédure constitutionnelle en question, sa peine a été mise en conformité avec la décision de la Cour constitutionnelle du 2</w:t>
      </w:r>
      <w:r w:rsidR="000A13B7" w:rsidRPr="00BC0199">
        <w:rPr>
          <w:spacing w:val="-1"/>
          <w:lang w:val="fr-FR"/>
        </w:rPr>
        <w:t> </w:t>
      </w:r>
      <w:r w:rsidRPr="00BC0199">
        <w:rPr>
          <w:spacing w:val="-1"/>
          <w:lang w:val="fr-FR"/>
        </w:rPr>
        <w:t>février 1999. En outre, la Cour constitutionnelle ne peut pas prendre deux décisions différentes sur le même sujet et, lorsqu</w:t>
      </w:r>
      <w:r w:rsidR="00747513">
        <w:rPr>
          <w:spacing w:val="-1"/>
          <w:lang w:val="fr-FR"/>
        </w:rPr>
        <w:t>’</w:t>
      </w:r>
      <w:r w:rsidRPr="00BC0199">
        <w:rPr>
          <w:spacing w:val="-1"/>
          <w:lang w:val="fr-FR"/>
        </w:rPr>
        <w:t>une question similaire se pose, les tribunaux doivent être guidés par la décision existante de la Cour constitutionnelle</w:t>
      </w:r>
      <w:r w:rsidRPr="00BC0199">
        <w:rPr>
          <w:rStyle w:val="FootnoteReference"/>
          <w:spacing w:val="-1"/>
        </w:rPr>
        <w:footnoteReference w:id="11"/>
      </w:r>
      <w:r w:rsidRPr="00BC0199">
        <w:rPr>
          <w:spacing w:val="-1"/>
          <w:lang w:val="fr-FR"/>
        </w:rPr>
        <w:t>.</w:t>
      </w:r>
    </w:p>
    <w:p w:rsidR="00F35D42" w:rsidRPr="00402FDE" w:rsidRDefault="00F35D42" w:rsidP="00F35D42">
      <w:pPr>
        <w:pStyle w:val="SingleTxtG"/>
        <w:rPr>
          <w:lang w:val="fr-FR"/>
        </w:rPr>
      </w:pPr>
      <w:r w:rsidRPr="00402FDE">
        <w:rPr>
          <w:lang w:val="fr-FR"/>
        </w:rPr>
        <w:t>2.11</w:t>
      </w:r>
      <w:r w:rsidRPr="00402FDE">
        <w:rPr>
          <w:lang w:val="fr-FR"/>
        </w:rPr>
        <w:tab/>
        <w:t xml:space="preserve">Par une lettre </w:t>
      </w:r>
      <w:r>
        <w:rPr>
          <w:lang w:val="fr-FR"/>
        </w:rPr>
        <w:t>reçue le 31</w:t>
      </w:r>
      <w:r w:rsidR="000A13B7">
        <w:rPr>
          <w:lang w:val="fr-FR"/>
        </w:rPr>
        <w:t> </w:t>
      </w:r>
      <w:r>
        <w:rPr>
          <w:lang w:val="fr-FR"/>
        </w:rPr>
        <w:t xml:space="preserve">août 2010, la sœur </w:t>
      </w:r>
      <w:r w:rsidRPr="00402FDE">
        <w:rPr>
          <w:lang w:val="fr-FR"/>
        </w:rPr>
        <w:t>de l</w:t>
      </w:r>
      <w:r w:rsidR="00747513">
        <w:rPr>
          <w:lang w:val="fr-FR"/>
        </w:rPr>
        <w:t>’</w:t>
      </w:r>
      <w:r w:rsidRPr="00402FDE">
        <w:rPr>
          <w:lang w:val="fr-FR"/>
        </w:rPr>
        <w:t>auteur a informé le Comité que son frère ne cessait d</w:t>
      </w:r>
      <w:r w:rsidR="00747513">
        <w:rPr>
          <w:lang w:val="fr-FR"/>
        </w:rPr>
        <w:t>’</w:t>
      </w:r>
      <w:r w:rsidRPr="00402FDE">
        <w:rPr>
          <w:lang w:val="fr-FR"/>
        </w:rPr>
        <w:t>avoir des difficultés à recevoir et envoyer du courrier en rapport avec la présente communication. En particulier, bien que l</w:t>
      </w:r>
      <w:r w:rsidR="00747513">
        <w:rPr>
          <w:lang w:val="fr-FR"/>
        </w:rPr>
        <w:t>’</w:t>
      </w:r>
      <w:r w:rsidRPr="00402FDE">
        <w:rPr>
          <w:lang w:val="fr-FR"/>
        </w:rPr>
        <w:t xml:space="preserve">auteur ait reçu </w:t>
      </w:r>
      <w:r w:rsidR="000A13B7">
        <w:rPr>
          <w:lang w:val="fr-FR"/>
        </w:rPr>
        <w:t>la</w:t>
      </w:r>
      <w:r w:rsidRPr="00402FDE">
        <w:rPr>
          <w:lang w:val="fr-FR"/>
        </w:rPr>
        <w:t xml:space="preserve"> lettre du Comité en date du 31</w:t>
      </w:r>
      <w:r w:rsidR="000A13B7">
        <w:rPr>
          <w:lang w:val="fr-FR"/>
        </w:rPr>
        <w:t> </w:t>
      </w:r>
      <w:r w:rsidRPr="00402FDE">
        <w:rPr>
          <w:lang w:val="fr-FR"/>
        </w:rPr>
        <w:t>mars 2010, les observations datées du 4</w:t>
      </w:r>
      <w:r w:rsidR="000A13B7">
        <w:rPr>
          <w:lang w:val="fr-FR"/>
        </w:rPr>
        <w:t> </w:t>
      </w:r>
      <w:r w:rsidRPr="00402FDE">
        <w:rPr>
          <w:lang w:val="fr-FR"/>
        </w:rPr>
        <w:t>mai 2010</w:t>
      </w:r>
      <w:r>
        <w:rPr>
          <w:rStyle w:val="FootnoteReference"/>
        </w:rPr>
        <w:footnoteReference w:id="12"/>
      </w:r>
      <w:r w:rsidRPr="00402FDE">
        <w:rPr>
          <w:lang w:val="fr-FR"/>
        </w:rPr>
        <w:t xml:space="preserve"> qu</w:t>
      </w:r>
      <w:r w:rsidR="00747513">
        <w:rPr>
          <w:lang w:val="fr-FR"/>
        </w:rPr>
        <w:t>’</w:t>
      </w:r>
      <w:r w:rsidRPr="00402FDE">
        <w:rPr>
          <w:lang w:val="fr-FR"/>
        </w:rPr>
        <w:t>il avait envoyées à l</w:t>
      </w:r>
      <w:r w:rsidR="00747513">
        <w:rPr>
          <w:lang w:val="fr-FR"/>
        </w:rPr>
        <w:t>’</w:t>
      </w:r>
      <w:r w:rsidRPr="00402FDE">
        <w:rPr>
          <w:lang w:val="fr-FR"/>
        </w:rPr>
        <w:t>adresse de sa sœur pour qu</w:t>
      </w:r>
      <w:r w:rsidR="00747513">
        <w:rPr>
          <w:lang w:val="fr-FR"/>
        </w:rPr>
        <w:t>’</w:t>
      </w:r>
      <w:r w:rsidRPr="00402FDE">
        <w:rPr>
          <w:lang w:val="fr-FR"/>
        </w:rPr>
        <w:t>elle les transmette ensuite au Comité n</w:t>
      </w:r>
      <w:r w:rsidR="00747513">
        <w:rPr>
          <w:lang w:val="fr-FR"/>
        </w:rPr>
        <w:t>’</w:t>
      </w:r>
      <w:r w:rsidRPr="00402FDE">
        <w:rPr>
          <w:lang w:val="fr-FR"/>
        </w:rPr>
        <w:t>étaient jamais arrivées. Le 7</w:t>
      </w:r>
      <w:r w:rsidR="000A13B7">
        <w:rPr>
          <w:lang w:val="fr-FR"/>
        </w:rPr>
        <w:t> </w:t>
      </w:r>
      <w:r w:rsidRPr="00402FDE">
        <w:rPr>
          <w:lang w:val="fr-FR"/>
        </w:rPr>
        <w:t>juillet 2010, l</w:t>
      </w:r>
      <w:r w:rsidR="00747513">
        <w:rPr>
          <w:lang w:val="fr-FR"/>
        </w:rPr>
        <w:t>’</w:t>
      </w:r>
      <w:r w:rsidRPr="00402FDE">
        <w:rPr>
          <w:lang w:val="fr-FR"/>
        </w:rPr>
        <w:t>auteur a de nouveau envoyé une copie de ses observations du 4</w:t>
      </w:r>
      <w:r w:rsidR="000A13B7">
        <w:rPr>
          <w:lang w:val="fr-FR"/>
        </w:rPr>
        <w:t> </w:t>
      </w:r>
      <w:r w:rsidRPr="00402FDE">
        <w:rPr>
          <w:lang w:val="fr-FR"/>
        </w:rPr>
        <w:t>mai 2010 à sa sœur, qui ne l</w:t>
      </w:r>
      <w:r w:rsidR="00747513">
        <w:rPr>
          <w:lang w:val="fr-FR"/>
        </w:rPr>
        <w:t>’</w:t>
      </w:r>
      <w:r>
        <w:rPr>
          <w:lang w:val="fr-FR"/>
        </w:rPr>
        <w:t xml:space="preserve">a pas reçue non plus. La sœur </w:t>
      </w:r>
      <w:r w:rsidRPr="00402FDE">
        <w:rPr>
          <w:lang w:val="fr-FR"/>
        </w:rPr>
        <w:t>de l</w:t>
      </w:r>
      <w:r w:rsidR="00747513">
        <w:rPr>
          <w:lang w:val="fr-FR"/>
        </w:rPr>
        <w:t>’</w:t>
      </w:r>
      <w:r>
        <w:rPr>
          <w:lang w:val="fr-FR"/>
        </w:rPr>
        <w:t>auteur a demandé au Comité: 1) </w:t>
      </w:r>
      <w:r w:rsidRPr="00402FDE">
        <w:rPr>
          <w:lang w:val="fr-FR"/>
        </w:rPr>
        <w:t>de ne pas cesser l</w:t>
      </w:r>
      <w:r w:rsidR="00747513">
        <w:rPr>
          <w:lang w:val="fr-FR"/>
        </w:rPr>
        <w:t>’</w:t>
      </w:r>
      <w:r w:rsidRPr="00402FDE">
        <w:rPr>
          <w:lang w:val="fr-FR"/>
        </w:rPr>
        <w:t>examen de sa communication, 2)</w:t>
      </w:r>
      <w:r w:rsidR="000A13B7">
        <w:rPr>
          <w:lang w:val="fr-FR"/>
        </w:rPr>
        <w:t> </w:t>
      </w:r>
      <w:r w:rsidRPr="00402FDE">
        <w:rPr>
          <w:lang w:val="fr-FR"/>
        </w:rPr>
        <w:t>d</w:t>
      </w:r>
      <w:r w:rsidR="00747513">
        <w:rPr>
          <w:lang w:val="fr-FR"/>
        </w:rPr>
        <w:t>’</w:t>
      </w:r>
      <w:r w:rsidRPr="00402FDE">
        <w:rPr>
          <w:lang w:val="fr-FR"/>
        </w:rPr>
        <w:t>informer la Mission permanente de la Fédération de Russie à Genève de l</w:t>
      </w:r>
      <w:r w:rsidR="00747513">
        <w:rPr>
          <w:lang w:val="fr-FR"/>
        </w:rPr>
        <w:t>’</w:t>
      </w:r>
      <w:r w:rsidRPr="00402FDE">
        <w:rPr>
          <w:lang w:val="fr-FR"/>
        </w:rPr>
        <w:t>immixtion dans la correspondance de l</w:t>
      </w:r>
      <w:r w:rsidR="00747513">
        <w:rPr>
          <w:lang w:val="fr-FR"/>
        </w:rPr>
        <w:t>’</w:t>
      </w:r>
      <w:r w:rsidRPr="00402FDE">
        <w:rPr>
          <w:lang w:val="fr-FR"/>
        </w:rPr>
        <w:t>auteur avec le Comité, et 3)</w:t>
      </w:r>
      <w:r w:rsidR="00747513">
        <w:rPr>
          <w:lang w:val="fr-FR"/>
        </w:rPr>
        <w:t> </w:t>
      </w:r>
      <w:r w:rsidRPr="00402FDE">
        <w:rPr>
          <w:lang w:val="fr-FR"/>
        </w:rPr>
        <w:t>de demander à la Mission permanente de la Fédération de Russie de fournir des explications</w:t>
      </w:r>
      <w:r>
        <w:rPr>
          <w:rStyle w:val="FootnoteReference"/>
        </w:rPr>
        <w:footnoteReference w:id="13"/>
      </w:r>
      <w:r w:rsidR="000A13B7">
        <w:rPr>
          <w:lang w:val="fr-FR"/>
        </w:rPr>
        <w:t>.</w:t>
      </w:r>
    </w:p>
    <w:p w:rsidR="00F35D42" w:rsidRPr="00402FDE" w:rsidRDefault="00F35D42" w:rsidP="00F35D42">
      <w:pPr>
        <w:pStyle w:val="H23G"/>
        <w:rPr>
          <w:lang w:val="fr-FR"/>
        </w:rPr>
      </w:pPr>
      <w:r w:rsidRPr="00402FDE">
        <w:rPr>
          <w:lang w:val="fr-FR"/>
        </w:rPr>
        <w:tab/>
      </w:r>
      <w:r w:rsidRPr="00402FDE">
        <w:rPr>
          <w:lang w:val="fr-FR"/>
        </w:rPr>
        <w:tab/>
        <w:t>Teneur de la plainte</w:t>
      </w:r>
    </w:p>
    <w:p w:rsidR="00F35D42" w:rsidRPr="00402FDE" w:rsidRDefault="00F35D42" w:rsidP="00F35D42">
      <w:pPr>
        <w:pStyle w:val="SingleTxtG"/>
        <w:rPr>
          <w:lang w:val="fr-FR"/>
        </w:rPr>
      </w:pPr>
      <w:r w:rsidRPr="00402FDE">
        <w:rPr>
          <w:lang w:val="fr-FR"/>
        </w:rPr>
        <w:t>3.1</w:t>
      </w:r>
      <w:r w:rsidRPr="00402FDE">
        <w:rPr>
          <w:lang w:val="fr-FR"/>
        </w:rPr>
        <w:tab/>
        <w:t>L</w:t>
      </w:r>
      <w:r w:rsidR="00747513">
        <w:rPr>
          <w:lang w:val="fr-FR"/>
        </w:rPr>
        <w:t>’</w:t>
      </w:r>
      <w:r w:rsidRPr="00402FDE">
        <w:rPr>
          <w:lang w:val="fr-FR"/>
        </w:rPr>
        <w:t>auteur soutient que les faits décrits ci-dessus constituent des violations, par l</w:t>
      </w:r>
      <w:r w:rsidR="00747513">
        <w:rPr>
          <w:lang w:val="fr-FR"/>
        </w:rPr>
        <w:t>’</w:t>
      </w:r>
      <w:r w:rsidRPr="00402FDE">
        <w:rPr>
          <w:lang w:val="fr-FR"/>
        </w:rPr>
        <w:t>État partie, des droits qui lui sont reconnus aux articles 2, 6, 7, 14, 15 et 26 du Pacte</w:t>
      </w:r>
      <w:r>
        <w:rPr>
          <w:rStyle w:val="FootnoteReference"/>
        </w:rPr>
        <w:footnoteReference w:id="14"/>
      </w:r>
      <w:r>
        <w:rPr>
          <w:lang w:val="fr-FR"/>
        </w:rPr>
        <w:t>. En </w:t>
      </w:r>
      <w:r w:rsidRPr="00402FDE">
        <w:rPr>
          <w:lang w:val="fr-FR"/>
        </w:rPr>
        <w:t>particulier, il fait valoir qu</w:t>
      </w:r>
      <w:r w:rsidR="00747513">
        <w:rPr>
          <w:lang w:val="fr-FR"/>
        </w:rPr>
        <w:t>’</w:t>
      </w:r>
      <w:r w:rsidRPr="00402FDE">
        <w:rPr>
          <w:lang w:val="fr-FR"/>
        </w:rPr>
        <w:t>il n</w:t>
      </w:r>
      <w:r w:rsidR="00747513">
        <w:rPr>
          <w:lang w:val="fr-FR"/>
        </w:rPr>
        <w:t>’</w:t>
      </w:r>
      <w:r w:rsidRPr="00402FDE">
        <w:rPr>
          <w:lang w:val="fr-FR"/>
        </w:rPr>
        <w:t>a pas été jugé par un tribunal compétent, en violation des articles</w:t>
      </w:r>
      <w:r w:rsidR="000A13B7">
        <w:rPr>
          <w:lang w:val="fr-FR"/>
        </w:rPr>
        <w:t> </w:t>
      </w:r>
      <w:r w:rsidRPr="00402FDE">
        <w:rPr>
          <w:lang w:val="fr-FR"/>
        </w:rPr>
        <w:t>2, 6 et 14 du Pacte. Il fait référence aux articles</w:t>
      </w:r>
      <w:r w:rsidR="000A13B7">
        <w:rPr>
          <w:lang w:val="fr-FR"/>
        </w:rPr>
        <w:t> </w:t>
      </w:r>
      <w:r w:rsidRPr="00402FDE">
        <w:rPr>
          <w:lang w:val="fr-FR"/>
        </w:rPr>
        <w:t>14 et 15 du Pacte pour faire valoir que sa condamnation n</w:t>
      </w:r>
      <w:r w:rsidR="00747513">
        <w:rPr>
          <w:lang w:val="fr-FR"/>
        </w:rPr>
        <w:t>’</w:t>
      </w:r>
      <w:r w:rsidRPr="00402FDE">
        <w:rPr>
          <w:lang w:val="fr-FR"/>
        </w:rPr>
        <w:t>a pas été mise en conformité avec la décision de la Cour constitutionnelle en date du 2</w:t>
      </w:r>
      <w:r w:rsidR="000A13B7">
        <w:rPr>
          <w:lang w:val="fr-FR"/>
        </w:rPr>
        <w:t> </w:t>
      </w:r>
      <w:r w:rsidRPr="00402FDE">
        <w:rPr>
          <w:lang w:val="fr-FR"/>
        </w:rPr>
        <w:t>février 1999, qui prévoit que tout accusé a le droit d</w:t>
      </w:r>
      <w:r w:rsidR="00747513">
        <w:rPr>
          <w:lang w:val="fr-FR"/>
        </w:rPr>
        <w:t>’</w:t>
      </w:r>
      <w:r w:rsidRPr="00402FDE">
        <w:rPr>
          <w:lang w:val="fr-FR"/>
        </w:rPr>
        <w:t>être jugé au pénal par un tribunal avec jury. Il affirme également que, en violation de l</w:t>
      </w:r>
      <w:r w:rsidR="00747513">
        <w:rPr>
          <w:lang w:val="fr-FR"/>
        </w:rPr>
        <w:t>’</w:t>
      </w:r>
      <w:r w:rsidRPr="00402FDE">
        <w:rPr>
          <w:lang w:val="fr-FR"/>
        </w:rPr>
        <w:t>article</w:t>
      </w:r>
      <w:r w:rsidR="000A13B7">
        <w:rPr>
          <w:lang w:val="fr-FR"/>
        </w:rPr>
        <w:t> </w:t>
      </w:r>
      <w:r w:rsidRPr="00402FDE">
        <w:rPr>
          <w:lang w:val="fr-FR"/>
        </w:rPr>
        <w:t>15 du Pacte, 1)</w:t>
      </w:r>
      <w:r w:rsidR="00747513">
        <w:rPr>
          <w:lang w:val="fr-FR"/>
        </w:rPr>
        <w:t> </w:t>
      </w:r>
      <w:r w:rsidRPr="00402FDE">
        <w:rPr>
          <w:lang w:val="fr-FR"/>
        </w:rPr>
        <w:t>il a été gracié par le Président et non par un tribunal, alors que les tribunaux nationaux sont chargés de l</w:t>
      </w:r>
      <w:r w:rsidR="00747513">
        <w:rPr>
          <w:lang w:val="fr-FR"/>
        </w:rPr>
        <w:t>’</w:t>
      </w:r>
      <w:r w:rsidRPr="00402FDE">
        <w:rPr>
          <w:lang w:val="fr-FR"/>
        </w:rPr>
        <w:t>administration de la justice en Russie, et 2)</w:t>
      </w:r>
      <w:r w:rsidR="001C33A7">
        <w:rPr>
          <w:lang w:val="fr-FR"/>
        </w:rPr>
        <w:t> </w:t>
      </w:r>
      <w:r w:rsidRPr="00402FDE">
        <w:rPr>
          <w:lang w:val="fr-FR"/>
        </w:rPr>
        <w:t>en conséquence de la commutation de la peine, une peine plus lourde que celle qui était applicable au moment de la commission de l</w:t>
      </w:r>
      <w:r w:rsidR="00747513">
        <w:rPr>
          <w:lang w:val="fr-FR"/>
        </w:rPr>
        <w:t>’</w:t>
      </w:r>
      <w:r>
        <w:rPr>
          <w:lang w:val="fr-FR"/>
        </w:rPr>
        <w:t>infraction, soit quinze</w:t>
      </w:r>
      <w:r w:rsidRPr="00402FDE">
        <w:rPr>
          <w:lang w:val="fr-FR"/>
        </w:rPr>
        <w:t xml:space="preserve"> ans d</w:t>
      </w:r>
      <w:r w:rsidR="00747513">
        <w:rPr>
          <w:lang w:val="fr-FR"/>
        </w:rPr>
        <w:t>’</w:t>
      </w:r>
      <w:r w:rsidRPr="00402FDE">
        <w:rPr>
          <w:lang w:val="fr-FR"/>
        </w:rPr>
        <w:t>emprisonnement, a été prononcée contre lui. Il se dit en outre victime d</w:t>
      </w:r>
      <w:r w:rsidR="00747513">
        <w:rPr>
          <w:lang w:val="fr-FR"/>
        </w:rPr>
        <w:t>’</w:t>
      </w:r>
      <w:r w:rsidRPr="00402FDE">
        <w:rPr>
          <w:lang w:val="fr-FR"/>
        </w:rPr>
        <w:t>une violation de l</w:t>
      </w:r>
      <w:r w:rsidR="00747513">
        <w:rPr>
          <w:lang w:val="fr-FR"/>
        </w:rPr>
        <w:t>’</w:t>
      </w:r>
      <w:r w:rsidRPr="00402FDE">
        <w:rPr>
          <w:lang w:val="fr-FR"/>
        </w:rPr>
        <w:t>article</w:t>
      </w:r>
      <w:r w:rsidR="00265D99">
        <w:rPr>
          <w:lang w:val="fr-FR"/>
        </w:rPr>
        <w:t> </w:t>
      </w:r>
      <w:r w:rsidRPr="00402FDE">
        <w:rPr>
          <w:lang w:val="fr-FR"/>
        </w:rPr>
        <w:t>26 du Pacte car il n</w:t>
      </w:r>
      <w:r w:rsidR="00747513">
        <w:rPr>
          <w:lang w:val="fr-FR"/>
        </w:rPr>
        <w:t>’</w:t>
      </w:r>
      <w:r w:rsidRPr="00402FDE">
        <w:rPr>
          <w:lang w:val="fr-FR"/>
        </w:rPr>
        <w:t>a pas eu le droit d</w:t>
      </w:r>
      <w:r w:rsidR="00747513">
        <w:rPr>
          <w:lang w:val="fr-FR"/>
        </w:rPr>
        <w:t>’</w:t>
      </w:r>
      <w:r w:rsidRPr="00402FDE">
        <w:rPr>
          <w:lang w:val="fr-FR"/>
        </w:rPr>
        <w:t>être jugé par un jury dans la région de Mourmansk, alors que des tribunaux avec jury examinent les affaires passibles de la peine capitale d</w:t>
      </w:r>
      <w:r w:rsidR="00BC0199">
        <w:rPr>
          <w:lang w:val="fr-FR"/>
        </w:rPr>
        <w:t>ans neuf autres régions russes.</w:t>
      </w:r>
    </w:p>
    <w:p w:rsidR="00F35D42" w:rsidRPr="00402FDE" w:rsidRDefault="00F35D42" w:rsidP="00F35D42">
      <w:pPr>
        <w:pStyle w:val="SingleTxtG"/>
        <w:rPr>
          <w:lang w:val="fr-FR"/>
        </w:rPr>
      </w:pPr>
      <w:r w:rsidRPr="00402FDE">
        <w:rPr>
          <w:lang w:val="fr-FR"/>
        </w:rPr>
        <w:t>3.2</w:t>
      </w:r>
      <w:r w:rsidRPr="00402FDE">
        <w:rPr>
          <w:lang w:val="fr-FR"/>
        </w:rPr>
        <w:tab/>
      </w:r>
      <w:r>
        <w:rPr>
          <w:lang w:val="fr-FR"/>
        </w:rPr>
        <w:t>L</w:t>
      </w:r>
      <w:r w:rsidR="00747513">
        <w:rPr>
          <w:lang w:val="fr-FR"/>
        </w:rPr>
        <w:t>’</w:t>
      </w:r>
      <w:r w:rsidRPr="00402FDE">
        <w:rPr>
          <w:lang w:val="fr-FR"/>
        </w:rPr>
        <w:t xml:space="preserve">auteur se plaint </w:t>
      </w:r>
      <w:r>
        <w:rPr>
          <w:lang w:val="fr-FR"/>
        </w:rPr>
        <w:t xml:space="preserve">également </w:t>
      </w:r>
      <w:r w:rsidRPr="00402FDE">
        <w:rPr>
          <w:lang w:val="fr-FR"/>
        </w:rPr>
        <w:t>d</w:t>
      </w:r>
      <w:r w:rsidR="00747513">
        <w:rPr>
          <w:lang w:val="fr-FR"/>
        </w:rPr>
        <w:t>’</w:t>
      </w:r>
      <w:r w:rsidRPr="00402FDE">
        <w:rPr>
          <w:lang w:val="fr-FR"/>
        </w:rPr>
        <w:t xml:space="preserve">immixtion illégale dans sa correspondance avec le Comité en rapport avec sa communication, </w:t>
      </w:r>
      <w:r>
        <w:rPr>
          <w:lang w:val="fr-FR"/>
        </w:rPr>
        <w:t xml:space="preserve">ce qui soulève des questions au regard </w:t>
      </w:r>
      <w:r w:rsidRPr="00402FDE">
        <w:rPr>
          <w:lang w:val="fr-FR"/>
        </w:rPr>
        <w:t>du paragraphe</w:t>
      </w:r>
      <w:r w:rsidR="00BC0199">
        <w:rPr>
          <w:lang w:val="fr-FR"/>
        </w:rPr>
        <w:t> </w:t>
      </w:r>
      <w:r w:rsidRPr="00402FDE">
        <w:rPr>
          <w:lang w:val="fr-FR"/>
        </w:rPr>
        <w:t>1 de l</w:t>
      </w:r>
      <w:r w:rsidR="00747513">
        <w:rPr>
          <w:lang w:val="fr-FR"/>
        </w:rPr>
        <w:t>’</w:t>
      </w:r>
      <w:r>
        <w:rPr>
          <w:lang w:val="fr-FR"/>
        </w:rPr>
        <w:t>article</w:t>
      </w:r>
      <w:r w:rsidR="00BC0199">
        <w:rPr>
          <w:lang w:val="fr-FR"/>
        </w:rPr>
        <w:t> </w:t>
      </w:r>
      <w:r>
        <w:rPr>
          <w:lang w:val="fr-FR"/>
        </w:rPr>
        <w:t>17 du Pacte.</w:t>
      </w:r>
    </w:p>
    <w:p w:rsidR="00F35D42" w:rsidRPr="00402FDE" w:rsidRDefault="00F35D42" w:rsidP="00F35D42">
      <w:pPr>
        <w:pStyle w:val="H23G"/>
        <w:rPr>
          <w:lang w:val="fr-FR"/>
        </w:rPr>
      </w:pPr>
      <w:r w:rsidRPr="00402FDE">
        <w:rPr>
          <w:lang w:val="fr-FR"/>
        </w:rPr>
        <w:tab/>
      </w:r>
      <w:r w:rsidRPr="00402FDE">
        <w:rPr>
          <w:lang w:val="fr-FR"/>
        </w:rPr>
        <w:tab/>
        <w:t>Observations de l</w:t>
      </w:r>
      <w:r w:rsidR="00747513">
        <w:rPr>
          <w:lang w:val="fr-FR"/>
        </w:rPr>
        <w:t>’</w:t>
      </w:r>
      <w:r w:rsidRPr="00402FDE">
        <w:rPr>
          <w:lang w:val="fr-FR"/>
        </w:rPr>
        <w:t>État partie sur la recevabilité et sur le fond</w:t>
      </w:r>
    </w:p>
    <w:p w:rsidR="00F35D42" w:rsidRPr="00402FDE" w:rsidRDefault="00BC0199" w:rsidP="00F35D42">
      <w:pPr>
        <w:pStyle w:val="SingleTxtG"/>
        <w:rPr>
          <w:lang w:val="fr-FR"/>
        </w:rPr>
      </w:pPr>
      <w:r>
        <w:rPr>
          <w:lang w:val="fr-FR"/>
        </w:rPr>
        <w:t>4.1</w:t>
      </w:r>
      <w:r>
        <w:rPr>
          <w:lang w:val="fr-FR"/>
        </w:rPr>
        <w:tab/>
        <w:t>Dans une note verbale du 22 </w:t>
      </w:r>
      <w:r w:rsidR="00F35D42" w:rsidRPr="00402FDE">
        <w:rPr>
          <w:lang w:val="fr-FR"/>
        </w:rPr>
        <w:t>juillet 2008, l</w:t>
      </w:r>
      <w:r w:rsidR="00747513">
        <w:rPr>
          <w:lang w:val="fr-FR"/>
        </w:rPr>
        <w:t>’</w:t>
      </w:r>
      <w:r w:rsidR="00F35D42" w:rsidRPr="00402FDE">
        <w:rPr>
          <w:lang w:val="fr-FR"/>
        </w:rPr>
        <w:t>État partie a fait valoir que les décisions prises dans l</w:t>
      </w:r>
      <w:r w:rsidR="00747513">
        <w:rPr>
          <w:lang w:val="fr-FR"/>
        </w:rPr>
        <w:t>’</w:t>
      </w:r>
      <w:r w:rsidR="00F35D42" w:rsidRPr="00402FDE">
        <w:rPr>
          <w:lang w:val="fr-FR"/>
        </w:rPr>
        <w:t>affaire en cause étaient conformes à ses obligations internationales et à sa législation nationale et que les allégations de l</w:t>
      </w:r>
      <w:r w:rsidR="00747513">
        <w:rPr>
          <w:lang w:val="fr-FR"/>
        </w:rPr>
        <w:t>’</w:t>
      </w:r>
      <w:r w:rsidR="00F35D42" w:rsidRPr="00402FDE">
        <w:rPr>
          <w:lang w:val="fr-FR"/>
        </w:rPr>
        <w:t>auteur sont infondées. L</w:t>
      </w:r>
      <w:r w:rsidR="00747513">
        <w:rPr>
          <w:lang w:val="fr-FR"/>
        </w:rPr>
        <w:t>’</w:t>
      </w:r>
      <w:r w:rsidR="00F35D42" w:rsidRPr="00402FDE">
        <w:rPr>
          <w:lang w:val="fr-FR"/>
        </w:rPr>
        <w:t>auteur a été condamné à mort le 13</w:t>
      </w:r>
      <w:r>
        <w:rPr>
          <w:lang w:val="fr-FR"/>
        </w:rPr>
        <w:t> </w:t>
      </w:r>
      <w:r w:rsidR="00F35D42" w:rsidRPr="00402FDE">
        <w:rPr>
          <w:lang w:val="fr-FR"/>
        </w:rPr>
        <w:t>octobre 1995 par le tribunal régional de Mourmansk. Sa cause a été entendue par un tribunal composé d</w:t>
      </w:r>
      <w:r w:rsidR="00747513">
        <w:rPr>
          <w:lang w:val="fr-FR"/>
        </w:rPr>
        <w:t>’</w:t>
      </w:r>
      <w:r w:rsidR="00F35D42" w:rsidRPr="00402FDE">
        <w:rPr>
          <w:lang w:val="fr-FR"/>
        </w:rPr>
        <w:t>un juge professionnel assisté de deux juges non professionnels. Le 23</w:t>
      </w:r>
      <w:r>
        <w:rPr>
          <w:lang w:val="fr-FR"/>
        </w:rPr>
        <w:t> </w:t>
      </w:r>
      <w:r w:rsidR="00F35D42" w:rsidRPr="00402FDE">
        <w:rPr>
          <w:lang w:val="fr-FR"/>
        </w:rPr>
        <w:t>janvier 1996, la Cour suprême a confirmé sa condamnation en appel. Le 29</w:t>
      </w:r>
      <w:r>
        <w:rPr>
          <w:lang w:val="fr-FR"/>
        </w:rPr>
        <w:t> </w:t>
      </w:r>
      <w:r w:rsidR="00F35D42" w:rsidRPr="00402FDE">
        <w:rPr>
          <w:lang w:val="fr-FR"/>
        </w:rPr>
        <w:t xml:space="preserve">juin 2004, le tribunal de district de </w:t>
      </w:r>
      <w:proofErr w:type="spellStart"/>
      <w:r w:rsidR="00F35D42" w:rsidRPr="00402FDE">
        <w:rPr>
          <w:lang w:val="fr-FR"/>
        </w:rPr>
        <w:t>Sol-Iletsk</w:t>
      </w:r>
      <w:proofErr w:type="spellEnd"/>
      <w:r w:rsidR="00F35D42" w:rsidRPr="00402FDE">
        <w:rPr>
          <w:lang w:val="fr-FR"/>
        </w:rPr>
        <w:t xml:space="preserve"> a examiné la condamnation de l</w:t>
      </w:r>
      <w:r w:rsidR="00747513">
        <w:rPr>
          <w:lang w:val="fr-FR"/>
        </w:rPr>
        <w:t>’</w:t>
      </w:r>
      <w:r w:rsidR="00F35D42" w:rsidRPr="00402FDE">
        <w:rPr>
          <w:lang w:val="fr-FR"/>
        </w:rPr>
        <w:t>auteur et a modifié la qualification juridique de certains de ses actes, la mettant ainsi en conformité avec la loi du 8 décembre 2003</w:t>
      </w:r>
      <w:r w:rsidR="00F35D42" w:rsidRPr="00402FDE">
        <w:rPr>
          <w:vertAlign w:val="superscript"/>
          <w:lang w:val="fr-FR"/>
        </w:rPr>
        <w:footnoteReference w:id="15"/>
      </w:r>
      <w:r w:rsidR="00F35D42" w:rsidRPr="00402FDE">
        <w:rPr>
          <w:lang w:val="fr-FR"/>
        </w:rPr>
        <w:t>. Il a confirmé la condamnation de l</w:t>
      </w:r>
      <w:r w:rsidR="00747513">
        <w:rPr>
          <w:lang w:val="fr-FR"/>
        </w:rPr>
        <w:t>’</w:t>
      </w:r>
      <w:r w:rsidR="00F35D42" w:rsidRPr="00402FDE">
        <w:rPr>
          <w:lang w:val="fr-FR"/>
        </w:rPr>
        <w:t>auteur</w:t>
      </w:r>
      <w:r w:rsidR="00F35D42">
        <w:rPr>
          <w:lang w:val="fr-FR"/>
        </w:rPr>
        <w:t xml:space="preserve"> à la réclusion à perpétuité.</w:t>
      </w:r>
    </w:p>
    <w:p w:rsidR="00F35D42" w:rsidRPr="00402FDE" w:rsidRDefault="00F35D42" w:rsidP="00F35D42">
      <w:pPr>
        <w:pStyle w:val="SingleTxtG"/>
        <w:rPr>
          <w:lang w:val="fr-FR"/>
        </w:rPr>
      </w:pPr>
      <w:r w:rsidRPr="00402FDE">
        <w:rPr>
          <w:lang w:val="fr-FR"/>
        </w:rPr>
        <w:t>4.2</w:t>
      </w:r>
      <w:r w:rsidRPr="00402FDE">
        <w:rPr>
          <w:lang w:val="fr-FR"/>
        </w:rPr>
        <w:tab/>
        <w:t>Conformément à l</w:t>
      </w:r>
      <w:r w:rsidR="00747513">
        <w:rPr>
          <w:lang w:val="fr-FR"/>
        </w:rPr>
        <w:t>’</w:t>
      </w:r>
      <w:r w:rsidRPr="00402FDE">
        <w:rPr>
          <w:lang w:val="fr-FR"/>
        </w:rPr>
        <w:t>article</w:t>
      </w:r>
      <w:r w:rsidR="00BC0199">
        <w:rPr>
          <w:lang w:val="fr-FR"/>
        </w:rPr>
        <w:t> </w:t>
      </w:r>
      <w:r w:rsidRPr="00402FDE">
        <w:rPr>
          <w:lang w:val="fr-FR"/>
        </w:rPr>
        <w:t>421 du Code de procédure pénale de la RSFSR, toute personne accusée d</w:t>
      </w:r>
      <w:r w:rsidR="00747513">
        <w:rPr>
          <w:lang w:val="fr-FR"/>
        </w:rPr>
        <w:t>’</w:t>
      </w:r>
      <w:r w:rsidRPr="00402FDE">
        <w:rPr>
          <w:lang w:val="fr-FR"/>
        </w:rPr>
        <w:t>une infraction passible de la peine de mort et qui relève de la compétence d</w:t>
      </w:r>
      <w:r w:rsidR="00747513">
        <w:rPr>
          <w:lang w:val="fr-FR"/>
        </w:rPr>
        <w:t>’</w:t>
      </w:r>
      <w:r w:rsidRPr="00402FDE">
        <w:rPr>
          <w:lang w:val="fr-FR"/>
        </w:rPr>
        <w:t>un tribunal territorial, régional ou municipal, comme prévu à l</w:t>
      </w:r>
      <w:r w:rsidR="00747513">
        <w:rPr>
          <w:lang w:val="fr-FR"/>
        </w:rPr>
        <w:t>’</w:t>
      </w:r>
      <w:r w:rsidRPr="00402FDE">
        <w:rPr>
          <w:lang w:val="fr-FR"/>
        </w:rPr>
        <w:t>article</w:t>
      </w:r>
      <w:r w:rsidR="00BC0199">
        <w:rPr>
          <w:lang w:val="fr-FR"/>
        </w:rPr>
        <w:t> </w:t>
      </w:r>
      <w:r w:rsidRPr="00402FDE">
        <w:rPr>
          <w:lang w:val="fr-FR"/>
        </w:rPr>
        <w:t>36 dudit Code, peut demander à ce que sa cause soit examinée par un tribunal avec la participation de jurés. L</w:t>
      </w:r>
      <w:r w:rsidR="00747513">
        <w:rPr>
          <w:lang w:val="fr-FR"/>
        </w:rPr>
        <w:t>’</w:t>
      </w:r>
      <w:r w:rsidRPr="00402FDE">
        <w:rPr>
          <w:lang w:val="fr-FR"/>
        </w:rPr>
        <w:t>auteur a été accusé d</w:t>
      </w:r>
      <w:r w:rsidR="00747513">
        <w:rPr>
          <w:lang w:val="fr-FR"/>
        </w:rPr>
        <w:t>’</w:t>
      </w:r>
      <w:r w:rsidRPr="00402FDE">
        <w:rPr>
          <w:lang w:val="fr-FR"/>
        </w:rPr>
        <w:t>un crime relevant de la compétence de ce type de tribunal. Cependant, au moment où il a été jugé, les procès avec jury n</w:t>
      </w:r>
      <w:r w:rsidR="00747513">
        <w:rPr>
          <w:lang w:val="fr-FR"/>
        </w:rPr>
        <w:t>’</w:t>
      </w:r>
      <w:r w:rsidRPr="00402FDE">
        <w:rPr>
          <w:lang w:val="fr-FR"/>
        </w:rPr>
        <w:t>avaient pas encore été instaurés dans la région de Mourma</w:t>
      </w:r>
      <w:r>
        <w:rPr>
          <w:lang w:val="fr-FR"/>
        </w:rPr>
        <w:t>nsk. Selon le chapitre</w:t>
      </w:r>
      <w:r w:rsidR="00BC0199">
        <w:rPr>
          <w:lang w:val="fr-FR"/>
        </w:rPr>
        <w:t> </w:t>
      </w:r>
      <w:r>
        <w:rPr>
          <w:lang w:val="fr-FR"/>
        </w:rPr>
        <w:t>2 (partie</w:t>
      </w:r>
      <w:r w:rsidR="00BC0199">
        <w:rPr>
          <w:lang w:val="fr-FR"/>
        </w:rPr>
        <w:t> </w:t>
      </w:r>
      <w:r w:rsidRPr="00402FDE">
        <w:rPr>
          <w:lang w:val="fr-FR"/>
        </w:rPr>
        <w:t>6) des «Dispositions finales et transitoires» de la Constitution, jusqu</w:t>
      </w:r>
      <w:r w:rsidR="00747513">
        <w:rPr>
          <w:lang w:val="fr-FR"/>
        </w:rPr>
        <w:t>’</w:t>
      </w:r>
      <w:r w:rsidRPr="00402FDE">
        <w:rPr>
          <w:lang w:val="fr-FR"/>
        </w:rPr>
        <w:t>à l</w:t>
      </w:r>
      <w:r w:rsidR="00747513">
        <w:rPr>
          <w:lang w:val="fr-FR"/>
        </w:rPr>
        <w:t>’</w:t>
      </w:r>
      <w:r w:rsidRPr="00402FDE">
        <w:rPr>
          <w:lang w:val="fr-FR"/>
        </w:rPr>
        <w:t>entrée en vigueur de la loi fédérale fixant la procédure à suivre pour l</w:t>
      </w:r>
      <w:r w:rsidR="00747513">
        <w:rPr>
          <w:lang w:val="fr-FR"/>
        </w:rPr>
        <w:t>’</w:t>
      </w:r>
      <w:r w:rsidRPr="00402FDE">
        <w:rPr>
          <w:lang w:val="fr-FR"/>
        </w:rPr>
        <w:t>examen des affaires par un tribunal avec la participation de jurés, la procédure antérieure d</w:t>
      </w:r>
      <w:r w:rsidR="00747513">
        <w:rPr>
          <w:lang w:val="fr-FR"/>
        </w:rPr>
        <w:t>’</w:t>
      </w:r>
      <w:r w:rsidRPr="00402FDE">
        <w:rPr>
          <w:lang w:val="fr-FR"/>
        </w:rPr>
        <w:t>examen judiciaire est maintenue.</w:t>
      </w:r>
    </w:p>
    <w:p w:rsidR="00F35D42" w:rsidRDefault="00F35D42" w:rsidP="00F35D42">
      <w:pPr>
        <w:pStyle w:val="SingleTxtG"/>
        <w:rPr>
          <w:lang w:val="fr-FR"/>
        </w:rPr>
      </w:pPr>
      <w:r w:rsidRPr="00402FDE">
        <w:rPr>
          <w:lang w:val="fr-FR"/>
        </w:rPr>
        <w:t>4.3</w:t>
      </w:r>
      <w:r w:rsidRPr="00402FDE">
        <w:rPr>
          <w:lang w:val="fr-FR"/>
        </w:rPr>
        <w:tab/>
        <w:t>Conformément à l</w:t>
      </w:r>
      <w:r w:rsidR="00747513">
        <w:rPr>
          <w:lang w:val="fr-FR"/>
        </w:rPr>
        <w:t>’</w:t>
      </w:r>
      <w:r>
        <w:rPr>
          <w:lang w:val="fr-FR"/>
        </w:rPr>
        <w:t>article</w:t>
      </w:r>
      <w:r w:rsidR="00BC0199">
        <w:rPr>
          <w:lang w:val="fr-FR"/>
        </w:rPr>
        <w:t> </w:t>
      </w:r>
      <w:r>
        <w:rPr>
          <w:lang w:val="fr-FR"/>
        </w:rPr>
        <w:t xml:space="preserve">8 de la loi fédérale </w:t>
      </w:r>
      <w:r w:rsidRPr="00D86CDC">
        <w:rPr>
          <w:lang w:val="fr-FR"/>
        </w:rPr>
        <w:t>n</w:t>
      </w:r>
      <w:r w:rsidRPr="00D86CDC">
        <w:rPr>
          <w:vertAlign w:val="superscript"/>
          <w:lang w:val="fr-FR"/>
        </w:rPr>
        <w:t>o</w:t>
      </w:r>
      <w:r>
        <w:rPr>
          <w:lang w:val="fr-FR"/>
        </w:rPr>
        <w:t> </w:t>
      </w:r>
      <w:r w:rsidRPr="00402FDE">
        <w:rPr>
          <w:lang w:val="fr-FR"/>
        </w:rPr>
        <w:t>177-FZ du 18</w:t>
      </w:r>
      <w:r w:rsidR="00BC0199">
        <w:rPr>
          <w:lang w:val="fr-FR"/>
        </w:rPr>
        <w:t> </w:t>
      </w:r>
      <w:r w:rsidRPr="00402FDE">
        <w:rPr>
          <w:lang w:val="fr-FR"/>
        </w:rPr>
        <w:t>décembre 2001</w:t>
      </w:r>
      <w:r>
        <w:rPr>
          <w:lang w:val="fr-FR"/>
        </w:rPr>
        <w:t xml:space="preserve"> </w:t>
      </w:r>
      <w:r w:rsidRPr="00402FDE">
        <w:rPr>
          <w:lang w:val="fr-FR"/>
        </w:rPr>
        <w:t>«Sur la mise en œuvre du Code de procédure pénale russe» tel que modifié, les procès avec jury ont été instaurés dans la région de Mourmansk à compter du 1</w:t>
      </w:r>
      <w:r w:rsidRPr="00402FDE">
        <w:rPr>
          <w:vertAlign w:val="superscript"/>
          <w:lang w:val="fr-FR"/>
        </w:rPr>
        <w:t>er</w:t>
      </w:r>
      <w:r w:rsidR="00BC0199">
        <w:rPr>
          <w:lang w:val="fr-FR"/>
        </w:rPr>
        <w:t> </w:t>
      </w:r>
      <w:r w:rsidRPr="00402FDE">
        <w:rPr>
          <w:lang w:val="fr-FR"/>
        </w:rPr>
        <w:t>janvier 2003. Le 13 avril 2000, la Cour constitutionnelle a examiné la constitutionnalité de l</w:t>
      </w:r>
      <w:r w:rsidR="00747513">
        <w:rPr>
          <w:lang w:val="fr-FR"/>
        </w:rPr>
        <w:t>’</w:t>
      </w:r>
      <w:r w:rsidRPr="00402FDE">
        <w:rPr>
          <w:lang w:val="fr-FR"/>
        </w:rPr>
        <w:t>article</w:t>
      </w:r>
      <w:r w:rsidR="00BC0199">
        <w:rPr>
          <w:lang w:val="fr-FR"/>
        </w:rPr>
        <w:t> </w:t>
      </w:r>
      <w:r w:rsidRPr="00402FDE">
        <w:rPr>
          <w:lang w:val="fr-FR"/>
        </w:rPr>
        <w:t>421 du Code de procédure pénale de la RS</w:t>
      </w:r>
      <w:r>
        <w:rPr>
          <w:lang w:val="fr-FR"/>
        </w:rPr>
        <w:t xml:space="preserve">FSR. Dans sa décision </w:t>
      </w:r>
      <w:r w:rsidRPr="00D86CDC">
        <w:rPr>
          <w:lang w:val="fr-FR"/>
        </w:rPr>
        <w:t>n</w:t>
      </w:r>
      <w:r w:rsidRPr="00D86CDC">
        <w:rPr>
          <w:vertAlign w:val="superscript"/>
          <w:lang w:val="fr-FR"/>
        </w:rPr>
        <w:t>o</w:t>
      </w:r>
      <w:r>
        <w:rPr>
          <w:lang w:val="fr-FR"/>
        </w:rPr>
        <w:t> </w:t>
      </w:r>
      <w:r w:rsidRPr="00402FDE">
        <w:rPr>
          <w:lang w:val="fr-FR"/>
        </w:rPr>
        <w:t>69-0, elle a estimé que le renvoi d</w:t>
      </w:r>
      <w:r w:rsidR="00747513">
        <w:rPr>
          <w:lang w:val="fr-FR"/>
        </w:rPr>
        <w:t>’</w:t>
      </w:r>
      <w:r w:rsidRPr="00402FDE">
        <w:rPr>
          <w:lang w:val="fr-FR"/>
        </w:rPr>
        <w:t>une affaire pénale d</w:t>
      </w:r>
      <w:r w:rsidR="00747513">
        <w:rPr>
          <w:lang w:val="fr-FR"/>
        </w:rPr>
        <w:t>’</w:t>
      </w:r>
      <w:r w:rsidRPr="00402FDE">
        <w:rPr>
          <w:lang w:val="fr-FR"/>
        </w:rPr>
        <w:t>un tribunal compétent territorialement à un autre tribunal, pour la seule raison qu</w:t>
      </w:r>
      <w:r w:rsidR="00747513">
        <w:rPr>
          <w:lang w:val="fr-FR"/>
        </w:rPr>
        <w:t>’</w:t>
      </w:r>
      <w:r w:rsidRPr="00402FDE">
        <w:rPr>
          <w:lang w:val="fr-FR"/>
        </w:rPr>
        <w:t>un procès avec jury n</w:t>
      </w:r>
      <w:r w:rsidR="00747513">
        <w:rPr>
          <w:lang w:val="fr-FR"/>
        </w:rPr>
        <w:t>’</w:t>
      </w:r>
      <w:r w:rsidRPr="00402FDE">
        <w:rPr>
          <w:lang w:val="fr-FR"/>
        </w:rPr>
        <w:t>était pas disponible dans le premier tribunal, était contraire au paragraphe</w:t>
      </w:r>
      <w:r w:rsidR="00BC0199">
        <w:rPr>
          <w:lang w:val="fr-FR"/>
        </w:rPr>
        <w:t> </w:t>
      </w:r>
      <w:r w:rsidRPr="00402FDE">
        <w:rPr>
          <w:lang w:val="fr-FR"/>
        </w:rPr>
        <w:t>1 de l</w:t>
      </w:r>
      <w:r w:rsidR="00747513">
        <w:rPr>
          <w:lang w:val="fr-FR"/>
        </w:rPr>
        <w:t>’</w:t>
      </w:r>
      <w:r w:rsidRPr="00402FDE">
        <w:rPr>
          <w:lang w:val="fr-FR"/>
        </w:rPr>
        <w:t>article</w:t>
      </w:r>
      <w:r w:rsidR="00BC0199">
        <w:rPr>
          <w:lang w:val="fr-FR"/>
        </w:rPr>
        <w:t> </w:t>
      </w:r>
      <w:r w:rsidRPr="00402FDE">
        <w:rPr>
          <w:lang w:val="fr-FR"/>
        </w:rPr>
        <w:t>47 de la Constitution. L</w:t>
      </w:r>
      <w:r w:rsidR="00747513">
        <w:rPr>
          <w:lang w:val="fr-FR"/>
        </w:rPr>
        <w:t>’</w:t>
      </w:r>
      <w:r w:rsidRPr="00402FDE">
        <w:rPr>
          <w:lang w:val="fr-FR"/>
        </w:rPr>
        <w:t>État partie rappelle en outre qu</w:t>
      </w:r>
      <w:r w:rsidR="00747513">
        <w:rPr>
          <w:lang w:val="fr-FR"/>
        </w:rPr>
        <w:t>’</w:t>
      </w:r>
      <w:r w:rsidRPr="00402FDE">
        <w:rPr>
          <w:lang w:val="fr-FR"/>
        </w:rPr>
        <w:t>à l</w:t>
      </w:r>
      <w:r w:rsidR="00747513">
        <w:rPr>
          <w:lang w:val="fr-FR"/>
        </w:rPr>
        <w:t>’</w:t>
      </w:r>
      <w:r w:rsidRPr="00402FDE">
        <w:rPr>
          <w:lang w:val="fr-FR"/>
        </w:rPr>
        <w:t>époque des faits, l</w:t>
      </w:r>
      <w:r w:rsidR="00747513">
        <w:rPr>
          <w:lang w:val="fr-FR"/>
        </w:rPr>
        <w:t>’</w:t>
      </w:r>
      <w:r w:rsidRPr="00402FDE">
        <w:rPr>
          <w:lang w:val="fr-FR"/>
        </w:rPr>
        <w:t>auteur ne s</w:t>
      </w:r>
      <w:r w:rsidR="00747513">
        <w:rPr>
          <w:lang w:val="fr-FR"/>
        </w:rPr>
        <w:t>’</w:t>
      </w:r>
      <w:r w:rsidRPr="00402FDE">
        <w:rPr>
          <w:lang w:val="fr-FR"/>
        </w:rPr>
        <w:t>était pas opposé à ce que sa cause soit examinée par un tribunal avec la participation de deux juges non professionnels. Il s</w:t>
      </w:r>
      <w:r w:rsidR="00747513">
        <w:rPr>
          <w:lang w:val="fr-FR"/>
        </w:rPr>
        <w:t>’</w:t>
      </w:r>
      <w:r w:rsidRPr="00402FDE">
        <w:rPr>
          <w:lang w:val="fr-FR"/>
        </w:rPr>
        <w:t>ensuit que sa cause a été examinée par un tribunal dûment constitué.</w:t>
      </w:r>
    </w:p>
    <w:p w:rsidR="00F35D42" w:rsidRPr="00402FDE" w:rsidRDefault="00F35D42" w:rsidP="00F35D42">
      <w:pPr>
        <w:pStyle w:val="SingleTxtG"/>
        <w:rPr>
          <w:lang w:val="fr-FR"/>
        </w:rPr>
      </w:pPr>
      <w:r w:rsidRPr="00402FDE">
        <w:rPr>
          <w:lang w:val="fr-FR"/>
        </w:rPr>
        <w:t>4.4</w:t>
      </w:r>
      <w:r w:rsidRPr="00402FDE">
        <w:rPr>
          <w:lang w:val="fr-FR"/>
        </w:rPr>
        <w:tab/>
        <w:t>L</w:t>
      </w:r>
      <w:r w:rsidR="00747513">
        <w:rPr>
          <w:lang w:val="fr-FR"/>
        </w:rPr>
        <w:t>’</w:t>
      </w:r>
      <w:r w:rsidRPr="00402FDE">
        <w:rPr>
          <w:lang w:val="fr-FR"/>
        </w:rPr>
        <w:t>État partie fait valoir en outre que, le 21</w:t>
      </w:r>
      <w:r>
        <w:rPr>
          <w:lang w:val="fr-FR"/>
        </w:rPr>
        <w:t> </w:t>
      </w:r>
      <w:r w:rsidRPr="00402FDE">
        <w:rPr>
          <w:lang w:val="fr-FR"/>
        </w:rPr>
        <w:t>décembre 1998, l</w:t>
      </w:r>
      <w:r w:rsidR="00747513">
        <w:rPr>
          <w:lang w:val="fr-FR"/>
        </w:rPr>
        <w:t>’</w:t>
      </w:r>
      <w:r w:rsidRPr="00402FDE">
        <w:rPr>
          <w:lang w:val="fr-FR"/>
        </w:rPr>
        <w:t>auteur a été gracié par décret présidentiel et que la peine de mort a été commuée en peine de réclusion à perpétuité, qui est une peine plus clémente. Le décret présidentiel graciant l</w:t>
      </w:r>
      <w:r w:rsidR="00747513">
        <w:rPr>
          <w:lang w:val="fr-FR"/>
        </w:rPr>
        <w:t>’</w:t>
      </w:r>
      <w:r w:rsidRPr="00402FDE">
        <w:rPr>
          <w:lang w:val="fr-FR"/>
        </w:rPr>
        <w:t>auteur a été pris dans l</w:t>
      </w:r>
      <w:r w:rsidR="00747513">
        <w:rPr>
          <w:lang w:val="fr-FR"/>
        </w:rPr>
        <w:t>’</w:t>
      </w:r>
      <w:r w:rsidRPr="00402FDE">
        <w:rPr>
          <w:lang w:val="fr-FR"/>
        </w:rPr>
        <w:t>exercice de la prérogative constitutionnelle qu</w:t>
      </w:r>
      <w:r w:rsidR="00747513">
        <w:rPr>
          <w:lang w:val="fr-FR"/>
        </w:rPr>
        <w:t>’</w:t>
      </w:r>
      <w:r w:rsidRPr="00402FDE">
        <w:rPr>
          <w:lang w:val="fr-FR"/>
        </w:rPr>
        <w:t>a le Président de gracier. La grâce opère en dehors du cadre de l</w:t>
      </w:r>
      <w:r w:rsidR="00747513">
        <w:rPr>
          <w:lang w:val="fr-FR"/>
        </w:rPr>
        <w:t>’</w:t>
      </w:r>
      <w:r w:rsidRPr="00402FDE">
        <w:rPr>
          <w:lang w:val="fr-FR"/>
        </w:rPr>
        <w:t>administration de la justice dans les affaires pénales, qui exige le respect des articles</w:t>
      </w:r>
      <w:r>
        <w:rPr>
          <w:lang w:val="fr-FR"/>
        </w:rPr>
        <w:t> </w:t>
      </w:r>
      <w:r w:rsidRPr="00402FDE">
        <w:rPr>
          <w:lang w:val="fr-FR"/>
        </w:rPr>
        <w:t>10 et 54 du Code pénal russe interdisant l</w:t>
      </w:r>
      <w:r w:rsidR="00747513">
        <w:rPr>
          <w:lang w:val="fr-FR"/>
        </w:rPr>
        <w:t>’</w:t>
      </w:r>
      <w:r w:rsidRPr="00402FDE">
        <w:rPr>
          <w:lang w:val="fr-FR"/>
        </w:rPr>
        <w:t>application rétroactive d</w:t>
      </w:r>
      <w:r w:rsidR="00747513">
        <w:rPr>
          <w:lang w:val="fr-FR"/>
        </w:rPr>
        <w:t>’</w:t>
      </w:r>
      <w:r w:rsidRPr="00402FDE">
        <w:rPr>
          <w:lang w:val="fr-FR"/>
        </w:rPr>
        <w:t>une loi aggravant la responsabilité d</w:t>
      </w:r>
      <w:r w:rsidR="00747513">
        <w:rPr>
          <w:lang w:val="fr-FR"/>
        </w:rPr>
        <w:t>’</w:t>
      </w:r>
      <w:r w:rsidRPr="00402FDE">
        <w:rPr>
          <w:lang w:val="fr-FR"/>
        </w:rPr>
        <w:t>une personne. Le décret présidentiel a été pris en application des articles</w:t>
      </w:r>
      <w:r>
        <w:rPr>
          <w:lang w:val="fr-FR"/>
        </w:rPr>
        <w:t> </w:t>
      </w:r>
      <w:r w:rsidRPr="00402FDE">
        <w:rPr>
          <w:lang w:val="fr-FR"/>
        </w:rPr>
        <w:t>59 et 85 du Code pénal russe, alors en vigueur, qui prévoient la possibilité de commuer des condamnations à mort en peine de réclusion à perpétuité. L</w:t>
      </w:r>
      <w:r w:rsidR="00747513">
        <w:rPr>
          <w:lang w:val="fr-FR"/>
        </w:rPr>
        <w:t>’</w:t>
      </w:r>
      <w:r w:rsidRPr="00402FDE">
        <w:rPr>
          <w:lang w:val="fr-FR"/>
        </w:rPr>
        <w:t>article</w:t>
      </w:r>
      <w:r>
        <w:rPr>
          <w:lang w:val="fr-FR"/>
        </w:rPr>
        <w:t> </w:t>
      </w:r>
      <w:r w:rsidRPr="00402FDE">
        <w:rPr>
          <w:lang w:val="fr-FR"/>
        </w:rPr>
        <w:t>24 du Code pénal de la RSFSR, qui était en vigueur au moment de la commission de l</w:t>
      </w:r>
      <w:r w:rsidR="00747513">
        <w:rPr>
          <w:lang w:val="fr-FR"/>
        </w:rPr>
        <w:t>’</w:t>
      </w:r>
      <w:r w:rsidRPr="00402FDE">
        <w:rPr>
          <w:lang w:val="fr-FR"/>
        </w:rPr>
        <w:t>infraction par l</w:t>
      </w:r>
      <w:r w:rsidR="00747513">
        <w:rPr>
          <w:lang w:val="fr-FR"/>
        </w:rPr>
        <w:t>’</w:t>
      </w:r>
      <w:r w:rsidRPr="00402FDE">
        <w:rPr>
          <w:lang w:val="fr-FR"/>
        </w:rPr>
        <w:t>auteur, prévoyait également la commutation de la peine capitale en peine de réclusion à perpétuité. La grâce n</w:t>
      </w:r>
      <w:r w:rsidR="00747513">
        <w:rPr>
          <w:lang w:val="fr-FR"/>
        </w:rPr>
        <w:t>’</w:t>
      </w:r>
      <w:r w:rsidRPr="00402FDE">
        <w:rPr>
          <w:lang w:val="fr-FR"/>
        </w:rPr>
        <w:t>est pas liée à la responsabilité pénale ni à la fixation de la peine, qui sont régies par des dispositions de la procédure pénale et déterminées exclusivement par les tribunaux.</w:t>
      </w:r>
    </w:p>
    <w:p w:rsidR="00F35D42" w:rsidRPr="00402FDE" w:rsidRDefault="00F35D42" w:rsidP="00F35D42">
      <w:pPr>
        <w:pStyle w:val="SingleTxtG"/>
        <w:rPr>
          <w:lang w:val="fr-FR"/>
        </w:rPr>
      </w:pPr>
      <w:r w:rsidRPr="00402FDE">
        <w:rPr>
          <w:lang w:val="fr-FR"/>
        </w:rPr>
        <w:t>4.5</w:t>
      </w:r>
      <w:r w:rsidRPr="00402FDE">
        <w:rPr>
          <w:lang w:val="fr-FR"/>
        </w:rPr>
        <w:tab/>
        <w:t>L</w:t>
      </w:r>
      <w:r w:rsidR="00747513">
        <w:rPr>
          <w:lang w:val="fr-FR"/>
        </w:rPr>
        <w:t>’</w:t>
      </w:r>
      <w:r w:rsidRPr="00402FDE">
        <w:rPr>
          <w:lang w:val="fr-FR"/>
        </w:rPr>
        <w:t>État partie re</w:t>
      </w:r>
      <w:r>
        <w:rPr>
          <w:lang w:val="fr-FR"/>
        </w:rPr>
        <w:t xml:space="preserve">nvoie en outre aux décisions </w:t>
      </w:r>
      <w:r w:rsidRPr="005D4E63">
        <w:rPr>
          <w:lang w:val="fr-FR"/>
        </w:rPr>
        <w:t>n</w:t>
      </w:r>
      <w:r w:rsidRPr="005D4E63">
        <w:rPr>
          <w:vertAlign w:val="superscript"/>
          <w:lang w:val="fr-FR"/>
        </w:rPr>
        <w:t>o</w:t>
      </w:r>
      <w:r>
        <w:rPr>
          <w:lang w:val="fr-FR"/>
        </w:rPr>
        <w:t> </w:t>
      </w:r>
      <w:r w:rsidRPr="00402FDE">
        <w:rPr>
          <w:lang w:val="fr-FR"/>
        </w:rPr>
        <w:t>60-0 et 61-0 de la Cour constitutionnelle en date du 11</w:t>
      </w:r>
      <w:r>
        <w:rPr>
          <w:lang w:val="fr-FR"/>
        </w:rPr>
        <w:t> </w:t>
      </w:r>
      <w:r w:rsidRPr="00402FDE">
        <w:rPr>
          <w:lang w:val="fr-FR"/>
        </w:rPr>
        <w:t>janvier 2002 dans les affaires de A.</w:t>
      </w:r>
      <w:r>
        <w:rPr>
          <w:lang w:val="fr-FR"/>
        </w:rPr>
        <w:t> </w:t>
      </w:r>
      <w:r w:rsidRPr="00402FDE">
        <w:rPr>
          <w:lang w:val="fr-FR"/>
        </w:rPr>
        <w:t>G</w:t>
      </w:r>
      <w:r>
        <w:rPr>
          <w:lang w:val="fr-FR"/>
        </w:rPr>
        <w:t>.</w:t>
      </w:r>
      <w:r w:rsidRPr="00402FDE">
        <w:rPr>
          <w:lang w:val="fr-FR"/>
        </w:rPr>
        <w:t xml:space="preserve"> et de I.</w:t>
      </w:r>
      <w:r>
        <w:rPr>
          <w:lang w:val="fr-FR"/>
        </w:rPr>
        <w:t> </w:t>
      </w:r>
      <w:r w:rsidRPr="00402FDE">
        <w:rPr>
          <w:lang w:val="fr-FR"/>
        </w:rPr>
        <w:t>F., dans lesquelles la Cour a indiqué que la grâce est un acte de compassion qui ne peut avoir pour conséquence d</w:t>
      </w:r>
      <w:r w:rsidR="00747513">
        <w:rPr>
          <w:lang w:val="fr-FR"/>
        </w:rPr>
        <w:t>’</w:t>
      </w:r>
      <w:r w:rsidRPr="00402FDE">
        <w:rPr>
          <w:lang w:val="fr-FR"/>
        </w:rPr>
        <w:t xml:space="preserve">alourdir la peine prévue par le droit pénal établissant la responsabilité pénale et </w:t>
      </w:r>
      <w:r w:rsidRPr="00402FDE">
        <w:rPr>
          <w:spacing w:val="-2"/>
          <w:lang w:val="fr-FR"/>
        </w:rPr>
        <w:t xml:space="preserve">prononcée </w:t>
      </w:r>
      <w:r w:rsidRPr="00402FDE">
        <w:rPr>
          <w:lang w:val="fr-FR"/>
        </w:rPr>
        <w:t>par un tribunal dans un cas précis. C</w:t>
      </w:r>
      <w:r w:rsidR="00747513">
        <w:rPr>
          <w:lang w:val="fr-FR"/>
        </w:rPr>
        <w:t>’</w:t>
      </w:r>
      <w:r w:rsidRPr="00402FDE">
        <w:rPr>
          <w:lang w:val="fr-FR"/>
        </w:rPr>
        <w:t xml:space="preserve">est pourquoi la commutation, </w:t>
      </w:r>
      <w:r w:rsidRPr="00402FDE">
        <w:rPr>
          <w:spacing w:val="-2"/>
          <w:lang w:val="fr-FR"/>
        </w:rPr>
        <w:t>par l</w:t>
      </w:r>
      <w:r w:rsidR="00747513">
        <w:rPr>
          <w:spacing w:val="-2"/>
          <w:lang w:val="fr-FR"/>
        </w:rPr>
        <w:t>’</w:t>
      </w:r>
      <w:r w:rsidRPr="00402FDE">
        <w:rPr>
          <w:spacing w:val="-2"/>
          <w:lang w:val="fr-FR"/>
        </w:rPr>
        <w:t xml:space="preserve">exercice du droit de grâce, </w:t>
      </w:r>
      <w:r w:rsidRPr="00402FDE">
        <w:rPr>
          <w:lang w:val="fr-FR"/>
        </w:rPr>
        <w:t>de la peine capitale en une peine plus légère prévue par le droit pénal en vigueur (dans le cas de l</w:t>
      </w:r>
      <w:r w:rsidR="00747513">
        <w:rPr>
          <w:lang w:val="fr-FR"/>
        </w:rPr>
        <w:t>’</w:t>
      </w:r>
      <w:r w:rsidRPr="00402FDE">
        <w:rPr>
          <w:lang w:val="fr-FR"/>
        </w:rPr>
        <w:t xml:space="preserve">auteur, </w:t>
      </w:r>
      <w:r w:rsidRPr="00402FDE">
        <w:rPr>
          <w:spacing w:val="-2"/>
          <w:lang w:val="fr-FR"/>
        </w:rPr>
        <w:t>la réclusion à perpétuité</w:t>
      </w:r>
      <w:r w:rsidRPr="00402FDE">
        <w:rPr>
          <w:lang w:val="fr-FR"/>
        </w:rPr>
        <w:t xml:space="preserve">) ne peut pas être considérée comme aggravant la situation du condamné. </w:t>
      </w:r>
    </w:p>
    <w:p w:rsidR="00F35D42" w:rsidRPr="00402FDE" w:rsidRDefault="00F35D42" w:rsidP="00F35D42">
      <w:pPr>
        <w:pStyle w:val="SingleTxtG"/>
        <w:rPr>
          <w:lang w:val="fr-FR"/>
        </w:rPr>
      </w:pPr>
      <w:r w:rsidRPr="00402FDE">
        <w:rPr>
          <w:lang w:val="fr-FR"/>
        </w:rPr>
        <w:t>4.6</w:t>
      </w:r>
      <w:r w:rsidRPr="00402FDE">
        <w:rPr>
          <w:lang w:val="fr-FR"/>
        </w:rPr>
        <w:tab/>
        <w:t>Conformément au paragraphe 4 1) de l</w:t>
      </w:r>
      <w:r w:rsidR="00747513">
        <w:rPr>
          <w:lang w:val="fr-FR"/>
        </w:rPr>
        <w:t>’</w:t>
      </w:r>
      <w:r w:rsidRPr="00402FDE">
        <w:rPr>
          <w:lang w:val="fr-FR"/>
        </w:rPr>
        <w:t>article</w:t>
      </w:r>
      <w:r>
        <w:rPr>
          <w:lang w:val="fr-FR"/>
        </w:rPr>
        <w:t> </w:t>
      </w:r>
      <w:r w:rsidRPr="00402FDE">
        <w:rPr>
          <w:lang w:val="fr-FR"/>
        </w:rPr>
        <w:t>413 du Code de procédure pénale russe, en vigueur à compter du 1</w:t>
      </w:r>
      <w:r w:rsidRPr="00402FDE">
        <w:rPr>
          <w:vertAlign w:val="superscript"/>
          <w:lang w:val="fr-FR"/>
        </w:rPr>
        <w:t>er</w:t>
      </w:r>
      <w:r>
        <w:rPr>
          <w:lang w:val="fr-FR"/>
        </w:rPr>
        <w:t> </w:t>
      </w:r>
      <w:r w:rsidRPr="00402FDE">
        <w:rPr>
          <w:lang w:val="fr-FR"/>
        </w:rPr>
        <w:t>juillet 2002, une affaire pénale peut être réexaminée si des circonstances nouvelles apparaissent, en particulier, dans le cas où la Cour constitutionnelle constate que le droit appliqué dans cette affaire est contraire à la Constitution. L</w:t>
      </w:r>
      <w:r w:rsidR="00747513">
        <w:rPr>
          <w:lang w:val="fr-FR"/>
        </w:rPr>
        <w:t>’</w:t>
      </w:r>
      <w:r w:rsidRPr="00402FDE">
        <w:rPr>
          <w:lang w:val="fr-FR"/>
        </w:rPr>
        <w:t>État partie note que l</w:t>
      </w:r>
      <w:r w:rsidR="00747513">
        <w:rPr>
          <w:lang w:val="fr-FR"/>
        </w:rPr>
        <w:t>’</w:t>
      </w:r>
      <w:r w:rsidRPr="00402FDE">
        <w:rPr>
          <w:lang w:val="fr-FR"/>
        </w:rPr>
        <w:t>auteur n</w:t>
      </w:r>
      <w:r w:rsidR="00747513">
        <w:rPr>
          <w:lang w:val="fr-FR"/>
        </w:rPr>
        <w:t>’</w:t>
      </w:r>
      <w:r w:rsidRPr="00402FDE">
        <w:rPr>
          <w:lang w:val="fr-FR"/>
        </w:rPr>
        <w:t xml:space="preserve">a pas pris part à la procédure engagée auprès de la Cour constitutionnelle </w:t>
      </w:r>
      <w:r>
        <w:rPr>
          <w:lang w:val="fr-FR"/>
        </w:rPr>
        <w:t>qui a abouti à la décision du 2 </w:t>
      </w:r>
      <w:r w:rsidRPr="00402FDE">
        <w:rPr>
          <w:lang w:val="fr-FR"/>
        </w:rPr>
        <w:t>février 1999. Rien, dans l</w:t>
      </w:r>
      <w:r w:rsidR="00747513">
        <w:rPr>
          <w:lang w:val="fr-FR"/>
        </w:rPr>
        <w:t>’</w:t>
      </w:r>
      <w:r w:rsidRPr="00402FDE">
        <w:rPr>
          <w:lang w:val="fr-FR"/>
        </w:rPr>
        <w:t xml:space="preserve">article 49 du Code de procédure pénale russe, ne pouvait donc être invoqué comme motif de réexamen de sa cause. </w:t>
      </w:r>
    </w:p>
    <w:p w:rsidR="00F35D42" w:rsidRPr="00402FDE" w:rsidRDefault="00F35D42" w:rsidP="00F35D42">
      <w:pPr>
        <w:pStyle w:val="SingleTxtG"/>
        <w:rPr>
          <w:lang w:val="fr-FR"/>
        </w:rPr>
      </w:pPr>
      <w:r w:rsidRPr="00402FDE">
        <w:rPr>
          <w:lang w:val="fr-FR"/>
        </w:rPr>
        <w:t>4.7</w:t>
      </w:r>
      <w:r w:rsidRPr="00402FDE">
        <w:rPr>
          <w:lang w:val="fr-FR"/>
        </w:rPr>
        <w:tab/>
        <w:t>La décision prise par le tribunal municipal de Zlatooust le 29</w:t>
      </w:r>
      <w:r>
        <w:rPr>
          <w:lang w:val="fr-FR"/>
        </w:rPr>
        <w:t> </w:t>
      </w:r>
      <w:r w:rsidRPr="00402FDE">
        <w:rPr>
          <w:lang w:val="fr-FR"/>
        </w:rPr>
        <w:t>janvier 2001 n</w:t>
      </w:r>
      <w:r w:rsidR="00747513">
        <w:rPr>
          <w:lang w:val="fr-FR"/>
        </w:rPr>
        <w:t>’</w:t>
      </w:r>
      <w:r w:rsidRPr="00402FDE">
        <w:rPr>
          <w:lang w:val="fr-FR"/>
        </w:rPr>
        <w:t>est elle non plus pas un motif de réexamen de l</w:t>
      </w:r>
      <w:r w:rsidR="00747513">
        <w:rPr>
          <w:lang w:val="fr-FR"/>
        </w:rPr>
        <w:t>’</w:t>
      </w:r>
      <w:r w:rsidRPr="00402FDE">
        <w:rPr>
          <w:lang w:val="fr-FR"/>
        </w:rPr>
        <w:t>affaire de l</w:t>
      </w:r>
      <w:r w:rsidR="00747513">
        <w:rPr>
          <w:lang w:val="fr-FR"/>
        </w:rPr>
        <w:t>’</w:t>
      </w:r>
      <w:r w:rsidRPr="00402FDE">
        <w:rPr>
          <w:lang w:val="fr-FR"/>
        </w:rPr>
        <w:t>auteur. Les décisions des tribunaux n</w:t>
      </w:r>
      <w:r w:rsidR="00747513">
        <w:rPr>
          <w:lang w:val="fr-FR"/>
        </w:rPr>
        <w:t>’</w:t>
      </w:r>
      <w:r w:rsidRPr="00402FDE">
        <w:rPr>
          <w:lang w:val="fr-FR"/>
        </w:rPr>
        <w:t>ont pas valeur de précédent en vertu du droit russe. En outre, les modifications de l</w:t>
      </w:r>
      <w:r w:rsidR="00747513">
        <w:rPr>
          <w:lang w:val="fr-FR"/>
        </w:rPr>
        <w:t>’</w:t>
      </w:r>
      <w:r w:rsidRPr="00402FDE">
        <w:rPr>
          <w:lang w:val="fr-FR"/>
        </w:rPr>
        <w:t>article 24 du Code pénal russe prévoyant la possibilité de commuer la peine capitale en peine de réclusion à perpétuité par l</w:t>
      </w:r>
      <w:r w:rsidR="00747513">
        <w:rPr>
          <w:lang w:val="fr-FR"/>
        </w:rPr>
        <w:t>’</w:t>
      </w:r>
      <w:r w:rsidRPr="00402FDE">
        <w:rPr>
          <w:lang w:val="fr-FR"/>
        </w:rPr>
        <w:t>exercice du droit de grâce ont été int</w:t>
      </w:r>
      <w:r>
        <w:rPr>
          <w:lang w:val="fr-FR"/>
        </w:rPr>
        <w:t xml:space="preserve">roduites par la loi fédérale </w:t>
      </w:r>
      <w:r w:rsidRPr="005D4E63">
        <w:rPr>
          <w:lang w:val="fr-FR"/>
        </w:rPr>
        <w:t>n</w:t>
      </w:r>
      <w:r w:rsidRPr="005D4E63">
        <w:rPr>
          <w:vertAlign w:val="superscript"/>
          <w:lang w:val="fr-FR"/>
        </w:rPr>
        <w:t>o</w:t>
      </w:r>
      <w:r>
        <w:rPr>
          <w:lang w:val="fr-FR"/>
        </w:rPr>
        <w:t> </w:t>
      </w:r>
      <w:r w:rsidRPr="00402FDE">
        <w:rPr>
          <w:lang w:val="fr-FR"/>
        </w:rPr>
        <w:t>4123-1 du 17</w:t>
      </w:r>
      <w:r>
        <w:rPr>
          <w:lang w:val="fr-FR"/>
        </w:rPr>
        <w:t> </w:t>
      </w:r>
      <w:r w:rsidRPr="00402FDE">
        <w:rPr>
          <w:lang w:val="fr-FR"/>
        </w:rPr>
        <w:t>décembre 1992 et sont entrées en vigueur à compter du 6</w:t>
      </w:r>
      <w:r>
        <w:rPr>
          <w:lang w:val="fr-FR"/>
        </w:rPr>
        <w:t> </w:t>
      </w:r>
      <w:r w:rsidRPr="00402FDE">
        <w:rPr>
          <w:lang w:val="fr-FR"/>
        </w:rPr>
        <w:t>janvier 1993. Auparavant, l</w:t>
      </w:r>
      <w:r w:rsidR="00747513">
        <w:rPr>
          <w:lang w:val="fr-FR"/>
        </w:rPr>
        <w:t>’</w:t>
      </w:r>
      <w:r w:rsidRPr="00402FDE">
        <w:rPr>
          <w:lang w:val="fr-FR"/>
        </w:rPr>
        <w:t>article</w:t>
      </w:r>
      <w:r>
        <w:rPr>
          <w:lang w:val="fr-FR"/>
        </w:rPr>
        <w:t> </w:t>
      </w:r>
      <w:r w:rsidRPr="00402FDE">
        <w:rPr>
          <w:lang w:val="fr-FR"/>
        </w:rPr>
        <w:t>24 du Code pénal de la RSFSR, tel que modifié le 28</w:t>
      </w:r>
      <w:r>
        <w:rPr>
          <w:lang w:val="fr-FR"/>
        </w:rPr>
        <w:t> </w:t>
      </w:r>
      <w:r w:rsidRPr="00402FDE">
        <w:rPr>
          <w:lang w:val="fr-FR"/>
        </w:rPr>
        <w:t xml:space="preserve">mai 1986, prévoyait la possibilité de commuer la peine capitale en peine de </w:t>
      </w:r>
      <w:r>
        <w:rPr>
          <w:lang w:val="fr-FR"/>
        </w:rPr>
        <w:t>quinze</w:t>
      </w:r>
      <w:r w:rsidRPr="00402FDE">
        <w:rPr>
          <w:lang w:val="fr-FR"/>
        </w:rPr>
        <w:t xml:space="preserve"> à </w:t>
      </w:r>
      <w:r>
        <w:rPr>
          <w:lang w:val="fr-FR"/>
        </w:rPr>
        <w:t>vingt </w:t>
      </w:r>
      <w:r w:rsidRPr="00402FDE">
        <w:rPr>
          <w:lang w:val="fr-FR"/>
        </w:rPr>
        <w:t>ans d</w:t>
      </w:r>
      <w:r w:rsidR="00747513">
        <w:rPr>
          <w:lang w:val="fr-FR"/>
        </w:rPr>
        <w:t>’</w:t>
      </w:r>
      <w:r w:rsidRPr="00402FDE">
        <w:rPr>
          <w:lang w:val="fr-FR"/>
        </w:rPr>
        <w:t>emprisonnement. D., dont la peine a été modifiée par le tribunal municipal de Zlatooust</w:t>
      </w:r>
      <w:r>
        <w:rPr>
          <w:rStyle w:val="FootnoteReference"/>
        </w:rPr>
        <w:footnoteReference w:id="16"/>
      </w:r>
      <w:r w:rsidRPr="00402FDE">
        <w:rPr>
          <w:lang w:val="fr-FR"/>
        </w:rPr>
        <w:t>, avait commis l</w:t>
      </w:r>
      <w:r w:rsidR="00747513">
        <w:rPr>
          <w:lang w:val="fr-FR"/>
        </w:rPr>
        <w:t>’</w:t>
      </w:r>
      <w:r w:rsidRPr="00402FDE">
        <w:rPr>
          <w:lang w:val="fr-FR"/>
        </w:rPr>
        <w:t>infraction pour laquelle il avait été condamné le 12</w:t>
      </w:r>
      <w:r>
        <w:rPr>
          <w:lang w:val="fr-FR"/>
        </w:rPr>
        <w:t> </w:t>
      </w:r>
      <w:r w:rsidRPr="00402FDE">
        <w:rPr>
          <w:lang w:val="fr-FR"/>
        </w:rPr>
        <w:t>novembre 1992, soit avant l</w:t>
      </w:r>
      <w:r w:rsidR="00747513">
        <w:rPr>
          <w:lang w:val="fr-FR"/>
        </w:rPr>
        <w:t>’</w:t>
      </w:r>
      <w:r w:rsidRPr="00402FDE">
        <w:rPr>
          <w:lang w:val="fr-FR"/>
        </w:rPr>
        <w:t>entrée en vigueur de la loi fédérale du 17</w:t>
      </w:r>
      <w:r>
        <w:rPr>
          <w:lang w:val="fr-FR"/>
        </w:rPr>
        <w:t> </w:t>
      </w:r>
      <w:r w:rsidRPr="00402FDE">
        <w:rPr>
          <w:lang w:val="fr-FR"/>
        </w:rPr>
        <w:t>décembre 1992. Par conséquent, rien dans le dossier ne porte à croire que l</w:t>
      </w:r>
      <w:r w:rsidR="00747513">
        <w:rPr>
          <w:lang w:val="fr-FR"/>
        </w:rPr>
        <w:t>’</w:t>
      </w:r>
      <w:r w:rsidRPr="00402FDE">
        <w:rPr>
          <w:lang w:val="fr-FR"/>
        </w:rPr>
        <w:t>auteur a été privé des droits reconnus par le Code pénal de la RSFSR et le Code de procédure pénal</w:t>
      </w:r>
      <w:r>
        <w:rPr>
          <w:lang w:val="fr-FR"/>
        </w:rPr>
        <w:t xml:space="preserve">e </w:t>
      </w:r>
      <w:r w:rsidRPr="00402FDE">
        <w:rPr>
          <w:lang w:val="fr-FR"/>
        </w:rPr>
        <w:t xml:space="preserve">de la RSFSR applicables au moment des faits ou </w:t>
      </w:r>
      <w:r>
        <w:rPr>
          <w:lang w:val="fr-FR"/>
        </w:rPr>
        <w:t>par les dispositions du Pacte.</w:t>
      </w:r>
    </w:p>
    <w:p w:rsidR="00F35D42" w:rsidRPr="00402FDE" w:rsidRDefault="00F35D42" w:rsidP="00F35D42">
      <w:pPr>
        <w:pStyle w:val="H23G"/>
        <w:rPr>
          <w:lang w:val="fr-FR"/>
        </w:rPr>
      </w:pPr>
      <w:r w:rsidRPr="00402FDE">
        <w:rPr>
          <w:lang w:val="fr-FR"/>
        </w:rPr>
        <w:tab/>
      </w:r>
      <w:r w:rsidRPr="00402FDE">
        <w:rPr>
          <w:lang w:val="fr-FR"/>
        </w:rPr>
        <w:tab/>
        <w:t>Commentaires de l</w:t>
      </w:r>
      <w:r w:rsidR="00747513">
        <w:rPr>
          <w:lang w:val="fr-FR"/>
        </w:rPr>
        <w:t>’</w:t>
      </w:r>
      <w:r w:rsidRPr="00402FDE">
        <w:rPr>
          <w:lang w:val="fr-FR"/>
        </w:rPr>
        <w:t>auteur sur les observations de l</w:t>
      </w:r>
      <w:r w:rsidR="00747513">
        <w:rPr>
          <w:lang w:val="fr-FR"/>
        </w:rPr>
        <w:t>’</w:t>
      </w:r>
      <w:r w:rsidRPr="00402FDE">
        <w:rPr>
          <w:lang w:val="fr-FR"/>
        </w:rPr>
        <w:t>État partie</w:t>
      </w:r>
    </w:p>
    <w:p w:rsidR="00F35D42" w:rsidRPr="00402FDE" w:rsidRDefault="00F35D42" w:rsidP="00F35D42">
      <w:pPr>
        <w:pStyle w:val="SingleTxtG"/>
        <w:rPr>
          <w:lang w:val="fr-FR"/>
        </w:rPr>
      </w:pPr>
      <w:r w:rsidRPr="00402FDE">
        <w:rPr>
          <w:lang w:val="fr-FR"/>
        </w:rPr>
        <w:t>5.1</w:t>
      </w:r>
      <w:r w:rsidRPr="00402FDE">
        <w:rPr>
          <w:lang w:val="fr-FR"/>
        </w:rPr>
        <w:tab/>
        <w:t>En date du 6</w:t>
      </w:r>
      <w:r>
        <w:rPr>
          <w:lang w:val="fr-FR"/>
        </w:rPr>
        <w:t> </w:t>
      </w:r>
      <w:r w:rsidRPr="00402FDE">
        <w:rPr>
          <w:lang w:val="fr-FR"/>
        </w:rPr>
        <w:t>décembre 2011, l</w:t>
      </w:r>
      <w:r w:rsidR="00747513">
        <w:rPr>
          <w:lang w:val="fr-FR"/>
        </w:rPr>
        <w:t>’</w:t>
      </w:r>
      <w:r w:rsidRPr="00402FDE">
        <w:rPr>
          <w:lang w:val="fr-FR"/>
        </w:rPr>
        <w:t>auteur a réfuté l</w:t>
      </w:r>
      <w:r w:rsidR="00747513">
        <w:rPr>
          <w:lang w:val="fr-FR"/>
        </w:rPr>
        <w:t>’</w:t>
      </w:r>
      <w:r w:rsidRPr="00402FDE">
        <w:rPr>
          <w:lang w:val="fr-FR"/>
        </w:rPr>
        <w:t>argument de l</w:t>
      </w:r>
      <w:r w:rsidR="00747513">
        <w:rPr>
          <w:lang w:val="fr-FR"/>
        </w:rPr>
        <w:t>’</w:t>
      </w:r>
      <w:r w:rsidRPr="00402FDE">
        <w:rPr>
          <w:lang w:val="fr-FR"/>
        </w:rPr>
        <w:t>État partie qui affirme qu</w:t>
      </w:r>
      <w:r w:rsidR="00747513">
        <w:rPr>
          <w:lang w:val="fr-FR"/>
        </w:rPr>
        <w:t>’</w:t>
      </w:r>
      <w:r w:rsidRPr="00402FDE">
        <w:rPr>
          <w:lang w:val="fr-FR"/>
        </w:rPr>
        <w:t>au moment où la cond</w:t>
      </w:r>
      <w:r>
        <w:rPr>
          <w:lang w:val="fr-FR"/>
        </w:rPr>
        <w:t>amnation a été prononcée (le 13 </w:t>
      </w:r>
      <w:r w:rsidRPr="00402FDE">
        <w:rPr>
          <w:lang w:val="fr-FR"/>
        </w:rPr>
        <w:t>octobre 1995), la loi fédérale prévoyant la mise en place de procès avec jury n</w:t>
      </w:r>
      <w:r w:rsidR="00747513">
        <w:rPr>
          <w:lang w:val="fr-FR"/>
        </w:rPr>
        <w:t>’</w:t>
      </w:r>
      <w:r w:rsidRPr="00402FDE">
        <w:rPr>
          <w:lang w:val="fr-FR"/>
        </w:rPr>
        <w:t>était pas en vigueur et qu</w:t>
      </w:r>
      <w:r w:rsidR="00747513">
        <w:rPr>
          <w:lang w:val="fr-FR"/>
        </w:rPr>
        <w:t>’</w:t>
      </w:r>
      <w:r w:rsidRPr="00402FDE">
        <w:rPr>
          <w:lang w:val="fr-FR"/>
        </w:rPr>
        <w:t>il n</w:t>
      </w:r>
      <w:r w:rsidR="00747513">
        <w:rPr>
          <w:lang w:val="fr-FR"/>
        </w:rPr>
        <w:t>’</w:t>
      </w:r>
      <w:r w:rsidRPr="00402FDE">
        <w:rPr>
          <w:lang w:val="fr-FR"/>
        </w:rPr>
        <w:t>y avait pas de procès avec jury dans la région de Mourmansk. Il fait valoir que les procès avec jury ont été instaurés par la loi du 16</w:t>
      </w:r>
      <w:r>
        <w:rPr>
          <w:lang w:val="fr-FR"/>
        </w:rPr>
        <w:t> </w:t>
      </w:r>
      <w:r w:rsidRPr="00402FDE">
        <w:rPr>
          <w:lang w:val="fr-FR"/>
        </w:rPr>
        <w:t>juillet 1993</w:t>
      </w:r>
      <w:r w:rsidRPr="00C50BCC">
        <w:rPr>
          <w:rStyle w:val="FootnoteReference"/>
        </w:rPr>
        <w:footnoteReference w:id="17"/>
      </w:r>
      <w:r w:rsidRPr="00402FDE">
        <w:rPr>
          <w:lang w:val="fr-FR"/>
        </w:rPr>
        <w:t>, c</w:t>
      </w:r>
      <w:r w:rsidR="00747513">
        <w:rPr>
          <w:lang w:val="fr-FR"/>
        </w:rPr>
        <w:t>’</w:t>
      </w:r>
      <w:r w:rsidRPr="00402FDE">
        <w:rPr>
          <w:lang w:val="fr-FR"/>
        </w:rPr>
        <w:t>est-à-dire avant même l</w:t>
      </w:r>
      <w:r w:rsidR="00747513">
        <w:rPr>
          <w:lang w:val="fr-FR"/>
        </w:rPr>
        <w:t>’</w:t>
      </w:r>
      <w:r w:rsidRPr="00402FDE">
        <w:rPr>
          <w:lang w:val="fr-FR"/>
        </w:rPr>
        <w:t xml:space="preserve">entrée en vigueur </w:t>
      </w:r>
      <w:r>
        <w:rPr>
          <w:lang w:val="fr-FR"/>
        </w:rPr>
        <w:t>de la Constitution russe, le 12 </w:t>
      </w:r>
      <w:r w:rsidRPr="00402FDE">
        <w:rPr>
          <w:lang w:val="fr-FR"/>
        </w:rPr>
        <w:t>décembre 1993. Conformément à la décision du Conseil suprême de Russie en date du 16</w:t>
      </w:r>
      <w:r>
        <w:rPr>
          <w:lang w:val="fr-FR"/>
        </w:rPr>
        <w:t> </w:t>
      </w:r>
      <w:r w:rsidRPr="00402FDE">
        <w:rPr>
          <w:lang w:val="fr-FR"/>
        </w:rPr>
        <w:t>juillet 1993</w:t>
      </w:r>
      <w:r w:rsidRPr="00C50BCC">
        <w:rPr>
          <w:rStyle w:val="FootnoteReference"/>
        </w:rPr>
        <w:footnoteReference w:id="18"/>
      </w:r>
      <w:r w:rsidRPr="00402FDE">
        <w:rPr>
          <w:lang w:val="fr-FR"/>
        </w:rPr>
        <w:t>, les procès avec jury devaient être instaurés dans neuf régions au 1</w:t>
      </w:r>
      <w:r w:rsidRPr="00402FDE">
        <w:rPr>
          <w:vertAlign w:val="superscript"/>
          <w:lang w:val="fr-FR"/>
        </w:rPr>
        <w:t>er</w:t>
      </w:r>
      <w:r>
        <w:rPr>
          <w:lang w:val="fr-FR"/>
        </w:rPr>
        <w:t> </w:t>
      </w:r>
      <w:r w:rsidRPr="00402FDE">
        <w:rPr>
          <w:lang w:val="fr-FR"/>
        </w:rPr>
        <w:t>janvier 1994 au pl</w:t>
      </w:r>
      <w:r w:rsidR="005C265F">
        <w:rPr>
          <w:lang w:val="fr-FR"/>
        </w:rPr>
        <w:t>us tard.</w:t>
      </w:r>
    </w:p>
    <w:p w:rsidR="00F35D42" w:rsidRPr="00402FDE" w:rsidRDefault="00F35D42" w:rsidP="00F35D42">
      <w:pPr>
        <w:pStyle w:val="SingleTxtG"/>
        <w:rPr>
          <w:lang w:val="fr-FR"/>
        </w:rPr>
      </w:pPr>
      <w:r w:rsidRPr="00402FDE">
        <w:rPr>
          <w:lang w:val="fr-FR"/>
        </w:rPr>
        <w:t>5.2</w:t>
      </w:r>
      <w:r w:rsidRPr="00402FDE">
        <w:rPr>
          <w:lang w:val="fr-FR"/>
        </w:rPr>
        <w:tab/>
        <w:t>L</w:t>
      </w:r>
      <w:r w:rsidR="00747513">
        <w:rPr>
          <w:lang w:val="fr-FR"/>
        </w:rPr>
        <w:t>’</w:t>
      </w:r>
      <w:r w:rsidRPr="00402FDE">
        <w:rPr>
          <w:lang w:val="fr-FR"/>
        </w:rPr>
        <w:t>auteur soutient que l</w:t>
      </w:r>
      <w:r w:rsidR="00747513">
        <w:rPr>
          <w:lang w:val="fr-FR"/>
        </w:rPr>
        <w:t>’</w:t>
      </w:r>
      <w:r w:rsidRPr="00402FDE">
        <w:rPr>
          <w:lang w:val="fr-FR"/>
        </w:rPr>
        <w:t>État partie avait assez de temps, entre le 12</w:t>
      </w:r>
      <w:r>
        <w:rPr>
          <w:lang w:val="fr-FR"/>
        </w:rPr>
        <w:t> </w:t>
      </w:r>
      <w:r w:rsidRPr="00402FDE">
        <w:rPr>
          <w:lang w:val="fr-FR"/>
        </w:rPr>
        <w:t>décembre 1993 (date de l</w:t>
      </w:r>
      <w:r w:rsidR="00747513">
        <w:rPr>
          <w:lang w:val="fr-FR"/>
        </w:rPr>
        <w:t>’</w:t>
      </w:r>
      <w:r w:rsidRPr="00402FDE">
        <w:rPr>
          <w:lang w:val="fr-FR"/>
        </w:rPr>
        <w:t>entrée en vigueur de la Constitution) et le 13</w:t>
      </w:r>
      <w:r>
        <w:rPr>
          <w:lang w:val="fr-FR"/>
        </w:rPr>
        <w:t> </w:t>
      </w:r>
      <w:r w:rsidRPr="00402FDE">
        <w:rPr>
          <w:lang w:val="fr-FR"/>
        </w:rPr>
        <w:t>octobre 1995 (date du prononcé de sa peine), pour mettre en place les procès avec jury dans to</w:t>
      </w:r>
      <w:r>
        <w:rPr>
          <w:lang w:val="fr-FR"/>
        </w:rPr>
        <w:t>ute la Fédération de Russie. Le </w:t>
      </w:r>
      <w:r w:rsidRPr="00402FDE">
        <w:rPr>
          <w:lang w:val="fr-FR"/>
        </w:rPr>
        <w:t>fait que l</w:t>
      </w:r>
      <w:r w:rsidR="00747513">
        <w:rPr>
          <w:lang w:val="fr-FR"/>
        </w:rPr>
        <w:t>’</w:t>
      </w:r>
      <w:r w:rsidRPr="00402FDE">
        <w:rPr>
          <w:lang w:val="fr-FR"/>
        </w:rPr>
        <w:t>État partie n</w:t>
      </w:r>
      <w:r w:rsidR="00747513">
        <w:rPr>
          <w:lang w:val="fr-FR"/>
        </w:rPr>
        <w:t>’</w:t>
      </w:r>
      <w:r w:rsidRPr="00402FDE">
        <w:rPr>
          <w:lang w:val="fr-FR"/>
        </w:rPr>
        <w:t>ait pas mis en place ces procès a donné lieu à une violation des droits reconnus par les articles</w:t>
      </w:r>
      <w:r>
        <w:rPr>
          <w:lang w:val="fr-FR"/>
        </w:rPr>
        <w:t> </w:t>
      </w:r>
      <w:r w:rsidRPr="00402FDE">
        <w:rPr>
          <w:lang w:val="fr-FR"/>
        </w:rPr>
        <w:t>20 et 47 de la Constitution et l</w:t>
      </w:r>
      <w:r w:rsidR="00747513">
        <w:rPr>
          <w:lang w:val="fr-FR"/>
        </w:rPr>
        <w:t>’</w:t>
      </w:r>
      <w:r w:rsidRPr="00402FDE">
        <w:rPr>
          <w:lang w:val="fr-FR"/>
        </w:rPr>
        <w:t>article</w:t>
      </w:r>
      <w:r>
        <w:rPr>
          <w:lang w:val="fr-FR"/>
        </w:rPr>
        <w:t> </w:t>
      </w:r>
      <w:r w:rsidRPr="00402FDE">
        <w:rPr>
          <w:lang w:val="fr-FR"/>
        </w:rPr>
        <w:t>6 du Pacte, car l</w:t>
      </w:r>
      <w:r w:rsidR="00747513">
        <w:rPr>
          <w:lang w:val="fr-FR"/>
        </w:rPr>
        <w:t>’</w:t>
      </w:r>
      <w:r w:rsidRPr="00402FDE">
        <w:rPr>
          <w:lang w:val="fr-FR"/>
        </w:rPr>
        <w:t>auteur a été privé de la possibilité de présenter une demande pour que sa cause soit examinée par un jury. L</w:t>
      </w:r>
      <w:r w:rsidR="00747513">
        <w:rPr>
          <w:lang w:val="fr-FR"/>
        </w:rPr>
        <w:t>’</w:t>
      </w:r>
      <w:r w:rsidRPr="00402FDE">
        <w:rPr>
          <w:lang w:val="fr-FR"/>
        </w:rPr>
        <w:t>auteur fait en outre valoir une violation des droits qu</w:t>
      </w:r>
      <w:r w:rsidR="00747513">
        <w:rPr>
          <w:lang w:val="fr-FR"/>
        </w:rPr>
        <w:t>’</w:t>
      </w:r>
      <w:r w:rsidRPr="00402FDE">
        <w:rPr>
          <w:lang w:val="fr-FR"/>
        </w:rPr>
        <w:t>il tire de l</w:t>
      </w:r>
      <w:r w:rsidR="00747513">
        <w:rPr>
          <w:lang w:val="fr-FR"/>
        </w:rPr>
        <w:t>’</w:t>
      </w:r>
      <w:r w:rsidRPr="00402FDE">
        <w:rPr>
          <w:lang w:val="fr-FR"/>
        </w:rPr>
        <w:t>article</w:t>
      </w:r>
      <w:r>
        <w:rPr>
          <w:lang w:val="fr-FR"/>
        </w:rPr>
        <w:t> </w:t>
      </w:r>
      <w:r w:rsidRPr="00402FDE">
        <w:rPr>
          <w:lang w:val="fr-FR"/>
        </w:rPr>
        <w:t>19 de la Constitution et de l</w:t>
      </w:r>
      <w:r w:rsidR="00747513">
        <w:rPr>
          <w:lang w:val="fr-FR"/>
        </w:rPr>
        <w:t>’</w:t>
      </w:r>
      <w:r w:rsidRPr="00402FDE">
        <w:rPr>
          <w:lang w:val="fr-FR"/>
        </w:rPr>
        <w:t>article</w:t>
      </w:r>
      <w:r>
        <w:rPr>
          <w:lang w:val="fr-FR"/>
        </w:rPr>
        <w:t> </w:t>
      </w:r>
      <w:r w:rsidRPr="00402FDE">
        <w:rPr>
          <w:lang w:val="fr-FR"/>
        </w:rPr>
        <w:t>26 du Pacte qui protègent le droit à l</w:t>
      </w:r>
      <w:r w:rsidR="00747513">
        <w:rPr>
          <w:lang w:val="fr-FR"/>
        </w:rPr>
        <w:t>’</w:t>
      </w:r>
      <w:r w:rsidRPr="00402FDE">
        <w:rPr>
          <w:lang w:val="fr-FR"/>
        </w:rPr>
        <w:t>égalité devant la loi, car le fait que l</w:t>
      </w:r>
      <w:r w:rsidR="00747513">
        <w:rPr>
          <w:lang w:val="fr-FR"/>
        </w:rPr>
        <w:t>’</w:t>
      </w:r>
      <w:r w:rsidRPr="00402FDE">
        <w:rPr>
          <w:lang w:val="fr-FR"/>
        </w:rPr>
        <w:t>État partie n</w:t>
      </w:r>
      <w:r w:rsidR="00747513">
        <w:rPr>
          <w:lang w:val="fr-FR"/>
        </w:rPr>
        <w:t>’</w:t>
      </w:r>
      <w:r w:rsidRPr="00402FDE">
        <w:rPr>
          <w:lang w:val="fr-FR"/>
        </w:rPr>
        <w:t>ait pas instauré les procès avec jury dans la région de Mourmansk l</w:t>
      </w:r>
      <w:r w:rsidR="00747513">
        <w:rPr>
          <w:lang w:val="fr-FR"/>
        </w:rPr>
        <w:t>’</w:t>
      </w:r>
      <w:r w:rsidRPr="00402FDE">
        <w:rPr>
          <w:lang w:val="fr-FR"/>
        </w:rPr>
        <w:t>a désavantagé par rapport aux accusés jugés dans les neuf régions où ils pouvaient demander l</w:t>
      </w:r>
      <w:r w:rsidR="00747513">
        <w:rPr>
          <w:lang w:val="fr-FR"/>
        </w:rPr>
        <w:t>’</w:t>
      </w:r>
      <w:r w:rsidRPr="00402FDE">
        <w:rPr>
          <w:lang w:val="fr-FR"/>
        </w:rPr>
        <w:t>examen de leur cause par un jury. L</w:t>
      </w:r>
      <w:r w:rsidR="00747513">
        <w:rPr>
          <w:lang w:val="fr-FR"/>
        </w:rPr>
        <w:t>’</w:t>
      </w:r>
      <w:r w:rsidRPr="00402FDE">
        <w:rPr>
          <w:lang w:val="fr-FR"/>
        </w:rPr>
        <w:t>auteur soutient également que le fait que l</w:t>
      </w:r>
      <w:r w:rsidR="00747513">
        <w:rPr>
          <w:lang w:val="fr-FR"/>
        </w:rPr>
        <w:t>’</w:t>
      </w:r>
      <w:r w:rsidRPr="00402FDE">
        <w:rPr>
          <w:lang w:val="fr-FR"/>
        </w:rPr>
        <w:t>État partie n</w:t>
      </w:r>
      <w:r w:rsidR="00747513">
        <w:rPr>
          <w:lang w:val="fr-FR"/>
        </w:rPr>
        <w:t>’</w:t>
      </w:r>
      <w:r w:rsidRPr="00402FDE">
        <w:rPr>
          <w:lang w:val="fr-FR"/>
        </w:rPr>
        <w:t>ait pas assuré la réalisation de son droit de demander l</w:t>
      </w:r>
      <w:r w:rsidR="00747513">
        <w:rPr>
          <w:lang w:val="fr-FR"/>
        </w:rPr>
        <w:t>’</w:t>
      </w:r>
      <w:r w:rsidRPr="00402FDE">
        <w:rPr>
          <w:lang w:val="fr-FR"/>
        </w:rPr>
        <w:t>examen de sa cause par un jury, consacré par l</w:t>
      </w:r>
      <w:r w:rsidR="00747513">
        <w:rPr>
          <w:lang w:val="fr-FR"/>
        </w:rPr>
        <w:t>’</w:t>
      </w:r>
      <w:r w:rsidRPr="00402FDE">
        <w:rPr>
          <w:lang w:val="fr-FR"/>
        </w:rPr>
        <w:t>article</w:t>
      </w:r>
      <w:r>
        <w:rPr>
          <w:lang w:val="fr-FR"/>
        </w:rPr>
        <w:t> </w:t>
      </w:r>
      <w:r w:rsidRPr="00402FDE">
        <w:rPr>
          <w:lang w:val="fr-FR"/>
        </w:rPr>
        <w:t>20 de la Constitution, induit que le tribunal régional de Mourmansk composé d</w:t>
      </w:r>
      <w:r w:rsidR="00747513">
        <w:rPr>
          <w:lang w:val="fr-FR"/>
        </w:rPr>
        <w:t>’</w:t>
      </w:r>
      <w:r w:rsidRPr="00402FDE">
        <w:rPr>
          <w:lang w:val="fr-FR"/>
        </w:rPr>
        <w:t>un juge professionnel et de deux juges non professionnels qui l</w:t>
      </w:r>
      <w:r w:rsidR="00747513">
        <w:rPr>
          <w:lang w:val="fr-FR"/>
        </w:rPr>
        <w:t>’</w:t>
      </w:r>
      <w:r w:rsidRPr="00402FDE">
        <w:rPr>
          <w:lang w:val="fr-FR"/>
        </w:rPr>
        <w:t>a reconnu coupable le 13</w:t>
      </w:r>
      <w:r>
        <w:rPr>
          <w:lang w:val="fr-FR"/>
        </w:rPr>
        <w:t> </w:t>
      </w:r>
      <w:r w:rsidRPr="00402FDE">
        <w:rPr>
          <w:lang w:val="fr-FR"/>
        </w:rPr>
        <w:t>octobre 1995 n</w:t>
      </w:r>
      <w:r w:rsidR="00747513">
        <w:rPr>
          <w:lang w:val="fr-FR"/>
        </w:rPr>
        <w:t>’</w:t>
      </w:r>
      <w:r w:rsidRPr="00402FDE">
        <w:rPr>
          <w:lang w:val="fr-FR"/>
        </w:rPr>
        <w:t>était pas compétent pour le condamner à mort. Par conséquent, après l</w:t>
      </w:r>
      <w:r w:rsidR="00747513">
        <w:rPr>
          <w:lang w:val="fr-FR"/>
        </w:rPr>
        <w:t>’</w:t>
      </w:r>
      <w:r w:rsidRPr="00402FDE">
        <w:rPr>
          <w:lang w:val="fr-FR"/>
        </w:rPr>
        <w:t>entrée en vigueur, le 12</w:t>
      </w:r>
      <w:r>
        <w:rPr>
          <w:lang w:val="fr-FR"/>
        </w:rPr>
        <w:t> </w:t>
      </w:r>
      <w:r w:rsidRPr="00402FDE">
        <w:rPr>
          <w:lang w:val="fr-FR"/>
        </w:rPr>
        <w:t>décembre 1993, des dispositions constitutionnelles prévoyant que la peine capitale ne peut être appliquée que si l</w:t>
      </w:r>
      <w:r w:rsidR="00747513">
        <w:rPr>
          <w:lang w:val="fr-FR"/>
        </w:rPr>
        <w:t>’</w:t>
      </w:r>
      <w:r w:rsidRPr="00402FDE">
        <w:rPr>
          <w:lang w:val="fr-FR"/>
        </w:rPr>
        <w:t>affaire est examiné</w:t>
      </w:r>
      <w:r>
        <w:rPr>
          <w:lang w:val="fr-FR"/>
        </w:rPr>
        <w:t>e</w:t>
      </w:r>
      <w:r w:rsidRPr="00402FDE">
        <w:rPr>
          <w:lang w:val="fr-FR"/>
        </w:rPr>
        <w:t xml:space="preserve"> par un jury, l</w:t>
      </w:r>
      <w:r w:rsidR="00747513">
        <w:rPr>
          <w:lang w:val="fr-FR"/>
        </w:rPr>
        <w:t>’</w:t>
      </w:r>
      <w:r w:rsidRPr="00402FDE">
        <w:rPr>
          <w:lang w:val="fr-FR"/>
        </w:rPr>
        <w:t>État partie aurait dû adopter une loi interdisant l</w:t>
      </w:r>
      <w:r w:rsidR="00747513">
        <w:rPr>
          <w:lang w:val="fr-FR"/>
        </w:rPr>
        <w:t>’</w:t>
      </w:r>
      <w:r w:rsidRPr="00402FDE">
        <w:rPr>
          <w:lang w:val="fr-FR"/>
        </w:rPr>
        <w:t>imposition de la peine capitale jusqu</w:t>
      </w:r>
      <w:r w:rsidR="00747513">
        <w:rPr>
          <w:lang w:val="fr-FR"/>
        </w:rPr>
        <w:t>’</w:t>
      </w:r>
      <w:r w:rsidRPr="00402FDE">
        <w:rPr>
          <w:lang w:val="fr-FR"/>
        </w:rPr>
        <w:t>à ce que les procès avec jury soient mis en place dans toute la Russie. Or, cette loi n</w:t>
      </w:r>
      <w:r w:rsidR="00747513">
        <w:rPr>
          <w:lang w:val="fr-FR"/>
        </w:rPr>
        <w:t>’</w:t>
      </w:r>
      <w:r w:rsidRPr="00402FDE">
        <w:rPr>
          <w:lang w:val="fr-FR"/>
        </w:rPr>
        <w:t>a été adoptée qu</w:t>
      </w:r>
      <w:r w:rsidR="00747513">
        <w:rPr>
          <w:lang w:val="fr-FR"/>
        </w:rPr>
        <w:t>’</w:t>
      </w:r>
      <w:r w:rsidRPr="00402FDE">
        <w:rPr>
          <w:lang w:val="fr-FR"/>
        </w:rPr>
        <w:t xml:space="preserve">après la décision de la Cour constitutionnelle en date du 2 février 1999, qui a été motivée par les plaintes de citoyens alléguant des violations de leur droit à un procès avec jury. </w:t>
      </w:r>
    </w:p>
    <w:p w:rsidR="00F35D42" w:rsidRPr="00402FDE" w:rsidRDefault="00F35D42" w:rsidP="00F35D42">
      <w:pPr>
        <w:pStyle w:val="SingleTxtG"/>
        <w:rPr>
          <w:lang w:val="fr-FR"/>
        </w:rPr>
      </w:pPr>
      <w:r w:rsidRPr="00402FDE">
        <w:rPr>
          <w:lang w:val="fr-FR"/>
        </w:rPr>
        <w:t>5.3</w:t>
      </w:r>
      <w:r w:rsidRPr="00402FDE">
        <w:rPr>
          <w:lang w:val="fr-FR"/>
        </w:rPr>
        <w:tab/>
        <w:t>L</w:t>
      </w:r>
      <w:r w:rsidR="00747513">
        <w:rPr>
          <w:lang w:val="fr-FR"/>
        </w:rPr>
        <w:t>’</w:t>
      </w:r>
      <w:r w:rsidRPr="00402FDE">
        <w:rPr>
          <w:lang w:val="fr-FR"/>
        </w:rPr>
        <w:t>auteur affirme en outre que la commutation de la peine capitale en peine de réclusion à perpétuité est illégale car, conformément au Code pénal de la RSFSR en vigueur au moment de la commission de l</w:t>
      </w:r>
      <w:r w:rsidR="00747513">
        <w:rPr>
          <w:lang w:val="fr-FR"/>
        </w:rPr>
        <w:t>’</w:t>
      </w:r>
      <w:r w:rsidRPr="00402FDE">
        <w:rPr>
          <w:lang w:val="fr-FR"/>
        </w:rPr>
        <w:t>infraction, la peine d</w:t>
      </w:r>
      <w:r w:rsidR="00747513">
        <w:rPr>
          <w:lang w:val="fr-FR"/>
        </w:rPr>
        <w:t>’</w:t>
      </w:r>
      <w:r w:rsidRPr="00402FDE">
        <w:rPr>
          <w:lang w:val="fr-FR"/>
        </w:rPr>
        <w:t xml:space="preserve">emprisonnement maximale était de </w:t>
      </w:r>
      <w:r>
        <w:rPr>
          <w:lang w:val="fr-FR"/>
        </w:rPr>
        <w:t>vingt</w:t>
      </w:r>
      <w:r w:rsidRPr="00402FDE">
        <w:rPr>
          <w:lang w:val="fr-FR"/>
        </w:rPr>
        <w:t xml:space="preserve"> ans. </w:t>
      </w:r>
    </w:p>
    <w:p w:rsidR="00F35D42" w:rsidRPr="00402FDE" w:rsidRDefault="00F35D42" w:rsidP="00F35D42">
      <w:pPr>
        <w:pStyle w:val="SingleTxtG"/>
        <w:rPr>
          <w:lang w:val="fr-FR"/>
        </w:rPr>
      </w:pPr>
      <w:r w:rsidRPr="00402FDE">
        <w:rPr>
          <w:lang w:val="fr-FR"/>
        </w:rPr>
        <w:t>5.4</w:t>
      </w:r>
      <w:r w:rsidRPr="00402FDE">
        <w:rPr>
          <w:lang w:val="fr-FR"/>
        </w:rPr>
        <w:tab/>
        <w:t>En ce qui concerne la décision de la Cour constitutionnelle en date du 2</w:t>
      </w:r>
      <w:r>
        <w:rPr>
          <w:lang w:val="fr-FR"/>
        </w:rPr>
        <w:t> </w:t>
      </w:r>
      <w:r w:rsidRPr="00402FDE">
        <w:rPr>
          <w:lang w:val="fr-FR"/>
        </w:rPr>
        <w:t>février 1999, l</w:t>
      </w:r>
      <w:r w:rsidR="00747513">
        <w:rPr>
          <w:lang w:val="fr-FR"/>
        </w:rPr>
        <w:t>’</w:t>
      </w:r>
      <w:r w:rsidRPr="00402FDE">
        <w:rPr>
          <w:lang w:val="fr-FR"/>
        </w:rPr>
        <w:t>aute</w:t>
      </w:r>
      <w:r>
        <w:rPr>
          <w:lang w:val="fr-FR"/>
        </w:rPr>
        <w:t xml:space="preserve">ur note que la condamnation de </w:t>
      </w:r>
      <w:r w:rsidRPr="00402FDE">
        <w:rPr>
          <w:lang w:val="fr-FR"/>
        </w:rPr>
        <w:t>F.</w:t>
      </w:r>
      <w:r w:rsidRPr="00C50BCC">
        <w:rPr>
          <w:rStyle w:val="FootnoteReference"/>
        </w:rPr>
        <w:footnoteReference w:id="19"/>
      </w:r>
      <w:r w:rsidRPr="00402FDE">
        <w:rPr>
          <w:lang w:val="fr-FR"/>
        </w:rPr>
        <w:t>, qui est à l</w:t>
      </w:r>
      <w:r w:rsidR="00747513">
        <w:rPr>
          <w:lang w:val="fr-FR"/>
        </w:rPr>
        <w:t>’</w:t>
      </w:r>
      <w:r w:rsidRPr="00402FDE">
        <w:rPr>
          <w:lang w:val="fr-FR"/>
        </w:rPr>
        <w:t>origine de cette décision, a fait l</w:t>
      </w:r>
      <w:r w:rsidR="00747513">
        <w:rPr>
          <w:lang w:val="fr-FR"/>
        </w:rPr>
        <w:t>’</w:t>
      </w:r>
      <w:r w:rsidRPr="00402FDE">
        <w:rPr>
          <w:lang w:val="fr-FR"/>
        </w:rPr>
        <w:t>objet d</w:t>
      </w:r>
      <w:r w:rsidR="00747513">
        <w:rPr>
          <w:lang w:val="fr-FR"/>
        </w:rPr>
        <w:t>’</w:t>
      </w:r>
      <w:r w:rsidRPr="00402FDE">
        <w:rPr>
          <w:lang w:val="fr-FR"/>
        </w:rPr>
        <w:t>une révision. Cela induit, selon l</w:t>
      </w:r>
      <w:r w:rsidR="00747513">
        <w:rPr>
          <w:lang w:val="fr-FR"/>
        </w:rPr>
        <w:t>’</w:t>
      </w:r>
      <w:r w:rsidRPr="00402FDE">
        <w:rPr>
          <w:lang w:val="fr-FR"/>
        </w:rPr>
        <w:t>auteur, que la Cour con</w:t>
      </w:r>
      <w:r>
        <w:rPr>
          <w:lang w:val="fr-FR"/>
        </w:rPr>
        <w:t>stitutionnelle a reconnu que: 1) </w:t>
      </w:r>
      <w:r w:rsidRPr="00402FDE">
        <w:rPr>
          <w:lang w:val="fr-FR"/>
        </w:rPr>
        <w:t>la condamnation à mort de F. avait été prononcée en vio</w:t>
      </w:r>
      <w:r>
        <w:rPr>
          <w:lang w:val="fr-FR"/>
        </w:rPr>
        <w:t>lation de la Constitution; et 2) </w:t>
      </w:r>
      <w:r w:rsidRPr="00402FDE">
        <w:rPr>
          <w:lang w:val="fr-FR"/>
        </w:rPr>
        <w:t>cette violation s</w:t>
      </w:r>
      <w:r w:rsidR="00747513">
        <w:rPr>
          <w:lang w:val="fr-FR"/>
        </w:rPr>
        <w:t>’</w:t>
      </w:r>
      <w:r w:rsidRPr="00402FDE">
        <w:rPr>
          <w:lang w:val="fr-FR"/>
        </w:rPr>
        <w:t>était produite avant la décision prise par la Cour le 2</w:t>
      </w:r>
      <w:r>
        <w:rPr>
          <w:lang w:val="fr-FR"/>
        </w:rPr>
        <w:t> </w:t>
      </w:r>
      <w:r w:rsidRPr="00402FDE">
        <w:rPr>
          <w:lang w:val="fr-FR"/>
        </w:rPr>
        <w:t>février 1999. Étant donné que l</w:t>
      </w:r>
      <w:r w:rsidR="00747513">
        <w:rPr>
          <w:lang w:val="fr-FR"/>
        </w:rPr>
        <w:t>’</w:t>
      </w:r>
      <w:r w:rsidRPr="00402FDE">
        <w:rPr>
          <w:lang w:val="fr-FR"/>
        </w:rPr>
        <w:t>auteur, comme</w:t>
      </w:r>
      <w:r>
        <w:rPr>
          <w:lang w:val="fr-FR"/>
        </w:rPr>
        <w:t xml:space="preserve"> </w:t>
      </w:r>
      <w:r w:rsidRPr="00402FDE">
        <w:rPr>
          <w:lang w:val="fr-FR"/>
        </w:rPr>
        <w:t>F., a été condamné à mort avant la décision du 2</w:t>
      </w:r>
      <w:r>
        <w:rPr>
          <w:lang w:val="fr-FR"/>
        </w:rPr>
        <w:t> </w:t>
      </w:r>
      <w:r w:rsidRPr="00402FDE">
        <w:rPr>
          <w:lang w:val="fr-FR"/>
        </w:rPr>
        <w:t>février 1999, il</w:t>
      </w:r>
      <w:r>
        <w:rPr>
          <w:lang w:val="fr-FR"/>
        </w:rPr>
        <w:t> </w:t>
      </w:r>
      <w:r w:rsidRPr="00402FDE">
        <w:rPr>
          <w:lang w:val="fr-FR"/>
        </w:rPr>
        <w:t>affirme être victime d</w:t>
      </w:r>
      <w:r w:rsidR="00747513">
        <w:rPr>
          <w:lang w:val="fr-FR"/>
        </w:rPr>
        <w:t>’</w:t>
      </w:r>
      <w:r w:rsidRPr="00402FDE">
        <w:rPr>
          <w:lang w:val="fr-FR"/>
        </w:rPr>
        <w:t>une violation de ses droits à l</w:t>
      </w:r>
      <w:r w:rsidR="00747513">
        <w:rPr>
          <w:lang w:val="fr-FR"/>
        </w:rPr>
        <w:t>’</w:t>
      </w:r>
      <w:r w:rsidRPr="00402FDE">
        <w:rPr>
          <w:lang w:val="fr-FR"/>
        </w:rPr>
        <w:t>égalité devant la loi et à une égale protection devant la loi consacrés par l</w:t>
      </w:r>
      <w:r w:rsidR="00747513">
        <w:rPr>
          <w:lang w:val="fr-FR"/>
        </w:rPr>
        <w:t>’article </w:t>
      </w:r>
      <w:r w:rsidRPr="00402FDE">
        <w:rPr>
          <w:lang w:val="fr-FR"/>
        </w:rPr>
        <w:t>19 de la Constitution et l</w:t>
      </w:r>
      <w:r w:rsidR="00747513">
        <w:rPr>
          <w:lang w:val="fr-FR"/>
        </w:rPr>
        <w:t>’</w:t>
      </w:r>
      <w:r w:rsidRPr="00402FDE">
        <w:rPr>
          <w:lang w:val="fr-FR"/>
        </w:rPr>
        <w:t>article</w:t>
      </w:r>
      <w:r>
        <w:rPr>
          <w:lang w:val="fr-FR"/>
        </w:rPr>
        <w:t> </w:t>
      </w:r>
      <w:r w:rsidRPr="00402FDE">
        <w:rPr>
          <w:lang w:val="fr-FR"/>
        </w:rPr>
        <w:t>26 du Pacte. Il soutient en outre que cette violation devrait donner lieu au réexamen de sa cause en raison de circonstances nouvelles, conformément au paragraphe</w:t>
      </w:r>
      <w:r>
        <w:rPr>
          <w:lang w:val="fr-FR"/>
        </w:rPr>
        <w:t> </w:t>
      </w:r>
      <w:r w:rsidRPr="00402FDE">
        <w:rPr>
          <w:lang w:val="fr-FR"/>
        </w:rPr>
        <w:t>4 1) de l</w:t>
      </w:r>
      <w:r w:rsidR="00747513">
        <w:rPr>
          <w:lang w:val="fr-FR"/>
        </w:rPr>
        <w:t>’</w:t>
      </w:r>
      <w:r w:rsidRPr="00402FDE">
        <w:rPr>
          <w:lang w:val="fr-FR"/>
        </w:rPr>
        <w:t>article</w:t>
      </w:r>
      <w:r>
        <w:rPr>
          <w:lang w:val="fr-FR"/>
        </w:rPr>
        <w:t> </w:t>
      </w:r>
      <w:r w:rsidRPr="00402FDE">
        <w:rPr>
          <w:lang w:val="fr-FR"/>
        </w:rPr>
        <w:t>413 du Code de procédure pénale russe. Il conteste l</w:t>
      </w:r>
      <w:r w:rsidR="00747513">
        <w:rPr>
          <w:lang w:val="fr-FR"/>
        </w:rPr>
        <w:t>’</w:t>
      </w:r>
      <w:r w:rsidRPr="00402FDE">
        <w:rPr>
          <w:lang w:val="fr-FR"/>
        </w:rPr>
        <w:t>argument de l</w:t>
      </w:r>
      <w:r w:rsidR="00747513">
        <w:rPr>
          <w:lang w:val="fr-FR"/>
        </w:rPr>
        <w:t>’</w:t>
      </w:r>
      <w:r w:rsidRPr="00402FDE">
        <w:rPr>
          <w:lang w:val="fr-FR"/>
        </w:rPr>
        <w:t>État partie qui affirme que le résultat de la procédure constitutionnelle ne s</w:t>
      </w:r>
      <w:r w:rsidR="00747513">
        <w:rPr>
          <w:lang w:val="fr-FR"/>
        </w:rPr>
        <w:t>’</w:t>
      </w:r>
      <w:r w:rsidRPr="00402FDE">
        <w:rPr>
          <w:lang w:val="fr-FR"/>
        </w:rPr>
        <w:t>applique pas à sa cause parce qu</w:t>
      </w:r>
      <w:r w:rsidR="00747513">
        <w:rPr>
          <w:lang w:val="fr-FR"/>
        </w:rPr>
        <w:t>’</w:t>
      </w:r>
      <w:r w:rsidRPr="00402FDE">
        <w:rPr>
          <w:lang w:val="fr-FR"/>
        </w:rPr>
        <w:t>il n</w:t>
      </w:r>
      <w:r w:rsidR="00747513">
        <w:rPr>
          <w:lang w:val="fr-FR"/>
        </w:rPr>
        <w:t>’</w:t>
      </w:r>
      <w:r w:rsidRPr="00402FDE">
        <w:rPr>
          <w:lang w:val="fr-FR"/>
        </w:rPr>
        <w:t>a pas pris part à cette procédure. Il renvoie à la décision rendue par le tribunal municipal de Zlatooust le 29</w:t>
      </w:r>
      <w:r>
        <w:rPr>
          <w:lang w:val="fr-FR"/>
        </w:rPr>
        <w:t> </w:t>
      </w:r>
      <w:r w:rsidRPr="00402FDE">
        <w:rPr>
          <w:lang w:val="fr-FR"/>
        </w:rPr>
        <w:t>janvier 2001, par laquelle la condamnation d</w:t>
      </w:r>
      <w:r w:rsidR="00747513">
        <w:rPr>
          <w:lang w:val="fr-FR"/>
        </w:rPr>
        <w:t>’</w:t>
      </w:r>
      <w:r>
        <w:rPr>
          <w:lang w:val="fr-FR"/>
        </w:rPr>
        <w:t xml:space="preserve">un autre détenu, </w:t>
      </w:r>
      <w:r w:rsidRPr="00402FDE">
        <w:rPr>
          <w:lang w:val="fr-FR"/>
        </w:rPr>
        <w:t>D., a été mise en conformité avec la décision de la Cour constitutionnelle, alors que ce détenu n</w:t>
      </w:r>
      <w:r w:rsidR="00747513">
        <w:rPr>
          <w:lang w:val="fr-FR"/>
        </w:rPr>
        <w:t>’</w:t>
      </w:r>
      <w:r w:rsidRPr="00402FDE">
        <w:rPr>
          <w:lang w:val="fr-FR"/>
        </w:rPr>
        <w:t>avait lui non plus pas pris part à la procédure constitutionnelle</w:t>
      </w:r>
      <w:r w:rsidRPr="00C50BCC">
        <w:rPr>
          <w:rStyle w:val="FootnoteReference"/>
        </w:rPr>
        <w:footnoteReference w:id="20"/>
      </w:r>
      <w:r w:rsidRPr="00402FDE">
        <w:rPr>
          <w:lang w:val="fr-FR"/>
        </w:rPr>
        <w:t>.</w:t>
      </w:r>
    </w:p>
    <w:p w:rsidR="00F35D42" w:rsidRPr="00402FDE" w:rsidRDefault="00F35D42" w:rsidP="00F35D42">
      <w:pPr>
        <w:pStyle w:val="SingleTxtG"/>
        <w:rPr>
          <w:lang w:val="fr-FR"/>
        </w:rPr>
      </w:pPr>
      <w:r w:rsidRPr="00402FDE">
        <w:rPr>
          <w:lang w:val="fr-FR"/>
        </w:rPr>
        <w:t>5.5</w:t>
      </w:r>
      <w:r w:rsidRPr="00402FDE">
        <w:rPr>
          <w:lang w:val="fr-FR"/>
        </w:rPr>
        <w:tab/>
        <w:t>L</w:t>
      </w:r>
      <w:r w:rsidR="00747513">
        <w:rPr>
          <w:lang w:val="fr-FR"/>
        </w:rPr>
        <w:t>’</w:t>
      </w:r>
      <w:r w:rsidRPr="00402FDE">
        <w:rPr>
          <w:lang w:val="fr-FR"/>
        </w:rPr>
        <w:t>auteur réfute en outre l</w:t>
      </w:r>
      <w:r w:rsidR="00747513">
        <w:rPr>
          <w:lang w:val="fr-FR"/>
        </w:rPr>
        <w:t>’</w:t>
      </w:r>
      <w:r w:rsidRPr="00402FDE">
        <w:rPr>
          <w:lang w:val="fr-FR"/>
        </w:rPr>
        <w:t>argument de l</w:t>
      </w:r>
      <w:r w:rsidR="00747513">
        <w:rPr>
          <w:lang w:val="fr-FR"/>
        </w:rPr>
        <w:t>’</w:t>
      </w:r>
      <w:r w:rsidRPr="00402FDE">
        <w:rPr>
          <w:lang w:val="fr-FR"/>
        </w:rPr>
        <w:t>État partie qui affirme qu</w:t>
      </w:r>
      <w:r w:rsidR="00747513">
        <w:rPr>
          <w:lang w:val="fr-FR"/>
        </w:rPr>
        <w:t>’</w:t>
      </w:r>
      <w:r w:rsidRPr="00402FDE">
        <w:rPr>
          <w:lang w:val="fr-FR"/>
        </w:rPr>
        <w:t>au moment où</w:t>
      </w:r>
      <w:r>
        <w:rPr>
          <w:lang w:val="fr-FR"/>
        </w:rPr>
        <w:t xml:space="preserve"> </w:t>
      </w:r>
      <w:r w:rsidRPr="00402FDE">
        <w:rPr>
          <w:lang w:val="fr-FR"/>
        </w:rPr>
        <w:t>D. avait commis l</w:t>
      </w:r>
      <w:r w:rsidR="00747513">
        <w:rPr>
          <w:lang w:val="fr-FR"/>
        </w:rPr>
        <w:t>’</w:t>
      </w:r>
      <w:r w:rsidRPr="00402FDE">
        <w:rPr>
          <w:lang w:val="fr-FR"/>
        </w:rPr>
        <w:t xml:space="preserve">infraction, la loi prévoyait la possibilité de commuer la peine capitale en peine de </w:t>
      </w:r>
      <w:r>
        <w:rPr>
          <w:lang w:val="fr-FR"/>
        </w:rPr>
        <w:t>quinze</w:t>
      </w:r>
      <w:r w:rsidRPr="00402FDE">
        <w:rPr>
          <w:lang w:val="fr-FR"/>
        </w:rPr>
        <w:t xml:space="preserve"> à </w:t>
      </w:r>
      <w:r>
        <w:rPr>
          <w:lang w:val="fr-FR"/>
        </w:rPr>
        <w:t>vingt</w:t>
      </w:r>
      <w:r w:rsidRPr="00402FDE">
        <w:rPr>
          <w:lang w:val="fr-FR"/>
        </w:rPr>
        <w:t xml:space="preserve"> ans d</w:t>
      </w:r>
      <w:r w:rsidR="00747513">
        <w:rPr>
          <w:lang w:val="fr-FR"/>
        </w:rPr>
        <w:t>’</w:t>
      </w:r>
      <w:r w:rsidRPr="00402FDE">
        <w:rPr>
          <w:lang w:val="fr-FR"/>
        </w:rPr>
        <w:t>emprisonnement, alors qu</w:t>
      </w:r>
      <w:r w:rsidR="00747513">
        <w:rPr>
          <w:lang w:val="fr-FR"/>
        </w:rPr>
        <w:t>’</w:t>
      </w:r>
      <w:r w:rsidRPr="00402FDE">
        <w:rPr>
          <w:lang w:val="fr-FR"/>
        </w:rPr>
        <w:t>au moment où l</w:t>
      </w:r>
      <w:r w:rsidR="00747513">
        <w:rPr>
          <w:lang w:val="fr-FR"/>
        </w:rPr>
        <w:t>’</w:t>
      </w:r>
      <w:r w:rsidRPr="00402FDE">
        <w:rPr>
          <w:lang w:val="fr-FR"/>
        </w:rPr>
        <w:t>auteur avait commis l</w:t>
      </w:r>
      <w:r w:rsidR="00747513">
        <w:rPr>
          <w:lang w:val="fr-FR"/>
        </w:rPr>
        <w:t>’</w:t>
      </w:r>
      <w:r w:rsidRPr="00402FDE">
        <w:rPr>
          <w:lang w:val="fr-FR"/>
        </w:rPr>
        <w:t>infraction, la loi prévoyait la commutation de cette peine en peine de réclusion à perpétuité. Il fait valoir que cette disposition est contraire à l</w:t>
      </w:r>
      <w:r w:rsidR="00747513">
        <w:rPr>
          <w:lang w:val="fr-FR"/>
        </w:rPr>
        <w:t>’</w:t>
      </w:r>
      <w:r w:rsidRPr="00402FDE">
        <w:rPr>
          <w:lang w:val="fr-FR"/>
        </w:rPr>
        <w:t>article</w:t>
      </w:r>
      <w:r>
        <w:rPr>
          <w:lang w:val="fr-FR"/>
        </w:rPr>
        <w:t> </w:t>
      </w:r>
      <w:r w:rsidRPr="00402FDE">
        <w:rPr>
          <w:lang w:val="fr-FR"/>
        </w:rPr>
        <w:t>21 du Code pénal de la</w:t>
      </w:r>
      <w:r>
        <w:rPr>
          <w:lang w:val="fr-FR"/>
        </w:rPr>
        <w:t> </w:t>
      </w:r>
      <w:r w:rsidRPr="00402FDE">
        <w:rPr>
          <w:lang w:val="fr-FR"/>
        </w:rPr>
        <w:t>RSFSR car la réclusion à perpétuité ne figure pas parmi les peine</w:t>
      </w:r>
      <w:r>
        <w:rPr>
          <w:lang w:val="fr-FR"/>
        </w:rPr>
        <w:t>s qui y sont prévues. Par </w:t>
      </w:r>
      <w:r w:rsidRPr="00402FDE">
        <w:rPr>
          <w:lang w:val="fr-FR"/>
        </w:rPr>
        <w:t>conséquent, le Président ne peut pas, dans l</w:t>
      </w:r>
      <w:r w:rsidR="00747513">
        <w:rPr>
          <w:lang w:val="fr-FR"/>
        </w:rPr>
        <w:t>’</w:t>
      </w:r>
      <w:r w:rsidRPr="00402FDE">
        <w:rPr>
          <w:lang w:val="fr-FR"/>
        </w:rPr>
        <w:t>exercice de son droit de grâce, imposer une peine qui n</w:t>
      </w:r>
      <w:r w:rsidR="00747513">
        <w:rPr>
          <w:lang w:val="fr-FR"/>
        </w:rPr>
        <w:t>’</w:t>
      </w:r>
      <w:r w:rsidRPr="00402FDE">
        <w:rPr>
          <w:lang w:val="fr-FR"/>
        </w:rPr>
        <w:t>a pas de fondement en droit interne.</w:t>
      </w:r>
    </w:p>
    <w:p w:rsidR="00F35D42" w:rsidRPr="00402FDE" w:rsidRDefault="00F35D42" w:rsidP="00F35D42">
      <w:pPr>
        <w:pStyle w:val="SingleTxtG"/>
        <w:keepLines/>
        <w:rPr>
          <w:lang w:val="fr-FR"/>
        </w:rPr>
      </w:pPr>
      <w:r w:rsidRPr="00402FDE">
        <w:rPr>
          <w:lang w:val="fr-FR"/>
        </w:rPr>
        <w:t>5.6</w:t>
      </w:r>
      <w:r w:rsidRPr="00402FDE">
        <w:rPr>
          <w:lang w:val="fr-FR"/>
        </w:rPr>
        <w:tab/>
        <w:t>À la lumière de ce qui précède, l</w:t>
      </w:r>
      <w:r w:rsidR="00747513">
        <w:rPr>
          <w:lang w:val="fr-FR"/>
        </w:rPr>
        <w:t>’</w:t>
      </w:r>
      <w:r w:rsidRPr="00402FDE">
        <w:rPr>
          <w:lang w:val="fr-FR"/>
        </w:rPr>
        <w:t>auteur demande à l</w:t>
      </w:r>
      <w:r w:rsidR="00747513">
        <w:rPr>
          <w:lang w:val="fr-FR"/>
        </w:rPr>
        <w:t>’</w:t>
      </w:r>
      <w:r w:rsidRPr="00402FDE">
        <w:rPr>
          <w:lang w:val="fr-FR"/>
        </w:rPr>
        <w:t>État partie de mettre sa condamnation en conformité avec la décision de la Cour constitutionnelle en date du 2 février 1999, comme le tribunal municipal de Zlatooust l</w:t>
      </w:r>
      <w:r w:rsidR="00747513">
        <w:rPr>
          <w:lang w:val="fr-FR"/>
        </w:rPr>
        <w:t>’</w:t>
      </w:r>
      <w:r w:rsidRPr="00402FDE">
        <w:rPr>
          <w:lang w:val="fr-FR"/>
        </w:rPr>
        <w:t>a fait pour D. À défaut, il</w:t>
      </w:r>
      <w:r w:rsidR="007D2996">
        <w:rPr>
          <w:lang w:val="fr-FR"/>
        </w:rPr>
        <w:t> </w:t>
      </w:r>
      <w:r w:rsidRPr="00402FDE">
        <w:rPr>
          <w:lang w:val="fr-FR"/>
        </w:rPr>
        <w:t>demande que, conformément à ladite décision, sa condamnation soit révisée, cassée et que l</w:t>
      </w:r>
      <w:r w:rsidR="00747513">
        <w:rPr>
          <w:lang w:val="fr-FR"/>
        </w:rPr>
        <w:t>’</w:t>
      </w:r>
      <w:r w:rsidRPr="00402FDE">
        <w:rPr>
          <w:lang w:val="fr-FR"/>
        </w:rPr>
        <w:t>affaire soit renvoyée au tribunal régional de Mourmansk pour un nouvel examen avec la participation de jurés, car les procès avec jury ont été mis en place dans toute la Fédération de Russie à compter du 1</w:t>
      </w:r>
      <w:r w:rsidRPr="00402FDE">
        <w:rPr>
          <w:vertAlign w:val="superscript"/>
          <w:lang w:val="fr-FR"/>
        </w:rPr>
        <w:t>er</w:t>
      </w:r>
      <w:r>
        <w:rPr>
          <w:lang w:val="fr-FR"/>
        </w:rPr>
        <w:t> </w:t>
      </w:r>
      <w:r w:rsidR="00484E6C">
        <w:rPr>
          <w:lang w:val="fr-FR"/>
        </w:rPr>
        <w:t>janvier 2010.</w:t>
      </w:r>
    </w:p>
    <w:p w:rsidR="00F35D42" w:rsidRPr="00402FDE" w:rsidRDefault="00F35D42" w:rsidP="00F35D42">
      <w:pPr>
        <w:pStyle w:val="SingleTxtG"/>
        <w:rPr>
          <w:lang w:val="fr-FR"/>
        </w:rPr>
      </w:pPr>
      <w:r w:rsidRPr="00402FDE">
        <w:rPr>
          <w:lang w:val="fr-FR"/>
        </w:rPr>
        <w:t>5.7</w:t>
      </w:r>
      <w:r w:rsidRPr="00402FDE">
        <w:rPr>
          <w:lang w:val="fr-FR"/>
        </w:rPr>
        <w:tab/>
        <w:t>L</w:t>
      </w:r>
      <w:r w:rsidR="00747513">
        <w:rPr>
          <w:lang w:val="fr-FR"/>
        </w:rPr>
        <w:t>’</w:t>
      </w:r>
      <w:r w:rsidRPr="00402FDE">
        <w:rPr>
          <w:lang w:val="fr-FR"/>
        </w:rPr>
        <w:t>auteur invoque à l</w:t>
      </w:r>
      <w:r w:rsidR="00747513">
        <w:rPr>
          <w:lang w:val="fr-FR"/>
        </w:rPr>
        <w:t>’</w:t>
      </w:r>
      <w:r w:rsidRPr="00402FDE">
        <w:rPr>
          <w:lang w:val="fr-FR"/>
        </w:rPr>
        <w:t>appui de sa soumission une lettre ouverte adressée au Président de la Cour suprême par un avocat de Stavropol (Russie), qui fait état de difficultés dans l</w:t>
      </w:r>
      <w:r w:rsidR="00747513">
        <w:rPr>
          <w:lang w:val="fr-FR"/>
        </w:rPr>
        <w:t>’</w:t>
      </w:r>
      <w:r w:rsidRPr="00402FDE">
        <w:rPr>
          <w:lang w:val="fr-FR"/>
        </w:rPr>
        <w:t>application de la décision de</w:t>
      </w:r>
      <w:r>
        <w:rPr>
          <w:lang w:val="fr-FR"/>
        </w:rPr>
        <w:t xml:space="preserve"> la Cour constitutionnelle du 2 </w:t>
      </w:r>
      <w:r w:rsidRPr="00402FDE">
        <w:rPr>
          <w:lang w:val="fr-FR"/>
        </w:rPr>
        <w:t>février 1999 aux condamnations à mort devenues définitives avant cette date.</w:t>
      </w:r>
    </w:p>
    <w:p w:rsidR="00F35D42" w:rsidRPr="00402FDE" w:rsidRDefault="00F35D42" w:rsidP="00F35D42">
      <w:pPr>
        <w:pStyle w:val="H23G"/>
        <w:rPr>
          <w:lang w:val="fr-FR"/>
        </w:rPr>
      </w:pPr>
      <w:r w:rsidRPr="00402FDE">
        <w:rPr>
          <w:lang w:val="fr-FR"/>
        </w:rPr>
        <w:tab/>
      </w:r>
      <w:r w:rsidRPr="00402FDE">
        <w:rPr>
          <w:lang w:val="fr-FR"/>
        </w:rPr>
        <w:tab/>
        <w:t>Observations supplémentaires de l</w:t>
      </w:r>
      <w:r w:rsidR="00747513">
        <w:rPr>
          <w:lang w:val="fr-FR"/>
        </w:rPr>
        <w:t>’</w:t>
      </w:r>
      <w:r w:rsidRPr="00402FDE">
        <w:rPr>
          <w:lang w:val="fr-FR"/>
        </w:rPr>
        <w:t>État partie</w:t>
      </w:r>
    </w:p>
    <w:p w:rsidR="00F35D42" w:rsidRPr="00402FDE" w:rsidRDefault="00F35D42" w:rsidP="00F35D42">
      <w:pPr>
        <w:pStyle w:val="SingleTxtG"/>
        <w:rPr>
          <w:lang w:val="fr-FR"/>
        </w:rPr>
      </w:pPr>
      <w:r w:rsidRPr="00402FDE">
        <w:rPr>
          <w:lang w:val="fr-FR"/>
        </w:rPr>
        <w:t>6.1</w:t>
      </w:r>
      <w:r w:rsidRPr="00402FDE">
        <w:rPr>
          <w:lang w:val="fr-FR"/>
        </w:rPr>
        <w:tab/>
      </w:r>
      <w:r w:rsidRPr="007D2996">
        <w:rPr>
          <w:spacing w:val="-1"/>
          <w:lang w:val="fr-FR"/>
        </w:rPr>
        <w:t>Dans une note verbale du 21</w:t>
      </w:r>
      <w:r w:rsidR="007D2996" w:rsidRPr="007D2996">
        <w:rPr>
          <w:spacing w:val="-1"/>
          <w:lang w:val="fr-FR"/>
        </w:rPr>
        <w:t> </w:t>
      </w:r>
      <w:r w:rsidRPr="007D2996">
        <w:rPr>
          <w:spacing w:val="-1"/>
          <w:lang w:val="fr-FR"/>
        </w:rPr>
        <w:t>février 2011, l</w:t>
      </w:r>
      <w:r w:rsidR="00747513">
        <w:rPr>
          <w:spacing w:val="-1"/>
          <w:lang w:val="fr-FR"/>
        </w:rPr>
        <w:t>’</w:t>
      </w:r>
      <w:r w:rsidRPr="007D2996">
        <w:rPr>
          <w:spacing w:val="-1"/>
          <w:lang w:val="fr-FR"/>
        </w:rPr>
        <w:t>État partie a indiqué que depuis le 23 mai 2001, l</w:t>
      </w:r>
      <w:r w:rsidR="00747513">
        <w:rPr>
          <w:spacing w:val="-1"/>
          <w:lang w:val="fr-FR"/>
        </w:rPr>
        <w:t>’</w:t>
      </w:r>
      <w:r w:rsidRPr="007D2996">
        <w:rPr>
          <w:spacing w:val="-1"/>
          <w:lang w:val="fr-FR"/>
        </w:rPr>
        <w:t>auteur exécute sa peine dans l</w:t>
      </w:r>
      <w:r w:rsidR="00747513">
        <w:rPr>
          <w:spacing w:val="-1"/>
          <w:lang w:val="fr-FR"/>
        </w:rPr>
        <w:t>’</w:t>
      </w:r>
      <w:r w:rsidRPr="007D2996">
        <w:rPr>
          <w:spacing w:val="-1"/>
          <w:lang w:val="fr-FR"/>
        </w:rPr>
        <w:t>établissement pénitentiaire n</w:t>
      </w:r>
      <w:r w:rsidRPr="007D2996">
        <w:rPr>
          <w:spacing w:val="-1"/>
          <w:vertAlign w:val="superscript"/>
          <w:lang w:val="fr-FR"/>
        </w:rPr>
        <w:t>o</w:t>
      </w:r>
      <w:r w:rsidRPr="007D2996">
        <w:rPr>
          <w:spacing w:val="-1"/>
          <w:lang w:val="fr-FR"/>
        </w:rPr>
        <w:t> 6 de l</w:t>
      </w:r>
      <w:r w:rsidR="00747513">
        <w:rPr>
          <w:spacing w:val="-1"/>
          <w:lang w:val="fr-FR"/>
        </w:rPr>
        <w:t>’</w:t>
      </w:r>
      <w:r w:rsidRPr="007D2996">
        <w:rPr>
          <w:spacing w:val="-1"/>
          <w:lang w:val="fr-FR"/>
        </w:rPr>
        <w:t>Administration du Service pénitentiaire fédéral dans la région d</w:t>
      </w:r>
      <w:r w:rsidR="00747513">
        <w:rPr>
          <w:spacing w:val="-1"/>
          <w:lang w:val="fr-FR"/>
        </w:rPr>
        <w:t>’</w:t>
      </w:r>
      <w:r w:rsidRPr="007D2996">
        <w:rPr>
          <w:spacing w:val="-1"/>
          <w:lang w:val="fr-FR"/>
        </w:rPr>
        <w:t>Orenbourg (</w:t>
      </w:r>
      <w:proofErr w:type="spellStart"/>
      <w:r w:rsidRPr="007D2996">
        <w:rPr>
          <w:i/>
          <w:spacing w:val="-1"/>
          <w:lang w:val="fr-FR"/>
        </w:rPr>
        <w:t>Исправительная</w:t>
      </w:r>
      <w:proofErr w:type="spellEnd"/>
      <w:r w:rsidRPr="007D2996">
        <w:rPr>
          <w:i/>
          <w:spacing w:val="-1"/>
          <w:lang w:val="fr-FR"/>
        </w:rPr>
        <w:t xml:space="preserve"> </w:t>
      </w:r>
      <w:proofErr w:type="spellStart"/>
      <w:r w:rsidRPr="007D2996">
        <w:rPr>
          <w:i/>
          <w:spacing w:val="-1"/>
          <w:lang w:val="fr-FR"/>
        </w:rPr>
        <w:t>кололония</w:t>
      </w:r>
      <w:proofErr w:type="spellEnd"/>
      <w:r w:rsidRPr="007D2996">
        <w:rPr>
          <w:i/>
          <w:spacing w:val="-1"/>
          <w:lang w:val="fr-FR"/>
        </w:rPr>
        <w:t xml:space="preserve"> №</w:t>
      </w:r>
      <w:r w:rsidR="007D2996" w:rsidRPr="007D2996">
        <w:rPr>
          <w:i/>
          <w:spacing w:val="-1"/>
          <w:lang w:val="fr-FR"/>
        </w:rPr>
        <w:t> </w:t>
      </w:r>
      <w:r w:rsidRPr="007D2996">
        <w:rPr>
          <w:i/>
          <w:spacing w:val="-1"/>
          <w:lang w:val="fr-FR"/>
        </w:rPr>
        <w:t xml:space="preserve">6 </w:t>
      </w:r>
      <w:proofErr w:type="spellStart"/>
      <w:r w:rsidRPr="007D2996">
        <w:rPr>
          <w:i/>
          <w:spacing w:val="-1"/>
          <w:lang w:val="fr-FR"/>
        </w:rPr>
        <w:t>Управления</w:t>
      </w:r>
      <w:proofErr w:type="spellEnd"/>
      <w:r w:rsidRPr="007D2996">
        <w:rPr>
          <w:i/>
          <w:spacing w:val="-1"/>
          <w:lang w:val="fr-FR"/>
        </w:rPr>
        <w:t xml:space="preserve"> </w:t>
      </w:r>
      <w:proofErr w:type="spellStart"/>
      <w:r w:rsidRPr="007D2996">
        <w:rPr>
          <w:i/>
          <w:spacing w:val="-1"/>
          <w:lang w:val="fr-FR"/>
        </w:rPr>
        <w:t>Федеральной</w:t>
      </w:r>
      <w:proofErr w:type="spellEnd"/>
      <w:r w:rsidRPr="007D2996">
        <w:rPr>
          <w:i/>
          <w:spacing w:val="-1"/>
          <w:lang w:val="fr-FR"/>
        </w:rPr>
        <w:t xml:space="preserve"> </w:t>
      </w:r>
      <w:proofErr w:type="spellStart"/>
      <w:r w:rsidRPr="007D2996">
        <w:rPr>
          <w:i/>
          <w:spacing w:val="-1"/>
          <w:lang w:val="fr-FR"/>
        </w:rPr>
        <w:t>Службы</w:t>
      </w:r>
      <w:proofErr w:type="spellEnd"/>
      <w:r w:rsidRPr="007D2996">
        <w:rPr>
          <w:i/>
          <w:spacing w:val="-1"/>
          <w:lang w:val="fr-FR"/>
        </w:rPr>
        <w:t xml:space="preserve"> </w:t>
      </w:r>
      <w:proofErr w:type="spellStart"/>
      <w:r w:rsidRPr="007D2996">
        <w:rPr>
          <w:i/>
          <w:spacing w:val="-1"/>
          <w:lang w:val="fr-FR"/>
        </w:rPr>
        <w:t>Исполнения</w:t>
      </w:r>
      <w:proofErr w:type="spellEnd"/>
      <w:r w:rsidRPr="007D2996">
        <w:rPr>
          <w:i/>
          <w:spacing w:val="-1"/>
          <w:lang w:val="fr-FR"/>
        </w:rPr>
        <w:t xml:space="preserve"> </w:t>
      </w:r>
      <w:proofErr w:type="spellStart"/>
      <w:r w:rsidRPr="007D2996">
        <w:rPr>
          <w:i/>
          <w:spacing w:val="-1"/>
          <w:lang w:val="fr-FR"/>
        </w:rPr>
        <w:t>Наказаний</w:t>
      </w:r>
      <w:proofErr w:type="spellEnd"/>
      <w:r w:rsidRPr="007D2996">
        <w:rPr>
          <w:i/>
          <w:spacing w:val="-1"/>
          <w:lang w:val="fr-FR"/>
        </w:rPr>
        <w:t xml:space="preserve"> </w:t>
      </w:r>
      <w:proofErr w:type="spellStart"/>
      <w:r w:rsidRPr="007D2996">
        <w:rPr>
          <w:i/>
          <w:spacing w:val="-1"/>
          <w:lang w:val="fr-FR"/>
        </w:rPr>
        <w:t>Россиии</w:t>
      </w:r>
      <w:proofErr w:type="spellEnd"/>
      <w:r w:rsidRPr="007D2996">
        <w:rPr>
          <w:i/>
          <w:spacing w:val="-1"/>
          <w:lang w:val="fr-FR"/>
        </w:rPr>
        <w:t xml:space="preserve"> </w:t>
      </w:r>
      <w:proofErr w:type="spellStart"/>
      <w:r w:rsidRPr="007D2996">
        <w:rPr>
          <w:i/>
          <w:spacing w:val="-1"/>
          <w:lang w:val="fr-FR"/>
        </w:rPr>
        <w:t>по</w:t>
      </w:r>
      <w:proofErr w:type="spellEnd"/>
      <w:r w:rsidRPr="007D2996">
        <w:rPr>
          <w:i/>
          <w:spacing w:val="-1"/>
          <w:lang w:val="fr-FR"/>
        </w:rPr>
        <w:t xml:space="preserve"> </w:t>
      </w:r>
      <w:proofErr w:type="spellStart"/>
      <w:r w:rsidRPr="007D2996">
        <w:rPr>
          <w:i/>
          <w:spacing w:val="-1"/>
          <w:lang w:val="fr-FR"/>
        </w:rPr>
        <w:t>Оренбургской</w:t>
      </w:r>
      <w:proofErr w:type="spellEnd"/>
      <w:r w:rsidRPr="007D2996">
        <w:rPr>
          <w:i/>
          <w:spacing w:val="-1"/>
          <w:lang w:val="fr-FR"/>
        </w:rPr>
        <w:t xml:space="preserve"> </w:t>
      </w:r>
      <w:proofErr w:type="spellStart"/>
      <w:r w:rsidRPr="007D2996">
        <w:rPr>
          <w:i/>
          <w:spacing w:val="-1"/>
          <w:lang w:val="fr-FR"/>
        </w:rPr>
        <w:t>области</w:t>
      </w:r>
      <w:proofErr w:type="spellEnd"/>
      <w:r w:rsidRPr="007D2996">
        <w:rPr>
          <w:i/>
          <w:spacing w:val="-1"/>
          <w:lang w:val="fr-FR"/>
        </w:rPr>
        <w:t>, ИК-6</w:t>
      </w:r>
      <w:r w:rsidRPr="007D2996">
        <w:rPr>
          <w:spacing w:val="-1"/>
          <w:lang w:val="fr-FR"/>
        </w:rPr>
        <w:t>,</w:t>
      </w:r>
      <w:r w:rsidRPr="007D2996">
        <w:rPr>
          <w:i/>
          <w:spacing w:val="-1"/>
          <w:lang w:val="fr-FR"/>
        </w:rPr>
        <w:t xml:space="preserve"> </w:t>
      </w:r>
      <w:r w:rsidRPr="007D2996">
        <w:rPr>
          <w:spacing w:val="-1"/>
          <w:lang w:val="fr-FR"/>
        </w:rPr>
        <w:t>ci-après «centre de détention IK</w:t>
      </w:r>
      <w:r w:rsidRPr="007D2996">
        <w:rPr>
          <w:spacing w:val="-1"/>
          <w:lang w:val="fr-FR"/>
        </w:rPr>
        <w:noBreakHyphen/>
        <w:t xml:space="preserve">6»). </w:t>
      </w:r>
      <w:r w:rsidRPr="00402FDE">
        <w:rPr>
          <w:lang w:val="fr-FR"/>
        </w:rPr>
        <w:t>Pendant cette période, l</w:t>
      </w:r>
      <w:r w:rsidR="00747513">
        <w:rPr>
          <w:lang w:val="fr-FR"/>
        </w:rPr>
        <w:t>’</w:t>
      </w:r>
      <w:r w:rsidRPr="00402FDE">
        <w:rPr>
          <w:lang w:val="fr-FR"/>
        </w:rPr>
        <w:t>auteur a envoyé 87 courriers à différentes autorités nationales et organisations non gouvernementales, notamment, dont trois lettres adressées au Comité</w:t>
      </w:r>
      <w:r>
        <w:rPr>
          <w:rStyle w:val="FootnoteReference"/>
        </w:rPr>
        <w:footnoteReference w:id="21"/>
      </w:r>
      <w:r w:rsidRPr="00402FDE">
        <w:rPr>
          <w:lang w:val="fr-FR"/>
        </w:rPr>
        <w:t xml:space="preserve"> et une lettre adressée à l</w:t>
      </w:r>
      <w:r w:rsidR="00747513">
        <w:rPr>
          <w:lang w:val="fr-FR"/>
        </w:rPr>
        <w:t>’</w:t>
      </w:r>
      <w:r w:rsidRPr="00402FDE">
        <w:rPr>
          <w:lang w:val="fr-FR"/>
        </w:rPr>
        <w:t>Organisation des Nations Unies</w:t>
      </w:r>
      <w:r>
        <w:rPr>
          <w:rStyle w:val="FootnoteReference"/>
        </w:rPr>
        <w:footnoteReference w:id="22"/>
      </w:r>
      <w:r w:rsidRPr="00402FDE">
        <w:rPr>
          <w:lang w:val="fr-FR"/>
        </w:rPr>
        <w:t>. Aucun retard dans le traitement ou l</w:t>
      </w:r>
      <w:r w:rsidR="00747513">
        <w:rPr>
          <w:lang w:val="fr-FR"/>
        </w:rPr>
        <w:t>’</w:t>
      </w:r>
      <w:r w:rsidRPr="00402FDE">
        <w:rPr>
          <w:lang w:val="fr-FR"/>
        </w:rPr>
        <w:t>envoi de la correspondance de l</w:t>
      </w:r>
      <w:r w:rsidR="00747513">
        <w:rPr>
          <w:lang w:val="fr-FR"/>
        </w:rPr>
        <w:t>’</w:t>
      </w:r>
      <w:r w:rsidRPr="00402FDE">
        <w:rPr>
          <w:lang w:val="fr-FR"/>
        </w:rPr>
        <w:t>auteur n</w:t>
      </w:r>
      <w:r w:rsidR="00747513">
        <w:rPr>
          <w:lang w:val="fr-FR"/>
        </w:rPr>
        <w:t>’</w:t>
      </w:r>
      <w:r w:rsidRPr="00402FDE">
        <w:rPr>
          <w:lang w:val="fr-FR"/>
        </w:rPr>
        <w:t>a été enregistré de la part de l</w:t>
      </w:r>
      <w:r w:rsidR="00747513">
        <w:rPr>
          <w:lang w:val="fr-FR"/>
        </w:rPr>
        <w:t>’</w:t>
      </w:r>
      <w:r w:rsidRPr="00402FDE">
        <w:rPr>
          <w:lang w:val="fr-FR"/>
        </w:rPr>
        <w:t>administration pénitentiaire. L</w:t>
      </w:r>
      <w:r w:rsidR="00747513">
        <w:rPr>
          <w:lang w:val="fr-FR"/>
        </w:rPr>
        <w:t>’</w:t>
      </w:r>
      <w:r w:rsidRPr="00402FDE">
        <w:rPr>
          <w:lang w:val="fr-FR"/>
        </w:rPr>
        <w:t>auteur a été dûment informé que son courrier avait été envoyé, ce qui est confirmé par sa signature figurant sur les pièces justificatives. Selon l</w:t>
      </w:r>
      <w:r w:rsidR="00747513">
        <w:rPr>
          <w:lang w:val="fr-FR"/>
        </w:rPr>
        <w:t>’</w:t>
      </w:r>
      <w:r w:rsidRPr="00402FDE">
        <w:rPr>
          <w:lang w:val="fr-FR"/>
        </w:rPr>
        <w:t>administration du centre de détention IK-6, aucun courrier du Comité destiné à l</w:t>
      </w:r>
      <w:r w:rsidR="00747513">
        <w:rPr>
          <w:lang w:val="fr-FR"/>
        </w:rPr>
        <w:t>’</w:t>
      </w:r>
      <w:r w:rsidRPr="00402FDE">
        <w:rPr>
          <w:lang w:val="fr-FR"/>
        </w:rPr>
        <w:t>auteur n</w:t>
      </w:r>
      <w:r w:rsidR="00747513">
        <w:rPr>
          <w:lang w:val="fr-FR"/>
        </w:rPr>
        <w:t>’</w:t>
      </w:r>
      <w:r w:rsidR="007D2996">
        <w:rPr>
          <w:lang w:val="fr-FR"/>
        </w:rPr>
        <w:t>a été reçu.</w:t>
      </w:r>
    </w:p>
    <w:p w:rsidR="00F35D42" w:rsidRPr="00402FDE" w:rsidRDefault="00F35D42" w:rsidP="00F35D42">
      <w:pPr>
        <w:pStyle w:val="SingleTxtG"/>
        <w:rPr>
          <w:lang w:val="fr-FR"/>
        </w:rPr>
      </w:pPr>
      <w:r w:rsidRPr="00402FDE">
        <w:rPr>
          <w:lang w:val="fr-FR"/>
        </w:rPr>
        <w:t>6.2</w:t>
      </w:r>
      <w:r w:rsidRPr="00402FDE">
        <w:rPr>
          <w:lang w:val="fr-FR"/>
        </w:rPr>
        <w:tab/>
        <w:t>L</w:t>
      </w:r>
      <w:r w:rsidR="00747513">
        <w:rPr>
          <w:lang w:val="fr-FR"/>
        </w:rPr>
        <w:t>’</w:t>
      </w:r>
      <w:r w:rsidRPr="00402FDE">
        <w:rPr>
          <w:lang w:val="fr-FR"/>
        </w:rPr>
        <w:t>État partie fait valoir en outre que l</w:t>
      </w:r>
      <w:r w:rsidR="00747513">
        <w:rPr>
          <w:lang w:val="fr-FR"/>
        </w:rPr>
        <w:t>’</w:t>
      </w:r>
      <w:r w:rsidRPr="00402FDE">
        <w:rPr>
          <w:lang w:val="fr-FR"/>
        </w:rPr>
        <w:t>auteur ne s</w:t>
      </w:r>
      <w:r w:rsidR="00747513">
        <w:rPr>
          <w:lang w:val="fr-FR"/>
        </w:rPr>
        <w:t>’</w:t>
      </w:r>
      <w:r w:rsidRPr="00402FDE">
        <w:rPr>
          <w:lang w:val="fr-FR"/>
        </w:rPr>
        <w:t>est jamais plaint d</w:t>
      </w:r>
      <w:r w:rsidR="00747513">
        <w:rPr>
          <w:lang w:val="fr-FR"/>
        </w:rPr>
        <w:t>’</w:t>
      </w:r>
      <w:r w:rsidRPr="00402FDE">
        <w:rPr>
          <w:lang w:val="fr-FR"/>
        </w:rPr>
        <w:t>immixtion dans l</w:t>
      </w:r>
      <w:r w:rsidR="00747513">
        <w:rPr>
          <w:lang w:val="fr-FR"/>
        </w:rPr>
        <w:t>’</w:t>
      </w:r>
      <w:r w:rsidRPr="00402FDE">
        <w:rPr>
          <w:lang w:val="fr-FR"/>
        </w:rPr>
        <w:t>envoi ou la réception de sa correspondance pendant qu</w:t>
      </w:r>
      <w:r w:rsidR="00747513">
        <w:rPr>
          <w:lang w:val="fr-FR"/>
        </w:rPr>
        <w:t>’</w:t>
      </w:r>
      <w:r w:rsidRPr="00402FDE">
        <w:rPr>
          <w:lang w:val="fr-FR"/>
        </w:rPr>
        <w:t>il exécutait sa peine au centre de détention IK-6. De plus, un contrôle du service mené par les autorités pénitentiaires à la suite de la requête du Comité</w:t>
      </w:r>
      <w:r>
        <w:rPr>
          <w:rStyle w:val="FootnoteReference"/>
        </w:rPr>
        <w:footnoteReference w:id="23"/>
      </w:r>
      <w:r w:rsidRPr="00402FDE">
        <w:rPr>
          <w:lang w:val="fr-FR"/>
        </w:rPr>
        <w:t xml:space="preserve"> n</w:t>
      </w:r>
      <w:r w:rsidR="00747513">
        <w:rPr>
          <w:lang w:val="fr-FR"/>
        </w:rPr>
        <w:t>’</w:t>
      </w:r>
      <w:r w:rsidRPr="00402FDE">
        <w:rPr>
          <w:lang w:val="fr-FR"/>
        </w:rPr>
        <w:t>a fait apparaître aucune violation du droit qu</w:t>
      </w:r>
      <w:r w:rsidR="00747513">
        <w:rPr>
          <w:lang w:val="fr-FR"/>
        </w:rPr>
        <w:t>’</w:t>
      </w:r>
      <w:r w:rsidRPr="00402FDE">
        <w:rPr>
          <w:lang w:val="fr-FR"/>
        </w:rPr>
        <w:t>a l</w:t>
      </w:r>
      <w:r w:rsidR="00747513">
        <w:rPr>
          <w:lang w:val="fr-FR"/>
        </w:rPr>
        <w:t>’</w:t>
      </w:r>
      <w:r w:rsidRPr="00402FDE">
        <w:rPr>
          <w:lang w:val="fr-FR"/>
        </w:rPr>
        <w:t>auteur de faire des propositions, de soumettre des demandes et de déposer plainte, qui est protégé par l</w:t>
      </w:r>
      <w:r w:rsidR="00747513">
        <w:rPr>
          <w:lang w:val="fr-FR"/>
        </w:rPr>
        <w:t>’</w:t>
      </w:r>
      <w:r w:rsidRPr="00402FDE">
        <w:rPr>
          <w:lang w:val="fr-FR"/>
        </w:rPr>
        <w:t>article</w:t>
      </w:r>
      <w:r>
        <w:rPr>
          <w:lang w:val="fr-FR"/>
        </w:rPr>
        <w:t> </w:t>
      </w:r>
      <w:r w:rsidRPr="00402FDE">
        <w:rPr>
          <w:lang w:val="fr-FR"/>
        </w:rPr>
        <w:t>12 du Code de procédure pénale russe.</w:t>
      </w:r>
    </w:p>
    <w:p w:rsidR="00F35D42" w:rsidRPr="00402FDE" w:rsidRDefault="00F35D42" w:rsidP="00F35D42">
      <w:pPr>
        <w:pStyle w:val="H23G"/>
        <w:rPr>
          <w:lang w:val="fr-FR"/>
        </w:rPr>
      </w:pPr>
      <w:r w:rsidRPr="00402FDE">
        <w:rPr>
          <w:lang w:val="fr-FR"/>
        </w:rPr>
        <w:tab/>
      </w:r>
      <w:r w:rsidRPr="00402FDE">
        <w:rPr>
          <w:lang w:val="fr-FR"/>
        </w:rPr>
        <w:tab/>
        <w:t>Commentaires supplémentaires de l</w:t>
      </w:r>
      <w:r w:rsidR="00747513">
        <w:rPr>
          <w:lang w:val="fr-FR"/>
        </w:rPr>
        <w:t>’</w:t>
      </w:r>
      <w:r w:rsidRPr="00402FDE">
        <w:rPr>
          <w:lang w:val="fr-FR"/>
        </w:rPr>
        <w:t>auteur</w:t>
      </w:r>
    </w:p>
    <w:p w:rsidR="00F35D42" w:rsidRPr="00402FDE" w:rsidRDefault="00F35D42" w:rsidP="00F35D42">
      <w:pPr>
        <w:pStyle w:val="SingleTxtG"/>
        <w:rPr>
          <w:lang w:val="fr-FR"/>
        </w:rPr>
      </w:pPr>
      <w:r w:rsidRPr="00402FDE">
        <w:rPr>
          <w:lang w:val="fr-FR"/>
        </w:rPr>
        <w:t>7.1</w:t>
      </w:r>
      <w:r w:rsidRPr="00402FDE">
        <w:rPr>
          <w:lang w:val="fr-FR"/>
        </w:rPr>
        <w:tab/>
        <w:t>Par lettre du 6</w:t>
      </w:r>
      <w:r>
        <w:rPr>
          <w:lang w:val="fr-FR"/>
        </w:rPr>
        <w:t> </w:t>
      </w:r>
      <w:r w:rsidRPr="00402FDE">
        <w:rPr>
          <w:lang w:val="fr-FR"/>
        </w:rPr>
        <w:t>décembre 2011, l</w:t>
      </w:r>
      <w:r w:rsidR="00747513">
        <w:rPr>
          <w:lang w:val="fr-FR"/>
        </w:rPr>
        <w:t>’</w:t>
      </w:r>
      <w:r w:rsidRPr="00402FDE">
        <w:rPr>
          <w:lang w:val="fr-FR"/>
        </w:rPr>
        <w:t>auteur a précisé qu</w:t>
      </w:r>
      <w:r w:rsidR="00747513">
        <w:rPr>
          <w:lang w:val="fr-FR"/>
        </w:rPr>
        <w:t>’</w:t>
      </w:r>
      <w:r w:rsidRPr="00402FDE">
        <w:rPr>
          <w:lang w:val="fr-FR"/>
        </w:rPr>
        <w:t>il avait reçu cinq lettres du Comité lui demandant de commenter les observations de l</w:t>
      </w:r>
      <w:r w:rsidR="00747513">
        <w:rPr>
          <w:lang w:val="fr-FR"/>
        </w:rPr>
        <w:t>’</w:t>
      </w:r>
      <w:r w:rsidRPr="00402FDE">
        <w:rPr>
          <w:lang w:val="fr-FR"/>
        </w:rPr>
        <w:t>État partie. La dernière lettre a été reçue le 2</w:t>
      </w:r>
      <w:r>
        <w:rPr>
          <w:lang w:val="fr-FR"/>
        </w:rPr>
        <w:t> </w:t>
      </w:r>
      <w:r w:rsidRPr="00402FDE">
        <w:rPr>
          <w:lang w:val="fr-FR"/>
        </w:rPr>
        <w:t>décembre 2011. L</w:t>
      </w:r>
      <w:r w:rsidR="00747513">
        <w:rPr>
          <w:lang w:val="fr-FR"/>
        </w:rPr>
        <w:t>’</w:t>
      </w:r>
      <w:r w:rsidRPr="00402FDE">
        <w:rPr>
          <w:lang w:val="fr-FR"/>
        </w:rPr>
        <w:t>auteur note qu</w:t>
      </w:r>
      <w:r w:rsidR="00747513">
        <w:rPr>
          <w:lang w:val="fr-FR"/>
        </w:rPr>
        <w:t>’</w:t>
      </w:r>
      <w:r w:rsidRPr="00402FDE">
        <w:rPr>
          <w:lang w:val="fr-FR"/>
        </w:rPr>
        <w:t>il a répondu aux quatre premières lettres, ce que confirment en partie les observations de l</w:t>
      </w:r>
      <w:r w:rsidR="00747513">
        <w:rPr>
          <w:lang w:val="fr-FR"/>
        </w:rPr>
        <w:t>’</w:t>
      </w:r>
      <w:r w:rsidRPr="00402FDE">
        <w:rPr>
          <w:lang w:val="fr-FR"/>
        </w:rPr>
        <w:t>État partie en date du 21</w:t>
      </w:r>
      <w:r>
        <w:rPr>
          <w:lang w:val="fr-FR"/>
        </w:rPr>
        <w:t> </w:t>
      </w:r>
      <w:r w:rsidRPr="00402FDE">
        <w:rPr>
          <w:lang w:val="fr-FR"/>
        </w:rPr>
        <w:t>février 2011.</w:t>
      </w:r>
    </w:p>
    <w:p w:rsidR="00F35D42" w:rsidRPr="00402FDE" w:rsidRDefault="00F35D42" w:rsidP="00484E6C">
      <w:pPr>
        <w:pStyle w:val="SingleTxtG"/>
        <w:rPr>
          <w:lang w:val="fr-FR"/>
        </w:rPr>
      </w:pPr>
      <w:r w:rsidRPr="00402FDE">
        <w:rPr>
          <w:lang w:val="fr-FR"/>
        </w:rPr>
        <w:t>7.2</w:t>
      </w:r>
      <w:r w:rsidRPr="00402FDE">
        <w:rPr>
          <w:lang w:val="fr-FR"/>
        </w:rPr>
        <w:tab/>
        <w:t>L</w:t>
      </w:r>
      <w:r w:rsidR="00747513">
        <w:rPr>
          <w:lang w:val="fr-FR"/>
        </w:rPr>
        <w:t>’</w:t>
      </w:r>
      <w:r w:rsidRPr="00402FDE">
        <w:rPr>
          <w:lang w:val="fr-FR"/>
        </w:rPr>
        <w:t>auteur confirme que, comme l</w:t>
      </w:r>
      <w:r w:rsidR="00747513">
        <w:rPr>
          <w:lang w:val="fr-FR"/>
        </w:rPr>
        <w:t>’</w:t>
      </w:r>
      <w:r w:rsidRPr="00402FDE">
        <w:rPr>
          <w:lang w:val="fr-FR"/>
        </w:rPr>
        <w:t>a constaté l</w:t>
      </w:r>
      <w:r w:rsidR="00747513">
        <w:rPr>
          <w:lang w:val="fr-FR"/>
        </w:rPr>
        <w:t>’</w:t>
      </w:r>
      <w:r w:rsidRPr="00402FDE">
        <w:rPr>
          <w:lang w:val="fr-FR"/>
        </w:rPr>
        <w:t>État partie, il a adressé trois lettres au Comité par l</w:t>
      </w:r>
      <w:r w:rsidR="00747513">
        <w:rPr>
          <w:lang w:val="fr-FR"/>
        </w:rPr>
        <w:t>’</w:t>
      </w:r>
      <w:r w:rsidRPr="00402FDE">
        <w:rPr>
          <w:lang w:val="fr-FR"/>
        </w:rPr>
        <w:t>intermédiaire des autorités pénitentiaires d</w:t>
      </w:r>
      <w:r>
        <w:rPr>
          <w:lang w:val="fr-FR"/>
        </w:rPr>
        <w:t>u centre de détention IK-6. Ces </w:t>
      </w:r>
      <w:r w:rsidRPr="00402FDE">
        <w:rPr>
          <w:lang w:val="fr-FR"/>
        </w:rPr>
        <w:t>lettres contenaient ses commentaires sur les observations de l</w:t>
      </w:r>
      <w:r w:rsidR="00747513">
        <w:rPr>
          <w:lang w:val="fr-FR"/>
        </w:rPr>
        <w:t>’</w:t>
      </w:r>
      <w:r w:rsidRPr="00402FDE">
        <w:rPr>
          <w:lang w:val="fr-FR"/>
        </w:rPr>
        <w:t>État partie en date du 22 juillet 2008. La dernière lett</w:t>
      </w:r>
      <w:r>
        <w:rPr>
          <w:lang w:val="fr-FR"/>
        </w:rPr>
        <w:t xml:space="preserve">re a été enregistrée sous le </w:t>
      </w:r>
      <w:r w:rsidRPr="00993F85">
        <w:rPr>
          <w:lang w:val="fr-FR"/>
        </w:rPr>
        <w:t>n</w:t>
      </w:r>
      <w:r w:rsidRPr="00993F85">
        <w:rPr>
          <w:vertAlign w:val="superscript"/>
          <w:lang w:val="fr-FR"/>
        </w:rPr>
        <w:t>o</w:t>
      </w:r>
      <w:r>
        <w:rPr>
          <w:lang w:val="fr-FR"/>
        </w:rPr>
        <w:t> </w:t>
      </w:r>
      <w:r w:rsidRPr="00402FDE">
        <w:rPr>
          <w:lang w:val="fr-FR"/>
        </w:rPr>
        <w:t>56/5 A-54 et expéd</w:t>
      </w:r>
      <w:r>
        <w:rPr>
          <w:lang w:val="fr-FR"/>
        </w:rPr>
        <w:t>iée le 28 </w:t>
      </w:r>
      <w:r w:rsidRPr="00402FDE">
        <w:rPr>
          <w:lang w:val="fr-FR"/>
        </w:rPr>
        <w:t>juillet 2010. L</w:t>
      </w:r>
      <w:r w:rsidR="00747513">
        <w:rPr>
          <w:lang w:val="fr-FR"/>
        </w:rPr>
        <w:t>’</w:t>
      </w:r>
      <w:r w:rsidRPr="00402FDE">
        <w:rPr>
          <w:lang w:val="fr-FR"/>
        </w:rPr>
        <w:t>auteur a envoyé copie de ces lettres à sa sœur et a chargé celle-ci de les transmettre au Comité. Il apparaît que ni sa sœur ni le Comité n</w:t>
      </w:r>
      <w:r w:rsidR="00747513">
        <w:rPr>
          <w:lang w:val="fr-FR"/>
        </w:rPr>
        <w:t>’</w:t>
      </w:r>
      <w:r w:rsidRPr="00402FDE">
        <w:rPr>
          <w:lang w:val="fr-FR"/>
        </w:rPr>
        <w:t>ont reçu ces lettres. Par</w:t>
      </w:r>
      <w:r>
        <w:rPr>
          <w:lang w:val="fr-FR"/>
        </w:rPr>
        <w:t> </w:t>
      </w:r>
      <w:r w:rsidRPr="00402FDE">
        <w:rPr>
          <w:lang w:val="fr-FR"/>
        </w:rPr>
        <w:t>conséquent, sa sœur s</w:t>
      </w:r>
      <w:r w:rsidR="00747513">
        <w:rPr>
          <w:lang w:val="fr-FR"/>
        </w:rPr>
        <w:t>’</w:t>
      </w:r>
      <w:r w:rsidRPr="00402FDE">
        <w:rPr>
          <w:lang w:val="fr-FR"/>
        </w:rPr>
        <w:t>est plainte d</w:t>
      </w:r>
      <w:r w:rsidR="00747513">
        <w:rPr>
          <w:lang w:val="fr-FR"/>
        </w:rPr>
        <w:t>’</w:t>
      </w:r>
      <w:r w:rsidRPr="00402FDE">
        <w:rPr>
          <w:lang w:val="fr-FR"/>
        </w:rPr>
        <w:t>immixtion dans sa correspondance (le 31</w:t>
      </w:r>
      <w:r>
        <w:rPr>
          <w:lang w:val="fr-FR"/>
        </w:rPr>
        <w:t> </w:t>
      </w:r>
      <w:r w:rsidRPr="00402FDE">
        <w:rPr>
          <w:lang w:val="fr-FR"/>
        </w:rPr>
        <w:t>août 2010) et le Comité a prié l</w:t>
      </w:r>
      <w:r w:rsidR="00747513">
        <w:rPr>
          <w:lang w:val="fr-FR"/>
        </w:rPr>
        <w:t>’</w:t>
      </w:r>
      <w:r w:rsidRPr="00402FDE">
        <w:rPr>
          <w:lang w:val="fr-FR"/>
        </w:rPr>
        <w:t>État partie de faire des observations s</w:t>
      </w:r>
      <w:r>
        <w:rPr>
          <w:lang w:val="fr-FR"/>
        </w:rPr>
        <w:t>ur la situation (le </w:t>
      </w:r>
      <w:r w:rsidR="00747513">
        <w:rPr>
          <w:lang w:val="fr-FR"/>
        </w:rPr>
        <w:t>24 novembre </w:t>
      </w:r>
      <w:r w:rsidRPr="00402FDE">
        <w:rPr>
          <w:lang w:val="fr-FR"/>
        </w:rPr>
        <w:t>2010).</w:t>
      </w:r>
    </w:p>
    <w:p w:rsidR="00F35D42" w:rsidRPr="00402FDE" w:rsidRDefault="00F35D42" w:rsidP="00F35D42">
      <w:pPr>
        <w:pStyle w:val="SingleTxtG"/>
        <w:rPr>
          <w:lang w:val="fr-FR"/>
        </w:rPr>
      </w:pPr>
      <w:r w:rsidRPr="00402FDE">
        <w:rPr>
          <w:lang w:val="fr-FR"/>
        </w:rPr>
        <w:t>7.3</w:t>
      </w:r>
      <w:r w:rsidRPr="00402FDE">
        <w:rPr>
          <w:lang w:val="fr-FR"/>
        </w:rPr>
        <w:tab/>
        <w:t>L</w:t>
      </w:r>
      <w:r w:rsidR="00747513">
        <w:rPr>
          <w:lang w:val="fr-FR"/>
        </w:rPr>
        <w:t>’</w:t>
      </w:r>
      <w:r w:rsidRPr="00402FDE">
        <w:rPr>
          <w:lang w:val="fr-FR"/>
        </w:rPr>
        <w:t>auteur ajoute qu</w:t>
      </w:r>
      <w:r w:rsidR="00747513">
        <w:rPr>
          <w:lang w:val="fr-FR"/>
        </w:rPr>
        <w:t>’</w:t>
      </w:r>
      <w:r w:rsidRPr="00402FDE">
        <w:rPr>
          <w:lang w:val="fr-FR"/>
        </w:rPr>
        <w:t>au début de décembre 2010, les autorités pénitentiaires du centre de détention IK-6 l</w:t>
      </w:r>
      <w:r w:rsidR="00747513">
        <w:rPr>
          <w:lang w:val="fr-FR"/>
        </w:rPr>
        <w:t>’</w:t>
      </w:r>
      <w:r w:rsidRPr="00402FDE">
        <w:rPr>
          <w:lang w:val="fr-FR"/>
        </w:rPr>
        <w:t>ont informé de la demande du Comité en date du 24</w:t>
      </w:r>
      <w:r>
        <w:rPr>
          <w:lang w:val="fr-FR"/>
        </w:rPr>
        <w:t> </w:t>
      </w:r>
      <w:r w:rsidRPr="00402FDE">
        <w:rPr>
          <w:lang w:val="fr-FR"/>
        </w:rPr>
        <w:t xml:space="preserve">novembre 2010. </w:t>
      </w:r>
      <w:r w:rsidR="00484E6C">
        <w:rPr>
          <w:lang w:val="fr-FR"/>
        </w:rPr>
        <w:t xml:space="preserve">Selon les </w:t>
      </w:r>
      <w:r w:rsidRPr="00402FDE">
        <w:rPr>
          <w:lang w:val="fr-FR"/>
        </w:rPr>
        <w:t>observations de l</w:t>
      </w:r>
      <w:r w:rsidR="00747513">
        <w:rPr>
          <w:lang w:val="fr-FR"/>
        </w:rPr>
        <w:t>’</w:t>
      </w:r>
      <w:r w:rsidRPr="00402FDE">
        <w:rPr>
          <w:lang w:val="fr-FR"/>
        </w:rPr>
        <w:t>État partie en date du 21</w:t>
      </w:r>
      <w:r>
        <w:rPr>
          <w:lang w:val="fr-FR"/>
        </w:rPr>
        <w:t> </w:t>
      </w:r>
      <w:r w:rsidRPr="00402FDE">
        <w:rPr>
          <w:lang w:val="fr-FR"/>
        </w:rPr>
        <w:t>février 2011, l</w:t>
      </w:r>
      <w:r w:rsidR="00747513">
        <w:rPr>
          <w:lang w:val="fr-FR"/>
        </w:rPr>
        <w:t>’</w:t>
      </w:r>
      <w:r w:rsidRPr="00402FDE">
        <w:rPr>
          <w:lang w:val="fr-FR"/>
        </w:rPr>
        <w:t>auteur a confirmé par écrit que les autorités pénitentiaires n</w:t>
      </w:r>
      <w:r w:rsidR="00747513">
        <w:rPr>
          <w:lang w:val="fr-FR"/>
        </w:rPr>
        <w:t>’</w:t>
      </w:r>
      <w:r w:rsidRPr="00402FDE">
        <w:rPr>
          <w:lang w:val="fr-FR"/>
        </w:rPr>
        <w:t>avaient pas commis d</w:t>
      </w:r>
      <w:r w:rsidR="00747513">
        <w:rPr>
          <w:lang w:val="fr-FR"/>
        </w:rPr>
        <w:t>’</w:t>
      </w:r>
      <w:r w:rsidRPr="00402FDE">
        <w:rPr>
          <w:lang w:val="fr-FR"/>
        </w:rPr>
        <w:t>immixtion dans sa correspondance. Les autorités pénitentiaires ont envoyé toutes ses lettres au Comité et à sa sœur et lui ont communiqué leurs numéros d</w:t>
      </w:r>
      <w:r w:rsidR="00747513">
        <w:rPr>
          <w:lang w:val="fr-FR"/>
        </w:rPr>
        <w:t>’</w:t>
      </w:r>
      <w:r w:rsidRPr="00402FDE">
        <w:rPr>
          <w:lang w:val="fr-FR"/>
        </w:rPr>
        <w:t>enregistrement. L</w:t>
      </w:r>
      <w:r w:rsidR="00747513">
        <w:rPr>
          <w:lang w:val="fr-FR"/>
        </w:rPr>
        <w:t>’</w:t>
      </w:r>
      <w:r w:rsidRPr="00402FDE">
        <w:rPr>
          <w:lang w:val="fr-FR"/>
        </w:rPr>
        <w:t>auteur réaffirme en outre qu</w:t>
      </w:r>
      <w:r w:rsidR="00747513">
        <w:rPr>
          <w:lang w:val="fr-FR"/>
        </w:rPr>
        <w:t>’</w:t>
      </w:r>
      <w:r w:rsidRPr="00402FDE">
        <w:rPr>
          <w:lang w:val="fr-FR"/>
        </w:rPr>
        <w:t>il ne peut pas expliquer pourquoi ces lettres ne sont pas parvenues à leurs destinataires.</w:t>
      </w:r>
    </w:p>
    <w:p w:rsidR="00F35D42" w:rsidRPr="00402FDE" w:rsidRDefault="00F35D42" w:rsidP="00F35D42">
      <w:pPr>
        <w:pStyle w:val="H23G"/>
        <w:rPr>
          <w:lang w:val="fr-FR"/>
        </w:rPr>
      </w:pPr>
      <w:r w:rsidRPr="00402FDE">
        <w:rPr>
          <w:lang w:val="fr-FR"/>
        </w:rPr>
        <w:tab/>
      </w:r>
      <w:r w:rsidRPr="00402FDE">
        <w:rPr>
          <w:lang w:val="fr-FR"/>
        </w:rPr>
        <w:tab/>
        <w:t>Délibérations du Comité</w:t>
      </w:r>
    </w:p>
    <w:p w:rsidR="00F35D42" w:rsidRPr="00402FDE" w:rsidRDefault="00F35D42" w:rsidP="00F35D42">
      <w:pPr>
        <w:pStyle w:val="H4G"/>
        <w:rPr>
          <w:lang w:val="fr-FR"/>
        </w:rPr>
      </w:pPr>
      <w:r w:rsidRPr="00402FDE">
        <w:rPr>
          <w:lang w:val="fr-FR"/>
        </w:rPr>
        <w:tab/>
      </w:r>
      <w:r w:rsidRPr="00402FDE">
        <w:rPr>
          <w:lang w:val="fr-FR"/>
        </w:rPr>
        <w:tab/>
        <w:t>Examen de la recevabilité</w:t>
      </w:r>
    </w:p>
    <w:p w:rsidR="00F35D42" w:rsidRPr="00402FDE" w:rsidRDefault="00F35D42" w:rsidP="00F35D42">
      <w:pPr>
        <w:pStyle w:val="SingleTxtG"/>
        <w:rPr>
          <w:lang w:val="fr-FR"/>
        </w:rPr>
      </w:pPr>
      <w:r w:rsidRPr="00402FDE">
        <w:rPr>
          <w:lang w:val="fr-FR"/>
        </w:rPr>
        <w:t>8.1</w:t>
      </w:r>
      <w:r w:rsidRPr="00402FDE">
        <w:rPr>
          <w:lang w:val="fr-FR"/>
        </w:rPr>
        <w:tab/>
        <w:t>Avant d</w:t>
      </w:r>
      <w:r w:rsidR="00747513">
        <w:rPr>
          <w:lang w:val="fr-FR"/>
        </w:rPr>
        <w:t>’</w:t>
      </w:r>
      <w:r w:rsidRPr="00402FDE">
        <w:rPr>
          <w:lang w:val="fr-FR"/>
        </w:rPr>
        <w:t>examiner une plainte présentée dans une communication, le Comité des droits de l</w:t>
      </w:r>
      <w:r w:rsidR="00747513">
        <w:rPr>
          <w:lang w:val="fr-FR"/>
        </w:rPr>
        <w:t>’</w:t>
      </w:r>
      <w:r w:rsidRPr="00402FDE">
        <w:rPr>
          <w:lang w:val="fr-FR"/>
        </w:rPr>
        <w:t>homme doit, conformément à l</w:t>
      </w:r>
      <w:r w:rsidR="00747513">
        <w:rPr>
          <w:lang w:val="fr-FR"/>
        </w:rPr>
        <w:t>’</w:t>
      </w:r>
      <w:r w:rsidRPr="00402FDE">
        <w:rPr>
          <w:lang w:val="fr-FR"/>
        </w:rPr>
        <w:t>article 93 de son règlement intérieur, déterminer si cette communication est recevable en vertu du Protocole facultatif se rapportant au Pacte.</w:t>
      </w:r>
    </w:p>
    <w:p w:rsidR="00F35D42" w:rsidRPr="00402FDE" w:rsidRDefault="00F35D42" w:rsidP="00F35D42">
      <w:pPr>
        <w:pStyle w:val="SingleTxtG"/>
        <w:rPr>
          <w:lang w:val="fr-FR"/>
        </w:rPr>
      </w:pPr>
      <w:r w:rsidRPr="00402FDE">
        <w:rPr>
          <w:lang w:val="fr-FR"/>
        </w:rPr>
        <w:t>8.2</w:t>
      </w:r>
      <w:r w:rsidRPr="00402FDE">
        <w:rPr>
          <w:lang w:val="fr-FR"/>
        </w:rPr>
        <w:tab/>
        <w:t>Le Comité s</w:t>
      </w:r>
      <w:r w:rsidR="00747513">
        <w:rPr>
          <w:lang w:val="fr-FR"/>
        </w:rPr>
        <w:t>’</w:t>
      </w:r>
      <w:r w:rsidRPr="00402FDE">
        <w:rPr>
          <w:lang w:val="fr-FR"/>
        </w:rPr>
        <w:t>est assuré, comme il est tenu de le faire conformément a</w:t>
      </w:r>
      <w:r>
        <w:rPr>
          <w:lang w:val="fr-FR"/>
        </w:rPr>
        <w:t>ux dispositions du paragraphe 2 </w:t>
      </w:r>
      <w:r w:rsidRPr="00402FDE">
        <w:rPr>
          <w:lang w:val="fr-FR"/>
        </w:rPr>
        <w:t>a) de l</w:t>
      </w:r>
      <w:r w:rsidR="00747513">
        <w:rPr>
          <w:lang w:val="fr-FR"/>
        </w:rPr>
        <w:t>’</w:t>
      </w:r>
      <w:r w:rsidRPr="00402FDE">
        <w:rPr>
          <w:lang w:val="fr-FR"/>
        </w:rPr>
        <w:t>article</w:t>
      </w:r>
      <w:r w:rsidR="00484E6C">
        <w:rPr>
          <w:lang w:val="fr-FR"/>
        </w:rPr>
        <w:t> </w:t>
      </w:r>
      <w:r w:rsidRPr="00402FDE">
        <w:rPr>
          <w:lang w:val="fr-FR"/>
        </w:rPr>
        <w:t>5 du Protocole facultatif, que la même affaire n</w:t>
      </w:r>
      <w:r w:rsidR="00747513">
        <w:rPr>
          <w:lang w:val="fr-FR"/>
        </w:rPr>
        <w:t>’</w:t>
      </w:r>
      <w:r w:rsidRPr="00402FDE">
        <w:rPr>
          <w:lang w:val="fr-FR"/>
        </w:rPr>
        <w:t>était pas en cours d</w:t>
      </w:r>
      <w:r w:rsidR="00747513">
        <w:rPr>
          <w:lang w:val="fr-FR"/>
        </w:rPr>
        <w:t>’</w:t>
      </w:r>
      <w:r w:rsidRPr="00402FDE">
        <w:rPr>
          <w:lang w:val="fr-FR"/>
        </w:rPr>
        <w:t>examen devant une autre instance internationale d</w:t>
      </w:r>
      <w:r w:rsidR="00747513">
        <w:rPr>
          <w:lang w:val="fr-FR"/>
        </w:rPr>
        <w:t>’</w:t>
      </w:r>
      <w:r w:rsidRPr="00402FDE">
        <w:rPr>
          <w:lang w:val="fr-FR"/>
        </w:rPr>
        <w:t>enquête ou de règlement. Il note qu</w:t>
      </w:r>
      <w:r w:rsidR="00747513">
        <w:rPr>
          <w:lang w:val="fr-FR"/>
        </w:rPr>
        <w:t>’</w:t>
      </w:r>
      <w:r w:rsidRPr="00402FDE">
        <w:rPr>
          <w:lang w:val="fr-FR"/>
        </w:rPr>
        <w:t>une requête analogue soumise par l</w:t>
      </w:r>
      <w:r w:rsidR="00747513">
        <w:rPr>
          <w:lang w:val="fr-FR"/>
        </w:rPr>
        <w:t>’</w:t>
      </w:r>
      <w:r w:rsidRPr="00402FDE">
        <w:rPr>
          <w:lang w:val="fr-FR"/>
        </w:rPr>
        <w:t>auteur a été déclarée irrecevable par la Cour européenne des droits de l</w:t>
      </w:r>
      <w:r w:rsidR="00747513">
        <w:rPr>
          <w:lang w:val="fr-FR"/>
        </w:rPr>
        <w:t>’</w:t>
      </w:r>
      <w:r>
        <w:rPr>
          <w:lang w:val="fr-FR"/>
        </w:rPr>
        <w:t>homme le 17 </w:t>
      </w:r>
      <w:r w:rsidRPr="00402FDE">
        <w:rPr>
          <w:lang w:val="fr-FR"/>
        </w:rPr>
        <w:t>avril 2009. Il relève cependant que l</w:t>
      </w:r>
      <w:r w:rsidR="00747513">
        <w:rPr>
          <w:lang w:val="fr-FR"/>
        </w:rPr>
        <w:t>’</w:t>
      </w:r>
      <w:r w:rsidRPr="00402FDE">
        <w:rPr>
          <w:lang w:val="fr-FR"/>
        </w:rPr>
        <w:t>affaire n</w:t>
      </w:r>
      <w:r w:rsidR="00747513">
        <w:rPr>
          <w:lang w:val="fr-FR"/>
        </w:rPr>
        <w:t>’</w:t>
      </w:r>
      <w:r w:rsidRPr="00402FDE">
        <w:rPr>
          <w:lang w:val="fr-FR"/>
        </w:rPr>
        <w:t>est plus pendante devant une autre instance internationale d</w:t>
      </w:r>
      <w:r w:rsidR="00747513">
        <w:rPr>
          <w:lang w:val="fr-FR"/>
        </w:rPr>
        <w:t>’</w:t>
      </w:r>
      <w:r w:rsidRPr="00402FDE">
        <w:rPr>
          <w:lang w:val="fr-FR"/>
        </w:rPr>
        <w:t>enquête ou de règlement international et que la Fédération de Russie n</w:t>
      </w:r>
      <w:r w:rsidR="00747513">
        <w:rPr>
          <w:lang w:val="fr-FR"/>
        </w:rPr>
        <w:t>’</w:t>
      </w:r>
      <w:r w:rsidRPr="00402FDE">
        <w:rPr>
          <w:lang w:val="fr-FR"/>
        </w:rPr>
        <w:t xml:space="preserve">a pas </w:t>
      </w:r>
      <w:r>
        <w:rPr>
          <w:lang w:val="fr-FR"/>
        </w:rPr>
        <w:t>fait de réserve au paragraphe 2 </w:t>
      </w:r>
      <w:r w:rsidRPr="00402FDE">
        <w:rPr>
          <w:lang w:val="fr-FR"/>
        </w:rPr>
        <w:t>a) de l</w:t>
      </w:r>
      <w:r w:rsidR="00747513">
        <w:rPr>
          <w:lang w:val="fr-FR"/>
        </w:rPr>
        <w:t>’</w:t>
      </w:r>
      <w:r w:rsidRPr="00402FDE">
        <w:rPr>
          <w:lang w:val="fr-FR"/>
        </w:rPr>
        <w:t>article</w:t>
      </w:r>
      <w:r>
        <w:rPr>
          <w:lang w:val="fr-FR"/>
        </w:rPr>
        <w:t> </w:t>
      </w:r>
      <w:r w:rsidRPr="00402FDE">
        <w:rPr>
          <w:lang w:val="fr-FR"/>
        </w:rPr>
        <w:t xml:space="preserve">5 du Protocole facultatif. </w:t>
      </w:r>
      <w:r>
        <w:rPr>
          <w:lang w:val="fr-FR"/>
        </w:rPr>
        <w:t>Par conséquent, le paragraphe 2 </w:t>
      </w:r>
      <w:r w:rsidRPr="00402FDE">
        <w:rPr>
          <w:lang w:val="fr-FR"/>
        </w:rPr>
        <w:t>a) de l</w:t>
      </w:r>
      <w:r w:rsidR="00747513">
        <w:rPr>
          <w:lang w:val="fr-FR"/>
        </w:rPr>
        <w:t>’</w:t>
      </w:r>
      <w:r w:rsidRPr="00402FDE">
        <w:rPr>
          <w:lang w:val="fr-FR"/>
        </w:rPr>
        <w:t>article</w:t>
      </w:r>
      <w:r>
        <w:rPr>
          <w:lang w:val="fr-FR"/>
        </w:rPr>
        <w:t> </w:t>
      </w:r>
      <w:r w:rsidRPr="00402FDE">
        <w:rPr>
          <w:lang w:val="fr-FR"/>
        </w:rPr>
        <w:t>5 du Protocole facultatif n</w:t>
      </w:r>
      <w:r w:rsidR="00747513">
        <w:rPr>
          <w:lang w:val="fr-FR"/>
        </w:rPr>
        <w:t>’</w:t>
      </w:r>
      <w:r w:rsidRPr="00402FDE">
        <w:rPr>
          <w:lang w:val="fr-FR"/>
        </w:rPr>
        <w:t>empêche pas le Comité d</w:t>
      </w:r>
      <w:r w:rsidR="00747513">
        <w:rPr>
          <w:lang w:val="fr-FR"/>
        </w:rPr>
        <w:t>’</w:t>
      </w:r>
      <w:r w:rsidRPr="00402FDE">
        <w:rPr>
          <w:lang w:val="fr-FR"/>
        </w:rPr>
        <w:t>examiner la présente communication.</w:t>
      </w:r>
    </w:p>
    <w:p w:rsidR="00F35D42" w:rsidRPr="00402FDE" w:rsidRDefault="00F35D42" w:rsidP="00F35D42">
      <w:pPr>
        <w:pStyle w:val="SingleTxtG"/>
        <w:rPr>
          <w:lang w:val="fr-FR"/>
        </w:rPr>
      </w:pPr>
      <w:r w:rsidRPr="00402FDE">
        <w:rPr>
          <w:lang w:val="fr-FR"/>
        </w:rPr>
        <w:t>8.3</w:t>
      </w:r>
      <w:r w:rsidRPr="00402FDE">
        <w:rPr>
          <w:lang w:val="fr-FR"/>
        </w:rPr>
        <w:tab/>
        <w:t>Le Comité note que l</w:t>
      </w:r>
      <w:r w:rsidR="00747513">
        <w:rPr>
          <w:lang w:val="fr-FR"/>
        </w:rPr>
        <w:t>’</w:t>
      </w:r>
      <w:r w:rsidRPr="00402FDE">
        <w:rPr>
          <w:lang w:val="fr-FR"/>
        </w:rPr>
        <w:t xml:space="preserve">auteur affirme </w:t>
      </w:r>
      <w:r w:rsidR="00484E6C">
        <w:rPr>
          <w:lang w:val="fr-FR"/>
        </w:rPr>
        <w:t>avoir été</w:t>
      </w:r>
      <w:r w:rsidRPr="00402FDE">
        <w:rPr>
          <w:lang w:val="fr-FR"/>
        </w:rPr>
        <w:t xml:space="preserve"> victime d</w:t>
      </w:r>
      <w:r w:rsidR="00747513">
        <w:rPr>
          <w:lang w:val="fr-FR"/>
        </w:rPr>
        <w:t>’</w:t>
      </w:r>
      <w:r w:rsidRPr="00402FDE">
        <w:rPr>
          <w:lang w:val="fr-FR"/>
        </w:rPr>
        <w:t>une violation des droits reconnus à l</w:t>
      </w:r>
      <w:r w:rsidR="00747513">
        <w:rPr>
          <w:lang w:val="fr-FR"/>
        </w:rPr>
        <w:t>’</w:t>
      </w:r>
      <w:r w:rsidRPr="00402FDE">
        <w:rPr>
          <w:lang w:val="fr-FR"/>
        </w:rPr>
        <w:t>article 2 du Pacte, sans préciser la nature de la violation de cette disposition. Il fait observer que les dispositions de l</w:t>
      </w:r>
      <w:r w:rsidR="00747513">
        <w:rPr>
          <w:lang w:val="fr-FR"/>
        </w:rPr>
        <w:t>’</w:t>
      </w:r>
      <w:r w:rsidRPr="00402FDE">
        <w:rPr>
          <w:lang w:val="fr-FR"/>
        </w:rPr>
        <w:t>article</w:t>
      </w:r>
      <w:r>
        <w:rPr>
          <w:lang w:val="fr-FR"/>
        </w:rPr>
        <w:t> </w:t>
      </w:r>
      <w:r w:rsidRPr="00402FDE">
        <w:rPr>
          <w:lang w:val="fr-FR"/>
        </w:rPr>
        <w:t>2 du Pacte, qui énoncent des obligations générales à l</w:t>
      </w:r>
      <w:r w:rsidR="00747513">
        <w:rPr>
          <w:lang w:val="fr-FR"/>
        </w:rPr>
        <w:t>’</w:t>
      </w:r>
      <w:r w:rsidRPr="00402FDE">
        <w:rPr>
          <w:lang w:val="fr-FR"/>
        </w:rPr>
        <w:t>intention des États parties, ne peuvent pas être invoquées isolément dans une communication soumise en vertu du Protocole facultatif</w:t>
      </w:r>
      <w:r>
        <w:rPr>
          <w:rStyle w:val="FootnoteReference"/>
        </w:rPr>
        <w:footnoteReference w:id="24"/>
      </w:r>
      <w:r w:rsidRPr="00402FDE">
        <w:rPr>
          <w:lang w:val="fr-FR"/>
        </w:rPr>
        <w:t>. Dans la mesure, cependant, où l</w:t>
      </w:r>
      <w:r w:rsidR="00747513">
        <w:rPr>
          <w:lang w:val="fr-FR"/>
        </w:rPr>
        <w:t>’</w:t>
      </w:r>
      <w:r w:rsidRPr="00402FDE">
        <w:rPr>
          <w:lang w:val="fr-FR"/>
        </w:rPr>
        <w:t>auteur invoque l</w:t>
      </w:r>
      <w:r w:rsidR="00747513">
        <w:rPr>
          <w:lang w:val="fr-FR"/>
        </w:rPr>
        <w:t>’</w:t>
      </w:r>
      <w:r w:rsidRPr="00402FDE">
        <w:rPr>
          <w:lang w:val="fr-FR"/>
        </w:rPr>
        <w:t>article</w:t>
      </w:r>
      <w:r w:rsidR="00484E6C">
        <w:rPr>
          <w:lang w:val="fr-FR"/>
        </w:rPr>
        <w:t> </w:t>
      </w:r>
      <w:r w:rsidRPr="00402FDE">
        <w:rPr>
          <w:lang w:val="fr-FR"/>
        </w:rPr>
        <w:t>2 conjointement avec l</w:t>
      </w:r>
      <w:r w:rsidR="00747513">
        <w:rPr>
          <w:lang w:val="fr-FR"/>
        </w:rPr>
        <w:t>’</w:t>
      </w:r>
      <w:r w:rsidRPr="00402FDE">
        <w:rPr>
          <w:lang w:val="fr-FR"/>
        </w:rPr>
        <w:t>article</w:t>
      </w:r>
      <w:r>
        <w:rPr>
          <w:lang w:val="fr-FR"/>
        </w:rPr>
        <w:t> </w:t>
      </w:r>
      <w:r w:rsidRPr="00402FDE">
        <w:rPr>
          <w:lang w:val="fr-FR"/>
        </w:rPr>
        <w:t>14 pour faire valoir qu</w:t>
      </w:r>
      <w:r w:rsidR="00747513">
        <w:rPr>
          <w:lang w:val="fr-FR"/>
        </w:rPr>
        <w:t>’</w:t>
      </w:r>
      <w:r w:rsidRPr="00402FDE">
        <w:rPr>
          <w:lang w:val="fr-FR"/>
        </w:rPr>
        <w:t>on lui aurait refusé de manière discriminatoire le droit à un procès avec jury, le Comité considère que ce grief est suffisamment étayé aux fins de la recevabilité.</w:t>
      </w:r>
    </w:p>
    <w:p w:rsidR="00F35D42" w:rsidRPr="00402FDE" w:rsidRDefault="00F35D42" w:rsidP="00484E6C">
      <w:pPr>
        <w:pStyle w:val="SingleTxtG"/>
        <w:rPr>
          <w:lang w:val="fr-FR"/>
        </w:rPr>
      </w:pPr>
      <w:r w:rsidRPr="00402FDE">
        <w:rPr>
          <w:lang w:val="fr-FR"/>
        </w:rPr>
        <w:t>8.4</w:t>
      </w:r>
      <w:r w:rsidRPr="00402FDE">
        <w:rPr>
          <w:lang w:val="fr-FR"/>
        </w:rPr>
        <w:tab/>
        <w:t>Le Comité prend note des griefs de l</w:t>
      </w:r>
      <w:r w:rsidR="00747513">
        <w:rPr>
          <w:lang w:val="fr-FR"/>
        </w:rPr>
        <w:t>’</w:t>
      </w:r>
      <w:r w:rsidRPr="00402FDE">
        <w:rPr>
          <w:lang w:val="fr-FR"/>
        </w:rPr>
        <w:t>auteur qui affirme que les droits qu</w:t>
      </w:r>
      <w:r w:rsidR="00747513">
        <w:rPr>
          <w:lang w:val="fr-FR"/>
        </w:rPr>
        <w:t>’</w:t>
      </w:r>
      <w:r w:rsidRPr="00402FDE">
        <w:rPr>
          <w:lang w:val="fr-FR"/>
        </w:rPr>
        <w:t>il tient de l</w:t>
      </w:r>
      <w:r w:rsidR="00747513">
        <w:rPr>
          <w:lang w:val="fr-FR"/>
        </w:rPr>
        <w:t>’</w:t>
      </w:r>
      <w:r w:rsidRPr="00402FDE">
        <w:rPr>
          <w:lang w:val="fr-FR"/>
        </w:rPr>
        <w:t>article</w:t>
      </w:r>
      <w:r>
        <w:rPr>
          <w:lang w:val="fr-FR"/>
        </w:rPr>
        <w:t> </w:t>
      </w:r>
      <w:r w:rsidRPr="00402FDE">
        <w:rPr>
          <w:lang w:val="fr-FR"/>
        </w:rPr>
        <w:t>7 du Pacte ont été violés. Cependant, faute d</w:t>
      </w:r>
      <w:r w:rsidR="00747513">
        <w:rPr>
          <w:lang w:val="fr-FR"/>
        </w:rPr>
        <w:t>’</w:t>
      </w:r>
      <w:r w:rsidRPr="00402FDE">
        <w:rPr>
          <w:lang w:val="fr-FR"/>
        </w:rPr>
        <w:t>information ou d</w:t>
      </w:r>
      <w:r w:rsidR="00747513">
        <w:rPr>
          <w:lang w:val="fr-FR"/>
        </w:rPr>
        <w:t>’</w:t>
      </w:r>
      <w:r w:rsidRPr="00402FDE">
        <w:rPr>
          <w:lang w:val="fr-FR"/>
        </w:rPr>
        <w:t>élément à l</w:t>
      </w:r>
      <w:r w:rsidR="00747513">
        <w:rPr>
          <w:lang w:val="fr-FR"/>
        </w:rPr>
        <w:t>’</w:t>
      </w:r>
      <w:r w:rsidRPr="00402FDE">
        <w:rPr>
          <w:lang w:val="fr-FR"/>
        </w:rPr>
        <w:t>appui de ce grief, il estime que celui-ci n</w:t>
      </w:r>
      <w:r w:rsidR="00747513">
        <w:rPr>
          <w:lang w:val="fr-FR"/>
        </w:rPr>
        <w:t>’</w:t>
      </w:r>
      <w:r w:rsidRPr="00402FDE">
        <w:rPr>
          <w:lang w:val="fr-FR"/>
        </w:rPr>
        <w:t>est pas suffisamment étayé aux fins de la recevabilité et le déclare irrecevable au regard de l</w:t>
      </w:r>
      <w:r w:rsidR="00747513">
        <w:rPr>
          <w:lang w:val="fr-FR"/>
        </w:rPr>
        <w:t>’</w:t>
      </w:r>
      <w:r w:rsidRPr="00402FDE">
        <w:rPr>
          <w:lang w:val="fr-FR"/>
        </w:rPr>
        <w:t>article</w:t>
      </w:r>
      <w:r>
        <w:rPr>
          <w:lang w:val="fr-FR"/>
        </w:rPr>
        <w:t> </w:t>
      </w:r>
      <w:r w:rsidR="00484E6C">
        <w:rPr>
          <w:lang w:val="fr-FR"/>
        </w:rPr>
        <w:t>2 du Protocole facultatif.</w:t>
      </w:r>
    </w:p>
    <w:p w:rsidR="00F35D42" w:rsidRPr="00402FDE" w:rsidRDefault="00F35D42" w:rsidP="00484E6C">
      <w:pPr>
        <w:pStyle w:val="SingleTxtG"/>
        <w:rPr>
          <w:lang w:val="fr-FR"/>
        </w:rPr>
      </w:pPr>
      <w:r w:rsidRPr="00402FDE">
        <w:rPr>
          <w:lang w:val="fr-FR"/>
        </w:rPr>
        <w:t>8.5</w:t>
      </w:r>
      <w:r w:rsidRPr="00402FDE">
        <w:rPr>
          <w:lang w:val="fr-FR"/>
        </w:rPr>
        <w:tab/>
        <w:t>Le Comité prend note du grief de la sœur de l</w:t>
      </w:r>
      <w:r w:rsidR="00747513">
        <w:rPr>
          <w:lang w:val="fr-FR"/>
        </w:rPr>
        <w:t>’</w:t>
      </w:r>
      <w:r w:rsidRPr="00402FDE">
        <w:rPr>
          <w:lang w:val="fr-FR"/>
        </w:rPr>
        <w:t>auteur concernant l</w:t>
      </w:r>
      <w:r w:rsidR="00747513">
        <w:rPr>
          <w:lang w:val="fr-FR"/>
        </w:rPr>
        <w:t>’</w:t>
      </w:r>
      <w:r w:rsidRPr="00402FDE">
        <w:rPr>
          <w:lang w:val="fr-FR"/>
        </w:rPr>
        <w:t>immixtion présumée des autorités pénitentiaires du centre de détention IK-6 dans la correspondance de l</w:t>
      </w:r>
      <w:r w:rsidR="00747513">
        <w:rPr>
          <w:lang w:val="fr-FR"/>
        </w:rPr>
        <w:t>’</w:t>
      </w:r>
      <w:r w:rsidRPr="00402FDE">
        <w:rPr>
          <w:lang w:val="fr-FR"/>
        </w:rPr>
        <w:t>auteur en rapport avec la présente communication, ce qui peut soulever des questions au regard de l</w:t>
      </w:r>
      <w:r w:rsidR="00747513">
        <w:rPr>
          <w:lang w:val="fr-FR"/>
        </w:rPr>
        <w:t>’</w:t>
      </w:r>
      <w:r w:rsidRPr="00402FDE">
        <w:rPr>
          <w:lang w:val="fr-FR"/>
        </w:rPr>
        <w:t>article</w:t>
      </w:r>
      <w:r>
        <w:rPr>
          <w:lang w:val="fr-FR"/>
        </w:rPr>
        <w:t> </w:t>
      </w:r>
      <w:r w:rsidRPr="00402FDE">
        <w:rPr>
          <w:lang w:val="fr-FR"/>
        </w:rPr>
        <w:t>17 du Pacte</w:t>
      </w:r>
      <w:r>
        <w:rPr>
          <w:rStyle w:val="FootnoteReference"/>
        </w:rPr>
        <w:footnoteReference w:id="25"/>
      </w:r>
      <w:r w:rsidRPr="00402FDE">
        <w:rPr>
          <w:lang w:val="fr-FR"/>
        </w:rPr>
        <w:t>. Le Comité note que, comme l</w:t>
      </w:r>
      <w:r w:rsidR="00747513">
        <w:rPr>
          <w:lang w:val="fr-FR"/>
        </w:rPr>
        <w:t>’</w:t>
      </w:r>
      <w:r w:rsidRPr="00402FDE">
        <w:rPr>
          <w:lang w:val="fr-FR"/>
        </w:rPr>
        <w:t>a indiqué l</w:t>
      </w:r>
      <w:r w:rsidR="00747513">
        <w:rPr>
          <w:lang w:val="fr-FR"/>
        </w:rPr>
        <w:t>’</w:t>
      </w:r>
      <w:r w:rsidRPr="00402FDE">
        <w:rPr>
          <w:lang w:val="fr-FR"/>
        </w:rPr>
        <w:t>État partie et comme l</w:t>
      </w:r>
      <w:r w:rsidR="00747513">
        <w:rPr>
          <w:lang w:val="fr-FR"/>
        </w:rPr>
        <w:t>’</w:t>
      </w:r>
      <w:r w:rsidRPr="00402FDE">
        <w:rPr>
          <w:lang w:val="fr-FR"/>
        </w:rPr>
        <w:t>a reconnu l</w:t>
      </w:r>
      <w:r w:rsidR="00747513">
        <w:rPr>
          <w:lang w:val="fr-FR"/>
        </w:rPr>
        <w:t>’</w:t>
      </w:r>
      <w:r w:rsidRPr="00402FDE">
        <w:rPr>
          <w:lang w:val="fr-FR"/>
        </w:rPr>
        <w:t>auteur, celui-ci ne s</w:t>
      </w:r>
      <w:r w:rsidR="00747513">
        <w:rPr>
          <w:lang w:val="fr-FR"/>
        </w:rPr>
        <w:t>’</w:t>
      </w:r>
      <w:r w:rsidRPr="00402FDE">
        <w:rPr>
          <w:lang w:val="fr-FR"/>
        </w:rPr>
        <w:t>est jamais plaint de l</w:t>
      </w:r>
      <w:r w:rsidR="00747513">
        <w:rPr>
          <w:lang w:val="fr-FR"/>
        </w:rPr>
        <w:t>’</w:t>
      </w:r>
      <w:r w:rsidRPr="00402FDE">
        <w:rPr>
          <w:lang w:val="fr-FR"/>
        </w:rPr>
        <w:t>immixtion des autorités pénitentiaires du centre de détention IK-6 dans sa correspondance pendant la période en question. Il note également que l</w:t>
      </w:r>
      <w:r w:rsidR="00747513">
        <w:rPr>
          <w:lang w:val="fr-FR"/>
        </w:rPr>
        <w:t>’</w:t>
      </w:r>
      <w:r w:rsidRPr="00402FDE">
        <w:rPr>
          <w:lang w:val="fr-FR"/>
        </w:rPr>
        <w:t>État partie a procédé à une vérification officielle de ces allégations et qu</w:t>
      </w:r>
      <w:r w:rsidR="00747513">
        <w:rPr>
          <w:lang w:val="fr-FR"/>
        </w:rPr>
        <w:t>’</w:t>
      </w:r>
      <w:r w:rsidRPr="00402FDE">
        <w:rPr>
          <w:lang w:val="fr-FR"/>
        </w:rPr>
        <w:t xml:space="preserve">il a été établi que les autorités pénitentiaires avaient traité et expédié </w:t>
      </w:r>
      <w:r w:rsidR="00484E6C">
        <w:rPr>
          <w:lang w:val="fr-FR"/>
        </w:rPr>
        <w:t xml:space="preserve">en temps opportun </w:t>
      </w:r>
      <w:r w:rsidRPr="00402FDE">
        <w:rPr>
          <w:lang w:val="fr-FR"/>
        </w:rPr>
        <w:t>le courrier reçu et envoyé par l</w:t>
      </w:r>
      <w:r w:rsidR="00747513">
        <w:rPr>
          <w:lang w:val="fr-FR"/>
        </w:rPr>
        <w:t>’</w:t>
      </w:r>
      <w:r w:rsidRPr="00402FDE">
        <w:rPr>
          <w:lang w:val="fr-FR"/>
        </w:rPr>
        <w:t>auteur et le lui avait notifié, ce qui est confirmé par la signature de l</w:t>
      </w:r>
      <w:r w:rsidR="00747513">
        <w:rPr>
          <w:lang w:val="fr-FR"/>
        </w:rPr>
        <w:t>’</w:t>
      </w:r>
      <w:r w:rsidRPr="00402FDE">
        <w:rPr>
          <w:lang w:val="fr-FR"/>
        </w:rPr>
        <w:t>auteur</w:t>
      </w:r>
      <w:r>
        <w:rPr>
          <w:rStyle w:val="FootnoteReference"/>
        </w:rPr>
        <w:footnoteReference w:id="26"/>
      </w:r>
      <w:r w:rsidRPr="00402FDE">
        <w:rPr>
          <w:lang w:val="fr-FR"/>
        </w:rPr>
        <w:t>. Il fait en outre observer que l</w:t>
      </w:r>
      <w:r w:rsidR="00747513">
        <w:rPr>
          <w:lang w:val="fr-FR"/>
        </w:rPr>
        <w:t>’</w:t>
      </w:r>
      <w:r w:rsidRPr="00402FDE">
        <w:rPr>
          <w:lang w:val="fr-FR"/>
        </w:rPr>
        <w:t>auteur ne réfute pas ces arguments de l</w:t>
      </w:r>
      <w:r w:rsidR="00747513">
        <w:rPr>
          <w:lang w:val="fr-FR"/>
        </w:rPr>
        <w:t>’</w:t>
      </w:r>
      <w:r w:rsidRPr="00402FDE">
        <w:rPr>
          <w:lang w:val="fr-FR"/>
        </w:rPr>
        <w:t>État partie et a confirmé avoir reçu tous les courriers du Comité en rapport avec son affaire et y avoir répondu</w:t>
      </w:r>
      <w:r>
        <w:rPr>
          <w:rStyle w:val="FootnoteReference"/>
        </w:rPr>
        <w:footnoteReference w:id="27"/>
      </w:r>
      <w:r w:rsidRPr="00402FDE">
        <w:rPr>
          <w:lang w:val="fr-FR"/>
        </w:rPr>
        <w:t>. Dans ces circonstances, le Comité ne peut pas conclure que le fait que la lettre de l</w:t>
      </w:r>
      <w:r w:rsidR="00747513">
        <w:rPr>
          <w:lang w:val="fr-FR"/>
        </w:rPr>
        <w:t>’</w:t>
      </w:r>
      <w:r w:rsidRPr="00402FDE">
        <w:rPr>
          <w:lang w:val="fr-FR"/>
        </w:rPr>
        <w:t>auteur datée du 4</w:t>
      </w:r>
      <w:r>
        <w:rPr>
          <w:lang w:val="fr-FR"/>
        </w:rPr>
        <w:t> </w:t>
      </w:r>
      <w:r w:rsidRPr="00402FDE">
        <w:rPr>
          <w:lang w:val="fr-FR"/>
        </w:rPr>
        <w:t>mai 2010 ne lui soit pas parvenue est imputable aux autorités de l</w:t>
      </w:r>
      <w:r w:rsidR="00747513">
        <w:rPr>
          <w:lang w:val="fr-FR"/>
        </w:rPr>
        <w:t>’</w:t>
      </w:r>
      <w:r w:rsidRPr="00402FDE">
        <w:rPr>
          <w:lang w:val="fr-FR"/>
        </w:rPr>
        <w:t>État partie. En conséquence, il considère que cette partie de la communication n</w:t>
      </w:r>
      <w:r w:rsidR="00747513">
        <w:rPr>
          <w:lang w:val="fr-FR"/>
        </w:rPr>
        <w:t>’</w:t>
      </w:r>
      <w:r w:rsidRPr="00402FDE">
        <w:rPr>
          <w:lang w:val="fr-FR"/>
        </w:rPr>
        <w:t>est pas suffisamment étayée aux fins de la recevabilité et la déclare irrecevable au regard de l</w:t>
      </w:r>
      <w:r w:rsidR="00747513">
        <w:rPr>
          <w:lang w:val="fr-FR"/>
        </w:rPr>
        <w:t>’</w:t>
      </w:r>
      <w:r w:rsidRPr="00402FDE">
        <w:rPr>
          <w:lang w:val="fr-FR"/>
        </w:rPr>
        <w:t>article</w:t>
      </w:r>
      <w:r>
        <w:rPr>
          <w:lang w:val="fr-FR"/>
        </w:rPr>
        <w:t> </w:t>
      </w:r>
      <w:r w:rsidR="00484E6C">
        <w:rPr>
          <w:lang w:val="fr-FR"/>
        </w:rPr>
        <w:t>2 du Protocole facultatif.</w:t>
      </w:r>
    </w:p>
    <w:p w:rsidR="00F35D42" w:rsidRPr="00402FDE" w:rsidRDefault="00F35D42" w:rsidP="00F35D42">
      <w:pPr>
        <w:pStyle w:val="SingleTxtG"/>
        <w:rPr>
          <w:lang w:val="fr-FR"/>
        </w:rPr>
      </w:pPr>
      <w:r w:rsidRPr="00402FDE">
        <w:rPr>
          <w:lang w:val="fr-FR"/>
        </w:rPr>
        <w:t>8.6</w:t>
      </w:r>
      <w:r w:rsidRPr="00402FDE">
        <w:rPr>
          <w:lang w:val="fr-FR"/>
        </w:rPr>
        <w:tab/>
        <w:t>Le Comité considère que les autres griefs de violation des articles </w:t>
      </w:r>
      <w:r>
        <w:rPr>
          <w:lang w:val="fr-FR"/>
        </w:rPr>
        <w:t xml:space="preserve">2, </w:t>
      </w:r>
      <w:r w:rsidRPr="00402FDE">
        <w:rPr>
          <w:lang w:val="fr-FR"/>
        </w:rPr>
        <w:t>6, 14 (par. 1), 15 (par. 1) et 26 du Pacte ont été suffisamment étayés aux fins de la recevabilité et il procède à leur examen quant au fond.</w:t>
      </w:r>
    </w:p>
    <w:p w:rsidR="00F35D42" w:rsidRPr="00402FDE" w:rsidRDefault="00F35D42" w:rsidP="00F35D42">
      <w:pPr>
        <w:pStyle w:val="H4G"/>
        <w:rPr>
          <w:lang w:val="fr-FR"/>
        </w:rPr>
      </w:pPr>
      <w:r w:rsidRPr="00402FDE">
        <w:rPr>
          <w:lang w:val="fr-FR"/>
        </w:rPr>
        <w:tab/>
      </w:r>
      <w:r w:rsidRPr="00402FDE">
        <w:rPr>
          <w:lang w:val="fr-FR"/>
        </w:rPr>
        <w:tab/>
        <w:t>Examen au fond</w:t>
      </w:r>
    </w:p>
    <w:p w:rsidR="00F35D42" w:rsidRPr="00402FDE" w:rsidRDefault="00F35D42" w:rsidP="00F35D42">
      <w:pPr>
        <w:pStyle w:val="SingleTxtG"/>
        <w:rPr>
          <w:lang w:val="fr-FR"/>
        </w:rPr>
      </w:pPr>
      <w:r w:rsidRPr="00402FDE">
        <w:rPr>
          <w:lang w:val="fr-FR"/>
        </w:rPr>
        <w:t>9.1</w:t>
      </w:r>
      <w:r w:rsidRPr="00402FDE">
        <w:rPr>
          <w:lang w:val="fr-FR"/>
        </w:rPr>
        <w:tab/>
        <w:t>Conformément au paragraphe 1 de l</w:t>
      </w:r>
      <w:r w:rsidR="00747513">
        <w:rPr>
          <w:lang w:val="fr-FR"/>
        </w:rPr>
        <w:t>’</w:t>
      </w:r>
      <w:r w:rsidRPr="00402FDE">
        <w:rPr>
          <w:lang w:val="fr-FR"/>
        </w:rPr>
        <w:t>article 5 du Protocole facultatif, le Comité des droits de l</w:t>
      </w:r>
      <w:r w:rsidR="00747513">
        <w:rPr>
          <w:lang w:val="fr-FR"/>
        </w:rPr>
        <w:t>’</w:t>
      </w:r>
      <w:r w:rsidRPr="00402FDE">
        <w:rPr>
          <w:lang w:val="fr-FR"/>
        </w:rPr>
        <w:t xml:space="preserve">homme a examiné la présente communication en tenant compte de toutes les informations qui lui ont été communiquées. </w:t>
      </w:r>
    </w:p>
    <w:p w:rsidR="00F35D42" w:rsidRPr="00402FDE" w:rsidRDefault="00F35D42" w:rsidP="00F35D42">
      <w:pPr>
        <w:pStyle w:val="SingleTxtG"/>
        <w:rPr>
          <w:lang w:val="fr-FR"/>
        </w:rPr>
      </w:pPr>
      <w:r w:rsidRPr="00402FDE">
        <w:rPr>
          <w:lang w:val="fr-FR"/>
        </w:rPr>
        <w:t>9.2</w:t>
      </w:r>
      <w:r w:rsidRPr="00402FDE">
        <w:rPr>
          <w:lang w:val="fr-FR"/>
        </w:rPr>
        <w:tab/>
        <w:t>Le Comité note que les griefs de l</w:t>
      </w:r>
      <w:r w:rsidR="00747513">
        <w:rPr>
          <w:lang w:val="fr-FR"/>
        </w:rPr>
        <w:t>’</w:t>
      </w:r>
      <w:r w:rsidRPr="00402FDE">
        <w:rPr>
          <w:lang w:val="fr-FR"/>
        </w:rPr>
        <w:t>auteur qui affirme</w:t>
      </w:r>
      <w:r>
        <w:rPr>
          <w:lang w:val="fr-FR"/>
        </w:rPr>
        <w:t>:</w:t>
      </w:r>
      <w:r w:rsidRPr="00402FDE">
        <w:rPr>
          <w:lang w:val="fr-FR"/>
        </w:rPr>
        <w:t xml:space="preserve"> 1)</w:t>
      </w:r>
      <w:r>
        <w:rPr>
          <w:lang w:val="fr-FR"/>
        </w:rPr>
        <w:t> </w:t>
      </w:r>
      <w:r w:rsidRPr="00402FDE">
        <w:rPr>
          <w:lang w:val="fr-FR"/>
        </w:rPr>
        <w:t>qu</w:t>
      </w:r>
      <w:r w:rsidR="00747513">
        <w:rPr>
          <w:lang w:val="fr-FR"/>
        </w:rPr>
        <w:t>’</w:t>
      </w:r>
      <w:r w:rsidRPr="00402FDE">
        <w:rPr>
          <w:lang w:val="fr-FR"/>
        </w:rPr>
        <w:t>il n</w:t>
      </w:r>
      <w:r w:rsidR="00747513">
        <w:rPr>
          <w:lang w:val="fr-FR"/>
        </w:rPr>
        <w:t>’</w:t>
      </w:r>
      <w:r w:rsidRPr="00402FDE">
        <w:rPr>
          <w:lang w:val="fr-FR"/>
        </w:rPr>
        <w:t>a pas bénéficié d</w:t>
      </w:r>
      <w:r w:rsidR="00747513">
        <w:rPr>
          <w:lang w:val="fr-FR"/>
        </w:rPr>
        <w:t>’</w:t>
      </w:r>
      <w:r w:rsidRPr="00402FDE">
        <w:rPr>
          <w:lang w:val="fr-FR"/>
        </w:rPr>
        <w:t>un procès avec jury</w:t>
      </w:r>
      <w:r>
        <w:rPr>
          <w:lang w:val="fr-FR"/>
        </w:rPr>
        <w:t>;</w:t>
      </w:r>
      <w:r w:rsidRPr="00402FDE">
        <w:rPr>
          <w:lang w:val="fr-FR"/>
        </w:rPr>
        <w:t xml:space="preserve"> 2)</w:t>
      </w:r>
      <w:r>
        <w:rPr>
          <w:lang w:val="fr-FR"/>
        </w:rPr>
        <w:t> </w:t>
      </w:r>
      <w:r w:rsidRPr="00402FDE">
        <w:rPr>
          <w:lang w:val="fr-FR"/>
        </w:rPr>
        <w:t>que les tribunaux internes n</w:t>
      </w:r>
      <w:r w:rsidR="00747513">
        <w:rPr>
          <w:lang w:val="fr-FR"/>
        </w:rPr>
        <w:t>’</w:t>
      </w:r>
      <w:r w:rsidRPr="00402FDE">
        <w:rPr>
          <w:lang w:val="fr-FR"/>
        </w:rPr>
        <w:t>ont pas mis sa sentence en conformité avec la décision de la Cour constitutionnelle du 2</w:t>
      </w:r>
      <w:r>
        <w:rPr>
          <w:lang w:val="fr-FR"/>
        </w:rPr>
        <w:t> </w:t>
      </w:r>
      <w:r w:rsidRPr="00402FDE">
        <w:rPr>
          <w:lang w:val="fr-FR"/>
        </w:rPr>
        <w:t>février 1999</w:t>
      </w:r>
      <w:r>
        <w:rPr>
          <w:lang w:val="fr-FR"/>
        </w:rPr>
        <w:t>;</w:t>
      </w:r>
      <w:r w:rsidRPr="00402FDE">
        <w:rPr>
          <w:lang w:val="fr-FR"/>
        </w:rPr>
        <w:t xml:space="preserve"> et 3)</w:t>
      </w:r>
      <w:r>
        <w:rPr>
          <w:lang w:val="fr-FR"/>
        </w:rPr>
        <w:t> </w:t>
      </w:r>
      <w:r w:rsidRPr="00402FDE">
        <w:rPr>
          <w:lang w:val="fr-FR"/>
        </w:rPr>
        <w:t>que sa grâce a été décidée par le Président et non par un tribunal, soulèvent des questions au regard du paragraphe</w:t>
      </w:r>
      <w:r>
        <w:rPr>
          <w:lang w:val="fr-FR"/>
        </w:rPr>
        <w:t> </w:t>
      </w:r>
      <w:r w:rsidRPr="00402FDE">
        <w:rPr>
          <w:lang w:val="fr-FR"/>
        </w:rPr>
        <w:t>1 de l</w:t>
      </w:r>
      <w:r w:rsidR="00747513">
        <w:rPr>
          <w:lang w:val="fr-FR"/>
        </w:rPr>
        <w:t>’</w:t>
      </w:r>
      <w:r w:rsidRPr="00402FDE">
        <w:rPr>
          <w:lang w:val="fr-FR"/>
        </w:rPr>
        <w:t>article</w:t>
      </w:r>
      <w:r>
        <w:rPr>
          <w:lang w:val="fr-FR"/>
        </w:rPr>
        <w:t> </w:t>
      </w:r>
      <w:r w:rsidRPr="00402FDE">
        <w:rPr>
          <w:lang w:val="fr-FR"/>
        </w:rPr>
        <w:t>14 du Pacte, en particulier en ce qui concerne le droit à un procès équitable par un tribunal compétent, établi par la loi.</w:t>
      </w:r>
    </w:p>
    <w:p w:rsidR="00F35D42" w:rsidRPr="00402FDE" w:rsidRDefault="00F35D42" w:rsidP="00F35D42">
      <w:pPr>
        <w:pStyle w:val="SingleTxtG"/>
        <w:rPr>
          <w:lang w:val="fr-FR"/>
        </w:rPr>
      </w:pPr>
      <w:r w:rsidRPr="00402FDE">
        <w:rPr>
          <w:lang w:val="fr-FR"/>
        </w:rPr>
        <w:t>9.3</w:t>
      </w:r>
      <w:r w:rsidRPr="00402FDE">
        <w:rPr>
          <w:lang w:val="fr-FR"/>
        </w:rPr>
        <w:tab/>
        <w:t>En ce qui concerne le fait que la cause de l</w:t>
      </w:r>
      <w:r w:rsidR="00747513">
        <w:rPr>
          <w:lang w:val="fr-FR"/>
        </w:rPr>
        <w:t>’</w:t>
      </w:r>
      <w:r w:rsidRPr="00402FDE">
        <w:rPr>
          <w:lang w:val="fr-FR"/>
        </w:rPr>
        <w:t>auteur n</w:t>
      </w:r>
      <w:r w:rsidR="00747513">
        <w:rPr>
          <w:lang w:val="fr-FR"/>
        </w:rPr>
        <w:t>’</w:t>
      </w:r>
      <w:r w:rsidRPr="00402FDE">
        <w:rPr>
          <w:lang w:val="fr-FR"/>
        </w:rPr>
        <w:t>a pas été entendue par un jury, le Comité prend note de l</w:t>
      </w:r>
      <w:r w:rsidR="00747513">
        <w:rPr>
          <w:lang w:val="fr-FR"/>
        </w:rPr>
        <w:t>’</w:t>
      </w:r>
      <w:r w:rsidRPr="00402FDE">
        <w:rPr>
          <w:lang w:val="fr-FR"/>
        </w:rPr>
        <w:t>argument de l</w:t>
      </w:r>
      <w:r w:rsidR="00747513">
        <w:rPr>
          <w:lang w:val="fr-FR"/>
        </w:rPr>
        <w:t>’</w:t>
      </w:r>
      <w:r w:rsidRPr="00402FDE">
        <w:rPr>
          <w:lang w:val="fr-FR"/>
        </w:rPr>
        <w:t>État partie qui indique que la sentence a été prononcée le 13</w:t>
      </w:r>
      <w:r>
        <w:rPr>
          <w:lang w:val="fr-FR"/>
        </w:rPr>
        <w:t> </w:t>
      </w:r>
      <w:r w:rsidRPr="00402FDE">
        <w:rPr>
          <w:lang w:val="fr-FR"/>
        </w:rPr>
        <w:t>octobre 1995 par un tribunal composé d</w:t>
      </w:r>
      <w:r w:rsidR="00747513">
        <w:rPr>
          <w:lang w:val="fr-FR"/>
        </w:rPr>
        <w:t>’</w:t>
      </w:r>
      <w:r w:rsidRPr="00402FDE">
        <w:rPr>
          <w:lang w:val="fr-FR"/>
        </w:rPr>
        <w:t>un juge professionnel assisté de deux juges non professionnels et que cette situation était due au fait que, à ce moment-là, les procès avec jury n</w:t>
      </w:r>
      <w:r w:rsidR="00747513">
        <w:rPr>
          <w:lang w:val="fr-FR"/>
        </w:rPr>
        <w:t>’</w:t>
      </w:r>
      <w:r w:rsidRPr="00402FDE">
        <w:rPr>
          <w:lang w:val="fr-FR"/>
        </w:rPr>
        <w:t>avaient pas encore été mis en place dans la région de Mourmansk. L</w:t>
      </w:r>
      <w:r w:rsidR="00747513">
        <w:rPr>
          <w:lang w:val="fr-FR"/>
        </w:rPr>
        <w:t>’</w:t>
      </w:r>
      <w:r w:rsidRPr="00402FDE">
        <w:rPr>
          <w:lang w:val="fr-FR"/>
        </w:rPr>
        <w:t>État partie a également indiqué qu</w:t>
      </w:r>
      <w:r w:rsidR="00747513">
        <w:rPr>
          <w:lang w:val="fr-FR"/>
        </w:rPr>
        <w:t>’</w:t>
      </w:r>
      <w:r w:rsidRPr="00402FDE">
        <w:rPr>
          <w:lang w:val="fr-FR"/>
        </w:rPr>
        <w:t>à l</w:t>
      </w:r>
      <w:r w:rsidR="00747513">
        <w:rPr>
          <w:lang w:val="fr-FR"/>
        </w:rPr>
        <w:t>’</w:t>
      </w:r>
      <w:r w:rsidRPr="00402FDE">
        <w:rPr>
          <w:lang w:val="fr-FR"/>
        </w:rPr>
        <w:t>époque des faits, l</w:t>
      </w:r>
      <w:r w:rsidR="00747513">
        <w:rPr>
          <w:lang w:val="fr-FR"/>
        </w:rPr>
        <w:t>’</w:t>
      </w:r>
      <w:r w:rsidRPr="00402FDE">
        <w:rPr>
          <w:lang w:val="fr-FR"/>
        </w:rPr>
        <w:t>auteur ne s</w:t>
      </w:r>
      <w:r w:rsidR="00747513">
        <w:rPr>
          <w:lang w:val="fr-FR"/>
        </w:rPr>
        <w:t>’</w:t>
      </w:r>
      <w:r w:rsidRPr="00402FDE">
        <w:rPr>
          <w:lang w:val="fr-FR"/>
        </w:rPr>
        <w:t>était pas opposé à ce que sa cause soit entendue par un tribunal ainsi composé, ce que l</w:t>
      </w:r>
      <w:r w:rsidR="00747513">
        <w:rPr>
          <w:lang w:val="fr-FR"/>
        </w:rPr>
        <w:t>’</w:t>
      </w:r>
      <w:r w:rsidRPr="00402FDE">
        <w:rPr>
          <w:lang w:val="fr-FR"/>
        </w:rPr>
        <w:t>auteur n</w:t>
      </w:r>
      <w:r w:rsidR="00747513">
        <w:rPr>
          <w:lang w:val="fr-FR"/>
        </w:rPr>
        <w:t>’</w:t>
      </w:r>
      <w:r>
        <w:rPr>
          <w:lang w:val="fr-FR"/>
        </w:rPr>
        <w:t>a pas réfuté. Le </w:t>
      </w:r>
      <w:r w:rsidRPr="00402FDE">
        <w:rPr>
          <w:lang w:val="fr-FR"/>
        </w:rPr>
        <w:t>Comité prend aussi note de l</w:t>
      </w:r>
      <w:r w:rsidR="00747513">
        <w:rPr>
          <w:lang w:val="fr-FR"/>
        </w:rPr>
        <w:t>’</w:t>
      </w:r>
      <w:r w:rsidRPr="00402FDE">
        <w:rPr>
          <w:lang w:val="fr-FR"/>
        </w:rPr>
        <w:t>explication de l</w:t>
      </w:r>
      <w:r w:rsidR="00747513">
        <w:rPr>
          <w:lang w:val="fr-FR"/>
        </w:rPr>
        <w:t>’</w:t>
      </w:r>
      <w:r w:rsidRPr="00402FDE">
        <w:rPr>
          <w:lang w:val="fr-FR"/>
        </w:rPr>
        <w:t>État partie qui affirme que la cause de l</w:t>
      </w:r>
      <w:r w:rsidR="00747513">
        <w:rPr>
          <w:lang w:val="fr-FR"/>
        </w:rPr>
        <w:t>’</w:t>
      </w:r>
      <w:r w:rsidRPr="00402FDE">
        <w:rPr>
          <w:lang w:val="fr-FR"/>
        </w:rPr>
        <w:t>auteur a été entendue par un tribunal compétent, indépendant et impartial, établi par la loi, puisque, selon le chapitre 2 (partie 6) des «Dispositions finales et transitoires» de la Constitution, la procédure d</w:t>
      </w:r>
      <w:r w:rsidR="00747513">
        <w:rPr>
          <w:lang w:val="fr-FR"/>
        </w:rPr>
        <w:t>’</w:t>
      </w:r>
      <w:r w:rsidRPr="00402FDE">
        <w:rPr>
          <w:lang w:val="fr-FR"/>
        </w:rPr>
        <w:t>examen qui s</w:t>
      </w:r>
      <w:r w:rsidR="00747513">
        <w:rPr>
          <w:lang w:val="fr-FR"/>
        </w:rPr>
        <w:t>’</w:t>
      </w:r>
      <w:r w:rsidRPr="00402FDE">
        <w:rPr>
          <w:lang w:val="fr-FR"/>
        </w:rPr>
        <w:t>appliquait à cette catégorie d</w:t>
      </w:r>
      <w:r w:rsidR="00747513">
        <w:rPr>
          <w:lang w:val="fr-FR"/>
        </w:rPr>
        <w:t>’</w:t>
      </w:r>
      <w:r w:rsidRPr="00402FDE">
        <w:rPr>
          <w:lang w:val="fr-FR"/>
        </w:rPr>
        <w:t>affaires était maintenue jusqu</w:t>
      </w:r>
      <w:r w:rsidR="00747513">
        <w:rPr>
          <w:lang w:val="fr-FR"/>
        </w:rPr>
        <w:t>’</w:t>
      </w:r>
      <w:r w:rsidRPr="00402FDE">
        <w:rPr>
          <w:lang w:val="fr-FR"/>
        </w:rPr>
        <w:t>à l</w:t>
      </w:r>
      <w:r w:rsidR="00747513">
        <w:rPr>
          <w:lang w:val="fr-FR"/>
        </w:rPr>
        <w:t>’</w:t>
      </w:r>
      <w:r w:rsidRPr="00402FDE">
        <w:rPr>
          <w:lang w:val="fr-FR"/>
        </w:rPr>
        <w:t>entrée en vigueur de la loi fédérale inst</w:t>
      </w:r>
      <w:r>
        <w:rPr>
          <w:lang w:val="fr-FR"/>
        </w:rPr>
        <w:t xml:space="preserve">ituant les procès avec jury. </w:t>
      </w:r>
      <w:r w:rsidR="00D052ED">
        <w:rPr>
          <w:lang w:val="fr-FR"/>
        </w:rPr>
        <w:t xml:space="preserve">Le Comité </w:t>
      </w:r>
      <w:r w:rsidRPr="00402FDE">
        <w:rPr>
          <w:lang w:val="fr-FR"/>
        </w:rPr>
        <w:t>prend également note de la référence faite par l</w:t>
      </w:r>
      <w:r w:rsidR="00747513">
        <w:rPr>
          <w:lang w:val="fr-FR"/>
        </w:rPr>
        <w:t>’</w:t>
      </w:r>
      <w:r w:rsidRPr="00402FDE">
        <w:rPr>
          <w:lang w:val="fr-FR"/>
        </w:rPr>
        <w:t>État partie à la décision du 13</w:t>
      </w:r>
      <w:r>
        <w:rPr>
          <w:lang w:val="fr-FR"/>
        </w:rPr>
        <w:t> </w:t>
      </w:r>
      <w:r w:rsidRPr="00402FDE">
        <w:rPr>
          <w:lang w:val="fr-FR"/>
        </w:rPr>
        <w:t>avril 2000 dans laquelle la Cour constitutionnelle a estimé que le renvoi d</w:t>
      </w:r>
      <w:r w:rsidR="00747513">
        <w:rPr>
          <w:lang w:val="fr-FR"/>
        </w:rPr>
        <w:t>’</w:t>
      </w:r>
      <w:r w:rsidRPr="00402FDE">
        <w:rPr>
          <w:lang w:val="fr-FR"/>
        </w:rPr>
        <w:t>une affaire pénale d</w:t>
      </w:r>
      <w:r w:rsidR="00747513">
        <w:rPr>
          <w:lang w:val="fr-FR"/>
        </w:rPr>
        <w:t>’</w:t>
      </w:r>
      <w:r w:rsidRPr="00402FDE">
        <w:rPr>
          <w:lang w:val="fr-FR"/>
        </w:rPr>
        <w:t>un tribunal compétent territorialement à un autre tribunal, pour la seule raison qu</w:t>
      </w:r>
      <w:r w:rsidR="00747513">
        <w:rPr>
          <w:lang w:val="fr-FR"/>
        </w:rPr>
        <w:t>’</w:t>
      </w:r>
      <w:r w:rsidRPr="00402FDE">
        <w:rPr>
          <w:lang w:val="fr-FR"/>
        </w:rPr>
        <w:t>un procès avec jury n</w:t>
      </w:r>
      <w:r w:rsidR="00747513">
        <w:rPr>
          <w:lang w:val="fr-FR"/>
        </w:rPr>
        <w:t>’</w:t>
      </w:r>
      <w:r w:rsidRPr="00402FDE">
        <w:rPr>
          <w:lang w:val="fr-FR"/>
        </w:rPr>
        <w:t>était pas disponible dans le premier tribunal, constituerait une violation du droit constitutionnel à ce que sa cause soit entendue par un tribunal compétent</w:t>
      </w:r>
      <w:r>
        <w:rPr>
          <w:rStyle w:val="FootnoteReference"/>
        </w:rPr>
        <w:footnoteReference w:id="28"/>
      </w:r>
      <w:r w:rsidRPr="00402FDE">
        <w:rPr>
          <w:lang w:val="fr-FR"/>
        </w:rPr>
        <w:t>. À la lumière de ces explications, le Comité considère que la cause de l</w:t>
      </w:r>
      <w:r w:rsidR="00747513">
        <w:rPr>
          <w:lang w:val="fr-FR"/>
        </w:rPr>
        <w:t>’</w:t>
      </w:r>
      <w:r w:rsidRPr="00402FDE">
        <w:rPr>
          <w:lang w:val="fr-FR"/>
        </w:rPr>
        <w:t>auteur a été examinée par un tribunal compétent au sens du paragraphe</w:t>
      </w:r>
      <w:r>
        <w:rPr>
          <w:lang w:val="fr-FR"/>
        </w:rPr>
        <w:t> </w:t>
      </w:r>
      <w:r w:rsidRPr="00402FDE">
        <w:rPr>
          <w:lang w:val="fr-FR"/>
        </w:rPr>
        <w:t>1 de l</w:t>
      </w:r>
      <w:r w:rsidR="00747513">
        <w:rPr>
          <w:lang w:val="fr-FR"/>
        </w:rPr>
        <w:t>’</w:t>
      </w:r>
      <w:r w:rsidRPr="00402FDE">
        <w:rPr>
          <w:lang w:val="fr-FR"/>
        </w:rPr>
        <w:t>article</w:t>
      </w:r>
      <w:r>
        <w:rPr>
          <w:lang w:val="fr-FR"/>
        </w:rPr>
        <w:t> </w:t>
      </w:r>
      <w:r w:rsidRPr="00402FDE">
        <w:rPr>
          <w:lang w:val="fr-FR"/>
        </w:rPr>
        <w:t>14 du Pacte</w:t>
      </w:r>
      <w:r>
        <w:rPr>
          <w:rStyle w:val="FootnoteReference"/>
        </w:rPr>
        <w:footnoteReference w:id="29"/>
      </w:r>
      <w:r w:rsidRPr="00402FDE">
        <w:rPr>
          <w:lang w:val="fr-FR"/>
        </w:rPr>
        <w:t xml:space="preserve">. </w:t>
      </w:r>
    </w:p>
    <w:p w:rsidR="00F35D42" w:rsidRPr="00402FDE" w:rsidRDefault="00F35D42" w:rsidP="00F35D42">
      <w:pPr>
        <w:pStyle w:val="SingleTxtG"/>
        <w:rPr>
          <w:b/>
          <w:lang w:val="fr-FR"/>
        </w:rPr>
      </w:pPr>
      <w:r w:rsidRPr="00402FDE">
        <w:rPr>
          <w:lang w:val="fr-FR"/>
        </w:rPr>
        <w:t>9.4</w:t>
      </w:r>
      <w:r w:rsidRPr="00402FDE">
        <w:rPr>
          <w:lang w:val="fr-FR"/>
        </w:rPr>
        <w:tab/>
        <w:t>En ce qui concerne le grief de l</w:t>
      </w:r>
      <w:r w:rsidR="00747513">
        <w:rPr>
          <w:lang w:val="fr-FR"/>
        </w:rPr>
        <w:t>’</w:t>
      </w:r>
      <w:r w:rsidRPr="00402FDE">
        <w:rPr>
          <w:lang w:val="fr-FR"/>
        </w:rPr>
        <w:t>auteur relatif au fait que les tribunaux internes n</w:t>
      </w:r>
      <w:r w:rsidR="00747513">
        <w:rPr>
          <w:lang w:val="fr-FR"/>
        </w:rPr>
        <w:t>’</w:t>
      </w:r>
      <w:r w:rsidRPr="00402FDE">
        <w:rPr>
          <w:lang w:val="fr-FR"/>
        </w:rPr>
        <w:t>ont pas réexaminé la sentence prononcée contre lui sur la base de la décision de la Cour constitutionnelle en date du 2</w:t>
      </w:r>
      <w:r>
        <w:rPr>
          <w:lang w:val="fr-FR"/>
        </w:rPr>
        <w:t> </w:t>
      </w:r>
      <w:r w:rsidRPr="00402FDE">
        <w:rPr>
          <w:lang w:val="fr-FR"/>
        </w:rPr>
        <w:t>février 1999, le Comité fait observer que, en substance, l</w:t>
      </w:r>
      <w:r w:rsidR="00747513">
        <w:rPr>
          <w:lang w:val="fr-FR"/>
        </w:rPr>
        <w:t>’</w:t>
      </w:r>
      <w:r w:rsidRPr="00402FDE">
        <w:rPr>
          <w:lang w:val="fr-FR"/>
        </w:rPr>
        <w:t>auteur conteste l</w:t>
      </w:r>
      <w:r w:rsidR="00747513">
        <w:rPr>
          <w:lang w:val="fr-FR"/>
        </w:rPr>
        <w:t>’</w:t>
      </w:r>
      <w:r w:rsidRPr="00402FDE">
        <w:rPr>
          <w:lang w:val="fr-FR"/>
        </w:rPr>
        <w:t>application temporelle de la décision de la Cour constitutionnelle et le fait que l</w:t>
      </w:r>
      <w:r w:rsidR="00747513">
        <w:rPr>
          <w:lang w:val="fr-FR"/>
        </w:rPr>
        <w:t>’</w:t>
      </w:r>
      <w:r w:rsidRPr="00402FDE">
        <w:rPr>
          <w:lang w:val="fr-FR"/>
        </w:rPr>
        <w:t>exemple du tribunal municipal de Zlatooust n</w:t>
      </w:r>
      <w:r w:rsidR="00747513">
        <w:rPr>
          <w:lang w:val="fr-FR"/>
        </w:rPr>
        <w:t>’</w:t>
      </w:r>
      <w:r w:rsidRPr="00402FDE">
        <w:rPr>
          <w:lang w:val="fr-FR"/>
        </w:rPr>
        <w:t>ait pas été suivi. Ce grief porte donc sur l</w:t>
      </w:r>
      <w:r w:rsidR="00747513">
        <w:rPr>
          <w:lang w:val="fr-FR"/>
        </w:rPr>
        <w:t>’</w:t>
      </w:r>
      <w:r w:rsidRPr="00402FDE">
        <w:rPr>
          <w:lang w:val="fr-FR"/>
        </w:rPr>
        <w:t>interprétation du droit interne. Le Comité renvoie à sa jurisprudence, réaffirmant qu</w:t>
      </w:r>
      <w:r w:rsidR="00747513">
        <w:rPr>
          <w:lang w:val="fr-FR"/>
        </w:rPr>
        <w:t>’</w:t>
      </w:r>
      <w:r w:rsidRPr="00402FDE">
        <w:rPr>
          <w:lang w:val="fr-FR"/>
        </w:rPr>
        <w:t>il appartient en principe aux tribunaux des États parties d</w:t>
      </w:r>
      <w:r w:rsidR="00747513">
        <w:rPr>
          <w:lang w:val="fr-FR"/>
        </w:rPr>
        <w:t>’</w:t>
      </w:r>
      <w:r w:rsidRPr="00402FDE">
        <w:rPr>
          <w:lang w:val="fr-FR"/>
        </w:rPr>
        <w:t>apprécier les faits et les éléments de preuve et d</w:t>
      </w:r>
      <w:r w:rsidR="00747513">
        <w:rPr>
          <w:lang w:val="fr-FR"/>
        </w:rPr>
        <w:t>’</w:t>
      </w:r>
      <w:r w:rsidRPr="00402FDE">
        <w:rPr>
          <w:lang w:val="fr-FR"/>
        </w:rPr>
        <w:t>interpréter le droit interne, à moins que cette appréciation ait été manifestement arbitraire ou ait représenté un déni de justice</w:t>
      </w:r>
      <w:r>
        <w:rPr>
          <w:rStyle w:val="FootnoteReference"/>
        </w:rPr>
        <w:footnoteReference w:id="30"/>
      </w:r>
      <w:r w:rsidRPr="00402FDE">
        <w:rPr>
          <w:lang w:val="fr-FR"/>
        </w:rPr>
        <w:t>. Cependant, l</w:t>
      </w:r>
      <w:r w:rsidR="00747513">
        <w:rPr>
          <w:lang w:val="fr-FR"/>
        </w:rPr>
        <w:t>’</w:t>
      </w:r>
      <w:r w:rsidRPr="00402FDE">
        <w:rPr>
          <w:lang w:val="fr-FR"/>
        </w:rPr>
        <w:t>auteur n</w:t>
      </w:r>
      <w:r w:rsidR="00747513">
        <w:rPr>
          <w:lang w:val="fr-FR"/>
        </w:rPr>
        <w:t>’</w:t>
      </w:r>
      <w:r w:rsidRPr="00402FDE">
        <w:rPr>
          <w:lang w:val="fr-FR"/>
        </w:rPr>
        <w:t xml:space="preserve">a pas montré que </w:t>
      </w:r>
      <w:r w:rsidR="00D052ED">
        <w:rPr>
          <w:lang w:val="fr-FR"/>
        </w:rPr>
        <w:t xml:space="preserve">tel ait été le cas de </w:t>
      </w:r>
      <w:r w:rsidRPr="00402FDE">
        <w:rPr>
          <w:lang w:val="fr-FR"/>
        </w:rPr>
        <w:t xml:space="preserve">la décision du tribunal de district de </w:t>
      </w:r>
      <w:proofErr w:type="spellStart"/>
      <w:r w:rsidRPr="00402FDE">
        <w:rPr>
          <w:lang w:val="fr-FR"/>
        </w:rPr>
        <w:t>Sol-Iletsk</w:t>
      </w:r>
      <w:proofErr w:type="spellEnd"/>
      <w:r w:rsidRPr="00402FDE">
        <w:rPr>
          <w:lang w:val="fr-FR"/>
        </w:rPr>
        <w:t xml:space="preserve"> de la région d</w:t>
      </w:r>
      <w:r w:rsidR="00747513">
        <w:rPr>
          <w:lang w:val="fr-FR"/>
        </w:rPr>
        <w:t>’</w:t>
      </w:r>
      <w:r w:rsidRPr="00402FDE">
        <w:rPr>
          <w:lang w:val="fr-FR"/>
        </w:rPr>
        <w:t>Orenbourg</w:t>
      </w:r>
      <w:r>
        <w:rPr>
          <w:rStyle w:val="FootnoteReference"/>
        </w:rPr>
        <w:footnoteReference w:id="31"/>
      </w:r>
      <w:r w:rsidRPr="00402FDE">
        <w:rPr>
          <w:lang w:val="fr-FR"/>
        </w:rPr>
        <w:t>, qui a réexaminé sa sentence. En particulier, le Comité rappelle que la Cour</w:t>
      </w:r>
      <w:r w:rsidR="00747513">
        <w:rPr>
          <w:lang w:val="fr-FR"/>
        </w:rPr>
        <w:t> </w:t>
      </w:r>
      <w:r w:rsidRPr="00402FDE">
        <w:rPr>
          <w:lang w:val="fr-FR"/>
        </w:rPr>
        <w:t>constitutionnelle a décidé que dès le moment de l</w:t>
      </w:r>
      <w:r w:rsidR="00747513">
        <w:rPr>
          <w:lang w:val="fr-FR"/>
        </w:rPr>
        <w:t>’</w:t>
      </w:r>
      <w:r w:rsidRPr="00402FDE">
        <w:rPr>
          <w:lang w:val="fr-FR"/>
        </w:rPr>
        <w:t>entrée en vigueur de sa décision (2</w:t>
      </w:r>
      <w:r>
        <w:rPr>
          <w:lang w:val="fr-FR"/>
        </w:rPr>
        <w:t> </w:t>
      </w:r>
      <w:r w:rsidRPr="00402FDE">
        <w:rPr>
          <w:lang w:val="fr-FR"/>
        </w:rPr>
        <w:t>février 1999) et jusqu</w:t>
      </w:r>
      <w:r w:rsidR="00747513">
        <w:rPr>
          <w:lang w:val="fr-FR"/>
        </w:rPr>
        <w:t>’</w:t>
      </w:r>
      <w:r w:rsidRPr="00402FDE">
        <w:rPr>
          <w:lang w:val="fr-FR"/>
        </w:rPr>
        <w:t>à l</w:t>
      </w:r>
      <w:r w:rsidR="00747513">
        <w:rPr>
          <w:lang w:val="fr-FR"/>
        </w:rPr>
        <w:t>’</w:t>
      </w:r>
      <w:r w:rsidRPr="00402FDE">
        <w:rPr>
          <w:lang w:val="fr-FR"/>
        </w:rPr>
        <w:t>adoption d</w:t>
      </w:r>
      <w:r w:rsidR="00747513">
        <w:rPr>
          <w:lang w:val="fr-FR"/>
        </w:rPr>
        <w:t>’</w:t>
      </w:r>
      <w:r w:rsidRPr="00402FDE">
        <w:rPr>
          <w:lang w:val="fr-FR"/>
        </w:rPr>
        <w:t>une loi fédérale garantissant l</w:t>
      </w:r>
      <w:r w:rsidR="00747513">
        <w:rPr>
          <w:lang w:val="fr-FR"/>
        </w:rPr>
        <w:t>’</w:t>
      </w:r>
      <w:r w:rsidRPr="00402FDE">
        <w:rPr>
          <w:lang w:val="fr-FR"/>
        </w:rPr>
        <w:t>exercice du droit de toute personne accusée d</w:t>
      </w:r>
      <w:r w:rsidR="00747513">
        <w:rPr>
          <w:lang w:val="fr-FR"/>
        </w:rPr>
        <w:t>’</w:t>
      </w:r>
      <w:r w:rsidRPr="00402FDE">
        <w:rPr>
          <w:lang w:val="fr-FR"/>
        </w:rPr>
        <w:t>une infraction passible de la peine capitale d</w:t>
      </w:r>
      <w:r w:rsidR="00747513">
        <w:rPr>
          <w:lang w:val="fr-FR"/>
        </w:rPr>
        <w:t>’</w:t>
      </w:r>
      <w:r w:rsidRPr="00402FDE">
        <w:rPr>
          <w:lang w:val="fr-FR"/>
        </w:rPr>
        <w:t>être jugée par un jury, la peine capitale ne pouvait plus être imposée. Il prend note de l</w:t>
      </w:r>
      <w:r w:rsidR="00747513">
        <w:rPr>
          <w:lang w:val="fr-FR"/>
        </w:rPr>
        <w:t>’</w:t>
      </w:r>
      <w:r w:rsidRPr="00402FDE">
        <w:rPr>
          <w:lang w:val="fr-FR"/>
        </w:rPr>
        <w:t>argument de l</w:t>
      </w:r>
      <w:r w:rsidR="00747513">
        <w:rPr>
          <w:lang w:val="fr-FR"/>
        </w:rPr>
        <w:t>’</w:t>
      </w:r>
      <w:r w:rsidRPr="00402FDE">
        <w:rPr>
          <w:lang w:val="fr-FR"/>
        </w:rPr>
        <w:t>État partie qui indique que cette décision n</w:t>
      </w:r>
      <w:r w:rsidR="00747513">
        <w:rPr>
          <w:lang w:val="fr-FR"/>
        </w:rPr>
        <w:t>’</w:t>
      </w:r>
      <w:r w:rsidRPr="00402FDE">
        <w:rPr>
          <w:lang w:val="fr-FR"/>
        </w:rPr>
        <w:t>a pas d</w:t>
      </w:r>
      <w:r w:rsidR="00747513">
        <w:rPr>
          <w:lang w:val="fr-FR"/>
        </w:rPr>
        <w:t>’</w:t>
      </w:r>
      <w:r w:rsidRPr="00402FDE">
        <w:rPr>
          <w:lang w:val="fr-FR"/>
        </w:rPr>
        <w:t>effet rétroactif et que les sentences capitales prononcées avant son entrée en vigueur (c</w:t>
      </w:r>
      <w:r w:rsidR="00747513">
        <w:rPr>
          <w:lang w:val="fr-FR"/>
        </w:rPr>
        <w:t>’</w:t>
      </w:r>
      <w:r w:rsidRPr="00402FDE">
        <w:rPr>
          <w:lang w:val="fr-FR"/>
        </w:rPr>
        <w:t>est-à-dire avant le 2</w:t>
      </w:r>
      <w:r>
        <w:rPr>
          <w:lang w:val="fr-FR"/>
        </w:rPr>
        <w:t> </w:t>
      </w:r>
      <w:r w:rsidRPr="00402FDE">
        <w:rPr>
          <w:lang w:val="fr-FR"/>
        </w:rPr>
        <w:t>février 1999) ne sont pas susceptibles de réexamen sur la base de cette décision. Il relève que l</w:t>
      </w:r>
      <w:r w:rsidR="00747513">
        <w:rPr>
          <w:lang w:val="fr-FR"/>
        </w:rPr>
        <w:t>’</w:t>
      </w:r>
      <w:r w:rsidRPr="00402FDE">
        <w:rPr>
          <w:lang w:val="fr-FR"/>
        </w:rPr>
        <w:t>auteur a été condamné à mort le 13</w:t>
      </w:r>
      <w:r>
        <w:rPr>
          <w:lang w:val="fr-FR"/>
        </w:rPr>
        <w:t> </w:t>
      </w:r>
      <w:r w:rsidRPr="00402FDE">
        <w:rPr>
          <w:lang w:val="fr-FR"/>
        </w:rPr>
        <w:t>octobre 1995, plus de trois ans et sept mois avant l</w:t>
      </w:r>
      <w:r w:rsidR="00747513">
        <w:rPr>
          <w:lang w:val="fr-FR"/>
        </w:rPr>
        <w:t>’</w:t>
      </w:r>
      <w:r w:rsidRPr="00402FDE">
        <w:rPr>
          <w:lang w:val="fr-FR"/>
        </w:rPr>
        <w:t>entrée en vigueur de ladite décision, et que par conséquent celle-ci ne peut pas servir de base légale pour le réexamen de sa condamnation. Il prend également note de l</w:t>
      </w:r>
      <w:r w:rsidR="00747513">
        <w:rPr>
          <w:lang w:val="fr-FR"/>
        </w:rPr>
        <w:t>’</w:t>
      </w:r>
      <w:r w:rsidRPr="00402FDE">
        <w:rPr>
          <w:lang w:val="fr-FR"/>
        </w:rPr>
        <w:t>argument de l</w:t>
      </w:r>
      <w:r w:rsidR="00747513">
        <w:rPr>
          <w:lang w:val="fr-FR"/>
        </w:rPr>
        <w:t>’</w:t>
      </w:r>
      <w:r w:rsidRPr="00402FDE">
        <w:rPr>
          <w:lang w:val="fr-FR"/>
        </w:rPr>
        <w:t>État partie qui affirme que la décision du tribunal municipal de Zlatooust concernait une personne qui, contrairement à l</w:t>
      </w:r>
      <w:r w:rsidR="00747513">
        <w:rPr>
          <w:lang w:val="fr-FR"/>
        </w:rPr>
        <w:t>’</w:t>
      </w:r>
      <w:r w:rsidRPr="00402FDE">
        <w:rPr>
          <w:lang w:val="fr-FR"/>
        </w:rPr>
        <w:t>auteur, avait été reconnue coupable d</w:t>
      </w:r>
      <w:r w:rsidR="00747513">
        <w:rPr>
          <w:lang w:val="fr-FR"/>
        </w:rPr>
        <w:t>’</w:t>
      </w:r>
      <w:r w:rsidRPr="00402FDE">
        <w:rPr>
          <w:lang w:val="fr-FR"/>
        </w:rPr>
        <w:t>une infraction commise avant une modification apportée au Code pénal en 1992. À la lumière de ce qui précède, le Comité conclu</w:t>
      </w:r>
      <w:r>
        <w:rPr>
          <w:lang w:val="fr-FR"/>
        </w:rPr>
        <w:t>t</w:t>
      </w:r>
      <w:r w:rsidRPr="00402FDE">
        <w:rPr>
          <w:lang w:val="fr-FR"/>
        </w:rPr>
        <w:t xml:space="preserve"> qu</w:t>
      </w:r>
      <w:r w:rsidR="00747513">
        <w:rPr>
          <w:lang w:val="fr-FR"/>
        </w:rPr>
        <w:t>’</w:t>
      </w:r>
      <w:r w:rsidRPr="00402FDE">
        <w:rPr>
          <w:lang w:val="fr-FR"/>
        </w:rPr>
        <w:t>il n</w:t>
      </w:r>
      <w:r w:rsidR="00747513">
        <w:rPr>
          <w:lang w:val="fr-FR"/>
        </w:rPr>
        <w:t>’</w:t>
      </w:r>
      <w:r w:rsidRPr="00402FDE">
        <w:rPr>
          <w:lang w:val="fr-FR"/>
        </w:rPr>
        <w:t>y a pas eu d</w:t>
      </w:r>
      <w:r w:rsidR="00747513">
        <w:rPr>
          <w:lang w:val="fr-FR"/>
        </w:rPr>
        <w:t>’</w:t>
      </w:r>
      <w:r w:rsidRPr="00402FDE">
        <w:rPr>
          <w:lang w:val="fr-FR"/>
        </w:rPr>
        <w:t>arbitraire ni de déni de ju</w:t>
      </w:r>
      <w:r w:rsidR="00D052ED">
        <w:rPr>
          <w:lang w:val="fr-FR"/>
        </w:rPr>
        <w:t>stice dans la présente affaire.</w:t>
      </w:r>
    </w:p>
    <w:p w:rsidR="00F35D42" w:rsidRPr="00402FDE" w:rsidRDefault="00F35D42" w:rsidP="00F35D42">
      <w:pPr>
        <w:pStyle w:val="SingleTxtG"/>
        <w:rPr>
          <w:lang w:val="fr-FR"/>
        </w:rPr>
      </w:pPr>
      <w:r w:rsidRPr="00402FDE">
        <w:rPr>
          <w:lang w:val="fr-FR"/>
        </w:rPr>
        <w:t>9.5</w:t>
      </w:r>
      <w:r w:rsidRPr="00402FDE">
        <w:rPr>
          <w:lang w:val="fr-FR"/>
        </w:rPr>
        <w:tab/>
        <w:t>En ce qui concerne l</w:t>
      </w:r>
      <w:r w:rsidR="00747513">
        <w:rPr>
          <w:lang w:val="fr-FR"/>
        </w:rPr>
        <w:t>’</w:t>
      </w:r>
      <w:r w:rsidRPr="00402FDE">
        <w:rPr>
          <w:lang w:val="fr-FR"/>
        </w:rPr>
        <w:t>objection de l</w:t>
      </w:r>
      <w:r w:rsidR="00747513">
        <w:rPr>
          <w:lang w:val="fr-FR"/>
        </w:rPr>
        <w:t>’</w:t>
      </w:r>
      <w:r w:rsidRPr="00402FDE">
        <w:rPr>
          <w:lang w:val="fr-FR"/>
        </w:rPr>
        <w:t>auteur concernant la commutation de sa peine par décret présidentiel plutôt que par un tribunal, le Comité prend note des arguments de l</w:t>
      </w:r>
      <w:r w:rsidR="00747513">
        <w:rPr>
          <w:lang w:val="fr-FR"/>
        </w:rPr>
        <w:t>’</w:t>
      </w:r>
      <w:r w:rsidRPr="00402FDE">
        <w:rPr>
          <w:lang w:val="fr-FR"/>
        </w:rPr>
        <w:t>État partie qui affirme que ce décret a été pris dans l</w:t>
      </w:r>
      <w:r w:rsidR="00747513">
        <w:rPr>
          <w:lang w:val="fr-FR"/>
        </w:rPr>
        <w:t>’</w:t>
      </w:r>
      <w:r w:rsidRPr="00402FDE">
        <w:rPr>
          <w:lang w:val="fr-FR"/>
        </w:rPr>
        <w:t>exercice de la prérogative constitutionnelle qu</w:t>
      </w:r>
      <w:r w:rsidR="00747513">
        <w:rPr>
          <w:lang w:val="fr-FR"/>
        </w:rPr>
        <w:t>’</w:t>
      </w:r>
      <w:r w:rsidRPr="00402FDE">
        <w:rPr>
          <w:lang w:val="fr-FR"/>
        </w:rPr>
        <w:t>a le Président d</w:t>
      </w:r>
      <w:r w:rsidR="00747513">
        <w:rPr>
          <w:lang w:val="fr-FR"/>
        </w:rPr>
        <w:t>’</w:t>
      </w:r>
      <w:r w:rsidRPr="00402FDE">
        <w:rPr>
          <w:lang w:val="fr-FR"/>
        </w:rPr>
        <w:t>accorder une grâce et mis en œuvre conformément aux articles</w:t>
      </w:r>
      <w:r>
        <w:rPr>
          <w:lang w:val="fr-FR"/>
        </w:rPr>
        <w:t> </w:t>
      </w:r>
      <w:r w:rsidRPr="00402FDE">
        <w:rPr>
          <w:lang w:val="fr-FR"/>
        </w:rPr>
        <w:t>59 et 85 du Code de procédure pénale russe</w:t>
      </w:r>
      <w:r w:rsidR="00D052ED">
        <w:rPr>
          <w:lang w:val="fr-FR"/>
        </w:rPr>
        <w:t xml:space="preserve">, en vigueur au moment de la grâce, </w:t>
      </w:r>
      <w:r w:rsidRPr="00402FDE">
        <w:rPr>
          <w:lang w:val="fr-FR"/>
        </w:rPr>
        <w:t>et à l</w:t>
      </w:r>
      <w:r w:rsidR="00747513">
        <w:rPr>
          <w:lang w:val="fr-FR"/>
        </w:rPr>
        <w:t>’</w:t>
      </w:r>
      <w:r w:rsidRPr="00402FDE">
        <w:rPr>
          <w:lang w:val="fr-FR"/>
        </w:rPr>
        <w:t>article</w:t>
      </w:r>
      <w:r>
        <w:rPr>
          <w:lang w:val="fr-FR"/>
        </w:rPr>
        <w:t> </w:t>
      </w:r>
      <w:r w:rsidRPr="00402FDE">
        <w:rPr>
          <w:lang w:val="fr-FR"/>
        </w:rPr>
        <w:t>24 du Code de procédure pénale de la RSFSR, en vigueur au moment de la commission de l</w:t>
      </w:r>
      <w:r w:rsidR="00747513">
        <w:rPr>
          <w:lang w:val="fr-FR"/>
        </w:rPr>
        <w:t>’</w:t>
      </w:r>
      <w:r w:rsidRPr="00402FDE">
        <w:rPr>
          <w:lang w:val="fr-FR"/>
        </w:rPr>
        <w:t>infraction, qui prévoient la possibilité de commuer la peine capitale en peine de réclusion à perpétuité</w:t>
      </w:r>
      <w:r>
        <w:rPr>
          <w:rStyle w:val="FootnoteReference"/>
        </w:rPr>
        <w:footnoteReference w:id="32"/>
      </w:r>
      <w:r w:rsidRPr="00402FDE">
        <w:rPr>
          <w:lang w:val="fr-FR"/>
        </w:rPr>
        <w:t>. Le Comité rappelle que le pouvoir discrétionnaire de commutation de la peine, qui est expressément envisagé au regard de la peine de mort par le paragraphe</w:t>
      </w:r>
      <w:r>
        <w:rPr>
          <w:lang w:val="fr-FR"/>
        </w:rPr>
        <w:t> </w:t>
      </w:r>
      <w:r w:rsidRPr="00402FDE">
        <w:rPr>
          <w:lang w:val="fr-FR"/>
        </w:rPr>
        <w:t>4 de l</w:t>
      </w:r>
      <w:r w:rsidR="00747513">
        <w:rPr>
          <w:lang w:val="fr-FR"/>
        </w:rPr>
        <w:t>’</w:t>
      </w:r>
      <w:r w:rsidRPr="00402FDE">
        <w:rPr>
          <w:lang w:val="fr-FR"/>
        </w:rPr>
        <w:t>article</w:t>
      </w:r>
      <w:r>
        <w:rPr>
          <w:lang w:val="fr-FR"/>
        </w:rPr>
        <w:t> </w:t>
      </w:r>
      <w:r w:rsidRPr="00402FDE">
        <w:rPr>
          <w:lang w:val="fr-FR"/>
        </w:rPr>
        <w:t>6 du Pacte, peut être confié à un chef d</w:t>
      </w:r>
      <w:r w:rsidR="00747513">
        <w:rPr>
          <w:lang w:val="fr-FR"/>
        </w:rPr>
        <w:t>’</w:t>
      </w:r>
      <w:r w:rsidRPr="00402FDE">
        <w:rPr>
          <w:lang w:val="fr-FR"/>
        </w:rPr>
        <w:t>État ou à un autre organe exécutif sans que cela porte atteinte à l</w:t>
      </w:r>
      <w:r w:rsidR="00747513">
        <w:rPr>
          <w:lang w:val="fr-FR"/>
        </w:rPr>
        <w:t>’</w:t>
      </w:r>
      <w:r>
        <w:rPr>
          <w:lang w:val="fr-FR"/>
        </w:rPr>
        <w:t>article </w:t>
      </w:r>
      <w:r w:rsidRPr="00402FDE">
        <w:rPr>
          <w:lang w:val="fr-FR"/>
        </w:rPr>
        <w:t>14</w:t>
      </w:r>
      <w:r>
        <w:rPr>
          <w:rStyle w:val="FootnoteReference"/>
        </w:rPr>
        <w:footnoteReference w:id="33"/>
      </w:r>
      <w:r>
        <w:rPr>
          <w:lang w:val="fr-FR"/>
        </w:rPr>
        <w:t>.</w:t>
      </w:r>
      <w:r w:rsidR="00EB3B70">
        <w:rPr>
          <w:lang w:val="fr-FR"/>
        </w:rPr>
        <w:t xml:space="preserve"> Le Comité ne dispose d</w:t>
      </w:r>
      <w:r w:rsidR="00747513">
        <w:rPr>
          <w:lang w:val="fr-FR"/>
        </w:rPr>
        <w:t>’</w:t>
      </w:r>
      <w:r w:rsidR="00EB3B70">
        <w:rPr>
          <w:lang w:val="fr-FR"/>
        </w:rPr>
        <w:t>aucun élément sur lequel se fonder pour conclure au caractère arbitraire de la position de l</w:t>
      </w:r>
      <w:r w:rsidR="00747513">
        <w:rPr>
          <w:lang w:val="fr-FR"/>
        </w:rPr>
        <w:t>’</w:t>
      </w:r>
      <w:r w:rsidR="00EB3B70">
        <w:rPr>
          <w:lang w:val="fr-FR"/>
        </w:rPr>
        <w:t>État partie à</w:t>
      </w:r>
      <w:r w:rsidR="00747513">
        <w:rPr>
          <w:lang w:val="fr-FR"/>
        </w:rPr>
        <w:t> </w:t>
      </w:r>
      <w:r w:rsidR="00EB3B70">
        <w:rPr>
          <w:lang w:val="fr-FR"/>
        </w:rPr>
        <w:t>savoir que le pouvoir de gracier conf</w:t>
      </w:r>
      <w:r w:rsidR="004B2817">
        <w:rPr>
          <w:lang w:val="fr-FR"/>
        </w:rPr>
        <w:t>é</w:t>
      </w:r>
      <w:r w:rsidR="00EB3B70">
        <w:rPr>
          <w:lang w:val="fr-FR"/>
        </w:rPr>
        <w:t>r</w:t>
      </w:r>
      <w:r w:rsidR="004B2817">
        <w:rPr>
          <w:lang w:val="fr-FR"/>
        </w:rPr>
        <w:t>é</w:t>
      </w:r>
      <w:r w:rsidR="00EB3B70">
        <w:rPr>
          <w:lang w:val="fr-FR"/>
        </w:rPr>
        <w:t xml:space="preserve"> à l</w:t>
      </w:r>
      <w:r w:rsidR="00747513">
        <w:rPr>
          <w:lang w:val="fr-FR"/>
        </w:rPr>
        <w:t>’</w:t>
      </w:r>
      <w:r w:rsidR="00EB3B70">
        <w:rPr>
          <w:lang w:val="fr-FR"/>
        </w:rPr>
        <w:t>exécutif est conforme à la Constitution.</w:t>
      </w:r>
    </w:p>
    <w:p w:rsidR="00F35D42" w:rsidRPr="00402FDE" w:rsidRDefault="00F35D42" w:rsidP="00F35D42">
      <w:pPr>
        <w:pStyle w:val="SingleTxtG"/>
        <w:rPr>
          <w:lang w:val="fr-FR"/>
        </w:rPr>
      </w:pPr>
      <w:r w:rsidRPr="00402FDE">
        <w:rPr>
          <w:lang w:val="fr-FR"/>
        </w:rPr>
        <w:t>9.6</w:t>
      </w:r>
      <w:r w:rsidRPr="00402FDE">
        <w:rPr>
          <w:lang w:val="fr-FR"/>
        </w:rPr>
        <w:tab/>
        <w:t xml:space="preserve">À la lumière des considérations qui précèdent, le Comité </w:t>
      </w:r>
      <w:r w:rsidR="004B2817">
        <w:rPr>
          <w:lang w:val="fr-FR"/>
        </w:rPr>
        <w:t>estime</w:t>
      </w:r>
      <w:r w:rsidRPr="00402FDE">
        <w:rPr>
          <w:lang w:val="fr-FR"/>
        </w:rPr>
        <w:t xml:space="preserve"> que les informations qui ont été versées au dossier ne lui permettent pas de conclure que les droits garantis à l</w:t>
      </w:r>
      <w:r w:rsidR="00747513">
        <w:rPr>
          <w:lang w:val="fr-FR"/>
        </w:rPr>
        <w:t>’</w:t>
      </w:r>
      <w:r w:rsidRPr="00402FDE">
        <w:rPr>
          <w:lang w:val="fr-FR"/>
        </w:rPr>
        <w:t>auteur par le paragraphe</w:t>
      </w:r>
      <w:r w:rsidR="004B2817">
        <w:rPr>
          <w:lang w:val="fr-FR"/>
        </w:rPr>
        <w:t> </w:t>
      </w:r>
      <w:r w:rsidRPr="00402FDE">
        <w:rPr>
          <w:lang w:val="fr-FR"/>
        </w:rPr>
        <w:t>1 de l</w:t>
      </w:r>
      <w:r w:rsidR="00747513">
        <w:rPr>
          <w:lang w:val="fr-FR"/>
        </w:rPr>
        <w:t>’</w:t>
      </w:r>
      <w:r w:rsidRPr="00402FDE">
        <w:rPr>
          <w:lang w:val="fr-FR"/>
        </w:rPr>
        <w:t>article</w:t>
      </w:r>
      <w:r w:rsidR="004B2817">
        <w:rPr>
          <w:lang w:val="fr-FR"/>
        </w:rPr>
        <w:t> </w:t>
      </w:r>
      <w:r w:rsidRPr="00402FDE">
        <w:rPr>
          <w:lang w:val="fr-FR"/>
        </w:rPr>
        <w:t>14 du Pacte ont été violés en l</w:t>
      </w:r>
      <w:r w:rsidR="00747513">
        <w:rPr>
          <w:lang w:val="fr-FR"/>
        </w:rPr>
        <w:t>’</w:t>
      </w:r>
      <w:r w:rsidR="00D052ED">
        <w:rPr>
          <w:lang w:val="fr-FR"/>
        </w:rPr>
        <w:t>espèce.</w:t>
      </w:r>
    </w:p>
    <w:p w:rsidR="00F35D42" w:rsidRPr="00402FDE" w:rsidRDefault="00F35D42" w:rsidP="00F35D42">
      <w:pPr>
        <w:pStyle w:val="SingleTxtG"/>
        <w:rPr>
          <w:lang w:val="fr-FR"/>
        </w:rPr>
      </w:pPr>
      <w:r w:rsidRPr="00402FDE">
        <w:rPr>
          <w:lang w:val="fr-FR"/>
        </w:rPr>
        <w:t>9.7</w:t>
      </w:r>
      <w:r w:rsidRPr="00402FDE">
        <w:rPr>
          <w:lang w:val="fr-FR"/>
        </w:rPr>
        <w:tab/>
        <w:t>En ce qui concerne le grief que l</w:t>
      </w:r>
      <w:r w:rsidR="00747513">
        <w:rPr>
          <w:lang w:val="fr-FR"/>
        </w:rPr>
        <w:t>’</w:t>
      </w:r>
      <w:r w:rsidRPr="00402FDE">
        <w:rPr>
          <w:lang w:val="fr-FR"/>
        </w:rPr>
        <w:t>auteur tire de l</w:t>
      </w:r>
      <w:r w:rsidR="00747513">
        <w:rPr>
          <w:lang w:val="fr-FR"/>
        </w:rPr>
        <w:t>’</w:t>
      </w:r>
      <w:r w:rsidRPr="00402FDE">
        <w:rPr>
          <w:lang w:val="fr-FR"/>
        </w:rPr>
        <w:t>article</w:t>
      </w:r>
      <w:r>
        <w:rPr>
          <w:lang w:val="fr-FR"/>
        </w:rPr>
        <w:t> </w:t>
      </w:r>
      <w:r w:rsidRPr="00402FDE">
        <w:rPr>
          <w:lang w:val="fr-FR"/>
        </w:rPr>
        <w:t>6 du Pacte, le Comité relève que, le 21</w:t>
      </w:r>
      <w:r>
        <w:rPr>
          <w:lang w:val="fr-FR"/>
        </w:rPr>
        <w:t> </w:t>
      </w:r>
      <w:r w:rsidRPr="00402FDE">
        <w:rPr>
          <w:lang w:val="fr-FR"/>
        </w:rPr>
        <w:t>décembre 1998, l</w:t>
      </w:r>
      <w:r w:rsidR="00747513">
        <w:rPr>
          <w:lang w:val="fr-FR"/>
        </w:rPr>
        <w:t>’</w:t>
      </w:r>
      <w:r w:rsidRPr="00402FDE">
        <w:rPr>
          <w:lang w:val="fr-FR"/>
        </w:rPr>
        <w:t>auteur a été gracié par décret présidentiel et que sa condamnation à mort prononcée le 13</w:t>
      </w:r>
      <w:r>
        <w:rPr>
          <w:lang w:val="fr-FR"/>
        </w:rPr>
        <w:t> </w:t>
      </w:r>
      <w:r w:rsidRPr="00402FDE">
        <w:rPr>
          <w:lang w:val="fr-FR"/>
        </w:rPr>
        <w:t>octobre 1995 a été commuée en peine de réclusion à</w:t>
      </w:r>
      <w:r w:rsidR="00747513">
        <w:rPr>
          <w:lang w:val="fr-FR"/>
        </w:rPr>
        <w:t> </w:t>
      </w:r>
      <w:r w:rsidRPr="00402FDE">
        <w:rPr>
          <w:lang w:val="fr-FR"/>
        </w:rPr>
        <w:t>perpétuité. Compte tenu de ces circonstances, il n</w:t>
      </w:r>
      <w:r w:rsidR="00747513">
        <w:rPr>
          <w:lang w:val="fr-FR"/>
        </w:rPr>
        <w:t>’</w:t>
      </w:r>
      <w:r w:rsidRPr="00402FDE">
        <w:rPr>
          <w:lang w:val="fr-FR"/>
        </w:rPr>
        <w:t>examinera pas séparément le grief tiré par l</w:t>
      </w:r>
      <w:r w:rsidR="00747513">
        <w:rPr>
          <w:lang w:val="fr-FR"/>
        </w:rPr>
        <w:t>’</w:t>
      </w:r>
      <w:r w:rsidRPr="00402FDE">
        <w:rPr>
          <w:lang w:val="fr-FR"/>
        </w:rPr>
        <w:t>auteur de cette disposition du Pacte</w:t>
      </w:r>
      <w:r>
        <w:rPr>
          <w:rStyle w:val="FootnoteReference"/>
        </w:rPr>
        <w:footnoteReference w:id="34"/>
      </w:r>
      <w:r w:rsidR="00D052ED">
        <w:rPr>
          <w:lang w:val="fr-FR"/>
        </w:rPr>
        <w:t>.</w:t>
      </w:r>
    </w:p>
    <w:p w:rsidR="00F35D42" w:rsidRPr="00402FDE" w:rsidRDefault="00F35D42" w:rsidP="00F35D42">
      <w:pPr>
        <w:pStyle w:val="SingleTxtG"/>
        <w:rPr>
          <w:lang w:val="fr-FR"/>
        </w:rPr>
      </w:pPr>
      <w:r w:rsidRPr="00402FDE">
        <w:rPr>
          <w:lang w:val="fr-FR"/>
        </w:rPr>
        <w:t>9.8</w:t>
      </w:r>
      <w:r w:rsidRPr="00402FDE">
        <w:rPr>
          <w:lang w:val="fr-FR"/>
        </w:rPr>
        <w:tab/>
        <w:t>Le Comité prend note du grief de l</w:t>
      </w:r>
      <w:r w:rsidR="00747513">
        <w:rPr>
          <w:lang w:val="fr-FR"/>
        </w:rPr>
        <w:t>’</w:t>
      </w:r>
      <w:r w:rsidRPr="00402FDE">
        <w:rPr>
          <w:lang w:val="fr-FR"/>
        </w:rPr>
        <w:t>auteur qui affirme que la commutation de la peine capitale en peine de réclusion à perpétuité constitue une violation de ses droits au titre du paragraphe</w:t>
      </w:r>
      <w:r>
        <w:rPr>
          <w:lang w:val="fr-FR"/>
        </w:rPr>
        <w:t> </w:t>
      </w:r>
      <w:r w:rsidRPr="00402FDE">
        <w:rPr>
          <w:lang w:val="fr-FR"/>
        </w:rPr>
        <w:t>1 de l</w:t>
      </w:r>
      <w:r w:rsidR="00747513">
        <w:rPr>
          <w:lang w:val="fr-FR"/>
        </w:rPr>
        <w:t>’</w:t>
      </w:r>
      <w:r w:rsidRPr="00402FDE">
        <w:rPr>
          <w:lang w:val="fr-FR"/>
        </w:rPr>
        <w:t>article</w:t>
      </w:r>
      <w:r>
        <w:rPr>
          <w:lang w:val="fr-FR"/>
        </w:rPr>
        <w:t> </w:t>
      </w:r>
      <w:r w:rsidRPr="00402FDE">
        <w:rPr>
          <w:lang w:val="fr-FR"/>
        </w:rPr>
        <w:t>15 du Pacte. Il prend note à cet égard des arguments de l</w:t>
      </w:r>
      <w:r w:rsidR="00747513">
        <w:rPr>
          <w:lang w:val="fr-FR"/>
        </w:rPr>
        <w:t>’</w:t>
      </w:r>
      <w:r w:rsidRPr="00402FDE">
        <w:rPr>
          <w:lang w:val="fr-FR"/>
        </w:rPr>
        <w:t>auteur qui affirme</w:t>
      </w:r>
      <w:r>
        <w:rPr>
          <w:lang w:val="fr-FR"/>
        </w:rPr>
        <w:t>:</w:t>
      </w:r>
      <w:r w:rsidRPr="00402FDE">
        <w:rPr>
          <w:lang w:val="fr-FR"/>
        </w:rPr>
        <w:t xml:space="preserve"> 1)</w:t>
      </w:r>
      <w:r>
        <w:rPr>
          <w:lang w:val="fr-FR"/>
        </w:rPr>
        <w:t> </w:t>
      </w:r>
      <w:r w:rsidRPr="00402FDE">
        <w:rPr>
          <w:lang w:val="fr-FR"/>
        </w:rPr>
        <w:t>que la décision de la Cour constitutionnelle en date du 2</w:t>
      </w:r>
      <w:r>
        <w:rPr>
          <w:lang w:val="fr-FR"/>
        </w:rPr>
        <w:t> </w:t>
      </w:r>
      <w:r w:rsidRPr="00402FDE">
        <w:rPr>
          <w:lang w:val="fr-FR"/>
        </w:rPr>
        <w:t>février 1999 proscrivait la peine de mort et que, par conséquent, la sanction prévue pour l</w:t>
      </w:r>
      <w:r w:rsidR="00747513">
        <w:rPr>
          <w:lang w:val="fr-FR"/>
        </w:rPr>
        <w:t>’</w:t>
      </w:r>
      <w:r w:rsidRPr="00402FDE">
        <w:rPr>
          <w:lang w:val="fr-FR"/>
        </w:rPr>
        <w:t>infraction qu</w:t>
      </w:r>
      <w:r w:rsidR="00747513">
        <w:rPr>
          <w:lang w:val="fr-FR"/>
        </w:rPr>
        <w:t>’</w:t>
      </w:r>
      <w:r w:rsidRPr="00402FDE">
        <w:rPr>
          <w:lang w:val="fr-FR"/>
        </w:rPr>
        <w:t xml:space="preserve">il avait commise </w:t>
      </w:r>
      <w:r w:rsidR="004B2817">
        <w:rPr>
          <w:lang w:val="fr-FR"/>
        </w:rPr>
        <w:t xml:space="preserve">était réduite </w:t>
      </w:r>
      <w:r w:rsidRPr="00402FDE">
        <w:rPr>
          <w:lang w:val="fr-FR"/>
        </w:rPr>
        <w:t xml:space="preserve">(au maximum </w:t>
      </w:r>
      <w:r>
        <w:rPr>
          <w:lang w:val="fr-FR"/>
        </w:rPr>
        <w:t>quinze</w:t>
      </w:r>
      <w:r w:rsidRPr="00402FDE">
        <w:rPr>
          <w:lang w:val="fr-FR"/>
        </w:rPr>
        <w:t xml:space="preserve"> ou </w:t>
      </w:r>
      <w:r>
        <w:rPr>
          <w:lang w:val="fr-FR"/>
        </w:rPr>
        <w:t xml:space="preserve">vingt </w:t>
      </w:r>
      <w:r w:rsidRPr="00402FDE">
        <w:rPr>
          <w:lang w:val="fr-FR"/>
        </w:rPr>
        <w:t>ans d</w:t>
      </w:r>
      <w:r w:rsidR="00747513">
        <w:rPr>
          <w:lang w:val="fr-FR"/>
        </w:rPr>
        <w:t>’</w:t>
      </w:r>
      <w:r w:rsidRPr="00402FDE">
        <w:rPr>
          <w:lang w:val="fr-FR"/>
        </w:rPr>
        <w:t>emprisonnement</w:t>
      </w:r>
      <w:r>
        <w:rPr>
          <w:rStyle w:val="FootnoteReference"/>
        </w:rPr>
        <w:footnoteReference w:id="35"/>
      </w:r>
      <w:r w:rsidRPr="00402FDE">
        <w:rPr>
          <w:lang w:val="fr-FR"/>
        </w:rPr>
        <w:t>); 2)</w:t>
      </w:r>
      <w:r>
        <w:rPr>
          <w:lang w:val="fr-FR"/>
        </w:rPr>
        <w:t> </w:t>
      </w:r>
      <w:r w:rsidRPr="00402FDE">
        <w:rPr>
          <w:lang w:val="fr-FR"/>
        </w:rPr>
        <w:t>qu</w:t>
      </w:r>
      <w:r w:rsidR="00747513">
        <w:rPr>
          <w:lang w:val="fr-FR"/>
        </w:rPr>
        <w:t>’</w:t>
      </w:r>
      <w:r w:rsidRPr="00402FDE">
        <w:rPr>
          <w:lang w:val="fr-FR"/>
        </w:rPr>
        <w:t>à la suite de la grâce présidentielle, il s</w:t>
      </w:r>
      <w:r w:rsidR="00747513">
        <w:rPr>
          <w:lang w:val="fr-FR"/>
        </w:rPr>
        <w:t>’</w:t>
      </w:r>
      <w:r w:rsidRPr="00402FDE">
        <w:rPr>
          <w:lang w:val="fr-FR"/>
        </w:rPr>
        <w:t>est vu imposer une peine plus lourde que celle qui était applicable au moment où il a commis l</w:t>
      </w:r>
      <w:r w:rsidR="00747513">
        <w:rPr>
          <w:lang w:val="fr-FR"/>
        </w:rPr>
        <w:t>’</w:t>
      </w:r>
      <w:r w:rsidRPr="00402FDE">
        <w:rPr>
          <w:lang w:val="fr-FR"/>
        </w:rPr>
        <w:t>infraction en question</w:t>
      </w:r>
      <w:r>
        <w:rPr>
          <w:lang w:val="fr-FR"/>
        </w:rPr>
        <w:t>;</w:t>
      </w:r>
      <w:r w:rsidRPr="00402FDE">
        <w:rPr>
          <w:lang w:val="fr-FR"/>
        </w:rPr>
        <w:t xml:space="preserve"> et 3)</w:t>
      </w:r>
      <w:r>
        <w:rPr>
          <w:lang w:val="fr-FR"/>
        </w:rPr>
        <w:t> </w:t>
      </w:r>
      <w:r w:rsidRPr="00402FDE">
        <w:rPr>
          <w:lang w:val="fr-FR"/>
        </w:rPr>
        <w:t>que sa grâce aurait dû être décidée par un tribunal.</w:t>
      </w:r>
    </w:p>
    <w:p w:rsidR="00F35D42" w:rsidRPr="00402FDE" w:rsidRDefault="00F35D42" w:rsidP="00F35D42">
      <w:pPr>
        <w:pStyle w:val="SingleTxtG"/>
        <w:rPr>
          <w:lang w:val="fr-FR"/>
        </w:rPr>
      </w:pPr>
      <w:r w:rsidRPr="00402FDE">
        <w:rPr>
          <w:lang w:val="fr-FR"/>
        </w:rPr>
        <w:t>9.9</w:t>
      </w:r>
      <w:r w:rsidRPr="00402FDE">
        <w:rPr>
          <w:lang w:val="fr-FR"/>
        </w:rPr>
        <w:tab/>
        <w:t>Le Comité fait observer que le paragraphe</w:t>
      </w:r>
      <w:r>
        <w:rPr>
          <w:lang w:val="fr-FR"/>
        </w:rPr>
        <w:t> </w:t>
      </w:r>
      <w:r w:rsidRPr="00402FDE">
        <w:rPr>
          <w:lang w:val="fr-FR"/>
        </w:rPr>
        <w:t>1 de l</w:t>
      </w:r>
      <w:r w:rsidR="00747513">
        <w:rPr>
          <w:lang w:val="fr-FR"/>
        </w:rPr>
        <w:t>’</w:t>
      </w:r>
      <w:r w:rsidRPr="00402FDE">
        <w:rPr>
          <w:lang w:val="fr-FR"/>
        </w:rPr>
        <w:t>article</w:t>
      </w:r>
      <w:r>
        <w:rPr>
          <w:lang w:val="fr-FR"/>
        </w:rPr>
        <w:t> </w:t>
      </w:r>
      <w:r w:rsidRPr="00402FDE">
        <w:rPr>
          <w:lang w:val="fr-FR"/>
        </w:rPr>
        <w:t xml:space="preserve">15 </w:t>
      </w:r>
      <w:r w:rsidR="004B2817">
        <w:rPr>
          <w:lang w:val="fr-FR"/>
        </w:rPr>
        <w:t xml:space="preserve">du Pacte </w:t>
      </w:r>
      <w:r w:rsidRPr="00402FDE">
        <w:rPr>
          <w:lang w:val="fr-FR"/>
        </w:rPr>
        <w:t>porte sur la nature et l</w:t>
      </w:r>
      <w:r w:rsidR="00747513">
        <w:rPr>
          <w:lang w:val="fr-FR"/>
        </w:rPr>
        <w:t>’</w:t>
      </w:r>
      <w:r w:rsidRPr="00402FDE">
        <w:rPr>
          <w:lang w:val="fr-FR"/>
        </w:rPr>
        <w:t>objet de la peine, sa qualification en droit interne et les procédures liées à sa détermination et à son application dans le cadre de la procédure pénale. Il note en outre que la grâce est une mesure par essence humanitaire ou de nature discrétionnaire ou motivée par des considérations d</w:t>
      </w:r>
      <w:r w:rsidR="00747513">
        <w:rPr>
          <w:lang w:val="fr-FR"/>
        </w:rPr>
        <w:t>’</w:t>
      </w:r>
      <w:r w:rsidRPr="00402FDE">
        <w:rPr>
          <w:lang w:val="fr-FR"/>
        </w:rPr>
        <w:t>équité, qui n</w:t>
      </w:r>
      <w:r w:rsidR="00747513">
        <w:rPr>
          <w:lang w:val="fr-FR"/>
        </w:rPr>
        <w:t>’</w:t>
      </w:r>
      <w:r w:rsidRPr="00402FDE">
        <w:rPr>
          <w:lang w:val="fr-FR"/>
        </w:rPr>
        <w:t>implique pas qu</w:t>
      </w:r>
      <w:r w:rsidR="00747513">
        <w:rPr>
          <w:lang w:val="fr-FR"/>
        </w:rPr>
        <w:t>’</w:t>
      </w:r>
      <w:r w:rsidRPr="00402FDE">
        <w:rPr>
          <w:lang w:val="fr-FR"/>
        </w:rPr>
        <w:t>il y ait eu une erreur judiciaire</w:t>
      </w:r>
      <w:r>
        <w:rPr>
          <w:rStyle w:val="FootnoteReference"/>
        </w:rPr>
        <w:footnoteReference w:id="36"/>
      </w:r>
      <w:r w:rsidRPr="00402FDE">
        <w:rPr>
          <w:lang w:val="fr-FR"/>
        </w:rPr>
        <w:t>. Il souligne que, comme l</w:t>
      </w:r>
      <w:r w:rsidR="00747513">
        <w:rPr>
          <w:lang w:val="fr-FR"/>
        </w:rPr>
        <w:t>’</w:t>
      </w:r>
      <w:r w:rsidRPr="00402FDE">
        <w:rPr>
          <w:lang w:val="fr-FR"/>
        </w:rPr>
        <w:t>affirme l</w:t>
      </w:r>
      <w:r w:rsidR="00747513">
        <w:rPr>
          <w:lang w:val="fr-FR"/>
        </w:rPr>
        <w:t>’</w:t>
      </w:r>
      <w:r w:rsidRPr="00402FDE">
        <w:rPr>
          <w:lang w:val="fr-FR"/>
        </w:rPr>
        <w:t>État partie, la peine capitale pouvait être commuée en réclusion à perpétuité conformément à la loi en vigueur au moment des faits et à la loi en vigueur au moment de la grâce, et que c</w:t>
      </w:r>
      <w:r w:rsidR="00747513">
        <w:rPr>
          <w:lang w:val="fr-FR"/>
        </w:rPr>
        <w:t>’</w:t>
      </w:r>
      <w:r w:rsidRPr="00402FDE">
        <w:rPr>
          <w:lang w:val="fr-FR"/>
        </w:rPr>
        <w:t>est au Président que la Constitution a confié le pouvoir d</w:t>
      </w:r>
      <w:r w:rsidR="00747513">
        <w:rPr>
          <w:lang w:val="fr-FR"/>
        </w:rPr>
        <w:t>’</w:t>
      </w:r>
      <w:r w:rsidRPr="00402FDE">
        <w:rPr>
          <w:lang w:val="fr-FR"/>
        </w:rPr>
        <w:t>accorder une commutation de peine en tout temps</w:t>
      </w:r>
      <w:r>
        <w:rPr>
          <w:rStyle w:val="FootnoteReference"/>
        </w:rPr>
        <w:footnoteReference w:id="37"/>
      </w:r>
      <w:r w:rsidRPr="00402FDE">
        <w:rPr>
          <w:lang w:val="fr-FR"/>
        </w:rPr>
        <w:t>. Il note également qu</w:t>
      </w:r>
      <w:r w:rsidR="00747513">
        <w:rPr>
          <w:lang w:val="fr-FR"/>
        </w:rPr>
        <w:t>’</w:t>
      </w:r>
      <w:r w:rsidRPr="00402FDE">
        <w:rPr>
          <w:lang w:val="fr-FR"/>
        </w:rPr>
        <w:t>en tout état de cause, la réclusion à perpétuité ne peut pas être considérée comme une peine plus lourde que la peine capitale. Il en conclut qu</w:t>
      </w:r>
      <w:r w:rsidR="00747513">
        <w:rPr>
          <w:lang w:val="fr-FR"/>
        </w:rPr>
        <w:t>’</w:t>
      </w:r>
      <w:r w:rsidRPr="00402FDE">
        <w:rPr>
          <w:lang w:val="fr-FR"/>
        </w:rPr>
        <w:t>il n</w:t>
      </w:r>
      <w:r w:rsidR="00747513">
        <w:rPr>
          <w:lang w:val="fr-FR"/>
        </w:rPr>
        <w:t>’</w:t>
      </w:r>
      <w:r w:rsidRPr="00402FDE">
        <w:rPr>
          <w:lang w:val="fr-FR"/>
        </w:rPr>
        <w:t>y a pas eu violation du paragraphe</w:t>
      </w:r>
      <w:r>
        <w:rPr>
          <w:lang w:val="fr-FR"/>
        </w:rPr>
        <w:t> </w:t>
      </w:r>
      <w:r w:rsidRPr="00402FDE">
        <w:rPr>
          <w:lang w:val="fr-FR"/>
        </w:rPr>
        <w:t>1 de l</w:t>
      </w:r>
      <w:r w:rsidR="00747513">
        <w:rPr>
          <w:lang w:val="fr-FR"/>
        </w:rPr>
        <w:t>’</w:t>
      </w:r>
      <w:r>
        <w:rPr>
          <w:lang w:val="fr-FR"/>
        </w:rPr>
        <w:t>article </w:t>
      </w:r>
      <w:r w:rsidRPr="00402FDE">
        <w:rPr>
          <w:lang w:val="fr-FR"/>
        </w:rPr>
        <w:t>15 du Pacte</w:t>
      </w:r>
      <w:r>
        <w:rPr>
          <w:rStyle w:val="FootnoteReference"/>
        </w:rPr>
        <w:footnoteReference w:id="38"/>
      </w:r>
      <w:r>
        <w:rPr>
          <w:lang w:val="fr-FR"/>
        </w:rPr>
        <w:t>.</w:t>
      </w:r>
    </w:p>
    <w:p w:rsidR="00F35D42" w:rsidRPr="00402FDE" w:rsidRDefault="00F35D42" w:rsidP="00F35D42">
      <w:pPr>
        <w:pStyle w:val="SingleTxtG"/>
        <w:rPr>
          <w:lang w:val="fr-FR"/>
        </w:rPr>
      </w:pPr>
      <w:r w:rsidRPr="00402FDE">
        <w:rPr>
          <w:lang w:val="fr-FR"/>
        </w:rPr>
        <w:t>9.10</w:t>
      </w:r>
      <w:r w:rsidRPr="00402FDE">
        <w:rPr>
          <w:lang w:val="fr-FR"/>
        </w:rPr>
        <w:tab/>
        <w:t>Le Comité note en outre que l</w:t>
      </w:r>
      <w:r w:rsidR="00747513">
        <w:rPr>
          <w:lang w:val="fr-FR"/>
        </w:rPr>
        <w:t>’</w:t>
      </w:r>
      <w:r w:rsidRPr="00402FDE">
        <w:rPr>
          <w:lang w:val="fr-FR"/>
        </w:rPr>
        <w:t xml:space="preserve">auteur affirme </w:t>
      </w:r>
      <w:r w:rsidR="00A8400A">
        <w:rPr>
          <w:lang w:val="fr-FR"/>
        </w:rPr>
        <w:t>avoir été</w:t>
      </w:r>
      <w:r w:rsidRPr="00402FDE">
        <w:rPr>
          <w:lang w:val="fr-FR"/>
        </w:rPr>
        <w:t xml:space="preserve"> victime d</w:t>
      </w:r>
      <w:r w:rsidR="00747513">
        <w:rPr>
          <w:lang w:val="fr-FR"/>
        </w:rPr>
        <w:t>’</w:t>
      </w:r>
      <w:r w:rsidRPr="00402FDE">
        <w:rPr>
          <w:lang w:val="fr-FR"/>
        </w:rPr>
        <w:t>une violation des droits qu</w:t>
      </w:r>
      <w:r w:rsidR="00747513">
        <w:rPr>
          <w:lang w:val="fr-FR"/>
        </w:rPr>
        <w:t>’</w:t>
      </w:r>
      <w:r w:rsidRPr="00402FDE">
        <w:rPr>
          <w:lang w:val="fr-FR"/>
        </w:rPr>
        <w:t>il tire de l</w:t>
      </w:r>
      <w:r w:rsidR="00747513">
        <w:rPr>
          <w:lang w:val="fr-FR"/>
        </w:rPr>
        <w:t>’</w:t>
      </w:r>
      <w:r w:rsidRPr="00402FDE">
        <w:rPr>
          <w:lang w:val="fr-FR"/>
        </w:rPr>
        <w:t>article</w:t>
      </w:r>
      <w:r>
        <w:rPr>
          <w:lang w:val="fr-FR"/>
        </w:rPr>
        <w:t> </w:t>
      </w:r>
      <w:r w:rsidRPr="00402FDE">
        <w:rPr>
          <w:lang w:val="fr-FR"/>
        </w:rPr>
        <w:t>26 du Pacte parce qu</w:t>
      </w:r>
      <w:r w:rsidR="00747513">
        <w:rPr>
          <w:lang w:val="fr-FR"/>
        </w:rPr>
        <w:t>’</w:t>
      </w:r>
      <w:r w:rsidRPr="00402FDE">
        <w:rPr>
          <w:lang w:val="fr-FR"/>
        </w:rPr>
        <w:t>il n</w:t>
      </w:r>
      <w:r w:rsidR="00747513">
        <w:rPr>
          <w:lang w:val="fr-FR"/>
        </w:rPr>
        <w:t>’</w:t>
      </w:r>
      <w:r w:rsidRPr="00402FDE">
        <w:rPr>
          <w:lang w:val="fr-FR"/>
        </w:rPr>
        <w:t xml:space="preserve">a pas eu la possibilité </w:t>
      </w:r>
      <w:r w:rsidR="00A8400A">
        <w:rPr>
          <w:lang w:val="fr-FR"/>
        </w:rPr>
        <w:t xml:space="preserve">de choisir </w:t>
      </w:r>
      <w:r w:rsidRPr="00402FDE">
        <w:rPr>
          <w:lang w:val="fr-FR"/>
        </w:rPr>
        <w:t>d</w:t>
      </w:r>
      <w:r w:rsidR="00747513">
        <w:rPr>
          <w:lang w:val="fr-FR"/>
        </w:rPr>
        <w:t>’</w:t>
      </w:r>
      <w:r w:rsidRPr="00402FDE">
        <w:rPr>
          <w:lang w:val="fr-FR"/>
        </w:rPr>
        <w:t xml:space="preserve">être jugé par un jury, alors que cette </w:t>
      </w:r>
      <w:r w:rsidR="00A8400A">
        <w:rPr>
          <w:lang w:val="fr-FR"/>
        </w:rPr>
        <w:t>option</w:t>
      </w:r>
      <w:r w:rsidRPr="00402FDE">
        <w:rPr>
          <w:lang w:val="fr-FR"/>
        </w:rPr>
        <w:t xml:space="preserve"> est offerte à des </w:t>
      </w:r>
      <w:r w:rsidR="00A8400A">
        <w:rPr>
          <w:lang w:val="fr-FR"/>
        </w:rPr>
        <w:t xml:space="preserve">personnes accusées </w:t>
      </w:r>
      <w:r w:rsidRPr="00402FDE">
        <w:rPr>
          <w:lang w:val="fr-FR"/>
        </w:rPr>
        <w:t>passibles de la peine capitale dans d</w:t>
      </w:r>
      <w:r w:rsidR="00747513">
        <w:rPr>
          <w:lang w:val="fr-FR"/>
        </w:rPr>
        <w:t>’</w:t>
      </w:r>
      <w:r w:rsidRPr="00402FDE">
        <w:rPr>
          <w:lang w:val="fr-FR"/>
        </w:rPr>
        <w:t>autres régions de Russie. Il prend note de la référence faite par l</w:t>
      </w:r>
      <w:r w:rsidR="00747513">
        <w:rPr>
          <w:lang w:val="fr-FR"/>
        </w:rPr>
        <w:t>’</w:t>
      </w:r>
      <w:r w:rsidRPr="00402FDE">
        <w:rPr>
          <w:lang w:val="fr-FR"/>
        </w:rPr>
        <w:t>État partie au chapitre</w:t>
      </w:r>
      <w:r>
        <w:rPr>
          <w:lang w:val="fr-FR"/>
        </w:rPr>
        <w:t> </w:t>
      </w:r>
      <w:r w:rsidRPr="00402FDE">
        <w:rPr>
          <w:lang w:val="fr-FR"/>
        </w:rPr>
        <w:t>2 (partie</w:t>
      </w:r>
      <w:r>
        <w:rPr>
          <w:lang w:val="fr-FR"/>
        </w:rPr>
        <w:t> </w:t>
      </w:r>
      <w:r w:rsidRPr="00402FDE">
        <w:rPr>
          <w:lang w:val="fr-FR"/>
        </w:rPr>
        <w:t>6) des «Dispositions finales et transitoires» de la Constitution de la Fédération de Russie, qui précise que jusqu</w:t>
      </w:r>
      <w:r w:rsidR="00747513">
        <w:rPr>
          <w:lang w:val="fr-FR"/>
        </w:rPr>
        <w:t>’</w:t>
      </w:r>
      <w:r w:rsidRPr="00402FDE">
        <w:rPr>
          <w:lang w:val="fr-FR"/>
        </w:rPr>
        <w:t>à l</w:t>
      </w:r>
      <w:r w:rsidR="00747513">
        <w:rPr>
          <w:lang w:val="fr-FR"/>
        </w:rPr>
        <w:t>’</w:t>
      </w:r>
      <w:r w:rsidRPr="00402FDE">
        <w:rPr>
          <w:lang w:val="fr-FR"/>
        </w:rPr>
        <w:t>entrée en vigueur de la loi fédérale fixant la procédure à suivre pour les procès avec jury, la procédure antérieure d</w:t>
      </w:r>
      <w:r w:rsidR="00747513">
        <w:rPr>
          <w:lang w:val="fr-FR"/>
        </w:rPr>
        <w:t>’</w:t>
      </w:r>
      <w:r w:rsidRPr="00402FDE">
        <w:rPr>
          <w:lang w:val="fr-FR"/>
        </w:rPr>
        <w:t>examen judiciaire des affaires correspondantes est maintenue</w:t>
      </w:r>
      <w:r>
        <w:rPr>
          <w:rStyle w:val="FootnoteReference"/>
        </w:rPr>
        <w:footnoteReference w:id="39"/>
      </w:r>
      <w:r w:rsidRPr="00402FDE">
        <w:rPr>
          <w:lang w:val="fr-FR"/>
        </w:rPr>
        <w:t>. Il note en outre que les procès avec jury ont dans un premier temps été mis en place dans neuf régions russes et que la région de Mourmansk n</w:t>
      </w:r>
      <w:r w:rsidR="00747513">
        <w:rPr>
          <w:lang w:val="fr-FR"/>
        </w:rPr>
        <w:t>’</w:t>
      </w:r>
      <w:r w:rsidRPr="00402FDE">
        <w:rPr>
          <w:lang w:val="fr-FR"/>
        </w:rPr>
        <w:t>en faisait pas partie</w:t>
      </w:r>
      <w:r>
        <w:rPr>
          <w:rStyle w:val="FootnoteReference"/>
        </w:rPr>
        <w:footnoteReference w:id="40"/>
      </w:r>
      <w:r w:rsidRPr="00402FDE">
        <w:rPr>
          <w:lang w:val="fr-FR"/>
        </w:rPr>
        <w:t>. Comme il ressort des informations communiquées par l</w:t>
      </w:r>
      <w:r w:rsidR="00747513">
        <w:rPr>
          <w:lang w:val="fr-FR"/>
        </w:rPr>
        <w:t>’</w:t>
      </w:r>
      <w:r w:rsidRPr="00402FDE">
        <w:rPr>
          <w:lang w:val="fr-FR"/>
        </w:rPr>
        <w:t>État partie, les procès avec jury ont été mis en place dans la région de Mourmansk à compter du 1</w:t>
      </w:r>
      <w:r w:rsidRPr="00402FDE">
        <w:rPr>
          <w:vertAlign w:val="superscript"/>
          <w:lang w:val="fr-FR"/>
        </w:rPr>
        <w:t>er</w:t>
      </w:r>
      <w:r>
        <w:rPr>
          <w:lang w:val="fr-FR"/>
        </w:rPr>
        <w:t> </w:t>
      </w:r>
      <w:r w:rsidRPr="00402FDE">
        <w:rPr>
          <w:lang w:val="fr-FR"/>
        </w:rPr>
        <w:t>janvier 2003, conformément à l</w:t>
      </w:r>
      <w:r w:rsidR="00747513">
        <w:rPr>
          <w:lang w:val="fr-FR"/>
        </w:rPr>
        <w:t>’</w:t>
      </w:r>
      <w:r w:rsidRPr="00402FDE">
        <w:rPr>
          <w:lang w:val="fr-FR"/>
        </w:rPr>
        <w:t>article</w:t>
      </w:r>
      <w:r>
        <w:rPr>
          <w:lang w:val="fr-FR"/>
        </w:rPr>
        <w:t> </w:t>
      </w:r>
      <w:r w:rsidRPr="00402FDE">
        <w:rPr>
          <w:lang w:val="fr-FR"/>
        </w:rPr>
        <w:t>8 de la loi fédérale du 18</w:t>
      </w:r>
      <w:r>
        <w:rPr>
          <w:lang w:val="fr-FR"/>
        </w:rPr>
        <w:t> </w:t>
      </w:r>
      <w:r w:rsidRPr="00402FDE">
        <w:rPr>
          <w:lang w:val="fr-FR"/>
        </w:rPr>
        <w:t>décembre 2001</w:t>
      </w:r>
      <w:r>
        <w:rPr>
          <w:rStyle w:val="FootnoteReference"/>
        </w:rPr>
        <w:footnoteReference w:id="41"/>
      </w:r>
      <w:r w:rsidRPr="00402FDE">
        <w:rPr>
          <w:lang w:val="fr-FR"/>
        </w:rPr>
        <w:t>. Le Comité rappelle sa jurisprudence</w:t>
      </w:r>
      <w:r>
        <w:rPr>
          <w:rStyle w:val="FootnoteReference"/>
        </w:rPr>
        <w:footnoteReference w:id="42"/>
      </w:r>
      <w:r w:rsidRPr="00402FDE">
        <w:rPr>
          <w:lang w:val="fr-FR"/>
        </w:rPr>
        <w:t xml:space="preserve"> et réaffirme que bien que le Pacte ne contienne aucune disposition garantissant le droit d</w:t>
      </w:r>
      <w:r w:rsidR="00747513">
        <w:rPr>
          <w:lang w:val="fr-FR"/>
        </w:rPr>
        <w:t>’</w:t>
      </w:r>
      <w:r w:rsidRPr="00402FDE">
        <w:rPr>
          <w:lang w:val="fr-FR"/>
        </w:rPr>
        <w:t>être jugé au pénal par un tribunal avec jury, si le droit interne de l</w:t>
      </w:r>
      <w:r w:rsidR="00747513">
        <w:rPr>
          <w:lang w:val="fr-FR"/>
        </w:rPr>
        <w:t>’</w:t>
      </w:r>
      <w:r w:rsidRPr="00402FDE">
        <w:rPr>
          <w:lang w:val="fr-FR"/>
        </w:rPr>
        <w:t>État partie garantit ce droit et que celui-ci est accordé à certaines personnes accusées d</w:t>
      </w:r>
      <w:r w:rsidR="00747513">
        <w:rPr>
          <w:lang w:val="fr-FR"/>
        </w:rPr>
        <w:t>’</w:t>
      </w:r>
      <w:r w:rsidRPr="00402FDE">
        <w:rPr>
          <w:lang w:val="fr-FR"/>
        </w:rPr>
        <w:t>une infraction pénale, il doit être accordé dans des conditions d</w:t>
      </w:r>
      <w:r w:rsidR="00747513">
        <w:rPr>
          <w:lang w:val="fr-FR"/>
        </w:rPr>
        <w:t>’</w:t>
      </w:r>
      <w:r w:rsidRPr="00402FDE">
        <w:rPr>
          <w:lang w:val="fr-FR"/>
        </w:rPr>
        <w:t>égalité aux autres personnes dans la même situation. Toute distinction doit être fondée sur des motifs objectifs et raisonnables. Le Comité note que la question de savoir si l</w:t>
      </w:r>
      <w:r w:rsidR="00747513">
        <w:rPr>
          <w:lang w:val="fr-FR"/>
        </w:rPr>
        <w:t>’</w:t>
      </w:r>
      <w:r w:rsidRPr="00402FDE">
        <w:rPr>
          <w:lang w:val="fr-FR"/>
        </w:rPr>
        <w:t>accusé peut être jugé par un tribunal avec jury relève du droit fédéral, mais qu</w:t>
      </w:r>
      <w:r w:rsidR="00747513">
        <w:rPr>
          <w:lang w:val="fr-FR"/>
        </w:rPr>
        <w:t>’</w:t>
      </w:r>
      <w:r w:rsidRPr="00402FDE">
        <w:rPr>
          <w:lang w:val="fr-FR"/>
        </w:rPr>
        <w:t>il n</w:t>
      </w:r>
      <w:r w:rsidR="00747513">
        <w:rPr>
          <w:lang w:val="fr-FR"/>
        </w:rPr>
        <w:t>’</w:t>
      </w:r>
      <w:r w:rsidRPr="00402FDE">
        <w:rPr>
          <w:lang w:val="fr-FR"/>
        </w:rPr>
        <w:t>y avait pas de loi fédérale sur le sujet jusqu</w:t>
      </w:r>
      <w:r w:rsidR="00747513">
        <w:rPr>
          <w:lang w:val="fr-FR"/>
        </w:rPr>
        <w:t>’</w:t>
      </w:r>
      <w:r w:rsidRPr="00402FDE">
        <w:rPr>
          <w:lang w:val="fr-FR"/>
        </w:rPr>
        <w:t>à l</w:t>
      </w:r>
      <w:r w:rsidR="00747513">
        <w:rPr>
          <w:lang w:val="fr-FR"/>
        </w:rPr>
        <w:t>’</w:t>
      </w:r>
      <w:r w:rsidRPr="00402FDE">
        <w:rPr>
          <w:lang w:val="fr-FR"/>
        </w:rPr>
        <w:t>adoption de la loi du 18</w:t>
      </w:r>
      <w:r>
        <w:rPr>
          <w:lang w:val="fr-FR"/>
        </w:rPr>
        <w:t> </w:t>
      </w:r>
      <w:r w:rsidRPr="00402FDE">
        <w:rPr>
          <w:lang w:val="fr-FR"/>
        </w:rPr>
        <w:t>décembre 2001. Il considère que le fait qu</w:t>
      </w:r>
      <w:r w:rsidR="00747513">
        <w:rPr>
          <w:lang w:val="fr-FR"/>
        </w:rPr>
        <w:t>’</w:t>
      </w:r>
      <w:r w:rsidRPr="00402FDE">
        <w:rPr>
          <w:lang w:val="fr-FR"/>
        </w:rPr>
        <w:t>un État fédéral autorise des différences entre les divers éléments de la Fédération en matière de procès avec jury ne constitue pas en soi une violation de l</w:t>
      </w:r>
      <w:r w:rsidR="00747513">
        <w:rPr>
          <w:lang w:val="fr-FR"/>
        </w:rPr>
        <w:t>’</w:t>
      </w:r>
      <w:r w:rsidRPr="00402FDE">
        <w:rPr>
          <w:lang w:val="fr-FR"/>
        </w:rPr>
        <w:t>article</w:t>
      </w:r>
      <w:r>
        <w:rPr>
          <w:lang w:val="fr-FR"/>
        </w:rPr>
        <w:t> </w:t>
      </w:r>
      <w:r w:rsidRPr="00402FDE">
        <w:rPr>
          <w:lang w:val="fr-FR"/>
        </w:rPr>
        <w:t>26 du Pacte</w:t>
      </w:r>
      <w:r>
        <w:rPr>
          <w:rStyle w:val="FootnoteReference"/>
        </w:rPr>
        <w:footnoteReference w:id="43"/>
      </w:r>
      <w:r w:rsidRPr="00402FDE">
        <w:rPr>
          <w:lang w:val="fr-FR"/>
        </w:rPr>
        <w:t>. L</w:t>
      </w:r>
      <w:r w:rsidR="00747513">
        <w:rPr>
          <w:lang w:val="fr-FR"/>
        </w:rPr>
        <w:t>’</w:t>
      </w:r>
      <w:r w:rsidRPr="00402FDE">
        <w:rPr>
          <w:lang w:val="fr-FR"/>
        </w:rPr>
        <w:t>auteur n</w:t>
      </w:r>
      <w:r w:rsidR="00747513">
        <w:rPr>
          <w:lang w:val="fr-FR"/>
        </w:rPr>
        <w:t>’</w:t>
      </w:r>
      <w:r w:rsidRPr="00402FDE">
        <w:rPr>
          <w:lang w:val="fr-FR"/>
        </w:rPr>
        <w:t>ayant donné aucune information indiquant que des procès avec jury ont été tenus dans des affaires portant sur des infractions passibles de la peine capitale dans la région de Mourmansk pour établir qu</w:t>
      </w:r>
      <w:r w:rsidR="00747513">
        <w:rPr>
          <w:lang w:val="fr-FR"/>
        </w:rPr>
        <w:t>’</w:t>
      </w:r>
      <w:r w:rsidRPr="00402FDE">
        <w:rPr>
          <w:lang w:val="fr-FR"/>
        </w:rPr>
        <w:t>il y a eu une différence de traitement entre lui et les autres accusés, le Comité ne saurait conclure à une violation de ses droits consacrés à l</w:t>
      </w:r>
      <w:r w:rsidR="00747513">
        <w:rPr>
          <w:lang w:val="fr-FR"/>
        </w:rPr>
        <w:t>’</w:t>
      </w:r>
      <w:r w:rsidRPr="00402FDE">
        <w:rPr>
          <w:lang w:val="fr-FR"/>
        </w:rPr>
        <w:t>article</w:t>
      </w:r>
      <w:r>
        <w:rPr>
          <w:lang w:val="fr-FR"/>
        </w:rPr>
        <w:t> </w:t>
      </w:r>
      <w:r w:rsidRPr="00402FDE">
        <w:rPr>
          <w:lang w:val="fr-FR"/>
        </w:rPr>
        <w:t>26 du Pacte. Pour les mêmes raisons, le Comité ne constate aucune violation des droits que l</w:t>
      </w:r>
      <w:r w:rsidR="00747513">
        <w:rPr>
          <w:lang w:val="fr-FR"/>
        </w:rPr>
        <w:t>’</w:t>
      </w:r>
      <w:r w:rsidRPr="00402FDE">
        <w:rPr>
          <w:lang w:val="fr-FR"/>
        </w:rPr>
        <w:t>auteur tire du paragraphe</w:t>
      </w:r>
      <w:r>
        <w:rPr>
          <w:lang w:val="fr-FR"/>
        </w:rPr>
        <w:t> </w:t>
      </w:r>
      <w:r w:rsidRPr="00402FDE">
        <w:rPr>
          <w:lang w:val="fr-FR"/>
        </w:rPr>
        <w:t>1 de l</w:t>
      </w:r>
      <w:r w:rsidR="00747513">
        <w:rPr>
          <w:lang w:val="fr-FR"/>
        </w:rPr>
        <w:t>’</w:t>
      </w:r>
      <w:r w:rsidRPr="00402FDE">
        <w:rPr>
          <w:lang w:val="fr-FR"/>
        </w:rPr>
        <w:t>article</w:t>
      </w:r>
      <w:r>
        <w:rPr>
          <w:lang w:val="fr-FR"/>
        </w:rPr>
        <w:t> </w:t>
      </w:r>
      <w:r w:rsidRPr="00402FDE">
        <w:rPr>
          <w:lang w:val="fr-FR"/>
        </w:rPr>
        <w:t>2, lu conjointement avec l</w:t>
      </w:r>
      <w:r w:rsidR="00747513">
        <w:rPr>
          <w:lang w:val="fr-FR"/>
        </w:rPr>
        <w:t>’</w:t>
      </w:r>
      <w:r>
        <w:rPr>
          <w:lang w:val="fr-FR"/>
        </w:rPr>
        <w:t>article 14 du </w:t>
      </w:r>
      <w:r w:rsidRPr="00402FDE">
        <w:rPr>
          <w:lang w:val="fr-FR"/>
        </w:rPr>
        <w:t>Pacte.</w:t>
      </w:r>
    </w:p>
    <w:p w:rsidR="00F35D42" w:rsidRPr="00402FDE" w:rsidRDefault="00F35D42" w:rsidP="00F35D42">
      <w:pPr>
        <w:pStyle w:val="SingleTxtG"/>
        <w:rPr>
          <w:lang w:val="fr-FR"/>
        </w:rPr>
      </w:pPr>
      <w:r w:rsidRPr="00402FDE">
        <w:rPr>
          <w:lang w:val="fr-FR"/>
        </w:rPr>
        <w:t>10.</w:t>
      </w:r>
      <w:r w:rsidRPr="00402FDE">
        <w:rPr>
          <w:lang w:val="fr-FR"/>
        </w:rPr>
        <w:tab/>
        <w:t>Le Comité des droits de l</w:t>
      </w:r>
      <w:r w:rsidR="00747513">
        <w:rPr>
          <w:lang w:val="fr-FR"/>
        </w:rPr>
        <w:t>’</w:t>
      </w:r>
      <w:r w:rsidRPr="00402FDE">
        <w:rPr>
          <w:lang w:val="fr-FR"/>
        </w:rPr>
        <w:t>homme, agissant en vertu du paragraphe</w:t>
      </w:r>
      <w:r w:rsidR="00747513">
        <w:rPr>
          <w:lang w:val="fr-FR"/>
        </w:rPr>
        <w:t> </w:t>
      </w:r>
      <w:r w:rsidRPr="00402FDE">
        <w:rPr>
          <w:lang w:val="fr-FR"/>
        </w:rPr>
        <w:t>4 de l</w:t>
      </w:r>
      <w:r w:rsidR="00747513">
        <w:rPr>
          <w:lang w:val="fr-FR"/>
        </w:rPr>
        <w:t>’</w:t>
      </w:r>
      <w:r w:rsidRPr="00402FDE">
        <w:rPr>
          <w:lang w:val="fr-FR"/>
        </w:rPr>
        <w:t>article</w:t>
      </w:r>
      <w:r w:rsidR="00747513">
        <w:rPr>
          <w:lang w:val="fr-FR"/>
        </w:rPr>
        <w:t> </w:t>
      </w:r>
      <w:r w:rsidRPr="00402FDE">
        <w:rPr>
          <w:lang w:val="fr-FR"/>
        </w:rPr>
        <w:t>5 du Protocole facultatif se rapportant au Pacte, constate que les faits dont il est saisi ne font pas apparaître de violation de l</w:t>
      </w:r>
      <w:r w:rsidR="00747513">
        <w:rPr>
          <w:lang w:val="fr-FR"/>
        </w:rPr>
        <w:t>’</w:t>
      </w:r>
      <w:r w:rsidRPr="00402FDE">
        <w:rPr>
          <w:lang w:val="fr-FR"/>
        </w:rPr>
        <w:t xml:space="preserve">une quelconque des dispositions du Pacte. </w:t>
      </w:r>
    </w:p>
    <w:p w:rsidR="00F35D42" w:rsidRDefault="00F35D42" w:rsidP="00F35D42">
      <w:pPr>
        <w:pStyle w:val="SingleTxtG"/>
        <w:rPr>
          <w:lang w:val="fr-FR"/>
        </w:rPr>
      </w:pPr>
      <w:r w:rsidRPr="00402FDE">
        <w:rPr>
          <w:lang w:val="fr-FR"/>
        </w:rPr>
        <w:t>[Adopté en anglais (version originale), en espagnol et en français. Paraîtra ultérieurement en arabe, en chinois et en russe dans le rapport annuel du Comité à l</w:t>
      </w:r>
      <w:r w:rsidR="00747513">
        <w:rPr>
          <w:lang w:val="fr-FR"/>
        </w:rPr>
        <w:t>’</w:t>
      </w:r>
      <w:r w:rsidRPr="00402FDE">
        <w:rPr>
          <w:lang w:val="fr-FR"/>
        </w:rPr>
        <w:t>Assemblée générale.]</w:t>
      </w:r>
    </w:p>
    <w:p w:rsidR="00F35D42" w:rsidRPr="007C0A40" w:rsidRDefault="00F35D42" w:rsidP="00F35D42">
      <w:pPr>
        <w:pStyle w:val="SingleTxtG"/>
        <w:spacing w:before="240" w:after="0"/>
        <w:jc w:val="center"/>
        <w:rPr>
          <w:u w:val="single"/>
        </w:rPr>
      </w:pPr>
      <w:r>
        <w:rPr>
          <w:u w:val="single"/>
        </w:rPr>
        <w:tab/>
      </w:r>
      <w:r>
        <w:rPr>
          <w:u w:val="single"/>
        </w:rPr>
        <w:tab/>
      </w:r>
      <w:r>
        <w:rPr>
          <w:u w:val="single"/>
        </w:rPr>
        <w:tab/>
      </w:r>
    </w:p>
    <w:sectPr w:rsidR="00F35D42" w:rsidRPr="007C0A40" w:rsidSect="00F35D42">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513" w:rsidRDefault="00747513"/>
  </w:endnote>
  <w:endnote w:type="continuationSeparator" w:id="0">
    <w:p w:rsidR="00747513" w:rsidRDefault="00747513"/>
  </w:endnote>
  <w:endnote w:type="continuationNotice" w:id="1">
    <w:p w:rsidR="00747513" w:rsidRPr="001252D7" w:rsidRDefault="00747513" w:rsidP="001252D7">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13" w:rsidRPr="00F35D42" w:rsidRDefault="00747513" w:rsidP="00F35D42">
    <w:pPr>
      <w:pStyle w:val="Footer"/>
      <w:tabs>
        <w:tab w:val="right" w:pos="9638"/>
      </w:tabs>
    </w:pPr>
    <w:r w:rsidRPr="00F35D42">
      <w:rPr>
        <w:b/>
        <w:sz w:val="18"/>
      </w:rPr>
      <w:fldChar w:fldCharType="begin"/>
    </w:r>
    <w:r w:rsidRPr="00F35D42">
      <w:rPr>
        <w:b/>
        <w:sz w:val="18"/>
      </w:rPr>
      <w:instrText xml:space="preserve"> PAGE  \* MERGEFORMAT </w:instrText>
    </w:r>
    <w:r w:rsidRPr="00F35D42">
      <w:rPr>
        <w:b/>
        <w:sz w:val="18"/>
      </w:rPr>
      <w:fldChar w:fldCharType="separate"/>
    </w:r>
    <w:r w:rsidR="00D5642C">
      <w:rPr>
        <w:b/>
        <w:noProof/>
        <w:sz w:val="18"/>
      </w:rPr>
      <w:t>12</w:t>
    </w:r>
    <w:r w:rsidRPr="00F35D42">
      <w:rPr>
        <w:b/>
        <w:sz w:val="18"/>
      </w:rPr>
      <w:fldChar w:fldCharType="end"/>
    </w:r>
    <w:r>
      <w:rPr>
        <w:b/>
        <w:sz w:val="18"/>
      </w:rPr>
      <w:tab/>
    </w:r>
    <w:r>
      <w:t>GE.13-49359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13" w:rsidRPr="00F35D42" w:rsidRDefault="00747513" w:rsidP="00F35D42">
    <w:pPr>
      <w:pStyle w:val="Footer"/>
      <w:tabs>
        <w:tab w:val="right" w:pos="9638"/>
      </w:tabs>
      <w:rPr>
        <w:b/>
        <w:sz w:val="18"/>
      </w:rPr>
    </w:pPr>
    <w:r>
      <w:t>GE.13-49359</w:t>
    </w:r>
    <w:r>
      <w:tab/>
    </w:r>
    <w:r w:rsidRPr="00F35D42">
      <w:rPr>
        <w:b/>
        <w:sz w:val="18"/>
      </w:rPr>
      <w:fldChar w:fldCharType="begin"/>
    </w:r>
    <w:r w:rsidRPr="00F35D42">
      <w:rPr>
        <w:b/>
        <w:sz w:val="18"/>
      </w:rPr>
      <w:instrText xml:space="preserve"> PAGE  \* MERGEFORMAT </w:instrText>
    </w:r>
    <w:r w:rsidRPr="00F35D42">
      <w:rPr>
        <w:b/>
        <w:sz w:val="18"/>
      </w:rPr>
      <w:fldChar w:fldCharType="separate"/>
    </w:r>
    <w:r w:rsidR="00D5642C">
      <w:rPr>
        <w:b/>
        <w:noProof/>
        <w:sz w:val="18"/>
      </w:rPr>
      <w:t>13</w:t>
    </w:r>
    <w:r w:rsidRPr="00F35D4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13" w:rsidRDefault="00747513" w:rsidP="00F35D42">
    <w:pPr>
      <w:pStyle w:val="Footer"/>
      <w:spacing w:before="120"/>
    </w:pPr>
    <w:r>
      <w:rPr>
        <w:sz w:val="20"/>
      </w:rPr>
      <w:t>GE.13-49359</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  (F)    </w:t>
    </w:r>
    <w:r w:rsidR="00CC1806">
      <w:rPr>
        <w:sz w:val="20"/>
      </w:rPr>
      <w:t>0</w:t>
    </w:r>
    <w:r w:rsidR="00D5642C">
      <w:rPr>
        <w:sz w:val="20"/>
      </w:rPr>
      <w:t>6</w:t>
    </w:r>
    <w:r w:rsidR="00CC1806">
      <w:rPr>
        <w:sz w:val="20"/>
      </w:rPr>
      <w:t>1213    121213</w:t>
    </w:r>
    <w:r>
      <w:rPr>
        <w:sz w:val="20"/>
      </w:rPr>
      <w:br/>
    </w:r>
    <w:r w:rsidRPr="00F35D42">
      <w:rPr>
        <w:rFonts w:ascii="C39T30Lfz" w:hAnsi="C39T30Lfz"/>
        <w:sz w:val="56"/>
      </w:rPr>
      <w:t></w:t>
    </w:r>
    <w:r w:rsidRPr="00F35D42">
      <w:rPr>
        <w:rFonts w:ascii="C39T30Lfz" w:hAnsi="C39T30Lfz"/>
        <w:sz w:val="56"/>
      </w:rPr>
      <w:t></w:t>
    </w:r>
    <w:r w:rsidRPr="00F35D42">
      <w:rPr>
        <w:rFonts w:ascii="C39T30Lfz" w:hAnsi="C39T30Lfz"/>
        <w:sz w:val="56"/>
      </w:rPr>
      <w:t></w:t>
    </w:r>
    <w:r w:rsidRPr="00F35D42">
      <w:rPr>
        <w:rFonts w:ascii="C39T30Lfz" w:hAnsi="C39T30Lfz"/>
        <w:sz w:val="56"/>
      </w:rPr>
      <w:t></w:t>
    </w:r>
    <w:r w:rsidRPr="00F35D42">
      <w:rPr>
        <w:rFonts w:ascii="C39T30Lfz" w:hAnsi="C39T30Lfz"/>
        <w:sz w:val="56"/>
      </w:rPr>
      <w:t></w:t>
    </w:r>
    <w:r w:rsidRPr="00F35D42">
      <w:rPr>
        <w:rFonts w:ascii="C39T30Lfz" w:hAnsi="C39T30Lfz"/>
        <w:sz w:val="56"/>
      </w:rPr>
      <w:t></w:t>
    </w:r>
    <w:r w:rsidRPr="00F35D42">
      <w:rPr>
        <w:rFonts w:ascii="C39T30Lfz" w:hAnsi="C39T30Lfz"/>
        <w:sz w:val="56"/>
      </w:rPr>
      <w:t></w:t>
    </w:r>
    <w:r w:rsidRPr="00F35D42">
      <w:rPr>
        <w:rFonts w:ascii="C39T30Lfz" w:hAnsi="C39T30Lfz"/>
        <w:sz w:val="56"/>
      </w:rPr>
      <w:t></w:t>
    </w:r>
    <w:r w:rsidRPr="00F35D42">
      <w:rPr>
        <w:rFonts w:ascii="C39T30Lfz" w:hAnsi="C39T30Lfz"/>
        <w:sz w:val="56"/>
      </w:rPr>
      <w:t></w:t>
    </w:r>
    <w:r>
      <w:rPr>
        <w:noProof/>
        <w:lang w:val="fr-FR" w:eastAsia="fr-FR"/>
      </w:rPr>
      <w:pict>
        <v:shape id="_x0000_s2050" type="#_x0000_t75" style="position:absolute;margin-left:432.25pt;margin-top:632.1pt;width:50.25pt;height:50.25pt;z-index:2;mso-position-horizontal-relative:margin;mso-position-vertical-relative:margin">
          <v:imagedata r:id="rId2" o:title="2008&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513" w:rsidRPr="00D27D5E" w:rsidRDefault="00747513" w:rsidP="00D27D5E">
      <w:pPr>
        <w:tabs>
          <w:tab w:val="right" w:pos="2155"/>
        </w:tabs>
        <w:spacing w:after="80"/>
        <w:ind w:left="680"/>
        <w:rPr>
          <w:u w:val="single"/>
        </w:rPr>
      </w:pPr>
      <w:r>
        <w:rPr>
          <w:u w:val="single"/>
        </w:rPr>
        <w:tab/>
      </w:r>
    </w:p>
  </w:footnote>
  <w:footnote w:type="continuationSeparator" w:id="0">
    <w:p w:rsidR="00747513" w:rsidRDefault="00747513" w:rsidP="00C84D9A">
      <w:pPr>
        <w:tabs>
          <w:tab w:val="right" w:pos="2155"/>
        </w:tabs>
        <w:spacing w:after="80"/>
        <w:ind w:left="680"/>
      </w:pPr>
      <w:r>
        <w:rPr>
          <w:u w:val="single"/>
        </w:rPr>
        <w:tab/>
      </w:r>
    </w:p>
  </w:footnote>
  <w:footnote w:type="continuationNotice" w:id="1">
    <w:p w:rsidR="00747513" w:rsidRPr="001252D7" w:rsidRDefault="00747513" w:rsidP="001252D7">
      <w:pPr>
        <w:spacing w:line="240" w:lineRule="auto"/>
        <w:rPr>
          <w:sz w:val="2"/>
          <w:szCs w:val="2"/>
        </w:rPr>
      </w:pPr>
    </w:p>
  </w:footnote>
  <w:footnote w:id="2">
    <w:p w:rsidR="00747513" w:rsidRPr="008F0298" w:rsidRDefault="00747513" w:rsidP="00F35D42">
      <w:pPr>
        <w:pStyle w:val="FootnoteText"/>
      </w:pPr>
      <w:r>
        <w:tab/>
      </w:r>
      <w:r w:rsidRPr="008F0298">
        <w:rPr>
          <w:rStyle w:val="FootnoteReference"/>
          <w:sz w:val="20"/>
          <w:vertAlign w:val="baseline"/>
        </w:rPr>
        <w:t>*</w:t>
      </w:r>
      <w:r>
        <w:rPr>
          <w:sz w:val="20"/>
        </w:rPr>
        <w:tab/>
      </w:r>
      <w:r>
        <w:t xml:space="preserve">Les membres du Comité dont le nom suit ont participé à l’examen de la communication: </w:t>
      </w:r>
      <w:r w:rsidRPr="00030780">
        <w:rPr>
          <w:szCs w:val="18"/>
        </w:rPr>
        <w:t>M.</w:t>
      </w:r>
      <w:r>
        <w:rPr>
          <w:szCs w:val="18"/>
        </w:rPr>
        <w:t> </w:t>
      </w:r>
      <w:r w:rsidRPr="00030780">
        <w:rPr>
          <w:szCs w:val="18"/>
        </w:rPr>
        <w:t>Yadh</w:t>
      </w:r>
      <w:r>
        <w:rPr>
          <w:szCs w:val="18"/>
        </w:rPr>
        <w:t> </w:t>
      </w:r>
      <w:r w:rsidRPr="00030780">
        <w:rPr>
          <w:szCs w:val="18"/>
        </w:rPr>
        <w:t xml:space="preserve">Ben Achour, </w:t>
      </w:r>
      <w:r w:rsidRPr="00030780">
        <w:rPr>
          <w:bCs/>
          <w:szCs w:val="18"/>
        </w:rPr>
        <w:t xml:space="preserve">M. Lazhari Bouzid, </w:t>
      </w:r>
      <w:r>
        <w:rPr>
          <w:bCs/>
          <w:szCs w:val="18"/>
          <w:lang w:val="en-US"/>
        </w:rPr>
        <w:t>M</w:t>
      </w:r>
      <w:r w:rsidRPr="007D53C6">
        <w:rPr>
          <w:bCs/>
          <w:szCs w:val="18"/>
          <w:vertAlign w:val="superscript"/>
          <w:lang w:val="en-US"/>
        </w:rPr>
        <w:t>me</w:t>
      </w:r>
      <w:r>
        <w:rPr>
          <w:bCs/>
          <w:szCs w:val="18"/>
          <w:lang w:val="en-US"/>
        </w:rPr>
        <w:t> </w:t>
      </w:r>
      <w:r w:rsidRPr="00030780">
        <w:rPr>
          <w:bCs/>
          <w:szCs w:val="18"/>
          <w:lang w:val="en-US"/>
        </w:rPr>
        <w:t xml:space="preserve">Christine Chanet, M. Ahmad Amin Fathalla, </w:t>
      </w:r>
      <w:r w:rsidRPr="00030780">
        <w:rPr>
          <w:bCs/>
          <w:szCs w:val="18"/>
        </w:rPr>
        <w:t>M.</w:t>
      </w:r>
      <w:r>
        <w:rPr>
          <w:bCs/>
          <w:szCs w:val="18"/>
        </w:rPr>
        <w:t> </w:t>
      </w:r>
      <w:r w:rsidRPr="00030780">
        <w:rPr>
          <w:bCs/>
          <w:szCs w:val="18"/>
        </w:rPr>
        <w:t>Cornelis Flinterman, M.</w:t>
      </w:r>
      <w:r>
        <w:rPr>
          <w:bCs/>
          <w:szCs w:val="18"/>
        </w:rPr>
        <w:t> Y</w:t>
      </w:r>
      <w:r w:rsidRPr="00030780">
        <w:rPr>
          <w:bCs/>
          <w:szCs w:val="18"/>
        </w:rPr>
        <w:t xml:space="preserve">uji Iwasawa, M. Walter Kälin, </w:t>
      </w:r>
      <w:r>
        <w:rPr>
          <w:bCs/>
          <w:szCs w:val="18"/>
          <w:lang w:val="en-US"/>
        </w:rPr>
        <w:t>M</w:t>
      </w:r>
      <w:r w:rsidRPr="007D53C6">
        <w:rPr>
          <w:bCs/>
          <w:szCs w:val="18"/>
          <w:vertAlign w:val="superscript"/>
          <w:lang w:val="en-US"/>
        </w:rPr>
        <w:t>me</w:t>
      </w:r>
      <w:r>
        <w:rPr>
          <w:bCs/>
          <w:szCs w:val="18"/>
          <w:lang w:val="en-US"/>
        </w:rPr>
        <w:t> </w:t>
      </w:r>
      <w:r w:rsidRPr="00030780">
        <w:rPr>
          <w:bCs/>
          <w:szCs w:val="18"/>
        </w:rPr>
        <w:t>Zonke Zanele Majodina, M.</w:t>
      </w:r>
      <w:r>
        <w:rPr>
          <w:bCs/>
          <w:szCs w:val="18"/>
        </w:rPr>
        <w:t> </w:t>
      </w:r>
      <w:r w:rsidRPr="00030780">
        <w:rPr>
          <w:bCs/>
          <w:szCs w:val="18"/>
        </w:rPr>
        <w:t>Kheshoe</w:t>
      </w:r>
      <w:r>
        <w:rPr>
          <w:bCs/>
          <w:szCs w:val="18"/>
        </w:rPr>
        <w:t> </w:t>
      </w:r>
      <w:r w:rsidRPr="00030780">
        <w:rPr>
          <w:bCs/>
          <w:szCs w:val="18"/>
        </w:rPr>
        <w:t>Parsad Matadeen, M.</w:t>
      </w:r>
      <w:r>
        <w:rPr>
          <w:bCs/>
          <w:szCs w:val="18"/>
        </w:rPr>
        <w:t> </w:t>
      </w:r>
      <w:r w:rsidRPr="00030780">
        <w:rPr>
          <w:bCs/>
          <w:szCs w:val="18"/>
        </w:rPr>
        <w:t>Gerald L. Neuman, Sir Nigel Rodley, M.</w:t>
      </w:r>
      <w:r>
        <w:rPr>
          <w:bCs/>
          <w:szCs w:val="18"/>
        </w:rPr>
        <w:t> </w:t>
      </w:r>
      <w:r w:rsidRPr="00030780">
        <w:rPr>
          <w:bCs/>
          <w:szCs w:val="18"/>
        </w:rPr>
        <w:t xml:space="preserve">Victor Manuel Rodríguez-Rescia, </w:t>
      </w:r>
      <w:r w:rsidRPr="00030780">
        <w:rPr>
          <w:bCs/>
          <w:szCs w:val="18"/>
          <w:lang w:val="en-US"/>
        </w:rPr>
        <w:t xml:space="preserve">M. Fabián Omar Salvioli, </w:t>
      </w:r>
      <w:r>
        <w:rPr>
          <w:bCs/>
          <w:szCs w:val="18"/>
          <w:lang w:val="en-US"/>
        </w:rPr>
        <w:t>M</w:t>
      </w:r>
      <w:r w:rsidRPr="007D53C6">
        <w:rPr>
          <w:bCs/>
          <w:szCs w:val="18"/>
          <w:vertAlign w:val="superscript"/>
          <w:lang w:val="en-US"/>
        </w:rPr>
        <w:t>me</w:t>
      </w:r>
      <w:r>
        <w:rPr>
          <w:bCs/>
          <w:szCs w:val="18"/>
          <w:lang w:val="en-US"/>
        </w:rPr>
        <w:t> </w:t>
      </w:r>
      <w:r w:rsidRPr="00030780">
        <w:rPr>
          <w:bCs/>
          <w:szCs w:val="18"/>
          <w:lang w:val="en-US"/>
        </w:rPr>
        <w:t>Anja Seibert-Fohr, M.</w:t>
      </w:r>
      <w:r>
        <w:rPr>
          <w:bCs/>
          <w:szCs w:val="18"/>
          <w:lang w:val="en-US"/>
        </w:rPr>
        <w:t> </w:t>
      </w:r>
      <w:r w:rsidRPr="00030780">
        <w:rPr>
          <w:bCs/>
          <w:szCs w:val="18"/>
          <w:lang w:val="en-US"/>
        </w:rPr>
        <w:t>Yuval Shany, M.</w:t>
      </w:r>
      <w:r>
        <w:rPr>
          <w:bCs/>
          <w:szCs w:val="18"/>
          <w:lang w:val="en-US"/>
        </w:rPr>
        <w:t> </w:t>
      </w:r>
      <w:r w:rsidRPr="00030780">
        <w:rPr>
          <w:bCs/>
          <w:szCs w:val="18"/>
          <w:lang w:val="en-US"/>
        </w:rPr>
        <w:t xml:space="preserve">Konstantine Vardzelashvili </w:t>
      </w:r>
      <w:r>
        <w:rPr>
          <w:bCs/>
          <w:szCs w:val="18"/>
          <w:lang w:val="en-US"/>
        </w:rPr>
        <w:t>et</w:t>
      </w:r>
      <w:r w:rsidRPr="00030780">
        <w:rPr>
          <w:bCs/>
          <w:szCs w:val="18"/>
          <w:lang w:val="en-US"/>
        </w:rPr>
        <w:t xml:space="preserve"> </w:t>
      </w:r>
      <w:r>
        <w:rPr>
          <w:bCs/>
          <w:szCs w:val="18"/>
          <w:lang w:val="en-US"/>
        </w:rPr>
        <w:t>M</w:t>
      </w:r>
      <w:r w:rsidRPr="007D53C6">
        <w:rPr>
          <w:bCs/>
          <w:szCs w:val="18"/>
          <w:vertAlign w:val="superscript"/>
          <w:lang w:val="en-US"/>
        </w:rPr>
        <w:t>me</w:t>
      </w:r>
      <w:r>
        <w:rPr>
          <w:bCs/>
          <w:szCs w:val="18"/>
          <w:lang w:val="en-US"/>
        </w:rPr>
        <w:t> </w:t>
      </w:r>
      <w:r w:rsidRPr="00030780">
        <w:rPr>
          <w:bCs/>
          <w:szCs w:val="18"/>
        </w:rPr>
        <w:t>Margo Waterval.</w:t>
      </w:r>
    </w:p>
  </w:footnote>
  <w:footnote w:id="3">
    <w:p w:rsidR="00747513" w:rsidRDefault="00747513" w:rsidP="00F35D42">
      <w:pPr>
        <w:pStyle w:val="FootnoteText"/>
      </w:pPr>
      <w:r>
        <w:tab/>
      </w:r>
      <w:r>
        <w:rPr>
          <w:rStyle w:val="FootnoteReference"/>
        </w:rPr>
        <w:footnoteRef/>
      </w:r>
      <w:r>
        <w:tab/>
      </w:r>
      <w:r w:rsidRPr="0096096A">
        <w:rPr>
          <w:lang w:val="fr-FR"/>
        </w:rPr>
        <w:t>Le Protocole facultatif est entré en vigueur pour l</w:t>
      </w:r>
      <w:r>
        <w:rPr>
          <w:lang w:val="fr-FR"/>
        </w:rPr>
        <w:t>’</w:t>
      </w:r>
      <w:r w:rsidRPr="0096096A">
        <w:rPr>
          <w:lang w:val="fr-FR"/>
        </w:rPr>
        <w:t>État partie le 1</w:t>
      </w:r>
      <w:r w:rsidRPr="0096096A">
        <w:rPr>
          <w:vertAlign w:val="superscript"/>
          <w:lang w:val="fr-FR"/>
        </w:rPr>
        <w:t>er</w:t>
      </w:r>
      <w:r>
        <w:rPr>
          <w:lang w:val="fr-FR"/>
        </w:rPr>
        <w:t> </w:t>
      </w:r>
      <w:r w:rsidRPr="0096096A">
        <w:rPr>
          <w:lang w:val="fr-FR"/>
        </w:rPr>
        <w:t>janvier 1992.</w:t>
      </w:r>
    </w:p>
  </w:footnote>
  <w:footnote w:id="4">
    <w:p w:rsidR="00747513" w:rsidRDefault="00747513" w:rsidP="00F35D42">
      <w:pPr>
        <w:pStyle w:val="FootnoteText"/>
      </w:pPr>
      <w:r>
        <w:tab/>
      </w:r>
      <w:r>
        <w:rPr>
          <w:rStyle w:val="FootnoteReference"/>
        </w:rPr>
        <w:footnoteRef/>
      </w:r>
      <w:r>
        <w:tab/>
      </w:r>
      <w:r w:rsidRPr="0096096A">
        <w:rPr>
          <w:lang w:val="fr-FR"/>
        </w:rPr>
        <w:t>L</w:t>
      </w:r>
      <w:r>
        <w:rPr>
          <w:lang w:val="fr-FR"/>
        </w:rPr>
        <w:t>’</w:t>
      </w:r>
      <w:r w:rsidRPr="0096096A">
        <w:rPr>
          <w:lang w:val="fr-FR"/>
        </w:rPr>
        <w:t>article 20 de la Constitution dispose ce qui suit: «1)</w:t>
      </w:r>
      <w:r>
        <w:rPr>
          <w:lang w:val="fr-FR"/>
        </w:rPr>
        <w:t> </w:t>
      </w:r>
      <w:r w:rsidRPr="0096096A">
        <w:rPr>
          <w:lang w:val="fr-FR"/>
        </w:rPr>
        <w:t>Toute personne a le droit à la vie. 2)</w:t>
      </w:r>
      <w:r>
        <w:rPr>
          <w:lang w:val="fr-FR"/>
        </w:rPr>
        <w:t> </w:t>
      </w:r>
      <w:r w:rsidRPr="0096096A">
        <w:rPr>
          <w:lang w:val="fr-FR"/>
        </w:rPr>
        <w:t>La peine capitale jusqu</w:t>
      </w:r>
      <w:r>
        <w:rPr>
          <w:lang w:val="fr-FR"/>
        </w:rPr>
        <w:t>’</w:t>
      </w:r>
      <w:r w:rsidRPr="0096096A">
        <w:rPr>
          <w:lang w:val="fr-FR"/>
        </w:rPr>
        <w:t>à son abolition peut être prévue par une loi fédérale à titre de sanction exceptionnelle pour les atteintes particulièrement graves à la vie et l</w:t>
      </w:r>
      <w:r>
        <w:rPr>
          <w:lang w:val="fr-FR"/>
        </w:rPr>
        <w:t>’</w:t>
      </w:r>
      <w:r w:rsidRPr="0096096A">
        <w:rPr>
          <w:lang w:val="fr-FR"/>
        </w:rPr>
        <w:t>accusé doit se voir accorder le droit de voir sa cause examinée par un jury</w:t>
      </w:r>
      <w:r>
        <w:rPr>
          <w:lang w:val="fr-FR"/>
        </w:rPr>
        <w:t>.</w:t>
      </w:r>
      <w:r w:rsidR="00BC0A49">
        <w:rPr>
          <w:lang w:val="fr-FR"/>
        </w:rPr>
        <w:t>».</w:t>
      </w:r>
    </w:p>
  </w:footnote>
  <w:footnote w:id="5">
    <w:p w:rsidR="00747513" w:rsidRDefault="00747513" w:rsidP="00F35D42">
      <w:pPr>
        <w:pStyle w:val="FootnoteText"/>
      </w:pPr>
      <w:r>
        <w:tab/>
      </w:r>
      <w:r>
        <w:rPr>
          <w:rStyle w:val="FootnoteReference"/>
        </w:rPr>
        <w:footnoteRef/>
      </w:r>
      <w:r>
        <w:tab/>
      </w:r>
      <w:r w:rsidRPr="0096096A">
        <w:rPr>
          <w:lang w:val="fr-FR"/>
        </w:rPr>
        <w:t>L</w:t>
      </w:r>
      <w:r>
        <w:rPr>
          <w:lang w:val="fr-FR"/>
        </w:rPr>
        <w:t>’</w:t>
      </w:r>
      <w:r w:rsidRPr="0096096A">
        <w:rPr>
          <w:lang w:val="fr-FR"/>
        </w:rPr>
        <w:t>article 47 de la Constitution dispose ce qui suit: «1)</w:t>
      </w:r>
      <w:r>
        <w:rPr>
          <w:lang w:val="fr-FR"/>
        </w:rPr>
        <w:t> </w:t>
      </w:r>
      <w:r w:rsidRPr="0096096A">
        <w:rPr>
          <w:lang w:val="fr-FR"/>
        </w:rPr>
        <w:t xml:space="preserve">Nul ne peut être privé du droit de voir sa cause examinée par un tribunal et un juge compétents, ayant compétence en </w:t>
      </w:r>
      <w:r>
        <w:rPr>
          <w:lang w:val="fr-FR"/>
        </w:rPr>
        <w:t>l’espèce en vertu de la loi. 2) </w:t>
      </w:r>
      <w:r w:rsidRPr="0096096A">
        <w:rPr>
          <w:lang w:val="fr-FR"/>
        </w:rPr>
        <w:t>Tout accusé a le droit de voir sa cause examinée par un jury dans les cas prévus par la loi fédérale</w:t>
      </w:r>
      <w:r>
        <w:rPr>
          <w:lang w:val="fr-FR"/>
        </w:rPr>
        <w:t>.</w:t>
      </w:r>
      <w:r w:rsidRPr="0096096A">
        <w:rPr>
          <w:lang w:val="fr-FR"/>
        </w:rPr>
        <w:t>».</w:t>
      </w:r>
    </w:p>
  </w:footnote>
  <w:footnote w:id="6">
    <w:p w:rsidR="00747513" w:rsidRDefault="00747513" w:rsidP="00F35D42">
      <w:pPr>
        <w:pStyle w:val="FootnoteText"/>
      </w:pPr>
      <w:r>
        <w:tab/>
      </w:r>
      <w:r>
        <w:rPr>
          <w:rStyle w:val="FootnoteReference"/>
        </w:rPr>
        <w:footnoteRef/>
      </w:r>
      <w:r>
        <w:tab/>
      </w:r>
      <w:r w:rsidRPr="0096096A">
        <w:rPr>
          <w:lang w:val="fr-FR"/>
        </w:rPr>
        <w:t>L</w:t>
      </w:r>
      <w:r>
        <w:rPr>
          <w:lang w:val="fr-FR"/>
        </w:rPr>
        <w:t>’article 1</w:t>
      </w:r>
      <w:r w:rsidRPr="0096096A">
        <w:rPr>
          <w:lang w:val="fr-FR"/>
        </w:rPr>
        <w:t>9, par</w:t>
      </w:r>
      <w:r>
        <w:rPr>
          <w:lang w:val="fr-FR"/>
        </w:rPr>
        <w:t>. </w:t>
      </w:r>
      <w:r w:rsidRPr="0096096A">
        <w:rPr>
          <w:lang w:val="fr-FR"/>
        </w:rPr>
        <w:t>1, de la Constitution dispose que: «Tous sont égaux devant la loi et les tribunaux</w:t>
      </w:r>
      <w:r>
        <w:rPr>
          <w:lang w:val="fr-FR"/>
        </w:rPr>
        <w:t>.</w:t>
      </w:r>
      <w:r w:rsidR="00BC0A49">
        <w:rPr>
          <w:lang w:val="fr-FR"/>
        </w:rPr>
        <w:t>».</w:t>
      </w:r>
    </w:p>
  </w:footnote>
  <w:footnote w:id="7">
    <w:p w:rsidR="00747513" w:rsidRDefault="00747513" w:rsidP="00F35D42">
      <w:pPr>
        <w:pStyle w:val="FootnoteText"/>
      </w:pPr>
      <w:r>
        <w:tab/>
      </w:r>
      <w:r>
        <w:rPr>
          <w:rStyle w:val="FootnoteReference"/>
        </w:rPr>
        <w:footnoteRef/>
      </w:r>
      <w:r>
        <w:tab/>
      </w:r>
      <w:r w:rsidRPr="0096096A">
        <w:rPr>
          <w:lang w:val="fr-FR"/>
        </w:rPr>
        <w:t>L</w:t>
      </w:r>
      <w:r>
        <w:rPr>
          <w:lang w:val="fr-FR"/>
        </w:rPr>
        <w:t>’</w:t>
      </w:r>
      <w:r w:rsidRPr="0096096A">
        <w:rPr>
          <w:lang w:val="fr-FR"/>
        </w:rPr>
        <w:t>article</w:t>
      </w:r>
      <w:r>
        <w:rPr>
          <w:lang w:val="fr-FR"/>
        </w:rPr>
        <w:t> </w:t>
      </w:r>
      <w:r w:rsidRPr="0096096A">
        <w:rPr>
          <w:lang w:val="fr-FR"/>
        </w:rPr>
        <w:t>15, par</w:t>
      </w:r>
      <w:r>
        <w:rPr>
          <w:lang w:val="fr-FR"/>
        </w:rPr>
        <w:t>. </w:t>
      </w:r>
      <w:r w:rsidRPr="0096096A">
        <w:rPr>
          <w:lang w:val="fr-FR"/>
        </w:rPr>
        <w:t>1, de la Constitution dispose ce qui suit: «La Constitution de la Fédération de Russie est la norme juridique suprême, est d</w:t>
      </w:r>
      <w:r>
        <w:rPr>
          <w:lang w:val="fr-FR"/>
        </w:rPr>
        <w:t>’</w:t>
      </w:r>
      <w:r w:rsidRPr="0096096A">
        <w:rPr>
          <w:lang w:val="fr-FR"/>
        </w:rPr>
        <w:t>effet direct et s</w:t>
      </w:r>
      <w:r>
        <w:rPr>
          <w:lang w:val="fr-FR"/>
        </w:rPr>
        <w:t>’</w:t>
      </w:r>
      <w:r w:rsidRPr="0096096A">
        <w:rPr>
          <w:lang w:val="fr-FR"/>
        </w:rPr>
        <w:t>applique sur l</w:t>
      </w:r>
      <w:r>
        <w:rPr>
          <w:lang w:val="fr-FR"/>
        </w:rPr>
        <w:t>’</w:t>
      </w:r>
      <w:r w:rsidRPr="0096096A">
        <w:rPr>
          <w:lang w:val="fr-FR"/>
        </w:rPr>
        <w:t>ensemble du territoire de la Fédération de Russie. Les lois et autres actes juridiques adoptés dans la Fédération de Russie ne doivent pas être contraires à la Constitution</w:t>
      </w:r>
      <w:r>
        <w:rPr>
          <w:lang w:val="fr-FR"/>
        </w:rPr>
        <w:t>.</w:t>
      </w:r>
      <w:r w:rsidRPr="0096096A">
        <w:rPr>
          <w:lang w:val="fr-FR"/>
        </w:rPr>
        <w:t>».</w:t>
      </w:r>
    </w:p>
  </w:footnote>
  <w:footnote w:id="8">
    <w:p w:rsidR="00747513" w:rsidRDefault="00747513" w:rsidP="00F35D42">
      <w:pPr>
        <w:pStyle w:val="FootnoteText"/>
      </w:pPr>
      <w:r>
        <w:tab/>
      </w:r>
      <w:r>
        <w:rPr>
          <w:rStyle w:val="FootnoteReference"/>
        </w:rPr>
        <w:footnoteRef/>
      </w:r>
      <w:r>
        <w:tab/>
      </w:r>
      <w:r>
        <w:rPr>
          <w:lang w:val="fr-FR"/>
        </w:rPr>
        <w:t>L’article 46, par. </w:t>
      </w:r>
      <w:r w:rsidRPr="0096096A">
        <w:rPr>
          <w:lang w:val="fr-FR"/>
        </w:rPr>
        <w:t>1, de la Constitution dispose ce qui suit: «À chacun est garantie la protection judiciaire de ses droits et libertés</w:t>
      </w:r>
      <w:r>
        <w:rPr>
          <w:lang w:val="fr-FR"/>
        </w:rPr>
        <w:t>.</w:t>
      </w:r>
      <w:r w:rsidR="00BC0A49">
        <w:rPr>
          <w:lang w:val="fr-FR"/>
        </w:rPr>
        <w:t>».</w:t>
      </w:r>
    </w:p>
  </w:footnote>
  <w:footnote w:id="9">
    <w:p w:rsidR="00747513" w:rsidRDefault="00747513" w:rsidP="00F35D42">
      <w:pPr>
        <w:pStyle w:val="FootnoteText"/>
      </w:pPr>
      <w:r>
        <w:tab/>
      </w:r>
      <w:r>
        <w:rPr>
          <w:rStyle w:val="FootnoteReference"/>
        </w:rPr>
        <w:footnoteRef/>
      </w:r>
      <w:r>
        <w:tab/>
      </w:r>
      <w:r w:rsidRPr="0096096A">
        <w:rPr>
          <w:lang w:val="fr-FR"/>
        </w:rPr>
        <w:t>L</w:t>
      </w:r>
      <w:r>
        <w:rPr>
          <w:lang w:val="fr-FR"/>
        </w:rPr>
        <w:t>’</w:t>
      </w:r>
      <w:r w:rsidRPr="0096096A">
        <w:rPr>
          <w:lang w:val="fr-FR"/>
        </w:rPr>
        <w:t>article</w:t>
      </w:r>
      <w:r>
        <w:rPr>
          <w:lang w:val="fr-FR"/>
        </w:rPr>
        <w:t> </w:t>
      </w:r>
      <w:r w:rsidRPr="0096096A">
        <w:rPr>
          <w:lang w:val="fr-FR"/>
        </w:rPr>
        <w:t xml:space="preserve">54 de la Constitution dispose ce qui suit: </w:t>
      </w:r>
      <w:r>
        <w:rPr>
          <w:lang w:val="fr-FR"/>
        </w:rPr>
        <w:t>«</w:t>
      </w:r>
      <w:r w:rsidRPr="0096096A">
        <w:rPr>
          <w:lang w:val="fr-FR"/>
        </w:rPr>
        <w:t>1)</w:t>
      </w:r>
      <w:r>
        <w:rPr>
          <w:lang w:val="fr-FR"/>
        </w:rPr>
        <w:t> </w:t>
      </w:r>
      <w:r w:rsidRPr="0096096A">
        <w:rPr>
          <w:lang w:val="fr-FR"/>
        </w:rPr>
        <w:t>La loi établissant ou aggravant la responsabilité d</w:t>
      </w:r>
      <w:r>
        <w:rPr>
          <w:lang w:val="fr-FR"/>
        </w:rPr>
        <w:t>’</w:t>
      </w:r>
      <w:r w:rsidRPr="0096096A">
        <w:rPr>
          <w:lang w:val="fr-FR"/>
        </w:rPr>
        <w:t>une personne n</w:t>
      </w:r>
      <w:r>
        <w:rPr>
          <w:lang w:val="fr-FR"/>
        </w:rPr>
        <w:t>’</w:t>
      </w:r>
      <w:r w:rsidRPr="0096096A">
        <w:rPr>
          <w:lang w:val="fr-FR"/>
        </w:rPr>
        <w:t>a pas d</w:t>
      </w:r>
      <w:r>
        <w:rPr>
          <w:lang w:val="fr-FR"/>
        </w:rPr>
        <w:t>’</w:t>
      </w:r>
      <w:r w:rsidRPr="0096096A">
        <w:rPr>
          <w:lang w:val="fr-FR"/>
        </w:rPr>
        <w:t>effet rétroactif. 2)</w:t>
      </w:r>
      <w:r>
        <w:rPr>
          <w:lang w:val="fr-FR"/>
        </w:rPr>
        <w:t> </w:t>
      </w:r>
      <w:r w:rsidRPr="0096096A">
        <w:rPr>
          <w:lang w:val="fr-FR"/>
        </w:rPr>
        <w:t>Nul ne peut être reconnu coupable d</w:t>
      </w:r>
      <w:r>
        <w:rPr>
          <w:lang w:val="fr-FR"/>
        </w:rPr>
        <w:t>’</w:t>
      </w:r>
      <w:r w:rsidRPr="0096096A">
        <w:rPr>
          <w:lang w:val="fr-FR"/>
        </w:rPr>
        <w:t>un acte qui, au moment de sa commission, n</w:t>
      </w:r>
      <w:r>
        <w:rPr>
          <w:lang w:val="fr-FR"/>
        </w:rPr>
        <w:t>’</w:t>
      </w:r>
      <w:r w:rsidRPr="0096096A">
        <w:rPr>
          <w:lang w:val="fr-FR"/>
        </w:rPr>
        <w:t>était pas considéré comme une infraction. Si après la commission de l</w:t>
      </w:r>
      <w:r>
        <w:rPr>
          <w:lang w:val="fr-FR"/>
        </w:rPr>
        <w:t>’</w:t>
      </w:r>
      <w:r w:rsidRPr="0096096A">
        <w:rPr>
          <w:lang w:val="fr-FR"/>
        </w:rPr>
        <w:t>infraction la responsabilité correspondante est supprimée ou la peine atténuée, la nouvelle loi s</w:t>
      </w:r>
      <w:r>
        <w:rPr>
          <w:lang w:val="fr-FR"/>
        </w:rPr>
        <w:t>’</w:t>
      </w:r>
      <w:r w:rsidRPr="0096096A">
        <w:rPr>
          <w:lang w:val="fr-FR"/>
        </w:rPr>
        <w:t>applique.</w:t>
      </w:r>
      <w:r>
        <w:rPr>
          <w:lang w:val="fr-FR"/>
        </w:rPr>
        <w:t>»</w:t>
      </w:r>
      <w:r w:rsidR="008420B6">
        <w:rPr>
          <w:lang w:val="fr-FR"/>
        </w:rPr>
        <w:t>.</w:t>
      </w:r>
    </w:p>
  </w:footnote>
  <w:footnote w:id="10">
    <w:p w:rsidR="00747513" w:rsidRDefault="00747513" w:rsidP="00F35D42">
      <w:pPr>
        <w:pStyle w:val="FootnoteText"/>
      </w:pPr>
      <w:r>
        <w:tab/>
      </w:r>
      <w:r>
        <w:rPr>
          <w:rStyle w:val="FootnoteReference"/>
        </w:rPr>
        <w:footnoteRef/>
      </w:r>
      <w:r>
        <w:tab/>
        <w:t>Voir par. 2.2.</w:t>
      </w:r>
    </w:p>
  </w:footnote>
  <w:footnote w:id="11">
    <w:p w:rsidR="00747513" w:rsidRDefault="00747513" w:rsidP="00F35D42">
      <w:pPr>
        <w:pStyle w:val="FootnoteText"/>
      </w:pPr>
      <w:r>
        <w:tab/>
      </w:r>
      <w:r>
        <w:rPr>
          <w:rStyle w:val="FootnoteReference"/>
        </w:rPr>
        <w:footnoteRef/>
      </w:r>
      <w:r>
        <w:tab/>
      </w:r>
      <w:r w:rsidRPr="0096096A">
        <w:rPr>
          <w:lang w:val="fr-FR"/>
        </w:rPr>
        <w:t>Le 10</w:t>
      </w:r>
      <w:r>
        <w:rPr>
          <w:lang w:val="fr-FR"/>
        </w:rPr>
        <w:t> </w:t>
      </w:r>
      <w:r w:rsidRPr="0096096A">
        <w:rPr>
          <w:lang w:val="fr-FR"/>
        </w:rPr>
        <w:t>septembre 2008, l</w:t>
      </w:r>
      <w:r>
        <w:rPr>
          <w:lang w:val="fr-FR"/>
        </w:rPr>
        <w:t>’</w:t>
      </w:r>
      <w:r w:rsidRPr="0096096A">
        <w:rPr>
          <w:lang w:val="fr-FR"/>
        </w:rPr>
        <w:t>auteur a saisi la Cour européenne des droits de l</w:t>
      </w:r>
      <w:r>
        <w:rPr>
          <w:lang w:val="fr-FR"/>
        </w:rPr>
        <w:t>’</w:t>
      </w:r>
      <w:r w:rsidRPr="0096096A">
        <w:rPr>
          <w:lang w:val="fr-FR"/>
        </w:rPr>
        <w:t>homme, faisant valoir une violation de l</w:t>
      </w:r>
      <w:r>
        <w:rPr>
          <w:lang w:val="fr-FR"/>
        </w:rPr>
        <w:t>’</w:t>
      </w:r>
      <w:r w:rsidRPr="0096096A">
        <w:rPr>
          <w:lang w:val="fr-FR"/>
        </w:rPr>
        <w:t>article</w:t>
      </w:r>
      <w:r>
        <w:rPr>
          <w:lang w:val="fr-FR"/>
        </w:rPr>
        <w:t> </w:t>
      </w:r>
      <w:r w:rsidRPr="0096096A">
        <w:rPr>
          <w:lang w:val="fr-FR"/>
        </w:rPr>
        <w:t>7 (pas de peine sans loi) de la Convention européenne. Le 17</w:t>
      </w:r>
      <w:r>
        <w:rPr>
          <w:lang w:val="fr-FR"/>
        </w:rPr>
        <w:t> </w:t>
      </w:r>
      <w:r w:rsidRPr="0096096A">
        <w:rPr>
          <w:lang w:val="fr-FR"/>
        </w:rPr>
        <w:t>avril 2009, la Cour européenne des droits de l</w:t>
      </w:r>
      <w:r>
        <w:rPr>
          <w:lang w:val="fr-FR"/>
        </w:rPr>
        <w:t>’</w:t>
      </w:r>
      <w:r w:rsidRPr="0096096A">
        <w:rPr>
          <w:lang w:val="fr-FR"/>
        </w:rPr>
        <w:t>homme a déclaré la plainte de l</w:t>
      </w:r>
      <w:r>
        <w:rPr>
          <w:lang w:val="fr-FR"/>
        </w:rPr>
        <w:t>’</w:t>
      </w:r>
      <w:r w:rsidRPr="0096096A">
        <w:rPr>
          <w:lang w:val="fr-FR"/>
        </w:rPr>
        <w:t>auteur irrecevable car elle ne satisfaisait pas aux critères de recevabilité énoncés aux articles</w:t>
      </w:r>
      <w:r>
        <w:rPr>
          <w:lang w:val="fr-FR"/>
        </w:rPr>
        <w:t> </w:t>
      </w:r>
      <w:r w:rsidRPr="0096096A">
        <w:rPr>
          <w:lang w:val="fr-FR"/>
        </w:rPr>
        <w:t>34 et 35 de la Convention. Après avoir examiné tous les faits dont elle était saisie, la Cour a établi que les plaintes soumises par l</w:t>
      </w:r>
      <w:r>
        <w:rPr>
          <w:lang w:val="fr-FR"/>
        </w:rPr>
        <w:t>’</w:t>
      </w:r>
      <w:r w:rsidRPr="0096096A">
        <w:rPr>
          <w:lang w:val="fr-FR"/>
        </w:rPr>
        <w:t>auteur, dans la mesure où elles relevaient de sa compétence, ne faisaient pas apparaître de violation des droits et</w:t>
      </w:r>
      <w:r w:rsidR="00FF0E21">
        <w:rPr>
          <w:lang w:val="fr-FR"/>
        </w:rPr>
        <w:t> </w:t>
      </w:r>
      <w:r w:rsidRPr="0096096A">
        <w:rPr>
          <w:lang w:val="fr-FR"/>
        </w:rPr>
        <w:t>libertés énoncés dans la Convention ou ses protocoles.</w:t>
      </w:r>
    </w:p>
  </w:footnote>
  <w:footnote w:id="12">
    <w:p w:rsidR="00747513" w:rsidRDefault="00747513" w:rsidP="00F35D42">
      <w:pPr>
        <w:pStyle w:val="FootnoteText"/>
      </w:pPr>
      <w:r>
        <w:tab/>
      </w:r>
      <w:r>
        <w:rPr>
          <w:rStyle w:val="FootnoteReference"/>
        </w:rPr>
        <w:footnoteRef/>
      </w:r>
      <w:r>
        <w:tab/>
      </w:r>
      <w:r w:rsidRPr="0096096A">
        <w:rPr>
          <w:lang w:val="fr-FR"/>
        </w:rPr>
        <w:t>Les observations de l</w:t>
      </w:r>
      <w:r>
        <w:rPr>
          <w:lang w:val="fr-FR"/>
        </w:rPr>
        <w:t>’</w:t>
      </w:r>
      <w:r w:rsidRPr="0096096A">
        <w:rPr>
          <w:lang w:val="fr-FR"/>
        </w:rPr>
        <w:t>auteur datées du 4</w:t>
      </w:r>
      <w:r>
        <w:rPr>
          <w:lang w:val="fr-FR"/>
        </w:rPr>
        <w:t> </w:t>
      </w:r>
      <w:r w:rsidRPr="0096096A">
        <w:rPr>
          <w:lang w:val="fr-FR"/>
        </w:rPr>
        <w:t xml:space="preserve">mai 2010 ne sont pas parvenues au Comité. </w:t>
      </w:r>
    </w:p>
  </w:footnote>
  <w:footnote w:id="13">
    <w:p w:rsidR="00747513" w:rsidRDefault="00747513" w:rsidP="00F35D42">
      <w:pPr>
        <w:pStyle w:val="FootnoteText"/>
      </w:pPr>
      <w:r>
        <w:tab/>
      </w:r>
      <w:r>
        <w:rPr>
          <w:rStyle w:val="FootnoteReference"/>
        </w:rPr>
        <w:footnoteRef/>
      </w:r>
      <w:r>
        <w:tab/>
      </w:r>
      <w:r w:rsidRPr="0096096A">
        <w:rPr>
          <w:lang w:val="fr-FR"/>
        </w:rPr>
        <w:t>Le 24</w:t>
      </w:r>
      <w:r>
        <w:rPr>
          <w:lang w:val="fr-FR"/>
        </w:rPr>
        <w:t> </w:t>
      </w:r>
      <w:r w:rsidRPr="0096096A">
        <w:rPr>
          <w:lang w:val="fr-FR"/>
        </w:rPr>
        <w:t>novembre 2010, le Comité a demandé à l</w:t>
      </w:r>
      <w:r>
        <w:rPr>
          <w:lang w:val="fr-FR"/>
        </w:rPr>
        <w:t>’</w:t>
      </w:r>
      <w:r w:rsidRPr="0096096A">
        <w:rPr>
          <w:lang w:val="fr-FR"/>
        </w:rPr>
        <w:t xml:space="preserve">État partie de commenter les informations communiquées par la </w:t>
      </w:r>
      <w:r>
        <w:rPr>
          <w:lang w:val="fr-FR"/>
        </w:rPr>
        <w:t xml:space="preserve">sœur </w:t>
      </w:r>
      <w:r w:rsidRPr="0096096A">
        <w:rPr>
          <w:lang w:val="fr-FR"/>
        </w:rPr>
        <w:t>de l</w:t>
      </w:r>
      <w:r>
        <w:rPr>
          <w:lang w:val="fr-FR"/>
        </w:rPr>
        <w:t>’</w:t>
      </w:r>
      <w:r w:rsidRPr="0096096A">
        <w:rPr>
          <w:lang w:val="fr-FR"/>
        </w:rPr>
        <w:t>auteur au sujet des difficultés qu</w:t>
      </w:r>
      <w:r>
        <w:rPr>
          <w:lang w:val="fr-FR"/>
        </w:rPr>
        <w:t>’</w:t>
      </w:r>
      <w:r w:rsidRPr="0096096A">
        <w:rPr>
          <w:lang w:val="fr-FR"/>
        </w:rPr>
        <w:t>avait celui-ci à recevoir et envoyer du courrier en rapport avec la présente communication en raison de l</w:t>
      </w:r>
      <w:r>
        <w:rPr>
          <w:lang w:val="fr-FR"/>
        </w:rPr>
        <w:t>’</w:t>
      </w:r>
      <w:r w:rsidRPr="0096096A">
        <w:rPr>
          <w:lang w:val="fr-FR"/>
        </w:rPr>
        <w:t xml:space="preserve">immixtion </w:t>
      </w:r>
      <w:r w:rsidRPr="00402FDE">
        <w:rPr>
          <w:lang w:val="fr-FR"/>
        </w:rPr>
        <w:t>présumée</w:t>
      </w:r>
      <w:r w:rsidRPr="0096096A">
        <w:rPr>
          <w:lang w:val="fr-FR"/>
        </w:rPr>
        <w:t xml:space="preserve"> des autorités pénitentiaires.</w:t>
      </w:r>
    </w:p>
  </w:footnote>
  <w:footnote w:id="14">
    <w:p w:rsidR="00747513" w:rsidRDefault="00747513" w:rsidP="00F35D42">
      <w:pPr>
        <w:pStyle w:val="FootnoteText"/>
      </w:pPr>
      <w:r>
        <w:tab/>
      </w:r>
      <w:r>
        <w:rPr>
          <w:rStyle w:val="FootnoteReference"/>
        </w:rPr>
        <w:footnoteRef/>
      </w:r>
      <w:r>
        <w:tab/>
      </w:r>
      <w:r w:rsidRPr="0096096A">
        <w:rPr>
          <w:lang w:val="fr-FR"/>
        </w:rPr>
        <w:t>L</w:t>
      </w:r>
      <w:r>
        <w:rPr>
          <w:lang w:val="fr-FR"/>
        </w:rPr>
        <w:t>’</w:t>
      </w:r>
      <w:r w:rsidRPr="0096096A">
        <w:rPr>
          <w:lang w:val="fr-FR"/>
        </w:rPr>
        <w:t>auteur mentionne l</w:t>
      </w:r>
      <w:r>
        <w:rPr>
          <w:lang w:val="fr-FR"/>
        </w:rPr>
        <w:t>’</w:t>
      </w:r>
      <w:r w:rsidRPr="0096096A">
        <w:rPr>
          <w:lang w:val="fr-FR"/>
        </w:rPr>
        <w:t>article</w:t>
      </w:r>
      <w:r>
        <w:rPr>
          <w:lang w:val="fr-FR"/>
        </w:rPr>
        <w:t> </w:t>
      </w:r>
      <w:r w:rsidRPr="0096096A">
        <w:rPr>
          <w:lang w:val="fr-FR"/>
        </w:rPr>
        <w:t>7 dans sa liste initiale des articles du Pacte qui auraient été violés mais ne</w:t>
      </w:r>
      <w:r w:rsidR="00FF0E21">
        <w:rPr>
          <w:lang w:val="fr-FR"/>
        </w:rPr>
        <w:t> </w:t>
      </w:r>
      <w:r w:rsidRPr="0096096A">
        <w:rPr>
          <w:lang w:val="fr-FR"/>
        </w:rPr>
        <w:t>s</w:t>
      </w:r>
      <w:r>
        <w:rPr>
          <w:lang w:val="fr-FR"/>
        </w:rPr>
        <w:t>’</w:t>
      </w:r>
      <w:r w:rsidRPr="0096096A">
        <w:rPr>
          <w:lang w:val="fr-FR"/>
        </w:rPr>
        <w:t>y réfère plus par la suite et n</w:t>
      </w:r>
      <w:r>
        <w:rPr>
          <w:lang w:val="fr-FR"/>
        </w:rPr>
        <w:t>’</w:t>
      </w:r>
      <w:r w:rsidRPr="0096096A">
        <w:rPr>
          <w:lang w:val="fr-FR"/>
        </w:rPr>
        <w:t>explique pas en quoi il a un rapport avec sa plainte.</w:t>
      </w:r>
    </w:p>
  </w:footnote>
  <w:footnote w:id="15">
    <w:p w:rsidR="00747513" w:rsidRPr="0096096A" w:rsidRDefault="00747513" w:rsidP="00F35D42">
      <w:pPr>
        <w:pStyle w:val="FootnoteText"/>
        <w:rPr>
          <w:lang w:val="fr-FR"/>
        </w:rPr>
      </w:pPr>
      <w:r w:rsidRPr="0096096A">
        <w:rPr>
          <w:lang w:val="fr-FR"/>
        </w:rPr>
        <w:tab/>
      </w:r>
      <w:r w:rsidRPr="0096096A">
        <w:rPr>
          <w:rStyle w:val="FootnoteReference"/>
          <w:lang w:val="fr-FR"/>
        </w:rPr>
        <w:footnoteRef/>
      </w:r>
      <w:r>
        <w:rPr>
          <w:lang w:val="fr-FR"/>
        </w:rPr>
        <w:tab/>
        <w:t>Voir par. </w:t>
      </w:r>
      <w:r w:rsidRPr="0096096A">
        <w:rPr>
          <w:lang w:val="fr-FR"/>
        </w:rPr>
        <w:t>2.7.</w:t>
      </w:r>
    </w:p>
  </w:footnote>
  <w:footnote w:id="16">
    <w:p w:rsidR="00747513" w:rsidRDefault="00747513" w:rsidP="00F35D42">
      <w:pPr>
        <w:pStyle w:val="FootnoteText"/>
      </w:pPr>
      <w:r>
        <w:tab/>
      </w:r>
      <w:r>
        <w:rPr>
          <w:rStyle w:val="FootnoteReference"/>
        </w:rPr>
        <w:footnoteRef/>
      </w:r>
      <w:r>
        <w:tab/>
      </w:r>
      <w:r>
        <w:rPr>
          <w:lang w:val="fr-FR"/>
        </w:rPr>
        <w:t xml:space="preserve">Voir </w:t>
      </w:r>
      <w:r w:rsidRPr="0096096A">
        <w:rPr>
          <w:lang w:val="fr-FR"/>
        </w:rPr>
        <w:t>par</w:t>
      </w:r>
      <w:r>
        <w:rPr>
          <w:lang w:val="fr-FR"/>
        </w:rPr>
        <w:t>. </w:t>
      </w:r>
      <w:r w:rsidRPr="0096096A">
        <w:rPr>
          <w:lang w:val="fr-FR"/>
        </w:rPr>
        <w:t>2.8.</w:t>
      </w:r>
    </w:p>
  </w:footnote>
  <w:footnote w:id="17">
    <w:p w:rsidR="00747513" w:rsidRPr="0096096A" w:rsidRDefault="00747513" w:rsidP="00F35D42">
      <w:pPr>
        <w:pStyle w:val="FootnoteText"/>
        <w:rPr>
          <w:lang w:val="fr-FR"/>
        </w:rPr>
      </w:pPr>
      <w:r w:rsidRPr="0096096A">
        <w:rPr>
          <w:lang w:val="fr-FR"/>
        </w:rPr>
        <w:tab/>
      </w:r>
      <w:r w:rsidRPr="0096096A">
        <w:rPr>
          <w:rStyle w:val="FootnoteReference"/>
          <w:lang w:val="fr-FR"/>
        </w:rPr>
        <w:footnoteRef/>
      </w:r>
      <w:r w:rsidRPr="0096096A">
        <w:rPr>
          <w:lang w:val="fr-FR"/>
        </w:rPr>
        <w:t xml:space="preserve"> </w:t>
      </w:r>
      <w:r w:rsidRPr="0096096A">
        <w:rPr>
          <w:lang w:val="fr-FR"/>
        </w:rPr>
        <w:tab/>
        <w:t>Voir par</w:t>
      </w:r>
      <w:r>
        <w:rPr>
          <w:lang w:val="fr-FR"/>
        </w:rPr>
        <w:t>. </w:t>
      </w:r>
      <w:r w:rsidRPr="0096096A">
        <w:rPr>
          <w:lang w:val="fr-FR"/>
        </w:rPr>
        <w:t>2.2.</w:t>
      </w:r>
    </w:p>
  </w:footnote>
  <w:footnote w:id="18">
    <w:p w:rsidR="00747513" w:rsidRPr="0096096A" w:rsidRDefault="00747513" w:rsidP="00F35D42">
      <w:pPr>
        <w:pStyle w:val="FootnoteText"/>
        <w:rPr>
          <w:lang w:val="fr-FR"/>
        </w:rPr>
      </w:pPr>
      <w:r w:rsidRPr="0096096A">
        <w:rPr>
          <w:lang w:val="fr-FR"/>
        </w:rPr>
        <w:tab/>
      </w:r>
      <w:r w:rsidRPr="0096096A">
        <w:rPr>
          <w:rStyle w:val="FootnoteReference"/>
          <w:lang w:val="fr-FR"/>
        </w:rPr>
        <w:footnoteRef/>
      </w:r>
      <w:r w:rsidRPr="0096096A">
        <w:rPr>
          <w:lang w:val="fr-FR"/>
        </w:rPr>
        <w:t xml:space="preserve"> </w:t>
      </w:r>
      <w:r w:rsidRPr="0096096A">
        <w:rPr>
          <w:lang w:val="fr-FR"/>
        </w:rPr>
        <w:tab/>
      </w:r>
      <w:r>
        <w:rPr>
          <w:lang w:val="fr-FR"/>
        </w:rPr>
        <w:t>Id</w:t>
      </w:r>
      <w:r w:rsidRPr="0096096A">
        <w:rPr>
          <w:i/>
          <w:lang w:val="fr-FR"/>
        </w:rPr>
        <w:t>.</w:t>
      </w:r>
    </w:p>
  </w:footnote>
  <w:footnote w:id="19">
    <w:p w:rsidR="00747513" w:rsidRPr="0096096A" w:rsidRDefault="00747513" w:rsidP="00F35D42">
      <w:pPr>
        <w:pStyle w:val="FootnoteText"/>
        <w:rPr>
          <w:lang w:val="fr-FR"/>
        </w:rPr>
      </w:pPr>
      <w:r w:rsidRPr="0096096A">
        <w:rPr>
          <w:lang w:val="fr-FR"/>
        </w:rPr>
        <w:tab/>
      </w:r>
      <w:r w:rsidRPr="0096096A">
        <w:rPr>
          <w:rStyle w:val="FootnoteReference"/>
          <w:lang w:val="fr-FR"/>
        </w:rPr>
        <w:footnoteRef/>
      </w:r>
      <w:r w:rsidRPr="0096096A">
        <w:rPr>
          <w:lang w:val="fr-FR"/>
        </w:rPr>
        <w:t xml:space="preserve"> </w:t>
      </w:r>
      <w:r w:rsidRPr="0096096A">
        <w:rPr>
          <w:lang w:val="fr-FR"/>
        </w:rPr>
        <w:tab/>
        <w:t>Voir par</w:t>
      </w:r>
      <w:r>
        <w:rPr>
          <w:lang w:val="fr-FR"/>
        </w:rPr>
        <w:t>. </w:t>
      </w:r>
      <w:r w:rsidRPr="0096096A">
        <w:rPr>
          <w:lang w:val="fr-FR"/>
        </w:rPr>
        <w:t>2.5.</w:t>
      </w:r>
    </w:p>
  </w:footnote>
  <w:footnote w:id="20">
    <w:p w:rsidR="00747513" w:rsidRPr="0096096A" w:rsidRDefault="00747513" w:rsidP="00F35D42">
      <w:pPr>
        <w:pStyle w:val="FootnoteText"/>
        <w:rPr>
          <w:lang w:val="fr-FR"/>
        </w:rPr>
      </w:pPr>
      <w:r w:rsidRPr="0096096A">
        <w:rPr>
          <w:lang w:val="fr-FR"/>
        </w:rPr>
        <w:tab/>
      </w:r>
      <w:r w:rsidRPr="0096096A">
        <w:rPr>
          <w:rStyle w:val="FootnoteReference"/>
          <w:lang w:val="fr-FR"/>
        </w:rPr>
        <w:footnoteRef/>
      </w:r>
      <w:r w:rsidRPr="0096096A">
        <w:rPr>
          <w:lang w:val="fr-FR"/>
        </w:rPr>
        <w:t xml:space="preserve"> </w:t>
      </w:r>
      <w:r w:rsidRPr="0096096A">
        <w:rPr>
          <w:lang w:val="fr-FR"/>
        </w:rPr>
        <w:tab/>
        <w:t>Voir par</w:t>
      </w:r>
      <w:r>
        <w:rPr>
          <w:lang w:val="fr-FR"/>
        </w:rPr>
        <w:t>. </w:t>
      </w:r>
      <w:r w:rsidRPr="0096096A">
        <w:rPr>
          <w:lang w:val="fr-FR"/>
        </w:rPr>
        <w:t>2.8.</w:t>
      </w:r>
    </w:p>
  </w:footnote>
  <w:footnote w:id="21">
    <w:p w:rsidR="00747513" w:rsidRDefault="00747513" w:rsidP="00F35D42">
      <w:pPr>
        <w:pStyle w:val="FootnoteText"/>
      </w:pPr>
      <w:r>
        <w:tab/>
      </w:r>
      <w:r>
        <w:rPr>
          <w:rStyle w:val="FootnoteReference"/>
        </w:rPr>
        <w:footnoteRef/>
      </w:r>
      <w:r>
        <w:tab/>
      </w:r>
      <w:r>
        <w:rPr>
          <w:lang w:val="fr-FR"/>
        </w:rPr>
        <w:t xml:space="preserve">Les deux lettres </w:t>
      </w:r>
      <w:r w:rsidRPr="00993F85">
        <w:rPr>
          <w:lang w:val="fr-FR"/>
        </w:rPr>
        <w:t>n</w:t>
      </w:r>
      <w:r w:rsidRPr="00993F85">
        <w:rPr>
          <w:vertAlign w:val="superscript"/>
          <w:lang w:val="fr-FR"/>
        </w:rPr>
        <w:t>o</w:t>
      </w:r>
      <w:r>
        <w:rPr>
          <w:lang w:val="fr-FR"/>
        </w:rPr>
        <w:t> </w:t>
      </w:r>
      <w:r w:rsidRPr="0096096A">
        <w:rPr>
          <w:lang w:val="fr-FR"/>
        </w:rPr>
        <w:t xml:space="preserve">56/4-A-54 des 8 </w:t>
      </w:r>
      <w:r>
        <w:rPr>
          <w:lang w:val="fr-FR"/>
        </w:rPr>
        <w:t xml:space="preserve">et 18 juin 2009 et la lettre </w:t>
      </w:r>
      <w:r w:rsidRPr="00993F85">
        <w:rPr>
          <w:lang w:val="fr-FR"/>
        </w:rPr>
        <w:t>n</w:t>
      </w:r>
      <w:r w:rsidRPr="00993F85">
        <w:rPr>
          <w:vertAlign w:val="superscript"/>
          <w:lang w:val="fr-FR"/>
        </w:rPr>
        <w:t>o</w:t>
      </w:r>
      <w:r>
        <w:rPr>
          <w:lang w:val="fr-FR"/>
        </w:rPr>
        <w:t> </w:t>
      </w:r>
      <w:r w:rsidRPr="0096096A">
        <w:rPr>
          <w:lang w:val="fr-FR"/>
        </w:rPr>
        <w:t>56/5-A-54 du 28</w:t>
      </w:r>
      <w:r>
        <w:rPr>
          <w:lang w:val="fr-FR"/>
        </w:rPr>
        <w:t> </w:t>
      </w:r>
      <w:r w:rsidRPr="0096096A">
        <w:rPr>
          <w:lang w:val="fr-FR"/>
        </w:rPr>
        <w:t>juillet 2010.</w:t>
      </w:r>
    </w:p>
  </w:footnote>
  <w:footnote w:id="22">
    <w:p w:rsidR="00747513" w:rsidRDefault="00747513" w:rsidP="00F35D42">
      <w:pPr>
        <w:pStyle w:val="FootnoteText"/>
      </w:pPr>
      <w:r>
        <w:tab/>
      </w:r>
      <w:r>
        <w:rPr>
          <w:rStyle w:val="FootnoteReference"/>
        </w:rPr>
        <w:footnoteRef/>
      </w:r>
      <w:r>
        <w:tab/>
      </w:r>
      <w:r w:rsidRPr="0096096A">
        <w:rPr>
          <w:lang w:val="fr-FR"/>
        </w:rPr>
        <w:t>La lettr</w:t>
      </w:r>
      <w:r>
        <w:rPr>
          <w:lang w:val="fr-FR"/>
        </w:rPr>
        <w:t xml:space="preserve">e </w:t>
      </w:r>
      <w:r w:rsidRPr="00993F85">
        <w:rPr>
          <w:lang w:val="fr-FR"/>
        </w:rPr>
        <w:t>n</w:t>
      </w:r>
      <w:r w:rsidRPr="00993F85">
        <w:rPr>
          <w:vertAlign w:val="superscript"/>
          <w:lang w:val="fr-FR"/>
        </w:rPr>
        <w:t>o</w:t>
      </w:r>
      <w:r>
        <w:rPr>
          <w:lang w:val="fr-FR"/>
        </w:rPr>
        <w:t> </w:t>
      </w:r>
      <w:r w:rsidRPr="0096096A">
        <w:rPr>
          <w:lang w:val="fr-FR"/>
        </w:rPr>
        <w:t>56/4-A/114 du 30</w:t>
      </w:r>
      <w:r>
        <w:rPr>
          <w:lang w:val="fr-FR"/>
        </w:rPr>
        <w:t> </w:t>
      </w:r>
      <w:r w:rsidRPr="0096096A">
        <w:rPr>
          <w:lang w:val="fr-FR"/>
        </w:rPr>
        <w:t>novembre 2009.</w:t>
      </w:r>
    </w:p>
  </w:footnote>
  <w:footnote w:id="23">
    <w:p w:rsidR="00747513" w:rsidRDefault="00747513" w:rsidP="00F35D42">
      <w:pPr>
        <w:pStyle w:val="FootnoteText"/>
      </w:pPr>
      <w:r>
        <w:tab/>
      </w:r>
      <w:r>
        <w:rPr>
          <w:rStyle w:val="FootnoteReference"/>
        </w:rPr>
        <w:footnoteRef/>
      </w:r>
      <w:r>
        <w:tab/>
      </w:r>
      <w:r w:rsidRPr="00402FDE">
        <w:rPr>
          <w:lang w:val="fr-FR"/>
        </w:rPr>
        <w:t>Le 24</w:t>
      </w:r>
      <w:r>
        <w:rPr>
          <w:lang w:val="fr-FR"/>
        </w:rPr>
        <w:t> </w:t>
      </w:r>
      <w:r w:rsidRPr="00402FDE">
        <w:rPr>
          <w:lang w:val="fr-FR"/>
        </w:rPr>
        <w:t>novembre 2010, le Comité a demandé à l</w:t>
      </w:r>
      <w:r>
        <w:rPr>
          <w:lang w:val="fr-FR"/>
        </w:rPr>
        <w:t>’</w:t>
      </w:r>
      <w:r w:rsidRPr="00402FDE">
        <w:rPr>
          <w:lang w:val="fr-FR"/>
        </w:rPr>
        <w:t>État partie de commenter les renseign</w:t>
      </w:r>
      <w:r>
        <w:rPr>
          <w:lang w:val="fr-FR"/>
        </w:rPr>
        <w:t xml:space="preserve">ements communiqués par la sœur </w:t>
      </w:r>
      <w:r w:rsidRPr="00402FDE">
        <w:rPr>
          <w:lang w:val="fr-FR"/>
        </w:rPr>
        <w:t>de l</w:t>
      </w:r>
      <w:r>
        <w:rPr>
          <w:lang w:val="fr-FR"/>
        </w:rPr>
        <w:t>’</w:t>
      </w:r>
      <w:r w:rsidRPr="00402FDE">
        <w:rPr>
          <w:lang w:val="fr-FR"/>
        </w:rPr>
        <w:t>auteur au sujet des difficultés qu</w:t>
      </w:r>
      <w:r>
        <w:rPr>
          <w:lang w:val="fr-FR"/>
        </w:rPr>
        <w:t>’</w:t>
      </w:r>
      <w:r w:rsidRPr="00402FDE">
        <w:rPr>
          <w:lang w:val="fr-FR"/>
        </w:rPr>
        <w:t>avait celui-ci à recevoir et envoyer du courrier en rapport avec la présente communication, en raison de l</w:t>
      </w:r>
      <w:r>
        <w:rPr>
          <w:lang w:val="fr-FR"/>
        </w:rPr>
        <w:t>’</w:t>
      </w:r>
      <w:r w:rsidRPr="00402FDE">
        <w:rPr>
          <w:lang w:val="fr-FR"/>
        </w:rPr>
        <w:t>immixtion présumée des autorités pénitentiaires (voir par</w:t>
      </w:r>
      <w:r>
        <w:rPr>
          <w:lang w:val="fr-FR"/>
        </w:rPr>
        <w:t>. </w:t>
      </w:r>
      <w:r w:rsidRPr="00402FDE">
        <w:rPr>
          <w:lang w:val="fr-FR"/>
        </w:rPr>
        <w:t>2.11</w:t>
      </w:r>
      <w:r w:rsidRPr="0096096A">
        <w:rPr>
          <w:lang w:val="fr-FR"/>
        </w:rPr>
        <w:t>).</w:t>
      </w:r>
    </w:p>
  </w:footnote>
  <w:footnote w:id="24">
    <w:p w:rsidR="00747513" w:rsidRDefault="00747513" w:rsidP="00F35D42">
      <w:pPr>
        <w:pStyle w:val="FootnoteText"/>
      </w:pPr>
      <w:r>
        <w:tab/>
      </w:r>
      <w:r>
        <w:rPr>
          <w:rStyle w:val="FootnoteReference"/>
        </w:rPr>
        <w:footnoteRef/>
      </w:r>
      <w:r>
        <w:tab/>
      </w:r>
      <w:r w:rsidRPr="0096096A">
        <w:rPr>
          <w:lang w:val="fr-FR"/>
        </w:rPr>
        <w:t xml:space="preserve">Voir </w:t>
      </w:r>
      <w:r>
        <w:rPr>
          <w:lang w:val="fr-FR"/>
        </w:rPr>
        <w:t xml:space="preserve">notamment les communications </w:t>
      </w:r>
      <w:r w:rsidRPr="00993F85">
        <w:rPr>
          <w:lang w:val="fr-FR"/>
        </w:rPr>
        <w:t>n</w:t>
      </w:r>
      <w:r w:rsidRPr="00993F85">
        <w:rPr>
          <w:vertAlign w:val="superscript"/>
          <w:lang w:val="fr-FR"/>
        </w:rPr>
        <w:t>o</w:t>
      </w:r>
      <w:r>
        <w:rPr>
          <w:lang w:val="fr-FR"/>
        </w:rPr>
        <w:t> </w:t>
      </w:r>
      <w:r w:rsidRPr="0096096A">
        <w:rPr>
          <w:lang w:val="fr-FR"/>
        </w:rPr>
        <w:t xml:space="preserve">316/1988, </w:t>
      </w:r>
      <w:r w:rsidRPr="0096096A">
        <w:rPr>
          <w:i/>
          <w:iCs/>
          <w:lang w:val="fr-FR"/>
        </w:rPr>
        <w:t>C.</w:t>
      </w:r>
      <w:r>
        <w:rPr>
          <w:i/>
          <w:iCs/>
          <w:lang w:val="fr-FR"/>
        </w:rPr>
        <w:t> </w:t>
      </w:r>
      <w:r w:rsidRPr="0096096A">
        <w:rPr>
          <w:i/>
          <w:iCs/>
          <w:lang w:val="fr-FR"/>
        </w:rPr>
        <w:t>E.</w:t>
      </w:r>
      <w:r>
        <w:rPr>
          <w:i/>
          <w:iCs/>
          <w:lang w:val="fr-FR"/>
        </w:rPr>
        <w:t xml:space="preserve"> </w:t>
      </w:r>
      <w:r w:rsidRPr="0096096A">
        <w:rPr>
          <w:i/>
          <w:iCs/>
          <w:lang w:val="fr-FR"/>
        </w:rPr>
        <w:t xml:space="preserve">A. </w:t>
      </w:r>
      <w:r w:rsidRPr="00402FDE">
        <w:rPr>
          <w:iCs/>
          <w:lang w:val="fr-FR"/>
        </w:rPr>
        <w:t>c</w:t>
      </w:r>
      <w:r w:rsidRPr="0096096A">
        <w:rPr>
          <w:i/>
          <w:iCs/>
          <w:lang w:val="fr-FR"/>
        </w:rPr>
        <w:t>. Finlande</w:t>
      </w:r>
      <w:r w:rsidRPr="0096096A">
        <w:rPr>
          <w:lang w:val="fr-FR"/>
        </w:rPr>
        <w:t>, décisio</w:t>
      </w:r>
      <w:r>
        <w:rPr>
          <w:lang w:val="fr-FR"/>
        </w:rPr>
        <w:t xml:space="preserve">n du 10 juillet 1991, par. 6.2; </w:t>
      </w:r>
      <w:r w:rsidRPr="00993F85">
        <w:rPr>
          <w:lang w:val="fr-FR"/>
        </w:rPr>
        <w:t>n</w:t>
      </w:r>
      <w:r w:rsidRPr="00993F85">
        <w:rPr>
          <w:vertAlign w:val="superscript"/>
          <w:lang w:val="fr-FR"/>
        </w:rPr>
        <w:t>o</w:t>
      </w:r>
      <w:r>
        <w:rPr>
          <w:lang w:val="fr-FR"/>
        </w:rPr>
        <w:t> </w:t>
      </w:r>
      <w:r w:rsidRPr="0096096A">
        <w:rPr>
          <w:lang w:val="fr-FR"/>
        </w:rPr>
        <w:t xml:space="preserve">802/1998, </w:t>
      </w:r>
      <w:r w:rsidRPr="0096096A">
        <w:rPr>
          <w:i/>
          <w:iCs/>
          <w:lang w:val="fr-FR"/>
        </w:rPr>
        <w:t xml:space="preserve">Rogerson </w:t>
      </w:r>
      <w:r w:rsidRPr="00402FDE">
        <w:rPr>
          <w:iCs/>
          <w:lang w:val="fr-FR"/>
        </w:rPr>
        <w:t>c</w:t>
      </w:r>
      <w:r w:rsidRPr="0096096A">
        <w:rPr>
          <w:i/>
          <w:iCs/>
          <w:lang w:val="fr-FR"/>
        </w:rPr>
        <w:t>. Australie</w:t>
      </w:r>
      <w:r w:rsidRPr="0096096A">
        <w:rPr>
          <w:iCs/>
          <w:lang w:val="fr-FR"/>
        </w:rPr>
        <w:t>,</w:t>
      </w:r>
      <w:r w:rsidRPr="0096096A">
        <w:rPr>
          <w:i/>
          <w:iCs/>
          <w:lang w:val="fr-FR"/>
        </w:rPr>
        <w:t xml:space="preserve"> </w:t>
      </w:r>
      <w:r w:rsidRPr="0096096A">
        <w:rPr>
          <w:lang w:val="fr-FR"/>
        </w:rPr>
        <w:t xml:space="preserve">constatations </w:t>
      </w:r>
      <w:r>
        <w:rPr>
          <w:lang w:val="fr-FR"/>
        </w:rPr>
        <w:t xml:space="preserve">adoptées le 3 avril 2002; et </w:t>
      </w:r>
      <w:r w:rsidRPr="00993F85">
        <w:rPr>
          <w:lang w:val="fr-FR"/>
        </w:rPr>
        <w:t>n</w:t>
      </w:r>
      <w:r w:rsidRPr="00993F85">
        <w:rPr>
          <w:vertAlign w:val="superscript"/>
          <w:lang w:val="fr-FR"/>
        </w:rPr>
        <w:t>o</w:t>
      </w:r>
      <w:r>
        <w:rPr>
          <w:lang w:val="fr-FR"/>
        </w:rPr>
        <w:t> </w:t>
      </w:r>
      <w:r w:rsidRPr="0096096A">
        <w:rPr>
          <w:lang w:val="fr-FR"/>
        </w:rPr>
        <w:t xml:space="preserve">1213/2003, </w:t>
      </w:r>
      <w:r w:rsidRPr="0096096A">
        <w:rPr>
          <w:i/>
          <w:iCs/>
          <w:lang w:val="fr-FR"/>
        </w:rPr>
        <w:t xml:space="preserve">Sastre Rodríguez et consorts </w:t>
      </w:r>
      <w:r w:rsidRPr="00402FDE">
        <w:rPr>
          <w:iCs/>
          <w:lang w:val="fr-FR"/>
        </w:rPr>
        <w:t>c</w:t>
      </w:r>
      <w:r w:rsidRPr="0096096A">
        <w:rPr>
          <w:i/>
          <w:iCs/>
          <w:lang w:val="fr-FR"/>
        </w:rPr>
        <w:t>. Espagne</w:t>
      </w:r>
      <w:r w:rsidRPr="0096096A">
        <w:rPr>
          <w:lang w:val="fr-FR"/>
        </w:rPr>
        <w:t>, déci</w:t>
      </w:r>
      <w:r>
        <w:rPr>
          <w:lang w:val="fr-FR"/>
        </w:rPr>
        <w:t>sion du 28 mars 2007, par.</w:t>
      </w:r>
      <w:r w:rsidRPr="0096096A">
        <w:rPr>
          <w:lang w:val="fr-FR"/>
        </w:rPr>
        <w:t xml:space="preserve"> 6.6.</w:t>
      </w:r>
    </w:p>
  </w:footnote>
  <w:footnote w:id="25">
    <w:p w:rsidR="00747513" w:rsidRDefault="00747513" w:rsidP="00F35D42">
      <w:pPr>
        <w:pStyle w:val="FootnoteText"/>
      </w:pPr>
      <w:r>
        <w:tab/>
      </w:r>
      <w:r>
        <w:rPr>
          <w:rStyle w:val="FootnoteReference"/>
        </w:rPr>
        <w:footnoteRef/>
      </w:r>
      <w:r>
        <w:tab/>
      </w:r>
      <w:r>
        <w:rPr>
          <w:lang w:val="fr-FR"/>
        </w:rPr>
        <w:t xml:space="preserve">Voir par. 2.11 et la communication </w:t>
      </w:r>
      <w:r w:rsidRPr="001D7BDC">
        <w:rPr>
          <w:lang w:val="fr-FR"/>
        </w:rPr>
        <w:t>n</w:t>
      </w:r>
      <w:r w:rsidRPr="001D7BDC">
        <w:rPr>
          <w:vertAlign w:val="superscript"/>
          <w:lang w:val="fr-FR"/>
        </w:rPr>
        <w:t>o</w:t>
      </w:r>
      <w:r>
        <w:rPr>
          <w:lang w:val="fr-FR"/>
        </w:rPr>
        <w:t> </w:t>
      </w:r>
      <w:r w:rsidRPr="0096096A">
        <w:rPr>
          <w:lang w:val="fr-FR"/>
        </w:rPr>
        <w:t xml:space="preserve">512/1992, </w:t>
      </w:r>
      <w:r w:rsidRPr="0096096A">
        <w:rPr>
          <w:i/>
          <w:lang w:val="fr-FR"/>
        </w:rPr>
        <w:t xml:space="preserve">Pinto </w:t>
      </w:r>
      <w:r w:rsidRPr="00402FDE">
        <w:rPr>
          <w:lang w:val="fr-FR"/>
        </w:rPr>
        <w:t>c</w:t>
      </w:r>
      <w:r w:rsidRPr="0096096A">
        <w:rPr>
          <w:i/>
          <w:lang w:val="fr-FR"/>
        </w:rPr>
        <w:t>. Trinité-et-Tobago</w:t>
      </w:r>
      <w:r w:rsidRPr="0096096A">
        <w:rPr>
          <w:lang w:val="fr-FR"/>
        </w:rPr>
        <w:t>, constatations adoptées le</w:t>
      </w:r>
      <w:r w:rsidR="00D5642C">
        <w:rPr>
          <w:lang w:val="fr-FR"/>
        </w:rPr>
        <w:t> </w:t>
      </w:r>
      <w:r w:rsidRPr="0096096A">
        <w:rPr>
          <w:lang w:val="fr-FR"/>
        </w:rPr>
        <w:t>16</w:t>
      </w:r>
      <w:r>
        <w:rPr>
          <w:lang w:val="fr-FR"/>
        </w:rPr>
        <w:t> </w:t>
      </w:r>
      <w:r w:rsidRPr="0096096A">
        <w:rPr>
          <w:lang w:val="fr-FR"/>
        </w:rPr>
        <w:t>juillet 1996, par. 8.5.</w:t>
      </w:r>
    </w:p>
  </w:footnote>
  <w:footnote w:id="26">
    <w:p w:rsidR="00747513" w:rsidRDefault="00747513" w:rsidP="00F35D42">
      <w:pPr>
        <w:pStyle w:val="FootnoteText"/>
      </w:pPr>
      <w:r>
        <w:tab/>
      </w:r>
      <w:r>
        <w:rPr>
          <w:rStyle w:val="FootnoteReference"/>
        </w:rPr>
        <w:footnoteRef/>
      </w:r>
      <w:r>
        <w:tab/>
      </w:r>
      <w:r w:rsidRPr="0096096A">
        <w:rPr>
          <w:lang w:val="fr-FR"/>
        </w:rPr>
        <w:t>Voir par</w:t>
      </w:r>
      <w:r>
        <w:rPr>
          <w:lang w:val="fr-FR"/>
        </w:rPr>
        <w:t>. </w:t>
      </w:r>
      <w:r w:rsidRPr="0096096A">
        <w:rPr>
          <w:lang w:val="fr-FR"/>
        </w:rPr>
        <w:t>6.1 et 6.2.</w:t>
      </w:r>
    </w:p>
  </w:footnote>
  <w:footnote w:id="27">
    <w:p w:rsidR="00747513" w:rsidRDefault="00747513" w:rsidP="00F35D42">
      <w:pPr>
        <w:pStyle w:val="FootnoteText"/>
      </w:pPr>
      <w:r>
        <w:tab/>
      </w:r>
      <w:r>
        <w:rPr>
          <w:rStyle w:val="FootnoteReference"/>
        </w:rPr>
        <w:footnoteRef/>
      </w:r>
      <w:r>
        <w:tab/>
      </w:r>
      <w:r w:rsidRPr="0096096A">
        <w:rPr>
          <w:lang w:val="fr-FR"/>
        </w:rPr>
        <w:t>Voir par</w:t>
      </w:r>
      <w:r>
        <w:rPr>
          <w:lang w:val="fr-FR"/>
        </w:rPr>
        <w:t>. </w:t>
      </w:r>
      <w:r w:rsidRPr="0096096A">
        <w:rPr>
          <w:lang w:val="fr-FR"/>
        </w:rPr>
        <w:t>7.1 à 7.3.</w:t>
      </w:r>
    </w:p>
  </w:footnote>
  <w:footnote w:id="28">
    <w:p w:rsidR="00747513" w:rsidRDefault="00747513" w:rsidP="00F35D42">
      <w:pPr>
        <w:pStyle w:val="FootnoteText"/>
      </w:pPr>
      <w:r>
        <w:tab/>
      </w:r>
      <w:r>
        <w:rPr>
          <w:rStyle w:val="FootnoteReference"/>
        </w:rPr>
        <w:footnoteRef/>
      </w:r>
      <w:r>
        <w:tab/>
      </w:r>
      <w:r w:rsidRPr="0096096A">
        <w:rPr>
          <w:lang w:val="fr-FR"/>
        </w:rPr>
        <w:t>Voir par</w:t>
      </w:r>
      <w:r>
        <w:rPr>
          <w:lang w:val="fr-FR"/>
        </w:rPr>
        <w:t>. </w:t>
      </w:r>
      <w:r w:rsidRPr="0096096A">
        <w:rPr>
          <w:lang w:val="fr-FR"/>
        </w:rPr>
        <w:t>4.2 et 4.3.</w:t>
      </w:r>
    </w:p>
  </w:footnote>
  <w:footnote w:id="29">
    <w:p w:rsidR="00747513" w:rsidRDefault="00747513" w:rsidP="00F35D42">
      <w:pPr>
        <w:pStyle w:val="FootnoteText"/>
      </w:pPr>
      <w:r>
        <w:tab/>
      </w:r>
      <w:r>
        <w:rPr>
          <w:rStyle w:val="FootnoteReference"/>
        </w:rPr>
        <w:footnoteRef/>
      </w:r>
      <w:r>
        <w:tab/>
      </w:r>
      <w:r>
        <w:rPr>
          <w:lang w:val="fr-FR"/>
        </w:rPr>
        <w:t xml:space="preserve">Voir la communication </w:t>
      </w:r>
      <w:r w:rsidRPr="00AE0296">
        <w:rPr>
          <w:lang w:val="fr-FR"/>
        </w:rPr>
        <w:t>n</w:t>
      </w:r>
      <w:r w:rsidRPr="00AE0296">
        <w:rPr>
          <w:vertAlign w:val="superscript"/>
          <w:lang w:val="fr-FR"/>
        </w:rPr>
        <w:t>o</w:t>
      </w:r>
      <w:r>
        <w:rPr>
          <w:lang w:val="fr-FR"/>
        </w:rPr>
        <w:t> </w:t>
      </w:r>
      <w:r w:rsidRPr="0096096A">
        <w:rPr>
          <w:lang w:val="fr-FR"/>
        </w:rPr>
        <w:t xml:space="preserve">1861/2009, </w:t>
      </w:r>
      <w:r w:rsidRPr="0096096A">
        <w:rPr>
          <w:i/>
          <w:lang w:val="fr-FR"/>
        </w:rPr>
        <w:t xml:space="preserve">Bakurov </w:t>
      </w:r>
      <w:r w:rsidRPr="00402FDE">
        <w:rPr>
          <w:lang w:val="fr-FR"/>
        </w:rPr>
        <w:t>c</w:t>
      </w:r>
      <w:r w:rsidRPr="0096096A">
        <w:rPr>
          <w:i/>
          <w:lang w:val="fr-FR"/>
        </w:rPr>
        <w:t>. Fédération</w:t>
      </w:r>
      <w:r w:rsidRPr="00402FDE">
        <w:rPr>
          <w:i/>
          <w:lang w:val="fr-FR"/>
        </w:rPr>
        <w:t xml:space="preserve"> de </w:t>
      </w:r>
      <w:r w:rsidRPr="0096096A">
        <w:rPr>
          <w:i/>
          <w:lang w:val="fr-FR"/>
        </w:rPr>
        <w:t>Russie</w:t>
      </w:r>
      <w:r>
        <w:rPr>
          <w:lang w:val="fr-FR"/>
        </w:rPr>
        <w:t>, constatations adoptées le 25 </w:t>
      </w:r>
      <w:r w:rsidRPr="0096096A">
        <w:rPr>
          <w:lang w:val="fr-FR"/>
        </w:rPr>
        <w:t>mars 2013, par.</w:t>
      </w:r>
      <w:r>
        <w:rPr>
          <w:lang w:val="fr-FR"/>
        </w:rPr>
        <w:t> </w:t>
      </w:r>
      <w:r w:rsidRPr="0096096A">
        <w:rPr>
          <w:lang w:val="fr-FR"/>
        </w:rPr>
        <w:t>10.3.</w:t>
      </w:r>
    </w:p>
  </w:footnote>
  <w:footnote w:id="30">
    <w:p w:rsidR="00747513" w:rsidRDefault="00747513" w:rsidP="00F35D42">
      <w:pPr>
        <w:pStyle w:val="FootnoteText"/>
      </w:pPr>
      <w:r>
        <w:tab/>
      </w:r>
      <w:r>
        <w:rPr>
          <w:rStyle w:val="FootnoteReference"/>
        </w:rPr>
        <w:footnoteRef/>
      </w:r>
      <w:r>
        <w:tab/>
      </w:r>
      <w:r w:rsidRPr="0096096A">
        <w:rPr>
          <w:lang w:val="fr-FR"/>
        </w:rPr>
        <w:t>Voir, p</w:t>
      </w:r>
      <w:r>
        <w:rPr>
          <w:lang w:val="fr-FR"/>
        </w:rPr>
        <w:t xml:space="preserve">ar exemple, la communication </w:t>
      </w:r>
      <w:r w:rsidRPr="00AE0296">
        <w:rPr>
          <w:lang w:val="fr-FR"/>
        </w:rPr>
        <w:t>n</w:t>
      </w:r>
      <w:r w:rsidRPr="00AE0296">
        <w:rPr>
          <w:vertAlign w:val="superscript"/>
          <w:lang w:val="fr-FR"/>
        </w:rPr>
        <w:t>o</w:t>
      </w:r>
      <w:r>
        <w:rPr>
          <w:lang w:val="fr-FR"/>
        </w:rPr>
        <w:t> </w:t>
      </w:r>
      <w:r w:rsidRPr="0096096A">
        <w:rPr>
          <w:lang w:val="fr-FR"/>
        </w:rPr>
        <w:t xml:space="preserve">967/2001, </w:t>
      </w:r>
      <w:r w:rsidRPr="0096096A">
        <w:rPr>
          <w:i/>
          <w:lang w:val="fr-FR"/>
        </w:rPr>
        <w:t xml:space="preserve">Valentin Ostroukhov </w:t>
      </w:r>
      <w:r w:rsidRPr="00402FDE">
        <w:rPr>
          <w:lang w:val="fr-FR"/>
        </w:rPr>
        <w:t>c</w:t>
      </w:r>
      <w:r w:rsidRPr="0096096A">
        <w:rPr>
          <w:i/>
          <w:lang w:val="fr-FR"/>
        </w:rPr>
        <w:t>. Fédération</w:t>
      </w:r>
      <w:r w:rsidRPr="00402FDE">
        <w:rPr>
          <w:i/>
          <w:lang w:val="fr-FR"/>
        </w:rPr>
        <w:t xml:space="preserve"> de </w:t>
      </w:r>
      <w:r w:rsidRPr="0096096A">
        <w:rPr>
          <w:i/>
          <w:lang w:val="fr-FR"/>
        </w:rPr>
        <w:t>Russie</w:t>
      </w:r>
      <w:r w:rsidRPr="0096096A">
        <w:rPr>
          <w:lang w:val="fr-FR"/>
        </w:rPr>
        <w:t>, décision ado</w:t>
      </w:r>
      <w:r>
        <w:rPr>
          <w:lang w:val="fr-FR"/>
        </w:rPr>
        <w:t>ptée le 31 mars 2005, par. </w:t>
      </w:r>
      <w:r w:rsidRPr="0096096A">
        <w:rPr>
          <w:lang w:val="fr-FR"/>
        </w:rPr>
        <w:t>6.4.</w:t>
      </w:r>
    </w:p>
  </w:footnote>
  <w:footnote w:id="31">
    <w:p w:rsidR="00747513" w:rsidRDefault="00747513" w:rsidP="00F35D42">
      <w:pPr>
        <w:pStyle w:val="FootnoteText"/>
      </w:pPr>
      <w:r>
        <w:tab/>
      </w:r>
      <w:r>
        <w:rPr>
          <w:rStyle w:val="FootnoteReference"/>
        </w:rPr>
        <w:footnoteRef/>
      </w:r>
      <w:r>
        <w:tab/>
      </w:r>
      <w:r>
        <w:rPr>
          <w:lang w:val="fr-FR"/>
        </w:rPr>
        <w:t>Voir par. </w:t>
      </w:r>
      <w:r w:rsidRPr="0096096A">
        <w:rPr>
          <w:lang w:val="fr-FR" w:eastAsia="en-GB"/>
        </w:rPr>
        <w:t>2.7 et 2.9.</w:t>
      </w:r>
    </w:p>
  </w:footnote>
  <w:footnote w:id="32">
    <w:p w:rsidR="00747513" w:rsidRDefault="00747513" w:rsidP="00F35D42">
      <w:pPr>
        <w:pStyle w:val="FootnoteText"/>
      </w:pPr>
      <w:r>
        <w:tab/>
      </w:r>
      <w:r>
        <w:rPr>
          <w:rStyle w:val="FootnoteReference"/>
        </w:rPr>
        <w:footnoteRef/>
      </w:r>
      <w:r>
        <w:tab/>
      </w:r>
      <w:r w:rsidRPr="0096096A">
        <w:rPr>
          <w:lang w:val="fr-FR"/>
        </w:rPr>
        <w:t>Voir par</w:t>
      </w:r>
      <w:r>
        <w:rPr>
          <w:lang w:val="fr-FR"/>
        </w:rPr>
        <w:t>. </w:t>
      </w:r>
      <w:r w:rsidRPr="0096096A">
        <w:rPr>
          <w:lang w:val="fr-FR" w:eastAsia="en-GB"/>
        </w:rPr>
        <w:t>4.4.</w:t>
      </w:r>
    </w:p>
  </w:footnote>
  <w:footnote w:id="33">
    <w:p w:rsidR="00747513" w:rsidRDefault="00747513" w:rsidP="00F35D42">
      <w:pPr>
        <w:pStyle w:val="FootnoteText"/>
      </w:pPr>
      <w:r>
        <w:tab/>
      </w:r>
      <w:r>
        <w:rPr>
          <w:rStyle w:val="FootnoteReference"/>
        </w:rPr>
        <w:footnoteRef/>
      </w:r>
      <w:r>
        <w:tab/>
      </w:r>
      <w:r>
        <w:rPr>
          <w:lang w:val="fr-FR"/>
        </w:rPr>
        <w:t xml:space="preserve">Voir l’Observation générale </w:t>
      </w:r>
      <w:r w:rsidRPr="00AE0296">
        <w:rPr>
          <w:lang w:val="fr-FR"/>
        </w:rPr>
        <w:t>n</w:t>
      </w:r>
      <w:r w:rsidRPr="00AE0296">
        <w:rPr>
          <w:vertAlign w:val="superscript"/>
          <w:lang w:val="fr-FR"/>
        </w:rPr>
        <w:t>o</w:t>
      </w:r>
      <w:r>
        <w:rPr>
          <w:lang w:val="fr-FR"/>
        </w:rPr>
        <w:t> </w:t>
      </w:r>
      <w:r w:rsidRPr="0096096A">
        <w:rPr>
          <w:lang w:val="fr-FR"/>
        </w:rPr>
        <w:t>32</w:t>
      </w:r>
      <w:r>
        <w:rPr>
          <w:lang w:val="fr-FR"/>
        </w:rPr>
        <w:t xml:space="preserve"> (2007) sur le droit à l’égalité devant les tribunaux et les cours de justice et à un procès équitable, </w:t>
      </w:r>
      <w:r w:rsidRPr="00A8400A">
        <w:rPr>
          <w:i/>
          <w:lang w:val="fr-FR"/>
        </w:rPr>
        <w:t>Documents officiel</w:t>
      </w:r>
      <w:r>
        <w:rPr>
          <w:i/>
          <w:lang w:val="fr-FR"/>
        </w:rPr>
        <w:t>s</w:t>
      </w:r>
      <w:r w:rsidRPr="00A8400A">
        <w:rPr>
          <w:i/>
          <w:lang w:val="fr-FR"/>
        </w:rPr>
        <w:t xml:space="preserve"> de l’Assemblée générale, soixante-deuxième session, Supplément n</w:t>
      </w:r>
      <w:r w:rsidRPr="00A8400A">
        <w:rPr>
          <w:i/>
          <w:vertAlign w:val="superscript"/>
          <w:lang w:val="fr-FR"/>
        </w:rPr>
        <w:t>o</w:t>
      </w:r>
      <w:r w:rsidRPr="00A8400A">
        <w:rPr>
          <w:i/>
          <w:lang w:val="fr-FR"/>
        </w:rPr>
        <w:t> 40</w:t>
      </w:r>
      <w:r>
        <w:rPr>
          <w:lang w:val="fr-FR"/>
        </w:rPr>
        <w:t>, vol. I (A/62/40) (Vol. I), annexe VI</w:t>
      </w:r>
      <w:r w:rsidRPr="0096096A">
        <w:rPr>
          <w:lang w:val="fr-FR"/>
        </w:rPr>
        <w:t>, par</w:t>
      </w:r>
      <w:r>
        <w:rPr>
          <w:lang w:val="fr-FR"/>
        </w:rPr>
        <w:t xml:space="preserve">. 17, et la communication </w:t>
      </w:r>
      <w:r w:rsidRPr="00AE0296">
        <w:rPr>
          <w:lang w:val="fr-FR"/>
        </w:rPr>
        <w:t>n</w:t>
      </w:r>
      <w:r w:rsidRPr="00AE0296">
        <w:rPr>
          <w:vertAlign w:val="superscript"/>
          <w:lang w:val="fr-FR"/>
        </w:rPr>
        <w:t>o</w:t>
      </w:r>
      <w:r>
        <w:rPr>
          <w:lang w:val="fr-FR"/>
        </w:rPr>
        <w:t> </w:t>
      </w:r>
      <w:r w:rsidRPr="0096096A">
        <w:rPr>
          <w:lang w:val="fr-FR"/>
        </w:rPr>
        <w:t xml:space="preserve">845/1998, </w:t>
      </w:r>
      <w:r w:rsidRPr="0096096A">
        <w:rPr>
          <w:i/>
          <w:lang w:val="fr-FR"/>
        </w:rPr>
        <w:t xml:space="preserve">Kennedy </w:t>
      </w:r>
      <w:r w:rsidRPr="00402FDE">
        <w:rPr>
          <w:lang w:val="fr-FR"/>
        </w:rPr>
        <w:t>c</w:t>
      </w:r>
      <w:r>
        <w:rPr>
          <w:i/>
          <w:lang w:val="fr-FR"/>
        </w:rPr>
        <w:t>. </w:t>
      </w:r>
      <w:r w:rsidRPr="0096096A">
        <w:rPr>
          <w:i/>
          <w:lang w:val="fr-FR"/>
        </w:rPr>
        <w:t>Trinité-et-Tobago</w:t>
      </w:r>
      <w:r w:rsidRPr="0096096A">
        <w:rPr>
          <w:lang w:val="fr-FR"/>
        </w:rPr>
        <w:t>, constatations adoptées le 26</w:t>
      </w:r>
      <w:r>
        <w:rPr>
          <w:lang w:val="fr-FR"/>
        </w:rPr>
        <w:t> </w:t>
      </w:r>
      <w:r w:rsidRPr="0096096A">
        <w:rPr>
          <w:lang w:val="fr-FR"/>
        </w:rPr>
        <w:t>mars 2002, par.</w:t>
      </w:r>
      <w:r>
        <w:rPr>
          <w:lang w:val="fr-FR"/>
        </w:rPr>
        <w:t> </w:t>
      </w:r>
      <w:r w:rsidRPr="0096096A">
        <w:rPr>
          <w:lang w:val="fr-FR"/>
        </w:rPr>
        <w:t>7.4.</w:t>
      </w:r>
    </w:p>
  </w:footnote>
  <w:footnote w:id="34">
    <w:p w:rsidR="00747513" w:rsidRDefault="00747513" w:rsidP="00F35D42">
      <w:pPr>
        <w:pStyle w:val="FootnoteText"/>
      </w:pPr>
      <w:r>
        <w:tab/>
      </w:r>
      <w:r>
        <w:rPr>
          <w:rStyle w:val="FootnoteReference"/>
        </w:rPr>
        <w:footnoteRef/>
      </w:r>
      <w:r>
        <w:tab/>
      </w:r>
      <w:r w:rsidRPr="0096096A">
        <w:rPr>
          <w:lang w:val="fr-FR"/>
        </w:rPr>
        <w:t>Voir, p</w:t>
      </w:r>
      <w:r>
        <w:rPr>
          <w:lang w:val="fr-FR"/>
        </w:rPr>
        <w:t xml:space="preserve">ar exemple, la communication </w:t>
      </w:r>
      <w:r w:rsidRPr="00E334C7">
        <w:rPr>
          <w:lang w:val="fr-FR"/>
        </w:rPr>
        <w:t>n</w:t>
      </w:r>
      <w:r w:rsidRPr="00E334C7">
        <w:rPr>
          <w:vertAlign w:val="superscript"/>
          <w:lang w:val="fr-FR"/>
        </w:rPr>
        <w:t>o</w:t>
      </w:r>
      <w:r>
        <w:rPr>
          <w:lang w:val="fr-FR"/>
        </w:rPr>
        <w:t> </w:t>
      </w:r>
      <w:r w:rsidRPr="0096096A">
        <w:rPr>
          <w:lang w:val="fr-FR"/>
        </w:rPr>
        <w:t xml:space="preserve">1861/2009, </w:t>
      </w:r>
      <w:r w:rsidRPr="0096096A">
        <w:rPr>
          <w:i/>
          <w:lang w:val="fr-FR"/>
        </w:rPr>
        <w:t xml:space="preserve">Bakurov </w:t>
      </w:r>
      <w:r w:rsidRPr="00402FDE">
        <w:rPr>
          <w:lang w:val="fr-FR"/>
        </w:rPr>
        <w:t>c</w:t>
      </w:r>
      <w:r w:rsidRPr="0096096A">
        <w:rPr>
          <w:i/>
          <w:lang w:val="fr-FR"/>
        </w:rPr>
        <w:t>. Fédération</w:t>
      </w:r>
      <w:r w:rsidRPr="00402FDE">
        <w:rPr>
          <w:i/>
          <w:lang w:val="fr-FR"/>
        </w:rPr>
        <w:t xml:space="preserve"> de </w:t>
      </w:r>
      <w:r w:rsidRPr="0096096A">
        <w:rPr>
          <w:i/>
          <w:lang w:val="fr-FR"/>
        </w:rPr>
        <w:t>Russie</w:t>
      </w:r>
      <w:r w:rsidRPr="0096096A">
        <w:rPr>
          <w:lang w:val="fr-FR"/>
        </w:rPr>
        <w:t>, constatations adoptées le 25</w:t>
      </w:r>
      <w:r>
        <w:rPr>
          <w:lang w:val="fr-FR"/>
        </w:rPr>
        <w:t> </w:t>
      </w:r>
      <w:r w:rsidRPr="0096096A">
        <w:rPr>
          <w:lang w:val="fr-FR"/>
        </w:rPr>
        <w:t>mars 2013, par</w:t>
      </w:r>
      <w:r>
        <w:rPr>
          <w:lang w:val="fr-FR"/>
        </w:rPr>
        <w:t>. </w:t>
      </w:r>
      <w:r w:rsidRPr="0096096A">
        <w:rPr>
          <w:lang w:val="fr-FR"/>
        </w:rPr>
        <w:t>10.5.</w:t>
      </w:r>
    </w:p>
  </w:footnote>
  <w:footnote w:id="35">
    <w:p w:rsidR="00747513" w:rsidRDefault="00747513" w:rsidP="00F35D42">
      <w:pPr>
        <w:pStyle w:val="FootnoteText"/>
      </w:pPr>
      <w:r>
        <w:tab/>
      </w:r>
      <w:r>
        <w:rPr>
          <w:rStyle w:val="FootnoteReference"/>
        </w:rPr>
        <w:footnoteRef/>
      </w:r>
      <w:r>
        <w:tab/>
      </w:r>
      <w:r w:rsidRPr="0096096A">
        <w:rPr>
          <w:lang w:val="fr-FR"/>
        </w:rPr>
        <w:t>L</w:t>
      </w:r>
      <w:r>
        <w:rPr>
          <w:lang w:val="fr-FR"/>
        </w:rPr>
        <w:t>’</w:t>
      </w:r>
      <w:r w:rsidRPr="0096096A">
        <w:rPr>
          <w:lang w:val="fr-FR"/>
        </w:rPr>
        <w:t>au</w:t>
      </w:r>
      <w:r>
        <w:rPr>
          <w:lang w:val="fr-FR"/>
        </w:rPr>
        <w:t>teur fait état d’une peine de quinze</w:t>
      </w:r>
      <w:r w:rsidRPr="0096096A">
        <w:rPr>
          <w:lang w:val="fr-FR"/>
        </w:rPr>
        <w:t xml:space="preserve"> ans d</w:t>
      </w:r>
      <w:r>
        <w:rPr>
          <w:lang w:val="fr-FR"/>
        </w:rPr>
        <w:t>’</w:t>
      </w:r>
      <w:r w:rsidRPr="0096096A">
        <w:rPr>
          <w:lang w:val="fr-FR"/>
        </w:rPr>
        <w:t>emprisonnement au paragraphe</w:t>
      </w:r>
      <w:r>
        <w:rPr>
          <w:lang w:val="fr-FR"/>
        </w:rPr>
        <w:t> </w:t>
      </w:r>
      <w:r w:rsidRPr="0096096A">
        <w:rPr>
          <w:lang w:val="fr-FR"/>
        </w:rPr>
        <w:t>3.1 ma</w:t>
      </w:r>
      <w:r>
        <w:rPr>
          <w:lang w:val="fr-FR"/>
        </w:rPr>
        <w:t>is d’une peine allant jusqu’à vingt</w:t>
      </w:r>
      <w:r w:rsidRPr="0096096A">
        <w:rPr>
          <w:lang w:val="fr-FR"/>
        </w:rPr>
        <w:t xml:space="preserve"> ans au paragraphe 5.3.</w:t>
      </w:r>
    </w:p>
  </w:footnote>
  <w:footnote w:id="36">
    <w:p w:rsidR="00747513" w:rsidRDefault="00747513" w:rsidP="00F35D42">
      <w:pPr>
        <w:pStyle w:val="FootnoteText"/>
      </w:pPr>
      <w:r>
        <w:tab/>
      </w:r>
      <w:r>
        <w:rPr>
          <w:rStyle w:val="FootnoteReference"/>
        </w:rPr>
        <w:footnoteRef/>
      </w:r>
      <w:r>
        <w:tab/>
      </w:r>
      <w:r w:rsidRPr="0096096A">
        <w:rPr>
          <w:lang w:val="fr-FR"/>
        </w:rPr>
        <w:t xml:space="preserve">Voir la communication </w:t>
      </w:r>
      <w:r w:rsidRPr="00E334C7">
        <w:rPr>
          <w:lang w:val="fr-FR"/>
        </w:rPr>
        <w:t>n</w:t>
      </w:r>
      <w:r w:rsidRPr="00E334C7">
        <w:rPr>
          <w:vertAlign w:val="superscript"/>
          <w:lang w:val="fr-FR"/>
        </w:rPr>
        <w:t>o</w:t>
      </w:r>
      <w:r>
        <w:rPr>
          <w:lang w:val="fr-FR"/>
        </w:rPr>
        <w:t> </w:t>
      </w:r>
      <w:r w:rsidRPr="0096096A">
        <w:rPr>
          <w:lang w:val="fr-FR"/>
        </w:rPr>
        <w:t xml:space="preserve">1425/2005, </w:t>
      </w:r>
      <w:r w:rsidRPr="0096096A">
        <w:rPr>
          <w:i/>
          <w:lang w:val="fr-FR"/>
        </w:rPr>
        <w:t xml:space="preserve">Marz </w:t>
      </w:r>
      <w:r w:rsidRPr="00402FDE">
        <w:rPr>
          <w:lang w:val="fr-FR"/>
        </w:rPr>
        <w:t>c</w:t>
      </w:r>
      <w:r w:rsidRPr="0096096A">
        <w:rPr>
          <w:i/>
          <w:lang w:val="fr-FR"/>
        </w:rPr>
        <w:t>. Fédération</w:t>
      </w:r>
      <w:r w:rsidRPr="00402FDE">
        <w:rPr>
          <w:i/>
          <w:lang w:val="fr-FR"/>
        </w:rPr>
        <w:t xml:space="preserve"> de </w:t>
      </w:r>
      <w:r w:rsidRPr="0096096A">
        <w:rPr>
          <w:i/>
          <w:lang w:val="fr-FR"/>
        </w:rPr>
        <w:t>Russie</w:t>
      </w:r>
      <w:r>
        <w:rPr>
          <w:lang w:val="fr-FR"/>
        </w:rPr>
        <w:t>, constatations adoptées le</w:t>
      </w:r>
      <w:r w:rsidR="00D5642C">
        <w:rPr>
          <w:lang w:val="fr-FR"/>
        </w:rPr>
        <w:t> </w:t>
      </w:r>
      <w:r>
        <w:rPr>
          <w:lang w:val="fr-FR"/>
        </w:rPr>
        <w:t>21 </w:t>
      </w:r>
      <w:r w:rsidRPr="0096096A">
        <w:rPr>
          <w:lang w:val="fr-FR"/>
        </w:rPr>
        <w:t>octobre 2009, par</w:t>
      </w:r>
      <w:r>
        <w:rPr>
          <w:lang w:val="fr-FR"/>
        </w:rPr>
        <w:t>. </w:t>
      </w:r>
      <w:r w:rsidRPr="0096096A">
        <w:rPr>
          <w:lang w:val="fr-FR"/>
        </w:rPr>
        <w:t>6.6.</w:t>
      </w:r>
    </w:p>
  </w:footnote>
  <w:footnote w:id="37">
    <w:p w:rsidR="00747513" w:rsidRDefault="00747513" w:rsidP="00F35D42">
      <w:pPr>
        <w:pStyle w:val="FootnoteText"/>
      </w:pPr>
      <w:r>
        <w:tab/>
      </w:r>
      <w:r>
        <w:rPr>
          <w:rStyle w:val="FootnoteReference"/>
        </w:rPr>
        <w:footnoteRef/>
      </w:r>
      <w:r>
        <w:tab/>
      </w:r>
      <w:r w:rsidRPr="0096096A">
        <w:rPr>
          <w:lang w:val="fr-FR"/>
        </w:rPr>
        <w:t>Voir par</w:t>
      </w:r>
      <w:r>
        <w:rPr>
          <w:lang w:val="fr-FR"/>
        </w:rPr>
        <w:t>. </w:t>
      </w:r>
      <w:r w:rsidRPr="0096096A">
        <w:rPr>
          <w:lang w:val="fr-FR"/>
        </w:rPr>
        <w:t>4.4.</w:t>
      </w:r>
    </w:p>
  </w:footnote>
  <w:footnote w:id="38">
    <w:p w:rsidR="00747513" w:rsidRDefault="00747513" w:rsidP="00F35D42">
      <w:pPr>
        <w:pStyle w:val="FootnoteText"/>
      </w:pPr>
      <w:r>
        <w:tab/>
      </w:r>
      <w:r>
        <w:rPr>
          <w:rStyle w:val="FootnoteReference"/>
        </w:rPr>
        <w:footnoteRef/>
      </w:r>
      <w:r>
        <w:tab/>
      </w:r>
      <w:r w:rsidRPr="0096096A">
        <w:rPr>
          <w:lang w:val="fr-FR"/>
        </w:rPr>
        <w:t xml:space="preserve">Voir la communication </w:t>
      </w:r>
      <w:r w:rsidRPr="00E334C7">
        <w:rPr>
          <w:lang w:val="fr-FR"/>
        </w:rPr>
        <w:t>n</w:t>
      </w:r>
      <w:r w:rsidRPr="00E334C7">
        <w:rPr>
          <w:vertAlign w:val="superscript"/>
          <w:lang w:val="fr-FR"/>
        </w:rPr>
        <w:t>o</w:t>
      </w:r>
      <w:r>
        <w:rPr>
          <w:lang w:val="fr-FR"/>
        </w:rPr>
        <w:t> </w:t>
      </w:r>
      <w:r w:rsidRPr="0096096A">
        <w:rPr>
          <w:lang w:val="fr-FR"/>
        </w:rPr>
        <w:t xml:space="preserve">1861/2009, </w:t>
      </w:r>
      <w:r w:rsidRPr="0096096A">
        <w:rPr>
          <w:i/>
          <w:lang w:val="fr-FR"/>
        </w:rPr>
        <w:t xml:space="preserve">Bakurov </w:t>
      </w:r>
      <w:r w:rsidRPr="00402FDE">
        <w:rPr>
          <w:lang w:val="fr-FR"/>
        </w:rPr>
        <w:t>c</w:t>
      </w:r>
      <w:r w:rsidRPr="0096096A">
        <w:rPr>
          <w:i/>
          <w:lang w:val="fr-FR"/>
        </w:rPr>
        <w:t>. Fédération</w:t>
      </w:r>
      <w:r w:rsidRPr="00402FDE">
        <w:rPr>
          <w:i/>
          <w:lang w:val="fr-FR"/>
        </w:rPr>
        <w:t xml:space="preserve"> de </w:t>
      </w:r>
      <w:r w:rsidRPr="0096096A">
        <w:rPr>
          <w:i/>
          <w:lang w:val="fr-FR"/>
        </w:rPr>
        <w:t>Russie</w:t>
      </w:r>
      <w:r w:rsidRPr="00D621F1">
        <w:rPr>
          <w:lang w:val="fr-FR"/>
        </w:rPr>
        <w:t>,</w:t>
      </w:r>
      <w:r>
        <w:rPr>
          <w:lang w:val="fr-FR"/>
        </w:rPr>
        <w:t xml:space="preserve"> par. </w:t>
      </w:r>
      <w:r w:rsidRPr="0096096A">
        <w:rPr>
          <w:lang w:val="fr-FR"/>
        </w:rPr>
        <w:t>10.9.</w:t>
      </w:r>
    </w:p>
  </w:footnote>
  <w:footnote w:id="39">
    <w:p w:rsidR="00747513" w:rsidRDefault="00747513" w:rsidP="00F35D42">
      <w:pPr>
        <w:pStyle w:val="FootnoteText"/>
      </w:pPr>
      <w:r>
        <w:tab/>
      </w:r>
      <w:r>
        <w:rPr>
          <w:rStyle w:val="FootnoteReference"/>
        </w:rPr>
        <w:footnoteRef/>
      </w:r>
      <w:r>
        <w:tab/>
      </w:r>
      <w:r w:rsidRPr="0096096A">
        <w:rPr>
          <w:lang w:val="fr-FR"/>
        </w:rPr>
        <w:t>Voir par</w:t>
      </w:r>
      <w:r>
        <w:rPr>
          <w:lang w:val="fr-FR"/>
        </w:rPr>
        <w:t>. </w:t>
      </w:r>
      <w:r w:rsidRPr="0096096A">
        <w:rPr>
          <w:lang w:val="fr-FR"/>
        </w:rPr>
        <w:t>4.2.</w:t>
      </w:r>
    </w:p>
  </w:footnote>
  <w:footnote w:id="40">
    <w:p w:rsidR="00747513" w:rsidRDefault="00747513" w:rsidP="00F35D42">
      <w:pPr>
        <w:pStyle w:val="FootnoteText"/>
      </w:pPr>
      <w:r>
        <w:tab/>
      </w:r>
      <w:r>
        <w:rPr>
          <w:rStyle w:val="FootnoteReference"/>
        </w:rPr>
        <w:footnoteRef/>
      </w:r>
      <w:r>
        <w:tab/>
      </w:r>
      <w:r w:rsidRPr="0096096A">
        <w:rPr>
          <w:lang w:val="fr-FR"/>
        </w:rPr>
        <w:t>Voir par</w:t>
      </w:r>
      <w:r>
        <w:rPr>
          <w:lang w:val="fr-FR"/>
        </w:rPr>
        <w:t>. </w:t>
      </w:r>
      <w:r w:rsidRPr="0096096A">
        <w:rPr>
          <w:lang w:val="fr-FR"/>
        </w:rPr>
        <w:t>2.2.</w:t>
      </w:r>
    </w:p>
  </w:footnote>
  <w:footnote w:id="41">
    <w:p w:rsidR="00747513" w:rsidRDefault="00747513" w:rsidP="00F35D42">
      <w:pPr>
        <w:pStyle w:val="FootnoteText"/>
      </w:pPr>
      <w:r>
        <w:tab/>
      </w:r>
      <w:r>
        <w:rPr>
          <w:rStyle w:val="FootnoteReference"/>
        </w:rPr>
        <w:footnoteRef/>
      </w:r>
      <w:r>
        <w:tab/>
      </w:r>
      <w:r w:rsidRPr="0096096A">
        <w:rPr>
          <w:lang w:val="fr-FR"/>
        </w:rPr>
        <w:t>Voir par</w:t>
      </w:r>
      <w:r>
        <w:rPr>
          <w:lang w:val="fr-FR"/>
        </w:rPr>
        <w:t>. </w:t>
      </w:r>
      <w:r w:rsidRPr="0096096A">
        <w:rPr>
          <w:lang w:val="fr-FR"/>
        </w:rPr>
        <w:t>4.3.</w:t>
      </w:r>
    </w:p>
  </w:footnote>
  <w:footnote w:id="42">
    <w:p w:rsidR="00747513" w:rsidRDefault="00747513" w:rsidP="00F35D42">
      <w:pPr>
        <w:pStyle w:val="FootnoteText"/>
      </w:pPr>
      <w:r>
        <w:tab/>
      </w:r>
      <w:r>
        <w:rPr>
          <w:rStyle w:val="FootnoteReference"/>
        </w:rPr>
        <w:footnoteRef/>
      </w:r>
      <w:r>
        <w:tab/>
      </w:r>
      <w:r>
        <w:rPr>
          <w:lang w:val="fr-FR"/>
        </w:rPr>
        <w:t xml:space="preserve">Voir les communications </w:t>
      </w:r>
      <w:r w:rsidRPr="00E334C7">
        <w:rPr>
          <w:lang w:val="fr-FR"/>
        </w:rPr>
        <w:t>n</w:t>
      </w:r>
      <w:r w:rsidRPr="00E334C7">
        <w:rPr>
          <w:vertAlign w:val="superscript"/>
          <w:lang w:val="fr-FR"/>
        </w:rPr>
        <w:t>o</w:t>
      </w:r>
      <w:r>
        <w:rPr>
          <w:lang w:val="fr-FR"/>
        </w:rPr>
        <w:t> </w:t>
      </w:r>
      <w:r w:rsidRPr="0096096A">
        <w:rPr>
          <w:lang w:val="fr-FR"/>
        </w:rPr>
        <w:t xml:space="preserve">1861/2009, </w:t>
      </w:r>
      <w:r w:rsidRPr="0096096A">
        <w:rPr>
          <w:i/>
          <w:lang w:val="fr-FR"/>
        </w:rPr>
        <w:t xml:space="preserve">Bakurov </w:t>
      </w:r>
      <w:r w:rsidRPr="00402FDE">
        <w:rPr>
          <w:lang w:val="fr-FR"/>
        </w:rPr>
        <w:t>c</w:t>
      </w:r>
      <w:r w:rsidRPr="0096096A">
        <w:rPr>
          <w:i/>
          <w:lang w:val="fr-FR"/>
        </w:rPr>
        <w:t>. Fédération</w:t>
      </w:r>
      <w:r w:rsidRPr="00402FDE">
        <w:rPr>
          <w:i/>
          <w:lang w:val="fr-FR"/>
        </w:rPr>
        <w:t xml:space="preserve"> de </w:t>
      </w:r>
      <w:r w:rsidRPr="0096096A">
        <w:rPr>
          <w:i/>
          <w:lang w:val="fr-FR"/>
        </w:rPr>
        <w:t>Russie</w:t>
      </w:r>
      <w:r w:rsidRPr="00E334C7">
        <w:rPr>
          <w:lang w:val="fr-FR"/>
        </w:rPr>
        <w:t>,</w:t>
      </w:r>
      <w:r>
        <w:rPr>
          <w:lang w:val="fr-FR"/>
        </w:rPr>
        <w:t xml:space="preserve"> par. </w:t>
      </w:r>
      <w:r w:rsidRPr="0096096A">
        <w:rPr>
          <w:lang w:val="fr-FR"/>
        </w:rPr>
        <w:t xml:space="preserve">10.6; </w:t>
      </w:r>
      <w:r w:rsidRPr="00E334C7">
        <w:rPr>
          <w:lang w:val="fr-FR"/>
        </w:rPr>
        <w:t>n</w:t>
      </w:r>
      <w:r w:rsidRPr="00E334C7">
        <w:rPr>
          <w:vertAlign w:val="superscript"/>
          <w:lang w:val="fr-FR"/>
        </w:rPr>
        <w:t>o</w:t>
      </w:r>
      <w:r>
        <w:rPr>
          <w:lang w:val="fr-FR"/>
        </w:rPr>
        <w:t> </w:t>
      </w:r>
      <w:r w:rsidRPr="0096096A">
        <w:rPr>
          <w:lang w:val="fr-FR"/>
        </w:rPr>
        <w:t xml:space="preserve">790/1997, </w:t>
      </w:r>
      <w:r w:rsidRPr="0096096A">
        <w:rPr>
          <w:i/>
          <w:lang w:val="fr-FR"/>
        </w:rPr>
        <w:t>Cheban et al</w:t>
      </w:r>
      <w:r w:rsidRPr="00402FDE">
        <w:rPr>
          <w:lang w:val="fr-FR"/>
        </w:rPr>
        <w:t xml:space="preserve"> c</w:t>
      </w:r>
      <w:r w:rsidRPr="0096096A">
        <w:rPr>
          <w:i/>
          <w:lang w:val="fr-FR"/>
        </w:rPr>
        <w:t>. Fédération</w:t>
      </w:r>
      <w:r w:rsidRPr="00402FDE">
        <w:rPr>
          <w:i/>
          <w:lang w:val="fr-FR"/>
        </w:rPr>
        <w:t xml:space="preserve"> de </w:t>
      </w:r>
      <w:r w:rsidRPr="0096096A">
        <w:rPr>
          <w:i/>
          <w:lang w:val="fr-FR"/>
        </w:rPr>
        <w:t>Russie</w:t>
      </w:r>
      <w:r w:rsidRPr="00E334C7">
        <w:rPr>
          <w:lang w:val="fr-FR"/>
        </w:rPr>
        <w:t>,</w:t>
      </w:r>
      <w:r w:rsidRPr="0096096A">
        <w:rPr>
          <w:i/>
          <w:lang w:val="fr-FR"/>
        </w:rPr>
        <w:t xml:space="preserve"> </w:t>
      </w:r>
      <w:r w:rsidRPr="0096096A">
        <w:rPr>
          <w:lang w:val="fr-FR"/>
        </w:rPr>
        <w:t>constatations adoptées le 24</w:t>
      </w:r>
      <w:r>
        <w:rPr>
          <w:lang w:val="fr-FR"/>
        </w:rPr>
        <w:t> </w:t>
      </w:r>
      <w:r w:rsidRPr="0096096A">
        <w:rPr>
          <w:lang w:val="fr-FR"/>
        </w:rPr>
        <w:t>juillet 2001, par</w:t>
      </w:r>
      <w:r>
        <w:rPr>
          <w:lang w:val="fr-FR"/>
        </w:rPr>
        <w:t>. </w:t>
      </w:r>
      <w:r w:rsidRPr="0096096A">
        <w:rPr>
          <w:lang w:val="fr-FR"/>
        </w:rPr>
        <w:t>7.2.</w:t>
      </w:r>
    </w:p>
  </w:footnote>
  <w:footnote w:id="43">
    <w:p w:rsidR="00747513" w:rsidRDefault="00747513" w:rsidP="00F35D42">
      <w:pPr>
        <w:pStyle w:val="FootnoteText"/>
      </w:pPr>
      <w:r>
        <w:tab/>
      </w:r>
      <w:r>
        <w:rPr>
          <w:rStyle w:val="FootnoteReference"/>
        </w:rPr>
        <w:footnoteRef/>
      </w:r>
      <w:r>
        <w:tab/>
      </w:r>
      <w:r>
        <w:rPr>
          <w:lang w:val="fr-FR"/>
        </w:rPr>
        <w:t xml:space="preserve">Voir les communications </w:t>
      </w:r>
      <w:r w:rsidRPr="00E334C7">
        <w:rPr>
          <w:lang w:val="fr-FR"/>
        </w:rPr>
        <w:t>n</w:t>
      </w:r>
      <w:r w:rsidRPr="00E334C7">
        <w:rPr>
          <w:vertAlign w:val="superscript"/>
          <w:lang w:val="fr-FR"/>
        </w:rPr>
        <w:t>o</w:t>
      </w:r>
      <w:r>
        <w:rPr>
          <w:lang w:val="fr-FR"/>
        </w:rPr>
        <w:t> </w:t>
      </w:r>
      <w:r w:rsidRPr="0096096A">
        <w:rPr>
          <w:lang w:val="fr-FR"/>
        </w:rPr>
        <w:t xml:space="preserve">1861/2009, </w:t>
      </w:r>
      <w:r w:rsidRPr="0096096A">
        <w:rPr>
          <w:i/>
          <w:lang w:val="fr-FR"/>
        </w:rPr>
        <w:t xml:space="preserve">Bakurov </w:t>
      </w:r>
      <w:r w:rsidRPr="00402FDE">
        <w:rPr>
          <w:lang w:val="fr-FR"/>
        </w:rPr>
        <w:t>c</w:t>
      </w:r>
      <w:r w:rsidRPr="0096096A">
        <w:rPr>
          <w:i/>
          <w:lang w:val="fr-FR"/>
        </w:rPr>
        <w:t>. Fédération</w:t>
      </w:r>
      <w:r w:rsidRPr="00402FDE">
        <w:rPr>
          <w:i/>
          <w:lang w:val="fr-FR"/>
        </w:rPr>
        <w:t xml:space="preserve"> de </w:t>
      </w:r>
      <w:r w:rsidRPr="0096096A">
        <w:rPr>
          <w:i/>
          <w:lang w:val="fr-FR"/>
        </w:rPr>
        <w:t>Russie</w:t>
      </w:r>
      <w:r w:rsidRPr="00E334C7">
        <w:rPr>
          <w:lang w:val="fr-FR"/>
        </w:rPr>
        <w:t>,</w:t>
      </w:r>
      <w:r w:rsidRPr="0096096A">
        <w:rPr>
          <w:lang w:val="fr-FR"/>
        </w:rPr>
        <w:t xml:space="preserve"> par</w:t>
      </w:r>
      <w:r>
        <w:rPr>
          <w:lang w:val="fr-FR"/>
        </w:rPr>
        <w:t xml:space="preserve">. 10.6; </w:t>
      </w:r>
      <w:r w:rsidRPr="00E334C7">
        <w:rPr>
          <w:lang w:val="fr-FR"/>
        </w:rPr>
        <w:t>n</w:t>
      </w:r>
      <w:r w:rsidRPr="00E334C7">
        <w:rPr>
          <w:vertAlign w:val="superscript"/>
          <w:lang w:val="fr-FR"/>
        </w:rPr>
        <w:t>o</w:t>
      </w:r>
      <w:r>
        <w:rPr>
          <w:lang w:val="fr-FR"/>
        </w:rPr>
        <w:t> </w:t>
      </w:r>
      <w:r w:rsidRPr="0096096A">
        <w:rPr>
          <w:lang w:val="fr-FR"/>
        </w:rPr>
        <w:t xml:space="preserve">1425/2005, </w:t>
      </w:r>
      <w:r w:rsidRPr="0096096A">
        <w:rPr>
          <w:i/>
          <w:lang w:val="fr-FR"/>
        </w:rPr>
        <w:t xml:space="preserve">Marz </w:t>
      </w:r>
      <w:r w:rsidRPr="00402FDE">
        <w:rPr>
          <w:lang w:val="fr-FR"/>
        </w:rPr>
        <w:t>c</w:t>
      </w:r>
      <w:r w:rsidRPr="0096096A">
        <w:rPr>
          <w:i/>
          <w:lang w:val="fr-FR"/>
        </w:rPr>
        <w:t>. Fédération</w:t>
      </w:r>
      <w:r w:rsidRPr="00402FDE">
        <w:rPr>
          <w:i/>
          <w:lang w:val="fr-FR"/>
        </w:rPr>
        <w:t xml:space="preserve"> de </w:t>
      </w:r>
      <w:r w:rsidRPr="0096096A">
        <w:rPr>
          <w:i/>
          <w:lang w:val="fr-FR"/>
        </w:rPr>
        <w:t>Russie</w:t>
      </w:r>
      <w:r>
        <w:rPr>
          <w:lang w:val="fr-FR"/>
        </w:rPr>
        <w:t>, par. </w:t>
      </w:r>
      <w:r w:rsidRPr="0096096A">
        <w:rPr>
          <w:lang w:val="fr-FR"/>
        </w:rPr>
        <w:t xml:space="preserve">6.3.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13" w:rsidRPr="00F35D42" w:rsidRDefault="00747513">
    <w:pPr>
      <w:pStyle w:val="Header"/>
    </w:pPr>
    <w:r>
      <w:t>CCPR/C/109/D/1764/2008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13" w:rsidRPr="00F35D42" w:rsidRDefault="00747513" w:rsidP="00F35D42">
    <w:pPr>
      <w:pStyle w:val="Header"/>
      <w:jc w:val="right"/>
    </w:pPr>
    <w:r>
      <w:t>CCPR/C/109/D/1764/2008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2"/>
  </w:num>
  <w:num w:numId="6">
    <w:abstractNumId w:val="1"/>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6AA9"/>
    <w:rsid w:val="00016AC5"/>
    <w:rsid w:val="0004719E"/>
    <w:rsid w:val="00065ECB"/>
    <w:rsid w:val="00067B4E"/>
    <w:rsid w:val="0007545B"/>
    <w:rsid w:val="000830D2"/>
    <w:rsid w:val="000A13B7"/>
    <w:rsid w:val="000C461C"/>
    <w:rsid w:val="000D680E"/>
    <w:rsid w:val="000F41F2"/>
    <w:rsid w:val="001252D7"/>
    <w:rsid w:val="001472B7"/>
    <w:rsid w:val="00160540"/>
    <w:rsid w:val="00170070"/>
    <w:rsid w:val="00192EEB"/>
    <w:rsid w:val="001A20FB"/>
    <w:rsid w:val="001C16FD"/>
    <w:rsid w:val="001C33A7"/>
    <w:rsid w:val="001C4EEA"/>
    <w:rsid w:val="001C6260"/>
    <w:rsid w:val="001E3FEB"/>
    <w:rsid w:val="001E4A02"/>
    <w:rsid w:val="001F4675"/>
    <w:rsid w:val="00225E54"/>
    <w:rsid w:val="0024293A"/>
    <w:rsid w:val="0025063E"/>
    <w:rsid w:val="002659F1"/>
    <w:rsid w:val="00265D99"/>
    <w:rsid w:val="00277892"/>
    <w:rsid w:val="00287E79"/>
    <w:rsid w:val="002928F9"/>
    <w:rsid w:val="002A5D07"/>
    <w:rsid w:val="002B2F34"/>
    <w:rsid w:val="002E6FF4"/>
    <w:rsid w:val="003016B7"/>
    <w:rsid w:val="003101C6"/>
    <w:rsid w:val="0031186B"/>
    <w:rsid w:val="00314737"/>
    <w:rsid w:val="00332F05"/>
    <w:rsid w:val="0034214E"/>
    <w:rsid w:val="003515AA"/>
    <w:rsid w:val="0036726B"/>
    <w:rsid w:val="00374106"/>
    <w:rsid w:val="0038474B"/>
    <w:rsid w:val="00385399"/>
    <w:rsid w:val="003976D5"/>
    <w:rsid w:val="003B4CBD"/>
    <w:rsid w:val="003B7C09"/>
    <w:rsid w:val="003C6783"/>
    <w:rsid w:val="003D6C68"/>
    <w:rsid w:val="003F5551"/>
    <w:rsid w:val="00410AD1"/>
    <w:rsid w:val="00414794"/>
    <w:rsid w:val="004159D0"/>
    <w:rsid w:val="00424FEB"/>
    <w:rsid w:val="004649A7"/>
    <w:rsid w:val="004811D3"/>
    <w:rsid w:val="00481EC5"/>
    <w:rsid w:val="00484E6C"/>
    <w:rsid w:val="004B2817"/>
    <w:rsid w:val="004C52E8"/>
    <w:rsid w:val="004C777F"/>
    <w:rsid w:val="004F2C80"/>
    <w:rsid w:val="00571F41"/>
    <w:rsid w:val="00572B3F"/>
    <w:rsid w:val="005753C4"/>
    <w:rsid w:val="005C265F"/>
    <w:rsid w:val="005D29C8"/>
    <w:rsid w:val="005E5D1F"/>
    <w:rsid w:val="00612D48"/>
    <w:rsid w:val="00616B45"/>
    <w:rsid w:val="006312C9"/>
    <w:rsid w:val="00631953"/>
    <w:rsid w:val="00642728"/>
    <w:rsid w:val="006439EC"/>
    <w:rsid w:val="00644659"/>
    <w:rsid w:val="00663CB6"/>
    <w:rsid w:val="006B4590"/>
    <w:rsid w:val="006C340C"/>
    <w:rsid w:val="006D046F"/>
    <w:rsid w:val="0070347C"/>
    <w:rsid w:val="00736E0B"/>
    <w:rsid w:val="00747513"/>
    <w:rsid w:val="00757D82"/>
    <w:rsid w:val="00782637"/>
    <w:rsid w:val="007B0586"/>
    <w:rsid w:val="007D2996"/>
    <w:rsid w:val="007D53C6"/>
    <w:rsid w:val="0081795A"/>
    <w:rsid w:val="00817A26"/>
    <w:rsid w:val="008420B6"/>
    <w:rsid w:val="00844750"/>
    <w:rsid w:val="00875324"/>
    <w:rsid w:val="00886128"/>
    <w:rsid w:val="00886D12"/>
    <w:rsid w:val="008D20CB"/>
    <w:rsid w:val="008E7FAE"/>
    <w:rsid w:val="008F7C94"/>
    <w:rsid w:val="009033FB"/>
    <w:rsid w:val="00911BF7"/>
    <w:rsid w:val="009717AD"/>
    <w:rsid w:val="00977EC8"/>
    <w:rsid w:val="009B4252"/>
    <w:rsid w:val="009D3A8C"/>
    <w:rsid w:val="009D7D59"/>
    <w:rsid w:val="009E7956"/>
    <w:rsid w:val="009F7F79"/>
    <w:rsid w:val="00A2492E"/>
    <w:rsid w:val="00A8400A"/>
    <w:rsid w:val="00A85799"/>
    <w:rsid w:val="00AC2A67"/>
    <w:rsid w:val="00AC7977"/>
    <w:rsid w:val="00AD41FE"/>
    <w:rsid w:val="00AE352C"/>
    <w:rsid w:val="00B00515"/>
    <w:rsid w:val="00B153ED"/>
    <w:rsid w:val="00B17B31"/>
    <w:rsid w:val="00B22B0B"/>
    <w:rsid w:val="00B32E2D"/>
    <w:rsid w:val="00B510C0"/>
    <w:rsid w:val="00B57784"/>
    <w:rsid w:val="00B61990"/>
    <w:rsid w:val="00B77F7F"/>
    <w:rsid w:val="00B955CB"/>
    <w:rsid w:val="00BA405E"/>
    <w:rsid w:val="00BB6E96"/>
    <w:rsid w:val="00BC0199"/>
    <w:rsid w:val="00BC0A49"/>
    <w:rsid w:val="00BF0556"/>
    <w:rsid w:val="00C17857"/>
    <w:rsid w:val="00C261F8"/>
    <w:rsid w:val="00C475CA"/>
    <w:rsid w:val="00C84D9A"/>
    <w:rsid w:val="00CB2BAF"/>
    <w:rsid w:val="00CB720D"/>
    <w:rsid w:val="00CC1806"/>
    <w:rsid w:val="00CC207F"/>
    <w:rsid w:val="00CC25DC"/>
    <w:rsid w:val="00CD1A71"/>
    <w:rsid w:val="00CD1FBB"/>
    <w:rsid w:val="00D016B5"/>
    <w:rsid w:val="00D034F1"/>
    <w:rsid w:val="00D052ED"/>
    <w:rsid w:val="00D17B03"/>
    <w:rsid w:val="00D27D5E"/>
    <w:rsid w:val="00D43288"/>
    <w:rsid w:val="00D5642C"/>
    <w:rsid w:val="00D652C8"/>
    <w:rsid w:val="00D77E85"/>
    <w:rsid w:val="00D80BC5"/>
    <w:rsid w:val="00DB681C"/>
    <w:rsid w:val="00DC2F07"/>
    <w:rsid w:val="00DE3E9A"/>
    <w:rsid w:val="00DE6D90"/>
    <w:rsid w:val="00DF002F"/>
    <w:rsid w:val="00DF5248"/>
    <w:rsid w:val="00DF5D80"/>
    <w:rsid w:val="00E0244D"/>
    <w:rsid w:val="00E02B22"/>
    <w:rsid w:val="00E50BEB"/>
    <w:rsid w:val="00E5485D"/>
    <w:rsid w:val="00E65FF7"/>
    <w:rsid w:val="00E81E94"/>
    <w:rsid w:val="00E82607"/>
    <w:rsid w:val="00E849E1"/>
    <w:rsid w:val="00EA5BC9"/>
    <w:rsid w:val="00EB3164"/>
    <w:rsid w:val="00EB3B70"/>
    <w:rsid w:val="00EC181F"/>
    <w:rsid w:val="00EC6E49"/>
    <w:rsid w:val="00F35D42"/>
    <w:rsid w:val="00FA5A79"/>
    <w:rsid w:val="00FB0BFE"/>
    <w:rsid w:val="00FB40E3"/>
    <w:rsid w:val="00FB439B"/>
    <w:rsid w:val="00FB4C51"/>
    <w:rsid w:val="00FD2245"/>
    <w:rsid w:val="00FD511F"/>
    <w:rsid w:val="00FF0E21"/>
    <w:rsid w:val="00FF1DBD"/>
    <w:rsid w:val="00FF6A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E54"/>
    <w:pPr>
      <w:suppressAutoHyphens/>
      <w:spacing w:line="240" w:lineRule="atLeast"/>
    </w:pPr>
    <w:rPr>
      <w:lang w:val="fr-CH"/>
    </w:rPr>
  </w:style>
  <w:style w:type="paragraph" w:styleId="Heading1">
    <w:name w:val="heading 1"/>
    <w:aliases w:val="Table_G"/>
    <w:basedOn w:val="SingleTxtG"/>
    <w:next w:val="SingleTxtG"/>
    <w:qFormat/>
    <w:rsid w:val="00225E54"/>
    <w:pPr>
      <w:keepNext/>
      <w:keepLines/>
      <w:spacing w:after="0" w:line="240" w:lineRule="auto"/>
      <w:ind w:right="0"/>
      <w:jc w:val="left"/>
      <w:outlineLvl w:val="0"/>
    </w:pPr>
  </w:style>
  <w:style w:type="paragraph" w:styleId="Heading2">
    <w:name w:val="heading 2"/>
    <w:basedOn w:val="Normal"/>
    <w:next w:val="Normal"/>
    <w:qFormat/>
    <w:rsid w:val="00225E54"/>
    <w:pPr>
      <w:outlineLvl w:val="1"/>
    </w:pPr>
  </w:style>
  <w:style w:type="paragraph" w:styleId="Heading3">
    <w:name w:val="heading 3"/>
    <w:basedOn w:val="Normal"/>
    <w:next w:val="Normal"/>
    <w:qFormat/>
    <w:rsid w:val="00225E54"/>
    <w:pPr>
      <w:outlineLvl w:val="2"/>
    </w:pPr>
  </w:style>
  <w:style w:type="paragraph" w:styleId="Heading4">
    <w:name w:val="heading 4"/>
    <w:basedOn w:val="Normal"/>
    <w:next w:val="Normal"/>
    <w:qFormat/>
    <w:rsid w:val="00225E54"/>
    <w:pPr>
      <w:outlineLvl w:val="3"/>
    </w:pPr>
  </w:style>
  <w:style w:type="paragraph" w:styleId="Heading5">
    <w:name w:val="heading 5"/>
    <w:basedOn w:val="Normal"/>
    <w:next w:val="Normal"/>
    <w:qFormat/>
    <w:rsid w:val="00225E54"/>
    <w:pPr>
      <w:outlineLvl w:val="4"/>
    </w:pPr>
  </w:style>
  <w:style w:type="paragraph" w:styleId="Heading6">
    <w:name w:val="heading 6"/>
    <w:basedOn w:val="Normal"/>
    <w:next w:val="Normal"/>
    <w:qFormat/>
    <w:rsid w:val="00225E54"/>
    <w:pPr>
      <w:outlineLvl w:val="5"/>
    </w:pPr>
  </w:style>
  <w:style w:type="paragraph" w:styleId="Heading7">
    <w:name w:val="heading 7"/>
    <w:basedOn w:val="Normal"/>
    <w:next w:val="Normal"/>
    <w:qFormat/>
    <w:rsid w:val="00225E54"/>
    <w:pPr>
      <w:outlineLvl w:val="6"/>
    </w:pPr>
  </w:style>
  <w:style w:type="paragraph" w:styleId="Heading8">
    <w:name w:val="heading 8"/>
    <w:basedOn w:val="Normal"/>
    <w:next w:val="Normal"/>
    <w:qFormat/>
    <w:rsid w:val="00225E54"/>
    <w:pPr>
      <w:outlineLvl w:val="7"/>
    </w:pPr>
  </w:style>
  <w:style w:type="paragraph" w:styleId="Heading9">
    <w:name w:val="heading 9"/>
    <w:basedOn w:val="Normal"/>
    <w:next w:val="Normal"/>
    <w:qFormat/>
    <w:rsid w:val="00225E54"/>
    <w:pPr>
      <w:outlineLvl w:val="8"/>
    </w:pPr>
  </w:style>
  <w:style w:type="character" w:default="1" w:styleId="DefaultParagraphFont">
    <w:name w:val="Default Paragraph Font"/>
    <w:semiHidden/>
    <w:rsid w:val="00225E5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25E54"/>
  </w:style>
  <w:style w:type="paragraph" w:customStyle="1" w:styleId="HMG">
    <w:name w:val="_ H __M_G"/>
    <w:basedOn w:val="Normal"/>
    <w:next w:val="Normal"/>
    <w:rsid w:val="00225E5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225E5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225E5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225E5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225E5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225E5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225E54"/>
    <w:pPr>
      <w:spacing w:after="120"/>
      <w:ind w:left="1134" w:right="1134"/>
      <w:jc w:val="both"/>
    </w:pPr>
  </w:style>
  <w:style w:type="paragraph" w:customStyle="1" w:styleId="SLG">
    <w:name w:val="__S_L_G"/>
    <w:basedOn w:val="Normal"/>
    <w:next w:val="Normal"/>
    <w:rsid w:val="00225E54"/>
    <w:pPr>
      <w:keepNext/>
      <w:keepLines/>
      <w:spacing w:before="240" w:after="240" w:line="580" w:lineRule="exact"/>
      <w:ind w:left="1134" w:right="1134"/>
    </w:pPr>
    <w:rPr>
      <w:b/>
      <w:sz w:val="56"/>
    </w:rPr>
  </w:style>
  <w:style w:type="paragraph" w:customStyle="1" w:styleId="SMG">
    <w:name w:val="__S_M_G"/>
    <w:basedOn w:val="Normal"/>
    <w:next w:val="Normal"/>
    <w:rsid w:val="00225E54"/>
    <w:pPr>
      <w:keepNext/>
      <w:keepLines/>
      <w:spacing w:before="240" w:after="240" w:line="420" w:lineRule="exact"/>
      <w:ind w:left="1134" w:right="1134"/>
    </w:pPr>
    <w:rPr>
      <w:b/>
      <w:sz w:val="40"/>
    </w:rPr>
  </w:style>
  <w:style w:type="paragraph" w:customStyle="1" w:styleId="SSG">
    <w:name w:val="__S_S_G"/>
    <w:basedOn w:val="Normal"/>
    <w:next w:val="Normal"/>
    <w:rsid w:val="00225E54"/>
    <w:pPr>
      <w:keepNext/>
      <w:keepLines/>
      <w:spacing w:before="240" w:after="240" w:line="300" w:lineRule="exact"/>
      <w:ind w:left="1134" w:right="1134"/>
    </w:pPr>
    <w:rPr>
      <w:b/>
      <w:sz w:val="28"/>
    </w:rPr>
  </w:style>
  <w:style w:type="paragraph" w:customStyle="1" w:styleId="XLargeG">
    <w:name w:val="__XLarge_G"/>
    <w:basedOn w:val="Normal"/>
    <w:next w:val="Normal"/>
    <w:rsid w:val="00225E54"/>
    <w:pPr>
      <w:keepNext/>
      <w:keepLines/>
      <w:spacing w:before="240" w:after="240" w:line="420" w:lineRule="exact"/>
      <w:ind w:left="1134" w:right="1134"/>
    </w:pPr>
    <w:rPr>
      <w:b/>
      <w:sz w:val="40"/>
    </w:rPr>
  </w:style>
  <w:style w:type="paragraph" w:customStyle="1" w:styleId="Bullet1G">
    <w:name w:val="_Bullet 1_G"/>
    <w:basedOn w:val="Normal"/>
    <w:rsid w:val="00225E54"/>
    <w:pPr>
      <w:numPr>
        <w:numId w:val="7"/>
      </w:numPr>
      <w:spacing w:after="120"/>
      <w:ind w:right="1134"/>
      <w:jc w:val="both"/>
    </w:pPr>
  </w:style>
  <w:style w:type="paragraph" w:customStyle="1" w:styleId="Bullet2G">
    <w:name w:val="_Bullet 2_G"/>
    <w:basedOn w:val="Normal"/>
    <w:rsid w:val="00225E54"/>
    <w:pPr>
      <w:numPr>
        <w:numId w:val="8"/>
      </w:numPr>
      <w:spacing w:after="120"/>
      <w:ind w:right="1134"/>
      <w:jc w:val="both"/>
    </w:pPr>
  </w:style>
  <w:style w:type="character" w:styleId="FootnoteReference">
    <w:name w:val="footnote reference"/>
    <w:aliases w:val="4_G,Footnote number,ftref"/>
    <w:basedOn w:val="DefaultParagraphFont"/>
    <w:rsid w:val="00225E54"/>
    <w:rPr>
      <w:rFonts w:ascii="Times New Roman" w:hAnsi="Times New Roman"/>
      <w:sz w:val="18"/>
      <w:vertAlign w:val="superscript"/>
      <w:lang w:val="fr-CH"/>
    </w:rPr>
  </w:style>
  <w:style w:type="character" w:styleId="EndnoteReference">
    <w:name w:val="endnote reference"/>
    <w:aliases w:val="1_G"/>
    <w:basedOn w:val="FootnoteReference"/>
    <w:rsid w:val="00225E54"/>
  </w:style>
  <w:style w:type="paragraph" w:styleId="FootnoteText">
    <w:name w:val="footnote text"/>
    <w:aliases w:val="5_G"/>
    <w:basedOn w:val="Normal"/>
    <w:rsid w:val="00225E54"/>
    <w:pPr>
      <w:tabs>
        <w:tab w:val="right" w:pos="1021"/>
      </w:tabs>
      <w:spacing w:line="220" w:lineRule="exact"/>
      <w:ind w:left="1134" w:right="1134" w:hanging="1134"/>
    </w:pPr>
    <w:rPr>
      <w:sz w:val="18"/>
    </w:rPr>
  </w:style>
  <w:style w:type="paragraph" w:styleId="EndnoteText">
    <w:name w:val="endnote text"/>
    <w:aliases w:val="2_G"/>
    <w:basedOn w:val="FootnoteText"/>
    <w:rsid w:val="00225E54"/>
  </w:style>
  <w:style w:type="character" w:styleId="PageNumber">
    <w:name w:val="page number"/>
    <w:aliases w:val="7_G"/>
    <w:basedOn w:val="DefaultParagraphFont"/>
    <w:rsid w:val="00225E54"/>
    <w:rPr>
      <w:rFonts w:ascii="Times New Roman" w:hAnsi="Times New Roman"/>
      <w:b/>
      <w:sz w:val="18"/>
      <w:lang w:val="fr-CH"/>
    </w:rPr>
  </w:style>
  <w:style w:type="paragraph" w:styleId="Footer">
    <w:name w:val="footer"/>
    <w:aliases w:val="3_G"/>
    <w:basedOn w:val="Normal"/>
    <w:next w:val="Normal"/>
    <w:rsid w:val="00225E54"/>
    <w:pPr>
      <w:spacing w:line="240" w:lineRule="auto"/>
    </w:pPr>
    <w:rPr>
      <w:sz w:val="16"/>
    </w:rPr>
  </w:style>
  <w:style w:type="paragraph" w:customStyle="1" w:styleId="ParNoG">
    <w:name w:val="_ParNo_G"/>
    <w:basedOn w:val="SingleTxtG"/>
    <w:rsid w:val="001C16FD"/>
    <w:pPr>
      <w:numPr>
        <w:numId w:val="9"/>
      </w:numPr>
    </w:pPr>
  </w:style>
  <w:style w:type="paragraph" w:styleId="Header">
    <w:name w:val="header"/>
    <w:aliases w:val="6_G"/>
    <w:basedOn w:val="Normal"/>
    <w:next w:val="Normal"/>
    <w:rsid w:val="00225E54"/>
    <w:pPr>
      <w:pBdr>
        <w:bottom w:val="single" w:sz="4" w:space="4" w:color="auto"/>
      </w:pBdr>
      <w:spacing w:line="240" w:lineRule="auto"/>
    </w:pPr>
    <w:rPr>
      <w:b/>
      <w:sz w:val="18"/>
    </w:rPr>
  </w:style>
  <w:style w:type="table" w:styleId="TableGrid">
    <w:name w:val="Table Grid"/>
    <w:basedOn w:val="TableNormal"/>
    <w:semiHidden/>
    <w:rsid w:val="00225E5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225E54"/>
    <w:rPr>
      <w:color w:val="auto"/>
      <w:u w:val="none"/>
    </w:rPr>
  </w:style>
  <w:style w:type="character" w:styleId="FollowedHyperlink">
    <w:name w:val="FollowedHyperlink"/>
    <w:basedOn w:val="DefaultParagraphFont"/>
    <w:semiHidden/>
    <w:rsid w:val="00225E54"/>
    <w:rPr>
      <w:color w:val="auto"/>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CCPR2.dot</Template>
  <TotalTime>0</TotalTime>
  <Pages>14</Pages>
  <Words>6761</Words>
  <Characters>37187</Characters>
  <Application>Microsoft Office Outlook</Application>
  <DocSecurity>4</DocSecurity>
  <Lines>309</Lines>
  <Paragraphs>87</Paragraphs>
  <ScaleCrop>false</ScaleCrop>
  <HeadingPairs>
    <vt:vector size="2" baseType="variant">
      <vt:variant>
        <vt:lpstr>Titre</vt:lpstr>
      </vt:variant>
      <vt:variant>
        <vt:i4>1</vt:i4>
      </vt:variant>
    </vt:vector>
  </HeadingPairs>
  <TitlesOfParts>
    <vt:vector size="1" baseType="lpstr">
      <vt:lpstr>CCPR/C/109/D/1764/2008</vt:lpstr>
    </vt:vector>
  </TitlesOfParts>
  <Company>CSD</Company>
  <LinksUpToDate>false</LinksUpToDate>
  <CharactersWithSpaces>43861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CCPR/C/109/D/1764/2008</dc:title>
  <dc:subject>FINAL</dc:subject>
  <dc:creator>C. ROBERT</dc:creator>
  <cp:keywords/>
  <dc:description/>
  <cp:lastModifiedBy>C. ROBERT</cp:lastModifiedBy>
  <cp:revision>2</cp:revision>
  <cp:lastPrinted>2013-12-12T13:01:00Z</cp:lastPrinted>
  <dcterms:created xsi:type="dcterms:W3CDTF">2013-12-12T13:58:00Z</dcterms:created>
  <dcterms:modified xsi:type="dcterms:W3CDTF">2013-12-12T13:58:00Z</dcterms:modified>
</cp:coreProperties>
</file>