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F82779">
                <w:t>C/109/D/1856/2008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F82779">
                <w:rPr>
                  <w:lang w:val="en-US"/>
                </w:rPr>
                <w:t>2 December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82779" w:rsidRPr="00F82779" w:rsidRDefault="00F82779" w:rsidP="00F82779">
      <w:pPr>
        <w:spacing w:before="120"/>
        <w:rPr>
          <w:b/>
          <w:sz w:val="24"/>
          <w:szCs w:val="24"/>
        </w:rPr>
      </w:pPr>
      <w:r w:rsidRPr="00F82779">
        <w:rPr>
          <w:b/>
          <w:sz w:val="24"/>
          <w:szCs w:val="24"/>
        </w:rPr>
        <w:t>Комитет по правам человека</w:t>
      </w:r>
    </w:p>
    <w:p w:rsidR="00F82779" w:rsidRPr="00F82779" w:rsidRDefault="00F82779" w:rsidP="00F82779">
      <w:pPr>
        <w:pStyle w:val="HChGR"/>
      </w:pPr>
      <w:r w:rsidRPr="00F82779">
        <w:tab/>
      </w:r>
      <w:r w:rsidRPr="00F82779">
        <w:tab/>
        <w:t>Сообщение № 1856/2008</w:t>
      </w:r>
    </w:p>
    <w:p w:rsidR="00F82779" w:rsidRDefault="00F82779" w:rsidP="00F82779">
      <w:pPr>
        <w:pStyle w:val="H1GR"/>
        <w:rPr>
          <w:lang w:val="en-US"/>
        </w:rPr>
      </w:pPr>
      <w:r w:rsidRPr="00F82779">
        <w:tab/>
      </w:r>
      <w:r w:rsidRPr="00F82779">
        <w:tab/>
        <w:t xml:space="preserve">Соображения, принятые Комитетом на его 109-й сессии </w:t>
      </w:r>
      <w:r w:rsidRPr="00F82779">
        <w:br/>
        <w:t>(14 октября−1 ноября 2013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F82779" w:rsidRPr="00001A5A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F82779" w:rsidRPr="00001A5A" w:rsidRDefault="00F82779" w:rsidP="00F82779">
            <w:pPr>
              <w:spacing w:after="120" w:line="240" w:lineRule="auto"/>
            </w:pPr>
            <w:r w:rsidRPr="00F82779">
              <w:t xml:space="preserve">Сергеем Семеновичем </w:t>
            </w:r>
            <w:proofErr w:type="spellStart"/>
            <w:r w:rsidRPr="00F82779">
              <w:t>Севостьяновым</w:t>
            </w:r>
            <w:proofErr w:type="spellEnd"/>
            <w:r w:rsidRPr="00F82779">
              <w:t xml:space="preserve"> (адвокатом не представлен)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F82779" w:rsidRPr="00F82779" w:rsidRDefault="00F82779" w:rsidP="00F8277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line="240" w:lineRule="auto"/>
              <w:ind w:left="0"/>
            </w:pPr>
            <w:r w:rsidRPr="00F82779">
              <w:t>автор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F82779" w:rsidRPr="00F82779" w:rsidRDefault="00F82779" w:rsidP="00F8277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line="240" w:lineRule="auto"/>
              <w:ind w:left="0"/>
            </w:pPr>
            <w:r w:rsidRPr="00F82779">
              <w:t>Российская Федерация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F82779" w:rsidRPr="002A4F6C" w:rsidRDefault="00F82779" w:rsidP="00F82779">
            <w:pPr>
              <w:spacing w:after="120" w:line="240" w:lineRule="auto"/>
            </w:pPr>
            <w:r w:rsidRPr="00F82779">
              <w:t xml:space="preserve">28 ноября 2006 года </w:t>
            </w:r>
            <w:r w:rsidR="008F1A90">
              <w:br/>
            </w:r>
            <w:r w:rsidRPr="00F82779">
              <w:t>(первоначальное представление)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F82779" w:rsidRDefault="00F82779" w:rsidP="00F82779">
            <w:pPr>
              <w:spacing w:after="120" w:line="240" w:lineRule="auto"/>
            </w:pPr>
            <w:r w:rsidRPr="00F82779">
              <w:t>решение Специального докладчика в соответствии с правилом 97, препровожденное государству-участнику 29 декабря 2008 года (в виде документа не издавалось)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proofErr w:type="spellStart"/>
            <w:r>
              <w:rPr>
                <w:i/>
              </w:rPr>
              <w:t>C</w:t>
            </w:r>
            <w:r w:rsidRPr="00CB613D">
              <w:rPr>
                <w:i/>
              </w:rPr>
              <w:t>оображений</w:t>
            </w:r>
            <w:proofErr w:type="spellEnd"/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F82779" w:rsidRDefault="00F82779" w:rsidP="00F82779">
            <w:pPr>
              <w:spacing w:after="120" w:line="240" w:lineRule="auto"/>
            </w:pPr>
            <w:r w:rsidRPr="00F82779">
              <w:t>1 ноября 2013 года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F82779" w:rsidRDefault="00F82779" w:rsidP="00F82779">
            <w:pPr>
              <w:spacing w:after="120" w:line="240" w:lineRule="auto"/>
            </w:pPr>
            <w:r w:rsidRPr="00F82779">
              <w:t>произвольное задержание; несправедливое судебное разбирательство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F82779" w:rsidRDefault="00F82779" w:rsidP="00F82779">
            <w:pPr>
              <w:spacing w:after="120" w:line="240" w:lineRule="auto"/>
            </w:pPr>
            <w:r w:rsidRPr="00F82779">
              <w:rPr>
                <w:iCs/>
              </w:rPr>
              <w:t>исчерпание внутренних средств правовой защиты</w:t>
            </w:r>
            <w:r w:rsidRPr="00F82779">
              <w:t xml:space="preserve">; степень обоснованности </w:t>
            </w:r>
            <w:r>
              <w:t xml:space="preserve">жалобы 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F82779" w:rsidRDefault="00F82779" w:rsidP="00F82779">
            <w:pPr>
              <w:spacing w:after="120" w:line="240" w:lineRule="auto"/>
            </w:pPr>
            <w:r w:rsidRPr="00F82779">
              <w:t>произвольное задержание</w:t>
            </w:r>
            <w:r w:rsidRPr="00F82779">
              <w:rPr>
                <w:iCs/>
              </w:rPr>
              <w:t xml:space="preserve"> и право оспорить задержание в суде; равенство перед судами; презумпция невиновности; допрос свидетелей; рассмотрение обвинительного приговора и меры наказания вышестоящим судом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F82779" w:rsidRPr="00F82779" w:rsidRDefault="00F82779" w:rsidP="00F8277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line="240" w:lineRule="auto"/>
              <w:ind w:left="0"/>
            </w:pPr>
            <w:r w:rsidRPr="00F82779">
              <w:t xml:space="preserve">9, пункты 1 и 4; 14, пункты 1, 2, 3 </w:t>
            </w:r>
            <w:proofErr w:type="spellStart"/>
            <w:r w:rsidRPr="00F82779">
              <w:t>e</w:t>
            </w:r>
            <w:proofErr w:type="spellEnd"/>
            <w:r w:rsidRPr="00F82779">
              <w:t>) и 5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F82779">
            <w:pPr>
              <w:spacing w:after="120" w:line="240" w:lineRule="auto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F82779" w:rsidRPr="00F82779" w:rsidRDefault="00F82779" w:rsidP="00F8277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line="240" w:lineRule="auto"/>
              <w:ind w:left="0"/>
            </w:pPr>
            <w:r w:rsidRPr="00F82779">
              <w:rPr>
                <w:iCs/>
              </w:rPr>
              <w:t xml:space="preserve">2; </w:t>
            </w:r>
            <w:r w:rsidRPr="00F82779">
              <w:t>5, пункт 2 b)</w:t>
            </w:r>
          </w:p>
        </w:tc>
      </w:tr>
    </w:tbl>
    <w:p w:rsidR="00F82779" w:rsidRPr="00F82779" w:rsidRDefault="00F82779" w:rsidP="00F82779">
      <w:pPr>
        <w:pStyle w:val="HChGR"/>
      </w:pPr>
      <w:r w:rsidRPr="00F82779">
        <w:t>Приложение</w:t>
      </w:r>
    </w:p>
    <w:p w:rsidR="00F82779" w:rsidRPr="00F82779" w:rsidRDefault="00F82779" w:rsidP="00F82779">
      <w:pPr>
        <w:pStyle w:val="HChGR"/>
        <w:rPr>
          <w:bCs/>
        </w:rPr>
      </w:pPr>
      <w:r w:rsidRPr="00F82779">
        <w:tab/>
      </w:r>
      <w:r w:rsidRPr="00F82779">
        <w:tab/>
        <w:t xml:space="preserve">Соображения Комитета по правам человека </w:t>
      </w:r>
      <w:r w:rsidRPr="00F82779">
        <w:br/>
        <w:t>в соответствии с</w:t>
      </w:r>
      <w:r>
        <w:t xml:space="preserve"> </w:t>
      </w:r>
      <w:r w:rsidRPr="00F82779">
        <w:t>пунктом 4 статьи 5 Факультативного протокола к Международному пакту о гражданских</w:t>
      </w:r>
      <w:r w:rsidRPr="00F82779">
        <w:br/>
        <w:t>и политических правах (109-я сессия</w:t>
      </w:r>
      <w:r w:rsidRPr="00F82779">
        <w:rPr>
          <w:bCs/>
        </w:rPr>
        <w:t>)</w:t>
      </w:r>
    </w:p>
    <w:p w:rsidR="00F82779" w:rsidRPr="00F82779" w:rsidRDefault="00F82779" w:rsidP="00F82779">
      <w:pPr>
        <w:pStyle w:val="SingleTxtGR"/>
      </w:pPr>
      <w:r w:rsidRPr="00F82779">
        <w:t>относительно</w:t>
      </w:r>
    </w:p>
    <w:p w:rsidR="00F82779" w:rsidRDefault="00F82779" w:rsidP="00F82779">
      <w:pPr>
        <w:pStyle w:val="H1GR"/>
        <w:rPr>
          <w:bCs/>
        </w:rPr>
      </w:pPr>
      <w:r w:rsidRPr="00F82779">
        <w:tab/>
      </w:r>
      <w:r w:rsidRPr="00F82779">
        <w:tab/>
        <w:t>Сообщения № 1856/2008</w:t>
      </w:r>
      <w:r w:rsidRPr="00F82779">
        <w:rPr>
          <w:b w:val="0"/>
          <w:bCs/>
          <w:sz w:val="20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F82779" w:rsidRPr="00001A5A" w:rsidTr="0065409C">
        <w:tc>
          <w:tcPr>
            <w:tcW w:w="2933" w:type="dxa"/>
          </w:tcPr>
          <w:p w:rsidR="00F82779" w:rsidRPr="00CB613D" w:rsidRDefault="00F82779" w:rsidP="0065409C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F82779" w:rsidRPr="00001A5A" w:rsidRDefault="00F82779" w:rsidP="0065409C">
            <w:pPr>
              <w:spacing w:after="120" w:line="240" w:lineRule="auto"/>
            </w:pPr>
            <w:r w:rsidRPr="00F82779">
              <w:t xml:space="preserve">Сергеем Семеновичем </w:t>
            </w:r>
            <w:proofErr w:type="spellStart"/>
            <w:r w:rsidRPr="00F82779">
              <w:t>Севостьяновым</w:t>
            </w:r>
            <w:proofErr w:type="spellEnd"/>
            <w:r w:rsidRPr="00F82779">
              <w:t xml:space="preserve"> (адвокатом не представлен)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65409C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F82779" w:rsidRPr="00F82779" w:rsidRDefault="00F82779" w:rsidP="0065409C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line="240" w:lineRule="auto"/>
              <w:ind w:left="0"/>
            </w:pPr>
            <w:r w:rsidRPr="00F82779">
              <w:t>автор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65409C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F82779" w:rsidRPr="00F82779" w:rsidRDefault="00F82779" w:rsidP="0065409C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line="240" w:lineRule="auto"/>
              <w:ind w:left="0"/>
            </w:pPr>
            <w:r w:rsidRPr="00F82779">
              <w:t>Российская Федерация</w:t>
            </w:r>
          </w:p>
        </w:tc>
      </w:tr>
      <w:tr w:rsidR="00F82779" w:rsidTr="0065409C">
        <w:tc>
          <w:tcPr>
            <w:tcW w:w="2933" w:type="dxa"/>
          </w:tcPr>
          <w:p w:rsidR="00F82779" w:rsidRPr="00CB613D" w:rsidRDefault="00F82779" w:rsidP="0065409C">
            <w:pPr>
              <w:spacing w:after="120" w:line="240" w:lineRule="auto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F82779" w:rsidRPr="002A4F6C" w:rsidRDefault="00F82779" w:rsidP="0065409C">
            <w:pPr>
              <w:spacing w:after="120" w:line="240" w:lineRule="auto"/>
            </w:pPr>
            <w:r w:rsidRPr="00F82779">
              <w:t xml:space="preserve">28 ноября 2006 года </w:t>
            </w:r>
            <w:r>
              <w:br/>
            </w:r>
            <w:r w:rsidRPr="00F82779">
              <w:t>(первоначальное представление)</w:t>
            </w:r>
          </w:p>
        </w:tc>
      </w:tr>
    </w:tbl>
    <w:p w:rsidR="00F82779" w:rsidRPr="00F82779" w:rsidRDefault="00F82779" w:rsidP="00F82779">
      <w:pPr>
        <w:pStyle w:val="SingleTxtGR"/>
      </w:pPr>
      <w:r w:rsidRPr="00F82779">
        <w:tab/>
      </w:r>
      <w:r w:rsidRPr="00F82779">
        <w:rPr>
          <w:i/>
        </w:rPr>
        <w:t>Комитет по правам человека</w:t>
      </w:r>
      <w:r w:rsidRPr="00F82779">
        <w:t xml:space="preserve">, учрежденный в соответствии со статьей 28 Международного пакта о гражданских и политических правах, </w:t>
      </w:r>
    </w:p>
    <w:p w:rsidR="00F82779" w:rsidRPr="00F82779" w:rsidRDefault="00F82779" w:rsidP="00F82779">
      <w:pPr>
        <w:pStyle w:val="SingleTxtGR"/>
      </w:pPr>
      <w:r w:rsidRPr="00F82779">
        <w:tab/>
      </w:r>
      <w:r w:rsidRPr="00F82779">
        <w:rPr>
          <w:i/>
        </w:rPr>
        <w:t xml:space="preserve">на своем заседании </w:t>
      </w:r>
      <w:r w:rsidRPr="00F82779">
        <w:t>1 ноября 2013 года,</w:t>
      </w:r>
    </w:p>
    <w:p w:rsidR="00F82779" w:rsidRPr="00F82779" w:rsidRDefault="00F82779" w:rsidP="00F82779">
      <w:pPr>
        <w:pStyle w:val="SingleTxtGR"/>
      </w:pPr>
      <w:r w:rsidRPr="00F82779">
        <w:tab/>
      </w:r>
      <w:r w:rsidRPr="00F82779">
        <w:rPr>
          <w:i/>
        </w:rPr>
        <w:t>завершив рассмотрение</w:t>
      </w:r>
      <w:r w:rsidRPr="00F82779">
        <w:t xml:space="preserve"> сообщения № 1856/2008, представленного Ком</w:t>
      </w:r>
      <w:r w:rsidRPr="00F82779">
        <w:t>и</w:t>
      </w:r>
      <w:r w:rsidRPr="00F82779">
        <w:t xml:space="preserve">тету по правам человека Сергеем Семеновичем </w:t>
      </w:r>
      <w:proofErr w:type="spellStart"/>
      <w:r w:rsidRPr="00F82779">
        <w:t>Севостьяновым</w:t>
      </w:r>
      <w:proofErr w:type="spellEnd"/>
      <w:r w:rsidRPr="00F82779">
        <w:t xml:space="preserve"> в соответствии с Факультативным протоколом к Международному пакту о гражданских и п</w:t>
      </w:r>
      <w:r w:rsidRPr="00F82779">
        <w:t>о</w:t>
      </w:r>
      <w:r w:rsidRPr="00F82779">
        <w:t>литических правах,</w:t>
      </w:r>
    </w:p>
    <w:p w:rsidR="00F82779" w:rsidRPr="00F82779" w:rsidRDefault="00F82779" w:rsidP="00F82779">
      <w:pPr>
        <w:pStyle w:val="SingleTxtGR"/>
      </w:pPr>
      <w:r w:rsidRPr="00F82779">
        <w:tab/>
      </w:r>
      <w:r w:rsidRPr="00F82779">
        <w:rPr>
          <w:i/>
        </w:rPr>
        <w:t>принимая во внимание</w:t>
      </w:r>
      <w:r w:rsidRPr="00F82779">
        <w:t xml:space="preserve"> всю письменную информацию, представленную ему автором сообщения и государством-участником,</w:t>
      </w:r>
    </w:p>
    <w:p w:rsidR="00F82779" w:rsidRPr="00F82779" w:rsidRDefault="00F82779" w:rsidP="00F82779">
      <w:pPr>
        <w:pStyle w:val="SingleTxtGR"/>
      </w:pPr>
      <w:r w:rsidRPr="00F82779">
        <w:tab/>
      </w:r>
      <w:r w:rsidRPr="00F82779">
        <w:rPr>
          <w:i/>
        </w:rPr>
        <w:t>принимает следующие</w:t>
      </w:r>
      <w:r w:rsidRPr="00F82779">
        <w:t>:</w:t>
      </w:r>
    </w:p>
    <w:p w:rsidR="00F82779" w:rsidRPr="00F82779" w:rsidRDefault="00F82779" w:rsidP="00F82779">
      <w:pPr>
        <w:pStyle w:val="H1GR"/>
      </w:pPr>
      <w:r w:rsidRPr="00F82779">
        <w:tab/>
      </w:r>
      <w:r w:rsidRPr="00F82779">
        <w:tab/>
        <w:t>Соображения в соответствии с пунктом 4 статьи 5 Факультативного протокола</w:t>
      </w:r>
    </w:p>
    <w:p w:rsidR="00F82779" w:rsidRPr="00F82779" w:rsidRDefault="00F82779" w:rsidP="00F82779">
      <w:pPr>
        <w:pStyle w:val="SingleTxtGR"/>
      </w:pPr>
      <w:r w:rsidRPr="00F82779">
        <w:t>1.</w:t>
      </w:r>
      <w:r w:rsidRPr="00F82779">
        <w:tab/>
        <w:t xml:space="preserve">Автором сообщения является Сергей Семенович </w:t>
      </w:r>
      <w:proofErr w:type="spellStart"/>
      <w:r w:rsidRPr="00F82779">
        <w:t>Севостьянов</w:t>
      </w:r>
      <w:proofErr w:type="spellEnd"/>
      <w:r w:rsidRPr="00F82779">
        <w:t>, гражданин Российской Федерации, родившийся в 1960 году и в настоящее время отб</w:t>
      </w:r>
      <w:r w:rsidRPr="00F82779">
        <w:t>ы</w:t>
      </w:r>
      <w:r w:rsidRPr="00F82779">
        <w:t xml:space="preserve">вающий наказание, связанное с лишением свободы, в Российской Федерации. Он утверждает, что является жертвой нарушения государством-участником его прав в соответствии с пунктами 1 и 4 статьи 9; и пунктами 1, 2, 3 </w:t>
      </w:r>
      <w:proofErr w:type="spellStart"/>
      <w:r w:rsidRPr="00F82779">
        <w:t>e</w:t>
      </w:r>
      <w:proofErr w:type="spellEnd"/>
      <w:r w:rsidRPr="00F82779">
        <w:t>) и 5 ст</w:t>
      </w:r>
      <w:r w:rsidRPr="00F82779">
        <w:t>а</w:t>
      </w:r>
      <w:r w:rsidRPr="00F82779">
        <w:t>тьи</w:t>
      </w:r>
      <w:r>
        <w:t> </w:t>
      </w:r>
      <w:r w:rsidRPr="00F82779">
        <w:t>14 Международного пакта о гражданских и политических правах</w:t>
      </w:r>
      <w:r w:rsidRPr="008F1A90">
        <w:rPr>
          <w:sz w:val="18"/>
          <w:szCs w:val="18"/>
          <w:vertAlign w:val="superscript"/>
        </w:rPr>
        <w:footnoteReference w:id="2"/>
      </w:r>
      <w:r w:rsidRPr="00F82779">
        <w:t xml:space="preserve">. Автор представлен своей супругой г-жой </w:t>
      </w:r>
      <w:proofErr w:type="spellStart"/>
      <w:r w:rsidRPr="00F82779">
        <w:t>Севостьяновой</w:t>
      </w:r>
      <w:proofErr w:type="spellEnd"/>
      <w:r w:rsidRPr="00F82779">
        <w:t>.</w:t>
      </w:r>
    </w:p>
    <w:p w:rsidR="00F82779" w:rsidRPr="00F82779" w:rsidRDefault="00F82779" w:rsidP="00F82779">
      <w:pPr>
        <w:pStyle w:val="H23GR"/>
      </w:pPr>
      <w:r w:rsidRPr="00F82779">
        <w:tab/>
      </w:r>
      <w:r w:rsidRPr="00F82779">
        <w:tab/>
        <w:t>Обстоятельства дела</w:t>
      </w:r>
    </w:p>
    <w:p w:rsidR="00F82779" w:rsidRPr="00F82779" w:rsidRDefault="00F82779" w:rsidP="00F82779">
      <w:pPr>
        <w:pStyle w:val="SingleTxtGR"/>
      </w:pPr>
      <w:r w:rsidRPr="00F82779">
        <w:t>2.1</w:t>
      </w:r>
      <w:r w:rsidRPr="00F82779">
        <w:tab/>
        <w:t>Автор и его супруга 25 сентября 2004 года работали на своем дачном уч</w:t>
      </w:r>
      <w:r w:rsidRPr="00F82779">
        <w:t>а</w:t>
      </w:r>
      <w:r w:rsidRPr="00F82779">
        <w:t>стке, когда к ним подошел один из их соседей г-н Микитенко и попросил авт</w:t>
      </w:r>
      <w:r w:rsidRPr="00F82779">
        <w:t>о</w:t>
      </w:r>
      <w:r w:rsidRPr="00F82779">
        <w:t>ра пойти с ним на соседний участок. На окружающих летних дачах последнее время имели место многочисленные случаи краж и грабежей, и г-н Микитенко заявил, что преступники прячутся на соседнем садовом участке. Г-н Микитенко держал в руках пакет, из которого торчал деревянный предмет, похожий на р</w:t>
      </w:r>
      <w:r w:rsidRPr="00F82779">
        <w:t>у</w:t>
      </w:r>
      <w:r w:rsidRPr="00F82779">
        <w:t>коятку топора. Когда автор и г-н Микитенко подходили к этому соседнему да</w:t>
      </w:r>
      <w:r w:rsidRPr="00F82779">
        <w:t>ч</w:t>
      </w:r>
      <w:r w:rsidRPr="00F82779">
        <w:t>ному участку, г-н Микитенко попросил автора подождать его с внешней стор</w:t>
      </w:r>
      <w:r w:rsidRPr="00F82779">
        <w:t>о</w:t>
      </w:r>
      <w:r w:rsidRPr="00F82779">
        <w:t>ны забора, а сам вошел в дом. Несколькими минутами позже автор услышал в доме звук выстрела и решил войти. На пороге он почти столкнулся с г-ном М</w:t>
      </w:r>
      <w:r w:rsidRPr="00F82779">
        <w:t>и</w:t>
      </w:r>
      <w:r w:rsidRPr="00F82779">
        <w:t xml:space="preserve">китенко, который сказал ему, что им нужно немедленно уходить. Заглянув в дом, автор увидел двух молодых людей, у одного из которых нижняя челюсть была в крови. Автор вернулся на свой садовый участок. Вскоре после этого </w:t>
      </w:r>
      <w:r w:rsidR="008F1A90">
        <w:br/>
      </w:r>
      <w:r w:rsidRPr="00F82779">
        <w:t>г-н Микитенко снова проходил мимо садового участка автора и сказал ему, что он серьезно</w:t>
      </w:r>
      <w:r>
        <w:t xml:space="preserve"> ранил </w:t>
      </w:r>
      <w:r w:rsidRPr="00F82779">
        <w:t xml:space="preserve">человека и идет вызывать скорую помощь. </w:t>
      </w:r>
    </w:p>
    <w:p w:rsidR="00F82779" w:rsidRPr="00F82779" w:rsidRDefault="00F82779" w:rsidP="00F82779">
      <w:pPr>
        <w:pStyle w:val="SingleTxtGR"/>
      </w:pPr>
      <w:r w:rsidRPr="00F82779">
        <w:t>2.2</w:t>
      </w:r>
      <w:r w:rsidRPr="00F82779">
        <w:tab/>
        <w:t>В тот же день автор был доставлен в отделение милиции сотрудниками Усть-Илимского отдела внутренних дел для дачи показаний в качестве свидет</w:t>
      </w:r>
      <w:r w:rsidRPr="00F82779">
        <w:t>е</w:t>
      </w:r>
      <w:r w:rsidRPr="00F82779">
        <w:t>ля этого происшествия, а затем был отпущен. Г-н Микитенко был также до</w:t>
      </w:r>
      <w:r w:rsidRPr="00F82779">
        <w:t>с</w:t>
      </w:r>
      <w:r w:rsidRPr="00F82779">
        <w:t>тавлен в то же отделение милиции, а затем арестован по подозрению в сове</w:t>
      </w:r>
      <w:r w:rsidRPr="00F82779">
        <w:t>р</w:t>
      </w:r>
      <w:r w:rsidRPr="00F82779">
        <w:t xml:space="preserve">шении убийства некоего г-на Загребина. </w:t>
      </w:r>
    </w:p>
    <w:p w:rsidR="00F82779" w:rsidRPr="00F82779" w:rsidRDefault="00F82779" w:rsidP="00F82779">
      <w:pPr>
        <w:pStyle w:val="SingleTxtGR"/>
      </w:pPr>
      <w:r w:rsidRPr="00F82779">
        <w:t>2.3</w:t>
      </w:r>
      <w:r w:rsidRPr="00F82779">
        <w:tab/>
        <w:t>Автор 27 сентября 2004 года был вновь доставлен в отделение милиции сотрудниками Усть-Илимского отдела внутренних дел. Пока он ждал в одном из помещений отделения милиции, сотрудник, находившийся в той же комнате, сказал ему с улыбкой, что "у вас семейная традиция убивать людей"</w:t>
      </w:r>
      <w:r w:rsidRPr="008F1A90">
        <w:rPr>
          <w:sz w:val="18"/>
          <w:szCs w:val="18"/>
          <w:vertAlign w:val="superscript"/>
        </w:rPr>
        <w:footnoteReference w:id="3"/>
      </w:r>
      <w:r w:rsidRPr="00F82779">
        <w:t>. После этого в кабинет вошел начальник уголовного розыска и заявил, что свидетель обязательно опознает автора. Затем автора провели в другой кабинет, где след</w:t>
      </w:r>
      <w:r w:rsidRPr="00F82779">
        <w:t>о</w:t>
      </w:r>
      <w:r w:rsidRPr="00F82779">
        <w:t xml:space="preserve">ватель прокуратуры объявил, что сейчас будет проходить опознание убийцы. Автор вместе с двумя другими мужчинами (г-на Микитенко среди них не было) был представлен на опознание в качестве убийцы г-на Загребина свидетелю преступления, некоему г-ну </w:t>
      </w:r>
      <w:proofErr w:type="spellStart"/>
      <w:r w:rsidRPr="00F82779">
        <w:t>Бекрееву</w:t>
      </w:r>
      <w:proofErr w:type="spellEnd"/>
      <w:r w:rsidRPr="00F82779">
        <w:t xml:space="preserve"> (второму несовершеннолетнему человеку, который находился в доме на соседнем дачном участке 25 сентября 2004 года). При процедуре опознания присутствовали две понятые. Следователь спросил свидетеля, знает ли он кого-либо из присутствующих мужчин, и свидетель п</w:t>
      </w:r>
      <w:r w:rsidRPr="00F82779">
        <w:t>о</w:t>
      </w:r>
      <w:r w:rsidRPr="00F82779">
        <w:t>казал в направлении  автора. Тогда следователь спросил свидетеля, тот ли это человек, у которого было ружье, но свидетель ответил, что не знает. Следов</w:t>
      </w:r>
      <w:r w:rsidRPr="00F82779">
        <w:t>а</w:t>
      </w:r>
      <w:r w:rsidRPr="00F82779">
        <w:t>тель задавал этот же вопрос много раз, и, в конце концов, свидетель неохотно признал, что ружье было именно у автора. В конце процедуры опознания  отец свидетеля, бывший сотрудник полиции, спросил следователя, все ли он и его сын сделали правильно. Следователь сделал знак в направлении автора и вывел свидетеля и его отца из помещения. В тот же день автор устно ходатайствовал перед следователем провести экспертизу на отпечатки пальцев и экспертизу на остатки пороха, что могло бы доказать, что он никогда не держал в руках да</w:t>
      </w:r>
      <w:r w:rsidRPr="00F82779">
        <w:t>н</w:t>
      </w:r>
      <w:r w:rsidRPr="00F82779">
        <w:t xml:space="preserve">ное орудие убийства. Это и все последующие устные ходатайства по тому же вопросу были отклонены следователем. </w:t>
      </w:r>
    </w:p>
    <w:p w:rsidR="00F82779" w:rsidRPr="00F82779" w:rsidRDefault="00F82779" w:rsidP="00F82779">
      <w:pPr>
        <w:pStyle w:val="SingleTxtGR"/>
      </w:pPr>
      <w:r w:rsidRPr="00F82779">
        <w:t>2.4</w:t>
      </w:r>
      <w:r w:rsidRPr="00F82779">
        <w:tab/>
        <w:t>Автор содержался под стражей до окончания судебного разбирательства. Он заявляет, что с 25 декабря 2004 года до 12 января 2005 года содержался под стражей на основании телефонных распоряжений следователя.</w:t>
      </w:r>
    </w:p>
    <w:p w:rsidR="00F82779" w:rsidRPr="00F82779" w:rsidRDefault="00F82779" w:rsidP="00F82779">
      <w:pPr>
        <w:pStyle w:val="SingleTxtGR"/>
      </w:pPr>
      <w:r w:rsidRPr="00F82779">
        <w:t>2.5</w:t>
      </w:r>
      <w:r w:rsidRPr="00F82779">
        <w:tab/>
        <w:t xml:space="preserve">Автор далее утверждает, что в ходе предварительного расследования он и его адвокат ходатайствовали о проведении очной ставки между г-ном </w:t>
      </w:r>
      <w:proofErr w:type="spellStart"/>
      <w:r w:rsidRPr="00F82779">
        <w:t>Бекре</w:t>
      </w:r>
      <w:r w:rsidRPr="00F82779">
        <w:t>е</w:t>
      </w:r>
      <w:r w:rsidRPr="00F82779">
        <w:t>вым</w:t>
      </w:r>
      <w:proofErr w:type="spellEnd"/>
      <w:r w:rsidRPr="00F82779">
        <w:t xml:space="preserve"> и г-ном Микитенко, но им было отказано в проведении этого следственн</w:t>
      </w:r>
      <w:r w:rsidRPr="00F82779">
        <w:t>о</w:t>
      </w:r>
      <w:r w:rsidRPr="00F82779">
        <w:t xml:space="preserve">го действия. В неуказанную дату была проведена очная ставка между </w:t>
      </w:r>
      <w:r w:rsidR="00FD7403">
        <w:rPr>
          <w:lang w:val="en-US"/>
        </w:rPr>
        <w:br/>
      </w:r>
      <w:r w:rsidRPr="00F82779">
        <w:t xml:space="preserve">г-ном </w:t>
      </w:r>
      <w:proofErr w:type="spellStart"/>
      <w:r w:rsidRPr="00F82779">
        <w:t>Бекреевым</w:t>
      </w:r>
      <w:proofErr w:type="spellEnd"/>
      <w:r w:rsidRPr="00F82779">
        <w:t xml:space="preserve"> и автором, и г-н </w:t>
      </w:r>
      <w:proofErr w:type="spellStart"/>
      <w:r w:rsidRPr="00F82779">
        <w:t>Бекреев</w:t>
      </w:r>
      <w:proofErr w:type="spellEnd"/>
      <w:r w:rsidRPr="00F82779">
        <w:t xml:space="preserve"> достал из кармана лист бумаги и ч</w:t>
      </w:r>
      <w:r w:rsidRPr="00F82779">
        <w:t>и</w:t>
      </w:r>
      <w:r w:rsidRPr="00F82779">
        <w:t>тал по нему, утверждая, что смертельное ранение было нанесено г-ну Загреб</w:t>
      </w:r>
      <w:r w:rsidRPr="00F82779">
        <w:t>и</w:t>
      </w:r>
      <w:r w:rsidRPr="00F82779">
        <w:t xml:space="preserve">ну автором. Г-н </w:t>
      </w:r>
      <w:proofErr w:type="spellStart"/>
      <w:r w:rsidRPr="00F82779">
        <w:t>Бекреев</w:t>
      </w:r>
      <w:proofErr w:type="spellEnd"/>
      <w:r w:rsidR="00FD7403">
        <w:rPr>
          <w:lang w:val="en-US"/>
        </w:rPr>
        <w:t xml:space="preserve"> </w:t>
      </w:r>
      <w:r w:rsidRPr="00F82779">
        <w:t>далее заявил, что в рассматриваемый день автор был одет в камуфляжный костюм, в то время как многие другие свидетели, включая г-на Микитенко, показали, что в рассматриваемый день автор был одет в спо</w:t>
      </w:r>
      <w:r w:rsidRPr="00F82779">
        <w:t>р</w:t>
      </w:r>
      <w:r w:rsidRPr="00F82779">
        <w:t xml:space="preserve">тивный костюм. </w:t>
      </w:r>
    </w:p>
    <w:p w:rsidR="00F82779" w:rsidRPr="00F82779" w:rsidRDefault="00F82779" w:rsidP="00F82779">
      <w:pPr>
        <w:pStyle w:val="SingleTxtGR"/>
      </w:pPr>
      <w:r w:rsidRPr="00F82779">
        <w:t>2.6</w:t>
      </w:r>
      <w:r w:rsidRPr="00F82779">
        <w:tab/>
        <w:t>Автор 31 мая 2005 года был признан Усть-Илимским городским судом виновным в совершении преступления, предусмотренного частью 1 статьи 105 Уголовного кодекса, за убийство г-на Загребина и приговорен к десяти годам тюремного заключения с содержанием в колонии строгого режима. В ходе с</w:t>
      </w:r>
      <w:r w:rsidRPr="00F82779">
        <w:t>у</w:t>
      </w:r>
      <w:r w:rsidRPr="00F82779">
        <w:t>дебных слушаний оба понятых</w:t>
      </w:r>
      <w:r w:rsidRPr="008F1A90">
        <w:rPr>
          <w:sz w:val="18"/>
          <w:szCs w:val="18"/>
          <w:vertAlign w:val="superscript"/>
        </w:rPr>
        <w:footnoteReference w:id="4"/>
      </w:r>
      <w:r w:rsidRPr="00F82779">
        <w:t>, которые присутствовали на процедуре опозн</w:t>
      </w:r>
      <w:r w:rsidRPr="00F82779">
        <w:t>а</w:t>
      </w:r>
      <w:r w:rsidRPr="00F82779">
        <w:t xml:space="preserve">ния 27 сентября 2004 года, показали, что следователь оказывал давление на </w:t>
      </w:r>
      <w:r w:rsidR="008F1A90">
        <w:br/>
      </w:r>
      <w:r w:rsidRPr="00F82779">
        <w:t xml:space="preserve">г-на </w:t>
      </w:r>
      <w:proofErr w:type="spellStart"/>
      <w:r w:rsidRPr="00F82779">
        <w:t>Бекреева</w:t>
      </w:r>
      <w:proofErr w:type="spellEnd"/>
      <w:r w:rsidRPr="00F82779">
        <w:t xml:space="preserve"> с целью принудить его к опознанию автора. Г-н Микитенко пок</w:t>
      </w:r>
      <w:r w:rsidRPr="00F82779">
        <w:t>а</w:t>
      </w:r>
      <w:r w:rsidRPr="00F82779">
        <w:t>зал в суде, что он пытался отнять у г-на Загребина ружье, когда произошел в</w:t>
      </w:r>
      <w:r w:rsidRPr="00F82779">
        <w:t>ы</w:t>
      </w:r>
      <w:r w:rsidRPr="00F82779">
        <w:t>стрел и г-на Загребин был смертельно ранен. Тем не менее суд заключил, что признание г-на Микитенко в косвенном участии в убийстве г-на Загребина не заслуживает доверия</w:t>
      </w:r>
      <w:r w:rsidRPr="008F1A90">
        <w:rPr>
          <w:sz w:val="18"/>
          <w:szCs w:val="18"/>
          <w:vertAlign w:val="superscript"/>
        </w:rPr>
        <w:footnoteReference w:id="5"/>
      </w:r>
      <w:r w:rsidRPr="00F82779">
        <w:t>.</w:t>
      </w:r>
    </w:p>
    <w:p w:rsidR="00F82779" w:rsidRPr="00F82779" w:rsidRDefault="00F82779" w:rsidP="00F82779">
      <w:pPr>
        <w:pStyle w:val="SingleTxtGR"/>
      </w:pPr>
      <w:r w:rsidRPr="00F82779">
        <w:t>2.7</w:t>
      </w:r>
      <w:r w:rsidRPr="00F82779">
        <w:tab/>
        <w:t>Автор 6 июня 2005 года подал апелляцию на приговор Усть-Илимского городского суда в Судебную коллегию по уголовным делам Иркутского облас</w:t>
      </w:r>
      <w:r w:rsidRPr="00F82779">
        <w:t>т</w:t>
      </w:r>
      <w:r w:rsidRPr="00F82779">
        <w:t>ного суда. В своей апелляции автор утверждал, что суд первой инстанции не принял во внимание важные доказательства. 3 ноября 2005 года Судебная ко</w:t>
      </w:r>
      <w:r w:rsidRPr="00F82779">
        <w:t>л</w:t>
      </w:r>
      <w:r w:rsidRPr="00F82779">
        <w:t>легия по уголовным делам Иркутского областного суда оставила приговор Усть-Илимского городского суда в силе</w:t>
      </w:r>
      <w:r w:rsidRPr="008F1A90">
        <w:rPr>
          <w:sz w:val="18"/>
          <w:szCs w:val="18"/>
          <w:vertAlign w:val="superscript"/>
        </w:rPr>
        <w:footnoteReference w:id="6"/>
      </w:r>
      <w:r w:rsidRPr="00F82779">
        <w:t>.</w:t>
      </w:r>
    </w:p>
    <w:p w:rsidR="00F82779" w:rsidRPr="00F82779" w:rsidRDefault="00F82779" w:rsidP="00F82779">
      <w:pPr>
        <w:pStyle w:val="SingleTxtGR"/>
      </w:pPr>
      <w:r w:rsidRPr="00F82779">
        <w:t>2.8</w:t>
      </w:r>
      <w:r w:rsidRPr="00F82779">
        <w:tab/>
        <w:t>В неуказанную дату автор подал ходатайство о возбуждении надзорного производства в Президиум Иркутского областного суда. В своем ходатайстве он, в частности, утверждал, что суд кассационной инстанции не учел письме</w:t>
      </w:r>
      <w:r w:rsidRPr="00F82779">
        <w:t>н</w:t>
      </w:r>
      <w:r w:rsidRPr="00F82779">
        <w:t xml:space="preserve">ного заявления г-на </w:t>
      </w:r>
      <w:proofErr w:type="spellStart"/>
      <w:r w:rsidRPr="00F82779">
        <w:t>Бекреева</w:t>
      </w:r>
      <w:proofErr w:type="spellEnd"/>
      <w:r w:rsidRPr="00F82779">
        <w:t xml:space="preserve"> от 10 августа 2005 года, направленного в </w:t>
      </w:r>
      <w:proofErr w:type="spellStart"/>
      <w:r w:rsidRPr="00F82779">
        <w:t>Усть-Илимскую</w:t>
      </w:r>
      <w:proofErr w:type="spellEnd"/>
      <w:r w:rsidRPr="00F82779">
        <w:t xml:space="preserve"> межрайонную прокуратуру, в котором он признал, что следователи оказывали на него давление, чтобы он указал на автора как виновного в убийс</w:t>
      </w:r>
      <w:r w:rsidRPr="00F82779">
        <w:t>т</w:t>
      </w:r>
      <w:r w:rsidRPr="00F82779">
        <w:t xml:space="preserve">ве г-на Загребина. В том же заявлении г-н </w:t>
      </w:r>
      <w:proofErr w:type="spellStart"/>
      <w:r w:rsidRPr="00F82779">
        <w:t>Бекреев</w:t>
      </w:r>
      <w:proofErr w:type="spellEnd"/>
      <w:r w:rsidRPr="00F82779">
        <w:t xml:space="preserve"> утверждал, что г-н Загребин был убит г-ном Микитенко, который вошел в дом первым. 28 февраля 2006 года судья Иркутского областного суда отклонил ходатайство автора о возбуждении надзорного производства. </w:t>
      </w:r>
    </w:p>
    <w:p w:rsidR="00F82779" w:rsidRPr="00F82779" w:rsidRDefault="00F82779" w:rsidP="00F82779">
      <w:pPr>
        <w:pStyle w:val="SingleTxtGR"/>
      </w:pPr>
      <w:r w:rsidRPr="00F82779">
        <w:t>2.9</w:t>
      </w:r>
      <w:r w:rsidRPr="00F82779">
        <w:tab/>
        <w:t>В неуказанную дату автор подал апелляцию на решение Иркутского обл</w:t>
      </w:r>
      <w:r w:rsidRPr="00F82779">
        <w:t>а</w:t>
      </w:r>
      <w:r w:rsidRPr="00F82779">
        <w:t>стного суда от 28 февраля 2006 года в Президиум того же суда. Апелляция была отклонена исполняющим обязанности председателя Иркутского областного с</w:t>
      </w:r>
      <w:r w:rsidRPr="00F82779">
        <w:t>у</w:t>
      </w:r>
      <w:r w:rsidRPr="00F82779">
        <w:t>да 20 июня 2006 года.</w:t>
      </w:r>
    </w:p>
    <w:p w:rsidR="00F82779" w:rsidRPr="00F82779" w:rsidRDefault="00F82779" w:rsidP="00F82779">
      <w:pPr>
        <w:pStyle w:val="SingleTxtGR"/>
      </w:pPr>
      <w:r w:rsidRPr="00F82779">
        <w:t>2.10</w:t>
      </w:r>
      <w:r w:rsidRPr="00F82779">
        <w:tab/>
        <w:t>Автор 12 марта 2007 года подал в Верховный суд ходатайство о возбу</w:t>
      </w:r>
      <w:r w:rsidRPr="00F82779">
        <w:t>ж</w:t>
      </w:r>
      <w:r w:rsidRPr="00F82779">
        <w:t xml:space="preserve">дении надзорного производства на основе письменного заявления г-на </w:t>
      </w:r>
      <w:proofErr w:type="spellStart"/>
      <w:r w:rsidRPr="00F82779">
        <w:t>Бекреева</w:t>
      </w:r>
      <w:proofErr w:type="spellEnd"/>
      <w:r w:rsidRPr="00F82779">
        <w:t xml:space="preserve"> от 10 августа 2005 года, которое, по мнению автора, составляло </w:t>
      </w:r>
      <w:r>
        <w:t>"</w:t>
      </w:r>
      <w:r w:rsidRPr="00F82779">
        <w:t>вновь о</w:t>
      </w:r>
      <w:r w:rsidRPr="00F82779">
        <w:t>т</w:t>
      </w:r>
      <w:r w:rsidRPr="00F82779">
        <w:t>крывшиеся обстоятельства"</w:t>
      </w:r>
      <w:r w:rsidRPr="008F1A90">
        <w:rPr>
          <w:sz w:val="18"/>
          <w:szCs w:val="18"/>
          <w:vertAlign w:val="superscript"/>
        </w:rPr>
        <w:footnoteReference w:id="7"/>
      </w:r>
      <w:r w:rsidRPr="00F82779">
        <w:t>. 23 апреля 2007 года Верховный суд отказал в удовлетворении надзорной жалобы автора. В неуказанную дату, автор опрот</w:t>
      </w:r>
      <w:r w:rsidRPr="00F82779">
        <w:t>е</w:t>
      </w:r>
      <w:r w:rsidRPr="00F82779">
        <w:t>стовал это решение в Президиуме Верховного суда. Жалоба автора была откл</w:t>
      </w:r>
      <w:r w:rsidRPr="00F82779">
        <w:t>о</w:t>
      </w:r>
      <w:r w:rsidRPr="00F82779">
        <w:t>нена Президиумом Верховного суда 28 января 2008 года.</w:t>
      </w:r>
    </w:p>
    <w:p w:rsidR="00F82779" w:rsidRPr="00F82779" w:rsidRDefault="00F82779" w:rsidP="00F82779">
      <w:pPr>
        <w:pStyle w:val="SingleTxtGR"/>
      </w:pPr>
      <w:r w:rsidRPr="00F82779">
        <w:t>2.11</w:t>
      </w:r>
      <w:r w:rsidRPr="00F82779">
        <w:tab/>
        <w:t>В неуказанные даты автор подал дальнейшие надзорные жалобы в Ирку</w:t>
      </w:r>
      <w:r w:rsidRPr="00F82779">
        <w:t>т</w:t>
      </w:r>
      <w:r w:rsidRPr="00F82779">
        <w:t>скую областную прокуратуру и Генеральную прокуратуру. В своих ответах с</w:t>
      </w:r>
      <w:r w:rsidRPr="00F82779">
        <w:t>о</w:t>
      </w:r>
      <w:r w:rsidRPr="00F82779">
        <w:t>ответственно от 16 февраля 2007 года, 9 марта 2007 года и 18 мая 2007 года И</w:t>
      </w:r>
      <w:r w:rsidRPr="00F82779">
        <w:t>р</w:t>
      </w:r>
      <w:r w:rsidRPr="00F82779">
        <w:t>кутская областная прокуратура указала, что в отношении дела автора не сущ</w:t>
      </w:r>
      <w:r w:rsidRPr="00F82779">
        <w:t>е</w:t>
      </w:r>
      <w:r w:rsidRPr="00F82779">
        <w:t>ствует оснований для возбуждения надзорного производства. Генеральная пр</w:t>
      </w:r>
      <w:r w:rsidRPr="00F82779">
        <w:t>о</w:t>
      </w:r>
      <w:r w:rsidRPr="00F82779">
        <w:t xml:space="preserve">куратура 16 августа 2007 года и 7 декабря 2007 года также отклонила жалобы автора. </w:t>
      </w:r>
    </w:p>
    <w:p w:rsidR="00F82779" w:rsidRPr="00F82779" w:rsidRDefault="00F82779" w:rsidP="00F82779">
      <w:pPr>
        <w:pStyle w:val="H23GR"/>
      </w:pPr>
      <w:r w:rsidRPr="00F82779">
        <w:tab/>
      </w:r>
      <w:r w:rsidRPr="00F82779">
        <w:tab/>
        <w:t>Жалоба</w:t>
      </w:r>
    </w:p>
    <w:p w:rsidR="00F82779" w:rsidRPr="00F82779" w:rsidRDefault="00F82779" w:rsidP="00F82779">
      <w:pPr>
        <w:pStyle w:val="SingleTxtGR"/>
      </w:pPr>
      <w:r w:rsidRPr="00F82779">
        <w:t>3.</w:t>
      </w:r>
      <w:r w:rsidRPr="00F82779">
        <w:tab/>
        <w:t xml:space="preserve">Автор заявляет, что его арест и суд составляют нарушение пунктов 1 и 4 статьи 9 и пунктов 1, 2, 3 </w:t>
      </w:r>
      <w:proofErr w:type="spellStart"/>
      <w:r w:rsidRPr="00F82779">
        <w:t>e</w:t>
      </w:r>
      <w:proofErr w:type="spellEnd"/>
      <w:r w:rsidRPr="00F82779">
        <w:t>) и 5 статьи 14 Пакта.</w:t>
      </w:r>
    </w:p>
    <w:p w:rsidR="00F82779" w:rsidRPr="00F82779" w:rsidRDefault="00F82779" w:rsidP="00F82779">
      <w:pPr>
        <w:pStyle w:val="H23GR"/>
      </w:pPr>
      <w:r w:rsidRPr="00F82779">
        <w:tab/>
      </w:r>
      <w:r w:rsidRPr="00F82779">
        <w:tab/>
        <w:t>Замечания государства-участника относительно приемлемости и существа сообщения</w:t>
      </w:r>
    </w:p>
    <w:p w:rsidR="00F82779" w:rsidRPr="00F82779" w:rsidRDefault="00F82779" w:rsidP="00F82779">
      <w:pPr>
        <w:pStyle w:val="SingleTxtGR"/>
      </w:pPr>
      <w:r w:rsidRPr="00F82779">
        <w:t>4.1</w:t>
      </w:r>
      <w:r w:rsidRPr="00F82779">
        <w:tab/>
        <w:t>Государство-участник 9 июня 2009 года заявило, что 25 сентября 2004 г</w:t>
      </w:r>
      <w:r w:rsidRPr="00F82779">
        <w:t>о</w:t>
      </w:r>
      <w:r w:rsidRPr="00F82779">
        <w:t>да автор и г-н Микитенко договорились найти и наказать  лиц, которые, по их мнению, совершали кражи из окрестных дачных домов. Они вошли в одну ле</w:t>
      </w:r>
      <w:r w:rsidRPr="00F82779">
        <w:t>т</w:t>
      </w:r>
      <w:r w:rsidRPr="00F82779">
        <w:t>нюю дачу, где они обнаружили двух незнакомых им несовершеннолетних, и а</w:t>
      </w:r>
      <w:r w:rsidRPr="00F82779">
        <w:t>в</w:t>
      </w:r>
      <w:r w:rsidRPr="00F82779">
        <w:t>тор выстрелил одному из них в лицо из обреза ружья, в результате чего после</w:t>
      </w:r>
      <w:r w:rsidRPr="00F82779">
        <w:t>д</w:t>
      </w:r>
      <w:r w:rsidRPr="00F82779">
        <w:t>ний скончался. В тот же день милиция задержала г-на Микитенко. В соответс</w:t>
      </w:r>
      <w:r w:rsidRPr="00F82779">
        <w:t>т</w:t>
      </w:r>
      <w:r w:rsidRPr="00F82779">
        <w:t>вии со статьей 91 Уголовно-процессуального кодекса 27 сентября 2004 года м</w:t>
      </w:r>
      <w:r w:rsidRPr="00F82779">
        <w:t>и</w:t>
      </w:r>
      <w:r w:rsidRPr="00F82779">
        <w:t xml:space="preserve">лиция задержала автора, поскольку второй несовершеннолетний (г-н </w:t>
      </w:r>
      <w:proofErr w:type="spellStart"/>
      <w:r w:rsidRPr="00F82779">
        <w:t>Бекреев</w:t>
      </w:r>
      <w:proofErr w:type="spellEnd"/>
      <w:r w:rsidRPr="00F82779">
        <w:t>) показал на автора как на лицо, совершившее убийство. Заместитель Усть-Илимского межрайонного прокурора 29 сентября 2004 года вынес постановл</w:t>
      </w:r>
      <w:r w:rsidRPr="00F82779">
        <w:t>е</w:t>
      </w:r>
      <w:r w:rsidRPr="00F82779">
        <w:t>ние о возбуждении перед Усть-Илимским городским судом ходатайства об и</w:t>
      </w:r>
      <w:r w:rsidRPr="00F82779">
        <w:t>з</w:t>
      </w:r>
      <w:r w:rsidRPr="00F82779">
        <w:t>брании в отношении автора меры пресечения в виде заключения под стражу. Суд отложил принятие этого решения, но продлил срок задержание автора на 72</w:t>
      </w:r>
      <w:r w:rsidR="008F1A90">
        <w:t> </w:t>
      </w:r>
      <w:r w:rsidRPr="00F82779">
        <w:t>часа до 2 октября 2004 года. 2 октября 2004 года постановлением Усть-Илимского городского суда в отношении автора была избрана мера пресечения в виде заключения под стражу по подозрению в совершении убийства. 5 октя</w:t>
      </w:r>
      <w:r w:rsidRPr="00F82779">
        <w:t>б</w:t>
      </w:r>
      <w:r w:rsidRPr="00F82779">
        <w:t>ря 2004 года в отношении автора было вынесено постановление о привлечении его в качестве обвиняемого в совершении преступления, предусмотренного ч</w:t>
      </w:r>
      <w:r w:rsidRPr="00F82779">
        <w:t>а</w:t>
      </w:r>
      <w:r w:rsidRPr="00F82779">
        <w:t>стью 1 статьи 105 Уголовного кодекса (умышленное убийство). 26 ноября 2004</w:t>
      </w:r>
      <w:r w:rsidR="008F1A90">
        <w:t> </w:t>
      </w:r>
      <w:r w:rsidRPr="00F82779">
        <w:t>года по ходатайству заместителя Усть-Илимского межрайонного прокур</w:t>
      </w:r>
      <w:r w:rsidRPr="00F82779">
        <w:t>о</w:t>
      </w:r>
      <w:r w:rsidRPr="00F82779">
        <w:t>ра срок содержания автора под стражей был продлен Усть-Илимским городским судом до 25 декабря 2004</w:t>
      </w:r>
      <w:r w:rsidR="00FD7403">
        <w:rPr>
          <w:lang w:val="en-US"/>
        </w:rPr>
        <w:t xml:space="preserve"> </w:t>
      </w:r>
      <w:r w:rsidR="00FD7403">
        <w:t>года</w:t>
      </w:r>
      <w:r w:rsidRPr="00F82779">
        <w:t>. 22 декабря 2004 года автору и его адвокату было объявлено об окончании предварительного следствия, и 24 декабря 2004 года им были предъявлены материалы уголовного дела. 25 декабря 2004 года заме</w:t>
      </w:r>
      <w:r w:rsidRPr="00F82779">
        <w:t>с</w:t>
      </w:r>
      <w:r w:rsidRPr="00F82779">
        <w:t>титель Усть-Илимского межрайонного прокурора утвердил обвинительное з</w:t>
      </w:r>
      <w:r w:rsidRPr="00F82779">
        <w:t>а</w:t>
      </w:r>
      <w:r w:rsidRPr="00F82779">
        <w:t xml:space="preserve">ключение в отношении автора. </w:t>
      </w:r>
    </w:p>
    <w:p w:rsidR="00F82779" w:rsidRPr="00F82779" w:rsidRDefault="00F82779" w:rsidP="00F82779">
      <w:pPr>
        <w:pStyle w:val="SingleTxtGR"/>
      </w:pPr>
      <w:r w:rsidRPr="00F82779">
        <w:t>4.2</w:t>
      </w:r>
      <w:r w:rsidRPr="00F82779">
        <w:tab/>
        <w:t xml:space="preserve">Государство-участник утверждает, что 12 января 2005 года автору и его адвокату было вручена копия обвинительного заключения и что ни один из них не высказывал никаких замечаний и не подавал никаких жалоб в тот момент или в ходе судебного разбирательства. </w:t>
      </w:r>
    </w:p>
    <w:p w:rsidR="00F82779" w:rsidRPr="00F82779" w:rsidRDefault="00F82779" w:rsidP="00F82779">
      <w:pPr>
        <w:pStyle w:val="SingleTxtGR"/>
      </w:pPr>
      <w:r w:rsidRPr="00F82779">
        <w:t>4.3</w:t>
      </w:r>
      <w:r w:rsidRPr="00F82779">
        <w:tab/>
        <w:t xml:space="preserve">Государство-участник утверждает, что 25 декабря 2004 года уголовное дело автора было направлено в </w:t>
      </w:r>
      <w:proofErr w:type="spellStart"/>
      <w:r w:rsidRPr="00F82779">
        <w:t>Усть-Илимский</w:t>
      </w:r>
      <w:proofErr w:type="spellEnd"/>
      <w:r w:rsidRPr="00F82779">
        <w:t xml:space="preserve"> городской суд, который получил его 21 января 2005 года и 31 января 2005 года продлил срок содержания автора под стражей и назначил предварительное слушание на 7 февраля 2005 года. 7</w:t>
      </w:r>
      <w:r w:rsidR="008F1A90">
        <w:t> </w:t>
      </w:r>
      <w:r w:rsidRPr="00F82779">
        <w:t>февраля 2005 года мера пресечения в отношении автора была вновь оставлена судом без изменения. Адвокат автора обжаловал в кассационном порядке тол</w:t>
      </w:r>
      <w:r w:rsidRPr="00F82779">
        <w:t>ь</w:t>
      </w:r>
      <w:r w:rsidRPr="00F82779">
        <w:t>ко постановление о помещении автора под стражу от  2 октября 2004 года. С</w:t>
      </w:r>
      <w:r w:rsidRPr="00F82779">
        <w:t>у</w:t>
      </w:r>
      <w:r w:rsidRPr="00F82779">
        <w:t>дебная коллегия по уголовным делам Иркутского областного суда отклонила эту жалобу 9 ноября 2004 года. Ни автор, ни его адвокат не обжаловали пост</w:t>
      </w:r>
      <w:r w:rsidRPr="00F82779">
        <w:t>а</w:t>
      </w:r>
      <w:r w:rsidRPr="00F82779">
        <w:t>новление от 26 ноября 2004 года о продлении срока содержания автора под стражей. Государство-участник заявляет, что доводы автора о том, что его права согласно статье 9 Пакта были нарушены, не могут быть признаны обоснова</w:t>
      </w:r>
      <w:r w:rsidRPr="00F82779">
        <w:t>н</w:t>
      </w:r>
      <w:r w:rsidRPr="00F82779">
        <w:t>ными, поскольку он содержался под стражей в соответствии с внутренними уголовно-процессуальными нормами и имел возможность обжаловать в суд м</w:t>
      </w:r>
      <w:r w:rsidRPr="00F82779">
        <w:t>е</w:t>
      </w:r>
      <w:r w:rsidRPr="00F82779">
        <w:t xml:space="preserve">ру пресечения в виде содержания под стражей. </w:t>
      </w:r>
    </w:p>
    <w:p w:rsidR="00F82779" w:rsidRPr="00F82779" w:rsidRDefault="00F82779" w:rsidP="00F82779">
      <w:pPr>
        <w:pStyle w:val="SingleTxtGR"/>
      </w:pPr>
      <w:r w:rsidRPr="00F82779">
        <w:t>4.4</w:t>
      </w:r>
      <w:r w:rsidRPr="00F82779">
        <w:tab/>
        <w:t xml:space="preserve">Государство-участник далее утверждает, что 31 мая 2005 года </w:t>
      </w:r>
      <w:proofErr w:type="spellStart"/>
      <w:r w:rsidRPr="00F82779">
        <w:t>Усть-Илимский</w:t>
      </w:r>
      <w:proofErr w:type="spellEnd"/>
      <w:r w:rsidRPr="00F82779">
        <w:t xml:space="preserve"> городской суд признал автора виновным в совершении преднамере</w:t>
      </w:r>
      <w:r w:rsidRPr="00F82779">
        <w:t>н</w:t>
      </w:r>
      <w:r w:rsidRPr="00F82779">
        <w:t>ного убийства, как это предусмотрено в части 1 статьи 105 Уголовного кодекса. При определении срока тюремного заключения суд учел срок содержания авт</w:t>
      </w:r>
      <w:r w:rsidRPr="00F82779">
        <w:t>о</w:t>
      </w:r>
      <w:r w:rsidRPr="00F82779">
        <w:t>ра под стражей с 27 сентября 2004 года до 31 мая 2005 года. 3 ноября 2005 года Судебная коллегия по уголовным делам Иркутского областного суда отклонила апелляционную жалобу автора на приговор. Государство-участник утверждает, что автор несколько раз подавал апелляционные жалобы на приговор, а также подавал жалобы в отношении незаконных действий следователей, прокуратуры и суда. Государство-участник утверждает, что жалобы автора были расследов</w:t>
      </w:r>
      <w:r w:rsidRPr="00F82779">
        <w:t>а</w:t>
      </w:r>
      <w:r w:rsidRPr="00F82779">
        <w:t>ны и отклонены.</w:t>
      </w:r>
      <w:r w:rsidRPr="00F82779">
        <w:rPr>
          <w:vertAlign w:val="superscript"/>
        </w:rPr>
        <w:t xml:space="preserve"> </w:t>
      </w:r>
    </w:p>
    <w:p w:rsidR="00F82779" w:rsidRPr="00F82779" w:rsidRDefault="00F82779" w:rsidP="00F82779">
      <w:pPr>
        <w:pStyle w:val="SingleTxtGR"/>
      </w:pPr>
      <w:r w:rsidRPr="00F82779">
        <w:t>4.5</w:t>
      </w:r>
      <w:r w:rsidRPr="00F82779">
        <w:tab/>
        <w:t xml:space="preserve">Государство-участник утверждает, что заявление г-на </w:t>
      </w:r>
      <w:proofErr w:type="spellStart"/>
      <w:r w:rsidRPr="00F82779">
        <w:t>Бекреева</w:t>
      </w:r>
      <w:proofErr w:type="spellEnd"/>
      <w:r w:rsidRPr="00F82779">
        <w:t xml:space="preserve"> от 4 авг</w:t>
      </w:r>
      <w:r w:rsidRPr="00F82779">
        <w:t>у</w:t>
      </w:r>
      <w:r w:rsidRPr="00F82779">
        <w:t>ста 2005 года о том, что неправильно указал на автора как на убийцу,  было сд</w:t>
      </w:r>
      <w:r w:rsidRPr="00F82779">
        <w:t>е</w:t>
      </w:r>
      <w:r w:rsidRPr="00F82779">
        <w:t>лано после вынесения приговора судом первой инстанции и поэтому не может быть принято во внимание судом кассационной инстанции</w:t>
      </w:r>
      <w:r w:rsidRPr="008F1A90">
        <w:rPr>
          <w:sz w:val="18"/>
          <w:szCs w:val="18"/>
          <w:vertAlign w:val="superscript"/>
        </w:rPr>
        <w:footnoteReference w:id="8"/>
      </w:r>
      <w:r w:rsidRPr="00F82779">
        <w:t>. В отношении др</w:t>
      </w:r>
      <w:r w:rsidRPr="00F82779">
        <w:t>у</w:t>
      </w:r>
      <w:r w:rsidRPr="00F82779">
        <w:t xml:space="preserve">гого заявления г-на </w:t>
      </w:r>
      <w:proofErr w:type="spellStart"/>
      <w:r w:rsidRPr="00F82779">
        <w:t>Бекреева</w:t>
      </w:r>
      <w:proofErr w:type="spellEnd"/>
      <w:r w:rsidRPr="00F82779">
        <w:t xml:space="preserve"> о том, что он оговорил автора, следственным о</w:t>
      </w:r>
      <w:r w:rsidRPr="00F82779">
        <w:t>т</w:t>
      </w:r>
      <w:r w:rsidRPr="00F82779">
        <w:t>делом при прокуратуре Российской Федерации по Иркутской области была также проведена проверка и 9 января 2008 года автору было отказано в возбу</w:t>
      </w:r>
      <w:r w:rsidRPr="00F82779">
        <w:t>ж</w:t>
      </w:r>
      <w:r w:rsidRPr="00F82779">
        <w:t>дении уголовного дела за отсутствием в деянии состава преступления. Посл</w:t>
      </w:r>
      <w:r w:rsidRPr="00F82779">
        <w:t>е</w:t>
      </w:r>
      <w:r w:rsidRPr="00F82779">
        <w:t xml:space="preserve">дующая жалоба автора, к которой было приложено идентичное заявление </w:t>
      </w:r>
      <w:r w:rsidR="008F1A90">
        <w:br/>
      </w:r>
      <w:r w:rsidRPr="00F82779">
        <w:t xml:space="preserve">г-на </w:t>
      </w:r>
      <w:proofErr w:type="spellStart"/>
      <w:r w:rsidRPr="00F82779">
        <w:t>Бекреев</w:t>
      </w:r>
      <w:r w:rsidR="009845A1">
        <w:t>а</w:t>
      </w:r>
      <w:proofErr w:type="spellEnd"/>
      <w:r w:rsidRPr="00F82779">
        <w:t>, была расследована в соответствии со статьями 144 и 145 Уголо</w:t>
      </w:r>
      <w:r w:rsidRPr="00F82779">
        <w:t>в</w:t>
      </w:r>
      <w:r w:rsidRPr="00F82779">
        <w:t>но-процессуального кодекса</w:t>
      </w:r>
      <w:r w:rsidRPr="008F1A90">
        <w:rPr>
          <w:sz w:val="18"/>
          <w:szCs w:val="18"/>
          <w:vertAlign w:val="superscript"/>
        </w:rPr>
        <w:footnoteReference w:id="9"/>
      </w:r>
      <w:r w:rsidRPr="00F82779">
        <w:t>. 8 декабря 2008 года прокуратура Усть-Илимска отказала в возбуждении уголовного дела в отношении следователя в связи с о</w:t>
      </w:r>
      <w:r w:rsidRPr="00F82779">
        <w:t>т</w:t>
      </w:r>
      <w:r w:rsidRPr="00F82779">
        <w:t xml:space="preserve">сутствием события преступления. Иркутская областная прокуратура оставила это решение в силе. Автор не подавал в суд апелляций на решение Иркутской областной прокуратуры. </w:t>
      </w:r>
    </w:p>
    <w:p w:rsidR="00F82779" w:rsidRPr="00F82779" w:rsidRDefault="00F82779" w:rsidP="00F82779">
      <w:pPr>
        <w:pStyle w:val="SingleTxtGR"/>
      </w:pPr>
      <w:r w:rsidRPr="00F82779">
        <w:t>4.6</w:t>
      </w:r>
      <w:r w:rsidRPr="00F82779">
        <w:tab/>
        <w:t>Государство-участник далее утверждает, что суд обеспечил равенство сторон в ходе судебного процесса, что все свидетели, вызванные стороной о</w:t>
      </w:r>
      <w:r w:rsidRPr="00F82779">
        <w:t>б</w:t>
      </w:r>
      <w:r w:rsidRPr="00F82779">
        <w:t>винения и стороной защиты, были вызваны в суд и допрошены и что доводы стороны защиты о том, что убийство совершил г-н Микитенко, были рассмо</w:t>
      </w:r>
      <w:r w:rsidRPr="00F82779">
        <w:t>т</w:t>
      </w:r>
      <w:r w:rsidRPr="00F82779">
        <w:t>рены судом, но не нашли подтверждения, поскольку они противоречили другим доказательствам. Государство-участник подробно описывает процедуру дос</w:t>
      </w:r>
      <w:r w:rsidRPr="00F82779">
        <w:t>у</w:t>
      </w:r>
      <w:r w:rsidRPr="00F82779">
        <w:t>дебного следствия. В частности, государство-участник отмечает, что адвокат автора заявлял ходатайства о признании протокола опознания недопустимым доказательством, но суд отказал в удовлетворении данных ходатайств своими постановлениями от 2 и 28 марта 2005 года.</w:t>
      </w:r>
    </w:p>
    <w:p w:rsidR="00F82779" w:rsidRPr="00F82779" w:rsidRDefault="00F82779" w:rsidP="00F82779">
      <w:pPr>
        <w:pStyle w:val="SingleTxtGR"/>
      </w:pPr>
      <w:r w:rsidRPr="00F82779">
        <w:t>4.7</w:t>
      </w:r>
      <w:r w:rsidRPr="00F82779">
        <w:tab/>
        <w:t>Государство-участник утверждает, что автор дважды подавал ходатайства о возбуждении надзорного производства в отношении приговора и решения с</w:t>
      </w:r>
      <w:r w:rsidRPr="00F82779">
        <w:t>у</w:t>
      </w:r>
      <w:r w:rsidRPr="00F82779">
        <w:t>да кассационной инстанции по его делу в Иркутский областной суд и дважды – в Верховный суд. Приговор и решения были рассмотрены и апелляционные ж</w:t>
      </w:r>
      <w:r w:rsidRPr="00F82779">
        <w:t>а</w:t>
      </w:r>
      <w:r w:rsidRPr="00F82779">
        <w:t>лобы были отклонены 28 февраля 2006 года, 20 июня 2006 года, 23 апреля 2007</w:t>
      </w:r>
      <w:r w:rsidR="008F1A90">
        <w:t> </w:t>
      </w:r>
      <w:r w:rsidRPr="00F82779">
        <w:t>года и 28 января 2008</w:t>
      </w:r>
      <w:r w:rsidR="009845A1">
        <w:t xml:space="preserve"> года</w:t>
      </w:r>
      <w:r w:rsidRPr="00F82779">
        <w:t xml:space="preserve"> соответственно. Государство-участник утве</w:t>
      </w:r>
      <w:r w:rsidRPr="00F82779">
        <w:t>р</w:t>
      </w:r>
      <w:r w:rsidRPr="00F82779">
        <w:t>ждает, что никакие нарушения прав автора согласно Пакту не имели места.</w:t>
      </w:r>
    </w:p>
    <w:p w:rsidR="00F82779" w:rsidRPr="00F82779" w:rsidRDefault="00F82779" w:rsidP="008F1A90">
      <w:pPr>
        <w:pStyle w:val="H23GR"/>
      </w:pPr>
      <w:r w:rsidRPr="00F82779">
        <w:tab/>
      </w:r>
      <w:r w:rsidRPr="00F82779">
        <w:tab/>
        <w:t>Комментарии автора сообщения к замечаниям государства-участника</w:t>
      </w:r>
    </w:p>
    <w:p w:rsidR="00F82779" w:rsidRPr="00F82779" w:rsidRDefault="00F82779" w:rsidP="00F82779">
      <w:pPr>
        <w:pStyle w:val="SingleTxtGR"/>
      </w:pPr>
      <w:r w:rsidRPr="00F82779">
        <w:t>5.1</w:t>
      </w:r>
      <w:r w:rsidRPr="00F82779">
        <w:tab/>
        <w:t>Автор 30 июля 2009 года сообщил, что в ходе судебного процесса его а</w:t>
      </w:r>
      <w:r w:rsidRPr="00F82779">
        <w:t>д</w:t>
      </w:r>
      <w:r w:rsidRPr="00F82779">
        <w:t>вокат заявлял ходатайства о признании протокола опознания основным свид</w:t>
      </w:r>
      <w:r w:rsidRPr="00F82779">
        <w:t>е</w:t>
      </w:r>
      <w:r w:rsidRPr="00F82779">
        <w:t>телем недопустимым доказательством, но суд отказал в удовлетворении данн</w:t>
      </w:r>
      <w:r w:rsidRPr="00F82779">
        <w:t>о</w:t>
      </w:r>
      <w:r w:rsidRPr="00F82779">
        <w:t>го ходатайства; что понятая, присутствовавшая при опознании, показала в суде, что следователь оказывал давление на основного свидетеля с целью принудить его опознать автора в качестве убийцы, но суд интерпретировал эти показания в пользу стороны обвинения; что он (автор) не пользовался услугами адвоката во время процедуры опознания; что г-н Микитенко не был представлен для оп</w:t>
      </w:r>
      <w:r w:rsidRPr="00F82779">
        <w:t>о</w:t>
      </w:r>
      <w:r w:rsidRPr="00F82779">
        <w:t>знания основному свидетелю одновременно с автором; что государство-участник утверждало, что он (автор) не подавал апелляционные жалобы сво</w:t>
      </w:r>
      <w:r w:rsidRPr="00F82779">
        <w:t>е</w:t>
      </w:r>
      <w:r w:rsidRPr="00F82779">
        <w:t>временно, но это произошл</w:t>
      </w:r>
      <w:r w:rsidR="009845A1">
        <w:t>о</w:t>
      </w:r>
      <w:r w:rsidRPr="00F82779">
        <w:t xml:space="preserve"> по причине того, что он (автор) не был знаком с уголовной процедурой и что его адвокат был некомпетентным</w:t>
      </w:r>
      <w:r w:rsidRPr="008F1A90">
        <w:rPr>
          <w:sz w:val="18"/>
          <w:szCs w:val="18"/>
          <w:vertAlign w:val="superscript"/>
        </w:rPr>
        <w:footnoteReference w:id="10"/>
      </w:r>
      <w:r w:rsidRPr="00F82779">
        <w:t>; что суд не пр</w:t>
      </w:r>
      <w:r w:rsidRPr="00F82779">
        <w:t>и</w:t>
      </w:r>
      <w:r w:rsidRPr="00F82779">
        <w:t>нял во внимание показания одной свидетельницы, утверждавшей, что она вид</w:t>
      </w:r>
      <w:r w:rsidRPr="00F82779">
        <w:t>е</w:t>
      </w:r>
      <w:r w:rsidRPr="00F82779">
        <w:t>ла автора стоящим за заб</w:t>
      </w:r>
      <w:r w:rsidRPr="00F82779">
        <w:t>о</w:t>
      </w:r>
      <w:r w:rsidRPr="00F82779">
        <w:t>ром в момент совершения убийства; что государство-участник утверждало, что основной свидетель являлся несовершеннолетним, и поэтому его должен был сопровождать его отец, но не упомянуло, что отец я</w:t>
      </w:r>
      <w:r w:rsidRPr="00F82779">
        <w:t>в</w:t>
      </w:r>
      <w:r w:rsidRPr="00F82779">
        <w:t>лялся бывшим сотрудн</w:t>
      </w:r>
      <w:r w:rsidRPr="00F82779">
        <w:t>и</w:t>
      </w:r>
      <w:r w:rsidRPr="00F82779">
        <w:t xml:space="preserve">ком полиции, который хотел поддержать своих коллег. Автор далее подчеркивает, что основной свидетель, г-н </w:t>
      </w:r>
      <w:proofErr w:type="spellStart"/>
      <w:r w:rsidRPr="00F82779">
        <w:t>Бекреев</w:t>
      </w:r>
      <w:proofErr w:type="spellEnd"/>
      <w:r w:rsidRPr="00F82779">
        <w:t>, написал н</w:t>
      </w:r>
      <w:r w:rsidRPr="00F82779">
        <w:t>е</w:t>
      </w:r>
      <w:r w:rsidRPr="00F82779">
        <w:t xml:space="preserve">сколько заявлений, признавая, что он оговорил автора в качестве виновного в данном преступлении, но </w:t>
      </w:r>
      <w:proofErr w:type="spellStart"/>
      <w:r w:rsidRPr="00F82779">
        <w:t>Усть-Илимская</w:t>
      </w:r>
      <w:proofErr w:type="spellEnd"/>
      <w:r w:rsidRPr="00F82779">
        <w:t xml:space="preserve"> межрайонная прокуратура не провела надлежащего расследов</w:t>
      </w:r>
      <w:r w:rsidRPr="00F82779">
        <w:t>а</w:t>
      </w:r>
      <w:r w:rsidRPr="00F82779">
        <w:t xml:space="preserve">ния. </w:t>
      </w:r>
    </w:p>
    <w:p w:rsidR="00F82779" w:rsidRPr="00F82779" w:rsidRDefault="00F82779" w:rsidP="00F82779">
      <w:pPr>
        <w:pStyle w:val="SingleTxtGR"/>
      </w:pPr>
      <w:r w:rsidRPr="00F82779">
        <w:t>5.2</w:t>
      </w:r>
      <w:r w:rsidRPr="00F82779">
        <w:tab/>
        <w:t>Автор утверждает, что 30 декабря 2009 года он направил еще одну жал</w:t>
      </w:r>
      <w:r w:rsidRPr="00F82779">
        <w:t>о</w:t>
      </w:r>
      <w:r w:rsidRPr="00F82779">
        <w:t xml:space="preserve">бу в прокуратуру, приложив к ней заявления г-на </w:t>
      </w:r>
      <w:proofErr w:type="spellStart"/>
      <w:r w:rsidRPr="00F82779">
        <w:t>Бекреева</w:t>
      </w:r>
      <w:proofErr w:type="spellEnd"/>
      <w:r w:rsidRPr="00F82779">
        <w:t xml:space="preserve"> о том, что тот давал ложные показания, и что его жалоба была вновь отклонена</w:t>
      </w:r>
      <w:r w:rsidRPr="008F1A90">
        <w:rPr>
          <w:sz w:val="18"/>
          <w:szCs w:val="18"/>
          <w:vertAlign w:val="superscript"/>
        </w:rPr>
        <w:footnoteReference w:id="11"/>
      </w:r>
      <w:r w:rsidRPr="00F82779">
        <w:t>.</w:t>
      </w:r>
    </w:p>
    <w:p w:rsidR="00F82779" w:rsidRPr="00F82779" w:rsidRDefault="00F82779" w:rsidP="008F1A90">
      <w:pPr>
        <w:pStyle w:val="H23GR"/>
      </w:pPr>
      <w:r w:rsidRPr="00F82779">
        <w:tab/>
      </w:r>
      <w:r w:rsidRPr="00F82779">
        <w:tab/>
        <w:t>Вопросы и процедура их рассмотрения в Комитете</w:t>
      </w:r>
    </w:p>
    <w:p w:rsidR="00F82779" w:rsidRPr="00F82779" w:rsidRDefault="00F82779" w:rsidP="008F1A90">
      <w:pPr>
        <w:pStyle w:val="H4GR"/>
        <w:spacing w:before="240"/>
      </w:pPr>
      <w:r w:rsidRPr="00F82779">
        <w:tab/>
      </w:r>
      <w:r w:rsidRPr="00F82779">
        <w:tab/>
        <w:t>Рассмотрение вопроса о приемлемости</w:t>
      </w:r>
    </w:p>
    <w:p w:rsidR="00F82779" w:rsidRPr="00F82779" w:rsidRDefault="00F82779" w:rsidP="00F82779">
      <w:pPr>
        <w:pStyle w:val="SingleTxtGR"/>
        <w:rPr>
          <w:bCs/>
        </w:rPr>
      </w:pPr>
      <w:r w:rsidRPr="00F82779">
        <w:rPr>
          <w:bCs/>
        </w:rPr>
        <w:t>6.1</w:t>
      </w:r>
      <w:r w:rsidRPr="00F82779">
        <w:rPr>
          <w:bCs/>
        </w:rPr>
        <w:tab/>
      </w:r>
      <w:r w:rsidRPr="00F82779">
        <w:t>Прежде чем рассматривать какое-либо содержащееся в сообщении у</w:t>
      </w:r>
      <w:r w:rsidRPr="00F82779">
        <w:t>т</w:t>
      </w:r>
      <w:r w:rsidRPr="00F82779">
        <w:t>верждение, Комитет по правам человека должен в соответствии с правилом 93 его Правил процедуры принять решение о том, является или нет это сообщение приемлемым согласно Факультативному протоколу к Пакту</w:t>
      </w:r>
      <w:r w:rsidRPr="00F82779">
        <w:rPr>
          <w:bCs/>
        </w:rPr>
        <w:t>.</w:t>
      </w:r>
    </w:p>
    <w:p w:rsidR="00F82779" w:rsidRPr="00F82779" w:rsidRDefault="00F82779" w:rsidP="00F82779">
      <w:pPr>
        <w:pStyle w:val="SingleTxtGR"/>
        <w:rPr>
          <w:bCs/>
        </w:rPr>
      </w:pPr>
      <w:r w:rsidRPr="00F82779">
        <w:rPr>
          <w:bCs/>
        </w:rPr>
        <w:t>6.2</w:t>
      </w:r>
      <w:r w:rsidRPr="00F82779">
        <w:rPr>
          <w:bCs/>
        </w:rPr>
        <w:tab/>
      </w:r>
      <w:r w:rsidRPr="00F82779">
        <w:t>Во исполнение пункта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</w:t>
      </w:r>
      <w:r w:rsidRPr="00F82779">
        <w:rPr>
          <w:bCs/>
        </w:rPr>
        <w:t>.</w:t>
      </w:r>
    </w:p>
    <w:p w:rsidR="00F82779" w:rsidRPr="00F82779" w:rsidRDefault="00F82779" w:rsidP="00F82779">
      <w:pPr>
        <w:pStyle w:val="SingleTxtGR"/>
      </w:pPr>
      <w:r w:rsidRPr="00F82779">
        <w:rPr>
          <w:bCs/>
        </w:rPr>
        <w:t>6.3</w:t>
      </w:r>
      <w:r w:rsidRPr="00F82779">
        <w:rPr>
          <w:bCs/>
        </w:rPr>
        <w:tab/>
      </w:r>
      <w:r w:rsidRPr="00F82779">
        <w:t>Комитет считает, что для целей приемлемости автор достаточно обосн</w:t>
      </w:r>
      <w:r w:rsidRPr="00F82779">
        <w:t>о</w:t>
      </w:r>
      <w:r w:rsidRPr="00F82779">
        <w:t>вал утверждения согласно пункту 1 статьи 9 и пункту 5 статьи 14 Пакта, и, т</w:t>
      </w:r>
      <w:r w:rsidRPr="00F82779">
        <w:t>а</w:t>
      </w:r>
      <w:r w:rsidRPr="00F82779">
        <w:t xml:space="preserve">ким образом, приступает к рассмотрению их по существу. </w:t>
      </w:r>
    </w:p>
    <w:p w:rsidR="00F82779" w:rsidRPr="00F82779" w:rsidRDefault="00F82779" w:rsidP="00F82779">
      <w:pPr>
        <w:pStyle w:val="SingleTxtGR"/>
        <w:rPr>
          <w:bCs/>
        </w:rPr>
      </w:pPr>
      <w:r w:rsidRPr="00F82779">
        <w:rPr>
          <w:bCs/>
        </w:rPr>
        <w:t>6.4</w:t>
      </w:r>
      <w:r w:rsidRPr="00F82779">
        <w:rPr>
          <w:bCs/>
        </w:rPr>
        <w:tab/>
        <w:t>Комитет принимает к сведению утверждения автора о том, что уголовные обвинения в его адрес были сфабрикованы следствием в качестве акта мести за убийство сотрудника полиции сыном автора. Комитет, тем не менее, отмечает, что утверждения автора согласно статье 14 Пакта относятся исключительно к оценке фактов и доказательств судами государства-участника. Он напоминает, что, как правило, именно суды государств-участников правомочны оценивать факты и свидетельства, относящиеся к конкретному делу, за исключением сл</w:t>
      </w:r>
      <w:r w:rsidRPr="00F82779">
        <w:rPr>
          <w:bCs/>
        </w:rPr>
        <w:t>у</w:t>
      </w:r>
      <w:r w:rsidRPr="00F82779">
        <w:rPr>
          <w:bCs/>
        </w:rPr>
        <w:t>чаев, когда можно установить, что оценка была явно произвольной или пре</w:t>
      </w:r>
      <w:r w:rsidRPr="00F82779">
        <w:rPr>
          <w:bCs/>
        </w:rPr>
        <w:t>д</w:t>
      </w:r>
      <w:r w:rsidRPr="00F82779">
        <w:rPr>
          <w:bCs/>
        </w:rPr>
        <w:t>ставляла собой отказ в правосудии</w:t>
      </w:r>
      <w:r w:rsidRPr="008F1A90">
        <w:rPr>
          <w:bCs/>
          <w:sz w:val="18"/>
          <w:szCs w:val="18"/>
          <w:vertAlign w:val="superscript"/>
        </w:rPr>
        <w:footnoteReference w:id="12"/>
      </w:r>
      <w:r w:rsidRPr="00F82779">
        <w:rPr>
          <w:bCs/>
        </w:rPr>
        <w:t>.</w:t>
      </w:r>
      <w:r w:rsidRPr="00F82779">
        <w:rPr>
          <w:bCs/>
          <w:vertAlign w:val="superscript"/>
        </w:rPr>
        <w:t xml:space="preserve"> </w:t>
      </w:r>
      <w:r w:rsidRPr="00F82779">
        <w:rPr>
          <w:bCs/>
        </w:rPr>
        <w:t>Имеющиеся в распоряжении Комитета м</w:t>
      </w:r>
      <w:r w:rsidRPr="00F82779">
        <w:rPr>
          <w:bCs/>
        </w:rPr>
        <w:t>а</w:t>
      </w:r>
      <w:r w:rsidRPr="00F82779">
        <w:rPr>
          <w:bCs/>
        </w:rPr>
        <w:t>териалы не содержат достаточных данных, свидетельствующих о том, что в х</w:t>
      </w:r>
      <w:r w:rsidRPr="00F82779">
        <w:rPr>
          <w:bCs/>
        </w:rPr>
        <w:t>о</w:t>
      </w:r>
      <w:r w:rsidRPr="00F82779">
        <w:rPr>
          <w:bCs/>
        </w:rPr>
        <w:t>де судебного разбирательства по данному делу были допущены такие наруш</w:t>
      </w:r>
      <w:r w:rsidRPr="00F82779">
        <w:rPr>
          <w:bCs/>
        </w:rPr>
        <w:t>е</w:t>
      </w:r>
      <w:r w:rsidRPr="00F82779">
        <w:rPr>
          <w:bCs/>
        </w:rPr>
        <w:t>ния. Соответственно, Комитет считает, что автор не сумел обосновать свои з</w:t>
      </w:r>
      <w:r w:rsidRPr="00F82779">
        <w:rPr>
          <w:bCs/>
        </w:rPr>
        <w:t>а</w:t>
      </w:r>
      <w:r w:rsidRPr="00F82779">
        <w:rPr>
          <w:bCs/>
        </w:rPr>
        <w:t xml:space="preserve">явления по смыслу пункта 4 статьи 9 и пунктов 1, 2 и 3 </w:t>
      </w:r>
      <w:proofErr w:type="spellStart"/>
      <w:r w:rsidRPr="00F82779">
        <w:rPr>
          <w:bCs/>
        </w:rPr>
        <w:t>e</w:t>
      </w:r>
      <w:proofErr w:type="spellEnd"/>
      <w:r w:rsidRPr="00F82779">
        <w:rPr>
          <w:bCs/>
        </w:rPr>
        <w:t xml:space="preserve">) </w:t>
      </w:r>
      <w:r w:rsidR="009845A1">
        <w:rPr>
          <w:bCs/>
        </w:rPr>
        <w:t xml:space="preserve">статьи 14 </w:t>
      </w:r>
      <w:r w:rsidRPr="00F82779">
        <w:rPr>
          <w:bCs/>
        </w:rPr>
        <w:t>Пакта и, таким образом, объявляет указанные утверждения неприемлемыми в соответс</w:t>
      </w:r>
      <w:r w:rsidRPr="00F82779">
        <w:rPr>
          <w:bCs/>
        </w:rPr>
        <w:t>т</w:t>
      </w:r>
      <w:r w:rsidRPr="00F82779">
        <w:rPr>
          <w:bCs/>
        </w:rPr>
        <w:t>вии со статьей 2 Факультативного протокола.</w:t>
      </w:r>
    </w:p>
    <w:p w:rsidR="00F82779" w:rsidRPr="00F82779" w:rsidRDefault="00F82779" w:rsidP="008F1A90">
      <w:pPr>
        <w:pStyle w:val="H4GR"/>
        <w:spacing w:before="240"/>
      </w:pPr>
      <w:r w:rsidRPr="00F82779">
        <w:tab/>
      </w:r>
      <w:r w:rsidRPr="00F82779">
        <w:tab/>
        <w:t>Рассмотрение сообщения по существу</w:t>
      </w:r>
    </w:p>
    <w:p w:rsidR="00F82779" w:rsidRPr="00F82779" w:rsidRDefault="00F82779" w:rsidP="00F82779">
      <w:pPr>
        <w:pStyle w:val="SingleTxtGR"/>
      </w:pPr>
      <w:r w:rsidRPr="00F82779">
        <w:t>7.1</w:t>
      </w:r>
      <w:r w:rsidRPr="00F82779">
        <w:tab/>
        <w:t>Комитет по правам человека рассмотрел сообщени</w:t>
      </w:r>
      <w:r w:rsidR="009845A1">
        <w:t>е</w:t>
      </w:r>
      <w:r w:rsidRPr="00F82779">
        <w:t xml:space="preserve"> в свете всей инфо</w:t>
      </w:r>
      <w:r w:rsidRPr="00F82779">
        <w:t>р</w:t>
      </w:r>
      <w:r w:rsidRPr="00F82779">
        <w:t>мации, представленной ему сторонами, как это предусмотрено в пункте 1 ст</w:t>
      </w:r>
      <w:r w:rsidRPr="00F82779">
        <w:t>а</w:t>
      </w:r>
      <w:r w:rsidRPr="00F82779">
        <w:t xml:space="preserve">тьи 5 Факультативного протокола. </w:t>
      </w:r>
    </w:p>
    <w:p w:rsidR="00F82779" w:rsidRPr="00F82779" w:rsidRDefault="00F82779" w:rsidP="00F82779">
      <w:pPr>
        <w:pStyle w:val="SingleTxtGR"/>
      </w:pPr>
      <w:r w:rsidRPr="00F82779">
        <w:t>7.2</w:t>
      </w:r>
      <w:r w:rsidRPr="00F82779">
        <w:tab/>
        <w:t>Комитет отмечает, что в пункте 1 статьи 9 Пакта признается, что каждый человек имеет право на свободу и личную неприкосновенность и что никто не может подвергаться произвольным арестам или задержаниям. При этом данная статья предусматривает некоторые допустимые ограничения этого права в виде содержания под стражей в тех случаях, когда основания для этого и соответс</w:t>
      </w:r>
      <w:r w:rsidRPr="00F82779">
        <w:t>т</w:t>
      </w:r>
      <w:r w:rsidRPr="00F82779">
        <w:t>вующие процедуры установлены законом. Комитет принимает к сведению у</w:t>
      </w:r>
      <w:r w:rsidRPr="00F82779">
        <w:t>т</w:t>
      </w:r>
      <w:r w:rsidRPr="00F82779">
        <w:t>верждение автора о том, что, по его словам, с 25 декабря 2004 года до 12 января 2005 года он произвольно содержался под стражей по телефонному распоряж</w:t>
      </w:r>
      <w:r w:rsidRPr="00F82779">
        <w:t>е</w:t>
      </w:r>
      <w:r w:rsidRPr="00F82779">
        <w:t>нию следователя. Комитет также принимает к сведению утверждение госуда</w:t>
      </w:r>
      <w:r w:rsidRPr="00F82779">
        <w:t>р</w:t>
      </w:r>
      <w:r w:rsidRPr="00F82779">
        <w:t>ства-участника о том, что ни автор, ни его адвокат не обжаловали решения от 26 ноября 2004 года о его помещении под стражу. Комитет, тем не менее, отм</w:t>
      </w:r>
      <w:r w:rsidRPr="00F82779">
        <w:t>е</w:t>
      </w:r>
      <w:r w:rsidRPr="00F82779">
        <w:t>чает, что, согласно утверждению государства-участника, указанным решением срок содержания автора под стражей был продлен до 25 декабря 2004 года, и</w:t>
      </w:r>
      <w:r w:rsidR="008F1A90">
        <w:t> </w:t>
      </w:r>
      <w:r w:rsidRPr="00F82779">
        <w:t>что следующее решение о продлении срока содержания автора под стражей было принято судом только 31 января 2005 года. Комитет считает, что при о</w:t>
      </w:r>
      <w:r w:rsidRPr="00F82779">
        <w:t>т</w:t>
      </w:r>
      <w:r w:rsidRPr="00F82779">
        <w:t>сутствии судебного решения о содержании автора под стражей он в этот период времени содержался под стражей произвольно в нарушение его прав согласно пункту 1 статьи 9 Пакта.</w:t>
      </w:r>
    </w:p>
    <w:p w:rsidR="00F82779" w:rsidRPr="00F82779" w:rsidRDefault="00F82779" w:rsidP="00F82779">
      <w:pPr>
        <w:pStyle w:val="SingleTxtGR"/>
      </w:pPr>
      <w:r w:rsidRPr="00F82779">
        <w:t>7.3</w:t>
      </w:r>
      <w:r w:rsidRPr="00F82779">
        <w:tab/>
        <w:t>Комитет принимает во внимание утверждение автора о том, что, по его мнению, апелляционный суд не провел полного разбирательства его уголовного дела, что составило нарушение пункта 5 статьи 14 Пакта, поскольку он не пр</w:t>
      </w:r>
      <w:r w:rsidRPr="00F82779">
        <w:t>и</w:t>
      </w:r>
      <w:r w:rsidRPr="00F82779">
        <w:t xml:space="preserve">нял во внимание письменное заявление г-на </w:t>
      </w:r>
      <w:proofErr w:type="spellStart"/>
      <w:r w:rsidRPr="00F82779">
        <w:t>Бекреева</w:t>
      </w:r>
      <w:proofErr w:type="spellEnd"/>
      <w:r w:rsidRPr="00F82779">
        <w:t xml:space="preserve"> от 10 августа 2005 года, в</w:t>
      </w:r>
      <w:r w:rsidR="008F1A90">
        <w:t> </w:t>
      </w:r>
      <w:r w:rsidRPr="00F82779">
        <w:t>котором от признал, что он возложил вину за убийство г-на Загребина на а</w:t>
      </w:r>
      <w:r w:rsidRPr="00F82779">
        <w:t>в</w:t>
      </w:r>
      <w:r w:rsidRPr="00F82779">
        <w:t>тора, поскольку следователь оказывал на него давление, и что фактическим убийцей был г-н Микитенко. Комитет также принимает во внимание утвержд</w:t>
      </w:r>
      <w:r w:rsidRPr="00F82779">
        <w:t>е</w:t>
      </w:r>
      <w:r w:rsidRPr="00F82779">
        <w:t>ние государства-участника о том, что апелляционный суд в соответствии с уг</w:t>
      </w:r>
      <w:r w:rsidRPr="00F82779">
        <w:t>о</w:t>
      </w:r>
      <w:r w:rsidRPr="00F82779">
        <w:t>ловно-процессуальным законодательством не мог принять во внимание указа</w:t>
      </w:r>
      <w:r w:rsidRPr="00F82779">
        <w:t>н</w:t>
      </w:r>
      <w:r w:rsidRPr="00F82779">
        <w:t>ное выше заявление, поскольку оно было сделано после принятия решения о виновности и назначения наказания</w:t>
      </w:r>
      <w:r w:rsidR="008F1A90">
        <w:t xml:space="preserve"> </w:t>
      </w:r>
      <w:r w:rsidRPr="00F82779">
        <w:t>судом первой инстанции. Комитет отмеч</w:t>
      </w:r>
      <w:r w:rsidRPr="00F82779">
        <w:t>а</w:t>
      </w:r>
      <w:r w:rsidRPr="00F82779">
        <w:t>ет, что согласно пункту 5 статьи 14 Пакта, суд</w:t>
      </w:r>
      <w:r w:rsidR="008F1A90">
        <w:t xml:space="preserve"> вышестоящей </w:t>
      </w:r>
      <w:r w:rsidRPr="00F82779">
        <w:t>инстанции обязан рассмотреть</w:t>
      </w:r>
      <w:r w:rsidR="008F1A90">
        <w:t xml:space="preserve"> приговор</w:t>
      </w:r>
      <w:r w:rsidRPr="00F82779">
        <w:t>, но не обязан проводить повторное исследование в суде фактически. Тем не менее это положение налагает на государство-участник обязанность существенного исследования</w:t>
      </w:r>
      <w:r w:rsidRPr="00F82779" w:rsidDel="001E1BF7">
        <w:t xml:space="preserve"> </w:t>
      </w:r>
      <w:r w:rsidRPr="00F82779">
        <w:t>на основе достаточности как доказ</w:t>
      </w:r>
      <w:r w:rsidRPr="00F82779">
        <w:t>а</w:t>
      </w:r>
      <w:r w:rsidRPr="00F82779">
        <w:t>тельств, так и норм права, решения о виновности и меры наказания таким обр</w:t>
      </w:r>
      <w:r w:rsidRPr="00F82779">
        <w:t>а</w:t>
      </w:r>
      <w:r w:rsidRPr="00F82779">
        <w:t>зом, чтобы процедура делала возможным должное рассмотрение характера д</w:t>
      </w:r>
      <w:r w:rsidRPr="00F82779">
        <w:t>е</w:t>
      </w:r>
      <w:r w:rsidRPr="00F82779">
        <w:t>ла. Пересмотр, который ограничивается формальными или правовыми аспект</w:t>
      </w:r>
      <w:r w:rsidRPr="00F82779">
        <w:t>а</w:t>
      </w:r>
      <w:r w:rsidRPr="00F82779">
        <w:t>ми осуждения без какого бы то ни было рассмотрения фактов, является недо</w:t>
      </w:r>
      <w:r w:rsidRPr="00F82779">
        <w:t>с</w:t>
      </w:r>
      <w:r w:rsidRPr="00F82779">
        <w:t>таточным по Пакту</w:t>
      </w:r>
      <w:r w:rsidRPr="008F1A90">
        <w:rPr>
          <w:sz w:val="18"/>
          <w:szCs w:val="18"/>
          <w:vertAlign w:val="superscript"/>
        </w:rPr>
        <w:footnoteReference w:id="13"/>
      </w:r>
      <w:r w:rsidRPr="00F82779">
        <w:t>. Комитет отмечает, что в данном деле суд апелляционной инстанции (см. пункт 2.7 выше), несмотря на ограничения, н</w:t>
      </w:r>
      <w:r w:rsidRPr="00F82779">
        <w:t>а</w:t>
      </w:r>
      <w:r w:rsidRPr="00F82779">
        <w:t>лагаемые на него процессуальным законодательством в отношении рассмотр</w:t>
      </w:r>
      <w:r w:rsidRPr="00F82779">
        <w:t>е</w:t>
      </w:r>
      <w:r w:rsidRPr="00F82779">
        <w:t>ния фактов, не только рассмотрел в целом основания для кассации, изложенные автором в апелляционной жалобе, но также изучил доказательства, рассмотре</w:t>
      </w:r>
      <w:r w:rsidRPr="00F82779">
        <w:t>н</w:t>
      </w:r>
      <w:r w:rsidRPr="00F82779">
        <w:t>ные судом первой инстанции, и подтвердил, в частности, вывод суда первой и</w:t>
      </w:r>
      <w:r w:rsidRPr="00F82779">
        <w:t>н</w:t>
      </w:r>
      <w:r w:rsidRPr="00F82779">
        <w:t>станции об отсутствии оснований не доверять первоначальным пок</w:t>
      </w:r>
      <w:r w:rsidRPr="00F82779">
        <w:t>а</w:t>
      </w:r>
      <w:r w:rsidRPr="00F82779">
        <w:t xml:space="preserve">заниям г-на </w:t>
      </w:r>
      <w:proofErr w:type="spellStart"/>
      <w:r w:rsidRPr="00F82779">
        <w:t>Бекреева</w:t>
      </w:r>
      <w:proofErr w:type="spellEnd"/>
      <w:r w:rsidRPr="00F82779">
        <w:t>, и заключил, что выводы, в отношении фактической стороны дела и вины авт</w:t>
      </w:r>
      <w:r w:rsidRPr="00F82779">
        <w:t>о</w:t>
      </w:r>
      <w:r w:rsidRPr="00F82779">
        <w:t>ра, содержащиеся в оспариваемом решении, являются в достаточной степени обоснованными.</w:t>
      </w:r>
      <w:r w:rsidRPr="00F82779" w:rsidDel="00DC1A2B">
        <w:t xml:space="preserve"> </w:t>
      </w:r>
      <w:r w:rsidRPr="00F82779">
        <w:t>В свете обстоятельств дела Комитет делает вывод о том, что представленные ему факты не свидетельствуют о каком-либо нарушении пун</w:t>
      </w:r>
      <w:r w:rsidRPr="00F82779">
        <w:t>к</w:t>
      </w:r>
      <w:r w:rsidRPr="00F82779">
        <w:t xml:space="preserve">та 5 статьи 14 Пакта. </w:t>
      </w:r>
    </w:p>
    <w:p w:rsidR="00F82779" w:rsidRPr="00F82779" w:rsidRDefault="00F82779" w:rsidP="00F82779">
      <w:pPr>
        <w:pStyle w:val="SingleTxtGR"/>
      </w:pPr>
      <w:r w:rsidRPr="00F82779">
        <w:t>8.</w:t>
      </w:r>
      <w:r w:rsidRPr="00F82779">
        <w:tab/>
        <w:t>Комитет по правам человека, действуя согласно пункту 4 статьи 5 Ф</w:t>
      </w:r>
      <w:r w:rsidRPr="00F82779">
        <w:t>а</w:t>
      </w:r>
      <w:r w:rsidRPr="00F82779">
        <w:t>культативного протокола к Международному пакту о гражданских и политич</w:t>
      </w:r>
      <w:r w:rsidRPr="00F82779">
        <w:t>е</w:t>
      </w:r>
      <w:r w:rsidRPr="00F82779">
        <w:t>ских правах, считает, что государство-участник нарушило права автора согла</w:t>
      </w:r>
      <w:r w:rsidRPr="00F82779">
        <w:t>с</w:t>
      </w:r>
      <w:r w:rsidRPr="00F82779">
        <w:t>но пункту 1 статьи 9 Пакта.</w:t>
      </w:r>
    </w:p>
    <w:p w:rsidR="00F82779" w:rsidRPr="00F82779" w:rsidRDefault="00F82779" w:rsidP="00F82779">
      <w:pPr>
        <w:pStyle w:val="SingleTxtGR"/>
      </w:pPr>
      <w:r w:rsidRPr="00F82779">
        <w:t>9.</w:t>
      </w:r>
      <w:r w:rsidRPr="00F82779">
        <w:tab/>
        <w:t>В соответствии с пунктом 3 a) статьи 2 Пакта государство-участник об</w:t>
      </w:r>
      <w:r w:rsidRPr="00F82779">
        <w:t>я</w:t>
      </w:r>
      <w:r w:rsidRPr="00F82779">
        <w:t>зано обеспечить авторам сообщений эффективное средство правовой защиты, включая возмещение нынешней стоимости штрафов и всех понесенных ими с</w:t>
      </w:r>
      <w:r w:rsidRPr="00F82779">
        <w:t>у</w:t>
      </w:r>
      <w:r w:rsidRPr="00F82779">
        <w:t>дебных издержек, а также соответствующую компенсацию. Кроме того, гос</w:t>
      </w:r>
      <w:r w:rsidRPr="00F82779">
        <w:t>у</w:t>
      </w:r>
      <w:r w:rsidRPr="00F82779">
        <w:t>дарство-участник обязано принять меры для предупреждения аналогичных н</w:t>
      </w:r>
      <w:r w:rsidRPr="00F82779">
        <w:t>а</w:t>
      </w:r>
      <w:r w:rsidRPr="00F82779">
        <w:t>рушений в будущем.</w:t>
      </w:r>
    </w:p>
    <w:p w:rsidR="00F82779" w:rsidRPr="00F82779" w:rsidRDefault="00F82779" w:rsidP="00F82779">
      <w:pPr>
        <w:pStyle w:val="SingleTxtGR"/>
      </w:pPr>
      <w:r w:rsidRPr="00F82779">
        <w:t>10.</w:t>
      </w:r>
      <w:r w:rsidRPr="00F82779">
        <w:tab/>
        <w:t>С учетом того, что, став участником Факультативного протокола, гос</w:t>
      </w:r>
      <w:r w:rsidRPr="00F82779">
        <w:t>у</w:t>
      </w:r>
      <w:r w:rsidRPr="00F82779">
        <w:t>дарство-участник признало компетенцию Комитета выносить решения по факту наличия или отсутствия нарушения Пакта и что согласно статье 2 Пакта гос</w:t>
      </w:r>
      <w:r w:rsidRPr="00F82779">
        <w:t>у</w:t>
      </w:r>
      <w:r w:rsidRPr="00F82779">
        <w:t>дарство-участник обязано обеспечивать всем находящимся в пределах его те</w:t>
      </w:r>
      <w:r w:rsidRPr="00F82779">
        <w:t>р</w:t>
      </w:r>
      <w:r w:rsidRPr="00F82779">
        <w:t>ритории и под его юрисдикцией лицам признаваемые в Пакте права и обесп</w:t>
      </w:r>
      <w:r w:rsidRPr="00F82779">
        <w:t>е</w:t>
      </w:r>
      <w:r w:rsidRPr="00F82779">
        <w:t>чивать эффективное и обладающее исковой силой средство правовой защиты в случае установления факта нарушения, Комитет хотел бы получить от госуда</w:t>
      </w:r>
      <w:r w:rsidRPr="00F82779">
        <w:t>р</w:t>
      </w:r>
      <w:r w:rsidRPr="00F82779">
        <w:t>ства-участника в течение 180 дней информацию о мерах, принятых в целях ре</w:t>
      </w:r>
      <w:r w:rsidRPr="00F82779">
        <w:t>а</w:t>
      </w:r>
      <w:r w:rsidRPr="00F82779">
        <w:t>лизации Соображений Комитета. Кроме того, он просит государство-участник опубликовать настоящие Соображения и обеспечить их широкое распростран</w:t>
      </w:r>
      <w:r w:rsidRPr="00F82779">
        <w:t>е</w:t>
      </w:r>
      <w:r w:rsidRPr="00F82779">
        <w:t>ние на официальном языке государства-участника.</w:t>
      </w:r>
    </w:p>
    <w:p w:rsidR="00F82779" w:rsidRPr="00F82779" w:rsidRDefault="00F82779" w:rsidP="00F82779">
      <w:pPr>
        <w:pStyle w:val="SingleTxtGR"/>
      </w:pPr>
      <w:r w:rsidRPr="00F82779">
        <w:t>[Принято на английском, испанском и французском языках, причем языком ор</w:t>
      </w:r>
      <w:r w:rsidRPr="00F82779">
        <w:t>и</w:t>
      </w:r>
      <w:r w:rsidRPr="00F82779">
        <w:t>гинала является английский. Впоследствии будет также издано на арабском, к</w:t>
      </w:r>
      <w:r w:rsidRPr="00F82779">
        <w:t>и</w:t>
      </w:r>
      <w:r w:rsidRPr="00F82779">
        <w:t>тайском и русском языках в качестве части ежегодного доклада Комитета Ген</w:t>
      </w:r>
      <w:r w:rsidRPr="00F82779">
        <w:t>е</w:t>
      </w:r>
      <w:r w:rsidRPr="00F82779">
        <w:t>ральной Ассамблее.]</w:t>
      </w:r>
    </w:p>
    <w:p w:rsidR="006E7AF7" w:rsidRPr="008F1A90" w:rsidRDefault="008F1A90" w:rsidP="008F1A9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E7AF7" w:rsidRPr="008F1A90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3C" w:rsidRDefault="00A0393C">
      <w:r>
        <w:rPr>
          <w:lang w:val="en-US"/>
        </w:rPr>
        <w:tab/>
      </w:r>
      <w:r>
        <w:separator/>
      </w:r>
    </w:p>
  </w:endnote>
  <w:endnote w:type="continuationSeparator" w:id="0">
    <w:p w:rsidR="00A0393C" w:rsidRDefault="00A0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3C" w:rsidRPr="005F0588" w:rsidRDefault="00A0393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GE.13-49374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3C" w:rsidRPr="005F0588" w:rsidRDefault="00A0393C">
    <w:pPr>
      <w:pStyle w:val="Footer"/>
      <w:rPr>
        <w:lang w:val="en-US"/>
      </w:rPr>
    </w:pPr>
    <w:r>
      <w:rPr>
        <w:lang w:val="en-US"/>
      </w:rPr>
      <w:t>GE.13-49374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A0393C" w:rsidTr="00611264">
      <w:trPr>
        <w:trHeight w:val="438"/>
      </w:trPr>
      <w:tc>
        <w:tcPr>
          <w:tcW w:w="4068" w:type="dxa"/>
          <w:vAlign w:val="bottom"/>
        </w:tcPr>
        <w:p w:rsidR="00A0393C" w:rsidRDefault="00A0393C" w:rsidP="00611264">
          <w:r>
            <w:rPr>
              <w:lang w:val="en-US"/>
            </w:rPr>
            <w:t>GE.13-49374   (R)   280214  280214</w:t>
          </w:r>
        </w:p>
      </w:tc>
      <w:tc>
        <w:tcPr>
          <w:tcW w:w="4663" w:type="dxa"/>
          <w:vMerge w:val="restart"/>
          <w:vAlign w:val="bottom"/>
        </w:tcPr>
        <w:p w:rsidR="00A0393C" w:rsidRDefault="00A0393C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A0393C" w:rsidRDefault="00A0393C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8&amp;Size=2&amp;Lang=R"/>
              </v:shape>
            </w:pict>
          </w:r>
        </w:p>
      </w:tc>
    </w:tr>
    <w:tr w:rsidR="00A0393C" w:rsidRPr="00797A78" w:rsidTr="00611264">
      <w:tc>
        <w:tcPr>
          <w:tcW w:w="4068" w:type="dxa"/>
          <w:vAlign w:val="bottom"/>
        </w:tcPr>
        <w:p w:rsidR="00A0393C" w:rsidRPr="0065409C" w:rsidRDefault="00A0393C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540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0393C" w:rsidRDefault="00A0393C" w:rsidP="00611264"/>
      </w:tc>
      <w:tc>
        <w:tcPr>
          <w:tcW w:w="1124" w:type="dxa"/>
          <w:vMerge/>
        </w:tcPr>
        <w:p w:rsidR="00A0393C" w:rsidRDefault="00A0393C" w:rsidP="00611264"/>
      </w:tc>
    </w:tr>
  </w:tbl>
  <w:p w:rsidR="00A0393C" w:rsidRDefault="00A0393C" w:rsidP="00381289">
    <w:pPr>
      <w:spacing w:line="240" w:lineRule="auto"/>
      <w:rPr>
        <w:sz w:val="2"/>
        <w:szCs w:val="2"/>
        <w:lang w:val="en-US"/>
      </w:rPr>
    </w:pPr>
  </w:p>
  <w:p w:rsidR="00A0393C" w:rsidRPr="002D7E3C" w:rsidRDefault="00A0393C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A0393C" w:rsidRDefault="00A0393C" w:rsidP="006E7AF7">
                <w:pPr>
                  <w:rPr>
                    <w:lang w:val="en-US"/>
                  </w:rPr>
                </w:pPr>
              </w:p>
              <w:p w:rsidR="00A0393C" w:rsidRDefault="00A0393C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3C" w:rsidRPr="00F71F63" w:rsidRDefault="00A0393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393C" w:rsidRPr="00F71F63" w:rsidRDefault="00A0393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393C" w:rsidRPr="00635E86" w:rsidRDefault="00A0393C" w:rsidP="00635E86">
      <w:pPr>
        <w:pStyle w:val="Footer"/>
      </w:pPr>
    </w:p>
  </w:footnote>
  <w:footnote w:id="1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rStyle w:val="FootnoteReference"/>
          <w:vertAlign w:val="baseline"/>
          <w:lang w:val="ru-RU"/>
        </w:rPr>
        <w:tab/>
        <w:t>*</w:t>
      </w:r>
      <w:r w:rsidRPr="00F82779">
        <w:rPr>
          <w:lang w:val="ru-RU"/>
        </w:rPr>
        <w:t xml:space="preserve"> </w:t>
      </w:r>
      <w:r w:rsidRPr="00F82779">
        <w:rPr>
          <w:lang w:val="ru-RU"/>
        </w:rPr>
        <w:tab/>
        <w:t xml:space="preserve">В рассмотрении настоящего сообщения приняли участие следующие члены Комитета: г-н Ядх Бен Ашур, г-н Юдзи Ивасава, сэр Найджел Родли, г-н Фабиан Омар Сальвиоли, г-н Юваль Шани, г-н Константин Вардзелашвили, г-н Лазхари Бузид, </w:t>
      </w:r>
      <w:r w:rsidRPr="00F82779">
        <w:rPr>
          <w:lang w:val="ru-RU"/>
        </w:rPr>
        <w:br/>
        <w:t xml:space="preserve">г-н Вальтер Келин, г-н Корнелис Флинтерман, г-жа Зонке Занеле Майодина, </w:t>
      </w:r>
      <w:r w:rsidRPr="00F82779">
        <w:rPr>
          <w:lang w:val="ru-RU"/>
        </w:rPr>
        <w:br/>
        <w:t>г-н Джеральд Л. Нойман</w:t>
      </w:r>
      <w:r w:rsidRPr="00F82779">
        <w:rPr>
          <w:bCs/>
          <w:lang w:val="ru-RU"/>
        </w:rPr>
        <w:t xml:space="preserve">, </w:t>
      </w:r>
      <w:r w:rsidRPr="00F82779">
        <w:rPr>
          <w:lang w:val="ru-RU"/>
        </w:rPr>
        <w:t>г-н Виктор Мануэль Родригес-Ресиа</w:t>
      </w:r>
      <w:r w:rsidRPr="00F82779">
        <w:rPr>
          <w:bCs/>
          <w:lang w:val="ru-RU"/>
        </w:rPr>
        <w:t xml:space="preserve">, </w:t>
      </w:r>
      <w:r w:rsidRPr="00F82779">
        <w:rPr>
          <w:lang w:val="ru-RU"/>
        </w:rPr>
        <w:t>г-жа Аня Зайберт-Фор и г-жа Марго Ватервал</w:t>
      </w:r>
      <w:r w:rsidRPr="00F82779">
        <w:rPr>
          <w:bCs/>
          <w:lang w:val="ru-RU"/>
        </w:rPr>
        <w:t>.</w:t>
      </w:r>
    </w:p>
  </w:footnote>
  <w:footnote w:id="2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Факультативный протокол вступил в силу для Российской Федерации 1 января 1992 года.</w:t>
      </w:r>
    </w:p>
  </w:footnote>
  <w:footnote w:id="3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 xml:space="preserve">Автор сообщает, что 23 ноября 2003 года его сын в целях самообороны убил некоего </w:t>
      </w:r>
      <w:r>
        <w:rPr>
          <w:lang w:val="ru-RU"/>
        </w:rPr>
        <w:br/>
      </w:r>
      <w:r w:rsidRPr="00F82779">
        <w:rPr>
          <w:lang w:val="ru-RU"/>
        </w:rPr>
        <w:t>г-на Пешкова, который был заместителем начальника Усть-Илимского отдела по борьбе с организованной преступностью. Автор утверждает, что г-н Пешков был в состоянии алкогольного опьянения и начал стрелять в его невооруженного сына и его друга (который был дважды ранен г-ном Пешковым). Сын автора был признан виновным в совершении преступления, предусмотренного статьей 317 Уголовного кодекса (посягательство на жизнь</w:t>
      </w:r>
      <w:r>
        <w:rPr>
          <w:lang w:val="ru-RU"/>
        </w:rPr>
        <w:t xml:space="preserve"> </w:t>
      </w:r>
      <w:r w:rsidRPr="00F82779">
        <w:rPr>
          <w:lang w:val="ru-RU"/>
        </w:rPr>
        <w:t xml:space="preserve">сотрудника правоохранительного органа) и приговорен к длительному сроку заключения. Автор заявляет, что "указание" сфабриковать его собственное уголовное дело было отдано г-ну Челмодееву в качестве акта мести г-ном Князевым, начальником Усть-Илимского отдела по борьбе с организованной преступностью, который являлся непосредственным начальником </w:t>
      </w:r>
      <w:r>
        <w:rPr>
          <w:lang w:val="ru-RU"/>
        </w:rPr>
        <w:br/>
      </w:r>
      <w:r w:rsidRPr="00F82779">
        <w:rPr>
          <w:lang w:val="ru-RU"/>
        </w:rPr>
        <w:t>г-на Пешкова.</w:t>
      </w:r>
    </w:p>
  </w:footnote>
  <w:footnote w:id="4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См. пункт 2.3 выше.</w:t>
      </w:r>
    </w:p>
  </w:footnote>
  <w:footnote w:id="5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Следствие по делу, возбужденному против г-на Микитенко, было прекращено после того, как г-н Бекреев указал на автора как на лицо, совершившее убийство.</w:t>
      </w:r>
    </w:p>
  </w:footnote>
  <w:footnote w:id="6">
    <w:p w:rsidR="00A0393C" w:rsidRPr="00F82779" w:rsidRDefault="00A0393C" w:rsidP="00F82779">
      <w:pPr>
        <w:pStyle w:val="FootnoteText"/>
        <w:ind w:hanging="141"/>
        <w:rPr>
          <w:szCs w:val="18"/>
          <w:lang w:val="ru-RU"/>
        </w:rPr>
      </w:pPr>
      <w:r w:rsidRPr="00F82779">
        <w:rPr>
          <w:rStyle w:val="FootnoteReference"/>
          <w:lang w:val="ru-RU"/>
        </w:rPr>
        <w:footnoteRef/>
      </w:r>
      <w:r w:rsidRPr="00F82779">
        <w:rPr>
          <w:szCs w:val="18"/>
          <w:lang w:val="ru-RU"/>
        </w:rPr>
        <w:tab/>
        <w:t>Насколько это значимо, в решении Судебной коллегии по уголовным делам Иркутского областного суда от 3 ноября 2005 года [включено в материалы дела] содержится информация по этому вопросу: "В кассационной жалобе адвокат Баранов</w:t>
      </w:r>
      <w:r>
        <w:rPr>
          <w:szCs w:val="18"/>
          <w:lang w:val="en-US"/>
        </w:rPr>
        <w:t> </w:t>
      </w:r>
      <w:r w:rsidRPr="00F82779">
        <w:rPr>
          <w:szCs w:val="18"/>
          <w:lang w:val="ru-RU"/>
        </w:rPr>
        <w:t>О.Г. в защиту интересов Севостьянова указывает, что выводы суда, изложенные в приговоре, не соответствуют фактическим обстоятельствам дела, давление на свидетеля Бекреева оказывалось при проведении опознания, данный факт</w:t>
      </w:r>
      <w:r>
        <w:rPr>
          <w:szCs w:val="18"/>
          <w:lang w:val="en-US"/>
        </w:rPr>
        <w:t> </w:t>
      </w:r>
      <w:r w:rsidRPr="00F82779">
        <w:rPr>
          <w:szCs w:val="18"/>
          <w:lang w:val="ru-RU"/>
        </w:rPr>
        <w:t>подтвердили Дзювина и Махмудова. Свидетель Микитенко, заявивший о причастности к совершению преступления, осознавал последствия о даче заведомо ложных показаний. […] [Иркутский областной суд счел] [д]оводы осужденного о ложности показаний свидетеля Бекреева А.С., очевидца совершения преступления, несостоятельны[ми]. Основанными на материалах дела являются выводы [Усть-Илимского городского] суда о том, что не доверять показаниям данного свидетеля у суда нет оснований. Из дела усматривается, что [Усть-Илимским городским] судом с достаточной полнотой исследовались и правильно установлены фактические обстоятельства совершенного Севостьяновым [автором] преступления, а также мотив его преступных действий. Доводы жалоб в сущности о непричастности Севостьянова к убийству Загребина не могут быть признаны состоятельными, поскольку материалами дела бесспорно установлено, что Севостьянов пришел в дачный домик, принадлежащий гражданину Игнатову, где умышленно на почве мести произвел выстрел из обреза ружья в лицо подростку Загребину, причинив огнестрельное ранение, вызвавшее обильную кровопотерю, от которого наступила смерть Загребина. Судебной палатой признаются правильными выводы [Усть-Илимского городского] суда о виновности Севостьянова в совершенном им преступлении и верной квалификация его действий по части 1 статьи 105 Уголовного кодекса".</w:t>
      </w:r>
    </w:p>
  </w:footnote>
  <w:footnote w:id="7">
    <w:p w:rsidR="00A0393C" w:rsidRPr="00F82779" w:rsidRDefault="00A0393C" w:rsidP="00F82779">
      <w:pPr>
        <w:pStyle w:val="FootnoteText"/>
        <w:rPr>
          <w:bCs/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</w:r>
      <w:r w:rsidRPr="00F82779">
        <w:rPr>
          <w:bCs/>
          <w:lang w:val="ru-RU"/>
        </w:rPr>
        <w:t>Статья 413 Уголовно-процессуального кодекса "</w:t>
      </w:r>
      <w:r w:rsidRPr="00F82779">
        <w:rPr>
          <w:szCs w:val="18"/>
          <w:lang w:val="ru-RU"/>
        </w:rPr>
        <w:t>Основания возобновления производства по уголовному делу ввиду новых или вновь открывшихся обстоятельств" регулирует вопросы того, что признается новыми доказательствами, гласит</w:t>
      </w:r>
      <w:r w:rsidRPr="00F82779">
        <w:rPr>
          <w:bCs/>
          <w:lang w:val="ru-RU"/>
        </w:rPr>
        <w:t xml:space="preserve">: 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"</w:t>
      </w:r>
      <w:r w:rsidRPr="00F82779">
        <w:rPr>
          <w:lang w:val="ru-RU"/>
        </w:rPr>
        <w:t>1.</w:t>
      </w:r>
      <w:r w:rsidRPr="00F82779">
        <w:rPr>
          <w:lang w:val="ru-RU"/>
        </w:rPr>
        <w:tab/>
        <w:t>Вступившие в законную силу приговор, определение и постановление суда могут быть отменены и производство по уголовному делу возобновлено ввиду новых или вновь открывшихся обстоятельств. […]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3.</w:t>
      </w:r>
      <w:r w:rsidRPr="00F82779">
        <w:rPr>
          <w:b/>
          <w:bCs/>
          <w:lang w:val="ru-RU"/>
        </w:rPr>
        <w:tab/>
      </w:r>
      <w:r w:rsidRPr="00F82779">
        <w:rPr>
          <w:lang w:val="ru-RU"/>
        </w:rPr>
        <w:t xml:space="preserve">Вновь открывшимися обстоятельствами являются: </w:t>
      </w:r>
    </w:p>
    <w:p w:rsidR="00A0393C" w:rsidRPr="00F82779" w:rsidRDefault="00A0393C" w:rsidP="00F82779">
      <w:pPr>
        <w:pStyle w:val="FootnoteText"/>
        <w:tabs>
          <w:tab w:val="left" w:pos="1843"/>
        </w:tabs>
        <w:ind w:left="1843" w:hanging="1559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  <w:t>1)</w:t>
      </w:r>
      <w:r w:rsidRPr="00F82779">
        <w:rPr>
          <w:lang w:val="ru-RU"/>
        </w:rPr>
        <w:tab/>
        <w:t xml:space="preserve">установленные вступившим в законную силу приговором суда заведомая ложность показаний потерпевшего или свидетеля, заключения эксперта, а равно подложность вещественных доказательств, протоколов следственных и судебных действий и иных документов или заведомая неправильность перевода, повлекшие за собой постановление незаконного, необоснованного или несправедливого приговора, вынесение незаконного или необоснованного определения или постановления; </w:t>
      </w:r>
    </w:p>
    <w:p w:rsidR="00A0393C" w:rsidRPr="00F82779" w:rsidRDefault="00A0393C" w:rsidP="00F82779">
      <w:pPr>
        <w:pStyle w:val="FootnoteText"/>
        <w:tabs>
          <w:tab w:val="left" w:pos="1843"/>
        </w:tabs>
        <w:ind w:left="1843" w:hanging="1559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  <w:t>2)</w:t>
      </w:r>
      <w:r w:rsidRPr="00F82779">
        <w:rPr>
          <w:lang w:val="ru-RU"/>
        </w:rPr>
        <w:tab/>
        <w:t xml:space="preserve">установленные вступившим в законную силу приговором суда преступные действия дознавателя, следователя или прокурора, повлекшие за собой постановление незаконного, необоснованного или несправедливого приговора, вынесение незаконного или необоснованного определения либо постановления; </w:t>
      </w:r>
    </w:p>
    <w:p w:rsidR="00A0393C" w:rsidRPr="00F82779" w:rsidRDefault="00A0393C" w:rsidP="00F82779">
      <w:pPr>
        <w:pStyle w:val="FootnoteText"/>
        <w:tabs>
          <w:tab w:val="left" w:pos="1843"/>
        </w:tabs>
        <w:ind w:left="1843" w:hanging="1559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  <w:t>3)</w:t>
      </w:r>
      <w:r w:rsidRPr="00F82779">
        <w:rPr>
          <w:lang w:val="ru-RU"/>
        </w:rPr>
        <w:tab/>
        <w:t>установленные вступившим в законную силу приговором суда преступные действия судьи, совершенные им при рассмотрении данного уголовного дела. […]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5.</w:t>
      </w:r>
      <w:r w:rsidRPr="00F82779">
        <w:rPr>
          <w:bCs/>
          <w:lang w:val="ru-RU"/>
        </w:rPr>
        <w:tab/>
      </w:r>
      <w:r w:rsidRPr="00F82779">
        <w:rPr>
          <w:lang w:val="ru-RU"/>
        </w:rPr>
        <w:t>Обстоятельства, указанные в части третьей настоящей статьи, могут быть установлены помимо приговора определением или постановлением суда, постановлением следователя или дознавателя о прекращении уголовного дела за истечением срока давности, вследствие акта об амнистии или акта помилования, в</w:t>
      </w:r>
      <w:r>
        <w:rPr>
          <w:lang w:val="ru-RU"/>
        </w:rPr>
        <w:t> </w:t>
      </w:r>
      <w:r w:rsidRPr="00F82779">
        <w:rPr>
          <w:lang w:val="ru-RU"/>
        </w:rPr>
        <w:t>связи со смертью обвиняемого или недостижением лицом возраста, с которого наступает уголовная ответственность"</w:t>
      </w:r>
      <w:r>
        <w:rPr>
          <w:lang w:val="ru-RU"/>
        </w:rPr>
        <w:t>.</w:t>
      </w:r>
      <w:r w:rsidRPr="00F82779" w:rsidDel="00DA32BE">
        <w:rPr>
          <w:lang w:val="ru-RU"/>
        </w:rPr>
        <w:t xml:space="preserve"> </w:t>
      </w:r>
    </w:p>
  </w:footnote>
  <w:footnote w:id="8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Государство-участник не объясняет, почему суд кассационной инстанции не мог принять во внимание заявление г-на Бекреева. Тем не менее, если учитывать положения Уголовно-процессуального кодекса</w:t>
      </w:r>
      <w:r w:rsidRPr="00F82779">
        <w:rPr>
          <w:bCs/>
          <w:lang w:val="ru-RU"/>
        </w:rPr>
        <w:t>, представляется, что полномочия суда кассационной инстанции ограничены проверкой законности, обоснованности и справедливости приговора, вынесенного судом первой инстанции, и не включают в себя рассмотрение новых доказательств. Статья 360 "Пределы рассмотрения уголовного дела судом апелляционной или кассационной инстанции" гласит</w:t>
      </w:r>
      <w:r w:rsidRPr="00F82779">
        <w:rPr>
          <w:lang w:val="ru-RU"/>
        </w:rPr>
        <w:t>: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lang w:val="ru-RU"/>
        </w:rPr>
        <w:t>" 1.</w:t>
      </w:r>
      <w:r w:rsidRPr="00F82779">
        <w:rPr>
          <w:lang w:val="ru-RU"/>
        </w:rPr>
        <w:tab/>
        <w:t xml:space="preserve">Суд, рассматривающий уголовное дело в апелляционном или кассационном порядке, проверяет законность, обоснованность, справедливость приговора и иного судебного решения. </w:t>
      </w:r>
    </w:p>
    <w:p w:rsidR="00A0393C" w:rsidRPr="00F82779" w:rsidRDefault="00A0393C" w:rsidP="008F1A90">
      <w:pPr>
        <w:pStyle w:val="FootnoteText"/>
        <w:tabs>
          <w:tab w:val="clear" w:pos="1021"/>
          <w:tab w:val="left" w:pos="1843"/>
        </w:tabs>
        <w:ind w:left="1418" w:firstLine="0"/>
        <w:rPr>
          <w:lang w:val="ru-RU"/>
        </w:rPr>
      </w:pPr>
      <w:r w:rsidRPr="00F82779">
        <w:rPr>
          <w:lang w:val="ru-RU"/>
        </w:rPr>
        <w:t>2.</w:t>
      </w:r>
      <w:r w:rsidRPr="00F82779">
        <w:rPr>
          <w:lang w:val="ru-RU"/>
        </w:rPr>
        <w:tab/>
        <w:t>Суд, рассматривающий уголовное дело в апелляционном или кассационном порядке, проверяет законность, обоснованность и справедливость судебного решения лишь в той части, в которой оно обжаловано. Если при рассмотрении уголовного дела будут установлены обстоятельства, которые касаются интересов других лиц, осужденных или оправданных по этому же уголовному делу и в отношении которых жалоба или представление не были поданы, то уголовное дело должно быть проверено и в отношении этих лиц. При этом не может быть допущено ухудшение их положения. […]"</w:t>
      </w:r>
    </w:p>
    <w:p w:rsidR="00A0393C" w:rsidRPr="00F82779" w:rsidRDefault="00A0393C" w:rsidP="00F82779">
      <w:pPr>
        <w:pStyle w:val="FootnoteText"/>
        <w:tabs>
          <w:tab w:val="clear" w:pos="1021"/>
        </w:tabs>
        <w:ind w:firstLine="0"/>
        <w:rPr>
          <w:bCs/>
          <w:lang w:val="ru-RU"/>
        </w:rPr>
      </w:pPr>
      <w:r w:rsidRPr="00F82779">
        <w:rPr>
          <w:lang w:val="ru-RU"/>
        </w:rPr>
        <w:t>См. также статьи</w:t>
      </w:r>
      <w:r w:rsidRPr="00F82779">
        <w:rPr>
          <w:bCs/>
          <w:lang w:val="ru-RU"/>
        </w:rPr>
        <w:t xml:space="preserve"> 373 и 380: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 xml:space="preserve">"Статья 373. </w:t>
      </w:r>
      <w:r w:rsidRPr="00F82779">
        <w:rPr>
          <w:lang w:val="ru-RU"/>
        </w:rPr>
        <w:t xml:space="preserve">Предмет судебного разбирательства в суде кассационной инстанции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 w:firstLine="0"/>
        <w:rPr>
          <w:b/>
          <w:bCs/>
          <w:lang w:val="ru-RU"/>
        </w:rPr>
      </w:pPr>
      <w:r w:rsidRPr="00F82779">
        <w:rPr>
          <w:lang w:val="ru-RU"/>
        </w:rPr>
        <w:tab/>
        <w:t>Суд кассационной инстанции проверяет по кассационным жалобам и представлениям законность, обоснованность и справедливость приговора и иного судебного решения."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bCs/>
          <w:lang w:val="ru-RU"/>
        </w:rPr>
      </w:pPr>
      <w:r w:rsidRPr="00F82779">
        <w:rPr>
          <w:bCs/>
          <w:lang w:val="ru-RU"/>
        </w:rPr>
        <w:t xml:space="preserve">"Статья 380. Несоответствие выводов суда, изложенных в приговоре, фактическим обстоятельствам уголовного дела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lang w:val="ru-RU"/>
        </w:rPr>
        <w:tab/>
        <w:t>Приговор признается не соответствующим фактическим обстоятельствам уголовного дела, установленным судом первой или апелляционной инстанции, если: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lang w:val="ru-RU"/>
        </w:rPr>
        <w:tab/>
        <w:t>1)</w:t>
      </w:r>
      <w:r w:rsidRPr="00F82779">
        <w:rPr>
          <w:lang w:val="ru-RU"/>
        </w:rPr>
        <w:tab/>
        <w:t>выводы суда не подтверждаются доказательствами, рассмотренными в судебном заседании;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lang w:val="ru-RU"/>
        </w:rPr>
        <w:tab/>
        <w:t>2)</w:t>
      </w:r>
      <w:r w:rsidRPr="00F82779">
        <w:rPr>
          <w:lang w:val="ru-RU"/>
        </w:rPr>
        <w:tab/>
        <w:t xml:space="preserve">суд не учел обстоятельства, которые могли существенно повлиять на выводы суда;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lang w:val="ru-RU"/>
        </w:rPr>
        <w:tab/>
        <w:t>3)</w:t>
      </w:r>
      <w:r w:rsidRPr="00F82779">
        <w:rPr>
          <w:lang w:val="ru-RU"/>
        </w:rPr>
        <w:tab/>
        <w:t xml:space="preserve">при наличии противоречивых доказательств, имеющих существенное значение для выводов суда, в приговоре не указано, по каким основаниям суд принял одни из этих доказательств и отверг другие;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lang w:val="ru-RU"/>
        </w:rPr>
        <w:tab/>
        <w:t>4)</w:t>
      </w:r>
      <w:r w:rsidRPr="00F82779">
        <w:rPr>
          <w:lang w:val="ru-RU"/>
        </w:rPr>
        <w:tab/>
        <w:t>выводы суда, изложенные в приговоре, содержат существенные противоречия, которые повлияли или могли повлиять на решение вопроса о виновности или невиновности осужденного или оправданного, на правильность применения уголовного закона или определение меры наказания."</w:t>
      </w:r>
    </w:p>
  </w:footnote>
  <w:footnote w:id="9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Соответствующие части статей 144 и 145 гласят: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szCs w:val="18"/>
          <w:lang w:val="ru-RU"/>
        </w:rPr>
      </w:pPr>
      <w:r w:rsidRPr="00F82779">
        <w:rPr>
          <w:bCs/>
          <w:szCs w:val="18"/>
          <w:lang w:val="ru-RU"/>
        </w:rPr>
        <w:t>" Статья 144. Порядок рассмотрения сообщения о преступлении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1.</w:t>
      </w:r>
      <w:r w:rsidRPr="00F82779">
        <w:rPr>
          <w:b/>
          <w:bCs/>
          <w:lang w:val="ru-RU"/>
        </w:rPr>
        <w:tab/>
      </w:r>
      <w:r w:rsidRPr="00F82779">
        <w:rPr>
          <w:szCs w:val="18"/>
          <w:lang w:val="ru-RU"/>
        </w:rPr>
        <w:t>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</w:t>
      </w:r>
      <w:r w:rsidRPr="00F82779">
        <w:rPr>
          <w:lang w:val="ru-RU"/>
        </w:rPr>
        <w:t xml:space="preserve">. </w:t>
      </w:r>
      <w:r w:rsidRPr="00F82779">
        <w:rPr>
          <w:szCs w:val="18"/>
          <w:lang w:val="ru-RU"/>
        </w:rPr>
        <w:t>При проверке сообщения о преступлении дознаватель, орган дознания, следователь, руководитель следственного органа вправе […]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</w:t>
      </w:r>
      <w:r w:rsidRPr="00F82779">
        <w:rPr>
          <w:lang w:val="ru-RU"/>
        </w:rPr>
        <w:t>.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4.</w:t>
      </w:r>
      <w:r w:rsidRPr="00F82779">
        <w:rPr>
          <w:b/>
          <w:bCs/>
          <w:lang w:val="ru-RU"/>
        </w:rPr>
        <w:tab/>
      </w:r>
      <w:r w:rsidRPr="00F82779">
        <w:rPr>
          <w:szCs w:val="18"/>
          <w:lang w:val="ru-RU"/>
        </w:rPr>
        <w:t>Заявителю выдается документ о принятии сообщения о преступлении с указанием данных о лице, его принявшем, а также даты и времени его принятия</w:t>
      </w:r>
      <w:r w:rsidRPr="00F82779">
        <w:rPr>
          <w:lang w:val="ru-RU"/>
        </w:rPr>
        <w:t xml:space="preserve">. 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5.</w:t>
      </w:r>
      <w:r w:rsidRPr="00F82779">
        <w:rPr>
          <w:bCs/>
          <w:lang w:val="ru-RU"/>
        </w:rPr>
        <w:tab/>
      </w:r>
      <w:r w:rsidRPr="00F82779">
        <w:rPr>
          <w:szCs w:val="18"/>
          <w:lang w:val="ru-RU"/>
        </w:rPr>
        <w:t>Отказ в приеме сообщения о преступлении может быть обжалован прокурору или в суд в порядке, установленном статьями 124 и 125 настоящего Кодекса</w:t>
      </w:r>
      <w:r w:rsidRPr="00F82779">
        <w:rPr>
          <w:lang w:val="ru-RU"/>
        </w:rPr>
        <w:t xml:space="preserve">. 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6.</w:t>
      </w:r>
      <w:r w:rsidRPr="00F82779">
        <w:rPr>
          <w:bCs/>
          <w:lang w:val="ru-RU"/>
        </w:rPr>
        <w:tab/>
      </w:r>
      <w:r w:rsidRPr="00F82779">
        <w:rPr>
          <w:szCs w:val="18"/>
          <w:lang w:val="ru-RU"/>
        </w:rPr>
        <w:t>Заявление потерпевшего или его законного представителя по уголовным делам частного обвинения, поданное в суд, рассматривается судьей в соответствии со статьей 318 настоящего Кодекса. В случаях, предусмотренных частью четвертой статьи 147 настоящего Кодекса, проверка сообщения о преступлении осуществляется в соответствии с правилами, установленными настоящей статьей</w:t>
      </w:r>
      <w:r w:rsidRPr="00F82779">
        <w:rPr>
          <w:lang w:val="ru-RU"/>
        </w:rPr>
        <w:t xml:space="preserve">."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/>
        <w:rPr>
          <w:lang w:val="ru-RU"/>
        </w:rPr>
      </w:pPr>
      <w:r w:rsidRPr="00F82779">
        <w:rPr>
          <w:b/>
          <w:bCs/>
          <w:lang w:val="ru-RU"/>
        </w:rPr>
        <w:tab/>
      </w:r>
      <w:r w:rsidRPr="00F82779">
        <w:rPr>
          <w:b/>
          <w:bCs/>
          <w:lang w:val="ru-RU"/>
        </w:rPr>
        <w:tab/>
      </w:r>
      <w:r w:rsidRPr="00F82779">
        <w:rPr>
          <w:bCs/>
          <w:lang w:val="ru-RU"/>
        </w:rPr>
        <w:t>"Статья 145.</w:t>
      </w:r>
      <w:r w:rsidRPr="00F82779">
        <w:rPr>
          <w:b/>
          <w:bCs/>
          <w:lang w:val="ru-RU"/>
        </w:rPr>
        <w:t xml:space="preserve"> </w:t>
      </w:r>
      <w:r w:rsidRPr="00F82779">
        <w:rPr>
          <w:bCs/>
          <w:szCs w:val="18"/>
          <w:lang w:val="ru-RU"/>
        </w:rPr>
        <w:t>Решения, принимаемые по результатам рассмотрения сообщения о преступлении</w:t>
      </w:r>
      <w:r w:rsidRPr="00F82779">
        <w:rPr>
          <w:lang w:val="ru-RU"/>
        </w:rPr>
        <w:t xml:space="preserve"> </w:t>
      </w:r>
    </w:p>
    <w:p w:rsidR="00A0393C" w:rsidRPr="00F82779" w:rsidRDefault="00A0393C" w:rsidP="00F82779">
      <w:pPr>
        <w:pStyle w:val="FootnoteText"/>
        <w:tabs>
          <w:tab w:val="clear" w:pos="1021"/>
          <w:tab w:val="left" w:pos="1843"/>
          <w:tab w:val="left" w:pos="2268"/>
        </w:tabs>
        <w:ind w:left="1418" w:firstLine="0"/>
        <w:rPr>
          <w:lang w:val="ru-RU"/>
        </w:rPr>
      </w:pPr>
      <w:r w:rsidRPr="00F82779">
        <w:rPr>
          <w:bCs/>
          <w:lang w:val="ru-RU"/>
        </w:rPr>
        <w:t>1.</w:t>
      </w:r>
      <w:r w:rsidRPr="00F82779">
        <w:rPr>
          <w:b/>
          <w:bCs/>
          <w:lang w:val="ru-RU"/>
        </w:rPr>
        <w:tab/>
      </w:r>
      <w:r w:rsidRPr="00F82779">
        <w:rPr>
          <w:szCs w:val="18"/>
          <w:lang w:val="ru-RU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</w:t>
      </w:r>
      <w:r w:rsidRPr="00F82779">
        <w:rPr>
          <w:lang w:val="ru-RU"/>
        </w:rPr>
        <w:t xml:space="preserve">: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</w:r>
      <w:r w:rsidRPr="00F82779">
        <w:rPr>
          <w:lang w:val="ru-RU"/>
        </w:rPr>
        <w:tab/>
        <w:t>1)</w:t>
      </w:r>
      <w:r w:rsidRPr="00F82779">
        <w:rPr>
          <w:lang w:val="ru-RU"/>
        </w:rPr>
        <w:tab/>
      </w:r>
      <w:r w:rsidRPr="00F82779">
        <w:rPr>
          <w:szCs w:val="18"/>
          <w:lang w:val="ru-RU"/>
        </w:rPr>
        <w:t>о возбуждении уголовного дела в порядке, установленном статьей 146 настоящего Кодекса</w:t>
      </w:r>
      <w:r w:rsidRPr="00F82779">
        <w:rPr>
          <w:lang w:val="ru-RU"/>
        </w:rPr>
        <w:t xml:space="preserve">;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</w:r>
      <w:r w:rsidRPr="00F82779">
        <w:rPr>
          <w:lang w:val="ru-RU"/>
        </w:rPr>
        <w:tab/>
        <w:t>2)</w:t>
      </w:r>
      <w:r w:rsidRPr="00F82779">
        <w:rPr>
          <w:lang w:val="ru-RU"/>
        </w:rPr>
        <w:tab/>
      </w:r>
      <w:r w:rsidRPr="00F82779">
        <w:rPr>
          <w:szCs w:val="18"/>
          <w:lang w:val="ru-RU"/>
        </w:rPr>
        <w:t>об отказе в возбуждении уголовного дела</w:t>
      </w:r>
      <w:r w:rsidRPr="00F82779">
        <w:rPr>
          <w:lang w:val="ru-RU"/>
        </w:rPr>
        <w:t xml:space="preserve">; 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</w:r>
      <w:r w:rsidRPr="00F82779">
        <w:rPr>
          <w:lang w:val="ru-RU"/>
        </w:rPr>
        <w:tab/>
        <w:t>3)</w:t>
      </w:r>
      <w:r w:rsidRPr="00F82779">
        <w:rPr>
          <w:lang w:val="ru-RU"/>
        </w:rPr>
        <w:tab/>
      </w:r>
      <w:r w:rsidRPr="00F82779">
        <w:rPr>
          <w:szCs w:val="18"/>
          <w:lang w:val="ru-RU"/>
        </w:rPr>
        <w:t>о передаче сообщения по подследственности в соответствии со статьей</w:t>
      </w:r>
      <w:r>
        <w:rPr>
          <w:szCs w:val="18"/>
          <w:lang w:val="ru-RU"/>
        </w:rPr>
        <w:t> </w:t>
      </w:r>
      <w:r w:rsidRPr="00F82779">
        <w:rPr>
          <w:szCs w:val="18"/>
          <w:lang w:val="ru-RU"/>
        </w:rPr>
        <w:t xml:space="preserve">151 настоящего Кодекса, а по уголовным делам частного обвинения </w:t>
      </w:r>
      <w:r>
        <w:rPr>
          <w:szCs w:val="18"/>
          <w:lang w:val="ru-RU"/>
        </w:rPr>
        <w:t>−</w:t>
      </w:r>
      <w:r w:rsidRPr="00F82779">
        <w:rPr>
          <w:szCs w:val="18"/>
          <w:lang w:val="ru-RU"/>
        </w:rPr>
        <w:t xml:space="preserve"> в суд в соответствии с частью второй статьи 20 настоящего Кодекса</w:t>
      </w:r>
      <w:r w:rsidRPr="00F82779">
        <w:rPr>
          <w:lang w:val="ru-RU"/>
        </w:rPr>
        <w:t>.</w:t>
      </w:r>
    </w:p>
    <w:p w:rsidR="00A0393C" w:rsidRPr="00F82779" w:rsidRDefault="00A0393C" w:rsidP="00F82779">
      <w:pPr>
        <w:pStyle w:val="FootnoteText"/>
        <w:tabs>
          <w:tab w:val="left" w:pos="1843"/>
          <w:tab w:val="left" w:pos="2268"/>
        </w:tabs>
        <w:ind w:left="1418"/>
        <w:rPr>
          <w:lang w:val="ru-RU"/>
        </w:rPr>
      </w:pPr>
      <w:r w:rsidRPr="00F82779">
        <w:rPr>
          <w:lang w:val="ru-RU"/>
        </w:rPr>
        <w:tab/>
      </w:r>
      <w:r w:rsidRPr="00F82779">
        <w:rPr>
          <w:lang w:val="ru-RU"/>
        </w:rPr>
        <w:tab/>
        <w:t>2.</w:t>
      </w:r>
      <w:r w:rsidRPr="00F82779">
        <w:rPr>
          <w:lang w:val="ru-RU"/>
        </w:rPr>
        <w:tab/>
      </w:r>
      <w:r w:rsidRPr="00F82779">
        <w:rPr>
          <w:szCs w:val="18"/>
          <w:lang w:val="ru-RU"/>
        </w:rPr>
        <w:t>О принятом решении сообщается заявителю. При этом заявителю разъясняются его право обжаловать данное решение и порядок обжалования</w:t>
      </w:r>
      <w:r w:rsidRPr="00F82779">
        <w:rPr>
          <w:lang w:val="ru-RU"/>
        </w:rPr>
        <w:t>. […]"</w:t>
      </w:r>
    </w:p>
  </w:footnote>
  <w:footnote w:id="10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Автор нанял данного адвоката самостоятельно.</w:t>
      </w:r>
    </w:p>
  </w:footnote>
  <w:footnote w:id="11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>Автор представил копию ответа из районной прокуратуры Иркутска от 15 октября 2009 года, в котором говорится, что прокуратура уже расследовала идентичную жалобу и 8 декабря 2008 года вынесла решение об отказе в возбуждении уголовного дела, поскольку уголовное преступление не имело места.</w:t>
      </w:r>
    </w:p>
  </w:footnote>
  <w:footnote w:id="12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 xml:space="preserve">См., в частности, сообщение № 541/1993, </w:t>
      </w:r>
      <w:r w:rsidRPr="00F82779">
        <w:rPr>
          <w:i/>
          <w:lang w:val="ru-RU"/>
        </w:rPr>
        <w:t>Эррол Симмс против Ямайки</w:t>
      </w:r>
      <w:r w:rsidRPr="00F82779">
        <w:rPr>
          <w:lang w:val="ru-RU"/>
        </w:rPr>
        <w:t>, решение о неприемлемости, принятое 3 апреля 1995 года, пункт 6.2.</w:t>
      </w:r>
    </w:p>
  </w:footnote>
  <w:footnote w:id="13">
    <w:p w:rsidR="00A0393C" w:rsidRPr="00F82779" w:rsidRDefault="00A0393C" w:rsidP="00F82779">
      <w:pPr>
        <w:pStyle w:val="FootnoteText"/>
        <w:rPr>
          <w:lang w:val="ru-RU"/>
        </w:rPr>
      </w:pPr>
      <w:r w:rsidRPr="00F82779">
        <w:rPr>
          <w:lang w:val="ru-RU"/>
        </w:rPr>
        <w:tab/>
      </w:r>
      <w:r w:rsidRPr="00F82779">
        <w:rPr>
          <w:rStyle w:val="FootnoteReference"/>
          <w:lang w:val="ru-RU"/>
        </w:rPr>
        <w:footnoteRef/>
      </w:r>
      <w:r w:rsidRPr="00F82779">
        <w:rPr>
          <w:lang w:val="ru-RU"/>
        </w:rPr>
        <w:tab/>
        <w:t xml:space="preserve">См. замечание общего порядка № 32 (2007) Комитета о праве на равенство перед судами и трибуналами и на справедливое судебное разбирательство, пункт </w:t>
      </w:r>
      <w:r>
        <w:rPr>
          <w:lang w:val="ru-RU"/>
        </w:rPr>
        <w:t>48</w:t>
      </w:r>
      <w:r w:rsidRPr="00F82779">
        <w:rPr>
          <w:lang w:val="ru-RU"/>
        </w:rPr>
        <w:t xml:space="preserve">, </w:t>
      </w:r>
      <w:r w:rsidRPr="00F82779">
        <w:rPr>
          <w:i/>
          <w:lang w:val="ru-RU"/>
        </w:rPr>
        <w:t>Официальные отчеты Генеральной Ассамблеи, шестьдесят вторая сессия, Дополнение № 40</w:t>
      </w:r>
      <w:r w:rsidRPr="00F82779">
        <w:rPr>
          <w:lang w:val="ru-RU"/>
        </w:rPr>
        <w:t>, том I (A/62/40 (том I)),</w:t>
      </w:r>
      <w:r w:rsidRPr="00F82779">
        <w:rPr>
          <w:color w:val="000000"/>
          <w:sz w:val="27"/>
          <w:szCs w:val="27"/>
          <w:lang w:val="ru-RU"/>
        </w:rPr>
        <w:t xml:space="preserve"> </w:t>
      </w:r>
      <w:r w:rsidRPr="00F82779">
        <w:rPr>
          <w:lang w:val="ru-RU"/>
        </w:rPr>
        <w:t>приложение VI.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3C" w:rsidRPr="005F0588" w:rsidRDefault="00A0393C">
    <w:pPr>
      <w:pStyle w:val="Header"/>
      <w:rPr>
        <w:lang w:val="en-US"/>
      </w:rPr>
    </w:pPr>
    <w:r>
      <w:rPr>
        <w:lang w:val="en-US"/>
      </w:rPr>
      <w:t>CCPR/C/109/D/1856/2008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3C" w:rsidRPr="005F0588" w:rsidRDefault="00A0393C">
    <w:pPr>
      <w:pStyle w:val="Header"/>
      <w:rPr>
        <w:lang w:val="en-US"/>
      </w:rPr>
    </w:pPr>
    <w:r>
      <w:rPr>
        <w:lang w:val="en-US"/>
      </w:rPr>
      <w:tab/>
      <w:t>CCPR/C/109/D/1856/2008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A3D6DC1"/>
    <w:multiLevelType w:val="hybridMultilevel"/>
    <w:tmpl w:val="730284C8"/>
    <w:lvl w:ilvl="0" w:tplc="7BEA428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7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4D62"/>
    <w:rsid w:val="001F2D04"/>
    <w:rsid w:val="0020059C"/>
    <w:rsid w:val="002019BD"/>
    <w:rsid w:val="00232D42"/>
    <w:rsid w:val="00237334"/>
    <w:rsid w:val="002444F4"/>
    <w:rsid w:val="002629A0"/>
    <w:rsid w:val="002839D1"/>
    <w:rsid w:val="0028492B"/>
    <w:rsid w:val="00291C8F"/>
    <w:rsid w:val="002B0334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65A5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409C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1A90"/>
    <w:rsid w:val="008F3185"/>
    <w:rsid w:val="00915B0A"/>
    <w:rsid w:val="00926904"/>
    <w:rsid w:val="009372F0"/>
    <w:rsid w:val="00955022"/>
    <w:rsid w:val="00957B4D"/>
    <w:rsid w:val="00964EEA"/>
    <w:rsid w:val="00980C86"/>
    <w:rsid w:val="009845A1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93C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2D20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2779"/>
    <w:rsid w:val="00F87506"/>
    <w:rsid w:val="00F92C41"/>
    <w:rsid w:val="00FA5522"/>
    <w:rsid w:val="00FA6E4A"/>
    <w:rsid w:val="00FB2B35"/>
    <w:rsid w:val="00FC4AE1"/>
    <w:rsid w:val="00FD7403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semiHidden/>
    <w:rsid w:val="00F82779"/>
    <w:pPr>
      <w:suppressAutoHyphens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12</Pages>
  <Words>3799</Words>
  <Characters>21660</Characters>
  <Application>Microsoft Office Outlook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Larisa Maykovskaya</cp:lastModifiedBy>
  <cp:revision>2</cp:revision>
  <cp:lastPrinted>1601-01-01T00:00:00Z</cp:lastPrinted>
  <dcterms:created xsi:type="dcterms:W3CDTF">2014-02-28T12:41:00Z</dcterms:created>
  <dcterms:modified xsi:type="dcterms:W3CDTF">2014-02-28T12:41:00Z</dcterms:modified>
</cp:coreProperties>
</file>