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RPr="00A370F1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A370F1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370F1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A370F1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A370F1" w:rsidRDefault="0087597F" w:rsidP="00C42621">
            <w:pPr>
              <w:spacing w:after="80"/>
              <w:jc w:val="right"/>
            </w:pPr>
            <w:r w:rsidRPr="00A370F1">
              <w:rPr>
                <w:sz w:val="40"/>
                <w:szCs w:val="40"/>
              </w:rPr>
              <w:t>CCPR</w:t>
            </w:r>
            <w:r w:rsidRPr="00A370F1">
              <w:t>/</w:t>
            </w:r>
            <w:r w:rsidR="00446296">
              <w:fldChar w:fldCharType="begin"/>
            </w:r>
            <w:r w:rsidR="00446296">
              <w:instrText xml:space="preserve"> FILLIN  "Введите часть символа после CCPR/"  \* MERGEFORMAT </w:instrText>
            </w:r>
            <w:r w:rsidR="00446296">
              <w:fldChar w:fldCharType="separate"/>
            </w:r>
            <w:r w:rsidR="002622DD" w:rsidRPr="00A370F1">
              <w:t>C/ZAF/CO/1</w:t>
            </w:r>
            <w:r w:rsidR="00446296">
              <w:fldChar w:fldCharType="end"/>
            </w:r>
          </w:p>
        </w:tc>
      </w:tr>
      <w:tr w:rsidR="0087597F" w:rsidRPr="00A370F1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A370F1" w:rsidRDefault="0087597F" w:rsidP="00C42621">
            <w:pPr>
              <w:spacing w:before="120"/>
              <w:jc w:val="center"/>
            </w:pPr>
            <w:r w:rsidRPr="00A370F1">
              <w:rPr>
                <w:noProof/>
                <w:lang w:eastAsia="ru-RU"/>
              </w:rPr>
              <w:drawing>
                <wp:inline distT="0" distB="0" distL="0" distR="0" wp14:anchorId="4A34BFC0" wp14:editId="64AD0D87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A370F1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A370F1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A370F1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A370F1">
              <w:rPr>
                <w:b/>
                <w:spacing w:val="-4"/>
                <w:w w:val="100"/>
                <w:sz w:val="34"/>
                <w:szCs w:val="34"/>
              </w:rPr>
              <w:br/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A370F1" w:rsidRDefault="0087597F" w:rsidP="00C42621">
            <w:pPr>
              <w:spacing w:before="240"/>
            </w:pPr>
            <w:proofErr w:type="spellStart"/>
            <w:r w:rsidRPr="00A370F1">
              <w:t>Distr</w:t>
            </w:r>
            <w:proofErr w:type="spellEnd"/>
            <w:r w:rsidRPr="00A370F1">
              <w:t xml:space="preserve">.: </w:t>
            </w:r>
            <w:bookmarkStart w:id="0" w:name="ПолеСоСписком1"/>
            <w:r w:rsidRPr="00A370F1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370F1">
              <w:instrText xml:space="preserve"> FORMDROPDOWN </w:instrText>
            </w:r>
            <w:r w:rsidR="00446296">
              <w:fldChar w:fldCharType="separate"/>
            </w:r>
            <w:r w:rsidRPr="00A370F1">
              <w:fldChar w:fldCharType="end"/>
            </w:r>
            <w:bookmarkEnd w:id="0"/>
          </w:p>
          <w:p w:rsidR="0087597F" w:rsidRPr="00A370F1" w:rsidRDefault="00446296" w:rsidP="00C42621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2622DD" w:rsidRPr="00A370F1">
              <w:t>27 April 2016</w:t>
            </w:r>
            <w:r>
              <w:fldChar w:fldCharType="end"/>
            </w:r>
          </w:p>
          <w:p w:rsidR="0087597F" w:rsidRPr="00A370F1" w:rsidRDefault="0087597F" w:rsidP="00C42621">
            <w:r w:rsidRPr="00A370F1">
              <w:t>Russian</w:t>
            </w:r>
          </w:p>
          <w:p w:rsidR="0087597F" w:rsidRPr="00A370F1" w:rsidRDefault="0087597F" w:rsidP="00C42621">
            <w:proofErr w:type="spellStart"/>
            <w:r w:rsidRPr="00A370F1">
              <w:t>Original</w:t>
            </w:r>
            <w:proofErr w:type="spellEnd"/>
            <w:r w:rsidRPr="00A370F1">
              <w:t xml:space="preserve">: </w:t>
            </w:r>
            <w:bookmarkStart w:id="1" w:name="ПолеСоСписком2"/>
            <w:r w:rsidRPr="00A370F1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A370F1">
              <w:instrText xml:space="preserve"> FORMDROPDOWN </w:instrText>
            </w:r>
            <w:r w:rsidR="00446296">
              <w:fldChar w:fldCharType="separate"/>
            </w:r>
            <w:r w:rsidRPr="00A370F1">
              <w:fldChar w:fldCharType="end"/>
            </w:r>
            <w:bookmarkEnd w:id="1"/>
          </w:p>
          <w:p w:rsidR="0087597F" w:rsidRPr="00A370F1" w:rsidRDefault="0087597F" w:rsidP="00C42621"/>
        </w:tc>
      </w:tr>
    </w:tbl>
    <w:p w:rsidR="00892E31" w:rsidRPr="00A370F1" w:rsidRDefault="00892E31" w:rsidP="00892E31">
      <w:pPr>
        <w:spacing w:before="120"/>
        <w:rPr>
          <w:b/>
          <w:bCs/>
          <w:sz w:val="24"/>
          <w:szCs w:val="24"/>
        </w:rPr>
      </w:pPr>
      <w:r w:rsidRPr="00A370F1">
        <w:rPr>
          <w:b/>
          <w:sz w:val="24"/>
          <w:szCs w:val="24"/>
        </w:rPr>
        <w:t>Комитет по правам человека</w:t>
      </w:r>
    </w:p>
    <w:p w:rsidR="00892E31" w:rsidRPr="00A370F1" w:rsidRDefault="00892E31" w:rsidP="003E6E48">
      <w:pPr>
        <w:pStyle w:val="HChGR"/>
      </w:pPr>
      <w:r w:rsidRPr="00A370F1">
        <w:tab/>
      </w:r>
      <w:r w:rsidRPr="00A370F1">
        <w:tab/>
        <w:t>Заключительные замечания по первоначальному докладу Южной Африки</w:t>
      </w:r>
      <w:r w:rsidR="006C7FE2" w:rsidRPr="00A370F1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892E31" w:rsidRPr="00A370F1" w:rsidRDefault="00892E31" w:rsidP="00892E31">
      <w:pPr>
        <w:pStyle w:val="SingleTxtGR"/>
      </w:pPr>
      <w:r w:rsidRPr="00A370F1">
        <w:t>1.</w:t>
      </w:r>
      <w:r w:rsidRPr="00A370F1">
        <w:tab/>
        <w:t>Комитет рассмотрел первоначальный доклад Южной Африки (CCPR/C/</w:t>
      </w:r>
      <w:r w:rsidR="006853A0">
        <w:br/>
      </w:r>
      <w:r w:rsidRPr="00A370F1">
        <w:t>ZAF/1) на своих 3234-м и 3235-м заседаниях (CCPR/C/SR.3234 и 3235), сост</w:t>
      </w:r>
      <w:r w:rsidRPr="00A370F1">
        <w:t>о</w:t>
      </w:r>
      <w:r w:rsidRPr="00A370F1">
        <w:t>явшихся 7 и 8 марта 2016 года. На своем 3258-м заседании, состо</w:t>
      </w:r>
      <w:r w:rsidR="006853A0">
        <w:t>явшемся 23 </w:t>
      </w:r>
      <w:r w:rsidRPr="00A370F1">
        <w:t>марта 2016 года, он принял следующие заключительные замечания.</w:t>
      </w:r>
    </w:p>
    <w:p w:rsidR="00892E31" w:rsidRPr="00A370F1" w:rsidRDefault="00892E31" w:rsidP="003E6E48">
      <w:pPr>
        <w:pStyle w:val="H1GR"/>
      </w:pPr>
      <w:r w:rsidRPr="00A370F1">
        <w:tab/>
        <w:t>A.</w:t>
      </w:r>
      <w:r w:rsidRPr="00A370F1">
        <w:tab/>
        <w:t>Введение</w:t>
      </w:r>
    </w:p>
    <w:p w:rsidR="00892E31" w:rsidRPr="00A370F1" w:rsidRDefault="00892E31" w:rsidP="00892E31">
      <w:pPr>
        <w:pStyle w:val="SingleTxtGR"/>
      </w:pPr>
      <w:r w:rsidRPr="00A370F1">
        <w:t>2.</w:t>
      </w:r>
      <w:r w:rsidRPr="00A370F1">
        <w:tab/>
        <w:t>Комитет приветствует представление Южной Африкой первоначального доклада и изложенную в нем информацию, выражая в то же время сожаление в связи с тем, что он просрочен на 14 лет. Он выражает признательность за во</w:t>
      </w:r>
      <w:r w:rsidRPr="00A370F1">
        <w:t>з</w:t>
      </w:r>
      <w:r w:rsidRPr="00A370F1">
        <w:t>можность начать конструктивный диалог с делегацией высокого уровня гос</w:t>
      </w:r>
      <w:r w:rsidRPr="00A370F1">
        <w:t>у</w:t>
      </w:r>
      <w:r w:rsidRPr="00A370F1">
        <w:t>дарства-участника в отношении мер по выполнению положений Пакта, которые были приняты государством-участником со времени его вступления в силу. К</w:t>
      </w:r>
      <w:r w:rsidRPr="00A370F1">
        <w:t>о</w:t>
      </w:r>
      <w:r w:rsidRPr="00A370F1">
        <w:t>митет благодарит государство-участник за представленные им письменные о</w:t>
      </w:r>
      <w:r w:rsidRPr="00A370F1">
        <w:t>т</w:t>
      </w:r>
      <w:r w:rsidRPr="00A370F1">
        <w:t>веты (CCPR/C/ZAF/Q/1/Add.1) на перечень вопросов (CCPR/C/ZAF/Q/1), кот</w:t>
      </w:r>
      <w:r w:rsidRPr="00A370F1">
        <w:t>о</w:t>
      </w:r>
      <w:r w:rsidRPr="00A370F1">
        <w:t>рые были дополнены устными ответами делегации, а также за дополнительную информацию, представленную ему в письменном виде.</w:t>
      </w:r>
    </w:p>
    <w:p w:rsidR="00892E31" w:rsidRPr="00A370F1" w:rsidRDefault="00892E31" w:rsidP="003E6E48">
      <w:pPr>
        <w:pStyle w:val="H1GR"/>
      </w:pPr>
      <w:r w:rsidRPr="00A370F1">
        <w:tab/>
        <w:t>B.</w:t>
      </w:r>
      <w:r w:rsidRPr="00A370F1">
        <w:tab/>
        <w:t>Позитивные аспекты</w:t>
      </w:r>
    </w:p>
    <w:p w:rsidR="00892E31" w:rsidRPr="00A370F1" w:rsidRDefault="00892E31" w:rsidP="00892E31">
      <w:pPr>
        <w:pStyle w:val="SingleTxtGR"/>
      </w:pPr>
      <w:r w:rsidRPr="00A370F1">
        <w:t>3.</w:t>
      </w:r>
      <w:r w:rsidRPr="00A370F1">
        <w:tab/>
        <w:t>Комитет приветствует следующие законодательные и институциональные меры, принятые государством-участником:</w:t>
      </w:r>
    </w:p>
    <w:p w:rsidR="00892E31" w:rsidRPr="00A370F1" w:rsidRDefault="00892E31" w:rsidP="00892E31">
      <w:pPr>
        <w:pStyle w:val="SingleTxtGR"/>
      </w:pPr>
      <w:r w:rsidRPr="00A370F1">
        <w:tab/>
        <w:t>а)</w:t>
      </w:r>
      <w:r w:rsidRPr="00A370F1">
        <w:tab/>
        <w:t>принятие 25 июля 2013 года Закона о предупреждении и пресеч</w:t>
      </w:r>
      <w:r w:rsidRPr="00A370F1">
        <w:t>е</w:t>
      </w:r>
      <w:r w:rsidRPr="00A370F1">
        <w:t xml:space="preserve">нии пыток, который предусматривает уголовную ответственность за пытки; </w:t>
      </w:r>
    </w:p>
    <w:p w:rsidR="00892E31" w:rsidRPr="00A370F1" w:rsidRDefault="00892E31" w:rsidP="00892E31">
      <w:pPr>
        <w:pStyle w:val="SingleTxtGR"/>
      </w:pPr>
      <w:r w:rsidRPr="00A370F1">
        <w:tab/>
        <w:t>b)</w:t>
      </w:r>
      <w:r w:rsidRPr="00A370F1">
        <w:tab/>
        <w:t>принятие 29 июля 2013 года Закона о предупреждении и пресеч</w:t>
      </w:r>
      <w:r w:rsidRPr="00A370F1">
        <w:t>е</w:t>
      </w:r>
      <w:r w:rsidRPr="00A370F1">
        <w:t>нии торговли людьми, который вступил в силу 9 августа 2015 года;</w:t>
      </w:r>
    </w:p>
    <w:p w:rsidR="00892E31" w:rsidRPr="00A370F1" w:rsidRDefault="00892E31" w:rsidP="00892E31">
      <w:pPr>
        <w:pStyle w:val="SingleTxtGR"/>
      </w:pPr>
      <w:r w:rsidRPr="00A370F1">
        <w:tab/>
        <w:t>с)</w:t>
      </w:r>
      <w:r w:rsidRPr="00A370F1">
        <w:tab/>
        <w:t>принятие в 2008 году Закона о детском правосудии, который вст</w:t>
      </w:r>
      <w:r w:rsidRPr="00A370F1">
        <w:t>у</w:t>
      </w:r>
      <w:r w:rsidRPr="00A370F1">
        <w:t>пил в силу 1 апреля 2010 года и усиливает защиту детей, находящихся в ко</w:t>
      </w:r>
      <w:r w:rsidRPr="00A370F1">
        <w:t>н</w:t>
      </w:r>
      <w:r w:rsidRPr="00A370F1">
        <w:t>фликте с законом;</w:t>
      </w:r>
      <w:r w:rsidR="00215E25" w:rsidRPr="00A370F1">
        <w:t xml:space="preserve"> </w:t>
      </w:r>
    </w:p>
    <w:p w:rsidR="00892E31" w:rsidRPr="00A370F1" w:rsidRDefault="00892E31" w:rsidP="00892E31">
      <w:pPr>
        <w:pStyle w:val="SingleTxtGR"/>
      </w:pPr>
      <w:r w:rsidRPr="00A370F1">
        <w:lastRenderedPageBreak/>
        <w:tab/>
        <w:t>d)</w:t>
      </w:r>
      <w:r w:rsidRPr="00A370F1">
        <w:tab/>
        <w:t>принятие ряда законодательных и институциональных реформ, направленных на борьбу с насилием в отнош</w:t>
      </w:r>
      <w:r w:rsidR="006853A0">
        <w:t>ении женщин, включая Закон 2003 </w:t>
      </w:r>
      <w:r w:rsidRPr="00A370F1">
        <w:t>года о бытовом насилии и Закон 2007 года о внесении поправок в уголо</w:t>
      </w:r>
      <w:r w:rsidRPr="00A370F1">
        <w:t>в</w:t>
      </w:r>
      <w:r w:rsidRPr="00A370F1">
        <w:t xml:space="preserve">ное право (сексуальные преступления и смежные вопросы), восстановление специализированных судов по рассмотрению сексуальных преступлений и учреждение Центра оказания помощи </w:t>
      </w:r>
      <w:r w:rsidR="00215E25" w:rsidRPr="00A370F1">
        <w:t>«</w:t>
      </w:r>
      <w:r w:rsidRPr="00A370F1">
        <w:t>Тутузела</w:t>
      </w:r>
      <w:r w:rsidR="00215E25" w:rsidRPr="00A370F1">
        <w:t>»</w:t>
      </w:r>
      <w:r w:rsidRPr="00A370F1">
        <w:t>;</w:t>
      </w:r>
    </w:p>
    <w:p w:rsidR="00892E31" w:rsidRPr="00A370F1" w:rsidRDefault="00892E31" w:rsidP="00892E31">
      <w:pPr>
        <w:pStyle w:val="SingleTxtGR"/>
      </w:pPr>
      <w:r w:rsidRPr="00A370F1">
        <w:tab/>
        <w:t>e)</w:t>
      </w:r>
      <w:r w:rsidRPr="00A370F1">
        <w:tab/>
        <w:t>создание в 2011 году национальной целевой группы по борьбе с дискриминацией и насилием в отношении лиц по признаку их фактической или предполагаемой сексуальной ориентации и гендерной идентичности и генде</w:t>
      </w:r>
      <w:r w:rsidRPr="00A370F1">
        <w:t>р</w:t>
      </w:r>
      <w:r w:rsidRPr="00A370F1">
        <w:t>ного самовыражения и начало осуществления в 2014 году национальной стр</w:t>
      </w:r>
      <w:r w:rsidRPr="00A370F1">
        <w:t>а</w:t>
      </w:r>
      <w:r w:rsidRPr="00A370F1">
        <w:t>тегии действий в интересах лесбиянок, гомосексуалистов, бисексуалов, тран</w:t>
      </w:r>
      <w:r w:rsidRPr="00A370F1">
        <w:t>с</w:t>
      </w:r>
      <w:r w:rsidRPr="00A370F1">
        <w:t xml:space="preserve">сексуалов и интерсексуалов; </w:t>
      </w:r>
    </w:p>
    <w:p w:rsidR="00892E31" w:rsidRPr="00A370F1" w:rsidRDefault="00892E31" w:rsidP="00892E31">
      <w:pPr>
        <w:pStyle w:val="SingleTxtGR"/>
      </w:pPr>
      <w:r w:rsidRPr="00A370F1">
        <w:tab/>
        <w:t>f)</w:t>
      </w:r>
      <w:r w:rsidRPr="00A370F1">
        <w:tab/>
        <w:t>принятие в 1996 году Закона о прерывании беременности по сво</w:t>
      </w:r>
      <w:r w:rsidRPr="00A370F1">
        <w:t>е</w:t>
      </w:r>
      <w:r w:rsidRPr="00A370F1">
        <w:t>му выбору и других мер, направленных на расширение доступа к безопасным абортам, что привело к значительному снижению материнской смертности и заболеваемости.</w:t>
      </w:r>
    </w:p>
    <w:p w:rsidR="00892E31" w:rsidRPr="00A370F1" w:rsidRDefault="00892E31" w:rsidP="00892E31">
      <w:pPr>
        <w:pStyle w:val="SingleTxtGR"/>
      </w:pPr>
      <w:r w:rsidRPr="00A370F1">
        <w:t>4.</w:t>
      </w:r>
      <w:r w:rsidRPr="00A370F1">
        <w:tab/>
        <w:t>Комитет приветствует ратификацию государством-участником следу</w:t>
      </w:r>
      <w:r w:rsidRPr="00A370F1">
        <w:t>ю</w:t>
      </w:r>
      <w:r w:rsidRPr="00A370F1">
        <w:t>щих международных договоров или присоединение к ним с момента вступл</w:t>
      </w:r>
      <w:r w:rsidRPr="00A370F1">
        <w:t>е</w:t>
      </w:r>
      <w:r w:rsidR="0078222F">
        <w:t>ния в силу Пакта в 199</w:t>
      </w:r>
      <w:r w:rsidRPr="00A370F1">
        <w:t>8 году:</w:t>
      </w:r>
    </w:p>
    <w:p w:rsidR="00892E31" w:rsidRPr="00A370F1" w:rsidRDefault="00892E31" w:rsidP="00892E31">
      <w:pPr>
        <w:pStyle w:val="SingleTxtGR"/>
      </w:pPr>
      <w:r w:rsidRPr="00A370F1">
        <w:tab/>
        <w:t>а)</w:t>
      </w:r>
      <w:r w:rsidRPr="00A370F1">
        <w:tab/>
        <w:t>Факультативного протокола к Международному пакту о гражда</w:t>
      </w:r>
      <w:r w:rsidRPr="00A370F1">
        <w:t>н</w:t>
      </w:r>
      <w:r w:rsidRPr="00A370F1">
        <w:t>ских и политических правах, 28 августа 2002 года;</w:t>
      </w:r>
    </w:p>
    <w:p w:rsidR="00892E31" w:rsidRPr="00A370F1" w:rsidRDefault="00892E31" w:rsidP="00892E31">
      <w:pPr>
        <w:pStyle w:val="SingleTxtGR"/>
      </w:pPr>
      <w:r w:rsidRPr="00A370F1">
        <w:tab/>
        <w:t>b)</w:t>
      </w:r>
      <w:r w:rsidRPr="00A370F1">
        <w:tab/>
        <w:t>Конвенции о правах инвалидов и Факультативного протокола к ней, 30 ноября 2007 года;</w:t>
      </w:r>
    </w:p>
    <w:p w:rsidR="00892E31" w:rsidRPr="00A370F1" w:rsidRDefault="00892E31" w:rsidP="00892E31">
      <w:pPr>
        <w:pStyle w:val="SingleTxtGR"/>
      </w:pPr>
      <w:r w:rsidRPr="00A370F1">
        <w:tab/>
        <w:t>с)</w:t>
      </w:r>
      <w:r w:rsidRPr="00A370F1">
        <w:tab/>
        <w:t>Международного пакта об экономических, социальных и культу</w:t>
      </w:r>
      <w:r w:rsidRPr="00A370F1">
        <w:t>р</w:t>
      </w:r>
      <w:r w:rsidRPr="00A370F1">
        <w:t>ных правах, 12 января 2015 года;</w:t>
      </w:r>
    </w:p>
    <w:p w:rsidR="00892E31" w:rsidRPr="00A370F1" w:rsidRDefault="00892E31" w:rsidP="00892E31">
      <w:pPr>
        <w:pStyle w:val="SingleTxtGR"/>
      </w:pPr>
      <w:r w:rsidRPr="00A370F1">
        <w:tab/>
        <w:t>d)</w:t>
      </w:r>
      <w:r w:rsidRPr="00A370F1">
        <w:tab/>
        <w:t>Факультативного протокола к Конвенции о правах ребенка, каса</w:t>
      </w:r>
      <w:r w:rsidRPr="00A370F1">
        <w:t>ю</w:t>
      </w:r>
      <w:r w:rsidRPr="00A370F1">
        <w:t>щегося торговли детьми, детской проституции и детской порнографии, 30 июня 2003 года, и Факультативного протокола к Конвенции о правах ребенка, каса</w:t>
      </w:r>
      <w:r w:rsidRPr="00A370F1">
        <w:t>ю</w:t>
      </w:r>
      <w:r w:rsidRPr="00A370F1">
        <w:t>щегося участия детей в вооруженных конфликтах, 24 сентября 2009 года;</w:t>
      </w:r>
    </w:p>
    <w:p w:rsidR="00892E31" w:rsidRPr="00A370F1" w:rsidRDefault="00892E31" w:rsidP="00892E31">
      <w:pPr>
        <w:pStyle w:val="SingleTxtGR"/>
      </w:pPr>
      <w:r w:rsidRPr="00A370F1">
        <w:tab/>
        <w:t>e)</w:t>
      </w:r>
      <w:r w:rsidRPr="00A370F1">
        <w:tab/>
        <w:t>Факультативного протокол к Конвенции о ликвидации всех форм дискриминации в отношении женщин, 18 октября 2005 года.</w:t>
      </w:r>
    </w:p>
    <w:p w:rsidR="00892E31" w:rsidRPr="00A370F1" w:rsidRDefault="00892E31" w:rsidP="00892E31">
      <w:pPr>
        <w:pStyle w:val="SingleTxtGR"/>
      </w:pPr>
      <w:r w:rsidRPr="00A370F1">
        <w:t>5.</w:t>
      </w:r>
      <w:r w:rsidRPr="00A370F1">
        <w:tab/>
        <w:t>Комитет приветствует сделанное 18 июня 1987 года заявление госуда</w:t>
      </w:r>
      <w:r w:rsidRPr="00A370F1">
        <w:t>р</w:t>
      </w:r>
      <w:r w:rsidRPr="00A370F1">
        <w:t xml:space="preserve">ства-участника в соответствии со статьей 41 Пакта о признании компетенции Комитета получать и рассматривать межгосударственные сообщения. </w:t>
      </w:r>
    </w:p>
    <w:p w:rsidR="00892E31" w:rsidRPr="00A370F1" w:rsidRDefault="00892E31" w:rsidP="003E6E48">
      <w:pPr>
        <w:pStyle w:val="H1GR"/>
      </w:pPr>
      <w:r w:rsidRPr="00A370F1">
        <w:tab/>
        <w:t>C.</w:t>
      </w:r>
      <w:r w:rsidRPr="00A370F1">
        <w:tab/>
        <w:t>Основные вопросы</w:t>
      </w:r>
      <w:r w:rsidR="006853A0">
        <w:t>, вызывающие обеспокоенность, и </w:t>
      </w:r>
      <w:r w:rsidRPr="00A370F1">
        <w:t>рекомендации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>Применение Пакта во внутреннем праве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6.</w:t>
      </w:r>
      <w:r w:rsidRPr="00A370F1">
        <w:tab/>
        <w:t>Комитет отмечает наличие явного несоответствия между текстом Конст</w:t>
      </w:r>
      <w:r w:rsidRPr="00A370F1">
        <w:t>и</w:t>
      </w:r>
      <w:r w:rsidRPr="00A370F1">
        <w:t>туции, которая предусматривает, что любое обладающее исполнительной силой положение международного соглашения, утвержденного парламентом, считае</w:t>
      </w:r>
      <w:r w:rsidRPr="00A370F1">
        <w:t>т</w:t>
      </w:r>
      <w:r w:rsidRPr="00A370F1">
        <w:t>ся частью внутреннего законодательства, и информацией, содержащейся в б</w:t>
      </w:r>
      <w:r w:rsidRPr="00A370F1">
        <w:t>а</w:t>
      </w:r>
      <w:r w:rsidRPr="00A370F1">
        <w:t>зовом документе (HRI/CORE/ZAF/2014, пункт 95), в котором указывается, что на положение международного договора нельзя ссылаться в судах и что оно не может непосредственно применяться судами. Комитет также отмечает, что с 2002 года в соответствии с Факультативным протоколом к Пакту были пре</w:t>
      </w:r>
      <w:r w:rsidRPr="00A370F1">
        <w:t>д</w:t>
      </w:r>
      <w:r w:rsidRPr="00A370F1">
        <w:lastRenderedPageBreak/>
        <w:t>ставлены</w:t>
      </w:r>
      <w:r w:rsidR="00215E25" w:rsidRPr="00A370F1">
        <w:t xml:space="preserve"> </w:t>
      </w:r>
      <w:r w:rsidRPr="00A370F1">
        <w:t>лишь два отдельных сообщения и что, возможно, это свидетельствует о недостаточной осведомленности о Пакте и Факуль</w:t>
      </w:r>
      <w:r w:rsidR="006853A0">
        <w:t>тативном протоколе (ст</w:t>
      </w:r>
      <w:r w:rsidR="006853A0">
        <w:t>а</w:t>
      </w:r>
      <w:r w:rsidR="006853A0">
        <w:t>тья </w:t>
      </w:r>
      <w:r w:rsidR="006C7FE2" w:rsidRPr="00A370F1">
        <w:t>2).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7.</w:t>
      </w:r>
      <w:r w:rsidRPr="00A370F1">
        <w:tab/>
      </w:r>
      <w:r w:rsidRPr="00A370F1">
        <w:rPr>
          <w:b/>
        </w:rPr>
        <w:t>Государству-участнику следует рассмотреть вопрос о принятии мер, с тем чтобы придать Пакту полную юридическую силу в рамках внутренн</w:t>
      </w:r>
      <w:r w:rsidRPr="00A370F1">
        <w:rPr>
          <w:b/>
        </w:rPr>
        <w:t>е</w:t>
      </w:r>
      <w:r w:rsidRPr="00A370F1">
        <w:rPr>
          <w:b/>
        </w:rPr>
        <w:t>го законодательства, и прилагать более активные усилия по повышению осведомленности о Пакте и Факультативном протоколе среди судей, адв</w:t>
      </w:r>
      <w:r w:rsidRPr="00A370F1">
        <w:rPr>
          <w:b/>
        </w:rPr>
        <w:t>о</w:t>
      </w:r>
      <w:r w:rsidRPr="00A370F1">
        <w:rPr>
          <w:b/>
        </w:rPr>
        <w:t>катов, прокуроров и широкой общественности. В случае какого-либо нарушения Пакта государству-участнику следует обеспечить доступ к э</w:t>
      </w:r>
      <w:r w:rsidRPr="00A370F1">
        <w:rPr>
          <w:b/>
        </w:rPr>
        <w:t>ф</w:t>
      </w:r>
      <w:r w:rsidRPr="00A370F1">
        <w:rPr>
          <w:b/>
        </w:rPr>
        <w:t>фективному средству правовой защиты в соответствии с</w:t>
      </w:r>
      <w:r w:rsidR="006853A0">
        <w:rPr>
          <w:b/>
        </w:rPr>
        <w:t xml:space="preserve"> пунктом 3 ст</w:t>
      </w:r>
      <w:r w:rsidR="006853A0">
        <w:rPr>
          <w:b/>
        </w:rPr>
        <w:t>а</w:t>
      </w:r>
      <w:r w:rsidR="006853A0">
        <w:rPr>
          <w:b/>
        </w:rPr>
        <w:t>тьи </w:t>
      </w:r>
      <w:r w:rsidRPr="00A370F1">
        <w:rPr>
          <w:b/>
        </w:rPr>
        <w:t>2.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 xml:space="preserve">Несоблюдение решений национальных судебных органов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8.</w:t>
      </w:r>
      <w:r w:rsidRPr="00A370F1">
        <w:tab/>
        <w:t>Комитет отмечает постановление Высокого суда Северного Гаутенга, в котором содержится вывод о том, что неспособность властей задержать През</w:t>
      </w:r>
      <w:r w:rsidRPr="00A370F1">
        <w:t>и</w:t>
      </w:r>
      <w:r w:rsidRPr="00A370F1">
        <w:t>дента Судана Омара аль-Башира в июне 2015 года в соответствии с ордером на арест Международного уголовного суда несовместима с Конституцией, и выр</w:t>
      </w:r>
      <w:r w:rsidRPr="00A370F1">
        <w:t>а</w:t>
      </w:r>
      <w:r w:rsidRPr="00A370F1">
        <w:t>жает обеспокоенность по поводу того, что Президенту Аль-Баширу было ра</w:t>
      </w:r>
      <w:r w:rsidRPr="00A370F1">
        <w:t>з</w:t>
      </w:r>
      <w:r w:rsidRPr="00A370F1">
        <w:t xml:space="preserve">решено покинуть страну в нарушение временного постановления суда (статьи 2 и 14). 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9.</w:t>
      </w:r>
      <w:r w:rsidRPr="00A370F1">
        <w:tab/>
      </w:r>
      <w:r w:rsidRPr="00A370F1">
        <w:rPr>
          <w:b/>
        </w:rPr>
        <w:t>Государству-участнику следует продолжать свое расследование соб</w:t>
      </w:r>
      <w:r w:rsidRPr="00A370F1">
        <w:rPr>
          <w:b/>
        </w:rPr>
        <w:t>ы</w:t>
      </w:r>
      <w:r w:rsidRPr="00A370F1">
        <w:rPr>
          <w:b/>
        </w:rPr>
        <w:t>тий, связанных с несоблюдением временного постановления суда в отн</w:t>
      </w:r>
      <w:r w:rsidRPr="00A370F1">
        <w:rPr>
          <w:b/>
        </w:rPr>
        <w:t>о</w:t>
      </w:r>
      <w:r w:rsidRPr="00A370F1">
        <w:rPr>
          <w:b/>
        </w:rPr>
        <w:t>шении президента Аль-Башира, и принять меры, необходимые для обесп</w:t>
      </w:r>
      <w:r w:rsidRPr="00A370F1">
        <w:rPr>
          <w:b/>
        </w:rPr>
        <w:t>е</w:t>
      </w:r>
      <w:r w:rsidRPr="00A370F1">
        <w:rPr>
          <w:b/>
        </w:rPr>
        <w:t>чения соблюдения решений национальных судов, в том числе в случаях, касающихся международных договорных обязательств государства-</w:t>
      </w:r>
      <w:proofErr w:type="spellStart"/>
      <w:r w:rsidRPr="00A370F1">
        <w:rPr>
          <w:b/>
        </w:rPr>
        <w:t>участ</w:t>
      </w:r>
      <w:proofErr w:type="spellEnd"/>
      <w:r w:rsidR="0078222F">
        <w:rPr>
          <w:b/>
        </w:rPr>
        <w:t>-</w:t>
      </w:r>
      <w:proofErr w:type="spellStart"/>
      <w:r w:rsidRPr="00A370F1">
        <w:rPr>
          <w:b/>
        </w:rPr>
        <w:t>ника</w:t>
      </w:r>
      <w:proofErr w:type="spellEnd"/>
      <w:r w:rsidRPr="00A370F1">
        <w:rPr>
          <w:b/>
        </w:rPr>
        <w:t xml:space="preserve">. 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 xml:space="preserve">Механизмы надзора и мониторинга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10.</w:t>
      </w:r>
      <w:r w:rsidRPr="00A370F1">
        <w:tab/>
        <w:t>Признавая важность работы государственных учреждений, осуществл</w:t>
      </w:r>
      <w:r w:rsidRPr="00A370F1">
        <w:t>я</w:t>
      </w:r>
      <w:r w:rsidRPr="00A370F1">
        <w:t>ющих надзор за деятельностью государственных учреждений в связи с защитой прав, закрепленных в Пакте, Комитет выражает обеспокоенность по поводу различных проблем, с которыми сталкиваются некоторые из этих надзорных органов и которые связаны с бюджетными ограничениями, отсутствием инст</w:t>
      </w:r>
      <w:r w:rsidRPr="00A370F1">
        <w:t>и</w:t>
      </w:r>
      <w:r w:rsidRPr="00A370F1">
        <w:t>туциональной независимости от находящихся под надзором государственных ведомств, а также ограниченностью мандатов и полномочий. Комитет отмечает намерение государства-участника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наказания, но при этом он выражает обеспок</w:t>
      </w:r>
      <w:r w:rsidRPr="00A370F1">
        <w:t>о</w:t>
      </w:r>
      <w:r w:rsidRPr="00A370F1">
        <w:t>енность по поводу отсутствия независимого и постоянного мониторинга иных мест лишения свободы, п</w:t>
      </w:r>
      <w:r w:rsidR="006C7FE2" w:rsidRPr="00A370F1">
        <w:t>омимо тюрем (статьи 2, 6 и 7).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11.</w:t>
      </w:r>
      <w:r w:rsidRPr="00A370F1">
        <w:tab/>
      </w:r>
      <w:r w:rsidRPr="00A370F1">
        <w:rPr>
          <w:b/>
        </w:rPr>
        <w:t>Государству-участнику следует обеспечить для всех надзорных орг</w:t>
      </w:r>
      <w:r w:rsidRPr="00A370F1">
        <w:rPr>
          <w:b/>
        </w:rPr>
        <w:t>а</w:t>
      </w:r>
      <w:r w:rsidRPr="00A370F1">
        <w:rPr>
          <w:b/>
        </w:rPr>
        <w:t>нов институциональную независимость и достаточное финансирование, наделив их полномочиями и функциями, необходимыми для оперативного и эффективного рассмотрения жалоб и проведения расследований, привл</w:t>
      </w:r>
      <w:r w:rsidRPr="00A370F1">
        <w:rPr>
          <w:b/>
        </w:rPr>
        <w:t>е</w:t>
      </w:r>
      <w:r w:rsidRPr="00A370F1">
        <w:rPr>
          <w:b/>
        </w:rPr>
        <w:t>чения к ответственности властей и облегчения доступа жертв нарушений прав человека к эффективным средствам правовой защиты. Государству-участнику рекомендуется ускорить подготовку к ратификации Факульт</w:t>
      </w:r>
      <w:r w:rsidRPr="00A370F1">
        <w:rPr>
          <w:b/>
        </w:rPr>
        <w:t>а</w:t>
      </w:r>
      <w:r w:rsidRPr="00A370F1">
        <w:rPr>
          <w:b/>
        </w:rPr>
        <w:t>тивного протокола к Конвенции против пыток и других жестоких, бесчел</w:t>
      </w:r>
      <w:r w:rsidRPr="00A370F1">
        <w:rPr>
          <w:b/>
        </w:rPr>
        <w:t>о</w:t>
      </w:r>
      <w:r w:rsidRPr="00A370F1">
        <w:rPr>
          <w:b/>
        </w:rPr>
        <w:t xml:space="preserve">вечных или унижающих достоинство видов обращения и наказания; ему также следует создать систему регулярного и независимого мониторинга </w:t>
      </w:r>
      <w:r w:rsidRPr="00A370F1">
        <w:rPr>
          <w:b/>
        </w:rPr>
        <w:lastRenderedPageBreak/>
        <w:t>всех мест содержания под стражей, а также конфиденциальный механизм получения и рассмотрения жалоб, поданных лицами, лишенными свободы.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>Комиссия по установлению истины и примирению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12.</w:t>
      </w:r>
      <w:r w:rsidRPr="00A370F1">
        <w:tab/>
        <w:t>Комитет выражает признательность государству-участнику за работу К</w:t>
      </w:r>
      <w:r w:rsidRPr="00A370F1">
        <w:t>о</w:t>
      </w:r>
      <w:r w:rsidRPr="00A370F1">
        <w:t>миссии по установлению истины и примирению по расследованию грубых нарушений прав человека, совершенных в эпоху апартеида. Однако он обесп</w:t>
      </w:r>
      <w:r w:rsidRPr="00A370F1">
        <w:t>о</w:t>
      </w:r>
      <w:r w:rsidRPr="00A370F1">
        <w:t>коен тем, что рекомендации Комиссии не выполнены в полном объеме, в час</w:t>
      </w:r>
      <w:r w:rsidRPr="00A370F1">
        <w:t>т</w:t>
      </w:r>
      <w:r w:rsidRPr="00A370F1">
        <w:t>ности в том, что касается судебного преследования виновных, расследования случаев исчезновения и предоставления достаточной компенсации всем жер</w:t>
      </w:r>
      <w:r w:rsidRPr="00A370F1">
        <w:t>т</w:t>
      </w:r>
      <w:r w:rsidRPr="00A370F1">
        <w:t xml:space="preserve">вам (статьи 2, 6 и 7). 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13.</w:t>
      </w:r>
      <w:r w:rsidRPr="00A370F1">
        <w:tab/>
      </w:r>
      <w:r w:rsidRPr="00A370F1">
        <w:rPr>
          <w:b/>
        </w:rPr>
        <w:t>Государству-участнику следует активизировать свои усилия по в</w:t>
      </w:r>
      <w:r w:rsidRPr="00A370F1">
        <w:rPr>
          <w:b/>
        </w:rPr>
        <w:t>ы</w:t>
      </w:r>
      <w:r w:rsidRPr="00A370F1">
        <w:rPr>
          <w:b/>
        </w:rPr>
        <w:t>полнению рекомендаций Комиссии по установлению истины и примир</w:t>
      </w:r>
      <w:r w:rsidRPr="00A370F1">
        <w:rPr>
          <w:b/>
        </w:rPr>
        <w:t>е</w:t>
      </w:r>
      <w:r w:rsidRPr="00A370F1">
        <w:rPr>
          <w:b/>
        </w:rPr>
        <w:t>нию, расследовать случаи серьезных нарушений прав человека, задок</w:t>
      </w:r>
      <w:r w:rsidRPr="00A370F1">
        <w:rPr>
          <w:b/>
        </w:rPr>
        <w:t>у</w:t>
      </w:r>
      <w:r w:rsidRPr="00A370F1">
        <w:rPr>
          <w:b/>
        </w:rPr>
        <w:t>ментированных Комиссией, в том числе связанных с насильственным и</w:t>
      </w:r>
      <w:r w:rsidRPr="00A370F1">
        <w:rPr>
          <w:b/>
        </w:rPr>
        <w:t>с</w:t>
      </w:r>
      <w:r w:rsidRPr="00A370F1">
        <w:rPr>
          <w:b/>
        </w:rPr>
        <w:t xml:space="preserve">чезновением, привлекать к ответственности и наказывать виновных, а также предоставлять достаточную компенсацию всем жертвам. 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 xml:space="preserve">Расизм и ксенофобия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14.</w:t>
      </w:r>
      <w:r w:rsidRPr="00A370F1">
        <w:tab/>
        <w:t>Комитет выражает обеспокоенность в связи с многочисленными проявл</w:t>
      </w:r>
      <w:r w:rsidRPr="00A370F1">
        <w:t>е</w:t>
      </w:r>
      <w:r w:rsidRPr="00A370F1">
        <w:t>ниями расизма и ксенофобии, в том числе насильственными нападениями на иностранных граждан и мигрантов, беженцев и просителей убежища, которые приводят к гибели, ранениям, перемещению населения и уничтожению имущ</w:t>
      </w:r>
      <w:r w:rsidRPr="00A370F1">
        <w:t>е</w:t>
      </w:r>
      <w:r w:rsidRPr="00A370F1">
        <w:t>ства. Комитет также обеспокоен в связи с неспособностью властей предупр</w:t>
      </w:r>
      <w:r w:rsidRPr="00A370F1">
        <w:t>е</w:t>
      </w:r>
      <w:r w:rsidRPr="00A370F1">
        <w:t>ждать и пресекать нападения на почве расизма и ксенофобии и привлекать в</w:t>
      </w:r>
      <w:r w:rsidRPr="00A370F1">
        <w:t>и</w:t>
      </w:r>
      <w:r w:rsidRPr="00A370F1">
        <w:t>новных к ответственности (статьи 2, 6, 7, 9, 17, 20 и 26).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t>15.</w:t>
      </w:r>
      <w:r w:rsidRPr="00A370F1">
        <w:tab/>
      </w:r>
      <w:r w:rsidRPr="00A370F1">
        <w:rPr>
          <w:b/>
        </w:rPr>
        <w:t>Государству-участнику следует активизировать усилия, направле</w:t>
      </w:r>
      <w:r w:rsidRPr="00A370F1">
        <w:rPr>
          <w:b/>
        </w:rPr>
        <w:t>н</w:t>
      </w:r>
      <w:r w:rsidRPr="00A370F1">
        <w:rPr>
          <w:b/>
        </w:rPr>
        <w:t>ные на предупреждение и искоренение всех проявлений расизма и ксен</w:t>
      </w:r>
      <w:r w:rsidRPr="00A370F1">
        <w:rPr>
          <w:b/>
        </w:rPr>
        <w:t>о</w:t>
      </w:r>
      <w:r w:rsidRPr="00A370F1">
        <w:rPr>
          <w:b/>
        </w:rPr>
        <w:t>фобии, обеспечение защиты всех общин в Южной Африке от нападений на почве расизма и ксенофобии и улучшение работы полиции по пресечению насилия в отношении лиц, не являющихся гражданами страны. Эффе</w:t>
      </w:r>
      <w:r w:rsidRPr="00A370F1">
        <w:rPr>
          <w:b/>
        </w:rPr>
        <w:t>к</w:t>
      </w:r>
      <w:r w:rsidRPr="00A370F1">
        <w:rPr>
          <w:b/>
        </w:rPr>
        <w:t>тивные расследования предполагаемых нападений на почве расизма и кс</w:t>
      </w:r>
      <w:r w:rsidRPr="00A370F1">
        <w:rPr>
          <w:b/>
        </w:rPr>
        <w:t>е</w:t>
      </w:r>
      <w:r w:rsidRPr="00A370F1">
        <w:rPr>
          <w:b/>
        </w:rPr>
        <w:t>нофобии и других преступлений, совершаемых на почве ненависти, дол</w:t>
      </w:r>
      <w:r w:rsidRPr="00A370F1">
        <w:rPr>
          <w:b/>
        </w:rPr>
        <w:t>ж</w:t>
      </w:r>
      <w:r w:rsidRPr="00A370F1">
        <w:rPr>
          <w:b/>
        </w:rPr>
        <w:t>ны проводиться на систематической основе, виновные должны преслед</w:t>
      </w:r>
      <w:r w:rsidRPr="00A370F1">
        <w:rPr>
          <w:b/>
        </w:rPr>
        <w:t>о</w:t>
      </w:r>
      <w:r w:rsidRPr="00A370F1">
        <w:rPr>
          <w:b/>
        </w:rPr>
        <w:t>ваться в судебном порядке и в случае осуждения подвергаться соотве</w:t>
      </w:r>
      <w:r w:rsidRPr="00A370F1">
        <w:rPr>
          <w:b/>
        </w:rPr>
        <w:t>т</w:t>
      </w:r>
      <w:r w:rsidRPr="00A370F1">
        <w:rPr>
          <w:b/>
        </w:rPr>
        <w:t>ствующему наказанию, а жертвам должны предоставляться надлежащие средства правовой защиты. Государству-участнику следует также как мо</w:t>
      </w:r>
      <w:r w:rsidRPr="00A370F1">
        <w:rPr>
          <w:b/>
        </w:rPr>
        <w:t>ж</w:t>
      </w:r>
      <w:r w:rsidRPr="00A370F1">
        <w:rPr>
          <w:b/>
        </w:rPr>
        <w:t xml:space="preserve">но скорее принять надлежащие законы, прямо запрещающие преступления на почве ненависти и ненавистнические высказывания. </w:t>
      </w:r>
    </w:p>
    <w:p w:rsidR="00892E31" w:rsidRPr="00A370F1" w:rsidRDefault="006C7FE2" w:rsidP="003E6E48">
      <w:pPr>
        <w:pStyle w:val="H23GR"/>
      </w:pPr>
      <w:r w:rsidRPr="00A370F1">
        <w:tab/>
      </w:r>
      <w:r w:rsidRPr="00A370F1">
        <w:tab/>
        <w:t>Лица, живущие с ВИЧ/СПИДом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16.</w:t>
      </w:r>
      <w:r w:rsidRPr="00A370F1">
        <w:tab/>
        <w:t>Признавая значительные усилия, предпринятые государством-участником для поощрения и защиты жизни и здоровья людей, живущих с ВИЧ/СПИДом, Комитет по-прежнему обеспокоен сохранением стигматизации и дискримин</w:t>
      </w:r>
      <w:r w:rsidRPr="00A370F1">
        <w:t>а</w:t>
      </w:r>
      <w:r w:rsidRPr="00A370F1">
        <w:t>ции в отношении таких лиц и барьеров на пути к обеспечению равного доступа к услугам в области здравоохранения для таких лиц, в частности для женщин и лиц, живущих в бедных или сельских</w:t>
      </w:r>
      <w:r w:rsidR="006C7FE2" w:rsidRPr="00A370F1">
        <w:t xml:space="preserve"> районах (статьи 2, 6 и 26).</w:t>
      </w:r>
    </w:p>
    <w:p w:rsidR="00892E31" w:rsidRPr="00A370F1" w:rsidRDefault="00892E31" w:rsidP="006853A0">
      <w:pPr>
        <w:pStyle w:val="SingleTxtGR"/>
        <w:keepNext/>
        <w:rPr>
          <w:b/>
          <w:bCs/>
        </w:rPr>
      </w:pPr>
      <w:r w:rsidRPr="00A370F1">
        <w:lastRenderedPageBreak/>
        <w:t>17.</w:t>
      </w:r>
      <w:r w:rsidRPr="00A370F1">
        <w:tab/>
      </w:r>
      <w:r w:rsidRPr="00A370F1">
        <w:rPr>
          <w:b/>
        </w:rPr>
        <w:t xml:space="preserve">Государству-участнику следует активизировать свои усилия, с тем чтобы: </w:t>
      </w:r>
    </w:p>
    <w:p w:rsidR="00892E31" w:rsidRPr="00A370F1" w:rsidRDefault="00892E31" w:rsidP="006853A0">
      <w:pPr>
        <w:pStyle w:val="SingleTxtGR"/>
        <w:keepNext/>
        <w:rPr>
          <w:b/>
        </w:rPr>
      </w:pPr>
      <w:r w:rsidRPr="00A370F1">
        <w:rPr>
          <w:b/>
        </w:rPr>
        <w:tab/>
        <w:t>а)</w:t>
      </w:r>
      <w:r w:rsidRPr="00A370F1">
        <w:rPr>
          <w:b/>
        </w:rPr>
        <w:tab/>
        <w:t>повышать уровень информированности о ВИЧ/СПИДе в целях борьбы с предрассудкам, негативными стереотипами и дискриминацией в отношении людей, живущих с ВИЧ/СПИДом;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rPr>
          <w:b/>
        </w:rPr>
        <w:tab/>
        <w:t>b)</w:t>
      </w:r>
      <w:r w:rsidRPr="00A370F1">
        <w:rPr>
          <w:b/>
        </w:rPr>
        <w:tab/>
        <w:t>незамедлительно утвердить проект национальной политики в области ВИЧ, заболеваний, передаваемых половым путем, и туберкулеза и осуществлять свою политику в области сексуального и репродуктивного здоровья, особенно в отношении подростков;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rPr>
          <w:b/>
        </w:rPr>
        <w:tab/>
        <w:t>с)</w:t>
      </w:r>
      <w:r w:rsidRPr="00A370F1">
        <w:rPr>
          <w:b/>
        </w:rPr>
        <w:tab/>
        <w:t>обеспечить всем лицам, подверженным угрозе заболевания или живущим с ВИЧ/СПИДом, равный доступ к медицинскому обслуживанию и лечению, в том числе к надлежащим консультативным услугам.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>Вредные культурные традиции и виды практики</w:t>
      </w:r>
    </w:p>
    <w:p w:rsidR="00892E31" w:rsidRPr="00A370F1" w:rsidRDefault="00892E31" w:rsidP="00892E31">
      <w:pPr>
        <w:pStyle w:val="SingleTxtGR"/>
        <w:rPr>
          <w:bCs/>
          <w:i/>
        </w:rPr>
      </w:pPr>
      <w:r w:rsidRPr="00A370F1">
        <w:t>18.</w:t>
      </w:r>
      <w:r w:rsidRPr="00A370F1">
        <w:tab/>
        <w:t>Комитет обеспокоен сохранением вредных видов традиционной и кул</w:t>
      </w:r>
      <w:r w:rsidRPr="00A370F1">
        <w:t>ь</w:t>
      </w:r>
      <w:r w:rsidRPr="00A370F1">
        <w:t xml:space="preserve">турной практики, таких как </w:t>
      </w:r>
      <w:r w:rsidR="00215E25" w:rsidRPr="00A370F1">
        <w:t>«</w:t>
      </w:r>
      <w:r w:rsidRPr="00A370F1">
        <w:t>юкутвала</w:t>
      </w:r>
      <w:r w:rsidR="00215E25" w:rsidRPr="00A370F1">
        <w:t>»</w:t>
      </w:r>
      <w:r w:rsidRPr="00A370F1">
        <w:t>, проверка девственности и колдовство, а также сообщениями о том, что крайне часто практика инициирования прив</w:t>
      </w:r>
      <w:r w:rsidRPr="00A370F1">
        <w:t>о</w:t>
      </w:r>
      <w:r w:rsidRPr="00A370F1">
        <w:t xml:space="preserve">дит к гибели и увечьям. Комитет также обеспокоен в связи с существованием в государстве-участнике, как в законодательстве, так и на практике, полигамных браков по нормам традиционного права, которые подрывают закрепленный в Пакте принцип недискриминации в области брачных и семейных отношений (статьи 2, 3, 6, 7, 17, 24 и 26). 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19.</w:t>
      </w:r>
      <w:r w:rsidRPr="00A370F1">
        <w:tab/>
      </w:r>
      <w:r w:rsidRPr="00A370F1">
        <w:rPr>
          <w:b/>
        </w:rPr>
        <w:t>Государству-участнику следует внести поправки в Закон о детях с целью запретить проверки девственности детей вне зависимости от их во</w:t>
      </w:r>
      <w:r w:rsidRPr="00A370F1">
        <w:rPr>
          <w:b/>
        </w:rPr>
        <w:t>з</w:t>
      </w:r>
      <w:r w:rsidRPr="00A370F1">
        <w:rPr>
          <w:b/>
        </w:rPr>
        <w:t>раста и принять эффективные меры, включая проведение образовател</w:t>
      </w:r>
      <w:r w:rsidRPr="00A370F1">
        <w:rPr>
          <w:b/>
        </w:rPr>
        <w:t>ь</w:t>
      </w:r>
      <w:r w:rsidRPr="00A370F1">
        <w:rPr>
          <w:b/>
        </w:rPr>
        <w:t>ных кампаний, направленных на борьбу с пагубными видами традицио</w:t>
      </w:r>
      <w:r w:rsidRPr="00A370F1">
        <w:rPr>
          <w:b/>
        </w:rPr>
        <w:t>н</w:t>
      </w:r>
      <w:r w:rsidRPr="00A370F1">
        <w:rPr>
          <w:b/>
        </w:rPr>
        <w:t>ной, укоренившейся в обычаях или религиозной практики. Ему также сл</w:t>
      </w:r>
      <w:r w:rsidRPr="00A370F1">
        <w:rPr>
          <w:b/>
        </w:rPr>
        <w:t>е</w:t>
      </w:r>
      <w:r w:rsidRPr="00A370F1">
        <w:rPr>
          <w:b/>
        </w:rPr>
        <w:t>дует принять надлежащие меры в целях сокращения случаев полигамии, с тем чтобы впоследствии добиться ее отмены.</w:t>
      </w:r>
      <w:r w:rsidRPr="00A370F1">
        <w:t xml:space="preserve"> </w:t>
      </w:r>
      <w:r w:rsidRPr="00A370F1">
        <w:rPr>
          <w:b/>
        </w:rPr>
        <w:t>Работа школ инициации должна строго регламентироваться и подлежать контролю на всей терр</w:t>
      </w:r>
      <w:r w:rsidRPr="00A370F1">
        <w:rPr>
          <w:b/>
        </w:rPr>
        <w:t>и</w:t>
      </w:r>
      <w:r w:rsidRPr="00A370F1">
        <w:rPr>
          <w:b/>
        </w:rPr>
        <w:t xml:space="preserve">тории страны. </w:t>
      </w:r>
    </w:p>
    <w:p w:rsidR="00892E31" w:rsidRPr="00A370F1" w:rsidRDefault="003E6E48" w:rsidP="003E6E48">
      <w:pPr>
        <w:pStyle w:val="H23GR"/>
      </w:pPr>
      <w:r w:rsidRPr="00A370F1">
        <w:tab/>
      </w:r>
      <w:r w:rsidRPr="00A370F1">
        <w:tab/>
      </w:r>
      <w:r w:rsidR="00892E31" w:rsidRPr="00A370F1">
        <w:t>Насилие по признаку половой и</w:t>
      </w:r>
      <w:r w:rsidR="00215E25" w:rsidRPr="00A370F1">
        <w:t xml:space="preserve"> </w:t>
      </w:r>
      <w:r w:rsidR="00892E31" w:rsidRPr="00A370F1">
        <w:t>гендерной принадлежности, сексуальной ориентации или гендерной идентичности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20.</w:t>
      </w:r>
      <w:r w:rsidRPr="00A370F1">
        <w:tab/>
        <w:t>Признавая предпринятые государством-участником значительные усилия в этой области, Комитет выражает обеспокоенность в связи с тем, что насилие на гендерной почве и бытовое насилие остаются серьезной проблемой в гос</w:t>
      </w:r>
      <w:r w:rsidRPr="00A370F1">
        <w:t>у</w:t>
      </w:r>
      <w:r w:rsidRPr="00A370F1">
        <w:t>дарстве-участнике, доля обвинительных приговоров за совершение таких актов является низкой, а также наблюдается нехватка дезагрегированных данных об этом явлении. Он также обеспокоен сохранением стигматизации в отношении лиц по признаку их реальной или предполагаемой сексуальной или гендерной принадлежности, гендерной идентичности или разнообразия физических пр</w:t>
      </w:r>
      <w:r w:rsidRPr="00A370F1">
        <w:t>и</w:t>
      </w:r>
      <w:r w:rsidRPr="00A370F1">
        <w:t>знаков, а также тем, что такие лица подвергаются притеснениям, дискримин</w:t>
      </w:r>
      <w:r w:rsidRPr="00A370F1">
        <w:t>а</w:t>
      </w:r>
      <w:r w:rsidRPr="00A370F1">
        <w:t>ции и сексуальному и физическому насилию (статьи 2, 3, 6, 7 и 26).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t>21.</w:t>
      </w:r>
      <w:r w:rsidRPr="00A370F1">
        <w:tab/>
      </w:r>
      <w:r w:rsidRPr="00A370F1">
        <w:rPr>
          <w:b/>
        </w:rPr>
        <w:t>Государству-участнику следует удвоить усилия по предотвращению и пресечению сексуального, гендерного и бытового насилия и по искорен</w:t>
      </w:r>
      <w:r w:rsidRPr="00A370F1">
        <w:rPr>
          <w:b/>
        </w:rPr>
        <w:t>е</w:t>
      </w:r>
      <w:r w:rsidRPr="00A370F1">
        <w:rPr>
          <w:b/>
        </w:rPr>
        <w:t>нию дискриминации и насилия в отношении лиц по признаку их фактич</w:t>
      </w:r>
      <w:r w:rsidRPr="00A370F1">
        <w:rPr>
          <w:b/>
        </w:rPr>
        <w:t>е</w:t>
      </w:r>
      <w:r w:rsidRPr="00A370F1">
        <w:rPr>
          <w:b/>
        </w:rPr>
        <w:t>ской или предполагаемой сексуальной ориентации или гендерной прина</w:t>
      </w:r>
      <w:r w:rsidRPr="00A370F1">
        <w:rPr>
          <w:b/>
        </w:rPr>
        <w:t>д</w:t>
      </w:r>
      <w:r w:rsidRPr="00A370F1">
        <w:rPr>
          <w:b/>
        </w:rPr>
        <w:t>лежности, гендерной идентичности или разнообразия физических призн</w:t>
      </w:r>
      <w:r w:rsidRPr="00A370F1">
        <w:rPr>
          <w:b/>
        </w:rPr>
        <w:t>а</w:t>
      </w:r>
      <w:r w:rsidRPr="00A370F1">
        <w:rPr>
          <w:b/>
        </w:rPr>
        <w:t>ков, в том числе посредством осуществления национальной стратегии де</w:t>
      </w:r>
      <w:r w:rsidRPr="00A370F1">
        <w:rPr>
          <w:b/>
        </w:rPr>
        <w:t>й</w:t>
      </w:r>
      <w:r w:rsidRPr="00A370F1">
        <w:rPr>
          <w:b/>
        </w:rPr>
        <w:lastRenderedPageBreak/>
        <w:t>ствий. Государству-участнику следует содействовать регистрации престу</w:t>
      </w:r>
      <w:r w:rsidRPr="00A370F1">
        <w:rPr>
          <w:b/>
        </w:rPr>
        <w:t>п</w:t>
      </w:r>
      <w:r w:rsidRPr="00A370F1">
        <w:rPr>
          <w:b/>
        </w:rPr>
        <w:t>лений на почве сексуальной ориентации и гендерной принадлежности и сбору информации о них и обеспечивать оперативное и тщательное рассл</w:t>
      </w:r>
      <w:r w:rsidRPr="00A370F1">
        <w:rPr>
          <w:b/>
        </w:rPr>
        <w:t>е</w:t>
      </w:r>
      <w:r w:rsidRPr="00A370F1">
        <w:rPr>
          <w:b/>
        </w:rPr>
        <w:t>дование всех подобных преступлений, привлечение виновных к отве</w:t>
      </w:r>
      <w:r w:rsidRPr="00A370F1">
        <w:rPr>
          <w:b/>
        </w:rPr>
        <w:t>т</w:t>
      </w:r>
      <w:r w:rsidRPr="00A370F1">
        <w:rPr>
          <w:b/>
        </w:rPr>
        <w:t>ственности и предоставление жертвам доступа к полноценному возмещ</w:t>
      </w:r>
      <w:r w:rsidRPr="00A370F1">
        <w:rPr>
          <w:b/>
        </w:rPr>
        <w:t>е</w:t>
      </w:r>
      <w:r w:rsidRPr="00A370F1">
        <w:rPr>
          <w:b/>
        </w:rPr>
        <w:t>нию ущерба и средствам защиты, включая доступ к приютам или центрам, находящимся в ведении государства или неправительственных организ</w:t>
      </w:r>
      <w:r w:rsidRPr="00A370F1">
        <w:rPr>
          <w:b/>
        </w:rPr>
        <w:t>а</w:t>
      </w:r>
      <w:r w:rsidRPr="00A370F1">
        <w:rPr>
          <w:b/>
        </w:rPr>
        <w:t>ций, на всей территории государства-участника. Государству-участнику следует также обеспечить надлежащую профессиональную подготовку с</w:t>
      </w:r>
      <w:r w:rsidRPr="00A370F1">
        <w:rPr>
          <w:b/>
        </w:rPr>
        <w:t>о</w:t>
      </w:r>
      <w:r w:rsidRPr="00A370F1">
        <w:rPr>
          <w:b/>
        </w:rPr>
        <w:t>трудников правоохранительных органов и медицинского персонала в о</w:t>
      </w:r>
      <w:r w:rsidRPr="00A370F1">
        <w:rPr>
          <w:b/>
        </w:rPr>
        <w:t>т</w:t>
      </w:r>
      <w:r w:rsidRPr="00A370F1">
        <w:rPr>
          <w:b/>
        </w:rPr>
        <w:t>ношении бытового и гендерного насилия и насилия по признаку сексуал</w:t>
      </w:r>
      <w:r w:rsidRPr="00A370F1">
        <w:rPr>
          <w:b/>
        </w:rPr>
        <w:t>ь</w:t>
      </w:r>
      <w:r w:rsidRPr="00A370F1">
        <w:rPr>
          <w:b/>
        </w:rPr>
        <w:t>ной ориентации и гендерной идентичности.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>Гражданско-правовые средства защиты жертв пыток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22.</w:t>
      </w:r>
      <w:r w:rsidRPr="00A370F1">
        <w:tab/>
      </w:r>
      <w:proofErr w:type="gramStart"/>
      <w:r w:rsidRPr="00A370F1">
        <w:t>Комитет с обеспокоенностью отмечает, что Закон о предупреждении и пресечении пыток сам по себе не предусматривает гражданские иски о возм</w:t>
      </w:r>
      <w:r w:rsidRPr="00A370F1">
        <w:t>е</w:t>
      </w:r>
      <w:r w:rsidRPr="00A370F1">
        <w:t>щении ущерба, причиненного в результате пыток, и что в связи с этим такие иски должны оформляться в соответствии с нормами общего права как делик</w:t>
      </w:r>
      <w:r w:rsidRPr="00A370F1">
        <w:t>т</w:t>
      </w:r>
      <w:r w:rsidRPr="00A370F1">
        <w:t>ные иски о нападении или связанных с ним преступлениях менее серьезного характера, поскольку пытка не признается про</w:t>
      </w:r>
      <w:r w:rsidR="00446296">
        <w:t>тивоправным деянием</w:t>
      </w:r>
      <w:proofErr w:type="gramEnd"/>
      <w:r w:rsidR="00446296">
        <w:t xml:space="preserve"> (статьи 2 и </w:t>
      </w:r>
      <w:bookmarkStart w:id="2" w:name="_GoBack"/>
      <w:bookmarkEnd w:id="2"/>
      <w:r w:rsidRPr="00A370F1">
        <w:t>7).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23.</w:t>
      </w:r>
      <w:r w:rsidRPr="00A370F1">
        <w:tab/>
      </w:r>
      <w:r w:rsidRPr="00A370F1">
        <w:rPr>
          <w:b/>
        </w:rPr>
        <w:t>Государству-участнику следует рассмотреть вопрос о внесении п</w:t>
      </w:r>
      <w:r w:rsidRPr="00A370F1">
        <w:rPr>
          <w:b/>
        </w:rPr>
        <w:t>о</w:t>
      </w:r>
      <w:r w:rsidRPr="00A370F1">
        <w:rPr>
          <w:b/>
        </w:rPr>
        <w:t>правок в Закон о предупреждении и пресечении пыток с целью включить в него конкретные положения, касающиеся права на гражданское возмещ</w:t>
      </w:r>
      <w:r w:rsidRPr="00A370F1">
        <w:rPr>
          <w:b/>
        </w:rPr>
        <w:t>е</w:t>
      </w:r>
      <w:r w:rsidRPr="00A370F1">
        <w:rPr>
          <w:b/>
        </w:rPr>
        <w:t xml:space="preserve">ние и правовую защиту для жертв пыток. 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 xml:space="preserve">Телесные наказания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24.</w:t>
      </w:r>
      <w:r w:rsidRPr="00A370F1">
        <w:tab/>
        <w:t>Комитет обеспокоен тем, что телесные наказания в семье не запрещены, являются традиционно приемлемыми и широко практикуются и что они по-прежнему считаются законными в частных образовательных учреждениях и и</w:t>
      </w:r>
      <w:r w:rsidRPr="00A370F1">
        <w:t>с</w:t>
      </w:r>
      <w:r w:rsidRPr="00A370F1">
        <w:t>пользуются в некоторых школах в качестве одного из средств поддержания дисциплины, несмотря на наличие законодательного запрета (статьи 7 и 24).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t>25.</w:t>
      </w:r>
      <w:r w:rsidRPr="00A370F1">
        <w:tab/>
      </w:r>
      <w:r w:rsidRPr="00A370F1">
        <w:rPr>
          <w:b/>
        </w:rPr>
        <w:t>Государству-участнику следует принять практические меры, в час</w:t>
      </w:r>
      <w:r w:rsidRPr="00A370F1">
        <w:rPr>
          <w:b/>
        </w:rPr>
        <w:t>т</w:t>
      </w:r>
      <w:r w:rsidRPr="00A370F1">
        <w:rPr>
          <w:b/>
        </w:rPr>
        <w:t>ности, если это необходимо, на законодательном уровне, с тем чтобы пол</w:t>
      </w:r>
      <w:r w:rsidRPr="00A370F1">
        <w:rPr>
          <w:b/>
        </w:rPr>
        <w:t>о</w:t>
      </w:r>
      <w:r w:rsidRPr="00A370F1">
        <w:rPr>
          <w:b/>
        </w:rPr>
        <w:t xml:space="preserve">жить конец применению телесных наказаний при любых обстоятельствах. </w:t>
      </w:r>
    </w:p>
    <w:p w:rsidR="00892E31" w:rsidRPr="00A370F1" w:rsidRDefault="00892E31" w:rsidP="003E6E48">
      <w:pPr>
        <w:pStyle w:val="H23GR"/>
      </w:pPr>
      <w:r w:rsidRPr="00A370F1">
        <w:tab/>
      </w:r>
      <w:r w:rsidRPr="00A370F1">
        <w:tab/>
        <w:t>Чрезмерное и несоразмерное применение силы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26.</w:t>
      </w:r>
      <w:r w:rsidRPr="00A370F1">
        <w:tab/>
        <w:t>Комитет выражает обеспокоенность в связи с многочисленными сообщ</w:t>
      </w:r>
      <w:r w:rsidRPr="00A370F1">
        <w:t>е</w:t>
      </w:r>
      <w:r w:rsidRPr="00A370F1">
        <w:t>ниями о чрезмерном и несоразмерном применении силы сотрудниками прав</w:t>
      </w:r>
      <w:r w:rsidRPr="00A370F1">
        <w:t>о</w:t>
      </w:r>
      <w:r w:rsidRPr="00A370F1">
        <w:t>охранительных органов в контексте общественных протестов, которое приводит к гибели людей. Комитет также обеспокоен медленными темпами расследов</w:t>
      </w:r>
      <w:r w:rsidRPr="00A370F1">
        <w:t>а</w:t>
      </w:r>
      <w:r w:rsidRPr="00A370F1">
        <w:t xml:space="preserve">ния инцидента на шахте </w:t>
      </w:r>
      <w:r w:rsidR="00215E25" w:rsidRPr="00A370F1">
        <w:t>«</w:t>
      </w:r>
      <w:r w:rsidRPr="00A370F1">
        <w:t>Марикана</w:t>
      </w:r>
      <w:r w:rsidR="00215E25" w:rsidRPr="00A370F1">
        <w:t>»</w:t>
      </w:r>
      <w:r w:rsidRPr="00A370F1">
        <w:t>, в том числе в отношении привлечения к уголовной ответственности сотрудников Полицейской службы Южной Африки</w:t>
      </w:r>
      <w:r w:rsidR="00215E25" w:rsidRPr="00A370F1">
        <w:t xml:space="preserve"> </w:t>
      </w:r>
      <w:r w:rsidRPr="00A370F1">
        <w:t xml:space="preserve">и возможного установления ответственности горнодобывающей компании </w:t>
      </w:r>
      <w:r w:rsidR="00215E25" w:rsidRPr="00A370F1">
        <w:t>«</w:t>
      </w:r>
      <w:r w:rsidRPr="00A370F1">
        <w:t>Лонмин</w:t>
      </w:r>
      <w:r w:rsidR="00215E25" w:rsidRPr="00A370F1">
        <w:t>»</w:t>
      </w:r>
      <w:r w:rsidRPr="00A370F1">
        <w:t xml:space="preserve"> (статьи 6, 7 и 21).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27.</w:t>
      </w:r>
      <w:r w:rsidRPr="00A370F1">
        <w:tab/>
      </w:r>
      <w:r w:rsidRPr="00A370F1">
        <w:rPr>
          <w:b/>
        </w:rPr>
        <w:t>Государству-участнику следует: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rPr>
          <w:b/>
        </w:rPr>
        <w:tab/>
        <w:t>а)</w:t>
      </w:r>
      <w:r w:rsidRPr="00A370F1">
        <w:rPr>
          <w:b/>
        </w:rPr>
        <w:tab/>
        <w:t>ускорить работу целевой группы и группы международных экспертов, учрежденной Министерством по делам полиции для выполн</w:t>
      </w:r>
      <w:r w:rsidRPr="00A370F1">
        <w:rPr>
          <w:b/>
        </w:rPr>
        <w:t>е</w:t>
      </w:r>
      <w:r w:rsidRPr="00A370F1">
        <w:rPr>
          <w:b/>
        </w:rPr>
        <w:t xml:space="preserve">ния рекомендаций комиссии по расследованию инцидента на шахте </w:t>
      </w:r>
      <w:r w:rsidR="00215E25" w:rsidRPr="00A370F1">
        <w:t>«</w:t>
      </w:r>
      <w:r w:rsidRPr="00A370F1">
        <w:rPr>
          <w:b/>
        </w:rPr>
        <w:t>М</w:t>
      </w:r>
      <w:r w:rsidRPr="00A370F1">
        <w:rPr>
          <w:b/>
        </w:rPr>
        <w:t>а</w:t>
      </w:r>
      <w:r w:rsidRPr="00A370F1">
        <w:rPr>
          <w:b/>
        </w:rPr>
        <w:t>рикана</w:t>
      </w:r>
      <w:r w:rsidR="00215E25" w:rsidRPr="00A370F1">
        <w:t>»</w:t>
      </w:r>
      <w:r w:rsidRPr="00A370F1">
        <w:rPr>
          <w:b/>
        </w:rPr>
        <w:t>, пересмотреть законы и стратегии, касающиеся охраны общ</w:t>
      </w:r>
      <w:r w:rsidRPr="00A370F1">
        <w:rPr>
          <w:b/>
        </w:rPr>
        <w:t>е</w:t>
      </w:r>
      <w:r w:rsidRPr="00A370F1">
        <w:rPr>
          <w:b/>
        </w:rPr>
        <w:lastRenderedPageBreak/>
        <w:t>ственного порядка и применения силы сотрудниками правоохранительных органов, в том числе со смертельным исходом, для обеспечения соотве</w:t>
      </w:r>
      <w:r w:rsidRPr="00A370F1">
        <w:rPr>
          <w:b/>
        </w:rPr>
        <w:t>т</w:t>
      </w:r>
      <w:r w:rsidRPr="00A370F1">
        <w:rPr>
          <w:b/>
        </w:rPr>
        <w:t>ствия всех законов, стратегий и руководящих принципов деятельности п</w:t>
      </w:r>
      <w:r w:rsidRPr="00A370F1">
        <w:rPr>
          <w:b/>
        </w:rPr>
        <w:t>о</w:t>
      </w:r>
      <w:r w:rsidRPr="00A370F1">
        <w:rPr>
          <w:b/>
        </w:rPr>
        <w:t>лиции статье 6 Пакта и Основным принципам применения силы и огн</w:t>
      </w:r>
      <w:r w:rsidRPr="00A370F1">
        <w:rPr>
          <w:b/>
        </w:rPr>
        <w:t>е</w:t>
      </w:r>
      <w:r w:rsidRPr="00A370F1">
        <w:rPr>
          <w:b/>
        </w:rPr>
        <w:t xml:space="preserve">стрельного оружия должностными лицами по поддержанию правопорядка; 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tab/>
      </w:r>
      <w:r w:rsidRPr="00A370F1">
        <w:rPr>
          <w:b/>
        </w:rPr>
        <w:t>b)</w:t>
      </w:r>
      <w:r w:rsidRPr="00A370F1">
        <w:rPr>
          <w:b/>
        </w:rPr>
        <w:tab/>
        <w:t>принять все необходимые меры, в особенности в плане профе</w:t>
      </w:r>
      <w:r w:rsidRPr="00A370F1">
        <w:rPr>
          <w:b/>
        </w:rPr>
        <w:t>с</w:t>
      </w:r>
      <w:r w:rsidRPr="00A370F1">
        <w:rPr>
          <w:b/>
        </w:rPr>
        <w:t>сиональной подготовки и оснащения, с тем чтобы предотвратить чрезме</w:t>
      </w:r>
      <w:r w:rsidRPr="00A370F1">
        <w:rPr>
          <w:b/>
        </w:rPr>
        <w:t>р</w:t>
      </w:r>
      <w:r w:rsidRPr="00A370F1">
        <w:rPr>
          <w:b/>
        </w:rPr>
        <w:t>ное применение сотрудниками правоохранительных органов силы или смертоносных видов оружия в ситуациях, когда применение такой силы является неоправданным;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tab/>
      </w:r>
      <w:r w:rsidRPr="00A370F1">
        <w:rPr>
          <w:b/>
        </w:rPr>
        <w:t>с)</w:t>
      </w:r>
      <w:r w:rsidRPr="00A370F1">
        <w:rPr>
          <w:b/>
        </w:rPr>
        <w:tab/>
        <w:t>начать оперативное, тщательное, эффективное, независимое и беспристрастное расследование всех инцидентов, связанных с применен</w:t>
      </w:r>
      <w:r w:rsidRPr="00A370F1">
        <w:rPr>
          <w:b/>
        </w:rPr>
        <w:t>и</w:t>
      </w:r>
      <w:r w:rsidRPr="00A370F1">
        <w:rPr>
          <w:b/>
        </w:rPr>
        <w:t>ем огнестрельного оружия, и всех утверждений о чрезмерном применении силы сотрудниками правоохранительных органов, а также потенциальной ответственности горнодобывающей</w:t>
      </w:r>
      <w:r w:rsidR="00215E25" w:rsidRPr="00A370F1">
        <w:rPr>
          <w:b/>
        </w:rPr>
        <w:t xml:space="preserve"> </w:t>
      </w:r>
      <w:r w:rsidRPr="00A370F1">
        <w:rPr>
          <w:b/>
        </w:rPr>
        <w:t xml:space="preserve">компании </w:t>
      </w:r>
      <w:r w:rsidR="00215E25" w:rsidRPr="00A370F1">
        <w:rPr>
          <w:b/>
        </w:rPr>
        <w:t>«</w:t>
      </w:r>
      <w:r w:rsidRPr="00A370F1">
        <w:rPr>
          <w:b/>
        </w:rPr>
        <w:t>Лонмин</w:t>
      </w:r>
      <w:r w:rsidR="00215E25" w:rsidRPr="00A370F1">
        <w:rPr>
          <w:b/>
        </w:rPr>
        <w:t>»</w:t>
      </w:r>
      <w:r w:rsidRPr="00A370F1">
        <w:rPr>
          <w:b/>
        </w:rPr>
        <w:t xml:space="preserve"> в связи с инц</w:t>
      </w:r>
      <w:r w:rsidRPr="00A370F1">
        <w:rPr>
          <w:b/>
        </w:rPr>
        <w:t>и</w:t>
      </w:r>
      <w:r w:rsidRPr="00A370F1">
        <w:rPr>
          <w:b/>
        </w:rPr>
        <w:t xml:space="preserve">дентом на шахте </w:t>
      </w:r>
      <w:r w:rsidR="00215E25" w:rsidRPr="00A370F1">
        <w:rPr>
          <w:b/>
        </w:rPr>
        <w:t>«</w:t>
      </w:r>
      <w:r w:rsidRPr="00A370F1">
        <w:rPr>
          <w:b/>
        </w:rPr>
        <w:t>Марикана</w:t>
      </w:r>
      <w:r w:rsidR="00215E25" w:rsidRPr="00A370F1">
        <w:rPr>
          <w:b/>
        </w:rPr>
        <w:t>»</w:t>
      </w:r>
      <w:r w:rsidRPr="00A370F1">
        <w:rPr>
          <w:b/>
        </w:rPr>
        <w:t xml:space="preserve">, привлекать к уголовной ответственности и наказывать виновных в совершении незаконных убийств и предоставлять жертвам эффективные средства правовой защиты; 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tab/>
      </w:r>
      <w:r w:rsidRPr="00A370F1">
        <w:rPr>
          <w:b/>
        </w:rPr>
        <w:t>d)</w:t>
      </w:r>
      <w:r w:rsidRPr="00A370F1">
        <w:tab/>
      </w:r>
      <w:r w:rsidRPr="00A370F1">
        <w:rPr>
          <w:b/>
        </w:rPr>
        <w:t>следить за соблюдением компаниями их обязательств в рамках всех соответствующих правовых стандартов деятельности в горнодобыв</w:t>
      </w:r>
      <w:r w:rsidRPr="00A370F1">
        <w:rPr>
          <w:b/>
        </w:rPr>
        <w:t>а</w:t>
      </w:r>
      <w:r w:rsidRPr="00A370F1">
        <w:rPr>
          <w:b/>
        </w:rPr>
        <w:t>ющем секторе.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>Насилие, пытки, жестокое обращение и гибель во время содер</w:t>
      </w:r>
      <w:r w:rsidR="0078222F">
        <w:t>жания под </w:t>
      </w:r>
      <w:r w:rsidRPr="00A370F1">
        <w:t>стражей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28.</w:t>
      </w:r>
      <w:r w:rsidRPr="00A370F1">
        <w:tab/>
        <w:t>Комитет обеспокоен количеством сообщений о случаях насилия, включая сексуальное насилие, чрезмерное применение силы, пытки и другие виды ж</w:t>
      </w:r>
      <w:r w:rsidRPr="00A370F1">
        <w:t>е</w:t>
      </w:r>
      <w:r w:rsidRPr="00A370F1">
        <w:t>стокого обращения в отношении заключенных, а также о гибели людей в р</w:t>
      </w:r>
      <w:r w:rsidRPr="00A370F1">
        <w:t>е</w:t>
      </w:r>
      <w:r w:rsidRPr="00A370F1">
        <w:t>зультате действий сотрудников полиции и тюрем. Он также с обеспокоенностью отмечает, что лишь немногие расследования сообщений о таких случаях прив</w:t>
      </w:r>
      <w:r w:rsidRPr="00A370F1">
        <w:t>е</w:t>
      </w:r>
      <w:r w:rsidRPr="00A370F1">
        <w:t>ли к судебному преследованию и вынесению наказания в отношении виновных (статьи 2, 6, 7 и 10).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t>29.</w:t>
      </w:r>
      <w:r w:rsidRPr="00A370F1">
        <w:tab/>
      </w:r>
      <w:r w:rsidRPr="00A370F1">
        <w:rPr>
          <w:b/>
        </w:rPr>
        <w:t>Государству-участнику следует обеспечить, чтобы все случаи гибели во время содержания под стражей и все случаи насилия, совершенные в государственных или управляемых на договорной основе тюрьмах, дол</w:t>
      </w:r>
      <w:r w:rsidRPr="00A370F1">
        <w:rPr>
          <w:b/>
        </w:rPr>
        <w:t>ж</w:t>
      </w:r>
      <w:r w:rsidRPr="00A370F1">
        <w:rPr>
          <w:b/>
        </w:rPr>
        <w:t>ным образом расследовались независимым механизмом. Ему следует также обеспечить, чтобы виновные в таких актах насилия и их соучастники надлежащим образом преследовались в уголовном порядке и наказывались в соответствии с законом, а жертвам и их семьям были обеспечены сре</w:t>
      </w:r>
      <w:r w:rsidRPr="00A370F1">
        <w:rPr>
          <w:b/>
        </w:rPr>
        <w:t>д</w:t>
      </w:r>
      <w:r w:rsidRPr="00A370F1">
        <w:rPr>
          <w:b/>
        </w:rPr>
        <w:t xml:space="preserve">ства правовой защиты, включая реабилитацию и компенсацию. 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 xml:space="preserve">Условия содержания в тюрьмах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30.</w:t>
      </w:r>
      <w:r w:rsidRPr="00A370F1">
        <w:tab/>
        <w:t>Комитет обеспокоен плохими условиями содержания под стражей в нек</w:t>
      </w:r>
      <w:r w:rsidRPr="00A370F1">
        <w:t>о</w:t>
      </w:r>
      <w:r w:rsidRPr="00A370F1">
        <w:t>торых тюрьмах государства-участника, в частности в том, что касается пер</w:t>
      </w:r>
      <w:r w:rsidRPr="00A370F1">
        <w:t>е</w:t>
      </w:r>
      <w:r w:rsidRPr="00A370F1">
        <w:t>полненности камер, ветхой инфраструктуры, антисанитарных условий, непр</w:t>
      </w:r>
      <w:r w:rsidRPr="00A370F1">
        <w:t>и</w:t>
      </w:r>
      <w:r w:rsidRPr="00A370F1">
        <w:t>емлемого питания, отсутствия физических упражнений, плохой вентиляции и ограниченного доступа к услугам в области здравоохранения. Комитет с обе</w:t>
      </w:r>
      <w:r w:rsidRPr="00A370F1">
        <w:t>с</w:t>
      </w:r>
      <w:r w:rsidRPr="00A370F1">
        <w:t>покоенностью отмечает условия содержания в двух тюрьмах особо строгого режима и введенные меры сегрегации, например в тюрьме особо строгого р</w:t>
      </w:r>
      <w:r w:rsidRPr="00A370F1">
        <w:t>е</w:t>
      </w:r>
      <w:r w:rsidRPr="00A370F1">
        <w:t xml:space="preserve">жима </w:t>
      </w:r>
      <w:r w:rsidR="00215E25" w:rsidRPr="00A370F1">
        <w:t>«</w:t>
      </w:r>
      <w:r w:rsidRPr="00A370F1">
        <w:t>Эбонгвени</w:t>
      </w:r>
      <w:r w:rsidR="00215E25" w:rsidRPr="00A370F1">
        <w:t>»</w:t>
      </w:r>
      <w:r w:rsidRPr="00A370F1">
        <w:t>, где заключенные содержатся взаперти 23 часа в сутки в т</w:t>
      </w:r>
      <w:r w:rsidRPr="00A370F1">
        <w:t>е</w:t>
      </w:r>
      <w:r w:rsidRPr="00A370F1">
        <w:t>чение как минимум шести месяцев подряд (статья 10).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lastRenderedPageBreak/>
        <w:t>31.</w:t>
      </w:r>
      <w:r w:rsidRPr="00A370F1">
        <w:tab/>
      </w:r>
      <w:r w:rsidRPr="00A370F1">
        <w:rPr>
          <w:b/>
        </w:rPr>
        <w:t>Государству-участнику следует продолжать наращивать свои усилия, направленные на улучшение условий содержания под стражей, путем пр</w:t>
      </w:r>
      <w:r w:rsidRPr="00A370F1">
        <w:rPr>
          <w:b/>
        </w:rPr>
        <w:t>и</w:t>
      </w:r>
      <w:r w:rsidRPr="00A370F1">
        <w:rPr>
          <w:b/>
        </w:rPr>
        <w:t xml:space="preserve">нятия практических мер, в частности, с целью: 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rPr>
          <w:b/>
        </w:rPr>
        <w:tab/>
        <w:t>а)</w:t>
      </w:r>
      <w:r w:rsidRPr="00A370F1">
        <w:rPr>
          <w:b/>
        </w:rPr>
        <w:tab/>
        <w:t>снизить степень переполненности тюрем, в частности путем поощрения альтернатив содержанию под стражей, ослабления требований об освобождении под залог, пересмотра квот на арест в качестве показат</w:t>
      </w:r>
      <w:r w:rsidRPr="00A370F1">
        <w:rPr>
          <w:b/>
        </w:rPr>
        <w:t>е</w:t>
      </w:r>
      <w:r w:rsidRPr="00A370F1">
        <w:rPr>
          <w:b/>
        </w:rPr>
        <w:t>лей эффективности деятельности полиции, а также за счет обеспечения т</w:t>
      </w:r>
      <w:r w:rsidRPr="00A370F1">
        <w:rPr>
          <w:b/>
        </w:rPr>
        <w:t>о</w:t>
      </w:r>
      <w:r w:rsidRPr="00A370F1">
        <w:rPr>
          <w:b/>
        </w:rPr>
        <w:t>го, чтобы решения об освобождении под залог принимались оперативно и чтобы лица, заключенные под стражу, не содержались в заключении в т</w:t>
      </w:r>
      <w:r w:rsidRPr="00A370F1">
        <w:rPr>
          <w:b/>
        </w:rPr>
        <w:t>е</w:t>
      </w:r>
      <w:r w:rsidRPr="00A370F1">
        <w:rPr>
          <w:b/>
        </w:rPr>
        <w:t>чение необоснованно длительного срока;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rPr>
          <w:b/>
        </w:rPr>
        <w:tab/>
        <w:t>b)</w:t>
      </w:r>
      <w:r w:rsidRPr="00A370F1">
        <w:rPr>
          <w:b/>
        </w:rPr>
        <w:tab/>
        <w:t>активизировать усилия, направленные на то, чтобы гарант</w:t>
      </w:r>
      <w:r w:rsidRPr="00A370F1">
        <w:rPr>
          <w:b/>
        </w:rPr>
        <w:t>и</w:t>
      </w:r>
      <w:r w:rsidRPr="00A370F1">
        <w:rPr>
          <w:b/>
        </w:rPr>
        <w:t>ровать права заключенных на гуманное обращение и уважение достои</w:t>
      </w:r>
      <w:r w:rsidRPr="00A370F1">
        <w:rPr>
          <w:b/>
        </w:rPr>
        <w:t>н</w:t>
      </w:r>
      <w:r w:rsidRPr="00A370F1">
        <w:rPr>
          <w:b/>
        </w:rPr>
        <w:t>ства и обеспечить совместимость условий содержания под стражей во всех тюрьмах страны, в том числе находящихся в ведении частных подрядч</w:t>
      </w:r>
      <w:r w:rsidRPr="00A370F1">
        <w:rPr>
          <w:b/>
        </w:rPr>
        <w:t>и</w:t>
      </w:r>
      <w:r w:rsidRPr="00A370F1">
        <w:rPr>
          <w:b/>
        </w:rPr>
        <w:t>ков, с Минимальными стандартными правилами обращения с заключе</w:t>
      </w:r>
      <w:r w:rsidRPr="00A370F1">
        <w:rPr>
          <w:b/>
        </w:rPr>
        <w:t>н</w:t>
      </w:r>
      <w:r w:rsidRPr="00A370F1">
        <w:rPr>
          <w:b/>
        </w:rPr>
        <w:t>ными, принятыми Организацией Объединенных Наций (Правила Нельс</w:t>
      </w:r>
      <w:r w:rsidRPr="00A370F1">
        <w:rPr>
          <w:b/>
        </w:rPr>
        <w:t>о</w:t>
      </w:r>
      <w:r w:rsidRPr="00A370F1">
        <w:rPr>
          <w:b/>
        </w:rPr>
        <w:t xml:space="preserve">на Манделы); </w:t>
      </w:r>
    </w:p>
    <w:p w:rsidR="00892E31" w:rsidRPr="00A370F1" w:rsidRDefault="00892E31" w:rsidP="00892E31">
      <w:pPr>
        <w:pStyle w:val="SingleTxtGR"/>
        <w:rPr>
          <w:b/>
        </w:rPr>
      </w:pPr>
      <w:r w:rsidRPr="00A370F1">
        <w:rPr>
          <w:b/>
        </w:rPr>
        <w:tab/>
        <w:t>с)</w:t>
      </w:r>
      <w:r w:rsidRPr="00A370F1">
        <w:rPr>
          <w:b/>
        </w:rPr>
        <w:tab/>
        <w:t>гарантировать фактическое использование мер одиночного з</w:t>
      </w:r>
      <w:r w:rsidRPr="00A370F1">
        <w:rPr>
          <w:b/>
        </w:rPr>
        <w:t>а</w:t>
      </w:r>
      <w:r w:rsidRPr="00A370F1">
        <w:rPr>
          <w:b/>
        </w:rPr>
        <w:t>ключения, включая сегрегацию, лишь в самых исключительных обсто</w:t>
      </w:r>
      <w:r w:rsidRPr="00A370F1">
        <w:rPr>
          <w:b/>
        </w:rPr>
        <w:t>я</w:t>
      </w:r>
      <w:r w:rsidRPr="00A370F1">
        <w:rPr>
          <w:b/>
        </w:rPr>
        <w:t>тельствах и в течение строго ограниченных непродолжительных периодов времени.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 xml:space="preserve">Торговля людьми и трудовая эксплуатация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32.</w:t>
      </w:r>
      <w:r w:rsidRPr="00A370F1">
        <w:tab/>
        <w:t>Принимая к сведению прогресс, достигнутый в области борьбы с торго</w:t>
      </w:r>
      <w:r w:rsidRPr="00A370F1">
        <w:t>в</w:t>
      </w:r>
      <w:r w:rsidRPr="00A370F1">
        <w:t>лей людьми, Комитет обеспокоен тем, что государство-участник до сих пор не имеет надлежащих механизмов для выявления жертв торговли людьми и оказ</w:t>
      </w:r>
      <w:r w:rsidRPr="00A370F1">
        <w:t>а</w:t>
      </w:r>
      <w:r w:rsidRPr="00A370F1">
        <w:t>ния им консультативной помощи. Комитет приветствует принятие в 2014 году Закона о внесении поправок в Закон о трудовы</w:t>
      </w:r>
      <w:r w:rsidR="009F413F">
        <w:t>х отношениях (Закон № </w:t>
      </w:r>
      <w:r w:rsidR="006853A0">
        <w:t>6 от 2014 </w:t>
      </w:r>
      <w:r w:rsidRPr="00A370F1">
        <w:t>года), который обеспечивает более эффективную защиту трудящихся, имеющих временную работу, однако он по-прежнему обеспокоен сообщениями о том, что трудящиеся-мигранты, нанятые на работу через посреднические агентства по трудоустройству в горнодобывающей промышленности, становя</w:t>
      </w:r>
      <w:r w:rsidRPr="00A370F1">
        <w:t>т</w:t>
      </w:r>
      <w:r w:rsidRPr="00A370F1">
        <w:t>ся жертвами эксплуатации труда (статьи 7 и 8).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33.</w:t>
      </w:r>
      <w:r w:rsidRPr="00A370F1">
        <w:tab/>
      </w:r>
      <w:r w:rsidRPr="00A370F1">
        <w:rPr>
          <w:b/>
        </w:rPr>
        <w:t>Государству-участнику следует продолжать свои усилия по пред</w:t>
      </w:r>
      <w:r w:rsidRPr="00A370F1">
        <w:rPr>
          <w:b/>
        </w:rPr>
        <w:t>у</w:t>
      </w:r>
      <w:r w:rsidRPr="00A370F1">
        <w:rPr>
          <w:b/>
        </w:rPr>
        <w:t>преждению и искоренению торговли людьми и принять меры, необходимые для введения в законодательном порядке запрета на деятельность посре</w:t>
      </w:r>
      <w:r w:rsidRPr="00A370F1">
        <w:rPr>
          <w:b/>
        </w:rPr>
        <w:t>д</w:t>
      </w:r>
      <w:r w:rsidRPr="00A370F1">
        <w:rPr>
          <w:b/>
        </w:rPr>
        <w:t>нических агентств по трудоустройству, участвующих в эксплуатации р</w:t>
      </w:r>
      <w:r w:rsidRPr="00A370F1">
        <w:rPr>
          <w:b/>
        </w:rPr>
        <w:t>а</w:t>
      </w:r>
      <w:r w:rsidRPr="00A370F1">
        <w:rPr>
          <w:b/>
        </w:rPr>
        <w:t>ботников в нарушение статей 7 и 8 Пакта, и привлечения их к ответстве</w:t>
      </w:r>
      <w:r w:rsidRPr="00A370F1">
        <w:rPr>
          <w:b/>
        </w:rPr>
        <w:t>н</w:t>
      </w:r>
      <w:r w:rsidRPr="00A370F1">
        <w:rPr>
          <w:b/>
        </w:rPr>
        <w:t>ности. Ему следует также активизировать усилия по выявлению и защите лиц, которые могут стать объектом торговли людьми, и создать общенац</w:t>
      </w:r>
      <w:r w:rsidRPr="00A370F1">
        <w:rPr>
          <w:b/>
        </w:rPr>
        <w:t>и</w:t>
      </w:r>
      <w:r w:rsidRPr="00A370F1">
        <w:rPr>
          <w:b/>
        </w:rPr>
        <w:t>ональную систему выявления жертв торговли людьми и оказания им ко</w:t>
      </w:r>
      <w:r w:rsidRPr="00A370F1">
        <w:rPr>
          <w:b/>
        </w:rPr>
        <w:t>н</w:t>
      </w:r>
      <w:r w:rsidRPr="00A370F1">
        <w:rPr>
          <w:b/>
        </w:rPr>
        <w:t>сультативной помощи.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>Доступ к процедуре определения статуса беженца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34.</w:t>
      </w:r>
      <w:r w:rsidRPr="00A370F1">
        <w:tab/>
        <w:t>Комитет обеспокоен возросшими трудностями при получении доступа к процедуре определения статуса беженца, обусловленными закрытием нескол</w:t>
      </w:r>
      <w:r w:rsidRPr="00A370F1">
        <w:t>ь</w:t>
      </w:r>
      <w:r w:rsidRPr="00A370F1">
        <w:t>ких городских отделений по приему беженцев, а также сообщениями о пред</w:t>
      </w:r>
      <w:r w:rsidRPr="00A370F1">
        <w:t>о</w:t>
      </w:r>
      <w:r w:rsidRPr="00A370F1">
        <w:t>ставлении недостаточных гарантий в рамках этого процесса. Комитет обесп</w:t>
      </w:r>
      <w:r w:rsidRPr="00A370F1">
        <w:t>о</w:t>
      </w:r>
      <w:r w:rsidRPr="00A370F1">
        <w:t xml:space="preserve">коен утверждениями о том, что некоторые сотрудники иммиграционных служб отказывают просителям убежища в разрешении на транзит в пункте въезда, </w:t>
      </w:r>
      <w:r w:rsidRPr="00A370F1">
        <w:lastRenderedPageBreak/>
        <w:t>подвергая их риску немедленного ареста или депортации. Комитет обеспокоен утверждениями о том, что эти препятствия приводят к распространению ко</w:t>
      </w:r>
      <w:r w:rsidRPr="00A370F1">
        <w:t>р</w:t>
      </w:r>
      <w:r w:rsidRPr="00A370F1">
        <w:t>рупционной практики и повышают уязвимость мигрантов, особенно детей, в результате чего они становятся лицами без документов и апатридами (статьи 6, 7 и 13).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35.</w:t>
      </w:r>
      <w:r w:rsidRPr="00A370F1">
        <w:tab/>
      </w:r>
      <w:r w:rsidRPr="00A370F1">
        <w:rPr>
          <w:b/>
        </w:rPr>
        <w:t>Государству-участнику следует упростить доступ к документации и справедливым процедурам для просителей убежища, в том числе создать службы письменного перевода и, когда этого требуют интересы правос</w:t>
      </w:r>
      <w:r w:rsidRPr="00A370F1">
        <w:rPr>
          <w:b/>
        </w:rPr>
        <w:t>у</w:t>
      </w:r>
      <w:r w:rsidRPr="00A370F1">
        <w:rPr>
          <w:b/>
        </w:rPr>
        <w:t>дия, предоставлять доступ к юридическому представительству. Ему след</w:t>
      </w:r>
      <w:r w:rsidRPr="00A370F1">
        <w:rPr>
          <w:b/>
        </w:rPr>
        <w:t>у</w:t>
      </w:r>
      <w:r w:rsidRPr="00A370F1">
        <w:rPr>
          <w:b/>
        </w:rPr>
        <w:t>ет обеспечить безотлагательное рассмотрение ходатайств о предоставлении убежища и соблюдение</w:t>
      </w:r>
      <w:r w:rsidRPr="00A370F1">
        <w:t xml:space="preserve"> </w:t>
      </w:r>
      <w:r w:rsidRPr="00A370F1">
        <w:rPr>
          <w:b/>
        </w:rPr>
        <w:t>при любых обстоятельствах принципа недопуст</w:t>
      </w:r>
      <w:r w:rsidRPr="00A370F1">
        <w:rPr>
          <w:b/>
        </w:rPr>
        <w:t>и</w:t>
      </w:r>
      <w:r w:rsidRPr="00A370F1">
        <w:rPr>
          <w:b/>
        </w:rPr>
        <w:t>мости принудительного возвращения.</w:t>
      </w:r>
      <w:r w:rsidR="00215E25" w:rsidRPr="00A370F1">
        <w:rPr>
          <w:b/>
        </w:rPr>
        <w:t xml:space="preserve"> 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 xml:space="preserve">Содержание иммигрантов под стражей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36.</w:t>
      </w:r>
      <w:r w:rsidRPr="00A370F1">
        <w:tab/>
        <w:t>Комитет обеспокоен сообщениями о случаях: a) содержания под стражей в полицейских участках и тюрьмах мигрантов, не имеющих документов; b) с</w:t>
      </w:r>
      <w:r w:rsidRPr="00A370F1">
        <w:t>о</w:t>
      </w:r>
      <w:r w:rsidRPr="00A370F1">
        <w:t xml:space="preserve">держания под стражей лиц в репатриационном центре </w:t>
      </w:r>
      <w:r w:rsidR="00215E25" w:rsidRPr="00A370F1">
        <w:t>«</w:t>
      </w:r>
      <w:r w:rsidRPr="00A370F1">
        <w:t>Линдела</w:t>
      </w:r>
      <w:r w:rsidR="00215E25" w:rsidRPr="00A370F1">
        <w:t>»</w:t>
      </w:r>
      <w:r w:rsidRPr="00A370F1">
        <w:t xml:space="preserve"> в течение длительных периодов времени без предъявления ордера на арест</w:t>
      </w:r>
      <w:r w:rsidR="0078222F">
        <w:t>;</w:t>
      </w:r>
      <w:r w:rsidRPr="00A370F1">
        <w:t xml:space="preserve"> и c) продо</w:t>
      </w:r>
      <w:r w:rsidRPr="00A370F1">
        <w:t>л</w:t>
      </w:r>
      <w:r w:rsidRPr="00A370F1">
        <w:t>жительного содержания под стражей лиц без гражданства и их высылки в стр</w:t>
      </w:r>
      <w:r w:rsidRPr="00A370F1">
        <w:t>а</w:t>
      </w:r>
      <w:r w:rsidRPr="00A370F1">
        <w:t>ны, где они не признаются в качестве граждан. Он также с обеспокоенностью отмечает неудовлетворительные условия содержания в репатриационном це</w:t>
      </w:r>
      <w:r w:rsidRPr="00A370F1">
        <w:t>н</w:t>
      </w:r>
      <w:r w:rsidRPr="00A370F1">
        <w:t xml:space="preserve">тре </w:t>
      </w:r>
      <w:r w:rsidR="00215E25" w:rsidRPr="00A370F1">
        <w:t>«</w:t>
      </w:r>
      <w:r w:rsidRPr="00A370F1">
        <w:t>Линдела</w:t>
      </w:r>
      <w:r w:rsidR="00215E25" w:rsidRPr="00A370F1">
        <w:t>»</w:t>
      </w:r>
      <w:r w:rsidRPr="00A370F1">
        <w:t>, включая переполненность помещений и отсутствие средств г</w:t>
      </w:r>
      <w:r w:rsidRPr="00A370F1">
        <w:t>и</w:t>
      </w:r>
      <w:r w:rsidRPr="00A370F1">
        <w:t>гиены и медицинских услуг (статьи 6, 9, 10 и 23).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37.</w:t>
      </w:r>
      <w:r w:rsidRPr="00A370F1">
        <w:tab/>
      </w:r>
      <w:r w:rsidRPr="00A370F1">
        <w:rPr>
          <w:b/>
        </w:rPr>
        <w:t>Государству-участнику следует обеспечить, чтобы заключение под стражу до высылки применялось лишь в качестве крайней меры с удел</w:t>
      </w:r>
      <w:r w:rsidRPr="00A370F1">
        <w:rPr>
          <w:b/>
        </w:rPr>
        <w:t>е</w:t>
      </w:r>
      <w:r w:rsidRPr="00A370F1">
        <w:rPr>
          <w:b/>
        </w:rPr>
        <w:t>нием первоочередного внимания потребностям особо уязвимых лиц, а та</w:t>
      </w:r>
      <w:r w:rsidRPr="00A370F1">
        <w:rPr>
          <w:b/>
        </w:rPr>
        <w:t>к</w:t>
      </w:r>
      <w:r w:rsidRPr="00A370F1">
        <w:rPr>
          <w:b/>
        </w:rPr>
        <w:t>же чтобы лица, заключенные под стражу по соображениям, связанным с иммиграцией, содержались в специально приспособленных для этой цели учреждениях. Государству-участнику следует также активизировать ус</w:t>
      </w:r>
      <w:r w:rsidRPr="00A370F1">
        <w:rPr>
          <w:b/>
        </w:rPr>
        <w:t>и</w:t>
      </w:r>
      <w:r w:rsidRPr="00A370F1">
        <w:rPr>
          <w:b/>
        </w:rPr>
        <w:t>лия по обеспечению приемлемых условий содержания во всех иммиграц</w:t>
      </w:r>
      <w:r w:rsidRPr="00A370F1">
        <w:rPr>
          <w:b/>
        </w:rPr>
        <w:t>и</w:t>
      </w:r>
      <w:r w:rsidRPr="00A370F1">
        <w:rPr>
          <w:b/>
        </w:rPr>
        <w:t>онных центрах путем сокращения степени переполненности помещений, предоставления надлежащих услуг в области здравоохранения и обеспеч</w:t>
      </w:r>
      <w:r w:rsidRPr="00A370F1">
        <w:rPr>
          <w:b/>
        </w:rPr>
        <w:t>е</w:t>
      </w:r>
      <w:r w:rsidRPr="00A370F1">
        <w:rPr>
          <w:b/>
        </w:rPr>
        <w:t>ния нормальных санитарных условий.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>Правосудие в отношении несовершеннолетних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38.</w:t>
      </w:r>
      <w:r w:rsidRPr="00A370F1">
        <w:tab/>
        <w:t>Комитет приветствует заявление делегации о том, что возраст уголовной ответственности будет увеличен с 10 до 12 лет с установлением опровержимой презумпции (doli incapax) для детей в возрасте от 12 до 14 лет. Комитет также приветствует усилия по укреплению системы отправления правосудия в отн</w:t>
      </w:r>
      <w:r w:rsidRPr="00A370F1">
        <w:t>о</w:t>
      </w:r>
      <w:r w:rsidRPr="00A370F1">
        <w:t>шении несовершеннолетних, однако с обеспокоенностью отмечает отсутствие финансовых средств, выделяемых на общинные программы исправительного перевоспитания, и чрезмерно частое направление судами лиц в центры по ух</w:t>
      </w:r>
      <w:r w:rsidRPr="00A370F1">
        <w:t>о</w:t>
      </w:r>
      <w:r w:rsidRPr="00A370F1">
        <w:t xml:space="preserve">ду за детьми и подростками, в которых дети, нуждающиеся в уходе, согласно сообщениям, не всегда содержатся отдельно от детей, находящихся в конфликте с законом (статьи 9, 10, 14 и 24). 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39.</w:t>
      </w:r>
      <w:r w:rsidRPr="00A370F1">
        <w:tab/>
      </w:r>
      <w:r w:rsidRPr="00A370F1">
        <w:rPr>
          <w:b/>
        </w:rPr>
        <w:t>Государству-участнику следует выделять достаточные средства на общинные программы исправительного перевоспитания детей и сокр</w:t>
      </w:r>
      <w:r w:rsidRPr="00A370F1">
        <w:rPr>
          <w:b/>
        </w:rPr>
        <w:t>а</w:t>
      </w:r>
      <w:r w:rsidRPr="00A370F1">
        <w:rPr>
          <w:b/>
        </w:rPr>
        <w:t>щать число детей, содержащихся в центрах уходу за детьми и подростками. Ему следует также обеспечить, чтобы дети, находящиеся в конфликте с з</w:t>
      </w:r>
      <w:r w:rsidRPr="00A370F1">
        <w:rPr>
          <w:b/>
        </w:rPr>
        <w:t>а</w:t>
      </w:r>
      <w:r w:rsidRPr="00A370F1">
        <w:rPr>
          <w:b/>
        </w:rPr>
        <w:t>коном, содержались отдельно от детей, нуждающихся в уходе. Повышая возраст уголовной ответственности до 12 лет, государству-участнику след</w:t>
      </w:r>
      <w:r w:rsidRPr="00A370F1">
        <w:rPr>
          <w:b/>
        </w:rPr>
        <w:t>у</w:t>
      </w:r>
      <w:r w:rsidRPr="00A370F1">
        <w:rPr>
          <w:b/>
        </w:rPr>
        <w:lastRenderedPageBreak/>
        <w:t>ет обеспечить сохранение нынешнего уровня защиты, предоставляемого детям в возрасте от 12 до 14 лет.</w:t>
      </w:r>
      <w:r w:rsidR="00215E25" w:rsidRPr="00A370F1">
        <w:rPr>
          <w:b/>
        </w:rPr>
        <w:t xml:space="preserve"> 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 xml:space="preserve">Защита правозащитников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40.</w:t>
      </w:r>
      <w:r w:rsidRPr="00A370F1">
        <w:tab/>
        <w:t>Комитет выражает обеспокоенность в связи с сообщениями об угрозах, запугиваниях, преследованиях, чрезмерном применении силы и актах физич</w:t>
      </w:r>
      <w:r w:rsidRPr="00A370F1">
        <w:t>е</w:t>
      </w:r>
      <w:r w:rsidRPr="00A370F1">
        <w:t>ского насилия, некоторые из которых привели к гибели людей, со стороны частных лиц и полицейских сил в отношении правозащитников, в частности тех из них, которые занимаются вопросами корпоративной ответственности, з</w:t>
      </w:r>
      <w:r w:rsidRPr="00A370F1">
        <w:t>е</w:t>
      </w:r>
      <w:r w:rsidRPr="00A370F1">
        <w:t>мельных прав и транспарентности, а также лесбиянок, гомосексуалистов, б</w:t>
      </w:r>
      <w:r w:rsidRPr="00A370F1">
        <w:t>и</w:t>
      </w:r>
      <w:r w:rsidRPr="00A370F1">
        <w:t>сексуалов, транссексуалов и интерсексуало</w:t>
      </w:r>
      <w:r w:rsidR="006853A0">
        <w:t>в и активистов борьбы с ВИЧ. Он </w:t>
      </w:r>
      <w:r w:rsidRPr="00A370F1">
        <w:t>также с обеспокоенностью отмечает сообщения об отсутствии должного усердия со стороны сотрудников правоохранительных органов в плане защиты правозащитников, включая регистрацию и расследование сообщений о наруш</w:t>
      </w:r>
      <w:r w:rsidRPr="00A370F1">
        <w:t>е</w:t>
      </w:r>
      <w:r w:rsidRPr="00A370F1">
        <w:t>ниях прав человека, и обеспечения привлечения к ответственности за такие нарушения (статьи 2, 6, 9, 19, 21 и 22).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41.</w:t>
      </w:r>
      <w:r w:rsidRPr="00A370F1">
        <w:tab/>
      </w:r>
      <w:r w:rsidRPr="00A370F1">
        <w:rPr>
          <w:b/>
        </w:rPr>
        <w:t>Государству-участнику следует принять все необходимые меры для защиты прав правозащитников на свободу выражения мнений, ассоциации и мирных собраний. Ему необходимо обеспечить надлежащую подготовку сотрудников полиции по вопросам защиты правозащитников. Кроме того, государству-участнику следует тщательно расследовать все посягательства на жизнь, физическую неприкосновенность и достоинство этих лиц, пр</w:t>
      </w:r>
      <w:r w:rsidRPr="00A370F1">
        <w:rPr>
          <w:b/>
        </w:rPr>
        <w:t>и</w:t>
      </w:r>
      <w:r w:rsidRPr="00A370F1">
        <w:rPr>
          <w:b/>
        </w:rPr>
        <w:t xml:space="preserve">влекать виновных к судебной ответственности и предоставлять жертвам надлежащие средства правовой защиты. 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>Право на неприкосновенность частной жизни и перехват личных сообщений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42.</w:t>
      </w:r>
      <w:r w:rsidRPr="00A370F1">
        <w:tab/>
        <w:t>Комитет выражает обеспокоенность в связи с относительно низким пор</w:t>
      </w:r>
      <w:r w:rsidRPr="00A370F1">
        <w:t>о</w:t>
      </w:r>
      <w:r w:rsidRPr="00A370F1">
        <w:t>гом ведения наблюдения в государстве-участнике и относительно слабыми г</w:t>
      </w:r>
      <w:r w:rsidRPr="00A370F1">
        <w:t>а</w:t>
      </w:r>
      <w:r w:rsidRPr="00A370F1">
        <w:t>рантиями, надзором и средствами правовой защиты от незаконного посягател</w:t>
      </w:r>
      <w:r w:rsidRPr="00A370F1">
        <w:t>ь</w:t>
      </w:r>
      <w:r w:rsidRPr="00A370F1">
        <w:t>ства на право на неприкосновенность частной жизни, содержащиеся в Законе 2002 года о порядке перехвата личных сообщений и предоставлении коммун</w:t>
      </w:r>
      <w:r w:rsidRPr="00A370F1">
        <w:t>и</w:t>
      </w:r>
      <w:r w:rsidRPr="00A370F1">
        <w:t>кационной информации. Он также обеспокоен широкой сферой охвата пред</w:t>
      </w:r>
      <w:r w:rsidRPr="00A370F1">
        <w:t>у</w:t>
      </w:r>
      <w:r w:rsidRPr="00A370F1">
        <w:t>смотренного этим Законом режима сохранения данных. Комитет также обесп</w:t>
      </w:r>
      <w:r w:rsidRPr="00A370F1">
        <w:t>о</w:t>
      </w:r>
      <w:r w:rsidRPr="00A370F1">
        <w:t>коен в связи с сообщениями о практике незаконного наблюдения, включая ма</w:t>
      </w:r>
      <w:r w:rsidRPr="00A370F1">
        <w:t>с</w:t>
      </w:r>
      <w:r w:rsidRPr="00A370F1">
        <w:t>совый перехват сообщений, транслируемых Национальным центром связи, и задержками с полным введением в действие Закона 2013 года о защите</w:t>
      </w:r>
      <w:r w:rsidR="0078222F">
        <w:t xml:space="preserve"> личной информации, в частности</w:t>
      </w:r>
      <w:r w:rsidRPr="00A370F1">
        <w:t xml:space="preserve"> из-за задержек с учреждением механизма, регулир</w:t>
      </w:r>
      <w:r w:rsidRPr="00A370F1">
        <w:t>у</w:t>
      </w:r>
      <w:r w:rsidRPr="00A370F1">
        <w:t>ющего информацию</w:t>
      </w:r>
      <w:r w:rsidR="00215E25" w:rsidRPr="00A370F1">
        <w:t xml:space="preserve"> </w:t>
      </w:r>
      <w:r w:rsidRPr="00A370F1">
        <w:t>(статьи 17 и 21).</w:t>
      </w:r>
      <w:r w:rsidR="00215E25" w:rsidRPr="00A370F1">
        <w:t xml:space="preserve"> 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43.</w:t>
      </w:r>
      <w:r w:rsidRPr="00A370F1">
        <w:tab/>
      </w:r>
      <w:r w:rsidRPr="00A370F1">
        <w:rPr>
          <w:b/>
        </w:rPr>
        <w:t>Государству-участнику следует принять все необходимые меры в ц</w:t>
      </w:r>
      <w:r w:rsidRPr="00A370F1">
        <w:rPr>
          <w:b/>
        </w:rPr>
        <w:t>е</w:t>
      </w:r>
      <w:r w:rsidRPr="00A370F1">
        <w:rPr>
          <w:b/>
        </w:rPr>
        <w:t>лях обеспечения соответствия его мероприятий по наблюдению его обяз</w:t>
      </w:r>
      <w:r w:rsidRPr="00A370F1">
        <w:rPr>
          <w:b/>
        </w:rPr>
        <w:t>а</w:t>
      </w:r>
      <w:r w:rsidRPr="00A370F1">
        <w:rPr>
          <w:b/>
        </w:rPr>
        <w:t>тельствам по Пакту, в том числе закрепленным в статье 17, а также соо</w:t>
      </w:r>
      <w:r w:rsidRPr="00A370F1">
        <w:rPr>
          <w:b/>
        </w:rPr>
        <w:t>т</w:t>
      </w:r>
      <w:r w:rsidRPr="00A370F1">
        <w:rPr>
          <w:b/>
        </w:rPr>
        <w:t>ветствия любого вмешательства в осуществление права лица на неприко</w:t>
      </w:r>
      <w:r w:rsidRPr="00A370F1">
        <w:rPr>
          <w:b/>
        </w:rPr>
        <w:t>с</w:t>
      </w:r>
      <w:r w:rsidRPr="00A370F1">
        <w:rPr>
          <w:b/>
        </w:rPr>
        <w:t>новенность личной жизни принципам законности, необходимости и сора</w:t>
      </w:r>
      <w:r w:rsidRPr="00A370F1">
        <w:rPr>
          <w:b/>
        </w:rPr>
        <w:t>з</w:t>
      </w:r>
      <w:r w:rsidRPr="00A370F1">
        <w:rPr>
          <w:b/>
        </w:rPr>
        <w:t>мерности. Государству-участнику следует воздерживаться от проведения массового наблюдения за личными сообщениями без предварительного с</w:t>
      </w:r>
      <w:r w:rsidRPr="00A370F1">
        <w:rPr>
          <w:b/>
        </w:rPr>
        <w:t>у</w:t>
      </w:r>
      <w:r w:rsidRPr="00A370F1">
        <w:rPr>
          <w:b/>
        </w:rPr>
        <w:t>дебного разрешения и рассмотреть возможность отмены или ограничения требования в отношении обязательного сохранения данных третьими ст</w:t>
      </w:r>
      <w:r w:rsidRPr="00A370F1">
        <w:rPr>
          <w:b/>
        </w:rPr>
        <w:t>о</w:t>
      </w:r>
      <w:r w:rsidRPr="00A370F1">
        <w:rPr>
          <w:b/>
        </w:rPr>
        <w:t>ронами. Ему также необходимо обеспечить, чтобы перехват сообщений с</w:t>
      </w:r>
      <w:r w:rsidRPr="00A370F1">
        <w:rPr>
          <w:b/>
        </w:rPr>
        <w:t>о</w:t>
      </w:r>
      <w:r w:rsidRPr="00A370F1">
        <w:rPr>
          <w:b/>
        </w:rPr>
        <w:t>трудниками правоохранительных органов и служб безопасности осущест</w:t>
      </w:r>
      <w:r w:rsidRPr="00A370F1">
        <w:rPr>
          <w:b/>
        </w:rPr>
        <w:t>в</w:t>
      </w:r>
      <w:r w:rsidRPr="00A370F1">
        <w:rPr>
          <w:b/>
        </w:rPr>
        <w:t>лялся только в соответствии с законом и под судебным надзором. Госуда</w:t>
      </w:r>
      <w:r w:rsidRPr="00A370F1">
        <w:rPr>
          <w:b/>
        </w:rPr>
        <w:t>р</w:t>
      </w:r>
      <w:r w:rsidRPr="00A370F1">
        <w:rPr>
          <w:b/>
        </w:rPr>
        <w:lastRenderedPageBreak/>
        <w:t>ству-участнику следует повысить уровень транспарентности своей пол</w:t>
      </w:r>
      <w:r w:rsidRPr="00A370F1">
        <w:rPr>
          <w:b/>
        </w:rPr>
        <w:t>и</w:t>
      </w:r>
      <w:r w:rsidRPr="00A370F1">
        <w:rPr>
          <w:b/>
        </w:rPr>
        <w:t>тики в области наблюдения и как можно скорее создать независимые мех</w:t>
      </w:r>
      <w:r w:rsidRPr="00A370F1">
        <w:rPr>
          <w:b/>
        </w:rPr>
        <w:t>а</w:t>
      </w:r>
      <w:r w:rsidRPr="00A370F1">
        <w:rPr>
          <w:b/>
        </w:rPr>
        <w:t xml:space="preserve">низмы надзора в целях предупреждения злоупотреблений и обеспечения лицам доступа к эффективным средствам правовой защиты. 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 xml:space="preserve">Земельные иски 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44.</w:t>
      </w:r>
      <w:r w:rsidRPr="00A370F1">
        <w:tab/>
      </w:r>
      <w:proofErr w:type="gramStart"/>
      <w:r w:rsidRPr="00A370F1">
        <w:t>Приветствуя возобновление разбирательств по земельным искам и разр</w:t>
      </w:r>
      <w:r w:rsidRPr="00A370F1">
        <w:t>а</w:t>
      </w:r>
      <w:r w:rsidRPr="00A370F1">
        <w:t>ботку политики и законодательства по вопросам исключений в отношении крайнего срока предоставления жилья потомкам койсанских общин, а именно 19 июня 1913 года, Комитет выражает обеспокоенность в связи с задержками с рассмотрением исков, представл</w:t>
      </w:r>
      <w:r w:rsidR="00E3304E">
        <w:t>енных Комиссии по восстановлению</w:t>
      </w:r>
      <w:r w:rsidRPr="00A370F1">
        <w:t xml:space="preserve"> прав на землю в соответствии с Законом №</w:t>
      </w:r>
      <w:r w:rsidR="00E3304E">
        <w:t> </w:t>
      </w:r>
      <w:r w:rsidRPr="00A370F1">
        <w:t>22 о восст</w:t>
      </w:r>
      <w:r w:rsidR="006853A0">
        <w:t>ановлении прав на землю от 1994 </w:t>
      </w:r>
      <w:r w:rsidRPr="00A370F1">
        <w:t>года, а</w:t>
      </w:r>
      <w:proofErr w:type="gramEnd"/>
      <w:r w:rsidRPr="00A370F1">
        <w:t xml:space="preserve"> также тем, что койсанские общины, лишенные своих территорий до 1913 года, не могут воспользоваться процессом восстановления прав на землю (статья 27).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45.</w:t>
      </w:r>
      <w:r w:rsidRPr="00A370F1">
        <w:tab/>
      </w:r>
      <w:r w:rsidRPr="00A370F1">
        <w:rPr>
          <w:b/>
        </w:rPr>
        <w:t>Государству-участнику следует активизировать усилия, направле</w:t>
      </w:r>
      <w:r w:rsidRPr="00A370F1">
        <w:rPr>
          <w:b/>
        </w:rPr>
        <w:t>н</w:t>
      </w:r>
      <w:r w:rsidRPr="00A370F1">
        <w:rPr>
          <w:b/>
        </w:rPr>
        <w:t>ные на то, чтобы гарантировать рассмотрение исков о восстановлении прав на землю, поданных в соответствии с Законом №</w:t>
      </w:r>
      <w:r w:rsidR="00E3304E">
        <w:rPr>
          <w:b/>
        </w:rPr>
        <w:t> </w:t>
      </w:r>
      <w:r w:rsidRPr="00A370F1">
        <w:rPr>
          <w:b/>
        </w:rPr>
        <w:t>22 о восстановлении прав на землю от 1994 года и Законом №</w:t>
      </w:r>
      <w:r w:rsidR="00E3304E">
        <w:rPr>
          <w:b/>
        </w:rPr>
        <w:t> </w:t>
      </w:r>
      <w:r w:rsidRPr="00A370F1">
        <w:rPr>
          <w:b/>
        </w:rPr>
        <w:t>15 о внесении поправок в Закон о восстановлении прав на землю от 2014 года</w:t>
      </w:r>
      <w:r w:rsidRPr="00A370F1">
        <w:t xml:space="preserve">. </w:t>
      </w:r>
      <w:r w:rsidRPr="00A370F1">
        <w:rPr>
          <w:b/>
        </w:rPr>
        <w:t>Кроме того, ему следует из</w:t>
      </w:r>
      <w:r w:rsidRPr="00A370F1">
        <w:rPr>
          <w:b/>
        </w:rPr>
        <w:t>у</w:t>
      </w:r>
      <w:r w:rsidRPr="00A370F1">
        <w:rPr>
          <w:b/>
        </w:rPr>
        <w:t>чить возможность принятия законодательных мер для обеспечения того, чтобы отчуждению земель у коренных народов, которое произошло до 1913</w:t>
      </w:r>
      <w:r w:rsidR="006853A0">
        <w:rPr>
          <w:b/>
        </w:rPr>
        <w:t> </w:t>
      </w:r>
      <w:r w:rsidRPr="00A370F1">
        <w:rPr>
          <w:b/>
        </w:rPr>
        <w:t>года, было уделено надлежащее внимание.</w:t>
      </w:r>
      <w:r w:rsidRPr="00A370F1">
        <w:t xml:space="preserve"> </w:t>
      </w:r>
    </w:p>
    <w:p w:rsidR="00892E31" w:rsidRPr="00A370F1" w:rsidRDefault="00892E31" w:rsidP="009C42AC">
      <w:pPr>
        <w:pStyle w:val="H23GR"/>
      </w:pPr>
      <w:r w:rsidRPr="00A370F1">
        <w:tab/>
      </w:r>
      <w:r w:rsidRPr="00A370F1">
        <w:tab/>
        <w:t>Коренные народы</w:t>
      </w:r>
    </w:p>
    <w:p w:rsidR="00892E31" w:rsidRPr="00A370F1" w:rsidRDefault="00892E31" w:rsidP="00892E31">
      <w:pPr>
        <w:pStyle w:val="SingleTxtGR"/>
        <w:rPr>
          <w:bCs/>
        </w:rPr>
      </w:pPr>
      <w:r w:rsidRPr="00A370F1">
        <w:t>46.</w:t>
      </w:r>
      <w:r w:rsidRPr="00A370F1">
        <w:tab/>
        <w:t>Приветствуя внесение в сентябре 2015 года в парламент законопроекта</w:t>
      </w:r>
      <w:r w:rsidR="00215E25" w:rsidRPr="00A370F1">
        <w:t xml:space="preserve"> </w:t>
      </w:r>
      <w:r w:rsidRPr="00A370F1">
        <w:t>о традиционных вождях и вождях койсанских племен, Комитет принимает к св</w:t>
      </w:r>
      <w:r w:rsidRPr="00A370F1">
        <w:t>е</w:t>
      </w:r>
      <w:r w:rsidRPr="00A370F1">
        <w:t>дению обеспокоенность, высказанную традиционными и коренными общинами, в том числе в отношении некоторых критериев признания. Он обеспокоен тем, что некоторые из койсанских языков находятся на грани исчезновения. Кроме того, Комитет обеспокоен тем, что существующие квоты на рыболовство, явл</w:t>
      </w:r>
      <w:r w:rsidRPr="00A370F1">
        <w:t>я</w:t>
      </w:r>
      <w:r w:rsidRPr="00A370F1">
        <w:t>ющееся источником пропитания для коренных групп, были на временной осн</w:t>
      </w:r>
      <w:r w:rsidRPr="00A370F1">
        <w:t>о</w:t>
      </w:r>
      <w:r w:rsidRPr="00A370F1">
        <w:t>ве отменены без предупреждения, и в силу этого семьи оказались без достато</w:t>
      </w:r>
      <w:r w:rsidRPr="00A370F1">
        <w:t>ч</w:t>
      </w:r>
      <w:r w:rsidRPr="00A370F1">
        <w:t xml:space="preserve">ных средств к существованию (статьи 2 и </w:t>
      </w:r>
      <w:r w:rsidR="006853A0">
        <w:t>25–</w:t>
      </w:r>
      <w:r w:rsidRPr="00A370F1">
        <w:t xml:space="preserve">27). </w:t>
      </w:r>
    </w:p>
    <w:p w:rsidR="00892E31" w:rsidRPr="00A370F1" w:rsidRDefault="00892E31" w:rsidP="00892E31">
      <w:pPr>
        <w:pStyle w:val="SingleTxtGR"/>
        <w:rPr>
          <w:b/>
          <w:bCs/>
        </w:rPr>
      </w:pPr>
      <w:r w:rsidRPr="00A370F1">
        <w:t>47.</w:t>
      </w:r>
      <w:r w:rsidRPr="00A370F1">
        <w:tab/>
      </w:r>
      <w:r w:rsidRPr="00A370F1">
        <w:rPr>
          <w:b/>
        </w:rPr>
        <w:t>В консультации с коренными и традиционными общинами госуда</w:t>
      </w:r>
      <w:r w:rsidRPr="00A370F1">
        <w:rPr>
          <w:b/>
        </w:rPr>
        <w:t>р</w:t>
      </w:r>
      <w:r w:rsidRPr="00A370F1">
        <w:rPr>
          <w:b/>
        </w:rPr>
        <w:t>ству-участнику следует пересмотреть законопроект</w:t>
      </w:r>
      <w:r w:rsidR="00215E25" w:rsidRPr="00A370F1">
        <w:rPr>
          <w:b/>
        </w:rPr>
        <w:t xml:space="preserve"> </w:t>
      </w:r>
      <w:r w:rsidRPr="00A370F1">
        <w:rPr>
          <w:b/>
        </w:rPr>
        <w:t>о традиционных в</w:t>
      </w:r>
      <w:r w:rsidRPr="00A370F1">
        <w:rPr>
          <w:b/>
        </w:rPr>
        <w:t>о</w:t>
      </w:r>
      <w:r w:rsidRPr="00A370F1">
        <w:rPr>
          <w:b/>
        </w:rPr>
        <w:t>ждях и вождях койсанских племен, приняв во внимание их обеспокое</w:t>
      </w:r>
      <w:r w:rsidRPr="00A370F1">
        <w:rPr>
          <w:b/>
        </w:rPr>
        <w:t>н</w:t>
      </w:r>
      <w:r w:rsidRPr="00A370F1">
        <w:rPr>
          <w:b/>
        </w:rPr>
        <w:t>ность. Ему необходимо активизировать усилия по поощрению и сохран</w:t>
      </w:r>
      <w:r w:rsidRPr="00A370F1">
        <w:rPr>
          <w:b/>
        </w:rPr>
        <w:t>е</w:t>
      </w:r>
      <w:r w:rsidRPr="00A370F1">
        <w:rPr>
          <w:b/>
        </w:rPr>
        <w:t>нию койсанских языков коренных народов. Государству-участнику следует обеспечить, чтобы мелкие рыболовецкие общины не подвергались ди</w:t>
      </w:r>
      <w:r w:rsidRPr="00A370F1">
        <w:rPr>
          <w:b/>
        </w:rPr>
        <w:t>с</w:t>
      </w:r>
      <w:r w:rsidRPr="00A370F1">
        <w:rPr>
          <w:b/>
        </w:rPr>
        <w:t xml:space="preserve">криминации в плане использования традиционных источников средств к существованию. </w:t>
      </w:r>
    </w:p>
    <w:p w:rsidR="00892E31" w:rsidRPr="00A370F1" w:rsidRDefault="00892E31" w:rsidP="009C42AC">
      <w:pPr>
        <w:pStyle w:val="H1GR"/>
      </w:pPr>
      <w:r w:rsidRPr="00A370F1">
        <w:tab/>
        <w:t>D.</w:t>
      </w:r>
      <w:r w:rsidRPr="00A370F1">
        <w:tab/>
        <w:t>Распространение информации о Пакте</w:t>
      </w:r>
    </w:p>
    <w:p w:rsidR="00892E31" w:rsidRPr="00A370F1" w:rsidRDefault="00892E31" w:rsidP="00892E31">
      <w:pPr>
        <w:pStyle w:val="SingleTxtGR"/>
      </w:pPr>
      <w:r w:rsidRPr="00A370F1">
        <w:t>48.</w:t>
      </w:r>
      <w:r w:rsidRPr="00A370F1">
        <w:tab/>
        <w:t>Государству-участнику следует обеспечить широкое распространение Пакта, двух Факультативных протоколов к нему, своего первоначального докл</w:t>
      </w:r>
      <w:r w:rsidRPr="00A370F1">
        <w:t>а</w:t>
      </w:r>
      <w:r w:rsidRPr="00A370F1">
        <w:t>да, письменных ответов на перечень вопросов Комитета и настоящих заключ</w:t>
      </w:r>
      <w:r w:rsidRPr="00A370F1">
        <w:t>и</w:t>
      </w:r>
      <w:r w:rsidRPr="00A370F1">
        <w:t>тельных замечаний, с тем чтобы повысить уровень осведомленности о закре</w:t>
      </w:r>
      <w:r w:rsidRPr="00A370F1">
        <w:t>п</w:t>
      </w:r>
      <w:r w:rsidRPr="00A370F1">
        <w:t>ленных в Пакте правах среди представителей судебных, законодательных и а</w:t>
      </w:r>
      <w:r w:rsidRPr="00A370F1">
        <w:t>д</w:t>
      </w:r>
      <w:r w:rsidRPr="00A370F1">
        <w:t>министративных органов, гражданского общества и неправительственных о</w:t>
      </w:r>
      <w:r w:rsidRPr="00A370F1">
        <w:t>р</w:t>
      </w:r>
      <w:r w:rsidRPr="00A370F1">
        <w:lastRenderedPageBreak/>
        <w:t xml:space="preserve">ганизаций, действующих в стране, и широкой общественности. Государству-участнику следует обеспечить перевод доклада и настоящих заключительных замечаний на официальные языки государства-участника. </w:t>
      </w:r>
    </w:p>
    <w:p w:rsidR="00892E31" w:rsidRPr="00A370F1" w:rsidRDefault="00892E31" w:rsidP="00892E31">
      <w:pPr>
        <w:pStyle w:val="SingleTxtGR"/>
      </w:pPr>
      <w:r w:rsidRPr="00A370F1">
        <w:t>49.</w:t>
      </w:r>
      <w:r w:rsidRPr="00A370F1">
        <w:tab/>
        <w:t>В соответствии с пунктом 5 правила 71 правил процедуры Комитета го</w:t>
      </w:r>
      <w:r w:rsidRPr="00A370F1">
        <w:t>с</w:t>
      </w:r>
      <w:r w:rsidRPr="00A370F1">
        <w:t>ударству-участнику предлагается представить в течение одного года с момента принятия настоящих заключительных замечаний информацию о выполнении им рекомендаций Комитета, изложенных в пунктах 13 (Комиссия по установлению истины и примирению), 15 (расизм и ксенофобия) и 31 (условия содержания в тюрьмах) выше.</w:t>
      </w:r>
    </w:p>
    <w:p w:rsidR="00892E31" w:rsidRPr="00A370F1" w:rsidRDefault="00892E31" w:rsidP="00892E31">
      <w:pPr>
        <w:pStyle w:val="SingleTxtGR"/>
      </w:pPr>
      <w:r w:rsidRPr="00A370F1">
        <w:t>50.</w:t>
      </w:r>
      <w:r w:rsidRPr="00A370F1">
        <w:tab/>
        <w:t>Комитет просит государство-участник представить свой следующий п</w:t>
      </w:r>
      <w:r w:rsidRPr="00A370F1">
        <w:t>е</w:t>
      </w:r>
      <w:r w:rsidRPr="00A370F1">
        <w:t>риодический доклад к 31 марта 2020 года и включить в этот доклад конкретную обновленную информацию об осуществлении рекомендаций, вынесенных в настоящих заключительных замечаниях, и Пакта в целом. Комитет также пр</w:t>
      </w:r>
      <w:r w:rsidRPr="00A370F1">
        <w:t>о</w:t>
      </w:r>
      <w:r w:rsidRPr="00A370F1">
        <w:t>сит государство-участник при подготовке доклада проводить широкие консул</w:t>
      </w:r>
      <w:r w:rsidRPr="00A370F1">
        <w:t>ь</w:t>
      </w:r>
      <w:r w:rsidRPr="00A370F1">
        <w:t>тации с гражданским обществом и неправительственными организациями, де</w:t>
      </w:r>
      <w:r w:rsidRPr="00A370F1">
        <w:t>й</w:t>
      </w:r>
      <w:r w:rsidRPr="00A370F1">
        <w:t>ствующими в стране, а также с меньшинствами и маргинализованными групп</w:t>
      </w:r>
      <w:r w:rsidRPr="00A370F1">
        <w:t>а</w:t>
      </w:r>
      <w:r w:rsidRPr="00A370F1">
        <w:t>ми населения. В соответствии с резолюцией 68/268 Генеральной Ассамблеи объем доклада не должен превышать 21 200 слов.</w:t>
      </w:r>
    </w:p>
    <w:p w:rsidR="00892E31" w:rsidRPr="00A370F1" w:rsidRDefault="009C42AC" w:rsidP="009C42AC">
      <w:pPr>
        <w:spacing w:before="240"/>
        <w:jc w:val="center"/>
        <w:rPr>
          <w:u w:val="single"/>
        </w:rPr>
      </w:pPr>
      <w:r w:rsidRPr="00A370F1">
        <w:rPr>
          <w:u w:val="single"/>
        </w:rPr>
        <w:tab/>
      </w:r>
      <w:r w:rsidRPr="00A370F1">
        <w:rPr>
          <w:u w:val="single"/>
        </w:rPr>
        <w:tab/>
      </w:r>
      <w:r w:rsidRPr="00A370F1">
        <w:rPr>
          <w:u w:val="single"/>
        </w:rPr>
        <w:tab/>
      </w:r>
    </w:p>
    <w:sectPr w:rsidR="00892E31" w:rsidRPr="00A370F1" w:rsidSect="00875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DD" w:rsidRDefault="002622DD" w:rsidP="00B471C5">
      <w:r>
        <w:separator/>
      </w:r>
    </w:p>
  </w:endnote>
  <w:endnote w:type="continuationSeparator" w:id="0">
    <w:p w:rsidR="002622DD" w:rsidRDefault="002622D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446296">
      <w:rPr>
        <w:b/>
        <w:noProof/>
        <w:sz w:val="18"/>
        <w:lang w:val="ru-RU"/>
      </w:rPr>
      <w:t>6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D61552" w:rsidRPr="00D61552">
      <w:rPr>
        <w:lang w:val="en-US"/>
      </w:rPr>
      <w:t>06812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D61552" w:rsidRPr="00D61552">
      <w:rPr>
        <w:lang w:val="en-US"/>
      </w:rPr>
      <w:t>06812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446296">
      <w:rPr>
        <w:b/>
        <w:noProof/>
        <w:sz w:val="18"/>
        <w:lang w:val="ru-RU"/>
      </w:rPr>
      <w:t>5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1C3ABC" w:rsidRDefault="005A50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D61552">
            <w:rPr>
              <w:lang w:val="en-US"/>
            </w:rPr>
            <w:t>E.16-</w:t>
          </w:r>
          <w:r w:rsidR="00D61552" w:rsidRPr="00D61552">
            <w:rPr>
              <w:lang w:val="en-US"/>
            </w:rPr>
            <w:t xml:space="preserve">06812 </w:t>
          </w:r>
          <w:r w:rsidRPr="001C3ABC">
            <w:rPr>
              <w:lang w:val="en-US"/>
            </w:rPr>
            <w:t>(R)</w:t>
          </w:r>
          <w:r w:rsidR="00D61552">
            <w:rPr>
              <w:lang w:val="en-US"/>
            </w:rPr>
            <w:t xml:space="preserve">  210616  210616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6142104B" wp14:editId="3E77E7E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Pr="000F0077" w:rsidRDefault="000F0077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eastAsia="ru-RU"/>
            </w:rPr>
            <w:drawing>
              <wp:inline distT="0" distB="0" distL="0" distR="0">
                <wp:extent cx="583565" cy="583565"/>
                <wp:effectExtent l="0" t="0" r="6985" b="6985"/>
                <wp:docPr id="4" name="Рисунок 4" descr="http://undocs.org/m2/QRCode.ashx?DS=CCPR/C/ZAF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ZAF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D61552" w:rsidRDefault="00D6155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615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8A73F" wp14:editId="7C04C7F1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446296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446296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446296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446296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DD" w:rsidRPr="009141DC" w:rsidRDefault="002622D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622DD" w:rsidRPr="00D1261C" w:rsidRDefault="002622D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C7FE2" w:rsidRPr="006C7FE2" w:rsidRDefault="006C7FE2">
      <w:pPr>
        <w:pStyle w:val="aa"/>
        <w:rPr>
          <w:lang w:val="ru-RU"/>
        </w:rPr>
      </w:pPr>
      <w:r>
        <w:tab/>
      </w:r>
      <w:r w:rsidRPr="006C7FE2">
        <w:rPr>
          <w:rStyle w:val="a6"/>
          <w:vertAlign w:val="baseline"/>
          <w:lang w:val="ru-RU"/>
        </w:rPr>
        <w:t>*</w:t>
      </w:r>
      <w:r w:rsidRPr="006C7FE2">
        <w:rPr>
          <w:lang w:val="ru-RU"/>
        </w:rPr>
        <w:t xml:space="preserve"> </w:t>
      </w:r>
      <w:r w:rsidRPr="006C7FE2">
        <w:rPr>
          <w:lang w:val="ru-RU"/>
        </w:rPr>
        <w:tab/>
        <w:t>Принято Комитетом на его 116-й сессии (7–31 марта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B93D6D">
    <w:pPr>
      <w:pStyle w:val="a3"/>
      <w:rPr>
        <w:lang w:val="en-US"/>
      </w:rPr>
    </w:pPr>
    <w:r w:rsidRPr="00B93D6D">
      <w:rPr>
        <w:lang w:val="en-US"/>
      </w:rPr>
      <w:t>CCPR/C/ZAF/CO/1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</w:r>
    <w:r w:rsidR="00B93D6D" w:rsidRPr="00B93D6D">
      <w:rPr>
        <w:lang w:val="en-US"/>
      </w:rPr>
      <w:t>CCPR/C/ZAF/CO/1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52" w:rsidRDefault="00D61552" w:rsidP="00D615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DD"/>
    <w:rsid w:val="000450D1"/>
    <w:rsid w:val="000F0077"/>
    <w:rsid w:val="000F2A4F"/>
    <w:rsid w:val="00203F84"/>
    <w:rsid w:val="00215E25"/>
    <w:rsid w:val="00245476"/>
    <w:rsid w:val="002622DD"/>
    <w:rsid w:val="00275188"/>
    <w:rsid w:val="0028687D"/>
    <w:rsid w:val="002B091C"/>
    <w:rsid w:val="002D0CCB"/>
    <w:rsid w:val="00345C79"/>
    <w:rsid w:val="00366A39"/>
    <w:rsid w:val="003E2A2A"/>
    <w:rsid w:val="003E6E48"/>
    <w:rsid w:val="00446296"/>
    <w:rsid w:val="0048005C"/>
    <w:rsid w:val="004E242B"/>
    <w:rsid w:val="00544379"/>
    <w:rsid w:val="00566944"/>
    <w:rsid w:val="005A50E9"/>
    <w:rsid w:val="005D56BF"/>
    <w:rsid w:val="00665D8D"/>
    <w:rsid w:val="006853A0"/>
    <w:rsid w:val="006A7A3B"/>
    <w:rsid w:val="006B6B57"/>
    <w:rsid w:val="006C7FE2"/>
    <w:rsid w:val="00705394"/>
    <w:rsid w:val="00743F62"/>
    <w:rsid w:val="00760D3A"/>
    <w:rsid w:val="0078222F"/>
    <w:rsid w:val="007A1F42"/>
    <w:rsid w:val="007D76DD"/>
    <w:rsid w:val="00823039"/>
    <w:rsid w:val="008717E8"/>
    <w:rsid w:val="0087597F"/>
    <w:rsid w:val="00892E31"/>
    <w:rsid w:val="008D01AE"/>
    <w:rsid w:val="008E0423"/>
    <w:rsid w:val="009141DC"/>
    <w:rsid w:val="009174A1"/>
    <w:rsid w:val="00966063"/>
    <w:rsid w:val="0098674D"/>
    <w:rsid w:val="00997ACA"/>
    <w:rsid w:val="009C42AC"/>
    <w:rsid w:val="009F413F"/>
    <w:rsid w:val="00A03FB7"/>
    <w:rsid w:val="00A370F1"/>
    <w:rsid w:val="00A621D4"/>
    <w:rsid w:val="00A75A11"/>
    <w:rsid w:val="00AD7EAD"/>
    <w:rsid w:val="00AE63EB"/>
    <w:rsid w:val="00B35A32"/>
    <w:rsid w:val="00B432C6"/>
    <w:rsid w:val="00B471C5"/>
    <w:rsid w:val="00B6474A"/>
    <w:rsid w:val="00B93D6D"/>
    <w:rsid w:val="00BE1742"/>
    <w:rsid w:val="00D1261C"/>
    <w:rsid w:val="00D61552"/>
    <w:rsid w:val="00D75DCE"/>
    <w:rsid w:val="00DD35AC"/>
    <w:rsid w:val="00DD479F"/>
    <w:rsid w:val="00E15E48"/>
    <w:rsid w:val="00E3304E"/>
    <w:rsid w:val="00EB0723"/>
    <w:rsid w:val="00EE6F37"/>
    <w:rsid w:val="00F1599F"/>
    <w:rsid w:val="00F31EF2"/>
    <w:rsid w:val="00F579C6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46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629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46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629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3B89-7BA8-4F8E-86A9-9567FAB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12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TPSRUS1</cp:lastModifiedBy>
  <cp:revision>2</cp:revision>
  <cp:lastPrinted>2016-06-21T14:05:00Z</cp:lastPrinted>
  <dcterms:created xsi:type="dcterms:W3CDTF">2016-06-21T14:21:00Z</dcterms:created>
  <dcterms:modified xsi:type="dcterms:W3CDTF">2016-06-21T14:21:00Z</dcterms:modified>
</cp:coreProperties>
</file>