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733408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73340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733408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F5138E">
              <w:rPr>
                <w:lang w:val="en-US"/>
              </w:rPr>
              <w:fldChar w:fldCharType="separate"/>
            </w:r>
            <w:r w:rsidR="001225AE">
              <w:rPr>
                <w:lang w:val="en-US"/>
              </w:rPr>
              <w:t>C/58/D/616/2014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73340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733408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87FC086" wp14:editId="78098FF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733408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733408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733408">
              <w:rPr>
                <w:lang w:val="en-US"/>
              </w:rPr>
            </w:r>
            <w:r w:rsidR="00733408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733408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F5138E">
              <w:rPr>
                <w:lang w:val="en-US"/>
              </w:rPr>
              <w:fldChar w:fldCharType="separate"/>
            </w:r>
            <w:r w:rsidR="001225AE">
              <w:t xml:space="preserve">19 </w:t>
            </w:r>
            <w:proofErr w:type="spellStart"/>
            <w:r w:rsidR="001225AE">
              <w:t>September</w:t>
            </w:r>
            <w:proofErr w:type="spellEnd"/>
            <w:r w:rsidR="001225AE">
              <w:t xml:space="preserve">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733408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733408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733408">
              <w:rPr>
                <w:lang w:val="en-US"/>
              </w:rPr>
            </w:r>
            <w:r w:rsidR="00733408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733408"/>
        </w:tc>
      </w:tr>
    </w:tbl>
    <w:p w:rsidR="00F5138E" w:rsidRPr="007804A8" w:rsidRDefault="00F5138E" w:rsidP="007804A8">
      <w:pPr>
        <w:spacing w:before="120"/>
        <w:rPr>
          <w:b/>
          <w:bCs/>
          <w:sz w:val="24"/>
          <w:szCs w:val="24"/>
        </w:rPr>
      </w:pPr>
      <w:r w:rsidRPr="007804A8">
        <w:rPr>
          <w:b/>
          <w:bCs/>
          <w:sz w:val="24"/>
          <w:szCs w:val="24"/>
        </w:rPr>
        <w:t>Комитет против пыток</w:t>
      </w:r>
    </w:p>
    <w:p w:rsidR="00F5138E" w:rsidRPr="007804A8" w:rsidRDefault="00F5138E" w:rsidP="007804A8">
      <w:pPr>
        <w:pStyle w:val="HChGR"/>
        <w:rPr>
          <w:b w:val="0"/>
          <w:bCs/>
        </w:rPr>
      </w:pPr>
      <w:r w:rsidRPr="00F5138E">
        <w:tab/>
      </w:r>
      <w:r w:rsidRPr="00F5138E">
        <w:tab/>
        <w:t>Решение, прин</w:t>
      </w:r>
      <w:r w:rsidR="007804A8">
        <w:t>ятое Комитетом в соответствии с </w:t>
      </w:r>
      <w:r w:rsidRPr="00F5138E">
        <w:t>пунктом 7 статьи 22 Конвенции относи</w:t>
      </w:r>
      <w:r>
        <w:t>тельно сообщения № 616/2014</w:t>
      </w:r>
      <w:r w:rsidRPr="007804A8">
        <w:rPr>
          <w:rStyle w:val="a6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7804A8">
        <w:rPr>
          <w:rStyle w:val="a6"/>
          <w:b w:val="0"/>
          <w:bCs/>
          <w:sz w:val="20"/>
          <w:vertAlign w:val="baseline"/>
        </w:rPr>
        <w:footnoteReference w:customMarkFollows="1" w:id="2"/>
        <w:t xml:space="preserve">**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7804A8" w:rsidRPr="00B03EE9" w:rsidTr="0073340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7804A8" w:rsidRPr="00B03EE9" w:rsidRDefault="007804A8" w:rsidP="007804A8">
            <w:pPr>
              <w:suppressAutoHyphens/>
              <w:spacing w:after="120"/>
            </w:pPr>
            <w:r w:rsidRPr="007804A8">
              <w:t>Ю.И.</w:t>
            </w:r>
            <w:r>
              <w:t xml:space="preserve"> </w:t>
            </w:r>
            <w:r w:rsidRPr="007804A8">
              <w:t>(представлен адвокатом Йоханом Лагерфельдом)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7804A8" w:rsidRDefault="007804A8" w:rsidP="007804A8">
            <w:pPr>
              <w:suppressAutoHyphens/>
              <w:spacing w:after="120"/>
            </w:pPr>
            <w:r w:rsidRPr="007804A8">
              <w:t>заявитель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7804A8" w:rsidRDefault="007804A8" w:rsidP="007804A8">
            <w:pPr>
              <w:suppressAutoHyphens/>
              <w:spacing w:after="120"/>
            </w:pPr>
            <w:r w:rsidRPr="007804A8">
              <w:t>Швеция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7804A8" w:rsidRPr="002A4F6C" w:rsidRDefault="007804A8" w:rsidP="007804A8">
            <w:pPr>
              <w:suppressAutoHyphens/>
              <w:spacing w:after="120"/>
            </w:pPr>
            <w:r w:rsidRPr="007804A8">
              <w:t>10 июля 2014 года</w:t>
            </w:r>
            <w:r>
              <w:t xml:space="preserve"> </w:t>
            </w:r>
            <w:r w:rsidRPr="007804A8">
              <w:t>(первоначальное представление)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804A8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>
              <w:rPr>
                <w:i/>
              </w:rPr>
              <w:t>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7804A8" w:rsidRDefault="007804A8" w:rsidP="007804A8">
            <w:pPr>
              <w:suppressAutoHyphens/>
              <w:spacing w:after="120"/>
            </w:pPr>
            <w:r w:rsidRPr="007804A8">
              <w:t>12 августа 2016 года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7804A8" w:rsidRDefault="007804A8" w:rsidP="007804A8">
            <w:pPr>
              <w:suppressAutoHyphens/>
              <w:spacing w:after="120"/>
            </w:pPr>
            <w:r w:rsidRPr="007804A8">
              <w:t>высылка в Российскую Федерацию</w:t>
            </w:r>
          </w:p>
        </w:tc>
      </w:tr>
      <w:tr w:rsidR="007804A8" w:rsidTr="007804A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7804A8" w:rsidRDefault="007804A8" w:rsidP="007804A8">
            <w:pPr>
              <w:suppressAutoHyphens/>
              <w:spacing w:after="120"/>
            </w:pPr>
            <w:r w:rsidRPr="007804A8">
              <w:t xml:space="preserve">пытки; невыдворение 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33408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7804A8" w:rsidRDefault="002F5202" w:rsidP="007804A8">
            <w:pPr>
              <w:suppressAutoHyphens/>
              <w:spacing w:after="120"/>
            </w:pPr>
            <w:r>
              <w:t>отсутствуют</w:t>
            </w:r>
          </w:p>
        </w:tc>
      </w:tr>
      <w:tr w:rsidR="007804A8" w:rsidTr="00733408">
        <w:tc>
          <w:tcPr>
            <w:tcW w:w="2933" w:type="dxa"/>
            <w:shd w:val="clear" w:color="auto" w:fill="auto"/>
          </w:tcPr>
          <w:p w:rsidR="007804A8" w:rsidRPr="00B03EE9" w:rsidRDefault="007804A8" w:rsidP="007804A8">
            <w:pPr>
              <w:suppressAutoHyphens/>
              <w:spacing w:after="120"/>
              <w:ind w:left="35"/>
              <w:rPr>
                <w:i/>
                <w:iCs/>
              </w:rPr>
            </w:pPr>
            <w:r>
              <w:rPr>
                <w:i/>
                <w:iCs/>
              </w:rPr>
              <w:t>Статья</w:t>
            </w:r>
            <w:r w:rsidRPr="00B03EE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Конвенции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7804A8" w:rsidRDefault="007804A8" w:rsidP="007804A8">
            <w:pPr>
              <w:suppressAutoHyphens/>
              <w:spacing w:after="120"/>
            </w:pPr>
            <w:r w:rsidRPr="007804A8">
              <w:t>3</w:t>
            </w:r>
          </w:p>
        </w:tc>
      </w:tr>
    </w:tbl>
    <w:p w:rsidR="00F5138E" w:rsidRPr="00F5138E" w:rsidRDefault="00F5138E" w:rsidP="007804A8">
      <w:pPr>
        <w:pStyle w:val="SingleTxtGR"/>
      </w:pPr>
      <w:r w:rsidRPr="00F5138E">
        <w:t>1.1</w:t>
      </w:r>
      <w:r w:rsidRPr="00F5138E">
        <w:tab/>
        <w:t>Заявителем является Ю.И.</w:t>
      </w:r>
      <w:r w:rsidR="007804A8">
        <w:t>,</w:t>
      </w:r>
      <w:r w:rsidRPr="00F5138E">
        <w:t xml:space="preserve"> гражданин Российской Федерации</w:t>
      </w:r>
      <w:r w:rsidR="007804A8">
        <w:t>,</w:t>
      </w:r>
      <w:r w:rsidRPr="00F5138E">
        <w:t xml:space="preserve"> 1984 года рождения. Его ходатайство о предоставлении убежища в Швеции было откл</w:t>
      </w:r>
      <w:r w:rsidRPr="00F5138E">
        <w:t>о</w:t>
      </w:r>
      <w:r w:rsidRPr="00F5138E">
        <w:t>нено, и на момент представления жалобы он ожидал принудительного возвр</w:t>
      </w:r>
      <w:r w:rsidRPr="00F5138E">
        <w:t>а</w:t>
      </w:r>
      <w:r w:rsidRPr="00F5138E">
        <w:t>щения</w:t>
      </w:r>
      <w:r w:rsidR="007804A8">
        <w:t xml:space="preserve"> в Российскую Федерацию. В своей</w:t>
      </w:r>
      <w:r w:rsidRPr="00F5138E">
        <w:t xml:space="preserve"> </w:t>
      </w:r>
      <w:r w:rsidR="007804A8">
        <w:t>жалобе</w:t>
      </w:r>
      <w:r w:rsidRPr="00F5138E">
        <w:t xml:space="preserve"> он утверждает, что его депо</w:t>
      </w:r>
      <w:r w:rsidRPr="00F5138E">
        <w:t>р</w:t>
      </w:r>
      <w:r w:rsidRPr="00F5138E">
        <w:t>тация нарушит его права по статье 3 Конвенции. Заявителя представляет адв</w:t>
      </w:r>
      <w:r w:rsidRPr="00F5138E">
        <w:t>о</w:t>
      </w:r>
      <w:r w:rsidRPr="00F5138E">
        <w:t>кат Й</w:t>
      </w:r>
      <w:r w:rsidRPr="00F5138E">
        <w:t>о</w:t>
      </w:r>
      <w:r w:rsidRPr="00F5138E">
        <w:t xml:space="preserve">хан Лагерфельд. </w:t>
      </w:r>
    </w:p>
    <w:p w:rsidR="00F5138E" w:rsidRPr="00F5138E" w:rsidRDefault="00F5138E" w:rsidP="007804A8">
      <w:pPr>
        <w:pStyle w:val="SingleTxtGR"/>
      </w:pPr>
      <w:r w:rsidRPr="00F5138E">
        <w:t>1.2</w:t>
      </w:r>
      <w:r w:rsidRPr="00F5138E">
        <w:tab/>
        <w:t xml:space="preserve">11 июля 2014 года Комитет, действуя через своего Докладчика по новым </w:t>
      </w:r>
      <w:r w:rsidR="007804A8">
        <w:t>жалобам</w:t>
      </w:r>
      <w:r w:rsidRPr="00F5138E">
        <w:t xml:space="preserve"> и временным мерам, просил государство-участник воздержаться от высылки автора в Российскую Федерацию до завершения рассмотрения его ж</w:t>
      </w:r>
      <w:r w:rsidRPr="00F5138E">
        <w:t>а</w:t>
      </w:r>
      <w:r w:rsidRPr="00F5138E">
        <w:t xml:space="preserve">лобы. </w:t>
      </w:r>
    </w:p>
    <w:p w:rsidR="00F5138E" w:rsidRPr="00F5138E" w:rsidRDefault="00F5138E" w:rsidP="007804A8">
      <w:pPr>
        <w:pStyle w:val="H23GR"/>
        <w:pageBreakBefore/>
      </w:pPr>
      <w:r w:rsidRPr="00F5138E">
        <w:lastRenderedPageBreak/>
        <w:tab/>
      </w:r>
      <w:r w:rsidRPr="00F5138E">
        <w:tab/>
        <w:t>Факты в изложении заявителя</w:t>
      </w:r>
    </w:p>
    <w:p w:rsidR="00F5138E" w:rsidRPr="00F5138E" w:rsidRDefault="00F5138E" w:rsidP="00F5138E">
      <w:pPr>
        <w:pStyle w:val="SingleTxtGR"/>
      </w:pPr>
      <w:r w:rsidRPr="00F5138E">
        <w:t>2.1</w:t>
      </w:r>
      <w:r w:rsidRPr="00F5138E">
        <w:tab/>
        <w:t>Заявитель родился в деревне Геттын Келе в Шатойском районе, примерно в 60 км от города Грозный в Чечне. В 2007 году один человек из его деревни присоединился к повстанцам, а позднее в том же году два его двоюродных бр</w:t>
      </w:r>
      <w:r w:rsidRPr="00F5138E">
        <w:t>а</w:t>
      </w:r>
      <w:r w:rsidRPr="00F5138E">
        <w:t xml:space="preserve">та были принудительно призваны на военную службу. </w:t>
      </w:r>
    </w:p>
    <w:p w:rsidR="00F5138E" w:rsidRPr="00F5138E" w:rsidRDefault="00F5138E" w:rsidP="007804A8">
      <w:pPr>
        <w:pStyle w:val="SingleTxtGR"/>
      </w:pPr>
      <w:r w:rsidRPr="00F5138E">
        <w:t>2.2</w:t>
      </w:r>
      <w:r w:rsidRPr="00F5138E">
        <w:tab/>
        <w:t>Летом 2008 года власти арестовали заявителя, который затем был допр</w:t>
      </w:r>
      <w:r w:rsidRPr="00F5138E">
        <w:t>о</w:t>
      </w:r>
      <w:r w:rsidRPr="00F5138E">
        <w:t>шен сотрудниками российских сил безопасности. Сотрудники требовали от н</w:t>
      </w:r>
      <w:r w:rsidRPr="00F5138E">
        <w:t>е</w:t>
      </w:r>
      <w:r w:rsidRPr="00F5138E">
        <w:t>го информацию, касающуюся жителя деревни, который добровольно присоед</w:t>
      </w:r>
      <w:r w:rsidRPr="00F5138E">
        <w:t>и</w:t>
      </w:r>
      <w:r w:rsidRPr="00F5138E">
        <w:t xml:space="preserve">нился к повстанцам, заявляя, что они знают, </w:t>
      </w:r>
      <w:r w:rsidR="002F5202">
        <w:t>что заявитель находился с ним в </w:t>
      </w:r>
      <w:r w:rsidRPr="00F5138E">
        <w:t xml:space="preserve">контакте. После нескольких часов допроса он был </w:t>
      </w:r>
      <w:r w:rsidR="007804A8">
        <w:t>отпущен</w:t>
      </w:r>
      <w:r w:rsidRPr="00F5138E">
        <w:t>.</w:t>
      </w:r>
    </w:p>
    <w:p w:rsidR="00F5138E" w:rsidRPr="00F5138E" w:rsidRDefault="00F5138E" w:rsidP="00F5138E">
      <w:pPr>
        <w:pStyle w:val="SingleTxtGR"/>
      </w:pPr>
      <w:r w:rsidRPr="00F5138E">
        <w:t>2.3</w:t>
      </w:r>
      <w:r>
        <w:tab/>
        <w:t>После своего вступления в брак</w:t>
      </w:r>
      <w:r>
        <w:rPr>
          <w:rStyle w:val="a6"/>
        </w:rPr>
        <w:footnoteReference w:id="3"/>
      </w:r>
      <w:r w:rsidRPr="00F5138E">
        <w:t xml:space="preserve"> заявитель переехал с женой в Грозный. В неуказанный день в 2010 году его жена позвонила ему на работу и сообщила ему о том, что к их дому подходили вооруженные люди, разыскивая его. То же самое произошло на следующий день. Из чувства страха заявитель не вернулся домой, оставшись на работе. Через ка</w:t>
      </w:r>
      <w:r>
        <w:t>кое-то время после этого случая</w:t>
      </w:r>
      <w:r>
        <w:rPr>
          <w:rStyle w:val="a6"/>
        </w:rPr>
        <w:footnoteReference w:id="4"/>
      </w:r>
      <w:r w:rsidRPr="00F5138E">
        <w:t xml:space="preserve"> он был арестован сотрудниками полиции в гражданской одежде на рынке в Грозном. Они затолк</w:t>
      </w:r>
      <w:r w:rsidR="00AF20FB">
        <w:t>али его в автомобиль, где сидел</w:t>
      </w:r>
      <w:r w:rsidR="003563BF">
        <w:t>и</w:t>
      </w:r>
      <w:r w:rsidRPr="00F5138E">
        <w:t xml:space="preserve"> несколько военнослужащих. На г</w:t>
      </w:r>
      <w:r w:rsidRPr="00F5138E">
        <w:t>о</w:t>
      </w:r>
      <w:r w:rsidRPr="00F5138E">
        <w:t>лову ему надели мешок, чтобы он не мог видеть, куда его везут. Позднее он узнал, что он был доставлен в Шатойский район</w:t>
      </w:r>
      <w:r>
        <w:rPr>
          <w:rStyle w:val="a6"/>
        </w:rPr>
        <w:footnoteReference w:id="5"/>
      </w:r>
      <w:r w:rsidRPr="00F5138E">
        <w:t xml:space="preserve">. </w:t>
      </w:r>
    </w:p>
    <w:p w:rsidR="00F5138E" w:rsidRPr="00F5138E" w:rsidRDefault="00F5138E" w:rsidP="007804A8">
      <w:pPr>
        <w:pStyle w:val="SingleTxtGR"/>
      </w:pPr>
      <w:r w:rsidRPr="00F5138E">
        <w:t>2.4</w:t>
      </w:r>
      <w:r w:rsidRPr="00F5138E">
        <w:tab/>
        <w:t>По прибытии в Шатойский район заявителя пытали электрически</w:t>
      </w:r>
      <w:r w:rsidR="007804A8">
        <w:t>м током в течение примерно двух–</w:t>
      </w:r>
      <w:r w:rsidRPr="00F5138E">
        <w:t xml:space="preserve">трех часов. </w:t>
      </w:r>
      <w:r w:rsidR="007804A8">
        <w:t>На протяжении</w:t>
      </w:r>
      <w:r w:rsidRPr="00F5138E">
        <w:t xml:space="preserve"> этого времени его допр</w:t>
      </w:r>
      <w:r w:rsidRPr="00F5138E">
        <w:t>а</w:t>
      </w:r>
      <w:r w:rsidRPr="00F5138E">
        <w:t>шивали сотрудники полиции, которые задавали ему вопросы о жителе деревни, который присоединился к повстанцам. К</w:t>
      </w:r>
      <w:r w:rsidR="007804A8">
        <w:t>роме того, его избивали ногами</w:t>
      </w:r>
      <w:r w:rsidR="007804A8">
        <w:rPr>
          <w:rStyle w:val="a6"/>
        </w:rPr>
        <w:footnoteReference w:id="6"/>
      </w:r>
      <w:r w:rsidRPr="00F5138E">
        <w:t xml:space="preserve"> до т</w:t>
      </w:r>
      <w:r w:rsidRPr="00F5138E">
        <w:t>а</w:t>
      </w:r>
      <w:r w:rsidRPr="00F5138E">
        <w:t>кой степени, что он практически потерял сознание, а затем его привели в себя, вылив ему на голову холодную воду. После этого з</w:t>
      </w:r>
      <w:bookmarkStart w:id="2" w:name="_GoBack"/>
      <w:bookmarkEnd w:id="2"/>
      <w:r w:rsidRPr="00F5138E">
        <w:t>аявителя вытащили во двор и в полубессознательном состоянии оставили рядом с автомобилем. Ему удалось покинуть территорию, и он был доставлен знакомым к его родителям. После этих событий заявитель переехал в Грозный и жил со своим дядей в течение приблиз</w:t>
      </w:r>
      <w:r w:rsidRPr="00F5138E">
        <w:t>и</w:t>
      </w:r>
      <w:r w:rsidRPr="00F5138E">
        <w:t>тельно одного года.</w:t>
      </w:r>
    </w:p>
    <w:p w:rsidR="00F5138E" w:rsidRPr="00F5138E" w:rsidRDefault="00F5138E" w:rsidP="00F5138E">
      <w:pPr>
        <w:pStyle w:val="SingleTxtGR"/>
      </w:pPr>
      <w:r w:rsidRPr="00F5138E">
        <w:t>2.5</w:t>
      </w:r>
      <w:r w:rsidRPr="00F5138E">
        <w:tab/>
        <w:t>В то время как он проживал в Грозном, российские военные неоднокра</w:t>
      </w:r>
      <w:r w:rsidRPr="00F5138E">
        <w:t>т</w:t>
      </w:r>
      <w:r w:rsidRPr="00F5138E">
        <w:t>но посещали его родителей. Его родители сообщили военнослужащим, что з</w:t>
      </w:r>
      <w:r w:rsidRPr="00F5138E">
        <w:t>а</w:t>
      </w:r>
      <w:r w:rsidRPr="00F5138E">
        <w:t xml:space="preserve">явитель присоединился к повстанцам. </w:t>
      </w:r>
    </w:p>
    <w:p w:rsidR="00F5138E" w:rsidRPr="00F5138E" w:rsidRDefault="00F5138E" w:rsidP="007804A8">
      <w:pPr>
        <w:pStyle w:val="SingleTxtGR"/>
      </w:pPr>
      <w:r w:rsidRPr="00F5138E">
        <w:t>2.6</w:t>
      </w:r>
      <w:r w:rsidRPr="00F5138E">
        <w:tab/>
        <w:t>Заявитель</w:t>
      </w:r>
      <w:r w:rsidR="007804A8">
        <w:t xml:space="preserve"> вернулся в свою родную деревню</w:t>
      </w:r>
      <w:r w:rsidR="007804A8">
        <w:rPr>
          <w:rStyle w:val="a6"/>
        </w:rPr>
        <w:footnoteReference w:id="7"/>
      </w:r>
      <w:r w:rsidRPr="00F5138E">
        <w:t xml:space="preserve"> и жил с различными ро</w:t>
      </w:r>
      <w:r w:rsidRPr="00F5138E">
        <w:t>д</w:t>
      </w:r>
      <w:r w:rsidRPr="00F5138E">
        <w:t>ственниками, с тем чтобы избежать повторного ареста. В течение этого времени его родители находились под наблюдением и несколько раз подвергались д</w:t>
      </w:r>
      <w:r w:rsidRPr="00F5138E">
        <w:t>о</w:t>
      </w:r>
      <w:r w:rsidRPr="00F5138E">
        <w:t xml:space="preserve">просам, в связи с чем заявитель не поддерживал с ними связь. На момент </w:t>
      </w:r>
      <w:r w:rsidR="007804A8">
        <w:t>под</w:t>
      </w:r>
      <w:r w:rsidR="007804A8">
        <w:t>а</w:t>
      </w:r>
      <w:r w:rsidR="007804A8">
        <w:t>чи жалобы</w:t>
      </w:r>
      <w:r w:rsidRPr="00F5138E">
        <w:t xml:space="preserve"> он не </w:t>
      </w:r>
      <w:r w:rsidR="007804A8">
        <w:t>говорил</w:t>
      </w:r>
      <w:r w:rsidRPr="00F5138E">
        <w:t xml:space="preserve"> со своим родителям</w:t>
      </w:r>
      <w:r w:rsidR="00AF20FB">
        <w:t>и</w:t>
      </w:r>
      <w:r w:rsidRPr="00F5138E">
        <w:t xml:space="preserve"> и не имел никаких контактов со своей бывшей женой, поскольку она покинула его, не перенеся давления и страха. Один из братьев заявителя был арест</w:t>
      </w:r>
      <w:r w:rsidR="002F5202">
        <w:t>ован в 2009 году и приговорен к </w:t>
      </w:r>
      <w:r w:rsidRPr="00F5138E">
        <w:t>одному году тюремного заключения по обвинению в оказании помощи заяв</w:t>
      </w:r>
      <w:r w:rsidRPr="00F5138E">
        <w:t>и</w:t>
      </w:r>
      <w:r w:rsidRPr="00F5138E">
        <w:t>телю.</w:t>
      </w:r>
    </w:p>
    <w:p w:rsidR="00F5138E" w:rsidRPr="00F5138E" w:rsidRDefault="00F5138E" w:rsidP="002F5202">
      <w:pPr>
        <w:pStyle w:val="SingleTxtGR"/>
        <w:pageBreakBefore/>
      </w:pPr>
      <w:r w:rsidRPr="00F5138E">
        <w:lastRenderedPageBreak/>
        <w:t>2.7</w:t>
      </w:r>
      <w:r w:rsidRPr="00F5138E">
        <w:tab/>
        <w:t>В неуказанный день заявитель прибыл в Швецию и обратился с ходата</w:t>
      </w:r>
      <w:r w:rsidRPr="00F5138E">
        <w:t>й</w:t>
      </w:r>
      <w:r w:rsidRPr="00F5138E">
        <w:t>ством о предоставлении убежища. 1 июля 2013 года Миграционный совет о</w:t>
      </w:r>
      <w:r w:rsidRPr="00F5138E">
        <w:t>т</w:t>
      </w:r>
      <w:r w:rsidRPr="00F5138E">
        <w:t>клонил его ходатайство. В неуказанный день заявитель обжаловал решение С</w:t>
      </w:r>
      <w:r w:rsidRPr="00F5138E">
        <w:t>о</w:t>
      </w:r>
      <w:r w:rsidRPr="00F5138E">
        <w:t xml:space="preserve">вета. 5 ноября 2013 года Миграционный суд отклонил эту апелляцию. 14 января 2014 года Апелляционный суд </w:t>
      </w:r>
      <w:r w:rsidR="00D662A5">
        <w:t xml:space="preserve">по миграционным делам </w:t>
      </w:r>
      <w:r w:rsidRPr="00F5138E">
        <w:t>отклонил ходатайство заявителя о подаче апелляционной жалобы. Заявитель утверждает, что он и</w:t>
      </w:r>
      <w:r w:rsidRPr="00F5138E">
        <w:t>с</w:t>
      </w:r>
      <w:r w:rsidRPr="00F5138E">
        <w:t>черпал все доступные средства правовой защиты.</w:t>
      </w:r>
    </w:p>
    <w:p w:rsidR="00F5138E" w:rsidRPr="00F5138E" w:rsidRDefault="00F5138E" w:rsidP="002F5202">
      <w:pPr>
        <w:pStyle w:val="H23GR"/>
      </w:pPr>
      <w:r w:rsidRPr="00F5138E">
        <w:tab/>
      </w:r>
      <w:r w:rsidRPr="00F5138E">
        <w:tab/>
        <w:t>Жалоба</w:t>
      </w:r>
    </w:p>
    <w:p w:rsidR="00F5138E" w:rsidRPr="00F5138E" w:rsidRDefault="00F5138E" w:rsidP="00F5138E">
      <w:pPr>
        <w:pStyle w:val="SingleTxtGR"/>
      </w:pPr>
      <w:r w:rsidRPr="00F5138E">
        <w:t>3.</w:t>
      </w:r>
      <w:r w:rsidRPr="00F5138E">
        <w:tab/>
        <w:t>Заявитель утверждает, что его депортация в Российскую Федерацию ст</w:t>
      </w:r>
      <w:r w:rsidRPr="00F5138E">
        <w:t>а</w:t>
      </w:r>
      <w:r w:rsidRPr="00F5138E">
        <w:t>нет нарушением его прав, закрепленных в статье 3 Конвенции, поскольку ему будет угрожать личная опасность подвергнуться преследованиям, пыткам и ж</w:t>
      </w:r>
      <w:r w:rsidRPr="00F5138E">
        <w:t>е</w:t>
      </w:r>
      <w:r w:rsidRPr="00F5138E">
        <w:t>стокому обращению по возвращении.</w:t>
      </w:r>
    </w:p>
    <w:p w:rsidR="00F5138E" w:rsidRPr="00F5138E" w:rsidRDefault="00F5138E" w:rsidP="00605C32">
      <w:pPr>
        <w:pStyle w:val="H23GR"/>
      </w:pPr>
      <w:r w:rsidRPr="00F5138E">
        <w:tab/>
      </w:r>
      <w:r w:rsidRPr="00F5138E">
        <w:tab/>
        <w:t>Замечания государства-участника относительно приемлемости и существа сообщения</w:t>
      </w:r>
    </w:p>
    <w:p w:rsidR="00F5138E" w:rsidRPr="00F5138E" w:rsidRDefault="00F5138E" w:rsidP="00F5138E">
      <w:pPr>
        <w:pStyle w:val="SingleTxtGR"/>
      </w:pPr>
      <w:r w:rsidRPr="00F5138E">
        <w:t>4.1</w:t>
      </w:r>
      <w:r w:rsidRPr="00F5138E">
        <w:tab/>
        <w:t>В вербальной ноте от 12 декабря 2014 года государство-участник изл</w:t>
      </w:r>
      <w:r w:rsidRPr="00F5138E">
        <w:t>о</w:t>
      </w:r>
      <w:r w:rsidRPr="00F5138E">
        <w:t>жило свои замечания по вопросу о приемлемости и существу сообщения. В ней освещаются факты по данному делу, а также приводятся выдержки из соотве</w:t>
      </w:r>
      <w:r w:rsidRPr="00F5138E">
        <w:t>т</w:t>
      </w:r>
      <w:r w:rsidRPr="00F5138E">
        <w:t>ствующих внутренних законодательных актов. Государство-участник сообщает, что дело заявителя рассматривалось в соответствии с положениями Закона об иностранцах 2005 года. После изучения обстоятельств дела власти государства-</w:t>
      </w:r>
      <w:r w:rsidRPr="00605C32">
        <w:rPr>
          <w:spacing w:val="2"/>
        </w:rPr>
        <w:t xml:space="preserve">участника </w:t>
      </w:r>
      <w:r w:rsidR="00605C32" w:rsidRPr="00605C32">
        <w:rPr>
          <w:spacing w:val="2"/>
        </w:rPr>
        <w:t>пришли к выводу, что заявитель «</w:t>
      </w:r>
      <w:r w:rsidRPr="00605C32">
        <w:rPr>
          <w:spacing w:val="2"/>
        </w:rPr>
        <w:t>не доказал, что нуждается в защ</w:t>
      </w:r>
      <w:r w:rsidRPr="00605C32">
        <w:rPr>
          <w:spacing w:val="2"/>
        </w:rPr>
        <w:t>и</w:t>
      </w:r>
      <w:r w:rsidR="00605C32" w:rsidRPr="00605C32">
        <w:rPr>
          <w:spacing w:val="2"/>
        </w:rPr>
        <w:t>те»</w:t>
      </w:r>
      <w:r w:rsidRPr="00605C32">
        <w:rPr>
          <w:spacing w:val="2"/>
        </w:rPr>
        <w:t>.</w:t>
      </w:r>
      <w:r w:rsidRPr="00F5138E">
        <w:t xml:space="preserve"> </w:t>
      </w:r>
    </w:p>
    <w:p w:rsidR="00F5138E" w:rsidRPr="00F5138E" w:rsidRDefault="00F5138E" w:rsidP="00F5138E">
      <w:pPr>
        <w:pStyle w:val="SingleTxtGR"/>
      </w:pPr>
      <w:r w:rsidRPr="00F5138E">
        <w:t>4.2</w:t>
      </w:r>
      <w:r w:rsidRPr="00F5138E">
        <w:tab/>
        <w:t>Государство-участник далее представляет неофициальные переводы ра</w:t>
      </w:r>
      <w:r w:rsidRPr="00F5138E">
        <w:t>з</w:t>
      </w:r>
      <w:r w:rsidRPr="00F5138E">
        <w:t>бирательства миграционных властей Швеции, чтобы показать обоснование р</w:t>
      </w:r>
      <w:r w:rsidRPr="00F5138E">
        <w:t>е</w:t>
      </w:r>
      <w:r w:rsidRPr="00F5138E">
        <w:t>шения государства-участника о высылке заявителя. Выводы подтверждают, что заявитель не нуждается в защите и может быть выслан в Российскую Федер</w:t>
      </w:r>
      <w:r w:rsidRPr="00F5138E">
        <w:t>а</w:t>
      </w:r>
      <w:r w:rsidRPr="00F5138E">
        <w:t xml:space="preserve">цию. </w:t>
      </w:r>
    </w:p>
    <w:p w:rsidR="00F5138E" w:rsidRPr="00F5138E" w:rsidRDefault="00F5138E" w:rsidP="00F5138E">
      <w:pPr>
        <w:pStyle w:val="SingleTxtGR"/>
      </w:pPr>
      <w:r w:rsidRPr="00F5138E">
        <w:t>4.3</w:t>
      </w:r>
      <w:r w:rsidRPr="00F5138E">
        <w:tab/>
        <w:t>Заявите</w:t>
      </w:r>
      <w:r w:rsidR="00AF20FB">
        <w:t>ль прибыл</w:t>
      </w:r>
      <w:r w:rsidRPr="00F5138E">
        <w:t xml:space="preserve"> в Швецию 25 октября 2012 года и на следующий </w:t>
      </w:r>
      <w:r w:rsidR="00AF20FB">
        <w:t xml:space="preserve">день </w:t>
      </w:r>
      <w:r w:rsidRPr="00F5138E">
        <w:t>подал ходатайство о предоставлении убежища. Миграционные органы госуда</w:t>
      </w:r>
      <w:r w:rsidRPr="00F5138E">
        <w:t>р</w:t>
      </w:r>
      <w:r w:rsidRPr="00F5138E">
        <w:t>ства-участника отклонили ходатайство и 1 и</w:t>
      </w:r>
      <w:r w:rsidR="00605C32">
        <w:t>юля 2013 года приняли решение о </w:t>
      </w:r>
      <w:r w:rsidRPr="00F5138E">
        <w:t>высылке заявителя. Это решение было обжаловано, но 5 ноября 2013 года Миграционный суд отклонил апелляцию. 14 января 2014 года Апелляционный суд по миграционным делам отказался предоставить заявителю разрешение на п</w:t>
      </w:r>
      <w:r w:rsidRPr="00F5138E">
        <w:t>о</w:t>
      </w:r>
      <w:r w:rsidRPr="00F5138E">
        <w:t xml:space="preserve">дачу апелляции, и решение о высылке заявителя стало окончательным. </w:t>
      </w:r>
    </w:p>
    <w:p w:rsidR="00F5138E" w:rsidRPr="00F5138E" w:rsidRDefault="00F5138E" w:rsidP="00D662A5">
      <w:pPr>
        <w:pStyle w:val="SingleTxtGR"/>
      </w:pPr>
      <w:r w:rsidRPr="00F5138E">
        <w:t>4.4</w:t>
      </w:r>
      <w:r w:rsidRPr="00F5138E">
        <w:tab/>
        <w:t>4 февраля 2014 года заявитель утверж</w:t>
      </w:r>
      <w:r w:rsidR="00605C32">
        <w:t>дал в Миграционном совете, что «</w:t>
      </w:r>
      <w:r w:rsidRPr="00F5138E">
        <w:t>для исполнения решения о его высылке с</w:t>
      </w:r>
      <w:r w:rsidR="00605C32">
        <w:t>уществуют некоторые препятствия»</w:t>
      </w:r>
      <w:r w:rsidRPr="00F5138E">
        <w:t>, и просил пересмотреть его дело. Эта просьба была откло</w:t>
      </w:r>
      <w:r w:rsidR="00605C32">
        <w:t>нена 18 февраля 2014 </w:t>
      </w:r>
      <w:r w:rsidR="00D662A5">
        <w:t xml:space="preserve">года, и никакой </w:t>
      </w:r>
      <w:r w:rsidR="00AF20FB">
        <w:t>апелляции на это решение не было</w:t>
      </w:r>
      <w:r w:rsidR="00D662A5">
        <w:t xml:space="preserve"> подано</w:t>
      </w:r>
      <w:r w:rsidRPr="00F5138E">
        <w:t>.</w:t>
      </w:r>
    </w:p>
    <w:p w:rsidR="00F5138E" w:rsidRPr="00F5138E" w:rsidRDefault="00F5138E" w:rsidP="00F5138E">
      <w:pPr>
        <w:pStyle w:val="SingleTxtGR"/>
      </w:pPr>
      <w:r w:rsidRPr="00F5138E">
        <w:t>4.5</w:t>
      </w:r>
      <w:r w:rsidRPr="00F5138E">
        <w:tab/>
        <w:t>Государство-участник не оспаривает тот факт, что в настоящем деле были исчерпаны все доступные внутренние средства правовой защиты. Оно утве</w:t>
      </w:r>
      <w:r w:rsidRPr="00F5138E">
        <w:t>р</w:t>
      </w:r>
      <w:r w:rsidRPr="00F5138E">
        <w:t>ждает, однако, что представленные з</w:t>
      </w:r>
      <w:r w:rsidR="00605C32">
        <w:t>аявителем утверждения являются «</w:t>
      </w:r>
      <w:r w:rsidRPr="00F5138E">
        <w:t>явно не</w:t>
      </w:r>
      <w:r w:rsidR="00605C32">
        <w:t>обоснованным»</w:t>
      </w:r>
      <w:r w:rsidRPr="00F5138E">
        <w:t xml:space="preserve"> и, таким образом, должны рассматриваться как неприемл</w:t>
      </w:r>
      <w:r w:rsidRPr="00F5138E">
        <w:t>е</w:t>
      </w:r>
      <w:r w:rsidRPr="00F5138E">
        <w:t>мые в соответствии с пунктом 2 статьи 22 Конвенции и правилом 113 b) правил пр</w:t>
      </w:r>
      <w:r w:rsidRPr="00F5138E">
        <w:t>о</w:t>
      </w:r>
      <w:r w:rsidRPr="00F5138E">
        <w:t xml:space="preserve">цедуры Комитета. </w:t>
      </w:r>
    </w:p>
    <w:p w:rsidR="00F5138E" w:rsidRPr="00F5138E" w:rsidRDefault="00F5138E" w:rsidP="00D662A5">
      <w:pPr>
        <w:pStyle w:val="SingleTxtGR"/>
      </w:pPr>
      <w:r w:rsidRPr="00F5138E">
        <w:t>4.6</w:t>
      </w:r>
      <w:r w:rsidRPr="00F5138E">
        <w:tab/>
        <w:t>В отношении существа сообщения государство-участник поясняет, что при рассмотрении данного дела оно проанализировало общее положени</w:t>
      </w:r>
      <w:r w:rsidR="00605C32">
        <w:t>е дел в </w:t>
      </w:r>
      <w:r w:rsidRPr="00F5138E">
        <w:t>области прав человека в Российской Федерации и, в частности, степень ли</w:t>
      </w:r>
      <w:r w:rsidRPr="00F5138E">
        <w:t>ч</w:t>
      </w:r>
      <w:r w:rsidRPr="00F5138E">
        <w:t>ной опасности для заявителя подвергнуться пы</w:t>
      </w:r>
      <w:r w:rsidR="00605C32">
        <w:t>ткам в случае его возвращения в </w:t>
      </w:r>
      <w:r w:rsidRPr="00F5138E">
        <w:t>страну. Государство-участник отмечает, что бремя представления убедител</w:t>
      </w:r>
      <w:r w:rsidRPr="00F5138E">
        <w:t>ь</w:t>
      </w:r>
      <w:r w:rsidRPr="00F5138E">
        <w:lastRenderedPageBreak/>
        <w:t>ных аргументов в подтверждение того, что заявителям угрожает предсказуемая, реальная и личная опасность подвергнуться пытк</w:t>
      </w:r>
      <w:r w:rsidR="007804A8">
        <w:t>ам, лежит на самих заявит</w:t>
      </w:r>
      <w:r w:rsidR="007804A8">
        <w:t>е</w:t>
      </w:r>
      <w:r w:rsidR="007804A8">
        <w:t>лях</w:t>
      </w:r>
      <w:r w:rsidR="007804A8">
        <w:rPr>
          <w:rStyle w:val="a6"/>
        </w:rPr>
        <w:footnoteReference w:id="8"/>
      </w:r>
      <w:r w:rsidR="007804A8">
        <w:t xml:space="preserve">. </w:t>
      </w:r>
      <w:r w:rsidRPr="00F5138E">
        <w:t xml:space="preserve">Кроме того, </w:t>
      </w:r>
      <w:r w:rsidR="00D662A5">
        <w:t>хотя</w:t>
      </w:r>
      <w:r w:rsidRPr="00F5138E">
        <w:t xml:space="preserve"> при оценке степени риска применения пыток должны приниматься во внимание основания, выходящие за пределы одних лишь ум</w:t>
      </w:r>
      <w:r w:rsidRPr="00F5138E">
        <w:t>о</w:t>
      </w:r>
      <w:r w:rsidRPr="00F5138E">
        <w:t>зрительных предположений, не следует брать за основу критерий высокой ст</w:t>
      </w:r>
      <w:r w:rsidRPr="00F5138E">
        <w:t>е</w:t>
      </w:r>
      <w:r w:rsidRPr="00F5138E">
        <w:t>пени в</w:t>
      </w:r>
      <w:r w:rsidRPr="00F5138E">
        <w:t>е</w:t>
      </w:r>
      <w:r w:rsidRPr="00F5138E">
        <w:t xml:space="preserve">роятности. </w:t>
      </w:r>
    </w:p>
    <w:p w:rsidR="00F5138E" w:rsidRPr="00F5138E" w:rsidRDefault="00F5138E" w:rsidP="00AF20FB">
      <w:pPr>
        <w:pStyle w:val="SingleTxtGR"/>
      </w:pPr>
      <w:r w:rsidRPr="00F5138E">
        <w:t>4.7</w:t>
      </w:r>
      <w:r w:rsidRPr="00F5138E">
        <w:tab/>
        <w:t>Что касается текущего положения дел в области прав человека в Росси</w:t>
      </w:r>
      <w:r w:rsidRPr="00F5138E">
        <w:t>й</w:t>
      </w:r>
      <w:r w:rsidRPr="00F5138E">
        <w:t>ской Федерации</w:t>
      </w:r>
      <w:r w:rsidR="00AF20FB" w:rsidRPr="00F5138E">
        <w:t>,</w:t>
      </w:r>
      <w:r w:rsidRPr="00F5138E">
        <w:t xml:space="preserve"> и</w:t>
      </w:r>
      <w:r w:rsidR="00AF20FB">
        <w:t xml:space="preserve"> в частности</w:t>
      </w:r>
      <w:r w:rsidRPr="00F5138E">
        <w:t xml:space="preserve"> на Северном Кавказе, то государство-участник</w:t>
      </w:r>
      <w:r w:rsidR="007804A8">
        <w:t xml:space="preserve"> отмечает, что недавние доклады</w:t>
      </w:r>
      <w:r w:rsidR="007804A8">
        <w:rPr>
          <w:rStyle w:val="a6"/>
        </w:rPr>
        <w:footnoteReference w:id="9"/>
      </w:r>
      <w:r w:rsidRPr="00F5138E">
        <w:t xml:space="preserve"> свидетельствуют о снижении общего уровня насилия в последние годы. Вместе с тем государство-участник в полной мере осознает проблемы, касающиеся положения дел в области прав человека, п</w:t>
      </w:r>
      <w:r w:rsidRPr="00F5138E">
        <w:t>о</w:t>
      </w:r>
      <w:r w:rsidRPr="00F5138E">
        <w:t>скольку в последних докладах по-прежнему содержится информация о наруш</w:t>
      </w:r>
      <w:r w:rsidRPr="00F5138E">
        <w:t>е</w:t>
      </w:r>
      <w:r w:rsidRPr="00F5138E">
        <w:t>ниях прав человека, совершаемых в о</w:t>
      </w:r>
      <w:r w:rsidR="00D662A5">
        <w:t xml:space="preserve">тношении гражданского населения, таких как </w:t>
      </w:r>
      <w:r w:rsidRPr="00F5138E">
        <w:t>произ</w:t>
      </w:r>
      <w:r w:rsidR="00D662A5">
        <w:t>вольные задержания, похищения, пытки</w:t>
      </w:r>
      <w:r w:rsidRPr="00F5138E">
        <w:t xml:space="preserve"> и в</w:t>
      </w:r>
      <w:r w:rsidR="00D662A5">
        <w:t>несудебные ка</w:t>
      </w:r>
      <w:r w:rsidR="00D662A5">
        <w:t>з</w:t>
      </w:r>
      <w:r w:rsidR="00D662A5">
        <w:t>ни</w:t>
      </w:r>
      <w:r w:rsidR="00605C32">
        <w:t>.</w:t>
      </w:r>
      <w:r w:rsidR="00605C32">
        <w:br/>
      </w:r>
      <w:r w:rsidRPr="00F5138E">
        <w:t>Нынешняя ситуация в Чечне сама по себе, однако, не доказывает наличие угр</w:t>
      </w:r>
      <w:r w:rsidRPr="00F5138E">
        <w:t>о</w:t>
      </w:r>
      <w:r w:rsidRPr="00F5138E">
        <w:t xml:space="preserve">зы применения пыток в отношении заявителя в случае его высылки в </w:t>
      </w:r>
      <w:r w:rsidR="00D662A5">
        <w:t>его ро</w:t>
      </w:r>
      <w:r w:rsidR="00D662A5">
        <w:t>д</w:t>
      </w:r>
      <w:r w:rsidR="00D662A5">
        <w:t xml:space="preserve">ную </w:t>
      </w:r>
      <w:r w:rsidRPr="00F5138E">
        <w:t>стр</w:t>
      </w:r>
      <w:r w:rsidR="00D662A5">
        <w:t>ану</w:t>
      </w:r>
      <w:r w:rsidRPr="00F5138E">
        <w:t>.</w:t>
      </w:r>
    </w:p>
    <w:p w:rsidR="00F5138E" w:rsidRPr="00F5138E" w:rsidRDefault="00F5138E" w:rsidP="00D662A5">
      <w:pPr>
        <w:pStyle w:val="SingleTxtGR"/>
      </w:pPr>
      <w:r w:rsidRPr="00F5138E">
        <w:t>4.8</w:t>
      </w:r>
      <w:r w:rsidRPr="00F5138E">
        <w:tab/>
        <w:t>Государство-участник отмечает, что несколько положений Закона об ин</w:t>
      </w:r>
      <w:r w:rsidRPr="00F5138E">
        <w:t>о</w:t>
      </w:r>
      <w:r w:rsidRPr="00F5138E">
        <w:t>странцах отражают принципы, содержащиеся в статье 3 Конвенции, и, таким образом, при рассмотрении ходатайств о предоставлении убежища власти Шв</w:t>
      </w:r>
      <w:r w:rsidRPr="00F5138E">
        <w:t>е</w:t>
      </w:r>
      <w:r w:rsidRPr="00F5138E">
        <w:t xml:space="preserve">ции оценивают опасность применения пыток на основании тех же критериев, </w:t>
      </w:r>
      <w:r w:rsidR="00D662A5">
        <w:t xml:space="preserve">что и Комитет. В соответствии со статьями </w:t>
      </w:r>
      <w:r w:rsidRPr="00F5138E">
        <w:t>1–3 главы 12 Закона об иностранцах просители убежища не могут быть возвращены в страну, если имеются разу</w:t>
      </w:r>
      <w:r w:rsidRPr="00F5138E">
        <w:t>м</w:t>
      </w:r>
      <w:r w:rsidRPr="00F5138E">
        <w:t>ные основания полагать, что там им будут грозить смертная казнь, телесные наказания, пытки или иные унижающие достоинство виды обращения и наказ</w:t>
      </w:r>
      <w:r w:rsidRPr="00F5138E">
        <w:t>а</w:t>
      </w:r>
      <w:r w:rsidRPr="00F5138E">
        <w:t xml:space="preserve">ния. </w:t>
      </w:r>
    </w:p>
    <w:p w:rsidR="00F5138E" w:rsidRPr="00F5138E" w:rsidRDefault="00F5138E" w:rsidP="00D662A5">
      <w:pPr>
        <w:pStyle w:val="SingleTxtGR"/>
      </w:pPr>
      <w:r w:rsidRPr="00F5138E">
        <w:t>4.9</w:t>
      </w:r>
      <w:r w:rsidRPr="00F5138E">
        <w:tab/>
        <w:t>Когда заявитель подал ходатайство о предоставлении убежища, Мигр</w:t>
      </w:r>
      <w:r w:rsidRPr="00F5138E">
        <w:t>а</w:t>
      </w:r>
      <w:r w:rsidRPr="00F5138E">
        <w:t>ционн</w:t>
      </w:r>
      <w:r w:rsidR="00D662A5">
        <w:t>ый</w:t>
      </w:r>
      <w:r w:rsidRPr="00F5138E">
        <w:t xml:space="preserve"> </w:t>
      </w:r>
      <w:r w:rsidR="00D662A5">
        <w:t>совет провел</w:t>
      </w:r>
      <w:r w:rsidRPr="00F5138E">
        <w:t xml:space="preserve"> с ним несколько индивидуальных бесед, с тем чтобы дать ему возможность рассказать о причинах, по которым он нуждается в защ</w:t>
      </w:r>
      <w:r w:rsidRPr="00F5138E">
        <w:t>и</w:t>
      </w:r>
      <w:r w:rsidRPr="00F5138E">
        <w:t>те, и объяснить все имеющие отношение к делу факты. В ходе этих бесед з</w:t>
      </w:r>
      <w:r w:rsidRPr="00F5138E">
        <w:t>а</w:t>
      </w:r>
      <w:r w:rsidRPr="00F5138E">
        <w:t>явитель был представлен адвокатом. Во врем</w:t>
      </w:r>
      <w:r w:rsidR="00605C32">
        <w:t>я первой беседы 28 октября 2012 </w:t>
      </w:r>
      <w:r w:rsidRPr="00F5138E">
        <w:t xml:space="preserve">года заявитель сообщил, что он удовлетворен работой своего адвоката. Кроме того, заявитель имел возможность представить некоторые сведения в письменном виде помимо устных бесед. В этой связи государство-участник указывает на то, что его органы имели достаточно информации для </w:t>
      </w:r>
      <w:r w:rsidR="00D662A5">
        <w:t>проведения</w:t>
      </w:r>
      <w:r w:rsidR="00605C32">
        <w:t xml:space="preserve"> «</w:t>
      </w:r>
      <w:r w:rsidRPr="00F5138E">
        <w:t xml:space="preserve">хорошо </w:t>
      </w:r>
      <w:r w:rsidR="00D662A5">
        <w:t>осознанной</w:t>
      </w:r>
      <w:r w:rsidRPr="00F5138E">
        <w:t>, транспа</w:t>
      </w:r>
      <w:r w:rsidR="00605C32">
        <w:t>рентной и разумной оценки риска»</w:t>
      </w:r>
      <w:r w:rsidRPr="00F5138E">
        <w:t xml:space="preserve"> </w:t>
      </w:r>
      <w:r w:rsidR="00D662A5">
        <w:t>под углом зр</w:t>
      </w:r>
      <w:r w:rsidR="00D662A5">
        <w:t>е</w:t>
      </w:r>
      <w:r w:rsidR="00D662A5">
        <w:t>ния</w:t>
      </w:r>
      <w:r w:rsidRPr="00F5138E">
        <w:t xml:space="preserve"> нео</w:t>
      </w:r>
      <w:r w:rsidRPr="00F5138E">
        <w:t>б</w:t>
      </w:r>
      <w:r w:rsidRPr="00F5138E">
        <w:t xml:space="preserve">ходимости заявителя в защите. </w:t>
      </w:r>
    </w:p>
    <w:p w:rsidR="00F5138E" w:rsidRPr="00F5138E" w:rsidRDefault="00F5138E" w:rsidP="00D662A5">
      <w:pPr>
        <w:pStyle w:val="SingleTxtGR"/>
      </w:pPr>
      <w:r w:rsidRPr="00F5138E">
        <w:t>4.10</w:t>
      </w:r>
      <w:r w:rsidRPr="00F5138E">
        <w:tab/>
        <w:t>Государство-участник ссылается на принятое Комитетом замечание о</w:t>
      </w:r>
      <w:r w:rsidRPr="00F5138E">
        <w:t>б</w:t>
      </w:r>
      <w:r w:rsidRPr="00F5138E">
        <w:t>щего порядка № 1 (1997) об осуществлении статьи 3 Конвенции, в котором К</w:t>
      </w:r>
      <w:r w:rsidRPr="00F5138E">
        <w:t>о</w:t>
      </w:r>
      <w:r w:rsidRPr="00F5138E">
        <w:t>митет заявил, что при осуществлении своей юрисдикции он будет в значител</w:t>
      </w:r>
      <w:r w:rsidRPr="00F5138E">
        <w:t>ь</w:t>
      </w:r>
      <w:r w:rsidRPr="00F5138E">
        <w:t>ной степени опираться на выводы по фактической стороне дела, подготовле</w:t>
      </w:r>
      <w:r w:rsidRPr="00F5138E">
        <w:t>н</w:t>
      </w:r>
      <w:r w:rsidRPr="00F5138E">
        <w:t xml:space="preserve">ные органами соответствующего государства-участника. Государство-участник </w:t>
      </w:r>
      <w:r w:rsidRPr="00F5138E">
        <w:lastRenderedPageBreak/>
        <w:t xml:space="preserve">также </w:t>
      </w:r>
      <w:r w:rsidR="007804A8">
        <w:t xml:space="preserve">ссылается на </w:t>
      </w:r>
      <w:r w:rsidR="00D662A5">
        <w:t xml:space="preserve">правовую </w:t>
      </w:r>
      <w:r w:rsidR="007804A8">
        <w:t>практику Комитета</w:t>
      </w:r>
      <w:r w:rsidR="007804A8">
        <w:rPr>
          <w:rStyle w:val="a6"/>
        </w:rPr>
        <w:footnoteReference w:id="10"/>
      </w:r>
      <w:r w:rsidR="007804A8">
        <w:t>.</w:t>
      </w:r>
      <w:r w:rsidRPr="00F5138E">
        <w:t xml:space="preserve"> Миграционный совет и М</w:t>
      </w:r>
      <w:r w:rsidRPr="00F5138E">
        <w:t>и</w:t>
      </w:r>
      <w:r w:rsidRPr="00F5138E">
        <w:t xml:space="preserve">грационный суд являются специализированными органами, обладающими </w:t>
      </w:r>
      <w:r w:rsidR="00D662A5">
        <w:t>ко</w:t>
      </w:r>
      <w:r w:rsidR="00D662A5">
        <w:t>н</w:t>
      </w:r>
      <w:r w:rsidR="00D662A5">
        <w:t>кретными</w:t>
      </w:r>
      <w:r w:rsidRPr="00F5138E">
        <w:t xml:space="preserve"> экспертными знаниями в области права и практики в сфере пред</w:t>
      </w:r>
      <w:r w:rsidRPr="00F5138E">
        <w:t>о</w:t>
      </w:r>
      <w:r w:rsidRPr="00F5138E">
        <w:t>ставления убежища. Поэтому нет никаких оснований полагать, что рассмотр</w:t>
      </w:r>
      <w:r w:rsidRPr="00F5138E">
        <w:t>е</w:t>
      </w:r>
      <w:r w:rsidRPr="00F5138E">
        <w:t xml:space="preserve">ние национальными органами данного дела было ненадлежащим или что его результат был произвольным или сводился к отказу в правосудии. Кроме того, </w:t>
      </w:r>
      <w:r w:rsidR="00D662A5">
        <w:t xml:space="preserve">учитывая </w:t>
      </w:r>
      <w:r w:rsidRPr="00F5138E">
        <w:t>отсутствие такого произвола или</w:t>
      </w:r>
      <w:r w:rsidR="00AF20FB">
        <w:t xml:space="preserve"> отказа в доступе к правос</w:t>
      </w:r>
      <w:r w:rsidR="00AF20FB">
        <w:t>у</w:t>
      </w:r>
      <w:r w:rsidR="00AF20FB">
        <w:t>дию,</w:t>
      </w:r>
      <w:r w:rsidR="00AF20FB">
        <w:br/>
      </w:r>
      <w:r w:rsidRPr="00F5138E">
        <w:t>государство-участник утверждает</w:t>
      </w:r>
      <w:r w:rsidR="00605C32">
        <w:t>, что выводам его властей «</w:t>
      </w:r>
      <w:r w:rsidRPr="00F5138E">
        <w:t xml:space="preserve">следует </w:t>
      </w:r>
      <w:r w:rsidR="00D662A5">
        <w:t>пр</w:t>
      </w:r>
      <w:r w:rsidR="00D662A5">
        <w:t>и</w:t>
      </w:r>
      <w:r w:rsidR="00D662A5">
        <w:t>давать большой вес</w:t>
      </w:r>
      <w:r w:rsidR="00605C32">
        <w:t>»</w:t>
      </w:r>
      <w:r w:rsidRPr="00F5138E">
        <w:t xml:space="preserve">. </w:t>
      </w:r>
    </w:p>
    <w:p w:rsidR="00F5138E" w:rsidRPr="00F5138E" w:rsidRDefault="00F5138E" w:rsidP="00733408">
      <w:pPr>
        <w:pStyle w:val="SingleTxtGR"/>
      </w:pPr>
      <w:r w:rsidRPr="00F5138E">
        <w:t>4.11</w:t>
      </w:r>
      <w:r w:rsidRPr="00F5138E">
        <w:tab/>
      </w:r>
      <w:r w:rsidR="00D662A5">
        <w:t>Г</w:t>
      </w:r>
      <w:r w:rsidRPr="00F5138E">
        <w:t xml:space="preserve">осударство-участник </w:t>
      </w:r>
      <w:r w:rsidR="00D662A5">
        <w:t xml:space="preserve">также </w:t>
      </w:r>
      <w:r w:rsidRPr="00F5138E">
        <w:t>утверждает, что заявитель представил м</w:t>
      </w:r>
      <w:r w:rsidRPr="00F5138E">
        <w:t>и</w:t>
      </w:r>
      <w:r w:rsidRPr="00F5138E">
        <w:t xml:space="preserve">грационным властям противоречивые сведения. Например, для подтверждения своей личности заявитель представил только свои водительские права, а не свой паспорт. Заявитель утверждал, что его паспорт </w:t>
      </w:r>
      <w:r w:rsidR="00D662A5">
        <w:t>находится</w:t>
      </w:r>
      <w:r w:rsidRPr="00F5138E">
        <w:t xml:space="preserve"> в Российской Федерации и что он не мог связаться со своей семьей, чтобы получить его. М</w:t>
      </w:r>
      <w:r w:rsidRPr="00F5138E">
        <w:t>и</w:t>
      </w:r>
      <w:r w:rsidRPr="00F5138E">
        <w:t>грационный совет, тем не менее, считает, что заявитель</w:t>
      </w:r>
      <w:r w:rsidR="00605C32">
        <w:t xml:space="preserve"> не продемонстрировал, что его «</w:t>
      </w:r>
      <w:r w:rsidRPr="00F5138E">
        <w:t>п</w:t>
      </w:r>
      <w:r w:rsidRPr="00F5138E">
        <w:t>о</w:t>
      </w:r>
      <w:r w:rsidRPr="00F5138E">
        <w:t xml:space="preserve">следним местом </w:t>
      </w:r>
      <w:r w:rsidR="00733408">
        <w:t>обычного</w:t>
      </w:r>
      <w:r w:rsidR="00605C32">
        <w:t xml:space="preserve"> проживания»</w:t>
      </w:r>
      <w:r w:rsidRPr="00F5138E">
        <w:t xml:space="preserve"> являлась Чечня. </w:t>
      </w:r>
    </w:p>
    <w:p w:rsidR="00F5138E" w:rsidRPr="00F5138E" w:rsidRDefault="00F5138E" w:rsidP="00733408">
      <w:pPr>
        <w:pStyle w:val="SingleTxtGR"/>
      </w:pPr>
      <w:r w:rsidRPr="00F5138E">
        <w:t>4.12</w:t>
      </w:r>
      <w:r w:rsidRPr="00F5138E">
        <w:tab/>
        <w:t>Кроме того, в ходе бесед и слушаний заявитель с трудом вспоминал то</w:t>
      </w:r>
      <w:r w:rsidRPr="00F5138E">
        <w:t>ч</w:t>
      </w:r>
      <w:r w:rsidRPr="00F5138E">
        <w:t xml:space="preserve">ные факты, даты и детали. </w:t>
      </w:r>
      <w:r w:rsidRPr="00AF20FB">
        <w:rPr>
          <w:spacing w:val="2"/>
        </w:rPr>
        <w:t>Он пояснил, что эти трудности связаны с огромными страданиями, которые он испытывает в резу</w:t>
      </w:r>
      <w:r w:rsidR="00733408" w:rsidRPr="00AF20FB">
        <w:rPr>
          <w:spacing w:val="2"/>
        </w:rPr>
        <w:t>льтате полученных травм. Однако</w:t>
      </w:r>
      <w:r w:rsidRPr="00AF20FB">
        <w:rPr>
          <w:spacing w:val="2"/>
        </w:rPr>
        <w:t xml:space="preserve"> это объяснение представля</w:t>
      </w:r>
      <w:r w:rsidR="00733408" w:rsidRPr="00AF20FB">
        <w:rPr>
          <w:spacing w:val="2"/>
        </w:rPr>
        <w:t>ется</w:t>
      </w:r>
      <w:r w:rsidRPr="00AF20FB">
        <w:rPr>
          <w:spacing w:val="2"/>
        </w:rPr>
        <w:t xml:space="preserve"> сомнительным, поскольку заявителю, по-видимому, </w:t>
      </w:r>
      <w:r w:rsidRPr="00F5138E">
        <w:t>не хватало знаний об основных со</w:t>
      </w:r>
      <w:r w:rsidR="00605C32">
        <w:t>бытиях в его жизни, связанных с </w:t>
      </w:r>
      <w:r w:rsidRPr="00F5138E">
        <w:t>его ходата</w:t>
      </w:r>
      <w:r w:rsidRPr="00F5138E">
        <w:t>й</w:t>
      </w:r>
      <w:r w:rsidRPr="00F5138E">
        <w:t xml:space="preserve">ством о предоставлении убежища. Миграционные власти также посчитали </w:t>
      </w:r>
      <w:r w:rsidR="00733408">
        <w:t>н</w:t>
      </w:r>
      <w:r w:rsidR="00733408">
        <w:t>е</w:t>
      </w:r>
      <w:r w:rsidR="00733408">
        <w:t>достоверным</w:t>
      </w:r>
      <w:r w:rsidRPr="00F5138E">
        <w:t xml:space="preserve">, что заявителю удалось бежать из тюрьмы, поскольку ворота остались открытыми. </w:t>
      </w:r>
    </w:p>
    <w:p w:rsidR="00F5138E" w:rsidRPr="00F5138E" w:rsidRDefault="00F5138E" w:rsidP="00AF20FB">
      <w:pPr>
        <w:pStyle w:val="SingleTxtGR"/>
      </w:pPr>
      <w:r w:rsidRPr="00F5138E">
        <w:t>4.13</w:t>
      </w:r>
      <w:r w:rsidRPr="00F5138E">
        <w:tab/>
        <w:t>Помимо этого, во время первой беседы заявитель утверждал, что два его двоюродных брат</w:t>
      </w:r>
      <w:r w:rsidR="00AF20FB">
        <w:t>а</w:t>
      </w:r>
      <w:r w:rsidRPr="00F5138E">
        <w:t xml:space="preserve"> были вынуждены присоединиться к повстанцам, но в ходе второй беседы он заявил, что они добровольн</w:t>
      </w:r>
      <w:r w:rsidR="007804A8">
        <w:t>о присоединились к повстанцам</w:t>
      </w:r>
      <w:r w:rsidR="007804A8">
        <w:rPr>
          <w:rStyle w:val="a6"/>
        </w:rPr>
        <w:footnoteReference w:id="11"/>
      </w:r>
      <w:r w:rsidR="007804A8">
        <w:t xml:space="preserve">. </w:t>
      </w:r>
      <w:r w:rsidRPr="00F5138E">
        <w:t>Заявитель никогда не утверждал, что он подвергался допросам со стороны ро</w:t>
      </w:r>
      <w:r w:rsidRPr="00F5138E">
        <w:t>с</w:t>
      </w:r>
      <w:r w:rsidRPr="00F5138E">
        <w:t>сийских властей, в частности в отношении этих двоюродных братьев. В свете этих фактов остается неясным, почему заявитель будет представлять сущ</w:t>
      </w:r>
      <w:r w:rsidRPr="00F5138E">
        <w:t>е</w:t>
      </w:r>
      <w:r w:rsidRPr="00F5138E">
        <w:t xml:space="preserve">ственный интерес для российских правоохранительных органов. </w:t>
      </w:r>
    </w:p>
    <w:p w:rsidR="00F5138E" w:rsidRPr="00F5138E" w:rsidRDefault="00F5138E" w:rsidP="00733408">
      <w:pPr>
        <w:pStyle w:val="SingleTxtGR"/>
      </w:pPr>
      <w:r w:rsidRPr="00F5138E">
        <w:t>4.14</w:t>
      </w:r>
      <w:r w:rsidRPr="00F5138E">
        <w:tab/>
        <w:t>Заявитель сообщил миграционным властя</w:t>
      </w:r>
      <w:r w:rsidR="00605C32">
        <w:t>м о том, что после вступления в </w:t>
      </w:r>
      <w:r w:rsidRPr="00F5138E">
        <w:t>брак он со своей женой переехал в Грозный</w:t>
      </w:r>
      <w:r w:rsidR="00605C32">
        <w:t>. Затем он был арестован в 2010 </w:t>
      </w:r>
      <w:r w:rsidRPr="00F5138E">
        <w:t xml:space="preserve">году на рынке в Грозном и отправлен в Шатойский район, где, </w:t>
      </w:r>
      <w:r w:rsidR="00733408">
        <w:t>согласно его утверждениям</w:t>
      </w:r>
      <w:r w:rsidRPr="00F5138E">
        <w:t>, он подвергся пыткам. В Миграционном суде, однако, заяв</w:t>
      </w:r>
      <w:r w:rsidRPr="00F5138E">
        <w:t>и</w:t>
      </w:r>
      <w:r w:rsidRPr="00F5138E">
        <w:t>тель сообщил, что он переехал в Грозный в 2008 году и что он был арестован и в т</w:t>
      </w:r>
      <w:r w:rsidRPr="00F5138E">
        <w:t>е</w:t>
      </w:r>
      <w:r w:rsidRPr="00F5138E">
        <w:t>чение нескольких месяцев после этого подвергался пыткам, после чего ему удалось бежать. Кроме того, он утверждал, что один из его братьев был арест</w:t>
      </w:r>
      <w:r w:rsidRPr="00F5138E">
        <w:t>о</w:t>
      </w:r>
      <w:r w:rsidRPr="00F5138E">
        <w:t>ван в 2009 году и что этот брат был приговорен к одному году тюремного з</w:t>
      </w:r>
      <w:r w:rsidRPr="00F5138E">
        <w:t>а</w:t>
      </w:r>
      <w:r w:rsidRPr="00F5138E">
        <w:t>ключения за то, что он помогал заявителю. Государство-участник считает пр</w:t>
      </w:r>
      <w:r w:rsidRPr="00F5138E">
        <w:t>и</w:t>
      </w:r>
      <w:r w:rsidRPr="00F5138E">
        <w:t>мечательным тот факт, что заявитель не был привлечен к судебной ответстве</w:t>
      </w:r>
      <w:r w:rsidRPr="00F5138E">
        <w:t>н</w:t>
      </w:r>
      <w:r w:rsidRPr="00F5138E">
        <w:t>ности и осужден на том же основании, что и его брат. Государство-участник д</w:t>
      </w:r>
      <w:r w:rsidRPr="00F5138E">
        <w:t>а</w:t>
      </w:r>
      <w:r w:rsidRPr="00F5138E">
        <w:t>лее отмечает, что заявитель не представил никаких документов, подтвержда</w:t>
      </w:r>
      <w:r w:rsidRPr="00F5138E">
        <w:t>ю</w:t>
      </w:r>
      <w:r w:rsidRPr="00F5138E">
        <w:t xml:space="preserve">щих, что его брат действительно был привлечен к судебной ответственности и осужден. </w:t>
      </w:r>
    </w:p>
    <w:p w:rsidR="00F5138E" w:rsidRPr="00F5138E" w:rsidRDefault="00F5138E" w:rsidP="00733408">
      <w:pPr>
        <w:pStyle w:val="SingleTxtGR"/>
      </w:pPr>
      <w:r w:rsidRPr="00F5138E">
        <w:lastRenderedPageBreak/>
        <w:t>4.15</w:t>
      </w:r>
      <w:r w:rsidRPr="00F5138E">
        <w:tab/>
        <w:t xml:space="preserve">В заключение государство-участник вновь заявляет, что заявитель не </w:t>
      </w:r>
      <w:r w:rsidR="00733408">
        <w:t>предъявил</w:t>
      </w:r>
      <w:r w:rsidRPr="00F5138E">
        <w:t xml:space="preserve"> надлежащих документов, удостоверяющих его личность, и подтве</w:t>
      </w:r>
      <w:r w:rsidRPr="00F5138E">
        <w:t>р</w:t>
      </w:r>
      <w:r w:rsidRPr="00F5138E">
        <w:t xml:space="preserve">ждения вида на жительство, а также представил противоречивые сведения и факты. </w:t>
      </w:r>
      <w:r w:rsidR="00733408">
        <w:t>Поэтому</w:t>
      </w:r>
      <w:r w:rsidRPr="00F5138E">
        <w:t xml:space="preserve"> государство-участник считает, что заявитель не смог доказать, что он удовлетворяет требованиям, согласно которым опасность подвергнуться пыткам в данном деле является предсказуемой, реальной и грозит лично ему. </w:t>
      </w:r>
      <w:r w:rsidR="00733408">
        <w:t>Соответственно,</w:t>
      </w:r>
      <w:r w:rsidRPr="00F5138E">
        <w:t xml:space="preserve"> его высылка в страну его происхождения не будет являться нарушением статьи 3 Конвенции. </w:t>
      </w:r>
    </w:p>
    <w:p w:rsidR="00F5138E" w:rsidRPr="00F5138E" w:rsidRDefault="00F5138E" w:rsidP="00605C32">
      <w:pPr>
        <w:pStyle w:val="H23GR"/>
      </w:pPr>
      <w:r w:rsidRPr="00F5138E">
        <w:tab/>
      </w:r>
      <w:r w:rsidRPr="00F5138E">
        <w:tab/>
        <w:t>Дополнительная информация, представленная заявителем</w:t>
      </w:r>
    </w:p>
    <w:p w:rsidR="00F5138E" w:rsidRPr="00F5138E" w:rsidRDefault="00F5138E" w:rsidP="00605C32">
      <w:pPr>
        <w:pStyle w:val="SingleTxtGR"/>
        <w:spacing w:line="236" w:lineRule="atLeast"/>
      </w:pPr>
      <w:r w:rsidRPr="00F5138E">
        <w:t>5.1</w:t>
      </w:r>
      <w:r w:rsidRPr="00F5138E">
        <w:tab/>
        <w:t>В ответ на замечания государства-участника заявитель сообщил 16 янв</w:t>
      </w:r>
      <w:r w:rsidRPr="00F5138E">
        <w:t>а</w:t>
      </w:r>
      <w:r w:rsidRPr="00F5138E">
        <w:t>ря 2016 года, что положение дел в области прав человека в Чечне значительно отличается от того, как его оценивает государство-участник. Он ссылается на доклад, опубликованный Министерством иностранных дел Швеции, который также упомин</w:t>
      </w:r>
      <w:r w:rsidR="007804A8">
        <w:t>ается государством-участником</w:t>
      </w:r>
      <w:r w:rsidR="007804A8">
        <w:rPr>
          <w:rStyle w:val="a6"/>
        </w:rPr>
        <w:footnoteReference w:id="12"/>
      </w:r>
      <w:r w:rsidR="007804A8">
        <w:t xml:space="preserve">. </w:t>
      </w:r>
      <w:r w:rsidRPr="00F5138E">
        <w:t>В этом докладе говорит</w:t>
      </w:r>
      <w:r w:rsidR="00605C32">
        <w:t>ся, что в </w:t>
      </w:r>
      <w:r w:rsidRPr="00F5138E">
        <w:t>российских государственных органах шир</w:t>
      </w:r>
      <w:r w:rsidR="00605C32">
        <w:t>око распространена коррупция, а </w:t>
      </w:r>
      <w:r w:rsidRPr="00F5138E">
        <w:t xml:space="preserve">правозащитники, журналисты и разоблачители подвергаются преследованиям и насилию, иногда со смертельным </w:t>
      </w:r>
      <w:r w:rsidR="00AF20FB">
        <w:t>исходом. Согласно этому докладу</w:t>
      </w:r>
      <w:r w:rsidRPr="00F5138E">
        <w:t xml:space="preserve"> наиболее серьезные нарушения по-прежнему происходят на Северном Кавказе, где под предлогом борьбы с терроризмом гражданское население подвергается пыткам, произвольным арестам и похищениям. </w:t>
      </w:r>
    </w:p>
    <w:p w:rsidR="00F5138E" w:rsidRPr="00F5138E" w:rsidRDefault="00F5138E" w:rsidP="00605C32">
      <w:pPr>
        <w:pStyle w:val="SingleTxtGR"/>
        <w:spacing w:line="236" w:lineRule="atLeast"/>
      </w:pPr>
      <w:r w:rsidRPr="00F5138E">
        <w:t>5.</w:t>
      </w:r>
      <w:r w:rsidR="00605C32">
        <w:t>2</w:t>
      </w:r>
      <w:r w:rsidR="00605C32">
        <w:tab/>
        <w:t>Заявитель также ссылается на «</w:t>
      </w:r>
      <w:r w:rsidRPr="00F5138E">
        <w:t>неподтвержденные сообщения о полит</w:t>
      </w:r>
      <w:r w:rsidRPr="00F5138E">
        <w:t>и</w:t>
      </w:r>
      <w:r w:rsidRPr="00F5138E">
        <w:t>че</w:t>
      </w:r>
      <w:r w:rsidR="00605C32">
        <w:t>ских убийствах и исчезновениях»</w:t>
      </w:r>
      <w:r w:rsidRPr="00F5138E">
        <w:t xml:space="preserve">, санкционируемых властями, которые, как он утверждает, явно свидетельствуют о существовании постоянной практики грубых, вопиющих или массовых нарушений прав человека. </w:t>
      </w:r>
      <w:r w:rsidR="00733408">
        <w:t>По</w:t>
      </w:r>
      <w:r w:rsidRPr="00F5138E">
        <w:t xml:space="preserve"> заявлениям р</w:t>
      </w:r>
      <w:r w:rsidRPr="00F5138E">
        <w:t>я</w:t>
      </w:r>
      <w:r w:rsidR="00605C32">
        <w:t>да организаций, в Чечне царит «</w:t>
      </w:r>
      <w:r w:rsidRPr="00F5138E">
        <w:t>атмос</w:t>
      </w:r>
      <w:r w:rsidR="00605C32">
        <w:t>фера террора и всеобщего страха»</w:t>
      </w:r>
      <w:r w:rsidRPr="00F5138E">
        <w:t>. Ве</w:t>
      </w:r>
      <w:r w:rsidRPr="00F5138E">
        <w:t>р</w:t>
      </w:r>
      <w:r w:rsidRPr="00F5138E">
        <w:t>ховный комиссар Организации Объединенных Наций по правам человека пр</w:t>
      </w:r>
      <w:r w:rsidRPr="00F5138E">
        <w:t>и</w:t>
      </w:r>
      <w:r w:rsidRPr="00F5138E">
        <w:t>звал к привлечению к ответственности виновных в убийствах, запугиваниях и преследованиях. П</w:t>
      </w:r>
      <w:r w:rsidR="00605C32">
        <w:t>одобным же образом организация «Хьюман райтс уотч» во «</w:t>
      </w:r>
      <w:r w:rsidRPr="00F5138E">
        <w:t xml:space="preserve">Всемирном докладе </w:t>
      </w:r>
      <w:r w:rsidR="00733408">
        <w:t xml:space="preserve">за </w:t>
      </w:r>
      <w:r w:rsidRPr="00F5138E">
        <w:t>2014</w:t>
      </w:r>
      <w:r w:rsidR="00733408">
        <w:t xml:space="preserve"> год</w:t>
      </w:r>
      <w:r w:rsidR="00605C32">
        <w:t>: Россия»</w:t>
      </w:r>
      <w:r w:rsidRPr="00F5138E">
        <w:t xml:space="preserve"> помимо перечисления аналогичного перечня нарушений упоминает о вынесении приговоров в виде принудительн</w:t>
      </w:r>
      <w:r w:rsidRPr="00F5138E">
        <w:t>о</w:t>
      </w:r>
      <w:r w:rsidRPr="00F5138E">
        <w:t xml:space="preserve">го психиатрического лечения. </w:t>
      </w:r>
    </w:p>
    <w:p w:rsidR="00F5138E" w:rsidRPr="00F5138E" w:rsidRDefault="00F5138E" w:rsidP="00605C32">
      <w:pPr>
        <w:pStyle w:val="SingleTxtGR"/>
        <w:spacing w:line="236" w:lineRule="atLeast"/>
      </w:pPr>
      <w:r w:rsidRPr="00F5138E">
        <w:t>5.3</w:t>
      </w:r>
      <w:r w:rsidRPr="00F5138E">
        <w:tab/>
        <w:t xml:space="preserve">Заявитель утверждает, что в соответствии с внутренними руководящими принципами Миграционного совета для </w:t>
      </w:r>
      <w:r w:rsidR="00733408">
        <w:t>обследования</w:t>
      </w:r>
      <w:r w:rsidRPr="00F5138E">
        <w:t xml:space="preserve"> заявителей, которые утверждают, что в прошлом они подвергались пыткам, требуется привлеч</w:t>
      </w:r>
      <w:r w:rsidR="00733408">
        <w:t>ь</w:t>
      </w:r>
      <w:r w:rsidRPr="00F5138E">
        <w:t xml:space="preserve"> эк</w:t>
      </w:r>
      <w:r w:rsidRPr="00F5138E">
        <w:t>с</w:t>
      </w:r>
      <w:r w:rsidRPr="00F5138E">
        <w:t>перта или специалиста в области судебной медицины, при этом расходы, св</w:t>
      </w:r>
      <w:r w:rsidRPr="00F5138E">
        <w:t>я</w:t>
      </w:r>
      <w:r w:rsidRPr="00F5138E">
        <w:t>занные с такой экспертизой, должны покрываться государством-участником. Миграционный совет и Миграционный суд решили проигнорировать свои со</w:t>
      </w:r>
      <w:r w:rsidRPr="00F5138E">
        <w:t>б</w:t>
      </w:r>
      <w:r w:rsidRPr="00F5138E">
        <w:t xml:space="preserve">ственные руководящие принципы, которые действительно следует толковать как отказ в правосудии. </w:t>
      </w:r>
    </w:p>
    <w:p w:rsidR="00F5138E" w:rsidRPr="00F5138E" w:rsidRDefault="00F5138E" w:rsidP="00605C32">
      <w:pPr>
        <w:pStyle w:val="H23GR"/>
      </w:pPr>
      <w:r w:rsidRPr="00F5138E">
        <w:tab/>
      </w:r>
      <w:r w:rsidRPr="00F5138E">
        <w:tab/>
        <w:t>Дополнительная информация, представленная государством-участником</w:t>
      </w:r>
    </w:p>
    <w:p w:rsidR="00F5138E" w:rsidRPr="00F5138E" w:rsidRDefault="00F5138E" w:rsidP="00605C32">
      <w:pPr>
        <w:pStyle w:val="SingleTxtGR"/>
        <w:spacing w:line="230" w:lineRule="atLeast"/>
      </w:pPr>
      <w:r w:rsidRPr="00605C32">
        <w:rPr>
          <w:spacing w:val="2"/>
        </w:rPr>
        <w:t>6.1</w:t>
      </w:r>
      <w:r w:rsidRPr="00605C32">
        <w:rPr>
          <w:spacing w:val="2"/>
        </w:rPr>
        <w:tab/>
        <w:t>В своем ответе от 29 апреля 2016 года на комментарии адвоката заявителя государство-участник вновь изложило свою позицию, согласно которой, не желая недооценивать нынешнее положение дел в области прав человека</w:t>
      </w:r>
      <w:r w:rsidRPr="00F5138E">
        <w:t xml:space="preserve"> </w:t>
      </w:r>
      <w:r w:rsidRPr="00605C32">
        <w:rPr>
          <w:spacing w:val="2"/>
        </w:rPr>
        <w:t>в Российской Федерации</w:t>
      </w:r>
      <w:r w:rsidR="00AF20FB">
        <w:rPr>
          <w:spacing w:val="2"/>
        </w:rPr>
        <w:t>,</w:t>
      </w:r>
      <w:r w:rsidRPr="00605C32">
        <w:rPr>
          <w:spacing w:val="2"/>
        </w:rPr>
        <w:t xml:space="preserve"> и особенно в районе Северного Кавказа, оно в то же время</w:t>
      </w:r>
      <w:r w:rsidRPr="00F5138E">
        <w:t xml:space="preserve"> </w:t>
      </w:r>
      <w:r w:rsidRPr="00605C32">
        <w:rPr>
          <w:spacing w:val="2"/>
        </w:rPr>
        <w:t>считает, что такое положение само по себе не предопределяет нарушение статьи 3</w:t>
      </w:r>
      <w:r w:rsidRPr="00F5138E">
        <w:t xml:space="preserve"> Ко</w:t>
      </w:r>
      <w:r w:rsidRPr="00F5138E">
        <w:t>н</w:t>
      </w:r>
      <w:r w:rsidRPr="00F5138E">
        <w:t>венции. Возвращение заявителя в Российскую Федерацию являлось бы таким нарушением в том случае, если бы он смог доказать, что опасность подвер</w:t>
      </w:r>
      <w:r w:rsidRPr="00F5138E">
        <w:t>г</w:t>
      </w:r>
      <w:r w:rsidRPr="00F5138E">
        <w:t xml:space="preserve">нуться обращению, идущему вразрез со статьей 3, грозит </w:t>
      </w:r>
      <w:r w:rsidR="00733408">
        <w:t>ему лично</w:t>
      </w:r>
      <w:r w:rsidRPr="00F5138E">
        <w:t xml:space="preserve">. </w:t>
      </w:r>
    </w:p>
    <w:p w:rsidR="00F5138E" w:rsidRPr="00F5138E" w:rsidRDefault="00F5138E" w:rsidP="00F5138E">
      <w:pPr>
        <w:pStyle w:val="SingleTxtGR"/>
      </w:pPr>
      <w:r w:rsidRPr="00F5138E">
        <w:lastRenderedPageBreak/>
        <w:t>6.2</w:t>
      </w:r>
      <w:r w:rsidRPr="00F5138E">
        <w:tab/>
        <w:t>Государство-участник добавляет, что, по его мнению, расхождения и пр</w:t>
      </w:r>
      <w:r w:rsidRPr="00F5138E">
        <w:t>о</w:t>
      </w:r>
      <w:r w:rsidRPr="00F5138E">
        <w:t>тиворечия в утверждениях заявителя, которые он представил в Миграционный совет, Миграционный суд и Комитет, являются достаточно серьезными, чтобы поставить под сомнение достоверность всех его заявлений. Заявитель предст</w:t>
      </w:r>
      <w:r w:rsidRPr="00F5138E">
        <w:t>а</w:t>
      </w:r>
      <w:r w:rsidRPr="00F5138E">
        <w:t>вил противоречивые сведения о весьма важной составляющей своего излож</w:t>
      </w:r>
      <w:r w:rsidRPr="00F5138E">
        <w:t>е</w:t>
      </w:r>
      <w:r w:rsidRPr="00F5138E">
        <w:t xml:space="preserve">ния фактов. </w:t>
      </w:r>
    </w:p>
    <w:p w:rsidR="00F5138E" w:rsidRPr="00F5138E" w:rsidRDefault="00F5138E" w:rsidP="00F5138E">
      <w:pPr>
        <w:pStyle w:val="SingleTxtGR"/>
      </w:pPr>
      <w:r w:rsidRPr="00F5138E">
        <w:t>6.3</w:t>
      </w:r>
      <w:r w:rsidRPr="00F5138E">
        <w:tab/>
        <w:t>Что касается утверждения заявителя о том, что миграционные органы государства-участника обязаны были дополнительно проверить, подвергался ли он пыткам, государство-участник отмечает, что обязанность приводить доказ</w:t>
      </w:r>
      <w:r w:rsidRPr="00F5138E">
        <w:t>а</w:t>
      </w:r>
      <w:r w:rsidRPr="00F5138E">
        <w:t>тельства в обоснование утверждения заявителя об опасности подвергнуться о</w:t>
      </w:r>
      <w:r w:rsidRPr="00F5138E">
        <w:t>б</w:t>
      </w:r>
      <w:r w:rsidRPr="00F5138E">
        <w:t>ращению, идущему вразрез со статьей 3 Конвенции, лежит на самом заявителе. Когда такие доказательства приводятся, государству-участнику надлежит разв</w:t>
      </w:r>
      <w:r w:rsidRPr="00F5138E">
        <w:t>е</w:t>
      </w:r>
      <w:r w:rsidRPr="00F5138E">
        <w:t>ять любые сомнения, касающиеся таких доказательств. Государство-участник вновь отмечает наличие всех оснований сомневаться в правдивости утвержд</w:t>
      </w:r>
      <w:r w:rsidRPr="00F5138E">
        <w:t>е</w:t>
      </w:r>
      <w:r w:rsidRPr="00F5138E">
        <w:t>ний заявителя. Поэтому государство-участник считает, что миграционные орг</w:t>
      </w:r>
      <w:r w:rsidRPr="00F5138E">
        <w:t>а</w:t>
      </w:r>
      <w:r w:rsidRPr="00F5138E">
        <w:t xml:space="preserve">ны не были обязаны дополнительно рассматривать вопрос о том, подвергался ли заявитель пыткам в прошлом. </w:t>
      </w:r>
    </w:p>
    <w:p w:rsidR="00F5138E" w:rsidRPr="00F5138E" w:rsidRDefault="00F5138E" w:rsidP="00605C32">
      <w:pPr>
        <w:pStyle w:val="H23GR"/>
      </w:pPr>
      <w:r w:rsidRPr="00F5138E">
        <w:tab/>
      </w:r>
      <w:r w:rsidRPr="00F5138E">
        <w:tab/>
        <w:t>Вопросы и их процедура рассмотрения в Комитете</w:t>
      </w:r>
    </w:p>
    <w:p w:rsidR="00F5138E" w:rsidRPr="00F5138E" w:rsidRDefault="00F5138E" w:rsidP="00605C32">
      <w:pPr>
        <w:pStyle w:val="H4GR"/>
      </w:pPr>
      <w:r w:rsidRPr="00F5138E">
        <w:tab/>
      </w:r>
      <w:r w:rsidRPr="00F5138E">
        <w:tab/>
        <w:t xml:space="preserve">Рассмотрение вопроса о приемлемости </w:t>
      </w:r>
    </w:p>
    <w:p w:rsidR="00F5138E" w:rsidRPr="00F5138E" w:rsidRDefault="00F5138E" w:rsidP="002F5202">
      <w:pPr>
        <w:pStyle w:val="SingleTxtGR"/>
      </w:pPr>
      <w:r w:rsidRPr="00F5138E">
        <w:t>7.1</w:t>
      </w:r>
      <w:r w:rsidRPr="00F5138E">
        <w:tab/>
        <w:t>Прежде чем приступить к рассмотрению жалобы, представленной в с</w:t>
      </w:r>
      <w:r w:rsidRPr="00F5138E">
        <w:t>о</w:t>
      </w:r>
      <w:r w:rsidRPr="00F5138E">
        <w:t xml:space="preserve">общении, Комитет должен решить, является ли оно приемлемым в соответствии со статьей 22 Конвенции. </w:t>
      </w:r>
      <w:r w:rsidR="002F5202">
        <w:t>Согласно</w:t>
      </w:r>
      <w:r w:rsidRPr="00F5138E">
        <w:t xml:space="preserve"> требовани</w:t>
      </w:r>
      <w:r w:rsidR="002F5202">
        <w:t>ю</w:t>
      </w:r>
      <w:r w:rsidRPr="00F5138E">
        <w:t xml:space="preserve"> пункта 5 а) статьи 22 Конве</w:t>
      </w:r>
      <w:r w:rsidRPr="00F5138E">
        <w:t>н</w:t>
      </w:r>
      <w:r w:rsidRPr="00F5138E">
        <w:t>ции Комитет убедился в том, что этот же вопрос не рассматривался и не ра</w:t>
      </w:r>
      <w:r w:rsidRPr="00F5138E">
        <w:t>с</w:t>
      </w:r>
      <w:r w:rsidRPr="00F5138E">
        <w:t>сматривается по какой-либо другой процедуре международного расследования или урегулирования.</w:t>
      </w:r>
    </w:p>
    <w:p w:rsidR="00F5138E" w:rsidRPr="00F5138E" w:rsidRDefault="00F5138E" w:rsidP="002F5202">
      <w:pPr>
        <w:pStyle w:val="SingleTxtGR"/>
      </w:pPr>
      <w:r w:rsidRPr="00F5138E">
        <w:t>7.2</w:t>
      </w:r>
      <w:r w:rsidRPr="00F5138E">
        <w:tab/>
        <w:t xml:space="preserve">Комитет напоминает, что в соответствии </w:t>
      </w:r>
      <w:r w:rsidR="00605C32">
        <w:t>с подпунктом b) пункта 5 ст</w:t>
      </w:r>
      <w:r w:rsidR="00605C32">
        <w:t>а</w:t>
      </w:r>
      <w:r w:rsidR="00605C32">
        <w:t>тьи </w:t>
      </w:r>
      <w:r w:rsidRPr="00F5138E">
        <w:t>22 Конвенции он не рассматривает никаких сообщений от какого-либо л</w:t>
      </w:r>
      <w:r w:rsidRPr="00F5138E">
        <w:t>и</w:t>
      </w:r>
      <w:r w:rsidRPr="00F5138E">
        <w:t>ца, если не убедится в том, что данное лицо исчерпало все имеющиеся вну</w:t>
      </w:r>
      <w:r w:rsidRPr="00F5138E">
        <w:t>т</w:t>
      </w:r>
      <w:r w:rsidRPr="00F5138E">
        <w:t>ренние средства правовой защиты. Он отмечает, что в данном случае госуда</w:t>
      </w:r>
      <w:r w:rsidRPr="00F5138E">
        <w:t>р</w:t>
      </w:r>
      <w:r w:rsidRPr="00F5138E">
        <w:t>ство-участник признало, что заявитель исчерпал все имеющиеся внутренние средства правовой защиты. Поэтому Комитет не видит препятствий для пр</w:t>
      </w:r>
      <w:r w:rsidRPr="00F5138E">
        <w:t>и</w:t>
      </w:r>
      <w:r w:rsidRPr="00F5138E">
        <w:t>знания приемлемости; он объявляет сообщение приемлемым в том, что касае</w:t>
      </w:r>
      <w:r w:rsidRPr="00F5138E">
        <w:t>т</w:t>
      </w:r>
      <w:r w:rsidRPr="00F5138E">
        <w:t>ся претензии заявителя по статье 3 Конвенции, и приступает к рассмотрению по с</w:t>
      </w:r>
      <w:r w:rsidRPr="00F5138E">
        <w:t>у</w:t>
      </w:r>
      <w:r w:rsidRPr="00F5138E">
        <w:t>ществу.</w:t>
      </w:r>
    </w:p>
    <w:p w:rsidR="00F5138E" w:rsidRPr="00F5138E" w:rsidRDefault="00F5138E" w:rsidP="00605C32">
      <w:pPr>
        <w:pStyle w:val="H4GR"/>
      </w:pPr>
      <w:r w:rsidRPr="00F5138E">
        <w:tab/>
      </w:r>
      <w:r w:rsidRPr="00F5138E">
        <w:tab/>
        <w:t>Рассмотрение сообщения по существу</w:t>
      </w:r>
    </w:p>
    <w:p w:rsidR="00F5138E" w:rsidRPr="00F5138E" w:rsidRDefault="00F5138E" w:rsidP="00F5138E">
      <w:pPr>
        <w:pStyle w:val="SingleTxtGR"/>
      </w:pPr>
      <w:r w:rsidRPr="00F5138E">
        <w:t>8.1</w:t>
      </w:r>
      <w:r w:rsidRPr="00F5138E">
        <w:tab/>
        <w:t>В соответствии с пунктом 4 статьи 22 Конвенции Комитет рассмотрел с</w:t>
      </w:r>
      <w:r w:rsidRPr="00F5138E">
        <w:t>о</w:t>
      </w:r>
      <w:r w:rsidRPr="00F5138E">
        <w:t>общение в свете всей информации, представленной ему заинтересованными сторонами.</w:t>
      </w:r>
    </w:p>
    <w:p w:rsidR="00F5138E" w:rsidRPr="00F5138E" w:rsidRDefault="00F5138E" w:rsidP="002F5202">
      <w:pPr>
        <w:pStyle w:val="SingleTxtGR"/>
      </w:pPr>
      <w:r w:rsidRPr="00F5138E">
        <w:t>8.2</w:t>
      </w:r>
      <w:r w:rsidRPr="00F5138E">
        <w:tab/>
        <w:t>Комитет должен определить, будет ли депортация заявителя в Росси</w:t>
      </w:r>
      <w:r w:rsidRPr="00F5138E">
        <w:t>й</w:t>
      </w:r>
      <w:r w:rsidRPr="00F5138E">
        <w:t xml:space="preserve">скую Федерацию нарушением обязательства государства-участника по пункту 1 статьи 3 Конвенции </w:t>
      </w:r>
      <w:r w:rsidR="00605C32">
        <w:t>не высылать или не возвращать («refouler»</w:t>
      </w:r>
      <w:r w:rsidRPr="00F5138E">
        <w:t>) какое-либо л</w:t>
      </w:r>
      <w:r w:rsidRPr="00F5138E">
        <w:t>и</w:t>
      </w:r>
      <w:r w:rsidRPr="00F5138E">
        <w:t xml:space="preserve">цо другому государству, если существуют серьезные основания полагать, что ему </w:t>
      </w:r>
      <w:r w:rsidR="002F5202">
        <w:t xml:space="preserve">или ей </w:t>
      </w:r>
      <w:r w:rsidRPr="00F5138E">
        <w:t>может угрожать там применение пыток. Комитет напоминает, что существование постоянной практики грубых, вопиющих или массовых наруш</w:t>
      </w:r>
      <w:r w:rsidRPr="00F5138E">
        <w:t>е</w:t>
      </w:r>
      <w:r w:rsidRPr="00F5138E">
        <w:t>ний прав человек в стране само по себе не является достаточным основанием полагать, что после возвращения в эту страну данному лицу будет угрожа</w:t>
      </w:r>
      <w:r w:rsidR="007804A8">
        <w:t xml:space="preserve">ть </w:t>
      </w:r>
      <w:r w:rsidR="007804A8">
        <w:lastRenderedPageBreak/>
        <w:t>опасность применения пыток</w:t>
      </w:r>
      <w:r w:rsidR="007804A8">
        <w:rPr>
          <w:rStyle w:val="a6"/>
        </w:rPr>
        <w:footnoteReference w:id="13"/>
      </w:r>
      <w:r w:rsidR="007804A8">
        <w:t xml:space="preserve">. </w:t>
      </w:r>
      <w:r w:rsidR="002F5202">
        <w:t>И напротив,</w:t>
      </w:r>
      <w:r w:rsidRPr="00F5138E">
        <w:t xml:space="preserve"> отсутствие вопиющих и систем</w:t>
      </w:r>
      <w:r w:rsidRPr="00F5138E">
        <w:t>а</w:t>
      </w:r>
      <w:r w:rsidRPr="00F5138E">
        <w:t>тических нарушений прав человека не означает, что тому или иному лицу не может угр</w:t>
      </w:r>
      <w:r w:rsidRPr="00F5138E">
        <w:t>о</w:t>
      </w:r>
      <w:r w:rsidRPr="00F5138E">
        <w:t>жать применение пыток.</w:t>
      </w:r>
    </w:p>
    <w:p w:rsidR="00F5138E" w:rsidRPr="00F5138E" w:rsidRDefault="00F5138E" w:rsidP="00AF20FB">
      <w:pPr>
        <w:pStyle w:val="SingleTxtGR"/>
      </w:pPr>
      <w:r w:rsidRPr="00F5138E">
        <w:t>8.3</w:t>
      </w:r>
      <w:r w:rsidRPr="00F5138E">
        <w:tab/>
        <w:t>Ссылаясь на свое замечание общего порядка № 1, Комитет по</w:t>
      </w:r>
      <w:r w:rsidRPr="00F5138E">
        <w:t>д</w:t>
      </w:r>
      <w:r w:rsidRPr="00F5138E">
        <w:t>тверждает, что при оценке степени риска применения пыток должны анализироваться о</w:t>
      </w:r>
      <w:r w:rsidRPr="00F5138E">
        <w:t>с</w:t>
      </w:r>
      <w:r w:rsidRPr="00F5138E">
        <w:t>нования, выходящие за пределы одних лишь умозрительных предположений или подозрений. Вместе с тем опасность применения пыток не обязат</w:t>
      </w:r>
      <w:r w:rsidR="00605C32">
        <w:t>ельно должна отвечать критерию «высокой степени вероятности»</w:t>
      </w:r>
      <w:r w:rsidRPr="00F5138E">
        <w:t>, но должна являться личной, существующей, предсказуемой и реальной</w:t>
      </w:r>
      <w:r w:rsidR="007804A8">
        <w:rPr>
          <w:rStyle w:val="a6"/>
        </w:rPr>
        <w:footnoteReference w:id="14"/>
      </w:r>
      <w:r w:rsidRPr="00F5138E">
        <w:t xml:space="preserve">. </w:t>
      </w:r>
    </w:p>
    <w:p w:rsidR="00F5138E" w:rsidRPr="00F5138E" w:rsidRDefault="00F5138E" w:rsidP="00F5138E">
      <w:pPr>
        <w:pStyle w:val="SingleTxtGR"/>
      </w:pPr>
      <w:r w:rsidRPr="00F5138E">
        <w:t>8.4</w:t>
      </w:r>
      <w:r w:rsidRPr="00F5138E">
        <w:tab/>
        <w:t>Комитет принимает к сведению утверждение заявителя о том, что он был дважды арестован и подвергнут пыткам. Комитет отмечает, что, по мнению з</w:t>
      </w:r>
      <w:r w:rsidRPr="00F5138E">
        <w:t>а</w:t>
      </w:r>
      <w:r w:rsidRPr="00F5138E">
        <w:t>явителя, ни Миграционный совет, ни Миграционный суд не приняли во вним</w:t>
      </w:r>
      <w:r w:rsidRPr="00F5138E">
        <w:t>а</w:t>
      </w:r>
      <w:r w:rsidRPr="00F5138E">
        <w:t>ние эту информацию.</w:t>
      </w:r>
    </w:p>
    <w:p w:rsidR="00F5138E" w:rsidRPr="00F5138E" w:rsidRDefault="00F5138E" w:rsidP="00F5138E">
      <w:pPr>
        <w:pStyle w:val="SingleTxtGR"/>
      </w:pPr>
      <w:r w:rsidRPr="00F5138E">
        <w:t>8.5</w:t>
      </w:r>
      <w:r w:rsidRPr="00F5138E">
        <w:tab/>
        <w:t>Комитет также отмечает, что</w:t>
      </w:r>
      <w:r w:rsidR="00AF20FB">
        <w:t>,</w:t>
      </w:r>
      <w:r w:rsidRPr="00F5138E">
        <w:t xml:space="preserve"> даже если он согласится с утверждениями заявителя о том, что в прошлом он подвергался пыткам или жестокому обращ</w:t>
      </w:r>
      <w:r w:rsidRPr="00F5138E">
        <w:t>е</w:t>
      </w:r>
      <w:r w:rsidRPr="00F5138E">
        <w:t>нию, вопрос заключается в том, угрожает ли ему по-прежнему опасность пр</w:t>
      </w:r>
      <w:r w:rsidRPr="00F5138E">
        <w:t>и</w:t>
      </w:r>
      <w:r w:rsidRPr="00F5138E">
        <w:t>менения пыток в Российской Федерации в настоящее время. Комитет отмечает, что нынешнее положение дел в области прав человека в Российской Федерации, в частности на Северном Кавказе, по-прежнему вызывает обеспокоенность по ряду аспектов. Комитет напоминает, что в своих заключительных замечаниях по пятому периодическому докладу Российской Федерации в 2012 году он выразил обеспокоенность в связи с многочисленными, непрекращающимися и соглас</w:t>
      </w:r>
      <w:r w:rsidRPr="00F5138E">
        <w:t>у</w:t>
      </w:r>
      <w:r w:rsidRPr="00F5138E">
        <w:t>ющимися между собой сообщениями о серьезных нарушениях прав человека на Северном Кавказе, в частности в Чечне, совершаемых государственными дол</w:t>
      </w:r>
      <w:r w:rsidRPr="00F5138E">
        <w:t>ж</w:t>
      </w:r>
      <w:r w:rsidRPr="00F5138E">
        <w:t xml:space="preserve">ностными лицами или иными лицами, выступающими в официальном качестве, или по их подстрекательству, или с их ведома или молчаливого согласия, в том числе сообщениями о пытках и жестоком обращении, похищении людей, насильственных исчезновениях и внесудебных казнях (см. CAT/C/RUS/CO/5, пункт 13). </w:t>
      </w:r>
    </w:p>
    <w:p w:rsidR="00F5138E" w:rsidRPr="00F5138E" w:rsidRDefault="00F5138E" w:rsidP="00AF20FB">
      <w:pPr>
        <w:pStyle w:val="SingleTxtGR"/>
      </w:pPr>
      <w:r w:rsidRPr="00F5138E">
        <w:t>8.6</w:t>
      </w:r>
      <w:r w:rsidRPr="00F5138E">
        <w:tab/>
        <w:t>Комитет отмечает, что государство-участник обратило внимание на нес</w:t>
      </w:r>
      <w:r w:rsidRPr="00F5138E">
        <w:t>о</w:t>
      </w:r>
      <w:r w:rsidRPr="00F5138E">
        <w:t>ответствия и противоречия в свидетельствах заявителя и представленных им документах, которые вызывают сомнения в отношении общей убедительности заявителя и правдивости его утверждений. Комитет отмечает, в частности, что заявитель не смог окончательно подтвердить, что его обычное и постоянное м</w:t>
      </w:r>
      <w:r w:rsidRPr="00F5138E">
        <w:t>е</w:t>
      </w:r>
      <w:r w:rsidRPr="00F5138E">
        <w:t xml:space="preserve">сто жительства находится в Чечне, </w:t>
      </w:r>
      <w:r w:rsidR="00AF20FB">
        <w:t xml:space="preserve">и </w:t>
      </w:r>
      <w:r w:rsidRPr="00F5138E">
        <w:t>он не смог продемонстрировать каких-либо доказательств того, что его брат и другие членов семьи подвергались пр</w:t>
      </w:r>
      <w:r w:rsidRPr="00F5138E">
        <w:t>е</w:t>
      </w:r>
      <w:r w:rsidRPr="00F5138E">
        <w:t>следованиям за их связи с заявителем. Далее заявитель не смог представить точные даты, информацию о местах и имена лиц, причастных к событиям, к</w:t>
      </w:r>
      <w:r w:rsidRPr="00F5138E">
        <w:t>о</w:t>
      </w:r>
      <w:r w:rsidRPr="00F5138E">
        <w:t>торые имеют ключевое значение в его ходатайстве о предоставлении защиты; в частности, он не смог представить подробную информацию и описания в о</w:t>
      </w:r>
      <w:r w:rsidRPr="00F5138E">
        <w:t>т</w:t>
      </w:r>
      <w:r w:rsidRPr="00F5138E">
        <w:t>ноше</w:t>
      </w:r>
      <w:r w:rsidR="002F5202">
        <w:t>нии его мест</w:t>
      </w:r>
      <w:r w:rsidRPr="00F5138E">
        <w:t xml:space="preserve"> жительства и его предполагаемых арест</w:t>
      </w:r>
      <w:r w:rsidR="00AF20FB">
        <w:t>ов и случаев</w:t>
      </w:r>
      <w:r w:rsidRPr="00F5138E">
        <w:t xml:space="preserve"> пыток, которым он подвергался со стороны российских властей. </w:t>
      </w:r>
    </w:p>
    <w:p w:rsidR="00F5138E" w:rsidRPr="00F5138E" w:rsidRDefault="00F5138E" w:rsidP="00F5138E">
      <w:pPr>
        <w:pStyle w:val="SingleTxtGR"/>
      </w:pPr>
      <w:r w:rsidRPr="00F5138E">
        <w:t>8.7</w:t>
      </w:r>
      <w:r w:rsidRPr="00F5138E">
        <w:tab/>
        <w:t xml:space="preserve">Комитет </w:t>
      </w:r>
      <w:r w:rsidR="002F5202">
        <w:t xml:space="preserve">далее </w:t>
      </w:r>
      <w:r w:rsidRPr="00F5138E">
        <w:t xml:space="preserve">отмечает, что заявитель просто сообщил Миграционному совету и Миграционному суду, что опасается подвергнуться пыткам в случае возвращения в Российскую Федерацию, утверждая, что он подвергался пыткам </w:t>
      </w:r>
      <w:r w:rsidRPr="00F5138E">
        <w:lastRenderedPageBreak/>
        <w:t>в прошлом и станет их жертвой снова. Комитет, однако, отмечает, что заявитель не привел никаких доказательств, указывающих на то, что в случае его возвр</w:t>
      </w:r>
      <w:r w:rsidRPr="00F5138E">
        <w:t>а</w:t>
      </w:r>
      <w:r w:rsidRPr="00F5138E">
        <w:t>щения он подвергнется преследованиям со стороны российских властей. Ком</w:t>
      </w:r>
      <w:r w:rsidRPr="00F5138E">
        <w:t>и</w:t>
      </w:r>
      <w:r w:rsidRPr="00F5138E">
        <w:t>тет напоминает, что в своем замечании общего порядка № 1 он заявил, что б</w:t>
      </w:r>
      <w:r w:rsidRPr="00F5138E">
        <w:t>у</w:t>
      </w:r>
      <w:r w:rsidRPr="00F5138E">
        <w:t>дет в значительной степени опираться на заявления по фактической стороне д</w:t>
      </w:r>
      <w:r w:rsidRPr="00F5138E">
        <w:t>е</w:t>
      </w:r>
      <w:r w:rsidRPr="00F5138E">
        <w:t>ла, подготовленные органами соответствующего государства-участника. Ком</w:t>
      </w:r>
      <w:r w:rsidRPr="00F5138E">
        <w:t>и</w:t>
      </w:r>
      <w:r w:rsidRPr="00F5138E">
        <w:t>тет считает, что с учетом конкретных обстоятельств данного дела нет основ</w:t>
      </w:r>
      <w:r w:rsidRPr="00F5138E">
        <w:t>а</w:t>
      </w:r>
      <w:r w:rsidRPr="00F5138E">
        <w:t>ний ставить под сомнение оценку государством-участником всех представле</w:t>
      </w:r>
      <w:r w:rsidRPr="00F5138E">
        <w:t>н</w:t>
      </w:r>
      <w:r w:rsidRPr="00F5138E">
        <w:t>ных заявителем доказательств.</w:t>
      </w:r>
    </w:p>
    <w:p w:rsidR="00F5138E" w:rsidRPr="00F5138E" w:rsidRDefault="00F5138E" w:rsidP="002F5202">
      <w:pPr>
        <w:pStyle w:val="SingleTxtGR"/>
      </w:pPr>
      <w:r w:rsidRPr="00F5138E">
        <w:t>8.8</w:t>
      </w:r>
      <w:r w:rsidRPr="00F5138E">
        <w:tab/>
        <w:t>Комитет напоминает, что при оценке степени риска применения пыток должны анализироваться основания, выходящие за пределы одних лишь ум</w:t>
      </w:r>
      <w:r w:rsidRPr="00F5138E">
        <w:t>о</w:t>
      </w:r>
      <w:r w:rsidRPr="00F5138E">
        <w:t>зрительных предположений, и указывает на то, что, как правило, бремя арг</w:t>
      </w:r>
      <w:r w:rsidRPr="00F5138E">
        <w:t>у</w:t>
      </w:r>
      <w:r w:rsidRPr="00F5138E">
        <w:t>ментированного изло</w:t>
      </w:r>
      <w:r w:rsidR="007804A8">
        <w:t>жения дела лежит на заявителе</w:t>
      </w:r>
      <w:r w:rsidR="007804A8">
        <w:rPr>
          <w:rStyle w:val="a6"/>
        </w:rPr>
        <w:footnoteReference w:id="15"/>
      </w:r>
      <w:r w:rsidR="007804A8">
        <w:t xml:space="preserve">. </w:t>
      </w:r>
      <w:r w:rsidRPr="00F5138E">
        <w:t>В этом отношении нар</w:t>
      </w:r>
      <w:r w:rsidRPr="00F5138E">
        <w:t>я</w:t>
      </w:r>
      <w:r w:rsidRPr="00F5138E">
        <w:t>ду с отсутствием информации о предполагаемых случаях пыток Комитет отм</w:t>
      </w:r>
      <w:r w:rsidRPr="00F5138E">
        <w:t>е</w:t>
      </w:r>
      <w:r w:rsidRPr="00F5138E">
        <w:t>чает несоответствия, опис</w:t>
      </w:r>
      <w:r w:rsidR="007804A8">
        <w:t>анные государством-участником</w:t>
      </w:r>
      <w:r w:rsidR="007804A8">
        <w:rPr>
          <w:rStyle w:val="a6"/>
        </w:rPr>
        <w:footnoteReference w:id="16"/>
      </w:r>
      <w:r w:rsidR="007804A8">
        <w:t xml:space="preserve">. </w:t>
      </w:r>
      <w:r w:rsidRPr="00F5138E">
        <w:t>В свете этих соо</w:t>
      </w:r>
      <w:r w:rsidRPr="00F5138E">
        <w:t>б</w:t>
      </w:r>
      <w:r w:rsidRPr="00F5138E">
        <w:t>ражений и всей представленной заявител</w:t>
      </w:r>
      <w:r w:rsidR="002F5202">
        <w:t>ем</w:t>
      </w:r>
      <w:r w:rsidRPr="00F5138E">
        <w:t xml:space="preserve"> информации, в том числе об общем положении дел в области прав человека в Российской Федерации, Комитет пр</w:t>
      </w:r>
      <w:r w:rsidRPr="00F5138E">
        <w:t>и</w:t>
      </w:r>
      <w:r w:rsidRPr="00F5138E">
        <w:t>ходит к заключению, что заявитель не представил достаточных доказательств, позволяющих Комитету сделать вывод о том, что в случае его высылки в страну происхождения он подвергнется предсказуемой, реальной и личной опасности применения пыток по смыслу статьи 3 Конвенции.</w:t>
      </w:r>
    </w:p>
    <w:p w:rsidR="00F5138E" w:rsidRPr="00F5138E" w:rsidRDefault="00F5138E" w:rsidP="00F5138E">
      <w:pPr>
        <w:pStyle w:val="SingleTxtGR"/>
      </w:pPr>
      <w:r w:rsidRPr="00F5138E">
        <w:t>9.</w:t>
      </w:r>
      <w:r w:rsidRPr="00F5138E">
        <w:tab/>
        <w:t>Таким образом, действуя в соответствии с пунктом 7 статьи 22 Конве</w:t>
      </w:r>
      <w:r w:rsidRPr="00F5138E">
        <w:t>н</w:t>
      </w:r>
      <w:r w:rsidRPr="00F5138E">
        <w:t>ции, Комитет делает вывод о том, что высылка заявителя в Российскую Фед</w:t>
      </w:r>
      <w:r w:rsidRPr="00F5138E">
        <w:t>е</w:t>
      </w:r>
      <w:r w:rsidRPr="00F5138E">
        <w:t>рацию не будет представлять собой нарушение статьи 3 Конвенции.</w:t>
      </w:r>
    </w:p>
    <w:p w:rsidR="008855BE" w:rsidRPr="00F5138E" w:rsidRDefault="00F5138E" w:rsidP="00F513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55BE" w:rsidRPr="00F5138E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08" w:rsidRDefault="00733408" w:rsidP="00B471C5">
      <w:r>
        <w:separator/>
      </w:r>
    </w:p>
  </w:endnote>
  <w:endnote w:type="continuationSeparator" w:id="0">
    <w:p w:rsidR="00733408" w:rsidRDefault="0073340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08" w:rsidRPr="00F85B06" w:rsidRDefault="00733408">
    <w:pPr>
      <w:pStyle w:val="a7"/>
      <w:rPr>
        <w:szCs w:val="16"/>
        <w:lang w:val="ru-RU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1225AE">
      <w:rPr>
        <w:b/>
        <w:noProof/>
      </w:rPr>
      <w:t>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="00F85B06">
      <w:rPr>
        <w:rStyle w:val="a9"/>
        <w:b w:val="0"/>
        <w:sz w:val="16"/>
        <w:szCs w:val="16"/>
        <w:lang w:val="ru-RU"/>
      </w:rPr>
      <w:t>16126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08" w:rsidRPr="003324D3" w:rsidRDefault="00F85B06">
    <w:pPr>
      <w:pStyle w:val="a7"/>
      <w:rPr>
        <w:b/>
        <w:sz w:val="18"/>
        <w:szCs w:val="18"/>
        <w:lang w:val="en-US"/>
      </w:rPr>
    </w:pPr>
    <w:r>
      <w:rPr>
        <w:rStyle w:val="a9"/>
        <w:b w:val="0"/>
        <w:sz w:val="16"/>
        <w:szCs w:val="16"/>
        <w:lang w:val="en-US"/>
      </w:rPr>
      <w:t>GE.16-</w:t>
    </w:r>
    <w:r>
      <w:rPr>
        <w:rStyle w:val="a9"/>
        <w:b w:val="0"/>
        <w:sz w:val="16"/>
        <w:szCs w:val="16"/>
        <w:lang w:val="ru-RU"/>
      </w:rPr>
      <w:t>16126</w:t>
    </w:r>
    <w:r w:rsidR="00733408">
      <w:rPr>
        <w:lang w:val="en-US"/>
      </w:rPr>
      <w:tab/>
    </w:r>
    <w:r w:rsidR="00733408" w:rsidRPr="003324D3">
      <w:rPr>
        <w:b/>
      </w:rPr>
      <w:fldChar w:fldCharType="begin"/>
    </w:r>
    <w:r w:rsidR="00733408" w:rsidRPr="003324D3">
      <w:rPr>
        <w:b/>
      </w:rPr>
      <w:instrText xml:space="preserve"> PAGE  \* Arabic  \* MERGEFORMAT </w:instrText>
    </w:r>
    <w:r w:rsidR="00733408" w:rsidRPr="003324D3">
      <w:rPr>
        <w:b/>
      </w:rPr>
      <w:fldChar w:fldCharType="separate"/>
    </w:r>
    <w:r w:rsidR="001225AE">
      <w:rPr>
        <w:b/>
        <w:noProof/>
      </w:rPr>
      <w:t>9</w:t>
    </w:r>
    <w:r w:rsidR="00733408"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33408" w:rsidRPr="00797A78" w:rsidTr="00733408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33408" w:rsidRPr="00F85B06" w:rsidRDefault="00733408" w:rsidP="0073340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85B06">
            <w:t>16126</w:t>
          </w:r>
          <w:r w:rsidRPr="001C3ABC">
            <w:rPr>
              <w:lang w:val="en-US"/>
            </w:rPr>
            <w:t xml:space="preserve"> (R)</w:t>
          </w:r>
          <w:r w:rsidR="00F85B06">
            <w:t xml:space="preserve">  221116  221116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33408" w:rsidRDefault="00733408" w:rsidP="00733408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33408" w:rsidRDefault="00F85B06" w:rsidP="00733408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58/D/616/20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58/D/616/20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408" w:rsidRPr="00797A78" w:rsidTr="0073340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33408" w:rsidRPr="00F85B06" w:rsidRDefault="00F85B06" w:rsidP="0073340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85B0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33408" w:rsidRDefault="00733408" w:rsidP="0073340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33408" w:rsidRDefault="00733408" w:rsidP="00733408"/>
      </w:tc>
    </w:tr>
  </w:tbl>
  <w:p w:rsidR="00733408" w:rsidRDefault="00733408" w:rsidP="00733408">
    <w:pPr>
      <w:spacing w:line="240" w:lineRule="auto"/>
      <w:rPr>
        <w:sz w:val="2"/>
        <w:szCs w:val="2"/>
        <w:lang w:val="en-US"/>
      </w:rPr>
    </w:pPr>
  </w:p>
  <w:p w:rsidR="00733408" w:rsidRDefault="00733408" w:rsidP="00733408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08" w:rsidRPr="009141DC" w:rsidRDefault="0073340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33408" w:rsidRPr="00D1261C" w:rsidRDefault="0073340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33408" w:rsidRPr="00F5138E" w:rsidRDefault="00733408" w:rsidP="00F5138E">
      <w:pPr>
        <w:pStyle w:val="aa"/>
        <w:rPr>
          <w:sz w:val="20"/>
          <w:lang w:val="ru-RU"/>
        </w:rPr>
      </w:pPr>
      <w:r>
        <w:tab/>
      </w:r>
      <w:r w:rsidRPr="00F5138E">
        <w:rPr>
          <w:rStyle w:val="a6"/>
          <w:sz w:val="20"/>
          <w:vertAlign w:val="baseline"/>
          <w:lang w:val="ru-RU"/>
        </w:rPr>
        <w:t>*</w:t>
      </w:r>
      <w:r w:rsidRPr="00F5138E">
        <w:rPr>
          <w:lang w:val="ru-RU"/>
        </w:rPr>
        <w:tab/>
        <w:t>Принято Комитетом на его пятьдесят восьмой сессии (25 июля – 12 августа 2016 года).</w:t>
      </w:r>
    </w:p>
  </w:footnote>
  <w:footnote w:id="2">
    <w:p w:rsidR="00733408" w:rsidRPr="00F5138E" w:rsidRDefault="00733408" w:rsidP="00F5138E">
      <w:pPr>
        <w:pStyle w:val="aa"/>
        <w:rPr>
          <w:szCs w:val="18"/>
          <w:lang w:val="ru-RU"/>
        </w:rPr>
      </w:pPr>
      <w:r w:rsidRPr="00F5138E">
        <w:rPr>
          <w:lang w:val="ru-RU"/>
        </w:rPr>
        <w:tab/>
      </w:r>
      <w:r w:rsidRPr="00F5138E">
        <w:rPr>
          <w:rStyle w:val="a6"/>
          <w:sz w:val="20"/>
          <w:vertAlign w:val="baseline"/>
          <w:lang w:val="ru-RU"/>
        </w:rPr>
        <w:t>**</w:t>
      </w:r>
      <w:r w:rsidRPr="00F5138E">
        <w:rPr>
          <w:sz w:val="20"/>
          <w:lang w:val="ru-RU"/>
        </w:rPr>
        <w:tab/>
      </w:r>
      <w:r w:rsidRPr="00F5138E">
        <w:rPr>
          <w:szCs w:val="18"/>
          <w:lang w:val="ru-RU"/>
        </w:rPr>
        <w:t>В рассмотрении настоящего сообщения принимали участие следующие члены Комитета: Эссадия Бельмир, Алессио Бруни, Фел</w:t>
      </w:r>
      <w:r>
        <w:rPr>
          <w:szCs w:val="18"/>
          <w:lang w:val="ru-RU"/>
        </w:rPr>
        <w:t>ис Гаер, Абдельвахаб Хани, Клод </w:t>
      </w:r>
      <w:r w:rsidRPr="00F5138E">
        <w:rPr>
          <w:szCs w:val="18"/>
          <w:lang w:val="ru-RU"/>
        </w:rPr>
        <w:t>Эллер Руассан, Йенс Модвиг, Ана Раку и Себастьян Тузе.</w:t>
      </w:r>
    </w:p>
  </w:footnote>
  <w:footnote w:id="3">
    <w:p w:rsidR="00733408" w:rsidRPr="00F5138E" w:rsidRDefault="00733408" w:rsidP="00F5138E">
      <w:pPr>
        <w:pStyle w:val="aa"/>
        <w:rPr>
          <w:lang w:val="ru-RU"/>
        </w:rPr>
      </w:pPr>
      <w:r w:rsidRPr="007804A8">
        <w:rPr>
          <w:lang w:val="ru-RU"/>
        </w:rPr>
        <w:tab/>
      </w:r>
      <w:r>
        <w:rPr>
          <w:rStyle w:val="a6"/>
        </w:rPr>
        <w:footnoteRef/>
      </w:r>
      <w:r w:rsidR="00AF20FB">
        <w:rPr>
          <w:lang w:val="ru-RU"/>
        </w:rPr>
        <w:tab/>
        <w:t>Конкретная дата</w:t>
      </w:r>
      <w:r w:rsidRPr="00F5138E">
        <w:rPr>
          <w:lang w:val="ru-RU"/>
        </w:rPr>
        <w:t xml:space="preserve"> события не уточняется.</w:t>
      </w:r>
    </w:p>
  </w:footnote>
  <w:footnote w:id="4">
    <w:p w:rsidR="00733408" w:rsidRPr="00F5138E" w:rsidRDefault="00733408" w:rsidP="00F5138E">
      <w:pPr>
        <w:pStyle w:val="aa"/>
        <w:rPr>
          <w:lang w:val="en-US"/>
        </w:rPr>
      </w:pPr>
      <w:r w:rsidRPr="00AF20FB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F5138E">
        <w:rPr>
          <w:lang w:val="ru-RU"/>
        </w:rPr>
        <w:t>Конкретные даты не уточняются.</w:t>
      </w:r>
    </w:p>
  </w:footnote>
  <w:footnote w:id="5">
    <w:p w:rsidR="00733408" w:rsidRPr="00F5138E" w:rsidRDefault="00733408" w:rsidP="00F5138E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F5138E">
        <w:rPr>
          <w:lang w:val="ru-RU"/>
        </w:rPr>
        <w:tab/>
        <w:t>Подробности или даты не уточняются.</w:t>
      </w:r>
    </w:p>
  </w:footnote>
  <w:footnote w:id="6">
    <w:p w:rsidR="00733408" w:rsidRPr="007804A8" w:rsidRDefault="00733408" w:rsidP="007804A8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7804A8">
        <w:rPr>
          <w:lang w:val="ru-RU"/>
        </w:rPr>
        <w:tab/>
        <w:t>Заявитель не сообщает дополнительных подробностей о предполагаемых избиениях.</w:t>
      </w:r>
    </w:p>
  </w:footnote>
  <w:footnote w:id="7">
    <w:p w:rsidR="00733408" w:rsidRPr="007804A8" w:rsidRDefault="00733408" w:rsidP="007804A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7804A8">
        <w:rPr>
          <w:lang w:val="ru-RU"/>
        </w:rPr>
        <w:t>Конкретные даты не уточняются.</w:t>
      </w:r>
    </w:p>
  </w:footnote>
  <w:footnote w:id="8">
    <w:p w:rsidR="00733408" w:rsidRPr="007804A8" w:rsidRDefault="00733408" w:rsidP="007804A8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7804A8">
        <w:rPr>
          <w:lang w:val="ru-RU"/>
        </w:rPr>
        <w:tab/>
        <w:t xml:space="preserve">Государство-участник ссылается, в частности, на сообщение № 178/2001, </w:t>
      </w:r>
      <w:r w:rsidRPr="00605C32">
        <w:rPr>
          <w:i/>
          <w:iCs/>
          <w:lang w:val="ru-RU"/>
        </w:rPr>
        <w:t>Х.О. против Швеции</w:t>
      </w:r>
      <w:r w:rsidRPr="007804A8">
        <w:rPr>
          <w:lang w:val="ru-RU"/>
        </w:rPr>
        <w:t>.</w:t>
      </w:r>
    </w:p>
  </w:footnote>
  <w:footnote w:id="9">
    <w:p w:rsidR="00733408" w:rsidRPr="007804A8" w:rsidRDefault="00733408" w:rsidP="007804A8">
      <w:pPr>
        <w:pStyle w:val="aa"/>
      </w:pPr>
      <w:r>
        <w:tab/>
      </w:r>
      <w:r>
        <w:rPr>
          <w:rStyle w:val="a6"/>
        </w:rPr>
        <w:footnoteRef/>
      </w:r>
      <w:r>
        <w:tab/>
      </w:r>
      <w:r w:rsidRPr="007804A8">
        <w:rPr>
          <w:lang w:val="ru-RU"/>
        </w:rPr>
        <w:t>См</w:t>
      </w:r>
      <w:r w:rsidRPr="007804A8">
        <w:t xml:space="preserve">., </w:t>
      </w:r>
      <w:r w:rsidRPr="007804A8">
        <w:rPr>
          <w:lang w:val="ru-RU"/>
        </w:rPr>
        <w:t>среди</w:t>
      </w:r>
      <w:r w:rsidRPr="007804A8">
        <w:t xml:space="preserve"> </w:t>
      </w:r>
      <w:r w:rsidRPr="007804A8">
        <w:rPr>
          <w:lang w:val="ru-RU"/>
        </w:rPr>
        <w:t>прочего</w:t>
      </w:r>
      <w:r w:rsidRPr="007804A8">
        <w:t xml:space="preserve">, </w:t>
      </w:r>
      <w:r w:rsidRPr="007804A8">
        <w:rPr>
          <w:lang w:val="ru-RU"/>
        </w:rPr>
        <w:t>следующие</w:t>
      </w:r>
      <w:r w:rsidRPr="007804A8">
        <w:t xml:space="preserve"> </w:t>
      </w:r>
      <w:r w:rsidRPr="007804A8">
        <w:rPr>
          <w:lang w:val="ru-RU"/>
        </w:rPr>
        <w:t>доклады</w:t>
      </w:r>
      <w:r w:rsidRPr="007804A8">
        <w:t xml:space="preserve">: United States of America, </w:t>
      </w:r>
      <w:r w:rsidR="00605C32">
        <w:t xml:space="preserve">Department of State, </w:t>
      </w:r>
      <w:r w:rsidR="00605C32" w:rsidRPr="00605C32">
        <w:t>«</w:t>
      </w:r>
      <w:r w:rsidR="00605C32">
        <w:t>Russia 2013 human rights report</w:t>
      </w:r>
      <w:r w:rsidR="00605C32" w:rsidRPr="00605C32">
        <w:t>»</w:t>
      </w:r>
      <w:r w:rsidR="00605C32">
        <w:t xml:space="preserve">; Amnesty International, </w:t>
      </w:r>
      <w:r w:rsidR="00605C32" w:rsidRPr="00605C32">
        <w:t>«</w:t>
      </w:r>
      <w:r w:rsidRPr="007804A8">
        <w:t xml:space="preserve">Annual </w:t>
      </w:r>
      <w:r w:rsidR="00605C32">
        <w:t>report: Russian Federation 2013</w:t>
      </w:r>
      <w:r w:rsidR="00605C32" w:rsidRPr="00605C32">
        <w:t>»</w:t>
      </w:r>
      <w:r w:rsidR="00605C32">
        <w:t xml:space="preserve">; Human Rights Watch, </w:t>
      </w:r>
      <w:r w:rsidR="00605C32" w:rsidRPr="00605C32">
        <w:t>«</w:t>
      </w:r>
      <w:r w:rsidR="00605C32">
        <w:t>World report 2014: Russia</w:t>
      </w:r>
      <w:r w:rsidR="00605C32" w:rsidRPr="00605C32">
        <w:t>»</w:t>
      </w:r>
      <w:r w:rsidRPr="007804A8">
        <w:t xml:space="preserve">; </w:t>
      </w:r>
      <w:r w:rsidRPr="007804A8">
        <w:rPr>
          <w:lang w:val="ru-RU"/>
        </w:rPr>
        <w:t>и</w:t>
      </w:r>
      <w:r w:rsidRPr="007804A8">
        <w:t xml:space="preserve"> </w:t>
      </w:r>
      <w:r w:rsidRPr="007804A8">
        <w:rPr>
          <w:lang w:val="ru-RU"/>
        </w:rPr>
        <w:t>страновая</w:t>
      </w:r>
      <w:r w:rsidRPr="007804A8">
        <w:t xml:space="preserve"> </w:t>
      </w:r>
      <w:r w:rsidRPr="007804A8">
        <w:rPr>
          <w:lang w:val="ru-RU"/>
        </w:rPr>
        <w:t>справка</w:t>
      </w:r>
      <w:r w:rsidRPr="007804A8">
        <w:t xml:space="preserve"> </w:t>
      </w:r>
      <w:r w:rsidRPr="007804A8">
        <w:rPr>
          <w:lang w:val="ru-RU"/>
        </w:rPr>
        <w:t>о</w:t>
      </w:r>
      <w:r w:rsidRPr="007804A8">
        <w:t xml:space="preserve"> </w:t>
      </w:r>
      <w:r w:rsidRPr="007804A8">
        <w:rPr>
          <w:lang w:val="ru-RU"/>
        </w:rPr>
        <w:t>Российской</w:t>
      </w:r>
      <w:r w:rsidRPr="007804A8">
        <w:t xml:space="preserve"> </w:t>
      </w:r>
      <w:r w:rsidRPr="007804A8">
        <w:rPr>
          <w:lang w:val="ru-RU"/>
        </w:rPr>
        <w:t>Федерации</w:t>
      </w:r>
      <w:r w:rsidRPr="007804A8">
        <w:t xml:space="preserve"> </w:t>
      </w:r>
      <w:r w:rsidRPr="007804A8">
        <w:rPr>
          <w:lang w:val="ru-RU"/>
        </w:rPr>
        <w:t>за</w:t>
      </w:r>
      <w:r w:rsidRPr="007804A8">
        <w:t xml:space="preserve"> 2011 </w:t>
      </w:r>
      <w:r w:rsidRPr="007804A8">
        <w:rPr>
          <w:lang w:val="ru-RU"/>
        </w:rPr>
        <w:t>год</w:t>
      </w:r>
      <w:r w:rsidRPr="007804A8">
        <w:t xml:space="preserve"> </w:t>
      </w:r>
      <w:r w:rsidRPr="007804A8">
        <w:rPr>
          <w:lang w:val="ru-RU"/>
        </w:rPr>
        <w:t>Шведского</w:t>
      </w:r>
      <w:r w:rsidRPr="007804A8">
        <w:t xml:space="preserve"> </w:t>
      </w:r>
      <w:r w:rsidRPr="007804A8">
        <w:rPr>
          <w:lang w:val="ru-RU"/>
        </w:rPr>
        <w:t>миграционного</w:t>
      </w:r>
      <w:r w:rsidRPr="007804A8">
        <w:t xml:space="preserve"> </w:t>
      </w:r>
      <w:r w:rsidRPr="007804A8">
        <w:rPr>
          <w:lang w:val="ru-RU"/>
        </w:rPr>
        <w:t>совета</w:t>
      </w:r>
      <w:r w:rsidRPr="007804A8">
        <w:t>.</w:t>
      </w:r>
    </w:p>
  </w:footnote>
  <w:footnote w:id="10">
    <w:p w:rsidR="00733408" w:rsidRPr="007804A8" w:rsidRDefault="00733408" w:rsidP="007804A8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="00AF20FB">
        <w:rPr>
          <w:lang w:val="ru-RU"/>
        </w:rPr>
        <w:tab/>
        <w:t>См. сообщение № 27</w:t>
      </w:r>
      <w:r w:rsidRPr="007804A8">
        <w:rPr>
          <w:lang w:val="ru-RU"/>
        </w:rPr>
        <w:t xml:space="preserve">7/2005, </w:t>
      </w:r>
      <w:r w:rsidRPr="00605C32">
        <w:rPr>
          <w:i/>
          <w:iCs/>
          <w:lang w:val="ru-RU"/>
        </w:rPr>
        <w:t>Н.З.С. против Швеции</w:t>
      </w:r>
      <w:r w:rsidRPr="007804A8">
        <w:rPr>
          <w:lang w:val="ru-RU"/>
        </w:rPr>
        <w:t>, р</w:t>
      </w:r>
      <w:r w:rsidR="00605C32">
        <w:rPr>
          <w:lang w:val="ru-RU"/>
        </w:rPr>
        <w:t>ешение, принятое 22 ноября 2006 </w:t>
      </w:r>
      <w:r w:rsidRPr="007804A8">
        <w:rPr>
          <w:lang w:val="ru-RU"/>
        </w:rPr>
        <w:t>года, пункт 8.6.</w:t>
      </w:r>
    </w:p>
  </w:footnote>
  <w:footnote w:id="11">
    <w:p w:rsidR="00733408" w:rsidRPr="007804A8" w:rsidRDefault="00733408" w:rsidP="007804A8">
      <w:pPr>
        <w:pStyle w:val="aa"/>
        <w:rPr>
          <w:lang w:val="ru-RU"/>
        </w:rPr>
      </w:pPr>
      <w:r w:rsidRPr="00605C32">
        <w:rPr>
          <w:lang w:val="ru-RU"/>
        </w:rPr>
        <w:tab/>
      </w:r>
      <w:r>
        <w:rPr>
          <w:rStyle w:val="a6"/>
        </w:rPr>
        <w:footnoteRef/>
      </w:r>
      <w:r w:rsidRPr="007804A8">
        <w:rPr>
          <w:lang w:val="ru-RU"/>
        </w:rPr>
        <w:tab/>
        <w:t>В своем представлении Комитету заявитель вновь утверждал, что его двоюродные братья были вынуждены присоединиться к повстанцам.</w:t>
      </w:r>
    </w:p>
  </w:footnote>
  <w:footnote w:id="12">
    <w:p w:rsidR="00733408" w:rsidRPr="007804A8" w:rsidRDefault="00733408" w:rsidP="00733408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7804A8">
        <w:rPr>
          <w:lang w:val="ru-RU"/>
        </w:rPr>
        <w:tab/>
      </w:r>
      <w:r>
        <w:rPr>
          <w:lang w:val="ru-RU"/>
        </w:rPr>
        <w:t>Имеется</w:t>
      </w:r>
      <w:r w:rsidRPr="007804A8">
        <w:rPr>
          <w:lang w:val="ru-RU"/>
        </w:rPr>
        <w:t xml:space="preserve"> только на шведском языке.</w:t>
      </w:r>
    </w:p>
  </w:footnote>
  <w:footnote w:id="13">
    <w:p w:rsidR="00733408" w:rsidRPr="007804A8" w:rsidRDefault="00733408" w:rsidP="007804A8">
      <w:pPr>
        <w:pStyle w:val="aa"/>
        <w:rPr>
          <w:lang w:val="ru-RU"/>
        </w:rPr>
      </w:pPr>
      <w:r w:rsidRPr="00733408">
        <w:rPr>
          <w:lang w:val="ru-RU"/>
        </w:rPr>
        <w:tab/>
      </w:r>
      <w:r>
        <w:rPr>
          <w:rStyle w:val="a6"/>
        </w:rPr>
        <w:footnoteRef/>
      </w:r>
      <w:r w:rsidRPr="007804A8">
        <w:rPr>
          <w:lang w:val="ru-RU"/>
        </w:rPr>
        <w:tab/>
        <w:t xml:space="preserve">См. сообщение № 428/2010, </w:t>
      </w:r>
      <w:r w:rsidRPr="00605C32">
        <w:rPr>
          <w:i/>
          <w:iCs/>
          <w:lang w:val="ru-RU"/>
        </w:rPr>
        <w:t>Калиниченко против Марокко</w:t>
      </w:r>
      <w:r w:rsidR="00605C32">
        <w:rPr>
          <w:lang w:val="ru-RU"/>
        </w:rPr>
        <w:t>, решение, принятое 25 </w:t>
      </w:r>
      <w:r w:rsidRPr="007804A8">
        <w:rPr>
          <w:lang w:val="ru-RU"/>
        </w:rPr>
        <w:t>ноября 2011 года, пункт 15.3.</w:t>
      </w:r>
    </w:p>
  </w:footnote>
  <w:footnote w:id="14">
    <w:p w:rsidR="00733408" w:rsidRPr="007804A8" w:rsidRDefault="00733408" w:rsidP="007804A8">
      <w:pPr>
        <w:pStyle w:val="aa"/>
        <w:rPr>
          <w:lang w:val="ru-RU"/>
        </w:rPr>
      </w:pPr>
      <w:r w:rsidRPr="00605C32">
        <w:rPr>
          <w:lang w:val="ru-RU"/>
        </w:rPr>
        <w:tab/>
      </w:r>
      <w:r>
        <w:rPr>
          <w:rStyle w:val="a6"/>
        </w:rPr>
        <w:footnoteRef/>
      </w:r>
      <w:r w:rsidR="00AF20FB">
        <w:rPr>
          <w:lang w:val="ru-RU"/>
        </w:rPr>
        <w:tab/>
        <w:t>См., в частности, сообщения</w:t>
      </w:r>
      <w:r w:rsidRPr="007804A8">
        <w:rPr>
          <w:lang w:val="ru-RU"/>
        </w:rPr>
        <w:t xml:space="preserve"> № 203/2002, </w:t>
      </w:r>
      <w:r w:rsidRPr="00605C32">
        <w:rPr>
          <w:i/>
          <w:iCs/>
          <w:lang w:val="ru-RU"/>
        </w:rPr>
        <w:t>А.Р. против Нидерландов</w:t>
      </w:r>
      <w:r w:rsidRPr="007804A8">
        <w:rPr>
          <w:lang w:val="ru-RU"/>
        </w:rPr>
        <w:t xml:space="preserve">, решение, принятое 14 ноября 2003 года; и № 258/2004, </w:t>
      </w:r>
      <w:r w:rsidRPr="00605C32">
        <w:rPr>
          <w:i/>
          <w:iCs/>
          <w:lang w:val="ru-RU"/>
        </w:rPr>
        <w:t>Дадар против Канады</w:t>
      </w:r>
      <w:r w:rsidRPr="007804A8">
        <w:rPr>
          <w:lang w:val="ru-RU"/>
        </w:rPr>
        <w:t>, решение, принятое 23 ноября 2005 года.</w:t>
      </w:r>
    </w:p>
  </w:footnote>
  <w:footnote w:id="15">
    <w:p w:rsidR="00733408" w:rsidRPr="007804A8" w:rsidRDefault="00733408" w:rsidP="002F5202">
      <w:pPr>
        <w:pStyle w:val="aa"/>
        <w:rPr>
          <w:lang w:val="ru-RU"/>
        </w:rPr>
      </w:pPr>
      <w:r w:rsidRPr="00AF20FB">
        <w:rPr>
          <w:lang w:val="ru-RU"/>
        </w:rPr>
        <w:tab/>
      </w:r>
      <w:r>
        <w:rPr>
          <w:rStyle w:val="a6"/>
        </w:rPr>
        <w:footnoteRef/>
      </w:r>
      <w:r w:rsidRPr="007804A8">
        <w:rPr>
          <w:lang w:val="ru-RU"/>
        </w:rPr>
        <w:tab/>
        <w:t>См., в час</w:t>
      </w:r>
      <w:r w:rsidR="00605C32">
        <w:rPr>
          <w:lang w:val="ru-RU"/>
        </w:rPr>
        <w:t xml:space="preserve">тности, сообщения № 298/2006, </w:t>
      </w:r>
      <w:r w:rsidR="00605C32" w:rsidRPr="00605C32">
        <w:rPr>
          <w:i/>
          <w:iCs/>
          <w:lang w:val="ru-RU"/>
        </w:rPr>
        <w:t>К</w:t>
      </w:r>
      <w:r w:rsidR="00AF20FB">
        <w:rPr>
          <w:i/>
          <w:iCs/>
          <w:lang w:val="ru-RU"/>
        </w:rPr>
        <w:t>.А.</w:t>
      </w:r>
      <w:r w:rsidRPr="00605C32">
        <w:rPr>
          <w:i/>
          <w:iCs/>
          <w:lang w:val="ru-RU"/>
        </w:rPr>
        <w:t>Р.М. и др. против Канады</w:t>
      </w:r>
      <w:r w:rsidRPr="007804A8">
        <w:rPr>
          <w:lang w:val="ru-RU"/>
        </w:rPr>
        <w:t xml:space="preserve">, решение, принятое 18 мая 2007 года, пункт 8.10; № 256/2004, </w:t>
      </w:r>
      <w:r w:rsidRPr="00605C32">
        <w:rPr>
          <w:i/>
          <w:iCs/>
          <w:lang w:val="ru-RU"/>
        </w:rPr>
        <w:t>М.З. против Швеции</w:t>
      </w:r>
      <w:r w:rsidRPr="007804A8">
        <w:rPr>
          <w:lang w:val="ru-RU"/>
        </w:rPr>
        <w:t xml:space="preserve">, решение, принятое 12 мая 2006 года, пункт 9.3; № 214/2002, </w:t>
      </w:r>
      <w:r w:rsidRPr="00605C32">
        <w:rPr>
          <w:i/>
          <w:iCs/>
          <w:lang w:val="ru-RU"/>
        </w:rPr>
        <w:t>M.A.K.</w:t>
      </w:r>
      <w:r w:rsidR="00AF20FB">
        <w:rPr>
          <w:i/>
          <w:iCs/>
          <w:lang w:val="ru-RU"/>
        </w:rPr>
        <w:t xml:space="preserve"> </w:t>
      </w:r>
      <w:r w:rsidRPr="00605C32">
        <w:rPr>
          <w:i/>
          <w:iCs/>
          <w:lang w:val="ru-RU"/>
        </w:rPr>
        <w:t>против Германии</w:t>
      </w:r>
      <w:r w:rsidRPr="007804A8">
        <w:rPr>
          <w:lang w:val="ru-RU"/>
        </w:rPr>
        <w:t>, решение, принятое 12 мая 2004 года, пункт 13.5; № 150/1999,</w:t>
      </w:r>
      <w:r w:rsidR="00605C32">
        <w:rPr>
          <w:lang w:val="ru-RU"/>
        </w:rPr>
        <w:t xml:space="preserve"> </w:t>
      </w:r>
      <w:r w:rsidRPr="00605C32">
        <w:rPr>
          <w:i/>
          <w:iCs/>
          <w:lang w:val="ru-RU"/>
        </w:rPr>
        <w:t>С.Л. против Швеции</w:t>
      </w:r>
      <w:r w:rsidR="00605C32">
        <w:rPr>
          <w:lang w:val="ru-RU"/>
        </w:rPr>
        <w:t>, пункт 6.3; и </w:t>
      </w:r>
      <w:r w:rsidRPr="007804A8">
        <w:rPr>
          <w:lang w:val="ru-RU"/>
        </w:rPr>
        <w:t xml:space="preserve">№ 347/2008, </w:t>
      </w:r>
      <w:r w:rsidRPr="00605C32">
        <w:rPr>
          <w:i/>
          <w:iCs/>
          <w:lang w:val="ru-RU"/>
        </w:rPr>
        <w:t>Н.Б.-М. против Швейцарии</w:t>
      </w:r>
      <w:r w:rsidRPr="007804A8">
        <w:rPr>
          <w:lang w:val="ru-RU"/>
        </w:rPr>
        <w:t>, решение</w:t>
      </w:r>
      <w:r w:rsidR="002F5202">
        <w:rPr>
          <w:lang w:val="ru-RU"/>
        </w:rPr>
        <w:t>, принятое</w:t>
      </w:r>
      <w:r w:rsidRPr="007804A8">
        <w:rPr>
          <w:lang w:val="ru-RU"/>
        </w:rPr>
        <w:t xml:space="preserve"> 14 ноября 2011 года, пункт 9.9.</w:t>
      </w:r>
    </w:p>
  </w:footnote>
  <w:footnote w:id="16">
    <w:p w:rsidR="00733408" w:rsidRPr="007804A8" w:rsidRDefault="00733408" w:rsidP="007804A8">
      <w:pPr>
        <w:pStyle w:val="aa"/>
        <w:rPr>
          <w:lang w:val="ru-RU"/>
        </w:rPr>
      </w:pPr>
      <w:r w:rsidRPr="002F5202">
        <w:rPr>
          <w:lang w:val="ru-RU"/>
        </w:rPr>
        <w:tab/>
      </w:r>
      <w:r>
        <w:rPr>
          <w:rStyle w:val="a6"/>
        </w:rPr>
        <w:footnoteRef/>
      </w:r>
      <w:r w:rsidR="00605C32">
        <w:rPr>
          <w:lang w:val="ru-RU"/>
        </w:rPr>
        <w:tab/>
        <w:t>См.</w:t>
      </w:r>
      <w:r w:rsidR="00AF20FB">
        <w:rPr>
          <w:lang w:val="ru-RU"/>
        </w:rPr>
        <w:t>,</w:t>
      </w:r>
      <w:r w:rsidR="00605C32">
        <w:rPr>
          <w:lang w:val="ru-RU"/>
        </w:rPr>
        <w:t xml:space="preserve"> в частности, пункты 4.12–</w:t>
      </w:r>
      <w:r w:rsidRPr="007804A8">
        <w:rPr>
          <w:lang w:val="ru-RU"/>
        </w:rPr>
        <w:t>4.14 выше.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08" w:rsidRPr="008C469F" w:rsidRDefault="00F85B06">
    <w:pPr>
      <w:pStyle w:val="a3"/>
      <w:rPr>
        <w:lang w:val="en-US"/>
      </w:rPr>
    </w:pPr>
    <w:r w:rsidRPr="00F85B06">
      <w:rPr>
        <w:lang w:val="en-US"/>
      </w:rPr>
      <w:t>CAT/C/58/D/616/2014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08" w:rsidRPr="00B74BE2" w:rsidRDefault="00733408" w:rsidP="00F85B06">
    <w:pPr>
      <w:pStyle w:val="a3"/>
      <w:rPr>
        <w:lang w:val="en-US"/>
      </w:rPr>
    </w:pPr>
    <w:r>
      <w:rPr>
        <w:lang w:val="en-US"/>
      </w:rPr>
      <w:tab/>
    </w:r>
    <w:r w:rsidR="00F85B06" w:rsidRPr="00F85B06">
      <w:rPr>
        <w:lang w:val="en-US"/>
      </w:rPr>
      <w:t>CAT/C/58/D/616/2014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8E"/>
    <w:rsid w:val="000450D1"/>
    <w:rsid w:val="000F2A4F"/>
    <w:rsid w:val="000F5BB6"/>
    <w:rsid w:val="001225AE"/>
    <w:rsid w:val="00203F84"/>
    <w:rsid w:val="00271EB1"/>
    <w:rsid w:val="00275188"/>
    <w:rsid w:val="0028687D"/>
    <w:rsid w:val="002B091C"/>
    <w:rsid w:val="002D0CCB"/>
    <w:rsid w:val="002F5202"/>
    <w:rsid w:val="00345C79"/>
    <w:rsid w:val="003563BF"/>
    <w:rsid w:val="00366A39"/>
    <w:rsid w:val="003A56CD"/>
    <w:rsid w:val="0048005C"/>
    <w:rsid w:val="004E242B"/>
    <w:rsid w:val="00544379"/>
    <w:rsid w:val="00566944"/>
    <w:rsid w:val="005D56BF"/>
    <w:rsid w:val="00605C32"/>
    <w:rsid w:val="00665D8D"/>
    <w:rsid w:val="006A7A3B"/>
    <w:rsid w:val="006B6B57"/>
    <w:rsid w:val="00705394"/>
    <w:rsid w:val="00733408"/>
    <w:rsid w:val="00743F62"/>
    <w:rsid w:val="00760D3A"/>
    <w:rsid w:val="007804A8"/>
    <w:rsid w:val="007A1F42"/>
    <w:rsid w:val="007D76DD"/>
    <w:rsid w:val="00843B95"/>
    <w:rsid w:val="008717E8"/>
    <w:rsid w:val="008855BE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AF20FB"/>
    <w:rsid w:val="00B35A32"/>
    <w:rsid w:val="00B432C6"/>
    <w:rsid w:val="00B471C5"/>
    <w:rsid w:val="00B6474A"/>
    <w:rsid w:val="00BC3427"/>
    <w:rsid w:val="00BE1742"/>
    <w:rsid w:val="00D1261C"/>
    <w:rsid w:val="00D662A5"/>
    <w:rsid w:val="00D75DCE"/>
    <w:rsid w:val="00DD35AC"/>
    <w:rsid w:val="00DD479F"/>
    <w:rsid w:val="00E15E48"/>
    <w:rsid w:val="00EB0723"/>
    <w:rsid w:val="00EE6F37"/>
    <w:rsid w:val="00F1599F"/>
    <w:rsid w:val="00F31EF2"/>
    <w:rsid w:val="00F5138E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1D61-2715-455E-92AE-AAD91912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9</Pages>
  <Words>3234</Words>
  <Characters>20916</Characters>
  <Application>Microsoft Office Word</Application>
  <DocSecurity>0</DocSecurity>
  <Lines>386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2016-11-22T13:16:00Z</cp:lastPrinted>
  <dcterms:created xsi:type="dcterms:W3CDTF">2016-11-22T13:16:00Z</dcterms:created>
  <dcterms:modified xsi:type="dcterms:W3CDTF">2016-11-22T13:19:00Z</dcterms:modified>
</cp:coreProperties>
</file>