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22158">
        <w:trPr>
          <w:cantSplit/>
          <w:trHeight w:hRule="exact" w:val="851"/>
        </w:trPr>
        <w:tc>
          <w:tcPr>
            <w:tcW w:w="1276" w:type="dxa"/>
            <w:tcBorders>
              <w:bottom w:val="single" w:sz="4" w:space="0" w:color="auto"/>
            </w:tcBorders>
            <w:vAlign w:val="bottom"/>
          </w:tcPr>
          <w:p w:rsidR="00A22158" w:rsidRPr="00092F16" w:rsidRDefault="00A22158" w:rsidP="00092F16">
            <w:pPr>
              <w:pStyle w:val="Heading2"/>
              <w:rPr>
                <w:rStyle w:val="Emphasis"/>
                <w:i w:val="0"/>
                <w:iCs w:val="0"/>
              </w:rPr>
            </w:pPr>
          </w:p>
        </w:tc>
        <w:tc>
          <w:tcPr>
            <w:tcW w:w="2268" w:type="dxa"/>
            <w:tcBorders>
              <w:bottom w:val="single" w:sz="4" w:space="0" w:color="auto"/>
            </w:tcBorders>
            <w:vAlign w:val="bottom"/>
          </w:tcPr>
          <w:p w:rsidR="00A22158" w:rsidRPr="00B97172" w:rsidRDefault="00BD631F" w:rsidP="00A22158">
            <w:pPr>
              <w:spacing w:after="80" w:line="300" w:lineRule="exact"/>
              <w:rPr>
                <w:b/>
                <w:sz w:val="24"/>
                <w:szCs w:val="24"/>
              </w:rPr>
            </w:pPr>
            <w:r w:rsidRPr="00BD631F">
              <w:rPr>
                <w:sz w:val="28"/>
                <w:szCs w:val="28"/>
              </w:rPr>
              <w:t>United Nations</w:t>
            </w:r>
          </w:p>
        </w:tc>
        <w:tc>
          <w:tcPr>
            <w:tcW w:w="6095" w:type="dxa"/>
            <w:gridSpan w:val="2"/>
            <w:tcBorders>
              <w:bottom w:val="single" w:sz="4" w:space="0" w:color="auto"/>
            </w:tcBorders>
            <w:vAlign w:val="bottom"/>
          </w:tcPr>
          <w:p w:rsidR="00A22158" w:rsidRPr="002E51B7" w:rsidRDefault="00A22158" w:rsidP="00042BBC">
            <w:pPr>
              <w:jc w:val="right"/>
            </w:pPr>
            <w:r w:rsidRPr="00236865">
              <w:rPr>
                <w:sz w:val="40"/>
              </w:rPr>
              <w:t>CERD</w:t>
            </w:r>
            <w:r>
              <w:t>/C/</w:t>
            </w:r>
            <w:r w:rsidR="00042BBC">
              <w:t>ISR</w:t>
            </w:r>
            <w:r>
              <w:t>/CO/1</w:t>
            </w:r>
            <w:r w:rsidR="00042BBC">
              <w:t>4</w:t>
            </w:r>
            <w:r>
              <w:t>-</w:t>
            </w:r>
            <w:r w:rsidR="00042BBC">
              <w:t>16</w:t>
            </w:r>
          </w:p>
        </w:tc>
      </w:tr>
      <w:tr w:rsidR="00A22158">
        <w:trPr>
          <w:cantSplit/>
          <w:trHeight w:hRule="exact" w:val="2835"/>
        </w:trPr>
        <w:tc>
          <w:tcPr>
            <w:tcW w:w="1276" w:type="dxa"/>
            <w:tcBorders>
              <w:top w:val="single" w:sz="4" w:space="0" w:color="auto"/>
              <w:bottom w:val="single" w:sz="12" w:space="0" w:color="auto"/>
            </w:tcBorders>
          </w:tcPr>
          <w:p w:rsidR="00A22158" w:rsidRDefault="00BD631F" w:rsidP="00A22158">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5pt">
                  <v:imagedata r:id="rId7" o:title=""/>
                </v:shape>
              </w:pict>
            </w:r>
          </w:p>
        </w:tc>
        <w:tc>
          <w:tcPr>
            <w:tcW w:w="5528" w:type="dxa"/>
            <w:gridSpan w:val="2"/>
            <w:tcBorders>
              <w:top w:val="single" w:sz="4" w:space="0" w:color="auto"/>
              <w:bottom w:val="single" w:sz="12" w:space="0" w:color="auto"/>
            </w:tcBorders>
          </w:tcPr>
          <w:p w:rsidR="00A22158" w:rsidRPr="00926E45" w:rsidRDefault="00BD631F" w:rsidP="00A22158">
            <w:pPr>
              <w:spacing w:before="120" w:line="380" w:lineRule="exact"/>
              <w:rPr>
                <w:b/>
                <w:sz w:val="28"/>
                <w:szCs w:val="28"/>
              </w:rPr>
            </w:pPr>
            <w:r w:rsidRPr="00BD631F">
              <w:rPr>
                <w:b/>
                <w:sz w:val="34"/>
                <w:szCs w:val="40"/>
              </w:rPr>
              <w:t>International Convention on</w:t>
            </w:r>
            <w:r w:rsidRPr="00BD631F">
              <w:rPr>
                <w:b/>
                <w:sz w:val="34"/>
                <w:szCs w:val="40"/>
              </w:rPr>
              <w:br/>
              <w:t>the Elimination of All Forms</w:t>
            </w:r>
            <w:r w:rsidRPr="00BD631F">
              <w:rPr>
                <w:b/>
                <w:sz w:val="34"/>
                <w:szCs w:val="40"/>
              </w:rPr>
              <w:br/>
              <w:t>of Racial Discrimination</w:t>
            </w:r>
            <w:r w:rsidRPr="00BD631F">
              <w:rPr>
                <w:b/>
                <w:sz w:val="28"/>
                <w:szCs w:val="28"/>
              </w:rPr>
              <w:t xml:space="preserve"> </w:t>
            </w:r>
          </w:p>
        </w:tc>
        <w:tc>
          <w:tcPr>
            <w:tcW w:w="2835" w:type="dxa"/>
            <w:tcBorders>
              <w:top w:val="single" w:sz="4" w:space="0" w:color="auto"/>
              <w:bottom w:val="single" w:sz="12" w:space="0" w:color="auto"/>
            </w:tcBorders>
          </w:tcPr>
          <w:p w:rsidR="00A22158" w:rsidRDefault="00A22158" w:rsidP="00A22158">
            <w:pPr>
              <w:spacing w:before="240" w:line="240" w:lineRule="exact"/>
            </w:pPr>
            <w:r>
              <w:t xml:space="preserve">Distr.: </w:t>
            </w:r>
            <w:r w:rsidR="00092F16">
              <w:t>General</w:t>
            </w:r>
          </w:p>
          <w:p w:rsidR="00A22158" w:rsidRDefault="00AC3114" w:rsidP="00A22158">
            <w:pPr>
              <w:spacing w:line="240" w:lineRule="exact"/>
            </w:pPr>
            <w:r>
              <w:t>3</w:t>
            </w:r>
            <w:r w:rsidR="00092F16">
              <w:t xml:space="preserve"> </w:t>
            </w:r>
            <w:r w:rsidR="00CE71D0">
              <w:t>April</w:t>
            </w:r>
            <w:r w:rsidR="00CA2CFA">
              <w:t xml:space="preserve"> </w:t>
            </w:r>
            <w:r w:rsidR="00A22158">
              <w:t>201</w:t>
            </w:r>
            <w:r w:rsidR="003332E2">
              <w:t>2</w:t>
            </w:r>
            <w:r w:rsidR="0050531E">
              <w:t xml:space="preserve"> </w:t>
            </w:r>
          </w:p>
          <w:p w:rsidR="00A22158" w:rsidRDefault="00A22158" w:rsidP="00A22158">
            <w:pPr>
              <w:spacing w:line="240" w:lineRule="exact"/>
            </w:pPr>
          </w:p>
          <w:p w:rsidR="00A22158" w:rsidRDefault="00A22158" w:rsidP="00A22158">
            <w:pPr>
              <w:spacing w:line="240" w:lineRule="exact"/>
            </w:pPr>
            <w:r>
              <w:t>Original: English</w:t>
            </w:r>
          </w:p>
        </w:tc>
      </w:tr>
    </w:tbl>
    <w:p w:rsidR="00A22158" w:rsidRPr="000D07A1" w:rsidRDefault="00A22158" w:rsidP="00A22158">
      <w:pPr>
        <w:spacing w:before="120"/>
        <w:rPr>
          <w:b/>
          <w:bCs/>
          <w:sz w:val="24"/>
          <w:szCs w:val="24"/>
        </w:rPr>
      </w:pPr>
      <w:r w:rsidRPr="000D07A1">
        <w:rPr>
          <w:b/>
          <w:bCs/>
          <w:sz w:val="24"/>
          <w:szCs w:val="24"/>
        </w:rPr>
        <w:t xml:space="preserve">Committee on the Elimination of Racial Discrimination </w:t>
      </w:r>
    </w:p>
    <w:p w:rsidR="00A22158" w:rsidRPr="000D07A1" w:rsidRDefault="003332E2" w:rsidP="00A22158">
      <w:pPr>
        <w:pStyle w:val="Default"/>
        <w:rPr>
          <w:b/>
          <w:bCs/>
          <w:sz w:val="20"/>
          <w:szCs w:val="20"/>
        </w:rPr>
      </w:pPr>
      <w:r>
        <w:rPr>
          <w:b/>
          <w:bCs/>
          <w:sz w:val="20"/>
          <w:szCs w:val="20"/>
        </w:rPr>
        <w:t xml:space="preserve">Eightieth </w:t>
      </w:r>
      <w:r w:rsidR="00A22158" w:rsidRPr="000D07A1">
        <w:rPr>
          <w:b/>
          <w:bCs/>
          <w:sz w:val="20"/>
          <w:szCs w:val="20"/>
        </w:rPr>
        <w:t xml:space="preserve">session </w:t>
      </w:r>
    </w:p>
    <w:p w:rsidR="00A22158" w:rsidRPr="000D07A1" w:rsidRDefault="004A57F8" w:rsidP="00A22158">
      <w:pPr>
        <w:pStyle w:val="Default"/>
        <w:rPr>
          <w:sz w:val="20"/>
          <w:szCs w:val="20"/>
        </w:rPr>
      </w:pPr>
      <w:r>
        <w:rPr>
          <w:sz w:val="20"/>
          <w:szCs w:val="20"/>
        </w:rPr>
        <w:t>13 February</w:t>
      </w:r>
      <w:r w:rsidR="00A22158">
        <w:rPr>
          <w:sz w:val="20"/>
          <w:szCs w:val="20"/>
        </w:rPr>
        <w:t xml:space="preserve"> – </w:t>
      </w:r>
      <w:r w:rsidR="003332E2">
        <w:rPr>
          <w:sz w:val="20"/>
          <w:szCs w:val="20"/>
        </w:rPr>
        <w:t>9</w:t>
      </w:r>
      <w:r w:rsidR="00A22158">
        <w:rPr>
          <w:sz w:val="20"/>
          <w:szCs w:val="20"/>
        </w:rPr>
        <w:t xml:space="preserve"> </w:t>
      </w:r>
      <w:r w:rsidR="003332E2">
        <w:rPr>
          <w:sz w:val="20"/>
          <w:szCs w:val="20"/>
        </w:rPr>
        <w:t>March</w:t>
      </w:r>
      <w:r w:rsidR="00A22158">
        <w:rPr>
          <w:sz w:val="20"/>
          <w:szCs w:val="20"/>
        </w:rPr>
        <w:t xml:space="preserve"> 201</w:t>
      </w:r>
      <w:r w:rsidR="003332E2">
        <w:rPr>
          <w:sz w:val="20"/>
          <w:szCs w:val="20"/>
        </w:rPr>
        <w:t>2</w:t>
      </w:r>
    </w:p>
    <w:p w:rsidR="00A22158" w:rsidRPr="00FC7CFC" w:rsidRDefault="00A22158" w:rsidP="00A22158">
      <w:pPr>
        <w:pStyle w:val="HChG"/>
        <w:rPr>
          <w:lang w:val="en-US"/>
        </w:rPr>
      </w:pPr>
      <w:r>
        <w:rPr>
          <w:lang w:val="en-US"/>
        </w:rPr>
        <w:tab/>
      </w:r>
      <w:r>
        <w:rPr>
          <w:lang w:val="en-US"/>
        </w:rPr>
        <w:tab/>
      </w:r>
      <w:r w:rsidRPr="00FC7CFC">
        <w:rPr>
          <w:lang w:val="en-US"/>
        </w:rPr>
        <w:t xml:space="preserve">Consideration of reports submitted by States parties </w:t>
      </w:r>
      <w:r w:rsidRPr="00FC7CFC">
        <w:rPr>
          <w:bCs/>
          <w:lang w:val="en-US"/>
        </w:rPr>
        <w:t xml:space="preserve">under article 9 of the </w:t>
      </w:r>
      <w:r w:rsidR="004E4339">
        <w:rPr>
          <w:bCs/>
          <w:lang w:val="en-US"/>
        </w:rPr>
        <w:t>C</w:t>
      </w:r>
      <w:r w:rsidRPr="00FC7CFC">
        <w:rPr>
          <w:bCs/>
          <w:lang w:val="en-US"/>
        </w:rPr>
        <w:t xml:space="preserve">onvention </w:t>
      </w:r>
    </w:p>
    <w:p w:rsidR="00A22158" w:rsidRDefault="00A22158" w:rsidP="00A22158">
      <w:pPr>
        <w:pStyle w:val="H1G"/>
      </w:pPr>
      <w:r>
        <w:tab/>
      </w:r>
      <w:r>
        <w:tab/>
        <w:t xml:space="preserve">Concluding observations of the Committee on the Elimination of Racial Discrimination </w:t>
      </w:r>
    </w:p>
    <w:p w:rsidR="00A22158" w:rsidRPr="00236865" w:rsidRDefault="00A22158" w:rsidP="00A22158">
      <w:pPr>
        <w:pStyle w:val="HChG"/>
        <w:rPr>
          <w:bCs/>
        </w:rPr>
      </w:pPr>
      <w:r>
        <w:tab/>
      </w:r>
      <w:r>
        <w:tab/>
      </w:r>
      <w:smartTag w:uri="urn:schemas-microsoft-com:office:smarttags" w:element="place">
        <w:smartTag w:uri="urn:schemas-microsoft-com:office:smarttags" w:element="country-region">
          <w:r w:rsidR="003332E2">
            <w:t>Israel</w:t>
          </w:r>
        </w:smartTag>
      </w:smartTag>
    </w:p>
    <w:p w:rsidR="00A22158" w:rsidRPr="00B43809" w:rsidRDefault="00A22158" w:rsidP="00A22158">
      <w:pPr>
        <w:pStyle w:val="SingleTxtG"/>
        <w:rPr>
          <w:snapToGrid w:val="0"/>
        </w:rPr>
      </w:pPr>
      <w:r>
        <w:t>1.</w:t>
      </w:r>
      <w:r>
        <w:tab/>
      </w:r>
      <w:r w:rsidRPr="00B43809">
        <w:t xml:space="preserve">The Committee considered the </w:t>
      </w:r>
      <w:r w:rsidR="003332E2">
        <w:t xml:space="preserve">fourteenth to sixteenth </w:t>
      </w:r>
      <w:r w:rsidRPr="00B43809">
        <w:t xml:space="preserve">periodic reports of </w:t>
      </w:r>
      <w:r w:rsidR="003332E2">
        <w:t>Israel</w:t>
      </w:r>
      <w:r w:rsidRPr="00B43809">
        <w:t>, submitted in one document (CERD/C/I</w:t>
      </w:r>
      <w:r w:rsidR="003332E2">
        <w:t>SR</w:t>
      </w:r>
      <w:r>
        <w:t>/1</w:t>
      </w:r>
      <w:r w:rsidR="003332E2">
        <w:t>4</w:t>
      </w:r>
      <w:r w:rsidRPr="00B43809">
        <w:t>-</w:t>
      </w:r>
      <w:r w:rsidR="003332E2">
        <w:t>16</w:t>
      </w:r>
      <w:r w:rsidRPr="00B43809">
        <w:t xml:space="preserve">), at its </w:t>
      </w:r>
      <w:r>
        <w:t>21</w:t>
      </w:r>
      <w:r w:rsidR="003F107D">
        <w:t>31</w:t>
      </w:r>
      <w:r w:rsidR="00AC3114">
        <w:t>st</w:t>
      </w:r>
      <w:r>
        <w:t xml:space="preserve"> </w:t>
      </w:r>
      <w:r w:rsidRPr="00B43809">
        <w:t>and 2</w:t>
      </w:r>
      <w:r w:rsidR="003F107D">
        <w:t>1</w:t>
      </w:r>
      <w:r>
        <w:t>3</w:t>
      </w:r>
      <w:r w:rsidR="003F107D">
        <w:t>2</w:t>
      </w:r>
      <w:r w:rsidR="00AC3114">
        <w:t>th</w:t>
      </w:r>
      <w:r>
        <w:t xml:space="preserve"> </w:t>
      </w:r>
      <w:r w:rsidRPr="00B43809">
        <w:t>meetings (CERD/C/SR.2</w:t>
      </w:r>
      <w:r>
        <w:t>1</w:t>
      </w:r>
      <w:r w:rsidR="003F107D">
        <w:t>31</w:t>
      </w:r>
      <w:r w:rsidRPr="00B43809">
        <w:t xml:space="preserve"> and 2</w:t>
      </w:r>
      <w:r>
        <w:t>1</w:t>
      </w:r>
      <w:r w:rsidR="003F107D">
        <w:t>32</w:t>
      </w:r>
      <w:r w:rsidRPr="00B43809">
        <w:t xml:space="preserve">), held on </w:t>
      </w:r>
      <w:r w:rsidR="003F107D">
        <w:t>15</w:t>
      </w:r>
      <w:r w:rsidRPr="00B43809">
        <w:t xml:space="preserve"> and </w:t>
      </w:r>
      <w:r w:rsidR="003F107D">
        <w:t>16</w:t>
      </w:r>
      <w:r w:rsidRPr="00B43809">
        <w:t xml:space="preserve"> </w:t>
      </w:r>
      <w:r w:rsidR="003F107D">
        <w:t xml:space="preserve">February </w:t>
      </w:r>
      <w:r w:rsidRPr="00B43809">
        <w:t>201</w:t>
      </w:r>
      <w:r w:rsidR="003F107D">
        <w:t>2</w:t>
      </w:r>
      <w:r w:rsidRPr="00B43809">
        <w:t xml:space="preserve">. At its </w:t>
      </w:r>
      <w:r w:rsidR="006B577C">
        <w:t>2148</w:t>
      </w:r>
      <w:r w:rsidR="00AC3114">
        <w:t>th</w:t>
      </w:r>
      <w:r w:rsidR="00CA2CFA">
        <w:t xml:space="preserve"> meeting (CERD/C/SR.</w:t>
      </w:r>
      <w:r w:rsidR="006B577C">
        <w:t>2148</w:t>
      </w:r>
      <w:r w:rsidRPr="00B43809">
        <w:t>), held on </w:t>
      </w:r>
      <w:r w:rsidR="006B577C">
        <w:t>28</w:t>
      </w:r>
      <w:r w:rsidR="003F107D">
        <w:t xml:space="preserve"> </w:t>
      </w:r>
      <w:r w:rsidR="006B577C">
        <w:t>February</w:t>
      </w:r>
      <w:r w:rsidRPr="00B43809">
        <w:t xml:space="preserve"> 201</w:t>
      </w:r>
      <w:r w:rsidR="003F107D">
        <w:t>2</w:t>
      </w:r>
      <w:r w:rsidRPr="00B43809">
        <w:t>, it adopted the following concluding observations.</w:t>
      </w:r>
    </w:p>
    <w:p w:rsidR="00A22158" w:rsidRPr="00B43809" w:rsidRDefault="00A22158" w:rsidP="00A22158">
      <w:pPr>
        <w:pStyle w:val="H1G"/>
      </w:pPr>
      <w:r>
        <w:tab/>
      </w:r>
      <w:r w:rsidR="00926E45">
        <w:t>A.</w:t>
      </w:r>
      <w:r>
        <w:tab/>
      </w:r>
      <w:r w:rsidRPr="00B43809">
        <w:t>Introduction</w:t>
      </w:r>
    </w:p>
    <w:p w:rsidR="00F56D85" w:rsidRDefault="00A22158" w:rsidP="00A22158">
      <w:pPr>
        <w:pStyle w:val="SingleTxtG"/>
        <w:rPr>
          <w:iCs/>
        </w:rPr>
      </w:pPr>
      <w:r>
        <w:t>2.</w:t>
      </w:r>
      <w:r>
        <w:tab/>
      </w:r>
      <w:r w:rsidRPr="006208F5">
        <w:t>The Committee welcomes the</w:t>
      </w:r>
      <w:r w:rsidR="00FB349D">
        <w:t xml:space="preserve"> detailed</w:t>
      </w:r>
      <w:r w:rsidR="00217464">
        <w:t xml:space="preserve">, </w:t>
      </w:r>
      <w:r w:rsidR="00B261A9">
        <w:t>al</w:t>
      </w:r>
      <w:r w:rsidR="0095130C">
        <w:t>though</w:t>
      </w:r>
      <w:r w:rsidR="00217464">
        <w:t xml:space="preserve"> </w:t>
      </w:r>
      <w:r w:rsidR="00B261A9">
        <w:t>rather</w:t>
      </w:r>
      <w:r w:rsidR="00550F16">
        <w:t xml:space="preserve"> </w:t>
      </w:r>
      <w:r w:rsidR="003F107D">
        <w:t>lengthy</w:t>
      </w:r>
      <w:r w:rsidR="00CB4DA8">
        <w:t>,</w:t>
      </w:r>
      <w:r w:rsidR="00550F16" w:rsidRPr="008D4A0F">
        <w:t xml:space="preserve"> </w:t>
      </w:r>
      <w:r w:rsidR="00FB349D">
        <w:t xml:space="preserve">report </w:t>
      </w:r>
      <w:r w:rsidR="00ED632C">
        <w:t>submitted by</w:t>
      </w:r>
      <w:r w:rsidR="00FB349D">
        <w:t xml:space="preserve"> </w:t>
      </w:r>
      <w:r>
        <w:t>the State party</w:t>
      </w:r>
      <w:r w:rsidR="00F56D85">
        <w:t>,</w:t>
      </w:r>
      <w:r w:rsidR="00F56D85">
        <w:rPr>
          <w:iCs/>
        </w:rPr>
        <w:t xml:space="preserve"> and expresse</w:t>
      </w:r>
      <w:r w:rsidR="00771815">
        <w:rPr>
          <w:iCs/>
        </w:rPr>
        <w:t>s</w:t>
      </w:r>
      <w:r w:rsidR="00F56D85">
        <w:rPr>
          <w:iCs/>
        </w:rPr>
        <w:t xml:space="preserve"> appreciation for the</w:t>
      </w:r>
      <w:r w:rsidRPr="006208F5">
        <w:rPr>
          <w:iCs/>
        </w:rPr>
        <w:t xml:space="preserve"> frank and </w:t>
      </w:r>
      <w:r w:rsidR="00F56D85">
        <w:rPr>
          <w:iCs/>
        </w:rPr>
        <w:t>constructive</w:t>
      </w:r>
      <w:r w:rsidRPr="006208F5">
        <w:rPr>
          <w:iCs/>
        </w:rPr>
        <w:t xml:space="preserve"> oral responses provided by </w:t>
      </w:r>
      <w:r w:rsidR="00F56D85">
        <w:rPr>
          <w:iCs/>
        </w:rPr>
        <w:t>the</w:t>
      </w:r>
      <w:r w:rsidR="00B22A0B">
        <w:rPr>
          <w:iCs/>
        </w:rPr>
        <w:t xml:space="preserve"> large</w:t>
      </w:r>
      <w:r>
        <w:rPr>
          <w:iCs/>
        </w:rPr>
        <w:t xml:space="preserve"> </w:t>
      </w:r>
      <w:r w:rsidRPr="006208F5">
        <w:rPr>
          <w:iCs/>
        </w:rPr>
        <w:t>delegation</w:t>
      </w:r>
      <w:r w:rsidR="00F56D85">
        <w:rPr>
          <w:iCs/>
        </w:rPr>
        <w:t xml:space="preserve"> during the consideration of the report.</w:t>
      </w:r>
    </w:p>
    <w:p w:rsidR="00B261A9" w:rsidRPr="00B261A9" w:rsidRDefault="00802FF9" w:rsidP="00B261A9">
      <w:pPr>
        <w:pStyle w:val="SingleTxtG"/>
        <w:rPr>
          <w:lang w:val="en-US"/>
        </w:rPr>
      </w:pPr>
      <w:r>
        <w:rPr>
          <w:lang w:val="en-US"/>
        </w:rPr>
        <w:t>3</w:t>
      </w:r>
      <w:r w:rsidR="00B261A9" w:rsidRPr="00B261A9">
        <w:rPr>
          <w:lang w:val="en-US"/>
        </w:rPr>
        <w:t>.</w:t>
      </w:r>
      <w:r w:rsidR="00B261A9" w:rsidRPr="00B261A9">
        <w:rPr>
          <w:lang w:val="en-US"/>
        </w:rPr>
        <w:tab/>
        <w:t xml:space="preserve">The Committee recognizes the issues related to security and stability in the </w:t>
      </w:r>
      <w:r w:rsidR="00195ADA">
        <w:rPr>
          <w:lang w:val="en-US"/>
        </w:rPr>
        <w:t>r</w:t>
      </w:r>
      <w:r w:rsidR="00B261A9" w:rsidRPr="00B261A9">
        <w:rPr>
          <w:lang w:val="en-US"/>
        </w:rPr>
        <w:t>egion.</w:t>
      </w:r>
      <w:r w:rsidR="00D02287">
        <w:rPr>
          <w:lang w:val="en-US"/>
        </w:rPr>
        <w:t xml:space="preserve"> T</w:t>
      </w:r>
      <w:r w:rsidR="00B261A9" w:rsidRPr="00B261A9">
        <w:rPr>
          <w:lang w:val="en-US"/>
        </w:rPr>
        <w:t>he State party should</w:t>
      </w:r>
      <w:r w:rsidR="00195ADA">
        <w:rPr>
          <w:lang w:val="en-US"/>
        </w:rPr>
        <w:t>,</w:t>
      </w:r>
      <w:r w:rsidR="00B261A9" w:rsidRPr="00B261A9">
        <w:rPr>
          <w:lang w:val="en-US"/>
        </w:rPr>
        <w:t xml:space="preserve"> </w:t>
      </w:r>
      <w:r w:rsidR="00D02287" w:rsidRPr="00D02287">
        <w:rPr>
          <w:lang w:val="en-US"/>
        </w:rPr>
        <w:t>however</w:t>
      </w:r>
      <w:r w:rsidR="00195ADA">
        <w:rPr>
          <w:lang w:val="en-US"/>
        </w:rPr>
        <w:t>,</w:t>
      </w:r>
      <w:r w:rsidR="00D02287" w:rsidRPr="00D02287">
        <w:rPr>
          <w:lang w:val="en-US"/>
        </w:rPr>
        <w:t xml:space="preserve"> </w:t>
      </w:r>
      <w:r w:rsidR="00B261A9" w:rsidRPr="00B261A9">
        <w:rPr>
          <w:lang w:val="en-US"/>
        </w:rPr>
        <w:t>ensure that</w:t>
      </w:r>
      <w:r w:rsidR="00D02287">
        <w:rPr>
          <w:lang w:val="en-US"/>
        </w:rPr>
        <w:t>, in conformity with the principles of the Convention,</w:t>
      </w:r>
      <w:r w:rsidR="00B261A9" w:rsidRPr="00B261A9">
        <w:rPr>
          <w:lang w:val="en-US"/>
        </w:rPr>
        <w:t xml:space="preserve"> measures taken are proportiona</w:t>
      </w:r>
      <w:r w:rsidR="00D02287">
        <w:rPr>
          <w:lang w:val="en-US"/>
        </w:rPr>
        <w:t>te</w:t>
      </w:r>
      <w:r w:rsidR="00B261A9" w:rsidRPr="00B261A9">
        <w:rPr>
          <w:lang w:val="en-US"/>
        </w:rPr>
        <w:t>, do not discriminate in purpose or in effect against Palestinian citizens of Israel, or Palestinians in the Occupied Palestinian Territory, or any other minorities whether in Israel proper or in territories under the State party’s effective control; and that they are implemented with full respect for human rights as well as relevant principles of international humanitarian law.</w:t>
      </w:r>
    </w:p>
    <w:p w:rsidR="00B261A9" w:rsidRPr="00B261A9" w:rsidRDefault="00802FF9" w:rsidP="00B261A9">
      <w:pPr>
        <w:pStyle w:val="SingleTxtG"/>
        <w:rPr>
          <w:lang w:val="en-US"/>
        </w:rPr>
      </w:pPr>
      <w:r>
        <w:rPr>
          <w:lang w:val="en-US"/>
        </w:rPr>
        <w:t>4</w:t>
      </w:r>
      <w:r w:rsidR="00B261A9" w:rsidRPr="00B261A9">
        <w:rPr>
          <w:lang w:val="en-US"/>
        </w:rPr>
        <w:t>.</w:t>
      </w:r>
      <w:r w:rsidR="00B261A9" w:rsidRPr="00B261A9">
        <w:rPr>
          <w:lang w:val="en-US"/>
        </w:rPr>
        <w:tab/>
        <w:t xml:space="preserve">The Committee reiterates </w:t>
      </w:r>
      <w:r w:rsidR="00E70782">
        <w:rPr>
          <w:lang w:val="en-US"/>
        </w:rPr>
        <w:t>its</w:t>
      </w:r>
      <w:r w:rsidR="00B261A9" w:rsidRPr="00B261A9">
        <w:rPr>
          <w:lang w:val="en-US"/>
        </w:rPr>
        <w:t xml:space="preserve"> view that the Israeli settlements in the Occupied Palestinian Territory, in particular the West Bank, including East Jerusalem, are not only illegal under international law but are an obstacle to the enjoyment of human rights by the whole population, without distinction as to national or ethnic origin. Actions that change the demographic composition of the </w:t>
      </w:r>
      <w:smartTag w:uri="urn:schemas-microsoft-com:office:smarttags" w:element="place">
        <w:smartTag w:uri="urn:schemas-microsoft-com:office:smarttags" w:element="PlaceName">
          <w:r w:rsidR="00B261A9" w:rsidRPr="00B261A9">
            <w:rPr>
              <w:lang w:val="en-US"/>
            </w:rPr>
            <w:t>Occupied</w:t>
          </w:r>
        </w:smartTag>
        <w:r w:rsidR="00B261A9" w:rsidRPr="00B261A9">
          <w:rPr>
            <w:lang w:val="en-US"/>
          </w:rPr>
          <w:t xml:space="preserve"> </w:t>
        </w:r>
        <w:smartTag w:uri="urn:schemas-microsoft-com:office:smarttags" w:element="PlaceName">
          <w:r w:rsidR="00B261A9" w:rsidRPr="00B261A9">
            <w:rPr>
              <w:lang w:val="en-US"/>
            </w:rPr>
            <w:t>Palestinian</w:t>
          </w:r>
        </w:smartTag>
        <w:r w:rsidR="00B261A9" w:rsidRPr="00B261A9">
          <w:rPr>
            <w:lang w:val="en-US"/>
          </w:rPr>
          <w:t xml:space="preserve"> </w:t>
        </w:r>
        <w:smartTag w:uri="urn:schemas-microsoft-com:office:smarttags" w:element="PlaceType">
          <w:r w:rsidR="00B261A9" w:rsidRPr="00B261A9">
            <w:rPr>
              <w:lang w:val="en-US"/>
            </w:rPr>
            <w:t>Territory</w:t>
          </w:r>
        </w:smartTag>
      </w:smartTag>
      <w:r w:rsidR="00B261A9" w:rsidRPr="00B261A9">
        <w:rPr>
          <w:lang w:val="en-US"/>
        </w:rPr>
        <w:t xml:space="preserve"> and the Occupied Syrian Golan are also of concern as violations of human rights and international humanitarian law.</w:t>
      </w:r>
    </w:p>
    <w:p w:rsidR="00A22158" w:rsidRDefault="00A22158" w:rsidP="00A22158">
      <w:pPr>
        <w:pStyle w:val="H1G"/>
      </w:pPr>
      <w:r>
        <w:tab/>
      </w:r>
      <w:r w:rsidRPr="00B43809">
        <w:t>B.</w:t>
      </w:r>
      <w:r>
        <w:tab/>
      </w:r>
      <w:r w:rsidRPr="00B43809">
        <w:t>Positive aspects</w:t>
      </w:r>
    </w:p>
    <w:p w:rsidR="004B3CC3" w:rsidRDefault="00802FF9" w:rsidP="00926E45">
      <w:pPr>
        <w:pStyle w:val="SingleTxtG"/>
      </w:pPr>
      <w:r>
        <w:t>5</w:t>
      </w:r>
      <w:r w:rsidR="0094292A">
        <w:t>.</w:t>
      </w:r>
      <w:r w:rsidR="0094292A">
        <w:tab/>
      </w:r>
      <w:r w:rsidR="004B3CC3" w:rsidRPr="003F107D">
        <w:t xml:space="preserve">The </w:t>
      </w:r>
      <w:r w:rsidR="0094292A">
        <w:t>Committee</w:t>
      </w:r>
      <w:r w:rsidR="00C65863">
        <w:t xml:space="preserve"> </w:t>
      </w:r>
      <w:r w:rsidR="0095130C">
        <w:t>welcomes</w:t>
      </w:r>
      <w:r w:rsidR="004B3CC3" w:rsidRPr="004B3CC3">
        <w:t xml:space="preserve"> the efforts made by the </w:t>
      </w:r>
      <w:r w:rsidR="002149C9">
        <w:t>State party</w:t>
      </w:r>
      <w:r w:rsidR="004B3CC3" w:rsidRPr="004B3CC3">
        <w:t xml:space="preserve"> to </w:t>
      </w:r>
      <w:r w:rsidR="00173CAB">
        <w:t>address inequality, particularly in the area of employment and education</w:t>
      </w:r>
      <w:r w:rsidR="00195ADA">
        <w:t xml:space="preserve">, </w:t>
      </w:r>
      <w:r w:rsidR="00B261A9">
        <w:t xml:space="preserve">faced by the most vulnerable groups </w:t>
      </w:r>
      <w:r w:rsidR="008A48C9">
        <w:t>in</w:t>
      </w:r>
      <w:r w:rsidR="00B261A9">
        <w:t xml:space="preserve"> Israeli society</w:t>
      </w:r>
      <w:r w:rsidR="00173CAB">
        <w:t xml:space="preserve">, </w:t>
      </w:r>
      <w:r w:rsidR="004B3CC3" w:rsidRPr="004B3CC3">
        <w:t>and</w:t>
      </w:r>
      <w:r w:rsidR="004B3CC3">
        <w:t xml:space="preserve"> </w:t>
      </w:r>
      <w:r w:rsidR="004B3CC3" w:rsidRPr="004B3CC3">
        <w:t>acknowledg</w:t>
      </w:r>
      <w:r w:rsidR="000C112B">
        <w:t xml:space="preserve">es that it has made </w:t>
      </w:r>
      <w:r w:rsidR="004B3CC3" w:rsidRPr="004B3CC3">
        <w:t>progress in this regard</w:t>
      </w:r>
      <w:r w:rsidR="003F107D">
        <w:t xml:space="preserve"> in </w:t>
      </w:r>
      <w:smartTag w:uri="urn:schemas-microsoft-com:office:smarttags" w:element="place">
        <w:smartTag w:uri="urn:schemas-microsoft-com:office:smarttags" w:element="country-region">
          <w:r w:rsidR="003F107D">
            <w:t>Israel</w:t>
          </w:r>
        </w:smartTag>
      </w:smartTag>
      <w:r w:rsidR="003F107D">
        <w:t xml:space="preserve"> proper.</w:t>
      </w:r>
    </w:p>
    <w:p w:rsidR="0094292A" w:rsidRDefault="00802FF9" w:rsidP="00926E45">
      <w:pPr>
        <w:pStyle w:val="SingleTxtG"/>
      </w:pPr>
      <w:r>
        <w:t>6</w:t>
      </w:r>
      <w:r w:rsidR="0094292A">
        <w:t>.</w:t>
      </w:r>
      <w:r w:rsidR="0094292A">
        <w:tab/>
        <w:t>The Committee welcomes the enactment of</w:t>
      </w:r>
      <w:r w:rsidR="00173CAB">
        <w:t xml:space="preserve"> the </w:t>
      </w:r>
      <w:r w:rsidR="00E70782" w:rsidRPr="00E70782">
        <w:t xml:space="preserve">2008 </w:t>
      </w:r>
      <w:r w:rsidR="00E70782" w:rsidRPr="00AC3114">
        <w:t xml:space="preserve">Prohibition of Violence in Sport Law and the enactment of the </w:t>
      </w:r>
      <w:r w:rsidR="00173CAB" w:rsidRPr="00AC3114">
        <w:t xml:space="preserve">Expansion of Adequate Representation for Persons of the Ethiopian Community in the Public Service (Legislative Amendments) Law </w:t>
      </w:r>
      <w:r w:rsidR="00173CAB" w:rsidRPr="00012840">
        <w:t>(5771-201</w:t>
      </w:r>
      <w:r w:rsidR="00173CAB" w:rsidRPr="00993D76">
        <w:t>1)</w:t>
      </w:r>
      <w:r w:rsidR="00173CAB">
        <w:t xml:space="preserve"> on March 28, 2011</w:t>
      </w:r>
      <w:r w:rsidR="00E70782">
        <w:t>.</w:t>
      </w:r>
    </w:p>
    <w:p w:rsidR="000C112B" w:rsidRDefault="00802FF9" w:rsidP="00926E45">
      <w:pPr>
        <w:pStyle w:val="SingleTxtG"/>
      </w:pPr>
      <w:r>
        <w:rPr>
          <w:rFonts w:cs="Arial"/>
        </w:rPr>
        <w:t>7</w:t>
      </w:r>
      <w:r w:rsidR="0094292A">
        <w:rPr>
          <w:rFonts w:cs="Arial"/>
        </w:rPr>
        <w:t>.</w:t>
      </w:r>
      <w:r w:rsidR="0094292A">
        <w:rPr>
          <w:rFonts w:cs="Arial"/>
        </w:rPr>
        <w:tab/>
      </w:r>
      <w:r w:rsidR="005D6DE5">
        <w:rPr>
          <w:rFonts w:cs="Arial"/>
        </w:rPr>
        <w:t xml:space="preserve">The Committee </w:t>
      </w:r>
      <w:r w:rsidR="00173CAB">
        <w:rPr>
          <w:rFonts w:cs="Arial"/>
        </w:rPr>
        <w:t xml:space="preserve">welcomes the establishment </w:t>
      </w:r>
      <w:r>
        <w:rPr>
          <w:rFonts w:cs="Arial"/>
        </w:rPr>
        <w:t xml:space="preserve">in the Prime Minister’s Office </w:t>
      </w:r>
      <w:r w:rsidR="00173CAB">
        <w:rPr>
          <w:rFonts w:cs="Arial"/>
        </w:rPr>
        <w:t>of the Economic Development Authority for the Arab, Druze and Circassian Sectors and the allocation of a consequential budget for its functioning</w:t>
      </w:r>
      <w:r w:rsidR="00B261A9">
        <w:rPr>
          <w:rFonts w:cs="Arial"/>
        </w:rPr>
        <w:t>, and the adoption of a Five</w:t>
      </w:r>
      <w:r w:rsidR="00AC3114">
        <w:rPr>
          <w:rFonts w:cs="Arial"/>
        </w:rPr>
        <w:t>-</w:t>
      </w:r>
      <w:r w:rsidR="00B261A9">
        <w:rPr>
          <w:rFonts w:cs="Arial"/>
        </w:rPr>
        <w:t>Year Plan for the Economic Development of Minority Localities</w:t>
      </w:r>
      <w:r w:rsidR="008F6167">
        <w:t>.</w:t>
      </w:r>
    </w:p>
    <w:p w:rsidR="00B922B2" w:rsidRDefault="00802FF9" w:rsidP="00926E45">
      <w:pPr>
        <w:pStyle w:val="SingleTxtG"/>
        <w:rPr>
          <w:lang w:val="en-US"/>
        </w:rPr>
      </w:pPr>
      <w:r>
        <w:t>8</w:t>
      </w:r>
      <w:r w:rsidR="00B922B2">
        <w:t>.</w:t>
      </w:r>
      <w:r w:rsidR="00B922B2">
        <w:tab/>
        <w:t xml:space="preserve">The Committee welcomes the </w:t>
      </w:r>
      <w:r w:rsidR="000B172B">
        <w:t>announce</w:t>
      </w:r>
      <w:r w:rsidR="00771815">
        <w:t>ment made by the d</w:t>
      </w:r>
      <w:r w:rsidR="000B172B">
        <w:t>elegation on the establishment in 2011 of a joint inter-ministerial team headed by one of the Ministry of Justice’s Deputy Attorney Generals, for implementing the</w:t>
      </w:r>
      <w:r w:rsidR="009F6925">
        <w:t xml:space="preserve"> treaty b</w:t>
      </w:r>
      <w:r w:rsidR="000B172B">
        <w:t>odies’ concluding observations on Israel</w:t>
      </w:r>
      <w:r w:rsidR="00012840">
        <w:t>,</w:t>
      </w:r>
      <w:r w:rsidR="000B172B">
        <w:t xml:space="preserve"> as well as </w:t>
      </w:r>
      <w:r w:rsidR="00195ADA">
        <w:t>the establishment by the Ministry of Interior and the Minister of Public Security of a ministerial team, which meets</w:t>
      </w:r>
      <w:r w:rsidR="000B172B" w:rsidRPr="000B172B">
        <w:rPr>
          <w:lang w:val="en-US"/>
        </w:rPr>
        <w:t xml:space="preserve"> regularly to address matters relating to violence </w:t>
      </w:r>
      <w:r w:rsidR="00E70782">
        <w:rPr>
          <w:lang w:val="en-US"/>
        </w:rPr>
        <w:t xml:space="preserve">perpetrated by Jewish settlers </w:t>
      </w:r>
      <w:r w:rsidR="000B172B" w:rsidRPr="000B172B">
        <w:rPr>
          <w:lang w:val="en-US"/>
        </w:rPr>
        <w:t>and its severe consequences</w:t>
      </w:r>
      <w:r w:rsidR="004F6AFD">
        <w:rPr>
          <w:lang w:val="en-US"/>
        </w:rPr>
        <w:t>.</w:t>
      </w:r>
      <w:r w:rsidR="000B172B" w:rsidRPr="000B172B">
        <w:rPr>
          <w:lang w:val="en-US"/>
        </w:rPr>
        <w:t xml:space="preserve"> </w:t>
      </w:r>
    </w:p>
    <w:p w:rsidR="00B261A9" w:rsidRDefault="00802FF9" w:rsidP="00926E45">
      <w:pPr>
        <w:pStyle w:val="SingleTxtG"/>
      </w:pPr>
      <w:r>
        <w:t>9</w:t>
      </w:r>
      <w:r w:rsidR="00B261A9">
        <w:t>.</w:t>
      </w:r>
      <w:r w:rsidR="00B261A9">
        <w:tab/>
        <w:t xml:space="preserve">The Committee </w:t>
      </w:r>
      <w:r w:rsidR="00E70782">
        <w:t xml:space="preserve">also </w:t>
      </w:r>
      <w:r w:rsidR="00B261A9">
        <w:t xml:space="preserve">welcomes </w:t>
      </w:r>
      <w:r w:rsidR="007559F8">
        <w:t>affirmative action measures</w:t>
      </w:r>
      <w:r w:rsidR="00B261A9">
        <w:t xml:space="preserve"> taken </w:t>
      </w:r>
      <w:r w:rsidR="007559F8">
        <w:t xml:space="preserve">by the State party </w:t>
      </w:r>
      <w:r w:rsidR="00B261A9">
        <w:t xml:space="preserve">to enhance </w:t>
      </w:r>
      <w:r w:rsidR="007559F8">
        <w:t xml:space="preserve">the integration of the </w:t>
      </w:r>
      <w:r w:rsidR="00B261A9">
        <w:t xml:space="preserve">Arab and Druze population into the </w:t>
      </w:r>
      <w:r w:rsidR="008A48C9">
        <w:t>c</w:t>
      </w:r>
      <w:r w:rsidR="00B261A9">
        <w:t xml:space="preserve">ivil </w:t>
      </w:r>
      <w:r w:rsidR="008A48C9">
        <w:t>s</w:t>
      </w:r>
      <w:r w:rsidR="00B261A9">
        <w:t>ervice.</w:t>
      </w:r>
    </w:p>
    <w:p w:rsidR="004F6AFD" w:rsidRDefault="00926E45" w:rsidP="004F6AFD">
      <w:pPr>
        <w:pStyle w:val="H1G"/>
      </w:pPr>
      <w:r>
        <w:tab/>
      </w:r>
      <w:r w:rsidR="004F6AFD">
        <w:t>C.</w:t>
      </w:r>
      <w:r>
        <w:tab/>
      </w:r>
      <w:r w:rsidR="004F6AFD" w:rsidRPr="004F6AFD">
        <w:t>Concerns and recommendations</w:t>
      </w:r>
    </w:p>
    <w:p w:rsidR="002375C7" w:rsidRPr="00012840" w:rsidRDefault="002375C7" w:rsidP="00926E45">
      <w:pPr>
        <w:pStyle w:val="H23G"/>
      </w:pPr>
      <w:r w:rsidRPr="00012840">
        <w:tab/>
      </w:r>
      <w:r w:rsidR="00926E45">
        <w:tab/>
      </w:r>
      <w:r w:rsidRPr="00012840">
        <w:t xml:space="preserve">General situation </w:t>
      </w:r>
    </w:p>
    <w:p w:rsidR="003349CF" w:rsidRPr="00926E45" w:rsidRDefault="00207393" w:rsidP="00926E45">
      <w:pPr>
        <w:pStyle w:val="SingleTxtG"/>
      </w:pPr>
      <w:r w:rsidRPr="00926E45">
        <w:t>1</w:t>
      </w:r>
      <w:r w:rsidR="00802FF9" w:rsidRPr="00926E45">
        <w:t>0</w:t>
      </w:r>
      <w:r w:rsidR="0094292A" w:rsidRPr="00926E45">
        <w:t>.</w:t>
      </w:r>
      <w:r w:rsidR="0094292A" w:rsidRPr="00926E45">
        <w:tab/>
      </w:r>
      <w:r w:rsidR="00802FF9" w:rsidRPr="00926E45">
        <w:t xml:space="preserve">The Committee takes note of the willingness of the State party delegation to discuss questions regarding the </w:t>
      </w:r>
      <w:smartTag w:uri="urn:schemas-microsoft-com:office:smarttags" w:element="place">
        <w:r w:rsidR="00802FF9" w:rsidRPr="00926E45">
          <w:t>West Bank</w:t>
        </w:r>
      </w:smartTag>
      <w:r w:rsidR="00802FF9" w:rsidRPr="00926E45">
        <w:t xml:space="preserve"> and the Gaza Strip but regrets that the report did not contain any information concerning the population living in these territories. </w:t>
      </w:r>
      <w:r w:rsidR="00554FC0" w:rsidRPr="00926E45">
        <w:t>In this regard, t</w:t>
      </w:r>
      <w:r w:rsidR="003349CF" w:rsidRPr="00926E45">
        <w:t xml:space="preserve">he Committee </w:t>
      </w:r>
      <w:r w:rsidRPr="00926E45">
        <w:t>is deeply concerned</w:t>
      </w:r>
      <w:r w:rsidR="003349CF" w:rsidRPr="00926E45">
        <w:t xml:space="preserve"> at the position of the State party to the effect that the Convention does not apply to all the territories under the State party’s effective control, which not only include Israel proper but </w:t>
      </w:r>
      <w:r w:rsidR="00012840" w:rsidRPr="00926E45">
        <w:t xml:space="preserve">also </w:t>
      </w:r>
      <w:r w:rsidR="0081415B" w:rsidRPr="00926E45">
        <w:t xml:space="preserve">the West Bank, including </w:t>
      </w:r>
      <w:r w:rsidR="00A70C60" w:rsidRPr="00926E45">
        <w:t>East Jerusalem</w:t>
      </w:r>
      <w:r w:rsidR="0081415B" w:rsidRPr="00926E45">
        <w:t>, the Gaza Strip</w:t>
      </w:r>
      <w:r w:rsidR="00A70C60" w:rsidRPr="00926E45">
        <w:t xml:space="preserve"> and </w:t>
      </w:r>
      <w:r w:rsidR="003349CF" w:rsidRPr="00926E45">
        <w:t>t</w:t>
      </w:r>
      <w:r w:rsidR="00A70C60" w:rsidRPr="00926E45">
        <w:t xml:space="preserve">he Occupied Syrian Golan. </w:t>
      </w:r>
      <w:r w:rsidR="004F6AFD" w:rsidRPr="00926E45">
        <w:t>The Committee reiterates that s</w:t>
      </w:r>
      <w:r w:rsidR="003349CF" w:rsidRPr="00926E45">
        <w:t xml:space="preserve">uch a position </w:t>
      </w:r>
      <w:r w:rsidR="00802FF9" w:rsidRPr="00926E45">
        <w:t xml:space="preserve">is not in accordance with </w:t>
      </w:r>
      <w:r w:rsidR="003349CF" w:rsidRPr="00926E45">
        <w:t xml:space="preserve">the letter and spirit of the Convention, </w:t>
      </w:r>
      <w:r w:rsidR="004F6AFD" w:rsidRPr="00926E45">
        <w:t xml:space="preserve">and </w:t>
      </w:r>
      <w:r w:rsidR="003349CF" w:rsidRPr="00926E45">
        <w:t xml:space="preserve"> international law, as also affirmed by the International Court of Justice</w:t>
      </w:r>
      <w:r w:rsidR="00A70C60" w:rsidRPr="00926E45">
        <w:t xml:space="preserve"> and </w:t>
      </w:r>
      <w:r w:rsidR="00802FF9" w:rsidRPr="00926E45">
        <w:t>by other international bodies</w:t>
      </w:r>
      <w:r w:rsidR="003349CF" w:rsidRPr="00926E45">
        <w:t xml:space="preserve">. </w:t>
      </w:r>
    </w:p>
    <w:p w:rsidR="00552D47" w:rsidRPr="00926E45" w:rsidRDefault="003349CF" w:rsidP="00926E45">
      <w:pPr>
        <w:pStyle w:val="SingleTxtG"/>
        <w:rPr>
          <w:b/>
        </w:rPr>
      </w:pPr>
      <w:r w:rsidRPr="00926E45">
        <w:rPr>
          <w:b/>
        </w:rPr>
        <w:t>Recalling its previous concluding observations (CERD/C/</w:t>
      </w:r>
      <w:r w:rsidR="00A70C60" w:rsidRPr="00926E45">
        <w:rPr>
          <w:b/>
        </w:rPr>
        <w:t>ISR/</w:t>
      </w:r>
      <w:r w:rsidRPr="00926E45">
        <w:rPr>
          <w:b/>
        </w:rPr>
        <w:t xml:space="preserve">CO/13, para. 32), the Committee </w:t>
      </w:r>
      <w:r w:rsidR="00207393" w:rsidRPr="00926E45">
        <w:rPr>
          <w:b/>
        </w:rPr>
        <w:t xml:space="preserve">strongly </w:t>
      </w:r>
      <w:r w:rsidRPr="00926E45">
        <w:rPr>
          <w:b/>
        </w:rPr>
        <w:t xml:space="preserve">urges the State party </w:t>
      </w:r>
      <w:r w:rsidR="00012840" w:rsidRPr="00926E45">
        <w:rPr>
          <w:b/>
        </w:rPr>
        <w:t xml:space="preserve">to </w:t>
      </w:r>
      <w:r w:rsidRPr="00926E45">
        <w:rPr>
          <w:b/>
        </w:rPr>
        <w:t>review its approach and interpret its obligations under the Convention in good faith</w:t>
      </w:r>
      <w:r w:rsidR="00A70C60" w:rsidRPr="00926E45">
        <w:rPr>
          <w:b/>
        </w:rPr>
        <w:t xml:space="preserve"> and in accordance with international law</w:t>
      </w:r>
      <w:r w:rsidRPr="00926E45">
        <w:rPr>
          <w:b/>
        </w:rPr>
        <w:t xml:space="preserve">. The Committee also </w:t>
      </w:r>
      <w:r w:rsidR="00207393" w:rsidRPr="00926E45">
        <w:rPr>
          <w:b/>
        </w:rPr>
        <w:t>urges</w:t>
      </w:r>
      <w:r w:rsidRPr="00926E45">
        <w:rPr>
          <w:b/>
        </w:rPr>
        <w:t xml:space="preserve"> the State party </w:t>
      </w:r>
      <w:r w:rsidR="00802FF9" w:rsidRPr="00926E45">
        <w:rPr>
          <w:b/>
        </w:rPr>
        <w:t xml:space="preserve">to </w:t>
      </w:r>
      <w:r w:rsidRPr="00926E45">
        <w:rPr>
          <w:b/>
        </w:rPr>
        <w:t>ensure that all civilians under its effective control enjoy full rights under the Convention without discrimination based on ethnicity, citizenship</w:t>
      </w:r>
      <w:r w:rsidR="00A70C60" w:rsidRPr="00926E45">
        <w:rPr>
          <w:b/>
        </w:rPr>
        <w:t xml:space="preserve">, or </w:t>
      </w:r>
      <w:r w:rsidRPr="00926E45">
        <w:rPr>
          <w:b/>
        </w:rPr>
        <w:t xml:space="preserve">national origin. </w:t>
      </w:r>
    </w:p>
    <w:p w:rsidR="00802FF9" w:rsidRPr="00926E45" w:rsidRDefault="00802FF9" w:rsidP="00926E45">
      <w:pPr>
        <w:pStyle w:val="SingleTxtG"/>
      </w:pPr>
      <w:r w:rsidRPr="00926E45">
        <w:t>11.</w:t>
      </w:r>
      <w:r w:rsidRPr="00926E45">
        <w:tab/>
        <w:t xml:space="preserve">The Committee notes with increased concern that Israeli society maintains Jewish and non-Jewish sectors, which raises issues under article 3 of the Convention. Clarifications provided by the delegation confirmed the Committee’s </w:t>
      </w:r>
      <w:r w:rsidR="00BC4D63" w:rsidRPr="00926E45">
        <w:t>concerns</w:t>
      </w:r>
      <w:r w:rsidRPr="00926E45">
        <w:t xml:space="preserve"> in relation to the existence of two systems of education, one in Hebrew and one in Arabic, which except in rare circumstances remain impermeable and inaccessible to the other community</w:t>
      </w:r>
      <w:r w:rsidR="00012840" w:rsidRPr="00926E45">
        <w:t>,</w:t>
      </w:r>
      <w:r w:rsidRPr="00926E45">
        <w:t xml:space="preserve"> as well as separate municipalities</w:t>
      </w:r>
      <w:r w:rsidR="00012840" w:rsidRPr="00926E45">
        <w:t>:</w:t>
      </w:r>
      <w:r w:rsidRPr="00926E45">
        <w:t xml:space="preserve"> Jewish municipalities and the so-called “municipalities of the minorities”. The enactment of the </w:t>
      </w:r>
      <w:r w:rsidRPr="00E11A88">
        <w:t>Admissions Committees Law</w:t>
      </w:r>
      <w:r w:rsidRPr="00926E45">
        <w:t xml:space="preserve"> (2011), which gives private committees full discretion to reject applicants deemed “unsuitable to the social life of the community”, is a clear sign that the concerns as regards segregation remain pressing (</w:t>
      </w:r>
      <w:r w:rsidR="00E11A88">
        <w:t>art</w:t>
      </w:r>
      <w:r w:rsidRPr="00926E45">
        <w:t>s</w:t>
      </w:r>
      <w:r w:rsidR="00E11A88">
        <w:t>.</w:t>
      </w:r>
      <w:r w:rsidRPr="00926E45">
        <w:t xml:space="preserve"> 3, 5 and 7 of the Convention). </w:t>
      </w:r>
    </w:p>
    <w:p w:rsidR="00802FF9" w:rsidRPr="00926E45" w:rsidRDefault="00802FF9" w:rsidP="00926E45">
      <w:pPr>
        <w:pStyle w:val="SingleTxtG"/>
        <w:rPr>
          <w:b/>
        </w:rPr>
      </w:pPr>
      <w:r w:rsidRPr="00926E45">
        <w:rPr>
          <w:b/>
        </w:rPr>
        <w:t xml:space="preserve">Recalling its previous concluding observations (CERD/C/ISR/CO/13, para. </w:t>
      </w:r>
      <w:r w:rsidR="008A48C9" w:rsidRPr="00926E45">
        <w:rPr>
          <w:b/>
        </w:rPr>
        <w:t>22</w:t>
      </w:r>
      <w:r w:rsidRPr="00926E45">
        <w:rPr>
          <w:b/>
        </w:rPr>
        <w:t xml:space="preserve">), the Committee urges the State party to give full effect to article 3 and </w:t>
      </w:r>
      <w:r w:rsidR="00012840" w:rsidRPr="00926E45">
        <w:rPr>
          <w:b/>
        </w:rPr>
        <w:t xml:space="preserve">to make every </w:t>
      </w:r>
      <w:r w:rsidRPr="00926E45">
        <w:rPr>
          <w:b/>
        </w:rPr>
        <w:t xml:space="preserve">effort to eradicate all forms of segregation between Jewish and non-Jewish communities. The State party is requested to provide information on action taken in this regard in its next periodic report. </w:t>
      </w:r>
    </w:p>
    <w:p w:rsidR="00A70C60" w:rsidRPr="00A70C60" w:rsidRDefault="001C4BF9" w:rsidP="00A70C60">
      <w:pPr>
        <w:pStyle w:val="SingleTxtG"/>
      </w:pPr>
      <w:r>
        <w:t>1</w:t>
      </w:r>
      <w:r w:rsidR="00086484">
        <w:t>2</w:t>
      </w:r>
      <w:r>
        <w:t>.</w:t>
      </w:r>
      <w:r w:rsidR="00A22158" w:rsidRPr="00236865">
        <w:tab/>
      </w:r>
      <w:r w:rsidR="00A70C60">
        <w:t>B</w:t>
      </w:r>
      <w:r w:rsidR="00A70C60" w:rsidRPr="00A70C60">
        <w:t>earing in mind the clarification</w:t>
      </w:r>
      <w:r w:rsidR="00771815">
        <w:t>s provided by the d</w:t>
      </w:r>
      <w:r w:rsidR="00A70C60" w:rsidRPr="00A70C60">
        <w:t xml:space="preserve">elegation, </w:t>
      </w:r>
      <w:r w:rsidR="00A70C60">
        <w:t xml:space="preserve">the Committee </w:t>
      </w:r>
      <w:r w:rsidR="00802FF9">
        <w:t>regrets</w:t>
      </w:r>
      <w:r w:rsidR="00A70C60">
        <w:t xml:space="preserve"> </w:t>
      </w:r>
      <w:r w:rsidR="00A70C60" w:rsidRPr="00A70C60">
        <w:t xml:space="preserve">the absence of </w:t>
      </w:r>
      <w:r w:rsidR="00A70C60">
        <w:t>stat</w:t>
      </w:r>
      <w:r w:rsidR="00207393">
        <w:t>istical</w:t>
      </w:r>
      <w:r w:rsidR="00A70C60">
        <w:t xml:space="preserve"> </w:t>
      </w:r>
      <w:r w:rsidR="00A70C60" w:rsidRPr="00A70C60">
        <w:t xml:space="preserve">information on the ethnic plurality of </w:t>
      </w:r>
      <w:r w:rsidR="00A70C60">
        <w:t xml:space="preserve">the Jewish population of </w:t>
      </w:r>
      <w:smartTag w:uri="urn:schemas-microsoft-com:office:smarttags" w:element="place">
        <w:smartTag w:uri="urn:schemas-microsoft-com:office:smarttags" w:element="country-region">
          <w:r w:rsidR="00A70C60">
            <w:t>Israel</w:t>
          </w:r>
        </w:smartTag>
      </w:smartTag>
      <w:r w:rsidR="00A70C60" w:rsidRPr="00A70C60">
        <w:t>.</w:t>
      </w:r>
    </w:p>
    <w:p w:rsidR="00A70C60" w:rsidRPr="00926E45" w:rsidRDefault="00A70C60" w:rsidP="00926E45">
      <w:pPr>
        <w:pStyle w:val="SingleTxtG"/>
        <w:rPr>
          <w:b/>
        </w:rPr>
      </w:pPr>
      <w:r w:rsidRPr="00926E45">
        <w:rPr>
          <w:b/>
        </w:rPr>
        <w:t xml:space="preserve">Recalling its previous concluding observations (CERD/C/ISR/CO/13, para. 15), the Committee strongly recommends that the State party provide information on the composition of the Jewish population of </w:t>
      </w:r>
      <w:smartTag w:uri="urn:schemas-microsoft-com:office:smarttags" w:element="place">
        <w:smartTag w:uri="urn:schemas-microsoft-com:office:smarttags" w:element="country-region">
          <w:r w:rsidRPr="00926E45">
            <w:rPr>
              <w:b/>
            </w:rPr>
            <w:t>Israel</w:t>
          </w:r>
        </w:smartTag>
      </w:smartTag>
      <w:r w:rsidRPr="00926E45">
        <w:rPr>
          <w:b/>
        </w:rPr>
        <w:t xml:space="preserve">, </w:t>
      </w:r>
      <w:r w:rsidR="00DF156E" w:rsidRPr="00926E45">
        <w:rPr>
          <w:b/>
        </w:rPr>
        <w:t xml:space="preserve">disaggregated by </w:t>
      </w:r>
      <w:r w:rsidR="00086484" w:rsidRPr="00926E45">
        <w:rPr>
          <w:b/>
        </w:rPr>
        <w:t>relevant criteria</w:t>
      </w:r>
      <w:r w:rsidR="00111A77" w:rsidRPr="00926E45">
        <w:rPr>
          <w:b/>
        </w:rPr>
        <w:t>.</w:t>
      </w:r>
    </w:p>
    <w:p w:rsidR="00680560" w:rsidRPr="00680560" w:rsidRDefault="001C4BF9" w:rsidP="00680560">
      <w:pPr>
        <w:pStyle w:val="SingleTxtG"/>
      </w:pPr>
      <w:r>
        <w:t>1</w:t>
      </w:r>
      <w:r w:rsidR="00086484">
        <w:t>3</w:t>
      </w:r>
      <w:r>
        <w:t>.</w:t>
      </w:r>
      <w:r w:rsidR="00A22158">
        <w:tab/>
      </w:r>
      <w:r w:rsidR="008D3878">
        <w:t>As mentioned</w:t>
      </w:r>
      <w:r w:rsidR="00776CB9">
        <w:t xml:space="preserve"> in its previous concluding observations </w:t>
      </w:r>
      <w:r w:rsidR="00776CB9" w:rsidRPr="00776CB9">
        <w:rPr>
          <w:bCs/>
        </w:rPr>
        <w:t>(CERD/C/ISR/CO/13, para. 1</w:t>
      </w:r>
      <w:r w:rsidR="00776CB9">
        <w:rPr>
          <w:bCs/>
        </w:rPr>
        <w:t>6</w:t>
      </w:r>
      <w:r w:rsidR="00776CB9" w:rsidRPr="00776CB9">
        <w:rPr>
          <w:bCs/>
        </w:rPr>
        <w:t>)</w:t>
      </w:r>
      <w:r w:rsidR="00776CB9">
        <w:t xml:space="preserve">, the Committee </w:t>
      </w:r>
      <w:r w:rsidR="008D3878">
        <w:t>is c</w:t>
      </w:r>
      <w:r w:rsidR="00680560" w:rsidRPr="00680560">
        <w:t xml:space="preserve">oncerned that no general provision for equality and </w:t>
      </w:r>
      <w:r w:rsidR="00802FF9">
        <w:t xml:space="preserve">the </w:t>
      </w:r>
      <w:r w:rsidR="00680560" w:rsidRPr="00680560">
        <w:t>prohibition of racial discrimination has been included</w:t>
      </w:r>
      <w:r w:rsidR="00680560">
        <w:t xml:space="preserve"> </w:t>
      </w:r>
      <w:r w:rsidR="00680560" w:rsidRPr="00680560">
        <w:t xml:space="preserve">in the </w:t>
      </w:r>
      <w:r w:rsidR="00680560" w:rsidRPr="00E11A88">
        <w:t xml:space="preserve">Basic Law: Human Dignity and Liberty </w:t>
      </w:r>
      <w:r w:rsidR="00680560" w:rsidRPr="00680560">
        <w:t>(1992), which ser</w:t>
      </w:r>
      <w:r w:rsidR="00680560">
        <w:t>ves as Israel’s bill of rights</w:t>
      </w:r>
      <w:r w:rsidR="00EB04C8">
        <w:t>;</w:t>
      </w:r>
      <w:r w:rsidR="00802FF9">
        <w:t xml:space="preserve"> </w:t>
      </w:r>
      <w:r w:rsidR="00E11A88">
        <w:t xml:space="preserve">nor </w:t>
      </w:r>
      <w:r w:rsidR="00802FF9">
        <w:t xml:space="preserve">does Israeli legislation contain a definition of racial discrimination in accordance with </w:t>
      </w:r>
      <w:r w:rsidR="00E11A88">
        <w:t>a</w:t>
      </w:r>
      <w:r w:rsidR="00802FF9">
        <w:t>rticle 1 of the Convention</w:t>
      </w:r>
      <w:r w:rsidR="00680560">
        <w:t>.</w:t>
      </w:r>
      <w:r w:rsidR="008D3878">
        <w:t xml:space="preserve"> </w:t>
      </w:r>
      <w:r w:rsidR="00802FF9">
        <w:t>Th</w:t>
      </w:r>
      <w:r w:rsidR="004F6AFD">
        <w:t>ese</w:t>
      </w:r>
      <w:r w:rsidR="008D3878">
        <w:t xml:space="preserve"> lacuna</w:t>
      </w:r>
      <w:r w:rsidR="004F6AFD">
        <w:t>e</w:t>
      </w:r>
      <w:r w:rsidR="008D3878">
        <w:t xml:space="preserve"> seriously undermine the protection afforded to all persons under the jurisdiction of the State party for equal access to human rights (</w:t>
      </w:r>
      <w:r w:rsidR="00E11A88">
        <w:t>art.</w:t>
      </w:r>
      <w:r w:rsidR="008D3878">
        <w:t xml:space="preserve"> 2</w:t>
      </w:r>
      <w:r w:rsidR="001A4A8B" w:rsidRPr="001A4A8B">
        <w:t xml:space="preserve"> </w:t>
      </w:r>
      <w:r w:rsidR="001A4A8B">
        <w:t>of the Convention</w:t>
      </w:r>
      <w:r w:rsidR="008D3878">
        <w:t>).</w:t>
      </w:r>
    </w:p>
    <w:p w:rsidR="00680560" w:rsidRPr="00926E45" w:rsidRDefault="008D3878" w:rsidP="00926E45">
      <w:pPr>
        <w:pStyle w:val="SingleTxtG"/>
        <w:rPr>
          <w:b/>
        </w:rPr>
      </w:pPr>
      <w:r w:rsidRPr="00926E45">
        <w:rPr>
          <w:b/>
        </w:rPr>
        <w:t>The Committee r</w:t>
      </w:r>
      <w:r w:rsidR="00680560" w:rsidRPr="00926E45">
        <w:rPr>
          <w:b/>
        </w:rPr>
        <w:t>eiterat</w:t>
      </w:r>
      <w:r w:rsidRPr="00926E45">
        <w:rPr>
          <w:b/>
        </w:rPr>
        <w:t>es</w:t>
      </w:r>
      <w:r w:rsidR="00680560" w:rsidRPr="00926E45">
        <w:rPr>
          <w:b/>
        </w:rPr>
        <w:t xml:space="preserve"> its previous concluding observations </w:t>
      </w:r>
      <w:r w:rsidRPr="00926E45">
        <w:rPr>
          <w:b/>
        </w:rPr>
        <w:t>(</w:t>
      </w:r>
      <w:r w:rsidR="00680560" w:rsidRPr="00926E45">
        <w:rPr>
          <w:b/>
        </w:rPr>
        <w:t xml:space="preserve">CERD/C/ISR/CO/13, para. </w:t>
      </w:r>
      <w:r w:rsidRPr="00926E45">
        <w:rPr>
          <w:b/>
        </w:rPr>
        <w:t xml:space="preserve">16) and recommends </w:t>
      </w:r>
      <w:r w:rsidR="00680560" w:rsidRPr="00926E45">
        <w:rPr>
          <w:b/>
        </w:rPr>
        <w:t xml:space="preserve">that the State party ensure that the prohibition of racial discrimination and the principle of equality </w:t>
      </w:r>
      <w:r w:rsidR="00012840" w:rsidRPr="00926E45">
        <w:rPr>
          <w:b/>
        </w:rPr>
        <w:t xml:space="preserve">are </w:t>
      </w:r>
      <w:r w:rsidRPr="00926E45">
        <w:rPr>
          <w:b/>
        </w:rPr>
        <w:t>included in the Basic Law</w:t>
      </w:r>
      <w:r w:rsidR="00802FF9" w:rsidRPr="00926E45">
        <w:rPr>
          <w:b/>
        </w:rPr>
        <w:t xml:space="preserve"> and </w:t>
      </w:r>
      <w:r w:rsidR="00EB04C8" w:rsidRPr="00926E45">
        <w:rPr>
          <w:b/>
        </w:rPr>
        <w:t xml:space="preserve">that </w:t>
      </w:r>
      <w:r w:rsidR="00802FF9" w:rsidRPr="00926E45">
        <w:rPr>
          <w:b/>
        </w:rPr>
        <w:t>a definition of racial discrimination is duly incorporated into the Law</w:t>
      </w:r>
      <w:r w:rsidR="00680560" w:rsidRPr="00926E45">
        <w:rPr>
          <w:b/>
        </w:rPr>
        <w:t>.</w:t>
      </w:r>
    </w:p>
    <w:p w:rsidR="00E768B4" w:rsidRDefault="001C4BF9" w:rsidP="000D33CE">
      <w:pPr>
        <w:pStyle w:val="SingleTxtG"/>
      </w:pPr>
      <w:r>
        <w:t>1</w:t>
      </w:r>
      <w:r w:rsidR="00086484">
        <w:t>4</w:t>
      </w:r>
      <w:r w:rsidR="000D33CE">
        <w:t>.</w:t>
      </w:r>
      <w:r w:rsidR="000D33CE">
        <w:tab/>
      </w:r>
      <w:r w:rsidR="0015034E">
        <w:t xml:space="preserve">While </w:t>
      </w:r>
      <w:r w:rsidR="007A1A26">
        <w:t xml:space="preserve">noting </w:t>
      </w:r>
      <w:r w:rsidR="0015034E">
        <w:t xml:space="preserve">the existence of </w:t>
      </w:r>
      <w:r w:rsidR="006B350A">
        <w:t>criminal legislation on</w:t>
      </w:r>
      <w:r w:rsidR="0015034E">
        <w:t xml:space="preserve"> incitement to</w:t>
      </w:r>
      <w:r w:rsidR="006B350A">
        <w:t xml:space="preserve"> racism</w:t>
      </w:r>
      <w:r w:rsidR="00583FAF">
        <w:t>, racist organizations and participation</w:t>
      </w:r>
      <w:r w:rsidR="00EB04C8">
        <w:t xml:space="preserve"> in</w:t>
      </w:r>
      <w:r w:rsidR="00583FAF">
        <w:t xml:space="preserve"> and support </w:t>
      </w:r>
      <w:r w:rsidR="00EB04C8">
        <w:t>for</w:t>
      </w:r>
      <w:r w:rsidR="00583FAF">
        <w:t xml:space="preserve"> such organizations</w:t>
      </w:r>
      <w:r w:rsidR="0015034E">
        <w:t xml:space="preserve">, the Committee </w:t>
      </w:r>
      <w:r w:rsidR="00137829">
        <w:t>is concerned about</w:t>
      </w:r>
      <w:r w:rsidR="0015034E">
        <w:t xml:space="preserve"> the limitations </w:t>
      </w:r>
      <w:r w:rsidR="006B350A">
        <w:t>therein</w:t>
      </w:r>
      <w:r w:rsidR="00EB04C8">
        <w:t>,</w:t>
      </w:r>
      <w:r w:rsidR="0015034E">
        <w:t xml:space="preserve"> </w:t>
      </w:r>
      <w:r w:rsidR="00751CA2">
        <w:t xml:space="preserve">such as the restricted definition of racism, the exclusive role of the Attorney General in </w:t>
      </w:r>
      <w:r w:rsidR="004F6AFD">
        <w:t>authorizing the prosecution of offences of incitement to racism</w:t>
      </w:r>
      <w:r w:rsidR="00751CA2">
        <w:t xml:space="preserve">, and the </w:t>
      </w:r>
      <w:r w:rsidR="004F6AFD">
        <w:t>over</w:t>
      </w:r>
      <w:r w:rsidR="00BA1E11">
        <w:t>ly</w:t>
      </w:r>
      <w:r w:rsidR="004F6AFD">
        <w:t xml:space="preserve"> strict approach of Israeli legislation to proving the </w:t>
      </w:r>
      <w:r w:rsidR="00FC3F82">
        <w:t xml:space="preserve">intentional </w:t>
      </w:r>
      <w:r w:rsidR="004F6AFD">
        <w:t xml:space="preserve">element of </w:t>
      </w:r>
      <w:r w:rsidR="00BA1E11">
        <w:t xml:space="preserve">such </w:t>
      </w:r>
      <w:r w:rsidR="004F6AFD">
        <w:t>crime</w:t>
      </w:r>
      <w:r w:rsidR="00BA1E11">
        <w:t>s</w:t>
      </w:r>
      <w:r w:rsidR="00751CA2">
        <w:t>.</w:t>
      </w:r>
      <w:r w:rsidR="0015034E">
        <w:t xml:space="preserve"> </w:t>
      </w:r>
      <w:r w:rsidR="00751CA2">
        <w:t>While noting the State party’s concerns in regard to freedom of speech, t</w:t>
      </w:r>
      <w:r w:rsidR="006B350A">
        <w:t xml:space="preserve">he Committee recalls that </w:t>
      </w:r>
      <w:r w:rsidR="006B350A" w:rsidRPr="006B350A">
        <w:t>the prohibition of the dissemination of all ideas based upon racial superiority or hatred is compatible with the right to freedom of opinion and expression</w:t>
      </w:r>
      <w:r w:rsidR="006B350A">
        <w:t xml:space="preserve"> (</w:t>
      </w:r>
      <w:r w:rsidR="00586871">
        <w:t xml:space="preserve">arts. </w:t>
      </w:r>
      <w:r w:rsidR="0015034E">
        <w:t>2 and 4</w:t>
      </w:r>
      <w:r w:rsidR="001A4A8B">
        <w:t xml:space="preserve"> of the Convention</w:t>
      </w:r>
      <w:r w:rsidR="006B350A">
        <w:t>).</w:t>
      </w:r>
    </w:p>
    <w:p w:rsidR="000D6FD2" w:rsidRPr="00926E45" w:rsidRDefault="00493630" w:rsidP="00926E45">
      <w:pPr>
        <w:pStyle w:val="SingleTxtG"/>
        <w:rPr>
          <w:b/>
        </w:rPr>
      </w:pPr>
      <w:r w:rsidRPr="00926E45">
        <w:rPr>
          <w:b/>
        </w:rPr>
        <w:t xml:space="preserve">The Committee recommends that the State party </w:t>
      </w:r>
      <w:r w:rsidR="00583FAF" w:rsidRPr="00926E45">
        <w:rPr>
          <w:b/>
        </w:rPr>
        <w:t>amend its current</w:t>
      </w:r>
      <w:r w:rsidR="00E85B5B" w:rsidRPr="00926E45">
        <w:rPr>
          <w:b/>
        </w:rPr>
        <w:t xml:space="preserve"> legislation to</w:t>
      </w:r>
      <w:r w:rsidR="00583FAF" w:rsidRPr="00926E45">
        <w:rPr>
          <w:b/>
        </w:rPr>
        <w:t xml:space="preserve"> </w:t>
      </w:r>
      <w:r w:rsidR="00137829" w:rsidRPr="00926E45">
        <w:rPr>
          <w:b/>
        </w:rPr>
        <w:t>modify</w:t>
      </w:r>
      <w:r w:rsidR="00583FAF" w:rsidRPr="00926E45">
        <w:rPr>
          <w:b/>
        </w:rPr>
        <w:t xml:space="preserve"> current requirement</w:t>
      </w:r>
      <w:r w:rsidR="008F372B" w:rsidRPr="00926E45">
        <w:rPr>
          <w:b/>
        </w:rPr>
        <w:t>s relating to the proof of intent</w:t>
      </w:r>
      <w:r w:rsidR="00137829" w:rsidRPr="00926E45">
        <w:rPr>
          <w:b/>
        </w:rPr>
        <w:t xml:space="preserve"> </w:t>
      </w:r>
      <w:r w:rsidR="00583FAF" w:rsidRPr="00926E45">
        <w:rPr>
          <w:b/>
        </w:rPr>
        <w:t xml:space="preserve">for </w:t>
      </w:r>
      <w:r w:rsidR="00137829" w:rsidRPr="00926E45">
        <w:rPr>
          <w:b/>
        </w:rPr>
        <w:t>the</w:t>
      </w:r>
      <w:r w:rsidR="00583FAF" w:rsidRPr="00926E45">
        <w:rPr>
          <w:b/>
        </w:rPr>
        <w:t xml:space="preserve"> criminal offence of incitement to racism; </w:t>
      </w:r>
      <w:r w:rsidR="00586871">
        <w:rPr>
          <w:b/>
        </w:rPr>
        <w:t xml:space="preserve">that it </w:t>
      </w:r>
      <w:r w:rsidR="00E85B5B" w:rsidRPr="00926E45">
        <w:rPr>
          <w:b/>
        </w:rPr>
        <w:t xml:space="preserve">provide a </w:t>
      </w:r>
      <w:r w:rsidR="00583FAF" w:rsidRPr="00926E45">
        <w:rPr>
          <w:b/>
        </w:rPr>
        <w:t xml:space="preserve">more comprehensive mechanism of protection by extending the power to investigate and indict to other bodies of the </w:t>
      </w:r>
      <w:r w:rsidR="00993D76" w:rsidRPr="00926E45">
        <w:rPr>
          <w:b/>
        </w:rPr>
        <w:t>j</w:t>
      </w:r>
      <w:r w:rsidR="00583FAF" w:rsidRPr="00926E45">
        <w:rPr>
          <w:b/>
        </w:rPr>
        <w:t xml:space="preserve">udiciary; and </w:t>
      </w:r>
      <w:r w:rsidR="00586871">
        <w:rPr>
          <w:b/>
        </w:rPr>
        <w:t xml:space="preserve">that it </w:t>
      </w:r>
      <w:r w:rsidR="00583FAF" w:rsidRPr="00926E45">
        <w:rPr>
          <w:b/>
        </w:rPr>
        <w:t>expand the definition of racism to include incitement on account of ethnic origin, country of origin</w:t>
      </w:r>
      <w:r w:rsidR="008F372B" w:rsidRPr="00926E45">
        <w:rPr>
          <w:b/>
        </w:rPr>
        <w:t>, and religious affiliation, when there is intersectionality of these elements,</w:t>
      </w:r>
      <w:r w:rsidR="00583FAF" w:rsidRPr="00926E45">
        <w:rPr>
          <w:b/>
        </w:rPr>
        <w:t xml:space="preserve"> </w:t>
      </w:r>
      <w:r w:rsidR="00E85B5B" w:rsidRPr="00926E45">
        <w:rPr>
          <w:b/>
        </w:rPr>
        <w:t xml:space="preserve">so as </w:t>
      </w:r>
      <w:r w:rsidR="00583FAF" w:rsidRPr="00926E45">
        <w:rPr>
          <w:b/>
        </w:rPr>
        <w:t xml:space="preserve">to </w:t>
      </w:r>
      <w:r w:rsidR="00E85B5B" w:rsidRPr="00926E45">
        <w:rPr>
          <w:b/>
        </w:rPr>
        <w:t>equally protect</w:t>
      </w:r>
      <w:r w:rsidR="00583FAF" w:rsidRPr="00926E45">
        <w:rPr>
          <w:b/>
        </w:rPr>
        <w:t xml:space="preserve"> Ethiopians, Russia</w:t>
      </w:r>
      <w:r w:rsidR="00E85B5B" w:rsidRPr="00926E45">
        <w:rPr>
          <w:b/>
        </w:rPr>
        <w:t xml:space="preserve">ns, Sephardim, and </w:t>
      </w:r>
      <w:r w:rsidR="00086484" w:rsidRPr="00926E45">
        <w:rPr>
          <w:b/>
        </w:rPr>
        <w:t xml:space="preserve">any </w:t>
      </w:r>
      <w:r w:rsidR="00E85B5B" w:rsidRPr="00926E45">
        <w:rPr>
          <w:b/>
        </w:rPr>
        <w:t xml:space="preserve">other groups </w:t>
      </w:r>
      <w:r w:rsidR="00012840" w:rsidRPr="00926E45">
        <w:rPr>
          <w:b/>
        </w:rPr>
        <w:t xml:space="preserve">that are </w:t>
      </w:r>
      <w:r w:rsidR="00E85B5B" w:rsidRPr="00926E45">
        <w:rPr>
          <w:b/>
        </w:rPr>
        <w:t>currently not sufficiently protected by the Law</w:t>
      </w:r>
      <w:r w:rsidR="00583FAF" w:rsidRPr="00926E45">
        <w:rPr>
          <w:b/>
        </w:rPr>
        <w:t>.</w:t>
      </w:r>
    </w:p>
    <w:p w:rsidR="0044098B" w:rsidRDefault="000D33CE" w:rsidP="000D33CE">
      <w:pPr>
        <w:pStyle w:val="SingleTxtG"/>
      </w:pPr>
      <w:r>
        <w:t>1</w:t>
      </w:r>
      <w:r w:rsidR="00086484">
        <w:t>5</w:t>
      </w:r>
      <w:r>
        <w:t>.</w:t>
      </w:r>
      <w:r>
        <w:tab/>
      </w:r>
      <w:r w:rsidR="00765EB3" w:rsidRPr="001C43B1">
        <w:t xml:space="preserve">The Committee notes with concern the enactment of a number of discriminatory laws </w:t>
      </w:r>
      <w:r w:rsidR="0044098B">
        <w:t>on land issues which disproportiona</w:t>
      </w:r>
      <w:r w:rsidR="00012840">
        <w:t>te</w:t>
      </w:r>
      <w:r w:rsidR="0044098B">
        <w:t>ly affect non-Jewish communities. T</w:t>
      </w:r>
      <w:r w:rsidR="0044098B" w:rsidRPr="0044098B">
        <w:t xml:space="preserve">he Committee is particularly concerned at the enactment of the </w:t>
      </w:r>
      <w:r w:rsidR="0044098B" w:rsidRPr="00586871">
        <w:t xml:space="preserve">Israel </w:t>
      </w:r>
      <w:r w:rsidR="00E85B5B" w:rsidRPr="00586871">
        <w:t>Land Administration Law of 2009</w:t>
      </w:r>
      <w:r w:rsidR="00F7396D" w:rsidRPr="00586871">
        <w:t>;</w:t>
      </w:r>
      <w:r w:rsidR="0044098B" w:rsidRPr="00586871">
        <w:t xml:space="preserve"> the 2010 Amendment to the Land (Acquisition for Public Purposes) Ordinance (1943)</w:t>
      </w:r>
      <w:r w:rsidR="00F7396D" w:rsidRPr="00586871">
        <w:t>;</w:t>
      </w:r>
      <w:r w:rsidR="0044098B" w:rsidRPr="00586871">
        <w:t xml:space="preserve"> the </w:t>
      </w:r>
      <w:r w:rsidR="001F5771" w:rsidRPr="00586871">
        <w:t xml:space="preserve">2010 </w:t>
      </w:r>
      <w:r w:rsidR="0044098B" w:rsidRPr="00586871">
        <w:t>Amendment to the Negev Development Authority Law (1991), and the Admissions Committees Law</w:t>
      </w:r>
      <w:r w:rsidR="0044098B" w:rsidRPr="0044098B">
        <w:rPr>
          <w:i/>
        </w:rPr>
        <w:t xml:space="preserve"> </w:t>
      </w:r>
      <w:r w:rsidR="0044098B" w:rsidRPr="00200D88">
        <w:t>(2011</w:t>
      </w:r>
      <w:r w:rsidR="00E85B5B" w:rsidRPr="001F5771">
        <w:t>)</w:t>
      </w:r>
      <w:r w:rsidR="00137829">
        <w:t xml:space="preserve"> (Articles 3 and 5 of the Convention)</w:t>
      </w:r>
      <w:r w:rsidR="0044098B" w:rsidRPr="0044098B">
        <w:t>.</w:t>
      </w:r>
    </w:p>
    <w:p w:rsidR="00F7396D" w:rsidRPr="00926E45" w:rsidRDefault="00F7396D" w:rsidP="00926E45">
      <w:pPr>
        <w:pStyle w:val="SingleTxtG"/>
        <w:rPr>
          <w:b/>
        </w:rPr>
      </w:pPr>
      <w:r w:rsidRPr="00926E45">
        <w:rPr>
          <w:b/>
        </w:rPr>
        <w:t>In li</w:t>
      </w:r>
      <w:r w:rsidR="00BC4D63" w:rsidRPr="00926E45">
        <w:rPr>
          <w:b/>
        </w:rPr>
        <w:t>ne</w:t>
      </w:r>
      <w:r w:rsidRPr="00926E45">
        <w:rPr>
          <w:b/>
        </w:rPr>
        <w:t xml:space="preserve"> with its previous concluding observations (CERD/C/ISR/CO/13, para. 19), the Committee strongly recommends </w:t>
      </w:r>
      <w:r w:rsidR="00EB04C8" w:rsidRPr="00926E45">
        <w:rPr>
          <w:b/>
        </w:rPr>
        <w:t xml:space="preserve">that </w:t>
      </w:r>
      <w:r w:rsidRPr="00926E45">
        <w:rPr>
          <w:b/>
        </w:rPr>
        <w:t xml:space="preserve">the State party </w:t>
      </w:r>
      <w:r w:rsidR="00BC4D63" w:rsidRPr="00926E45">
        <w:rPr>
          <w:b/>
        </w:rPr>
        <w:t xml:space="preserve"> </w:t>
      </w:r>
      <w:r w:rsidRPr="00926E45">
        <w:rPr>
          <w:b/>
        </w:rPr>
        <w:t xml:space="preserve">ensure equal access to land and property and </w:t>
      </w:r>
      <w:r w:rsidR="00EB04C8" w:rsidRPr="00926E45">
        <w:rPr>
          <w:b/>
        </w:rPr>
        <w:t>to that end</w:t>
      </w:r>
      <w:r w:rsidRPr="00926E45">
        <w:rPr>
          <w:b/>
        </w:rPr>
        <w:t xml:space="preserve"> abrogate or rescind any legislation </w:t>
      </w:r>
      <w:r w:rsidR="00012840" w:rsidRPr="00926E45">
        <w:rPr>
          <w:b/>
        </w:rPr>
        <w:t xml:space="preserve">that does </w:t>
      </w:r>
      <w:r w:rsidRPr="00926E45">
        <w:rPr>
          <w:b/>
        </w:rPr>
        <w:t>not comply with the principle of non-discrimination.</w:t>
      </w:r>
    </w:p>
    <w:p w:rsidR="000D33CE" w:rsidRPr="00926E45" w:rsidRDefault="00B83671" w:rsidP="00926E45">
      <w:pPr>
        <w:pStyle w:val="SingleTxtG"/>
        <w:rPr>
          <w:szCs w:val="22"/>
        </w:rPr>
      </w:pPr>
      <w:r w:rsidRPr="00926E45">
        <w:t>1</w:t>
      </w:r>
      <w:r w:rsidR="004974EC" w:rsidRPr="00926E45">
        <w:t>6</w:t>
      </w:r>
      <w:r w:rsidR="00F7396D" w:rsidRPr="00926E45">
        <w:t>.</w:t>
      </w:r>
      <w:r w:rsidR="00F7396D" w:rsidRPr="00926E45">
        <w:tab/>
      </w:r>
      <w:r w:rsidR="001C43B1" w:rsidRPr="00926E45">
        <w:t xml:space="preserve">The Committee notes with concern the adoption of laws and </w:t>
      </w:r>
      <w:r w:rsidR="00EB04C8" w:rsidRPr="00926E45">
        <w:t xml:space="preserve">the </w:t>
      </w:r>
      <w:r w:rsidR="001C43B1" w:rsidRPr="00926E45">
        <w:t xml:space="preserve">consideration of bills </w:t>
      </w:r>
      <w:r w:rsidR="004A57F8" w:rsidRPr="00926E45">
        <w:t>conditioning social and economic benefits on completion</w:t>
      </w:r>
      <w:r w:rsidR="00BC4D63" w:rsidRPr="00926E45">
        <w:t xml:space="preserve"> of military service</w:t>
      </w:r>
      <w:r w:rsidR="001C43B1" w:rsidRPr="00926E45">
        <w:t>, thus excluding non-Jewish communities</w:t>
      </w:r>
      <w:r w:rsidR="00EB04C8" w:rsidRPr="00926E45">
        <w:t xml:space="preserve"> who are</w:t>
      </w:r>
      <w:r w:rsidR="001C43B1" w:rsidRPr="00926E45">
        <w:t xml:space="preserve"> exempted from military service such as Palestinian citizens of </w:t>
      </w:r>
      <w:smartTag w:uri="urn:schemas-microsoft-com:office:smarttags" w:element="place">
        <w:smartTag w:uri="urn:schemas-microsoft-com:office:smarttags" w:element="country-region">
          <w:r w:rsidR="001C43B1" w:rsidRPr="00926E45">
            <w:t>Israel</w:t>
          </w:r>
        </w:smartTag>
      </w:smartTag>
      <w:r w:rsidR="001C43B1" w:rsidRPr="00926E45">
        <w:t xml:space="preserve">. Moreover, it </w:t>
      </w:r>
      <w:r w:rsidR="00CA2E04" w:rsidRPr="00926E45">
        <w:t>regrets</w:t>
      </w:r>
      <w:r w:rsidR="001C43B1" w:rsidRPr="00926E45">
        <w:t xml:space="preserve"> the adoption of</w:t>
      </w:r>
      <w:r w:rsidR="001C43B1" w:rsidRPr="00926E45">
        <w:rPr>
          <w:rFonts w:eastAsia="SimSun"/>
        </w:rPr>
        <w:t xml:space="preserve"> </w:t>
      </w:r>
      <w:r w:rsidR="001C43B1" w:rsidRPr="00926E45">
        <w:t xml:space="preserve">the </w:t>
      </w:r>
      <w:r w:rsidR="001F5771" w:rsidRPr="00A93535">
        <w:t xml:space="preserve">2009 </w:t>
      </w:r>
      <w:r w:rsidR="001C43B1" w:rsidRPr="00586871">
        <w:t xml:space="preserve">Special Amendment No. 6  to the Regional Councils Law (Date of General Elections) </w:t>
      </w:r>
      <w:r w:rsidR="001C43B1" w:rsidRPr="00926E45">
        <w:t>(1994), which could considerably restrict</w:t>
      </w:r>
      <w:r w:rsidR="00EB04C8" w:rsidRPr="00926E45">
        <w:t xml:space="preserve"> the</w:t>
      </w:r>
      <w:r w:rsidR="001C43B1" w:rsidRPr="00926E45">
        <w:t xml:space="preserve"> political participation of non-Jewish minorities</w:t>
      </w:r>
      <w:r w:rsidR="00F7396D" w:rsidRPr="00926E45">
        <w:t xml:space="preserve"> </w:t>
      </w:r>
      <w:r w:rsidR="00A71E98" w:rsidRPr="00926E45">
        <w:t>(</w:t>
      </w:r>
      <w:r w:rsidR="00586871">
        <w:t>art</w:t>
      </w:r>
      <w:r w:rsidR="00A71E98" w:rsidRPr="00926E45">
        <w:t>s</w:t>
      </w:r>
      <w:r w:rsidR="00586871">
        <w:t>.</w:t>
      </w:r>
      <w:r w:rsidR="00A71E98" w:rsidRPr="00926E45">
        <w:t xml:space="preserve"> 2 and 5</w:t>
      </w:r>
      <w:r w:rsidR="001A4A8B" w:rsidRPr="00926E45">
        <w:t xml:space="preserve"> of the Convention</w:t>
      </w:r>
      <w:r w:rsidR="00A71E98" w:rsidRPr="00926E45">
        <w:t>)</w:t>
      </w:r>
      <w:r w:rsidR="001C43B1" w:rsidRPr="00926E45">
        <w:t xml:space="preserve">. </w:t>
      </w:r>
    </w:p>
    <w:p w:rsidR="0044098B" w:rsidRPr="00926E45" w:rsidRDefault="00AA0556" w:rsidP="00926E45">
      <w:pPr>
        <w:pStyle w:val="SingleTxtG"/>
        <w:rPr>
          <w:b/>
        </w:rPr>
      </w:pPr>
      <w:r w:rsidRPr="00926E45">
        <w:rPr>
          <w:b/>
        </w:rPr>
        <w:t xml:space="preserve">The </w:t>
      </w:r>
      <w:r w:rsidR="00BC4D63" w:rsidRPr="00926E45">
        <w:rPr>
          <w:b/>
        </w:rPr>
        <w:t xml:space="preserve">Committee recommends that the State party </w:t>
      </w:r>
      <w:r w:rsidR="00772626" w:rsidRPr="00926E45">
        <w:rPr>
          <w:b/>
        </w:rPr>
        <w:t xml:space="preserve">abrogate all discriminatory laws and rescind all discriminatory bills so as to ensure </w:t>
      </w:r>
      <w:r w:rsidR="00F7396D" w:rsidRPr="00926E45">
        <w:rPr>
          <w:b/>
        </w:rPr>
        <w:t>non-Jewi</w:t>
      </w:r>
      <w:r w:rsidR="00776CB9" w:rsidRPr="00926E45">
        <w:rPr>
          <w:b/>
        </w:rPr>
        <w:t>sh communities’ equal access to work and social benefits as well as the right to political participation enshrined in the Convention</w:t>
      </w:r>
      <w:r w:rsidR="00F7396D" w:rsidRPr="00926E45">
        <w:rPr>
          <w:b/>
        </w:rPr>
        <w:t>.</w:t>
      </w:r>
    </w:p>
    <w:p w:rsidR="00AA0556" w:rsidRPr="00926E45" w:rsidRDefault="00B83671" w:rsidP="00926E45">
      <w:pPr>
        <w:pStyle w:val="SingleTxtG"/>
      </w:pPr>
      <w:r w:rsidRPr="00926E45">
        <w:t>1</w:t>
      </w:r>
      <w:r w:rsidR="004974EC" w:rsidRPr="00926E45">
        <w:t>7</w:t>
      </w:r>
      <w:r w:rsidR="0044098B" w:rsidRPr="00926E45">
        <w:t>.</w:t>
      </w:r>
      <w:r w:rsidR="0044098B" w:rsidRPr="00926E45">
        <w:tab/>
      </w:r>
      <w:r w:rsidR="00C703A4" w:rsidRPr="00926E45">
        <w:t xml:space="preserve">While </w:t>
      </w:r>
      <w:r w:rsidR="00BC4D63" w:rsidRPr="00926E45">
        <w:t>the Committee notes</w:t>
      </w:r>
      <w:r w:rsidR="00C703A4" w:rsidRPr="00926E45">
        <w:t xml:space="preserve"> the existence of </w:t>
      </w:r>
      <w:r w:rsidR="00586871">
        <w:t>S</w:t>
      </w:r>
      <w:r w:rsidR="00C703A4" w:rsidRPr="00926E45">
        <w:t xml:space="preserve">tate mechanisms for the protection and promotion of human rights such as the </w:t>
      </w:r>
      <w:r w:rsidR="004974EC" w:rsidRPr="00926E45">
        <w:t>S</w:t>
      </w:r>
      <w:r w:rsidR="00C703A4" w:rsidRPr="00926E45">
        <w:t xml:space="preserve">tate </w:t>
      </w:r>
      <w:r w:rsidR="004974EC" w:rsidRPr="00926E45">
        <w:t>C</w:t>
      </w:r>
      <w:r w:rsidR="00C703A4" w:rsidRPr="00926E45">
        <w:t xml:space="preserve">omptroller, </w:t>
      </w:r>
      <w:r w:rsidR="004974EC" w:rsidRPr="00926E45">
        <w:t xml:space="preserve">which also </w:t>
      </w:r>
      <w:r w:rsidR="00E70782" w:rsidRPr="00926E45">
        <w:t xml:space="preserve">seems to </w:t>
      </w:r>
      <w:r w:rsidR="004974EC" w:rsidRPr="00926E45">
        <w:t xml:space="preserve">fulfil the function of </w:t>
      </w:r>
      <w:r w:rsidR="00C703A4" w:rsidRPr="00926E45">
        <w:t>the Ombudsman</w:t>
      </w:r>
      <w:r w:rsidR="004974EC" w:rsidRPr="00926E45">
        <w:t>,</w:t>
      </w:r>
      <w:r w:rsidR="00C703A4" w:rsidRPr="00926E45">
        <w:t xml:space="preserve"> as well as a special office within the Prime Minister’s Office dedicated to the Economic Development for the Arab, Druze and Circassian S</w:t>
      </w:r>
      <w:r w:rsidR="001A4A8B" w:rsidRPr="00926E45">
        <w:t>ectors,</w:t>
      </w:r>
      <w:r w:rsidR="004974EC" w:rsidRPr="00926E45">
        <w:t xml:space="preserve"> and a Minister for Minorities</w:t>
      </w:r>
      <w:r w:rsidR="00BC4D63" w:rsidRPr="00926E45">
        <w:t xml:space="preserve">, </w:t>
      </w:r>
      <w:r w:rsidR="00EB04C8" w:rsidRPr="00926E45">
        <w:t xml:space="preserve">the </w:t>
      </w:r>
      <w:r w:rsidR="00BC4D63" w:rsidRPr="00926E45">
        <w:t>individual competence of and the division of labo</w:t>
      </w:r>
      <w:r w:rsidR="00012840" w:rsidRPr="00926E45">
        <w:t>u</w:t>
      </w:r>
      <w:r w:rsidR="00BC4D63" w:rsidRPr="00926E45">
        <w:t>r between these bodies are not clear.</w:t>
      </w:r>
      <w:r w:rsidR="001A4A8B" w:rsidRPr="00926E45">
        <w:t xml:space="preserve"> </w:t>
      </w:r>
      <w:r w:rsidR="00BC4D63" w:rsidRPr="00926E45">
        <w:t>T</w:t>
      </w:r>
      <w:r w:rsidR="001A4A8B" w:rsidRPr="00926E45">
        <w:t>he Committee regrets the absence of a specialized agency on racial discrimination or a national human rights institution established in accordance with the principles relating to the status of national institutions for the promotion and protection of human rights (the Paris Principles, General Assembly resolution 48/134, annex) (</w:t>
      </w:r>
      <w:r w:rsidR="00586871">
        <w:t>art</w:t>
      </w:r>
      <w:r w:rsidR="001A4A8B" w:rsidRPr="00926E45">
        <w:t>s</w:t>
      </w:r>
      <w:r w:rsidR="00586871">
        <w:t>.</w:t>
      </w:r>
      <w:r w:rsidR="001A4A8B" w:rsidRPr="00926E45">
        <w:t xml:space="preserve"> 2 and 6 of the Convention).</w:t>
      </w:r>
      <w:r w:rsidR="005B517F" w:rsidRPr="00926E45">
        <w:t xml:space="preserve"> </w:t>
      </w:r>
    </w:p>
    <w:p w:rsidR="005B517F" w:rsidRPr="00926E45" w:rsidRDefault="004974EC" w:rsidP="00926E45">
      <w:pPr>
        <w:pStyle w:val="SingleTxtG"/>
        <w:rPr>
          <w:b/>
        </w:rPr>
      </w:pPr>
      <w:r w:rsidRPr="00926E45">
        <w:rPr>
          <w:b/>
        </w:rPr>
        <w:t>T</w:t>
      </w:r>
      <w:r w:rsidR="001A4A8B" w:rsidRPr="00926E45">
        <w:rPr>
          <w:b/>
        </w:rPr>
        <w:t>he Committee re</w:t>
      </w:r>
      <w:r w:rsidRPr="00926E45">
        <w:rPr>
          <w:b/>
        </w:rPr>
        <w:t xml:space="preserve">iterates its previous recommendation (CERD/C/ISR/CO/13, para. 31) </w:t>
      </w:r>
      <w:r w:rsidR="001A4A8B" w:rsidRPr="00926E45">
        <w:rPr>
          <w:b/>
        </w:rPr>
        <w:t xml:space="preserve">that the State party consider the establishment of a national mechanism for redress of racial discrimination either as a specialized agency on racial discrimination or </w:t>
      </w:r>
      <w:r w:rsidR="00802306" w:rsidRPr="00926E45">
        <w:rPr>
          <w:b/>
        </w:rPr>
        <w:t xml:space="preserve">as </w:t>
      </w:r>
      <w:r w:rsidR="001A4A8B" w:rsidRPr="00926E45">
        <w:rPr>
          <w:b/>
        </w:rPr>
        <w:t xml:space="preserve">a national human rights institution in accordance with the </w:t>
      </w:r>
      <w:smartTag w:uri="urn:schemas-microsoft-com:office:smarttags" w:element="place">
        <w:smartTag w:uri="urn:schemas-microsoft-com:office:smarttags" w:element="City">
          <w:r w:rsidR="001A4A8B" w:rsidRPr="00926E45">
            <w:rPr>
              <w:b/>
            </w:rPr>
            <w:t>Paris</w:t>
          </w:r>
        </w:smartTag>
      </w:smartTag>
      <w:r w:rsidR="001A4A8B" w:rsidRPr="00926E45">
        <w:rPr>
          <w:b/>
        </w:rPr>
        <w:t xml:space="preserve"> Principles.</w:t>
      </w:r>
    </w:p>
    <w:p w:rsidR="00A22158" w:rsidRPr="00926E45" w:rsidRDefault="00A22158" w:rsidP="00926E45">
      <w:pPr>
        <w:pStyle w:val="SingleTxtG"/>
      </w:pPr>
      <w:r w:rsidRPr="00926E45">
        <w:t>1</w:t>
      </w:r>
      <w:r w:rsidR="00BC4D63" w:rsidRPr="00926E45">
        <w:t>8</w:t>
      </w:r>
      <w:r w:rsidRPr="00926E45">
        <w:t>.</w:t>
      </w:r>
      <w:r w:rsidRPr="00926E45">
        <w:tab/>
        <w:t xml:space="preserve">The Committee </w:t>
      </w:r>
      <w:r w:rsidR="008C5805" w:rsidRPr="00926E45">
        <w:t xml:space="preserve">reiterates its concern at the maintenance of discriminatory laws especially targeting Palestinian citizens of </w:t>
      </w:r>
      <w:smartTag w:uri="urn:schemas-microsoft-com:office:smarttags" w:element="place">
        <w:smartTag w:uri="urn:schemas-microsoft-com:office:smarttags" w:element="country-region">
          <w:r w:rsidR="008C5805" w:rsidRPr="00926E45">
            <w:t>Israel</w:t>
          </w:r>
        </w:smartTag>
      </w:smartTag>
      <w:r w:rsidR="008C5805" w:rsidRPr="00926E45">
        <w:t xml:space="preserve"> such as </w:t>
      </w:r>
      <w:r w:rsidR="008C5805" w:rsidRPr="00090DE7">
        <w:t>the Citizenship and Entry into I</w:t>
      </w:r>
      <w:r w:rsidR="008E4F38" w:rsidRPr="00090DE7">
        <w:t>srael Law (Temporary Provision)</w:t>
      </w:r>
      <w:r w:rsidR="008C5805" w:rsidRPr="00090DE7">
        <w:t>.</w:t>
      </w:r>
      <w:r w:rsidR="008C5805" w:rsidRPr="00926E45">
        <w:t xml:space="preserve"> The Law suspends the possibility, with certain rare exceptions, of family reunification between an Israeli citizen and a person residing in the West Bank, </w:t>
      </w:r>
      <w:r w:rsidR="00035C6B" w:rsidRPr="00926E45">
        <w:t xml:space="preserve">including </w:t>
      </w:r>
      <w:smartTag w:uri="urn:schemas-microsoft-com:office:smarttags" w:element="place">
        <w:r w:rsidR="008C5805" w:rsidRPr="00926E45">
          <w:t>East Jerusalem</w:t>
        </w:r>
      </w:smartTag>
      <w:r w:rsidR="00035C6B" w:rsidRPr="00926E45">
        <w:t>,</w:t>
      </w:r>
      <w:r w:rsidR="008C5805" w:rsidRPr="00926E45">
        <w:t xml:space="preserve"> or the Gaza Strip, thus greatly affecting family ties and the right to marriage and choice of spouse. The Committee is particularly concerned at the recent decisio</w:t>
      </w:r>
      <w:r w:rsidR="008E4F38" w:rsidRPr="00926E45">
        <w:t>n of the High Court of Justice, which</w:t>
      </w:r>
      <w:r w:rsidR="008C5805" w:rsidRPr="00926E45">
        <w:t xml:space="preserve"> confirm</w:t>
      </w:r>
      <w:r w:rsidR="008E4F38" w:rsidRPr="00926E45">
        <w:t>ed</w:t>
      </w:r>
      <w:r w:rsidR="008C5805" w:rsidRPr="00926E45">
        <w:t xml:space="preserve"> its constitutionality</w:t>
      </w:r>
      <w:r w:rsidR="00BC4D63" w:rsidRPr="00926E45">
        <w:t xml:space="preserve"> </w:t>
      </w:r>
      <w:r w:rsidR="00FE3FB5" w:rsidRPr="00926E45">
        <w:t>(Articles 2 and 5 of the Convention)</w:t>
      </w:r>
      <w:r w:rsidR="00FF78A0" w:rsidRPr="00926E45">
        <w:t>.</w:t>
      </w:r>
    </w:p>
    <w:p w:rsidR="00783F4D" w:rsidRPr="00926E45" w:rsidRDefault="00FF78A0" w:rsidP="00926E45">
      <w:pPr>
        <w:pStyle w:val="SingleTxtG"/>
        <w:rPr>
          <w:rFonts w:cs="Arial"/>
          <w:b/>
        </w:rPr>
      </w:pPr>
      <w:r w:rsidRPr="00926E45">
        <w:rPr>
          <w:b/>
        </w:rPr>
        <w:t xml:space="preserve">The Committee urges the State party to revoke the </w:t>
      </w:r>
      <w:r w:rsidRPr="00926E45">
        <w:rPr>
          <w:b/>
          <w:i/>
        </w:rPr>
        <w:t xml:space="preserve">Citizenship and Entry into </w:t>
      </w:r>
      <w:smartTag w:uri="urn:schemas-microsoft-com:office:smarttags" w:element="place">
        <w:smartTag w:uri="urn:schemas-microsoft-com:office:smarttags" w:element="country-region">
          <w:r w:rsidRPr="00926E45">
            <w:rPr>
              <w:b/>
              <w:i/>
            </w:rPr>
            <w:t>Israel</w:t>
          </w:r>
        </w:smartTag>
      </w:smartTag>
      <w:r w:rsidRPr="00926E45">
        <w:rPr>
          <w:b/>
          <w:i/>
        </w:rPr>
        <w:t xml:space="preserve"> Law (Temporary provision)</w:t>
      </w:r>
      <w:r w:rsidRPr="00926E45">
        <w:rPr>
          <w:b/>
        </w:rPr>
        <w:t xml:space="preserve"> and </w:t>
      </w:r>
      <w:r w:rsidR="00EB04C8" w:rsidRPr="00926E45">
        <w:rPr>
          <w:b/>
        </w:rPr>
        <w:t xml:space="preserve">to </w:t>
      </w:r>
      <w:r w:rsidRPr="00926E45">
        <w:rPr>
          <w:b/>
        </w:rPr>
        <w:t>facilitate family reunification of all citizens irrespective of their ethnicity</w:t>
      </w:r>
      <w:r w:rsidR="008E4F38" w:rsidRPr="00926E45">
        <w:rPr>
          <w:b/>
        </w:rPr>
        <w:t xml:space="preserve"> </w:t>
      </w:r>
      <w:r w:rsidRPr="00926E45">
        <w:rPr>
          <w:b/>
        </w:rPr>
        <w:t xml:space="preserve">or national </w:t>
      </w:r>
      <w:r w:rsidR="004974EC" w:rsidRPr="00926E45">
        <w:rPr>
          <w:b/>
        </w:rPr>
        <w:t xml:space="preserve">or other </w:t>
      </w:r>
      <w:r w:rsidRPr="00926E45">
        <w:rPr>
          <w:b/>
        </w:rPr>
        <w:t>origin.</w:t>
      </w:r>
    </w:p>
    <w:p w:rsidR="00CB7457" w:rsidRPr="00CB7457" w:rsidRDefault="00BC4D63" w:rsidP="00926E45">
      <w:pPr>
        <w:pStyle w:val="SingleTxtG"/>
      </w:pPr>
      <w:r>
        <w:t>19</w:t>
      </w:r>
      <w:r w:rsidR="00CB7457" w:rsidRPr="00CB7457">
        <w:t>.</w:t>
      </w:r>
      <w:r w:rsidR="00CB7457" w:rsidRPr="00CB7457">
        <w:tab/>
        <w:t xml:space="preserve">While some efforts have been made to improve </w:t>
      </w:r>
      <w:r w:rsidR="00EB04C8">
        <w:t xml:space="preserve">the </w:t>
      </w:r>
      <w:r w:rsidR="00CB7457" w:rsidRPr="00CB7457">
        <w:t>access to economic and social rights of non-Jewish minorities</w:t>
      </w:r>
      <w:r w:rsidR="00027A85">
        <w:t>,</w:t>
      </w:r>
      <w:r w:rsidR="00CB7457" w:rsidRPr="00CB7457">
        <w:t xml:space="preserve"> such as the adoption in March 2010 of a </w:t>
      </w:r>
      <w:r w:rsidR="00E2468A">
        <w:t xml:space="preserve">Five </w:t>
      </w:r>
      <w:r w:rsidR="00CB7457" w:rsidRPr="00CB7457">
        <w:t xml:space="preserve">Year Plan for the Economic Development of Minority Localities and reforms engaged for increased protection of migrant workers, the </w:t>
      </w:r>
      <w:r>
        <w:t xml:space="preserve">socio-economic </w:t>
      </w:r>
      <w:r w:rsidR="00CB7457" w:rsidRPr="00CB7457">
        <w:t xml:space="preserve">gap between Jewish and non-Jewish communities remains worrying. </w:t>
      </w:r>
      <w:r>
        <w:t xml:space="preserve">It is </w:t>
      </w:r>
      <w:r w:rsidR="00CA2E04">
        <w:t xml:space="preserve">of </w:t>
      </w:r>
      <w:r w:rsidR="00EB04C8">
        <w:t>great</w:t>
      </w:r>
      <w:r w:rsidR="00CB7457" w:rsidRPr="00CB7457">
        <w:t xml:space="preserve"> concern that </w:t>
      </w:r>
      <w:r>
        <w:t>the two</w:t>
      </w:r>
      <w:r w:rsidR="00CB7457" w:rsidRPr="00CB7457">
        <w:t xml:space="preserve"> communities often continue to be compartment</w:t>
      </w:r>
      <w:r>
        <w:t>alized</w:t>
      </w:r>
      <w:r w:rsidR="00CB7457" w:rsidRPr="00CB7457">
        <w:t xml:space="preserve">, </w:t>
      </w:r>
      <w:r w:rsidR="00027A85">
        <w:t xml:space="preserve">with </w:t>
      </w:r>
      <w:r w:rsidR="00CB7457" w:rsidRPr="00CB7457">
        <w:t xml:space="preserve">one accessing education in Hebrew in Jewish schools and the other often living in separate municipalities </w:t>
      </w:r>
      <w:r w:rsidR="00D865F7">
        <w:t xml:space="preserve">and </w:t>
      </w:r>
      <w:r w:rsidR="00CB7457" w:rsidRPr="00CB7457">
        <w:t xml:space="preserve">attending </w:t>
      </w:r>
      <w:r w:rsidR="00D865F7">
        <w:t xml:space="preserve">Arabic-language </w:t>
      </w:r>
      <w:r w:rsidR="00CB7457" w:rsidRPr="00CB7457">
        <w:t>school</w:t>
      </w:r>
      <w:r w:rsidR="00D865F7">
        <w:t>s</w:t>
      </w:r>
      <w:r w:rsidR="00CB7457" w:rsidRPr="00CB7457">
        <w:t xml:space="preserve">. Such separation is an obstacle to uniform access to education and empowerment. The Committee is particularly concerned at the </w:t>
      </w:r>
      <w:r w:rsidR="00CA2E04">
        <w:t>continued</w:t>
      </w:r>
      <w:r w:rsidR="00CB7457" w:rsidRPr="00CB7457">
        <w:t xml:space="preserve"> low level of education and managerial employment of non-Jewish women in the private and public sectors (</w:t>
      </w:r>
      <w:r w:rsidR="00033FA0">
        <w:t>arts.</w:t>
      </w:r>
      <w:r w:rsidR="00CB7457" w:rsidRPr="00CB7457">
        <w:t xml:space="preserve">2 and 5 </w:t>
      </w:r>
      <w:r w:rsidR="00027A85">
        <w:t>(</w:t>
      </w:r>
      <w:r w:rsidR="00CB7457" w:rsidRPr="00CB7457">
        <w:t xml:space="preserve">e) </w:t>
      </w:r>
      <w:r w:rsidR="00027A85">
        <w:t>(</w:t>
      </w:r>
      <w:r w:rsidR="00CB7457" w:rsidRPr="00CB7457">
        <w:t xml:space="preserve">i) and </w:t>
      </w:r>
      <w:r w:rsidR="00027A85">
        <w:t>(</w:t>
      </w:r>
      <w:r w:rsidR="00CB7457" w:rsidRPr="00CB7457">
        <w:t>v) of the Convention).</w:t>
      </w:r>
    </w:p>
    <w:p w:rsidR="00691843" w:rsidRPr="00926E45" w:rsidRDefault="00903CCE" w:rsidP="00926E45">
      <w:pPr>
        <w:pStyle w:val="SingleTxtG"/>
        <w:rPr>
          <w:b/>
        </w:rPr>
      </w:pPr>
      <w:r w:rsidRPr="00926E45">
        <w:rPr>
          <w:b/>
        </w:rPr>
        <w:t>I</w:t>
      </w:r>
      <w:r w:rsidR="00CB7457" w:rsidRPr="00926E45">
        <w:rPr>
          <w:b/>
        </w:rPr>
        <w:t>n line with its previous concluding observations (CERD/C/ISR/CO/13, para. 24), the</w:t>
      </w:r>
      <w:r w:rsidR="001274FC" w:rsidRPr="00926E45">
        <w:rPr>
          <w:b/>
        </w:rPr>
        <w:t xml:space="preserve"> Committee </w:t>
      </w:r>
      <w:r w:rsidR="00691843" w:rsidRPr="00926E45">
        <w:rPr>
          <w:b/>
        </w:rPr>
        <w:t xml:space="preserve">strongly </w:t>
      </w:r>
      <w:r w:rsidR="001274FC" w:rsidRPr="00926E45">
        <w:rPr>
          <w:b/>
        </w:rPr>
        <w:t>recommends that the</w:t>
      </w:r>
      <w:r w:rsidR="00CB7457" w:rsidRPr="00926E45">
        <w:rPr>
          <w:b/>
        </w:rPr>
        <w:t xml:space="preserve"> State party</w:t>
      </w:r>
      <w:r w:rsidR="001274FC" w:rsidRPr="00926E45">
        <w:rPr>
          <w:b/>
        </w:rPr>
        <w:t xml:space="preserve"> </w:t>
      </w:r>
      <w:r w:rsidR="00CB7457" w:rsidRPr="00926E45">
        <w:rPr>
          <w:b/>
        </w:rPr>
        <w:t xml:space="preserve">ensure equal enjoyment of economic and social rights </w:t>
      </w:r>
      <w:r w:rsidR="00D865F7" w:rsidRPr="00926E45">
        <w:rPr>
          <w:b/>
        </w:rPr>
        <w:t>for</w:t>
      </w:r>
      <w:r w:rsidR="00CB7457" w:rsidRPr="00926E45">
        <w:rPr>
          <w:b/>
        </w:rPr>
        <w:t xml:space="preserve"> non-Jewish minorities, in particular their right to work and education</w:t>
      </w:r>
      <w:r w:rsidRPr="00926E45">
        <w:rPr>
          <w:b/>
        </w:rPr>
        <w:t>.</w:t>
      </w:r>
    </w:p>
    <w:p w:rsidR="00CB7457" w:rsidRPr="00926E45" w:rsidRDefault="00CB7457" w:rsidP="00926E45">
      <w:pPr>
        <w:pStyle w:val="SingleTxtG"/>
        <w:rPr>
          <w:b/>
        </w:rPr>
      </w:pPr>
      <w:r w:rsidRPr="00926E45">
        <w:rPr>
          <w:b/>
        </w:rPr>
        <w:t>In li</w:t>
      </w:r>
      <w:r w:rsidR="00691843" w:rsidRPr="00926E45">
        <w:rPr>
          <w:b/>
        </w:rPr>
        <w:t>ne</w:t>
      </w:r>
      <w:r w:rsidRPr="00926E45">
        <w:rPr>
          <w:b/>
        </w:rPr>
        <w:t xml:space="preserve"> with it</w:t>
      </w:r>
      <w:r w:rsidR="00033FA0" w:rsidRPr="00926E45">
        <w:rPr>
          <w:b/>
        </w:rPr>
        <w:t>s general recommen</w:t>
      </w:r>
      <w:r w:rsidRPr="00926E45">
        <w:rPr>
          <w:b/>
        </w:rPr>
        <w:t xml:space="preserve">dation </w:t>
      </w:r>
      <w:r w:rsidR="00A76553" w:rsidRPr="00926E45">
        <w:rPr>
          <w:b/>
        </w:rPr>
        <w:t>25</w:t>
      </w:r>
      <w:r w:rsidRPr="00926E45">
        <w:rPr>
          <w:b/>
        </w:rPr>
        <w:t xml:space="preserve"> (2000) on gender-related dimensions of racial discrimination, the Committee recommends </w:t>
      </w:r>
      <w:r w:rsidR="00D865F7" w:rsidRPr="00926E45">
        <w:rPr>
          <w:b/>
        </w:rPr>
        <w:t xml:space="preserve">that </w:t>
      </w:r>
      <w:r w:rsidR="00027A85" w:rsidRPr="00926E45">
        <w:rPr>
          <w:b/>
        </w:rPr>
        <w:t xml:space="preserve">the </w:t>
      </w:r>
      <w:r w:rsidRPr="00926E45">
        <w:rPr>
          <w:b/>
        </w:rPr>
        <w:t xml:space="preserve">State party </w:t>
      </w:r>
      <w:r w:rsidR="00691843" w:rsidRPr="00926E45">
        <w:rPr>
          <w:b/>
        </w:rPr>
        <w:t>re</w:t>
      </w:r>
      <w:r w:rsidRPr="00926E45">
        <w:rPr>
          <w:b/>
        </w:rPr>
        <w:t>double its efforts to achieve equality in women’s access to all the rights enshrined in the Convention.</w:t>
      </w:r>
    </w:p>
    <w:p w:rsidR="00B52D8C" w:rsidRPr="00926E45" w:rsidRDefault="00B83671" w:rsidP="00926E45">
      <w:pPr>
        <w:pStyle w:val="SingleTxtG"/>
      </w:pPr>
      <w:r w:rsidRPr="00926E45">
        <w:t>2</w:t>
      </w:r>
      <w:r w:rsidR="00691843" w:rsidRPr="00926E45">
        <w:t>0</w:t>
      </w:r>
      <w:r w:rsidR="00FF5D32" w:rsidRPr="00926E45">
        <w:t>.</w:t>
      </w:r>
      <w:r w:rsidR="00FF5D32" w:rsidRPr="00926E45">
        <w:tab/>
      </w:r>
      <w:r w:rsidR="00B52D8C" w:rsidRPr="00926E45">
        <w:t xml:space="preserve">The Committee is concerned </w:t>
      </w:r>
      <w:r w:rsidR="004974EC" w:rsidRPr="00926E45">
        <w:t xml:space="preserve">about the current situation of </w:t>
      </w:r>
      <w:r w:rsidR="00B52D8C" w:rsidRPr="00926E45">
        <w:t>Bedouin communities</w:t>
      </w:r>
      <w:r w:rsidR="00D865F7" w:rsidRPr="00926E45">
        <w:t>,</w:t>
      </w:r>
      <w:r w:rsidR="004974EC" w:rsidRPr="00926E45">
        <w:t xml:space="preserve"> particularly with regard to the</w:t>
      </w:r>
      <w:r w:rsidR="00B52D8C" w:rsidRPr="00926E45">
        <w:t xml:space="preserve"> </w:t>
      </w:r>
      <w:r w:rsidR="00CA2E04" w:rsidRPr="00926E45">
        <w:t xml:space="preserve">policy of demolitions, notably of homes and other structures, and the </w:t>
      </w:r>
      <w:r w:rsidR="00B52D8C" w:rsidRPr="00926E45">
        <w:t xml:space="preserve">increasing difficulties faced by </w:t>
      </w:r>
      <w:r w:rsidR="004974EC" w:rsidRPr="00926E45">
        <w:t>members of these</w:t>
      </w:r>
      <w:r w:rsidR="00B52D8C" w:rsidRPr="00926E45">
        <w:t xml:space="preserve"> communities in gaining access </w:t>
      </w:r>
      <w:r w:rsidR="00691843" w:rsidRPr="00926E45">
        <w:t>on a basis of equality with Jewish inhabitants</w:t>
      </w:r>
      <w:r w:rsidR="00B52D8C" w:rsidRPr="00926E45">
        <w:t xml:space="preserve"> to </w:t>
      </w:r>
      <w:r w:rsidR="00E70782" w:rsidRPr="00926E45">
        <w:t xml:space="preserve">land, housing, </w:t>
      </w:r>
      <w:r w:rsidR="00B52D8C" w:rsidRPr="00926E45">
        <w:t>education, employment and public health.</w:t>
      </w:r>
    </w:p>
    <w:p w:rsidR="00B52D8C" w:rsidRPr="00926E45" w:rsidRDefault="00B52D8C" w:rsidP="00926E45">
      <w:pPr>
        <w:pStyle w:val="SingleTxtG"/>
        <w:rPr>
          <w:b/>
        </w:rPr>
      </w:pPr>
      <w:r w:rsidRPr="00926E45">
        <w:rPr>
          <w:b/>
        </w:rPr>
        <w:t xml:space="preserve">The Committee recommends that the State party </w:t>
      </w:r>
      <w:r w:rsidR="004974EC" w:rsidRPr="00926E45">
        <w:rPr>
          <w:b/>
        </w:rPr>
        <w:t>address satisfactorily the problems faced by Bedouin communities</w:t>
      </w:r>
      <w:r w:rsidRPr="00926E45">
        <w:rPr>
          <w:b/>
        </w:rPr>
        <w:t xml:space="preserve">, in particular with regard to </w:t>
      </w:r>
      <w:r w:rsidR="00691843" w:rsidRPr="00926E45">
        <w:rPr>
          <w:b/>
        </w:rPr>
        <w:t xml:space="preserve">the loss of </w:t>
      </w:r>
      <w:r w:rsidR="00212F47" w:rsidRPr="00926E45">
        <w:rPr>
          <w:b/>
        </w:rPr>
        <w:t xml:space="preserve">their </w:t>
      </w:r>
      <w:r w:rsidR="00691843" w:rsidRPr="00926E45">
        <w:rPr>
          <w:b/>
        </w:rPr>
        <w:t xml:space="preserve">land and </w:t>
      </w:r>
      <w:r w:rsidR="00212F47" w:rsidRPr="00926E45">
        <w:rPr>
          <w:b/>
        </w:rPr>
        <w:t xml:space="preserve">access to </w:t>
      </w:r>
      <w:r w:rsidR="00691843" w:rsidRPr="00926E45">
        <w:rPr>
          <w:b/>
        </w:rPr>
        <w:t xml:space="preserve">new </w:t>
      </w:r>
      <w:r w:rsidR="00212F47" w:rsidRPr="00926E45">
        <w:rPr>
          <w:b/>
        </w:rPr>
        <w:t>land</w:t>
      </w:r>
      <w:r w:rsidRPr="00926E45">
        <w:rPr>
          <w:b/>
        </w:rPr>
        <w:t xml:space="preserve">. The Committee also recommends that the State party step up </w:t>
      </w:r>
      <w:r w:rsidR="00027A85" w:rsidRPr="00926E45">
        <w:rPr>
          <w:b/>
        </w:rPr>
        <w:t xml:space="preserve">its </w:t>
      </w:r>
      <w:r w:rsidRPr="00926E45">
        <w:rPr>
          <w:b/>
        </w:rPr>
        <w:t xml:space="preserve">efforts to ensure equal access to education, work, housing and public health in </w:t>
      </w:r>
      <w:r w:rsidR="00212F47" w:rsidRPr="00926E45">
        <w:rPr>
          <w:b/>
        </w:rPr>
        <w:t>all territories under the State party’s effective control</w:t>
      </w:r>
      <w:r w:rsidR="0013116F" w:rsidRPr="00926E45">
        <w:rPr>
          <w:b/>
        </w:rPr>
        <w:t xml:space="preserve">. In this regard, the State party should </w:t>
      </w:r>
      <w:r w:rsidR="00CA2E04" w:rsidRPr="00926E45">
        <w:rPr>
          <w:b/>
        </w:rPr>
        <w:t>withdraw</w:t>
      </w:r>
      <w:r w:rsidR="0013116F" w:rsidRPr="00926E45">
        <w:rPr>
          <w:b/>
        </w:rPr>
        <w:t xml:space="preserve"> the 2012 discriminatory proposed </w:t>
      </w:r>
      <w:r w:rsidR="0013116F" w:rsidRPr="00344FAE">
        <w:rPr>
          <w:b/>
        </w:rPr>
        <w:t xml:space="preserve">Law for the Regulation of </w:t>
      </w:r>
      <w:r w:rsidR="00DC29AF" w:rsidRPr="00344FAE">
        <w:rPr>
          <w:b/>
        </w:rPr>
        <w:t xml:space="preserve">the Bedouin </w:t>
      </w:r>
      <w:r w:rsidR="0013116F" w:rsidRPr="00344FAE">
        <w:rPr>
          <w:b/>
        </w:rPr>
        <w:t xml:space="preserve">Settlement in the </w:t>
      </w:r>
      <w:smartTag w:uri="urn:schemas-microsoft-com:office:smarttags" w:element="place">
        <w:r w:rsidR="0013116F" w:rsidRPr="00344FAE">
          <w:rPr>
            <w:b/>
          </w:rPr>
          <w:t>Negev</w:t>
        </w:r>
      </w:smartTag>
      <w:r w:rsidR="0013116F" w:rsidRPr="00344FAE">
        <w:rPr>
          <w:b/>
        </w:rPr>
        <w:t>,</w:t>
      </w:r>
      <w:r w:rsidR="0013116F" w:rsidRPr="00926E45">
        <w:rPr>
          <w:b/>
        </w:rPr>
        <w:t xml:space="preserve"> which would legalize the ongoing policy of home demolitions and forced displacement of the indigenous Bedouin communities</w:t>
      </w:r>
      <w:r w:rsidRPr="00926E45">
        <w:rPr>
          <w:b/>
        </w:rPr>
        <w:t>.</w:t>
      </w:r>
    </w:p>
    <w:p w:rsidR="00A2144A" w:rsidRPr="00926E45" w:rsidRDefault="001857DE" w:rsidP="00926E45">
      <w:pPr>
        <w:pStyle w:val="SingleTxtG"/>
      </w:pPr>
      <w:r w:rsidRPr="00926E45">
        <w:t>2</w:t>
      </w:r>
      <w:r w:rsidR="00691843" w:rsidRPr="00926E45">
        <w:t>1</w:t>
      </w:r>
      <w:r w:rsidR="00A22158" w:rsidRPr="00926E45">
        <w:t>.</w:t>
      </w:r>
      <w:r w:rsidR="00A22158" w:rsidRPr="00926E45">
        <w:tab/>
      </w:r>
      <w:r w:rsidR="00231E5D" w:rsidRPr="00926E45">
        <w:t xml:space="preserve">Despite some information contained in the </w:t>
      </w:r>
      <w:r w:rsidR="008B3422" w:rsidRPr="00926E45">
        <w:t xml:space="preserve">State party’s </w:t>
      </w:r>
      <w:r w:rsidR="00231E5D" w:rsidRPr="00926E45">
        <w:t>report and clarifi</w:t>
      </w:r>
      <w:r w:rsidR="00771815" w:rsidRPr="00926E45">
        <w:t xml:space="preserve">cations </w:t>
      </w:r>
      <w:r w:rsidR="00137797" w:rsidRPr="00926E45">
        <w:t xml:space="preserve">provided </w:t>
      </w:r>
      <w:r w:rsidR="00771815" w:rsidRPr="00926E45">
        <w:t>orally by the d</w:t>
      </w:r>
      <w:r w:rsidR="00231E5D" w:rsidRPr="00926E45">
        <w:t xml:space="preserve">elegation, the </w:t>
      </w:r>
      <w:r w:rsidR="008B5B57" w:rsidRPr="00926E45">
        <w:t xml:space="preserve">Committee </w:t>
      </w:r>
      <w:r w:rsidR="00231E5D" w:rsidRPr="00926E45">
        <w:t xml:space="preserve">remains concerned at the lack of consideration given to </w:t>
      </w:r>
      <w:r w:rsidR="00231E5D" w:rsidRPr="00344FAE">
        <w:t xml:space="preserve">de facto </w:t>
      </w:r>
      <w:r w:rsidR="00231E5D" w:rsidRPr="00926E45">
        <w:t xml:space="preserve">and perceived discrimination towards minorities </w:t>
      </w:r>
      <w:r w:rsidR="004974EC" w:rsidRPr="00926E45">
        <w:t>with</w:t>
      </w:r>
      <w:r w:rsidR="00231E5D" w:rsidRPr="00926E45">
        <w:t xml:space="preserve">in the Jewish population. Worrying information provided by </w:t>
      </w:r>
      <w:r w:rsidR="00137797" w:rsidRPr="00926E45">
        <w:t>c</w:t>
      </w:r>
      <w:r w:rsidR="00231E5D" w:rsidRPr="00926E45">
        <w:t xml:space="preserve">ivil </w:t>
      </w:r>
      <w:r w:rsidR="00137797" w:rsidRPr="00926E45">
        <w:t>s</w:t>
      </w:r>
      <w:r w:rsidR="00231E5D" w:rsidRPr="00926E45">
        <w:t>ociety and observed in the media shed</w:t>
      </w:r>
      <w:r w:rsidR="00137797" w:rsidRPr="00926E45">
        <w:t>s</w:t>
      </w:r>
      <w:r w:rsidR="00231E5D" w:rsidRPr="00926E45">
        <w:t xml:space="preserve"> light on the issue of underrepresentation of Mizrahi groups in higher education</w:t>
      </w:r>
      <w:r w:rsidR="009A40B7" w:rsidRPr="00926E45">
        <w:t xml:space="preserve">, </w:t>
      </w:r>
      <w:r w:rsidR="00231E5D" w:rsidRPr="00926E45">
        <w:t>the academic-management job market</w:t>
      </w:r>
      <w:r w:rsidR="009A40B7" w:rsidRPr="00926E45">
        <w:t xml:space="preserve"> and </w:t>
      </w:r>
      <w:r w:rsidR="00137797" w:rsidRPr="00926E45">
        <w:t xml:space="preserve">the </w:t>
      </w:r>
      <w:r w:rsidR="009A40B7" w:rsidRPr="00926E45">
        <w:t>political/judicial sphere</w:t>
      </w:r>
      <w:r w:rsidR="00231E5D" w:rsidRPr="00926E45">
        <w:t xml:space="preserve">. Despite increased efforts aimed at </w:t>
      </w:r>
      <w:r w:rsidR="009A40B7" w:rsidRPr="00926E45">
        <w:t>addressing unequal access to education and employment for newly a</w:t>
      </w:r>
      <w:r w:rsidR="00231E5D" w:rsidRPr="00926E45">
        <w:t xml:space="preserve">rrived Jewish communities, the Committee remains </w:t>
      </w:r>
      <w:r w:rsidR="009A40B7" w:rsidRPr="00926E45">
        <w:t xml:space="preserve">particularly </w:t>
      </w:r>
      <w:r w:rsidR="00231E5D" w:rsidRPr="00926E45">
        <w:t xml:space="preserve">concerned at </w:t>
      </w:r>
      <w:r w:rsidR="00691843" w:rsidRPr="00926E45">
        <w:t xml:space="preserve">allegations of </w:t>
      </w:r>
      <w:r w:rsidR="00231E5D" w:rsidRPr="00926E45">
        <w:t>ongoing discrimination</w:t>
      </w:r>
      <w:r w:rsidR="009A40B7" w:rsidRPr="00926E45">
        <w:t xml:space="preserve">, especially </w:t>
      </w:r>
      <w:r w:rsidR="00231E5D" w:rsidRPr="00926E45">
        <w:t>by private individuals</w:t>
      </w:r>
      <w:r w:rsidR="009A40B7" w:rsidRPr="00926E45">
        <w:t>,</w:t>
      </w:r>
      <w:r w:rsidR="00231E5D" w:rsidRPr="00926E45">
        <w:t xml:space="preserve"> against Ethiopian Jews. </w:t>
      </w:r>
      <w:r w:rsidR="000C3EBA" w:rsidRPr="00926E45">
        <w:t>The</w:t>
      </w:r>
      <w:r w:rsidR="00A2144A" w:rsidRPr="00926E45">
        <w:t xml:space="preserve"> Committee is also concerned at discrimination targeting women f</w:t>
      </w:r>
      <w:r w:rsidR="000C3EBA" w:rsidRPr="00926E45">
        <w:t>rom Jewish minorities</w:t>
      </w:r>
      <w:r w:rsidR="00A2144A" w:rsidRPr="00926E45">
        <w:t xml:space="preserve"> in relation to the implementation of religious laws</w:t>
      </w:r>
      <w:r w:rsidR="00E2468A" w:rsidRPr="00926E45">
        <w:t xml:space="preserve"> (</w:t>
      </w:r>
      <w:r w:rsidR="00344FAE">
        <w:t>art.</w:t>
      </w:r>
      <w:r w:rsidR="00E2468A" w:rsidRPr="00926E45">
        <w:t xml:space="preserve"> 5 of the Convention).</w:t>
      </w:r>
    </w:p>
    <w:p w:rsidR="00A22158" w:rsidRPr="00926E45" w:rsidRDefault="00A22158" w:rsidP="00926E45">
      <w:pPr>
        <w:pStyle w:val="SingleTxtG"/>
        <w:rPr>
          <w:b/>
        </w:rPr>
      </w:pPr>
      <w:r w:rsidRPr="00926E45">
        <w:rPr>
          <w:b/>
        </w:rPr>
        <w:t xml:space="preserve">The Committee recommends that the State </w:t>
      </w:r>
      <w:r w:rsidR="00231E5D" w:rsidRPr="00926E45">
        <w:rPr>
          <w:b/>
        </w:rPr>
        <w:t>party adequately address all forms of racial discriminations affecting Jewish m</w:t>
      </w:r>
      <w:r w:rsidR="00B93280" w:rsidRPr="00926E45">
        <w:rPr>
          <w:b/>
        </w:rPr>
        <w:t>inorities so as to ensure equal enjoyment of their rights, particularly in the areas of the right to education, work and political representation.</w:t>
      </w:r>
      <w:r w:rsidR="00231E5D" w:rsidRPr="00926E45">
        <w:rPr>
          <w:b/>
        </w:rPr>
        <w:t xml:space="preserve"> </w:t>
      </w:r>
      <w:r w:rsidR="00723A1C" w:rsidRPr="00926E45">
        <w:rPr>
          <w:b/>
        </w:rPr>
        <w:t xml:space="preserve">The Committee recommends </w:t>
      </w:r>
      <w:r w:rsidR="00137797" w:rsidRPr="00926E45">
        <w:rPr>
          <w:b/>
        </w:rPr>
        <w:t xml:space="preserve">that </w:t>
      </w:r>
      <w:r w:rsidR="00723A1C" w:rsidRPr="00926E45">
        <w:rPr>
          <w:b/>
        </w:rPr>
        <w:t>the State party pay particular attention to gender</w:t>
      </w:r>
      <w:r w:rsidR="00137797" w:rsidRPr="00926E45">
        <w:rPr>
          <w:b/>
        </w:rPr>
        <w:t>-</w:t>
      </w:r>
      <w:r w:rsidR="00723A1C" w:rsidRPr="00926E45">
        <w:rPr>
          <w:b/>
        </w:rPr>
        <w:t>related discrimination affecting women from Jewish minorities, especially those with low economic status.</w:t>
      </w:r>
    </w:p>
    <w:p w:rsidR="00A22158" w:rsidRPr="00926E45" w:rsidRDefault="001857DE" w:rsidP="00926E45">
      <w:pPr>
        <w:pStyle w:val="SingleTxtG"/>
      </w:pPr>
      <w:r w:rsidRPr="00926E45">
        <w:t>2</w:t>
      </w:r>
      <w:r w:rsidR="00691843" w:rsidRPr="00926E45">
        <w:t>2</w:t>
      </w:r>
      <w:r w:rsidR="00A22158" w:rsidRPr="00926E45">
        <w:t>.</w:t>
      </w:r>
      <w:r w:rsidR="00A22158" w:rsidRPr="00926E45">
        <w:tab/>
      </w:r>
      <w:r w:rsidR="00702FB5" w:rsidRPr="00926E45">
        <w:t xml:space="preserve">The Committee </w:t>
      </w:r>
      <w:r w:rsidR="00691843" w:rsidRPr="00926E45">
        <w:t>notes</w:t>
      </w:r>
      <w:r w:rsidR="00702FB5" w:rsidRPr="00926E45">
        <w:t xml:space="preserve"> </w:t>
      </w:r>
      <w:r w:rsidR="009F0950" w:rsidRPr="00926E45">
        <w:t xml:space="preserve">the State party’s </w:t>
      </w:r>
      <w:r w:rsidR="00057BD1" w:rsidRPr="00926E45">
        <w:t xml:space="preserve">efforts </w:t>
      </w:r>
      <w:r w:rsidR="008F372B" w:rsidRPr="00926E45">
        <w:t>to</w:t>
      </w:r>
      <w:r w:rsidR="00057BD1" w:rsidRPr="00926E45">
        <w:t xml:space="preserve"> accept</w:t>
      </w:r>
      <w:r w:rsidR="009F0950" w:rsidRPr="00926E45">
        <w:t xml:space="preserve"> and host asylum-seekers and refugees on its territory and the protection framework afforded to migrant workers against potential abuses by employers. The Committee is</w:t>
      </w:r>
      <w:r w:rsidR="00691843" w:rsidRPr="00926E45">
        <w:t>,</w:t>
      </w:r>
      <w:r w:rsidR="009F0950" w:rsidRPr="00926E45">
        <w:t xml:space="preserve"> however</w:t>
      </w:r>
      <w:r w:rsidR="00691843" w:rsidRPr="00926E45">
        <w:t>,</w:t>
      </w:r>
      <w:r w:rsidR="009F0950" w:rsidRPr="00926E45">
        <w:t xml:space="preserve"> concerned at the stigmatization of migrant workers on the basis of their country of origin, as </w:t>
      </w:r>
      <w:r w:rsidR="00691843" w:rsidRPr="00926E45">
        <w:t>suggested</w:t>
      </w:r>
      <w:r w:rsidR="009F0950" w:rsidRPr="00926E45">
        <w:t xml:space="preserve"> by the enactment of the </w:t>
      </w:r>
      <w:r w:rsidR="009F0950" w:rsidRPr="00EA4145">
        <w:t>2012 Law to Prevent Infiltration</w:t>
      </w:r>
      <w:r w:rsidR="00891515" w:rsidRPr="00926E45">
        <w:t xml:space="preserve">, </w:t>
      </w:r>
      <w:r w:rsidR="0081415B" w:rsidRPr="00926E45">
        <w:t xml:space="preserve">pursuant to </w:t>
      </w:r>
      <w:r w:rsidR="00891515" w:rsidRPr="00926E45">
        <w:t>which irregular asylum</w:t>
      </w:r>
      <w:r w:rsidR="00EA4145">
        <w:t>-</w:t>
      </w:r>
      <w:r w:rsidR="00891515" w:rsidRPr="00926E45">
        <w:t xml:space="preserve">seekers </w:t>
      </w:r>
      <w:r w:rsidR="0081415B" w:rsidRPr="00926E45">
        <w:t xml:space="preserve">can </w:t>
      </w:r>
      <w:r w:rsidR="00891515" w:rsidRPr="00926E45">
        <w:t>be imprisoned for at least three years upon entry into Israel and asylum</w:t>
      </w:r>
      <w:r w:rsidR="00137797" w:rsidRPr="00926E45">
        <w:t>-</w:t>
      </w:r>
      <w:r w:rsidR="00891515" w:rsidRPr="00926E45">
        <w:t xml:space="preserve">seekers from “enemy states” </w:t>
      </w:r>
      <w:r w:rsidR="0081415B" w:rsidRPr="00926E45">
        <w:t xml:space="preserve">can </w:t>
      </w:r>
      <w:r w:rsidR="00891515" w:rsidRPr="00926E45">
        <w:t>serve life sentences</w:t>
      </w:r>
      <w:r w:rsidR="00E7647E" w:rsidRPr="00926E45">
        <w:t xml:space="preserve"> </w:t>
      </w:r>
      <w:r w:rsidR="00F7396D" w:rsidRPr="00926E45">
        <w:t>(</w:t>
      </w:r>
      <w:r w:rsidR="00EA4145">
        <w:t xml:space="preserve">arts. </w:t>
      </w:r>
      <w:r w:rsidR="001274FC" w:rsidRPr="00926E45">
        <w:t>2 and</w:t>
      </w:r>
      <w:r w:rsidR="00F7396D" w:rsidRPr="00926E45">
        <w:t xml:space="preserve"> 5(d) (iii) of the Convention).</w:t>
      </w:r>
    </w:p>
    <w:p w:rsidR="00A22158" w:rsidRPr="00926E45" w:rsidRDefault="00B56911" w:rsidP="00926E45">
      <w:pPr>
        <w:pStyle w:val="SingleTxtG"/>
        <w:rPr>
          <w:b/>
        </w:rPr>
      </w:pPr>
      <w:r w:rsidRPr="00926E45">
        <w:rPr>
          <w:b/>
        </w:rPr>
        <w:t>Recalling its</w:t>
      </w:r>
      <w:r w:rsidR="00EA4145" w:rsidRPr="00926E45">
        <w:rPr>
          <w:b/>
        </w:rPr>
        <w:t xml:space="preserve"> general recomm</w:t>
      </w:r>
      <w:r w:rsidRPr="00926E45">
        <w:rPr>
          <w:b/>
        </w:rPr>
        <w:t xml:space="preserve">endation </w:t>
      </w:r>
      <w:r w:rsidR="00A76553" w:rsidRPr="00926E45">
        <w:rPr>
          <w:b/>
        </w:rPr>
        <w:t>30</w:t>
      </w:r>
      <w:r w:rsidRPr="00926E45">
        <w:rPr>
          <w:b/>
        </w:rPr>
        <w:t xml:space="preserve"> </w:t>
      </w:r>
      <w:r w:rsidR="001274FC" w:rsidRPr="00926E45">
        <w:rPr>
          <w:b/>
        </w:rPr>
        <w:t xml:space="preserve">(2004) </w:t>
      </w:r>
      <w:r w:rsidRPr="00926E45">
        <w:rPr>
          <w:b/>
        </w:rPr>
        <w:t>on discrimination against non-citizens, t</w:t>
      </w:r>
      <w:r w:rsidR="00A22158" w:rsidRPr="00926E45">
        <w:rPr>
          <w:b/>
        </w:rPr>
        <w:t xml:space="preserve">he Committee </w:t>
      </w:r>
      <w:r w:rsidR="00891515" w:rsidRPr="00926E45">
        <w:rPr>
          <w:b/>
        </w:rPr>
        <w:t xml:space="preserve">urges the </w:t>
      </w:r>
      <w:r w:rsidR="00A22158" w:rsidRPr="00926E45">
        <w:rPr>
          <w:b/>
        </w:rPr>
        <w:t>State party</w:t>
      </w:r>
      <w:r w:rsidR="00891515" w:rsidRPr="00926E45">
        <w:rPr>
          <w:b/>
        </w:rPr>
        <w:t xml:space="preserve"> to amend the </w:t>
      </w:r>
      <w:r w:rsidR="00891515" w:rsidRPr="00EA4145">
        <w:rPr>
          <w:b/>
        </w:rPr>
        <w:t xml:space="preserve">Law to Prevent Infiltration </w:t>
      </w:r>
      <w:r w:rsidR="00891515" w:rsidRPr="00926E45">
        <w:rPr>
          <w:b/>
        </w:rPr>
        <w:t>and any other legislation aim</w:t>
      </w:r>
      <w:r w:rsidR="00137797" w:rsidRPr="00926E45">
        <w:rPr>
          <w:b/>
        </w:rPr>
        <w:t>ed</w:t>
      </w:r>
      <w:r w:rsidR="00891515" w:rsidRPr="00926E45">
        <w:rPr>
          <w:b/>
        </w:rPr>
        <w:t xml:space="preserve"> at discriminating </w:t>
      </w:r>
      <w:r w:rsidR="00691843" w:rsidRPr="00926E45">
        <w:rPr>
          <w:b/>
        </w:rPr>
        <w:t xml:space="preserve">against </w:t>
      </w:r>
      <w:r w:rsidR="00891515" w:rsidRPr="00926E45">
        <w:rPr>
          <w:b/>
        </w:rPr>
        <w:t>asylum</w:t>
      </w:r>
      <w:r w:rsidR="00137797" w:rsidRPr="00926E45">
        <w:rPr>
          <w:b/>
        </w:rPr>
        <w:t>-</w:t>
      </w:r>
      <w:r w:rsidR="00891515" w:rsidRPr="00926E45">
        <w:rPr>
          <w:b/>
        </w:rPr>
        <w:t xml:space="preserve">seekers </w:t>
      </w:r>
      <w:r w:rsidRPr="00926E45">
        <w:rPr>
          <w:b/>
        </w:rPr>
        <w:t xml:space="preserve">or denying </w:t>
      </w:r>
      <w:r w:rsidR="00891515" w:rsidRPr="00926E45">
        <w:rPr>
          <w:b/>
        </w:rPr>
        <w:t>refugee</w:t>
      </w:r>
      <w:r w:rsidR="00825C38" w:rsidRPr="00926E45">
        <w:rPr>
          <w:b/>
        </w:rPr>
        <w:t>s</w:t>
      </w:r>
      <w:r w:rsidR="00027A85" w:rsidRPr="00926E45">
        <w:rPr>
          <w:b/>
        </w:rPr>
        <w:t>,</w:t>
      </w:r>
      <w:r w:rsidR="00891515" w:rsidRPr="00926E45">
        <w:rPr>
          <w:b/>
        </w:rPr>
        <w:t xml:space="preserve"> </w:t>
      </w:r>
      <w:r w:rsidR="00137797" w:rsidRPr="00926E45">
        <w:rPr>
          <w:b/>
        </w:rPr>
        <w:t xml:space="preserve">on the basis of their national origin, </w:t>
      </w:r>
      <w:r w:rsidRPr="00926E45">
        <w:rPr>
          <w:b/>
        </w:rPr>
        <w:t xml:space="preserve">the protection guaranteed under the 1951 Geneva Convention </w:t>
      </w:r>
      <w:r w:rsidR="00137797" w:rsidRPr="00926E45">
        <w:rPr>
          <w:b/>
        </w:rPr>
        <w:t>relating to</w:t>
      </w:r>
      <w:r w:rsidRPr="00926E45">
        <w:rPr>
          <w:b/>
        </w:rPr>
        <w:t xml:space="preserve"> the </w:t>
      </w:r>
      <w:r w:rsidR="00027A85" w:rsidRPr="00926E45">
        <w:rPr>
          <w:b/>
        </w:rPr>
        <w:t>S</w:t>
      </w:r>
      <w:r w:rsidRPr="00926E45">
        <w:rPr>
          <w:b/>
        </w:rPr>
        <w:t xml:space="preserve">tatus of </w:t>
      </w:r>
      <w:r w:rsidR="00027A85" w:rsidRPr="00926E45">
        <w:rPr>
          <w:b/>
        </w:rPr>
        <w:t>R</w:t>
      </w:r>
      <w:r w:rsidRPr="00926E45">
        <w:rPr>
          <w:b/>
        </w:rPr>
        <w:t>efugees</w:t>
      </w:r>
      <w:r w:rsidR="00A22158" w:rsidRPr="00926E45">
        <w:rPr>
          <w:b/>
        </w:rPr>
        <w:t>.</w:t>
      </w:r>
      <w:r w:rsidR="00825C38" w:rsidRPr="00926E45">
        <w:rPr>
          <w:b/>
        </w:rPr>
        <w:t xml:space="preserve"> </w:t>
      </w:r>
    </w:p>
    <w:p w:rsidR="008B3422" w:rsidRPr="00926E45" w:rsidRDefault="008B3422" w:rsidP="00926E45">
      <w:pPr>
        <w:pStyle w:val="SingleTxtG"/>
      </w:pPr>
      <w:r w:rsidRPr="00926E45">
        <w:t>2</w:t>
      </w:r>
      <w:r w:rsidR="00691843" w:rsidRPr="00926E45">
        <w:t>3</w:t>
      </w:r>
      <w:r w:rsidRPr="00926E45">
        <w:t>.</w:t>
      </w:r>
      <w:r w:rsidRPr="00926E45">
        <w:tab/>
        <w:t xml:space="preserve">The Committee is concerned </w:t>
      </w:r>
      <w:r w:rsidR="00FB01DF" w:rsidRPr="00926E45">
        <w:t xml:space="preserve">at the </w:t>
      </w:r>
      <w:r w:rsidR="00177114" w:rsidRPr="00926E45">
        <w:t>r</w:t>
      </w:r>
      <w:r w:rsidR="00FB01DF" w:rsidRPr="00926E45">
        <w:t xml:space="preserve">ecent increase </w:t>
      </w:r>
      <w:r w:rsidR="00137797" w:rsidRPr="00926E45">
        <w:t>in</w:t>
      </w:r>
      <w:r w:rsidR="00FB01DF" w:rsidRPr="00926E45">
        <w:t xml:space="preserve"> </w:t>
      </w:r>
      <w:r w:rsidR="00137797" w:rsidRPr="00926E45">
        <w:t xml:space="preserve">racist and xenophobic </w:t>
      </w:r>
      <w:r w:rsidR="00FB01DF" w:rsidRPr="00926E45">
        <w:t>acts</w:t>
      </w:r>
      <w:r w:rsidR="00177114" w:rsidRPr="00926E45">
        <w:t xml:space="preserve">, </w:t>
      </w:r>
      <w:r w:rsidR="00FB01DF" w:rsidRPr="00926E45">
        <w:t>manifestations</w:t>
      </w:r>
      <w:r w:rsidR="00177114" w:rsidRPr="00926E45">
        <w:t xml:space="preserve"> and </w:t>
      </w:r>
      <w:r w:rsidR="00FA1665" w:rsidRPr="00926E45">
        <w:t>discourse</w:t>
      </w:r>
      <w:r w:rsidR="00FB01DF" w:rsidRPr="00926E45">
        <w:t xml:space="preserve">, especially against Palestinian citizens of </w:t>
      </w:r>
      <w:smartTag w:uri="urn:schemas-microsoft-com:office:smarttags" w:element="country-region">
        <w:r w:rsidR="00FB01DF" w:rsidRPr="00926E45">
          <w:t>Israel</w:t>
        </w:r>
      </w:smartTag>
      <w:r w:rsidR="00FB01DF" w:rsidRPr="00926E45">
        <w:t xml:space="preserve">, Palestinians residing in the </w:t>
      </w:r>
      <w:smartTag w:uri="urn:schemas-microsoft-com:office:smarttags" w:element="PlaceName">
        <w:r w:rsidR="00FB01DF" w:rsidRPr="00926E45">
          <w:t>Occupied</w:t>
        </w:r>
      </w:smartTag>
      <w:r w:rsidR="00FB01DF" w:rsidRPr="00926E45">
        <w:t xml:space="preserve"> </w:t>
      </w:r>
      <w:smartTag w:uri="urn:schemas-microsoft-com:office:smarttags" w:element="PlaceName">
        <w:r w:rsidR="00FB01DF" w:rsidRPr="00926E45">
          <w:t>Palestinian</w:t>
        </w:r>
      </w:smartTag>
      <w:r w:rsidR="00FB01DF" w:rsidRPr="00926E45">
        <w:t xml:space="preserve"> </w:t>
      </w:r>
      <w:smartTag w:uri="urn:schemas-microsoft-com:office:smarttags" w:element="PlaceType">
        <w:r w:rsidR="00FB01DF" w:rsidRPr="00926E45">
          <w:t>Territory</w:t>
        </w:r>
      </w:smartTag>
      <w:r w:rsidR="00FB01DF" w:rsidRPr="00926E45">
        <w:t xml:space="preserve"> including </w:t>
      </w:r>
      <w:smartTag w:uri="urn:schemas-microsoft-com:office:smarttags" w:element="place">
        <w:r w:rsidR="00FB01DF" w:rsidRPr="00926E45">
          <w:t>East Jerusalem</w:t>
        </w:r>
      </w:smartTag>
      <w:r w:rsidR="00FB01DF" w:rsidRPr="00926E45">
        <w:t>, and asylum</w:t>
      </w:r>
      <w:r w:rsidR="00137797" w:rsidRPr="00926E45">
        <w:t>-</w:t>
      </w:r>
      <w:r w:rsidR="00FB01DF" w:rsidRPr="00926E45">
        <w:t xml:space="preserve">seekers of African </w:t>
      </w:r>
      <w:r w:rsidR="00137797" w:rsidRPr="00926E45">
        <w:t>o</w:t>
      </w:r>
      <w:r w:rsidR="00FB01DF" w:rsidRPr="00926E45">
        <w:t xml:space="preserve">rigin. The Committee is </w:t>
      </w:r>
      <w:r w:rsidR="00137797" w:rsidRPr="00926E45">
        <w:t xml:space="preserve">greatly </w:t>
      </w:r>
      <w:r w:rsidR="00FB01DF" w:rsidRPr="00926E45">
        <w:t xml:space="preserve">preoccupied at the </w:t>
      </w:r>
      <w:r w:rsidR="00CC35D2" w:rsidRPr="00926E45">
        <w:t xml:space="preserve">unavailability of precise </w:t>
      </w:r>
      <w:r w:rsidR="00E7647E" w:rsidRPr="00926E45">
        <w:t>data</w:t>
      </w:r>
      <w:r w:rsidR="00CC35D2" w:rsidRPr="00926E45">
        <w:t xml:space="preserve"> on complaints, investigations, indictments and prosecutions against politicians, public officials and religious leaders involved in such manifestations </w:t>
      </w:r>
      <w:r w:rsidR="00611CCA" w:rsidRPr="00926E45">
        <w:t>and discourse</w:t>
      </w:r>
      <w:r w:rsidR="00FA1665" w:rsidRPr="00926E45">
        <w:t xml:space="preserve"> </w:t>
      </w:r>
      <w:r w:rsidR="00CC35D2" w:rsidRPr="00926E45">
        <w:t xml:space="preserve">as well as </w:t>
      </w:r>
      <w:r w:rsidR="00611CCA" w:rsidRPr="00926E45">
        <w:t xml:space="preserve">on </w:t>
      </w:r>
      <w:r w:rsidR="00CC35D2" w:rsidRPr="00926E45">
        <w:t xml:space="preserve">the outcome </w:t>
      </w:r>
      <w:r w:rsidR="00FA1665" w:rsidRPr="00926E45">
        <w:t xml:space="preserve">of the procedures related to these complaints </w:t>
      </w:r>
      <w:r w:rsidR="00FB01DF" w:rsidRPr="00926E45">
        <w:t>(</w:t>
      </w:r>
      <w:r w:rsidR="00EA4145">
        <w:t xml:space="preserve">arts. </w:t>
      </w:r>
      <w:r w:rsidR="00FB01DF" w:rsidRPr="00926E45">
        <w:t>2, 4</w:t>
      </w:r>
      <w:r w:rsidR="001274FC" w:rsidRPr="00926E45">
        <w:t>,</w:t>
      </w:r>
      <w:r w:rsidR="00FB01DF" w:rsidRPr="00926E45">
        <w:t xml:space="preserve"> 6</w:t>
      </w:r>
      <w:r w:rsidR="001274FC" w:rsidRPr="00926E45">
        <w:t xml:space="preserve"> and 7</w:t>
      </w:r>
      <w:r w:rsidR="00FB01DF" w:rsidRPr="00926E45">
        <w:t xml:space="preserve"> of the Convention).</w:t>
      </w:r>
    </w:p>
    <w:p w:rsidR="00FA1665" w:rsidRPr="00926E45" w:rsidRDefault="00CC35D2" w:rsidP="00926E45">
      <w:pPr>
        <w:pStyle w:val="SingleTxtG"/>
        <w:rPr>
          <w:b/>
        </w:rPr>
      </w:pPr>
      <w:r w:rsidRPr="00926E45">
        <w:rPr>
          <w:b/>
        </w:rPr>
        <w:t xml:space="preserve">Recalling its previous concluding observations (CERD/C/ISR/CO/13, para. 29), the Committee recommends that, in addressing issues that affect </w:t>
      </w:r>
      <w:r w:rsidR="00FA1665" w:rsidRPr="00926E45">
        <w:rPr>
          <w:b/>
        </w:rPr>
        <w:t xml:space="preserve">various vulnerable </w:t>
      </w:r>
      <w:r w:rsidR="00611CCA" w:rsidRPr="00926E45">
        <w:rPr>
          <w:b/>
        </w:rPr>
        <w:t xml:space="preserve">population </w:t>
      </w:r>
      <w:r w:rsidRPr="00926E45">
        <w:rPr>
          <w:b/>
        </w:rPr>
        <w:t xml:space="preserve">groups, the State party make it quite clear, in its discourse and its action, that it has the political will to promote understanding, tolerance and friendship between </w:t>
      </w:r>
      <w:r w:rsidR="00FA1665" w:rsidRPr="00926E45">
        <w:rPr>
          <w:b/>
        </w:rPr>
        <w:t>individuals irrespective of their origin</w:t>
      </w:r>
      <w:r w:rsidRPr="00926E45">
        <w:rPr>
          <w:b/>
        </w:rPr>
        <w:t xml:space="preserve">. </w:t>
      </w:r>
    </w:p>
    <w:p w:rsidR="00FA1665" w:rsidRPr="00926E45" w:rsidRDefault="00CC35D2" w:rsidP="00926E45">
      <w:pPr>
        <w:pStyle w:val="SingleTxtG"/>
        <w:rPr>
          <w:b/>
        </w:rPr>
      </w:pPr>
      <w:r w:rsidRPr="00926E45">
        <w:rPr>
          <w:b/>
        </w:rPr>
        <w:t>The Committee also recommends that the State party step up its efforts and use all possible means to counter and stem the tide of racism and xenophobia</w:t>
      </w:r>
      <w:r w:rsidR="00FA1665" w:rsidRPr="00926E45">
        <w:rPr>
          <w:b/>
        </w:rPr>
        <w:t xml:space="preserve"> in public discourse</w:t>
      </w:r>
      <w:r w:rsidRPr="00926E45">
        <w:rPr>
          <w:b/>
        </w:rPr>
        <w:t xml:space="preserve">, in particular by strongly condemning all racist and xenophobic statements by </w:t>
      </w:r>
      <w:r w:rsidR="007F1989" w:rsidRPr="00926E45">
        <w:rPr>
          <w:b/>
        </w:rPr>
        <w:t>public officials</w:t>
      </w:r>
      <w:r w:rsidR="008F372B" w:rsidRPr="00926E45">
        <w:rPr>
          <w:b/>
        </w:rPr>
        <w:t xml:space="preserve"> and</w:t>
      </w:r>
      <w:r w:rsidR="007F1989" w:rsidRPr="00926E45">
        <w:rPr>
          <w:b/>
        </w:rPr>
        <w:t xml:space="preserve"> </w:t>
      </w:r>
      <w:r w:rsidRPr="00926E45">
        <w:rPr>
          <w:b/>
        </w:rPr>
        <w:t>political</w:t>
      </w:r>
      <w:r w:rsidR="007F1989" w:rsidRPr="00926E45">
        <w:rPr>
          <w:b/>
        </w:rPr>
        <w:t xml:space="preserve"> and religious</w:t>
      </w:r>
      <w:r w:rsidRPr="00926E45">
        <w:rPr>
          <w:b/>
        </w:rPr>
        <w:t xml:space="preserve"> leaders</w:t>
      </w:r>
      <w:r w:rsidR="00027A85" w:rsidRPr="00926E45">
        <w:rPr>
          <w:b/>
        </w:rPr>
        <w:t>,</w:t>
      </w:r>
      <w:r w:rsidRPr="00926E45">
        <w:rPr>
          <w:b/>
        </w:rPr>
        <w:t xml:space="preserve"> and </w:t>
      </w:r>
      <w:r w:rsidR="00611CCA" w:rsidRPr="00926E45">
        <w:rPr>
          <w:b/>
        </w:rPr>
        <w:t xml:space="preserve">by </w:t>
      </w:r>
      <w:r w:rsidRPr="00926E45">
        <w:rPr>
          <w:b/>
        </w:rPr>
        <w:t>implementing appropriate measures to combat the proliferation of acts and</w:t>
      </w:r>
      <w:r w:rsidR="007F1989" w:rsidRPr="00926E45">
        <w:rPr>
          <w:b/>
        </w:rPr>
        <w:t xml:space="preserve"> </w:t>
      </w:r>
      <w:r w:rsidRPr="00926E45">
        <w:rPr>
          <w:b/>
        </w:rPr>
        <w:t>manifestations of racism</w:t>
      </w:r>
      <w:r w:rsidR="007F1989" w:rsidRPr="00926E45">
        <w:rPr>
          <w:b/>
        </w:rPr>
        <w:t xml:space="preserve"> </w:t>
      </w:r>
      <w:r w:rsidR="00611CCA" w:rsidRPr="00926E45">
        <w:rPr>
          <w:b/>
        </w:rPr>
        <w:t xml:space="preserve">that </w:t>
      </w:r>
      <w:r w:rsidR="007F1989" w:rsidRPr="00926E45">
        <w:rPr>
          <w:b/>
        </w:rPr>
        <w:t xml:space="preserve">particularly target non-Jewish minorities in the territories under the State party’s effective control. </w:t>
      </w:r>
    </w:p>
    <w:p w:rsidR="008B3422" w:rsidRPr="00926E45" w:rsidRDefault="00CC35D2" w:rsidP="00926E45">
      <w:pPr>
        <w:pStyle w:val="SingleTxtG"/>
        <w:rPr>
          <w:b/>
        </w:rPr>
      </w:pPr>
      <w:r w:rsidRPr="00926E45">
        <w:rPr>
          <w:b/>
        </w:rPr>
        <w:t>Recall</w:t>
      </w:r>
      <w:r w:rsidR="00801DE1" w:rsidRPr="00926E45">
        <w:rPr>
          <w:b/>
        </w:rPr>
        <w:t xml:space="preserve">ing </w:t>
      </w:r>
      <w:r w:rsidR="00EA4145" w:rsidRPr="00926E45">
        <w:rPr>
          <w:b/>
        </w:rPr>
        <w:t>its general recomme</w:t>
      </w:r>
      <w:r w:rsidR="00801DE1" w:rsidRPr="00926E45">
        <w:rPr>
          <w:b/>
        </w:rPr>
        <w:t xml:space="preserve">ndation </w:t>
      </w:r>
      <w:r w:rsidR="00A76553" w:rsidRPr="00926E45">
        <w:rPr>
          <w:b/>
        </w:rPr>
        <w:t>31</w:t>
      </w:r>
      <w:r w:rsidRPr="00926E45">
        <w:rPr>
          <w:b/>
        </w:rPr>
        <w:t xml:space="preserve"> (2005) on the prevention of racial discrimination in the administration and functioning of the criminal justice system, the Committee also requests the State party to remind public prosecutors </w:t>
      </w:r>
      <w:r w:rsidR="00691843" w:rsidRPr="00926E45">
        <w:rPr>
          <w:b/>
        </w:rPr>
        <w:t xml:space="preserve">and the judiciary as a whole </w:t>
      </w:r>
      <w:r w:rsidRPr="00926E45">
        <w:rPr>
          <w:b/>
        </w:rPr>
        <w:t xml:space="preserve">of the general importance of </w:t>
      </w:r>
      <w:r w:rsidR="007F1989" w:rsidRPr="00926E45">
        <w:rPr>
          <w:b/>
        </w:rPr>
        <w:t>even-handedly prosecuting racist acts, irrespective of the alleged perpetrators</w:t>
      </w:r>
      <w:r w:rsidR="00801DE1" w:rsidRPr="00926E45">
        <w:rPr>
          <w:b/>
        </w:rPr>
        <w:t xml:space="preserve">’ </w:t>
      </w:r>
      <w:r w:rsidR="00691843" w:rsidRPr="00926E45">
        <w:rPr>
          <w:b/>
        </w:rPr>
        <w:t>status</w:t>
      </w:r>
      <w:r w:rsidR="007F1989" w:rsidRPr="00926E45">
        <w:rPr>
          <w:b/>
        </w:rPr>
        <w:t>.</w:t>
      </w:r>
    </w:p>
    <w:p w:rsidR="002375C7" w:rsidRPr="00926E45" w:rsidRDefault="002375C7" w:rsidP="00926E45">
      <w:pPr>
        <w:pStyle w:val="SingleTxtG"/>
        <w:rPr>
          <w:b/>
        </w:rPr>
      </w:pPr>
      <w:r w:rsidRPr="00926E45">
        <w:rPr>
          <w:b/>
        </w:rPr>
        <w:t xml:space="preserve">The </w:t>
      </w:r>
      <w:smartTag w:uri="urn:schemas-microsoft-com:office:smarttags" w:element="PlaceName">
        <w:r w:rsidRPr="00926E45">
          <w:rPr>
            <w:b/>
          </w:rPr>
          <w:t>Occupied</w:t>
        </w:r>
      </w:smartTag>
      <w:r w:rsidRPr="00926E45">
        <w:rPr>
          <w:b/>
        </w:rPr>
        <w:t xml:space="preserve"> </w:t>
      </w:r>
      <w:smartTag w:uri="urn:schemas-microsoft-com:office:smarttags" w:element="PlaceName">
        <w:r w:rsidRPr="00926E45">
          <w:rPr>
            <w:b/>
          </w:rPr>
          <w:t>Palestinian</w:t>
        </w:r>
      </w:smartTag>
      <w:r w:rsidRPr="00926E45">
        <w:rPr>
          <w:b/>
        </w:rPr>
        <w:t xml:space="preserve"> </w:t>
      </w:r>
      <w:smartTag w:uri="urn:schemas-microsoft-com:office:smarttags" w:element="PlaceType">
        <w:r w:rsidRPr="00926E45">
          <w:rPr>
            <w:b/>
          </w:rPr>
          <w:t>Territory</w:t>
        </w:r>
      </w:smartTag>
      <w:r w:rsidRPr="00926E45">
        <w:rPr>
          <w:b/>
        </w:rPr>
        <w:t xml:space="preserve">, including </w:t>
      </w:r>
      <w:smartTag w:uri="urn:schemas-microsoft-com:office:smarttags" w:element="place">
        <w:r w:rsidRPr="00926E45">
          <w:rPr>
            <w:b/>
          </w:rPr>
          <w:t>East Jerusalem</w:t>
        </w:r>
      </w:smartTag>
      <w:r w:rsidRPr="00926E45">
        <w:rPr>
          <w:b/>
        </w:rPr>
        <w:t>, and the Occupied Syrian Golan</w:t>
      </w:r>
      <w:r w:rsidR="00926E45">
        <w:rPr>
          <w:b/>
        </w:rPr>
        <w:t>.</w:t>
      </w:r>
    </w:p>
    <w:p w:rsidR="00B52D8C" w:rsidRPr="00926E45" w:rsidRDefault="00C5525F" w:rsidP="00926E45">
      <w:pPr>
        <w:pStyle w:val="SingleTxtG"/>
      </w:pPr>
      <w:r w:rsidRPr="00926E45">
        <w:t>2</w:t>
      </w:r>
      <w:r w:rsidR="00B667B9" w:rsidRPr="00926E45">
        <w:t>4</w:t>
      </w:r>
      <w:r w:rsidRPr="00926E45">
        <w:t>.</w:t>
      </w:r>
      <w:r w:rsidRPr="00926E45">
        <w:tab/>
      </w:r>
      <w:r w:rsidR="00B52D8C" w:rsidRPr="00926E45">
        <w:t xml:space="preserve">The Committee is </w:t>
      </w:r>
      <w:r w:rsidR="00BE2876" w:rsidRPr="00926E45">
        <w:t xml:space="preserve">extremely </w:t>
      </w:r>
      <w:r w:rsidR="00691843" w:rsidRPr="00926E45">
        <w:t>concerned</w:t>
      </w:r>
      <w:r w:rsidR="00BE2876" w:rsidRPr="00926E45">
        <w:t xml:space="preserve"> at the </w:t>
      </w:r>
      <w:r w:rsidR="005D739A" w:rsidRPr="00926E45">
        <w:t>consequences of</w:t>
      </w:r>
      <w:r w:rsidR="007D5F11" w:rsidRPr="00926E45">
        <w:rPr>
          <w:szCs w:val="24"/>
        </w:rPr>
        <w:t xml:space="preserve"> </w:t>
      </w:r>
      <w:r w:rsidR="007D5F11" w:rsidRPr="00926E45">
        <w:t>policies and practices which amount to de facto segregation, such as</w:t>
      </w:r>
      <w:r w:rsidR="005D739A" w:rsidRPr="00926E45">
        <w:t xml:space="preserve"> the </w:t>
      </w:r>
      <w:r w:rsidR="00FB4F1A" w:rsidRPr="00926E45">
        <w:t>implementation</w:t>
      </w:r>
      <w:r w:rsidR="00986474" w:rsidRPr="00926E45">
        <w:t xml:space="preserve"> by the State party in the Occupied Palestinian Territory</w:t>
      </w:r>
      <w:r w:rsidR="00FB4F1A" w:rsidRPr="00926E45">
        <w:t xml:space="preserve"> of two entirely separate legal systems and sets of institutions for Jewish communities grouped in illegal settlements on the one hand and Palestinian populations </w:t>
      </w:r>
      <w:r w:rsidR="00986474" w:rsidRPr="00926E45">
        <w:t xml:space="preserve">living in Palestinian towns and villages </w:t>
      </w:r>
      <w:r w:rsidR="00FB4F1A" w:rsidRPr="00926E45">
        <w:t>on the other hand. The Committee is particularly appalled at the hermetic character of the separation of two groups, who live on the same territory</w:t>
      </w:r>
      <w:r w:rsidR="00986474" w:rsidRPr="00926E45">
        <w:t xml:space="preserve"> but </w:t>
      </w:r>
      <w:r w:rsidR="00611CCA" w:rsidRPr="00926E45">
        <w:t>do not enjoy either</w:t>
      </w:r>
      <w:r w:rsidR="00986474" w:rsidRPr="00926E45">
        <w:t xml:space="preserve"> equal u</w:t>
      </w:r>
      <w:r w:rsidR="00611CCA" w:rsidRPr="00926E45">
        <w:t xml:space="preserve">se of roads and infrastructure </w:t>
      </w:r>
      <w:r w:rsidR="00986474" w:rsidRPr="00926E45">
        <w:t xml:space="preserve">or equal access to basic services and </w:t>
      </w:r>
      <w:r w:rsidR="003C2B30" w:rsidRPr="00926E45">
        <w:t xml:space="preserve">water </w:t>
      </w:r>
      <w:r w:rsidR="00986474" w:rsidRPr="00926E45">
        <w:t xml:space="preserve">resources. Such separation is </w:t>
      </w:r>
      <w:r w:rsidR="00FB4F1A" w:rsidRPr="00926E45">
        <w:t xml:space="preserve">concretized by the implementation of a complex combination of </w:t>
      </w:r>
      <w:r w:rsidR="00986474" w:rsidRPr="00926E45">
        <w:t xml:space="preserve">movement restrictions consisting of the Wall, roadblocks, </w:t>
      </w:r>
      <w:r w:rsidR="00611CCA" w:rsidRPr="00926E45">
        <w:t xml:space="preserve">the </w:t>
      </w:r>
      <w:r w:rsidR="00986474" w:rsidRPr="00926E45">
        <w:t xml:space="preserve">obligation to use separate roads and a permit regime </w:t>
      </w:r>
      <w:r w:rsidR="00611CCA" w:rsidRPr="00926E45">
        <w:t xml:space="preserve">that </w:t>
      </w:r>
      <w:r w:rsidR="00986474" w:rsidRPr="00926E45">
        <w:t>only imp</w:t>
      </w:r>
      <w:r w:rsidR="001274FC" w:rsidRPr="00926E45">
        <w:t>act</w:t>
      </w:r>
      <w:r w:rsidR="00611CCA" w:rsidRPr="00926E45">
        <w:t>s</w:t>
      </w:r>
      <w:r w:rsidR="001274FC" w:rsidRPr="00926E45">
        <w:t xml:space="preserve"> the Palestinian population</w:t>
      </w:r>
      <w:r w:rsidR="00986474" w:rsidRPr="00926E45">
        <w:t xml:space="preserve"> (</w:t>
      </w:r>
      <w:r w:rsidR="00362B99">
        <w:t xml:space="preserve">art. </w:t>
      </w:r>
      <w:r w:rsidR="00986474" w:rsidRPr="00926E45">
        <w:t>3 of the Convention</w:t>
      </w:r>
      <w:r w:rsidR="00B52D8C" w:rsidRPr="00926E45">
        <w:t>).</w:t>
      </w:r>
    </w:p>
    <w:p w:rsidR="00993D76" w:rsidRPr="00926E45" w:rsidRDefault="007D5F11" w:rsidP="00926E45">
      <w:pPr>
        <w:pStyle w:val="SingleTxtG"/>
        <w:rPr>
          <w:b/>
          <w:sz w:val="24"/>
          <w:szCs w:val="24"/>
        </w:rPr>
      </w:pPr>
      <w:r w:rsidRPr="00926E45">
        <w:rPr>
          <w:b/>
        </w:rPr>
        <w:t xml:space="preserve">The Committee draws the State party’s attention to </w:t>
      </w:r>
      <w:r w:rsidR="00362B99" w:rsidRPr="00926E45">
        <w:rPr>
          <w:b/>
        </w:rPr>
        <w:t>its general recom</w:t>
      </w:r>
      <w:r w:rsidRPr="00926E45">
        <w:rPr>
          <w:b/>
        </w:rPr>
        <w:t>mendation 19 (1995) concerning the prevention, prohibition and eradication of all policies and practices of racial segregation and apartheid</w:t>
      </w:r>
      <w:r w:rsidR="00027A85" w:rsidRPr="00926E45">
        <w:rPr>
          <w:b/>
        </w:rPr>
        <w:t>,</w:t>
      </w:r>
      <w:r w:rsidRPr="00926E45">
        <w:rPr>
          <w:b/>
        </w:rPr>
        <w:t xml:space="preserve"> and urges the State party to take immediate measures to prohibit and eradicate any such policies </w:t>
      </w:r>
      <w:r w:rsidR="00027A85" w:rsidRPr="00926E45">
        <w:rPr>
          <w:b/>
        </w:rPr>
        <w:t xml:space="preserve">or </w:t>
      </w:r>
      <w:r w:rsidRPr="00926E45">
        <w:rPr>
          <w:b/>
        </w:rPr>
        <w:t>practices which severely and disproportionately affect the Palestinian population in the Occupied Palestinian Territory and which violat</w:t>
      </w:r>
      <w:r w:rsidR="00027A85" w:rsidRPr="00926E45">
        <w:rPr>
          <w:b/>
        </w:rPr>
        <w:t>e</w:t>
      </w:r>
      <w:r w:rsidRPr="00926E45">
        <w:rPr>
          <w:b/>
        </w:rPr>
        <w:t xml:space="preserve"> the provisions of article 3 of the Convention.</w:t>
      </w:r>
      <w:r w:rsidRPr="00926E45">
        <w:rPr>
          <w:b/>
          <w:sz w:val="24"/>
          <w:szCs w:val="24"/>
        </w:rPr>
        <w:t xml:space="preserve"> </w:t>
      </w:r>
    </w:p>
    <w:p w:rsidR="001F334A" w:rsidRDefault="00B83671" w:rsidP="00926E45">
      <w:pPr>
        <w:pStyle w:val="SingleTxtG"/>
      </w:pPr>
      <w:r>
        <w:t>2</w:t>
      </w:r>
      <w:r w:rsidR="00B667B9">
        <w:t>5</w:t>
      </w:r>
      <w:r w:rsidR="001F334A">
        <w:t>.</w:t>
      </w:r>
      <w:r w:rsidR="001F334A">
        <w:tab/>
      </w:r>
      <w:r w:rsidR="001F334A" w:rsidRPr="001F334A">
        <w:t xml:space="preserve">The Committee is </w:t>
      </w:r>
      <w:r w:rsidR="001F334A">
        <w:t>increasingly</w:t>
      </w:r>
      <w:r w:rsidR="001F334A" w:rsidRPr="001F334A">
        <w:t xml:space="preserve"> concerned at the State party’s discriminatory planning policy, whereby </w:t>
      </w:r>
      <w:r w:rsidR="001F334A">
        <w:t>construc</w:t>
      </w:r>
      <w:r w:rsidR="009B73EC">
        <w:t xml:space="preserve">tion permits are rarely if </w:t>
      </w:r>
      <w:r w:rsidR="001F334A">
        <w:t xml:space="preserve">ever granted to Palestinian and Bedouin communities and </w:t>
      </w:r>
      <w:r w:rsidR="001F334A" w:rsidRPr="001F334A">
        <w:t xml:space="preserve">demolitions </w:t>
      </w:r>
      <w:r w:rsidR="00B667B9">
        <w:t>principally target</w:t>
      </w:r>
      <w:r w:rsidR="001F334A" w:rsidRPr="001F334A">
        <w:t xml:space="preserve"> property own</w:t>
      </w:r>
      <w:r w:rsidR="001F334A">
        <w:t>ed by Palestinians and Bedouins. The Committee is concerned at the adverse</w:t>
      </w:r>
      <w:r w:rsidR="001F334A" w:rsidRPr="001F334A">
        <w:t xml:space="preserve"> tendency </w:t>
      </w:r>
      <w:r w:rsidR="001F334A">
        <w:t>of</w:t>
      </w:r>
      <w:r w:rsidR="001F334A" w:rsidRPr="001F334A">
        <w:t xml:space="preserve"> </w:t>
      </w:r>
      <w:r w:rsidR="009B73EC">
        <w:t xml:space="preserve">preferential treatment for the </w:t>
      </w:r>
      <w:r w:rsidR="001F334A" w:rsidRPr="001F334A">
        <w:t>expansion of Israeli settlements</w:t>
      </w:r>
      <w:r w:rsidR="009B73EC">
        <w:t xml:space="preserve">, through the use of </w:t>
      </w:r>
      <w:r w:rsidR="0020399A">
        <w:t>“</w:t>
      </w:r>
      <w:r w:rsidR="009B73EC">
        <w:t>state land</w:t>
      </w:r>
      <w:r w:rsidR="0020399A">
        <w:t>”</w:t>
      </w:r>
      <w:r w:rsidR="009B73EC">
        <w:t xml:space="preserve"> allocated for settlements, </w:t>
      </w:r>
      <w:r w:rsidR="00551264">
        <w:t xml:space="preserve">the </w:t>
      </w:r>
      <w:r w:rsidR="009B73EC">
        <w:t xml:space="preserve">provision of infrastructure such as roads and water systems, high approval rates for planning permits and the establishment of Special Planning Committees </w:t>
      </w:r>
      <w:r w:rsidR="00551264">
        <w:t xml:space="preserve">consisting </w:t>
      </w:r>
      <w:r w:rsidR="009B73EC">
        <w:t>of settlers for consultative decision-making processes</w:t>
      </w:r>
      <w:r w:rsidR="0079005A">
        <w:t>.</w:t>
      </w:r>
      <w:r w:rsidR="001F334A">
        <w:t xml:space="preserve"> </w:t>
      </w:r>
      <w:r w:rsidR="004D7798">
        <w:t xml:space="preserve">The Committee is </w:t>
      </w:r>
      <w:r w:rsidR="00551264">
        <w:t>greatly</w:t>
      </w:r>
      <w:r w:rsidR="004D7798">
        <w:t xml:space="preserve"> concerned at the State party’s policy of “demographic balance”</w:t>
      </w:r>
      <w:r w:rsidR="008F372B">
        <w:t>,</w:t>
      </w:r>
      <w:r w:rsidR="004D7798">
        <w:t xml:space="preserve"> </w:t>
      </w:r>
      <w:r w:rsidR="00551264">
        <w:t>which</w:t>
      </w:r>
      <w:r w:rsidR="004D7798">
        <w:t xml:space="preserve"> has been a stated aim of official municipal planning documents, particularly in the city of </w:t>
      </w:r>
      <w:smartTag w:uri="urn:schemas-microsoft-com:office:smarttags" w:element="place">
        <w:smartTag w:uri="urn:schemas-microsoft-com:office:smarttags" w:element="City">
          <w:r w:rsidR="004D7798">
            <w:t>Jerusalem</w:t>
          </w:r>
        </w:smartTag>
      </w:smartTag>
      <w:r w:rsidR="004F5D8D">
        <w:t xml:space="preserve"> </w:t>
      </w:r>
      <w:r w:rsidR="004F5D8D" w:rsidRPr="0079005A">
        <w:t>(</w:t>
      </w:r>
      <w:r w:rsidR="00362B99">
        <w:t>art</w:t>
      </w:r>
      <w:r w:rsidR="004F5D8D">
        <w:t>s</w:t>
      </w:r>
      <w:r w:rsidR="00362B99">
        <w:t>.</w:t>
      </w:r>
      <w:r w:rsidR="004F5D8D">
        <w:t xml:space="preserve"> 2, 3 and 5 of the Convention)</w:t>
      </w:r>
      <w:r w:rsidR="003515B7">
        <w:t>.</w:t>
      </w:r>
    </w:p>
    <w:p w:rsidR="001F334A" w:rsidRPr="00926E45" w:rsidRDefault="003A1B25" w:rsidP="00926E45">
      <w:pPr>
        <w:pStyle w:val="SingleTxtG"/>
        <w:rPr>
          <w:b/>
        </w:rPr>
      </w:pPr>
      <w:r w:rsidRPr="00926E45">
        <w:rPr>
          <w:b/>
        </w:rPr>
        <w:t>In light of its previous concluding observations (CERD/C/ISR/CO/13, para. 35) and c</w:t>
      </w:r>
      <w:r w:rsidR="001F334A" w:rsidRPr="00926E45">
        <w:rPr>
          <w:b/>
        </w:rPr>
        <w:t xml:space="preserve">onsidering that the </w:t>
      </w:r>
      <w:r w:rsidR="0079005A" w:rsidRPr="00926E45">
        <w:rPr>
          <w:b/>
        </w:rPr>
        <w:t xml:space="preserve">current Israeli </w:t>
      </w:r>
      <w:r w:rsidR="001F334A" w:rsidRPr="00926E45">
        <w:rPr>
          <w:b/>
        </w:rPr>
        <w:t xml:space="preserve">planning and zoning policy </w:t>
      </w:r>
      <w:r w:rsidR="00035C6B" w:rsidRPr="00926E45">
        <w:rPr>
          <w:b/>
        </w:rPr>
        <w:t>in the West Bank, including</w:t>
      </w:r>
      <w:r w:rsidR="00D94989" w:rsidRPr="00926E45">
        <w:rPr>
          <w:b/>
        </w:rPr>
        <w:t xml:space="preserve"> East Jerusalem</w:t>
      </w:r>
      <w:r w:rsidR="00035C6B" w:rsidRPr="00926E45">
        <w:rPr>
          <w:b/>
        </w:rPr>
        <w:t xml:space="preserve">, </w:t>
      </w:r>
      <w:r w:rsidR="00D94989" w:rsidRPr="00926E45">
        <w:rPr>
          <w:b/>
        </w:rPr>
        <w:t xml:space="preserve">seriously </w:t>
      </w:r>
      <w:r w:rsidR="001F334A" w:rsidRPr="00926E45">
        <w:rPr>
          <w:b/>
        </w:rPr>
        <w:t xml:space="preserve">breaches a range of fundamental rights under the Convention, the Committee urges the State party to </w:t>
      </w:r>
      <w:r w:rsidR="0079005A" w:rsidRPr="00926E45">
        <w:rPr>
          <w:b/>
        </w:rPr>
        <w:t xml:space="preserve">reconsider </w:t>
      </w:r>
      <w:r w:rsidR="00551264" w:rsidRPr="00926E45">
        <w:rPr>
          <w:b/>
        </w:rPr>
        <w:t>the entire policy</w:t>
      </w:r>
      <w:r w:rsidR="0079005A" w:rsidRPr="00926E45">
        <w:rPr>
          <w:b/>
        </w:rPr>
        <w:t xml:space="preserve"> in order to guarantee Palestinian</w:t>
      </w:r>
      <w:r w:rsidR="00A7015C" w:rsidRPr="00926E45">
        <w:rPr>
          <w:b/>
        </w:rPr>
        <w:t xml:space="preserve"> and Bedouin</w:t>
      </w:r>
      <w:r w:rsidR="0079005A" w:rsidRPr="00926E45">
        <w:rPr>
          <w:b/>
        </w:rPr>
        <w:t xml:space="preserve"> rights to property, access to land, access to housing and </w:t>
      </w:r>
      <w:r w:rsidR="00551264" w:rsidRPr="00926E45">
        <w:rPr>
          <w:b/>
        </w:rPr>
        <w:t xml:space="preserve">access to </w:t>
      </w:r>
      <w:r w:rsidR="0079005A" w:rsidRPr="00926E45">
        <w:rPr>
          <w:b/>
        </w:rPr>
        <w:t xml:space="preserve">natural resources </w:t>
      </w:r>
      <w:r w:rsidR="003C2B30" w:rsidRPr="00926E45">
        <w:rPr>
          <w:b/>
        </w:rPr>
        <w:t>(</w:t>
      </w:r>
      <w:r w:rsidR="00A01DB0" w:rsidRPr="00926E45">
        <w:rPr>
          <w:b/>
        </w:rPr>
        <w:t>especially</w:t>
      </w:r>
      <w:r w:rsidR="003C2B30" w:rsidRPr="00926E45">
        <w:rPr>
          <w:b/>
        </w:rPr>
        <w:t xml:space="preserve"> water resources)</w:t>
      </w:r>
      <w:r w:rsidR="0079005A" w:rsidRPr="00926E45">
        <w:rPr>
          <w:b/>
        </w:rPr>
        <w:t>.</w:t>
      </w:r>
      <w:r w:rsidR="0093416B" w:rsidRPr="00926E45">
        <w:rPr>
          <w:b/>
        </w:rPr>
        <w:t xml:space="preserve"> The Committee also recommends that any planning and zoning policy be implemented in consultation with the populations directly affected by those measures. </w:t>
      </w:r>
      <w:r w:rsidR="003515B7" w:rsidRPr="00926E45">
        <w:rPr>
          <w:b/>
        </w:rPr>
        <w:t xml:space="preserve">It calls on the State party to eliminate any policy of “demographic balance” from its Jerusalem Master Plan as well as from its planning and zoning policy in the rest of the </w:t>
      </w:r>
      <w:smartTag w:uri="urn:schemas-microsoft-com:office:smarttags" w:element="place">
        <w:r w:rsidR="003515B7" w:rsidRPr="00926E45">
          <w:rPr>
            <w:b/>
          </w:rPr>
          <w:t>West Bank</w:t>
        </w:r>
      </w:smartTag>
      <w:r w:rsidR="003515B7" w:rsidRPr="00926E45">
        <w:rPr>
          <w:b/>
        </w:rPr>
        <w:t>.</w:t>
      </w:r>
    </w:p>
    <w:p w:rsidR="0088345A" w:rsidRDefault="00DD438E" w:rsidP="00926E45">
      <w:pPr>
        <w:pStyle w:val="SingleTxtG"/>
        <w:rPr>
          <w:b/>
        </w:rPr>
      </w:pPr>
      <w:r>
        <w:t>2</w:t>
      </w:r>
      <w:r w:rsidR="00B667B9">
        <w:t>6</w:t>
      </w:r>
      <w:r>
        <w:t>.</w:t>
      </w:r>
      <w:r>
        <w:tab/>
      </w:r>
      <w:r w:rsidR="00DC7BE8">
        <w:t xml:space="preserve">Despite </w:t>
      </w:r>
      <w:r w:rsidR="00B667B9">
        <w:t>explanations</w:t>
      </w:r>
      <w:r w:rsidR="00DC7BE8">
        <w:t xml:space="preserve"> provided by the </w:t>
      </w:r>
      <w:r w:rsidR="00771815">
        <w:t>d</w:t>
      </w:r>
      <w:r w:rsidR="00DC7BE8">
        <w:t>elegation during the dialogue, the Committee remains concerned at the dramatic and dispropo</w:t>
      </w:r>
      <w:r w:rsidR="00551264">
        <w:t xml:space="preserve">rtionate impact of </w:t>
      </w:r>
      <w:r w:rsidR="008F372B">
        <w:t xml:space="preserve">the </w:t>
      </w:r>
      <w:r w:rsidR="00551264">
        <w:t>Israel Defens</w:t>
      </w:r>
      <w:r w:rsidR="00DC7BE8">
        <w:t>e Forces</w:t>
      </w:r>
      <w:r w:rsidR="00F9406E">
        <w:t>’</w:t>
      </w:r>
      <w:r w:rsidR="00ED20DA">
        <w:t xml:space="preserve"> blockade and</w:t>
      </w:r>
      <w:r w:rsidR="00F9406E">
        <w:t xml:space="preserve"> military operations</w:t>
      </w:r>
      <w:r w:rsidR="00DC7BE8">
        <w:t xml:space="preserve"> on Palestinians’ right to housing and basic services in the Gaza Strip. </w:t>
      </w:r>
      <w:r w:rsidR="00F9406E">
        <w:t xml:space="preserve">The Committee received worrying reports that only a minority of </w:t>
      </w:r>
      <w:r w:rsidR="003A0A82">
        <w:t>hous</w:t>
      </w:r>
      <w:r w:rsidR="00F9406E">
        <w:t>es</w:t>
      </w:r>
      <w:r w:rsidR="003A0A82">
        <w:t xml:space="preserve"> and civilian infrastructure</w:t>
      </w:r>
      <w:r w:rsidR="006D6A6C">
        <w:t>s</w:t>
      </w:r>
      <w:r w:rsidR="00F9406E">
        <w:t>, such as schools, hospital</w:t>
      </w:r>
      <w:r w:rsidR="00A7015C">
        <w:t>s</w:t>
      </w:r>
      <w:r w:rsidR="00F9406E">
        <w:t xml:space="preserve"> and water plants, could be rebuilt, due to </w:t>
      </w:r>
      <w:r w:rsidR="00551264">
        <w:t xml:space="preserve">the </w:t>
      </w:r>
      <w:r w:rsidR="00F9406E">
        <w:t xml:space="preserve">State party’s blockade </w:t>
      </w:r>
      <w:r w:rsidR="00551264">
        <w:t xml:space="preserve">on the import </w:t>
      </w:r>
      <w:r w:rsidR="00F9406E">
        <w:t>of construction materials into the Gaza Strip</w:t>
      </w:r>
      <w:r w:rsidR="008F372B">
        <w:t xml:space="preserve"> (</w:t>
      </w:r>
      <w:r w:rsidR="00EC7E21">
        <w:t xml:space="preserve">arts. </w:t>
      </w:r>
      <w:r w:rsidR="008F372B">
        <w:t>2, 3 and 5 of the Convention)</w:t>
      </w:r>
      <w:r w:rsidR="00F9406E">
        <w:t xml:space="preserve">. </w:t>
      </w:r>
    </w:p>
    <w:p w:rsidR="00234A2F" w:rsidRPr="00926E45" w:rsidRDefault="00F9406E" w:rsidP="00926E45">
      <w:pPr>
        <w:pStyle w:val="SingleTxtG"/>
        <w:rPr>
          <w:b/>
        </w:rPr>
      </w:pPr>
      <w:r w:rsidRPr="00926E45">
        <w:rPr>
          <w:b/>
        </w:rPr>
        <w:t xml:space="preserve">The State party should </w:t>
      </w:r>
      <w:r w:rsidR="00B667B9" w:rsidRPr="00926E45">
        <w:rPr>
          <w:b/>
        </w:rPr>
        <w:t xml:space="preserve">fully respect </w:t>
      </w:r>
      <w:r w:rsidR="00551264" w:rsidRPr="00926E45">
        <w:rPr>
          <w:b/>
        </w:rPr>
        <w:t xml:space="preserve">the </w:t>
      </w:r>
      <w:r w:rsidR="00B667B9" w:rsidRPr="00926E45">
        <w:rPr>
          <w:b/>
        </w:rPr>
        <w:t>norms of humanitarian law in the Occupied Palestinian Territory</w:t>
      </w:r>
      <w:r w:rsidR="00551264" w:rsidRPr="00926E45">
        <w:rPr>
          <w:b/>
        </w:rPr>
        <w:t>,</w:t>
      </w:r>
      <w:r w:rsidR="00B667B9" w:rsidRPr="00926E45">
        <w:rPr>
          <w:b/>
        </w:rPr>
        <w:t xml:space="preserve"> </w:t>
      </w:r>
      <w:r w:rsidR="00ED20DA" w:rsidRPr="00926E45">
        <w:rPr>
          <w:b/>
        </w:rPr>
        <w:t xml:space="preserve">rescind its </w:t>
      </w:r>
      <w:r w:rsidR="00551264" w:rsidRPr="00926E45">
        <w:rPr>
          <w:b/>
        </w:rPr>
        <w:t xml:space="preserve">blockade </w:t>
      </w:r>
      <w:r w:rsidR="00ED20DA" w:rsidRPr="00926E45">
        <w:rPr>
          <w:b/>
        </w:rPr>
        <w:t xml:space="preserve">policy and </w:t>
      </w:r>
      <w:r w:rsidRPr="00926E45">
        <w:rPr>
          <w:b/>
        </w:rPr>
        <w:t>urgently allow a</w:t>
      </w:r>
      <w:r w:rsidR="00A4052E" w:rsidRPr="00926E45">
        <w:rPr>
          <w:b/>
        </w:rPr>
        <w:t xml:space="preserve">ll construction materials necessary for rebuilding homes and civilian infrastructures </w:t>
      </w:r>
      <w:r w:rsidRPr="00926E45">
        <w:rPr>
          <w:b/>
        </w:rPr>
        <w:t>i</w:t>
      </w:r>
      <w:r w:rsidR="00A4052E" w:rsidRPr="00926E45">
        <w:rPr>
          <w:b/>
        </w:rPr>
        <w:t>n</w:t>
      </w:r>
      <w:r w:rsidRPr="00926E45">
        <w:rPr>
          <w:b/>
        </w:rPr>
        <w:t>to</w:t>
      </w:r>
      <w:r w:rsidR="00A4052E" w:rsidRPr="00926E45">
        <w:rPr>
          <w:b/>
        </w:rPr>
        <w:t xml:space="preserve"> the Gaza Strip</w:t>
      </w:r>
      <w:r w:rsidRPr="00926E45">
        <w:rPr>
          <w:b/>
        </w:rPr>
        <w:t xml:space="preserve"> so as to ensure </w:t>
      </w:r>
      <w:r w:rsidR="00ED20DA" w:rsidRPr="00926E45">
        <w:rPr>
          <w:b/>
        </w:rPr>
        <w:t xml:space="preserve">respect for </w:t>
      </w:r>
      <w:r w:rsidRPr="00926E45">
        <w:rPr>
          <w:b/>
        </w:rPr>
        <w:t>Palestinians’ right to housing, education, health, water and sanitation in compliance with the Convention.</w:t>
      </w:r>
    </w:p>
    <w:p w:rsidR="00CB7457" w:rsidRPr="00926E45" w:rsidRDefault="00CB7457" w:rsidP="00926E45">
      <w:pPr>
        <w:pStyle w:val="SingleTxtG"/>
      </w:pPr>
      <w:r w:rsidRPr="00926E45">
        <w:t>2</w:t>
      </w:r>
      <w:r w:rsidR="00B667B9" w:rsidRPr="00926E45">
        <w:t>7</w:t>
      </w:r>
      <w:r w:rsidR="00FB3D40" w:rsidRPr="00926E45">
        <w:t>.</w:t>
      </w:r>
      <w:r w:rsidR="00FB3D40" w:rsidRPr="00926E45">
        <w:tab/>
      </w:r>
      <w:r w:rsidR="00B667B9" w:rsidRPr="00926E45">
        <w:t>T</w:t>
      </w:r>
      <w:r w:rsidR="00D93292" w:rsidRPr="00926E45">
        <w:t xml:space="preserve">he Committee is extremely </w:t>
      </w:r>
      <w:r w:rsidR="007E1AE9" w:rsidRPr="00926E45">
        <w:t>concern</w:t>
      </w:r>
      <w:r w:rsidR="00D93292" w:rsidRPr="00926E45">
        <w:t>ed</w:t>
      </w:r>
      <w:r w:rsidR="007E1AE9" w:rsidRPr="00926E45">
        <w:t xml:space="preserve"> </w:t>
      </w:r>
      <w:r w:rsidR="00D93292" w:rsidRPr="00926E45">
        <w:t xml:space="preserve">at </w:t>
      </w:r>
      <w:r w:rsidR="007E1AE9" w:rsidRPr="00926E45">
        <w:t>the existence of two sets of laws</w:t>
      </w:r>
      <w:r w:rsidR="00E9063A" w:rsidRPr="00926E45">
        <w:t>,</w:t>
      </w:r>
      <w:r w:rsidR="007E1AE9" w:rsidRPr="00926E45">
        <w:t xml:space="preserve"> for Palestinians </w:t>
      </w:r>
      <w:r w:rsidR="00D93292" w:rsidRPr="00926E45">
        <w:t xml:space="preserve">on the one hand </w:t>
      </w:r>
      <w:r w:rsidR="007E1AE9" w:rsidRPr="00926E45">
        <w:t>and Jewish settlers</w:t>
      </w:r>
      <w:r w:rsidR="00D93292" w:rsidRPr="00926E45">
        <w:t xml:space="preserve"> on the other hand who </w:t>
      </w:r>
      <w:r w:rsidR="007E1AE9" w:rsidRPr="00926E45">
        <w:t>resid</w:t>
      </w:r>
      <w:r w:rsidR="00D93292" w:rsidRPr="00926E45">
        <w:t>e</w:t>
      </w:r>
      <w:r w:rsidR="007E1AE9" w:rsidRPr="00926E45">
        <w:t xml:space="preserve"> </w:t>
      </w:r>
      <w:r w:rsidR="00E9063A" w:rsidRPr="00926E45">
        <w:t>in</w:t>
      </w:r>
      <w:r w:rsidR="007E1AE9" w:rsidRPr="00926E45">
        <w:t xml:space="preserve"> the same territory, namely the</w:t>
      </w:r>
      <w:r w:rsidR="00D93292" w:rsidRPr="00926E45">
        <w:t xml:space="preserve"> W</w:t>
      </w:r>
      <w:r w:rsidR="007E1AE9" w:rsidRPr="00926E45">
        <w:t xml:space="preserve">est </w:t>
      </w:r>
      <w:r w:rsidR="00EC7E21">
        <w:t>B</w:t>
      </w:r>
      <w:r w:rsidR="007E1AE9" w:rsidRPr="00926E45">
        <w:t>ank</w:t>
      </w:r>
      <w:r w:rsidR="00035C6B" w:rsidRPr="00926E45">
        <w:t>, including</w:t>
      </w:r>
      <w:r w:rsidR="007E1AE9" w:rsidRPr="00926E45">
        <w:t xml:space="preserve"> East Jerusalem, </w:t>
      </w:r>
      <w:r w:rsidR="00B667B9" w:rsidRPr="00926E45">
        <w:t>and</w:t>
      </w:r>
      <w:r w:rsidR="008F3005" w:rsidRPr="00926E45">
        <w:t xml:space="preserve"> are not subject to the same justice system (</w:t>
      </w:r>
      <w:r w:rsidR="007E1AE9" w:rsidRPr="00926E45">
        <w:t xml:space="preserve">criminal </w:t>
      </w:r>
      <w:r w:rsidR="008F3005" w:rsidRPr="00926E45">
        <w:t>as</w:t>
      </w:r>
      <w:r w:rsidR="007E1AE9" w:rsidRPr="00926E45">
        <w:t xml:space="preserve"> well as civil matters</w:t>
      </w:r>
      <w:r w:rsidR="008F3005" w:rsidRPr="00926E45">
        <w:t xml:space="preserve">). The Committee is particularly concerned at worrying reports </w:t>
      </w:r>
      <w:r w:rsidR="00E9063A" w:rsidRPr="00926E45">
        <w:t>of an</w:t>
      </w:r>
      <w:r w:rsidR="008F3005" w:rsidRPr="00926E45">
        <w:t xml:space="preserve"> increase in </w:t>
      </w:r>
      <w:r w:rsidR="00B53CC1" w:rsidRPr="00926E45">
        <w:t xml:space="preserve">the </w:t>
      </w:r>
      <w:r w:rsidR="008F3005" w:rsidRPr="00926E45">
        <w:t xml:space="preserve">arrest and detention of children and </w:t>
      </w:r>
      <w:r w:rsidR="00B53CC1" w:rsidRPr="00926E45">
        <w:t xml:space="preserve">of the undermining </w:t>
      </w:r>
      <w:r w:rsidR="008F3005" w:rsidRPr="00926E45">
        <w:t xml:space="preserve">of their judicial guarantees, notably in relation to the competence of military courts </w:t>
      </w:r>
      <w:r w:rsidR="00B53CC1" w:rsidRPr="00926E45">
        <w:t>to try</w:t>
      </w:r>
      <w:r w:rsidR="008F3005" w:rsidRPr="00926E45">
        <w:t xml:space="preserve"> Palestinian children, which is inconsistent with international law. T</w:t>
      </w:r>
      <w:r w:rsidR="007E1AE9" w:rsidRPr="00926E45">
        <w:t xml:space="preserve">he Committee expresses </w:t>
      </w:r>
      <w:r w:rsidR="00A01DB0" w:rsidRPr="00926E45">
        <w:t xml:space="preserve">great </w:t>
      </w:r>
      <w:r w:rsidR="0002158C" w:rsidRPr="00926E45">
        <w:t xml:space="preserve">concern at the State party’s maintenance of administrative detention for both Palestinian children and adults based on </w:t>
      </w:r>
      <w:r w:rsidR="00B53CC1" w:rsidRPr="00926E45">
        <w:t>evidence that is kept</w:t>
      </w:r>
      <w:r w:rsidR="0002158C" w:rsidRPr="00926E45">
        <w:t xml:space="preserve"> </w:t>
      </w:r>
      <w:r w:rsidR="008F372B" w:rsidRPr="00926E45">
        <w:t xml:space="preserve">secret </w:t>
      </w:r>
      <w:r w:rsidR="0002158C" w:rsidRPr="00926E45">
        <w:t xml:space="preserve">for security reasons. It also expresses </w:t>
      </w:r>
      <w:r w:rsidR="007E1AE9" w:rsidRPr="00926E45">
        <w:t>concern at the monetary and physical obstacles faced by Palestinians seeking compensation before Israeli tribunals for loss</w:t>
      </w:r>
      <w:r w:rsidR="00B53CC1" w:rsidRPr="00926E45">
        <w:t xml:space="preserve"> suffered</w:t>
      </w:r>
      <w:r w:rsidR="007E1AE9" w:rsidRPr="00926E45">
        <w:t xml:space="preserve">, in particular </w:t>
      </w:r>
      <w:r w:rsidR="008F3005" w:rsidRPr="00926E45">
        <w:t xml:space="preserve">as a consequence of the </w:t>
      </w:r>
      <w:r w:rsidR="007E1AE9" w:rsidRPr="00926E45">
        <w:t xml:space="preserve">IDF Operation Cast Lead </w:t>
      </w:r>
      <w:r w:rsidR="00B53CC1" w:rsidRPr="00926E45">
        <w:t>i</w:t>
      </w:r>
      <w:r w:rsidR="007E1AE9" w:rsidRPr="00926E45">
        <w:t>n the Gaza Strip</w:t>
      </w:r>
      <w:r w:rsidR="00B667B9" w:rsidRPr="00926E45">
        <w:t xml:space="preserve"> (</w:t>
      </w:r>
      <w:r w:rsidR="00EC7E21">
        <w:t xml:space="preserve">arts. </w:t>
      </w:r>
      <w:r w:rsidR="00B667B9" w:rsidRPr="00926E45">
        <w:t>3, 5 and 6 of the Convention)</w:t>
      </w:r>
      <w:r w:rsidR="007E1AE9" w:rsidRPr="00926E45">
        <w:t xml:space="preserve">. </w:t>
      </w:r>
    </w:p>
    <w:p w:rsidR="00D93292" w:rsidRPr="00926E45" w:rsidRDefault="00F32473" w:rsidP="00926E45">
      <w:pPr>
        <w:pStyle w:val="SingleTxtG"/>
        <w:rPr>
          <w:b/>
        </w:rPr>
      </w:pPr>
      <w:r w:rsidRPr="00926E45">
        <w:rPr>
          <w:b/>
        </w:rPr>
        <w:t>Recalli</w:t>
      </w:r>
      <w:r w:rsidR="00EC7E21" w:rsidRPr="00926E45">
        <w:rPr>
          <w:b/>
        </w:rPr>
        <w:t>ng its general recom</w:t>
      </w:r>
      <w:r w:rsidRPr="00926E45">
        <w:rPr>
          <w:b/>
        </w:rPr>
        <w:t xml:space="preserve">mendation </w:t>
      </w:r>
      <w:r w:rsidR="00A76553" w:rsidRPr="00926E45">
        <w:rPr>
          <w:b/>
        </w:rPr>
        <w:t>31</w:t>
      </w:r>
      <w:r w:rsidRPr="00926E45">
        <w:rPr>
          <w:b/>
        </w:rPr>
        <w:t xml:space="preserve"> </w:t>
      </w:r>
      <w:r w:rsidR="00A7015C" w:rsidRPr="00926E45">
        <w:rPr>
          <w:b/>
        </w:rPr>
        <w:t xml:space="preserve">(2005) </w:t>
      </w:r>
      <w:r w:rsidRPr="00926E45">
        <w:rPr>
          <w:b/>
        </w:rPr>
        <w:t>on the prevention of racial discrimination in</w:t>
      </w:r>
      <w:r w:rsidR="00944BCD" w:rsidRPr="00926E45">
        <w:rPr>
          <w:b/>
        </w:rPr>
        <w:t xml:space="preserve"> </w:t>
      </w:r>
      <w:r w:rsidRPr="00926E45">
        <w:rPr>
          <w:b/>
        </w:rPr>
        <w:t>the administration and functioning of the criminal justice system</w:t>
      </w:r>
      <w:r w:rsidR="00944BCD" w:rsidRPr="00926E45">
        <w:rPr>
          <w:b/>
        </w:rPr>
        <w:t>, the Committee recommends that t</w:t>
      </w:r>
      <w:r w:rsidR="007E1AE9" w:rsidRPr="00926E45">
        <w:rPr>
          <w:b/>
        </w:rPr>
        <w:t xml:space="preserve">he State party ensure equal access to justice for all </w:t>
      </w:r>
      <w:r w:rsidR="00651DD7" w:rsidRPr="00926E45">
        <w:rPr>
          <w:b/>
        </w:rPr>
        <w:t xml:space="preserve">persons residing </w:t>
      </w:r>
      <w:r w:rsidR="00B53CC1" w:rsidRPr="00926E45">
        <w:rPr>
          <w:b/>
        </w:rPr>
        <w:t>i</w:t>
      </w:r>
      <w:r w:rsidR="00651DD7" w:rsidRPr="00926E45">
        <w:rPr>
          <w:b/>
        </w:rPr>
        <w:t xml:space="preserve">n territories under </w:t>
      </w:r>
      <w:r w:rsidR="00B53CC1" w:rsidRPr="00926E45">
        <w:rPr>
          <w:b/>
        </w:rPr>
        <w:t xml:space="preserve">the </w:t>
      </w:r>
      <w:r w:rsidR="007E1AE9" w:rsidRPr="00926E45">
        <w:rPr>
          <w:b/>
        </w:rPr>
        <w:t xml:space="preserve">State party’s effective control. </w:t>
      </w:r>
      <w:r w:rsidR="009B757E" w:rsidRPr="00926E45">
        <w:rPr>
          <w:b/>
        </w:rPr>
        <w:t xml:space="preserve">The Committee urges the State party to </w:t>
      </w:r>
      <w:r w:rsidR="00B53CC1" w:rsidRPr="00926E45">
        <w:rPr>
          <w:b/>
        </w:rPr>
        <w:t>end</w:t>
      </w:r>
      <w:r w:rsidR="009B757E" w:rsidRPr="00926E45">
        <w:rPr>
          <w:b/>
        </w:rPr>
        <w:t xml:space="preserve"> its current practice of administrative detention</w:t>
      </w:r>
      <w:r w:rsidR="00993D76" w:rsidRPr="00926E45">
        <w:rPr>
          <w:b/>
        </w:rPr>
        <w:t>,</w:t>
      </w:r>
      <w:r w:rsidR="009B757E" w:rsidRPr="00926E45">
        <w:rPr>
          <w:b/>
        </w:rPr>
        <w:t xml:space="preserve"> which is discriminatory and constitutes arbitrary detention under international human rights law.</w:t>
      </w:r>
    </w:p>
    <w:p w:rsidR="00D93292" w:rsidRPr="00926E45" w:rsidRDefault="00B83671" w:rsidP="00926E45">
      <w:pPr>
        <w:pStyle w:val="SingleTxtG"/>
      </w:pPr>
      <w:r w:rsidRPr="00926E45">
        <w:t>2</w:t>
      </w:r>
      <w:r w:rsidR="00B667B9" w:rsidRPr="00926E45">
        <w:t>8</w:t>
      </w:r>
      <w:r w:rsidR="00D93292" w:rsidRPr="00926E45">
        <w:t>.</w:t>
      </w:r>
      <w:r w:rsidR="00D93292" w:rsidRPr="00926E45">
        <w:tab/>
        <w:t>The Committee</w:t>
      </w:r>
      <w:r w:rsidR="00E7647E" w:rsidRPr="00926E45">
        <w:t xml:space="preserve"> is concerned </w:t>
      </w:r>
      <w:r w:rsidR="00993D76" w:rsidRPr="00926E45">
        <w:t xml:space="preserve">about </w:t>
      </w:r>
      <w:r w:rsidR="00E7647E" w:rsidRPr="00926E45">
        <w:t xml:space="preserve">the increase </w:t>
      </w:r>
      <w:r w:rsidR="00B53CC1" w:rsidRPr="00926E45">
        <w:t>in</w:t>
      </w:r>
      <w:r w:rsidR="00D93292" w:rsidRPr="00926E45">
        <w:t xml:space="preserve"> </w:t>
      </w:r>
      <w:r w:rsidR="00EA3B89" w:rsidRPr="00926E45">
        <w:t>racist</w:t>
      </w:r>
      <w:r w:rsidR="00D93292" w:rsidRPr="00926E45">
        <w:t xml:space="preserve"> violence </w:t>
      </w:r>
      <w:r w:rsidR="00EA3B89" w:rsidRPr="00926E45">
        <w:t xml:space="preserve">and acts of vandalism on the part of Jewish settlers in the Occupied </w:t>
      </w:r>
      <w:r w:rsidR="00B53CC1" w:rsidRPr="00926E45">
        <w:t>Palestinian Territory targeting n</w:t>
      </w:r>
      <w:r w:rsidR="00EA3B89" w:rsidRPr="00926E45">
        <w:t>on-Jews</w:t>
      </w:r>
      <w:r w:rsidR="00B53CC1" w:rsidRPr="00926E45">
        <w:t>,</w:t>
      </w:r>
      <w:r w:rsidR="00EA3B89" w:rsidRPr="00926E45">
        <w:t xml:space="preserve"> including Muslims and Christians </w:t>
      </w:r>
      <w:r w:rsidR="00A01DB0" w:rsidRPr="00926E45">
        <w:t>and</w:t>
      </w:r>
      <w:r w:rsidR="00EA3B89" w:rsidRPr="00926E45">
        <w:t xml:space="preserve"> their holy places, </w:t>
      </w:r>
      <w:r w:rsidR="00D93292" w:rsidRPr="00926E45">
        <w:t xml:space="preserve">and </w:t>
      </w:r>
      <w:r w:rsidR="00993D76" w:rsidRPr="00926E45">
        <w:t xml:space="preserve">about </w:t>
      </w:r>
      <w:r w:rsidR="00D93292" w:rsidRPr="00926E45">
        <w:t>information according to which 90</w:t>
      </w:r>
      <w:r w:rsidR="00993D76" w:rsidRPr="00926E45">
        <w:t xml:space="preserve"> per cent</w:t>
      </w:r>
      <w:r w:rsidR="00D93292" w:rsidRPr="00926E45">
        <w:t xml:space="preserve"> of Israeli police investigations into settler-related vi</w:t>
      </w:r>
      <w:r w:rsidR="00651DD7" w:rsidRPr="00926E45">
        <w:t>olence carried out between 2</w:t>
      </w:r>
      <w:r w:rsidR="00D93292" w:rsidRPr="00926E45">
        <w:t xml:space="preserve">005 and 2010 were closed without </w:t>
      </w:r>
      <w:r w:rsidR="008F372B" w:rsidRPr="00926E45">
        <w:t>prosecution</w:t>
      </w:r>
      <w:r w:rsidR="00D93292" w:rsidRPr="00926E45">
        <w:t>.</w:t>
      </w:r>
      <w:r w:rsidR="00651DD7" w:rsidRPr="00926E45">
        <w:t xml:space="preserve"> </w:t>
      </w:r>
      <w:r w:rsidR="00EA3B89" w:rsidRPr="00926E45">
        <w:t xml:space="preserve">The Committee is particularly alarmed </w:t>
      </w:r>
      <w:r w:rsidR="00B667B9" w:rsidRPr="00926E45">
        <w:t>by reports of</w:t>
      </w:r>
      <w:r w:rsidR="00EA3B89" w:rsidRPr="00926E45">
        <w:t xml:space="preserve"> impunity of terrorist groups such as Price Tag, which reportedly enjoy political and legal support </w:t>
      </w:r>
      <w:r w:rsidR="00B53CC1" w:rsidRPr="00926E45">
        <w:t>from</w:t>
      </w:r>
      <w:r w:rsidR="00EA3B89" w:rsidRPr="00926E45">
        <w:t xml:space="preserve"> certain sections of </w:t>
      </w:r>
      <w:r w:rsidR="00B53CC1" w:rsidRPr="00926E45">
        <w:t xml:space="preserve">the </w:t>
      </w:r>
      <w:r w:rsidR="00EA3B89" w:rsidRPr="00926E45">
        <w:t>Israeli politic</w:t>
      </w:r>
      <w:r w:rsidR="00B53CC1" w:rsidRPr="00926E45">
        <w:t>al</w:t>
      </w:r>
      <w:r w:rsidR="008F372B" w:rsidRPr="00926E45">
        <w:t xml:space="preserve"> establishment</w:t>
      </w:r>
      <w:r w:rsidR="00EA3B89" w:rsidRPr="00926E45">
        <w:t xml:space="preserve">. </w:t>
      </w:r>
      <w:r w:rsidR="00651DD7" w:rsidRPr="00926E45">
        <w:t xml:space="preserve">The Committee is </w:t>
      </w:r>
      <w:r w:rsidR="00EA3B89" w:rsidRPr="00926E45">
        <w:t>also</w:t>
      </w:r>
      <w:r w:rsidR="00651DD7" w:rsidRPr="00926E45">
        <w:t xml:space="preserve"> concerned </w:t>
      </w:r>
      <w:r w:rsidR="00B53CC1" w:rsidRPr="00926E45">
        <w:t>about</w:t>
      </w:r>
      <w:r w:rsidR="00651DD7" w:rsidRPr="00926E45">
        <w:t xml:space="preserve"> the impact of settler violence on </w:t>
      </w:r>
      <w:r w:rsidR="00B53CC1" w:rsidRPr="00926E45">
        <w:t xml:space="preserve">the right of </w:t>
      </w:r>
      <w:r w:rsidR="00651DD7" w:rsidRPr="00926E45">
        <w:t>women and girls</w:t>
      </w:r>
      <w:r w:rsidR="00572901" w:rsidRPr="00926E45">
        <w:t xml:space="preserve"> to </w:t>
      </w:r>
      <w:r w:rsidR="00651DD7" w:rsidRPr="00926E45">
        <w:t>access basic services such as the right to education</w:t>
      </w:r>
      <w:r w:rsidR="00E7647E" w:rsidRPr="00926E45">
        <w:t xml:space="preserve"> </w:t>
      </w:r>
      <w:r w:rsidR="00A7015C" w:rsidRPr="00926E45">
        <w:t>(</w:t>
      </w:r>
      <w:r w:rsidR="00EC7E21">
        <w:t>art</w:t>
      </w:r>
      <w:r w:rsidR="00A7015C" w:rsidRPr="00926E45">
        <w:t>s</w:t>
      </w:r>
      <w:r w:rsidR="00EC7E21">
        <w:t>.</w:t>
      </w:r>
      <w:r w:rsidR="00A7015C" w:rsidRPr="00926E45">
        <w:t xml:space="preserve"> 4 and 5 of the Convention)</w:t>
      </w:r>
      <w:r w:rsidR="00651DD7" w:rsidRPr="00926E45">
        <w:t xml:space="preserve">. </w:t>
      </w:r>
    </w:p>
    <w:p w:rsidR="00D93292" w:rsidRPr="00926E45" w:rsidRDefault="00B53CC1" w:rsidP="00926E45">
      <w:pPr>
        <w:pStyle w:val="SingleTxtG"/>
        <w:rPr>
          <w:b/>
        </w:rPr>
      </w:pPr>
      <w:r w:rsidRPr="00926E45">
        <w:rPr>
          <w:b/>
        </w:rPr>
        <w:t>W</w:t>
      </w:r>
      <w:r w:rsidR="008F3005" w:rsidRPr="00926E45">
        <w:rPr>
          <w:b/>
        </w:rPr>
        <w:t xml:space="preserve">hile </w:t>
      </w:r>
      <w:r w:rsidR="00EA3B89" w:rsidRPr="00926E45">
        <w:rPr>
          <w:b/>
        </w:rPr>
        <w:t>noting with interest</w:t>
      </w:r>
      <w:r w:rsidR="008F3005" w:rsidRPr="00926E45">
        <w:rPr>
          <w:b/>
        </w:rPr>
        <w:t xml:space="preserve"> the establishment of the </w:t>
      </w:r>
      <w:r w:rsidRPr="00926E45">
        <w:rPr>
          <w:b/>
        </w:rPr>
        <w:t>m</w:t>
      </w:r>
      <w:r w:rsidR="008F3005" w:rsidRPr="00926E45">
        <w:rPr>
          <w:b/>
        </w:rPr>
        <w:t>inisterial team meant to address matters relating to settler violence,</w:t>
      </w:r>
      <w:r w:rsidR="00D93292" w:rsidRPr="00926E45">
        <w:rPr>
          <w:b/>
        </w:rPr>
        <w:t xml:space="preserve"> the Committee</w:t>
      </w:r>
      <w:r w:rsidRPr="00926E45">
        <w:rPr>
          <w:b/>
        </w:rPr>
        <w:t xml:space="preserve">, recalling its previous concluding observations (CERD/C/ISR/CO/13, para. 37), </w:t>
      </w:r>
      <w:r w:rsidR="00D93292" w:rsidRPr="00926E45">
        <w:rPr>
          <w:b/>
        </w:rPr>
        <w:t>urges the State party to ensure that all forms of violence and harassment</w:t>
      </w:r>
      <w:r w:rsidR="008F3005" w:rsidRPr="00926E45">
        <w:rPr>
          <w:b/>
        </w:rPr>
        <w:t xml:space="preserve"> are impartially investiga</w:t>
      </w:r>
      <w:r w:rsidR="007F407F" w:rsidRPr="00926E45">
        <w:rPr>
          <w:b/>
        </w:rPr>
        <w:t>ted by the j</w:t>
      </w:r>
      <w:r w:rsidR="008F3005" w:rsidRPr="00926E45">
        <w:rPr>
          <w:b/>
        </w:rPr>
        <w:t xml:space="preserve">udiciary and that perpetrators are prosecuted </w:t>
      </w:r>
      <w:r w:rsidR="00A01DB0" w:rsidRPr="00926E45">
        <w:rPr>
          <w:b/>
        </w:rPr>
        <w:t xml:space="preserve">to the fullest extent of the law, </w:t>
      </w:r>
      <w:r w:rsidR="008F3005" w:rsidRPr="00926E45">
        <w:rPr>
          <w:b/>
        </w:rPr>
        <w:t>irrespective of their national</w:t>
      </w:r>
      <w:r w:rsidR="00A01DB0" w:rsidRPr="00926E45">
        <w:rPr>
          <w:b/>
        </w:rPr>
        <w:t>,</w:t>
      </w:r>
      <w:r w:rsidR="008F3005" w:rsidRPr="00926E45">
        <w:rPr>
          <w:b/>
        </w:rPr>
        <w:t xml:space="preserve"> ethnic </w:t>
      </w:r>
      <w:r w:rsidR="00A01DB0" w:rsidRPr="00926E45">
        <w:rPr>
          <w:b/>
        </w:rPr>
        <w:t xml:space="preserve">or other </w:t>
      </w:r>
      <w:r w:rsidR="008F3005" w:rsidRPr="00926E45">
        <w:rPr>
          <w:b/>
        </w:rPr>
        <w:t>origin.</w:t>
      </w:r>
    </w:p>
    <w:p w:rsidR="007138FA" w:rsidRPr="00926E45" w:rsidRDefault="00B667B9" w:rsidP="00926E45">
      <w:pPr>
        <w:pStyle w:val="SingleTxtG"/>
      </w:pPr>
      <w:r w:rsidRPr="00926E45">
        <w:t>29</w:t>
      </w:r>
      <w:r w:rsidR="00CB7457" w:rsidRPr="00926E45">
        <w:t>.</w:t>
      </w:r>
      <w:r w:rsidR="00CB7457" w:rsidRPr="00926E45">
        <w:tab/>
      </w:r>
      <w:r w:rsidR="000D56A4" w:rsidRPr="00926E45">
        <w:t>The Committee remains concern</w:t>
      </w:r>
      <w:r w:rsidR="00335C55" w:rsidRPr="00926E45">
        <w:t>ed</w:t>
      </w:r>
      <w:r w:rsidR="000D56A4" w:rsidRPr="00926E45">
        <w:t xml:space="preserve"> at the vulnerable situation of Syrian </w:t>
      </w:r>
      <w:r w:rsidR="003C3A3C" w:rsidRPr="00926E45">
        <w:t>residents of</w:t>
      </w:r>
      <w:r w:rsidR="000D56A4" w:rsidRPr="00926E45">
        <w:t xml:space="preserve"> the Occupied Syrian Golan and their unequal access to land, housing and basic services. The Committee is also gravely concerned at the continued impact of the </w:t>
      </w:r>
      <w:r w:rsidR="000D56A4" w:rsidRPr="006E28EF">
        <w:t>Citizenship Law o</w:t>
      </w:r>
      <w:r w:rsidR="000D56A4" w:rsidRPr="00926E45">
        <w:t>n family ties, which continue to be disrupted as a consequence of the territory’s illegal annexation in 1981 (</w:t>
      </w:r>
      <w:r w:rsidR="006E28EF">
        <w:t xml:space="preserve">arts. </w:t>
      </w:r>
      <w:r w:rsidR="002B7070" w:rsidRPr="00926E45">
        <w:t>2 and</w:t>
      </w:r>
      <w:r w:rsidR="000D56A4" w:rsidRPr="00926E45">
        <w:t xml:space="preserve"> 5 of the Convention)</w:t>
      </w:r>
      <w:r w:rsidR="00572901" w:rsidRPr="00926E45">
        <w:t>.</w:t>
      </w:r>
    </w:p>
    <w:p w:rsidR="00FB3D40" w:rsidRPr="00926E45" w:rsidRDefault="007138FA" w:rsidP="00926E45">
      <w:pPr>
        <w:pStyle w:val="SingleTxtG"/>
        <w:rPr>
          <w:b/>
        </w:rPr>
      </w:pPr>
      <w:r w:rsidRPr="00926E45">
        <w:rPr>
          <w:b/>
        </w:rPr>
        <w:t xml:space="preserve">The </w:t>
      </w:r>
      <w:r w:rsidR="000D56A4" w:rsidRPr="00926E45">
        <w:rPr>
          <w:b/>
        </w:rPr>
        <w:t>State pa</w:t>
      </w:r>
      <w:r w:rsidR="007F407F" w:rsidRPr="00926E45">
        <w:rPr>
          <w:b/>
        </w:rPr>
        <w:t>rty should ensure equal access for</w:t>
      </w:r>
      <w:r w:rsidR="000D56A4" w:rsidRPr="00926E45">
        <w:rPr>
          <w:b/>
        </w:rPr>
        <w:t xml:space="preserve"> all residents of Israel</w:t>
      </w:r>
      <w:r w:rsidR="00A01DB0" w:rsidRPr="00926E45">
        <w:rPr>
          <w:b/>
        </w:rPr>
        <w:t>i</w:t>
      </w:r>
      <w:r w:rsidR="007F407F" w:rsidRPr="00926E45">
        <w:rPr>
          <w:b/>
        </w:rPr>
        <w:t>-</w:t>
      </w:r>
      <w:r w:rsidR="00EA3B89" w:rsidRPr="00926E45">
        <w:rPr>
          <w:b/>
        </w:rPr>
        <w:t>controlled territories</w:t>
      </w:r>
      <w:r w:rsidR="000D56A4" w:rsidRPr="00926E45">
        <w:rPr>
          <w:b/>
        </w:rPr>
        <w:t xml:space="preserve"> to fundamental rights such as the right to land, housing, movement, marriage and choice of spouse. The Committee urges the State party to find a </w:t>
      </w:r>
      <w:r w:rsidR="00EA3B89" w:rsidRPr="00926E45">
        <w:rPr>
          <w:b/>
        </w:rPr>
        <w:t>satisfactory</w:t>
      </w:r>
      <w:r w:rsidR="000D56A4" w:rsidRPr="00926E45">
        <w:rPr>
          <w:b/>
        </w:rPr>
        <w:t xml:space="preserve"> solution to the issue of family separation </w:t>
      </w:r>
      <w:r w:rsidR="007F407F" w:rsidRPr="00926E45">
        <w:rPr>
          <w:b/>
        </w:rPr>
        <w:t>that particularly affects</w:t>
      </w:r>
      <w:r w:rsidR="000D56A4" w:rsidRPr="00926E45">
        <w:rPr>
          <w:b/>
        </w:rPr>
        <w:t xml:space="preserve"> Syrian residents of the Occupied Syrian Golan.</w:t>
      </w:r>
    </w:p>
    <w:p w:rsidR="00A22158" w:rsidRPr="00926E45" w:rsidRDefault="00B83671" w:rsidP="00926E45">
      <w:pPr>
        <w:pStyle w:val="SingleTxtG"/>
      </w:pPr>
      <w:r w:rsidRPr="00926E45">
        <w:t>3</w:t>
      </w:r>
      <w:r w:rsidR="00B667B9" w:rsidRPr="00926E45">
        <w:t>0</w:t>
      </w:r>
      <w:r w:rsidR="00FB3D40" w:rsidRPr="00926E45">
        <w:t>.</w:t>
      </w:r>
      <w:r w:rsidR="00FB3D40" w:rsidRPr="00926E45">
        <w:tab/>
      </w:r>
      <w:r w:rsidR="00A22158" w:rsidRPr="00926E45">
        <w:t>Bearing in mind the indivisibility of all human rights, the Committee encourages the State party to consider ratifying those international human rights treaties which it has not yet ratified, in particular treaties the provisions of which have a direct bearing on the subject of racial discrimination, such as</w:t>
      </w:r>
      <w:r w:rsidR="005F1224" w:rsidRPr="00926E45">
        <w:t xml:space="preserve"> </w:t>
      </w:r>
      <w:r w:rsidR="00A22158" w:rsidRPr="00926E45">
        <w:t xml:space="preserve">the International Convention on the Protection of the Rights of All Migrant Workers and Members of Their Families (1990).    </w:t>
      </w:r>
    </w:p>
    <w:p w:rsidR="008F372B" w:rsidRPr="00926E45" w:rsidRDefault="00E31335" w:rsidP="00926E45">
      <w:pPr>
        <w:pStyle w:val="SingleTxtG"/>
        <w:rPr>
          <w:szCs w:val="22"/>
        </w:rPr>
      </w:pPr>
      <w:r w:rsidRPr="00926E45">
        <w:rPr>
          <w:szCs w:val="22"/>
        </w:rPr>
        <w:t>3</w:t>
      </w:r>
      <w:r w:rsidR="00B667B9" w:rsidRPr="00926E45">
        <w:rPr>
          <w:szCs w:val="22"/>
        </w:rPr>
        <w:t>1</w:t>
      </w:r>
      <w:r w:rsidR="00312978" w:rsidRPr="00926E45">
        <w:rPr>
          <w:szCs w:val="22"/>
        </w:rPr>
        <w:t>.</w:t>
      </w:r>
      <w:r w:rsidR="00A22158" w:rsidRPr="00926E45">
        <w:rPr>
          <w:szCs w:val="22"/>
        </w:rPr>
        <w:tab/>
        <w:t xml:space="preserve">In light of </w:t>
      </w:r>
      <w:r w:rsidR="006E28EF" w:rsidRPr="00926E45">
        <w:rPr>
          <w:szCs w:val="22"/>
        </w:rPr>
        <w:t>its general recom</w:t>
      </w:r>
      <w:r w:rsidR="00A22158" w:rsidRPr="00926E45">
        <w:rPr>
          <w:szCs w:val="22"/>
        </w:rPr>
        <w:t xml:space="preserve">mendation </w:t>
      </w:r>
      <w:r w:rsidR="00A76553" w:rsidRPr="00926E45">
        <w:rPr>
          <w:szCs w:val="22"/>
        </w:rPr>
        <w:t>33</w:t>
      </w:r>
      <w:r w:rsidR="00A22158" w:rsidRPr="00926E45">
        <w:rPr>
          <w:szCs w:val="22"/>
        </w:rPr>
        <w:t xml:space="preserve"> (2009) on follow-up to the Durban Review Conference, the Committee recommends that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when implementing the Convention in its domestic legal order. </w:t>
      </w:r>
      <w:r w:rsidR="008A48C9" w:rsidRPr="00926E45">
        <w:t xml:space="preserve">The Committee takes note of </w:t>
      </w:r>
      <w:smartTag w:uri="urn:schemas-microsoft-com:office:smarttags" w:element="country-region">
        <w:r w:rsidR="008A48C9" w:rsidRPr="00926E45">
          <w:t>Israel</w:t>
        </w:r>
      </w:smartTag>
      <w:r w:rsidR="008A48C9" w:rsidRPr="00926E45">
        <w:t xml:space="preserve">’s explanation for its refusal to acknowledge and abide by the Durban Declaration of the International Conference against Racism and Related Intolerance held in </w:t>
      </w:r>
      <w:smartTag w:uri="urn:schemas-microsoft-com:office:smarttags" w:element="place">
        <w:smartTag w:uri="urn:schemas-microsoft-com:office:smarttags" w:element="City">
          <w:r w:rsidR="008A48C9" w:rsidRPr="00926E45">
            <w:t>Durban</w:t>
          </w:r>
        </w:smartTag>
        <w:r w:rsidR="008A48C9" w:rsidRPr="00926E45">
          <w:t xml:space="preserve">, </w:t>
        </w:r>
        <w:smartTag w:uri="urn:schemas-microsoft-com:office:smarttags" w:element="country-region">
          <w:r w:rsidR="008A48C9" w:rsidRPr="00926E45">
            <w:t>South Africa</w:t>
          </w:r>
        </w:smartTag>
      </w:smartTag>
      <w:r w:rsidR="008A48C9" w:rsidRPr="00926E45">
        <w:t xml:space="preserve">, in 2001. However, taking into consideration the evident importance of that document for a large segment of humanity, the Committee strongly recommends that </w:t>
      </w:r>
      <w:smartTag w:uri="urn:schemas-microsoft-com:office:smarttags" w:element="place">
        <w:smartTag w:uri="urn:schemas-microsoft-com:office:smarttags" w:element="country-region">
          <w:r w:rsidR="008A48C9" w:rsidRPr="00926E45">
            <w:t>Israel</w:t>
          </w:r>
        </w:smartTag>
      </w:smartTag>
      <w:r w:rsidR="008A48C9" w:rsidRPr="00926E45">
        <w:t xml:space="preserve"> re-examine its position and adopt adequate policies and plans to implement the Declaration.</w:t>
      </w:r>
    </w:p>
    <w:p w:rsidR="00A22158" w:rsidRPr="00926E45" w:rsidRDefault="00A22158" w:rsidP="00926E45">
      <w:pPr>
        <w:pStyle w:val="SingleTxtG"/>
      </w:pPr>
      <w:r w:rsidRPr="00926E45">
        <w:t>3</w:t>
      </w:r>
      <w:r w:rsidR="00B667B9" w:rsidRPr="00926E45">
        <w:t>2</w:t>
      </w:r>
      <w:r w:rsidRPr="00926E45">
        <w:t>.</w:t>
      </w:r>
      <w:r w:rsidRPr="00926E45">
        <w:tab/>
        <w:t>The Committee recommends that the State party consult and expand its dialogue with organizations of civil society working in the area of human rights protection, in particular in combating racial discrimination</w:t>
      </w:r>
      <w:r w:rsidR="005F1224" w:rsidRPr="00926E45">
        <w:t xml:space="preserve"> in </w:t>
      </w:r>
      <w:smartTag w:uri="urn:schemas-microsoft-com:office:smarttags" w:element="country-region">
        <w:smartTag w:uri="urn:schemas-microsoft-com:office:smarttags" w:element="place">
          <w:r w:rsidR="005F1224" w:rsidRPr="00926E45">
            <w:t>Israel</w:t>
          </w:r>
        </w:smartTag>
      </w:smartTag>
      <w:r w:rsidR="005F1224" w:rsidRPr="00926E45">
        <w:t xml:space="preserve"> proper and the territories under its effective control</w:t>
      </w:r>
      <w:r w:rsidRPr="00926E45">
        <w:t>, in connection with the preparation of the next periodic rep</w:t>
      </w:r>
      <w:r w:rsidR="00CE71D0">
        <w:t xml:space="preserve">ort. </w:t>
      </w:r>
    </w:p>
    <w:p w:rsidR="005F1224" w:rsidRPr="00926E45" w:rsidRDefault="00A22158" w:rsidP="00926E45">
      <w:pPr>
        <w:pStyle w:val="SingleTxtG"/>
      </w:pPr>
      <w:r w:rsidRPr="00926E45">
        <w:t>3</w:t>
      </w:r>
      <w:r w:rsidR="00B667B9" w:rsidRPr="00926E45">
        <w:t>3</w:t>
      </w:r>
      <w:r w:rsidRPr="00926E45">
        <w:t>.</w:t>
      </w:r>
      <w:r w:rsidRPr="00926E45">
        <w:tab/>
      </w:r>
      <w:r w:rsidR="005F1224" w:rsidRPr="00926E45">
        <w:t>The Committee encourages the State party to consider making the optional declaration provided for in article 14 of the Convention recognizing the competence of the Committee to receive and consider individual complaints</w:t>
      </w:r>
      <w:r w:rsidR="00572901" w:rsidRPr="00926E45">
        <w:t>.</w:t>
      </w:r>
      <w:r w:rsidR="005F1224" w:rsidRPr="00926E45">
        <w:t xml:space="preserve"> </w:t>
      </w:r>
    </w:p>
    <w:p w:rsidR="005F1224" w:rsidRPr="00926E45" w:rsidRDefault="00B83671" w:rsidP="00926E45">
      <w:pPr>
        <w:pStyle w:val="SingleTxtG"/>
      </w:pPr>
      <w:r w:rsidRPr="00926E45">
        <w:t>3</w:t>
      </w:r>
      <w:r w:rsidR="00B667B9" w:rsidRPr="00926E45">
        <w:t>4</w:t>
      </w:r>
      <w:r w:rsidR="005F1224" w:rsidRPr="00926E45">
        <w:t>.</w:t>
      </w:r>
      <w:r w:rsidR="005F1224" w:rsidRPr="00926E45">
        <w:tab/>
        <w:t>The Committee recommends that the State party ratify the amendments to article 8, paragraph 6, of the Convention, adopted on 15 January 1992 at the Fourteenth Meeting of States Parties to the Convention and endorsed by the General Assembly in its resolution 47/111. In this connection, the Committee cites General Assembly resolutions 61/148, 63/243 and 65/200, in which the Assembly strongly urged States parties to accelerate their domestic ratification procedures with regard to the amendment to the Convention concerning the financing of the Committee and to notify the Secretary-General expeditiously in writing of their agreement to the amendment.</w:t>
      </w:r>
    </w:p>
    <w:p w:rsidR="00A22158" w:rsidRPr="00926E45" w:rsidRDefault="00B83671" w:rsidP="00926E45">
      <w:pPr>
        <w:pStyle w:val="SingleTxtG"/>
      </w:pPr>
      <w:r w:rsidRPr="00926E45">
        <w:t>3</w:t>
      </w:r>
      <w:r w:rsidR="00B667B9" w:rsidRPr="00926E45">
        <w:t>5</w:t>
      </w:r>
      <w:r w:rsidR="005F1224" w:rsidRPr="00926E45">
        <w:t>.</w:t>
      </w:r>
      <w:r w:rsidR="005F1224" w:rsidRPr="00926E45">
        <w:tab/>
      </w:r>
      <w:r w:rsidR="00A22158" w:rsidRPr="00926E45">
        <w:t xml:space="preserve">The Committee recommends that the State party’s reports be made readily available and accessible to the public at the time of their submission, and that the observations of the Committee with respect to these reports be similarly publicized in the official and other commonly used languages, as appropriate. </w:t>
      </w:r>
    </w:p>
    <w:p w:rsidR="00A22158" w:rsidRPr="00926E45" w:rsidRDefault="00A22158" w:rsidP="00926E45">
      <w:pPr>
        <w:pStyle w:val="SingleTxtG"/>
      </w:pPr>
      <w:r w:rsidRPr="00926E45">
        <w:t>3</w:t>
      </w:r>
      <w:r w:rsidR="00B667B9" w:rsidRPr="00926E45">
        <w:t>6</w:t>
      </w:r>
      <w:r w:rsidRPr="00926E45">
        <w:t>.</w:t>
      </w:r>
      <w:r w:rsidRPr="00926E45">
        <w:tab/>
        <w:t>In accordance with article 9, paragraph 1, of the Convention and rule 65 of its amended rules of procedure, the Committee requests the State party to provide information, within one year of the adoption of the present conclu</w:t>
      </w:r>
      <w:r w:rsidR="005938C1">
        <w:t>ding observations</w:t>
      </w:r>
      <w:r w:rsidRPr="00926E45">
        <w:t>, on its follow-up to the recommend</w:t>
      </w:r>
      <w:r w:rsidR="00FC3141" w:rsidRPr="00926E45">
        <w:t xml:space="preserve">ations contained in paragraphs </w:t>
      </w:r>
      <w:r w:rsidR="006B311C" w:rsidRPr="00926E45">
        <w:t xml:space="preserve">16, 18 and 30 </w:t>
      </w:r>
      <w:r w:rsidR="00FC3141" w:rsidRPr="00926E45">
        <w:t>ab</w:t>
      </w:r>
      <w:r w:rsidRPr="00926E45">
        <w:t xml:space="preserve">ove.   </w:t>
      </w:r>
    </w:p>
    <w:p w:rsidR="00A22158" w:rsidRPr="00926E45" w:rsidRDefault="00A22158" w:rsidP="00926E45">
      <w:pPr>
        <w:pStyle w:val="SingleTxtG"/>
      </w:pPr>
      <w:r w:rsidRPr="00926E45">
        <w:t>3</w:t>
      </w:r>
      <w:r w:rsidR="00B667B9" w:rsidRPr="00926E45">
        <w:t>7</w:t>
      </w:r>
      <w:r w:rsidRPr="00926E45">
        <w:t>.</w:t>
      </w:r>
      <w:r w:rsidRPr="00926E45">
        <w:tab/>
        <w:t xml:space="preserve">The Committee also wishes to draw the attention of the State party to the particular importance of </w:t>
      </w:r>
      <w:r w:rsidR="00694EF4">
        <w:t xml:space="preserve">the </w:t>
      </w:r>
      <w:r w:rsidRPr="00926E45">
        <w:t>recommendations</w:t>
      </w:r>
      <w:r w:rsidR="00FC3141" w:rsidRPr="00926E45">
        <w:t xml:space="preserve"> </w:t>
      </w:r>
      <w:r w:rsidR="00694EF4">
        <w:t xml:space="preserve">contained in paragraphs </w:t>
      </w:r>
      <w:r w:rsidR="00A01DB0" w:rsidRPr="00926E45">
        <w:t xml:space="preserve">11, </w:t>
      </w:r>
      <w:r w:rsidR="006B311C" w:rsidRPr="00926E45">
        <w:t xml:space="preserve">12, 21, 26 and 29 </w:t>
      </w:r>
      <w:r w:rsidRPr="00926E45">
        <w:t>and request</w:t>
      </w:r>
      <w:r w:rsidR="00694EF4">
        <w:t>s</w:t>
      </w:r>
      <w:r w:rsidRPr="00926E45">
        <w:t xml:space="preserve"> the State party to provide detailed information in its next periodic report on concrete measures taken to implement these recommendations. </w:t>
      </w:r>
    </w:p>
    <w:p w:rsidR="00A22158" w:rsidRDefault="00B83671" w:rsidP="00926E45">
      <w:pPr>
        <w:pStyle w:val="SingleTxtG"/>
      </w:pPr>
      <w:r w:rsidRPr="00926E45">
        <w:t>3</w:t>
      </w:r>
      <w:r w:rsidR="00B667B9" w:rsidRPr="00926E45">
        <w:t>8</w:t>
      </w:r>
      <w:r w:rsidR="00A22158" w:rsidRPr="00926E45">
        <w:t>.</w:t>
      </w:r>
      <w:r w:rsidR="00A22158" w:rsidRPr="00926E45">
        <w:tab/>
        <w:t xml:space="preserve">The Committee recommends that the State party submit its combined </w:t>
      </w:r>
      <w:r w:rsidR="00993D76" w:rsidRPr="00926E45">
        <w:t xml:space="preserve">seventeenth to nineteenth </w:t>
      </w:r>
      <w:r w:rsidR="00A22158" w:rsidRPr="00926E45">
        <w:t>periodic reports in a single document, due on</w:t>
      </w:r>
      <w:r w:rsidR="001C05F7" w:rsidRPr="00926E45">
        <w:t xml:space="preserve"> </w:t>
      </w:r>
      <w:r w:rsidR="00B86777" w:rsidRPr="00926E45">
        <w:t>2 February 2016</w:t>
      </w:r>
      <w:r w:rsidR="00A22158" w:rsidRPr="00926E45">
        <w:t xml:space="preserve">, taking into account the guidelines for the CERD-specific document adopted by the Committee during its seventy-first session (CERD/C/2007/1), and that it address all points raised in the present concluding observations. The Committee also urges the State party to observe the page limit of 40 pages for treaty-specific reports and 60-80 pages for the common core document (see harmonized guidelines for reporting contained in document HRI/GEN.2/Rev.6, </w:t>
      </w:r>
      <w:r w:rsidR="00694EF4">
        <w:t xml:space="preserve">chap. I, </w:t>
      </w:r>
      <w:r w:rsidR="00A22158" w:rsidRPr="00926E45">
        <w:t>para. 19).</w:t>
      </w:r>
    </w:p>
    <w:p w:rsidR="00926E45" w:rsidRPr="00926E45" w:rsidRDefault="00926E45" w:rsidP="00926E45">
      <w:pPr>
        <w:pStyle w:val="SingleTxtG"/>
        <w:spacing w:before="240" w:after="0"/>
        <w:jc w:val="center"/>
        <w:rPr>
          <w:u w:val="single"/>
        </w:rPr>
      </w:pPr>
      <w:r>
        <w:rPr>
          <w:u w:val="single"/>
        </w:rPr>
        <w:tab/>
      </w:r>
      <w:r>
        <w:rPr>
          <w:u w:val="single"/>
        </w:rPr>
        <w:tab/>
      </w:r>
      <w:r>
        <w:rPr>
          <w:u w:val="single"/>
        </w:rPr>
        <w:tab/>
      </w:r>
    </w:p>
    <w:sectPr w:rsidR="00926E45" w:rsidRPr="00926E45" w:rsidSect="00A2215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CC9" w:rsidRDefault="001B4CC9"/>
  </w:endnote>
  <w:endnote w:type="continuationSeparator" w:id="0">
    <w:p w:rsidR="001B4CC9" w:rsidRDefault="001B4CC9"/>
  </w:endnote>
  <w:endnote w:type="continuationNotice" w:id="1">
    <w:p w:rsidR="001B4CC9" w:rsidRDefault="001B4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58" w:rsidRPr="00236865" w:rsidRDefault="00983758" w:rsidP="00A22158">
    <w:pPr>
      <w:pStyle w:val="Footer"/>
      <w:tabs>
        <w:tab w:val="right" w:pos="9638"/>
      </w:tabs>
    </w:pPr>
    <w:r w:rsidRPr="00236865">
      <w:rPr>
        <w:b/>
        <w:sz w:val="18"/>
      </w:rPr>
      <w:fldChar w:fldCharType="begin"/>
    </w:r>
    <w:r w:rsidRPr="00236865">
      <w:rPr>
        <w:b/>
        <w:sz w:val="18"/>
      </w:rPr>
      <w:instrText xml:space="preserve"> PAGE  \* MERGEFORMAT </w:instrText>
    </w:r>
    <w:r w:rsidRPr="00236865">
      <w:rPr>
        <w:b/>
        <w:sz w:val="18"/>
      </w:rPr>
      <w:fldChar w:fldCharType="separate"/>
    </w:r>
    <w:r w:rsidR="003D4B38">
      <w:rPr>
        <w:b/>
        <w:noProof/>
        <w:sz w:val="18"/>
      </w:rPr>
      <w:t>2</w:t>
    </w:r>
    <w:r w:rsidRPr="0023686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58" w:rsidRPr="00236865" w:rsidRDefault="00983758" w:rsidP="00A22158">
    <w:pPr>
      <w:pStyle w:val="Footer"/>
      <w:tabs>
        <w:tab w:val="right" w:pos="9638"/>
      </w:tabs>
      <w:rPr>
        <w:b/>
        <w:sz w:val="18"/>
      </w:rPr>
    </w:pPr>
    <w:r>
      <w:rPr>
        <w:sz w:val="20"/>
      </w:rPr>
      <w:tab/>
    </w:r>
    <w:r w:rsidRPr="00236865">
      <w:rPr>
        <w:b/>
        <w:sz w:val="18"/>
      </w:rPr>
      <w:fldChar w:fldCharType="begin"/>
    </w:r>
    <w:r w:rsidRPr="00236865">
      <w:rPr>
        <w:b/>
        <w:sz w:val="18"/>
      </w:rPr>
      <w:instrText xml:space="preserve"> PAGE  \* MERGEFORMAT </w:instrText>
    </w:r>
    <w:r w:rsidRPr="00236865">
      <w:rPr>
        <w:b/>
        <w:sz w:val="18"/>
      </w:rPr>
      <w:fldChar w:fldCharType="separate"/>
    </w:r>
    <w:r w:rsidR="003D4B38">
      <w:rPr>
        <w:b/>
        <w:noProof/>
        <w:sz w:val="18"/>
      </w:rPr>
      <w:t>9</w:t>
    </w:r>
    <w:r w:rsidRPr="0023686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58" w:rsidRPr="00666C40" w:rsidRDefault="00983758">
    <w:pPr>
      <w:pStyle w:val="Footer"/>
      <w:rPr>
        <w:sz w:val="20"/>
      </w:rPr>
    </w:pPr>
    <w:r w:rsidRPr="00666C40">
      <w:rPr>
        <w:noProof/>
        <w:sz w:val="20"/>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9.05pt;width:73.25pt;height:18.15pt;z-index:1">
          <v:imagedata r:id="rId1" o:title="recycle_English"/>
          <w10:anchorlock/>
        </v:shape>
      </w:pict>
    </w:r>
    <w:r w:rsidRPr="00666C40">
      <w:rPr>
        <w:sz w:val="20"/>
      </w:rPr>
      <w:t>GE.12</w:t>
    </w:r>
    <w:r w:rsidR="00666C40">
      <w:rPr>
        <w:sz w:val="20"/>
      </w:rPr>
      <w:t>-41635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CC9" w:rsidRPr="000B175B" w:rsidRDefault="001B4CC9" w:rsidP="00A22158">
      <w:pPr>
        <w:tabs>
          <w:tab w:val="right" w:pos="2155"/>
        </w:tabs>
        <w:spacing w:after="80"/>
        <w:ind w:left="680"/>
        <w:rPr>
          <w:u w:val="single"/>
        </w:rPr>
      </w:pPr>
      <w:r>
        <w:rPr>
          <w:u w:val="single"/>
        </w:rPr>
        <w:tab/>
      </w:r>
    </w:p>
  </w:footnote>
  <w:footnote w:type="continuationSeparator" w:id="0">
    <w:p w:rsidR="001B4CC9" w:rsidRPr="00FC68B7" w:rsidRDefault="001B4CC9" w:rsidP="00A22158">
      <w:pPr>
        <w:tabs>
          <w:tab w:val="left" w:pos="2155"/>
        </w:tabs>
        <w:spacing w:after="80"/>
        <w:ind w:left="680"/>
        <w:rPr>
          <w:u w:val="single"/>
        </w:rPr>
      </w:pPr>
      <w:r>
        <w:rPr>
          <w:u w:val="single"/>
        </w:rPr>
        <w:tab/>
      </w:r>
    </w:p>
  </w:footnote>
  <w:footnote w:type="continuationNotice" w:id="1">
    <w:p w:rsidR="001B4CC9" w:rsidRDefault="001B4C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58" w:rsidRPr="00236865" w:rsidRDefault="00983758">
    <w:pPr>
      <w:pStyle w:val="Header"/>
    </w:pPr>
    <w:r>
      <w:t>CERD/C/ISR/CO/14-16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58" w:rsidRPr="00236865" w:rsidRDefault="00983758" w:rsidP="00A22158">
    <w:pPr>
      <w:pStyle w:val="Header"/>
      <w:jc w:val="right"/>
    </w:pPr>
    <w:r>
      <w:t>CERD/C/ISR/CO/14-16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C40" w:rsidRDefault="00666C40" w:rsidP="003D4B38">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7691491"/>
    <w:multiLevelType w:val="hybridMultilevel"/>
    <w:tmpl w:val="B45232EA"/>
    <w:lvl w:ilvl="0" w:tplc="0409000F">
      <w:start w:val="15"/>
      <w:numFmt w:val="decimal"/>
      <w:lvlText w:val="%1."/>
      <w:lvlJc w:val="left"/>
      <w:pPr>
        <w:tabs>
          <w:tab w:val="num" w:pos="720"/>
        </w:tabs>
        <w:ind w:left="720" w:hanging="360"/>
      </w:pPr>
      <w:rPr>
        <w:rFonts w:eastAsia="Times New Roman" w:hint="default"/>
      </w:rPr>
    </w:lvl>
    <w:lvl w:ilvl="1" w:tplc="405C6370">
      <w:start w:val="1"/>
      <w:numFmt w:val="decimal"/>
      <w:pStyle w:val="ParaNo"/>
      <w:lvlText w:val="%2."/>
      <w:lvlJc w:val="left"/>
      <w:pPr>
        <w:tabs>
          <w:tab w:val="num" w:pos="1440"/>
        </w:tabs>
        <w:ind w:left="1079" w:firstLine="1"/>
      </w:pPr>
      <w:rPr>
        <w:rFonts w:hint="default"/>
        <w:b w:val="0"/>
        <w:bCs w:val="0"/>
        <w:i w:val="0"/>
        <w:iCs/>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066CF9"/>
    <w:multiLevelType w:val="hybridMultilevel"/>
    <w:tmpl w:val="8F6CA078"/>
    <w:lvl w:ilvl="0" w:tplc="2FE0350C">
      <w:start w:val="13"/>
      <w:numFmt w:val="decimal"/>
      <w:lvlText w:val="%1."/>
      <w:lvlJc w:val="left"/>
      <w:pPr>
        <w:tabs>
          <w:tab w:val="num" w:pos="1494"/>
        </w:tabs>
        <w:ind w:left="1494" w:hanging="360"/>
      </w:pPr>
      <w:rPr>
        <w:rFonts w:hint="default"/>
        <w:b w:val="0"/>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
    <w:nsid w:val="36CA10EF"/>
    <w:multiLevelType w:val="hybridMultilevel"/>
    <w:tmpl w:val="1A941D08"/>
    <w:lvl w:ilvl="0" w:tplc="FF6EBAA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nsid w:val="3C7233FB"/>
    <w:multiLevelType w:val="hybridMultilevel"/>
    <w:tmpl w:val="D5F0D1C6"/>
    <w:lvl w:ilvl="0" w:tplc="995263E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3C913F89"/>
    <w:multiLevelType w:val="hybridMultilevel"/>
    <w:tmpl w:val="2D4E9844"/>
    <w:lvl w:ilvl="0" w:tplc="440CFF92">
      <w:start w:val="11"/>
      <w:numFmt w:val="decimal"/>
      <w:lvlText w:val="%1"/>
      <w:lvlJc w:val="left"/>
      <w:pPr>
        <w:tabs>
          <w:tab w:val="num" w:pos="1494"/>
        </w:tabs>
        <w:ind w:left="1494" w:hanging="360"/>
      </w:pPr>
      <w:rPr>
        <w:rFonts w:hint="default"/>
        <w:b w:val="0"/>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6">
    <w:nsid w:val="3E9C221F"/>
    <w:multiLevelType w:val="hybridMultilevel"/>
    <w:tmpl w:val="806E9A42"/>
    <w:lvl w:ilvl="0" w:tplc="EF44B9A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1C97868"/>
    <w:multiLevelType w:val="hybridMultilevel"/>
    <w:tmpl w:val="D53E3D06"/>
    <w:lvl w:ilvl="0" w:tplc="7D1E89DA">
      <w:start w:val="10"/>
      <w:numFmt w:val="decimal"/>
      <w:lvlText w:val="%1."/>
      <w:lvlJc w:val="left"/>
      <w:pPr>
        <w:tabs>
          <w:tab w:val="num" w:pos="1689"/>
        </w:tabs>
        <w:ind w:left="1689" w:hanging="555"/>
      </w:pPr>
      <w:rPr>
        <w:rFonts w:hint="default"/>
        <w:b w:val="0"/>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0"/>
  </w:num>
  <w:num w:numId="2">
    <w:abstractNumId w:val="7"/>
  </w:num>
  <w:num w:numId="3">
    <w:abstractNumId w:val="1"/>
  </w:num>
  <w:num w:numId="4">
    <w:abstractNumId w:val="8"/>
  </w:num>
  <w:num w:numId="5">
    <w:abstractNumId w:val="5"/>
  </w:num>
  <w:num w:numId="6">
    <w:abstractNumId w:val="2"/>
  </w:num>
  <w:num w:numId="7">
    <w:abstractNumId w:val="3"/>
  </w:num>
  <w:num w:numId="8">
    <w:abstractNumId w:val="6"/>
  </w:num>
  <w:num w:numId="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33FE"/>
    <w:rsid w:val="00002285"/>
    <w:rsid w:val="00012840"/>
    <w:rsid w:val="00012BE7"/>
    <w:rsid w:val="00012F32"/>
    <w:rsid w:val="00017A47"/>
    <w:rsid w:val="0002158C"/>
    <w:rsid w:val="00021877"/>
    <w:rsid w:val="00022383"/>
    <w:rsid w:val="00027A85"/>
    <w:rsid w:val="00027F5C"/>
    <w:rsid w:val="00033FA0"/>
    <w:rsid w:val="00035C6B"/>
    <w:rsid w:val="000405B3"/>
    <w:rsid w:val="00042BBC"/>
    <w:rsid w:val="00050D7C"/>
    <w:rsid w:val="00056AF5"/>
    <w:rsid w:val="000577CD"/>
    <w:rsid w:val="00057BD1"/>
    <w:rsid w:val="000600EC"/>
    <w:rsid w:val="00067033"/>
    <w:rsid w:val="00067911"/>
    <w:rsid w:val="000718CB"/>
    <w:rsid w:val="00077A50"/>
    <w:rsid w:val="0008292D"/>
    <w:rsid w:val="00086484"/>
    <w:rsid w:val="00090DE7"/>
    <w:rsid w:val="00092F16"/>
    <w:rsid w:val="000B172B"/>
    <w:rsid w:val="000B22A3"/>
    <w:rsid w:val="000C112B"/>
    <w:rsid w:val="000C1CB9"/>
    <w:rsid w:val="000C23B8"/>
    <w:rsid w:val="000C371D"/>
    <w:rsid w:val="000C3EBA"/>
    <w:rsid w:val="000C79E3"/>
    <w:rsid w:val="000D07F5"/>
    <w:rsid w:val="000D33CE"/>
    <w:rsid w:val="000D56A4"/>
    <w:rsid w:val="000D6FD2"/>
    <w:rsid w:val="000F2982"/>
    <w:rsid w:val="00107B6C"/>
    <w:rsid w:val="001103E1"/>
    <w:rsid w:val="00111A77"/>
    <w:rsid w:val="001274FC"/>
    <w:rsid w:val="00127A21"/>
    <w:rsid w:val="0013116F"/>
    <w:rsid w:val="00136CF9"/>
    <w:rsid w:val="00137797"/>
    <w:rsid w:val="00137829"/>
    <w:rsid w:val="00147D3A"/>
    <w:rsid w:val="0015034E"/>
    <w:rsid w:val="00155EA2"/>
    <w:rsid w:val="0015625D"/>
    <w:rsid w:val="00157BA5"/>
    <w:rsid w:val="00160ED5"/>
    <w:rsid w:val="00161DB8"/>
    <w:rsid w:val="00173CAB"/>
    <w:rsid w:val="00174AC7"/>
    <w:rsid w:val="00177114"/>
    <w:rsid w:val="00184CFC"/>
    <w:rsid w:val="001857DE"/>
    <w:rsid w:val="00191D8D"/>
    <w:rsid w:val="00194D29"/>
    <w:rsid w:val="00195ADA"/>
    <w:rsid w:val="00195D3C"/>
    <w:rsid w:val="00196893"/>
    <w:rsid w:val="00197E81"/>
    <w:rsid w:val="001A157E"/>
    <w:rsid w:val="001A457A"/>
    <w:rsid w:val="001A4A8B"/>
    <w:rsid w:val="001A62CA"/>
    <w:rsid w:val="001B4CC9"/>
    <w:rsid w:val="001C05F7"/>
    <w:rsid w:val="001C2497"/>
    <w:rsid w:val="001C43B1"/>
    <w:rsid w:val="001C4BF9"/>
    <w:rsid w:val="001E26EE"/>
    <w:rsid w:val="001E3EED"/>
    <w:rsid w:val="001E4508"/>
    <w:rsid w:val="001E6264"/>
    <w:rsid w:val="001F0A7E"/>
    <w:rsid w:val="001F334A"/>
    <w:rsid w:val="001F4499"/>
    <w:rsid w:val="001F5771"/>
    <w:rsid w:val="00200D88"/>
    <w:rsid w:val="002032ED"/>
    <w:rsid w:val="0020399A"/>
    <w:rsid w:val="00207393"/>
    <w:rsid w:val="00210CE5"/>
    <w:rsid w:val="00212F47"/>
    <w:rsid w:val="002149C9"/>
    <w:rsid w:val="00215A9A"/>
    <w:rsid w:val="00217464"/>
    <w:rsid w:val="00231E5D"/>
    <w:rsid w:val="00234A2F"/>
    <w:rsid w:val="002375C7"/>
    <w:rsid w:val="00237DD8"/>
    <w:rsid w:val="00244DF9"/>
    <w:rsid w:val="00246444"/>
    <w:rsid w:val="00255C0C"/>
    <w:rsid w:val="002560B6"/>
    <w:rsid w:val="0026030E"/>
    <w:rsid w:val="00265EC2"/>
    <w:rsid w:val="00282257"/>
    <w:rsid w:val="002832C7"/>
    <w:rsid w:val="00283C85"/>
    <w:rsid w:val="00296BA4"/>
    <w:rsid w:val="002A111F"/>
    <w:rsid w:val="002B7070"/>
    <w:rsid w:val="002B7C10"/>
    <w:rsid w:val="002C10D5"/>
    <w:rsid w:val="002D1BDA"/>
    <w:rsid w:val="002D2957"/>
    <w:rsid w:val="002E4324"/>
    <w:rsid w:val="002E6C5C"/>
    <w:rsid w:val="00312978"/>
    <w:rsid w:val="00315549"/>
    <w:rsid w:val="003308A9"/>
    <w:rsid w:val="003332E2"/>
    <w:rsid w:val="003342AD"/>
    <w:rsid w:val="003349CF"/>
    <w:rsid w:val="00335C55"/>
    <w:rsid w:val="003378BA"/>
    <w:rsid w:val="00342620"/>
    <w:rsid w:val="00344FAE"/>
    <w:rsid w:val="003515B7"/>
    <w:rsid w:val="00352D28"/>
    <w:rsid w:val="00355899"/>
    <w:rsid w:val="00356740"/>
    <w:rsid w:val="00362B99"/>
    <w:rsid w:val="0037794D"/>
    <w:rsid w:val="00382424"/>
    <w:rsid w:val="00386A62"/>
    <w:rsid w:val="003934C7"/>
    <w:rsid w:val="00396482"/>
    <w:rsid w:val="003A0A82"/>
    <w:rsid w:val="003A1B25"/>
    <w:rsid w:val="003A203D"/>
    <w:rsid w:val="003B03E0"/>
    <w:rsid w:val="003B7F6F"/>
    <w:rsid w:val="003C2B30"/>
    <w:rsid w:val="003C3A3C"/>
    <w:rsid w:val="003C6AEB"/>
    <w:rsid w:val="003D4B38"/>
    <w:rsid w:val="003E0971"/>
    <w:rsid w:val="003E101C"/>
    <w:rsid w:val="003E4E67"/>
    <w:rsid w:val="003F107D"/>
    <w:rsid w:val="003F17AC"/>
    <w:rsid w:val="00412C8A"/>
    <w:rsid w:val="00435EDD"/>
    <w:rsid w:val="0044098B"/>
    <w:rsid w:val="00447840"/>
    <w:rsid w:val="00455F82"/>
    <w:rsid w:val="00465376"/>
    <w:rsid w:val="00466FCA"/>
    <w:rsid w:val="004833D2"/>
    <w:rsid w:val="00493630"/>
    <w:rsid w:val="004974EC"/>
    <w:rsid w:val="004A06FC"/>
    <w:rsid w:val="004A3823"/>
    <w:rsid w:val="004A57F8"/>
    <w:rsid w:val="004A5926"/>
    <w:rsid w:val="004B3CC3"/>
    <w:rsid w:val="004C237A"/>
    <w:rsid w:val="004D2491"/>
    <w:rsid w:val="004D7798"/>
    <w:rsid w:val="004E4339"/>
    <w:rsid w:val="004F5D8D"/>
    <w:rsid w:val="004F6AFD"/>
    <w:rsid w:val="0050531E"/>
    <w:rsid w:val="005106D0"/>
    <w:rsid w:val="005239E0"/>
    <w:rsid w:val="005265C7"/>
    <w:rsid w:val="0053294A"/>
    <w:rsid w:val="0053347D"/>
    <w:rsid w:val="005358E7"/>
    <w:rsid w:val="00536F35"/>
    <w:rsid w:val="005413E6"/>
    <w:rsid w:val="005442F1"/>
    <w:rsid w:val="00550F16"/>
    <w:rsid w:val="00551264"/>
    <w:rsid w:val="00551559"/>
    <w:rsid w:val="005527D7"/>
    <w:rsid w:val="00552D47"/>
    <w:rsid w:val="005548A4"/>
    <w:rsid w:val="00554FC0"/>
    <w:rsid w:val="00562680"/>
    <w:rsid w:val="00563355"/>
    <w:rsid w:val="005659C9"/>
    <w:rsid w:val="00572901"/>
    <w:rsid w:val="00574A79"/>
    <w:rsid w:val="00583FAF"/>
    <w:rsid w:val="00586871"/>
    <w:rsid w:val="005938C1"/>
    <w:rsid w:val="00596FCA"/>
    <w:rsid w:val="00597B22"/>
    <w:rsid w:val="005A4E29"/>
    <w:rsid w:val="005B517F"/>
    <w:rsid w:val="005B5FC3"/>
    <w:rsid w:val="005B716E"/>
    <w:rsid w:val="005C2AFD"/>
    <w:rsid w:val="005D1BC4"/>
    <w:rsid w:val="005D43FD"/>
    <w:rsid w:val="005D6B9E"/>
    <w:rsid w:val="005D6DE5"/>
    <w:rsid w:val="005D739A"/>
    <w:rsid w:val="005E200F"/>
    <w:rsid w:val="005E4F7D"/>
    <w:rsid w:val="005E6A57"/>
    <w:rsid w:val="005E7A1F"/>
    <w:rsid w:val="005F1224"/>
    <w:rsid w:val="006015D1"/>
    <w:rsid w:val="00611CCA"/>
    <w:rsid w:val="0062663C"/>
    <w:rsid w:val="00631774"/>
    <w:rsid w:val="00641294"/>
    <w:rsid w:val="00651DD7"/>
    <w:rsid w:val="00654D21"/>
    <w:rsid w:val="00662481"/>
    <w:rsid w:val="00663D58"/>
    <w:rsid w:val="00666C40"/>
    <w:rsid w:val="00671109"/>
    <w:rsid w:val="0067585E"/>
    <w:rsid w:val="00680560"/>
    <w:rsid w:val="00691843"/>
    <w:rsid w:val="006923EC"/>
    <w:rsid w:val="00694EF4"/>
    <w:rsid w:val="00696517"/>
    <w:rsid w:val="00697170"/>
    <w:rsid w:val="006A4F73"/>
    <w:rsid w:val="006B2E96"/>
    <w:rsid w:val="006B311C"/>
    <w:rsid w:val="006B350A"/>
    <w:rsid w:val="006B4199"/>
    <w:rsid w:val="006B577C"/>
    <w:rsid w:val="006C0F82"/>
    <w:rsid w:val="006D1685"/>
    <w:rsid w:val="006D5617"/>
    <w:rsid w:val="006D6A6C"/>
    <w:rsid w:val="006E28EF"/>
    <w:rsid w:val="006E38DD"/>
    <w:rsid w:val="00702FB5"/>
    <w:rsid w:val="00703FAF"/>
    <w:rsid w:val="0070702F"/>
    <w:rsid w:val="00712699"/>
    <w:rsid w:val="00712D60"/>
    <w:rsid w:val="007138FA"/>
    <w:rsid w:val="00721895"/>
    <w:rsid w:val="00723589"/>
    <w:rsid w:val="00723A1C"/>
    <w:rsid w:val="00732B20"/>
    <w:rsid w:val="00745C04"/>
    <w:rsid w:val="00751CA2"/>
    <w:rsid w:val="007523F4"/>
    <w:rsid w:val="007559F8"/>
    <w:rsid w:val="00761784"/>
    <w:rsid w:val="00765EB3"/>
    <w:rsid w:val="0076616F"/>
    <w:rsid w:val="00766F1F"/>
    <w:rsid w:val="00771815"/>
    <w:rsid w:val="00772626"/>
    <w:rsid w:val="00776CB9"/>
    <w:rsid w:val="00783857"/>
    <w:rsid w:val="00783F4D"/>
    <w:rsid w:val="00784C68"/>
    <w:rsid w:val="0079005A"/>
    <w:rsid w:val="007A1A26"/>
    <w:rsid w:val="007D3745"/>
    <w:rsid w:val="007D5F11"/>
    <w:rsid w:val="007D6889"/>
    <w:rsid w:val="007E1AE9"/>
    <w:rsid w:val="007E4842"/>
    <w:rsid w:val="007F1989"/>
    <w:rsid w:val="007F407F"/>
    <w:rsid w:val="007F4904"/>
    <w:rsid w:val="007F5B8A"/>
    <w:rsid w:val="007F7347"/>
    <w:rsid w:val="00801DE1"/>
    <w:rsid w:val="00802306"/>
    <w:rsid w:val="00802FF9"/>
    <w:rsid w:val="00803E8C"/>
    <w:rsid w:val="00804DA8"/>
    <w:rsid w:val="0081415B"/>
    <w:rsid w:val="00825280"/>
    <w:rsid w:val="00825C38"/>
    <w:rsid w:val="008441FC"/>
    <w:rsid w:val="0084602A"/>
    <w:rsid w:val="00853AAA"/>
    <w:rsid w:val="00855805"/>
    <w:rsid w:val="00857DE6"/>
    <w:rsid w:val="00861198"/>
    <w:rsid w:val="008651A9"/>
    <w:rsid w:val="0088345A"/>
    <w:rsid w:val="00887107"/>
    <w:rsid w:val="00891515"/>
    <w:rsid w:val="0089496F"/>
    <w:rsid w:val="008A105C"/>
    <w:rsid w:val="008A2AD3"/>
    <w:rsid w:val="008A48C9"/>
    <w:rsid w:val="008B3422"/>
    <w:rsid w:val="008B5B57"/>
    <w:rsid w:val="008C5805"/>
    <w:rsid w:val="008D3878"/>
    <w:rsid w:val="008D4A0F"/>
    <w:rsid w:val="008D610D"/>
    <w:rsid w:val="008D7FF5"/>
    <w:rsid w:val="008E4F38"/>
    <w:rsid w:val="008F23F4"/>
    <w:rsid w:val="008F3005"/>
    <w:rsid w:val="008F372B"/>
    <w:rsid w:val="008F6167"/>
    <w:rsid w:val="00902F53"/>
    <w:rsid w:val="00903CCE"/>
    <w:rsid w:val="0091755E"/>
    <w:rsid w:val="009212BD"/>
    <w:rsid w:val="00924D3F"/>
    <w:rsid w:val="00926E45"/>
    <w:rsid w:val="009276D5"/>
    <w:rsid w:val="00930C24"/>
    <w:rsid w:val="009322FF"/>
    <w:rsid w:val="0093416B"/>
    <w:rsid w:val="0094292A"/>
    <w:rsid w:val="00944BCD"/>
    <w:rsid w:val="00950C0A"/>
    <w:rsid w:val="0095130C"/>
    <w:rsid w:val="00977A64"/>
    <w:rsid w:val="00981140"/>
    <w:rsid w:val="00983758"/>
    <w:rsid w:val="00986474"/>
    <w:rsid w:val="00987F7A"/>
    <w:rsid w:val="00993D76"/>
    <w:rsid w:val="009A1FF5"/>
    <w:rsid w:val="009A40B7"/>
    <w:rsid w:val="009A412E"/>
    <w:rsid w:val="009B2E06"/>
    <w:rsid w:val="009B73EC"/>
    <w:rsid w:val="009B757E"/>
    <w:rsid w:val="009C4C6E"/>
    <w:rsid w:val="009C6837"/>
    <w:rsid w:val="009C6A22"/>
    <w:rsid w:val="009D6A1A"/>
    <w:rsid w:val="009E03A1"/>
    <w:rsid w:val="009E21A7"/>
    <w:rsid w:val="009F0950"/>
    <w:rsid w:val="009F2E65"/>
    <w:rsid w:val="009F30C1"/>
    <w:rsid w:val="009F6925"/>
    <w:rsid w:val="009F77A8"/>
    <w:rsid w:val="00A01DB0"/>
    <w:rsid w:val="00A0417E"/>
    <w:rsid w:val="00A12885"/>
    <w:rsid w:val="00A13374"/>
    <w:rsid w:val="00A2144A"/>
    <w:rsid w:val="00A22158"/>
    <w:rsid w:val="00A2369B"/>
    <w:rsid w:val="00A25D18"/>
    <w:rsid w:val="00A27EED"/>
    <w:rsid w:val="00A31713"/>
    <w:rsid w:val="00A4052E"/>
    <w:rsid w:val="00A41F41"/>
    <w:rsid w:val="00A7015C"/>
    <w:rsid w:val="00A70C60"/>
    <w:rsid w:val="00A71E98"/>
    <w:rsid w:val="00A76553"/>
    <w:rsid w:val="00A87DB2"/>
    <w:rsid w:val="00A9143D"/>
    <w:rsid w:val="00A91924"/>
    <w:rsid w:val="00A93535"/>
    <w:rsid w:val="00A9699D"/>
    <w:rsid w:val="00A9752A"/>
    <w:rsid w:val="00AA0556"/>
    <w:rsid w:val="00AC3114"/>
    <w:rsid w:val="00AC5457"/>
    <w:rsid w:val="00AE0292"/>
    <w:rsid w:val="00B22A0B"/>
    <w:rsid w:val="00B25F90"/>
    <w:rsid w:val="00B261A9"/>
    <w:rsid w:val="00B47EAB"/>
    <w:rsid w:val="00B52D8C"/>
    <w:rsid w:val="00B52DB3"/>
    <w:rsid w:val="00B53CC1"/>
    <w:rsid w:val="00B56911"/>
    <w:rsid w:val="00B667B9"/>
    <w:rsid w:val="00B67257"/>
    <w:rsid w:val="00B74974"/>
    <w:rsid w:val="00B7639F"/>
    <w:rsid w:val="00B77913"/>
    <w:rsid w:val="00B83671"/>
    <w:rsid w:val="00B86777"/>
    <w:rsid w:val="00B877B7"/>
    <w:rsid w:val="00B922B2"/>
    <w:rsid w:val="00B93280"/>
    <w:rsid w:val="00B97A8A"/>
    <w:rsid w:val="00BA1E11"/>
    <w:rsid w:val="00BA45C2"/>
    <w:rsid w:val="00BA5527"/>
    <w:rsid w:val="00BA728C"/>
    <w:rsid w:val="00BB2722"/>
    <w:rsid w:val="00BB336B"/>
    <w:rsid w:val="00BC4D63"/>
    <w:rsid w:val="00BD631F"/>
    <w:rsid w:val="00BE2876"/>
    <w:rsid w:val="00BE2FB6"/>
    <w:rsid w:val="00BF3BB2"/>
    <w:rsid w:val="00C24639"/>
    <w:rsid w:val="00C32A82"/>
    <w:rsid w:val="00C34366"/>
    <w:rsid w:val="00C440E9"/>
    <w:rsid w:val="00C47DFA"/>
    <w:rsid w:val="00C5525F"/>
    <w:rsid w:val="00C55580"/>
    <w:rsid w:val="00C61634"/>
    <w:rsid w:val="00C64F9B"/>
    <w:rsid w:val="00C65863"/>
    <w:rsid w:val="00C65D3F"/>
    <w:rsid w:val="00C703A4"/>
    <w:rsid w:val="00C83FDA"/>
    <w:rsid w:val="00C928B8"/>
    <w:rsid w:val="00CA2CFA"/>
    <w:rsid w:val="00CA2E04"/>
    <w:rsid w:val="00CB4DA8"/>
    <w:rsid w:val="00CB7457"/>
    <w:rsid w:val="00CC1C41"/>
    <w:rsid w:val="00CC35D2"/>
    <w:rsid w:val="00CD1BDE"/>
    <w:rsid w:val="00CD586F"/>
    <w:rsid w:val="00CE2DF8"/>
    <w:rsid w:val="00CE71D0"/>
    <w:rsid w:val="00D02287"/>
    <w:rsid w:val="00D02582"/>
    <w:rsid w:val="00D05EF3"/>
    <w:rsid w:val="00D14B0E"/>
    <w:rsid w:val="00D17807"/>
    <w:rsid w:val="00D269C0"/>
    <w:rsid w:val="00D35CA8"/>
    <w:rsid w:val="00D373AF"/>
    <w:rsid w:val="00D378F1"/>
    <w:rsid w:val="00D44AC9"/>
    <w:rsid w:val="00D60A32"/>
    <w:rsid w:val="00D81AD6"/>
    <w:rsid w:val="00D83191"/>
    <w:rsid w:val="00D848BF"/>
    <w:rsid w:val="00D865F7"/>
    <w:rsid w:val="00D93292"/>
    <w:rsid w:val="00D94989"/>
    <w:rsid w:val="00DA025C"/>
    <w:rsid w:val="00DA268C"/>
    <w:rsid w:val="00DB4D0F"/>
    <w:rsid w:val="00DB7F07"/>
    <w:rsid w:val="00DC29AF"/>
    <w:rsid w:val="00DC5240"/>
    <w:rsid w:val="00DC7BE8"/>
    <w:rsid w:val="00DD438E"/>
    <w:rsid w:val="00DE7895"/>
    <w:rsid w:val="00DF156E"/>
    <w:rsid w:val="00DF585A"/>
    <w:rsid w:val="00E011D4"/>
    <w:rsid w:val="00E11500"/>
    <w:rsid w:val="00E11A88"/>
    <w:rsid w:val="00E20230"/>
    <w:rsid w:val="00E2468A"/>
    <w:rsid w:val="00E31335"/>
    <w:rsid w:val="00E67B6F"/>
    <w:rsid w:val="00E70782"/>
    <w:rsid w:val="00E7647E"/>
    <w:rsid w:val="00E768B4"/>
    <w:rsid w:val="00E85B5B"/>
    <w:rsid w:val="00E9063A"/>
    <w:rsid w:val="00E97D4E"/>
    <w:rsid w:val="00EA3B89"/>
    <w:rsid w:val="00EA4145"/>
    <w:rsid w:val="00EB04C8"/>
    <w:rsid w:val="00EB64E1"/>
    <w:rsid w:val="00EC36B6"/>
    <w:rsid w:val="00EC7E21"/>
    <w:rsid w:val="00ED20DA"/>
    <w:rsid w:val="00ED632C"/>
    <w:rsid w:val="00EF0710"/>
    <w:rsid w:val="00F1482D"/>
    <w:rsid w:val="00F176B7"/>
    <w:rsid w:val="00F302EB"/>
    <w:rsid w:val="00F3073B"/>
    <w:rsid w:val="00F32473"/>
    <w:rsid w:val="00F34502"/>
    <w:rsid w:val="00F3689D"/>
    <w:rsid w:val="00F438CA"/>
    <w:rsid w:val="00F50A07"/>
    <w:rsid w:val="00F5685D"/>
    <w:rsid w:val="00F56D85"/>
    <w:rsid w:val="00F618B4"/>
    <w:rsid w:val="00F734AD"/>
    <w:rsid w:val="00F7396D"/>
    <w:rsid w:val="00F770B7"/>
    <w:rsid w:val="00F80210"/>
    <w:rsid w:val="00F8028B"/>
    <w:rsid w:val="00F920CC"/>
    <w:rsid w:val="00F9406E"/>
    <w:rsid w:val="00F9644E"/>
    <w:rsid w:val="00FA1665"/>
    <w:rsid w:val="00FA7A89"/>
    <w:rsid w:val="00FB01DF"/>
    <w:rsid w:val="00FB349D"/>
    <w:rsid w:val="00FB3D40"/>
    <w:rsid w:val="00FB4E3D"/>
    <w:rsid w:val="00FB4F1A"/>
    <w:rsid w:val="00FC3141"/>
    <w:rsid w:val="00FC3F82"/>
    <w:rsid w:val="00FD54DA"/>
    <w:rsid w:val="00FD7FBA"/>
    <w:rsid w:val="00FE1129"/>
    <w:rsid w:val="00FE1698"/>
    <w:rsid w:val="00FE22EC"/>
    <w:rsid w:val="00FE3FB5"/>
    <w:rsid w:val="00FF5C61"/>
    <w:rsid w:val="00FF5D32"/>
    <w:rsid w:val="00FF78A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650"/>
    <w:pPr>
      <w:suppressAutoHyphens/>
      <w:spacing w:line="240" w:lineRule="atLeast"/>
    </w:pPr>
    <w:rPr>
      <w:lang w:val="en-GB" w:eastAsia="en-US"/>
    </w:rPr>
  </w:style>
  <w:style w:type="paragraph" w:styleId="Heading1">
    <w:name w:val="heading 1"/>
    <w:aliases w:val="Table_G"/>
    <w:basedOn w:val="SingleTxtG"/>
    <w:next w:val="SingleTxtG"/>
    <w:qFormat/>
    <w:rsid w:val="00523650"/>
    <w:pPr>
      <w:spacing w:after="0" w:line="240" w:lineRule="auto"/>
      <w:ind w:right="0"/>
      <w:jc w:val="left"/>
      <w:outlineLvl w:val="0"/>
    </w:pPr>
  </w:style>
  <w:style w:type="paragraph" w:styleId="Heading2">
    <w:name w:val="heading 2"/>
    <w:basedOn w:val="Normal"/>
    <w:next w:val="Normal"/>
    <w:qFormat/>
    <w:rsid w:val="00523650"/>
    <w:pPr>
      <w:spacing w:line="240" w:lineRule="auto"/>
      <w:outlineLvl w:val="1"/>
    </w:pPr>
  </w:style>
  <w:style w:type="paragraph" w:styleId="Heading3">
    <w:name w:val="heading 3"/>
    <w:basedOn w:val="Normal"/>
    <w:next w:val="Normal"/>
    <w:qFormat/>
    <w:rsid w:val="00523650"/>
    <w:pPr>
      <w:spacing w:line="240" w:lineRule="auto"/>
      <w:outlineLvl w:val="2"/>
    </w:pPr>
  </w:style>
  <w:style w:type="paragraph" w:styleId="Heading4">
    <w:name w:val="heading 4"/>
    <w:basedOn w:val="Normal"/>
    <w:next w:val="Normal"/>
    <w:qFormat/>
    <w:rsid w:val="00523650"/>
    <w:pPr>
      <w:spacing w:line="240" w:lineRule="auto"/>
      <w:outlineLvl w:val="3"/>
    </w:pPr>
  </w:style>
  <w:style w:type="paragraph" w:styleId="Heading5">
    <w:name w:val="heading 5"/>
    <w:basedOn w:val="Normal"/>
    <w:next w:val="Normal"/>
    <w:qFormat/>
    <w:rsid w:val="00523650"/>
    <w:pPr>
      <w:spacing w:line="240" w:lineRule="auto"/>
      <w:outlineLvl w:val="4"/>
    </w:pPr>
  </w:style>
  <w:style w:type="paragraph" w:styleId="Heading6">
    <w:name w:val="heading 6"/>
    <w:basedOn w:val="Normal"/>
    <w:next w:val="Normal"/>
    <w:qFormat/>
    <w:rsid w:val="00523650"/>
    <w:pPr>
      <w:spacing w:line="240" w:lineRule="auto"/>
      <w:outlineLvl w:val="5"/>
    </w:pPr>
  </w:style>
  <w:style w:type="paragraph" w:styleId="Heading7">
    <w:name w:val="heading 7"/>
    <w:basedOn w:val="Normal"/>
    <w:next w:val="Normal"/>
    <w:qFormat/>
    <w:rsid w:val="00523650"/>
    <w:pPr>
      <w:spacing w:line="240" w:lineRule="auto"/>
      <w:outlineLvl w:val="6"/>
    </w:pPr>
  </w:style>
  <w:style w:type="paragraph" w:styleId="Heading8">
    <w:name w:val="heading 8"/>
    <w:basedOn w:val="Normal"/>
    <w:next w:val="Normal"/>
    <w:qFormat/>
    <w:rsid w:val="00523650"/>
    <w:pPr>
      <w:spacing w:line="240" w:lineRule="auto"/>
      <w:outlineLvl w:val="7"/>
    </w:pPr>
  </w:style>
  <w:style w:type="paragraph" w:styleId="Heading9">
    <w:name w:val="heading 9"/>
    <w:basedOn w:val="Normal"/>
    <w:next w:val="Normal"/>
    <w:qFormat/>
    <w:rsid w:val="00523650"/>
    <w:pPr>
      <w:spacing w:line="240" w:lineRule="auto"/>
      <w:outlineLvl w:val="8"/>
    </w:pPr>
  </w:style>
  <w:style w:type="character" w:default="1" w:styleId="DefaultParagraphFont">
    <w:name w:val="Default Paragraph Font"/>
    <w:semiHidden/>
    <w:rsid w:val="0052365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23650"/>
  </w:style>
  <w:style w:type="paragraph" w:customStyle="1" w:styleId="SingleTxtG">
    <w:name w:val="_ Single Txt_G"/>
    <w:basedOn w:val="Normal"/>
    <w:rsid w:val="00523650"/>
    <w:pPr>
      <w:spacing w:after="120"/>
      <w:ind w:left="1134" w:right="1134"/>
      <w:jc w:val="both"/>
    </w:pPr>
  </w:style>
  <w:style w:type="paragraph" w:customStyle="1" w:styleId="HMG">
    <w:name w:val="_ H __M_G"/>
    <w:basedOn w:val="Normal"/>
    <w:next w:val="Normal"/>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23650"/>
    <w:rPr>
      <w:rFonts w:ascii="Times New Roman" w:hAnsi="Times New Roman"/>
      <w:sz w:val="18"/>
      <w:vertAlign w:val="superscript"/>
    </w:rPr>
  </w:style>
  <w:style w:type="character" w:styleId="EndnoteReference">
    <w:name w:val="endnote reference"/>
    <w:aliases w:val="1_G"/>
    <w:basedOn w:val="FootnoteReference"/>
    <w:rsid w:val="00523650"/>
    <w:rPr>
      <w:rFonts w:ascii="Times New Roman" w:hAnsi="Times New Roman"/>
      <w:sz w:val="18"/>
      <w:vertAlign w:val="superscript"/>
    </w:rPr>
  </w:style>
  <w:style w:type="paragraph" w:styleId="Header">
    <w:name w:val="header"/>
    <w:aliases w:val="6_G"/>
    <w:basedOn w:val="Normal"/>
    <w:rsid w:val="00523650"/>
    <w:pPr>
      <w:pBdr>
        <w:bottom w:val="single" w:sz="4" w:space="4" w:color="auto"/>
      </w:pBdr>
      <w:spacing w:line="240" w:lineRule="auto"/>
    </w:pPr>
    <w:rPr>
      <w:b/>
      <w:sz w:val="18"/>
    </w:rPr>
  </w:style>
  <w:style w:type="table" w:styleId="TableGrid">
    <w:name w:val="Table Grid"/>
    <w:basedOn w:val="TableNormal"/>
    <w:semiHidden/>
    <w:rsid w:val="0052365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23650"/>
    <w:rPr>
      <w:color w:val="auto"/>
      <w:u w:val="none"/>
    </w:rPr>
  </w:style>
  <w:style w:type="character" w:styleId="FollowedHyperlink">
    <w:name w:val="FollowedHyperlink"/>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
    <w:basedOn w:val="Normal"/>
    <w:rsid w:val="00523650"/>
    <w:pPr>
      <w:tabs>
        <w:tab w:val="right" w:pos="1021"/>
      </w:tabs>
      <w:spacing w:line="220" w:lineRule="exact"/>
      <w:ind w:left="1134" w:right="1134" w:hanging="1134"/>
    </w:pPr>
    <w:rPr>
      <w:sz w:val="18"/>
    </w:rPr>
  </w:style>
  <w:style w:type="paragraph" w:styleId="EndnoteText">
    <w:name w:val="endnote text"/>
    <w:aliases w:val="2_G"/>
    <w:basedOn w:val="FootnoteText"/>
    <w:rsid w:val="00523650"/>
  </w:style>
  <w:style w:type="character" w:styleId="PageNumber">
    <w:name w:val="page number"/>
    <w:aliases w:val="7_G"/>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rsid w:val="00523650"/>
    <w:pPr>
      <w:numPr>
        <w:numId w:val="1"/>
      </w:numPr>
      <w:spacing w:after="120"/>
      <w:ind w:right="1134"/>
      <w:jc w:val="both"/>
    </w:pPr>
  </w:style>
  <w:style w:type="paragraph" w:styleId="Footer">
    <w:name w:val="footer"/>
    <w:aliases w:val="3_G"/>
    <w:basedOn w:val="Normal"/>
    <w:rsid w:val="00523650"/>
    <w:pPr>
      <w:spacing w:line="240" w:lineRule="auto"/>
    </w:pPr>
    <w:rPr>
      <w:sz w:val="16"/>
    </w:rPr>
  </w:style>
  <w:style w:type="paragraph" w:customStyle="1" w:styleId="Bullet2G">
    <w:name w:val="_Bullet 2_G"/>
    <w:basedOn w:val="Normal"/>
    <w:rsid w:val="00523650"/>
    <w:pPr>
      <w:numPr>
        <w:numId w:val="2"/>
      </w:numPr>
      <w:spacing w:after="120"/>
      <w:ind w:right="1134"/>
      <w:jc w:val="both"/>
    </w:pPr>
  </w:style>
  <w:style w:type="paragraph" w:customStyle="1" w:styleId="H1G">
    <w:name w:val="_ H_1_G"/>
    <w:basedOn w:val="Normal"/>
    <w:next w:val="Normal"/>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3650"/>
    <w:pPr>
      <w:keepNext/>
      <w:keepLines/>
      <w:tabs>
        <w:tab w:val="right" w:pos="851"/>
      </w:tabs>
      <w:spacing w:before="240" w:after="120" w:line="240" w:lineRule="exact"/>
      <w:ind w:left="1134" w:right="1134" w:hanging="1134"/>
    </w:pPr>
  </w:style>
  <w:style w:type="paragraph" w:customStyle="1" w:styleId="Default">
    <w:name w:val="Default"/>
    <w:rsid w:val="00FE33FE"/>
    <w:pPr>
      <w:autoSpaceDE w:val="0"/>
      <w:autoSpaceDN w:val="0"/>
      <w:adjustRightInd w:val="0"/>
    </w:pPr>
    <w:rPr>
      <w:rFonts w:eastAsia="SimSun"/>
      <w:color w:val="000000"/>
      <w:sz w:val="24"/>
      <w:szCs w:val="24"/>
      <w:lang w:val="en-US" w:eastAsia="zh-CN"/>
    </w:rPr>
  </w:style>
  <w:style w:type="paragraph" w:customStyle="1" w:styleId="ParaNo">
    <w:name w:val="ParaNo."/>
    <w:basedOn w:val="Normal"/>
    <w:rsid w:val="00236865"/>
    <w:pPr>
      <w:numPr>
        <w:ilvl w:val="1"/>
        <w:numId w:val="3"/>
      </w:numPr>
      <w:suppressAutoHyphens w:val="0"/>
      <w:spacing w:after="240" w:line="240" w:lineRule="auto"/>
    </w:pPr>
    <w:rPr>
      <w:sz w:val="24"/>
    </w:rPr>
  </w:style>
  <w:style w:type="character" w:styleId="Emphasis">
    <w:name w:val="Emphasis"/>
    <w:qFormat/>
    <w:rsid w:val="0018645F"/>
    <w:rPr>
      <w:i/>
      <w:iCs/>
    </w:rPr>
  </w:style>
  <w:style w:type="paragraph" w:styleId="BalloonText">
    <w:name w:val="Balloon Text"/>
    <w:basedOn w:val="Normal"/>
    <w:link w:val="BalloonTextChar"/>
    <w:rsid w:val="0018645F"/>
    <w:pPr>
      <w:spacing w:line="240" w:lineRule="auto"/>
    </w:pPr>
    <w:rPr>
      <w:rFonts w:ascii="Tahoma" w:hAnsi="Tahoma"/>
      <w:sz w:val="16"/>
      <w:szCs w:val="16"/>
      <w:lang w:val="x-none"/>
    </w:rPr>
  </w:style>
  <w:style w:type="character" w:customStyle="1" w:styleId="BalloonTextChar">
    <w:name w:val="Balloon Text Char"/>
    <w:link w:val="BalloonText"/>
    <w:rsid w:val="0018645F"/>
    <w:rPr>
      <w:rFonts w:ascii="Tahoma" w:hAnsi="Tahoma" w:cs="Tahoma"/>
      <w:sz w:val="16"/>
      <w:szCs w:val="16"/>
      <w:lang w:eastAsia="en-US"/>
    </w:rPr>
  </w:style>
  <w:style w:type="paragraph" w:customStyle="1" w:styleId="legclearfix2">
    <w:name w:val="legclearfix2"/>
    <w:basedOn w:val="Normal"/>
    <w:rsid w:val="000405B3"/>
    <w:pPr>
      <w:shd w:val="clear" w:color="auto" w:fill="FFFFFF"/>
      <w:suppressAutoHyphens w:val="0"/>
      <w:spacing w:after="120" w:line="360" w:lineRule="atLeast"/>
    </w:pPr>
    <w:rPr>
      <w:color w:val="000000"/>
      <w:sz w:val="19"/>
      <w:szCs w:val="19"/>
      <w:lang w:eastAsia="en-GB"/>
    </w:rPr>
  </w:style>
  <w:style w:type="character" w:customStyle="1" w:styleId="legds2">
    <w:name w:val="legds2"/>
    <w:rsid w:val="000405B3"/>
    <w:rPr>
      <w:vanish w:val="0"/>
      <w:webHidden w:val="0"/>
      <w:specVanish w:val="0"/>
    </w:rPr>
  </w:style>
  <w:style w:type="character" w:styleId="CommentReference">
    <w:name w:val="annotation reference"/>
    <w:rsid w:val="000B172B"/>
    <w:rPr>
      <w:sz w:val="16"/>
      <w:szCs w:val="16"/>
    </w:rPr>
  </w:style>
  <w:style w:type="paragraph" w:styleId="CommentText">
    <w:name w:val="annotation text"/>
    <w:basedOn w:val="Normal"/>
    <w:link w:val="CommentTextChar"/>
    <w:rsid w:val="000B172B"/>
    <w:pPr>
      <w:suppressAutoHyphens w:val="0"/>
      <w:bidi/>
      <w:spacing w:line="240" w:lineRule="auto"/>
    </w:pPr>
    <w:rPr>
      <w:lang w:val="en-US" w:eastAsia="he-IL" w:bidi="he-IL"/>
    </w:rPr>
  </w:style>
  <w:style w:type="character" w:customStyle="1" w:styleId="CommentTextChar">
    <w:name w:val="Comment Text Char"/>
    <w:link w:val="CommentText"/>
    <w:rsid w:val="000B172B"/>
    <w:rPr>
      <w:lang w:val="en-US" w:eastAsia="he-IL" w:bidi="he-IL"/>
    </w:rPr>
  </w:style>
  <w:style w:type="paragraph" w:styleId="CommentSubject">
    <w:name w:val="annotation subject"/>
    <w:basedOn w:val="CommentText"/>
    <w:next w:val="CommentText"/>
    <w:link w:val="CommentSubjectChar"/>
    <w:rsid w:val="000B172B"/>
    <w:pPr>
      <w:suppressAutoHyphens/>
      <w:bidi w:val="0"/>
      <w:spacing w:line="240" w:lineRule="atLeast"/>
    </w:pPr>
    <w:rPr>
      <w:b/>
      <w:bCs/>
      <w:lang w:val="en-GB" w:eastAsia="en-US" w:bidi="ar-SA"/>
    </w:rPr>
  </w:style>
  <w:style w:type="character" w:customStyle="1" w:styleId="CommentSubjectChar">
    <w:name w:val="Comment Subject Char"/>
    <w:link w:val="CommentSubject"/>
    <w:rsid w:val="000B172B"/>
    <w:rPr>
      <w:b/>
      <w:bCs/>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21591">
      <w:bodyDiv w:val="1"/>
      <w:marLeft w:val="0"/>
      <w:marRight w:val="0"/>
      <w:marTop w:val="0"/>
      <w:marBottom w:val="0"/>
      <w:divBdr>
        <w:top w:val="none" w:sz="0" w:space="0" w:color="auto"/>
        <w:left w:val="none" w:sz="0" w:space="0" w:color="auto"/>
        <w:bottom w:val="none" w:sz="0" w:space="0" w:color="auto"/>
        <w:right w:val="none" w:sz="0" w:space="0" w:color="auto"/>
      </w:divBdr>
      <w:divsChild>
        <w:div w:id="1969969454">
          <w:marLeft w:val="0"/>
          <w:marRight w:val="0"/>
          <w:marTop w:val="0"/>
          <w:marBottom w:val="0"/>
          <w:divBdr>
            <w:top w:val="none" w:sz="0" w:space="0" w:color="auto"/>
            <w:left w:val="none" w:sz="0" w:space="0" w:color="auto"/>
            <w:bottom w:val="none" w:sz="0" w:space="0" w:color="auto"/>
            <w:right w:val="none" w:sz="0" w:space="0" w:color="auto"/>
          </w:divBdr>
          <w:divsChild>
            <w:div w:id="1528713361">
              <w:marLeft w:val="0"/>
              <w:marRight w:val="0"/>
              <w:marTop w:val="0"/>
              <w:marBottom w:val="0"/>
              <w:divBdr>
                <w:top w:val="single" w:sz="2" w:space="0" w:color="FFFFFF"/>
                <w:left w:val="single" w:sz="6" w:space="0" w:color="FFFFFF"/>
                <w:bottom w:val="single" w:sz="6" w:space="0" w:color="FFFFFF"/>
                <w:right w:val="single" w:sz="6" w:space="0" w:color="FFFFFF"/>
              </w:divBdr>
              <w:divsChild>
                <w:div w:id="412513541">
                  <w:marLeft w:val="0"/>
                  <w:marRight w:val="0"/>
                  <w:marTop w:val="0"/>
                  <w:marBottom w:val="0"/>
                  <w:divBdr>
                    <w:top w:val="single" w:sz="6" w:space="1" w:color="D3D3D3"/>
                    <w:left w:val="none" w:sz="0" w:space="0" w:color="auto"/>
                    <w:bottom w:val="none" w:sz="0" w:space="0" w:color="auto"/>
                    <w:right w:val="none" w:sz="0" w:space="0" w:color="auto"/>
                  </w:divBdr>
                  <w:divsChild>
                    <w:div w:id="1202979203">
                      <w:marLeft w:val="0"/>
                      <w:marRight w:val="0"/>
                      <w:marTop w:val="0"/>
                      <w:marBottom w:val="0"/>
                      <w:divBdr>
                        <w:top w:val="none" w:sz="0" w:space="0" w:color="auto"/>
                        <w:left w:val="none" w:sz="0" w:space="0" w:color="auto"/>
                        <w:bottom w:val="none" w:sz="0" w:space="0" w:color="auto"/>
                        <w:right w:val="none" w:sz="0" w:space="0" w:color="auto"/>
                      </w:divBdr>
                      <w:divsChild>
                        <w:div w:id="372342711">
                          <w:marLeft w:val="0"/>
                          <w:marRight w:val="0"/>
                          <w:marTop w:val="0"/>
                          <w:marBottom w:val="0"/>
                          <w:divBdr>
                            <w:top w:val="none" w:sz="0" w:space="0" w:color="auto"/>
                            <w:left w:val="none" w:sz="0" w:space="0" w:color="auto"/>
                            <w:bottom w:val="none" w:sz="0" w:space="0" w:color="auto"/>
                            <w:right w:val="none" w:sz="0" w:space="0" w:color="auto"/>
                          </w:divBdr>
                          <w:divsChild>
                            <w:div w:id="1618685015">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4972</Words>
  <Characters>26704</Characters>
  <Application>Microsoft Office Word</Application>
  <DocSecurity>4</DocSecurity>
  <Lines>430</Lines>
  <Paragraphs>118</Paragraphs>
  <ScaleCrop>false</ScaleCrop>
  <HeadingPairs>
    <vt:vector size="2" baseType="variant">
      <vt:variant>
        <vt:lpstr>Title</vt:lpstr>
      </vt:variant>
      <vt:variant>
        <vt:i4>1</vt:i4>
      </vt:variant>
    </vt:vector>
  </HeadingPairs>
  <TitlesOfParts>
    <vt:vector size="1" baseType="lpstr">
      <vt:lpstr>CERD/C/IRL/CO/3-4/CRP</vt:lpstr>
    </vt:vector>
  </TitlesOfParts>
  <Company>CSD</Company>
  <LinksUpToDate>false</LinksUpToDate>
  <CharactersWithSpaces>31558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CERD/C/IRL/CO/3-4/CRP</dc:title>
  <dc:subject/>
  <dc:creator>OHCHR</dc:creator>
  <cp:keywords/>
  <cp:lastModifiedBy>DCM</cp:lastModifiedBy>
  <cp:revision>3</cp:revision>
  <cp:lastPrinted>2012-04-03T13:22:00Z</cp:lastPrinted>
  <dcterms:created xsi:type="dcterms:W3CDTF">2012-04-05T11:33:00Z</dcterms:created>
  <dcterms:modified xsi:type="dcterms:W3CDTF">2012-04-05T11:35:00Z</dcterms:modified>
</cp:coreProperties>
</file>