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40"/>
        <w:gridCol w:w="3825"/>
      </w:tblGrid>
      <w:tr w:rsidR="006B3E27" w:rsidRPr="00ED7442" w14:paraId="6163976B" w14:textId="77777777" w:rsidTr="00397655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187FA3B5" w14:textId="77777777"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vAlign w:val="bottom"/>
          </w:tcPr>
          <w:p w14:paraId="73B819E3" w14:textId="77777777"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FA4A2E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bottom"/>
          </w:tcPr>
          <w:p w14:paraId="78C61013" w14:textId="77777777" w:rsidR="006B3E27" w:rsidRPr="003E159A" w:rsidRDefault="005C5227" w:rsidP="002039EE">
            <w:pPr>
              <w:bidi w:val="0"/>
              <w:spacing w:after="20"/>
              <w:jc w:val="left"/>
              <w:rPr>
                <w:szCs w:val="20"/>
              </w:rPr>
            </w:pPr>
            <w:r w:rsidRPr="005C5227">
              <w:rPr>
                <w:sz w:val="40"/>
                <w:szCs w:val="20"/>
              </w:rPr>
              <w:t>C</w:t>
            </w:r>
            <w:r w:rsidRPr="002039EE">
              <w:rPr>
                <w:sz w:val="40"/>
                <w:szCs w:val="40"/>
              </w:rPr>
              <w:t>ERD</w:t>
            </w:r>
            <w:r>
              <w:rPr>
                <w:szCs w:val="20"/>
              </w:rPr>
              <w:t>/C/ISL/CO/21-23</w:t>
            </w:r>
          </w:p>
        </w:tc>
      </w:tr>
      <w:tr w:rsidR="006B3E27" w:rsidRPr="00ED7442" w14:paraId="416DB7EC" w14:textId="77777777" w:rsidTr="00397655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44B4E114" w14:textId="77777777"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DC2609" wp14:editId="07ABF007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tcBorders>
              <w:top w:val="single" w:sz="4" w:space="0" w:color="auto"/>
              <w:bottom w:val="single" w:sz="12" w:space="0" w:color="auto"/>
            </w:tcBorders>
          </w:tcPr>
          <w:p w14:paraId="6A2B83BF" w14:textId="77777777" w:rsidR="006B3E27" w:rsidRPr="008930DB" w:rsidRDefault="00780C17" w:rsidP="005E42E0">
            <w:pPr>
              <w:spacing w:before="120" w:after="40" w:line="640" w:lineRule="exact"/>
              <w:rPr>
                <w:b/>
                <w:bCs/>
                <w:sz w:val="56"/>
                <w:szCs w:val="56"/>
                <w:rtl/>
                <w:lang w:bidi="ar-DZ"/>
              </w:rPr>
            </w:pPr>
            <w:r w:rsidRPr="005E42E0">
              <w:rPr>
                <w:b/>
                <w:bCs/>
                <w:sz w:val="56"/>
                <w:szCs w:val="56"/>
                <w:rtl/>
              </w:rPr>
              <w:t>الاتفاقية</w:t>
            </w:r>
            <w:r w:rsidR="00FA4A2E">
              <w:rPr>
                <w:b/>
                <w:bCs/>
                <w:sz w:val="56"/>
                <w:szCs w:val="56"/>
                <w:rtl/>
              </w:rPr>
              <w:t xml:space="preserve"> </w:t>
            </w:r>
            <w:r w:rsidRPr="005E42E0">
              <w:rPr>
                <w:b/>
                <w:bCs/>
                <w:sz w:val="56"/>
                <w:szCs w:val="56"/>
                <w:rtl/>
              </w:rPr>
              <w:t>الدولية</w:t>
            </w:r>
            <w:r w:rsidR="00FA4A2E">
              <w:rPr>
                <w:b/>
                <w:bCs/>
                <w:sz w:val="56"/>
                <w:szCs w:val="56"/>
                <w:rtl/>
              </w:rPr>
              <w:t xml:space="preserve"> </w:t>
            </w:r>
            <w:r w:rsidRPr="005E42E0">
              <w:rPr>
                <w:b/>
                <w:bCs/>
                <w:sz w:val="56"/>
                <w:szCs w:val="56"/>
                <w:rtl/>
              </w:rPr>
              <w:t>للقضاء</w:t>
            </w:r>
            <w:r w:rsidR="00FA4A2E">
              <w:rPr>
                <w:b/>
                <w:bCs/>
                <w:sz w:val="56"/>
                <w:szCs w:val="56"/>
                <w:rtl/>
              </w:rPr>
              <w:t xml:space="preserve"> </w:t>
            </w:r>
            <w:r w:rsidRPr="005E42E0">
              <w:rPr>
                <w:b/>
                <w:bCs/>
                <w:sz w:val="56"/>
                <w:szCs w:val="56"/>
                <w:rtl/>
              </w:rPr>
              <w:t>على</w:t>
            </w:r>
            <w:r w:rsidR="00FA4A2E">
              <w:rPr>
                <w:b/>
                <w:bCs/>
                <w:sz w:val="56"/>
                <w:szCs w:val="56"/>
                <w:rtl/>
              </w:rPr>
              <w:t xml:space="preserve"> </w:t>
            </w:r>
            <w:r w:rsidRPr="005E42E0">
              <w:rPr>
                <w:b/>
                <w:bCs/>
                <w:sz w:val="56"/>
                <w:szCs w:val="56"/>
                <w:rtl/>
              </w:rPr>
              <w:t>جميع</w:t>
            </w:r>
            <w:r w:rsidR="00FA4A2E">
              <w:rPr>
                <w:b/>
                <w:bCs/>
                <w:sz w:val="56"/>
                <w:szCs w:val="56"/>
                <w:rtl/>
              </w:rPr>
              <w:t xml:space="preserve"> </w:t>
            </w:r>
            <w:r w:rsidRPr="005E42E0">
              <w:rPr>
                <w:b/>
                <w:bCs/>
                <w:sz w:val="56"/>
                <w:szCs w:val="56"/>
                <w:rtl/>
              </w:rPr>
              <w:t>أشكال</w:t>
            </w:r>
            <w:r w:rsidR="00FA4A2E">
              <w:rPr>
                <w:b/>
                <w:bCs/>
                <w:sz w:val="56"/>
                <w:szCs w:val="56"/>
                <w:rtl/>
              </w:rPr>
              <w:t xml:space="preserve"> </w:t>
            </w:r>
            <w:r w:rsidRPr="005E42E0">
              <w:rPr>
                <w:b/>
                <w:bCs/>
                <w:sz w:val="56"/>
                <w:szCs w:val="56"/>
                <w:rtl/>
              </w:rPr>
              <w:t>التمييز</w:t>
            </w:r>
            <w:r w:rsidR="00FA4A2E">
              <w:rPr>
                <w:b/>
                <w:bCs/>
                <w:sz w:val="56"/>
                <w:szCs w:val="56"/>
                <w:rtl/>
              </w:rPr>
              <w:t xml:space="preserve"> </w:t>
            </w:r>
            <w:r w:rsidRPr="005E42E0">
              <w:rPr>
                <w:b/>
                <w:bCs/>
                <w:sz w:val="56"/>
                <w:szCs w:val="56"/>
                <w:rtl/>
              </w:rPr>
              <w:t>العنصري</w:t>
            </w:r>
            <w:r w:rsidR="00FA4A2E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12" w:space="0" w:color="auto"/>
            </w:tcBorders>
          </w:tcPr>
          <w:p w14:paraId="226A1B2B" w14:textId="77777777" w:rsidR="006B3E27" w:rsidRDefault="002039EE" w:rsidP="002039EE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FA4A2E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5BA0FFDC" w14:textId="77777777" w:rsidR="002039EE" w:rsidRDefault="002039EE" w:rsidP="002039E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FA4A2E">
              <w:rPr>
                <w:szCs w:val="20"/>
              </w:rPr>
              <w:t xml:space="preserve"> </w:t>
            </w:r>
            <w:r>
              <w:rPr>
                <w:szCs w:val="20"/>
              </w:rPr>
              <w:t>September</w:t>
            </w:r>
            <w:r w:rsidR="00FA4A2E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14:paraId="4A848073" w14:textId="77777777" w:rsidR="002039EE" w:rsidRDefault="002039EE" w:rsidP="002039E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58409A56" w14:textId="77777777" w:rsidR="002039EE" w:rsidRPr="003E159A" w:rsidRDefault="002039EE" w:rsidP="002039E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FA4A2E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14:paraId="2935BB0B" w14:textId="77777777" w:rsidR="002039EE" w:rsidRPr="002039EE" w:rsidRDefault="002039EE" w:rsidP="002039EE">
      <w:pPr>
        <w:spacing w:before="120" w:line="380" w:lineRule="exact"/>
        <w:jc w:val="left"/>
        <w:rPr>
          <w:b/>
          <w:bCs/>
          <w:sz w:val="30"/>
          <w:szCs w:val="36"/>
          <w:rtl/>
          <w:lang w:val="ar-SA" w:eastAsia="zh-TW"/>
        </w:rPr>
      </w:pPr>
      <w:r w:rsidRPr="002039EE">
        <w:rPr>
          <w:b/>
          <w:bCs/>
          <w:sz w:val="26"/>
          <w:szCs w:val="36"/>
          <w:rtl/>
        </w:rPr>
        <w:t>لجنة</w:t>
      </w:r>
      <w:r w:rsidR="00FA4A2E">
        <w:rPr>
          <w:b/>
          <w:bCs/>
          <w:sz w:val="26"/>
          <w:szCs w:val="36"/>
          <w:rtl/>
        </w:rPr>
        <w:t xml:space="preserve"> </w:t>
      </w:r>
      <w:r w:rsidRPr="002039EE">
        <w:rPr>
          <w:b/>
          <w:bCs/>
          <w:sz w:val="26"/>
          <w:szCs w:val="36"/>
          <w:rtl/>
        </w:rPr>
        <w:t>القضاء</w:t>
      </w:r>
      <w:r w:rsidR="00FA4A2E">
        <w:rPr>
          <w:b/>
          <w:bCs/>
          <w:sz w:val="26"/>
          <w:szCs w:val="36"/>
          <w:rtl/>
        </w:rPr>
        <w:t xml:space="preserve"> </w:t>
      </w:r>
      <w:r w:rsidRPr="002039EE">
        <w:rPr>
          <w:b/>
          <w:bCs/>
          <w:sz w:val="26"/>
          <w:szCs w:val="36"/>
          <w:rtl/>
        </w:rPr>
        <w:t>على</w:t>
      </w:r>
      <w:r w:rsidR="00FA4A2E">
        <w:rPr>
          <w:b/>
          <w:bCs/>
          <w:sz w:val="26"/>
          <w:szCs w:val="36"/>
          <w:rtl/>
        </w:rPr>
        <w:t xml:space="preserve"> </w:t>
      </w:r>
      <w:r w:rsidRPr="002039EE">
        <w:rPr>
          <w:b/>
          <w:bCs/>
          <w:sz w:val="26"/>
          <w:szCs w:val="36"/>
          <w:rtl/>
        </w:rPr>
        <w:t>التمييز</w:t>
      </w:r>
      <w:r w:rsidR="00FA4A2E">
        <w:rPr>
          <w:b/>
          <w:bCs/>
          <w:sz w:val="26"/>
          <w:szCs w:val="36"/>
          <w:rtl/>
        </w:rPr>
        <w:t xml:space="preserve"> </w:t>
      </w:r>
      <w:r w:rsidRPr="002039EE">
        <w:rPr>
          <w:b/>
          <w:bCs/>
          <w:sz w:val="26"/>
          <w:szCs w:val="36"/>
          <w:rtl/>
        </w:rPr>
        <w:t>العنصري‏</w:t>
      </w:r>
    </w:p>
    <w:p w14:paraId="0D555477" w14:textId="77777777" w:rsidR="002039EE" w:rsidRPr="00442B86" w:rsidRDefault="002039EE" w:rsidP="002039EE">
      <w:pPr>
        <w:pStyle w:val="HChGA"/>
        <w:rPr>
          <w:rtl/>
          <w:lang w:val="ar-SA" w:eastAsia="zh-TW"/>
        </w:rPr>
      </w:pPr>
      <w:r w:rsidRPr="00442B86">
        <w:rPr>
          <w:rtl/>
        </w:rPr>
        <w:tab/>
      </w:r>
      <w:r w:rsidRPr="00442B86">
        <w:rPr>
          <w:rtl/>
        </w:rPr>
        <w:tab/>
        <w:t>الملاحظات</w:t>
      </w:r>
      <w:r w:rsidR="00FA4A2E">
        <w:rPr>
          <w:rtl/>
        </w:rPr>
        <w:t xml:space="preserve"> </w:t>
      </w:r>
      <w:r w:rsidRPr="00442B86">
        <w:rPr>
          <w:rtl/>
        </w:rPr>
        <w:t>الختامية</w:t>
      </w:r>
      <w:r w:rsidR="00FA4A2E">
        <w:rPr>
          <w:rtl/>
        </w:rPr>
        <w:t xml:space="preserve"> </w:t>
      </w:r>
      <w:r w:rsidRPr="00442B86">
        <w:rPr>
          <w:rtl/>
        </w:rPr>
        <w:t>بشأن</w:t>
      </w:r>
      <w:r w:rsidR="00FA4A2E">
        <w:rPr>
          <w:rtl/>
        </w:rPr>
        <w:t xml:space="preserve"> </w:t>
      </w:r>
      <w:r w:rsidRPr="00442B86">
        <w:rPr>
          <w:rtl/>
        </w:rPr>
        <w:t>التقرير</w:t>
      </w:r>
      <w:r w:rsidR="00FA4A2E">
        <w:rPr>
          <w:rtl/>
        </w:rPr>
        <w:t xml:space="preserve"> </w:t>
      </w:r>
      <w:r w:rsidRPr="00442B86">
        <w:rPr>
          <w:rtl/>
        </w:rPr>
        <w:t>الجامع</w:t>
      </w:r>
      <w:r w:rsidR="00FA4A2E">
        <w:rPr>
          <w:rtl/>
        </w:rPr>
        <w:t xml:space="preserve"> </w:t>
      </w:r>
      <w:r w:rsidRPr="00442B86">
        <w:rPr>
          <w:rtl/>
        </w:rPr>
        <w:t>للتقارير</w:t>
      </w:r>
      <w:r w:rsidR="00FA4A2E">
        <w:rPr>
          <w:rtl/>
        </w:rPr>
        <w:t xml:space="preserve"> </w:t>
      </w:r>
      <w:r w:rsidRPr="00442B86">
        <w:rPr>
          <w:rtl/>
        </w:rPr>
        <w:t>الدورية</w:t>
      </w:r>
      <w:r w:rsidR="00FA4A2E">
        <w:rPr>
          <w:rtl/>
        </w:rPr>
        <w:t xml:space="preserve"> </w:t>
      </w:r>
      <w:r w:rsidRPr="00442B86">
        <w:rPr>
          <w:rtl/>
        </w:rPr>
        <w:t>من</w:t>
      </w:r>
      <w:r w:rsidR="00FA4A2E">
        <w:rPr>
          <w:rtl/>
        </w:rPr>
        <w:t xml:space="preserve"> </w:t>
      </w:r>
      <w:r w:rsidRPr="00442B86">
        <w:rPr>
          <w:rtl/>
        </w:rPr>
        <w:t>الحادي</w:t>
      </w:r>
      <w:r w:rsidR="00FA4A2E">
        <w:rPr>
          <w:rtl/>
        </w:rPr>
        <w:t xml:space="preserve"> </w:t>
      </w:r>
      <w:r w:rsidRPr="00442B86">
        <w:rPr>
          <w:rtl/>
        </w:rPr>
        <w:t>والعشرين</w:t>
      </w:r>
      <w:r w:rsidR="00FA4A2E">
        <w:rPr>
          <w:rtl/>
        </w:rPr>
        <w:t xml:space="preserve"> </w:t>
      </w:r>
      <w:r w:rsidRPr="00442B86">
        <w:rPr>
          <w:rtl/>
        </w:rPr>
        <w:t>إلى</w:t>
      </w:r>
      <w:r w:rsidR="00FA4A2E">
        <w:rPr>
          <w:rtl/>
        </w:rPr>
        <w:t xml:space="preserve"> </w:t>
      </w:r>
      <w:r w:rsidRPr="00442B86">
        <w:rPr>
          <w:rtl/>
        </w:rPr>
        <w:t>الثالث</w:t>
      </w:r>
      <w:r w:rsidR="00FA4A2E">
        <w:rPr>
          <w:rtl/>
        </w:rPr>
        <w:t xml:space="preserve"> </w:t>
      </w:r>
      <w:r w:rsidRPr="00442B86">
        <w:rPr>
          <w:rtl/>
        </w:rPr>
        <w:t>والعشرين</w:t>
      </w:r>
      <w:r w:rsidR="00FA4A2E">
        <w:rPr>
          <w:rtl/>
        </w:rPr>
        <w:t xml:space="preserve"> </w:t>
      </w:r>
      <w:r w:rsidRPr="00442B86">
        <w:rPr>
          <w:rtl/>
        </w:rPr>
        <w:t>لآيسلندا</w:t>
      </w:r>
      <w:r w:rsidR="006373F6" w:rsidRPr="003C26CC">
        <w:rPr>
          <w:rStyle w:val="FootnoteReference"/>
          <w:sz w:val="22"/>
          <w:szCs w:val="30"/>
          <w:vertAlign w:val="baseline"/>
          <w:rtl/>
          <w:lang w:val="ar-SA" w:eastAsia="zh-TW"/>
        </w:rPr>
        <w:footnoteReference w:customMarkFollows="1" w:id="1"/>
        <w:t>*</w:t>
      </w:r>
    </w:p>
    <w:p w14:paraId="1D9606F0" w14:textId="77777777" w:rsidR="002039EE" w:rsidRPr="006373F6" w:rsidRDefault="002039EE" w:rsidP="006373F6">
      <w:pPr>
        <w:pStyle w:val="SingleTxtGA"/>
        <w:rPr>
          <w:spacing w:val="-4"/>
          <w:rtl/>
          <w:lang w:val="ar-SA" w:eastAsia="zh-TW"/>
        </w:rPr>
      </w:pPr>
      <w:r>
        <w:rPr>
          <w:rtl/>
        </w:rPr>
        <w:t>١-</w:t>
      </w:r>
      <w:r>
        <w:tab/>
      </w:r>
      <w:r>
        <w:rPr>
          <w:rtl/>
        </w:rPr>
        <w:t>نظرت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التقرير</w:t>
      </w:r>
      <w:r w:rsidR="00FA4A2E">
        <w:rPr>
          <w:rtl/>
        </w:rPr>
        <w:t xml:space="preserve"> </w:t>
      </w:r>
      <w:r>
        <w:rPr>
          <w:rtl/>
        </w:rPr>
        <w:t>الجامع</w:t>
      </w:r>
      <w:r w:rsidR="00FA4A2E">
        <w:rPr>
          <w:rtl/>
        </w:rPr>
        <w:t xml:space="preserve"> </w:t>
      </w:r>
      <w:r>
        <w:rPr>
          <w:rtl/>
        </w:rPr>
        <w:t>للتقارير</w:t>
      </w:r>
      <w:r w:rsidR="00FA4A2E">
        <w:rPr>
          <w:rtl/>
        </w:rPr>
        <w:t xml:space="preserve"> </w:t>
      </w:r>
      <w:r>
        <w:rPr>
          <w:rtl/>
        </w:rPr>
        <w:t>الدورية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الحادي</w:t>
      </w:r>
      <w:r w:rsidR="00FA4A2E">
        <w:rPr>
          <w:rtl/>
        </w:rPr>
        <w:t xml:space="preserve"> </w:t>
      </w:r>
      <w:r>
        <w:rPr>
          <w:rtl/>
        </w:rPr>
        <w:t>والعشرين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الثالث</w:t>
      </w:r>
      <w:r w:rsidR="00FA4A2E">
        <w:rPr>
          <w:rtl/>
        </w:rPr>
        <w:t xml:space="preserve"> </w:t>
      </w:r>
      <w:r>
        <w:rPr>
          <w:rtl/>
        </w:rPr>
        <w:t>والعشرين</w:t>
      </w:r>
      <w:r w:rsidR="00FA4A2E">
        <w:rPr>
          <w:rtl/>
        </w:rPr>
        <w:t xml:space="preserve"> </w:t>
      </w:r>
      <w:r>
        <w:rPr>
          <w:rtl/>
        </w:rPr>
        <w:t>لآيسلندا</w:t>
      </w:r>
      <w:r w:rsidR="00FA4A2E">
        <w:rPr>
          <w:rtl/>
        </w:rPr>
        <w:t xml:space="preserve"> </w:t>
      </w:r>
      <w:r>
        <w:rPr>
          <w:rtl/>
        </w:rPr>
        <w:t>(</w:t>
      </w:r>
      <w:r>
        <w:t>CERD/C/ISL/21-23</w:t>
      </w:r>
      <w:r>
        <w:rPr>
          <w:rtl/>
        </w:rPr>
        <w:t>)،</w:t>
      </w:r>
      <w:r w:rsidR="00FA4A2E">
        <w:rPr>
          <w:rtl/>
        </w:rPr>
        <w:t xml:space="preserve"> </w:t>
      </w:r>
      <w:r>
        <w:rPr>
          <w:rtl/>
        </w:rPr>
        <w:t>المقدم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وثيقة</w:t>
      </w:r>
      <w:r w:rsidR="00FA4A2E">
        <w:rPr>
          <w:rtl/>
        </w:rPr>
        <w:t xml:space="preserve"> </w:t>
      </w:r>
      <w:r>
        <w:rPr>
          <w:rtl/>
        </w:rPr>
        <w:t>واحدة،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جلستيها</w:t>
      </w:r>
      <w:r w:rsidR="00FA4A2E">
        <w:rPr>
          <w:rFonts w:hint="cs"/>
          <w:rtl/>
          <w:lang w:bidi="ar-DZ"/>
        </w:rPr>
        <w:t xml:space="preserve"> </w:t>
      </w:r>
      <w:r w:rsidR="006373F6">
        <w:rPr>
          <w:rFonts w:hint="cs"/>
          <w:rtl/>
          <w:lang w:bidi="ar-DZ"/>
        </w:rPr>
        <w:t>2751</w:t>
      </w:r>
      <w:r w:rsidR="00FA4A2E">
        <w:rPr>
          <w:rFonts w:hint="cs"/>
          <w:rtl/>
          <w:lang w:bidi="ar-DZ"/>
        </w:rPr>
        <w:t xml:space="preserve"> </w:t>
      </w:r>
      <w:r w:rsidR="006373F6" w:rsidRPr="006373F6">
        <w:rPr>
          <w:rFonts w:hint="cs"/>
          <w:spacing w:val="-4"/>
          <w:rtl/>
          <w:lang w:bidi="ar-DZ"/>
        </w:rPr>
        <w:t>و2752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(انظر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</w:rPr>
        <w:t>CERD/C/SR.2751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</w:t>
      </w:r>
      <w:r w:rsidRPr="006373F6">
        <w:rPr>
          <w:spacing w:val="-4"/>
        </w:rPr>
        <w:t>2752</w:t>
      </w:r>
      <w:r w:rsidRPr="006373F6">
        <w:rPr>
          <w:spacing w:val="-4"/>
          <w:rtl/>
        </w:rPr>
        <w:t>)،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المعقودتين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يومي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14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و15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آب/أغسطس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2019.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واعتمدت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هذه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الملاحظات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الختامية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في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جلستها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2765،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المعقودة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في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٢٣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آب/أغسطس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٢٠١٩.</w:t>
      </w:r>
    </w:p>
    <w:p w14:paraId="1F94F763" w14:textId="77777777" w:rsidR="002039EE" w:rsidRPr="00ED032D" w:rsidRDefault="006373F6" w:rsidP="006373F6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2039EE">
        <w:rPr>
          <w:rtl/>
        </w:rPr>
        <w:t>ألف-</w:t>
      </w:r>
      <w:r w:rsidR="002039EE">
        <w:tab/>
      </w:r>
      <w:r w:rsidR="002039EE">
        <w:rPr>
          <w:rtl/>
        </w:rPr>
        <w:t>مقدمة</w:t>
      </w:r>
    </w:p>
    <w:p w14:paraId="30E34E68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٢-</w:t>
      </w:r>
      <w:r>
        <w:rPr>
          <w:rtl/>
        </w:rPr>
        <w:tab/>
        <w:t>ترحّب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بتقديم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تقريرها</w:t>
      </w:r>
      <w:r w:rsidR="00FA4A2E">
        <w:rPr>
          <w:rtl/>
        </w:rPr>
        <w:t xml:space="preserve"> </w:t>
      </w:r>
      <w:r>
        <w:rPr>
          <w:rtl/>
        </w:rPr>
        <w:t>الجامع</w:t>
      </w:r>
      <w:r w:rsidR="00FA4A2E">
        <w:rPr>
          <w:rtl/>
        </w:rPr>
        <w:t xml:space="preserve"> </w:t>
      </w:r>
      <w:r>
        <w:rPr>
          <w:rtl/>
        </w:rPr>
        <w:t>لتقاريرها</w:t>
      </w:r>
      <w:r w:rsidR="00FA4A2E">
        <w:rPr>
          <w:rtl/>
        </w:rPr>
        <w:t xml:space="preserve"> </w:t>
      </w:r>
      <w:r>
        <w:rPr>
          <w:rtl/>
        </w:rPr>
        <w:t>الدورية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الحادي</w:t>
      </w:r>
      <w:r w:rsidR="00FA4A2E">
        <w:rPr>
          <w:rtl/>
        </w:rPr>
        <w:t xml:space="preserve"> </w:t>
      </w:r>
      <w:r>
        <w:rPr>
          <w:rtl/>
        </w:rPr>
        <w:t>والعشرين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الثالث</w:t>
      </w:r>
      <w:r w:rsidR="00FA4A2E">
        <w:rPr>
          <w:rtl/>
        </w:rPr>
        <w:t xml:space="preserve"> </w:t>
      </w:r>
      <w:r>
        <w:rPr>
          <w:rtl/>
        </w:rPr>
        <w:t>والعشرين،</w:t>
      </w:r>
      <w:r w:rsidR="00FA4A2E">
        <w:rPr>
          <w:rtl/>
        </w:rPr>
        <w:t xml:space="preserve"> </w:t>
      </w:r>
      <w:r>
        <w:rPr>
          <w:rtl/>
        </w:rPr>
        <w:t>وإن</w:t>
      </w:r>
      <w:r w:rsidR="00FA4A2E">
        <w:rPr>
          <w:rtl/>
        </w:rPr>
        <w:t xml:space="preserve"> </w:t>
      </w:r>
      <w:r>
        <w:rPr>
          <w:rtl/>
        </w:rPr>
        <w:t>كانت</w:t>
      </w:r>
      <w:r w:rsidR="00FA4A2E">
        <w:rPr>
          <w:rtl/>
        </w:rPr>
        <w:t xml:space="preserve"> </w:t>
      </w:r>
      <w:r>
        <w:rPr>
          <w:rtl/>
        </w:rPr>
        <w:t>تأسف</w:t>
      </w:r>
      <w:r w:rsidR="00FA4A2E">
        <w:rPr>
          <w:rtl/>
        </w:rPr>
        <w:t xml:space="preserve"> </w:t>
      </w:r>
      <w:r>
        <w:rPr>
          <w:rtl/>
        </w:rPr>
        <w:t>لتأخر</w:t>
      </w:r>
      <w:r w:rsidR="00FA4A2E">
        <w:rPr>
          <w:rtl/>
        </w:rPr>
        <w:t xml:space="preserve"> </w:t>
      </w:r>
      <w:r>
        <w:rPr>
          <w:rtl/>
        </w:rPr>
        <w:t>تقديمه.</w:t>
      </w:r>
      <w:r w:rsidR="00FA4A2E">
        <w:rPr>
          <w:rtl/>
        </w:rPr>
        <w:t xml:space="preserve"> </w:t>
      </w:r>
      <w:r>
        <w:rPr>
          <w:rtl/>
        </w:rPr>
        <w:t>وتعرب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تقديرها</w:t>
      </w:r>
      <w:r w:rsidR="00FA4A2E">
        <w:rPr>
          <w:rtl/>
        </w:rPr>
        <w:t xml:space="preserve"> </w:t>
      </w:r>
      <w:r>
        <w:rPr>
          <w:rtl/>
        </w:rPr>
        <w:t>للحوار</w:t>
      </w:r>
      <w:r w:rsidR="00FA4A2E">
        <w:rPr>
          <w:rtl/>
        </w:rPr>
        <w:t xml:space="preserve"> </w:t>
      </w:r>
      <w:r>
        <w:rPr>
          <w:rtl/>
        </w:rPr>
        <w:t>البناء</w:t>
      </w:r>
      <w:r w:rsidR="00FA4A2E">
        <w:rPr>
          <w:rtl/>
        </w:rPr>
        <w:t xml:space="preserve"> </w:t>
      </w:r>
      <w:r>
        <w:rPr>
          <w:rtl/>
        </w:rPr>
        <w:t>الذي</w:t>
      </w:r>
      <w:r w:rsidR="00FA4A2E">
        <w:rPr>
          <w:rtl/>
        </w:rPr>
        <w:t xml:space="preserve"> </w:t>
      </w:r>
      <w:r>
        <w:rPr>
          <w:rtl/>
        </w:rPr>
        <w:t>دار</w:t>
      </w:r>
      <w:r w:rsidR="00FA4A2E">
        <w:rPr>
          <w:rtl/>
        </w:rPr>
        <w:t xml:space="preserve"> </w:t>
      </w:r>
      <w:r>
        <w:rPr>
          <w:rtl/>
        </w:rPr>
        <w:t>مع</w:t>
      </w:r>
      <w:r w:rsidR="00FA4A2E">
        <w:rPr>
          <w:rtl/>
        </w:rPr>
        <w:t xml:space="preserve"> </w:t>
      </w:r>
      <w:r>
        <w:rPr>
          <w:rtl/>
        </w:rPr>
        <w:t>وفد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الطرف،</w:t>
      </w:r>
      <w:r w:rsidR="00FA4A2E">
        <w:rPr>
          <w:rtl/>
        </w:rPr>
        <w:t xml:space="preserve"> </w:t>
      </w:r>
      <w:r>
        <w:rPr>
          <w:rtl/>
        </w:rPr>
        <w:t>وتشكر</w:t>
      </w:r>
      <w:r w:rsidR="00FA4A2E">
        <w:rPr>
          <w:rtl/>
        </w:rPr>
        <w:t xml:space="preserve"> </w:t>
      </w:r>
      <w:r>
        <w:rPr>
          <w:rtl/>
        </w:rPr>
        <w:t>الوفد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ما</w:t>
      </w:r>
      <w:r w:rsidR="00FA4A2E">
        <w:rPr>
          <w:rtl/>
        </w:rPr>
        <w:t xml:space="preserve"> </w:t>
      </w:r>
      <w:r>
        <w:rPr>
          <w:rtl/>
        </w:rPr>
        <w:t>قدمه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معلومات</w:t>
      </w:r>
      <w:r w:rsidR="00FA4A2E">
        <w:rPr>
          <w:rtl/>
        </w:rPr>
        <w:t xml:space="preserve"> </w:t>
      </w:r>
      <w:r>
        <w:rPr>
          <w:rtl/>
        </w:rPr>
        <w:t>أثناء</w:t>
      </w:r>
      <w:r w:rsidR="00FA4A2E">
        <w:rPr>
          <w:rtl/>
        </w:rPr>
        <w:t xml:space="preserve"> </w:t>
      </w:r>
      <w:r>
        <w:rPr>
          <w:rtl/>
        </w:rPr>
        <w:t>نظر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التقرير.</w:t>
      </w:r>
      <w:r>
        <w:rPr>
          <w:rFonts w:ascii="Arial" w:hAnsi="Arial" w:cs="Arial" w:hint="cs"/>
          <w:rtl/>
        </w:rPr>
        <w:t>‬</w:t>
      </w:r>
      <w:r w:rsidR="00FA4A2E">
        <w:rPr>
          <w:rtl/>
        </w:rPr>
        <w:t xml:space="preserve"> 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 w:rsidR="00FA4A2E">
        <w:rPr>
          <w:rtl/>
        </w:rPr>
        <w:t xml:space="preserve"> 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</w:p>
    <w:p w14:paraId="1B43C386" w14:textId="77777777" w:rsidR="002039EE" w:rsidRPr="00ED032D" w:rsidRDefault="006373F6" w:rsidP="006373F6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2039EE">
        <w:rPr>
          <w:rtl/>
        </w:rPr>
        <w:t>باء-</w:t>
      </w:r>
      <w:r w:rsidR="002039EE">
        <w:rPr>
          <w:rtl/>
        </w:rPr>
        <w:tab/>
        <w:t>الجوانب</w:t>
      </w:r>
      <w:r w:rsidR="00FA4A2E">
        <w:rPr>
          <w:rtl/>
        </w:rPr>
        <w:t xml:space="preserve"> </w:t>
      </w:r>
      <w:r w:rsidR="002039EE">
        <w:rPr>
          <w:rtl/>
        </w:rPr>
        <w:t>الإيجابية</w:t>
      </w:r>
    </w:p>
    <w:p w14:paraId="11B0BA0F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٣-</w:t>
      </w:r>
      <w:r>
        <w:rPr>
          <w:rtl/>
        </w:rPr>
        <w:tab/>
        <w:t>ترحب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بتصديق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البروتوكول</w:t>
      </w:r>
      <w:r w:rsidR="00FA4A2E">
        <w:rPr>
          <w:rtl/>
        </w:rPr>
        <w:t xml:space="preserve"> </w:t>
      </w:r>
      <w:r>
        <w:rPr>
          <w:rtl/>
        </w:rPr>
        <w:t>الاختياري</w:t>
      </w:r>
      <w:r w:rsidR="00FA4A2E">
        <w:rPr>
          <w:rtl/>
        </w:rPr>
        <w:t xml:space="preserve"> </w:t>
      </w:r>
      <w:r>
        <w:rPr>
          <w:rtl/>
        </w:rPr>
        <w:t>لاتفاقية</w:t>
      </w:r>
      <w:r w:rsidR="00FA4A2E">
        <w:rPr>
          <w:rtl/>
        </w:rPr>
        <w:t xml:space="preserve"> </w:t>
      </w:r>
      <w:r>
        <w:rPr>
          <w:rtl/>
        </w:rPr>
        <w:t>مناهضة</w:t>
      </w:r>
      <w:r w:rsidR="00FA4A2E">
        <w:rPr>
          <w:rtl/>
        </w:rPr>
        <w:t xml:space="preserve"> </w:t>
      </w:r>
      <w:r>
        <w:rPr>
          <w:rtl/>
        </w:rPr>
        <w:t>التعذيب</w:t>
      </w:r>
      <w:r w:rsidR="00FA4A2E">
        <w:rPr>
          <w:rtl/>
        </w:rPr>
        <w:t xml:space="preserve"> </w:t>
      </w:r>
      <w:r>
        <w:rPr>
          <w:rtl/>
        </w:rPr>
        <w:t>وغيره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ضروب</w:t>
      </w:r>
      <w:r w:rsidR="00FA4A2E">
        <w:rPr>
          <w:rtl/>
        </w:rPr>
        <w:t xml:space="preserve"> </w:t>
      </w:r>
      <w:r>
        <w:rPr>
          <w:rtl/>
        </w:rPr>
        <w:t>المعاملة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العقوبة</w:t>
      </w:r>
      <w:r w:rsidR="00FA4A2E">
        <w:rPr>
          <w:rtl/>
        </w:rPr>
        <w:t xml:space="preserve"> </w:t>
      </w:r>
      <w:r>
        <w:rPr>
          <w:rtl/>
        </w:rPr>
        <w:t>القاسية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اللاإنسانية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المهينة،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20</w:t>
      </w:r>
      <w:r w:rsidR="00FA4A2E">
        <w:rPr>
          <w:rtl/>
        </w:rPr>
        <w:t xml:space="preserve"> </w:t>
      </w:r>
      <w:r>
        <w:rPr>
          <w:rtl/>
        </w:rPr>
        <w:t>شباط/فبراير</w:t>
      </w:r>
      <w:r w:rsidR="00FA4A2E">
        <w:rPr>
          <w:rtl/>
        </w:rPr>
        <w:t xml:space="preserve"> </w:t>
      </w:r>
      <w:r>
        <w:rPr>
          <w:rtl/>
        </w:rPr>
        <w:t>2019.</w:t>
      </w:r>
      <w:r>
        <w:rPr>
          <w:rFonts w:ascii="Arial" w:hAnsi="Arial" w:cs="Arial" w:hint="cs"/>
          <w:rtl/>
        </w:rPr>
        <w:t>‬</w:t>
      </w:r>
    </w:p>
    <w:p w14:paraId="43DE84C6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٤-</w:t>
      </w:r>
      <w:r>
        <w:rPr>
          <w:rtl/>
        </w:rPr>
        <w:tab/>
        <w:t>وترحب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أيضاً</w:t>
      </w:r>
      <w:r w:rsidR="00FA4A2E">
        <w:rPr>
          <w:rtl/>
        </w:rPr>
        <w:t xml:space="preserve"> </w:t>
      </w:r>
      <w:r>
        <w:rPr>
          <w:rtl/>
        </w:rPr>
        <w:t>بالتدابير</w:t>
      </w:r>
      <w:r w:rsidR="00FA4A2E">
        <w:rPr>
          <w:rtl/>
        </w:rPr>
        <w:t xml:space="preserve"> </w:t>
      </w:r>
      <w:r>
        <w:rPr>
          <w:rtl/>
        </w:rPr>
        <w:t>التشريعية</w:t>
      </w:r>
      <w:r w:rsidR="00FA4A2E">
        <w:rPr>
          <w:rtl/>
        </w:rPr>
        <w:t xml:space="preserve"> </w:t>
      </w:r>
      <w:proofErr w:type="spellStart"/>
      <w:r>
        <w:rPr>
          <w:rtl/>
        </w:rPr>
        <w:t>والسياساتية</w:t>
      </w:r>
      <w:proofErr w:type="spellEnd"/>
      <w:r w:rsidR="00FA4A2E">
        <w:rPr>
          <w:rtl/>
        </w:rPr>
        <w:t xml:space="preserve"> </w:t>
      </w:r>
      <w:r>
        <w:rPr>
          <w:rtl/>
        </w:rPr>
        <w:t>التالية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اتخذتها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الطرف:</w:t>
      </w:r>
    </w:p>
    <w:p w14:paraId="4A988A07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القانون</w:t>
      </w:r>
      <w:r w:rsidR="00FA4A2E">
        <w:rPr>
          <w:rtl/>
        </w:rPr>
        <w:t xml:space="preserve"> </w:t>
      </w:r>
      <w:r>
        <w:rPr>
          <w:rtl/>
        </w:rPr>
        <w:t>رقم</w:t>
      </w:r>
      <w:r w:rsidR="00FA4A2E">
        <w:rPr>
          <w:rtl/>
        </w:rPr>
        <w:t xml:space="preserve"> </w:t>
      </w:r>
      <w:r>
        <w:rPr>
          <w:rtl/>
        </w:rPr>
        <w:t>٨٦/٢٠١٨</w:t>
      </w:r>
      <w:r w:rsidR="00FA4A2E">
        <w:rPr>
          <w:rtl/>
        </w:rPr>
        <w:t xml:space="preserve"> </w:t>
      </w:r>
      <w:r>
        <w:rPr>
          <w:rtl/>
        </w:rPr>
        <w:t>بشأن</w:t>
      </w:r>
      <w:r w:rsidR="00FA4A2E">
        <w:rPr>
          <w:rtl/>
        </w:rPr>
        <w:t xml:space="preserve"> </w:t>
      </w:r>
      <w:r>
        <w:rPr>
          <w:rtl/>
        </w:rPr>
        <w:t>المساواة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المعاملة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سوق</w:t>
      </w:r>
      <w:r w:rsidR="00FA4A2E">
        <w:rPr>
          <w:rtl/>
        </w:rPr>
        <w:t xml:space="preserve"> </w:t>
      </w:r>
      <w:r>
        <w:rPr>
          <w:rtl/>
        </w:rPr>
        <w:t>العمل؛</w:t>
      </w:r>
    </w:p>
    <w:p w14:paraId="58F4102C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  <w:t>القانون</w:t>
      </w:r>
      <w:r w:rsidR="00FA4A2E">
        <w:rPr>
          <w:rtl/>
        </w:rPr>
        <w:t xml:space="preserve"> </w:t>
      </w:r>
      <w:r>
        <w:rPr>
          <w:rtl/>
        </w:rPr>
        <w:t>رقم</w:t>
      </w:r>
      <w:r w:rsidR="00FA4A2E">
        <w:rPr>
          <w:rtl/>
        </w:rPr>
        <w:t xml:space="preserve"> </w:t>
      </w:r>
      <w:r>
        <w:rPr>
          <w:rtl/>
        </w:rPr>
        <w:t>٨٥/٢٠١٨</w:t>
      </w:r>
      <w:r w:rsidR="00FA4A2E">
        <w:rPr>
          <w:rtl/>
        </w:rPr>
        <w:t xml:space="preserve"> </w:t>
      </w:r>
      <w:r>
        <w:rPr>
          <w:rtl/>
        </w:rPr>
        <w:t>بشأن</w:t>
      </w:r>
      <w:r w:rsidR="00FA4A2E">
        <w:rPr>
          <w:rtl/>
        </w:rPr>
        <w:t xml:space="preserve"> </w:t>
      </w:r>
      <w:r>
        <w:rPr>
          <w:rtl/>
        </w:rPr>
        <w:t>المساواة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المعاملة</w:t>
      </w:r>
      <w:r w:rsidR="00FA4A2E">
        <w:rPr>
          <w:rtl/>
        </w:rPr>
        <w:t xml:space="preserve"> </w:t>
      </w:r>
      <w:r>
        <w:rPr>
          <w:rtl/>
        </w:rPr>
        <w:t>بصرف</w:t>
      </w:r>
      <w:r w:rsidR="00FA4A2E">
        <w:rPr>
          <w:rtl/>
        </w:rPr>
        <w:t xml:space="preserve"> </w:t>
      </w:r>
      <w:r>
        <w:rPr>
          <w:rtl/>
        </w:rPr>
        <w:t>النظر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العرق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Fonts w:hint="eastAsia"/>
          <w:rtl/>
        </w:rPr>
        <w:t> </w:t>
      </w:r>
      <w:r>
        <w:rPr>
          <w:rtl/>
        </w:rPr>
        <w:t>الأصل</w:t>
      </w:r>
      <w:r w:rsidR="00FA4A2E">
        <w:rPr>
          <w:rtl/>
        </w:rPr>
        <w:t xml:space="preserve"> </w:t>
      </w:r>
      <w:r>
        <w:rPr>
          <w:rtl/>
        </w:rPr>
        <w:t>الإثني؛</w:t>
      </w:r>
    </w:p>
    <w:p w14:paraId="261D5BD3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lastRenderedPageBreak/>
        <w:tab/>
        <w:t>(ج)</w:t>
      </w:r>
      <w:r>
        <w:rPr>
          <w:rtl/>
        </w:rPr>
        <w:tab/>
        <w:t>القانون</w:t>
      </w:r>
      <w:r w:rsidR="00FA4A2E">
        <w:rPr>
          <w:rtl/>
        </w:rPr>
        <w:t xml:space="preserve"> </w:t>
      </w:r>
      <w:r>
        <w:rPr>
          <w:rtl/>
        </w:rPr>
        <w:t>رقم</w:t>
      </w:r>
      <w:r w:rsidR="00FA4A2E">
        <w:rPr>
          <w:rtl/>
        </w:rPr>
        <w:t xml:space="preserve"> </w:t>
      </w:r>
      <w:r>
        <w:rPr>
          <w:rtl/>
        </w:rPr>
        <w:t>80/2016</w:t>
      </w:r>
      <w:r w:rsidR="00FA4A2E">
        <w:rPr>
          <w:rtl/>
        </w:rPr>
        <w:t xml:space="preserve"> </w:t>
      </w:r>
      <w:r>
        <w:rPr>
          <w:rtl/>
        </w:rPr>
        <w:t>المتعلق</w:t>
      </w:r>
      <w:r w:rsidR="00FA4A2E">
        <w:rPr>
          <w:rtl/>
        </w:rPr>
        <w:t xml:space="preserve"> </w:t>
      </w:r>
      <w:r>
        <w:rPr>
          <w:rtl/>
        </w:rPr>
        <w:t>بالأجانب،</w:t>
      </w:r>
      <w:r w:rsidR="00FA4A2E">
        <w:rPr>
          <w:rtl/>
        </w:rPr>
        <w:t xml:space="preserve"> </w:t>
      </w:r>
      <w:r>
        <w:rPr>
          <w:rtl/>
        </w:rPr>
        <w:t>الذي</w:t>
      </w:r>
      <w:r w:rsidR="00FA4A2E">
        <w:rPr>
          <w:rtl/>
        </w:rPr>
        <w:t xml:space="preserve"> </w:t>
      </w:r>
      <w:r>
        <w:rPr>
          <w:rtl/>
        </w:rPr>
        <w:t>دخل</w:t>
      </w:r>
      <w:r w:rsidR="00FA4A2E">
        <w:rPr>
          <w:rtl/>
        </w:rPr>
        <w:t xml:space="preserve"> </w:t>
      </w:r>
      <w:r>
        <w:rPr>
          <w:rtl/>
        </w:rPr>
        <w:t>حيز</w:t>
      </w:r>
      <w:r w:rsidR="00FA4A2E">
        <w:rPr>
          <w:rtl/>
        </w:rPr>
        <w:t xml:space="preserve"> </w:t>
      </w:r>
      <w:r>
        <w:rPr>
          <w:rtl/>
        </w:rPr>
        <w:t>النفاذ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عام</w:t>
      </w:r>
      <w:r w:rsidR="00FA4A2E">
        <w:rPr>
          <w:rFonts w:hint="eastAsia"/>
          <w:rtl/>
        </w:rPr>
        <w:t> </w:t>
      </w:r>
      <w:r>
        <w:rPr>
          <w:rtl/>
        </w:rPr>
        <w:t>٢٠١٧؛</w:t>
      </w:r>
    </w:p>
    <w:p w14:paraId="4F588073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ab/>
        <w:t>(د)</w:t>
      </w:r>
      <w:r>
        <w:rPr>
          <w:rtl/>
        </w:rPr>
        <w:tab/>
        <w:t>المادة</w:t>
      </w:r>
      <w:r w:rsidR="00FA4A2E">
        <w:rPr>
          <w:rtl/>
        </w:rPr>
        <w:t xml:space="preserve"> </w:t>
      </w:r>
      <w:r>
        <w:rPr>
          <w:rtl/>
        </w:rPr>
        <w:t>27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القانون</w:t>
      </w:r>
      <w:r w:rsidR="00FA4A2E">
        <w:rPr>
          <w:rtl/>
        </w:rPr>
        <w:t xml:space="preserve"> </w:t>
      </w:r>
      <w:r>
        <w:rPr>
          <w:rtl/>
        </w:rPr>
        <w:t>رقم</w:t>
      </w:r>
      <w:r w:rsidR="00FA4A2E">
        <w:rPr>
          <w:rtl/>
        </w:rPr>
        <w:t xml:space="preserve"> </w:t>
      </w:r>
      <w:r>
        <w:rPr>
          <w:rtl/>
        </w:rPr>
        <w:t>38/2011</w:t>
      </w:r>
      <w:r w:rsidR="00FA4A2E">
        <w:rPr>
          <w:rtl/>
        </w:rPr>
        <w:t xml:space="preserve"> </w:t>
      </w:r>
      <w:r>
        <w:rPr>
          <w:rtl/>
        </w:rPr>
        <w:t>المتعلق</w:t>
      </w:r>
      <w:r w:rsidR="00FA4A2E">
        <w:rPr>
          <w:rtl/>
        </w:rPr>
        <w:t xml:space="preserve"> </w:t>
      </w:r>
      <w:r>
        <w:rPr>
          <w:rtl/>
        </w:rPr>
        <w:t>بوسائل</w:t>
      </w:r>
      <w:r w:rsidR="00FA4A2E">
        <w:rPr>
          <w:rtl/>
        </w:rPr>
        <w:t xml:space="preserve"> </w:t>
      </w:r>
      <w:r>
        <w:rPr>
          <w:rtl/>
        </w:rPr>
        <w:t>الإعلام،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تحظر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مقدمي</w:t>
      </w:r>
      <w:r w:rsidR="00FA4A2E">
        <w:rPr>
          <w:rtl/>
        </w:rPr>
        <w:t xml:space="preserve"> </w:t>
      </w:r>
      <w:r>
        <w:rPr>
          <w:rtl/>
        </w:rPr>
        <w:t>الخدمات</w:t>
      </w:r>
      <w:r w:rsidR="00FA4A2E">
        <w:rPr>
          <w:rtl/>
        </w:rPr>
        <w:t xml:space="preserve"> </w:t>
      </w:r>
      <w:r>
        <w:rPr>
          <w:rtl/>
        </w:rPr>
        <w:t>الإعلامية</w:t>
      </w:r>
      <w:r w:rsidR="00FA4A2E">
        <w:rPr>
          <w:rtl/>
        </w:rPr>
        <w:t xml:space="preserve"> </w:t>
      </w:r>
      <w:r>
        <w:rPr>
          <w:rtl/>
        </w:rPr>
        <w:t>التحريض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وسائل</w:t>
      </w:r>
      <w:r w:rsidR="00FA4A2E">
        <w:rPr>
          <w:rtl/>
        </w:rPr>
        <w:t xml:space="preserve"> </w:t>
      </w:r>
      <w:r>
        <w:rPr>
          <w:rtl/>
        </w:rPr>
        <w:t>الإعلام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أساس</w:t>
      </w:r>
      <w:r w:rsidR="00FA4A2E">
        <w:rPr>
          <w:rtl/>
        </w:rPr>
        <w:t xml:space="preserve"> </w:t>
      </w:r>
      <w:r>
        <w:rPr>
          <w:rtl/>
        </w:rPr>
        <w:t>العرق،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النوع</w:t>
      </w:r>
      <w:r w:rsidR="00FA4A2E">
        <w:rPr>
          <w:rtl/>
        </w:rPr>
        <w:t xml:space="preserve"> </w:t>
      </w:r>
      <w:proofErr w:type="spellStart"/>
      <w:r>
        <w:rPr>
          <w:rtl/>
        </w:rPr>
        <w:t>الجنساني</w:t>
      </w:r>
      <w:proofErr w:type="spellEnd"/>
      <w:r>
        <w:rPr>
          <w:rtl/>
        </w:rPr>
        <w:t>،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الميل</w:t>
      </w:r>
      <w:r w:rsidR="00FA4A2E">
        <w:rPr>
          <w:rtl/>
        </w:rPr>
        <w:t xml:space="preserve"> </w:t>
      </w:r>
      <w:r>
        <w:rPr>
          <w:rtl/>
        </w:rPr>
        <w:t>الجنسي،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المعتقد</w:t>
      </w:r>
      <w:r w:rsidR="00FA4A2E">
        <w:rPr>
          <w:rtl/>
        </w:rPr>
        <w:t xml:space="preserve"> </w:t>
      </w:r>
      <w:r>
        <w:rPr>
          <w:rtl/>
        </w:rPr>
        <w:t>الديني،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الجنسية،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الرأي،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الوضع</w:t>
      </w:r>
      <w:r w:rsidR="00FA4A2E">
        <w:rPr>
          <w:rtl/>
        </w:rPr>
        <w:t xml:space="preserve"> </w:t>
      </w:r>
      <w:r>
        <w:rPr>
          <w:rtl/>
        </w:rPr>
        <w:t>الثقافي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الاقتصادي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الاجتماعي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أي</w:t>
      </w:r>
      <w:r w:rsidR="00FA4A2E">
        <w:rPr>
          <w:rtl/>
        </w:rPr>
        <w:t xml:space="preserve"> </w:t>
      </w:r>
      <w:r>
        <w:rPr>
          <w:rtl/>
        </w:rPr>
        <w:t>وضع</w:t>
      </w:r>
      <w:r w:rsidR="00FA4A2E">
        <w:rPr>
          <w:rtl/>
        </w:rPr>
        <w:t xml:space="preserve"> </w:t>
      </w:r>
      <w:r>
        <w:rPr>
          <w:rtl/>
        </w:rPr>
        <w:t>آخر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المجتمع؛</w:t>
      </w:r>
    </w:p>
    <w:p w14:paraId="11448A9B" w14:textId="77777777" w:rsidR="002039EE" w:rsidRPr="006373F6" w:rsidRDefault="002039EE" w:rsidP="006373F6">
      <w:pPr>
        <w:pStyle w:val="SingleTxtGA"/>
        <w:rPr>
          <w:spacing w:val="-4"/>
          <w:rtl/>
          <w:lang w:val="ar-SA" w:eastAsia="zh-TW"/>
        </w:rPr>
      </w:pPr>
      <w:r w:rsidRPr="006373F6">
        <w:rPr>
          <w:spacing w:val="-4"/>
          <w:rtl/>
        </w:rPr>
        <w:tab/>
        <w:t>(هـ)</w:t>
      </w:r>
      <w:r w:rsidRPr="006373F6">
        <w:rPr>
          <w:spacing w:val="-4"/>
          <w:rtl/>
        </w:rPr>
        <w:tab/>
        <w:t>خطة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العمل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المحدَّثة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لمكافحة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الاتجار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بالبشر،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التي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نُشرت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في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29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آذار/</w:t>
      </w:r>
      <w:r w:rsidR="00FA4A2E">
        <w:rPr>
          <w:rFonts w:hint="cs"/>
          <w:spacing w:val="-4"/>
          <w:rtl/>
        </w:rPr>
        <w:t xml:space="preserve">       </w:t>
      </w:r>
      <w:r w:rsidRPr="006373F6">
        <w:rPr>
          <w:spacing w:val="-4"/>
          <w:rtl/>
        </w:rPr>
        <w:t>مارس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2019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تحت</w:t>
      </w:r>
      <w:r w:rsidR="00FA4A2E">
        <w:rPr>
          <w:spacing w:val="-4"/>
          <w:rtl/>
        </w:rPr>
        <w:t xml:space="preserve"> </w:t>
      </w:r>
      <w:proofErr w:type="gramStart"/>
      <w:r w:rsidRPr="006373F6">
        <w:rPr>
          <w:spacing w:val="-4"/>
          <w:rtl/>
        </w:rPr>
        <w:t>عنوان</w:t>
      </w:r>
      <w:r w:rsidR="00FA4A2E">
        <w:rPr>
          <w:rFonts w:hint="cs"/>
          <w:spacing w:val="-4"/>
          <w:rtl/>
        </w:rPr>
        <w:t xml:space="preserve"> </w:t>
      </w:r>
      <w:r w:rsidRPr="006373F6">
        <w:rPr>
          <w:spacing w:val="-4"/>
          <w:rtl/>
        </w:rPr>
        <w:t>”تركيز</w:t>
      </w:r>
      <w:proofErr w:type="gramEnd"/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الحكومة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على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إجراءات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مكافحة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الاتجار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بالبشر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وغير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ذلك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من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أنواع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الاستغلال“؛</w:t>
      </w:r>
    </w:p>
    <w:p w14:paraId="0D861316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ab/>
        <w:t>(و)</w:t>
      </w:r>
      <w:r>
        <w:rPr>
          <w:rtl/>
        </w:rPr>
        <w:tab/>
        <w:t>خطة</w:t>
      </w:r>
      <w:r w:rsidR="00FA4A2E">
        <w:rPr>
          <w:rtl/>
        </w:rPr>
        <w:t xml:space="preserve"> </w:t>
      </w:r>
      <w:r>
        <w:rPr>
          <w:rtl/>
        </w:rPr>
        <w:t>العمل</w:t>
      </w:r>
      <w:r w:rsidR="00FA4A2E">
        <w:rPr>
          <w:rtl/>
        </w:rPr>
        <w:t xml:space="preserve"> </w:t>
      </w:r>
      <w:r>
        <w:rPr>
          <w:rtl/>
        </w:rPr>
        <w:t>المتعلقة</w:t>
      </w:r>
      <w:r w:rsidR="00FA4A2E">
        <w:rPr>
          <w:rtl/>
        </w:rPr>
        <w:t xml:space="preserve"> </w:t>
      </w:r>
      <w:r>
        <w:rPr>
          <w:rtl/>
        </w:rPr>
        <w:t>بقضايا</w:t>
      </w:r>
      <w:r w:rsidR="00FA4A2E">
        <w:rPr>
          <w:rtl/>
        </w:rPr>
        <w:t xml:space="preserve"> </w:t>
      </w:r>
      <w:r>
        <w:rPr>
          <w:rtl/>
        </w:rPr>
        <w:t>المهاجرين</w:t>
      </w:r>
      <w:r w:rsidR="00FA4A2E">
        <w:rPr>
          <w:rtl/>
        </w:rPr>
        <w:t xml:space="preserve"> </w:t>
      </w:r>
      <w:r>
        <w:rPr>
          <w:rtl/>
        </w:rPr>
        <w:t>للفترة</w:t>
      </w:r>
      <w:r w:rsidR="00FA4A2E">
        <w:rPr>
          <w:rtl/>
        </w:rPr>
        <w:t xml:space="preserve"> </w:t>
      </w:r>
      <w:r>
        <w:rPr>
          <w:rtl/>
        </w:rPr>
        <w:t>٢٠١٦-٢٠١٩؛</w:t>
      </w:r>
    </w:p>
    <w:p w14:paraId="6B96DE00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ab/>
        <w:t>(ز)</w:t>
      </w:r>
      <w:r>
        <w:rPr>
          <w:rtl/>
        </w:rPr>
        <w:tab/>
        <w:t>خطة</w:t>
      </w:r>
      <w:r w:rsidR="00FA4A2E">
        <w:rPr>
          <w:rtl/>
        </w:rPr>
        <w:t xml:space="preserve"> </w:t>
      </w:r>
      <w:r>
        <w:rPr>
          <w:rtl/>
        </w:rPr>
        <w:t>العمل</w:t>
      </w:r>
      <w:r w:rsidR="00FA4A2E">
        <w:rPr>
          <w:rtl/>
        </w:rPr>
        <w:t xml:space="preserve"> </w:t>
      </w:r>
      <w:r>
        <w:rPr>
          <w:rtl/>
        </w:rPr>
        <w:t>الوطنية</w:t>
      </w:r>
      <w:r w:rsidR="00FA4A2E">
        <w:rPr>
          <w:rtl/>
        </w:rPr>
        <w:t xml:space="preserve"> </w:t>
      </w:r>
      <w:r>
        <w:rPr>
          <w:rtl/>
        </w:rPr>
        <w:t>لعام</w:t>
      </w:r>
      <w:r w:rsidR="00FA4A2E">
        <w:rPr>
          <w:rtl/>
        </w:rPr>
        <w:t xml:space="preserve"> </w:t>
      </w:r>
      <w:r>
        <w:rPr>
          <w:rtl/>
        </w:rPr>
        <w:t>2016</w:t>
      </w:r>
      <w:r w:rsidR="00FA4A2E">
        <w:rPr>
          <w:rtl/>
        </w:rPr>
        <w:t xml:space="preserve"> </w:t>
      </w:r>
      <w:r>
        <w:rPr>
          <w:rtl/>
        </w:rPr>
        <w:t>المتعلقة</w:t>
      </w:r>
      <w:r w:rsidR="00FA4A2E">
        <w:rPr>
          <w:rtl/>
        </w:rPr>
        <w:t xml:space="preserve"> </w:t>
      </w:r>
      <w:r>
        <w:rPr>
          <w:rtl/>
        </w:rPr>
        <w:t>بإدماج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المواطنين.</w:t>
      </w:r>
    </w:p>
    <w:p w14:paraId="15CF89E2" w14:textId="77777777" w:rsidR="002039EE" w:rsidRPr="00442B86" w:rsidRDefault="006373F6" w:rsidP="006373F6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2039EE" w:rsidRPr="00442B86">
        <w:rPr>
          <w:rtl/>
        </w:rPr>
        <w:t>جيم-</w:t>
      </w:r>
      <w:r w:rsidR="002039EE" w:rsidRPr="00442B86">
        <w:rPr>
          <w:rtl/>
        </w:rPr>
        <w:tab/>
        <w:t>الشواغل</w:t>
      </w:r>
      <w:r w:rsidR="00FA4A2E">
        <w:rPr>
          <w:rtl/>
        </w:rPr>
        <w:t xml:space="preserve"> </w:t>
      </w:r>
      <w:r w:rsidR="002039EE" w:rsidRPr="00442B86">
        <w:rPr>
          <w:rtl/>
        </w:rPr>
        <w:t>والتوصيات</w:t>
      </w:r>
      <w:r w:rsidR="00FA4A2E">
        <w:rPr>
          <w:rtl/>
        </w:rPr>
        <w:t xml:space="preserve"> </w:t>
      </w:r>
    </w:p>
    <w:p w14:paraId="55E95B86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الأسباب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يُحظر</w:t>
      </w:r>
      <w:r w:rsidR="00FA4A2E">
        <w:rPr>
          <w:rtl/>
        </w:rPr>
        <w:t xml:space="preserve"> </w:t>
      </w:r>
      <w:r>
        <w:rPr>
          <w:rtl/>
        </w:rPr>
        <w:t>التمييز</w:t>
      </w:r>
      <w:r w:rsidR="00FA4A2E">
        <w:rPr>
          <w:rtl/>
        </w:rPr>
        <w:t xml:space="preserve"> </w:t>
      </w:r>
      <w:r>
        <w:rPr>
          <w:rtl/>
        </w:rPr>
        <w:t>العنصري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أساسها</w:t>
      </w:r>
      <w:r w:rsidR="00FA4A2E">
        <w:rPr>
          <w:rtl/>
        </w:rPr>
        <w:t xml:space="preserve"> </w:t>
      </w:r>
    </w:p>
    <w:p w14:paraId="7468F4E6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٥</w:t>
      </w:r>
      <w:r w:rsidRPr="006373F6">
        <w:rPr>
          <w:spacing w:val="-4"/>
          <w:rtl/>
        </w:rPr>
        <w:t>-</w:t>
      </w:r>
      <w:r w:rsidRPr="006373F6">
        <w:rPr>
          <w:spacing w:val="-4"/>
          <w:rtl/>
        </w:rPr>
        <w:tab/>
        <w:t>تلاحظ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اللجنة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أن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الغرض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المتوخى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من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المادة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٦٥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من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دستور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الدولة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الطرف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والمادتين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١٨٠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و٢٣٣</w:t>
      </w:r>
      <w:r w:rsidR="00FA4A2E">
        <w:rPr>
          <w:rtl/>
        </w:rPr>
        <w:t xml:space="preserve"> </w:t>
      </w:r>
      <w:r>
        <w:rPr>
          <w:rtl/>
        </w:rPr>
        <w:t>(أ)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قانون</w:t>
      </w:r>
      <w:r w:rsidR="00FA4A2E">
        <w:rPr>
          <w:rtl/>
        </w:rPr>
        <w:t xml:space="preserve"> </w:t>
      </w:r>
      <w:r>
        <w:rPr>
          <w:rtl/>
        </w:rPr>
        <w:t>العقوبات</w:t>
      </w:r>
      <w:r w:rsidR="00FA4A2E">
        <w:rPr>
          <w:rtl/>
        </w:rPr>
        <w:t xml:space="preserve"> </w:t>
      </w:r>
      <w:r>
        <w:rPr>
          <w:rtl/>
        </w:rPr>
        <w:t>العام</w:t>
      </w:r>
      <w:r w:rsidR="00FA4A2E">
        <w:rPr>
          <w:rtl/>
        </w:rPr>
        <w:t xml:space="preserve"> </w:t>
      </w:r>
      <w:r>
        <w:rPr>
          <w:rtl/>
        </w:rPr>
        <w:t>هو</w:t>
      </w:r>
      <w:r w:rsidR="00FA4A2E">
        <w:rPr>
          <w:rtl/>
        </w:rPr>
        <w:t xml:space="preserve"> </w:t>
      </w:r>
      <w:r>
        <w:rPr>
          <w:rtl/>
        </w:rPr>
        <w:t>الحماية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التمييز</w:t>
      </w:r>
      <w:r w:rsidR="00FA4A2E">
        <w:rPr>
          <w:rtl/>
        </w:rPr>
        <w:t xml:space="preserve"> </w:t>
      </w:r>
      <w:r>
        <w:rPr>
          <w:rtl/>
        </w:rPr>
        <w:t>العنصري،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أنها</w:t>
      </w:r>
      <w:r w:rsidR="00FA4A2E">
        <w:rPr>
          <w:rtl/>
        </w:rPr>
        <w:t xml:space="preserve"> </w:t>
      </w:r>
      <w:r>
        <w:rPr>
          <w:rtl/>
        </w:rPr>
        <w:t>تعرب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قلقها</w:t>
      </w:r>
      <w:r w:rsidR="00FA4A2E">
        <w:rPr>
          <w:rtl/>
        </w:rPr>
        <w:t xml:space="preserve"> </w:t>
      </w:r>
      <w:r>
        <w:rPr>
          <w:rtl/>
        </w:rPr>
        <w:t>لعدم</w:t>
      </w:r>
      <w:r w:rsidR="00FA4A2E">
        <w:rPr>
          <w:rtl/>
        </w:rPr>
        <w:t xml:space="preserve"> </w:t>
      </w:r>
      <w:r>
        <w:rPr>
          <w:rtl/>
        </w:rPr>
        <w:t>إدراج</w:t>
      </w:r>
      <w:r w:rsidR="00FA4A2E">
        <w:rPr>
          <w:rtl/>
        </w:rPr>
        <w:t xml:space="preserve"> </w:t>
      </w:r>
      <w:r>
        <w:rPr>
          <w:rtl/>
        </w:rPr>
        <w:t>الأصل</w:t>
      </w:r>
      <w:r w:rsidR="00FA4A2E">
        <w:rPr>
          <w:rtl/>
        </w:rPr>
        <w:t xml:space="preserve"> </w:t>
      </w:r>
      <w:r>
        <w:rPr>
          <w:rtl/>
        </w:rPr>
        <w:t>القومي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الإثني</w:t>
      </w:r>
      <w:r w:rsidR="00FA4A2E">
        <w:rPr>
          <w:rtl/>
        </w:rPr>
        <w:t xml:space="preserve"> </w:t>
      </w:r>
      <w:r>
        <w:rPr>
          <w:rtl/>
        </w:rPr>
        <w:t>ضمن</w:t>
      </w:r>
      <w:r w:rsidR="00FA4A2E">
        <w:rPr>
          <w:rtl/>
        </w:rPr>
        <w:t xml:space="preserve"> </w:t>
      </w:r>
      <w:r>
        <w:rPr>
          <w:rtl/>
        </w:rPr>
        <w:t>الأسباب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يحظر</w:t>
      </w:r>
      <w:r w:rsidR="00FA4A2E">
        <w:rPr>
          <w:rtl/>
        </w:rPr>
        <w:t xml:space="preserve"> </w:t>
      </w:r>
      <w:r>
        <w:rPr>
          <w:rtl/>
        </w:rPr>
        <w:t>التمييز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أساسها</w:t>
      </w:r>
      <w:r w:rsidR="00FA4A2E">
        <w:rPr>
          <w:rtl/>
        </w:rPr>
        <w:t xml:space="preserve"> </w:t>
      </w:r>
      <w:r>
        <w:rPr>
          <w:rtl/>
        </w:rPr>
        <w:t>المبينة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المادة</w:t>
      </w:r>
      <w:r w:rsidR="00FA4A2E">
        <w:rPr>
          <w:rtl/>
        </w:rPr>
        <w:t xml:space="preserve"> </w:t>
      </w:r>
      <w:r>
        <w:rPr>
          <w:rtl/>
        </w:rPr>
        <w:t>٢٣٣(أ)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قانون</w:t>
      </w:r>
      <w:r w:rsidR="00FA4A2E">
        <w:rPr>
          <w:rtl/>
        </w:rPr>
        <w:t xml:space="preserve"> </w:t>
      </w:r>
      <w:r>
        <w:rPr>
          <w:rtl/>
        </w:rPr>
        <w:t>العقوبات</w:t>
      </w:r>
      <w:r w:rsidR="00FA4A2E">
        <w:rPr>
          <w:rtl/>
        </w:rPr>
        <w:t xml:space="preserve"> </w:t>
      </w:r>
      <w:r>
        <w:rPr>
          <w:rtl/>
        </w:rPr>
        <w:t>(المادة</w:t>
      </w:r>
      <w:r w:rsidR="00FA4A2E">
        <w:rPr>
          <w:rtl/>
        </w:rPr>
        <w:t xml:space="preserve"> </w:t>
      </w:r>
      <w:r>
        <w:rPr>
          <w:rtl/>
        </w:rPr>
        <w:t>١).</w:t>
      </w:r>
      <w:r w:rsidR="00FA4A2E">
        <w:rPr>
          <w:rtl/>
        </w:rPr>
        <w:t xml:space="preserve"> </w:t>
      </w:r>
    </w:p>
    <w:p w14:paraId="798817DC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٦-</w:t>
      </w:r>
      <w:r>
        <w:rPr>
          <w:rtl/>
        </w:rPr>
        <w:tab/>
      </w:r>
      <w:r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توسِّع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نطاق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المادة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٢٣٣(أ)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قانون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العقوبات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ليشمل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الأصل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القومي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أو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الإثني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كسبب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الأسباب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يُحظر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أساسها،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وفقاً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للمادة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١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الاتفاقية.</w:t>
      </w:r>
    </w:p>
    <w:p w14:paraId="750839F2" w14:textId="77777777" w:rsidR="002039EE" w:rsidRPr="00442B86" w:rsidRDefault="002039EE" w:rsidP="006373F6">
      <w:pPr>
        <w:pStyle w:val="H23GA"/>
        <w:rPr>
          <w:rtl/>
          <w:lang w:val="ar-SA" w:eastAsia="zh-TW"/>
        </w:rPr>
      </w:pPr>
      <w:r w:rsidRPr="00442B86">
        <w:rPr>
          <w:rtl/>
        </w:rPr>
        <w:tab/>
      </w:r>
      <w:r w:rsidRPr="00442B86">
        <w:rPr>
          <w:rtl/>
        </w:rPr>
        <w:tab/>
        <w:t>إدراج</w:t>
      </w:r>
      <w:r w:rsidR="00FA4A2E">
        <w:rPr>
          <w:rtl/>
        </w:rPr>
        <w:t xml:space="preserve"> </w:t>
      </w:r>
      <w:r w:rsidRPr="00442B86">
        <w:rPr>
          <w:rtl/>
        </w:rPr>
        <w:t>أحكام</w:t>
      </w:r>
      <w:r w:rsidR="00FA4A2E">
        <w:rPr>
          <w:rtl/>
        </w:rPr>
        <w:t xml:space="preserve"> </w:t>
      </w:r>
      <w:r w:rsidRPr="00442B86">
        <w:rPr>
          <w:rtl/>
        </w:rPr>
        <w:t>الاتفاقية</w:t>
      </w:r>
      <w:r w:rsidR="00FA4A2E">
        <w:rPr>
          <w:rtl/>
        </w:rPr>
        <w:t xml:space="preserve"> </w:t>
      </w:r>
      <w:r w:rsidRPr="00442B86">
        <w:rPr>
          <w:rtl/>
        </w:rPr>
        <w:t>في</w:t>
      </w:r>
      <w:r w:rsidR="00FA4A2E">
        <w:rPr>
          <w:rtl/>
        </w:rPr>
        <w:t xml:space="preserve"> </w:t>
      </w:r>
      <w:r w:rsidRPr="00442B86">
        <w:rPr>
          <w:rtl/>
        </w:rPr>
        <w:t>النظام</w:t>
      </w:r>
      <w:r w:rsidR="00FA4A2E">
        <w:rPr>
          <w:rtl/>
        </w:rPr>
        <w:t xml:space="preserve"> </w:t>
      </w:r>
      <w:r w:rsidRPr="00442B86">
        <w:rPr>
          <w:rtl/>
        </w:rPr>
        <w:t>القانوني</w:t>
      </w:r>
      <w:r w:rsidR="00FA4A2E">
        <w:rPr>
          <w:rtl/>
        </w:rPr>
        <w:t xml:space="preserve"> </w:t>
      </w:r>
      <w:r w:rsidRPr="00442B86">
        <w:rPr>
          <w:rtl/>
        </w:rPr>
        <w:t>الوطني</w:t>
      </w:r>
      <w:r>
        <w:t>‬</w:t>
      </w:r>
    </w:p>
    <w:p w14:paraId="57A3EFD3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٧-</w:t>
      </w:r>
      <w:r>
        <w:tab/>
      </w:r>
      <w:r>
        <w:rPr>
          <w:rtl/>
        </w:rPr>
        <w:t>تعرب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قلقها</w:t>
      </w:r>
      <w:r w:rsidR="00FA4A2E">
        <w:rPr>
          <w:rtl/>
        </w:rPr>
        <w:t xml:space="preserve"> </w:t>
      </w:r>
      <w:r>
        <w:rPr>
          <w:rtl/>
        </w:rPr>
        <w:t>لأن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لم</w:t>
      </w:r>
      <w:r w:rsidR="00FA4A2E">
        <w:rPr>
          <w:rtl/>
        </w:rPr>
        <w:t xml:space="preserve"> </w:t>
      </w:r>
      <w:r>
        <w:rPr>
          <w:rtl/>
        </w:rPr>
        <w:t>تدرج</w:t>
      </w:r>
      <w:r w:rsidR="00FA4A2E">
        <w:rPr>
          <w:rtl/>
        </w:rPr>
        <w:t xml:space="preserve"> </w:t>
      </w:r>
      <w:r>
        <w:rPr>
          <w:rtl/>
        </w:rPr>
        <w:t>أحكام</w:t>
      </w:r>
      <w:r w:rsidR="00FA4A2E">
        <w:rPr>
          <w:rtl/>
        </w:rPr>
        <w:t xml:space="preserve"> </w:t>
      </w:r>
      <w:r>
        <w:rPr>
          <w:rtl/>
        </w:rPr>
        <w:t>الاتفاقية</w:t>
      </w:r>
      <w:r w:rsidR="00FA4A2E">
        <w:rPr>
          <w:rtl/>
        </w:rPr>
        <w:t xml:space="preserve"> </w:t>
      </w:r>
      <w:r>
        <w:rPr>
          <w:rtl/>
        </w:rPr>
        <w:t>بالكامل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نظامها</w:t>
      </w:r>
      <w:r w:rsidR="00FA4A2E">
        <w:rPr>
          <w:rtl/>
        </w:rPr>
        <w:t xml:space="preserve"> </w:t>
      </w:r>
      <w:r>
        <w:rPr>
          <w:rtl/>
        </w:rPr>
        <w:t>القانوني</w:t>
      </w:r>
      <w:r w:rsidR="00FA4A2E">
        <w:rPr>
          <w:rtl/>
        </w:rPr>
        <w:t xml:space="preserve"> </w:t>
      </w:r>
      <w:r>
        <w:rPr>
          <w:rtl/>
        </w:rPr>
        <w:t>الوطني،</w:t>
      </w:r>
      <w:r w:rsidR="00FA4A2E">
        <w:rPr>
          <w:rtl/>
        </w:rPr>
        <w:t xml:space="preserve"> </w:t>
      </w:r>
      <w:r>
        <w:rPr>
          <w:rtl/>
        </w:rPr>
        <w:t>وعلى</w:t>
      </w:r>
      <w:r w:rsidR="00FA4A2E">
        <w:rPr>
          <w:rtl/>
        </w:rPr>
        <w:t xml:space="preserve"> </w:t>
      </w:r>
      <w:r>
        <w:rPr>
          <w:rtl/>
        </w:rPr>
        <w:t>الأخص</w:t>
      </w:r>
      <w:r w:rsidR="00FA4A2E">
        <w:rPr>
          <w:rtl/>
        </w:rPr>
        <w:t xml:space="preserve"> </w:t>
      </w:r>
      <w:r>
        <w:rPr>
          <w:rtl/>
        </w:rPr>
        <w:t>لأنها</w:t>
      </w:r>
      <w:r w:rsidR="00FA4A2E">
        <w:rPr>
          <w:rtl/>
        </w:rPr>
        <w:t xml:space="preserve"> </w:t>
      </w:r>
      <w:r>
        <w:rPr>
          <w:rtl/>
        </w:rPr>
        <w:t>لم</w:t>
      </w:r>
      <w:r w:rsidR="00FA4A2E">
        <w:rPr>
          <w:rtl/>
        </w:rPr>
        <w:t xml:space="preserve"> </w:t>
      </w:r>
      <w:r>
        <w:rPr>
          <w:rtl/>
        </w:rPr>
        <w:t>تعتمد</w:t>
      </w:r>
      <w:r w:rsidR="00FA4A2E">
        <w:rPr>
          <w:rtl/>
        </w:rPr>
        <w:t xml:space="preserve"> </w:t>
      </w:r>
      <w:r>
        <w:rPr>
          <w:rtl/>
        </w:rPr>
        <w:t>قانوناً</w:t>
      </w:r>
      <w:r w:rsidR="00FA4A2E">
        <w:rPr>
          <w:rtl/>
        </w:rPr>
        <w:t xml:space="preserve"> </w:t>
      </w:r>
      <w:r>
        <w:rPr>
          <w:rtl/>
        </w:rPr>
        <w:t>شاملاً</w:t>
      </w:r>
      <w:r w:rsidR="00FA4A2E">
        <w:rPr>
          <w:rtl/>
        </w:rPr>
        <w:t xml:space="preserve"> </w:t>
      </w:r>
      <w:r>
        <w:rPr>
          <w:rtl/>
        </w:rPr>
        <w:t>لمكافحة</w:t>
      </w:r>
      <w:r w:rsidR="00FA4A2E">
        <w:rPr>
          <w:rtl/>
        </w:rPr>
        <w:t xml:space="preserve"> </w:t>
      </w:r>
      <w:r>
        <w:rPr>
          <w:rtl/>
        </w:rPr>
        <w:t>التمييز</w:t>
      </w:r>
      <w:r w:rsidR="00FA4A2E">
        <w:rPr>
          <w:rtl/>
        </w:rPr>
        <w:t xml:space="preserve"> </w:t>
      </w:r>
      <w:r>
        <w:rPr>
          <w:rtl/>
        </w:rPr>
        <w:t>يحمي</w:t>
      </w:r>
      <w:r w:rsidR="00FA4A2E">
        <w:rPr>
          <w:rtl/>
        </w:rPr>
        <w:t xml:space="preserve"> </w:t>
      </w:r>
      <w:r>
        <w:rPr>
          <w:rtl/>
        </w:rPr>
        <w:t>جميع</w:t>
      </w:r>
      <w:r w:rsidR="00FA4A2E">
        <w:rPr>
          <w:rtl/>
        </w:rPr>
        <w:t xml:space="preserve"> </w:t>
      </w:r>
      <w:r>
        <w:rPr>
          <w:rtl/>
        </w:rPr>
        <w:t>الحقوق</w:t>
      </w:r>
      <w:r w:rsidR="00FA4A2E">
        <w:rPr>
          <w:rtl/>
        </w:rPr>
        <w:t xml:space="preserve"> </w:t>
      </w:r>
      <w:r>
        <w:rPr>
          <w:rtl/>
        </w:rPr>
        <w:t>المنصوص</w:t>
      </w:r>
      <w:r w:rsidR="00FA4A2E">
        <w:rPr>
          <w:rtl/>
        </w:rPr>
        <w:t xml:space="preserve"> </w:t>
      </w:r>
      <w:r>
        <w:rPr>
          <w:rtl/>
        </w:rPr>
        <w:t>عليها</w:t>
      </w:r>
      <w:r w:rsidR="00FA4A2E">
        <w:rPr>
          <w:rtl/>
        </w:rPr>
        <w:t xml:space="preserve"> </w:t>
      </w:r>
      <w:r>
        <w:rPr>
          <w:rtl/>
        </w:rPr>
        <w:t>صراحةً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المادتين</w:t>
      </w:r>
      <w:r w:rsidR="00FA4A2E">
        <w:rPr>
          <w:rtl/>
        </w:rPr>
        <w:t xml:space="preserve"> </w:t>
      </w:r>
      <w:r>
        <w:rPr>
          <w:rtl/>
        </w:rPr>
        <w:t>٢</w:t>
      </w:r>
      <w:r w:rsidR="00FA4A2E">
        <w:rPr>
          <w:rtl/>
        </w:rPr>
        <w:t xml:space="preserve"> </w:t>
      </w:r>
      <w:r>
        <w:rPr>
          <w:rtl/>
        </w:rPr>
        <w:t>و٥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الاتفاقية،</w:t>
      </w:r>
      <w:r w:rsidR="00FA4A2E">
        <w:rPr>
          <w:rtl/>
        </w:rPr>
        <w:t xml:space="preserve"> </w:t>
      </w:r>
      <w:r>
        <w:rPr>
          <w:rtl/>
        </w:rPr>
        <w:t>وذلك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الرغم</w:t>
      </w:r>
      <w:r w:rsidR="00FA4A2E">
        <w:rPr>
          <w:rtl/>
        </w:rPr>
        <w:t xml:space="preserve"> </w:t>
      </w:r>
      <w:r>
        <w:rPr>
          <w:rtl/>
        </w:rPr>
        <w:t>مما</w:t>
      </w:r>
      <w:r w:rsidR="00FA4A2E">
        <w:rPr>
          <w:rtl/>
        </w:rPr>
        <w:t xml:space="preserve"> </w:t>
      </w:r>
      <w:r>
        <w:rPr>
          <w:rtl/>
        </w:rPr>
        <w:t>وجّهته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توصيات</w:t>
      </w:r>
      <w:r w:rsidR="00FA4A2E">
        <w:rPr>
          <w:rtl/>
        </w:rPr>
        <w:t xml:space="preserve"> </w:t>
      </w:r>
      <w:r>
        <w:rPr>
          <w:rtl/>
        </w:rPr>
        <w:t>سابقة</w:t>
      </w:r>
      <w:r w:rsidR="00FA4A2E">
        <w:rPr>
          <w:rtl/>
        </w:rPr>
        <w:t xml:space="preserve"> </w:t>
      </w:r>
      <w:r>
        <w:rPr>
          <w:rtl/>
        </w:rPr>
        <w:t>(</w:t>
      </w:r>
      <w:r>
        <w:t>CERD/C/ISL/CO/19-20</w:t>
      </w:r>
      <w:r>
        <w:rPr>
          <w:rtl/>
        </w:rPr>
        <w:t>،</w:t>
      </w:r>
      <w:r w:rsidR="00FA4A2E">
        <w:rPr>
          <w:rtl/>
        </w:rPr>
        <w:t xml:space="preserve"> </w:t>
      </w:r>
      <w:r>
        <w:rPr>
          <w:rtl/>
        </w:rPr>
        <w:t>الفقرتان</w:t>
      </w:r>
      <w:r w:rsidR="00FA4A2E">
        <w:rPr>
          <w:rtl/>
        </w:rPr>
        <w:t xml:space="preserve"> </w:t>
      </w:r>
      <w:r>
        <w:rPr>
          <w:rtl/>
        </w:rPr>
        <w:t>11</w:t>
      </w:r>
      <w:r w:rsidR="00FA4A2E">
        <w:rPr>
          <w:rtl/>
        </w:rPr>
        <w:t xml:space="preserve"> </w:t>
      </w:r>
      <w:r>
        <w:rPr>
          <w:rtl/>
        </w:rPr>
        <w:t>و12).</w:t>
      </w:r>
      <w:r w:rsidR="00FA4A2E">
        <w:rPr>
          <w:rtl/>
        </w:rPr>
        <w:t xml:space="preserve"> </w:t>
      </w:r>
      <w:r>
        <w:rPr>
          <w:rtl/>
        </w:rPr>
        <w:t>وتعرب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أسفها</w:t>
      </w:r>
      <w:r w:rsidR="00FA4A2E">
        <w:rPr>
          <w:rtl/>
        </w:rPr>
        <w:t xml:space="preserve"> </w:t>
      </w:r>
      <w:r>
        <w:rPr>
          <w:rtl/>
        </w:rPr>
        <w:t>لقلة</w:t>
      </w:r>
      <w:r w:rsidR="00FA4A2E">
        <w:rPr>
          <w:rtl/>
        </w:rPr>
        <w:t xml:space="preserve"> </w:t>
      </w:r>
      <w:r>
        <w:rPr>
          <w:rtl/>
        </w:rPr>
        <w:t>ما</w:t>
      </w:r>
      <w:r w:rsidR="00FA4A2E">
        <w:rPr>
          <w:rtl/>
        </w:rPr>
        <w:t xml:space="preserve"> </w:t>
      </w:r>
      <w:r>
        <w:rPr>
          <w:rtl/>
        </w:rPr>
        <w:t>قُدِّم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معلومات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قضايا</w:t>
      </w:r>
      <w:r w:rsidR="00FA4A2E">
        <w:rPr>
          <w:rtl/>
        </w:rPr>
        <w:t xml:space="preserve"> </w:t>
      </w:r>
      <w:r>
        <w:rPr>
          <w:rtl/>
        </w:rPr>
        <w:t>التمييز</w:t>
      </w:r>
      <w:r w:rsidR="00FA4A2E">
        <w:rPr>
          <w:rtl/>
        </w:rPr>
        <w:t xml:space="preserve"> </w:t>
      </w:r>
      <w:r>
        <w:rPr>
          <w:rtl/>
        </w:rPr>
        <w:t>العنصري</w:t>
      </w:r>
      <w:r w:rsidR="00FA4A2E">
        <w:rPr>
          <w:rtl/>
        </w:rPr>
        <w:t xml:space="preserve"> </w:t>
      </w:r>
      <w:r>
        <w:rPr>
          <w:rtl/>
        </w:rPr>
        <w:t>المعروضة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المحاكم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الهيئات</w:t>
      </w:r>
      <w:r w:rsidR="00FA4A2E">
        <w:rPr>
          <w:rtl/>
        </w:rPr>
        <w:t xml:space="preserve"> </w:t>
      </w:r>
      <w:r>
        <w:rPr>
          <w:rtl/>
        </w:rPr>
        <w:t>الإدارية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البلد،</w:t>
      </w:r>
      <w:r w:rsidR="00FA4A2E">
        <w:rPr>
          <w:rtl/>
        </w:rPr>
        <w:t xml:space="preserve"> </w:t>
      </w:r>
      <w:r>
        <w:rPr>
          <w:rtl/>
        </w:rPr>
        <w:t>وتلاحظ</w:t>
      </w:r>
      <w:r w:rsidR="00FA4A2E">
        <w:rPr>
          <w:rtl/>
        </w:rPr>
        <w:t xml:space="preserve"> </w:t>
      </w:r>
      <w:r>
        <w:rPr>
          <w:rtl/>
        </w:rPr>
        <w:t>بقلق</w:t>
      </w:r>
      <w:r w:rsidR="00FA4A2E">
        <w:rPr>
          <w:rtl/>
        </w:rPr>
        <w:t xml:space="preserve"> </w:t>
      </w:r>
      <w:r>
        <w:rPr>
          <w:rtl/>
        </w:rPr>
        <w:t>أن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لم</w:t>
      </w:r>
      <w:r w:rsidR="00FA4A2E">
        <w:rPr>
          <w:rtl/>
        </w:rPr>
        <w:t xml:space="preserve"> </w:t>
      </w:r>
      <w:r>
        <w:rPr>
          <w:rtl/>
        </w:rPr>
        <w:t>تقدم</w:t>
      </w:r>
      <w:r w:rsidR="00FA4A2E">
        <w:rPr>
          <w:rtl/>
        </w:rPr>
        <w:t xml:space="preserve"> </w:t>
      </w:r>
      <w:r>
        <w:rPr>
          <w:rtl/>
        </w:rPr>
        <w:t>إلاّ</w:t>
      </w:r>
      <w:r w:rsidR="00FA4A2E">
        <w:rPr>
          <w:rtl/>
        </w:rPr>
        <w:t xml:space="preserve"> </w:t>
      </w:r>
      <w:r>
        <w:rPr>
          <w:rtl/>
        </w:rPr>
        <w:t>مثالاً</w:t>
      </w:r>
      <w:r w:rsidR="00FA4A2E">
        <w:rPr>
          <w:rtl/>
        </w:rPr>
        <w:t xml:space="preserve"> </w:t>
      </w:r>
      <w:r>
        <w:rPr>
          <w:rtl/>
        </w:rPr>
        <w:t>واحداً</w:t>
      </w:r>
      <w:r w:rsidR="00FA4A2E">
        <w:rPr>
          <w:rtl/>
        </w:rPr>
        <w:t xml:space="preserve"> </w:t>
      </w:r>
      <w:r>
        <w:rPr>
          <w:rtl/>
        </w:rPr>
        <w:t>لحالة</w:t>
      </w:r>
      <w:r w:rsidR="00FA4A2E">
        <w:rPr>
          <w:rtl/>
        </w:rPr>
        <w:t xml:space="preserve"> </w:t>
      </w:r>
      <w:r>
        <w:rPr>
          <w:rtl/>
        </w:rPr>
        <w:t>أُدين</w:t>
      </w:r>
      <w:r w:rsidR="00FA4A2E">
        <w:rPr>
          <w:rtl/>
        </w:rPr>
        <w:t xml:space="preserve"> </w:t>
      </w:r>
      <w:r>
        <w:rPr>
          <w:rtl/>
        </w:rPr>
        <w:t>فيها</w:t>
      </w:r>
      <w:r w:rsidR="00FA4A2E">
        <w:rPr>
          <w:rtl/>
        </w:rPr>
        <w:t xml:space="preserve"> </w:t>
      </w:r>
      <w:r>
        <w:rPr>
          <w:rtl/>
        </w:rPr>
        <w:t>الجاني</w:t>
      </w:r>
      <w:r w:rsidR="00FA4A2E">
        <w:rPr>
          <w:rtl/>
        </w:rPr>
        <w:t xml:space="preserve"> </w:t>
      </w:r>
      <w:r>
        <w:rPr>
          <w:rtl/>
        </w:rPr>
        <w:t>وعوقب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انتهاك</w:t>
      </w:r>
      <w:r w:rsidR="00FA4A2E">
        <w:rPr>
          <w:rtl/>
        </w:rPr>
        <w:t xml:space="preserve"> </w:t>
      </w:r>
      <w:r>
        <w:rPr>
          <w:rtl/>
        </w:rPr>
        <w:t>أحكام</w:t>
      </w:r>
      <w:r w:rsidR="00FA4A2E">
        <w:rPr>
          <w:rtl/>
        </w:rPr>
        <w:t xml:space="preserve"> </w:t>
      </w:r>
      <w:r>
        <w:rPr>
          <w:rtl/>
        </w:rPr>
        <w:t>المادة</w:t>
      </w:r>
      <w:r w:rsidR="00FA4A2E">
        <w:rPr>
          <w:rtl/>
        </w:rPr>
        <w:t xml:space="preserve"> </w:t>
      </w:r>
      <w:r>
        <w:rPr>
          <w:rtl/>
        </w:rPr>
        <w:t>٢٣٣(أ)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قانون</w:t>
      </w:r>
      <w:r w:rsidR="00FA4A2E">
        <w:rPr>
          <w:rtl/>
        </w:rPr>
        <w:t xml:space="preserve"> </w:t>
      </w:r>
      <w:r>
        <w:rPr>
          <w:rtl/>
        </w:rPr>
        <w:t>العقوبات</w:t>
      </w:r>
      <w:r w:rsidR="00FA4A2E">
        <w:rPr>
          <w:rtl/>
        </w:rPr>
        <w:t xml:space="preserve"> </w:t>
      </w:r>
      <w:r>
        <w:rPr>
          <w:rtl/>
        </w:rPr>
        <w:t>(المادتان</w:t>
      </w:r>
      <w:r w:rsidR="00FA4A2E">
        <w:rPr>
          <w:rtl/>
        </w:rPr>
        <w:t xml:space="preserve"> </w:t>
      </w:r>
      <w:r>
        <w:rPr>
          <w:rtl/>
        </w:rPr>
        <w:t>2</w:t>
      </w:r>
      <w:r w:rsidR="00FA4A2E">
        <w:rPr>
          <w:rtl/>
        </w:rPr>
        <w:t xml:space="preserve"> </w:t>
      </w:r>
      <w:r>
        <w:rPr>
          <w:rtl/>
        </w:rPr>
        <w:t>و6).</w:t>
      </w:r>
      <w:r w:rsidR="00FA4A2E">
        <w:rPr>
          <w:rtl/>
        </w:rPr>
        <w:t xml:space="preserve"> </w:t>
      </w:r>
    </w:p>
    <w:p w14:paraId="473455AE" w14:textId="77777777" w:rsidR="002039EE" w:rsidRPr="006D29A0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٨-</w:t>
      </w:r>
      <w:r>
        <w:rPr>
          <w:rtl/>
        </w:rPr>
        <w:tab/>
      </w:r>
      <w:r>
        <w:rPr>
          <w:b/>
          <w:bCs/>
          <w:rtl/>
        </w:rPr>
        <w:t>تكرر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توصيتها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تدرج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الأحكام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الموضوعية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المنصوص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عليها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الاتفاقية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قانونها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الوطني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كفالةً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للحماية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الشاملة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</w:t>
      </w:r>
      <w:r>
        <w:rPr>
          <w:rtl/>
        </w:rPr>
        <w:t>.</w:t>
      </w:r>
      <w:r w:rsidR="00FA4A2E">
        <w:rPr>
          <w:rtl/>
        </w:rPr>
        <w:t xml:space="preserve"> </w:t>
      </w:r>
      <w:r>
        <w:rPr>
          <w:b/>
          <w:bCs/>
          <w:rtl/>
        </w:rPr>
        <w:t>وتوصي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أيضاً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تتخذ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يلزم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الأحكام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القانونية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السارية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تحظر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تنفيذاً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كاملاً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وفعالاً،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وتيسير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الاحتكام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الفعلي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القضاء،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وتوفير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سبل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الانتصاف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المناسبة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لجميع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ضحايا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</w:t>
      </w:r>
      <w:r>
        <w:rPr>
          <w:rtl/>
        </w:rPr>
        <w:t>.</w:t>
      </w:r>
      <w:r w:rsidR="00FA4A2E">
        <w:rPr>
          <w:rtl/>
        </w:rPr>
        <w:t xml:space="preserve"> </w:t>
      </w:r>
      <w:r>
        <w:rPr>
          <w:b/>
          <w:bCs/>
          <w:rtl/>
        </w:rPr>
        <w:t>وتطلب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lastRenderedPageBreak/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تقدم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تقريرها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الدوري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المقبل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أمثلة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لقضايا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يشمل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تحليلاً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لسبل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تطبيق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الاتفاقية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الأحكام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القانونية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الصلة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القرارات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القضائية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والإدارية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وبيانات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التطبيق</w:t>
      </w:r>
      <w:r>
        <w:rPr>
          <w:rtl/>
        </w:rPr>
        <w:t>.</w:t>
      </w:r>
    </w:p>
    <w:p w14:paraId="3DC7E0DB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الدوافع</w:t>
      </w:r>
      <w:r w:rsidR="00FA4A2E">
        <w:rPr>
          <w:rtl/>
        </w:rPr>
        <w:t xml:space="preserve"> </w:t>
      </w:r>
      <w:r>
        <w:rPr>
          <w:rtl/>
        </w:rPr>
        <w:t>العنصرية</w:t>
      </w:r>
      <w:r w:rsidR="00FA4A2E">
        <w:rPr>
          <w:rtl/>
        </w:rPr>
        <w:t xml:space="preserve"> </w:t>
      </w:r>
      <w:r>
        <w:rPr>
          <w:rtl/>
        </w:rPr>
        <w:t>كظروفٍ</w:t>
      </w:r>
      <w:r w:rsidR="00FA4A2E">
        <w:rPr>
          <w:rtl/>
        </w:rPr>
        <w:t xml:space="preserve"> </w:t>
      </w:r>
      <w:r>
        <w:rPr>
          <w:rtl/>
        </w:rPr>
        <w:t>مشدِّدة</w:t>
      </w:r>
      <w:r w:rsidR="00FA4A2E">
        <w:rPr>
          <w:rtl/>
        </w:rPr>
        <w:t xml:space="preserve"> </w:t>
      </w:r>
      <w:r>
        <w:rPr>
          <w:rtl/>
        </w:rPr>
        <w:t>للعقوبة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</w:p>
    <w:p w14:paraId="380A19EF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٩-</w:t>
      </w:r>
      <w:r>
        <w:rPr>
          <w:rtl/>
        </w:rPr>
        <w:tab/>
        <w:t>تعرب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قلقها</w:t>
      </w:r>
      <w:r w:rsidR="00FA4A2E">
        <w:rPr>
          <w:rtl/>
        </w:rPr>
        <w:t xml:space="preserve"> </w:t>
      </w:r>
      <w:r>
        <w:rPr>
          <w:rtl/>
        </w:rPr>
        <w:t>لأن</w:t>
      </w:r>
      <w:r w:rsidR="00FA4A2E">
        <w:rPr>
          <w:rtl/>
        </w:rPr>
        <w:t xml:space="preserve"> </w:t>
      </w:r>
      <w:r>
        <w:rPr>
          <w:rtl/>
        </w:rPr>
        <w:t>قانون</w:t>
      </w:r>
      <w:r w:rsidR="00FA4A2E">
        <w:rPr>
          <w:rtl/>
        </w:rPr>
        <w:t xml:space="preserve"> </w:t>
      </w:r>
      <w:r>
        <w:rPr>
          <w:rtl/>
        </w:rPr>
        <w:t>العقوبات</w:t>
      </w:r>
      <w:r w:rsidR="00FA4A2E">
        <w:rPr>
          <w:rtl/>
        </w:rPr>
        <w:t xml:space="preserve"> </w:t>
      </w:r>
      <w:r>
        <w:rPr>
          <w:rtl/>
        </w:rPr>
        <w:t>لا</w:t>
      </w:r>
      <w:r w:rsidR="00FA4A2E">
        <w:rPr>
          <w:rtl/>
        </w:rPr>
        <w:t xml:space="preserve"> </w:t>
      </w:r>
      <w:r>
        <w:rPr>
          <w:rtl/>
        </w:rPr>
        <w:t>ينص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أي</w:t>
      </w:r>
      <w:r w:rsidR="00FA4A2E">
        <w:rPr>
          <w:rtl/>
        </w:rPr>
        <w:t xml:space="preserve"> </w:t>
      </w:r>
      <w:r>
        <w:rPr>
          <w:rtl/>
        </w:rPr>
        <w:t>أحكام</w:t>
      </w:r>
      <w:r w:rsidR="00FA4A2E">
        <w:rPr>
          <w:rtl/>
        </w:rPr>
        <w:t xml:space="preserve"> </w:t>
      </w:r>
      <w:r>
        <w:rPr>
          <w:rtl/>
        </w:rPr>
        <w:t>تعتبر</w:t>
      </w:r>
      <w:r w:rsidR="00FA4A2E">
        <w:rPr>
          <w:rtl/>
        </w:rPr>
        <w:t xml:space="preserve"> </w:t>
      </w:r>
      <w:r>
        <w:rPr>
          <w:rtl/>
        </w:rPr>
        <w:t>الدوافع</w:t>
      </w:r>
      <w:r w:rsidR="00FA4A2E">
        <w:rPr>
          <w:rtl/>
        </w:rPr>
        <w:t xml:space="preserve"> </w:t>
      </w:r>
      <w:r>
        <w:rPr>
          <w:rtl/>
        </w:rPr>
        <w:t>العنصرية</w:t>
      </w:r>
      <w:r w:rsidR="00FA4A2E">
        <w:rPr>
          <w:rtl/>
        </w:rPr>
        <w:t xml:space="preserve"> </w:t>
      </w:r>
      <w:r>
        <w:rPr>
          <w:rtl/>
        </w:rPr>
        <w:t>ظروفاً</w:t>
      </w:r>
      <w:r w:rsidR="00FA4A2E">
        <w:rPr>
          <w:rtl/>
        </w:rPr>
        <w:t xml:space="preserve"> </w:t>
      </w:r>
      <w:r>
        <w:rPr>
          <w:rtl/>
        </w:rPr>
        <w:t>مشدِّدة</w:t>
      </w:r>
      <w:r w:rsidR="00FA4A2E">
        <w:rPr>
          <w:rtl/>
        </w:rPr>
        <w:t xml:space="preserve"> </w:t>
      </w:r>
      <w:r>
        <w:rPr>
          <w:rtl/>
        </w:rPr>
        <w:t>للعقوبة،</w:t>
      </w:r>
      <w:r w:rsidR="00FA4A2E">
        <w:rPr>
          <w:rtl/>
        </w:rPr>
        <w:t xml:space="preserve"> </w:t>
      </w:r>
      <w:r>
        <w:rPr>
          <w:rtl/>
        </w:rPr>
        <w:t>وهو</w:t>
      </w:r>
      <w:r w:rsidR="00FA4A2E">
        <w:rPr>
          <w:rtl/>
        </w:rPr>
        <w:t xml:space="preserve"> </w:t>
      </w:r>
      <w:r>
        <w:rPr>
          <w:rtl/>
        </w:rPr>
        <w:t>ما</w:t>
      </w:r>
      <w:r w:rsidR="00FA4A2E">
        <w:rPr>
          <w:rtl/>
        </w:rPr>
        <w:t xml:space="preserve"> </w:t>
      </w:r>
      <w:r>
        <w:rPr>
          <w:rtl/>
        </w:rPr>
        <w:t>يُعدّ</w:t>
      </w:r>
      <w:r w:rsidR="00FA4A2E">
        <w:rPr>
          <w:rtl/>
        </w:rPr>
        <w:t xml:space="preserve"> </w:t>
      </w:r>
      <w:r>
        <w:rPr>
          <w:rtl/>
        </w:rPr>
        <w:t>أمراً</w:t>
      </w:r>
      <w:r w:rsidR="00FA4A2E">
        <w:rPr>
          <w:rtl/>
        </w:rPr>
        <w:t xml:space="preserve"> </w:t>
      </w:r>
      <w:r>
        <w:rPr>
          <w:rtl/>
        </w:rPr>
        <w:t>ضرورياً</w:t>
      </w:r>
      <w:r w:rsidR="00FA4A2E">
        <w:rPr>
          <w:rtl/>
        </w:rPr>
        <w:t xml:space="preserve"> </w:t>
      </w:r>
      <w:r>
        <w:rPr>
          <w:rtl/>
        </w:rPr>
        <w:t>لضمان</w:t>
      </w:r>
      <w:r w:rsidR="00FA4A2E">
        <w:rPr>
          <w:rtl/>
        </w:rPr>
        <w:t xml:space="preserve"> </w:t>
      </w:r>
      <w:r>
        <w:rPr>
          <w:rtl/>
        </w:rPr>
        <w:t>المعاقبة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جرائم</w:t>
      </w:r>
      <w:r w:rsidR="00FA4A2E">
        <w:rPr>
          <w:rtl/>
        </w:rPr>
        <w:t xml:space="preserve"> </w:t>
      </w:r>
      <w:r>
        <w:rPr>
          <w:rtl/>
        </w:rPr>
        <w:t>التمييز</w:t>
      </w:r>
      <w:r w:rsidR="00FA4A2E">
        <w:rPr>
          <w:rtl/>
        </w:rPr>
        <w:t xml:space="preserve"> </w:t>
      </w:r>
      <w:r>
        <w:rPr>
          <w:rtl/>
        </w:rPr>
        <w:t>العنصري</w:t>
      </w:r>
      <w:r w:rsidR="00FA4A2E">
        <w:rPr>
          <w:rtl/>
        </w:rPr>
        <w:t xml:space="preserve"> </w:t>
      </w:r>
      <w:r>
        <w:rPr>
          <w:rtl/>
        </w:rPr>
        <w:t>بالعقوبات</w:t>
      </w:r>
      <w:r w:rsidR="00FA4A2E">
        <w:rPr>
          <w:rtl/>
        </w:rPr>
        <w:t xml:space="preserve"> </w:t>
      </w:r>
      <w:r>
        <w:rPr>
          <w:rtl/>
        </w:rPr>
        <w:t>المناسبة</w:t>
      </w:r>
      <w:r w:rsidR="00FA4A2E">
        <w:rPr>
          <w:rtl/>
        </w:rPr>
        <w:t xml:space="preserve"> </w:t>
      </w:r>
      <w:r>
        <w:rPr>
          <w:rtl/>
        </w:rPr>
        <w:t>(المادة</w:t>
      </w:r>
      <w:r w:rsidR="00FA4A2E">
        <w:rPr>
          <w:rtl/>
        </w:rPr>
        <w:t xml:space="preserve"> </w:t>
      </w:r>
      <w:r>
        <w:rPr>
          <w:rtl/>
        </w:rPr>
        <w:t>٤).</w:t>
      </w:r>
      <w:r w:rsidR="00FA4A2E">
        <w:rPr>
          <w:rtl/>
        </w:rPr>
        <w:t xml:space="preserve"> </w:t>
      </w:r>
    </w:p>
    <w:p w14:paraId="7691C0A2" w14:textId="77777777" w:rsidR="002039EE" w:rsidRPr="006373F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١٠-</w:t>
      </w:r>
      <w:r>
        <w:rPr>
          <w:rtl/>
        </w:rPr>
        <w:tab/>
      </w:r>
      <w:r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تعدل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قانون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العقوبات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ليشمل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الدافع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كظرف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مشدِّد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العقوبة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الجريمة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ويحدد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عقوبات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مناسبة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عليها،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وفقاً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للمادة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٤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الاتفاقية.</w:t>
      </w:r>
    </w:p>
    <w:p w14:paraId="50980CBF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المؤسسة</w:t>
      </w:r>
      <w:r w:rsidR="00FA4A2E">
        <w:rPr>
          <w:rtl/>
        </w:rPr>
        <w:t xml:space="preserve"> </w:t>
      </w:r>
      <w:r>
        <w:rPr>
          <w:rtl/>
        </w:rPr>
        <w:t>الوطنية</w:t>
      </w:r>
      <w:r w:rsidR="00FA4A2E">
        <w:rPr>
          <w:rtl/>
        </w:rPr>
        <w:t xml:space="preserve"> </w:t>
      </w:r>
      <w:r>
        <w:rPr>
          <w:rtl/>
        </w:rPr>
        <w:t>لحقوق</w:t>
      </w:r>
      <w:r w:rsidR="00FA4A2E">
        <w:rPr>
          <w:rtl/>
        </w:rPr>
        <w:t xml:space="preserve"> </w:t>
      </w:r>
      <w:r>
        <w:rPr>
          <w:rtl/>
        </w:rPr>
        <w:t>الإنسان</w:t>
      </w:r>
    </w:p>
    <w:p w14:paraId="742DEC00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١١-</w:t>
      </w:r>
      <w:r>
        <w:rPr>
          <w:rtl/>
        </w:rPr>
        <w:tab/>
        <w:t>تحيط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علماً</w:t>
      </w:r>
      <w:r w:rsidR="00FA4A2E">
        <w:rPr>
          <w:rtl/>
        </w:rPr>
        <w:t xml:space="preserve"> </w:t>
      </w:r>
      <w:r>
        <w:rPr>
          <w:rtl/>
        </w:rPr>
        <w:t>بالتفسير</w:t>
      </w:r>
      <w:r w:rsidR="00FA4A2E">
        <w:rPr>
          <w:rtl/>
        </w:rPr>
        <w:t xml:space="preserve"> </w:t>
      </w:r>
      <w:r>
        <w:rPr>
          <w:rtl/>
        </w:rPr>
        <w:t>الذي</w:t>
      </w:r>
      <w:r w:rsidR="00FA4A2E">
        <w:rPr>
          <w:rtl/>
        </w:rPr>
        <w:t xml:space="preserve"> </w:t>
      </w:r>
      <w:r>
        <w:rPr>
          <w:rtl/>
        </w:rPr>
        <w:t>قدمته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الطرف،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أنها</w:t>
      </w:r>
      <w:r w:rsidR="00FA4A2E">
        <w:rPr>
          <w:rtl/>
        </w:rPr>
        <w:t xml:space="preserve"> </w:t>
      </w:r>
      <w:r>
        <w:rPr>
          <w:rtl/>
        </w:rPr>
        <w:t>تعرب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قلقها</w:t>
      </w:r>
      <w:r w:rsidR="00FA4A2E">
        <w:rPr>
          <w:rtl/>
        </w:rPr>
        <w:t xml:space="preserve"> </w:t>
      </w:r>
      <w:r>
        <w:rPr>
          <w:rtl/>
        </w:rPr>
        <w:t>لأن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لم</w:t>
      </w:r>
      <w:bookmarkStart w:id="0" w:name="_GoBack"/>
      <w:bookmarkEnd w:id="0"/>
      <w:r w:rsidR="00FA4A2E">
        <w:rPr>
          <w:rtl/>
        </w:rPr>
        <w:t xml:space="preserve"> </w:t>
      </w:r>
      <w:r>
        <w:rPr>
          <w:rtl/>
        </w:rPr>
        <w:t>تنشئ</w:t>
      </w:r>
      <w:r w:rsidR="00FA4A2E">
        <w:rPr>
          <w:rtl/>
        </w:rPr>
        <w:t xml:space="preserve"> </w:t>
      </w:r>
      <w:r>
        <w:rPr>
          <w:rtl/>
        </w:rPr>
        <w:t>بعد</w:t>
      </w:r>
      <w:r w:rsidR="00FA4A2E">
        <w:rPr>
          <w:rtl/>
        </w:rPr>
        <w:t xml:space="preserve"> </w:t>
      </w:r>
      <w:r>
        <w:rPr>
          <w:rtl/>
        </w:rPr>
        <w:t>مؤسسةً</w:t>
      </w:r>
      <w:r w:rsidR="00FA4A2E">
        <w:rPr>
          <w:rtl/>
        </w:rPr>
        <w:t xml:space="preserve"> </w:t>
      </w:r>
      <w:r>
        <w:rPr>
          <w:rtl/>
        </w:rPr>
        <w:t>وطنية</w:t>
      </w:r>
      <w:r w:rsidR="00FA4A2E">
        <w:rPr>
          <w:rtl/>
        </w:rPr>
        <w:t xml:space="preserve"> </w:t>
      </w:r>
      <w:r>
        <w:rPr>
          <w:rtl/>
        </w:rPr>
        <w:t>لحقوق</w:t>
      </w:r>
      <w:r w:rsidR="00FA4A2E">
        <w:rPr>
          <w:rtl/>
        </w:rPr>
        <w:t xml:space="preserve"> </w:t>
      </w:r>
      <w:r>
        <w:rPr>
          <w:rtl/>
        </w:rPr>
        <w:t>الإنسان</w:t>
      </w:r>
      <w:r w:rsidR="00FA4A2E">
        <w:rPr>
          <w:rtl/>
        </w:rPr>
        <w:t xml:space="preserve"> </w:t>
      </w:r>
      <w:r>
        <w:rPr>
          <w:rtl/>
        </w:rPr>
        <w:t>مخولة</w:t>
      </w:r>
      <w:r w:rsidR="00FA4A2E">
        <w:rPr>
          <w:rtl/>
        </w:rPr>
        <w:t xml:space="preserve"> </w:t>
      </w:r>
      <w:r>
        <w:rPr>
          <w:rtl/>
        </w:rPr>
        <w:t>ولاية</w:t>
      </w:r>
      <w:r w:rsidR="00FA4A2E">
        <w:rPr>
          <w:rtl/>
        </w:rPr>
        <w:t xml:space="preserve"> </w:t>
      </w:r>
      <w:r>
        <w:rPr>
          <w:rtl/>
        </w:rPr>
        <w:t>موسَّعة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تعزيز</w:t>
      </w:r>
      <w:r w:rsidR="00FA4A2E">
        <w:rPr>
          <w:rtl/>
        </w:rPr>
        <w:t xml:space="preserve"> </w:t>
      </w:r>
      <w:r>
        <w:rPr>
          <w:rtl/>
        </w:rPr>
        <w:t>حقوق</w:t>
      </w:r>
      <w:r w:rsidR="00FA4A2E">
        <w:rPr>
          <w:rtl/>
        </w:rPr>
        <w:t xml:space="preserve"> </w:t>
      </w:r>
      <w:r>
        <w:rPr>
          <w:rtl/>
        </w:rPr>
        <w:t>الإنسان</w:t>
      </w:r>
      <w:r w:rsidR="00FA4A2E">
        <w:rPr>
          <w:rtl/>
        </w:rPr>
        <w:t xml:space="preserve"> </w:t>
      </w:r>
      <w:r>
        <w:rPr>
          <w:rtl/>
        </w:rPr>
        <w:t>وحمايتها،</w:t>
      </w:r>
      <w:r w:rsidR="00FA4A2E">
        <w:rPr>
          <w:rtl/>
        </w:rPr>
        <w:t xml:space="preserve"> </w:t>
      </w:r>
      <w:r>
        <w:rPr>
          <w:rtl/>
        </w:rPr>
        <w:t>وفقاً</w:t>
      </w:r>
      <w:r w:rsidR="00FA4A2E">
        <w:rPr>
          <w:rtl/>
        </w:rPr>
        <w:t xml:space="preserve"> </w:t>
      </w:r>
      <w:r>
        <w:rPr>
          <w:rtl/>
        </w:rPr>
        <w:t>للمبادئ</w:t>
      </w:r>
      <w:r w:rsidR="00FA4A2E">
        <w:rPr>
          <w:rtl/>
        </w:rPr>
        <w:t xml:space="preserve"> </w:t>
      </w:r>
      <w:r>
        <w:rPr>
          <w:rtl/>
        </w:rPr>
        <w:t>المتعلقة</w:t>
      </w:r>
      <w:r w:rsidR="00FA4A2E">
        <w:rPr>
          <w:rtl/>
        </w:rPr>
        <w:t xml:space="preserve"> </w:t>
      </w:r>
      <w:r>
        <w:rPr>
          <w:rtl/>
        </w:rPr>
        <w:t>بمركز</w:t>
      </w:r>
      <w:r w:rsidR="00FA4A2E">
        <w:rPr>
          <w:rtl/>
        </w:rPr>
        <w:t xml:space="preserve"> </w:t>
      </w:r>
      <w:r>
        <w:rPr>
          <w:rtl/>
        </w:rPr>
        <w:t>المؤسسات</w:t>
      </w:r>
      <w:r w:rsidR="00FA4A2E">
        <w:rPr>
          <w:rtl/>
        </w:rPr>
        <w:t xml:space="preserve"> </w:t>
      </w:r>
      <w:r>
        <w:rPr>
          <w:rtl/>
        </w:rPr>
        <w:t>الوطنية</w:t>
      </w:r>
      <w:r w:rsidR="00FA4A2E">
        <w:rPr>
          <w:rtl/>
        </w:rPr>
        <w:t xml:space="preserve"> </w:t>
      </w:r>
      <w:r>
        <w:rPr>
          <w:rtl/>
        </w:rPr>
        <w:t>لتعزيز</w:t>
      </w:r>
      <w:r w:rsidR="00FA4A2E">
        <w:rPr>
          <w:rtl/>
        </w:rPr>
        <w:t xml:space="preserve"> </w:t>
      </w:r>
      <w:r>
        <w:rPr>
          <w:rtl/>
        </w:rPr>
        <w:t>وحماية</w:t>
      </w:r>
      <w:r w:rsidR="00FA4A2E">
        <w:rPr>
          <w:rtl/>
        </w:rPr>
        <w:t xml:space="preserve"> </w:t>
      </w:r>
      <w:r>
        <w:rPr>
          <w:rtl/>
        </w:rPr>
        <w:t>حقوق</w:t>
      </w:r>
      <w:r w:rsidR="00FA4A2E">
        <w:rPr>
          <w:rtl/>
        </w:rPr>
        <w:t xml:space="preserve"> </w:t>
      </w:r>
      <w:r>
        <w:rPr>
          <w:rtl/>
        </w:rPr>
        <w:t>الإنسان</w:t>
      </w:r>
      <w:r w:rsidR="00FA4A2E">
        <w:rPr>
          <w:rtl/>
        </w:rPr>
        <w:t xml:space="preserve"> </w:t>
      </w:r>
      <w:r>
        <w:rPr>
          <w:rtl/>
        </w:rPr>
        <w:t>(مبادئ</w:t>
      </w:r>
      <w:r w:rsidR="00FA4A2E">
        <w:rPr>
          <w:rtl/>
        </w:rPr>
        <w:t xml:space="preserve"> </w:t>
      </w:r>
      <w:r>
        <w:rPr>
          <w:rtl/>
        </w:rPr>
        <w:t>باريس)</w:t>
      </w:r>
      <w:r w:rsidR="00FA4A2E">
        <w:rPr>
          <w:rtl/>
        </w:rPr>
        <w:t xml:space="preserve"> </w:t>
      </w:r>
      <w:r>
        <w:rPr>
          <w:rtl/>
        </w:rPr>
        <w:t>(المادتان</w:t>
      </w:r>
      <w:r w:rsidR="00FA4A2E">
        <w:rPr>
          <w:rtl/>
        </w:rPr>
        <w:t xml:space="preserve"> </w:t>
      </w:r>
      <w:r>
        <w:rPr>
          <w:rtl/>
        </w:rPr>
        <w:t>2</w:t>
      </w:r>
      <w:r w:rsidR="00FA4A2E">
        <w:rPr>
          <w:rtl/>
        </w:rPr>
        <w:t xml:space="preserve"> </w:t>
      </w:r>
      <w:r>
        <w:rPr>
          <w:rtl/>
        </w:rPr>
        <w:t>و6</w:t>
      </w:r>
      <w:proofErr w:type="gramStart"/>
      <w:r>
        <w:rPr>
          <w:rtl/>
        </w:rPr>
        <w:t>).</w:t>
      </w:r>
      <w:r>
        <w:rPr>
          <w:rFonts w:ascii="Arial" w:hAnsi="Arial" w:cs="Arial" w:hint="cs"/>
          <w:rtl/>
        </w:rPr>
        <w:t>‬</w:t>
      </w:r>
      <w:r>
        <w:rPr>
          <w:rFonts w:ascii="Arial" w:hAnsi="Arial" w:cs="Arial" w:hint="cs"/>
          <w:rtl/>
        </w:rPr>
        <w:t>‬</w:t>
      </w:r>
      <w:proofErr w:type="gramEnd"/>
      <w:r w:rsidR="00FA4A2E">
        <w:rPr>
          <w:rtl/>
        </w:rPr>
        <w:t xml:space="preserve"> </w:t>
      </w:r>
      <w:r>
        <w:t>‬</w:t>
      </w:r>
    </w:p>
    <w:p w14:paraId="20C3BC6E" w14:textId="77777777" w:rsidR="002039EE" w:rsidRPr="00DF4833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١٢-</w:t>
      </w:r>
      <w:r>
        <w:rPr>
          <w:rtl/>
        </w:rPr>
        <w:tab/>
      </w:r>
      <w:r>
        <w:rPr>
          <w:b/>
          <w:bCs/>
          <w:rtl/>
        </w:rPr>
        <w:t>تحث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التعجيل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بإنشاء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مؤسسة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وطنية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مستقلة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لحقوق</w:t>
      </w:r>
      <w:r w:rsidR="00FA4A2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الإنسان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تُسند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إليها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ولاية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موسعة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تتمثل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تعزيز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حقوق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الإنسان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وحمايتها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ويُخصَّص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يكفي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الموارد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البشرية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والمالية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لاضطلاع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بولايتها،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وفقاً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لمبادئ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باريس</w:t>
      </w:r>
      <w:r>
        <w:rPr>
          <w:rtl/>
        </w:rPr>
        <w:t>.</w:t>
      </w:r>
      <w:r w:rsidR="00FA4A2E">
        <w:rPr>
          <w:rtl/>
        </w:rPr>
        <w:t xml:space="preserve"> </w:t>
      </w:r>
      <w:r>
        <w:rPr>
          <w:b/>
          <w:bCs/>
          <w:rtl/>
        </w:rPr>
        <w:t>وتشجع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تخويل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المؤسسة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ولاية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البت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يقدمه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الأفراد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شكاوى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عنصري،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النحو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المنصوص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عليه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الفقرة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2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المادة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١٤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DF4833">
        <w:rPr>
          <w:b/>
          <w:bCs/>
          <w:rtl/>
        </w:rPr>
        <w:t>الاتفاقية.</w:t>
      </w:r>
    </w:p>
    <w:p w14:paraId="10208854" w14:textId="77777777" w:rsidR="002039EE" w:rsidRPr="009A18DE" w:rsidRDefault="002039EE" w:rsidP="006373F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الخطاب</w:t>
      </w:r>
      <w:r w:rsidR="00FA4A2E">
        <w:rPr>
          <w:rtl/>
        </w:rPr>
        <w:t xml:space="preserve"> </w:t>
      </w:r>
      <w:r>
        <w:rPr>
          <w:rtl/>
        </w:rPr>
        <w:t>المحرِّض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العنصرية</w:t>
      </w:r>
      <w:r w:rsidR="00FA4A2E">
        <w:rPr>
          <w:rtl/>
        </w:rPr>
        <w:t xml:space="preserve"> </w:t>
      </w:r>
    </w:p>
    <w:p w14:paraId="4B1AB31D" w14:textId="77777777" w:rsidR="002039EE" w:rsidRPr="006373F6" w:rsidRDefault="002039EE" w:rsidP="006373F6">
      <w:pPr>
        <w:pStyle w:val="SingleTxtGA"/>
        <w:rPr>
          <w:spacing w:val="-4"/>
          <w:rtl/>
          <w:lang w:val="ar-SA" w:eastAsia="zh-TW"/>
        </w:rPr>
      </w:pPr>
      <w:r>
        <w:rPr>
          <w:rtl/>
        </w:rPr>
        <w:t>١٣-</w:t>
      </w:r>
      <w:r>
        <w:rPr>
          <w:rtl/>
        </w:rPr>
        <w:tab/>
        <w:t>تحيط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علم</w:t>
      </w:r>
      <w:r w:rsidR="00DF4833">
        <w:rPr>
          <w:rtl/>
        </w:rPr>
        <w:t>اً</w:t>
      </w:r>
      <w:r w:rsidR="00FA4A2E">
        <w:rPr>
          <w:rtl/>
        </w:rPr>
        <w:t xml:space="preserve"> </w:t>
      </w:r>
      <w:r>
        <w:rPr>
          <w:rtl/>
        </w:rPr>
        <w:t>بالتدابير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اتخذتها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لمكافحة</w:t>
      </w:r>
      <w:r w:rsidR="00FA4A2E">
        <w:rPr>
          <w:rtl/>
        </w:rPr>
        <w:t xml:space="preserve"> </w:t>
      </w:r>
      <w:r>
        <w:rPr>
          <w:rtl/>
        </w:rPr>
        <w:t>الخطاب</w:t>
      </w:r>
      <w:r w:rsidR="00FA4A2E">
        <w:rPr>
          <w:rtl/>
        </w:rPr>
        <w:t xml:space="preserve"> </w:t>
      </w:r>
      <w:r>
        <w:rPr>
          <w:rtl/>
        </w:rPr>
        <w:t>المحرِّض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العنصرية،</w:t>
      </w:r>
      <w:r w:rsidR="00FA4A2E">
        <w:rPr>
          <w:rtl/>
        </w:rPr>
        <w:t xml:space="preserve"> </w:t>
      </w:r>
      <w:r>
        <w:rPr>
          <w:rtl/>
        </w:rPr>
        <w:t>بما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ذلك</w:t>
      </w:r>
      <w:r w:rsidR="00FA4A2E">
        <w:rPr>
          <w:rtl/>
        </w:rPr>
        <w:t xml:space="preserve"> </w:t>
      </w:r>
      <w:r>
        <w:rPr>
          <w:rtl/>
        </w:rPr>
        <w:t>تدابير</w:t>
      </w:r>
      <w:r w:rsidR="00FA4A2E">
        <w:rPr>
          <w:rtl/>
        </w:rPr>
        <w:t xml:space="preserve"> </w:t>
      </w:r>
      <w:r>
        <w:rPr>
          <w:rtl/>
        </w:rPr>
        <w:t>التوعية</w:t>
      </w:r>
      <w:r w:rsidR="00FA4A2E">
        <w:rPr>
          <w:rtl/>
        </w:rPr>
        <w:t xml:space="preserve"> </w:t>
      </w:r>
      <w:r>
        <w:rPr>
          <w:rtl/>
        </w:rPr>
        <w:t>بقيمة</w:t>
      </w:r>
      <w:r w:rsidR="00FA4A2E">
        <w:rPr>
          <w:rtl/>
        </w:rPr>
        <w:t xml:space="preserve"> </w:t>
      </w:r>
      <w:r>
        <w:rPr>
          <w:rtl/>
        </w:rPr>
        <w:t>التنوع</w:t>
      </w:r>
      <w:r w:rsidR="00FA4A2E">
        <w:rPr>
          <w:rtl/>
        </w:rPr>
        <w:t xml:space="preserve"> </w:t>
      </w:r>
      <w:r>
        <w:rPr>
          <w:rtl/>
        </w:rPr>
        <w:t>واعتماد</w:t>
      </w:r>
      <w:r w:rsidR="00FA4A2E">
        <w:rPr>
          <w:rtl/>
        </w:rPr>
        <w:t xml:space="preserve"> </w:t>
      </w:r>
      <w:r>
        <w:rPr>
          <w:rtl/>
        </w:rPr>
        <w:t>القانون</w:t>
      </w:r>
      <w:r w:rsidR="00FA4A2E">
        <w:rPr>
          <w:rtl/>
        </w:rPr>
        <w:t xml:space="preserve"> </w:t>
      </w:r>
      <w:r>
        <w:rPr>
          <w:rtl/>
        </w:rPr>
        <w:t>رقم</w:t>
      </w:r>
      <w:r w:rsidR="00FA4A2E">
        <w:rPr>
          <w:rtl/>
        </w:rPr>
        <w:t xml:space="preserve"> </w:t>
      </w:r>
      <w:r>
        <w:rPr>
          <w:rtl/>
        </w:rPr>
        <w:t>38/2011</w:t>
      </w:r>
      <w:r w:rsidR="00FA4A2E">
        <w:rPr>
          <w:rtl/>
        </w:rPr>
        <w:t xml:space="preserve"> </w:t>
      </w:r>
      <w:r>
        <w:rPr>
          <w:rtl/>
        </w:rPr>
        <w:t>المتعلق</w:t>
      </w:r>
      <w:r w:rsidR="00FA4A2E">
        <w:rPr>
          <w:rtl/>
        </w:rPr>
        <w:t xml:space="preserve"> </w:t>
      </w:r>
      <w:r>
        <w:rPr>
          <w:rtl/>
        </w:rPr>
        <w:t>بوسائل</w:t>
      </w:r>
      <w:r w:rsidR="00FA4A2E">
        <w:rPr>
          <w:rtl/>
        </w:rPr>
        <w:t xml:space="preserve"> </w:t>
      </w:r>
      <w:r>
        <w:rPr>
          <w:rtl/>
        </w:rPr>
        <w:t>الإعلام،</w:t>
      </w:r>
      <w:r w:rsidR="00FA4A2E">
        <w:rPr>
          <w:rtl/>
        </w:rPr>
        <w:t xml:space="preserve"> </w:t>
      </w:r>
      <w:r>
        <w:rPr>
          <w:rtl/>
        </w:rPr>
        <w:t>الذي</w:t>
      </w:r>
      <w:r w:rsidR="00FA4A2E">
        <w:rPr>
          <w:rtl/>
        </w:rPr>
        <w:t xml:space="preserve"> </w:t>
      </w:r>
      <w:r>
        <w:rPr>
          <w:rtl/>
        </w:rPr>
        <w:t>تحظر</w:t>
      </w:r>
      <w:r w:rsidR="00FA4A2E">
        <w:rPr>
          <w:rtl/>
        </w:rPr>
        <w:t xml:space="preserve"> </w:t>
      </w:r>
      <w:r>
        <w:rPr>
          <w:rtl/>
        </w:rPr>
        <w:t>المادة</w:t>
      </w:r>
      <w:r w:rsidR="00FA4A2E">
        <w:rPr>
          <w:rtl/>
        </w:rPr>
        <w:t xml:space="preserve"> </w:t>
      </w:r>
      <w:r>
        <w:rPr>
          <w:rtl/>
        </w:rPr>
        <w:t>27</w:t>
      </w:r>
      <w:r w:rsidR="00FA4A2E">
        <w:rPr>
          <w:rtl/>
        </w:rPr>
        <w:t xml:space="preserve"> </w:t>
      </w:r>
      <w:r>
        <w:rPr>
          <w:rtl/>
        </w:rPr>
        <w:t>منه</w:t>
      </w:r>
      <w:r w:rsidR="00FA4A2E">
        <w:rPr>
          <w:rtl/>
        </w:rPr>
        <w:t xml:space="preserve"> </w:t>
      </w:r>
      <w:r>
        <w:rPr>
          <w:rtl/>
        </w:rPr>
        <w:t>التحريض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وسائل</w:t>
      </w:r>
      <w:r w:rsidR="00FA4A2E">
        <w:rPr>
          <w:rtl/>
        </w:rPr>
        <w:t xml:space="preserve"> </w:t>
      </w:r>
      <w:r>
        <w:rPr>
          <w:rtl/>
        </w:rPr>
        <w:t>الإعلام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لأسباب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بينها</w:t>
      </w:r>
      <w:r w:rsidR="00FA4A2E">
        <w:rPr>
          <w:rtl/>
        </w:rPr>
        <w:t xml:space="preserve"> </w:t>
      </w:r>
      <w:r>
        <w:rPr>
          <w:rtl/>
        </w:rPr>
        <w:t>العرِق.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أنها</w:t>
      </w:r>
      <w:r w:rsidR="00FA4A2E">
        <w:rPr>
          <w:rtl/>
        </w:rPr>
        <w:t xml:space="preserve"> </w:t>
      </w:r>
      <w:r>
        <w:rPr>
          <w:rtl/>
        </w:rPr>
        <w:t>تعرب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قلقها</w:t>
      </w:r>
      <w:r w:rsidR="00FA4A2E">
        <w:rPr>
          <w:rtl/>
        </w:rPr>
        <w:t xml:space="preserve"> </w:t>
      </w:r>
      <w:r>
        <w:rPr>
          <w:rtl/>
        </w:rPr>
        <w:t>إزاء</w:t>
      </w:r>
      <w:r w:rsidR="00FA4A2E">
        <w:rPr>
          <w:rtl/>
        </w:rPr>
        <w:t xml:space="preserve"> </w:t>
      </w:r>
      <w:r>
        <w:rPr>
          <w:rtl/>
        </w:rPr>
        <w:t>تزايد</w:t>
      </w:r>
      <w:r w:rsidR="00FA4A2E">
        <w:rPr>
          <w:rtl/>
        </w:rPr>
        <w:t xml:space="preserve"> </w:t>
      </w:r>
      <w:r>
        <w:rPr>
          <w:rtl/>
        </w:rPr>
        <w:t>الخطاب</w:t>
      </w:r>
      <w:r w:rsidR="00FA4A2E">
        <w:rPr>
          <w:rtl/>
        </w:rPr>
        <w:t xml:space="preserve"> </w:t>
      </w:r>
      <w:r>
        <w:rPr>
          <w:rtl/>
        </w:rPr>
        <w:t>المحرِّض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الكراهية،</w:t>
      </w:r>
      <w:r w:rsidR="00FA4A2E">
        <w:rPr>
          <w:rtl/>
        </w:rPr>
        <w:t xml:space="preserve"> </w:t>
      </w:r>
      <w:r>
        <w:rPr>
          <w:rtl/>
        </w:rPr>
        <w:t>ولا</w:t>
      </w:r>
      <w:r w:rsidR="00262928">
        <w:rPr>
          <w:rFonts w:hint="eastAsia"/>
          <w:rtl/>
        </w:rPr>
        <w:t> </w:t>
      </w:r>
      <w:r>
        <w:rPr>
          <w:rtl/>
        </w:rPr>
        <w:t>سيما</w:t>
      </w:r>
      <w:r w:rsidR="00FA4A2E">
        <w:rPr>
          <w:rtl/>
        </w:rPr>
        <w:t xml:space="preserve"> </w:t>
      </w:r>
      <w:r>
        <w:rPr>
          <w:rtl/>
        </w:rPr>
        <w:t>ضد</w:t>
      </w:r>
      <w:r w:rsidR="00FA4A2E">
        <w:rPr>
          <w:rtl/>
        </w:rPr>
        <w:t xml:space="preserve"> </w:t>
      </w:r>
      <w:r>
        <w:rPr>
          <w:rtl/>
        </w:rPr>
        <w:t>الجماعات</w:t>
      </w:r>
      <w:r w:rsidR="00FA4A2E">
        <w:rPr>
          <w:rtl/>
        </w:rPr>
        <w:t xml:space="preserve"> </w:t>
      </w:r>
      <w:r>
        <w:rPr>
          <w:rtl/>
        </w:rPr>
        <w:t>الإثنية</w:t>
      </w:r>
      <w:r w:rsidR="00FA4A2E">
        <w:rPr>
          <w:rFonts w:hint="cs"/>
          <w:rtl/>
        </w:rPr>
        <w:t xml:space="preserve"> </w:t>
      </w:r>
      <w:r>
        <w:rPr>
          <w:rtl/>
        </w:rPr>
        <w:t>-</w:t>
      </w:r>
      <w:r w:rsidR="00FA4A2E">
        <w:rPr>
          <w:rFonts w:hint="cs"/>
          <w:rtl/>
        </w:rPr>
        <w:t xml:space="preserve"> </w:t>
      </w:r>
      <w:r>
        <w:rPr>
          <w:rtl/>
        </w:rPr>
        <w:t>الدينية</w:t>
      </w:r>
      <w:r w:rsidR="00FA4A2E">
        <w:rPr>
          <w:rtl/>
        </w:rPr>
        <w:t xml:space="preserve"> </w:t>
      </w:r>
      <w:r>
        <w:rPr>
          <w:rtl/>
        </w:rPr>
        <w:t>والأجانب</w:t>
      </w:r>
      <w:r w:rsidR="00FA4A2E">
        <w:rPr>
          <w:rtl/>
        </w:rPr>
        <w:t xml:space="preserve"> </w:t>
      </w:r>
      <w:r>
        <w:rPr>
          <w:rtl/>
        </w:rPr>
        <w:t>المسلمين،</w:t>
      </w:r>
      <w:r w:rsidR="00FA4A2E">
        <w:rPr>
          <w:rtl/>
        </w:rPr>
        <w:t xml:space="preserve"> </w:t>
      </w:r>
      <w:r>
        <w:rPr>
          <w:rtl/>
        </w:rPr>
        <w:t>وإزاء</w:t>
      </w:r>
      <w:r w:rsidR="00FA4A2E">
        <w:rPr>
          <w:rtl/>
        </w:rPr>
        <w:t xml:space="preserve"> </w:t>
      </w:r>
      <w:r>
        <w:rPr>
          <w:rtl/>
        </w:rPr>
        <w:t>التحريض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العنصرية</w:t>
      </w:r>
      <w:r w:rsidR="00FA4A2E">
        <w:rPr>
          <w:rtl/>
        </w:rPr>
        <w:t xml:space="preserve"> </w:t>
      </w:r>
      <w:r>
        <w:rPr>
          <w:rtl/>
        </w:rPr>
        <w:t>ونشر</w:t>
      </w:r>
      <w:r w:rsidR="00FA4A2E">
        <w:rPr>
          <w:rtl/>
        </w:rPr>
        <w:t xml:space="preserve"> </w:t>
      </w:r>
      <w:r>
        <w:rPr>
          <w:rtl/>
        </w:rPr>
        <w:t>أفكار</w:t>
      </w:r>
      <w:r w:rsidR="00FA4A2E">
        <w:rPr>
          <w:rtl/>
        </w:rPr>
        <w:t xml:space="preserve"> </w:t>
      </w:r>
      <w:r>
        <w:rPr>
          <w:rtl/>
        </w:rPr>
        <w:t>التفوق</w:t>
      </w:r>
      <w:r w:rsidR="00FA4A2E">
        <w:rPr>
          <w:rtl/>
        </w:rPr>
        <w:t xml:space="preserve"> </w:t>
      </w:r>
      <w:r>
        <w:rPr>
          <w:rtl/>
        </w:rPr>
        <w:t>العرقي</w:t>
      </w:r>
      <w:r w:rsidR="00FA4A2E">
        <w:rPr>
          <w:rtl/>
        </w:rPr>
        <w:t xml:space="preserve"> </w:t>
      </w:r>
      <w:r>
        <w:rPr>
          <w:rtl/>
        </w:rPr>
        <w:t>واستخدام</w:t>
      </w:r>
      <w:r w:rsidR="00FA4A2E">
        <w:rPr>
          <w:rtl/>
        </w:rPr>
        <w:t xml:space="preserve"> </w:t>
      </w:r>
      <w:r>
        <w:rPr>
          <w:rtl/>
        </w:rPr>
        <w:t>التصورات</w:t>
      </w:r>
      <w:r w:rsidR="00FA4A2E">
        <w:rPr>
          <w:rtl/>
        </w:rPr>
        <w:t xml:space="preserve"> </w:t>
      </w:r>
      <w:r>
        <w:rPr>
          <w:rtl/>
        </w:rPr>
        <w:t>النمطية</w:t>
      </w:r>
      <w:r w:rsidR="00FA4A2E">
        <w:rPr>
          <w:rtl/>
        </w:rPr>
        <w:t xml:space="preserve"> </w:t>
      </w:r>
      <w:r>
        <w:rPr>
          <w:rtl/>
        </w:rPr>
        <w:t>العنصرية،</w:t>
      </w:r>
      <w:r w:rsidR="00FA4A2E">
        <w:rPr>
          <w:rtl/>
        </w:rPr>
        <w:t xml:space="preserve"> </w:t>
      </w:r>
      <w:r>
        <w:rPr>
          <w:rtl/>
        </w:rPr>
        <w:t>بما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ذلك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الحملات</w:t>
      </w:r>
      <w:r w:rsidR="00FA4A2E">
        <w:rPr>
          <w:rtl/>
        </w:rPr>
        <w:t xml:space="preserve"> </w:t>
      </w:r>
      <w:r>
        <w:rPr>
          <w:rtl/>
        </w:rPr>
        <w:t>والمناقشات</w:t>
      </w:r>
      <w:r w:rsidR="00FA4A2E">
        <w:rPr>
          <w:rtl/>
        </w:rPr>
        <w:t xml:space="preserve"> </w:t>
      </w:r>
      <w:r>
        <w:rPr>
          <w:rtl/>
        </w:rPr>
        <w:t>السياسية،</w:t>
      </w:r>
      <w:r w:rsidR="00FA4A2E">
        <w:rPr>
          <w:rtl/>
        </w:rPr>
        <w:t xml:space="preserve"> </w:t>
      </w:r>
      <w:r>
        <w:rPr>
          <w:rtl/>
        </w:rPr>
        <w:t>وفي</w:t>
      </w:r>
      <w:r w:rsidR="00FA4A2E">
        <w:rPr>
          <w:rtl/>
        </w:rPr>
        <w:t xml:space="preserve"> </w:t>
      </w:r>
      <w:r>
        <w:rPr>
          <w:rtl/>
        </w:rPr>
        <w:t>وسائل</w:t>
      </w:r>
      <w:r w:rsidR="00FA4A2E">
        <w:rPr>
          <w:rtl/>
        </w:rPr>
        <w:t xml:space="preserve"> </w:t>
      </w:r>
      <w:r>
        <w:rPr>
          <w:rtl/>
        </w:rPr>
        <w:t>الإعلام،</w:t>
      </w:r>
      <w:r w:rsidR="00FA4A2E">
        <w:rPr>
          <w:rtl/>
        </w:rPr>
        <w:t xml:space="preserve"> </w:t>
      </w:r>
      <w:r>
        <w:rPr>
          <w:rtl/>
        </w:rPr>
        <w:t>وعلى</w:t>
      </w:r>
      <w:r w:rsidR="00FA4A2E">
        <w:rPr>
          <w:rtl/>
        </w:rPr>
        <w:t xml:space="preserve"> </w:t>
      </w:r>
      <w:r>
        <w:rPr>
          <w:rtl/>
        </w:rPr>
        <w:t>شبكة</w:t>
      </w:r>
      <w:r w:rsidR="00FA4A2E">
        <w:rPr>
          <w:rtl/>
        </w:rPr>
        <w:t xml:space="preserve"> </w:t>
      </w:r>
      <w:r>
        <w:rPr>
          <w:rtl/>
        </w:rPr>
        <w:t>الإنترنت،</w:t>
      </w:r>
      <w:r w:rsidR="00FA4A2E">
        <w:rPr>
          <w:rtl/>
        </w:rPr>
        <w:t xml:space="preserve"> </w:t>
      </w:r>
      <w:r>
        <w:rPr>
          <w:rtl/>
        </w:rPr>
        <w:t>وعلى</w:t>
      </w:r>
      <w:r w:rsidR="00FA4A2E">
        <w:rPr>
          <w:rtl/>
        </w:rPr>
        <w:t xml:space="preserve"> </w:t>
      </w:r>
      <w:r>
        <w:rPr>
          <w:rtl/>
        </w:rPr>
        <w:t>وسائل</w:t>
      </w:r>
      <w:r w:rsidR="00FA4A2E">
        <w:rPr>
          <w:rtl/>
        </w:rPr>
        <w:t xml:space="preserve"> </w:t>
      </w:r>
      <w:r>
        <w:rPr>
          <w:rtl/>
        </w:rPr>
        <w:t>التواصل</w:t>
      </w:r>
      <w:r w:rsidR="00FA4A2E">
        <w:rPr>
          <w:rtl/>
        </w:rPr>
        <w:t xml:space="preserve"> </w:t>
      </w:r>
      <w:r>
        <w:rPr>
          <w:rtl/>
        </w:rPr>
        <w:t>الاجتماعي.</w:t>
      </w:r>
      <w:r w:rsidR="00FA4A2E">
        <w:rPr>
          <w:rtl/>
        </w:rPr>
        <w:t xml:space="preserve"> </w:t>
      </w:r>
      <w:r>
        <w:rPr>
          <w:rtl/>
        </w:rPr>
        <w:t>وتعرب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أيضاً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قلقها</w:t>
      </w:r>
      <w:r w:rsidR="00FA4A2E">
        <w:rPr>
          <w:rtl/>
        </w:rPr>
        <w:t xml:space="preserve"> </w:t>
      </w:r>
      <w:r>
        <w:rPr>
          <w:rtl/>
        </w:rPr>
        <w:t>لعدم</w:t>
      </w:r>
      <w:r w:rsidR="00FA4A2E">
        <w:rPr>
          <w:rtl/>
        </w:rPr>
        <w:t xml:space="preserve"> </w:t>
      </w:r>
      <w:r>
        <w:rPr>
          <w:rtl/>
        </w:rPr>
        <w:t>فرض</w:t>
      </w:r>
      <w:r w:rsidR="00FA4A2E">
        <w:rPr>
          <w:rtl/>
        </w:rPr>
        <w:t xml:space="preserve"> </w:t>
      </w:r>
      <w:r>
        <w:rPr>
          <w:rtl/>
        </w:rPr>
        <w:t>العقوبات</w:t>
      </w:r>
      <w:r w:rsidR="00FA4A2E">
        <w:rPr>
          <w:rtl/>
        </w:rPr>
        <w:t xml:space="preserve"> </w:t>
      </w:r>
      <w:r>
        <w:rPr>
          <w:rtl/>
        </w:rPr>
        <w:t>المنصوص</w:t>
      </w:r>
      <w:r w:rsidR="00FA4A2E">
        <w:rPr>
          <w:rtl/>
        </w:rPr>
        <w:t xml:space="preserve"> </w:t>
      </w:r>
      <w:r>
        <w:rPr>
          <w:rtl/>
        </w:rPr>
        <w:t>عليها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المادة</w:t>
      </w:r>
      <w:r w:rsidR="00FA4A2E">
        <w:rPr>
          <w:rtl/>
        </w:rPr>
        <w:t xml:space="preserve"> </w:t>
      </w:r>
      <w:r>
        <w:rPr>
          <w:rtl/>
        </w:rPr>
        <w:t>٢٧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القانون</w:t>
      </w:r>
      <w:r w:rsidR="00FA4A2E">
        <w:rPr>
          <w:rtl/>
        </w:rPr>
        <w:t xml:space="preserve"> </w:t>
      </w:r>
      <w:r>
        <w:rPr>
          <w:rtl/>
        </w:rPr>
        <w:t>إلاّ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حالة</w:t>
      </w:r>
      <w:r w:rsidR="00FA4A2E">
        <w:rPr>
          <w:rtl/>
        </w:rPr>
        <w:t xml:space="preserve"> </w:t>
      </w:r>
      <w:r>
        <w:rPr>
          <w:rtl/>
        </w:rPr>
        <w:t>وقوع</w:t>
      </w:r>
      <w:r w:rsidR="00FA4A2E">
        <w:rPr>
          <w:rtl/>
        </w:rPr>
        <w:t xml:space="preserve"> </w:t>
      </w:r>
      <w:r>
        <w:rPr>
          <w:rtl/>
        </w:rPr>
        <w:t>انتهاكات</w:t>
      </w:r>
      <w:r w:rsidR="00FA4A2E">
        <w:rPr>
          <w:rtl/>
        </w:rPr>
        <w:t xml:space="preserve"> </w:t>
      </w:r>
      <w:r>
        <w:rPr>
          <w:rtl/>
        </w:rPr>
        <w:t>جسيمة</w:t>
      </w:r>
      <w:r w:rsidR="00FA4A2E">
        <w:rPr>
          <w:rtl/>
        </w:rPr>
        <w:t xml:space="preserve"> </w:t>
      </w:r>
      <w:r>
        <w:rPr>
          <w:rtl/>
        </w:rPr>
        <w:t>ومتكررة،</w:t>
      </w:r>
      <w:r w:rsidR="00FA4A2E">
        <w:rPr>
          <w:rtl/>
        </w:rPr>
        <w:t xml:space="preserve"> </w:t>
      </w:r>
      <w:r>
        <w:rPr>
          <w:rtl/>
        </w:rPr>
        <w:t>الأمر</w:t>
      </w:r>
      <w:r w:rsidR="00FA4A2E">
        <w:rPr>
          <w:rtl/>
        </w:rPr>
        <w:t xml:space="preserve"> </w:t>
      </w:r>
      <w:r>
        <w:rPr>
          <w:rtl/>
        </w:rPr>
        <w:t>الذي</w:t>
      </w:r>
      <w:r w:rsidR="00FA4A2E">
        <w:rPr>
          <w:rtl/>
        </w:rPr>
        <w:t xml:space="preserve"> </w:t>
      </w:r>
      <w:r>
        <w:rPr>
          <w:rtl/>
        </w:rPr>
        <w:t>يحول</w:t>
      </w:r>
      <w:r w:rsidR="00FA4A2E">
        <w:rPr>
          <w:rtl/>
        </w:rPr>
        <w:t xml:space="preserve"> </w:t>
      </w:r>
      <w:r>
        <w:rPr>
          <w:rtl/>
        </w:rPr>
        <w:t>دون</w:t>
      </w:r>
      <w:r w:rsidR="00FA4A2E">
        <w:rPr>
          <w:rtl/>
        </w:rPr>
        <w:t xml:space="preserve"> </w:t>
      </w:r>
      <w:r w:rsidRPr="006373F6">
        <w:rPr>
          <w:spacing w:val="-4"/>
          <w:rtl/>
        </w:rPr>
        <w:t>مقاضاة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مرتكبي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جريمة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بث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الخطاب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المحرض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على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الكراهية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في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وسائل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الإعلام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والمعاقبة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عليها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بشكل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فعال.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وتعرب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اللجنة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عن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قلقها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كذلك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لأن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جميع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الشكاوى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المقدمة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بموجب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المادة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٢٧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من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قانون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وسائل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الإعلام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لم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تؤد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إلى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محاكمة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حتى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الآن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بسبب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هذا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الشرط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الصارم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(المواد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٢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و٤</w:t>
      </w:r>
      <w:r w:rsidR="00FA4A2E">
        <w:rPr>
          <w:spacing w:val="-4"/>
          <w:rtl/>
        </w:rPr>
        <w:t xml:space="preserve"> </w:t>
      </w:r>
      <w:r w:rsidRPr="006373F6">
        <w:rPr>
          <w:spacing w:val="-4"/>
          <w:rtl/>
        </w:rPr>
        <w:t>و٧).</w:t>
      </w:r>
    </w:p>
    <w:p w14:paraId="5A564D01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lastRenderedPageBreak/>
        <w:t>١٤-</w:t>
      </w:r>
      <w:r>
        <w:rPr>
          <w:rtl/>
        </w:rPr>
        <w:tab/>
      </w:r>
      <w:r>
        <w:rPr>
          <w:b/>
          <w:bCs/>
          <w:rtl/>
        </w:rPr>
        <w:t>تُذكِّر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بتوصيتها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رقم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35(2013)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بشأن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مكافحة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خطاب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التحريض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الكراهية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العنصرية،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وتوصي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تتخذ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تدابير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صارمة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لمكافحة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الخطاب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المحرِّض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الكراهية،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بسبل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يلي:</w:t>
      </w:r>
    </w:p>
    <w:p w14:paraId="3BD507AA" w14:textId="77777777" w:rsidR="002039EE" w:rsidRPr="009A18D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إدانة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أشكال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الخطاب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المحرض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الكراهية،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تصريحات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الشخصيات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السياسية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والشخصيات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العامة،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ومكافحتها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مكافحةً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صارمة،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FA4A2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رصد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وسائل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الإعلام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والإنترنت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وشبكات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التواصل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الاجتماعي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لتحديد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هوية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يدلون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بخطاب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محرّض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الكراهية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أفراد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وجماعات،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والتحقيق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الأفعال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ومقاضاة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المسؤولين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ومعاقبتهم،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ثبتت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إدانتهم،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بالعقوبات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المناسبة؛</w:t>
      </w:r>
      <w:r w:rsidR="00FA4A2E">
        <w:rPr>
          <w:rtl/>
        </w:rPr>
        <w:t xml:space="preserve"> </w:t>
      </w:r>
    </w:p>
    <w:p w14:paraId="7693D899" w14:textId="77777777" w:rsidR="002039EE" w:rsidRPr="009A18D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تعديل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قانون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وسائل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الإعلام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لإلغاء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الشرط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القاضي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بعدم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معاقبة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الجناة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FA4A2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لم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تكن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الانتهاكات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المرتكبة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جسيمة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ومتكررة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يكفل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مزيداً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الفعالية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مقاضاة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ومعاقبة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الجناة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الحالات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تنطوي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خطاب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محرِّض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الكراهية؛</w:t>
      </w:r>
      <w:r w:rsidR="00FA4A2E">
        <w:rPr>
          <w:rtl/>
        </w:rPr>
        <w:t xml:space="preserve"> </w:t>
      </w:r>
    </w:p>
    <w:p w14:paraId="20E96F9A" w14:textId="77777777" w:rsidR="002039EE" w:rsidRPr="009A18D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</w:r>
      <w:r>
        <w:rPr>
          <w:b/>
          <w:bCs/>
          <w:rtl/>
        </w:rPr>
        <w:t>تعزيز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التفاهم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والتسامح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الأقليات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والمهاجرين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واللاجئين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والسكان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المحليين،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بسبل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مواصلة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اتخذته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وزارة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التعليم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والعلوم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والثقافة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والمركز</w:t>
      </w:r>
      <w:r w:rsidR="00FA4A2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الآيسلندي</w:t>
      </w:r>
      <w:proofErr w:type="spellEnd"/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لزيادة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أمان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الانترنت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مبادرات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لمكافحة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الخطاب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المحرِّض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الكراهية.</w:t>
      </w:r>
      <w:r w:rsidR="00FA4A2E">
        <w:rPr>
          <w:rtl/>
        </w:rPr>
        <w:t xml:space="preserve"> </w:t>
      </w:r>
    </w:p>
    <w:p w14:paraId="366B30E7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جرائم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العنصرية</w:t>
      </w:r>
    </w:p>
    <w:p w14:paraId="493FCC1C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١٥-</w:t>
      </w:r>
      <w:r>
        <w:rPr>
          <w:rtl/>
        </w:rPr>
        <w:tab/>
        <w:t>تحيط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علم</w:t>
      </w:r>
      <w:r w:rsidR="00DF4833">
        <w:rPr>
          <w:rtl/>
        </w:rPr>
        <w:t>اً</w:t>
      </w:r>
      <w:r w:rsidR="00FA4A2E">
        <w:rPr>
          <w:rtl/>
        </w:rPr>
        <w:t xml:space="preserve"> </w:t>
      </w:r>
      <w:r>
        <w:rPr>
          <w:rtl/>
        </w:rPr>
        <w:t>بما</w:t>
      </w:r>
      <w:r w:rsidR="00FA4A2E">
        <w:rPr>
          <w:rtl/>
        </w:rPr>
        <w:t xml:space="preserve"> </w:t>
      </w:r>
      <w:r>
        <w:rPr>
          <w:rtl/>
        </w:rPr>
        <w:t>اتخذته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مبادرات</w:t>
      </w:r>
      <w:r w:rsidR="00FA4A2E">
        <w:rPr>
          <w:rtl/>
        </w:rPr>
        <w:t xml:space="preserve"> </w:t>
      </w:r>
      <w:r>
        <w:rPr>
          <w:rtl/>
        </w:rPr>
        <w:t>لتوعية</w:t>
      </w:r>
      <w:r w:rsidR="00FA4A2E">
        <w:rPr>
          <w:rtl/>
        </w:rPr>
        <w:t xml:space="preserve"> </w:t>
      </w:r>
      <w:r>
        <w:rPr>
          <w:rtl/>
        </w:rPr>
        <w:t>قوات</w:t>
      </w:r>
      <w:r w:rsidR="00FA4A2E">
        <w:rPr>
          <w:rtl/>
        </w:rPr>
        <w:t xml:space="preserve"> </w:t>
      </w:r>
      <w:r>
        <w:rPr>
          <w:rtl/>
        </w:rPr>
        <w:t>الشرطة</w:t>
      </w:r>
      <w:r w:rsidR="00FA4A2E">
        <w:rPr>
          <w:rtl/>
        </w:rPr>
        <w:t xml:space="preserve"> </w:t>
      </w:r>
      <w:r>
        <w:rPr>
          <w:rtl/>
        </w:rPr>
        <w:t>وبناء</w:t>
      </w:r>
      <w:r w:rsidR="00FA4A2E">
        <w:rPr>
          <w:rtl/>
        </w:rPr>
        <w:t xml:space="preserve"> </w:t>
      </w:r>
      <w:r>
        <w:rPr>
          <w:rtl/>
        </w:rPr>
        <w:t>قدراتها،</w:t>
      </w:r>
      <w:r w:rsidR="00FA4A2E">
        <w:rPr>
          <w:rtl/>
        </w:rPr>
        <w:t xml:space="preserve"> </w:t>
      </w:r>
      <w:r>
        <w:rPr>
          <w:rtl/>
        </w:rPr>
        <w:t>بما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ذلك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خلال</w:t>
      </w:r>
      <w:r w:rsidR="00FA4A2E">
        <w:rPr>
          <w:rtl/>
        </w:rPr>
        <w:t xml:space="preserve"> </w:t>
      </w:r>
      <w:r>
        <w:rPr>
          <w:rtl/>
        </w:rPr>
        <w:t>توفير</w:t>
      </w:r>
      <w:r w:rsidR="00FA4A2E">
        <w:rPr>
          <w:rtl/>
        </w:rPr>
        <w:t xml:space="preserve"> </w:t>
      </w:r>
      <w:r>
        <w:rPr>
          <w:rtl/>
        </w:rPr>
        <w:t>تدريب</w:t>
      </w:r>
      <w:r w:rsidR="00FA4A2E">
        <w:rPr>
          <w:rtl/>
        </w:rPr>
        <w:t xml:space="preserve"> </w:t>
      </w:r>
      <w:r>
        <w:rPr>
          <w:rtl/>
        </w:rPr>
        <w:t>متخصص</w:t>
      </w:r>
      <w:r w:rsidR="00FA4A2E">
        <w:rPr>
          <w:rtl/>
        </w:rPr>
        <w:t xml:space="preserve"> </w:t>
      </w:r>
      <w:r>
        <w:rPr>
          <w:rtl/>
        </w:rPr>
        <w:t>بشأن</w:t>
      </w:r>
      <w:r w:rsidR="00FA4A2E">
        <w:rPr>
          <w:rtl/>
        </w:rPr>
        <w:t xml:space="preserve"> </w:t>
      </w:r>
      <w:r>
        <w:rPr>
          <w:rtl/>
        </w:rPr>
        <w:t>جرائم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ودورات</w:t>
      </w:r>
      <w:r w:rsidR="00FA4A2E">
        <w:rPr>
          <w:rtl/>
        </w:rPr>
        <w:t xml:space="preserve"> </w:t>
      </w:r>
      <w:r>
        <w:rPr>
          <w:rtl/>
        </w:rPr>
        <w:t>تدريبية</w:t>
      </w:r>
      <w:r w:rsidR="00FA4A2E">
        <w:rPr>
          <w:rtl/>
        </w:rPr>
        <w:t xml:space="preserve"> </w:t>
      </w:r>
      <w:r>
        <w:rPr>
          <w:rtl/>
        </w:rPr>
        <w:t>بشأن</w:t>
      </w:r>
      <w:r w:rsidR="00FA4A2E">
        <w:rPr>
          <w:rtl/>
        </w:rPr>
        <w:t xml:space="preserve"> </w:t>
      </w:r>
      <w:r>
        <w:rPr>
          <w:rtl/>
        </w:rPr>
        <w:t>التنوع</w:t>
      </w:r>
      <w:r w:rsidR="00FA4A2E">
        <w:rPr>
          <w:rtl/>
        </w:rPr>
        <w:t xml:space="preserve"> </w:t>
      </w:r>
      <w:r>
        <w:rPr>
          <w:rtl/>
        </w:rPr>
        <w:t>وعدم</w:t>
      </w:r>
      <w:r w:rsidR="00FA4A2E">
        <w:rPr>
          <w:rtl/>
        </w:rPr>
        <w:t xml:space="preserve"> </w:t>
      </w:r>
      <w:r>
        <w:rPr>
          <w:rtl/>
        </w:rPr>
        <w:t>التمييز.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أن</w:t>
      </w:r>
      <w:r w:rsidR="00FA4A2E">
        <w:rPr>
          <w:rtl/>
        </w:rPr>
        <w:t xml:space="preserve"> </w:t>
      </w:r>
      <w:r>
        <w:rPr>
          <w:rtl/>
        </w:rPr>
        <w:t>القلق</w:t>
      </w:r>
      <w:r w:rsidR="00FA4A2E">
        <w:rPr>
          <w:rtl/>
        </w:rPr>
        <w:t xml:space="preserve"> </w:t>
      </w:r>
      <w:r>
        <w:rPr>
          <w:rtl/>
        </w:rPr>
        <w:t>لا</w:t>
      </w:r>
      <w:r w:rsidR="00FA4A2E">
        <w:rPr>
          <w:rtl/>
        </w:rPr>
        <w:t xml:space="preserve"> </w:t>
      </w:r>
      <w:r>
        <w:rPr>
          <w:rtl/>
        </w:rPr>
        <w:t>يزال</w:t>
      </w:r>
      <w:r w:rsidR="00FA4A2E">
        <w:rPr>
          <w:rtl/>
        </w:rPr>
        <w:t xml:space="preserve"> </w:t>
      </w:r>
      <w:r>
        <w:rPr>
          <w:rtl/>
        </w:rPr>
        <w:t>يساور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إزاء</w:t>
      </w:r>
      <w:r w:rsidR="00FA4A2E">
        <w:rPr>
          <w:rtl/>
        </w:rPr>
        <w:t xml:space="preserve"> </w:t>
      </w:r>
      <w:r>
        <w:rPr>
          <w:rtl/>
        </w:rPr>
        <w:t>استمرار</w:t>
      </w:r>
      <w:r w:rsidR="00FA4A2E">
        <w:rPr>
          <w:rtl/>
        </w:rPr>
        <w:t xml:space="preserve"> </w:t>
      </w:r>
      <w:r>
        <w:rPr>
          <w:rtl/>
        </w:rPr>
        <w:t>وقوع</w:t>
      </w:r>
      <w:r w:rsidR="00FA4A2E">
        <w:rPr>
          <w:rtl/>
        </w:rPr>
        <w:t xml:space="preserve"> </w:t>
      </w:r>
      <w:r>
        <w:rPr>
          <w:rtl/>
        </w:rPr>
        <w:t>جرائم</w:t>
      </w:r>
      <w:r w:rsidR="00FA4A2E">
        <w:rPr>
          <w:rtl/>
        </w:rPr>
        <w:t xml:space="preserve"> </w:t>
      </w:r>
      <w:r>
        <w:rPr>
          <w:rtl/>
        </w:rPr>
        <w:t>كراهية</w:t>
      </w:r>
      <w:r w:rsidR="00FA4A2E">
        <w:rPr>
          <w:rtl/>
        </w:rPr>
        <w:t xml:space="preserve"> </w:t>
      </w:r>
      <w:r>
        <w:rPr>
          <w:rtl/>
        </w:rPr>
        <w:t>عنصرية</w:t>
      </w:r>
      <w:r w:rsidR="00FA4A2E">
        <w:rPr>
          <w:rtl/>
        </w:rPr>
        <w:t xml:space="preserve"> </w:t>
      </w:r>
      <w:r>
        <w:rPr>
          <w:rtl/>
        </w:rPr>
        <w:t>(سُجلت</w:t>
      </w:r>
      <w:r w:rsidR="00FA4A2E">
        <w:rPr>
          <w:rtl/>
        </w:rPr>
        <w:t xml:space="preserve"> </w:t>
      </w:r>
      <w:r>
        <w:rPr>
          <w:rtl/>
        </w:rPr>
        <w:t>ثماني</w:t>
      </w:r>
      <w:r w:rsidR="00FA4A2E">
        <w:rPr>
          <w:rtl/>
        </w:rPr>
        <w:t xml:space="preserve"> </w:t>
      </w:r>
      <w:r>
        <w:rPr>
          <w:rtl/>
        </w:rPr>
        <w:t>جرائم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جرائم</w:t>
      </w:r>
      <w:r w:rsidR="00FA4A2E">
        <w:rPr>
          <w:rtl/>
        </w:rPr>
        <w:t xml:space="preserve"> </w:t>
      </w:r>
      <w:r>
        <w:rPr>
          <w:rtl/>
        </w:rPr>
        <w:t>الكراهية</w:t>
      </w:r>
      <w:r w:rsidR="00FA4A2E">
        <w:rPr>
          <w:rtl/>
        </w:rPr>
        <w:t xml:space="preserve"> </w:t>
      </w:r>
      <w:r>
        <w:rPr>
          <w:rtl/>
        </w:rPr>
        <w:t>العنصرية</w:t>
      </w:r>
      <w:r w:rsidR="00FA4A2E">
        <w:rPr>
          <w:rtl/>
        </w:rPr>
        <w:t xml:space="preserve"> </w:t>
      </w:r>
      <w:r>
        <w:rPr>
          <w:rtl/>
        </w:rPr>
        <w:t>وكراهية</w:t>
      </w:r>
      <w:r w:rsidR="00FA4A2E">
        <w:rPr>
          <w:rtl/>
        </w:rPr>
        <w:t xml:space="preserve"> </w:t>
      </w:r>
      <w:r>
        <w:rPr>
          <w:rtl/>
        </w:rPr>
        <w:t>الأجانب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عام</w:t>
      </w:r>
      <w:r w:rsidR="00FA4A2E">
        <w:rPr>
          <w:rtl/>
        </w:rPr>
        <w:t xml:space="preserve"> </w:t>
      </w:r>
      <w:r>
        <w:rPr>
          <w:rtl/>
        </w:rPr>
        <w:t>2017)</w:t>
      </w:r>
      <w:r w:rsidR="00FA4A2E">
        <w:rPr>
          <w:rtl/>
        </w:rPr>
        <w:t xml:space="preserve"> </w:t>
      </w:r>
      <w:r>
        <w:rPr>
          <w:rtl/>
        </w:rPr>
        <w:t>وإزاء</w:t>
      </w:r>
      <w:r w:rsidR="00FA4A2E">
        <w:rPr>
          <w:rtl/>
        </w:rPr>
        <w:t xml:space="preserve"> </w:t>
      </w:r>
      <w:r>
        <w:rPr>
          <w:rtl/>
        </w:rPr>
        <w:t>احتمال</w:t>
      </w:r>
      <w:r w:rsidR="00FA4A2E">
        <w:rPr>
          <w:rtl/>
        </w:rPr>
        <w:t xml:space="preserve"> </w:t>
      </w:r>
      <w:r>
        <w:rPr>
          <w:rtl/>
        </w:rPr>
        <w:t>عدم</w:t>
      </w:r>
      <w:r w:rsidR="00FA4A2E">
        <w:rPr>
          <w:rtl/>
        </w:rPr>
        <w:t xml:space="preserve"> </w:t>
      </w:r>
      <w:r>
        <w:rPr>
          <w:rtl/>
        </w:rPr>
        <w:t>الإبلاغ</w:t>
      </w:r>
      <w:r w:rsidR="00FA4A2E">
        <w:rPr>
          <w:rtl/>
        </w:rPr>
        <w:t xml:space="preserve"> </w:t>
      </w:r>
      <w:r>
        <w:rPr>
          <w:rtl/>
        </w:rPr>
        <w:t>عما</w:t>
      </w:r>
      <w:r w:rsidR="00FA4A2E">
        <w:rPr>
          <w:rtl/>
        </w:rPr>
        <w:t xml:space="preserve"> </w:t>
      </w:r>
      <w:r>
        <w:rPr>
          <w:rtl/>
        </w:rPr>
        <w:t>يقع</w:t>
      </w:r>
      <w:r w:rsidR="00FA4A2E">
        <w:rPr>
          <w:rtl/>
        </w:rPr>
        <w:t xml:space="preserve"> </w:t>
      </w:r>
      <w:r>
        <w:rPr>
          <w:rtl/>
        </w:rPr>
        <w:t>منها</w:t>
      </w:r>
      <w:r w:rsidR="00FA4A2E">
        <w:rPr>
          <w:rtl/>
        </w:rPr>
        <w:t xml:space="preserve"> </w:t>
      </w:r>
      <w:r>
        <w:rPr>
          <w:rtl/>
        </w:rPr>
        <w:t>(المادتان</w:t>
      </w:r>
      <w:r w:rsidR="00FA4A2E">
        <w:rPr>
          <w:rtl/>
        </w:rPr>
        <w:t xml:space="preserve"> </w:t>
      </w:r>
      <w:r>
        <w:rPr>
          <w:rtl/>
        </w:rPr>
        <w:t>4</w:t>
      </w:r>
      <w:r w:rsidR="00FA4A2E">
        <w:rPr>
          <w:rtl/>
        </w:rPr>
        <w:t xml:space="preserve"> </w:t>
      </w:r>
      <w:r>
        <w:rPr>
          <w:rtl/>
        </w:rPr>
        <w:t>و6).</w:t>
      </w:r>
      <w:r w:rsidR="00FA4A2E">
        <w:rPr>
          <w:rtl/>
        </w:rPr>
        <w:t xml:space="preserve"> </w:t>
      </w:r>
    </w:p>
    <w:p w14:paraId="2F861EDF" w14:textId="77777777" w:rsidR="002039EE" w:rsidRPr="006373F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١٦-</w:t>
      </w:r>
      <w:r>
        <w:tab/>
      </w:r>
      <w:r w:rsidRPr="006373F6"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تكفل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الإبلاغ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جميع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جرائم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الكراهية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العنصرية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والتحقيق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فيها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ومحاكمة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المسؤولين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عنها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ومعاقبتهم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بعقوبات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مناسبة،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إن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ثبتت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إدانتهم،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وتوفير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سبل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الانتصاف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للضحايا.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وتوصي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تسجل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جرائم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الكراهية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العنصرية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وتوافي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بإحصاءات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جرائم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الكراهية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المبلغ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عنها،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ونتائج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التحقيقات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فيها،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والعقوبات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المفروضة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الجناة.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وتوصي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كذلك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تستمر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تنفيذ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مبادرات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التوعية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لتثقيف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السكان،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ولا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سيما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الأقليات،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بجرائم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الكراهية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وسبل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الانتصاف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القانونية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المتاحة،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فيها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تعويض</w:t>
      </w:r>
      <w:r w:rsidR="00FA4A2E">
        <w:rPr>
          <w:b/>
          <w:bCs/>
          <w:rtl/>
        </w:rPr>
        <w:t xml:space="preserve"> </w:t>
      </w:r>
      <w:r w:rsidRPr="006373F6">
        <w:rPr>
          <w:b/>
          <w:bCs/>
          <w:rtl/>
        </w:rPr>
        <w:t>الضحايا.</w:t>
      </w:r>
    </w:p>
    <w:p w14:paraId="475B1C8A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الاتجار</w:t>
      </w:r>
      <w:r w:rsidR="00FA4A2E">
        <w:rPr>
          <w:rtl/>
        </w:rPr>
        <w:t xml:space="preserve"> </w:t>
      </w:r>
      <w:r>
        <w:rPr>
          <w:rtl/>
        </w:rPr>
        <w:t>بالأشخاص</w:t>
      </w:r>
    </w:p>
    <w:p w14:paraId="0D62B792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١٧-</w:t>
      </w:r>
      <w:r>
        <w:tab/>
      </w:r>
      <w:r>
        <w:rPr>
          <w:rtl/>
        </w:rPr>
        <w:t>تحيط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علماً</w:t>
      </w:r>
      <w:r w:rsidR="00FA4A2E">
        <w:rPr>
          <w:rtl/>
        </w:rPr>
        <w:t xml:space="preserve"> </w:t>
      </w:r>
      <w:r>
        <w:rPr>
          <w:rtl/>
        </w:rPr>
        <w:t>بالإحصاءات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قدمها</w:t>
      </w:r>
      <w:r w:rsidR="00FA4A2E">
        <w:rPr>
          <w:rtl/>
        </w:rPr>
        <w:t xml:space="preserve"> </w:t>
      </w:r>
      <w:r>
        <w:rPr>
          <w:rtl/>
        </w:rPr>
        <w:t>وفد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عما</w:t>
      </w:r>
      <w:r w:rsidR="00FA4A2E">
        <w:rPr>
          <w:rtl/>
        </w:rPr>
        <w:t xml:space="preserve"> </w:t>
      </w:r>
      <w:r>
        <w:rPr>
          <w:rtl/>
        </w:rPr>
        <w:t>حُدد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الفترة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عام</w:t>
      </w:r>
      <w:r w:rsidR="00FA4A2E">
        <w:rPr>
          <w:rtl/>
        </w:rPr>
        <w:t xml:space="preserve"> </w:t>
      </w:r>
      <w:r>
        <w:rPr>
          <w:rtl/>
        </w:rPr>
        <w:t>2015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عام</w:t>
      </w:r>
      <w:r w:rsidR="00FA4A2E">
        <w:rPr>
          <w:rtl/>
        </w:rPr>
        <w:t xml:space="preserve"> </w:t>
      </w:r>
      <w:r>
        <w:rPr>
          <w:rtl/>
        </w:rPr>
        <w:t>2019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حالات</w:t>
      </w:r>
      <w:r w:rsidR="00FA4A2E">
        <w:rPr>
          <w:rtl/>
        </w:rPr>
        <w:t xml:space="preserve"> </w:t>
      </w:r>
      <w:r>
        <w:rPr>
          <w:rtl/>
        </w:rPr>
        <w:t>يشتبه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أنها</w:t>
      </w:r>
      <w:r w:rsidR="00FA4A2E">
        <w:rPr>
          <w:rtl/>
        </w:rPr>
        <w:t xml:space="preserve"> </w:t>
      </w:r>
      <w:r>
        <w:rPr>
          <w:rtl/>
        </w:rPr>
        <w:t>حالات</w:t>
      </w:r>
      <w:r w:rsidR="00FA4A2E">
        <w:rPr>
          <w:rtl/>
        </w:rPr>
        <w:t xml:space="preserve"> </w:t>
      </w:r>
      <w:r>
        <w:rPr>
          <w:rtl/>
        </w:rPr>
        <w:t>اتجار</w:t>
      </w:r>
      <w:r w:rsidR="00FA4A2E">
        <w:rPr>
          <w:rtl/>
        </w:rPr>
        <w:t xml:space="preserve"> </w:t>
      </w:r>
      <w:r>
        <w:rPr>
          <w:rtl/>
        </w:rPr>
        <w:t>بالأشخاص،</w:t>
      </w:r>
      <w:r w:rsidR="00FA4A2E">
        <w:rPr>
          <w:rtl/>
        </w:rPr>
        <w:t xml:space="preserve"> </w:t>
      </w:r>
      <w:r>
        <w:rPr>
          <w:rtl/>
        </w:rPr>
        <w:t>وعن</w:t>
      </w:r>
      <w:r w:rsidR="00FA4A2E">
        <w:rPr>
          <w:rtl/>
        </w:rPr>
        <w:t xml:space="preserve"> </w:t>
      </w:r>
      <w:r>
        <w:rPr>
          <w:rtl/>
        </w:rPr>
        <w:t>المساعدة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قُدمت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الضحايا،</w:t>
      </w:r>
      <w:r w:rsidR="00FA4A2E">
        <w:rPr>
          <w:rtl/>
        </w:rPr>
        <w:t xml:space="preserve"> </w:t>
      </w:r>
      <w:r>
        <w:rPr>
          <w:rtl/>
        </w:rPr>
        <w:t>وهم</w:t>
      </w:r>
      <w:r w:rsidR="00FA4A2E">
        <w:rPr>
          <w:rtl/>
        </w:rPr>
        <w:t xml:space="preserve"> </w:t>
      </w:r>
      <w:r>
        <w:rPr>
          <w:rtl/>
        </w:rPr>
        <w:t>عادةً</w:t>
      </w:r>
      <w:r w:rsidR="00FA4A2E">
        <w:rPr>
          <w:rtl/>
        </w:rPr>
        <w:t xml:space="preserve"> </w:t>
      </w:r>
      <w:r>
        <w:rPr>
          <w:rtl/>
        </w:rPr>
        <w:t>أجانب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شرق</w:t>
      </w:r>
      <w:r w:rsidR="00FA4A2E">
        <w:rPr>
          <w:rtl/>
        </w:rPr>
        <w:t xml:space="preserve"> </w:t>
      </w:r>
      <w:r>
        <w:rPr>
          <w:rtl/>
        </w:rPr>
        <w:t>أوروبا</w:t>
      </w:r>
      <w:r w:rsidR="00FA4A2E">
        <w:rPr>
          <w:rtl/>
        </w:rPr>
        <w:t xml:space="preserve"> </w:t>
      </w:r>
      <w:r>
        <w:rPr>
          <w:rtl/>
        </w:rPr>
        <w:t>ودول</w:t>
      </w:r>
      <w:r w:rsidR="00FA4A2E">
        <w:rPr>
          <w:rtl/>
        </w:rPr>
        <w:t xml:space="preserve"> </w:t>
      </w:r>
      <w:r>
        <w:rPr>
          <w:rtl/>
        </w:rPr>
        <w:t>بحر</w:t>
      </w:r>
      <w:r w:rsidR="00FA4A2E">
        <w:rPr>
          <w:rtl/>
        </w:rPr>
        <w:t xml:space="preserve"> </w:t>
      </w:r>
      <w:r>
        <w:rPr>
          <w:rtl/>
        </w:rPr>
        <w:t>البلطيق</w:t>
      </w:r>
      <w:r w:rsidR="00FA4A2E">
        <w:rPr>
          <w:rtl/>
        </w:rPr>
        <w:t xml:space="preserve"> </w:t>
      </w:r>
      <w:r>
        <w:rPr>
          <w:rtl/>
        </w:rPr>
        <w:t>وأمريكا</w:t>
      </w:r>
      <w:r w:rsidR="00FA4A2E">
        <w:rPr>
          <w:rtl/>
        </w:rPr>
        <w:t xml:space="preserve"> </w:t>
      </w:r>
      <w:r>
        <w:rPr>
          <w:rtl/>
        </w:rPr>
        <w:t>الجنوبية</w:t>
      </w:r>
      <w:r w:rsidR="00FA4A2E">
        <w:rPr>
          <w:rtl/>
        </w:rPr>
        <w:t xml:space="preserve"> </w:t>
      </w:r>
      <w:r>
        <w:rPr>
          <w:rtl/>
        </w:rPr>
        <w:t>وشرق</w:t>
      </w:r>
      <w:r w:rsidR="00FA4A2E">
        <w:rPr>
          <w:rtl/>
        </w:rPr>
        <w:t xml:space="preserve"> </w:t>
      </w:r>
      <w:r>
        <w:rPr>
          <w:rtl/>
        </w:rPr>
        <w:t>آسيا.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أن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تعرب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قلقها</w:t>
      </w:r>
      <w:r w:rsidR="00FA4A2E">
        <w:rPr>
          <w:rtl/>
        </w:rPr>
        <w:t xml:space="preserve"> </w:t>
      </w:r>
      <w:r>
        <w:rPr>
          <w:rtl/>
        </w:rPr>
        <w:t>لعدم</w:t>
      </w:r>
      <w:r w:rsidR="00FA4A2E">
        <w:rPr>
          <w:rtl/>
        </w:rPr>
        <w:t xml:space="preserve"> </w:t>
      </w:r>
      <w:r>
        <w:rPr>
          <w:rtl/>
        </w:rPr>
        <w:t>صدور</w:t>
      </w:r>
      <w:r w:rsidR="00FA4A2E">
        <w:rPr>
          <w:rtl/>
        </w:rPr>
        <w:t xml:space="preserve"> </w:t>
      </w:r>
      <w:r>
        <w:rPr>
          <w:rtl/>
        </w:rPr>
        <w:t>أي</w:t>
      </w:r>
      <w:r w:rsidR="00FA4A2E">
        <w:rPr>
          <w:rtl/>
        </w:rPr>
        <w:t xml:space="preserve"> </w:t>
      </w:r>
      <w:r>
        <w:rPr>
          <w:rtl/>
        </w:rPr>
        <w:t>أحكام</w:t>
      </w:r>
      <w:r w:rsidR="00FA4A2E">
        <w:rPr>
          <w:rtl/>
        </w:rPr>
        <w:t xml:space="preserve"> </w:t>
      </w:r>
      <w:r>
        <w:rPr>
          <w:rtl/>
        </w:rPr>
        <w:t>إدانة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حق</w:t>
      </w:r>
      <w:r w:rsidR="00FA4A2E">
        <w:rPr>
          <w:rtl/>
        </w:rPr>
        <w:t xml:space="preserve"> </w:t>
      </w:r>
      <w:r>
        <w:rPr>
          <w:rtl/>
        </w:rPr>
        <w:t>مرتكبي</w:t>
      </w:r>
      <w:r w:rsidR="00FA4A2E">
        <w:rPr>
          <w:rtl/>
        </w:rPr>
        <w:t xml:space="preserve"> </w:t>
      </w:r>
      <w:r>
        <w:rPr>
          <w:rtl/>
        </w:rPr>
        <w:t>جرائم</w:t>
      </w:r>
      <w:r w:rsidR="00FA4A2E">
        <w:rPr>
          <w:rtl/>
        </w:rPr>
        <w:t xml:space="preserve"> </w:t>
      </w:r>
      <w:r>
        <w:rPr>
          <w:rtl/>
        </w:rPr>
        <w:t>الاتجار</w:t>
      </w:r>
      <w:r w:rsidR="00FA4A2E">
        <w:rPr>
          <w:rtl/>
        </w:rPr>
        <w:t xml:space="preserve"> </w:t>
      </w:r>
      <w:r>
        <w:rPr>
          <w:rtl/>
        </w:rPr>
        <w:t>بالأشخاص</w:t>
      </w:r>
      <w:r w:rsidR="00FA4A2E">
        <w:rPr>
          <w:rtl/>
        </w:rPr>
        <w:t xml:space="preserve"> </w:t>
      </w:r>
      <w:r>
        <w:rPr>
          <w:rtl/>
        </w:rPr>
        <w:t>خلال</w:t>
      </w:r>
      <w:r w:rsidR="00FA4A2E">
        <w:rPr>
          <w:rtl/>
        </w:rPr>
        <w:t xml:space="preserve"> </w:t>
      </w:r>
      <w:r>
        <w:rPr>
          <w:rtl/>
        </w:rPr>
        <w:t>تلك</w:t>
      </w:r>
      <w:r w:rsidR="00FA4A2E">
        <w:rPr>
          <w:rtl/>
        </w:rPr>
        <w:t xml:space="preserve"> </w:t>
      </w:r>
      <w:r>
        <w:rPr>
          <w:rtl/>
        </w:rPr>
        <w:t>الفترة</w:t>
      </w:r>
      <w:r w:rsidR="00FA4A2E">
        <w:rPr>
          <w:rtl/>
        </w:rPr>
        <w:t xml:space="preserve"> </w:t>
      </w:r>
      <w:r>
        <w:rPr>
          <w:rtl/>
        </w:rPr>
        <w:t>نفسها،</w:t>
      </w:r>
      <w:r w:rsidR="00FA4A2E">
        <w:rPr>
          <w:rtl/>
        </w:rPr>
        <w:t xml:space="preserve"> </w:t>
      </w:r>
      <w:r>
        <w:rPr>
          <w:rtl/>
        </w:rPr>
        <w:t>رغم</w:t>
      </w:r>
      <w:r w:rsidR="00FA4A2E">
        <w:rPr>
          <w:rtl/>
        </w:rPr>
        <w:t xml:space="preserve"> </w:t>
      </w:r>
      <w:r>
        <w:rPr>
          <w:rtl/>
        </w:rPr>
        <w:t>الإبلاغ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74</w:t>
      </w:r>
      <w:r w:rsidR="00FA4A2E">
        <w:rPr>
          <w:rtl/>
        </w:rPr>
        <w:t xml:space="preserve"> </w:t>
      </w:r>
      <w:r>
        <w:rPr>
          <w:rtl/>
        </w:rPr>
        <w:t>حالة</w:t>
      </w:r>
      <w:r w:rsidR="00FA4A2E">
        <w:rPr>
          <w:rtl/>
        </w:rPr>
        <w:t xml:space="preserve"> </w:t>
      </w:r>
      <w:r>
        <w:rPr>
          <w:rtl/>
        </w:rPr>
        <w:t>مشتبه</w:t>
      </w:r>
      <w:r w:rsidR="00FA4A2E">
        <w:rPr>
          <w:rtl/>
        </w:rPr>
        <w:t xml:space="preserve"> </w:t>
      </w:r>
      <w:r>
        <w:rPr>
          <w:rtl/>
        </w:rPr>
        <w:t>فيها،</w:t>
      </w:r>
      <w:r w:rsidR="00FA4A2E">
        <w:rPr>
          <w:rtl/>
        </w:rPr>
        <w:t xml:space="preserve"> </w:t>
      </w:r>
      <w:r>
        <w:rPr>
          <w:rtl/>
        </w:rPr>
        <w:t>وإجراء</w:t>
      </w:r>
      <w:r w:rsidR="00FA4A2E">
        <w:rPr>
          <w:rtl/>
        </w:rPr>
        <w:t xml:space="preserve"> </w:t>
      </w:r>
      <w:r>
        <w:rPr>
          <w:rtl/>
        </w:rPr>
        <w:t>تحقيقات</w:t>
      </w:r>
      <w:r w:rsidR="00FA4A2E">
        <w:rPr>
          <w:rtl/>
        </w:rPr>
        <w:t xml:space="preserve"> </w:t>
      </w:r>
      <w:r>
        <w:rPr>
          <w:rtl/>
        </w:rPr>
        <w:t>رسمية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27</w:t>
      </w:r>
      <w:r w:rsidR="00FA4A2E">
        <w:rPr>
          <w:rtl/>
        </w:rPr>
        <w:t xml:space="preserve"> </w:t>
      </w:r>
      <w:r>
        <w:rPr>
          <w:rtl/>
        </w:rPr>
        <w:t>حالة،</w:t>
      </w:r>
      <w:r w:rsidR="00FA4A2E">
        <w:rPr>
          <w:rtl/>
        </w:rPr>
        <w:t xml:space="preserve"> </w:t>
      </w:r>
      <w:r>
        <w:rPr>
          <w:rtl/>
        </w:rPr>
        <w:t>وتحديد</w:t>
      </w:r>
      <w:r w:rsidR="00FA4A2E">
        <w:rPr>
          <w:rtl/>
        </w:rPr>
        <w:t xml:space="preserve"> </w:t>
      </w:r>
      <w:r>
        <w:rPr>
          <w:rtl/>
        </w:rPr>
        <w:t>88</w:t>
      </w:r>
      <w:r w:rsidR="00FA4A2E">
        <w:rPr>
          <w:rtl/>
        </w:rPr>
        <w:t xml:space="preserve"> </w:t>
      </w:r>
      <w:r>
        <w:rPr>
          <w:rtl/>
        </w:rPr>
        <w:t>ضحية</w:t>
      </w:r>
      <w:r w:rsidR="00FA4A2E">
        <w:rPr>
          <w:rtl/>
        </w:rPr>
        <w:t xml:space="preserve"> </w:t>
      </w:r>
      <w:r>
        <w:rPr>
          <w:rtl/>
        </w:rPr>
        <w:t>(المواد</w:t>
      </w:r>
      <w:r w:rsidR="00FA4A2E">
        <w:rPr>
          <w:rtl/>
        </w:rPr>
        <w:t xml:space="preserve"> </w:t>
      </w:r>
      <w:r>
        <w:rPr>
          <w:rtl/>
        </w:rPr>
        <w:t>٢</w:t>
      </w:r>
      <w:r w:rsidR="00FA4A2E">
        <w:rPr>
          <w:rtl/>
        </w:rPr>
        <w:t xml:space="preserve"> </w:t>
      </w:r>
      <w:r>
        <w:rPr>
          <w:rtl/>
        </w:rPr>
        <w:t>و٥</w:t>
      </w:r>
      <w:r w:rsidR="00FA4A2E">
        <w:rPr>
          <w:rtl/>
        </w:rPr>
        <w:t xml:space="preserve"> </w:t>
      </w:r>
      <w:r>
        <w:rPr>
          <w:rtl/>
        </w:rPr>
        <w:t>و٦).</w:t>
      </w:r>
    </w:p>
    <w:p w14:paraId="1F2922EC" w14:textId="77777777" w:rsidR="002039EE" w:rsidRPr="009A18D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lastRenderedPageBreak/>
        <w:t>١٨-</w:t>
      </w:r>
      <w:r>
        <w:rPr>
          <w:rtl/>
        </w:rPr>
        <w:tab/>
      </w:r>
      <w:r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تكثف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جهودها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للتحقيق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ادعاءات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الاتجار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بالأشخاص،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ومحاكمة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مرتكبي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الأفعال،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وكفالة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حصول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الضحايا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الحماية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والمساعدة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والجبر</w:t>
      </w:r>
      <w:r>
        <w:rPr>
          <w:rtl/>
        </w:rPr>
        <w:t>.</w:t>
      </w:r>
      <w:r w:rsidR="00FA4A2E">
        <w:rPr>
          <w:rtl/>
        </w:rPr>
        <w:t xml:space="preserve"> </w:t>
      </w:r>
      <w:r>
        <w:rPr>
          <w:b/>
          <w:bCs/>
          <w:rtl/>
        </w:rPr>
        <w:t>وتوصي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أيضاً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تنظم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حملات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توعية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بمنع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الاتجار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تشمل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تدريب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موظفي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إنفاذ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القانون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وموظفي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الهجرة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ومراقبة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الحدود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أساليب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التعرف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ضحايا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الاتجار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بالأشخاص،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وحملات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لتوعية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أشد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الفئات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السكانية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استضعافاً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بحقوقها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وبسبل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الانتصاف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المتاحة</w:t>
      </w:r>
      <w:r>
        <w:rPr>
          <w:rtl/>
        </w:rPr>
        <w:t>.</w:t>
      </w:r>
      <w:r w:rsidR="00FA4A2E">
        <w:rPr>
          <w:rtl/>
        </w:rPr>
        <w:t xml:space="preserve"> </w:t>
      </w:r>
    </w:p>
    <w:p w14:paraId="082D8B22" w14:textId="77777777" w:rsidR="002039EE" w:rsidRPr="00ED032D" w:rsidRDefault="002039EE" w:rsidP="00E264E8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حالة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المواطنين،</w:t>
      </w:r>
      <w:r w:rsidR="00FA4A2E">
        <w:rPr>
          <w:rtl/>
        </w:rPr>
        <w:t xml:space="preserve"> </w:t>
      </w:r>
      <w:r>
        <w:rPr>
          <w:rtl/>
        </w:rPr>
        <w:t>بمن</w:t>
      </w:r>
      <w:r w:rsidR="00FA4A2E">
        <w:rPr>
          <w:rtl/>
        </w:rPr>
        <w:t xml:space="preserve"> </w:t>
      </w:r>
      <w:r>
        <w:rPr>
          <w:rtl/>
        </w:rPr>
        <w:t>فيهم</w:t>
      </w:r>
      <w:r w:rsidR="00FA4A2E">
        <w:rPr>
          <w:rtl/>
        </w:rPr>
        <w:t xml:space="preserve"> </w:t>
      </w:r>
      <w:r>
        <w:rPr>
          <w:rtl/>
        </w:rPr>
        <w:t>المهاجرون</w:t>
      </w:r>
      <w:r w:rsidR="00FA4A2E">
        <w:rPr>
          <w:rtl/>
        </w:rPr>
        <w:t xml:space="preserve"> </w:t>
      </w:r>
      <w:r>
        <w:rPr>
          <w:rtl/>
        </w:rPr>
        <w:t>وملتمسو</w:t>
      </w:r>
      <w:r w:rsidR="00FA4A2E">
        <w:rPr>
          <w:rtl/>
        </w:rPr>
        <w:t xml:space="preserve"> </w:t>
      </w:r>
      <w:r>
        <w:rPr>
          <w:rtl/>
        </w:rPr>
        <w:t>اللجوء</w:t>
      </w:r>
      <w:r w:rsidR="00FA4A2E">
        <w:rPr>
          <w:rtl/>
        </w:rPr>
        <w:t xml:space="preserve"> </w:t>
      </w:r>
      <w:r>
        <w:rPr>
          <w:rtl/>
        </w:rPr>
        <w:t>واللاجئون</w:t>
      </w:r>
    </w:p>
    <w:p w14:paraId="563F5132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١٩-</w:t>
      </w:r>
      <w:r>
        <w:rPr>
          <w:rtl/>
        </w:rPr>
        <w:tab/>
        <w:t>تلاحظ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أن</w:t>
      </w:r>
      <w:r w:rsidR="00FA4A2E">
        <w:rPr>
          <w:rtl/>
        </w:rPr>
        <w:t xml:space="preserve"> </w:t>
      </w:r>
      <w:r>
        <w:rPr>
          <w:rtl/>
        </w:rPr>
        <w:t>عدد</w:t>
      </w:r>
      <w:r w:rsidR="00FA4A2E">
        <w:rPr>
          <w:rtl/>
        </w:rPr>
        <w:t xml:space="preserve"> </w:t>
      </w:r>
      <w:r>
        <w:rPr>
          <w:rtl/>
        </w:rPr>
        <w:t>الرعايا</w:t>
      </w:r>
      <w:r w:rsidR="00FA4A2E">
        <w:rPr>
          <w:rtl/>
        </w:rPr>
        <w:t xml:space="preserve"> </w:t>
      </w:r>
      <w:r>
        <w:rPr>
          <w:rtl/>
        </w:rPr>
        <w:t>الأجانب</w:t>
      </w:r>
      <w:r w:rsidR="00FA4A2E">
        <w:rPr>
          <w:rtl/>
        </w:rPr>
        <w:t xml:space="preserve"> </w:t>
      </w:r>
      <w:r>
        <w:rPr>
          <w:rtl/>
        </w:rPr>
        <w:t>الذين</w:t>
      </w:r>
      <w:r w:rsidR="00FA4A2E">
        <w:rPr>
          <w:rtl/>
        </w:rPr>
        <w:t xml:space="preserve"> </w:t>
      </w:r>
      <w:r>
        <w:rPr>
          <w:rtl/>
        </w:rPr>
        <w:t>يعيشون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ما</w:t>
      </w:r>
      <w:r w:rsidR="00FA4A2E">
        <w:rPr>
          <w:rtl/>
        </w:rPr>
        <w:t xml:space="preserve"> </w:t>
      </w:r>
      <w:r>
        <w:rPr>
          <w:rtl/>
        </w:rPr>
        <w:t>انفك</w:t>
      </w:r>
      <w:r w:rsidR="00FA4A2E">
        <w:rPr>
          <w:rtl/>
        </w:rPr>
        <w:t xml:space="preserve"> </w:t>
      </w:r>
      <w:r>
        <w:rPr>
          <w:rtl/>
        </w:rPr>
        <w:t>يرتفع</w:t>
      </w:r>
      <w:r w:rsidR="00FA4A2E">
        <w:rPr>
          <w:rtl/>
        </w:rPr>
        <w:t xml:space="preserve"> </w:t>
      </w:r>
      <w:r>
        <w:rPr>
          <w:rtl/>
        </w:rPr>
        <w:t>ارتفاعاً</w:t>
      </w:r>
      <w:r w:rsidR="00FA4A2E">
        <w:rPr>
          <w:rtl/>
        </w:rPr>
        <w:t xml:space="preserve"> </w:t>
      </w:r>
      <w:r>
        <w:rPr>
          <w:rtl/>
        </w:rPr>
        <w:t>كبيراً</w:t>
      </w:r>
      <w:r w:rsidR="00FA4A2E">
        <w:rPr>
          <w:rtl/>
        </w:rPr>
        <w:t xml:space="preserve"> </w:t>
      </w:r>
      <w:r>
        <w:rPr>
          <w:rtl/>
        </w:rPr>
        <w:t>(لتصل</w:t>
      </w:r>
      <w:r w:rsidR="00FA4A2E">
        <w:rPr>
          <w:rtl/>
        </w:rPr>
        <w:t xml:space="preserve"> </w:t>
      </w:r>
      <w:r>
        <w:rPr>
          <w:rtl/>
        </w:rPr>
        <w:t>نسبتهم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12.6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المائة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مجموع</w:t>
      </w:r>
      <w:r w:rsidR="00FA4A2E">
        <w:rPr>
          <w:rtl/>
        </w:rPr>
        <w:t xml:space="preserve"> </w:t>
      </w:r>
      <w:r>
        <w:rPr>
          <w:rtl/>
        </w:rPr>
        <w:t>السكان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عام</w:t>
      </w:r>
      <w:r w:rsidR="00FA4A2E">
        <w:rPr>
          <w:rtl/>
        </w:rPr>
        <w:t xml:space="preserve"> </w:t>
      </w:r>
      <w:r>
        <w:rPr>
          <w:rtl/>
        </w:rPr>
        <w:t>2018</w:t>
      </w:r>
      <w:r w:rsidR="00FA4A2E">
        <w:rPr>
          <w:rtl/>
        </w:rPr>
        <w:t xml:space="preserve"> </w:t>
      </w:r>
      <w:r>
        <w:rPr>
          <w:rtl/>
        </w:rPr>
        <w:t>مقارنة</w:t>
      </w:r>
      <w:r w:rsidR="00FA4A2E">
        <w:rPr>
          <w:rtl/>
        </w:rPr>
        <w:t xml:space="preserve"> </w:t>
      </w:r>
      <w:r>
        <w:rPr>
          <w:rtl/>
        </w:rPr>
        <w:t>بنسبة</w:t>
      </w:r>
      <w:r w:rsidR="00FA4A2E">
        <w:rPr>
          <w:rtl/>
        </w:rPr>
        <w:t xml:space="preserve"> </w:t>
      </w:r>
      <w:r>
        <w:rPr>
          <w:rtl/>
        </w:rPr>
        <w:t>7.6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المائة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عام</w:t>
      </w:r>
      <w:r w:rsidR="00FA4A2E">
        <w:rPr>
          <w:rtl/>
        </w:rPr>
        <w:t xml:space="preserve"> </w:t>
      </w:r>
      <w:r>
        <w:rPr>
          <w:rtl/>
        </w:rPr>
        <w:t>2009).</w:t>
      </w:r>
      <w:r w:rsidR="00FA4A2E">
        <w:rPr>
          <w:rtl/>
        </w:rPr>
        <w:t xml:space="preserve"> </w:t>
      </w:r>
      <w:r>
        <w:rPr>
          <w:rtl/>
        </w:rPr>
        <w:t>وترحب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بالتدابير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اتخذتها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لتيسير</w:t>
      </w:r>
      <w:r w:rsidR="00FA4A2E">
        <w:rPr>
          <w:rtl/>
        </w:rPr>
        <w:t xml:space="preserve"> </w:t>
      </w:r>
      <w:r>
        <w:rPr>
          <w:rtl/>
        </w:rPr>
        <w:t>إدماجهم،</w:t>
      </w:r>
      <w:r w:rsidR="00FA4A2E">
        <w:rPr>
          <w:rtl/>
        </w:rPr>
        <w:t xml:space="preserve"> </w:t>
      </w:r>
      <w:r>
        <w:rPr>
          <w:rtl/>
        </w:rPr>
        <w:t>بسبل</w:t>
      </w:r>
      <w:r w:rsidR="00FA4A2E">
        <w:rPr>
          <w:rtl/>
        </w:rPr>
        <w:t xml:space="preserve"> </w:t>
      </w:r>
      <w:r>
        <w:rPr>
          <w:rtl/>
        </w:rPr>
        <w:t>منها</w:t>
      </w:r>
      <w:r w:rsidR="00FA4A2E">
        <w:rPr>
          <w:rtl/>
        </w:rPr>
        <w:t xml:space="preserve"> </w:t>
      </w:r>
      <w:r>
        <w:rPr>
          <w:rtl/>
        </w:rPr>
        <w:t>إنشاء</w:t>
      </w:r>
      <w:r w:rsidR="00FA4A2E">
        <w:rPr>
          <w:rtl/>
        </w:rPr>
        <w:t xml:space="preserve"> </w:t>
      </w:r>
      <w:r>
        <w:rPr>
          <w:rtl/>
        </w:rPr>
        <w:t>مركز</w:t>
      </w:r>
      <w:r w:rsidR="00FA4A2E">
        <w:rPr>
          <w:rtl/>
        </w:rPr>
        <w:t xml:space="preserve"> </w:t>
      </w:r>
      <w:r>
        <w:rPr>
          <w:rtl/>
        </w:rPr>
        <w:t>إعلامي</w:t>
      </w:r>
      <w:r w:rsidR="00FA4A2E">
        <w:rPr>
          <w:rtl/>
        </w:rPr>
        <w:t xml:space="preserve"> </w:t>
      </w:r>
      <w:r>
        <w:rPr>
          <w:rtl/>
        </w:rPr>
        <w:t>متعدد</w:t>
      </w:r>
      <w:r w:rsidR="00FA4A2E">
        <w:rPr>
          <w:rtl/>
        </w:rPr>
        <w:t xml:space="preserve"> </w:t>
      </w:r>
      <w:r>
        <w:rPr>
          <w:rtl/>
        </w:rPr>
        <w:t>الثقافات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ريكيافيك</w:t>
      </w:r>
      <w:r w:rsidR="00FA4A2E">
        <w:rPr>
          <w:rtl/>
        </w:rPr>
        <w:t xml:space="preserve"> </w:t>
      </w:r>
      <w:r>
        <w:rPr>
          <w:rtl/>
        </w:rPr>
        <w:t>يقدم</w:t>
      </w:r>
      <w:r w:rsidR="00FA4A2E">
        <w:rPr>
          <w:rtl/>
        </w:rPr>
        <w:t xml:space="preserve"> </w:t>
      </w:r>
      <w:r>
        <w:rPr>
          <w:rtl/>
        </w:rPr>
        <w:t>مجموعة</w:t>
      </w:r>
      <w:r w:rsidR="00FA4A2E">
        <w:rPr>
          <w:rtl/>
        </w:rPr>
        <w:t xml:space="preserve"> </w:t>
      </w:r>
      <w:r>
        <w:rPr>
          <w:rtl/>
        </w:rPr>
        <w:t>كاملة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Fonts w:hint="cs"/>
          <w:rtl/>
        </w:rPr>
        <w:t xml:space="preserve"> </w:t>
      </w:r>
      <w:r>
        <w:rPr>
          <w:rtl/>
        </w:rPr>
        <w:t>الخدمات</w:t>
      </w:r>
      <w:r w:rsidR="00FA4A2E">
        <w:rPr>
          <w:rtl/>
        </w:rPr>
        <w:t xml:space="preserve"> </w:t>
      </w:r>
      <w:r>
        <w:rPr>
          <w:rtl/>
        </w:rPr>
        <w:t>بلغات</w:t>
      </w:r>
      <w:r w:rsidR="00FA4A2E">
        <w:rPr>
          <w:rtl/>
        </w:rPr>
        <w:t xml:space="preserve"> </w:t>
      </w:r>
      <w:r>
        <w:rPr>
          <w:rtl/>
        </w:rPr>
        <w:t>متعددة</w:t>
      </w:r>
      <w:r w:rsidR="00FA4A2E">
        <w:rPr>
          <w:rtl/>
        </w:rPr>
        <w:t xml:space="preserve"> </w:t>
      </w:r>
      <w:r>
        <w:rPr>
          <w:rtl/>
        </w:rPr>
        <w:t>وينظم</w:t>
      </w:r>
      <w:r w:rsidR="00FA4A2E">
        <w:rPr>
          <w:rtl/>
        </w:rPr>
        <w:t xml:space="preserve"> </w:t>
      </w:r>
      <w:r>
        <w:rPr>
          <w:rtl/>
        </w:rPr>
        <w:t>حملات</w:t>
      </w:r>
      <w:r w:rsidR="00FA4A2E">
        <w:rPr>
          <w:rtl/>
        </w:rPr>
        <w:t xml:space="preserve"> </w:t>
      </w:r>
      <w:r>
        <w:rPr>
          <w:rtl/>
        </w:rPr>
        <w:t>توعية</w:t>
      </w:r>
      <w:r w:rsidR="00FA4A2E">
        <w:rPr>
          <w:rtl/>
        </w:rPr>
        <w:t xml:space="preserve"> </w:t>
      </w:r>
      <w:r>
        <w:rPr>
          <w:rtl/>
        </w:rPr>
        <w:t>تحتفي</w:t>
      </w:r>
      <w:r w:rsidR="00FA4A2E">
        <w:rPr>
          <w:rtl/>
        </w:rPr>
        <w:t xml:space="preserve"> </w:t>
      </w:r>
      <w:r>
        <w:rPr>
          <w:rtl/>
        </w:rPr>
        <w:t>بالتنوع.</w:t>
      </w:r>
      <w:r w:rsidR="00FA4A2E">
        <w:rPr>
          <w:rtl/>
        </w:rPr>
        <w:t xml:space="preserve"> </w:t>
      </w:r>
      <w:r>
        <w:rPr>
          <w:rtl/>
        </w:rPr>
        <w:t>بيد</w:t>
      </w:r>
      <w:r w:rsidR="00FA4A2E">
        <w:rPr>
          <w:rtl/>
        </w:rPr>
        <w:t xml:space="preserve"> </w:t>
      </w:r>
      <w:r>
        <w:rPr>
          <w:rtl/>
        </w:rPr>
        <w:t>أن</w:t>
      </w:r>
      <w:r w:rsidR="00FA4A2E">
        <w:rPr>
          <w:rtl/>
        </w:rPr>
        <w:t xml:space="preserve"> </w:t>
      </w:r>
      <w:r>
        <w:rPr>
          <w:rtl/>
        </w:rPr>
        <w:t>القلق</w:t>
      </w:r>
      <w:r w:rsidR="00FA4A2E">
        <w:rPr>
          <w:rtl/>
        </w:rPr>
        <w:t xml:space="preserve"> </w:t>
      </w:r>
      <w:r>
        <w:rPr>
          <w:rtl/>
        </w:rPr>
        <w:t>لا</w:t>
      </w:r>
      <w:r w:rsidR="00FA4A2E">
        <w:rPr>
          <w:rtl/>
        </w:rPr>
        <w:t xml:space="preserve"> </w:t>
      </w:r>
      <w:r>
        <w:rPr>
          <w:rtl/>
        </w:rPr>
        <w:t>يزال</w:t>
      </w:r>
      <w:r w:rsidR="00FA4A2E">
        <w:rPr>
          <w:rtl/>
        </w:rPr>
        <w:t xml:space="preserve"> </w:t>
      </w:r>
      <w:r>
        <w:rPr>
          <w:rtl/>
        </w:rPr>
        <w:t>يساور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Fonts w:hint="cs"/>
          <w:rtl/>
        </w:rPr>
        <w:t> </w:t>
      </w:r>
      <w:r>
        <w:rPr>
          <w:rtl/>
        </w:rPr>
        <w:t>مما</w:t>
      </w:r>
      <w:r w:rsidR="00FA4A2E">
        <w:rPr>
          <w:rtl/>
        </w:rPr>
        <w:t xml:space="preserve"> </w:t>
      </w:r>
      <w:r>
        <w:rPr>
          <w:rtl/>
        </w:rPr>
        <w:t>يلي:</w:t>
      </w:r>
    </w:p>
    <w:p w14:paraId="561ACDB2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  <w:t>استمرار</w:t>
      </w:r>
      <w:r w:rsidR="00FA4A2E">
        <w:rPr>
          <w:rtl/>
        </w:rPr>
        <w:t xml:space="preserve"> </w:t>
      </w:r>
      <w:r>
        <w:rPr>
          <w:rtl/>
        </w:rPr>
        <w:t>ارتفاع</w:t>
      </w:r>
      <w:r w:rsidR="00FA4A2E">
        <w:rPr>
          <w:rtl/>
        </w:rPr>
        <w:t xml:space="preserve"> </w:t>
      </w:r>
      <w:r>
        <w:rPr>
          <w:rtl/>
        </w:rPr>
        <w:t>معدل</w:t>
      </w:r>
      <w:r w:rsidR="00FA4A2E">
        <w:rPr>
          <w:rtl/>
        </w:rPr>
        <w:t xml:space="preserve"> </w:t>
      </w:r>
      <w:r>
        <w:rPr>
          <w:rtl/>
        </w:rPr>
        <w:t>البطالة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أوساط</w:t>
      </w:r>
      <w:r w:rsidR="00FA4A2E">
        <w:rPr>
          <w:rtl/>
        </w:rPr>
        <w:t xml:space="preserve"> </w:t>
      </w:r>
      <w:r>
        <w:rPr>
          <w:rtl/>
        </w:rPr>
        <w:t>الأشخاص</w:t>
      </w:r>
      <w:r w:rsidR="00FA4A2E">
        <w:rPr>
          <w:rtl/>
        </w:rPr>
        <w:t xml:space="preserve"> </w:t>
      </w:r>
      <w:r>
        <w:rPr>
          <w:rtl/>
        </w:rPr>
        <w:t>المنتمين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أقليات</w:t>
      </w:r>
      <w:r w:rsidR="00FA4A2E">
        <w:rPr>
          <w:rtl/>
        </w:rPr>
        <w:t xml:space="preserve"> </w:t>
      </w:r>
      <w:r>
        <w:rPr>
          <w:rtl/>
        </w:rPr>
        <w:t>عرقية</w:t>
      </w:r>
      <w:r w:rsidR="00FA4A2E">
        <w:rPr>
          <w:rtl/>
        </w:rPr>
        <w:t xml:space="preserve"> </w:t>
      </w:r>
      <w:r>
        <w:rPr>
          <w:rtl/>
        </w:rPr>
        <w:t>أو</w:t>
      </w:r>
      <w:r w:rsidR="00FA4A2E">
        <w:rPr>
          <w:rtl/>
        </w:rPr>
        <w:t xml:space="preserve"> </w:t>
      </w:r>
      <w:r>
        <w:rPr>
          <w:rtl/>
        </w:rPr>
        <w:t>المنحدرين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أصول</w:t>
      </w:r>
      <w:r w:rsidR="00FA4A2E">
        <w:rPr>
          <w:rtl/>
        </w:rPr>
        <w:t xml:space="preserve"> </w:t>
      </w:r>
      <w:r>
        <w:rPr>
          <w:rtl/>
        </w:rPr>
        <w:t>مهاجرة</w:t>
      </w:r>
      <w:r w:rsidR="00FA4A2E">
        <w:rPr>
          <w:rtl/>
        </w:rPr>
        <w:t xml:space="preserve"> </w:t>
      </w:r>
      <w:r>
        <w:rPr>
          <w:rtl/>
        </w:rPr>
        <w:t>لتصل</w:t>
      </w:r>
      <w:r w:rsidR="00FA4A2E">
        <w:rPr>
          <w:rtl/>
        </w:rPr>
        <w:t xml:space="preserve"> </w:t>
      </w:r>
      <w:r>
        <w:rPr>
          <w:rtl/>
        </w:rPr>
        <w:t>نسبته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7.4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المائة،</w:t>
      </w:r>
      <w:r w:rsidR="00FA4A2E">
        <w:rPr>
          <w:rtl/>
        </w:rPr>
        <w:t xml:space="preserve"> </w:t>
      </w:r>
      <w:r>
        <w:rPr>
          <w:rtl/>
        </w:rPr>
        <w:t>أي</w:t>
      </w:r>
      <w:r w:rsidR="00FA4A2E">
        <w:rPr>
          <w:rtl/>
        </w:rPr>
        <w:t xml:space="preserve"> </w:t>
      </w:r>
      <w:r>
        <w:rPr>
          <w:rtl/>
        </w:rPr>
        <w:t>أكثر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ضعف</w:t>
      </w:r>
      <w:r w:rsidR="00FA4A2E">
        <w:rPr>
          <w:rtl/>
        </w:rPr>
        <w:t xml:space="preserve"> </w:t>
      </w:r>
      <w:r>
        <w:rPr>
          <w:rtl/>
        </w:rPr>
        <w:t>ما</w:t>
      </w:r>
      <w:r w:rsidR="00FA4A2E">
        <w:rPr>
          <w:rtl/>
        </w:rPr>
        <w:t xml:space="preserve"> </w:t>
      </w:r>
      <w:r>
        <w:rPr>
          <w:rtl/>
        </w:rPr>
        <w:t>هو</w:t>
      </w:r>
      <w:r w:rsidR="00FA4A2E">
        <w:rPr>
          <w:rtl/>
        </w:rPr>
        <w:t xml:space="preserve"> </w:t>
      </w:r>
      <w:r>
        <w:rPr>
          <w:rtl/>
        </w:rPr>
        <w:t>عليه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أوساط</w:t>
      </w:r>
      <w:r w:rsidR="00FA4A2E">
        <w:rPr>
          <w:rtl/>
        </w:rPr>
        <w:t xml:space="preserve"> </w:t>
      </w:r>
      <w:r>
        <w:rPr>
          <w:rtl/>
        </w:rPr>
        <w:t>عامة</w:t>
      </w:r>
      <w:r w:rsidR="00FA4A2E">
        <w:rPr>
          <w:rtl/>
        </w:rPr>
        <w:t xml:space="preserve"> </w:t>
      </w:r>
      <w:r>
        <w:rPr>
          <w:rtl/>
        </w:rPr>
        <w:t>السكان؛</w:t>
      </w:r>
      <w:r w:rsidR="00FA4A2E">
        <w:rPr>
          <w:rtl/>
        </w:rPr>
        <w:t xml:space="preserve"> </w:t>
      </w:r>
    </w:p>
    <w:p w14:paraId="5D51FA08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tab/>
      </w:r>
      <w:r>
        <w:rPr>
          <w:rtl/>
        </w:rPr>
        <w:t>(ب)</w:t>
      </w:r>
      <w:r>
        <w:tab/>
      </w:r>
      <w:r>
        <w:rPr>
          <w:rtl/>
        </w:rPr>
        <w:t>استمرار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الطرف،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الرغم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التوصيات</w:t>
      </w:r>
      <w:r w:rsidR="00FA4A2E">
        <w:rPr>
          <w:rtl/>
        </w:rPr>
        <w:t xml:space="preserve"> </w:t>
      </w:r>
      <w:r>
        <w:rPr>
          <w:rtl/>
        </w:rPr>
        <w:t>السابقة</w:t>
      </w:r>
      <w:r w:rsidR="00FA4A2E">
        <w:rPr>
          <w:rtl/>
        </w:rPr>
        <w:t xml:space="preserve"> </w:t>
      </w:r>
      <w:r>
        <w:rPr>
          <w:rtl/>
        </w:rPr>
        <w:t>الصادرة</w:t>
      </w:r>
      <w:r w:rsidR="00FA4A2E">
        <w:rPr>
          <w:rtl/>
        </w:rPr>
        <w:t xml:space="preserve"> </w:t>
      </w:r>
      <w:r>
        <w:rPr>
          <w:rtl/>
        </w:rPr>
        <w:t>عن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(</w:t>
      </w:r>
      <w:r>
        <w:t>CERD/C/ISL/CO/19-20</w:t>
      </w:r>
      <w:r>
        <w:rPr>
          <w:rtl/>
        </w:rPr>
        <w:t>،</w:t>
      </w:r>
      <w:r w:rsidR="00FA4A2E">
        <w:rPr>
          <w:rtl/>
        </w:rPr>
        <w:t xml:space="preserve"> </w:t>
      </w:r>
      <w:r>
        <w:rPr>
          <w:rtl/>
        </w:rPr>
        <w:t>الفقرة</w:t>
      </w:r>
      <w:r w:rsidR="00FA4A2E">
        <w:rPr>
          <w:rtl/>
        </w:rPr>
        <w:t xml:space="preserve"> </w:t>
      </w:r>
      <w:r>
        <w:rPr>
          <w:rtl/>
        </w:rPr>
        <w:t>18)،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إصدار</w:t>
      </w:r>
      <w:r w:rsidR="00FA4A2E">
        <w:rPr>
          <w:rtl/>
        </w:rPr>
        <w:t xml:space="preserve"> </w:t>
      </w:r>
      <w:r>
        <w:rPr>
          <w:rtl/>
        </w:rPr>
        <w:t>تراخيص</w:t>
      </w:r>
      <w:r w:rsidR="00FA4A2E">
        <w:rPr>
          <w:rtl/>
        </w:rPr>
        <w:t xml:space="preserve"> </w:t>
      </w:r>
      <w:r>
        <w:rPr>
          <w:rtl/>
        </w:rPr>
        <w:t>عمل</w:t>
      </w:r>
      <w:r w:rsidR="00FA4A2E">
        <w:rPr>
          <w:rtl/>
        </w:rPr>
        <w:t xml:space="preserve"> </w:t>
      </w:r>
      <w:r>
        <w:rPr>
          <w:rtl/>
        </w:rPr>
        <w:t>مؤقتة</w:t>
      </w:r>
      <w:r w:rsidR="00FA4A2E">
        <w:rPr>
          <w:rtl/>
        </w:rPr>
        <w:t xml:space="preserve"> </w:t>
      </w:r>
      <w:r>
        <w:rPr>
          <w:rtl/>
        </w:rPr>
        <w:t>لدى</w:t>
      </w:r>
      <w:r w:rsidR="00FA4A2E">
        <w:rPr>
          <w:rtl/>
        </w:rPr>
        <w:t xml:space="preserve"> </w:t>
      </w:r>
      <w:r>
        <w:rPr>
          <w:rtl/>
        </w:rPr>
        <w:t>أرباب</w:t>
      </w:r>
      <w:r w:rsidR="00FA4A2E">
        <w:rPr>
          <w:rtl/>
        </w:rPr>
        <w:t xml:space="preserve"> </w:t>
      </w:r>
      <w:r>
        <w:rPr>
          <w:rtl/>
        </w:rPr>
        <w:t>عمل</w:t>
      </w:r>
      <w:r w:rsidR="00FA4A2E">
        <w:rPr>
          <w:rtl/>
        </w:rPr>
        <w:t xml:space="preserve"> </w:t>
      </w:r>
      <w:r>
        <w:rPr>
          <w:rtl/>
        </w:rPr>
        <w:t>معينين</w:t>
      </w:r>
      <w:r w:rsidR="00FA4A2E">
        <w:rPr>
          <w:rtl/>
        </w:rPr>
        <w:t xml:space="preserve"> </w:t>
      </w:r>
      <w:r>
        <w:rPr>
          <w:rtl/>
        </w:rPr>
        <w:t>بدلاً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نوع</w:t>
      </w:r>
      <w:r w:rsidR="00FA4A2E">
        <w:rPr>
          <w:rtl/>
        </w:rPr>
        <w:t xml:space="preserve"> </w:t>
      </w:r>
      <w:r>
        <w:rPr>
          <w:rtl/>
        </w:rPr>
        <w:t>العمل،</w:t>
      </w:r>
      <w:r w:rsidR="00FA4A2E">
        <w:rPr>
          <w:rtl/>
        </w:rPr>
        <w:t xml:space="preserve"> </w:t>
      </w:r>
      <w:r>
        <w:rPr>
          <w:rtl/>
        </w:rPr>
        <w:t>الأمر</w:t>
      </w:r>
      <w:r w:rsidR="00FA4A2E">
        <w:rPr>
          <w:rtl/>
        </w:rPr>
        <w:t xml:space="preserve"> </w:t>
      </w:r>
      <w:r>
        <w:rPr>
          <w:rtl/>
        </w:rPr>
        <w:t>الذي</w:t>
      </w:r>
      <w:r w:rsidR="00FA4A2E">
        <w:rPr>
          <w:rtl/>
        </w:rPr>
        <w:t xml:space="preserve"> </w:t>
      </w:r>
      <w:r>
        <w:rPr>
          <w:rtl/>
        </w:rPr>
        <w:t>يجعل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الصعب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العمال</w:t>
      </w:r>
      <w:r w:rsidR="00FA4A2E">
        <w:rPr>
          <w:rtl/>
        </w:rPr>
        <w:t xml:space="preserve"> </w:t>
      </w:r>
      <w:r>
        <w:rPr>
          <w:rtl/>
        </w:rPr>
        <w:t>المعنيين</w:t>
      </w:r>
      <w:r w:rsidR="00FA4A2E">
        <w:rPr>
          <w:rtl/>
        </w:rPr>
        <w:t xml:space="preserve"> </w:t>
      </w:r>
      <w:r>
        <w:rPr>
          <w:rtl/>
        </w:rPr>
        <w:t>الإبلاغ</w:t>
      </w:r>
      <w:r w:rsidR="00FA4A2E">
        <w:rPr>
          <w:rtl/>
        </w:rPr>
        <w:t xml:space="preserve"> </w:t>
      </w:r>
      <w:r>
        <w:rPr>
          <w:rtl/>
        </w:rPr>
        <w:t>عما</w:t>
      </w:r>
      <w:r w:rsidR="00FA4A2E">
        <w:rPr>
          <w:rFonts w:hint="cs"/>
          <w:rtl/>
        </w:rPr>
        <w:t xml:space="preserve"> </w:t>
      </w:r>
      <w:r>
        <w:rPr>
          <w:rtl/>
        </w:rPr>
        <w:t>يرتكبه</w:t>
      </w:r>
      <w:r w:rsidR="00FA4A2E">
        <w:rPr>
          <w:rtl/>
        </w:rPr>
        <w:t xml:space="preserve"> </w:t>
      </w:r>
      <w:r>
        <w:rPr>
          <w:rtl/>
        </w:rPr>
        <w:t>أرباب</w:t>
      </w:r>
      <w:r w:rsidR="00FA4A2E">
        <w:rPr>
          <w:rtl/>
        </w:rPr>
        <w:t xml:space="preserve"> </w:t>
      </w:r>
      <w:r>
        <w:rPr>
          <w:rtl/>
        </w:rPr>
        <w:t>عملهم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انتهاكات</w:t>
      </w:r>
      <w:r w:rsidR="00FA4A2E">
        <w:rPr>
          <w:rtl/>
        </w:rPr>
        <w:t xml:space="preserve"> </w:t>
      </w:r>
      <w:r>
        <w:rPr>
          <w:rtl/>
        </w:rPr>
        <w:t>لحقوقهم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العمل،</w:t>
      </w:r>
      <w:r w:rsidR="00FA4A2E">
        <w:rPr>
          <w:rtl/>
        </w:rPr>
        <w:t xml:space="preserve"> </w:t>
      </w:r>
      <w:r>
        <w:rPr>
          <w:rtl/>
        </w:rPr>
        <w:t>بما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ذلك</w:t>
      </w:r>
      <w:r w:rsidR="00FA4A2E">
        <w:rPr>
          <w:rtl/>
        </w:rPr>
        <w:t xml:space="preserve"> </w:t>
      </w:r>
      <w:r>
        <w:rPr>
          <w:rtl/>
        </w:rPr>
        <w:t>الإخلال</w:t>
      </w:r>
      <w:r w:rsidR="00FA4A2E">
        <w:rPr>
          <w:rtl/>
        </w:rPr>
        <w:t xml:space="preserve"> </w:t>
      </w:r>
      <w:r>
        <w:rPr>
          <w:rtl/>
        </w:rPr>
        <w:t>ببنود</w:t>
      </w:r>
      <w:r w:rsidR="00FA4A2E">
        <w:rPr>
          <w:rtl/>
        </w:rPr>
        <w:t xml:space="preserve"> </w:t>
      </w:r>
      <w:r>
        <w:rPr>
          <w:rtl/>
        </w:rPr>
        <w:t>عقود</w:t>
      </w:r>
      <w:r w:rsidR="00FA4A2E">
        <w:rPr>
          <w:rtl/>
        </w:rPr>
        <w:t xml:space="preserve"> </w:t>
      </w:r>
      <w:r>
        <w:rPr>
          <w:rtl/>
        </w:rPr>
        <w:t>العمل،</w:t>
      </w:r>
      <w:r w:rsidR="00FA4A2E">
        <w:rPr>
          <w:rtl/>
        </w:rPr>
        <w:t xml:space="preserve"> </w:t>
      </w:r>
      <w:r>
        <w:rPr>
          <w:rtl/>
        </w:rPr>
        <w:t>ويجعلهم</w:t>
      </w:r>
      <w:r w:rsidR="00FA4A2E">
        <w:rPr>
          <w:rtl/>
        </w:rPr>
        <w:t xml:space="preserve"> </w:t>
      </w:r>
      <w:r>
        <w:rPr>
          <w:rtl/>
        </w:rPr>
        <w:t>أكثر</w:t>
      </w:r>
      <w:r w:rsidR="00FA4A2E">
        <w:rPr>
          <w:rtl/>
        </w:rPr>
        <w:t xml:space="preserve"> </w:t>
      </w:r>
      <w:r>
        <w:rPr>
          <w:rtl/>
        </w:rPr>
        <w:t>عرضة</w:t>
      </w:r>
      <w:r w:rsidR="00FA4A2E">
        <w:rPr>
          <w:rtl/>
        </w:rPr>
        <w:t xml:space="preserve"> </w:t>
      </w:r>
      <w:r>
        <w:rPr>
          <w:rtl/>
        </w:rPr>
        <w:t>للإيذاء</w:t>
      </w:r>
      <w:r w:rsidR="00FA4A2E">
        <w:rPr>
          <w:rtl/>
        </w:rPr>
        <w:t xml:space="preserve"> </w:t>
      </w:r>
      <w:r>
        <w:rPr>
          <w:rtl/>
        </w:rPr>
        <w:t>والاستغلال؛</w:t>
      </w:r>
      <w:r w:rsidR="00FA4A2E">
        <w:rPr>
          <w:rtl/>
        </w:rPr>
        <w:t xml:space="preserve"> </w:t>
      </w:r>
    </w:p>
    <w:p w14:paraId="2CF1F2FA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  <w:t>استمرار</w:t>
      </w:r>
      <w:r w:rsidR="00FA4A2E">
        <w:rPr>
          <w:rtl/>
        </w:rPr>
        <w:t xml:space="preserve"> </w:t>
      </w:r>
      <w:r>
        <w:rPr>
          <w:rtl/>
        </w:rPr>
        <w:t>أوجه</w:t>
      </w:r>
      <w:r w:rsidR="00FA4A2E">
        <w:rPr>
          <w:rtl/>
        </w:rPr>
        <w:t xml:space="preserve"> </w:t>
      </w:r>
      <w:r>
        <w:rPr>
          <w:rtl/>
        </w:rPr>
        <w:t>التفاوت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حصول</w:t>
      </w:r>
      <w:r w:rsidR="00FA4A2E">
        <w:rPr>
          <w:rtl/>
        </w:rPr>
        <w:t xml:space="preserve"> </w:t>
      </w:r>
      <w:r>
        <w:rPr>
          <w:rtl/>
        </w:rPr>
        <w:t>الأطفال</w:t>
      </w:r>
      <w:r w:rsidR="00FA4A2E">
        <w:rPr>
          <w:rtl/>
        </w:rPr>
        <w:t xml:space="preserve"> </w:t>
      </w:r>
      <w:r>
        <w:rPr>
          <w:rtl/>
        </w:rPr>
        <w:t>المنحدرين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أصول</w:t>
      </w:r>
      <w:r w:rsidR="00FA4A2E">
        <w:rPr>
          <w:rtl/>
        </w:rPr>
        <w:t xml:space="preserve"> </w:t>
      </w:r>
      <w:r>
        <w:rPr>
          <w:rtl/>
        </w:rPr>
        <w:t>مهاجرة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التعليم</w:t>
      </w:r>
      <w:r w:rsidR="00FA4A2E">
        <w:rPr>
          <w:rtl/>
        </w:rPr>
        <w:t xml:space="preserve"> </w:t>
      </w:r>
      <w:r>
        <w:rPr>
          <w:rtl/>
        </w:rPr>
        <w:t>الثانوي.</w:t>
      </w:r>
    </w:p>
    <w:p w14:paraId="59033424" w14:textId="77777777" w:rsidR="002039EE" w:rsidRPr="0087780D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٢٠-</w:t>
      </w:r>
      <w:r>
        <w:tab/>
      </w:r>
      <w:r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تقوم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يلي:</w:t>
      </w:r>
    </w:p>
    <w:p w14:paraId="6AF42251" w14:textId="77777777" w:rsidR="002039EE" w:rsidRPr="0087780D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(أ)</w:t>
      </w:r>
      <w:r>
        <w:tab/>
      </w:r>
      <w:r>
        <w:rPr>
          <w:b/>
          <w:bCs/>
          <w:rtl/>
        </w:rPr>
        <w:t>اتخاذ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للحد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ارتفاع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معدلات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البطالة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أوساط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المنتمين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الأقليات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العرقية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والمهاجرين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والأشخاص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المنحدرين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أصول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مهاجرة،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توفير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التدريب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المهني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وتعليم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اللغة؛</w:t>
      </w:r>
    </w:p>
    <w:p w14:paraId="32D56414" w14:textId="77777777" w:rsidR="002039EE" w:rsidRPr="0087780D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(ب)</w:t>
      </w:r>
      <w:r>
        <w:tab/>
      </w:r>
      <w:r>
        <w:rPr>
          <w:b/>
          <w:bCs/>
          <w:rtl/>
        </w:rPr>
        <w:t>تنظيم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حملات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لتوعية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أرباب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بمنع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عملية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التوظيف،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وتثقيف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العمال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بسبل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الانتصاف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المتاحة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حالات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العمل؛</w:t>
      </w:r>
    </w:p>
    <w:p w14:paraId="3F6D2769" w14:textId="77777777" w:rsidR="002039EE" w:rsidRPr="0087780D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(ج)</w:t>
      </w:r>
      <w:r>
        <w:tab/>
      </w:r>
      <w:r>
        <w:rPr>
          <w:b/>
          <w:bCs/>
          <w:rtl/>
        </w:rPr>
        <w:t>إصدار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تراخيص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بحسب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نوع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النشاط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الذي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يزاوله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الشخص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مقابل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أجر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ولفترة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محددة،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بدل</w:t>
      </w:r>
      <w:r w:rsidR="00DF4833">
        <w:rPr>
          <w:b/>
          <w:bCs/>
          <w:rtl/>
        </w:rPr>
        <w:t>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تراخيص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للعمل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لدى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أرباب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معينين؛</w:t>
      </w:r>
      <w:r w:rsidR="00FA4A2E">
        <w:rPr>
          <w:rtl/>
        </w:rPr>
        <w:t xml:space="preserve"> </w:t>
      </w:r>
    </w:p>
    <w:p w14:paraId="598DC04F" w14:textId="77777777" w:rsidR="002039EE" w:rsidRPr="006373F6" w:rsidRDefault="002039EE" w:rsidP="006373F6">
      <w:pPr>
        <w:pStyle w:val="SingleTxtGA"/>
        <w:rPr>
          <w:b/>
          <w:bCs/>
          <w:spacing w:val="-4"/>
          <w:rtl/>
          <w:lang w:val="ar-SA" w:eastAsia="zh-TW"/>
        </w:rPr>
      </w:pPr>
      <w:r w:rsidRPr="006373F6">
        <w:rPr>
          <w:spacing w:val="-4"/>
        </w:rPr>
        <w:tab/>
      </w:r>
      <w:r w:rsidRPr="006373F6">
        <w:rPr>
          <w:spacing w:val="-4"/>
          <w:rtl/>
        </w:rPr>
        <w:t>(د)</w:t>
      </w:r>
      <w:r w:rsidRPr="006373F6">
        <w:rPr>
          <w:spacing w:val="-4"/>
        </w:rPr>
        <w:tab/>
      </w:r>
      <w:r w:rsidRPr="006373F6">
        <w:rPr>
          <w:b/>
          <w:bCs/>
          <w:spacing w:val="-4"/>
          <w:rtl/>
        </w:rPr>
        <w:t>مواصلة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جهودها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الرامية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إلى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تحسين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فرص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حصول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الأطفال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المنحدرين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من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أصول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مهاجرة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على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التعليم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الثانوي،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بما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في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ذلك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من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خلال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وضع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استراتيجية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تعليم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وطنية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لتحديد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أوجه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التفاوت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في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الحصول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على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التعليم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وإيجاد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حلول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لها،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بالتشاور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مع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الفئات</w:t>
      </w:r>
      <w:r w:rsidR="00FA4A2E">
        <w:rPr>
          <w:b/>
          <w:bCs/>
          <w:spacing w:val="-4"/>
          <w:rtl/>
        </w:rPr>
        <w:t xml:space="preserve"> </w:t>
      </w:r>
      <w:r w:rsidRPr="006373F6">
        <w:rPr>
          <w:b/>
          <w:bCs/>
          <w:spacing w:val="-4"/>
          <w:rtl/>
        </w:rPr>
        <w:t>المتضررة.</w:t>
      </w:r>
      <w:r w:rsidR="00FA4A2E">
        <w:rPr>
          <w:spacing w:val="-4"/>
          <w:rtl/>
        </w:rPr>
        <w:t xml:space="preserve"> </w:t>
      </w:r>
    </w:p>
    <w:p w14:paraId="2E177662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lastRenderedPageBreak/>
        <w:tab/>
      </w:r>
      <w:r>
        <w:tab/>
      </w:r>
      <w:r>
        <w:rPr>
          <w:rtl/>
        </w:rPr>
        <w:t>العنف</w:t>
      </w:r>
      <w:r w:rsidR="00FA4A2E">
        <w:rPr>
          <w:rtl/>
        </w:rPr>
        <w:t xml:space="preserve"> </w:t>
      </w:r>
      <w:r>
        <w:rPr>
          <w:rtl/>
        </w:rPr>
        <w:t>ضد</w:t>
      </w:r>
      <w:r w:rsidR="00FA4A2E">
        <w:rPr>
          <w:rtl/>
        </w:rPr>
        <w:t xml:space="preserve"> </w:t>
      </w:r>
      <w:r>
        <w:rPr>
          <w:rtl/>
        </w:rPr>
        <w:t>النساء</w:t>
      </w:r>
      <w:r w:rsidR="00FA4A2E">
        <w:rPr>
          <w:rtl/>
        </w:rPr>
        <w:t xml:space="preserve"> </w:t>
      </w:r>
      <w:r>
        <w:rPr>
          <w:rtl/>
        </w:rPr>
        <w:t>المنتميات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أقليات</w:t>
      </w:r>
      <w:r w:rsidR="00FA4A2E">
        <w:rPr>
          <w:rtl/>
        </w:rPr>
        <w:t xml:space="preserve"> </w:t>
      </w:r>
      <w:r>
        <w:rPr>
          <w:rtl/>
        </w:rPr>
        <w:t>والنساء</w:t>
      </w:r>
      <w:r w:rsidR="00FA4A2E">
        <w:rPr>
          <w:rtl/>
        </w:rPr>
        <w:t xml:space="preserve"> </w:t>
      </w:r>
      <w:r>
        <w:rPr>
          <w:rtl/>
        </w:rPr>
        <w:t>المهاجرات</w:t>
      </w:r>
    </w:p>
    <w:p w14:paraId="552565B7" w14:textId="77777777" w:rsidR="002039EE" w:rsidRPr="00ED032D" w:rsidRDefault="002039EE" w:rsidP="006373F6">
      <w:pPr>
        <w:pStyle w:val="SingleTxtGA"/>
        <w:rPr>
          <w:rtl/>
          <w:lang w:val="ar-SA" w:eastAsia="zh-TW"/>
        </w:rPr>
      </w:pPr>
      <w:r>
        <w:rPr>
          <w:rtl/>
        </w:rPr>
        <w:t>٢١-</w:t>
      </w:r>
      <w:r>
        <w:tab/>
      </w:r>
      <w:r>
        <w:rPr>
          <w:rtl/>
        </w:rPr>
        <w:t>تحيط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علماً</w:t>
      </w:r>
      <w:r w:rsidR="00FA4A2E">
        <w:rPr>
          <w:rtl/>
        </w:rPr>
        <w:t xml:space="preserve"> </w:t>
      </w:r>
      <w:r>
        <w:rPr>
          <w:rtl/>
        </w:rPr>
        <w:t>بالتدابير</w:t>
      </w:r>
      <w:r w:rsidR="00FA4A2E">
        <w:rPr>
          <w:rtl/>
        </w:rPr>
        <w:t xml:space="preserve"> </w:t>
      </w:r>
      <w:r>
        <w:rPr>
          <w:rtl/>
        </w:rPr>
        <w:t>التي</w:t>
      </w:r>
      <w:r w:rsidR="00FA4A2E">
        <w:rPr>
          <w:rtl/>
        </w:rPr>
        <w:t xml:space="preserve"> </w:t>
      </w:r>
      <w:r>
        <w:rPr>
          <w:rtl/>
        </w:rPr>
        <w:t>اتخذتها</w:t>
      </w:r>
      <w:r w:rsidR="00FA4A2E">
        <w:rPr>
          <w:rtl/>
        </w:rPr>
        <w:t xml:space="preserve"> </w:t>
      </w:r>
      <w:r>
        <w:rPr>
          <w:rtl/>
        </w:rPr>
        <w:t>الدولة</w:t>
      </w:r>
      <w:r w:rsidR="00FA4A2E">
        <w:rPr>
          <w:rtl/>
        </w:rPr>
        <w:t xml:space="preserve"> </w:t>
      </w:r>
      <w:r>
        <w:rPr>
          <w:rtl/>
        </w:rPr>
        <w:t>الطرف</w:t>
      </w:r>
      <w:r w:rsidR="00FA4A2E">
        <w:rPr>
          <w:rtl/>
        </w:rPr>
        <w:t xml:space="preserve"> </w:t>
      </w:r>
      <w:r>
        <w:rPr>
          <w:rtl/>
        </w:rPr>
        <w:t>لمكافحة</w:t>
      </w:r>
      <w:r w:rsidR="00FA4A2E">
        <w:rPr>
          <w:rtl/>
        </w:rPr>
        <w:t xml:space="preserve"> </w:t>
      </w:r>
      <w:r>
        <w:rPr>
          <w:rtl/>
        </w:rPr>
        <w:t>العنف</w:t>
      </w:r>
      <w:r w:rsidR="00FA4A2E">
        <w:rPr>
          <w:rtl/>
        </w:rPr>
        <w:t xml:space="preserve"> </w:t>
      </w:r>
      <w:r>
        <w:rPr>
          <w:rtl/>
        </w:rPr>
        <w:t>الجنسي</w:t>
      </w:r>
      <w:r w:rsidR="00FA4A2E">
        <w:rPr>
          <w:rtl/>
        </w:rPr>
        <w:t xml:space="preserve"> </w:t>
      </w:r>
      <w:proofErr w:type="spellStart"/>
      <w:r>
        <w:rPr>
          <w:rtl/>
        </w:rPr>
        <w:t>والجنساني</w:t>
      </w:r>
      <w:proofErr w:type="spellEnd"/>
      <w:r w:rsidR="00FA4A2E">
        <w:rPr>
          <w:rtl/>
        </w:rPr>
        <w:t xml:space="preserve"> </w:t>
      </w:r>
      <w:r>
        <w:rPr>
          <w:rtl/>
        </w:rPr>
        <w:t>والتمييز،</w:t>
      </w:r>
      <w:r w:rsidR="00FA4A2E">
        <w:rPr>
          <w:rtl/>
        </w:rPr>
        <w:t xml:space="preserve"> </w:t>
      </w:r>
      <w:r>
        <w:rPr>
          <w:rtl/>
        </w:rPr>
        <w:t>بما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ذلك</w:t>
      </w:r>
      <w:r w:rsidR="00FA4A2E">
        <w:rPr>
          <w:rtl/>
        </w:rPr>
        <w:t xml:space="preserve"> </w:t>
      </w:r>
      <w:r>
        <w:rPr>
          <w:rtl/>
        </w:rPr>
        <w:t>توزيع</w:t>
      </w:r>
      <w:r w:rsidR="00FA4A2E">
        <w:rPr>
          <w:rtl/>
        </w:rPr>
        <w:t xml:space="preserve"> </w:t>
      </w:r>
      <w:r>
        <w:rPr>
          <w:rtl/>
        </w:rPr>
        <w:t>نشرات</w:t>
      </w:r>
      <w:r w:rsidR="00FA4A2E">
        <w:rPr>
          <w:rtl/>
        </w:rPr>
        <w:t xml:space="preserve"> </w:t>
      </w:r>
      <w:r>
        <w:rPr>
          <w:rtl/>
        </w:rPr>
        <w:t>وبطاقات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جاليات</w:t>
      </w:r>
      <w:r w:rsidR="00FA4A2E">
        <w:rPr>
          <w:rtl/>
        </w:rPr>
        <w:t xml:space="preserve"> </w:t>
      </w:r>
      <w:r>
        <w:rPr>
          <w:rtl/>
        </w:rPr>
        <w:t>المهاجرين</w:t>
      </w:r>
      <w:r w:rsidR="00FA4A2E">
        <w:rPr>
          <w:rtl/>
        </w:rPr>
        <w:t xml:space="preserve"> </w:t>
      </w:r>
      <w:r>
        <w:rPr>
          <w:rtl/>
        </w:rPr>
        <w:t>لتعريفها</w:t>
      </w:r>
      <w:r w:rsidR="00FA4A2E">
        <w:rPr>
          <w:rtl/>
        </w:rPr>
        <w:t xml:space="preserve"> </w:t>
      </w:r>
      <w:r>
        <w:rPr>
          <w:rtl/>
        </w:rPr>
        <w:t>بالعنف</w:t>
      </w:r>
      <w:r w:rsidR="00FA4A2E">
        <w:rPr>
          <w:rtl/>
        </w:rPr>
        <w:t xml:space="preserve"> </w:t>
      </w:r>
      <w:r>
        <w:rPr>
          <w:rtl/>
        </w:rPr>
        <w:t>الأسري</w:t>
      </w:r>
      <w:r w:rsidR="00FA4A2E">
        <w:rPr>
          <w:rtl/>
        </w:rPr>
        <w:t xml:space="preserve"> </w:t>
      </w:r>
      <w:r>
        <w:rPr>
          <w:rtl/>
        </w:rPr>
        <w:t>وبسبل</w:t>
      </w:r>
      <w:r w:rsidR="00FA4A2E">
        <w:rPr>
          <w:rtl/>
        </w:rPr>
        <w:t xml:space="preserve"> </w:t>
      </w:r>
      <w:r>
        <w:rPr>
          <w:rtl/>
        </w:rPr>
        <w:t>الدعم</w:t>
      </w:r>
      <w:r w:rsidR="00FA4A2E">
        <w:rPr>
          <w:rtl/>
        </w:rPr>
        <w:t xml:space="preserve"> </w:t>
      </w:r>
      <w:r>
        <w:rPr>
          <w:rtl/>
        </w:rPr>
        <w:t>المتاحة،</w:t>
      </w:r>
      <w:r w:rsidR="00FA4A2E">
        <w:rPr>
          <w:rtl/>
        </w:rPr>
        <w:t xml:space="preserve"> </w:t>
      </w:r>
      <w:r>
        <w:rPr>
          <w:rtl/>
        </w:rPr>
        <w:t>غير</w:t>
      </w:r>
      <w:r w:rsidR="00FA4A2E">
        <w:rPr>
          <w:rtl/>
        </w:rPr>
        <w:t xml:space="preserve"> </w:t>
      </w:r>
      <w:r>
        <w:rPr>
          <w:rtl/>
        </w:rPr>
        <w:t>أنها</w:t>
      </w:r>
      <w:r w:rsidR="00FA4A2E">
        <w:rPr>
          <w:rtl/>
        </w:rPr>
        <w:t xml:space="preserve"> </w:t>
      </w:r>
      <w:r>
        <w:rPr>
          <w:rtl/>
        </w:rPr>
        <w:t>لا</w:t>
      </w:r>
      <w:r w:rsidR="00FA4A2E">
        <w:rPr>
          <w:rtl/>
        </w:rPr>
        <w:t xml:space="preserve"> </w:t>
      </w:r>
      <w:r>
        <w:rPr>
          <w:rtl/>
        </w:rPr>
        <w:t>تزال</w:t>
      </w:r>
      <w:r w:rsidR="00FA4A2E">
        <w:rPr>
          <w:rtl/>
        </w:rPr>
        <w:t xml:space="preserve"> </w:t>
      </w:r>
      <w:r>
        <w:rPr>
          <w:rtl/>
        </w:rPr>
        <w:t>تشعر</w:t>
      </w:r>
      <w:r w:rsidR="00FA4A2E">
        <w:rPr>
          <w:rtl/>
        </w:rPr>
        <w:t xml:space="preserve"> </w:t>
      </w:r>
      <w:r>
        <w:rPr>
          <w:rtl/>
        </w:rPr>
        <w:t>بالقلق</w:t>
      </w:r>
      <w:r w:rsidR="00FA4A2E">
        <w:rPr>
          <w:rtl/>
        </w:rPr>
        <w:t xml:space="preserve"> </w:t>
      </w:r>
      <w:r>
        <w:rPr>
          <w:rtl/>
        </w:rPr>
        <w:t>لأن</w:t>
      </w:r>
      <w:r w:rsidR="00FA4A2E">
        <w:rPr>
          <w:rtl/>
        </w:rPr>
        <w:t xml:space="preserve"> </w:t>
      </w:r>
      <w:r>
        <w:rPr>
          <w:rtl/>
        </w:rPr>
        <w:t>احتمال</w:t>
      </w:r>
      <w:r w:rsidR="00FA4A2E">
        <w:rPr>
          <w:rtl/>
        </w:rPr>
        <w:t xml:space="preserve"> </w:t>
      </w:r>
      <w:r>
        <w:rPr>
          <w:rtl/>
        </w:rPr>
        <w:t>تعرض</w:t>
      </w:r>
      <w:r w:rsidR="00FA4A2E">
        <w:rPr>
          <w:rtl/>
        </w:rPr>
        <w:t xml:space="preserve"> </w:t>
      </w:r>
      <w:r>
        <w:rPr>
          <w:rtl/>
        </w:rPr>
        <w:t>النساء</w:t>
      </w:r>
      <w:r w:rsidR="00FA4A2E">
        <w:rPr>
          <w:rtl/>
        </w:rPr>
        <w:t xml:space="preserve"> </w:t>
      </w:r>
      <w:r>
        <w:rPr>
          <w:rtl/>
        </w:rPr>
        <w:t>المنتميات</w:t>
      </w:r>
      <w:r w:rsidR="00FA4A2E">
        <w:rPr>
          <w:rtl/>
        </w:rPr>
        <w:t xml:space="preserve"> </w:t>
      </w:r>
      <w:r>
        <w:rPr>
          <w:rtl/>
        </w:rPr>
        <w:t>إلى</w:t>
      </w:r>
      <w:r w:rsidR="00FA4A2E">
        <w:rPr>
          <w:rtl/>
        </w:rPr>
        <w:t xml:space="preserve"> </w:t>
      </w:r>
      <w:r>
        <w:rPr>
          <w:rtl/>
        </w:rPr>
        <w:t>الأقليات</w:t>
      </w:r>
      <w:r w:rsidR="00FA4A2E">
        <w:rPr>
          <w:rtl/>
        </w:rPr>
        <w:t xml:space="preserve"> </w:t>
      </w:r>
      <w:r>
        <w:rPr>
          <w:rtl/>
        </w:rPr>
        <w:t>والنساء</w:t>
      </w:r>
      <w:r w:rsidR="00FA4A2E">
        <w:rPr>
          <w:rtl/>
        </w:rPr>
        <w:t xml:space="preserve"> </w:t>
      </w:r>
      <w:r>
        <w:rPr>
          <w:rtl/>
        </w:rPr>
        <w:t>المهاجرات</w:t>
      </w:r>
      <w:r w:rsidR="00FA4A2E">
        <w:rPr>
          <w:rtl/>
        </w:rPr>
        <w:t xml:space="preserve"> </w:t>
      </w:r>
      <w:r>
        <w:rPr>
          <w:rtl/>
        </w:rPr>
        <w:t>للعنف</w:t>
      </w:r>
      <w:r w:rsidR="00FA4A2E">
        <w:rPr>
          <w:rtl/>
        </w:rPr>
        <w:t xml:space="preserve"> </w:t>
      </w:r>
      <w:r>
        <w:rPr>
          <w:rtl/>
        </w:rPr>
        <w:t>يفوق</w:t>
      </w:r>
      <w:r w:rsidR="00FA4A2E">
        <w:rPr>
          <w:rtl/>
        </w:rPr>
        <w:t xml:space="preserve"> </w:t>
      </w:r>
      <w:r>
        <w:rPr>
          <w:rtl/>
        </w:rPr>
        <w:t>احتمال</w:t>
      </w:r>
      <w:r w:rsidR="00FA4A2E">
        <w:rPr>
          <w:rtl/>
        </w:rPr>
        <w:t xml:space="preserve"> </w:t>
      </w:r>
      <w:r>
        <w:rPr>
          <w:rtl/>
        </w:rPr>
        <w:t>تعرض</w:t>
      </w:r>
      <w:r w:rsidR="00FA4A2E">
        <w:rPr>
          <w:rtl/>
        </w:rPr>
        <w:t xml:space="preserve"> </w:t>
      </w:r>
      <w:r>
        <w:rPr>
          <w:rtl/>
        </w:rPr>
        <w:t>النساء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عامة</w:t>
      </w:r>
      <w:r w:rsidR="00FA4A2E">
        <w:rPr>
          <w:rtl/>
        </w:rPr>
        <w:t xml:space="preserve"> </w:t>
      </w:r>
      <w:r>
        <w:rPr>
          <w:rtl/>
        </w:rPr>
        <w:t>السكان</w:t>
      </w:r>
      <w:r w:rsidR="00FA4A2E">
        <w:rPr>
          <w:rtl/>
        </w:rPr>
        <w:t xml:space="preserve"> </w:t>
      </w:r>
      <w:r>
        <w:rPr>
          <w:rtl/>
        </w:rPr>
        <w:t>له،</w:t>
      </w:r>
      <w:r w:rsidR="00FA4A2E">
        <w:rPr>
          <w:rtl/>
        </w:rPr>
        <w:t xml:space="preserve"> </w:t>
      </w:r>
      <w:r>
        <w:rPr>
          <w:rtl/>
        </w:rPr>
        <w:t>ولأن</w:t>
      </w:r>
      <w:r w:rsidR="00FA4A2E">
        <w:rPr>
          <w:rtl/>
        </w:rPr>
        <w:t xml:space="preserve"> </w:t>
      </w:r>
      <w:r>
        <w:rPr>
          <w:rtl/>
        </w:rPr>
        <w:t>نسبة</w:t>
      </w:r>
      <w:r w:rsidR="00FA4A2E">
        <w:rPr>
          <w:rtl/>
        </w:rPr>
        <w:t xml:space="preserve"> </w:t>
      </w:r>
      <w:r>
        <w:rPr>
          <w:rtl/>
        </w:rPr>
        <w:t>الأجنبيات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الملاجئ</w:t>
      </w:r>
      <w:r w:rsidR="00FA4A2E">
        <w:rPr>
          <w:rtl/>
        </w:rPr>
        <w:t xml:space="preserve"> </w:t>
      </w:r>
      <w:r>
        <w:rPr>
          <w:rtl/>
        </w:rPr>
        <w:t>المخصصة</w:t>
      </w:r>
      <w:r w:rsidR="00FA4A2E">
        <w:rPr>
          <w:rtl/>
        </w:rPr>
        <w:t xml:space="preserve"> </w:t>
      </w:r>
      <w:r>
        <w:rPr>
          <w:rtl/>
        </w:rPr>
        <w:t>للنساء</w:t>
      </w:r>
      <w:r w:rsidR="00FA4A2E">
        <w:rPr>
          <w:rtl/>
        </w:rPr>
        <w:t xml:space="preserve"> </w:t>
      </w:r>
      <w:r>
        <w:rPr>
          <w:rtl/>
        </w:rPr>
        <w:t>ضحايا</w:t>
      </w:r>
      <w:r w:rsidR="00FA4A2E">
        <w:rPr>
          <w:rtl/>
        </w:rPr>
        <w:t xml:space="preserve"> </w:t>
      </w:r>
      <w:r>
        <w:rPr>
          <w:rtl/>
        </w:rPr>
        <w:t>العنف</w:t>
      </w:r>
      <w:r w:rsidR="00FA4A2E">
        <w:rPr>
          <w:rtl/>
        </w:rPr>
        <w:t xml:space="preserve"> </w:t>
      </w:r>
      <w:r>
        <w:rPr>
          <w:rtl/>
        </w:rPr>
        <w:t>الأسري</w:t>
      </w:r>
      <w:r w:rsidR="00FA4A2E">
        <w:rPr>
          <w:rtl/>
        </w:rPr>
        <w:t xml:space="preserve"> </w:t>
      </w:r>
      <w:r>
        <w:rPr>
          <w:rtl/>
        </w:rPr>
        <w:t>بلغت</w:t>
      </w:r>
      <w:r w:rsidR="004657A3">
        <w:rPr>
          <w:rFonts w:hint="eastAsia"/>
          <w:rtl/>
        </w:rPr>
        <w:t> </w:t>
      </w:r>
      <w:r>
        <w:rPr>
          <w:rtl/>
        </w:rPr>
        <w:t>35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المائة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عام</w:t>
      </w:r>
      <w:r w:rsidR="00FA4A2E">
        <w:rPr>
          <w:rtl/>
        </w:rPr>
        <w:t xml:space="preserve"> </w:t>
      </w:r>
      <w:r>
        <w:rPr>
          <w:rtl/>
        </w:rPr>
        <w:t>2018</w:t>
      </w:r>
      <w:r w:rsidR="00FA4A2E">
        <w:rPr>
          <w:rtl/>
        </w:rPr>
        <w:t xml:space="preserve"> </w:t>
      </w:r>
      <w:r>
        <w:rPr>
          <w:rtl/>
        </w:rPr>
        <w:t>(المادة</w:t>
      </w:r>
      <w:r w:rsidR="00FA4A2E">
        <w:rPr>
          <w:rtl/>
        </w:rPr>
        <w:t xml:space="preserve"> </w:t>
      </w:r>
      <w:r>
        <w:rPr>
          <w:rtl/>
        </w:rPr>
        <w:t>٥).</w:t>
      </w:r>
    </w:p>
    <w:p w14:paraId="16BC0EB3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٢٢-</w:t>
      </w:r>
      <w:r>
        <w:tab/>
      </w:r>
      <w:r w:rsidRPr="00442B86">
        <w:rPr>
          <w:b/>
          <w:bCs/>
          <w:rtl/>
        </w:rPr>
        <w:t>واللجنة،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إذ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تُذكّر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بتوصيتها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رقم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25(2000)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بشأن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أبعاد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العنصري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المتعلقة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بنوع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الجنس،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تقوم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يلي:</w:t>
      </w:r>
    </w:p>
    <w:p w14:paraId="478CAE1C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 w:rsidRPr="00442B86">
        <w:rPr>
          <w:b/>
          <w:bCs/>
        </w:rPr>
        <w:tab/>
      </w:r>
      <w:r w:rsidRPr="00442B86">
        <w:rPr>
          <w:b/>
          <w:bCs/>
          <w:rtl/>
        </w:rPr>
        <w:t>(أ)</w:t>
      </w:r>
      <w:r w:rsidRPr="00442B86">
        <w:rPr>
          <w:b/>
          <w:bCs/>
        </w:rPr>
        <w:tab/>
      </w:r>
      <w:r w:rsidRPr="00442B86">
        <w:rPr>
          <w:b/>
          <w:bCs/>
          <w:rtl/>
        </w:rPr>
        <w:t>زيادة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التدابير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المتخذة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لحماية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الأجنبيات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والنساء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المنتميات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الأقليات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الجنسي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والعنف</w:t>
      </w:r>
      <w:r w:rsidR="00FA4A2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الجنساني</w:t>
      </w:r>
      <w:proofErr w:type="spellEnd"/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الأُسري،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وضمان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حصول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الضحايا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مساعدة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قانونية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وطبية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ونفسية</w:t>
      </w:r>
      <w:r w:rsidR="00FA4A2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-</w:t>
      </w:r>
      <w:r w:rsidR="00FA4A2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اجتماعية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كافية،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بصرف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النظر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وضعهن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حيث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الهجرة؛</w:t>
      </w:r>
    </w:p>
    <w:p w14:paraId="7B005424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(ب)</w:t>
      </w:r>
      <w:r>
        <w:tab/>
      </w:r>
      <w:r>
        <w:rPr>
          <w:b/>
          <w:bCs/>
          <w:rtl/>
        </w:rPr>
        <w:t>زيادة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التدابير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الرامية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ضمان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تعريف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الأجنبيات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والنساء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المنتميات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الأقليات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بحقوقهن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وبسبل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الانتصاف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المتاحة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لهن،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خلال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توفير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المواد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التثقيفية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بعدة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لغات؛</w:t>
      </w:r>
      <w:r w:rsidR="00FA4A2E">
        <w:rPr>
          <w:rtl/>
        </w:rPr>
        <w:t xml:space="preserve"> </w:t>
      </w:r>
    </w:p>
    <w:p w14:paraId="56A8DF77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(ج)</w:t>
      </w:r>
      <w:r>
        <w:tab/>
      </w:r>
      <w:r>
        <w:rPr>
          <w:b/>
          <w:bCs/>
          <w:rtl/>
        </w:rPr>
        <w:t>اتخاذ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تيسِّر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للنساء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الأجنبيات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تقديم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شكاواهن،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بسبل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تثقيفهن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بقوانين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الهجرة،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تجيز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للأفراد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المنحدرين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بلدان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خارج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المنطقة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الاقتصادية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الأوروبية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الاحتفاظ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بتصاريح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إقامتهم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الطلاق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زوج</w:t>
      </w:r>
      <w:r w:rsidR="00FA4A2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آيسلندي</w:t>
      </w:r>
      <w:proofErr w:type="spellEnd"/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المولِد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زوجة</w:t>
      </w:r>
      <w:r w:rsidR="00FA4A2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آيسلندية</w:t>
      </w:r>
      <w:proofErr w:type="spellEnd"/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المولد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ارتكاب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الزوج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الزوجة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أفعال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إيذاء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rFonts w:hint="eastAsia"/>
          <w:b/>
          <w:bCs/>
          <w:rtl/>
        </w:rPr>
        <w:t> </w:t>
      </w:r>
      <w:r>
        <w:rPr>
          <w:b/>
          <w:bCs/>
          <w:rtl/>
        </w:rPr>
        <w:t>حقهم؛</w:t>
      </w:r>
    </w:p>
    <w:p w14:paraId="2791B1C6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(د)</w:t>
      </w:r>
      <w:r>
        <w:tab/>
      </w:r>
      <w:r>
        <w:rPr>
          <w:b/>
          <w:bCs/>
          <w:rtl/>
        </w:rPr>
        <w:t>التحقيق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ادعاءات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الجنسي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والعنف</w:t>
      </w:r>
      <w:r w:rsidR="00FA4A2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الجنساني</w:t>
      </w:r>
      <w:proofErr w:type="spellEnd"/>
      <w:r>
        <w:rPr>
          <w:b/>
          <w:bCs/>
          <w:rtl/>
        </w:rPr>
        <w:t>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وضمان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مقاضاة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المسؤولين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الأفعال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ومعاقبتهم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بعقوبات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مناسبة؛</w:t>
      </w:r>
    </w:p>
    <w:p w14:paraId="1B5DAEBB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tab/>
      </w:r>
      <w:r>
        <w:rPr>
          <w:rtl/>
        </w:rPr>
        <w:t>(هـ)</w:t>
      </w:r>
      <w:r>
        <w:tab/>
      </w:r>
      <w:r>
        <w:rPr>
          <w:b/>
          <w:bCs/>
          <w:rtl/>
        </w:rPr>
        <w:t>توعية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السكان،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وبخاصة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المنتمين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الأقليات،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بحظر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العنف</w:t>
      </w:r>
      <w:r w:rsidR="00FA4A2E"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الجنساني</w:t>
      </w:r>
      <w:proofErr w:type="spellEnd"/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وبالآثار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السلبية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الناجمة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عنه.</w:t>
      </w:r>
    </w:p>
    <w:p w14:paraId="7404FF71" w14:textId="77777777" w:rsidR="002039EE" w:rsidRPr="00ED032D" w:rsidRDefault="006373F6" w:rsidP="00DB2DE5">
      <w:pPr>
        <w:pStyle w:val="H1GA"/>
        <w:rPr>
          <w:rtl/>
          <w:lang w:val="ar-SA" w:eastAsia="zh-TW"/>
        </w:rPr>
      </w:pPr>
      <w:r>
        <w:rPr>
          <w:rtl/>
        </w:rPr>
        <w:tab/>
      </w:r>
      <w:proofErr w:type="spellStart"/>
      <w:r w:rsidR="00FA4A2E">
        <w:rPr>
          <w:rFonts w:hint="cs"/>
          <w:rtl/>
        </w:rPr>
        <w:t>دا</w:t>
      </w:r>
      <w:proofErr w:type="spellEnd"/>
      <w:r w:rsidR="00FA4A2E">
        <w:rPr>
          <w:rFonts w:hint="cs"/>
          <w:rtl/>
          <w:lang w:bidi="ar-DZ"/>
        </w:rPr>
        <w:t>ل</w:t>
      </w:r>
      <w:r>
        <w:rPr>
          <w:rFonts w:hint="cs"/>
          <w:rtl/>
          <w:lang w:bidi="ar-DZ"/>
        </w:rPr>
        <w:t>-</w:t>
      </w:r>
      <w:r w:rsidR="002039EE">
        <w:tab/>
      </w:r>
      <w:r w:rsidR="002039EE">
        <w:rPr>
          <w:rtl/>
        </w:rPr>
        <w:t>توصيات</w:t>
      </w:r>
      <w:r w:rsidR="00FA4A2E">
        <w:rPr>
          <w:rtl/>
        </w:rPr>
        <w:t xml:space="preserve"> </w:t>
      </w:r>
      <w:r w:rsidR="002039EE">
        <w:rPr>
          <w:rtl/>
        </w:rPr>
        <w:t>أخرى</w:t>
      </w:r>
    </w:p>
    <w:p w14:paraId="7EC88523" w14:textId="77777777" w:rsidR="002039EE" w:rsidRPr="00ED032D" w:rsidRDefault="002039EE" w:rsidP="00DB2DE5">
      <w:pPr>
        <w:pStyle w:val="H23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التصديق</w:t>
      </w:r>
      <w:r w:rsidR="00FA4A2E">
        <w:rPr>
          <w:rtl/>
        </w:rPr>
        <w:t xml:space="preserve"> </w:t>
      </w:r>
      <w:r>
        <w:rPr>
          <w:rtl/>
        </w:rPr>
        <w:t>على</w:t>
      </w:r>
      <w:r w:rsidR="00FA4A2E">
        <w:rPr>
          <w:rtl/>
        </w:rPr>
        <w:t xml:space="preserve"> </w:t>
      </w:r>
      <w:r>
        <w:rPr>
          <w:rtl/>
        </w:rPr>
        <w:t>المعاهدات</w:t>
      </w:r>
      <w:r w:rsidR="00FA4A2E">
        <w:rPr>
          <w:rtl/>
        </w:rPr>
        <w:t xml:space="preserve"> </w:t>
      </w:r>
      <w:r>
        <w:rPr>
          <w:rtl/>
        </w:rPr>
        <w:t>الأخرى</w:t>
      </w:r>
    </w:p>
    <w:p w14:paraId="6DA88FEA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٢٣-</w:t>
      </w:r>
      <w:r>
        <w:tab/>
      </w:r>
      <w:r>
        <w:rPr>
          <w:b/>
          <w:bCs/>
          <w:rtl/>
        </w:rPr>
        <w:t>إن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تضع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اعتبارها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عدم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قابلية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حقوق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الإنسان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جميعها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للتجزئة،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تشجع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الدولةَ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النظر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التصديق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تصدق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عليه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بعد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معاهدات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دولية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لحقوق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الإنسان،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المعاهدات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تتصل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أحكامها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اتصالاً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مباشراً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بالفئات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قد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تتعرض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الاتفاقية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لحماية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حقوق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العمال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المهاجرين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وأفراد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أسرهم</w:t>
      </w:r>
      <w:r>
        <w:rPr>
          <w:rtl/>
        </w:rPr>
        <w:t>.</w:t>
      </w:r>
      <w:r w:rsidR="00FA4A2E">
        <w:rPr>
          <w:rtl/>
        </w:rPr>
        <w:t xml:space="preserve"> </w:t>
      </w:r>
      <w:r>
        <w:rPr>
          <w:b/>
          <w:bCs/>
          <w:rtl/>
        </w:rPr>
        <w:t>وتشجع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الانضمام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الاتفاقية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المتعلقة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بوضع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الأشخاص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عديمي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الجنسية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والاتفاقية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المتعلقة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بخفض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حالات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انعدام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الجنسية</w:t>
      </w:r>
      <w:r>
        <w:rPr>
          <w:rtl/>
        </w:rPr>
        <w:t>.</w:t>
      </w:r>
      <w:r w:rsidR="00FA4A2E">
        <w:rPr>
          <w:rtl/>
        </w:rPr>
        <w:t xml:space="preserve"> </w:t>
      </w:r>
    </w:p>
    <w:p w14:paraId="76A5FC1D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lastRenderedPageBreak/>
        <w:tab/>
      </w:r>
      <w:r>
        <w:tab/>
      </w:r>
      <w:r>
        <w:rPr>
          <w:rtl/>
        </w:rPr>
        <w:t>متابعة</w:t>
      </w:r>
      <w:r w:rsidR="00FA4A2E">
        <w:rPr>
          <w:rtl/>
        </w:rPr>
        <w:t xml:space="preserve"> </w:t>
      </w:r>
      <w:r>
        <w:rPr>
          <w:rtl/>
        </w:rPr>
        <w:t>إعلان</w:t>
      </w:r>
      <w:r w:rsidR="00FA4A2E">
        <w:rPr>
          <w:rtl/>
        </w:rPr>
        <w:t xml:space="preserve"> </w:t>
      </w:r>
      <w:r>
        <w:rPr>
          <w:rtl/>
        </w:rPr>
        <w:t>وبرنامج</w:t>
      </w:r>
      <w:r w:rsidR="00FA4A2E">
        <w:rPr>
          <w:rtl/>
        </w:rPr>
        <w:t xml:space="preserve"> </w:t>
      </w:r>
      <w:r>
        <w:rPr>
          <w:rtl/>
        </w:rPr>
        <w:t>عمل</w:t>
      </w:r>
      <w:r w:rsidR="00FA4A2E">
        <w:rPr>
          <w:rtl/>
        </w:rPr>
        <w:t xml:space="preserve"> </w:t>
      </w:r>
      <w:proofErr w:type="spellStart"/>
      <w:r>
        <w:rPr>
          <w:rtl/>
        </w:rPr>
        <w:t>ديربان</w:t>
      </w:r>
      <w:proofErr w:type="spellEnd"/>
    </w:p>
    <w:p w14:paraId="58C5EB54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٢٤-</w:t>
      </w:r>
      <w:r>
        <w:tab/>
      </w:r>
      <w:r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ضوء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توصيتها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رقم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33(2009)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بشأن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متابعة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مؤتمر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استعراض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نتائج</w:t>
      </w:r>
      <w:r w:rsidR="00FA4A2E">
        <w:rPr>
          <w:b/>
          <w:bCs/>
          <w:rtl/>
        </w:rPr>
        <w:t xml:space="preserve"> </w:t>
      </w:r>
      <w:proofErr w:type="spellStart"/>
      <w:r w:rsidRPr="00442B86">
        <w:rPr>
          <w:b/>
          <w:bCs/>
          <w:rtl/>
        </w:rPr>
        <w:t>ديربان</w:t>
      </w:r>
      <w:proofErr w:type="spellEnd"/>
      <w:r w:rsidRPr="00442B86">
        <w:rPr>
          <w:b/>
          <w:bCs/>
          <w:rtl/>
        </w:rPr>
        <w:t>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تُنفذ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سياق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تطبيق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أحكام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الاتفاقية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rFonts w:hint="cs"/>
          <w:b/>
          <w:bCs/>
          <w:rtl/>
        </w:rPr>
        <w:t> </w:t>
      </w:r>
      <w:r w:rsidRPr="00442B86">
        <w:rPr>
          <w:b/>
          <w:bCs/>
          <w:rtl/>
        </w:rPr>
        <w:t>نظامها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القانوني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المحلي،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إعلان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وبرنامج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عمل</w:t>
      </w:r>
      <w:r w:rsidR="00FA4A2E">
        <w:rPr>
          <w:b/>
          <w:bCs/>
          <w:rtl/>
        </w:rPr>
        <w:t xml:space="preserve"> </w:t>
      </w:r>
      <w:proofErr w:type="spellStart"/>
      <w:r w:rsidRPr="00442B86">
        <w:rPr>
          <w:b/>
          <w:bCs/>
          <w:rtl/>
        </w:rPr>
        <w:t>ديربان</w:t>
      </w:r>
      <w:proofErr w:type="spellEnd"/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اللذين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اعتمدهما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المؤتمر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العالمي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لمناهضة</w:t>
      </w:r>
      <w:r w:rsidR="00FA4A2E">
        <w:rPr>
          <w:rFonts w:hint="cs"/>
          <w:b/>
          <w:bCs/>
          <w:rtl/>
        </w:rPr>
        <w:t xml:space="preserve"> </w:t>
      </w:r>
      <w:r w:rsidRPr="00442B86">
        <w:rPr>
          <w:b/>
          <w:bCs/>
          <w:rtl/>
        </w:rPr>
        <w:t>العنصرية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والتمييز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العنصري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وكره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الأجانب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وما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يتصل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بذلك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تعصب،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أيلول/سبتمبر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2001،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مراعاة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الوثيقة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الختامية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لمؤتمر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استعراض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نتائج</w:t>
      </w:r>
      <w:r w:rsidR="00FA4A2E">
        <w:rPr>
          <w:b/>
          <w:bCs/>
          <w:rtl/>
        </w:rPr>
        <w:t xml:space="preserve"> </w:t>
      </w:r>
      <w:proofErr w:type="spellStart"/>
      <w:r w:rsidRPr="00442B86">
        <w:rPr>
          <w:b/>
          <w:bCs/>
          <w:rtl/>
        </w:rPr>
        <w:t>ديربان</w:t>
      </w:r>
      <w:proofErr w:type="spellEnd"/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المعقود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جنيف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نيسان/أبريل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2009.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وتطلب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تدرج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تقريرها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الدوري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المقبل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معلومات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محددة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عما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وضعته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خطط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العمل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وما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اتخذته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تدابير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أخرى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لتنفيذ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إعلان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وبرنامج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عمل</w:t>
      </w:r>
      <w:r w:rsidR="00FA4A2E">
        <w:rPr>
          <w:b/>
          <w:bCs/>
          <w:rtl/>
        </w:rPr>
        <w:t xml:space="preserve"> </w:t>
      </w:r>
      <w:proofErr w:type="spellStart"/>
      <w:r w:rsidRPr="00442B86">
        <w:rPr>
          <w:b/>
          <w:bCs/>
          <w:rtl/>
        </w:rPr>
        <w:t>ديربان</w:t>
      </w:r>
      <w:proofErr w:type="spellEnd"/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الصعيد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الوطني.</w:t>
      </w:r>
      <w:r w:rsidR="00FA4A2E">
        <w:rPr>
          <w:b/>
          <w:bCs/>
          <w:rtl/>
        </w:rPr>
        <w:t xml:space="preserve"> </w:t>
      </w:r>
    </w:p>
    <w:p w14:paraId="3BE1ED07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العِقد</w:t>
      </w:r>
      <w:r w:rsidR="00FA4A2E">
        <w:rPr>
          <w:rtl/>
        </w:rPr>
        <w:t xml:space="preserve"> </w:t>
      </w:r>
      <w:r>
        <w:rPr>
          <w:rtl/>
        </w:rPr>
        <w:t>الدولي</w:t>
      </w:r>
      <w:r w:rsidR="00FA4A2E">
        <w:rPr>
          <w:rtl/>
        </w:rPr>
        <w:t xml:space="preserve"> </w:t>
      </w:r>
      <w:r>
        <w:rPr>
          <w:rtl/>
        </w:rPr>
        <w:t>للمنحدرين</w:t>
      </w:r>
      <w:r w:rsidR="00FA4A2E">
        <w:rPr>
          <w:rtl/>
        </w:rPr>
        <w:t xml:space="preserve"> </w:t>
      </w:r>
      <w:r>
        <w:rPr>
          <w:rtl/>
        </w:rPr>
        <w:t>من</w:t>
      </w:r>
      <w:r w:rsidR="00FA4A2E">
        <w:rPr>
          <w:rtl/>
        </w:rPr>
        <w:t xml:space="preserve"> </w:t>
      </w:r>
      <w:r>
        <w:rPr>
          <w:rtl/>
        </w:rPr>
        <w:t>أصل</w:t>
      </w:r>
      <w:r w:rsidR="00FA4A2E">
        <w:rPr>
          <w:rtl/>
        </w:rPr>
        <w:t xml:space="preserve"> </w:t>
      </w:r>
      <w:r>
        <w:rPr>
          <w:rtl/>
        </w:rPr>
        <w:t>أفريقي</w:t>
      </w:r>
      <w:r w:rsidR="00FA4A2E">
        <w:rPr>
          <w:rtl/>
        </w:rPr>
        <w:t xml:space="preserve"> </w:t>
      </w:r>
    </w:p>
    <w:p w14:paraId="654EF484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٢٥-</w:t>
      </w:r>
      <w:r>
        <w:tab/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ضوء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قرار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الجمعية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68/237،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الذي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أعلنت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الجمعية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الفترة</w:t>
      </w:r>
      <w:r w:rsidR="00FA4A2E">
        <w:rPr>
          <w:rFonts w:hint="eastAsia"/>
          <w:b/>
          <w:bCs/>
          <w:rtl/>
        </w:rPr>
        <w:t> </w:t>
      </w:r>
      <w:r w:rsidRPr="00442B86">
        <w:rPr>
          <w:b/>
          <w:bCs/>
          <w:rtl/>
        </w:rPr>
        <w:t>2015-2024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عِقداً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دولياً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للمنحدرين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أصل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أفريقي،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وقرار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الجمعية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rFonts w:hint="eastAsia"/>
          <w:b/>
          <w:bCs/>
          <w:rtl/>
        </w:rPr>
        <w:t> </w:t>
      </w:r>
      <w:r w:rsidRPr="00442B86">
        <w:rPr>
          <w:b/>
          <w:bCs/>
          <w:rtl/>
        </w:rPr>
        <w:t>69/16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المتعلق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ببرنامج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الأنشطة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لتنفيذ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العِقد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للمنحدرين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أصل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أفريقي،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تعد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وتنفذ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برنامج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تدابير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وسياسات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مناسِب.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وتطلب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تدرج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تقريرها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المقبل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معلومات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دقيقة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التدابير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الملموسة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المتخذة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ذلك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الإطار،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مراعاة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توصيتها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34(2011)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بشأن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العنصري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ضد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السكان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المنحدرين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أصل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أفريقي.</w:t>
      </w:r>
      <w:r w:rsidRPr="00442B86">
        <w:rPr>
          <w:rFonts w:ascii="Arial" w:hAnsi="Arial" w:cs="Arial" w:hint="cs"/>
          <w:b/>
          <w:bCs/>
          <w:rtl/>
        </w:rPr>
        <w:t>‬</w:t>
      </w:r>
      <w:r w:rsidR="00FA4A2E">
        <w:rPr>
          <w:b/>
          <w:bCs/>
          <w:rtl/>
        </w:rPr>
        <w:t xml:space="preserve"> </w:t>
      </w:r>
    </w:p>
    <w:p w14:paraId="21075707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التشاور</w:t>
      </w:r>
      <w:r w:rsidR="00FA4A2E">
        <w:rPr>
          <w:rtl/>
        </w:rPr>
        <w:t xml:space="preserve"> </w:t>
      </w:r>
      <w:r>
        <w:rPr>
          <w:rtl/>
        </w:rPr>
        <w:t>مع</w:t>
      </w:r>
      <w:r w:rsidR="00FA4A2E">
        <w:rPr>
          <w:rtl/>
        </w:rPr>
        <w:t xml:space="preserve"> </w:t>
      </w:r>
      <w:r>
        <w:rPr>
          <w:rtl/>
        </w:rPr>
        <w:t>المجتمع</w:t>
      </w:r>
      <w:r w:rsidR="00FA4A2E">
        <w:rPr>
          <w:rtl/>
        </w:rPr>
        <w:t xml:space="preserve"> </w:t>
      </w:r>
      <w:r>
        <w:rPr>
          <w:rtl/>
        </w:rPr>
        <w:t>المدني</w:t>
      </w:r>
    </w:p>
    <w:p w14:paraId="31A270AD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٢٦-</w:t>
      </w:r>
      <w:r>
        <w:tab/>
      </w:r>
      <w:r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تواصل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التشاور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وتزيد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التحاور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منظمات</w:t>
      </w:r>
      <w:r w:rsidR="00FA4A2E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المجتمع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المدني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العاملة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مجال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حماية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حقوق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الإنسان،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المنظمات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تعمل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مكافحة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التمييز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العنصري،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سياق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إعداد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التقرير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الدوري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المقبل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ومتابعة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الملاحظات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الختامية</w:t>
      </w:r>
      <w:r>
        <w:rPr>
          <w:rtl/>
        </w:rPr>
        <w:t>.</w:t>
      </w:r>
    </w:p>
    <w:p w14:paraId="3FC95B1D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نشر</w:t>
      </w:r>
      <w:r w:rsidR="00FA4A2E">
        <w:rPr>
          <w:rtl/>
        </w:rPr>
        <w:t xml:space="preserve"> </w:t>
      </w:r>
      <w:r>
        <w:rPr>
          <w:rtl/>
        </w:rPr>
        <w:t>المعلومات</w:t>
      </w:r>
    </w:p>
    <w:p w14:paraId="2AB93F34" w14:textId="77777777" w:rsidR="002039EE" w:rsidRPr="005E569E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٢٧-</w:t>
      </w:r>
      <w:r>
        <w:tab/>
      </w:r>
      <w:r>
        <w:rPr>
          <w:b/>
          <w:bCs/>
          <w:rtl/>
        </w:rPr>
        <w:t>توصي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تتيح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تقاريرها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لعامة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الجمهور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وتيسر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اطلاعه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عليها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وقت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تقديمها،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تتيح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أيضاً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الملاحظات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الختامية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تبديها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تلك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التقارير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لجميع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الهيئات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الحكومية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المكلفة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بتنفيذ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الاتفاقية،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البلديات،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وأن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تنشرها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الموقع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الشبكي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لوزارة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الخارجية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باللغات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الرسمية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وغيرها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اللغات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الشائع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استخدامها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البلد،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حسب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الاقتضاء</w:t>
      </w:r>
      <w:r>
        <w:rPr>
          <w:rtl/>
        </w:rPr>
        <w:t>.</w:t>
      </w:r>
      <w:r>
        <w:rPr>
          <w:rtl/>
        </w:rPr>
        <w:t>‬</w:t>
      </w:r>
    </w:p>
    <w:p w14:paraId="1FBA754D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الوثيقة</w:t>
      </w:r>
      <w:r w:rsidR="00FA4A2E">
        <w:rPr>
          <w:rtl/>
        </w:rPr>
        <w:t xml:space="preserve"> </w:t>
      </w:r>
      <w:r>
        <w:rPr>
          <w:rtl/>
        </w:rPr>
        <w:t>الأساسية</w:t>
      </w:r>
      <w:r w:rsidR="00FA4A2E">
        <w:rPr>
          <w:rtl/>
        </w:rPr>
        <w:t xml:space="preserve"> </w:t>
      </w:r>
      <w:r>
        <w:rPr>
          <w:rtl/>
        </w:rPr>
        <w:t>الموحدة</w:t>
      </w:r>
    </w:p>
    <w:p w14:paraId="4F32C26B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٢٨-</w:t>
      </w:r>
      <w:r>
        <w:tab/>
      </w:r>
      <w:r>
        <w:rPr>
          <w:b/>
          <w:bCs/>
          <w:rtl/>
        </w:rPr>
        <w:t>تشجع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تحديث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وثيقتها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الأساسية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الموحدة،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يعود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تاريخ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تقديمها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22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نيسان/أبريل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1993،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وفقاً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للمبادئ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التوجيهية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المنسقة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لتقديم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التقارير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بموجب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المعاهدات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لحقوق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الإنسان،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ولا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سيما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المبادئ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التوجيهية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لتقديم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الوثيقة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أساسية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موحدة،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اعتُمدت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الاجتماع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الخامس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المشترك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لجان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هيئات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lastRenderedPageBreak/>
        <w:t>معاهدات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حقوق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الإنسان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المعقود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حزيران/</w:t>
      </w:r>
      <w:proofErr w:type="gramStart"/>
      <w:r w:rsidRPr="00442B86">
        <w:rPr>
          <w:b/>
          <w:bCs/>
          <w:rtl/>
        </w:rPr>
        <w:t>يونيه</w:t>
      </w:r>
      <w:proofErr w:type="gramEnd"/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2006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(</w:t>
      </w:r>
      <w:r w:rsidRPr="00442B86">
        <w:rPr>
          <w:b/>
          <w:bCs/>
        </w:rPr>
        <w:t>HRI/GEN/2/Rev.6</w:t>
      </w:r>
      <w:r w:rsidRPr="00442B86">
        <w:rPr>
          <w:b/>
          <w:bCs/>
          <w:rtl/>
        </w:rPr>
        <w:t>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الفصل</w:t>
      </w:r>
      <w:r w:rsidR="00FA4A2E">
        <w:rPr>
          <w:rFonts w:hint="cs"/>
          <w:b/>
          <w:bCs/>
          <w:rtl/>
        </w:rPr>
        <w:t xml:space="preserve"> </w:t>
      </w:r>
      <w:r w:rsidRPr="00442B86">
        <w:rPr>
          <w:b/>
          <w:bCs/>
          <w:rtl/>
        </w:rPr>
        <w:t>الأول).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ضوء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قرار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الجمعية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68/268،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تحث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التقيد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بالحد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الأقصى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لعدد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الكلمات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الوثائق،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وهو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400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42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كلمة.</w:t>
      </w:r>
    </w:p>
    <w:p w14:paraId="69596C98" w14:textId="77777777" w:rsidR="002039EE" w:rsidRPr="00ED032D" w:rsidRDefault="002039EE" w:rsidP="006373F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متابعة</w:t>
      </w:r>
      <w:r w:rsidR="00FA4A2E">
        <w:rPr>
          <w:rtl/>
        </w:rPr>
        <w:t xml:space="preserve"> </w:t>
      </w:r>
      <w:r>
        <w:rPr>
          <w:rtl/>
        </w:rPr>
        <w:t>هذه</w:t>
      </w:r>
      <w:r w:rsidR="00FA4A2E">
        <w:rPr>
          <w:rtl/>
        </w:rPr>
        <w:t xml:space="preserve"> </w:t>
      </w:r>
      <w:r>
        <w:rPr>
          <w:rtl/>
        </w:rPr>
        <w:t>الملاحظات</w:t>
      </w:r>
      <w:r w:rsidR="00FA4A2E">
        <w:rPr>
          <w:rtl/>
        </w:rPr>
        <w:t xml:space="preserve"> </w:t>
      </w:r>
      <w:r>
        <w:rPr>
          <w:rtl/>
        </w:rPr>
        <w:t>الختامية</w:t>
      </w:r>
    </w:p>
    <w:p w14:paraId="26A7E860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٢٩-</w:t>
      </w:r>
      <w:r>
        <w:rPr>
          <w:rtl/>
        </w:rPr>
        <w:tab/>
      </w:r>
      <w:r w:rsidRPr="00442B86">
        <w:rPr>
          <w:b/>
          <w:bCs/>
          <w:rtl/>
        </w:rPr>
        <w:t>تطلب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وفقاً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للفقرة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1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المادة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9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الاتفاقية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والمادة</w:t>
      </w:r>
      <w:r w:rsidR="00FA4A2E">
        <w:rPr>
          <w:rFonts w:hint="eastAsia"/>
          <w:b/>
          <w:bCs/>
          <w:rtl/>
        </w:rPr>
        <w:t> </w:t>
      </w:r>
      <w:r w:rsidRPr="00442B86">
        <w:rPr>
          <w:b/>
          <w:bCs/>
          <w:rtl/>
        </w:rPr>
        <w:t>65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نظامها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الداخلي،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تقدم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إليها،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غضون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سنة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واحدة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اعتماد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الملاحظات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الختامية،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معلومات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تنفيذها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التوصيات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الواردة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الفقرتين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10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و12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أعلاه.</w:t>
      </w:r>
    </w:p>
    <w:p w14:paraId="128A6699" w14:textId="77777777" w:rsidR="002039EE" w:rsidRPr="00442B86" w:rsidRDefault="002039EE" w:rsidP="006373F6">
      <w:pPr>
        <w:pStyle w:val="H23GA"/>
        <w:rPr>
          <w:rtl/>
          <w:lang w:val="ar-SA" w:eastAsia="zh-TW"/>
        </w:rPr>
      </w:pPr>
      <w:r w:rsidRPr="00442B86">
        <w:rPr>
          <w:rtl/>
        </w:rPr>
        <w:tab/>
      </w:r>
      <w:r w:rsidRPr="00442B86">
        <w:rPr>
          <w:rtl/>
        </w:rPr>
        <w:tab/>
        <w:t>الفقرات</w:t>
      </w:r>
      <w:r w:rsidR="00FA4A2E">
        <w:rPr>
          <w:rtl/>
        </w:rPr>
        <w:t xml:space="preserve"> </w:t>
      </w:r>
      <w:r w:rsidRPr="00442B86">
        <w:rPr>
          <w:rtl/>
        </w:rPr>
        <w:t>ذات</w:t>
      </w:r>
      <w:r w:rsidR="00FA4A2E">
        <w:rPr>
          <w:rtl/>
        </w:rPr>
        <w:t xml:space="preserve"> </w:t>
      </w:r>
      <w:r w:rsidRPr="00442B86">
        <w:rPr>
          <w:rtl/>
        </w:rPr>
        <w:t>الأهمية</w:t>
      </w:r>
      <w:r w:rsidR="00FA4A2E">
        <w:rPr>
          <w:rtl/>
        </w:rPr>
        <w:t xml:space="preserve"> </w:t>
      </w:r>
      <w:r w:rsidRPr="00442B86">
        <w:rPr>
          <w:rtl/>
        </w:rPr>
        <w:t>الخاصة</w:t>
      </w:r>
    </w:p>
    <w:p w14:paraId="628EA624" w14:textId="77777777" w:rsidR="002039EE" w:rsidRPr="00442B86" w:rsidRDefault="002039EE" w:rsidP="006373F6">
      <w:pPr>
        <w:pStyle w:val="SingleTxtGA"/>
        <w:rPr>
          <w:b/>
          <w:bCs/>
          <w:rtl/>
          <w:lang w:val="ar-SA" w:eastAsia="zh-TW"/>
        </w:rPr>
      </w:pPr>
      <w:r w:rsidRPr="00FA4A2E">
        <w:rPr>
          <w:rtl/>
        </w:rPr>
        <w:t>٣٠-</w:t>
      </w:r>
      <w:r w:rsidRPr="00442B86">
        <w:rPr>
          <w:b/>
          <w:bCs/>
          <w:rtl/>
        </w:rPr>
        <w:tab/>
        <w:t>تود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توجه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انتباه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الأهمية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الخاصة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تحظى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بها</w:t>
      </w:r>
      <w:r w:rsidR="00FA4A2E">
        <w:rPr>
          <w:rFonts w:hint="cs"/>
          <w:b/>
          <w:bCs/>
          <w:rtl/>
        </w:rPr>
        <w:t xml:space="preserve"> </w:t>
      </w:r>
      <w:r w:rsidRPr="00442B86">
        <w:rPr>
          <w:b/>
          <w:bCs/>
          <w:rtl/>
        </w:rPr>
        <w:t>التوصيات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الواردة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الفقرات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14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و16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و20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أعلاه،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وتطلب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أن</w:t>
      </w:r>
      <w:r w:rsidR="00FA4A2E">
        <w:rPr>
          <w:rFonts w:hint="cs"/>
          <w:b/>
          <w:bCs/>
          <w:rtl/>
        </w:rPr>
        <w:t xml:space="preserve"> </w:t>
      </w:r>
      <w:r w:rsidRPr="00442B86">
        <w:rPr>
          <w:b/>
          <w:bCs/>
          <w:rtl/>
        </w:rPr>
        <w:t>تقدم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تقريرها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الدوري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المقبل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معلومات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مفصلة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التدابير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الملموسة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المتخذة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لتنفيذ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تلك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التوصيات.</w:t>
      </w:r>
    </w:p>
    <w:p w14:paraId="15889384" w14:textId="77777777" w:rsidR="002039EE" w:rsidRPr="00442B86" w:rsidRDefault="002039EE" w:rsidP="006373F6">
      <w:pPr>
        <w:pStyle w:val="H23GA"/>
        <w:rPr>
          <w:rtl/>
          <w:lang w:val="ar-SA" w:eastAsia="zh-TW"/>
        </w:rPr>
      </w:pPr>
      <w:r w:rsidRPr="00442B86">
        <w:rPr>
          <w:rtl/>
        </w:rPr>
        <w:tab/>
      </w:r>
      <w:r w:rsidRPr="00442B86">
        <w:rPr>
          <w:rtl/>
        </w:rPr>
        <w:tab/>
        <w:t>إعداد</w:t>
      </w:r>
      <w:r w:rsidR="00FA4A2E">
        <w:rPr>
          <w:rtl/>
        </w:rPr>
        <w:t xml:space="preserve"> </w:t>
      </w:r>
      <w:r w:rsidRPr="00442B86">
        <w:rPr>
          <w:rtl/>
        </w:rPr>
        <w:t>التقرير</w:t>
      </w:r>
      <w:r w:rsidR="00FA4A2E">
        <w:rPr>
          <w:rtl/>
        </w:rPr>
        <w:t xml:space="preserve"> </w:t>
      </w:r>
      <w:r w:rsidRPr="00442B86">
        <w:rPr>
          <w:rtl/>
        </w:rPr>
        <w:t>الدوري</w:t>
      </w:r>
      <w:r w:rsidR="00FA4A2E">
        <w:rPr>
          <w:rtl/>
        </w:rPr>
        <w:t xml:space="preserve"> </w:t>
      </w:r>
      <w:r w:rsidRPr="00442B86">
        <w:rPr>
          <w:rtl/>
        </w:rPr>
        <w:t>المقبل</w:t>
      </w:r>
    </w:p>
    <w:p w14:paraId="338FD9AA" w14:textId="77777777" w:rsidR="002039EE" w:rsidRDefault="002039EE" w:rsidP="006373F6">
      <w:pPr>
        <w:pStyle w:val="SingleTxtGA"/>
        <w:rPr>
          <w:b/>
          <w:bCs/>
          <w:rtl/>
          <w:lang w:val="ar-SA" w:eastAsia="zh-TW"/>
        </w:rPr>
      </w:pPr>
      <w:r w:rsidRPr="00FA4A2E">
        <w:rPr>
          <w:rtl/>
        </w:rPr>
        <w:t>٣١-</w:t>
      </w:r>
      <w:r w:rsidRPr="00442B86">
        <w:rPr>
          <w:b/>
          <w:bCs/>
          <w:rtl/>
        </w:rPr>
        <w:tab/>
        <w:t>توصي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بأن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تقدم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تقريرها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الجامع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للتقارير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الدورية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الرابع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والعشرين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السابع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والعشرين،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وثيقة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واحدة،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بحلول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4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كانون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الثاني/يناير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2022،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مع</w:t>
      </w:r>
      <w:r w:rsidR="00183ED4">
        <w:rPr>
          <w:rFonts w:hint="cs"/>
          <w:b/>
          <w:bCs/>
          <w:rtl/>
        </w:rPr>
        <w:t> </w:t>
      </w:r>
      <w:r w:rsidRPr="00442B86">
        <w:rPr>
          <w:b/>
          <w:bCs/>
          <w:rtl/>
        </w:rPr>
        <w:t>مراعاة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المبادئ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التوجيهية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لتقديم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التقارير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اعتمدتها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أثناء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دورتها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الحادية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والسبعين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(</w:t>
      </w:r>
      <w:r w:rsidRPr="00442B86">
        <w:rPr>
          <w:b/>
          <w:bCs/>
        </w:rPr>
        <w:t>CERD/C/2007/1</w:t>
      </w:r>
      <w:r w:rsidRPr="00442B86">
        <w:rPr>
          <w:b/>
          <w:bCs/>
          <w:rtl/>
        </w:rPr>
        <w:t>)</w:t>
      </w:r>
      <w:r w:rsidR="00FA4A2E">
        <w:rPr>
          <w:rtl/>
        </w:rPr>
        <w:t xml:space="preserve"> </w:t>
      </w:r>
      <w:r w:rsidRPr="00442B86">
        <w:rPr>
          <w:b/>
          <w:bCs/>
          <w:rtl/>
        </w:rPr>
        <w:t>والتطرق</w:t>
      </w:r>
      <w:r w:rsidR="00FA4A2E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جميع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المسائل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أُثيرت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في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هذه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الملاحظات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الختامية.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وفي</w:t>
      </w:r>
      <w:r w:rsidR="00AF67D0">
        <w:rPr>
          <w:rFonts w:hint="cs"/>
          <w:b/>
          <w:bCs/>
          <w:rtl/>
        </w:rPr>
        <w:t> </w:t>
      </w:r>
      <w:r w:rsidRPr="00442B86">
        <w:rPr>
          <w:b/>
          <w:bCs/>
          <w:rtl/>
        </w:rPr>
        <w:t>ضوء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قرار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الجمعية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العامة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68/268،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تحث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اللجنة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الدولة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الطرف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على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التقيد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بالحد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الأقصى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لعدد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كلمات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التقارير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الدورية،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وهو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200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21</w:t>
      </w:r>
      <w:r w:rsidR="00FA4A2E">
        <w:rPr>
          <w:b/>
          <w:bCs/>
          <w:rtl/>
        </w:rPr>
        <w:t xml:space="preserve"> </w:t>
      </w:r>
      <w:r w:rsidRPr="00442B86">
        <w:rPr>
          <w:b/>
          <w:bCs/>
          <w:rtl/>
        </w:rPr>
        <w:t>كلمة.</w:t>
      </w:r>
    </w:p>
    <w:p w14:paraId="309E16C4" w14:textId="77777777" w:rsidR="006373F6" w:rsidRPr="006373F6" w:rsidRDefault="006373F6" w:rsidP="006373F6">
      <w:pPr>
        <w:spacing w:before="120"/>
        <w:jc w:val="center"/>
        <w:rPr>
          <w:u w:val="single"/>
          <w:rtl/>
          <w:lang w:val="ar-SA" w:eastAsia="zh-TW"/>
        </w:rPr>
      </w:pP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  <w:r>
        <w:rPr>
          <w:u w:val="single"/>
          <w:rtl/>
          <w:lang w:val="ar-SA" w:eastAsia="zh-TW"/>
        </w:rPr>
        <w:tab/>
      </w:r>
    </w:p>
    <w:sectPr w:rsidR="006373F6" w:rsidRPr="006373F6" w:rsidSect="005C52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390F" w14:textId="77777777" w:rsidR="009B47DB" w:rsidRPr="002901D9" w:rsidRDefault="009B47D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E1D13D3" w14:textId="77777777" w:rsidR="009B47DB" w:rsidRDefault="009B47D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F4BD" w14:textId="77777777" w:rsidR="005C5227" w:rsidRPr="002039EE" w:rsidRDefault="002039EE" w:rsidP="002039EE">
    <w:pPr>
      <w:pStyle w:val="Footer"/>
      <w:tabs>
        <w:tab w:val="right" w:pos="9598"/>
      </w:tabs>
      <w:rPr>
        <w:sz w:val="17"/>
      </w:rPr>
    </w:pPr>
    <w:r>
      <w:rPr>
        <w:sz w:val="17"/>
      </w:rPr>
      <w:t>GE.19-15965</w:t>
    </w:r>
    <w:r>
      <w:rPr>
        <w:sz w:val="17"/>
      </w:rPr>
      <w:tab/>
    </w:r>
    <w:r w:rsidRPr="002039EE">
      <w:rPr>
        <w:b/>
        <w:sz w:val="18"/>
      </w:rPr>
      <w:fldChar w:fldCharType="begin"/>
    </w:r>
    <w:r w:rsidRPr="002039EE">
      <w:rPr>
        <w:b/>
        <w:sz w:val="18"/>
      </w:rPr>
      <w:instrText xml:space="preserve"> PAGE  \* MERGEFORMAT </w:instrText>
    </w:r>
    <w:r w:rsidRPr="002039EE">
      <w:rPr>
        <w:b/>
        <w:sz w:val="18"/>
      </w:rPr>
      <w:fldChar w:fldCharType="separate"/>
    </w:r>
    <w:r>
      <w:rPr>
        <w:b/>
        <w:sz w:val="18"/>
      </w:rPr>
      <w:t>2</w:t>
    </w:r>
    <w:r w:rsidRPr="002039E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F1BA" w14:textId="77777777" w:rsidR="006959B0" w:rsidRPr="002039EE" w:rsidRDefault="002039EE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039EE">
      <w:rPr>
        <w:b/>
        <w:sz w:val="18"/>
        <w:lang w:val="en-US"/>
      </w:rPr>
      <w:fldChar w:fldCharType="begin"/>
    </w:r>
    <w:r w:rsidRPr="002039EE">
      <w:rPr>
        <w:b/>
        <w:sz w:val="18"/>
        <w:lang w:val="en-US"/>
      </w:rPr>
      <w:instrText xml:space="preserve"> PAGE  \* MERGEFORMAT </w:instrText>
    </w:r>
    <w:r w:rsidRPr="002039EE">
      <w:rPr>
        <w:b/>
        <w:sz w:val="18"/>
        <w:lang w:val="en-US"/>
      </w:rPr>
      <w:fldChar w:fldCharType="separate"/>
    </w:r>
    <w:r w:rsidRPr="002039EE">
      <w:rPr>
        <w:b/>
        <w:noProof/>
        <w:sz w:val="18"/>
        <w:lang w:val="en-US"/>
      </w:rPr>
      <w:t>3</w:t>
    </w:r>
    <w:r w:rsidRPr="002039E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GE.19-15965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A7D9" w14:textId="77777777" w:rsidR="00FD4BC9" w:rsidRDefault="005C5227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GE.19-15965</w:t>
    </w:r>
    <w:r w:rsidR="00FD4BC9">
      <w:rPr>
        <w:noProof/>
        <w:lang w:val="en-US"/>
      </w:rPr>
      <w:drawing>
        <wp:anchor distT="0" distB="0" distL="114300" distR="114300" simplePos="0" relativeHeight="251666432" behindDoc="1" locked="1" layoutInCell="0" allowOverlap="1" wp14:anchorId="15DDF1EA" wp14:editId="7E966A22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4C0DE27C" w14:textId="77777777" w:rsidR="005C5227" w:rsidRPr="005C5227" w:rsidRDefault="005C5227" w:rsidP="005C5227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49024" behindDoc="0" locked="0" layoutInCell="1" allowOverlap="1" wp14:anchorId="6B72892B" wp14:editId="24052957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C8CB" w14:textId="77777777" w:rsidR="009B47DB" w:rsidRPr="0054762C" w:rsidRDefault="009B47DB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0273AA6F" w14:textId="77777777" w:rsidR="009B47DB" w:rsidRDefault="009B47DB" w:rsidP="00656392">
      <w:pPr>
        <w:spacing w:line="240" w:lineRule="auto"/>
      </w:pPr>
      <w:r>
        <w:continuationSeparator/>
      </w:r>
    </w:p>
  </w:footnote>
  <w:footnote w:id="1">
    <w:p w14:paraId="750FA5AD" w14:textId="77777777" w:rsidR="006373F6" w:rsidRPr="006373F6" w:rsidRDefault="006373F6" w:rsidP="006373F6">
      <w:pPr>
        <w:pStyle w:val="FootnoteText1"/>
        <w:rPr>
          <w:rtl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>
        <w:rPr>
          <w:rtl/>
        </w:rPr>
        <w:t>اعتمدتها</w:t>
      </w:r>
      <w:r w:rsidR="00FA4A2E">
        <w:rPr>
          <w:rtl/>
        </w:rPr>
        <w:t xml:space="preserve"> </w:t>
      </w:r>
      <w:r>
        <w:rPr>
          <w:rtl/>
        </w:rPr>
        <w:t>اللجنة</w:t>
      </w:r>
      <w:r w:rsidR="00FA4A2E">
        <w:rPr>
          <w:rtl/>
        </w:rPr>
        <w:t xml:space="preserve"> </w:t>
      </w:r>
      <w:r>
        <w:rPr>
          <w:rtl/>
        </w:rPr>
        <w:t>في</w:t>
      </w:r>
      <w:r w:rsidR="00FA4A2E">
        <w:rPr>
          <w:rtl/>
        </w:rPr>
        <w:t xml:space="preserve"> </w:t>
      </w:r>
      <w:r>
        <w:rPr>
          <w:rtl/>
        </w:rPr>
        <w:t>دورتها</w:t>
      </w:r>
      <w:r w:rsidR="00FA4A2E">
        <w:rPr>
          <w:rtl/>
        </w:rPr>
        <w:t xml:space="preserve"> </w:t>
      </w:r>
      <w:r>
        <w:rPr>
          <w:rtl/>
        </w:rPr>
        <w:t>التاسعة</w:t>
      </w:r>
      <w:r w:rsidR="00FA4A2E">
        <w:rPr>
          <w:rtl/>
        </w:rPr>
        <w:t xml:space="preserve"> </w:t>
      </w:r>
      <w:r>
        <w:rPr>
          <w:rtl/>
        </w:rPr>
        <w:t>والتسعين</w:t>
      </w:r>
      <w:r w:rsidR="00FA4A2E">
        <w:rPr>
          <w:rtl/>
        </w:rPr>
        <w:t xml:space="preserve"> </w:t>
      </w:r>
      <w:r>
        <w:rPr>
          <w:rtl/>
        </w:rPr>
        <w:t>(5-29</w:t>
      </w:r>
      <w:r w:rsidR="00FA4A2E">
        <w:rPr>
          <w:rtl/>
        </w:rPr>
        <w:t xml:space="preserve"> </w:t>
      </w:r>
      <w:r>
        <w:rPr>
          <w:rtl/>
        </w:rPr>
        <w:t>آب/أغسطس</w:t>
      </w:r>
      <w:r w:rsidR="00FA4A2E">
        <w:rPr>
          <w:rtl/>
        </w:rPr>
        <w:t xml:space="preserve"> </w:t>
      </w:r>
      <w:r>
        <w:rPr>
          <w:rtl/>
        </w:rPr>
        <w:t>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2C2D" w14:textId="77777777" w:rsidR="005C5227" w:rsidRPr="002039EE" w:rsidRDefault="002039EE" w:rsidP="002039EE">
    <w:pPr>
      <w:pStyle w:val="Header"/>
      <w:jc w:val="right"/>
    </w:pPr>
    <w:r w:rsidRPr="002039EE">
      <w:t>CERD/C/ISL/CO/21-23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E30B" w14:textId="77777777" w:rsidR="005C5227" w:rsidRPr="002039EE" w:rsidRDefault="002039EE" w:rsidP="002039EE">
    <w:pPr>
      <w:pStyle w:val="Header"/>
      <w:jc w:val="left"/>
    </w:pPr>
    <w:r w:rsidRPr="002039EE">
      <w:t>CERD/C/ISL/CO/21-23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9B47DB"/>
    <w:rsid w:val="000076D5"/>
    <w:rsid w:val="00043663"/>
    <w:rsid w:val="000505CF"/>
    <w:rsid w:val="000D701C"/>
    <w:rsid w:val="000E2A71"/>
    <w:rsid w:val="000E524A"/>
    <w:rsid w:val="00160263"/>
    <w:rsid w:val="001773DB"/>
    <w:rsid w:val="00181F96"/>
    <w:rsid w:val="00183ED4"/>
    <w:rsid w:val="001A1371"/>
    <w:rsid w:val="001B346A"/>
    <w:rsid w:val="001E1CAD"/>
    <w:rsid w:val="001E290D"/>
    <w:rsid w:val="002039EE"/>
    <w:rsid w:val="002144FA"/>
    <w:rsid w:val="0023469A"/>
    <w:rsid w:val="00243C8A"/>
    <w:rsid w:val="00253F2D"/>
    <w:rsid w:val="00262928"/>
    <w:rsid w:val="00267A0E"/>
    <w:rsid w:val="002901D9"/>
    <w:rsid w:val="002976C2"/>
    <w:rsid w:val="002D763F"/>
    <w:rsid w:val="00325CC1"/>
    <w:rsid w:val="003260FF"/>
    <w:rsid w:val="00343D95"/>
    <w:rsid w:val="00374341"/>
    <w:rsid w:val="00397655"/>
    <w:rsid w:val="003C26CC"/>
    <w:rsid w:val="003D1062"/>
    <w:rsid w:val="003E159A"/>
    <w:rsid w:val="004205C7"/>
    <w:rsid w:val="00420D7B"/>
    <w:rsid w:val="00450B21"/>
    <w:rsid w:val="00453B63"/>
    <w:rsid w:val="00455780"/>
    <w:rsid w:val="004657A3"/>
    <w:rsid w:val="004A45F8"/>
    <w:rsid w:val="004B0A1C"/>
    <w:rsid w:val="004D298E"/>
    <w:rsid w:val="004E123F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227"/>
    <w:rsid w:val="005C5878"/>
    <w:rsid w:val="005C7CEA"/>
    <w:rsid w:val="005D3C0B"/>
    <w:rsid w:val="005E42E0"/>
    <w:rsid w:val="005E5217"/>
    <w:rsid w:val="005F0FA4"/>
    <w:rsid w:val="005F30EE"/>
    <w:rsid w:val="0060473A"/>
    <w:rsid w:val="00606EDF"/>
    <w:rsid w:val="006373F6"/>
    <w:rsid w:val="00656392"/>
    <w:rsid w:val="0068781D"/>
    <w:rsid w:val="006959B0"/>
    <w:rsid w:val="006B3E27"/>
    <w:rsid w:val="006B5F0C"/>
    <w:rsid w:val="006B6507"/>
    <w:rsid w:val="006C104C"/>
    <w:rsid w:val="00733704"/>
    <w:rsid w:val="00740188"/>
    <w:rsid w:val="0078071A"/>
    <w:rsid w:val="00780C17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B47DB"/>
    <w:rsid w:val="009E5018"/>
    <w:rsid w:val="00A12B37"/>
    <w:rsid w:val="00A50EC0"/>
    <w:rsid w:val="00A74331"/>
    <w:rsid w:val="00AB6758"/>
    <w:rsid w:val="00AF67D0"/>
    <w:rsid w:val="00B13763"/>
    <w:rsid w:val="00B477A4"/>
    <w:rsid w:val="00B54045"/>
    <w:rsid w:val="00BA5E8B"/>
    <w:rsid w:val="00C022F5"/>
    <w:rsid w:val="00C438D7"/>
    <w:rsid w:val="00C53FE8"/>
    <w:rsid w:val="00C81B50"/>
    <w:rsid w:val="00CA655B"/>
    <w:rsid w:val="00CB3C3C"/>
    <w:rsid w:val="00CD1801"/>
    <w:rsid w:val="00CF6770"/>
    <w:rsid w:val="00D10EF1"/>
    <w:rsid w:val="00D42810"/>
    <w:rsid w:val="00D914A7"/>
    <w:rsid w:val="00DB2DE5"/>
    <w:rsid w:val="00DD13C3"/>
    <w:rsid w:val="00DD596E"/>
    <w:rsid w:val="00DD621E"/>
    <w:rsid w:val="00DF0575"/>
    <w:rsid w:val="00DF4833"/>
    <w:rsid w:val="00E264E8"/>
    <w:rsid w:val="00E70E04"/>
    <w:rsid w:val="00EC05A7"/>
    <w:rsid w:val="00EC4B6B"/>
    <w:rsid w:val="00ED7442"/>
    <w:rsid w:val="00EE0B18"/>
    <w:rsid w:val="00EF1EE5"/>
    <w:rsid w:val="00F6741C"/>
    <w:rsid w:val="00F763B4"/>
    <w:rsid w:val="00F900C3"/>
    <w:rsid w:val="00FA4493"/>
    <w:rsid w:val="00FA4A2E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7BF9790"/>
  <w15:docId w15:val="{AE5C5EF5-10DC-4872-B1AE-CE1C02E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2039EE"/>
    <w:pPr>
      <w:keepNext/>
      <w:keepLines/>
      <w:tabs>
        <w:tab w:val="right" w:pos="851"/>
      </w:tabs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 w:eastAsia="zh-CN"/>
    </w:rPr>
  </w:style>
  <w:style w:type="paragraph" w:customStyle="1" w:styleId="H1G">
    <w:name w:val="_ H_1_G"/>
    <w:basedOn w:val="Normal"/>
    <w:next w:val="Normal"/>
    <w:qFormat/>
    <w:rsid w:val="002039EE"/>
    <w:pPr>
      <w:keepNext/>
      <w:keepLines/>
      <w:tabs>
        <w:tab w:val="right" w:pos="851"/>
      </w:tabs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qFormat/>
    <w:rsid w:val="002039EE"/>
    <w:pPr>
      <w:keepNext/>
      <w:keepLines/>
      <w:tabs>
        <w:tab w:val="right" w:pos="851"/>
      </w:tabs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 w:eastAsia="zh-CN"/>
    </w:rPr>
  </w:style>
  <w:style w:type="paragraph" w:customStyle="1" w:styleId="SingleTxtG">
    <w:name w:val="_ Single Txt_G"/>
    <w:basedOn w:val="Normal"/>
    <w:qFormat/>
    <w:rsid w:val="002039EE"/>
    <w:pPr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659-D4A5-4450-AC03-3DEADB89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8</Pages>
  <Words>2920</Words>
  <Characters>13374</Characters>
  <Application>Microsoft Office Word</Application>
  <DocSecurity>0</DocSecurity>
  <Lines>208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CERD/C/ISL/CO/21-23</vt:lpstr>
    </vt:vector>
  </TitlesOfParts>
  <Company>DCM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CERD/C/ISL/CO/21-23</dc:title>
  <dc:subject>GE.1915965A</dc:subject>
  <dc:creator>MBU, SDA</dc:creator>
  <cp:keywords>ODS No.19275</cp:keywords>
  <dc:description>Original: English _x000d_
Distribution: General_x000d_
Date: 18 September 2019</dc:description>
  <cp:lastModifiedBy>Muntaha BUHNAM</cp:lastModifiedBy>
  <cp:revision>3</cp:revision>
  <cp:lastPrinted>2019-10-15T12:18:00Z</cp:lastPrinted>
  <dcterms:created xsi:type="dcterms:W3CDTF">2019-10-15T12:18:00Z</dcterms:created>
  <dcterms:modified xsi:type="dcterms:W3CDTF">2019-10-15T12:18:00Z</dcterms:modified>
  <cp:category>Final</cp:category>
</cp:coreProperties>
</file>