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9C99" w14:textId="77777777" w:rsidR="00F16571" w:rsidRPr="004C49DE" w:rsidRDefault="001359B1" w:rsidP="00BB7BBB">
      <w:pPr>
        <w:suppressAutoHyphens w:val="0"/>
        <w:spacing w:line="240" w:lineRule="auto"/>
        <w:rPr>
          <w:sz w:val="2"/>
          <w:szCs w:val="2"/>
          <w:lang w:val="es-ES_tradnl"/>
        </w:rPr>
      </w:pPr>
      <w:r w:rsidRPr="004C49DE">
        <w:rPr>
          <w:rStyle w:val="CommentReference"/>
          <w:rFonts w:eastAsia="SimSun"/>
          <w:lang w:val="es-ES_tradnl"/>
        </w:rPr>
        <w:commentReference w:id="0"/>
      </w:r>
    </w:p>
    <w:p w14:paraId="130DB7F3" w14:textId="3326A019" w:rsidR="001359B1" w:rsidRPr="004C49DE" w:rsidRDefault="001359B1" w:rsidP="001359B1">
      <w:pPr>
        <w:suppressAutoHyphens w:val="0"/>
        <w:spacing w:line="20" w:lineRule="exact"/>
        <w:rPr>
          <w:sz w:val="2"/>
          <w:szCs w:val="2"/>
          <w:lang w:val="es-ES_tradnl"/>
        </w:rPr>
        <w:sectPr w:rsidR="001359B1" w:rsidRPr="004C49DE"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1056A62B" w14:textId="77777777" w:rsidR="00F16571" w:rsidRPr="004C49DE" w:rsidRDefault="00F16571" w:rsidP="00DA2C93">
      <w:pPr>
        <w:pStyle w:val="H1"/>
        <w:ind w:left="0" w:right="4810" w:firstLine="0"/>
        <w:rPr>
          <w:lang w:val="es-ES_tradnl" w:eastAsia="en-US"/>
        </w:rPr>
      </w:pPr>
      <w:bookmarkStart w:id="1" w:name="Sample_1"/>
      <w:r w:rsidRPr="004C49DE">
        <w:rPr>
          <w:lang w:val="es-ES_tradnl" w:eastAsia="en-US"/>
        </w:rPr>
        <w:t>Comité para la Eliminación de la Discriminación</w:t>
      </w:r>
      <w:r w:rsidR="00503E52" w:rsidRPr="004C49DE">
        <w:rPr>
          <w:lang w:val="es-ES_tradnl" w:eastAsia="en-US"/>
        </w:rPr>
        <w:t xml:space="preserve"> </w:t>
      </w:r>
      <w:r w:rsidRPr="004C49DE">
        <w:rPr>
          <w:lang w:val="es-ES_tradnl" w:eastAsia="en-US"/>
        </w:rPr>
        <w:t>contra la Mujer</w:t>
      </w:r>
    </w:p>
    <w:p w14:paraId="67317EA2" w14:textId="77777777" w:rsidR="00F16571" w:rsidRPr="004C49DE" w:rsidRDefault="00F16571" w:rsidP="00BB7BBB">
      <w:pPr>
        <w:pStyle w:val="SingleTxt"/>
        <w:suppressAutoHyphens w:val="0"/>
        <w:spacing w:after="0" w:line="120" w:lineRule="exact"/>
        <w:rPr>
          <w:sz w:val="10"/>
          <w:szCs w:val="10"/>
          <w:lang w:val="es-ES_tradnl"/>
        </w:rPr>
      </w:pPr>
    </w:p>
    <w:p w14:paraId="70D403D6" w14:textId="77777777" w:rsidR="00F16571" w:rsidRPr="004C49DE" w:rsidRDefault="00F16571" w:rsidP="00BB7BBB">
      <w:pPr>
        <w:pStyle w:val="SingleTxt"/>
        <w:suppressAutoHyphens w:val="0"/>
        <w:spacing w:after="0" w:line="120" w:lineRule="exact"/>
        <w:rPr>
          <w:sz w:val="10"/>
          <w:szCs w:val="10"/>
          <w:lang w:val="es-ES_tradnl"/>
        </w:rPr>
      </w:pPr>
    </w:p>
    <w:p w14:paraId="10A413AB" w14:textId="77777777" w:rsidR="00352A6C" w:rsidRPr="004C49DE" w:rsidRDefault="00352A6C" w:rsidP="00BB7BBB">
      <w:pPr>
        <w:pStyle w:val="SingleTxt"/>
        <w:suppressAutoHyphens w:val="0"/>
        <w:spacing w:after="0" w:line="120" w:lineRule="exact"/>
        <w:rPr>
          <w:sz w:val="10"/>
          <w:szCs w:val="10"/>
          <w:lang w:val="es-ES_tradnl"/>
        </w:rPr>
      </w:pPr>
    </w:p>
    <w:p w14:paraId="01934265" w14:textId="6A8F4332" w:rsidR="005E107A" w:rsidRPr="004C49DE" w:rsidRDefault="005E107A" w:rsidP="00DA2C93">
      <w:pPr>
        <w:pStyle w:val="TitleHCH"/>
        <w:ind w:right="1750"/>
        <w:rPr>
          <w:lang w:val="es-ES_tradnl" w:eastAsia="en-US"/>
        </w:rPr>
      </w:pPr>
      <w:r w:rsidRPr="004C49DE">
        <w:rPr>
          <w:lang w:val="es-ES_tradnl" w:eastAsia="en-US"/>
        </w:rPr>
        <w:tab/>
      </w:r>
      <w:r w:rsidRPr="004C49DE">
        <w:rPr>
          <w:lang w:val="es-ES_tradnl" w:eastAsia="en-US"/>
        </w:rPr>
        <w:tab/>
      </w:r>
      <w:r w:rsidR="006F561A" w:rsidRPr="004C49DE">
        <w:rPr>
          <w:lang w:val="es-ES_tradnl" w:eastAsia="en-US"/>
        </w:rPr>
        <w:t>Cuarto informe periódico presentado por Côte d</w:t>
      </w:r>
      <w:r w:rsidR="004C49DE">
        <w:rPr>
          <w:lang w:val="es-ES_tradnl" w:eastAsia="en-US"/>
        </w:rPr>
        <w:t>’</w:t>
      </w:r>
      <w:r w:rsidR="006F561A" w:rsidRPr="004C49DE">
        <w:rPr>
          <w:lang w:val="es-ES_tradnl" w:eastAsia="en-US"/>
        </w:rPr>
        <w:t>Ivoire en</w:t>
      </w:r>
      <w:r w:rsidR="00BB7BBB" w:rsidRPr="004C49DE">
        <w:rPr>
          <w:lang w:val="es-ES_tradnl" w:eastAsia="en-US"/>
        </w:rPr>
        <w:t xml:space="preserve"> </w:t>
      </w:r>
      <w:r w:rsidR="006F561A" w:rsidRPr="004C49DE">
        <w:rPr>
          <w:lang w:val="es-ES_tradnl" w:eastAsia="en-US"/>
        </w:rPr>
        <w:t>virtud del artículo 18 de la Convención, que debía presentarse en 2015</w:t>
      </w:r>
      <w:r w:rsidR="00BA2044" w:rsidRPr="004C49DE">
        <w:rPr>
          <w:b w:val="0"/>
          <w:bCs w:val="0"/>
          <w:position w:val="4"/>
          <w:sz w:val="20"/>
          <w:lang w:val="es-ES_tradnl"/>
        </w:rPr>
        <w:t>*</w:t>
      </w:r>
    </w:p>
    <w:p w14:paraId="0966C3CF" w14:textId="77777777" w:rsidR="005E107A" w:rsidRPr="004C49DE" w:rsidRDefault="005E107A" w:rsidP="00BB7BBB">
      <w:pPr>
        <w:pStyle w:val="SingleTxt"/>
        <w:suppressAutoHyphens w:val="0"/>
        <w:spacing w:after="0" w:line="120" w:lineRule="exact"/>
        <w:rPr>
          <w:sz w:val="10"/>
          <w:szCs w:val="10"/>
          <w:lang w:val="es-ES_tradnl"/>
        </w:rPr>
      </w:pPr>
    </w:p>
    <w:p w14:paraId="467288A2" w14:textId="77777777" w:rsidR="005E107A" w:rsidRPr="004C49DE" w:rsidRDefault="005E107A" w:rsidP="00BB7BBB">
      <w:pPr>
        <w:pStyle w:val="SingleTxt"/>
        <w:suppressAutoHyphens w:val="0"/>
        <w:spacing w:after="0" w:line="120" w:lineRule="exact"/>
        <w:rPr>
          <w:sz w:val="10"/>
          <w:szCs w:val="10"/>
          <w:lang w:val="es-ES_tradnl"/>
        </w:rPr>
      </w:pPr>
    </w:p>
    <w:p w14:paraId="32F0892E" w14:textId="77777777" w:rsidR="00BA2044" w:rsidRPr="004C49DE" w:rsidRDefault="00BA2044" w:rsidP="00BB7BBB">
      <w:pPr>
        <w:framePr w:w="9792" w:h="586" w:hSpace="180" w:wrap="around" w:vAnchor="page" w:hAnchor="page" w:x="1210" w:y="14086"/>
        <w:suppressAutoHyphens w:val="0"/>
        <w:spacing w:line="240" w:lineRule="auto"/>
        <w:rPr>
          <w:sz w:val="10"/>
          <w:lang w:val="es-ES_tradnl"/>
        </w:rPr>
      </w:pPr>
    </w:p>
    <w:p w14:paraId="50CB6F18" w14:textId="520C13C3" w:rsidR="00BA2044" w:rsidRPr="004C49DE" w:rsidRDefault="00BA2044" w:rsidP="00BB7BBB">
      <w:pPr>
        <w:framePr w:w="9792" w:h="586" w:hSpace="180" w:wrap="around" w:vAnchor="page" w:hAnchor="page" w:x="1210" w:y="14086"/>
        <w:suppressAutoHyphens w:val="0"/>
        <w:spacing w:line="240" w:lineRule="auto"/>
        <w:rPr>
          <w:sz w:val="6"/>
          <w:lang w:val="es-ES_tradnl"/>
        </w:rPr>
      </w:pPr>
    </w:p>
    <w:p w14:paraId="2771CD34" w14:textId="4919888B" w:rsidR="00BA2044" w:rsidRPr="004C49DE" w:rsidRDefault="00BA2044" w:rsidP="00BB7BBB">
      <w:pPr>
        <w:framePr w:w="9792" w:h="586" w:hSpace="180" w:wrap="around" w:vAnchor="page" w:hAnchor="page" w:x="1210" w:y="14086"/>
        <w:tabs>
          <w:tab w:val="left" w:pos="1260"/>
          <w:tab w:val="left" w:pos="2693"/>
          <w:tab w:val="left" w:pos="3182"/>
          <w:tab w:val="left" w:pos="3658"/>
          <w:tab w:val="left" w:pos="4133"/>
          <w:tab w:val="left" w:pos="4622"/>
          <w:tab w:val="left" w:pos="5098"/>
          <w:tab w:val="left" w:pos="5573"/>
          <w:tab w:val="left" w:pos="6048"/>
        </w:tabs>
        <w:suppressAutoHyphens w:val="0"/>
        <w:spacing w:line="240" w:lineRule="auto"/>
        <w:ind w:left="1080" w:right="1260" w:hanging="288"/>
        <w:rPr>
          <w:sz w:val="17"/>
          <w:lang w:val="es-ES_tradnl"/>
        </w:rPr>
      </w:pPr>
      <w:r w:rsidRPr="004C49DE">
        <w:rPr>
          <w:sz w:val="17"/>
          <w:lang w:val="es-ES_tradnl"/>
        </w:rPr>
        <w:tab/>
        <w:t>*</w:t>
      </w:r>
      <w:r w:rsidRPr="004C49DE">
        <w:rPr>
          <w:sz w:val="17"/>
          <w:lang w:val="es-ES_tradnl"/>
        </w:rPr>
        <w:tab/>
      </w:r>
      <w:r w:rsidR="00AB7FA5" w:rsidRPr="004C49DE">
        <w:rPr>
          <w:sz w:val="17"/>
          <w:lang w:val="es-ES_tradnl"/>
        </w:rPr>
        <w:t>El presente documento se publica sin revisión editorial</w:t>
      </w:r>
      <w:r w:rsidR="00BB7BBB" w:rsidRPr="004C49DE">
        <w:rPr>
          <w:sz w:val="17"/>
          <w:lang w:val="es-ES_tradnl"/>
        </w:rPr>
        <w:t>.</w:t>
      </w:r>
    </w:p>
    <w:p w14:paraId="53DA036E" w14:textId="77777777" w:rsidR="005E107A" w:rsidRPr="004C49DE" w:rsidRDefault="005E107A" w:rsidP="00BB7BBB">
      <w:pPr>
        <w:pStyle w:val="SingleTxt"/>
        <w:suppressAutoHyphens w:val="0"/>
        <w:jc w:val="right"/>
        <w:rPr>
          <w:lang w:val="es-ES_tradnl" w:eastAsia="en-US"/>
        </w:rPr>
      </w:pPr>
      <w:r w:rsidRPr="004C49DE">
        <w:rPr>
          <w:lang w:val="es-ES_tradnl" w:eastAsia="en-US"/>
        </w:rPr>
        <w:t>[</w:t>
      </w:r>
      <w:r w:rsidR="006F561A" w:rsidRPr="004C49DE">
        <w:rPr>
          <w:lang w:val="es-ES_tradnl" w:eastAsia="en-US"/>
        </w:rPr>
        <w:t>Fecha de recepción: 9 de marzo de 2018</w:t>
      </w:r>
      <w:r w:rsidRPr="004C49DE">
        <w:rPr>
          <w:lang w:val="es-ES_tradnl" w:eastAsia="en-US"/>
        </w:rPr>
        <w:t>]</w:t>
      </w:r>
    </w:p>
    <w:p w14:paraId="6DC26DFF" w14:textId="77777777" w:rsidR="005E107A" w:rsidRPr="004C49DE" w:rsidRDefault="005E107A" w:rsidP="00BB7BBB">
      <w:pPr>
        <w:pStyle w:val="SingleTxt"/>
        <w:suppressAutoHyphens w:val="0"/>
        <w:jc w:val="left"/>
        <w:rPr>
          <w:lang w:val="es-ES_tradnl" w:eastAsia="en-US"/>
        </w:rPr>
      </w:pPr>
    </w:p>
    <w:p w14:paraId="5702C413" w14:textId="345F0D3C" w:rsidR="005E107A" w:rsidRPr="004C49DE" w:rsidRDefault="00DA2C93" w:rsidP="00BB7BBB">
      <w:pPr>
        <w:suppressAutoHyphens w:val="0"/>
        <w:spacing w:line="240" w:lineRule="auto"/>
        <w:rPr>
          <w:szCs w:val="22"/>
          <w:lang w:val="es-ES_tradnl" w:eastAsia="en-US"/>
        </w:rPr>
      </w:pPr>
      <w:r w:rsidRPr="004C49DE">
        <w:rPr>
          <w:noProof/>
          <w:w w:val="100"/>
          <w:lang w:val="es-ES_tradnl"/>
        </w:rPr>
        <mc:AlternateContent>
          <mc:Choice Requires="wps">
            <w:drawing>
              <wp:anchor distT="4294967294" distB="4294967294" distL="114300" distR="114300" simplePos="0" relativeHeight="251659776" behindDoc="0" locked="0" layoutInCell="1" allowOverlap="1" wp14:anchorId="76EBD914" wp14:editId="6FA9473B">
                <wp:simplePos x="0" y="0"/>
                <wp:positionH relativeFrom="page">
                  <wp:posOffset>1197610</wp:posOffset>
                </wp:positionH>
                <wp:positionV relativeFrom="paragraph">
                  <wp:posOffset>4537871</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F4102A" id="Straight Connector 6"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94.3pt,357.3pt" to="166.3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" strokecolor="#010000" strokeweight=".25pt">
                <o:lock v:ext="edit" shapetype="f"/>
                <w10:wrap anchorx="page"/>
              </v:line>
            </w:pict>
          </mc:Fallback>
        </mc:AlternateContent>
      </w:r>
      <w:r w:rsidR="005E107A" w:rsidRPr="004C49DE">
        <w:rPr>
          <w:szCs w:val="22"/>
          <w:lang w:val="es-ES_tradnl" w:eastAsia="en-US"/>
        </w:rPr>
        <w:br w:type="page"/>
      </w:r>
    </w:p>
    <w:bookmarkEnd w:id="1"/>
    <w:p w14:paraId="2028F13C" w14:textId="77777777" w:rsidR="00603BDA" w:rsidRPr="004C49DE" w:rsidRDefault="00603BDA" w:rsidP="00BB7BBB">
      <w:pPr>
        <w:pStyle w:val="HCh"/>
        <w:keepNext w:val="0"/>
        <w:keepLines w:val="0"/>
        <w:suppressAutoHyphens w:val="0"/>
        <w:spacing w:after="120"/>
        <w:rPr>
          <w:b w:val="0"/>
          <w:bCs w:val="0"/>
          <w:szCs w:val="20"/>
          <w:lang w:val="es-ES_tradnl" w:eastAsia="en-US"/>
        </w:rPr>
      </w:pPr>
      <w:r w:rsidRPr="004C49DE">
        <w:rPr>
          <w:b w:val="0"/>
          <w:bCs w:val="0"/>
          <w:szCs w:val="20"/>
          <w:lang w:val="es-ES_tradnl" w:eastAsia="en-US"/>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03BDA" w:rsidRPr="004C49DE" w14:paraId="57BDB1CE" w14:textId="77777777" w:rsidTr="00BA1EA2">
        <w:tc>
          <w:tcPr>
            <w:tcW w:w="1060" w:type="dxa"/>
          </w:tcPr>
          <w:p w14:paraId="5DBB4697" w14:textId="77777777" w:rsidR="00603BDA" w:rsidRPr="004C49DE" w:rsidRDefault="00603BDA" w:rsidP="00BB7BBB">
            <w:pPr>
              <w:suppressAutoHyphens w:val="0"/>
              <w:spacing w:after="120" w:line="240" w:lineRule="auto"/>
              <w:jc w:val="right"/>
              <w:rPr>
                <w:i/>
                <w:sz w:val="14"/>
                <w:lang w:val="es-ES_tradnl"/>
              </w:rPr>
            </w:pPr>
          </w:p>
        </w:tc>
        <w:tc>
          <w:tcPr>
            <w:tcW w:w="7315" w:type="dxa"/>
          </w:tcPr>
          <w:p w14:paraId="748FE6BE" w14:textId="77777777" w:rsidR="00603BDA" w:rsidRPr="004C49DE" w:rsidRDefault="00603BDA" w:rsidP="00BB7BBB">
            <w:pPr>
              <w:suppressAutoHyphens w:val="0"/>
              <w:spacing w:after="120" w:line="240" w:lineRule="auto"/>
              <w:rPr>
                <w:i/>
                <w:sz w:val="14"/>
                <w:lang w:val="es-ES_tradnl"/>
              </w:rPr>
            </w:pPr>
          </w:p>
        </w:tc>
        <w:tc>
          <w:tcPr>
            <w:tcW w:w="994" w:type="dxa"/>
          </w:tcPr>
          <w:p w14:paraId="4F9409B3" w14:textId="77777777" w:rsidR="00603BDA" w:rsidRPr="004C49DE" w:rsidRDefault="00603BDA" w:rsidP="00BB7BBB">
            <w:pPr>
              <w:suppressAutoHyphens w:val="0"/>
              <w:spacing w:after="120" w:line="240" w:lineRule="auto"/>
              <w:jc w:val="right"/>
              <w:rPr>
                <w:i/>
                <w:sz w:val="14"/>
                <w:lang w:val="es-ES_tradnl"/>
              </w:rPr>
            </w:pPr>
          </w:p>
        </w:tc>
        <w:tc>
          <w:tcPr>
            <w:tcW w:w="533" w:type="dxa"/>
          </w:tcPr>
          <w:p w14:paraId="7D44E979" w14:textId="77777777" w:rsidR="00603BDA" w:rsidRPr="004C49DE" w:rsidRDefault="00603BDA" w:rsidP="00BB7BBB">
            <w:pPr>
              <w:suppressAutoHyphens w:val="0"/>
              <w:spacing w:after="120" w:line="240" w:lineRule="auto"/>
              <w:jc w:val="right"/>
              <w:rPr>
                <w:i/>
                <w:sz w:val="14"/>
                <w:lang w:val="es-ES_tradnl"/>
              </w:rPr>
            </w:pPr>
            <w:r w:rsidRPr="004C49DE">
              <w:rPr>
                <w:i/>
                <w:sz w:val="14"/>
                <w:lang w:val="es-ES_tradnl"/>
              </w:rPr>
              <w:t>Página</w:t>
            </w:r>
          </w:p>
        </w:tc>
      </w:tr>
      <w:tr w:rsidR="00603BDA" w:rsidRPr="004C49DE" w14:paraId="13DCB166" w14:textId="77777777" w:rsidTr="00BA1EA2">
        <w:tc>
          <w:tcPr>
            <w:tcW w:w="9369" w:type="dxa"/>
            <w:gridSpan w:val="3"/>
          </w:tcPr>
          <w:p w14:paraId="235B0694" w14:textId="77777777" w:rsidR="00603BDA" w:rsidRPr="004C49DE" w:rsidRDefault="006412C0" w:rsidP="00BB7BBB">
            <w:pPr>
              <w:tabs>
                <w:tab w:val="right" w:pos="1080"/>
                <w:tab w:val="left" w:pos="1296"/>
                <w:tab w:val="left" w:pos="1728"/>
                <w:tab w:val="left" w:pos="2160"/>
                <w:tab w:val="right" w:leader="dot" w:pos="9360"/>
              </w:tabs>
              <w:suppressAutoHyphens w:val="0"/>
              <w:spacing w:after="120"/>
              <w:ind w:left="1296"/>
              <w:rPr>
                <w:lang w:val="es-ES_tradnl" w:eastAsia="en-US"/>
              </w:rPr>
            </w:pPr>
            <w:r w:rsidRPr="004C49DE">
              <w:rPr>
                <w:lang w:val="es-ES_tradnl" w:eastAsia="en-US"/>
              </w:rPr>
              <w:t>Introducción</w:t>
            </w:r>
            <w:r w:rsidRPr="004C49DE">
              <w:rPr>
                <w:spacing w:val="60"/>
                <w:sz w:val="17"/>
                <w:lang w:val="es-ES_tradnl"/>
              </w:rPr>
              <w:tab/>
            </w:r>
          </w:p>
        </w:tc>
        <w:tc>
          <w:tcPr>
            <w:tcW w:w="533" w:type="dxa"/>
            <w:vAlign w:val="bottom"/>
          </w:tcPr>
          <w:p w14:paraId="76180DF7" w14:textId="77777777" w:rsidR="00603BDA" w:rsidRPr="004C49DE" w:rsidRDefault="006679F0" w:rsidP="00BB7BBB">
            <w:pPr>
              <w:suppressAutoHyphens w:val="0"/>
              <w:spacing w:after="120"/>
              <w:jc w:val="right"/>
              <w:rPr>
                <w:lang w:val="es-ES_tradnl"/>
              </w:rPr>
            </w:pPr>
            <w:r w:rsidRPr="004C49DE">
              <w:rPr>
                <w:lang w:val="es-ES_tradnl"/>
              </w:rPr>
              <w:t>5</w:t>
            </w:r>
          </w:p>
        </w:tc>
      </w:tr>
      <w:tr w:rsidR="00603BDA" w:rsidRPr="004C49DE" w14:paraId="0C72CEF0" w14:textId="77777777" w:rsidTr="00BA1EA2">
        <w:tc>
          <w:tcPr>
            <w:tcW w:w="9369" w:type="dxa"/>
            <w:gridSpan w:val="3"/>
          </w:tcPr>
          <w:p w14:paraId="148E427D" w14:textId="563F595F" w:rsidR="00603BDA" w:rsidRPr="004C49DE" w:rsidRDefault="003B3671" w:rsidP="00BB7BBB">
            <w:pPr>
              <w:tabs>
                <w:tab w:val="right" w:pos="1080"/>
                <w:tab w:val="left" w:pos="1296"/>
                <w:tab w:val="left" w:pos="1728"/>
                <w:tab w:val="right" w:leader="dot" w:pos="9360"/>
              </w:tabs>
              <w:suppressAutoHyphens w:val="0"/>
              <w:spacing w:after="120"/>
              <w:ind w:left="1296"/>
              <w:rPr>
                <w:lang w:val="es-ES_tradnl" w:eastAsia="en-US"/>
              </w:rPr>
            </w:pPr>
            <w:r w:rsidRPr="004C49DE">
              <w:rPr>
                <w:lang w:val="es-ES_tradnl" w:eastAsia="en-US"/>
              </w:rPr>
              <w:t xml:space="preserve">Primera parte: </w:t>
            </w:r>
            <w:r w:rsidR="00B5492F" w:rsidRPr="004C49DE">
              <w:rPr>
                <w:lang w:val="es-ES_tradnl" w:eastAsia="en-US"/>
              </w:rPr>
              <w:t>p</w:t>
            </w:r>
            <w:r w:rsidRPr="004C49DE">
              <w:rPr>
                <w:lang w:val="es-ES_tradnl" w:eastAsia="en-US"/>
              </w:rPr>
              <w:t>roceso de desarrollo de Côte d</w:t>
            </w:r>
            <w:r w:rsidR="004C49DE">
              <w:rPr>
                <w:lang w:val="es-ES_tradnl" w:eastAsia="en-US"/>
              </w:rPr>
              <w:t>’</w:t>
            </w:r>
            <w:r w:rsidRPr="004C49DE">
              <w:rPr>
                <w:lang w:val="es-ES_tradnl" w:eastAsia="en-US"/>
              </w:rPr>
              <w:t>Ivoire y avances importantes</w:t>
            </w:r>
            <w:r w:rsidR="006679F0" w:rsidRPr="004C49DE">
              <w:rPr>
                <w:spacing w:val="60"/>
                <w:sz w:val="17"/>
                <w:lang w:val="es-ES_tradnl"/>
              </w:rPr>
              <w:tab/>
            </w:r>
          </w:p>
        </w:tc>
        <w:tc>
          <w:tcPr>
            <w:tcW w:w="533" w:type="dxa"/>
            <w:vAlign w:val="bottom"/>
          </w:tcPr>
          <w:p w14:paraId="3099843C" w14:textId="77777777" w:rsidR="00603BDA" w:rsidRPr="004C49DE" w:rsidRDefault="006679F0" w:rsidP="00BB7BBB">
            <w:pPr>
              <w:suppressAutoHyphens w:val="0"/>
              <w:spacing w:after="120"/>
              <w:jc w:val="right"/>
              <w:rPr>
                <w:lang w:val="es-ES_tradnl"/>
              </w:rPr>
            </w:pPr>
            <w:r w:rsidRPr="004C49DE">
              <w:rPr>
                <w:lang w:val="es-ES_tradnl"/>
              </w:rPr>
              <w:t>5</w:t>
            </w:r>
          </w:p>
        </w:tc>
      </w:tr>
      <w:tr w:rsidR="00603BDA" w:rsidRPr="004C49DE" w14:paraId="4FF956B4" w14:textId="77777777" w:rsidTr="00BA1EA2">
        <w:tc>
          <w:tcPr>
            <w:tcW w:w="9369" w:type="dxa"/>
            <w:gridSpan w:val="3"/>
          </w:tcPr>
          <w:p w14:paraId="2B797833" w14:textId="77777777" w:rsidR="00603BDA" w:rsidRPr="004C49DE" w:rsidRDefault="00603BDA" w:rsidP="00BB7BBB">
            <w:pPr>
              <w:tabs>
                <w:tab w:val="right" w:pos="1080"/>
                <w:tab w:val="left" w:pos="1296"/>
                <w:tab w:val="left" w:pos="1728"/>
                <w:tab w:val="left" w:pos="2160"/>
                <w:tab w:val="right" w:leader="dot" w:pos="9360"/>
              </w:tabs>
              <w:suppressAutoHyphens w:val="0"/>
              <w:spacing w:after="120"/>
              <w:ind w:left="1296"/>
              <w:rPr>
                <w:lang w:val="es-ES_tradnl" w:eastAsia="en-US"/>
              </w:rPr>
            </w:pPr>
            <w:r w:rsidRPr="004C49DE">
              <w:rPr>
                <w:lang w:val="es-ES_tradnl" w:eastAsia="en-US"/>
              </w:rPr>
              <w:tab/>
            </w:r>
            <w:r w:rsidR="003B3671" w:rsidRPr="004C49DE">
              <w:rPr>
                <w:lang w:val="es-ES_tradnl" w:eastAsia="en-US"/>
              </w:rPr>
              <w:t>Importantes avances realizados</w:t>
            </w:r>
            <w:r w:rsidR="006412C0" w:rsidRPr="004C49DE">
              <w:rPr>
                <w:spacing w:val="60"/>
                <w:sz w:val="17"/>
                <w:lang w:val="es-ES_tradnl"/>
              </w:rPr>
              <w:tab/>
            </w:r>
          </w:p>
        </w:tc>
        <w:tc>
          <w:tcPr>
            <w:tcW w:w="533" w:type="dxa"/>
            <w:vAlign w:val="bottom"/>
          </w:tcPr>
          <w:p w14:paraId="6E04FA0A" w14:textId="77777777" w:rsidR="00603BDA" w:rsidRPr="004C49DE" w:rsidRDefault="006679F0" w:rsidP="00BB7BBB">
            <w:pPr>
              <w:suppressAutoHyphens w:val="0"/>
              <w:spacing w:after="120"/>
              <w:jc w:val="right"/>
              <w:rPr>
                <w:lang w:val="es-ES_tradnl"/>
              </w:rPr>
            </w:pPr>
            <w:r w:rsidRPr="004C49DE">
              <w:rPr>
                <w:lang w:val="es-ES_tradnl"/>
              </w:rPr>
              <w:t>5</w:t>
            </w:r>
          </w:p>
        </w:tc>
      </w:tr>
      <w:tr w:rsidR="00B636CF" w:rsidRPr="004C49DE" w14:paraId="7FBD61F5" w14:textId="77777777" w:rsidTr="00BA1EA2">
        <w:tc>
          <w:tcPr>
            <w:tcW w:w="9369" w:type="dxa"/>
            <w:gridSpan w:val="3"/>
          </w:tcPr>
          <w:p w14:paraId="2B802802" w14:textId="3B26EC7E" w:rsidR="00B636CF" w:rsidRPr="004C49DE" w:rsidRDefault="003B3671" w:rsidP="00BB7BBB">
            <w:pPr>
              <w:tabs>
                <w:tab w:val="right" w:pos="1080"/>
                <w:tab w:val="left" w:pos="1296"/>
                <w:tab w:val="left" w:pos="1728"/>
                <w:tab w:val="right" w:leader="dot" w:pos="9360"/>
              </w:tabs>
              <w:suppressAutoHyphens w:val="0"/>
              <w:spacing w:after="120"/>
              <w:ind w:left="1296"/>
              <w:rPr>
                <w:lang w:val="es-ES_tradnl" w:eastAsia="en-US"/>
              </w:rPr>
            </w:pPr>
            <w:r w:rsidRPr="004C49DE">
              <w:rPr>
                <w:lang w:val="es-ES_tradnl" w:eastAsia="en-US"/>
              </w:rPr>
              <w:t xml:space="preserve">Segunda parte: </w:t>
            </w:r>
            <w:r w:rsidR="00B5492F" w:rsidRPr="004C49DE">
              <w:rPr>
                <w:lang w:val="es-ES_tradnl" w:eastAsia="en-US"/>
              </w:rPr>
              <w:t>e</w:t>
            </w:r>
            <w:r w:rsidRPr="004C49DE">
              <w:rPr>
                <w:lang w:val="es-ES_tradnl" w:eastAsia="en-US"/>
              </w:rPr>
              <w:t xml:space="preserve">stado de aplicación de las recomendaciones, problemas, </w:t>
            </w:r>
            <w:r w:rsidRPr="004C49DE">
              <w:rPr>
                <w:lang w:val="es-ES_tradnl" w:eastAsia="en-US"/>
              </w:rPr>
              <w:br/>
              <w:t>desafíos y perspectivas</w:t>
            </w:r>
            <w:r w:rsidR="006679F0" w:rsidRPr="004C49DE">
              <w:rPr>
                <w:spacing w:val="60"/>
                <w:sz w:val="17"/>
                <w:lang w:val="es-ES_tradnl"/>
              </w:rPr>
              <w:tab/>
            </w:r>
          </w:p>
        </w:tc>
        <w:tc>
          <w:tcPr>
            <w:tcW w:w="533" w:type="dxa"/>
            <w:vAlign w:val="bottom"/>
          </w:tcPr>
          <w:p w14:paraId="6E8BAECA" w14:textId="77777777" w:rsidR="00B636CF" w:rsidRPr="004C49DE" w:rsidRDefault="006679F0" w:rsidP="00BB7BBB">
            <w:pPr>
              <w:suppressAutoHyphens w:val="0"/>
              <w:spacing w:after="120"/>
              <w:jc w:val="right"/>
              <w:rPr>
                <w:lang w:val="es-ES_tradnl"/>
              </w:rPr>
            </w:pPr>
            <w:r w:rsidRPr="004C49DE">
              <w:rPr>
                <w:lang w:val="es-ES_tradnl"/>
              </w:rPr>
              <w:t>7</w:t>
            </w:r>
          </w:p>
        </w:tc>
      </w:tr>
      <w:tr w:rsidR="00B636CF" w:rsidRPr="004C49DE" w14:paraId="4865F9F2" w14:textId="77777777" w:rsidTr="00BA1EA2">
        <w:tc>
          <w:tcPr>
            <w:tcW w:w="9369" w:type="dxa"/>
            <w:gridSpan w:val="3"/>
          </w:tcPr>
          <w:p w14:paraId="1F63E779" w14:textId="77777777" w:rsidR="00B636CF" w:rsidRPr="004C49DE" w:rsidRDefault="00B636CF" w:rsidP="00BB7BBB">
            <w:pPr>
              <w:tabs>
                <w:tab w:val="right" w:pos="1080"/>
                <w:tab w:val="left" w:pos="1296"/>
                <w:tab w:val="left" w:pos="1728"/>
                <w:tab w:val="left" w:pos="2160"/>
                <w:tab w:val="right" w:leader="dot" w:pos="9360"/>
              </w:tabs>
              <w:suppressAutoHyphens w:val="0"/>
              <w:spacing w:after="120"/>
              <w:ind w:left="1296"/>
              <w:rPr>
                <w:lang w:val="es-ES_tradnl" w:eastAsia="en-US"/>
              </w:rPr>
            </w:pPr>
            <w:r w:rsidRPr="004C49DE">
              <w:rPr>
                <w:lang w:val="es-ES_tradnl" w:eastAsia="en-US"/>
              </w:rPr>
              <w:tab/>
            </w:r>
            <w:r w:rsidR="003B3671" w:rsidRPr="004C49DE">
              <w:rPr>
                <w:lang w:val="es-ES_tradnl" w:eastAsia="en-US"/>
              </w:rPr>
              <w:t>Aplicación de las recomendaciones</w:t>
            </w:r>
            <w:r w:rsidRPr="004C49DE">
              <w:rPr>
                <w:spacing w:val="60"/>
                <w:sz w:val="17"/>
                <w:lang w:val="es-ES_tradnl"/>
              </w:rPr>
              <w:tab/>
            </w:r>
          </w:p>
        </w:tc>
        <w:tc>
          <w:tcPr>
            <w:tcW w:w="533" w:type="dxa"/>
            <w:vAlign w:val="bottom"/>
          </w:tcPr>
          <w:p w14:paraId="56B3BCFC" w14:textId="77777777" w:rsidR="00B636CF" w:rsidRPr="004C49DE" w:rsidRDefault="006679F0" w:rsidP="00BB7BBB">
            <w:pPr>
              <w:suppressAutoHyphens w:val="0"/>
              <w:spacing w:after="120"/>
              <w:jc w:val="right"/>
              <w:rPr>
                <w:lang w:val="es-ES_tradnl"/>
              </w:rPr>
            </w:pPr>
            <w:r w:rsidRPr="004C49DE">
              <w:rPr>
                <w:lang w:val="es-ES_tradnl"/>
              </w:rPr>
              <w:t>8</w:t>
            </w:r>
          </w:p>
        </w:tc>
      </w:tr>
      <w:tr w:rsidR="00D3059E" w:rsidRPr="004C49DE" w14:paraId="37FA5F59" w14:textId="77777777" w:rsidTr="00BA1EA2">
        <w:tc>
          <w:tcPr>
            <w:tcW w:w="9369" w:type="dxa"/>
            <w:gridSpan w:val="3"/>
          </w:tcPr>
          <w:p w14:paraId="0B32900F" w14:textId="77777777" w:rsidR="00D3059E" w:rsidRPr="004C49DE" w:rsidRDefault="00D3059E" w:rsidP="00BB7BBB">
            <w:pPr>
              <w:tabs>
                <w:tab w:val="right" w:pos="1080"/>
                <w:tab w:val="left" w:pos="1296"/>
                <w:tab w:val="left" w:pos="1728"/>
                <w:tab w:val="left" w:pos="2160"/>
                <w:tab w:val="right" w:leader="dot" w:pos="9360"/>
              </w:tabs>
              <w:suppressAutoHyphens w:val="0"/>
              <w:spacing w:after="120"/>
              <w:ind w:left="1296"/>
              <w:rPr>
                <w:lang w:val="es-ES_tradnl" w:eastAsia="en-US"/>
              </w:rPr>
            </w:pPr>
            <w:r w:rsidRPr="004C49DE">
              <w:rPr>
                <w:lang w:val="es-ES_tradnl" w:eastAsia="en-US"/>
              </w:rPr>
              <w:tab/>
            </w:r>
            <w:r w:rsidR="003B3671" w:rsidRPr="004C49DE">
              <w:rPr>
                <w:lang w:val="es-ES_tradnl" w:eastAsia="en-US"/>
              </w:rPr>
              <w:t>Dificultades relativas a la aplicación, desafíos y perspectivas</w:t>
            </w:r>
            <w:r w:rsidRPr="004C49DE">
              <w:rPr>
                <w:spacing w:val="60"/>
                <w:sz w:val="17"/>
                <w:lang w:val="es-ES_tradnl"/>
              </w:rPr>
              <w:tab/>
            </w:r>
          </w:p>
        </w:tc>
        <w:tc>
          <w:tcPr>
            <w:tcW w:w="533" w:type="dxa"/>
            <w:vAlign w:val="bottom"/>
          </w:tcPr>
          <w:p w14:paraId="2DCD4C71" w14:textId="69881363" w:rsidR="00D3059E" w:rsidRPr="004C49DE" w:rsidRDefault="006679F0" w:rsidP="00BB7BBB">
            <w:pPr>
              <w:suppressAutoHyphens w:val="0"/>
              <w:spacing w:after="120"/>
              <w:jc w:val="right"/>
              <w:rPr>
                <w:lang w:val="es-ES_tradnl"/>
              </w:rPr>
            </w:pPr>
            <w:r w:rsidRPr="004C49DE">
              <w:rPr>
                <w:lang w:val="es-ES_tradnl"/>
              </w:rPr>
              <w:t>4</w:t>
            </w:r>
            <w:r w:rsidR="0055552B">
              <w:rPr>
                <w:lang w:val="es-ES_tradnl"/>
              </w:rPr>
              <w:t>3</w:t>
            </w:r>
          </w:p>
        </w:tc>
      </w:tr>
      <w:tr w:rsidR="000B5343" w:rsidRPr="004C49DE" w14:paraId="70C0250C" w14:textId="77777777" w:rsidTr="00BA1EA2">
        <w:tc>
          <w:tcPr>
            <w:tcW w:w="9369" w:type="dxa"/>
            <w:gridSpan w:val="3"/>
          </w:tcPr>
          <w:p w14:paraId="1B289A13" w14:textId="77777777" w:rsidR="000B5343" w:rsidRPr="004C49DE" w:rsidRDefault="003B3671" w:rsidP="00BB7BBB">
            <w:pPr>
              <w:tabs>
                <w:tab w:val="right" w:pos="1080"/>
                <w:tab w:val="left" w:pos="1296"/>
                <w:tab w:val="left" w:pos="1728"/>
                <w:tab w:val="right" w:leader="dot" w:pos="9360"/>
              </w:tabs>
              <w:suppressAutoHyphens w:val="0"/>
              <w:spacing w:after="120"/>
              <w:ind w:left="1296"/>
              <w:rPr>
                <w:lang w:val="es-ES_tradnl" w:eastAsia="en-US"/>
              </w:rPr>
            </w:pPr>
            <w:r w:rsidRPr="004C49DE">
              <w:rPr>
                <w:lang w:val="es-ES_tradnl" w:eastAsia="en-US"/>
              </w:rPr>
              <w:t>Conclusión</w:t>
            </w:r>
            <w:r w:rsidR="000B5343" w:rsidRPr="004C49DE">
              <w:rPr>
                <w:spacing w:val="60"/>
                <w:sz w:val="17"/>
                <w:lang w:val="es-ES_tradnl"/>
              </w:rPr>
              <w:tab/>
            </w:r>
          </w:p>
        </w:tc>
        <w:tc>
          <w:tcPr>
            <w:tcW w:w="533" w:type="dxa"/>
            <w:vAlign w:val="bottom"/>
          </w:tcPr>
          <w:p w14:paraId="7FAB7BFA" w14:textId="2DDC8CEF" w:rsidR="000B5343" w:rsidRPr="004C49DE" w:rsidRDefault="0055552B" w:rsidP="00BB7BBB">
            <w:pPr>
              <w:suppressAutoHyphens w:val="0"/>
              <w:spacing w:after="120"/>
              <w:jc w:val="right"/>
              <w:rPr>
                <w:lang w:val="es-ES_tradnl"/>
              </w:rPr>
            </w:pPr>
            <w:r>
              <w:rPr>
                <w:lang w:val="es-ES_tradnl"/>
              </w:rPr>
              <w:t>4</w:t>
            </w:r>
            <w:r w:rsidR="006679F0" w:rsidRPr="004C49DE">
              <w:rPr>
                <w:lang w:val="es-ES_tradnl"/>
              </w:rPr>
              <w:t>4</w:t>
            </w:r>
          </w:p>
        </w:tc>
      </w:tr>
      <w:tr w:rsidR="000B5343" w:rsidRPr="004C49DE" w14:paraId="78444ABB" w14:textId="77777777" w:rsidTr="00BA1EA2">
        <w:tc>
          <w:tcPr>
            <w:tcW w:w="9369" w:type="dxa"/>
            <w:gridSpan w:val="3"/>
          </w:tcPr>
          <w:p w14:paraId="165A27AF" w14:textId="7A040E10" w:rsidR="000B5343" w:rsidRPr="004C49DE" w:rsidRDefault="000B5343" w:rsidP="00BB7BBB">
            <w:pPr>
              <w:tabs>
                <w:tab w:val="right" w:pos="1080"/>
                <w:tab w:val="left" w:pos="1296"/>
                <w:tab w:val="left" w:pos="1728"/>
                <w:tab w:val="right" w:leader="dot" w:pos="9360"/>
              </w:tabs>
              <w:suppressAutoHyphens w:val="0"/>
              <w:spacing w:after="120"/>
              <w:ind w:left="1296"/>
              <w:rPr>
                <w:lang w:val="es-ES_tradnl" w:eastAsia="en-US"/>
              </w:rPr>
            </w:pPr>
          </w:p>
        </w:tc>
        <w:tc>
          <w:tcPr>
            <w:tcW w:w="533" w:type="dxa"/>
            <w:vAlign w:val="bottom"/>
          </w:tcPr>
          <w:p w14:paraId="1BB134D3" w14:textId="736031BE" w:rsidR="000B5343" w:rsidRPr="004C49DE" w:rsidRDefault="000B5343" w:rsidP="00BB7BBB">
            <w:pPr>
              <w:suppressAutoHyphens w:val="0"/>
              <w:spacing w:after="120"/>
              <w:jc w:val="right"/>
              <w:rPr>
                <w:lang w:val="es-ES_tradnl"/>
              </w:rPr>
            </w:pPr>
          </w:p>
        </w:tc>
      </w:tr>
    </w:tbl>
    <w:p w14:paraId="6EF3DE18" w14:textId="77777777" w:rsidR="00603BDA" w:rsidRPr="004C49DE" w:rsidRDefault="00603BDA" w:rsidP="00BB7BBB">
      <w:pPr>
        <w:suppressAutoHyphens w:val="0"/>
        <w:spacing w:line="240" w:lineRule="auto"/>
        <w:rPr>
          <w:szCs w:val="22"/>
          <w:lang w:val="es-ES_tradnl" w:eastAsia="en-US"/>
        </w:rPr>
      </w:pPr>
    </w:p>
    <w:p w14:paraId="1C9C29CB" w14:textId="77777777" w:rsidR="00603BDA" w:rsidRPr="004C49DE" w:rsidRDefault="00603BDA" w:rsidP="00BB7BBB">
      <w:pPr>
        <w:suppressAutoHyphens w:val="0"/>
        <w:spacing w:line="240" w:lineRule="auto"/>
        <w:rPr>
          <w:szCs w:val="22"/>
          <w:lang w:val="es-ES_tradnl" w:eastAsia="en-US"/>
        </w:rPr>
      </w:pPr>
      <w:r w:rsidRPr="004C49DE">
        <w:rPr>
          <w:szCs w:val="22"/>
          <w:lang w:val="es-ES_tradnl" w:eastAsia="en-US"/>
        </w:rPr>
        <w:br w:type="page"/>
      </w:r>
      <w:bookmarkStart w:id="2" w:name="_GoBack"/>
      <w:bookmarkEnd w:id="2"/>
    </w:p>
    <w:p w14:paraId="2DFC19F4" w14:textId="5F4B5E96" w:rsidR="005E107A" w:rsidRPr="004C49DE" w:rsidRDefault="00920F8E" w:rsidP="00BB7BBB">
      <w:pPr>
        <w:pStyle w:val="HCh"/>
        <w:keepNext w:val="0"/>
        <w:keepLines w:val="0"/>
        <w:suppressAutoHyphens w:val="0"/>
        <w:ind w:left="1267" w:right="1260" w:hanging="1267"/>
        <w:rPr>
          <w:bCs w:val="0"/>
          <w:szCs w:val="20"/>
          <w:lang w:val="es-ES_tradnl" w:eastAsia="en-US"/>
        </w:rPr>
      </w:pPr>
      <w:r w:rsidRPr="004C49DE">
        <w:rPr>
          <w:bCs w:val="0"/>
          <w:szCs w:val="20"/>
          <w:lang w:val="es-ES_tradnl" w:eastAsia="en-US"/>
        </w:rPr>
        <w:lastRenderedPageBreak/>
        <w:tab/>
      </w:r>
      <w:r w:rsidRPr="004C49DE">
        <w:rPr>
          <w:bCs w:val="0"/>
          <w:szCs w:val="20"/>
          <w:lang w:val="es-ES_tradnl" w:eastAsia="en-US"/>
        </w:rPr>
        <w:tab/>
      </w:r>
      <w:r w:rsidR="00B518EE" w:rsidRPr="004C49DE">
        <w:rPr>
          <w:bCs w:val="0"/>
          <w:szCs w:val="20"/>
          <w:lang w:val="es-ES_tradnl" w:eastAsia="en-US"/>
        </w:rPr>
        <w:t xml:space="preserve">Lista de cuadros y </w:t>
      </w:r>
      <w:r w:rsidR="00347604" w:rsidRPr="004C49DE">
        <w:rPr>
          <w:bCs w:val="0"/>
          <w:szCs w:val="20"/>
          <w:lang w:val="es-ES_tradnl" w:eastAsia="en-US"/>
        </w:rPr>
        <w:t>gráficos</w:t>
      </w:r>
    </w:p>
    <w:p w14:paraId="3B7C6AE0" w14:textId="77777777" w:rsidR="00C864BB" w:rsidRPr="004C49DE" w:rsidRDefault="00C864BB" w:rsidP="00BB7BBB">
      <w:pPr>
        <w:pStyle w:val="SingleTxt"/>
        <w:suppressAutoHyphens w:val="0"/>
        <w:spacing w:after="0" w:line="120" w:lineRule="exact"/>
        <w:rPr>
          <w:sz w:val="10"/>
          <w:szCs w:val="10"/>
          <w:lang w:val="es-ES_tradnl"/>
        </w:rPr>
      </w:pPr>
    </w:p>
    <w:p w14:paraId="2F1CE6EC" w14:textId="77777777" w:rsidR="00C864BB" w:rsidRPr="004C49DE" w:rsidRDefault="00C864BB" w:rsidP="00BB7BBB">
      <w:pPr>
        <w:pStyle w:val="SingleTxt"/>
        <w:suppressAutoHyphens w:val="0"/>
        <w:spacing w:after="0" w:line="120" w:lineRule="exact"/>
        <w:rPr>
          <w:sz w:val="10"/>
          <w:szCs w:val="10"/>
          <w:lang w:val="es-ES_tradnl"/>
        </w:rPr>
      </w:pPr>
    </w:p>
    <w:p w14:paraId="02D3B385" w14:textId="77777777" w:rsidR="00B518EE" w:rsidRPr="004C49DE" w:rsidRDefault="00B518EE" w:rsidP="00BB7BBB">
      <w:pPr>
        <w:pStyle w:val="SingleTxt"/>
        <w:suppressAutoHyphens w:val="0"/>
        <w:rPr>
          <w:lang w:val="es-ES_tradnl" w:eastAsia="en-US"/>
        </w:rPr>
      </w:pPr>
      <w:r w:rsidRPr="004C49DE">
        <w:rPr>
          <w:lang w:val="es-ES_tradnl" w:eastAsia="en-US"/>
        </w:rPr>
        <w:t>Cuadro 1: Solicitudes de asistencia letrada de 2012 a 2014</w:t>
      </w:r>
    </w:p>
    <w:p w14:paraId="0E9AA93F" w14:textId="77777777" w:rsidR="00B518EE" w:rsidRPr="004C49DE" w:rsidRDefault="00B518EE" w:rsidP="00BB7BBB">
      <w:pPr>
        <w:pStyle w:val="SingleTxt"/>
        <w:suppressAutoHyphens w:val="0"/>
        <w:rPr>
          <w:lang w:val="es-ES_tradnl" w:eastAsia="en-US"/>
        </w:rPr>
      </w:pPr>
      <w:r w:rsidRPr="004C49DE">
        <w:rPr>
          <w:lang w:val="es-ES_tradnl" w:eastAsia="en-US"/>
        </w:rPr>
        <w:t>Cuadro 2: Datos sobre la violencia por razón de género de 2010 a 2016</w:t>
      </w:r>
    </w:p>
    <w:p w14:paraId="5E5B84A5" w14:textId="77777777" w:rsidR="00B518EE" w:rsidRPr="004C49DE" w:rsidRDefault="00B518EE" w:rsidP="00BB7BBB">
      <w:pPr>
        <w:pStyle w:val="SingleTxt"/>
        <w:suppressAutoHyphens w:val="0"/>
        <w:rPr>
          <w:lang w:val="es-ES_tradnl" w:eastAsia="en-US"/>
        </w:rPr>
      </w:pPr>
      <w:r w:rsidRPr="004C49DE">
        <w:rPr>
          <w:lang w:val="es-ES_tradnl" w:eastAsia="en-US"/>
        </w:rPr>
        <w:t>Cuadro 3: Estado de los procedimientos establecidos en materia de violencia por razón de género, enero de 2014 a octubre de 2015</w:t>
      </w:r>
    </w:p>
    <w:p w14:paraId="77FC859B" w14:textId="77777777" w:rsidR="00B518EE" w:rsidRPr="004C49DE" w:rsidRDefault="00B518EE" w:rsidP="00BB7BBB">
      <w:pPr>
        <w:pStyle w:val="SingleTxt"/>
        <w:suppressAutoHyphens w:val="0"/>
        <w:rPr>
          <w:lang w:val="es-ES_tradnl" w:eastAsia="en-US"/>
        </w:rPr>
      </w:pPr>
      <w:r w:rsidRPr="004C49DE">
        <w:rPr>
          <w:lang w:val="es-ES_tradnl" w:eastAsia="en-US"/>
        </w:rPr>
        <w:t>Cuadro 4: Decisiones judiciales de 2012 a 2015</w:t>
      </w:r>
    </w:p>
    <w:p w14:paraId="2D9E7914" w14:textId="77777777" w:rsidR="00B518EE" w:rsidRPr="004C49DE" w:rsidRDefault="00B518EE" w:rsidP="00BB7BBB">
      <w:pPr>
        <w:pStyle w:val="SingleTxt"/>
        <w:suppressAutoHyphens w:val="0"/>
        <w:rPr>
          <w:lang w:val="es-ES_tradnl" w:eastAsia="en-US"/>
        </w:rPr>
      </w:pPr>
      <w:r w:rsidRPr="004C49DE">
        <w:rPr>
          <w:lang w:val="es-ES_tradnl" w:eastAsia="en-US"/>
        </w:rPr>
        <w:t>Cuadro 5: Personal del ámbito judicial</w:t>
      </w:r>
    </w:p>
    <w:p w14:paraId="3397D227" w14:textId="0C00D255" w:rsidR="00B518EE" w:rsidRPr="004C49DE" w:rsidRDefault="00B518EE" w:rsidP="00BB7BBB">
      <w:pPr>
        <w:pStyle w:val="SingleTxt"/>
        <w:suppressAutoHyphens w:val="0"/>
        <w:rPr>
          <w:lang w:val="es-ES_tradnl" w:eastAsia="en-US"/>
        </w:rPr>
      </w:pPr>
      <w:r w:rsidRPr="004C49DE">
        <w:rPr>
          <w:lang w:val="es-ES_tradnl" w:eastAsia="en-US"/>
        </w:rPr>
        <w:t>Cuadro 6: Participación de las niñas y los niños en el año académico 2015</w:t>
      </w:r>
      <w:r w:rsidR="001A14E9" w:rsidRPr="004C49DE">
        <w:rPr>
          <w:lang w:val="es-ES_tradnl" w:eastAsia="en-US"/>
        </w:rPr>
        <w:noBreakHyphen/>
      </w:r>
      <w:r w:rsidRPr="004C49DE">
        <w:rPr>
          <w:lang w:val="es-ES_tradnl" w:eastAsia="en-US"/>
        </w:rPr>
        <w:t>2016</w:t>
      </w:r>
    </w:p>
    <w:p w14:paraId="6265EC7F" w14:textId="77777777" w:rsidR="00B518EE" w:rsidRPr="004C49DE" w:rsidRDefault="00B518EE" w:rsidP="00BB7BBB">
      <w:pPr>
        <w:pStyle w:val="SingleTxt"/>
        <w:suppressAutoHyphens w:val="0"/>
        <w:rPr>
          <w:lang w:val="es-ES_tradnl" w:eastAsia="en-US"/>
        </w:rPr>
      </w:pPr>
      <w:r w:rsidRPr="004C49DE">
        <w:rPr>
          <w:lang w:val="es-ES_tradnl" w:eastAsia="en-US"/>
        </w:rPr>
        <w:t>Cuadro 7: Evolución del número de alumnos y el número de aulas</w:t>
      </w:r>
    </w:p>
    <w:p w14:paraId="7B2EA52A" w14:textId="77777777" w:rsidR="00B518EE" w:rsidRPr="004C49DE" w:rsidRDefault="00B518EE" w:rsidP="00BB7BBB">
      <w:pPr>
        <w:pStyle w:val="SingleTxt"/>
        <w:suppressAutoHyphens w:val="0"/>
        <w:rPr>
          <w:lang w:val="es-ES_tradnl" w:eastAsia="en-US"/>
        </w:rPr>
      </w:pPr>
      <w:r w:rsidRPr="004C49DE">
        <w:rPr>
          <w:lang w:val="es-ES_tradnl" w:eastAsia="en-US"/>
        </w:rPr>
        <w:t>Cuadro 8: Datos por sexo de los alumnos y facilitadores en materia de alfabetización en 2015</w:t>
      </w:r>
    </w:p>
    <w:p w14:paraId="47834514" w14:textId="4EA938A9" w:rsidR="00B518EE" w:rsidRPr="004C49DE" w:rsidRDefault="00B518EE" w:rsidP="00BB7BBB">
      <w:pPr>
        <w:pStyle w:val="SingleTxt"/>
        <w:suppressAutoHyphens w:val="0"/>
        <w:rPr>
          <w:lang w:val="es-ES_tradnl" w:eastAsia="en-US"/>
        </w:rPr>
      </w:pPr>
      <w:bookmarkStart w:id="3" w:name="Sample_2"/>
      <w:r w:rsidRPr="004C49DE">
        <w:rPr>
          <w:lang w:val="es-ES_tradnl" w:eastAsia="en-US"/>
        </w:rPr>
        <w:t>Gráfic</w:t>
      </w:r>
      <w:r w:rsidR="00347604" w:rsidRPr="004C49DE">
        <w:rPr>
          <w:lang w:val="es-ES_tradnl" w:eastAsia="en-US"/>
        </w:rPr>
        <w:t>o</w:t>
      </w:r>
      <w:r w:rsidRPr="004C49DE">
        <w:rPr>
          <w:lang w:val="es-ES_tradnl" w:eastAsia="en-US"/>
        </w:rPr>
        <w:t xml:space="preserve"> 1: Representación de la mujer en la vida política y pública</w:t>
      </w:r>
    </w:p>
    <w:p w14:paraId="11FDDDD2" w14:textId="4CEF95F1" w:rsidR="00C864BB" w:rsidRPr="004C49DE" w:rsidRDefault="00B518EE" w:rsidP="00BB7BBB">
      <w:pPr>
        <w:pStyle w:val="SingleTxt"/>
        <w:suppressAutoHyphens w:val="0"/>
        <w:rPr>
          <w:lang w:val="es-ES_tradnl" w:eastAsia="en-US"/>
        </w:rPr>
      </w:pPr>
      <w:r w:rsidRPr="004C49DE">
        <w:rPr>
          <w:lang w:val="es-ES_tradnl" w:eastAsia="en-US"/>
        </w:rPr>
        <w:t>Gráfic</w:t>
      </w:r>
      <w:r w:rsidR="00347604" w:rsidRPr="004C49DE">
        <w:rPr>
          <w:lang w:val="es-ES_tradnl" w:eastAsia="en-US"/>
        </w:rPr>
        <w:t>o</w:t>
      </w:r>
      <w:r w:rsidRPr="004C49DE">
        <w:rPr>
          <w:lang w:val="es-ES_tradnl" w:eastAsia="en-US"/>
        </w:rPr>
        <w:t xml:space="preserve"> 2: Curva de crecimiento del presupuesto asignado a la salud</w:t>
      </w:r>
    </w:p>
    <w:bookmarkEnd w:id="3"/>
    <w:p w14:paraId="533374B0" w14:textId="77777777" w:rsidR="00352A6C" w:rsidRPr="004C49DE" w:rsidRDefault="00352A6C" w:rsidP="00BB7BBB">
      <w:pPr>
        <w:pStyle w:val="SingleTxt"/>
        <w:suppressAutoHyphens w:val="0"/>
        <w:spacing w:after="0" w:line="120" w:lineRule="exact"/>
        <w:rPr>
          <w:sz w:val="10"/>
          <w:szCs w:val="10"/>
          <w:lang w:val="es-ES_tradnl"/>
        </w:rPr>
      </w:pPr>
    </w:p>
    <w:p w14:paraId="78107500" w14:textId="77777777" w:rsidR="00352A6C" w:rsidRPr="004C49DE" w:rsidRDefault="00352A6C" w:rsidP="00BB7BBB">
      <w:pPr>
        <w:pStyle w:val="SingleTxt"/>
        <w:suppressAutoHyphens w:val="0"/>
        <w:spacing w:after="0" w:line="120" w:lineRule="exact"/>
        <w:rPr>
          <w:sz w:val="10"/>
          <w:szCs w:val="10"/>
          <w:lang w:val="es-ES_tradnl"/>
        </w:rPr>
      </w:pPr>
    </w:p>
    <w:p w14:paraId="2A6584E0" w14:textId="77777777" w:rsidR="005B40D0" w:rsidRPr="004C49DE" w:rsidRDefault="005B40D0" w:rsidP="00BB7BBB">
      <w:pPr>
        <w:suppressAutoHyphens w:val="0"/>
        <w:spacing w:line="240" w:lineRule="auto"/>
        <w:rPr>
          <w:bCs/>
          <w:lang w:val="es-ES_tradnl" w:eastAsia="en-US"/>
        </w:rPr>
      </w:pPr>
      <w:r w:rsidRPr="004C49DE">
        <w:rPr>
          <w:bCs/>
          <w:lang w:val="es-ES_tradnl" w:eastAsia="en-US"/>
        </w:rPr>
        <w:br w:type="page"/>
      </w:r>
    </w:p>
    <w:p w14:paraId="13A7533B" w14:textId="48623609" w:rsidR="005B40D0" w:rsidRPr="004C49DE" w:rsidRDefault="005B40D0" w:rsidP="00BB7BBB">
      <w:pPr>
        <w:pStyle w:val="HCh"/>
        <w:keepNext w:val="0"/>
        <w:keepLines w:val="0"/>
        <w:suppressAutoHyphens w:val="0"/>
        <w:ind w:left="1267" w:right="1260" w:hanging="1267"/>
        <w:rPr>
          <w:bCs w:val="0"/>
          <w:szCs w:val="20"/>
          <w:lang w:val="es-ES_tradnl" w:eastAsia="en-US"/>
        </w:rPr>
      </w:pPr>
      <w:r w:rsidRPr="004C49DE">
        <w:rPr>
          <w:bCs w:val="0"/>
          <w:szCs w:val="20"/>
          <w:lang w:val="es-ES_tradnl" w:eastAsia="en-US"/>
        </w:rPr>
        <w:lastRenderedPageBreak/>
        <w:tab/>
      </w:r>
      <w:bookmarkStart w:id="4" w:name="Sample_3"/>
      <w:r w:rsidRPr="004C49DE">
        <w:rPr>
          <w:bCs w:val="0"/>
          <w:szCs w:val="20"/>
          <w:lang w:val="es-ES_tradnl" w:eastAsia="en-US"/>
        </w:rPr>
        <w:tab/>
      </w:r>
      <w:r w:rsidR="00B518EE" w:rsidRPr="004C49DE">
        <w:rPr>
          <w:bCs w:val="0"/>
          <w:szCs w:val="20"/>
          <w:lang w:val="es-ES_tradnl" w:eastAsia="en-US"/>
        </w:rPr>
        <w:t>Siglas</w:t>
      </w:r>
      <w:r w:rsidR="000268A2" w:rsidRPr="004C49DE">
        <w:rPr>
          <w:bCs w:val="0"/>
          <w:szCs w:val="20"/>
          <w:lang w:val="es-ES_tradnl" w:eastAsia="en-US"/>
        </w:rPr>
        <w:t xml:space="preserve"> </w:t>
      </w:r>
    </w:p>
    <w:p w14:paraId="1530A759" w14:textId="77777777" w:rsidR="005B40D0" w:rsidRPr="004C49DE" w:rsidRDefault="005B40D0" w:rsidP="00BB7BBB">
      <w:pPr>
        <w:pStyle w:val="SingleTxt"/>
        <w:suppressAutoHyphens w:val="0"/>
        <w:spacing w:after="0" w:line="120" w:lineRule="exact"/>
        <w:rPr>
          <w:sz w:val="10"/>
          <w:lang w:val="es-ES_tradnl"/>
        </w:rPr>
      </w:pPr>
    </w:p>
    <w:p w14:paraId="0690BB8E" w14:textId="77777777" w:rsidR="005B40D0" w:rsidRPr="004C49DE" w:rsidRDefault="005B40D0" w:rsidP="00BB7BBB">
      <w:pPr>
        <w:pStyle w:val="SingleTxt"/>
        <w:suppressAutoHyphens w:val="0"/>
        <w:spacing w:after="0" w:line="120" w:lineRule="exact"/>
        <w:rPr>
          <w:sz w:val="10"/>
          <w:lang w:val="es-ES_tradnl"/>
        </w:rPr>
      </w:pPr>
    </w:p>
    <w:tbl>
      <w:tblPr>
        <w:tblW w:w="7320" w:type="dxa"/>
        <w:tblInd w:w="1267" w:type="dxa"/>
        <w:tblLayout w:type="fixed"/>
        <w:tblCellMar>
          <w:left w:w="0" w:type="dxa"/>
          <w:right w:w="0" w:type="dxa"/>
        </w:tblCellMar>
        <w:tblLook w:val="04A0" w:firstRow="1" w:lastRow="0" w:firstColumn="1" w:lastColumn="0" w:noHBand="0" w:noVBand="1"/>
      </w:tblPr>
      <w:tblGrid>
        <w:gridCol w:w="1433"/>
        <w:gridCol w:w="5887"/>
      </w:tblGrid>
      <w:tr w:rsidR="00B62486" w:rsidRPr="0055552B" w14:paraId="32AA10F8" w14:textId="77777777" w:rsidTr="007F7D93">
        <w:tc>
          <w:tcPr>
            <w:tcW w:w="1433" w:type="dxa"/>
          </w:tcPr>
          <w:p w14:paraId="4A4BCA3C"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AFJCI</w:t>
            </w:r>
          </w:p>
        </w:tc>
        <w:tc>
          <w:tcPr>
            <w:tcW w:w="5887" w:type="dxa"/>
          </w:tcPr>
          <w:p w14:paraId="589A4DDE" w14:textId="5FAC6A94"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Asociación de Mujeres Juristas de Côte d</w:t>
            </w:r>
            <w:r w:rsidR="004C49DE">
              <w:rPr>
                <w:spacing w:val="0"/>
                <w:w w:val="100"/>
                <w:kern w:val="0"/>
                <w:lang w:val="es-ES_tradnl"/>
              </w:rPr>
              <w:t>’</w:t>
            </w:r>
            <w:r w:rsidRPr="004C49DE">
              <w:rPr>
                <w:spacing w:val="0"/>
                <w:w w:val="100"/>
                <w:kern w:val="0"/>
                <w:lang w:val="es-ES_tradnl"/>
              </w:rPr>
              <w:t>Ivoire</w:t>
            </w:r>
          </w:p>
        </w:tc>
      </w:tr>
      <w:tr w:rsidR="00B62486" w:rsidRPr="0055552B" w14:paraId="4EF11766" w14:textId="77777777" w:rsidTr="007F7D93">
        <w:tc>
          <w:tcPr>
            <w:tcW w:w="1433" w:type="dxa"/>
          </w:tcPr>
          <w:p w14:paraId="4159D355"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ANADER</w:t>
            </w:r>
          </w:p>
        </w:tc>
        <w:tc>
          <w:tcPr>
            <w:tcW w:w="5887" w:type="dxa"/>
          </w:tcPr>
          <w:p w14:paraId="2E0D4A88"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Organismo Nacional de Apoyo al Desarrollo Rural</w:t>
            </w:r>
          </w:p>
        </w:tc>
      </w:tr>
      <w:tr w:rsidR="00B62486" w:rsidRPr="004C49DE" w14:paraId="4D689604" w14:textId="77777777" w:rsidTr="007F7D93">
        <w:tc>
          <w:tcPr>
            <w:tcW w:w="1433" w:type="dxa"/>
          </w:tcPr>
          <w:p w14:paraId="121B95A6"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BAfD</w:t>
            </w:r>
          </w:p>
        </w:tc>
        <w:tc>
          <w:tcPr>
            <w:tcW w:w="5887" w:type="dxa"/>
          </w:tcPr>
          <w:p w14:paraId="4748C2DE"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Banco Africano de Desarrollo</w:t>
            </w:r>
          </w:p>
        </w:tc>
      </w:tr>
      <w:tr w:rsidR="00B62486" w:rsidRPr="0055552B" w14:paraId="2E8A875A" w14:textId="77777777" w:rsidTr="007F7D93">
        <w:tc>
          <w:tcPr>
            <w:tcW w:w="1433" w:type="dxa"/>
          </w:tcPr>
          <w:p w14:paraId="404FE95A"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CADHP</w:t>
            </w:r>
          </w:p>
        </w:tc>
        <w:tc>
          <w:tcPr>
            <w:tcW w:w="5887" w:type="dxa"/>
          </w:tcPr>
          <w:p w14:paraId="54B7E9A0"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Comisión Africana de Derechos Humanos y de los Pueblos</w:t>
            </w:r>
          </w:p>
        </w:tc>
      </w:tr>
      <w:tr w:rsidR="00B62486" w:rsidRPr="0055552B" w14:paraId="2E33B75B" w14:textId="77777777" w:rsidTr="007F7D93">
        <w:tc>
          <w:tcPr>
            <w:tcW w:w="1433" w:type="dxa"/>
          </w:tcPr>
          <w:p w14:paraId="13775493"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CARMMA</w:t>
            </w:r>
          </w:p>
        </w:tc>
        <w:tc>
          <w:tcPr>
            <w:tcW w:w="5887" w:type="dxa"/>
          </w:tcPr>
          <w:p w14:paraId="63F44CD0"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Campaña para la Reducción Acelerada de la Mortalidad Materna, Neonatal e Infantil en África</w:t>
            </w:r>
          </w:p>
        </w:tc>
      </w:tr>
      <w:tr w:rsidR="00B62486" w:rsidRPr="0055552B" w14:paraId="3584A606" w14:textId="77777777" w:rsidTr="007F7D93">
        <w:tc>
          <w:tcPr>
            <w:tcW w:w="1433" w:type="dxa"/>
          </w:tcPr>
          <w:p w14:paraId="110DF833"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CEDEAO</w:t>
            </w:r>
          </w:p>
        </w:tc>
        <w:tc>
          <w:tcPr>
            <w:tcW w:w="5887" w:type="dxa"/>
          </w:tcPr>
          <w:p w14:paraId="5FF783B5"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Comunidad Económica de los Estados de África Occidental</w:t>
            </w:r>
          </w:p>
        </w:tc>
      </w:tr>
      <w:tr w:rsidR="00B62486" w:rsidRPr="0055552B" w14:paraId="6F44688F" w14:textId="77777777" w:rsidTr="007F7D93">
        <w:tc>
          <w:tcPr>
            <w:tcW w:w="1433" w:type="dxa"/>
          </w:tcPr>
          <w:p w14:paraId="3CE203E7"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FAFCI</w:t>
            </w:r>
          </w:p>
        </w:tc>
        <w:tc>
          <w:tcPr>
            <w:tcW w:w="5887" w:type="dxa"/>
          </w:tcPr>
          <w:p w14:paraId="45BC98F2" w14:textId="290FEAE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Fondo de Apoyo a las Mujeres de Côte d</w:t>
            </w:r>
            <w:r w:rsidR="004C49DE">
              <w:rPr>
                <w:spacing w:val="0"/>
                <w:w w:val="100"/>
                <w:kern w:val="0"/>
                <w:lang w:val="es-ES_tradnl"/>
              </w:rPr>
              <w:t>’</w:t>
            </w:r>
            <w:r w:rsidRPr="004C49DE">
              <w:rPr>
                <w:spacing w:val="0"/>
                <w:w w:val="100"/>
                <w:kern w:val="0"/>
                <w:lang w:val="es-ES_tradnl"/>
              </w:rPr>
              <w:t>Ivoire</w:t>
            </w:r>
          </w:p>
        </w:tc>
      </w:tr>
      <w:tr w:rsidR="00B62486" w:rsidRPr="0055552B" w14:paraId="5B6A3322" w14:textId="77777777" w:rsidTr="007F7D93">
        <w:tc>
          <w:tcPr>
            <w:tcW w:w="1433" w:type="dxa"/>
          </w:tcPr>
          <w:p w14:paraId="2E6C1E53"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FRCI</w:t>
            </w:r>
          </w:p>
        </w:tc>
        <w:tc>
          <w:tcPr>
            <w:tcW w:w="5887" w:type="dxa"/>
          </w:tcPr>
          <w:p w14:paraId="04D4310B" w14:textId="19FC9D08"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Fuerzas Republicanas de Côte d</w:t>
            </w:r>
            <w:r w:rsidR="004C49DE">
              <w:rPr>
                <w:spacing w:val="0"/>
                <w:w w:val="100"/>
                <w:kern w:val="0"/>
                <w:lang w:val="es-ES_tradnl"/>
              </w:rPr>
              <w:t>’</w:t>
            </w:r>
            <w:r w:rsidRPr="004C49DE">
              <w:rPr>
                <w:spacing w:val="0"/>
                <w:w w:val="100"/>
                <w:kern w:val="0"/>
                <w:lang w:val="es-ES_tradnl"/>
              </w:rPr>
              <w:t>Ivoire</w:t>
            </w:r>
          </w:p>
        </w:tc>
      </w:tr>
      <w:tr w:rsidR="00B62486" w:rsidRPr="0055552B" w14:paraId="1C6A763C" w14:textId="77777777" w:rsidTr="007F7D93">
        <w:tc>
          <w:tcPr>
            <w:tcW w:w="1433" w:type="dxa"/>
          </w:tcPr>
          <w:p w14:paraId="14388BC7"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MJDHLP</w:t>
            </w:r>
          </w:p>
        </w:tc>
        <w:tc>
          <w:tcPr>
            <w:tcW w:w="5887" w:type="dxa"/>
          </w:tcPr>
          <w:p w14:paraId="5856FE66"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Ministro de Justicia, Derechos Humanos y Libertades Públicas</w:t>
            </w:r>
          </w:p>
        </w:tc>
      </w:tr>
      <w:tr w:rsidR="00B62486" w:rsidRPr="0055552B" w14:paraId="0202F42B" w14:textId="77777777" w:rsidTr="007F7D93">
        <w:tc>
          <w:tcPr>
            <w:tcW w:w="1433" w:type="dxa"/>
          </w:tcPr>
          <w:p w14:paraId="3B4693D8"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MPFFPE</w:t>
            </w:r>
          </w:p>
        </w:tc>
        <w:tc>
          <w:tcPr>
            <w:tcW w:w="5887" w:type="dxa"/>
          </w:tcPr>
          <w:p w14:paraId="1DA29A37"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Ministerio del Adelanto de la Mujer, la Familia y la Protección de la Infancia</w:t>
            </w:r>
          </w:p>
        </w:tc>
      </w:tr>
      <w:tr w:rsidR="00B62486" w:rsidRPr="0055552B" w14:paraId="76D8091A" w14:textId="77777777" w:rsidTr="007F7D93">
        <w:tc>
          <w:tcPr>
            <w:tcW w:w="1433" w:type="dxa"/>
          </w:tcPr>
          <w:p w14:paraId="465DD456" w14:textId="6D106C8A"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bookmarkStart w:id="5" w:name="_Hlk525925158"/>
            <w:r w:rsidRPr="004C49DE">
              <w:rPr>
                <w:spacing w:val="0"/>
                <w:w w:val="100"/>
                <w:kern w:val="0"/>
                <w:lang w:val="es-ES_tradnl"/>
              </w:rPr>
              <w:t>MSFFE</w:t>
            </w:r>
            <w:bookmarkEnd w:id="5"/>
          </w:p>
        </w:tc>
        <w:tc>
          <w:tcPr>
            <w:tcW w:w="5887" w:type="dxa"/>
          </w:tcPr>
          <w:p w14:paraId="18A7C25C"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Ministerio de la Solidaridad, de la Familia, de la Mujer y de la Infancia</w:t>
            </w:r>
          </w:p>
        </w:tc>
      </w:tr>
      <w:tr w:rsidR="00B62486" w:rsidRPr="0055552B" w14:paraId="4A4DBF3C" w14:textId="77777777" w:rsidTr="007F7D93">
        <w:tc>
          <w:tcPr>
            <w:tcW w:w="1433" w:type="dxa"/>
          </w:tcPr>
          <w:p w14:paraId="58E227CD"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ODAFEM</w:t>
            </w:r>
          </w:p>
        </w:tc>
        <w:tc>
          <w:tcPr>
            <w:tcW w:w="5887" w:type="dxa"/>
          </w:tcPr>
          <w:p w14:paraId="771DB8F6" w14:textId="77777777" w:rsidR="00B62486" w:rsidRPr="00385171" w:rsidRDefault="00B62486" w:rsidP="00BB7BBB">
            <w:pPr>
              <w:tabs>
                <w:tab w:val="left" w:pos="288"/>
                <w:tab w:val="left" w:pos="576"/>
                <w:tab w:val="left" w:pos="864"/>
                <w:tab w:val="left" w:pos="1152"/>
              </w:tabs>
              <w:suppressAutoHyphens w:val="0"/>
              <w:spacing w:after="120"/>
              <w:ind w:right="40"/>
              <w:rPr>
                <w:spacing w:val="0"/>
                <w:w w:val="100"/>
                <w:kern w:val="0"/>
                <w:lang w:val="fr-FR"/>
              </w:rPr>
            </w:pPr>
            <w:r w:rsidRPr="00385171">
              <w:rPr>
                <w:spacing w:val="0"/>
                <w:w w:val="100"/>
                <w:kern w:val="0"/>
                <w:lang w:val="fr-FR"/>
              </w:rPr>
              <w:t>Organisation pour le Développement des Activités des Femmes</w:t>
            </w:r>
          </w:p>
        </w:tc>
      </w:tr>
      <w:tr w:rsidR="00B62486" w:rsidRPr="0055552B" w14:paraId="2856419C" w14:textId="77777777" w:rsidTr="007F7D93">
        <w:tc>
          <w:tcPr>
            <w:tcW w:w="1433" w:type="dxa"/>
          </w:tcPr>
          <w:p w14:paraId="23AE4308"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OIS</w:t>
            </w:r>
            <w:r w:rsidRPr="004C49DE">
              <w:rPr>
                <w:spacing w:val="0"/>
                <w:w w:val="100"/>
                <w:kern w:val="0"/>
                <w:lang w:val="es-ES_tradnl"/>
              </w:rPr>
              <w:noBreakHyphen/>
              <w:t>Afrique</w:t>
            </w:r>
          </w:p>
        </w:tc>
        <w:tc>
          <w:tcPr>
            <w:tcW w:w="5887" w:type="dxa"/>
          </w:tcPr>
          <w:p w14:paraId="6F4E4266" w14:textId="77777777" w:rsidR="00B62486" w:rsidRPr="00385171" w:rsidRDefault="00B62486" w:rsidP="00BB7BBB">
            <w:pPr>
              <w:tabs>
                <w:tab w:val="left" w:pos="288"/>
                <w:tab w:val="left" w:pos="576"/>
                <w:tab w:val="left" w:pos="864"/>
                <w:tab w:val="left" w:pos="1152"/>
              </w:tabs>
              <w:suppressAutoHyphens w:val="0"/>
              <w:spacing w:after="120"/>
              <w:ind w:right="40"/>
              <w:rPr>
                <w:spacing w:val="0"/>
                <w:w w:val="100"/>
                <w:kern w:val="0"/>
                <w:lang w:val="fr-FR"/>
              </w:rPr>
            </w:pPr>
            <w:r w:rsidRPr="00385171">
              <w:rPr>
                <w:spacing w:val="0"/>
                <w:w w:val="100"/>
                <w:kern w:val="0"/>
                <w:lang w:val="fr-FR"/>
              </w:rPr>
              <w:t>Organisation pour la Solidarité des Droits en Afrique</w:t>
            </w:r>
          </w:p>
        </w:tc>
      </w:tr>
      <w:tr w:rsidR="00B62486" w:rsidRPr="0055552B" w14:paraId="3185A152" w14:textId="77777777" w:rsidTr="007F7D93">
        <w:tc>
          <w:tcPr>
            <w:tcW w:w="1433" w:type="dxa"/>
          </w:tcPr>
          <w:p w14:paraId="101FCF92"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ONEF</w:t>
            </w:r>
          </w:p>
        </w:tc>
        <w:tc>
          <w:tcPr>
            <w:tcW w:w="5887" w:type="dxa"/>
          </w:tcPr>
          <w:p w14:paraId="2F6ADBF9" w14:textId="0AC2C64F"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fr-FR"/>
              </w:rPr>
            </w:pPr>
            <w:r w:rsidRPr="004C49DE">
              <w:rPr>
                <w:spacing w:val="0"/>
                <w:w w:val="100"/>
                <w:kern w:val="0"/>
                <w:lang w:val="fr-FR"/>
              </w:rPr>
              <w:t>Organisation Nationale pour l</w:t>
            </w:r>
            <w:r w:rsidR="004C49DE" w:rsidRPr="004C49DE">
              <w:rPr>
                <w:spacing w:val="0"/>
                <w:w w:val="100"/>
                <w:kern w:val="0"/>
                <w:lang w:val="fr-FR"/>
              </w:rPr>
              <w:t>’</w:t>
            </w:r>
            <w:r w:rsidRPr="004C49DE">
              <w:rPr>
                <w:spacing w:val="0"/>
                <w:w w:val="100"/>
                <w:kern w:val="0"/>
                <w:lang w:val="fr-FR"/>
              </w:rPr>
              <w:t>Enfant, la Femme et la Famille</w:t>
            </w:r>
          </w:p>
        </w:tc>
      </w:tr>
      <w:tr w:rsidR="00B62486" w:rsidRPr="0055552B" w14:paraId="70CCF946" w14:textId="77777777" w:rsidTr="007F7D93">
        <w:tc>
          <w:tcPr>
            <w:tcW w:w="1433" w:type="dxa"/>
          </w:tcPr>
          <w:p w14:paraId="6E8A93AA"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ONEG</w:t>
            </w:r>
          </w:p>
        </w:tc>
        <w:tc>
          <w:tcPr>
            <w:tcW w:w="5887" w:type="dxa"/>
          </w:tcPr>
          <w:p w14:paraId="554FC888"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Observatorio Nacional de Equidad y Género</w:t>
            </w:r>
          </w:p>
        </w:tc>
      </w:tr>
      <w:tr w:rsidR="00B62486" w:rsidRPr="0055552B" w14:paraId="2647FF73" w14:textId="77777777" w:rsidTr="007F7D93">
        <w:tc>
          <w:tcPr>
            <w:tcW w:w="1433" w:type="dxa"/>
          </w:tcPr>
          <w:p w14:paraId="0283D38A"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ONUCI</w:t>
            </w:r>
          </w:p>
        </w:tc>
        <w:tc>
          <w:tcPr>
            <w:tcW w:w="5887" w:type="dxa"/>
          </w:tcPr>
          <w:p w14:paraId="16571832" w14:textId="12CE4E6B"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Operación de las Naciones Unidas en Côte d</w:t>
            </w:r>
            <w:r w:rsidR="004C49DE">
              <w:rPr>
                <w:spacing w:val="0"/>
                <w:w w:val="100"/>
                <w:kern w:val="0"/>
                <w:lang w:val="es-ES_tradnl"/>
              </w:rPr>
              <w:t>’</w:t>
            </w:r>
            <w:r w:rsidRPr="004C49DE">
              <w:rPr>
                <w:spacing w:val="0"/>
                <w:w w:val="100"/>
                <w:kern w:val="0"/>
                <w:lang w:val="es-ES_tradnl"/>
              </w:rPr>
              <w:t>Ivoire</w:t>
            </w:r>
          </w:p>
        </w:tc>
      </w:tr>
      <w:tr w:rsidR="00B62486" w:rsidRPr="0055552B" w14:paraId="0479133F" w14:textId="77777777" w:rsidTr="007F7D93">
        <w:tc>
          <w:tcPr>
            <w:tcW w:w="1433" w:type="dxa"/>
          </w:tcPr>
          <w:p w14:paraId="331F9B9F"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ONU-Mujeres</w:t>
            </w:r>
          </w:p>
        </w:tc>
        <w:tc>
          <w:tcPr>
            <w:tcW w:w="5887" w:type="dxa"/>
          </w:tcPr>
          <w:p w14:paraId="5EA1E91E"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zCs w:val="22"/>
                <w:lang w:val="es-ES_tradnl" w:eastAsia="en-US"/>
              </w:rPr>
              <w:t>Entidad de las Naciones Unidas para la Igualdad de Género y el Empoderamiento de las Mujeres</w:t>
            </w:r>
          </w:p>
        </w:tc>
      </w:tr>
      <w:tr w:rsidR="00B62486" w:rsidRPr="0055552B" w14:paraId="241AC27D" w14:textId="77777777" w:rsidTr="007F7D93">
        <w:tc>
          <w:tcPr>
            <w:tcW w:w="1433" w:type="dxa"/>
          </w:tcPr>
          <w:p w14:paraId="33E40837"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PAIMSC</w:t>
            </w:r>
          </w:p>
        </w:tc>
        <w:tc>
          <w:tcPr>
            <w:tcW w:w="5887" w:type="dxa"/>
          </w:tcPr>
          <w:p w14:paraId="4E1C05E3"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Proyecto de Apoyo Institucional Multisectorial después de la Crisis</w:t>
            </w:r>
          </w:p>
        </w:tc>
      </w:tr>
      <w:tr w:rsidR="00B62486" w:rsidRPr="0055552B" w14:paraId="5541CC08" w14:textId="77777777" w:rsidTr="007F7D93">
        <w:tc>
          <w:tcPr>
            <w:tcW w:w="1433" w:type="dxa"/>
          </w:tcPr>
          <w:p w14:paraId="31A3F3E7"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zCs w:val="22"/>
                <w:lang w:val="es-ES_tradnl" w:eastAsia="en-US"/>
              </w:rPr>
              <w:t>PNUD</w:t>
            </w:r>
          </w:p>
        </w:tc>
        <w:tc>
          <w:tcPr>
            <w:tcW w:w="5887" w:type="dxa"/>
          </w:tcPr>
          <w:p w14:paraId="79D0AB1F" w14:textId="77777777" w:rsidR="00B62486" w:rsidRPr="004C49DE" w:rsidRDefault="00B62486" w:rsidP="00BB7BBB">
            <w:pPr>
              <w:tabs>
                <w:tab w:val="left" w:pos="288"/>
                <w:tab w:val="left" w:pos="576"/>
                <w:tab w:val="left" w:pos="864"/>
                <w:tab w:val="left" w:pos="1152"/>
              </w:tabs>
              <w:suppressAutoHyphens w:val="0"/>
              <w:spacing w:after="120"/>
              <w:ind w:right="40"/>
              <w:rPr>
                <w:szCs w:val="22"/>
                <w:lang w:val="es-ES_tradnl" w:eastAsia="en-US"/>
              </w:rPr>
            </w:pPr>
            <w:r w:rsidRPr="004C49DE">
              <w:rPr>
                <w:szCs w:val="22"/>
                <w:lang w:val="es-ES_tradnl" w:eastAsia="en-US"/>
              </w:rPr>
              <w:t>Programa de las Naciones Unidas para el Desarrollo</w:t>
            </w:r>
          </w:p>
        </w:tc>
      </w:tr>
      <w:tr w:rsidR="00B62486" w:rsidRPr="0055552B" w14:paraId="3123AE68" w14:textId="77777777" w:rsidTr="007F7D93">
        <w:tc>
          <w:tcPr>
            <w:tcW w:w="1433" w:type="dxa"/>
          </w:tcPr>
          <w:p w14:paraId="583D2DD7"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PRDF</w:t>
            </w:r>
          </w:p>
        </w:tc>
        <w:tc>
          <w:tcPr>
            <w:tcW w:w="5887" w:type="dxa"/>
          </w:tcPr>
          <w:p w14:paraId="3E147044"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Proyecto para el Restablecimiento de los Derechos de las Mujeres Víctimas de Violencia Sexual durante el Período Posterior a las Elecciones</w:t>
            </w:r>
          </w:p>
        </w:tc>
      </w:tr>
      <w:tr w:rsidR="00B62486" w:rsidRPr="0055552B" w14:paraId="63E2B777" w14:textId="77777777" w:rsidTr="007F7D93">
        <w:tc>
          <w:tcPr>
            <w:tcW w:w="1433" w:type="dxa"/>
          </w:tcPr>
          <w:p w14:paraId="40E68D1E"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VIH</w:t>
            </w:r>
          </w:p>
        </w:tc>
        <w:tc>
          <w:tcPr>
            <w:tcW w:w="5887" w:type="dxa"/>
          </w:tcPr>
          <w:p w14:paraId="67C0A0B9" w14:textId="77777777" w:rsidR="00B62486" w:rsidRPr="004C49DE" w:rsidRDefault="00B62486" w:rsidP="00BB7BBB">
            <w:pPr>
              <w:tabs>
                <w:tab w:val="left" w:pos="288"/>
                <w:tab w:val="left" w:pos="576"/>
                <w:tab w:val="left" w:pos="864"/>
                <w:tab w:val="left" w:pos="1152"/>
              </w:tabs>
              <w:suppressAutoHyphens w:val="0"/>
              <w:spacing w:after="120"/>
              <w:ind w:right="40"/>
              <w:rPr>
                <w:spacing w:val="0"/>
                <w:w w:val="100"/>
                <w:kern w:val="0"/>
                <w:lang w:val="es-ES_tradnl"/>
              </w:rPr>
            </w:pPr>
            <w:r w:rsidRPr="004C49DE">
              <w:rPr>
                <w:spacing w:val="0"/>
                <w:w w:val="100"/>
                <w:kern w:val="0"/>
                <w:lang w:val="es-ES_tradnl"/>
              </w:rPr>
              <w:t>Virus de la inmunodeficiencia humana</w:t>
            </w:r>
          </w:p>
        </w:tc>
      </w:tr>
      <w:bookmarkEnd w:id="4"/>
    </w:tbl>
    <w:p w14:paraId="3D5E1952" w14:textId="77777777" w:rsidR="00B518EE" w:rsidRPr="004C49DE" w:rsidRDefault="00B518EE" w:rsidP="00BB7BBB">
      <w:pPr>
        <w:suppressAutoHyphens w:val="0"/>
        <w:spacing w:line="240" w:lineRule="auto"/>
        <w:rPr>
          <w:bCs/>
          <w:lang w:val="es-ES_tradnl" w:eastAsia="en-US"/>
        </w:rPr>
      </w:pPr>
    </w:p>
    <w:p w14:paraId="5DFE28BE" w14:textId="77777777" w:rsidR="004E5426" w:rsidRPr="004C49DE" w:rsidRDefault="004E5426" w:rsidP="00BB7BBB">
      <w:pPr>
        <w:suppressAutoHyphens w:val="0"/>
        <w:spacing w:line="240" w:lineRule="auto"/>
        <w:rPr>
          <w:b/>
          <w:sz w:val="24"/>
          <w:lang w:val="es-ES_tradnl" w:eastAsia="en-US"/>
        </w:rPr>
      </w:pPr>
      <w:r w:rsidRPr="004C49DE">
        <w:rPr>
          <w:bCs/>
          <w:lang w:val="es-ES_tradnl" w:eastAsia="en-US"/>
        </w:rPr>
        <w:br w:type="page"/>
      </w:r>
    </w:p>
    <w:p w14:paraId="250B247F" w14:textId="77777777" w:rsidR="00BB7BBB" w:rsidRPr="004C49DE" w:rsidRDefault="00352A6C" w:rsidP="00BB7BBB">
      <w:pPr>
        <w:pStyle w:val="HCh"/>
        <w:keepNext w:val="0"/>
        <w:keepLines w:val="0"/>
        <w:suppressAutoHyphens w:val="0"/>
        <w:ind w:left="1267" w:right="1260" w:hanging="1267"/>
        <w:rPr>
          <w:bCs w:val="0"/>
          <w:szCs w:val="20"/>
          <w:lang w:val="es-ES_tradnl" w:eastAsia="en-US"/>
        </w:rPr>
      </w:pPr>
      <w:r w:rsidRPr="004C49DE">
        <w:rPr>
          <w:bCs w:val="0"/>
          <w:szCs w:val="20"/>
          <w:lang w:val="es-ES_tradnl" w:eastAsia="en-US"/>
        </w:rPr>
        <w:lastRenderedPageBreak/>
        <w:tab/>
      </w:r>
      <w:bookmarkStart w:id="6" w:name="Sample_4"/>
      <w:r w:rsidR="004E5426" w:rsidRPr="004C49DE">
        <w:rPr>
          <w:bCs w:val="0"/>
          <w:szCs w:val="20"/>
          <w:lang w:val="es-ES_tradnl" w:eastAsia="en-US"/>
        </w:rPr>
        <w:tab/>
        <w:t>Introducción</w:t>
      </w:r>
    </w:p>
    <w:p w14:paraId="687FA7C2" w14:textId="02878BCF" w:rsidR="00352A6C" w:rsidRPr="004C49DE" w:rsidRDefault="00352A6C" w:rsidP="00BB7BBB">
      <w:pPr>
        <w:pStyle w:val="SingleTxt"/>
        <w:suppressAutoHyphens w:val="0"/>
        <w:spacing w:after="0" w:line="120" w:lineRule="exact"/>
        <w:rPr>
          <w:sz w:val="10"/>
          <w:szCs w:val="10"/>
          <w:lang w:val="es-ES_tradnl"/>
        </w:rPr>
      </w:pPr>
    </w:p>
    <w:p w14:paraId="0453B032" w14:textId="77777777" w:rsidR="00352A6C" w:rsidRPr="004C49DE" w:rsidRDefault="00352A6C" w:rsidP="00BB7BBB">
      <w:pPr>
        <w:pStyle w:val="SingleTxt"/>
        <w:suppressAutoHyphens w:val="0"/>
        <w:spacing w:after="0" w:line="120" w:lineRule="exact"/>
        <w:rPr>
          <w:sz w:val="10"/>
          <w:szCs w:val="10"/>
          <w:lang w:val="es-ES_tradnl"/>
        </w:rPr>
      </w:pPr>
    </w:p>
    <w:p w14:paraId="199B252A" w14:textId="1601D31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De conformidad con los compromisos enunciados en l</w:t>
      </w:r>
      <w:r w:rsidR="000268A2" w:rsidRPr="004C49DE">
        <w:rPr>
          <w:szCs w:val="22"/>
          <w:lang w:val="es-ES_tradnl" w:eastAsia="en-US"/>
        </w:rPr>
        <w:t>o</w:t>
      </w:r>
      <w:r w:rsidRPr="004C49DE">
        <w:rPr>
          <w:szCs w:val="22"/>
          <w:lang w:val="es-ES_tradnl" w:eastAsia="en-US"/>
        </w:rPr>
        <w:t xml:space="preserve">s </w:t>
      </w:r>
      <w:r w:rsidR="000268A2" w:rsidRPr="004C49DE">
        <w:rPr>
          <w:szCs w:val="22"/>
          <w:lang w:val="es-ES_tradnl" w:eastAsia="en-US"/>
        </w:rPr>
        <w:t xml:space="preserve">textos </w:t>
      </w:r>
      <w:r w:rsidRPr="004C49DE">
        <w:rPr>
          <w:szCs w:val="22"/>
          <w:lang w:val="es-ES_tradnl" w:eastAsia="en-US"/>
        </w:rPr>
        <w:t>regionales y los instrumentos jurídicos internacionales ratificados, el Estado de Côte d</w:t>
      </w:r>
      <w:r w:rsidR="004C49DE">
        <w:rPr>
          <w:szCs w:val="22"/>
          <w:lang w:val="es-ES_tradnl" w:eastAsia="en-US"/>
        </w:rPr>
        <w:t>’</w:t>
      </w:r>
      <w:r w:rsidRPr="004C49DE">
        <w:rPr>
          <w:szCs w:val="22"/>
          <w:lang w:val="es-ES_tradnl" w:eastAsia="en-US"/>
        </w:rPr>
        <w:t>Ivoire presenta su informe periódico acerca de la Convención sobre la Eliminación de Todas las Formas de Discriminación contra la Mujer, que abarca el período comprendido entre 2011 y 2015</w:t>
      </w:r>
      <w:r w:rsidR="00BB7BBB" w:rsidRPr="004C49DE">
        <w:rPr>
          <w:szCs w:val="22"/>
          <w:lang w:val="es-ES_tradnl" w:eastAsia="en-US"/>
        </w:rPr>
        <w:t>.</w:t>
      </w:r>
    </w:p>
    <w:p w14:paraId="6FED7C2B" w14:textId="6D855CE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Cabe recordar que el Estado de Côte d</w:t>
      </w:r>
      <w:r w:rsidR="004C49DE">
        <w:rPr>
          <w:szCs w:val="22"/>
          <w:lang w:val="es-ES_tradnl" w:eastAsia="en-US"/>
        </w:rPr>
        <w:t>’</w:t>
      </w:r>
      <w:r w:rsidRPr="004C49DE">
        <w:rPr>
          <w:szCs w:val="22"/>
          <w:lang w:val="es-ES_tradnl" w:eastAsia="en-US"/>
        </w:rPr>
        <w:t>Ivoire, tras ratificar la Convención sobre la Eliminación de Todas las Formas de Discriminación contra la Mujer en 1995, presentó un informe combinado (inicial, informes periódicos 1º, 2º y 3º) en octubre de 2011 ante el Comité de Ginebra</w:t>
      </w:r>
      <w:r w:rsidR="00BB7BBB" w:rsidRPr="004C49DE">
        <w:rPr>
          <w:szCs w:val="22"/>
          <w:lang w:val="es-ES_tradnl" w:eastAsia="en-US"/>
        </w:rPr>
        <w:t>.</w:t>
      </w:r>
      <w:r w:rsidRPr="004C49DE">
        <w:rPr>
          <w:szCs w:val="22"/>
          <w:lang w:val="es-ES_tradnl" w:eastAsia="en-US"/>
        </w:rPr>
        <w:t xml:space="preserve"> En este marco, el Comité para la Eliminación de la Discriminación contra la Mujer formuló 80</w:t>
      </w:r>
      <w:r w:rsidR="00A50CED" w:rsidRPr="004C49DE">
        <w:rPr>
          <w:szCs w:val="22"/>
          <w:lang w:val="es-ES_tradnl" w:eastAsia="en-US"/>
        </w:rPr>
        <w:t xml:space="preserve"> </w:t>
      </w:r>
      <w:r w:rsidRPr="004C49DE">
        <w:rPr>
          <w:szCs w:val="22"/>
          <w:lang w:val="es-ES_tradnl" w:eastAsia="en-US"/>
        </w:rPr>
        <w:t>recomendaciones para la aplicación efectiva de la Convención</w:t>
      </w:r>
      <w:r w:rsidR="00BB7BBB" w:rsidRPr="004C49DE">
        <w:rPr>
          <w:szCs w:val="22"/>
          <w:lang w:val="es-ES_tradnl" w:eastAsia="en-US"/>
        </w:rPr>
        <w:t>.</w:t>
      </w:r>
    </w:p>
    <w:bookmarkEnd w:id="6"/>
    <w:p w14:paraId="04C17B81" w14:textId="422CFD8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Estado de Côte d</w:t>
      </w:r>
      <w:r w:rsidR="004C49DE">
        <w:rPr>
          <w:szCs w:val="22"/>
          <w:lang w:val="es-ES_tradnl" w:eastAsia="en-US"/>
        </w:rPr>
        <w:t>’</w:t>
      </w:r>
      <w:r w:rsidRPr="004C49DE">
        <w:rPr>
          <w:szCs w:val="22"/>
          <w:lang w:val="es-ES_tradnl" w:eastAsia="en-US"/>
        </w:rPr>
        <w:t>Ivoire busca promover el bienestar de su población con el objetivo de ser un país emergente para 2020</w:t>
      </w:r>
      <w:r w:rsidR="00BB7BBB" w:rsidRPr="004C49DE">
        <w:rPr>
          <w:szCs w:val="22"/>
          <w:lang w:val="es-ES_tradnl" w:eastAsia="en-US"/>
        </w:rPr>
        <w:t>.</w:t>
      </w:r>
      <w:r w:rsidRPr="004C49DE">
        <w:rPr>
          <w:szCs w:val="22"/>
          <w:lang w:val="es-ES_tradnl" w:eastAsia="en-US"/>
        </w:rPr>
        <w:t xml:space="preserve"> Para ello, el país elaboró, en 2012 y, a continuación, en 2016, un documento estratégico titulado Plan Nacional de Desarrollo, orientado hacia la buena gobernanza y el desarrollo humano</w:t>
      </w:r>
      <w:r w:rsidR="00BB7BBB" w:rsidRPr="004C49DE">
        <w:rPr>
          <w:szCs w:val="22"/>
          <w:lang w:val="es-ES_tradnl" w:eastAsia="en-US"/>
        </w:rPr>
        <w:t>.</w:t>
      </w:r>
    </w:p>
    <w:p w14:paraId="58672FB3" w14:textId="4F1B4F34"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Sin embargo, a pesar de sus esfuerzos, Côte d</w:t>
      </w:r>
      <w:r w:rsidR="004C49DE">
        <w:rPr>
          <w:szCs w:val="22"/>
          <w:lang w:val="es-ES_tradnl" w:eastAsia="en-US"/>
        </w:rPr>
        <w:t>’</w:t>
      </w:r>
      <w:r w:rsidRPr="004C49DE">
        <w:rPr>
          <w:szCs w:val="22"/>
          <w:lang w:val="es-ES_tradnl" w:eastAsia="en-US"/>
        </w:rPr>
        <w:t>Ivoire sigue encontrando dificultades a la hora de cumplir algunos de los compromisos contraídos respecto a los derechos fundamentales de la mujer</w:t>
      </w:r>
      <w:r w:rsidR="00BB7BBB" w:rsidRPr="004C49DE">
        <w:rPr>
          <w:szCs w:val="22"/>
          <w:lang w:val="es-ES_tradnl" w:eastAsia="en-US"/>
        </w:rPr>
        <w:t>.</w:t>
      </w:r>
    </w:p>
    <w:p w14:paraId="039CFBE9" w14:textId="38FDF005"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presente informe muestra el alcance de los progresos en materia de adelanto de la mujer en Côte d</w:t>
      </w:r>
      <w:r w:rsidR="004C49DE">
        <w:rPr>
          <w:szCs w:val="22"/>
          <w:lang w:val="es-ES_tradnl" w:eastAsia="en-US"/>
        </w:rPr>
        <w:t>’</w:t>
      </w:r>
      <w:r w:rsidRPr="004C49DE">
        <w:rPr>
          <w:szCs w:val="22"/>
          <w:lang w:val="es-ES_tradnl" w:eastAsia="en-US"/>
        </w:rPr>
        <w:t>Ivoire desde 2011</w:t>
      </w:r>
      <w:r w:rsidR="00BB7BBB" w:rsidRPr="004C49DE">
        <w:rPr>
          <w:szCs w:val="22"/>
          <w:lang w:val="es-ES_tradnl" w:eastAsia="en-US"/>
        </w:rPr>
        <w:t>.</w:t>
      </w:r>
      <w:r w:rsidRPr="004C49DE">
        <w:rPr>
          <w:szCs w:val="22"/>
          <w:lang w:val="es-ES_tradnl" w:eastAsia="en-US"/>
        </w:rPr>
        <w:t xml:space="preserve"> Para elaborar y evaluar el informe, se aplicó un enfoque participativo y multisectorial</w:t>
      </w:r>
      <w:r w:rsidR="00BB7BBB" w:rsidRPr="004C49DE">
        <w:rPr>
          <w:szCs w:val="22"/>
          <w:lang w:val="es-ES_tradnl" w:eastAsia="en-US"/>
        </w:rPr>
        <w:t>.</w:t>
      </w:r>
    </w:p>
    <w:p w14:paraId="4AECD26F" w14:textId="3C724E4F"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informe se divide en dos partes principales dedicadas, respectivamente, al proceso de desarrollo de Côte d</w:t>
      </w:r>
      <w:r w:rsidR="004C49DE">
        <w:rPr>
          <w:szCs w:val="22"/>
          <w:lang w:val="es-ES_tradnl" w:eastAsia="en-US"/>
        </w:rPr>
        <w:t>’</w:t>
      </w:r>
      <w:r w:rsidRPr="004C49DE">
        <w:rPr>
          <w:szCs w:val="22"/>
          <w:lang w:val="es-ES_tradnl" w:eastAsia="en-US"/>
        </w:rPr>
        <w:t>Ivoire y al estado de la aplicación de las recomendaciones de la Convención sobre la Eliminación de Todas las Formas de Discriminación contra la Mujer (formuladas tras la presentación del informe combinado inicial, informes 1º, 2º y 3º)</w:t>
      </w:r>
      <w:r w:rsidR="00BB7BBB" w:rsidRPr="004C49DE">
        <w:rPr>
          <w:szCs w:val="22"/>
          <w:lang w:val="es-ES_tradnl" w:eastAsia="en-US"/>
        </w:rPr>
        <w:t>.</w:t>
      </w:r>
    </w:p>
    <w:p w14:paraId="7A51D884" w14:textId="77777777" w:rsidR="000C3123" w:rsidRPr="004C49DE" w:rsidRDefault="000C3123" w:rsidP="00BB7BBB">
      <w:pPr>
        <w:pStyle w:val="SingleTxt"/>
        <w:suppressAutoHyphens w:val="0"/>
        <w:spacing w:after="0" w:line="120" w:lineRule="exact"/>
        <w:rPr>
          <w:sz w:val="10"/>
          <w:szCs w:val="10"/>
          <w:lang w:val="es-ES_tradnl"/>
        </w:rPr>
      </w:pPr>
    </w:p>
    <w:p w14:paraId="30EC4B3F" w14:textId="77777777" w:rsidR="000C3123" w:rsidRPr="004C49DE" w:rsidRDefault="000C3123" w:rsidP="00BB7BBB">
      <w:pPr>
        <w:pStyle w:val="SingleTxt"/>
        <w:suppressAutoHyphens w:val="0"/>
        <w:spacing w:after="0" w:line="120" w:lineRule="exact"/>
        <w:rPr>
          <w:sz w:val="10"/>
          <w:szCs w:val="10"/>
          <w:lang w:val="es-ES_tradnl"/>
        </w:rPr>
      </w:pPr>
    </w:p>
    <w:p w14:paraId="740F7D23" w14:textId="2763C6B8" w:rsidR="000C3123" w:rsidRPr="004C49DE" w:rsidRDefault="000C3123" w:rsidP="00BB7BBB">
      <w:pPr>
        <w:pStyle w:val="HCh"/>
        <w:keepNext w:val="0"/>
        <w:keepLines w:val="0"/>
        <w:suppressAutoHyphens w:val="0"/>
        <w:ind w:left="1267" w:right="1930" w:hanging="1267"/>
        <w:rPr>
          <w:bCs w:val="0"/>
          <w:szCs w:val="20"/>
          <w:lang w:val="es-ES_tradnl" w:eastAsia="en-US"/>
        </w:rPr>
      </w:pPr>
      <w:r w:rsidRPr="004C49DE">
        <w:rPr>
          <w:bCs w:val="0"/>
          <w:szCs w:val="20"/>
          <w:lang w:val="es-ES_tradnl" w:eastAsia="en-US"/>
        </w:rPr>
        <w:tab/>
      </w:r>
      <w:r w:rsidRPr="004C49DE">
        <w:rPr>
          <w:bCs w:val="0"/>
          <w:szCs w:val="20"/>
          <w:lang w:val="es-ES_tradnl" w:eastAsia="en-US"/>
        </w:rPr>
        <w:tab/>
        <w:t xml:space="preserve">Primera parte: </w:t>
      </w:r>
      <w:r w:rsidR="00B5492F" w:rsidRPr="004C49DE">
        <w:rPr>
          <w:bCs w:val="0"/>
          <w:szCs w:val="20"/>
          <w:lang w:val="es-ES_tradnl" w:eastAsia="en-US"/>
        </w:rPr>
        <w:t>p</w:t>
      </w:r>
      <w:r w:rsidRPr="004C49DE">
        <w:rPr>
          <w:bCs w:val="0"/>
          <w:szCs w:val="20"/>
          <w:lang w:val="es-ES_tradnl" w:eastAsia="en-US"/>
        </w:rPr>
        <w:t>roceso de desarrollo de Côte d</w:t>
      </w:r>
      <w:r w:rsidR="004C49DE">
        <w:rPr>
          <w:bCs w:val="0"/>
          <w:szCs w:val="20"/>
          <w:lang w:val="es-ES_tradnl" w:eastAsia="en-US"/>
        </w:rPr>
        <w:t>’</w:t>
      </w:r>
      <w:r w:rsidRPr="004C49DE">
        <w:rPr>
          <w:bCs w:val="0"/>
          <w:szCs w:val="20"/>
          <w:lang w:val="es-ES_tradnl" w:eastAsia="en-US"/>
        </w:rPr>
        <w:t>Ivoire y avances</w:t>
      </w:r>
      <w:r w:rsidR="00BB7BBB" w:rsidRPr="004C49DE">
        <w:rPr>
          <w:bCs w:val="0"/>
          <w:szCs w:val="20"/>
          <w:lang w:val="es-ES_tradnl" w:eastAsia="en-US"/>
        </w:rPr>
        <w:t xml:space="preserve"> </w:t>
      </w:r>
      <w:r w:rsidRPr="004C49DE">
        <w:rPr>
          <w:bCs w:val="0"/>
          <w:szCs w:val="20"/>
          <w:lang w:val="es-ES_tradnl" w:eastAsia="en-US"/>
        </w:rPr>
        <w:t>importantes</w:t>
      </w:r>
    </w:p>
    <w:p w14:paraId="11408BF9" w14:textId="77777777" w:rsidR="000C3123" w:rsidRPr="004C49DE" w:rsidRDefault="000C3123" w:rsidP="00BB7BBB">
      <w:pPr>
        <w:pStyle w:val="SingleTxt"/>
        <w:suppressAutoHyphens w:val="0"/>
        <w:spacing w:after="0" w:line="120" w:lineRule="exact"/>
        <w:rPr>
          <w:sz w:val="10"/>
          <w:szCs w:val="10"/>
          <w:lang w:val="es-ES_tradnl"/>
        </w:rPr>
      </w:pPr>
    </w:p>
    <w:p w14:paraId="7446846E" w14:textId="77777777" w:rsidR="000C3123" w:rsidRPr="004C49DE" w:rsidRDefault="000C3123" w:rsidP="00BB7BBB">
      <w:pPr>
        <w:pStyle w:val="SingleTxt"/>
        <w:suppressAutoHyphens w:val="0"/>
        <w:spacing w:after="0" w:line="120" w:lineRule="exact"/>
        <w:rPr>
          <w:sz w:val="10"/>
          <w:szCs w:val="10"/>
          <w:lang w:val="es-ES_tradnl"/>
        </w:rPr>
      </w:pPr>
    </w:p>
    <w:p w14:paraId="505359E9" w14:textId="77777777" w:rsidR="000C3123" w:rsidRPr="004C49DE" w:rsidRDefault="000C3123" w:rsidP="00BB7BBB">
      <w:pPr>
        <w:pStyle w:val="H1"/>
        <w:keepNext w:val="0"/>
        <w:keepLines w:val="0"/>
        <w:suppressAutoHyphens w:val="0"/>
        <w:ind w:right="1260"/>
        <w:rPr>
          <w:bCs w:val="0"/>
          <w:szCs w:val="20"/>
          <w:lang w:val="es-ES_tradnl" w:eastAsia="en-US"/>
        </w:rPr>
      </w:pPr>
      <w:r w:rsidRPr="004C49DE">
        <w:rPr>
          <w:bCs w:val="0"/>
          <w:szCs w:val="20"/>
          <w:lang w:val="es-ES_tradnl" w:eastAsia="en-US"/>
        </w:rPr>
        <w:tab/>
      </w:r>
      <w:r w:rsidRPr="004C49DE">
        <w:rPr>
          <w:bCs w:val="0"/>
          <w:szCs w:val="20"/>
          <w:lang w:val="es-ES_tradnl" w:eastAsia="en-US"/>
        </w:rPr>
        <w:tab/>
        <w:t>Importantes avances realizados</w:t>
      </w:r>
    </w:p>
    <w:p w14:paraId="28AD137E" w14:textId="77777777" w:rsidR="000C3123" w:rsidRPr="004C49DE" w:rsidRDefault="000C3123" w:rsidP="00BB7BBB">
      <w:pPr>
        <w:pStyle w:val="SingleTxt"/>
        <w:suppressAutoHyphens w:val="0"/>
        <w:spacing w:after="0" w:line="120" w:lineRule="exact"/>
        <w:rPr>
          <w:sz w:val="10"/>
          <w:szCs w:val="10"/>
          <w:lang w:val="es-ES_tradnl"/>
        </w:rPr>
      </w:pPr>
    </w:p>
    <w:p w14:paraId="12D18611" w14:textId="77777777" w:rsidR="000C3123" w:rsidRPr="004C49DE" w:rsidRDefault="000C3123" w:rsidP="00BB7BBB">
      <w:pPr>
        <w:pStyle w:val="SingleTxt"/>
        <w:suppressAutoHyphens w:val="0"/>
        <w:spacing w:after="0" w:line="120" w:lineRule="exact"/>
        <w:rPr>
          <w:sz w:val="10"/>
          <w:szCs w:val="10"/>
          <w:lang w:val="es-ES_tradnl"/>
        </w:rPr>
      </w:pPr>
    </w:p>
    <w:p w14:paraId="0E2B26E2"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Reformas legislativas e institucionales</w:t>
      </w:r>
    </w:p>
    <w:p w14:paraId="26D28ACD" w14:textId="3878D25E" w:rsidR="000C3123" w:rsidRPr="004C49DE" w:rsidRDefault="000C3123" w:rsidP="00BB7BBB">
      <w:pPr>
        <w:pStyle w:val="SingleTxt"/>
        <w:suppressAutoHyphens w:val="0"/>
        <w:spacing w:after="0" w:line="120" w:lineRule="exact"/>
        <w:rPr>
          <w:sz w:val="10"/>
          <w:szCs w:val="10"/>
          <w:lang w:val="es-ES_tradnl"/>
        </w:rPr>
      </w:pPr>
    </w:p>
    <w:p w14:paraId="7623B369"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Ratificación de leyes (tratados)</w:t>
      </w:r>
    </w:p>
    <w:p w14:paraId="52A6B449" w14:textId="77777777" w:rsidR="000C3123" w:rsidRPr="004C49DE" w:rsidRDefault="000C3123" w:rsidP="00BB7BBB">
      <w:pPr>
        <w:pStyle w:val="SingleTxt"/>
        <w:suppressAutoHyphens w:val="0"/>
        <w:spacing w:after="0" w:line="120" w:lineRule="exact"/>
        <w:rPr>
          <w:sz w:val="10"/>
          <w:szCs w:val="10"/>
          <w:lang w:val="es-ES_tradnl"/>
        </w:rPr>
      </w:pPr>
    </w:p>
    <w:p w14:paraId="605F3926" w14:textId="491AE07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Côte d</w:t>
      </w:r>
      <w:r w:rsidR="004C49DE">
        <w:rPr>
          <w:szCs w:val="22"/>
          <w:lang w:val="es-ES_tradnl" w:eastAsia="en-US"/>
        </w:rPr>
        <w:t>’</w:t>
      </w:r>
      <w:r w:rsidRPr="004C49DE">
        <w:rPr>
          <w:szCs w:val="22"/>
          <w:lang w:val="es-ES_tradnl" w:eastAsia="en-US"/>
        </w:rPr>
        <w:t>Ivoire ratificó la Convención sobre los Derechos de las Personas con Discapacidad el 10 de enero de 2014, tras haberla firmado el 7 de junio de 2007</w:t>
      </w:r>
      <w:r w:rsidR="00BB7BBB" w:rsidRPr="004C49DE">
        <w:rPr>
          <w:szCs w:val="22"/>
          <w:lang w:val="es-ES_tradnl" w:eastAsia="en-US"/>
        </w:rPr>
        <w:t>.</w:t>
      </w:r>
    </w:p>
    <w:p w14:paraId="40203E79" w14:textId="796C276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De esta forma, el Jefe de Estado aumentó a 300 los 94 puestos disponibles en la administración pública para las personas con discapacidad con carácter excepcional</w:t>
      </w:r>
      <w:r w:rsidR="00BB7BBB" w:rsidRPr="004C49DE">
        <w:rPr>
          <w:szCs w:val="22"/>
          <w:lang w:val="es-ES_tradnl" w:eastAsia="en-US"/>
        </w:rPr>
        <w:t>.</w:t>
      </w:r>
      <w:r w:rsidRPr="004C49DE">
        <w:rPr>
          <w:szCs w:val="22"/>
          <w:lang w:val="es-ES_tradnl" w:eastAsia="en-US"/>
        </w:rPr>
        <w:t xml:space="preserve"> Al mismo tiempo, el Gobierno inicia campañas de información y sensibilización dirigidas a los empleadores para promover la contratación de las personas con discapacidad</w:t>
      </w:r>
    </w:p>
    <w:p w14:paraId="4530F00A" w14:textId="444A4100" w:rsidR="00AC5DFF" w:rsidRPr="004C49DE" w:rsidRDefault="00AC5DFF" w:rsidP="00AC5DFF">
      <w:pPr>
        <w:pStyle w:val="SingleTxt"/>
        <w:suppressAutoHyphens w:val="0"/>
        <w:spacing w:after="0" w:line="120" w:lineRule="exact"/>
        <w:rPr>
          <w:sz w:val="10"/>
          <w:szCs w:val="22"/>
          <w:lang w:val="es-ES_tradnl" w:eastAsia="en-US"/>
        </w:rPr>
      </w:pPr>
    </w:p>
    <w:p w14:paraId="30096F5D" w14:textId="2C1509C1"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Legislación nacional</w:t>
      </w:r>
    </w:p>
    <w:p w14:paraId="3E23EFDE" w14:textId="47DED630" w:rsidR="00AC5DFF" w:rsidRPr="004C49DE" w:rsidRDefault="00AC5DFF" w:rsidP="00AC5DFF">
      <w:pPr>
        <w:pStyle w:val="SingleTxt"/>
        <w:spacing w:after="0" w:line="120" w:lineRule="exact"/>
        <w:rPr>
          <w:sz w:val="10"/>
          <w:lang w:val="es-ES_tradnl" w:eastAsia="en-US"/>
        </w:rPr>
      </w:pPr>
    </w:p>
    <w:p w14:paraId="75022098" w14:textId="75C7E3F2" w:rsidR="000C3123" w:rsidRPr="004C49DE" w:rsidRDefault="000C3123" w:rsidP="00BB7BBB">
      <w:pPr>
        <w:pStyle w:val="SingleTxt"/>
        <w:tabs>
          <w:tab w:val="right" w:pos="1685"/>
        </w:tabs>
        <w:suppressAutoHyphens w:val="0"/>
        <w:ind w:left="1742" w:hanging="475"/>
        <w:rPr>
          <w:szCs w:val="22"/>
          <w:lang w:val="es-ES_tradnl" w:eastAsia="en-US"/>
        </w:rPr>
      </w:pPr>
      <w:r w:rsidRPr="004C49DE">
        <w:rPr>
          <w:lang w:val="es-ES_tradnl"/>
        </w:rPr>
        <w:tab/>
        <w:t>•</w:t>
      </w:r>
      <w:r w:rsidRPr="004C49DE">
        <w:rPr>
          <w:lang w:val="es-ES_tradnl"/>
        </w:rPr>
        <w:tab/>
      </w:r>
      <w:r w:rsidRPr="004C49DE">
        <w:rPr>
          <w:szCs w:val="22"/>
          <w:lang w:val="es-ES_tradnl" w:eastAsia="en-US"/>
        </w:rPr>
        <w:t xml:space="preserve">La aprobación de la </w:t>
      </w:r>
      <w:r w:rsidRPr="004C49DE">
        <w:rPr>
          <w:i/>
          <w:szCs w:val="22"/>
          <w:lang w:val="es-ES_tradnl" w:eastAsia="en-US"/>
        </w:rPr>
        <w:t>Ley núm</w:t>
      </w:r>
      <w:r w:rsidR="00BB7BBB" w:rsidRPr="004C49DE">
        <w:rPr>
          <w:i/>
          <w:szCs w:val="22"/>
          <w:lang w:val="es-ES_tradnl" w:eastAsia="en-US"/>
        </w:rPr>
        <w:t>.</w:t>
      </w:r>
      <w:r w:rsidRPr="004C49DE">
        <w:rPr>
          <w:i/>
          <w:szCs w:val="22"/>
          <w:lang w:val="es-ES_tradnl" w:eastAsia="en-US"/>
        </w:rPr>
        <w:t xml:space="preserve"> 2016</w:t>
      </w:r>
      <w:r w:rsidR="001A14E9" w:rsidRPr="004C49DE">
        <w:rPr>
          <w:i/>
          <w:szCs w:val="22"/>
          <w:lang w:val="es-ES_tradnl" w:eastAsia="en-US"/>
        </w:rPr>
        <w:noBreakHyphen/>
      </w:r>
      <w:r w:rsidRPr="004C49DE">
        <w:rPr>
          <w:i/>
          <w:szCs w:val="22"/>
          <w:lang w:val="es-ES_tradnl" w:eastAsia="en-US"/>
        </w:rPr>
        <w:t>886, de 8 de noviembre de 2016, relativa a la Constitución de la República de Côte d</w:t>
      </w:r>
      <w:r w:rsidR="004C49DE">
        <w:rPr>
          <w:i/>
          <w:szCs w:val="22"/>
          <w:lang w:val="es-ES_tradnl" w:eastAsia="en-US"/>
        </w:rPr>
        <w:t>’</w:t>
      </w:r>
      <w:r w:rsidRPr="004C49DE">
        <w:rPr>
          <w:i/>
          <w:szCs w:val="22"/>
          <w:lang w:val="es-ES_tradnl" w:eastAsia="en-US"/>
        </w:rPr>
        <w:t>Ivoire</w:t>
      </w:r>
      <w:r w:rsidRPr="004C49DE">
        <w:rPr>
          <w:szCs w:val="22"/>
          <w:lang w:val="es-ES_tradnl" w:eastAsia="en-US"/>
        </w:rPr>
        <w:t xml:space="preserve">, que reconoce los derechos, las libertades y los deberes de todos los hombres y las mujeres del país, pone de </w:t>
      </w:r>
      <w:r w:rsidRPr="004C49DE">
        <w:rPr>
          <w:szCs w:val="22"/>
          <w:lang w:val="es-ES_tradnl" w:eastAsia="en-US"/>
        </w:rPr>
        <w:lastRenderedPageBreak/>
        <w:t>manifiesto de forma clara y expresa la lucha contra la discriminación por razón de sexo en los artículos 4 y 37;</w:t>
      </w:r>
    </w:p>
    <w:p w14:paraId="6DA950F1" w14:textId="54E4D3D8" w:rsidR="000C3123" w:rsidRPr="004C49DE" w:rsidRDefault="000C3123" w:rsidP="00BB7BBB">
      <w:pPr>
        <w:pStyle w:val="SingleTxt"/>
        <w:tabs>
          <w:tab w:val="right" w:pos="1685"/>
        </w:tabs>
        <w:suppressAutoHyphens w:val="0"/>
        <w:ind w:left="1742" w:hanging="475"/>
        <w:rPr>
          <w:szCs w:val="22"/>
          <w:lang w:val="es-ES_tradnl" w:eastAsia="en-US"/>
        </w:rPr>
      </w:pPr>
      <w:r w:rsidRPr="004C49DE">
        <w:rPr>
          <w:lang w:val="es-ES_tradnl"/>
        </w:rPr>
        <w:tab/>
        <w:t>•</w:t>
      </w:r>
      <w:r w:rsidRPr="004C49DE">
        <w:rPr>
          <w:lang w:val="es-ES_tradnl"/>
        </w:rPr>
        <w:tab/>
      </w:r>
      <w:r w:rsidRPr="004C49DE">
        <w:rPr>
          <w:szCs w:val="22"/>
          <w:lang w:val="es-ES_tradnl" w:eastAsia="en-US"/>
        </w:rPr>
        <w:t xml:space="preserve">El </w:t>
      </w:r>
      <w:r w:rsidRPr="004C49DE">
        <w:rPr>
          <w:i/>
          <w:szCs w:val="22"/>
          <w:lang w:val="es-ES_tradnl" w:eastAsia="en-US"/>
        </w:rPr>
        <w:t>Decreto núm</w:t>
      </w:r>
      <w:r w:rsidR="00BB7BBB" w:rsidRPr="004C49DE">
        <w:rPr>
          <w:i/>
          <w:szCs w:val="22"/>
          <w:lang w:val="es-ES_tradnl" w:eastAsia="en-US"/>
        </w:rPr>
        <w:t>.</w:t>
      </w:r>
      <w:r w:rsidRPr="004C49DE">
        <w:rPr>
          <w:i/>
          <w:szCs w:val="22"/>
          <w:lang w:val="es-ES_tradnl" w:eastAsia="en-US"/>
        </w:rPr>
        <w:t xml:space="preserve"> 2016</w:t>
      </w:r>
      <w:r w:rsidR="001A14E9" w:rsidRPr="004C49DE">
        <w:rPr>
          <w:i/>
          <w:szCs w:val="22"/>
          <w:lang w:val="es-ES_tradnl" w:eastAsia="en-US"/>
        </w:rPr>
        <w:noBreakHyphen/>
      </w:r>
      <w:r w:rsidRPr="004C49DE">
        <w:rPr>
          <w:i/>
          <w:szCs w:val="22"/>
          <w:lang w:val="es-ES_tradnl" w:eastAsia="en-US"/>
        </w:rPr>
        <w:t>781, de 12 de octubre de 2016, por el que se establecen las formas de aplicación de la Ley 72</w:t>
      </w:r>
      <w:r w:rsidR="001A14E9" w:rsidRPr="004C49DE">
        <w:rPr>
          <w:i/>
          <w:szCs w:val="22"/>
          <w:lang w:val="es-ES_tradnl" w:eastAsia="en-US"/>
        </w:rPr>
        <w:noBreakHyphen/>
      </w:r>
      <w:r w:rsidRPr="004C49DE">
        <w:rPr>
          <w:i/>
          <w:szCs w:val="22"/>
          <w:lang w:val="es-ES_tradnl" w:eastAsia="en-US"/>
        </w:rPr>
        <w:t>833, de 21 de diciembre de 1972, relativa al Código de Procedimiento Civil, Comercial y Administrativo con relación a la asistencia letrada</w:t>
      </w:r>
      <w:r w:rsidRPr="004C49DE">
        <w:rPr>
          <w:szCs w:val="22"/>
          <w:lang w:val="es-ES_tradnl" w:eastAsia="en-US"/>
        </w:rPr>
        <w:t>, que refuerza el acceso a la justicia por parte de las mujeres víctimas que son indigentes;</w:t>
      </w:r>
    </w:p>
    <w:p w14:paraId="139312C8" w14:textId="38E72199" w:rsidR="000C3123" w:rsidRPr="004C49DE" w:rsidRDefault="000C3123" w:rsidP="00BB7BBB">
      <w:pPr>
        <w:pStyle w:val="SingleTxt"/>
        <w:tabs>
          <w:tab w:val="right" w:pos="1685"/>
        </w:tabs>
        <w:suppressAutoHyphens w:val="0"/>
        <w:ind w:left="1742" w:hanging="475"/>
        <w:rPr>
          <w:szCs w:val="22"/>
          <w:lang w:val="es-ES_tradnl" w:eastAsia="en-US"/>
        </w:rPr>
      </w:pPr>
      <w:r w:rsidRPr="004C49DE">
        <w:rPr>
          <w:lang w:val="es-ES_tradnl"/>
        </w:rPr>
        <w:tab/>
        <w:t>•</w:t>
      </w:r>
      <w:r w:rsidRPr="004C49DE">
        <w:rPr>
          <w:lang w:val="es-ES_tradnl"/>
        </w:rPr>
        <w:tab/>
      </w:r>
      <w:r w:rsidRPr="004C49DE">
        <w:rPr>
          <w:szCs w:val="22"/>
          <w:lang w:val="es-ES_tradnl" w:eastAsia="en-US"/>
        </w:rPr>
        <w:t xml:space="preserve">La creación del Observatorio Nacional de Equidad y Género por medio del </w:t>
      </w:r>
      <w:r w:rsidRPr="004C49DE">
        <w:rPr>
          <w:i/>
          <w:szCs w:val="22"/>
          <w:lang w:val="es-ES_tradnl" w:eastAsia="en-US"/>
        </w:rPr>
        <w:t>Decreto núm</w:t>
      </w:r>
      <w:r w:rsidR="00BB7BBB" w:rsidRPr="004C49DE">
        <w:rPr>
          <w:i/>
          <w:szCs w:val="22"/>
          <w:lang w:val="es-ES_tradnl" w:eastAsia="en-US"/>
        </w:rPr>
        <w:t>.</w:t>
      </w:r>
      <w:r w:rsidRPr="004C49DE">
        <w:rPr>
          <w:i/>
          <w:szCs w:val="22"/>
          <w:lang w:val="es-ES_tradnl" w:eastAsia="en-US"/>
        </w:rPr>
        <w:t xml:space="preserve"> 2014</w:t>
      </w:r>
      <w:r w:rsidR="001A14E9" w:rsidRPr="004C49DE">
        <w:rPr>
          <w:i/>
          <w:szCs w:val="22"/>
          <w:lang w:val="es-ES_tradnl" w:eastAsia="en-US"/>
        </w:rPr>
        <w:noBreakHyphen/>
      </w:r>
      <w:r w:rsidRPr="004C49DE">
        <w:rPr>
          <w:i/>
          <w:szCs w:val="22"/>
          <w:lang w:val="es-ES_tradnl" w:eastAsia="en-US"/>
        </w:rPr>
        <w:t>842, de 17 de diciembre de 2014, relativo a la creación, la organización y el funcionamiento del Observatorio Nacional de Equidad y Género</w:t>
      </w:r>
      <w:r w:rsidRPr="004C49DE">
        <w:rPr>
          <w:szCs w:val="22"/>
          <w:lang w:val="es-ES_tradnl" w:eastAsia="en-US"/>
        </w:rPr>
        <w:t>;</w:t>
      </w:r>
    </w:p>
    <w:p w14:paraId="0C44456C" w14:textId="769E0C09" w:rsidR="000C3123" w:rsidRPr="004C49DE" w:rsidRDefault="000C3123" w:rsidP="00BB7BBB">
      <w:pPr>
        <w:pStyle w:val="SingleTxt"/>
        <w:tabs>
          <w:tab w:val="right" w:pos="1685"/>
        </w:tabs>
        <w:suppressAutoHyphens w:val="0"/>
        <w:ind w:left="1742" w:hanging="475"/>
        <w:rPr>
          <w:szCs w:val="22"/>
          <w:lang w:val="es-ES_tradnl" w:eastAsia="en-US"/>
        </w:rPr>
      </w:pPr>
      <w:r w:rsidRPr="004C49DE">
        <w:rPr>
          <w:lang w:val="es-ES_tradnl"/>
        </w:rPr>
        <w:tab/>
        <w:t>•</w:t>
      </w:r>
      <w:r w:rsidRPr="004C49DE">
        <w:rPr>
          <w:lang w:val="es-ES_tradnl"/>
        </w:rPr>
        <w:tab/>
      </w:r>
      <w:r w:rsidRPr="004C49DE">
        <w:rPr>
          <w:szCs w:val="22"/>
          <w:lang w:val="es-ES_tradnl" w:eastAsia="en-US"/>
        </w:rPr>
        <w:t>La Circular núm</w:t>
      </w:r>
      <w:r w:rsidR="00BB7BBB" w:rsidRPr="004C49DE">
        <w:rPr>
          <w:szCs w:val="22"/>
          <w:lang w:val="es-ES_tradnl" w:eastAsia="en-US"/>
        </w:rPr>
        <w:t>.</w:t>
      </w:r>
      <w:r w:rsidRPr="004C49DE">
        <w:rPr>
          <w:szCs w:val="22"/>
          <w:lang w:val="es-ES_tradnl" w:eastAsia="en-US"/>
        </w:rPr>
        <w:t xml:space="preserve"> 005, de 18 de marzo de 2014, del Ministro de Justicia, Derechos Humanos y Libertades Públicas, y la </w:t>
      </w:r>
      <w:r w:rsidRPr="004C49DE">
        <w:rPr>
          <w:i/>
          <w:szCs w:val="22"/>
          <w:lang w:val="es-ES_tradnl" w:eastAsia="en-US"/>
        </w:rPr>
        <w:t>Circular interministerial núm</w:t>
      </w:r>
      <w:r w:rsidR="00BB7BBB" w:rsidRPr="004C49DE">
        <w:rPr>
          <w:i/>
          <w:szCs w:val="22"/>
          <w:lang w:val="es-ES_tradnl" w:eastAsia="en-US"/>
        </w:rPr>
        <w:t>.</w:t>
      </w:r>
      <w:r w:rsidRPr="004C49DE">
        <w:rPr>
          <w:i/>
          <w:szCs w:val="22"/>
          <w:lang w:val="es-ES_tradnl" w:eastAsia="en-US"/>
        </w:rPr>
        <w:t xml:space="preserve"> 016/MJ/MEMIS/MPRD, de 4 de agosto de 2016, relativa a la recepción de denuncias debido a la violencia por razón de género</w:t>
      </w:r>
      <w:r w:rsidRPr="004C49DE">
        <w:rPr>
          <w:szCs w:val="22"/>
          <w:lang w:val="es-ES_tradnl" w:eastAsia="en-US"/>
        </w:rPr>
        <w:t>, facilitan el primer nivel de declaración para los casos de violencia por razón de género;</w:t>
      </w:r>
    </w:p>
    <w:p w14:paraId="3227EDA4" w14:textId="53CB511C" w:rsidR="000C3123" w:rsidRPr="004C49DE" w:rsidRDefault="000C3123" w:rsidP="00BB7BBB">
      <w:pPr>
        <w:pStyle w:val="SingleTxt"/>
        <w:tabs>
          <w:tab w:val="right" w:pos="1685"/>
        </w:tabs>
        <w:suppressAutoHyphens w:val="0"/>
        <w:ind w:left="1742" w:hanging="475"/>
        <w:rPr>
          <w:szCs w:val="22"/>
          <w:lang w:val="es-ES_tradnl" w:eastAsia="en-US"/>
        </w:rPr>
      </w:pPr>
      <w:r w:rsidRPr="004C49DE">
        <w:rPr>
          <w:lang w:val="es-ES_tradnl"/>
        </w:rPr>
        <w:tab/>
        <w:t>•</w:t>
      </w:r>
      <w:r w:rsidRPr="004C49DE">
        <w:rPr>
          <w:lang w:val="es-ES_tradnl"/>
        </w:rPr>
        <w:tab/>
      </w:r>
      <w:r w:rsidRPr="004C49DE">
        <w:rPr>
          <w:szCs w:val="22"/>
          <w:lang w:val="es-ES_tradnl" w:eastAsia="en-US"/>
        </w:rPr>
        <w:t xml:space="preserve">La </w:t>
      </w:r>
      <w:r w:rsidRPr="004C49DE">
        <w:rPr>
          <w:i/>
          <w:szCs w:val="22"/>
          <w:lang w:val="es-ES_tradnl" w:eastAsia="en-US"/>
        </w:rPr>
        <w:t>Orden núm</w:t>
      </w:r>
      <w:r w:rsidR="00BB7BBB" w:rsidRPr="004C49DE">
        <w:rPr>
          <w:i/>
          <w:szCs w:val="22"/>
          <w:lang w:val="es-ES_tradnl" w:eastAsia="en-US"/>
        </w:rPr>
        <w:t>.</w:t>
      </w:r>
      <w:r w:rsidRPr="004C49DE">
        <w:rPr>
          <w:i/>
          <w:szCs w:val="22"/>
          <w:lang w:val="es-ES_tradnl" w:eastAsia="en-US"/>
        </w:rPr>
        <w:t xml:space="preserve"> 1651/MEME/CAB, de 5 de junio de 2012, sobre la carta que rige la acogida en los servicios policiales</w:t>
      </w:r>
      <w:r w:rsidR="00BB7BBB" w:rsidRPr="004C49DE">
        <w:rPr>
          <w:szCs w:val="22"/>
          <w:lang w:val="es-ES_tradnl" w:eastAsia="en-US"/>
        </w:rPr>
        <w:t>.</w:t>
      </w:r>
    </w:p>
    <w:p w14:paraId="40D48944" w14:textId="77777777" w:rsidR="003F2102" w:rsidRPr="004C49DE" w:rsidRDefault="003F2102" w:rsidP="00BB7BBB">
      <w:pPr>
        <w:pStyle w:val="SingleTxt"/>
        <w:suppressAutoHyphens w:val="0"/>
        <w:spacing w:after="0" w:line="120" w:lineRule="exact"/>
        <w:rPr>
          <w:sz w:val="10"/>
          <w:szCs w:val="10"/>
          <w:lang w:val="es-ES_tradnl"/>
        </w:rPr>
      </w:pPr>
    </w:p>
    <w:p w14:paraId="34A2C3A1"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Reforma institucional</w:t>
      </w:r>
    </w:p>
    <w:p w14:paraId="6337CDBB" w14:textId="77777777" w:rsidR="003F2102" w:rsidRPr="004C49DE" w:rsidRDefault="003F2102" w:rsidP="00BB7BBB">
      <w:pPr>
        <w:pStyle w:val="SingleTxt"/>
        <w:suppressAutoHyphens w:val="0"/>
        <w:spacing w:after="0" w:line="120" w:lineRule="exact"/>
        <w:rPr>
          <w:sz w:val="10"/>
          <w:szCs w:val="10"/>
          <w:lang w:val="es-ES_tradnl"/>
        </w:rPr>
      </w:pPr>
    </w:p>
    <w:p w14:paraId="3C346366" w14:textId="382881A3"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creación del Consejo Nacional de la Mujer y la puesta en práctica de la reforma del sector de la seguridad, que permitió el ingreso de las niñas en la</w:t>
      </w:r>
      <w:r w:rsidR="00D3170D" w:rsidRPr="004C49DE">
        <w:rPr>
          <w:szCs w:val="22"/>
          <w:lang w:val="es-ES_tradnl" w:eastAsia="en-US"/>
        </w:rPr>
        <w:t> </w:t>
      </w:r>
      <w:r w:rsidRPr="004C49DE">
        <w:rPr>
          <w:szCs w:val="22"/>
          <w:lang w:val="es-ES_tradnl" w:eastAsia="en-US"/>
        </w:rPr>
        <w:t>Escuela</w:t>
      </w:r>
      <w:r w:rsidR="00D3170D" w:rsidRPr="004C49DE">
        <w:rPr>
          <w:szCs w:val="22"/>
          <w:lang w:val="es-ES_tradnl" w:eastAsia="en-US"/>
        </w:rPr>
        <w:t> </w:t>
      </w:r>
      <w:r w:rsidRPr="004C49DE">
        <w:rPr>
          <w:szCs w:val="22"/>
          <w:lang w:val="es-ES_tradnl" w:eastAsia="en-US"/>
        </w:rPr>
        <w:t>Militar Técnica Preparatoria (a partir de la promoción 2013</w:t>
      </w:r>
      <w:r w:rsidR="001A14E9" w:rsidRPr="004C49DE">
        <w:rPr>
          <w:szCs w:val="22"/>
          <w:lang w:val="es-ES_tradnl" w:eastAsia="en-US"/>
        </w:rPr>
        <w:noBreakHyphen/>
      </w:r>
      <w:r w:rsidRPr="004C49DE">
        <w:rPr>
          <w:szCs w:val="22"/>
          <w:lang w:val="es-ES_tradnl" w:eastAsia="en-US"/>
        </w:rPr>
        <w:t>2014) y la gendarmería (2014)</w:t>
      </w:r>
      <w:r w:rsidR="00BB7BBB" w:rsidRPr="004C49DE">
        <w:rPr>
          <w:szCs w:val="22"/>
          <w:lang w:val="es-ES_tradnl" w:eastAsia="en-US"/>
        </w:rPr>
        <w:t>.</w:t>
      </w:r>
    </w:p>
    <w:p w14:paraId="16AB1114" w14:textId="287F7190" w:rsidR="003F2102" w:rsidRPr="004C49DE" w:rsidRDefault="003F2102" w:rsidP="00BB7BBB">
      <w:pPr>
        <w:pStyle w:val="SingleTxt"/>
        <w:suppressAutoHyphens w:val="0"/>
        <w:spacing w:after="0" w:line="120" w:lineRule="exact"/>
        <w:rPr>
          <w:sz w:val="10"/>
          <w:szCs w:val="10"/>
          <w:lang w:val="es-ES_tradnl"/>
        </w:rPr>
      </w:pPr>
    </w:p>
    <w:p w14:paraId="3BBAE895" w14:textId="7352E230" w:rsidR="000C3123" w:rsidRPr="004C49DE" w:rsidRDefault="000C3123" w:rsidP="00BB7BBB">
      <w:pPr>
        <w:pStyle w:val="H23"/>
        <w:keepNext w:val="0"/>
        <w:keepLines w:val="0"/>
        <w:suppressAutoHyphens w:val="0"/>
        <w:ind w:right="2380"/>
        <w:rPr>
          <w:bCs w:val="0"/>
          <w:lang w:val="es-ES_tradnl" w:eastAsia="en-US"/>
        </w:rPr>
      </w:pPr>
      <w:r w:rsidRPr="004C49DE">
        <w:rPr>
          <w:bCs w:val="0"/>
          <w:lang w:val="es-ES_tradnl" w:eastAsia="en-US"/>
        </w:rPr>
        <w:tab/>
      </w:r>
      <w:r w:rsidRPr="004C49DE">
        <w:rPr>
          <w:bCs w:val="0"/>
          <w:lang w:val="es-ES_tradnl" w:eastAsia="en-US"/>
        </w:rPr>
        <w:tab/>
        <w:t>Ingreso de niñas en la Escuela Militar Técnica Preparatoria</w:t>
      </w:r>
      <w:r w:rsidR="004C49DE" w:rsidRPr="004C49DE">
        <w:rPr>
          <w:bCs w:val="0"/>
          <w:lang w:val="es-ES_tradnl" w:eastAsia="en-US"/>
        </w:rPr>
        <w:t xml:space="preserve"> </w:t>
      </w:r>
      <w:r w:rsidRPr="004C49DE">
        <w:rPr>
          <w:bCs w:val="0"/>
          <w:lang w:val="es-ES_tradnl" w:eastAsia="en-US"/>
        </w:rPr>
        <w:t>y de mujeres en la Gendarmería Nacional</w:t>
      </w:r>
    </w:p>
    <w:p w14:paraId="0C797E70" w14:textId="77777777" w:rsidR="003F2102" w:rsidRPr="004C49DE" w:rsidRDefault="003F2102" w:rsidP="00BB7BBB">
      <w:pPr>
        <w:pStyle w:val="SingleTxt"/>
        <w:suppressAutoHyphens w:val="0"/>
        <w:spacing w:after="0" w:line="120" w:lineRule="exact"/>
        <w:rPr>
          <w:sz w:val="10"/>
          <w:szCs w:val="10"/>
          <w:lang w:val="es-ES_tradnl"/>
        </w:rPr>
      </w:pPr>
    </w:p>
    <w:p w14:paraId="71DCEA27" w14:textId="3FD3C28F"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Gobierno llevó a cabo iniciativas a favor de la igualdad de género abriendo la Escuela Militar Técnica Preparatoria a las niñas en 2013 y autorizando el ingreso de las mujeres en la Gendarmería Nacional en 2014</w:t>
      </w:r>
      <w:r w:rsidR="00BB7BBB" w:rsidRPr="004C49DE">
        <w:rPr>
          <w:szCs w:val="22"/>
          <w:lang w:val="es-ES_tradnl" w:eastAsia="en-US"/>
        </w:rPr>
        <w:t>.</w:t>
      </w:r>
    </w:p>
    <w:p w14:paraId="5667023D" w14:textId="40D621D6" w:rsidR="003F2102" w:rsidRPr="004C49DE" w:rsidRDefault="003F2102" w:rsidP="00BB7BBB">
      <w:pPr>
        <w:pStyle w:val="SingleTxt"/>
        <w:suppressAutoHyphens w:val="0"/>
        <w:spacing w:after="0" w:line="120" w:lineRule="exact"/>
        <w:rPr>
          <w:sz w:val="10"/>
          <w:szCs w:val="10"/>
          <w:lang w:val="es-ES_tradnl"/>
        </w:rPr>
      </w:pPr>
    </w:p>
    <w:p w14:paraId="48CDB05B"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Red de periodistas especializados en cuestiones de género y policiales</w:t>
      </w:r>
    </w:p>
    <w:p w14:paraId="15F376DE" w14:textId="77777777" w:rsidR="003F2102" w:rsidRPr="004C49DE" w:rsidRDefault="003F2102" w:rsidP="00BB7BBB">
      <w:pPr>
        <w:pStyle w:val="SingleTxt"/>
        <w:suppressAutoHyphens w:val="0"/>
        <w:spacing w:after="0" w:line="120" w:lineRule="exact"/>
        <w:rPr>
          <w:sz w:val="10"/>
          <w:szCs w:val="10"/>
          <w:lang w:val="es-ES_tradnl"/>
        </w:rPr>
      </w:pPr>
    </w:p>
    <w:p w14:paraId="4FEEDAA4" w14:textId="3D81013F"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Una decena de medios de comunicación representados por una treintena de periodistas crearon, en noviembre de 2014, la red de periodistas especializados en cuestiones de género y policiales</w:t>
      </w:r>
      <w:r w:rsidR="00BB7BBB" w:rsidRPr="004C49DE">
        <w:rPr>
          <w:szCs w:val="22"/>
          <w:lang w:val="es-ES_tradnl" w:eastAsia="en-US"/>
        </w:rPr>
        <w:t>.</w:t>
      </w:r>
    </w:p>
    <w:p w14:paraId="5189DEEB" w14:textId="430FCB16" w:rsidR="007F7D93" w:rsidRPr="004C49DE" w:rsidRDefault="007F7D93" w:rsidP="00BB7BBB">
      <w:pPr>
        <w:pStyle w:val="SingleTxt"/>
        <w:suppressAutoHyphens w:val="0"/>
        <w:spacing w:after="0" w:line="120" w:lineRule="exact"/>
        <w:rPr>
          <w:sz w:val="10"/>
          <w:szCs w:val="10"/>
          <w:lang w:val="es-ES_tradnl"/>
        </w:rPr>
      </w:pPr>
    </w:p>
    <w:p w14:paraId="3139B710"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Fondo FAFCI</w:t>
      </w:r>
    </w:p>
    <w:p w14:paraId="0E30A48D" w14:textId="77777777" w:rsidR="007F7D93" w:rsidRPr="004C49DE" w:rsidRDefault="007F7D93" w:rsidP="00BB7BBB">
      <w:pPr>
        <w:pStyle w:val="SingleTxt"/>
        <w:suppressAutoHyphens w:val="0"/>
        <w:spacing w:after="0" w:line="120" w:lineRule="exact"/>
        <w:rPr>
          <w:sz w:val="10"/>
          <w:szCs w:val="10"/>
          <w:lang w:val="es-ES_tradnl"/>
        </w:rPr>
      </w:pPr>
    </w:p>
    <w:p w14:paraId="45DA37FB" w14:textId="3F1F8F77"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2012, la Primera Dama de Côte d</w:t>
      </w:r>
      <w:r w:rsidR="004C49DE">
        <w:rPr>
          <w:szCs w:val="22"/>
          <w:lang w:val="es-ES_tradnl" w:eastAsia="en-US"/>
        </w:rPr>
        <w:t>’</w:t>
      </w:r>
      <w:r w:rsidRPr="004C49DE">
        <w:rPr>
          <w:szCs w:val="22"/>
          <w:lang w:val="es-ES_tradnl" w:eastAsia="en-US"/>
        </w:rPr>
        <w:t>Ivoire, la Sra</w:t>
      </w:r>
      <w:r w:rsidR="00BB7BBB" w:rsidRPr="004C49DE">
        <w:rPr>
          <w:szCs w:val="22"/>
          <w:lang w:val="es-ES_tradnl" w:eastAsia="en-US"/>
        </w:rPr>
        <w:t>.</w:t>
      </w:r>
      <w:r w:rsidRPr="004C49DE">
        <w:rPr>
          <w:szCs w:val="22"/>
          <w:lang w:val="es-ES_tradnl" w:eastAsia="en-US"/>
        </w:rPr>
        <w:t xml:space="preserve"> Dominique OUATTARA, creó el Fondo de Apoyo a las Mujeres de Côte d</w:t>
      </w:r>
      <w:r w:rsidR="004C49DE">
        <w:rPr>
          <w:szCs w:val="22"/>
          <w:lang w:val="es-ES_tradnl" w:eastAsia="en-US"/>
        </w:rPr>
        <w:t>’</w:t>
      </w:r>
      <w:r w:rsidRPr="004C49DE">
        <w:rPr>
          <w:szCs w:val="22"/>
          <w:lang w:val="es-ES_tradnl" w:eastAsia="en-US"/>
        </w:rPr>
        <w:t>Ivoire (FAFCI)</w:t>
      </w:r>
      <w:r w:rsidR="00BB7BBB" w:rsidRPr="004C49DE">
        <w:rPr>
          <w:szCs w:val="22"/>
          <w:lang w:val="es-ES_tradnl" w:eastAsia="en-US"/>
        </w:rPr>
        <w:t>.</w:t>
      </w:r>
    </w:p>
    <w:p w14:paraId="66595F3F" w14:textId="1946A2A4" w:rsidR="007F7D93" w:rsidRPr="004C49DE" w:rsidRDefault="007F7D93" w:rsidP="00BB7BBB">
      <w:pPr>
        <w:pStyle w:val="SingleTxt"/>
        <w:suppressAutoHyphens w:val="0"/>
        <w:spacing w:after="0" w:line="120" w:lineRule="exact"/>
        <w:rPr>
          <w:sz w:val="10"/>
          <w:szCs w:val="10"/>
          <w:lang w:val="es-ES_tradnl"/>
        </w:rPr>
      </w:pPr>
    </w:p>
    <w:p w14:paraId="0DA7ED33" w14:textId="0155B332"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 xml:space="preserve">Creación de la Federación de Mujeres Productoras de Cacao </w:t>
      </w:r>
    </w:p>
    <w:p w14:paraId="7E4373EC" w14:textId="77777777" w:rsidR="007F7D93" w:rsidRPr="004C49DE" w:rsidRDefault="007F7D93" w:rsidP="00BB7BBB">
      <w:pPr>
        <w:pStyle w:val="SingleTxt"/>
        <w:suppressAutoHyphens w:val="0"/>
        <w:spacing w:after="0" w:line="120" w:lineRule="exact"/>
        <w:rPr>
          <w:sz w:val="10"/>
          <w:szCs w:val="10"/>
          <w:lang w:val="es-ES_tradnl"/>
        </w:rPr>
      </w:pPr>
    </w:p>
    <w:p w14:paraId="781C6968" w14:textId="408582E5"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Federación tiene por objeto ayudar a las productoras de cacao a desarrollar sus capacidades de producción y distribución</w:t>
      </w:r>
      <w:r w:rsidR="00BB7BBB" w:rsidRPr="004C49DE">
        <w:rPr>
          <w:szCs w:val="22"/>
          <w:lang w:val="es-ES_tradnl" w:eastAsia="en-US"/>
        </w:rPr>
        <w:t>.</w:t>
      </w:r>
    </w:p>
    <w:p w14:paraId="64AF2578" w14:textId="5FA2802F" w:rsidR="007F7D93" w:rsidRPr="004C49DE" w:rsidRDefault="007F7D93" w:rsidP="00BB7BBB">
      <w:pPr>
        <w:pStyle w:val="SingleTxt"/>
        <w:suppressAutoHyphens w:val="0"/>
        <w:spacing w:after="0" w:line="120" w:lineRule="exact"/>
        <w:rPr>
          <w:sz w:val="10"/>
          <w:szCs w:val="10"/>
          <w:lang w:val="es-ES_tradnl"/>
        </w:rPr>
      </w:pPr>
    </w:p>
    <w:p w14:paraId="4FB75C30"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Expedición de títulos de propiedad para las mujeres</w:t>
      </w:r>
    </w:p>
    <w:p w14:paraId="014510AC" w14:textId="7504AEEB" w:rsidR="007F7D93" w:rsidRPr="004C49DE" w:rsidRDefault="007F7D93" w:rsidP="00BB7BBB">
      <w:pPr>
        <w:pStyle w:val="SingleTxt"/>
        <w:suppressAutoHyphens w:val="0"/>
        <w:spacing w:after="0" w:line="120" w:lineRule="exact"/>
        <w:rPr>
          <w:sz w:val="10"/>
          <w:szCs w:val="10"/>
          <w:lang w:val="es-ES_tradnl"/>
        </w:rPr>
      </w:pPr>
    </w:p>
    <w:p w14:paraId="089F0588" w14:textId="3E141FEC"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emisión de títulos de propiedad para 277 mujeres beneficiarias marca el inicio de una era de igualdad entre el hombre y la mujer en el medio rural</w:t>
      </w:r>
      <w:r w:rsidR="00BB7BBB" w:rsidRPr="004C49DE">
        <w:rPr>
          <w:szCs w:val="22"/>
          <w:lang w:val="es-ES_tradnl" w:eastAsia="en-US"/>
        </w:rPr>
        <w:t>.</w:t>
      </w:r>
      <w:r w:rsidRPr="004C49DE">
        <w:rPr>
          <w:szCs w:val="22"/>
          <w:lang w:val="es-ES_tradnl" w:eastAsia="en-US"/>
        </w:rPr>
        <w:t xml:space="preserve"> Bajo los auspicios de la Agencia de Tenencia de Tierras Rurales (AFOR), creada por el </w:t>
      </w:r>
      <w:r w:rsidRPr="004C49DE">
        <w:rPr>
          <w:i/>
          <w:szCs w:val="22"/>
          <w:lang w:val="es-ES_tradnl" w:eastAsia="en-US"/>
        </w:rPr>
        <w:t>Decreto núm</w:t>
      </w:r>
      <w:r w:rsidR="00BB7BBB" w:rsidRPr="004C49DE">
        <w:rPr>
          <w:i/>
          <w:szCs w:val="22"/>
          <w:lang w:val="es-ES_tradnl" w:eastAsia="en-US"/>
        </w:rPr>
        <w:t>.</w:t>
      </w:r>
      <w:r w:rsidRPr="004C49DE">
        <w:rPr>
          <w:i/>
          <w:szCs w:val="22"/>
          <w:lang w:val="es-ES_tradnl" w:eastAsia="en-US"/>
        </w:rPr>
        <w:t xml:space="preserve"> 2016</w:t>
      </w:r>
      <w:r w:rsidR="001A14E9" w:rsidRPr="004C49DE">
        <w:rPr>
          <w:i/>
          <w:szCs w:val="22"/>
          <w:lang w:val="es-ES_tradnl" w:eastAsia="en-US"/>
        </w:rPr>
        <w:noBreakHyphen/>
      </w:r>
      <w:r w:rsidRPr="004C49DE">
        <w:rPr>
          <w:i/>
          <w:szCs w:val="22"/>
          <w:lang w:val="es-ES_tradnl" w:eastAsia="en-US"/>
        </w:rPr>
        <w:t xml:space="preserve">590, de 3 de agosto de 2016, relativo a la creación, las atribuciones, la </w:t>
      </w:r>
      <w:r w:rsidRPr="004C49DE">
        <w:rPr>
          <w:i/>
          <w:szCs w:val="22"/>
          <w:lang w:val="es-ES_tradnl" w:eastAsia="en-US"/>
        </w:rPr>
        <w:lastRenderedPageBreak/>
        <w:t>organización y el funcionamiento de la Agencia de Tenencia de Tierras Rurales</w:t>
      </w:r>
      <w:r w:rsidRPr="004C49DE">
        <w:rPr>
          <w:szCs w:val="22"/>
          <w:lang w:val="es-ES_tradnl" w:eastAsia="en-US"/>
        </w:rPr>
        <w:t>, se llevaron a cabo actividades de sensibilización sobre la tenencia de tierras en las comunidades</w:t>
      </w:r>
      <w:r w:rsidR="00BB7BBB" w:rsidRPr="004C49DE">
        <w:rPr>
          <w:szCs w:val="22"/>
          <w:lang w:val="es-ES_tradnl" w:eastAsia="en-US"/>
        </w:rPr>
        <w:t>.</w:t>
      </w:r>
    </w:p>
    <w:p w14:paraId="17D54EF1" w14:textId="4858902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Comisión Nacional de la Familia</w:t>
      </w:r>
    </w:p>
    <w:p w14:paraId="6D423F3A" w14:textId="77777777" w:rsidR="00964C39" w:rsidRPr="004C49DE" w:rsidRDefault="00964C39" w:rsidP="00BB7BBB">
      <w:pPr>
        <w:pStyle w:val="SingleTxt"/>
        <w:suppressAutoHyphens w:val="0"/>
        <w:spacing w:after="0" w:line="120" w:lineRule="exact"/>
        <w:rPr>
          <w:sz w:val="10"/>
          <w:szCs w:val="10"/>
          <w:lang w:val="es-ES_tradnl"/>
        </w:rPr>
      </w:pPr>
      <w:bookmarkStart w:id="7" w:name="Sample_5"/>
    </w:p>
    <w:p w14:paraId="21807F72" w14:textId="5ABCEF10"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creación de la Comisión Nacional de la Familia es la respuesta a la necesidad esencial de desarrollar los valores fundamentales del entorno familiar y la vida en comunidad</w:t>
      </w:r>
      <w:r w:rsidR="00BB7BBB" w:rsidRPr="004C49DE">
        <w:rPr>
          <w:szCs w:val="22"/>
          <w:lang w:val="es-ES_tradnl" w:eastAsia="en-US"/>
        </w:rPr>
        <w:t>.</w:t>
      </w:r>
    </w:p>
    <w:p w14:paraId="59A5F721" w14:textId="77777777" w:rsidR="00964C39" w:rsidRPr="004C49DE" w:rsidRDefault="00964C39" w:rsidP="00BB7BBB">
      <w:pPr>
        <w:pStyle w:val="SingleTxt"/>
        <w:suppressAutoHyphens w:val="0"/>
        <w:spacing w:after="0" w:line="120" w:lineRule="exact"/>
        <w:rPr>
          <w:sz w:val="10"/>
          <w:szCs w:val="10"/>
          <w:lang w:val="es-ES_tradnl"/>
        </w:rPr>
      </w:pPr>
    </w:p>
    <w:p w14:paraId="47940B4E"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Encuentros sobre la familia</w:t>
      </w:r>
    </w:p>
    <w:p w14:paraId="48A0227D" w14:textId="57A3F252" w:rsidR="00964C39" w:rsidRPr="004C49DE" w:rsidRDefault="00964C39" w:rsidP="00BB7BBB">
      <w:pPr>
        <w:pStyle w:val="SingleTxt"/>
        <w:suppressAutoHyphens w:val="0"/>
        <w:spacing w:after="0" w:line="120" w:lineRule="exact"/>
        <w:rPr>
          <w:sz w:val="10"/>
          <w:szCs w:val="10"/>
          <w:lang w:val="es-ES_tradnl"/>
        </w:rPr>
      </w:pPr>
    </w:p>
    <w:p w14:paraId="4CBB4AAC" w14:textId="3ECFC6BB"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Los </w:t>
      </w:r>
      <w:r w:rsidR="004C49DE">
        <w:rPr>
          <w:szCs w:val="22"/>
          <w:lang w:val="es-ES_tradnl" w:eastAsia="en-US"/>
        </w:rPr>
        <w:t>“</w:t>
      </w:r>
      <w:r w:rsidRPr="004C49DE">
        <w:rPr>
          <w:szCs w:val="22"/>
          <w:lang w:val="es-ES_tradnl" w:eastAsia="en-US"/>
        </w:rPr>
        <w:t>encuentros sobre la familia</w:t>
      </w:r>
      <w:r w:rsidR="004C49DE">
        <w:rPr>
          <w:szCs w:val="22"/>
          <w:lang w:val="es-ES_tradnl" w:eastAsia="en-US"/>
        </w:rPr>
        <w:t>”</w:t>
      </w:r>
      <w:r w:rsidRPr="004C49DE">
        <w:rPr>
          <w:szCs w:val="22"/>
          <w:lang w:val="es-ES_tradnl" w:eastAsia="en-US"/>
        </w:rPr>
        <w:t>, iniciados en 2015 por el Ministerio del Adelanto de la Mujer, la Familia y la Protección de</w:t>
      </w:r>
      <w:r w:rsidR="00C7444C" w:rsidRPr="004C49DE">
        <w:rPr>
          <w:szCs w:val="22"/>
          <w:lang w:val="es-ES_tradnl" w:eastAsia="en-US"/>
        </w:rPr>
        <w:t xml:space="preserve"> </w:t>
      </w:r>
      <w:r w:rsidRPr="004C49DE">
        <w:rPr>
          <w:szCs w:val="22"/>
          <w:lang w:val="es-ES_tradnl" w:eastAsia="en-US"/>
        </w:rPr>
        <w:t>l</w:t>
      </w:r>
      <w:r w:rsidR="00C7444C" w:rsidRPr="004C49DE">
        <w:rPr>
          <w:szCs w:val="22"/>
          <w:lang w:val="es-ES_tradnl" w:eastAsia="en-US"/>
        </w:rPr>
        <w:t>a</w:t>
      </w:r>
      <w:r w:rsidRPr="004C49DE">
        <w:rPr>
          <w:szCs w:val="22"/>
          <w:lang w:val="es-ES_tradnl" w:eastAsia="en-US"/>
        </w:rPr>
        <w:t xml:space="preserve"> </w:t>
      </w:r>
      <w:r w:rsidR="00C7444C" w:rsidRPr="004C49DE">
        <w:rPr>
          <w:szCs w:val="22"/>
          <w:lang w:val="es-ES_tradnl" w:eastAsia="en-US"/>
        </w:rPr>
        <w:t xml:space="preserve">Infancia </w:t>
      </w:r>
      <w:r w:rsidRPr="004C49DE">
        <w:rPr>
          <w:szCs w:val="22"/>
          <w:lang w:val="es-ES_tradnl" w:eastAsia="en-US"/>
        </w:rPr>
        <w:t>(MPFFPE), constituyen un espacio de interacción reservado a la familia que se ajusta a la noble visión del Presidente de la República: convivir</w:t>
      </w:r>
      <w:r w:rsidR="00BB7BBB" w:rsidRPr="004C49DE">
        <w:rPr>
          <w:szCs w:val="22"/>
          <w:lang w:val="es-ES_tradnl" w:eastAsia="en-US"/>
        </w:rPr>
        <w:t>.</w:t>
      </w:r>
    </w:p>
    <w:p w14:paraId="4370D130" w14:textId="15828F2C" w:rsidR="000E520C" w:rsidRPr="004C49DE" w:rsidRDefault="000E520C" w:rsidP="00BB7BBB">
      <w:pPr>
        <w:pStyle w:val="SingleTxt"/>
        <w:suppressAutoHyphens w:val="0"/>
        <w:spacing w:after="0" w:line="120" w:lineRule="exact"/>
        <w:rPr>
          <w:sz w:val="10"/>
          <w:szCs w:val="10"/>
          <w:lang w:val="es-ES_tradnl"/>
        </w:rPr>
      </w:pPr>
    </w:p>
    <w:bookmarkEnd w:id="7"/>
    <w:p w14:paraId="5A15FB0C" w14:textId="10D13AFB"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Compendio de competencias femeninas de Côte d</w:t>
      </w:r>
      <w:r w:rsidR="004C49DE">
        <w:rPr>
          <w:bCs w:val="0"/>
          <w:lang w:val="es-ES_tradnl" w:eastAsia="en-US"/>
        </w:rPr>
        <w:t>’</w:t>
      </w:r>
      <w:r w:rsidRPr="004C49DE">
        <w:rPr>
          <w:bCs w:val="0"/>
          <w:lang w:val="es-ES_tradnl" w:eastAsia="en-US"/>
        </w:rPr>
        <w:t xml:space="preserve">Ivoire </w:t>
      </w:r>
    </w:p>
    <w:p w14:paraId="184CE8AF" w14:textId="77777777" w:rsidR="000E520C" w:rsidRPr="004C49DE" w:rsidRDefault="000E520C" w:rsidP="00BB7BBB">
      <w:pPr>
        <w:pStyle w:val="SingleTxt"/>
        <w:suppressAutoHyphens w:val="0"/>
        <w:spacing w:after="0" w:line="120" w:lineRule="exact"/>
        <w:rPr>
          <w:sz w:val="10"/>
          <w:szCs w:val="10"/>
          <w:lang w:val="es-ES_tradnl"/>
        </w:rPr>
      </w:pPr>
    </w:p>
    <w:p w14:paraId="70D521B3" w14:textId="3CD2C055"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4 de octubre de 2011, la Consejera en materia de Género del Presidente de</w:t>
      </w:r>
      <w:r w:rsidR="00A50CED" w:rsidRPr="004C49DE">
        <w:rPr>
          <w:szCs w:val="22"/>
          <w:lang w:val="es-ES_tradnl" w:eastAsia="en-US"/>
        </w:rPr>
        <w:t xml:space="preserve"> </w:t>
      </w:r>
      <w:r w:rsidRPr="004C49DE">
        <w:rPr>
          <w:szCs w:val="22"/>
          <w:lang w:val="es-ES_tradnl" w:eastAsia="en-US"/>
        </w:rPr>
        <w:t>la República de Côte d</w:t>
      </w:r>
      <w:r w:rsidR="004C49DE">
        <w:rPr>
          <w:szCs w:val="22"/>
          <w:lang w:val="es-ES_tradnl" w:eastAsia="en-US"/>
        </w:rPr>
        <w:t>’</w:t>
      </w:r>
      <w:r w:rsidRPr="004C49DE">
        <w:rPr>
          <w:szCs w:val="22"/>
          <w:lang w:val="es-ES_tradnl" w:eastAsia="en-US"/>
        </w:rPr>
        <w:t xml:space="preserve">Ivoire creó el </w:t>
      </w:r>
      <w:r w:rsidR="000A404F" w:rsidRPr="004C49DE">
        <w:rPr>
          <w:bCs/>
          <w:lang w:val="es-ES_tradnl" w:eastAsia="en-US"/>
        </w:rPr>
        <w:t>Compendio de competencias femeninas de Côte d</w:t>
      </w:r>
      <w:r w:rsidR="004C49DE">
        <w:rPr>
          <w:bCs/>
          <w:lang w:val="es-ES_tradnl" w:eastAsia="en-US"/>
        </w:rPr>
        <w:t>’</w:t>
      </w:r>
      <w:r w:rsidR="000A404F" w:rsidRPr="004C49DE">
        <w:rPr>
          <w:bCs/>
          <w:lang w:val="es-ES_tradnl" w:eastAsia="en-US"/>
        </w:rPr>
        <w:t xml:space="preserve">Ivoire </w:t>
      </w:r>
      <w:r w:rsidRPr="004C49DE">
        <w:rPr>
          <w:szCs w:val="22"/>
          <w:lang w:val="es-ES_tradnl" w:eastAsia="en-US"/>
        </w:rPr>
        <w:t>para reforzar la visibilidad, la</w:t>
      </w:r>
      <w:r w:rsidR="000E520C" w:rsidRPr="004C49DE">
        <w:rPr>
          <w:szCs w:val="22"/>
          <w:lang w:val="es-ES_tradnl" w:eastAsia="en-US"/>
        </w:rPr>
        <w:t> </w:t>
      </w:r>
      <w:r w:rsidRPr="004C49DE">
        <w:rPr>
          <w:szCs w:val="22"/>
          <w:lang w:val="es-ES_tradnl" w:eastAsia="en-US"/>
        </w:rPr>
        <w:t>participación y el liderazgo de la mujer en la gestión de los asuntos públicos y</w:t>
      </w:r>
      <w:r w:rsidR="000E520C" w:rsidRPr="004C49DE">
        <w:rPr>
          <w:szCs w:val="22"/>
          <w:lang w:val="es-ES_tradnl" w:eastAsia="en-US"/>
        </w:rPr>
        <w:t> </w:t>
      </w:r>
      <w:r w:rsidRPr="004C49DE">
        <w:rPr>
          <w:szCs w:val="22"/>
          <w:lang w:val="es-ES_tradnl" w:eastAsia="en-US"/>
        </w:rPr>
        <w:t>privados</w:t>
      </w:r>
      <w:r w:rsidR="00BB7BBB" w:rsidRPr="004C49DE">
        <w:rPr>
          <w:szCs w:val="22"/>
          <w:lang w:val="es-ES_tradnl" w:eastAsia="en-US"/>
        </w:rPr>
        <w:t>.</w:t>
      </w:r>
    </w:p>
    <w:p w14:paraId="331F247E" w14:textId="482C9175" w:rsidR="000E520C" w:rsidRPr="004C49DE" w:rsidRDefault="000E520C" w:rsidP="00BB7BBB">
      <w:pPr>
        <w:pStyle w:val="SingleTxt"/>
        <w:suppressAutoHyphens w:val="0"/>
        <w:spacing w:after="0" w:line="120" w:lineRule="exact"/>
        <w:rPr>
          <w:sz w:val="10"/>
          <w:szCs w:val="10"/>
          <w:lang w:val="es-ES_tradnl"/>
        </w:rPr>
      </w:pPr>
    </w:p>
    <w:p w14:paraId="4CC7B251"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Aplicación de la fase punitiva de la ley de 1998 sobre la mutilación genital</w:t>
      </w:r>
      <w:r w:rsidR="000E520C" w:rsidRPr="004C49DE">
        <w:rPr>
          <w:bCs w:val="0"/>
          <w:lang w:val="es-ES_tradnl" w:eastAsia="en-US"/>
        </w:rPr>
        <w:t> </w:t>
      </w:r>
      <w:r w:rsidRPr="004C49DE">
        <w:rPr>
          <w:bCs w:val="0"/>
          <w:lang w:val="es-ES_tradnl" w:eastAsia="en-US"/>
        </w:rPr>
        <w:t>femenina</w:t>
      </w:r>
    </w:p>
    <w:p w14:paraId="24109E47" w14:textId="77777777" w:rsidR="000E520C" w:rsidRPr="004C49DE" w:rsidRDefault="000E520C" w:rsidP="00BB7BBB">
      <w:pPr>
        <w:pStyle w:val="SingleTxt"/>
        <w:suppressAutoHyphens w:val="0"/>
        <w:spacing w:after="0" w:line="120" w:lineRule="exact"/>
        <w:rPr>
          <w:sz w:val="10"/>
          <w:szCs w:val="10"/>
          <w:lang w:val="es-ES_tradnl"/>
        </w:rPr>
      </w:pPr>
    </w:p>
    <w:p w14:paraId="6D7CE841" w14:textId="5D3E0E0C"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Ley núm</w:t>
      </w:r>
      <w:r w:rsidR="00BB7BBB" w:rsidRPr="004C49DE">
        <w:rPr>
          <w:szCs w:val="22"/>
          <w:lang w:val="es-ES_tradnl" w:eastAsia="en-US"/>
        </w:rPr>
        <w:t>.</w:t>
      </w:r>
      <w:r w:rsidRPr="004C49DE">
        <w:rPr>
          <w:szCs w:val="22"/>
          <w:lang w:val="es-ES_tradnl" w:eastAsia="en-US"/>
        </w:rPr>
        <w:t xml:space="preserve"> 98</w:t>
      </w:r>
      <w:r w:rsidR="001A14E9" w:rsidRPr="004C49DE">
        <w:rPr>
          <w:szCs w:val="22"/>
          <w:lang w:val="es-ES_tradnl" w:eastAsia="en-US"/>
        </w:rPr>
        <w:noBreakHyphen/>
      </w:r>
      <w:r w:rsidRPr="004C49DE">
        <w:rPr>
          <w:szCs w:val="22"/>
          <w:lang w:val="es-ES_tradnl" w:eastAsia="en-US"/>
        </w:rPr>
        <w:t>757 contra la mutilación genital femenina, de 23 de diciembre de 1998, se aplica desde 2012</w:t>
      </w:r>
      <w:r w:rsidR="00BB7BBB" w:rsidRPr="004C49DE">
        <w:rPr>
          <w:szCs w:val="22"/>
          <w:lang w:val="es-ES_tradnl" w:eastAsia="en-US"/>
        </w:rPr>
        <w:t>.</w:t>
      </w:r>
      <w:r w:rsidRPr="004C49DE">
        <w:rPr>
          <w:szCs w:val="22"/>
          <w:lang w:val="es-ES_tradnl" w:eastAsia="en-US"/>
        </w:rPr>
        <w:t xml:space="preserve"> Distintas personas que practicaban y financiaban la circuncisión en diversas jurisdicciones han sido condenadas</w:t>
      </w:r>
      <w:r w:rsidR="00BB7BBB" w:rsidRPr="004C49DE">
        <w:rPr>
          <w:szCs w:val="22"/>
          <w:lang w:val="es-ES_tradnl" w:eastAsia="en-US"/>
        </w:rPr>
        <w:t>.</w:t>
      </w:r>
    </w:p>
    <w:p w14:paraId="611F7262" w14:textId="3B7AB4F5" w:rsidR="004A0F53" w:rsidRPr="004C49DE" w:rsidRDefault="004A0F53" w:rsidP="00BB7BBB">
      <w:pPr>
        <w:pStyle w:val="SingleTxt"/>
        <w:suppressAutoHyphens w:val="0"/>
        <w:spacing w:after="0" w:line="120" w:lineRule="exact"/>
        <w:rPr>
          <w:sz w:val="10"/>
          <w:szCs w:val="10"/>
          <w:lang w:val="es-ES_tradnl"/>
        </w:rPr>
      </w:pPr>
    </w:p>
    <w:p w14:paraId="0E74079A" w14:textId="77777777" w:rsidR="004A0F53" w:rsidRPr="004C49DE" w:rsidRDefault="004A0F53" w:rsidP="00BB7BBB">
      <w:pPr>
        <w:pStyle w:val="SingleTxt"/>
        <w:suppressAutoHyphens w:val="0"/>
        <w:spacing w:after="0" w:line="120" w:lineRule="exact"/>
        <w:rPr>
          <w:sz w:val="10"/>
          <w:szCs w:val="10"/>
          <w:lang w:val="es-ES_tradnl"/>
        </w:rPr>
      </w:pPr>
    </w:p>
    <w:p w14:paraId="145444F0" w14:textId="00C2A94B" w:rsidR="000C3123" w:rsidRPr="004C49DE" w:rsidRDefault="000C3123" w:rsidP="007F0F3A">
      <w:pPr>
        <w:pStyle w:val="HCh"/>
        <w:keepNext w:val="0"/>
        <w:keepLines w:val="0"/>
        <w:tabs>
          <w:tab w:val="clear" w:pos="5573"/>
          <w:tab w:val="clear" w:pos="6048"/>
        </w:tabs>
        <w:suppressAutoHyphens w:val="0"/>
        <w:ind w:left="1267" w:right="1840" w:hanging="1267"/>
        <w:rPr>
          <w:bCs w:val="0"/>
          <w:szCs w:val="20"/>
          <w:lang w:val="es-ES_tradnl" w:eastAsia="en-US"/>
        </w:rPr>
      </w:pPr>
      <w:r w:rsidRPr="004C49DE">
        <w:rPr>
          <w:bCs w:val="0"/>
          <w:szCs w:val="20"/>
          <w:lang w:val="es-ES_tradnl" w:eastAsia="en-US"/>
        </w:rPr>
        <w:tab/>
      </w:r>
      <w:bookmarkStart w:id="8" w:name="Sample_6"/>
      <w:r w:rsidRPr="004C49DE">
        <w:rPr>
          <w:bCs w:val="0"/>
          <w:szCs w:val="20"/>
          <w:lang w:val="es-ES_tradnl" w:eastAsia="en-US"/>
        </w:rPr>
        <w:tab/>
        <w:t xml:space="preserve">Segunda parte: </w:t>
      </w:r>
      <w:r w:rsidR="00FA008A" w:rsidRPr="004C49DE">
        <w:rPr>
          <w:bCs w:val="0"/>
          <w:szCs w:val="20"/>
          <w:lang w:val="es-ES_tradnl" w:eastAsia="en-US"/>
        </w:rPr>
        <w:t>e</w:t>
      </w:r>
      <w:r w:rsidRPr="004C49DE">
        <w:rPr>
          <w:bCs w:val="0"/>
          <w:szCs w:val="20"/>
          <w:lang w:val="es-ES_tradnl" w:eastAsia="en-US"/>
        </w:rPr>
        <w:t xml:space="preserve">stado de aplicación de las </w:t>
      </w:r>
      <w:r w:rsidR="001A14E9" w:rsidRPr="004C49DE">
        <w:rPr>
          <w:bCs w:val="0"/>
          <w:szCs w:val="20"/>
          <w:lang w:val="es-ES_tradnl" w:eastAsia="en-US"/>
        </w:rPr>
        <w:t>r</w:t>
      </w:r>
      <w:r w:rsidRPr="004C49DE">
        <w:rPr>
          <w:bCs w:val="0"/>
          <w:szCs w:val="20"/>
          <w:lang w:val="es-ES_tradnl" w:eastAsia="en-US"/>
        </w:rPr>
        <w:t>ecomendaciones, problemas, desafíos y perspectivas</w:t>
      </w:r>
    </w:p>
    <w:p w14:paraId="7FE5622E" w14:textId="77777777" w:rsidR="004A0F53" w:rsidRPr="004C49DE" w:rsidRDefault="004A0F53" w:rsidP="00BB7BBB">
      <w:pPr>
        <w:pStyle w:val="SingleTxt"/>
        <w:suppressAutoHyphens w:val="0"/>
        <w:spacing w:after="0" w:line="120" w:lineRule="exact"/>
        <w:rPr>
          <w:sz w:val="10"/>
          <w:szCs w:val="10"/>
          <w:lang w:val="es-ES_tradnl"/>
        </w:rPr>
      </w:pPr>
    </w:p>
    <w:p w14:paraId="1DF48B5B" w14:textId="77777777" w:rsidR="004A0F53" w:rsidRPr="004C49DE" w:rsidRDefault="004A0F53" w:rsidP="00BB7BBB">
      <w:pPr>
        <w:pStyle w:val="SingleTxt"/>
        <w:suppressAutoHyphens w:val="0"/>
        <w:spacing w:after="0" w:line="120" w:lineRule="exact"/>
        <w:rPr>
          <w:sz w:val="10"/>
          <w:szCs w:val="10"/>
          <w:lang w:val="es-ES_tradnl"/>
        </w:rPr>
      </w:pPr>
    </w:p>
    <w:p w14:paraId="4992D349" w14:textId="7BD19276"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que debe remitir las presentes observaciones finales a todos los ministerios competentes, el Parlamento y el poder judicial a fin de garantizar su plena aplicación, y recomienda que el Estado parte difunda la Convención, en especial entre la sociedad civil (véase </w:t>
      </w:r>
      <w:hyperlink r:id="rId1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12)</w:t>
      </w:r>
      <w:r w:rsidR="00BB7BBB" w:rsidRPr="004C49DE">
        <w:rPr>
          <w:b/>
          <w:szCs w:val="22"/>
          <w:lang w:val="es-ES_tradnl" w:eastAsia="en-US"/>
        </w:rPr>
        <w:t>.</w:t>
      </w:r>
    </w:p>
    <w:p w14:paraId="20C07E53" w14:textId="3A7AFF3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14 de octubre de 2011, Côte d</w:t>
      </w:r>
      <w:r w:rsidR="004C49DE">
        <w:rPr>
          <w:szCs w:val="22"/>
          <w:lang w:val="es-ES_tradnl" w:eastAsia="en-US"/>
        </w:rPr>
        <w:t>’</w:t>
      </w:r>
      <w:r w:rsidRPr="004C49DE">
        <w:rPr>
          <w:szCs w:val="22"/>
          <w:lang w:val="es-ES_tradnl" w:eastAsia="en-US"/>
        </w:rPr>
        <w:t>Ivoire presentó ante el Comité para la Eliminación de la Discriminación contra la Mujer, en el Palacio de las Naciones Unidas de Ginebra, su informe inicial</w:t>
      </w:r>
      <w:r w:rsidR="00B3797D" w:rsidRPr="004C49DE">
        <w:rPr>
          <w:szCs w:val="22"/>
          <w:lang w:val="es-ES_tradnl" w:eastAsia="en-US"/>
        </w:rPr>
        <w:t xml:space="preserve"> y</w:t>
      </w:r>
      <w:r w:rsidRPr="004C49DE">
        <w:rPr>
          <w:szCs w:val="22"/>
          <w:lang w:val="es-ES_tradnl" w:eastAsia="en-US"/>
        </w:rPr>
        <w:t xml:space="preserve"> los informes periódicos 2º y 3º combinados</w:t>
      </w:r>
      <w:r w:rsidR="00BB7BBB" w:rsidRPr="004C49DE">
        <w:rPr>
          <w:szCs w:val="22"/>
          <w:lang w:val="es-ES_tradnl" w:eastAsia="en-US"/>
        </w:rPr>
        <w:t>.</w:t>
      </w:r>
      <w:r w:rsidRPr="004C49DE">
        <w:rPr>
          <w:szCs w:val="22"/>
          <w:lang w:val="es-ES_tradnl" w:eastAsia="en-US"/>
        </w:rPr>
        <w:t xml:space="preserve"> Se formularon varias recomendaciones dirigidas al Estado de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r w:rsidRPr="004C49DE">
        <w:rPr>
          <w:szCs w:val="22"/>
          <w:lang w:val="es-ES_tradnl" w:eastAsia="en-US"/>
        </w:rPr>
        <w:t xml:space="preserve"> Para la aplicación de las recomendaciones de la Convención sobre la Eliminación de Todas las Formas de Discriminación contra la Mujer, se creó una hoja de ruta con el objeto de facilitar el examen de las recomendaciones y la elaboración de un plan para su puesta en práctica</w:t>
      </w:r>
      <w:r w:rsidR="00BB7BBB" w:rsidRPr="004C49DE">
        <w:rPr>
          <w:szCs w:val="22"/>
          <w:lang w:val="es-ES_tradnl" w:eastAsia="en-US"/>
        </w:rPr>
        <w:t>.</w:t>
      </w:r>
    </w:p>
    <w:p w14:paraId="13BAF1B9" w14:textId="77777777" w:rsidR="004A0F53" w:rsidRPr="004C49DE" w:rsidRDefault="004A0F53" w:rsidP="00BB7BBB">
      <w:pPr>
        <w:pStyle w:val="SingleTxt"/>
        <w:suppressAutoHyphens w:val="0"/>
        <w:spacing w:after="0" w:line="120" w:lineRule="exact"/>
        <w:rPr>
          <w:sz w:val="10"/>
          <w:szCs w:val="10"/>
          <w:lang w:val="es-ES_tradnl"/>
        </w:rPr>
      </w:pPr>
    </w:p>
    <w:p w14:paraId="05D80932" w14:textId="77777777" w:rsidR="004A0F53" w:rsidRPr="004C49DE" w:rsidRDefault="004A0F53" w:rsidP="00BB7BBB">
      <w:pPr>
        <w:pStyle w:val="SingleTxt"/>
        <w:suppressAutoHyphens w:val="0"/>
        <w:spacing w:after="0" w:line="120" w:lineRule="exact"/>
        <w:rPr>
          <w:sz w:val="10"/>
          <w:szCs w:val="10"/>
          <w:lang w:val="es-ES_tradnl"/>
        </w:rPr>
      </w:pPr>
    </w:p>
    <w:p w14:paraId="3F3E69A5" w14:textId="77777777" w:rsidR="000C3123" w:rsidRPr="004C49DE" w:rsidRDefault="000C3123" w:rsidP="001A14E9">
      <w:pPr>
        <w:pStyle w:val="H1"/>
        <w:suppressAutoHyphens w:val="0"/>
        <w:ind w:right="1260"/>
        <w:rPr>
          <w:bCs w:val="0"/>
          <w:szCs w:val="20"/>
          <w:lang w:val="es-ES_tradnl" w:eastAsia="en-US"/>
        </w:rPr>
      </w:pPr>
      <w:r w:rsidRPr="004C49DE">
        <w:rPr>
          <w:bCs w:val="0"/>
          <w:szCs w:val="20"/>
          <w:lang w:val="es-ES_tradnl" w:eastAsia="en-US"/>
        </w:rPr>
        <w:lastRenderedPageBreak/>
        <w:tab/>
      </w:r>
      <w:r w:rsidRPr="004C49DE">
        <w:rPr>
          <w:bCs w:val="0"/>
          <w:szCs w:val="20"/>
          <w:lang w:val="es-ES_tradnl" w:eastAsia="en-US"/>
        </w:rPr>
        <w:tab/>
        <w:t>Aplicación de las recomendaciones</w:t>
      </w:r>
    </w:p>
    <w:p w14:paraId="5867ADFD" w14:textId="77777777" w:rsidR="004A0F53" w:rsidRPr="004C49DE" w:rsidRDefault="004A0F53" w:rsidP="001A14E9">
      <w:pPr>
        <w:pStyle w:val="SingleTxt"/>
        <w:keepNext/>
        <w:keepLines/>
        <w:suppressAutoHyphens w:val="0"/>
        <w:spacing w:after="0" w:line="120" w:lineRule="exact"/>
        <w:rPr>
          <w:sz w:val="10"/>
          <w:szCs w:val="10"/>
          <w:lang w:val="es-ES_tradnl"/>
        </w:rPr>
      </w:pPr>
    </w:p>
    <w:p w14:paraId="1C8AB4F4" w14:textId="77777777" w:rsidR="004A0F53" w:rsidRPr="004C49DE" w:rsidRDefault="004A0F53" w:rsidP="001A14E9">
      <w:pPr>
        <w:pStyle w:val="SingleTxt"/>
        <w:keepNext/>
        <w:keepLines/>
        <w:suppressAutoHyphens w:val="0"/>
        <w:spacing w:after="0" w:line="120" w:lineRule="exact"/>
        <w:rPr>
          <w:sz w:val="10"/>
          <w:szCs w:val="10"/>
          <w:lang w:val="es-ES_tradnl"/>
        </w:rPr>
      </w:pPr>
    </w:p>
    <w:p w14:paraId="104CB9A7" w14:textId="77777777" w:rsidR="000C3123" w:rsidRPr="004C49DE" w:rsidRDefault="000C3123" w:rsidP="001A14E9">
      <w:pPr>
        <w:pStyle w:val="H23"/>
        <w:suppressAutoHyphens w:val="0"/>
        <w:ind w:right="1260"/>
        <w:rPr>
          <w:bCs w:val="0"/>
          <w:lang w:val="es-ES_tradnl" w:eastAsia="en-US"/>
        </w:rPr>
      </w:pPr>
      <w:r w:rsidRPr="004C49DE">
        <w:rPr>
          <w:bCs w:val="0"/>
          <w:lang w:val="es-ES_tradnl" w:eastAsia="en-US"/>
        </w:rPr>
        <w:tab/>
      </w:r>
      <w:r w:rsidRPr="004C49DE">
        <w:rPr>
          <w:bCs w:val="0"/>
          <w:lang w:val="es-ES_tradnl" w:eastAsia="en-US"/>
        </w:rPr>
        <w:tab/>
        <w:t>Asamblea Nacional</w:t>
      </w:r>
    </w:p>
    <w:p w14:paraId="6A7AFA4E" w14:textId="77777777" w:rsidR="004A0F53" w:rsidRPr="004C49DE" w:rsidRDefault="004A0F53" w:rsidP="001A14E9">
      <w:pPr>
        <w:pStyle w:val="SingleTxt"/>
        <w:keepNext/>
        <w:keepLines/>
        <w:suppressAutoHyphens w:val="0"/>
        <w:spacing w:after="0" w:line="120" w:lineRule="exact"/>
        <w:rPr>
          <w:sz w:val="10"/>
          <w:szCs w:val="10"/>
          <w:lang w:val="es-ES_tradnl"/>
        </w:rPr>
      </w:pPr>
    </w:p>
    <w:p w14:paraId="0AE17CD9" w14:textId="31ECAB49" w:rsidR="000C3123" w:rsidRPr="004C49DE" w:rsidRDefault="000C3123" w:rsidP="001A14E9">
      <w:pPr>
        <w:pStyle w:val="SingleTxt"/>
        <w:keepNext/>
        <w:keepLines/>
        <w:numPr>
          <w:ilvl w:val="0"/>
          <w:numId w:val="6"/>
        </w:numPr>
        <w:suppressAutoHyphens w:val="0"/>
        <w:ind w:left="1267" w:firstLine="0"/>
        <w:rPr>
          <w:b/>
          <w:szCs w:val="22"/>
          <w:lang w:val="es-ES_tradnl" w:eastAsia="en-US"/>
        </w:rPr>
      </w:pPr>
      <w:r w:rsidRPr="004C49DE">
        <w:rPr>
          <w:b/>
          <w:szCs w:val="22"/>
          <w:lang w:val="es-ES_tradnl" w:eastAsia="en-US"/>
        </w:rPr>
        <w:t xml:space="preserve">El Comité destaca que la Convención es vinculante para todas las ramas del aparato del Estado e invita al Estado parte a que aliente a su Parlamento, conforme a sus procedimientos y cuando sea procedente, a que adopte las medidas necesarias con respecto a la puesta en práctica de las presentes observaciones finales y a la divulgación de la Convención (véase </w:t>
      </w:r>
      <w:hyperlink r:id="rId1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13)</w:t>
      </w:r>
      <w:r w:rsidR="00BB7BBB" w:rsidRPr="004C49DE">
        <w:rPr>
          <w:b/>
          <w:szCs w:val="22"/>
          <w:lang w:val="es-ES_tradnl" w:eastAsia="en-US"/>
        </w:rPr>
        <w:t>.</w:t>
      </w:r>
    </w:p>
    <w:p w14:paraId="077F43A3" w14:textId="15D6F717" w:rsidR="000C3123" w:rsidRPr="004C49DE" w:rsidRDefault="000C3123" w:rsidP="001A14E9">
      <w:pPr>
        <w:pStyle w:val="SingleTxt"/>
        <w:keepNext/>
        <w:keepLines/>
        <w:numPr>
          <w:ilvl w:val="0"/>
          <w:numId w:val="6"/>
        </w:numPr>
        <w:suppressAutoHyphens w:val="0"/>
        <w:ind w:left="1267" w:firstLine="0"/>
        <w:rPr>
          <w:szCs w:val="22"/>
          <w:lang w:val="es-ES_tradnl" w:eastAsia="en-US"/>
        </w:rPr>
      </w:pPr>
      <w:r w:rsidRPr="004C49DE">
        <w:rPr>
          <w:szCs w:val="22"/>
          <w:lang w:val="es-ES_tradnl" w:eastAsia="en-US"/>
        </w:rPr>
        <w:t>La Asamblea Nacional de Côte d</w:t>
      </w:r>
      <w:r w:rsidR="004C49DE">
        <w:rPr>
          <w:szCs w:val="22"/>
          <w:lang w:val="es-ES_tradnl" w:eastAsia="en-US"/>
        </w:rPr>
        <w:t>’</w:t>
      </w:r>
      <w:r w:rsidRPr="004C49DE">
        <w:rPr>
          <w:szCs w:val="22"/>
          <w:lang w:val="es-ES_tradnl" w:eastAsia="en-US"/>
        </w:rPr>
        <w:t>Ivoire, al igual que otras instituciones del país, se esfuerza por aumentar la participación de las mujeres en los puestos de adopción de decisiones</w:t>
      </w:r>
      <w:r w:rsidR="00BB7BBB" w:rsidRPr="004C49DE">
        <w:rPr>
          <w:szCs w:val="22"/>
          <w:lang w:val="es-ES_tradnl" w:eastAsia="en-US"/>
        </w:rPr>
        <w:t>.</w:t>
      </w:r>
      <w:r w:rsidRPr="004C49DE">
        <w:rPr>
          <w:szCs w:val="22"/>
          <w:lang w:val="es-ES_tradnl" w:eastAsia="en-US"/>
        </w:rPr>
        <w:t xml:space="preserve"> Así, en la última legislatura, fue posible nombrar a 3</w:t>
      </w:r>
      <w:r w:rsidR="001A14E9" w:rsidRPr="004C49DE">
        <w:rPr>
          <w:szCs w:val="22"/>
          <w:lang w:val="es-ES_tradnl" w:eastAsia="en-US"/>
        </w:rPr>
        <w:t xml:space="preserve"> </w:t>
      </w:r>
      <w:r w:rsidRPr="004C49DE">
        <w:rPr>
          <w:szCs w:val="22"/>
          <w:lang w:val="es-ES_tradnl" w:eastAsia="en-US"/>
        </w:rPr>
        <w:t>Vicepresidentas (frente a 8 hombres), 2 Secretarias de la Oficina (frente a 10</w:t>
      </w:r>
      <w:r w:rsidR="001A14E9" w:rsidRPr="004C49DE">
        <w:rPr>
          <w:szCs w:val="22"/>
          <w:lang w:val="es-ES_tradnl" w:eastAsia="en-US"/>
        </w:rPr>
        <w:t xml:space="preserve"> </w:t>
      </w:r>
      <w:r w:rsidRPr="004C49DE">
        <w:rPr>
          <w:szCs w:val="22"/>
          <w:lang w:val="es-ES_tradnl" w:eastAsia="en-US"/>
        </w:rPr>
        <w:t>hombres) y 3 Presidentas de Comisiones Permanentes (frente a 3 hombres), además del nombramiento ministerial de una Presidenta de Comisión</w:t>
      </w:r>
      <w:r w:rsidR="00BB7BBB" w:rsidRPr="004C49DE">
        <w:rPr>
          <w:szCs w:val="22"/>
          <w:lang w:val="es-ES_tradnl" w:eastAsia="en-US"/>
        </w:rPr>
        <w:t>.</w:t>
      </w:r>
      <w:r w:rsidRPr="004C49DE">
        <w:rPr>
          <w:szCs w:val="22"/>
          <w:lang w:val="es-ES_tradnl" w:eastAsia="en-US"/>
        </w:rPr>
        <w:t xml:space="preserve"> La política del Jefe de Estado tiene por objeto reforzar la participación de las mujeres en las elecciones e incrementar su representación en los procesos de toma de decisiones de la próxima legislatura</w:t>
      </w:r>
      <w:r w:rsidR="00BB7BBB" w:rsidRPr="004C49DE">
        <w:rPr>
          <w:szCs w:val="22"/>
          <w:lang w:val="es-ES_tradnl" w:eastAsia="en-US"/>
        </w:rPr>
        <w:t>.</w:t>
      </w:r>
    </w:p>
    <w:p w14:paraId="38527D89" w14:textId="679FD72C"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creación de un Grupo de Mujeres Parlamentarias en 2014 contribuyó al establecimiento de un marco de apoyo de asociados técnicos y financieros (Unión Interparlamentaria, Entidad de las Naciones Unidas para la Igualdad de Género y el Empoderamiento de las Mujeres (ONU</w:t>
      </w:r>
      <w:r w:rsidR="001A14E9" w:rsidRPr="004C49DE">
        <w:rPr>
          <w:szCs w:val="22"/>
          <w:lang w:val="es-ES_tradnl" w:eastAsia="en-US"/>
        </w:rPr>
        <w:noBreakHyphen/>
      </w:r>
      <w:r w:rsidRPr="004C49DE">
        <w:rPr>
          <w:szCs w:val="22"/>
          <w:lang w:val="es-ES_tradnl" w:eastAsia="en-US"/>
        </w:rPr>
        <w:t>Mujeres), Programa de las Naciones Unidas para el Desarrollo (PNUD), Universidad Estatal de Nueva York (SUNY)/ Agencia de los Estados Unidos para el Desarrollo Internacional (USAID), Fondo de Población de las Naciones Unidas (UNFPA)</w:t>
      </w:r>
      <w:r w:rsidR="000B3196" w:rsidRPr="004C49DE">
        <w:rPr>
          <w:szCs w:val="22"/>
          <w:lang w:val="es-ES_tradnl" w:eastAsia="en-US"/>
        </w:rPr>
        <w:t>, etc.</w:t>
      </w:r>
      <w:r w:rsidRPr="004C49DE">
        <w:rPr>
          <w:szCs w:val="22"/>
          <w:lang w:val="es-ES_tradnl" w:eastAsia="en-US"/>
        </w:rPr>
        <w:t>) para las diputadas</w:t>
      </w:r>
      <w:r w:rsidR="00BB7BBB" w:rsidRPr="004C49DE">
        <w:rPr>
          <w:szCs w:val="22"/>
          <w:lang w:val="es-ES_tradnl" w:eastAsia="en-US"/>
        </w:rPr>
        <w:t>.</w:t>
      </w:r>
    </w:p>
    <w:bookmarkEnd w:id="8"/>
    <w:p w14:paraId="4FA6C8E2" w14:textId="77777777" w:rsidR="00D90BE6" w:rsidRPr="004C49DE" w:rsidRDefault="00D90BE6" w:rsidP="00BB7BBB">
      <w:pPr>
        <w:pStyle w:val="SingleTxt"/>
        <w:suppressAutoHyphens w:val="0"/>
        <w:spacing w:after="0" w:line="120" w:lineRule="exact"/>
        <w:rPr>
          <w:sz w:val="10"/>
          <w:szCs w:val="10"/>
          <w:lang w:val="es-ES_tradnl"/>
        </w:rPr>
      </w:pPr>
    </w:p>
    <w:p w14:paraId="14A6C4FD"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Aplicación y visibilidad de la Convención</w:t>
      </w:r>
    </w:p>
    <w:p w14:paraId="516F49DF" w14:textId="6BE6E9DD" w:rsidR="00D90BE6" w:rsidRPr="004C49DE" w:rsidRDefault="00D90BE6" w:rsidP="00BB7BBB">
      <w:pPr>
        <w:pStyle w:val="SingleTxt"/>
        <w:suppressAutoHyphens w:val="0"/>
        <w:spacing w:after="0" w:line="120" w:lineRule="exact"/>
        <w:rPr>
          <w:sz w:val="10"/>
          <w:szCs w:val="10"/>
          <w:lang w:val="es-ES_tradnl"/>
        </w:rPr>
      </w:pPr>
    </w:p>
    <w:p w14:paraId="3571DBFC" w14:textId="46CC2320"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El Comité destaca la importancia de forjar un vínculo entre el restablecimiento de la norma jurídica y la incorporación de la Convención a todas las políticas de reconstrucción</w:t>
      </w:r>
      <w:r w:rsidR="00BB7BBB" w:rsidRPr="004C49DE">
        <w:rPr>
          <w:b/>
          <w:szCs w:val="22"/>
          <w:lang w:val="es-ES_tradnl" w:eastAsia="en-US"/>
        </w:rPr>
        <w:t>.</w:t>
      </w:r>
      <w:r w:rsidRPr="004C49DE">
        <w:rPr>
          <w:b/>
          <w:szCs w:val="22"/>
          <w:lang w:val="es-ES_tradnl" w:eastAsia="en-US"/>
        </w:rPr>
        <w:t xml:space="preserve"> Asimismo, recomienda que el Estado parte aplique la Convención en todas las esferas de la vida, en particular por lo que respecta al apoyo humanitario, el acceso a la justicia y la asistencia a las víctimas de los actos de violencia durante la crisis posterior a las elecciones, y vincule la aplicación de la Convención con la ejecución del Plan de Acción Nacional sobre la resolución 1325 del Consejo de Seguridad de las Naciones Unidas (véase </w:t>
      </w:r>
      <w:hyperlink r:id="rId1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15)</w:t>
      </w:r>
      <w:r w:rsidR="00BB7BBB" w:rsidRPr="004C49DE">
        <w:rPr>
          <w:b/>
          <w:szCs w:val="22"/>
          <w:lang w:val="es-ES_tradnl" w:eastAsia="en-US"/>
        </w:rPr>
        <w:t>.</w:t>
      </w:r>
    </w:p>
    <w:p w14:paraId="13DD78B5" w14:textId="705B3F19"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MPFFPE y diferentes organizaciones de la sociedad civil, como la Organisation Nationale pour l</w:t>
      </w:r>
      <w:r w:rsidR="004C49DE">
        <w:rPr>
          <w:szCs w:val="22"/>
          <w:lang w:val="es-ES_tradnl" w:eastAsia="en-US"/>
        </w:rPr>
        <w:t>’</w:t>
      </w:r>
      <w:r w:rsidRPr="004C49DE">
        <w:rPr>
          <w:szCs w:val="22"/>
          <w:lang w:val="es-ES_tradnl" w:eastAsia="en-US"/>
        </w:rPr>
        <w:t>Enfant, la Femme et la Famille (ONEF), se encargaron de divulgar la Convención sobre la Eliminación de Todas las Formas de Discriminación contra la Mujer</w:t>
      </w:r>
      <w:r w:rsidR="00BB7BBB" w:rsidRPr="004C49DE">
        <w:rPr>
          <w:szCs w:val="22"/>
          <w:lang w:val="es-ES_tradnl" w:eastAsia="en-US"/>
        </w:rPr>
        <w:t>.</w:t>
      </w:r>
      <w:r w:rsidRPr="004C49DE">
        <w:rPr>
          <w:szCs w:val="22"/>
          <w:lang w:val="es-ES_tradnl" w:eastAsia="en-US"/>
        </w:rPr>
        <w:t xml:space="preserve"> La Convención constituye un documento de referencia y orientación para diferentes actividades (sensibilización, formación, elaboración de leyes, respuesta, ratificación de tratados</w:t>
      </w:r>
      <w:r w:rsidR="00BB7BBB" w:rsidRPr="004C49DE">
        <w:rPr>
          <w:szCs w:val="22"/>
          <w:lang w:val="es-ES_tradnl" w:eastAsia="en-US"/>
        </w:rPr>
        <w:t>...</w:t>
      </w:r>
      <w:r w:rsidRPr="004C49DE">
        <w:rPr>
          <w:szCs w:val="22"/>
          <w:lang w:val="es-ES_tradnl" w:eastAsia="en-US"/>
        </w:rPr>
        <w:t>) de promoción y protección de los derechos de las mujeres y las niñas para las partes interesadas</w:t>
      </w:r>
      <w:r w:rsidR="00BB7BBB" w:rsidRPr="004C49DE">
        <w:rPr>
          <w:szCs w:val="22"/>
          <w:lang w:val="es-ES_tradnl" w:eastAsia="en-US"/>
        </w:rPr>
        <w:t>.</w:t>
      </w:r>
    </w:p>
    <w:p w14:paraId="68681494" w14:textId="5CDFE192" w:rsidR="00B82915" w:rsidRPr="004C49DE" w:rsidRDefault="00B82915" w:rsidP="00BB7BBB">
      <w:pPr>
        <w:pStyle w:val="SingleTxt"/>
        <w:suppressAutoHyphens w:val="0"/>
        <w:spacing w:after="0" w:line="120" w:lineRule="exact"/>
        <w:rPr>
          <w:sz w:val="10"/>
          <w:szCs w:val="10"/>
          <w:lang w:val="es-ES_tradnl"/>
        </w:rPr>
      </w:pPr>
    </w:p>
    <w:p w14:paraId="7BEA4E00"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Definición de la discriminación contra la mujer</w:t>
      </w:r>
    </w:p>
    <w:p w14:paraId="66BF46D7" w14:textId="77777777" w:rsidR="00B82915" w:rsidRPr="004C49DE" w:rsidRDefault="00B82915" w:rsidP="00BB7BBB">
      <w:pPr>
        <w:pStyle w:val="SingleTxt"/>
        <w:suppressAutoHyphens w:val="0"/>
        <w:spacing w:after="0" w:line="120" w:lineRule="exact"/>
        <w:rPr>
          <w:sz w:val="10"/>
          <w:szCs w:val="10"/>
          <w:lang w:val="es-ES_tradnl"/>
        </w:rPr>
      </w:pPr>
    </w:p>
    <w:p w14:paraId="530D9539" w14:textId="206C4B62"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El Comité recomienda que el Estado parte apruebe enmiendas a la Constitución u otras leyes nacionales que incluyan una definición clara de todas las formas de discriminación contra la mujer, tanto directa como indirecta, y su prohibición, de conformidad con los artículos 1 y 2 de la Convención (véase </w:t>
      </w:r>
      <w:hyperlink r:id="rId1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17)</w:t>
      </w:r>
      <w:r w:rsidR="00BB7BBB" w:rsidRPr="004C49DE">
        <w:rPr>
          <w:b/>
          <w:szCs w:val="22"/>
          <w:lang w:val="es-ES_tradnl" w:eastAsia="en-US"/>
        </w:rPr>
        <w:t>.</w:t>
      </w:r>
    </w:p>
    <w:p w14:paraId="031E5656" w14:textId="1809C89D" w:rsidR="00BB7BBB" w:rsidRPr="004C49DE" w:rsidRDefault="000C3123" w:rsidP="001A14E9">
      <w:pPr>
        <w:pStyle w:val="SingleTxt"/>
        <w:keepNext/>
        <w:keepLines/>
        <w:numPr>
          <w:ilvl w:val="0"/>
          <w:numId w:val="6"/>
        </w:numPr>
        <w:suppressAutoHyphens w:val="0"/>
        <w:ind w:left="1267" w:firstLine="0"/>
        <w:rPr>
          <w:szCs w:val="22"/>
          <w:lang w:val="es-ES_tradnl" w:eastAsia="en-US"/>
        </w:rPr>
      </w:pPr>
      <w:r w:rsidRPr="004C49DE">
        <w:rPr>
          <w:szCs w:val="22"/>
          <w:lang w:val="es-ES_tradnl" w:eastAsia="en-US"/>
        </w:rPr>
        <w:lastRenderedPageBreak/>
        <w:t>La nueva Constitución de 2016 incluye la eliminación de todas las formas de discriminación contra la mujer</w:t>
      </w:r>
      <w:r w:rsidR="00BB7BBB" w:rsidRPr="004C49DE">
        <w:rPr>
          <w:szCs w:val="22"/>
          <w:lang w:val="es-ES_tradnl" w:eastAsia="en-US"/>
        </w:rPr>
        <w:t>.</w:t>
      </w:r>
      <w:r w:rsidRPr="004C49DE">
        <w:rPr>
          <w:szCs w:val="22"/>
          <w:lang w:val="es-ES_tradnl" w:eastAsia="en-US"/>
        </w:rPr>
        <w:t xml:space="preserve"> En el artículo 4, se establece el principio de igualdad entre todos los nacionales del país y una lista de los motivos de discriminación prohibidos</w:t>
      </w:r>
      <w:r w:rsidR="00BB7BBB" w:rsidRPr="004C49DE">
        <w:rPr>
          <w:szCs w:val="22"/>
          <w:lang w:val="es-ES_tradnl" w:eastAsia="en-US"/>
        </w:rPr>
        <w:t>.</w:t>
      </w:r>
      <w:r w:rsidRPr="004C49DE">
        <w:rPr>
          <w:szCs w:val="22"/>
          <w:lang w:val="es-ES_tradnl" w:eastAsia="en-US"/>
        </w:rPr>
        <w:t xml:space="preserve"> Esta disposición figura también en los artículos</w:t>
      </w:r>
      <w:r w:rsidR="00BB7BBB" w:rsidRPr="004C49DE">
        <w:rPr>
          <w:szCs w:val="22"/>
          <w:lang w:val="es-ES_tradnl" w:eastAsia="en-US"/>
        </w:rPr>
        <w:t>.</w:t>
      </w:r>
    </w:p>
    <w:p w14:paraId="088F24D5" w14:textId="326C62FD" w:rsidR="00377EED" w:rsidRPr="004C49DE" w:rsidRDefault="00377EED" w:rsidP="001A14E9">
      <w:pPr>
        <w:pStyle w:val="SingleTxt"/>
        <w:keepNext/>
        <w:keepLines/>
        <w:suppressAutoHyphens w:val="0"/>
        <w:spacing w:after="0" w:line="120" w:lineRule="exact"/>
        <w:rPr>
          <w:sz w:val="10"/>
          <w:szCs w:val="10"/>
          <w:lang w:val="es-ES_tradnl"/>
        </w:rPr>
      </w:pPr>
    </w:p>
    <w:p w14:paraId="40E7F573" w14:textId="77777777" w:rsidR="00BB7BBB" w:rsidRPr="004C49DE" w:rsidRDefault="000C3123" w:rsidP="001A14E9">
      <w:pPr>
        <w:pStyle w:val="H23"/>
        <w:suppressAutoHyphens w:val="0"/>
        <w:ind w:right="1260"/>
        <w:rPr>
          <w:bCs w:val="0"/>
          <w:lang w:val="es-ES_tradnl" w:eastAsia="en-US"/>
        </w:rPr>
      </w:pPr>
      <w:r w:rsidRPr="004C49DE">
        <w:rPr>
          <w:bCs w:val="0"/>
          <w:lang w:val="es-ES_tradnl" w:eastAsia="en-US"/>
        </w:rPr>
        <w:tab/>
      </w:r>
      <w:r w:rsidRPr="004C49DE">
        <w:rPr>
          <w:bCs w:val="0"/>
          <w:lang w:val="es-ES_tradnl" w:eastAsia="en-US"/>
        </w:rPr>
        <w:tab/>
        <w:t>Leyes discriminatorias</w:t>
      </w:r>
    </w:p>
    <w:p w14:paraId="5E830E10" w14:textId="3DE2CD3A" w:rsidR="00377EED" w:rsidRPr="004C49DE" w:rsidRDefault="00377EED" w:rsidP="001A14E9">
      <w:pPr>
        <w:pStyle w:val="SingleTxt"/>
        <w:keepNext/>
        <w:keepLines/>
        <w:suppressAutoHyphens w:val="0"/>
        <w:spacing w:after="0" w:line="120" w:lineRule="exact"/>
        <w:rPr>
          <w:sz w:val="10"/>
          <w:szCs w:val="10"/>
          <w:lang w:val="es-ES_tradnl"/>
        </w:rPr>
      </w:pPr>
    </w:p>
    <w:p w14:paraId="64BF598C" w14:textId="7594B063"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Asignar una atención prioritaria a la elaboración de nuevas leyes y a la revisión y derogación de las disposiciones discriminatorias, en colaboración con las organizaciones pertinentes, para lograr la igualdad de género y permitir la igualdad </w:t>
      </w:r>
      <w:r w:rsidRPr="004C49DE">
        <w:rPr>
          <w:b/>
          <w:i/>
          <w:szCs w:val="22"/>
          <w:lang w:val="es-ES_tradnl" w:eastAsia="en-US"/>
        </w:rPr>
        <w:t>de facto</w:t>
      </w:r>
      <w:r w:rsidRPr="004C49DE">
        <w:rPr>
          <w:b/>
          <w:szCs w:val="22"/>
          <w:lang w:val="es-ES_tradnl" w:eastAsia="en-US"/>
        </w:rPr>
        <w:t xml:space="preserve"> de la mujer, en cumplimiento de las obligaciones del Estado parte dimanantes de la Convención (véase </w:t>
      </w:r>
      <w:hyperlink r:id="rId2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19 a))</w:t>
      </w:r>
      <w:r w:rsidR="00BB7BBB" w:rsidRPr="004C49DE">
        <w:rPr>
          <w:b/>
          <w:szCs w:val="22"/>
          <w:lang w:val="es-ES_tradnl" w:eastAsia="en-US"/>
        </w:rPr>
        <w:t>.</w:t>
      </w:r>
    </w:p>
    <w:p w14:paraId="1586150B" w14:textId="1A7CFE6E"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Asociación de Mujeres Juristas de Côte d</w:t>
      </w:r>
      <w:r w:rsidR="004C49DE">
        <w:rPr>
          <w:szCs w:val="22"/>
          <w:lang w:val="es-ES_tradnl" w:eastAsia="en-US"/>
        </w:rPr>
        <w:t>’</w:t>
      </w:r>
      <w:r w:rsidRPr="004C49DE">
        <w:rPr>
          <w:szCs w:val="22"/>
          <w:lang w:val="es-ES_tradnl" w:eastAsia="en-US"/>
        </w:rPr>
        <w:t>Ivoire (AFJCI) y la Red de Mujeres Africanas Ministras y Parlamentarias de Côte d</w:t>
      </w:r>
      <w:r w:rsidR="004C49DE">
        <w:rPr>
          <w:szCs w:val="22"/>
          <w:lang w:val="es-ES_tradnl" w:eastAsia="en-US"/>
        </w:rPr>
        <w:t>’</w:t>
      </w:r>
      <w:r w:rsidRPr="004C49DE">
        <w:rPr>
          <w:szCs w:val="22"/>
          <w:lang w:val="es-ES_tradnl" w:eastAsia="en-US"/>
        </w:rPr>
        <w:t>Ivoire</w:t>
      </w:r>
      <w:r w:rsidRPr="004C49DE">
        <w:rPr>
          <w:szCs w:val="22"/>
          <w:vertAlign w:val="superscript"/>
          <w:lang w:val="es-ES_tradnl" w:eastAsia="en-US"/>
        </w:rPr>
        <w:footnoteReference w:id="1"/>
      </w:r>
      <w:r w:rsidRPr="004C49DE">
        <w:rPr>
          <w:szCs w:val="22"/>
          <w:lang w:val="es-ES_tradnl" w:eastAsia="en-US"/>
        </w:rPr>
        <w:t>, en</w:t>
      </w:r>
      <w:r w:rsidR="00D3170D" w:rsidRPr="004C49DE">
        <w:rPr>
          <w:szCs w:val="22"/>
          <w:lang w:val="es-ES_tradnl" w:eastAsia="en-US"/>
        </w:rPr>
        <w:t> </w:t>
      </w:r>
      <w:r w:rsidRPr="004C49DE">
        <w:rPr>
          <w:szCs w:val="22"/>
          <w:lang w:val="es-ES_tradnl" w:eastAsia="en-US"/>
        </w:rPr>
        <w:t xml:space="preserve">colaboración con el </w:t>
      </w:r>
      <w:r w:rsidR="00C7444C" w:rsidRPr="004C49DE">
        <w:rPr>
          <w:szCs w:val="22"/>
          <w:lang w:val="es-ES_tradnl" w:eastAsia="en-US"/>
        </w:rPr>
        <w:t>Ministerio de la Solidaridad, de la Familia, de la Mujer y de la Infancia (</w:t>
      </w:r>
      <w:r w:rsidRPr="004C49DE">
        <w:rPr>
          <w:szCs w:val="22"/>
          <w:lang w:val="es-ES_tradnl" w:eastAsia="en-US"/>
        </w:rPr>
        <w:t>MSFFE</w:t>
      </w:r>
      <w:r w:rsidR="00C7444C" w:rsidRPr="004C49DE">
        <w:rPr>
          <w:szCs w:val="22"/>
          <w:lang w:val="es-ES_tradnl" w:eastAsia="en-US"/>
        </w:rPr>
        <w:t>)</w:t>
      </w:r>
      <w:r w:rsidRPr="004C49DE">
        <w:rPr>
          <w:szCs w:val="22"/>
          <w:lang w:val="es-ES_tradnl" w:eastAsia="en-US"/>
        </w:rPr>
        <w:t>, identificaron las disposiciones discriminatorias</w:t>
      </w:r>
      <w:r w:rsidR="00BB7BBB" w:rsidRPr="004C49DE">
        <w:rPr>
          <w:szCs w:val="22"/>
          <w:lang w:val="es-ES_tradnl" w:eastAsia="en-US"/>
        </w:rPr>
        <w:t>.</w:t>
      </w:r>
      <w:r w:rsidRPr="004C49DE">
        <w:rPr>
          <w:szCs w:val="22"/>
          <w:lang w:val="es-ES_tradnl" w:eastAsia="en-US"/>
        </w:rPr>
        <w:t xml:space="preserve"> Actualmente se están validando los proyectos de revisión del Código de la Familia y la Persona y del Código Penal, que incluyen la modificación y la eliminación de las disposiciones discriminatorias</w:t>
      </w:r>
      <w:r w:rsidR="00BB7BBB" w:rsidRPr="004C49DE">
        <w:rPr>
          <w:szCs w:val="22"/>
          <w:lang w:val="es-ES_tradnl" w:eastAsia="en-US"/>
        </w:rPr>
        <w:t>.</w:t>
      </w:r>
    </w:p>
    <w:p w14:paraId="21668DB5" w14:textId="0C018164"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imperiosa necesidad de restablecer la igualdad en sectores clave de la vida social y económica dio lugar a la derogación, modificación o aprobación de diferentes leyes</w:t>
      </w:r>
      <w:r w:rsidR="00BB7BBB" w:rsidRPr="004C49DE">
        <w:rPr>
          <w:szCs w:val="22"/>
          <w:lang w:val="es-ES_tradnl" w:eastAsia="en-US"/>
        </w:rPr>
        <w:t>.</w:t>
      </w:r>
      <w:r w:rsidRPr="004C49DE">
        <w:rPr>
          <w:szCs w:val="22"/>
          <w:lang w:val="es-ES_tradnl" w:eastAsia="en-US"/>
        </w:rPr>
        <w:t xml:space="preserve"> De esta forma, el 25 de enero de 2013 se aprobó la ley sobre el matrimonio, donde se estableció el principio de la gestión conjunta de las tareas del hogar entre los esposos y se anuló el concepto de cabeza de familia</w:t>
      </w:r>
      <w:r w:rsidR="00BB7BBB" w:rsidRPr="004C49DE">
        <w:rPr>
          <w:szCs w:val="22"/>
          <w:lang w:val="es-ES_tradnl" w:eastAsia="en-US"/>
        </w:rPr>
        <w:t>.</w:t>
      </w:r>
    </w:p>
    <w:p w14:paraId="05269D7B" w14:textId="4B2BCB7B" w:rsidR="00BB7BBB" w:rsidRPr="004C49DE" w:rsidRDefault="000C3123" w:rsidP="00BB7BBB">
      <w:pPr>
        <w:pStyle w:val="SingleTxt"/>
        <w:numPr>
          <w:ilvl w:val="0"/>
          <w:numId w:val="6"/>
        </w:numPr>
        <w:suppressAutoHyphens w:val="0"/>
        <w:ind w:left="1267" w:firstLine="0"/>
        <w:rPr>
          <w:szCs w:val="22"/>
          <w:lang w:val="es-ES_tradnl" w:eastAsia="en-US"/>
        </w:rPr>
      </w:pPr>
      <w:bookmarkStart w:id="9" w:name="Sample_7"/>
      <w:r w:rsidRPr="004C49DE">
        <w:rPr>
          <w:szCs w:val="22"/>
          <w:lang w:val="es-ES_tradnl" w:eastAsia="en-US"/>
        </w:rPr>
        <w:t>Además, el 20 de julio de 2015, se produjo una reforma significativa de la legislación sobre el trabajo por la que se rigen las personas del sector privado, en concreto la Ley núm</w:t>
      </w:r>
      <w:r w:rsidR="00BB7BBB" w:rsidRPr="004C49DE">
        <w:rPr>
          <w:szCs w:val="22"/>
          <w:lang w:val="es-ES_tradnl" w:eastAsia="en-US"/>
        </w:rPr>
        <w:t>.</w:t>
      </w:r>
      <w:r w:rsidRPr="004C49DE">
        <w:rPr>
          <w:szCs w:val="22"/>
          <w:lang w:val="es-ES_tradnl" w:eastAsia="en-US"/>
        </w:rPr>
        <w:t xml:space="preserve"> 2015</w:t>
      </w:r>
      <w:r w:rsidR="001A14E9" w:rsidRPr="004C49DE">
        <w:rPr>
          <w:szCs w:val="22"/>
          <w:lang w:val="es-ES_tradnl" w:eastAsia="en-US"/>
        </w:rPr>
        <w:noBreakHyphen/>
      </w:r>
      <w:r w:rsidRPr="004C49DE">
        <w:rPr>
          <w:szCs w:val="22"/>
          <w:lang w:val="es-ES_tradnl" w:eastAsia="en-US"/>
        </w:rPr>
        <w:t>532, de 20 de julio de 2015, que contiene una sección dedicada al trabajo de las personas con discapacidad</w:t>
      </w:r>
      <w:r w:rsidR="00BB7BBB" w:rsidRPr="004C49DE">
        <w:rPr>
          <w:szCs w:val="22"/>
          <w:lang w:val="es-ES_tradnl" w:eastAsia="en-US"/>
        </w:rPr>
        <w:t>.</w:t>
      </w:r>
    </w:p>
    <w:p w14:paraId="650B2C39" w14:textId="7AB64B95"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Promulgar, sin dilación, una ley general sobre la violencia contra la mujer (véase </w:t>
      </w:r>
      <w:hyperlink r:id="rId2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19 b))</w:t>
      </w:r>
      <w:r w:rsidR="00BB7BBB" w:rsidRPr="004C49DE">
        <w:rPr>
          <w:b/>
          <w:szCs w:val="22"/>
          <w:lang w:val="es-ES_tradnl" w:eastAsia="en-US"/>
        </w:rPr>
        <w:t>.</w:t>
      </w:r>
    </w:p>
    <w:p w14:paraId="42A8EC96" w14:textId="63C7A867"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Côte d</w:t>
      </w:r>
      <w:r w:rsidR="004C49DE">
        <w:rPr>
          <w:szCs w:val="22"/>
          <w:lang w:val="es-ES_tradnl" w:eastAsia="en-US"/>
        </w:rPr>
        <w:t>’</w:t>
      </w:r>
      <w:r w:rsidRPr="004C49DE">
        <w:rPr>
          <w:szCs w:val="22"/>
          <w:lang w:val="es-ES_tradnl" w:eastAsia="en-US"/>
        </w:rPr>
        <w:t>Ivoire no ha podido formular una ley específica sobre la violencia contra la mujer según lo recomendado en la Estrategia Nacional de Lucha contra la Violencia de Género que se aprobó en 2014; sin embargo, la reforma del sistema</w:t>
      </w:r>
      <w:r w:rsidR="001A14E9" w:rsidRPr="004C49DE">
        <w:rPr>
          <w:szCs w:val="22"/>
          <w:lang w:val="es-ES_tradnl" w:eastAsia="en-US"/>
        </w:rPr>
        <w:t xml:space="preserve"> </w:t>
      </w:r>
      <w:r w:rsidRPr="004C49DE">
        <w:rPr>
          <w:szCs w:val="22"/>
          <w:lang w:val="es-ES_tradnl" w:eastAsia="en-US"/>
        </w:rPr>
        <w:t>judicial iniciada en 2012 permite prevenir los casos de violencia y responder ante ellos</w:t>
      </w:r>
      <w:r w:rsidR="00BB7BBB" w:rsidRPr="004C49DE">
        <w:rPr>
          <w:szCs w:val="22"/>
          <w:lang w:val="es-ES_tradnl" w:eastAsia="en-US"/>
        </w:rPr>
        <w:t>.</w:t>
      </w:r>
    </w:p>
    <w:p w14:paraId="0C141D97" w14:textId="3E7E87F1" w:rsidR="000C3123" w:rsidRPr="004C49DE" w:rsidRDefault="000C3123" w:rsidP="00992A83">
      <w:pPr>
        <w:pStyle w:val="SingleTxt"/>
        <w:numPr>
          <w:ilvl w:val="0"/>
          <w:numId w:val="6"/>
        </w:numPr>
        <w:suppressAutoHyphens w:val="0"/>
        <w:ind w:left="1267" w:firstLine="0"/>
        <w:rPr>
          <w:b/>
          <w:szCs w:val="22"/>
          <w:lang w:val="es-ES_tradnl" w:eastAsia="en-US"/>
        </w:rPr>
      </w:pPr>
      <w:r w:rsidRPr="004C49DE">
        <w:rPr>
          <w:b/>
          <w:szCs w:val="22"/>
          <w:lang w:val="es-ES_tradnl" w:eastAsia="en-US"/>
        </w:rPr>
        <w:t>Realizar una revisión completa de las disposiciones discriminatorias sobre</w:t>
      </w:r>
      <w:r w:rsidR="001A14E9" w:rsidRPr="004C49DE">
        <w:rPr>
          <w:b/>
          <w:szCs w:val="22"/>
          <w:lang w:val="es-ES_tradnl" w:eastAsia="en-US"/>
        </w:rPr>
        <w:t xml:space="preserve"> </w:t>
      </w:r>
      <w:r w:rsidRPr="004C49DE">
        <w:rPr>
          <w:b/>
          <w:szCs w:val="22"/>
          <w:lang w:val="es-ES_tradnl" w:eastAsia="en-US"/>
        </w:rPr>
        <w:t xml:space="preserve">el estatuto de la persona, en particular por lo que se refiere al matrimonio, el divorcio, la herencia y el otorgamiento de todo el poder de decisión a los hombres en la familia, y modificar sin demora el </w:t>
      </w:r>
      <w:r w:rsidR="00992A83" w:rsidRPr="004C49DE">
        <w:rPr>
          <w:b/>
          <w:szCs w:val="22"/>
          <w:lang w:val="es-ES_tradnl" w:eastAsia="en-US"/>
        </w:rPr>
        <w:t>Código de la Persona y la Familia</w:t>
      </w:r>
      <w:r w:rsidRPr="004C49DE">
        <w:rPr>
          <w:b/>
          <w:szCs w:val="22"/>
          <w:lang w:val="es-ES_tradnl" w:eastAsia="en-US"/>
        </w:rPr>
        <w:t xml:space="preserve"> respecto de estas cuestiones (véase </w:t>
      </w:r>
      <w:hyperlink r:id="rId22"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19 c))</w:t>
      </w:r>
      <w:r w:rsidR="00BB7BBB" w:rsidRPr="004C49DE">
        <w:rPr>
          <w:b/>
          <w:szCs w:val="22"/>
          <w:lang w:val="es-ES_tradnl" w:eastAsia="en-US"/>
        </w:rPr>
        <w:t>.</w:t>
      </w:r>
    </w:p>
    <w:p w14:paraId="7ABFDD2E" w14:textId="17320949"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Deroga</w:t>
      </w:r>
      <w:r w:rsidR="008928E2" w:rsidRPr="004C49DE">
        <w:rPr>
          <w:b/>
          <w:szCs w:val="22"/>
          <w:lang w:val="es-ES_tradnl" w:eastAsia="en-US"/>
        </w:rPr>
        <w:t>r</w:t>
      </w:r>
      <w:r w:rsidRPr="004C49DE">
        <w:rPr>
          <w:b/>
          <w:szCs w:val="22"/>
          <w:lang w:val="es-ES_tradnl" w:eastAsia="en-US"/>
        </w:rPr>
        <w:t xml:space="preserve"> las disposiciones discriminatorias relativas a la nacionalidad, el impuesto sobre la renta y el empleo, de conformidad con las disposiciones pertinentes de la Convención (véase </w:t>
      </w:r>
      <w:hyperlink r:id="rId23"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19 d))</w:t>
      </w:r>
      <w:r w:rsidR="00BB7BBB" w:rsidRPr="004C49DE">
        <w:rPr>
          <w:b/>
          <w:szCs w:val="22"/>
          <w:lang w:val="es-ES_tradnl" w:eastAsia="en-US"/>
        </w:rPr>
        <w:t>.</w:t>
      </w:r>
    </w:p>
    <w:p w14:paraId="2D9517D0" w14:textId="59F36A1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De conformidad con las disposiciones pertinentes de la Convención, se han adoptado medidas para derogar las disposiciones discriminatorias relativas a la nacionalidad, el impuesto sobre la renta y el empleo</w:t>
      </w:r>
      <w:r w:rsidR="00BB7BBB" w:rsidRPr="004C49DE">
        <w:rPr>
          <w:szCs w:val="22"/>
          <w:lang w:val="es-ES_tradnl" w:eastAsia="en-US"/>
        </w:rPr>
        <w:t>.</w:t>
      </w:r>
    </w:p>
    <w:p w14:paraId="56E5574F" w14:textId="2371BB67"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Con respecto a la nacionalidad, se observa una igualdad de trato entre hombres y mujeres a la hora de adquirir la nacionalidad</w:t>
      </w:r>
      <w:r w:rsidR="00BB7BBB" w:rsidRPr="004C49DE">
        <w:rPr>
          <w:szCs w:val="22"/>
          <w:lang w:val="es-ES_tradnl" w:eastAsia="en-US"/>
        </w:rPr>
        <w:t>.</w:t>
      </w:r>
    </w:p>
    <w:p w14:paraId="115D809E" w14:textId="7F9DFC83"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lastRenderedPageBreak/>
        <w:t>En cuanto al empleo, existe desde el 20 de julio de 2015 una sección dedicada al trabajo de las personas con discapacidad, con arreglo a las normas de la Oficina Internacional del Trabajo</w:t>
      </w:r>
      <w:r w:rsidR="00BB7BBB" w:rsidRPr="004C49DE">
        <w:rPr>
          <w:szCs w:val="22"/>
          <w:lang w:val="es-ES_tradnl" w:eastAsia="en-US"/>
        </w:rPr>
        <w:t>.</w:t>
      </w:r>
    </w:p>
    <w:p w14:paraId="48E3855B" w14:textId="1B94F6C6"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Por último, con relación al impuesto sobre la renta, las mujeres trabajadoras se encuentran en condiciones de igualdad con los hombres en lo que respecta a las deducciones del impuesto sobre la renta</w:t>
      </w:r>
      <w:r w:rsidR="00BB7BBB" w:rsidRPr="004C49DE">
        <w:rPr>
          <w:szCs w:val="22"/>
          <w:lang w:val="es-ES_tradnl" w:eastAsia="en-US"/>
        </w:rPr>
        <w:t>.</w:t>
      </w:r>
    </w:p>
    <w:p w14:paraId="5B7FC2E2" w14:textId="77777777" w:rsidR="00A019BF" w:rsidRPr="004C49DE" w:rsidRDefault="00A019BF" w:rsidP="00BB7BBB">
      <w:pPr>
        <w:pStyle w:val="SingleTxt"/>
        <w:suppressAutoHyphens w:val="0"/>
        <w:spacing w:after="0" w:line="120" w:lineRule="exact"/>
        <w:rPr>
          <w:sz w:val="10"/>
          <w:szCs w:val="10"/>
          <w:lang w:val="es-ES_tradnl"/>
        </w:rPr>
      </w:pPr>
    </w:p>
    <w:p w14:paraId="0A632276"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Acceso a la justicia</w:t>
      </w:r>
    </w:p>
    <w:p w14:paraId="55CDAED4" w14:textId="4B1BF3C1" w:rsidR="00A019BF" w:rsidRPr="004C49DE" w:rsidRDefault="00A019BF" w:rsidP="00BB7BBB">
      <w:pPr>
        <w:pStyle w:val="SingleTxt"/>
        <w:suppressAutoHyphens w:val="0"/>
        <w:spacing w:after="0" w:line="120" w:lineRule="exact"/>
        <w:rPr>
          <w:sz w:val="10"/>
          <w:szCs w:val="10"/>
          <w:lang w:val="es-ES_tradnl"/>
        </w:rPr>
      </w:pPr>
    </w:p>
    <w:p w14:paraId="4EB8DFB8" w14:textId="759AFC19"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Garantizar el acceso efectivo de las mujeres a los tribunales, en particular de las mujeres víctimas de la violencia durante la crisis posterior a las elecciones (véase </w:t>
      </w:r>
      <w:hyperlink r:id="rId24"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21 a))</w:t>
      </w:r>
      <w:r w:rsidR="00BB7BBB" w:rsidRPr="004C49DE">
        <w:rPr>
          <w:b/>
          <w:szCs w:val="22"/>
          <w:lang w:val="es-ES_tradnl" w:eastAsia="en-US"/>
        </w:rPr>
        <w:t>.</w:t>
      </w:r>
    </w:p>
    <w:p w14:paraId="256B747B" w14:textId="33DE3A49" w:rsidR="000C3123" w:rsidRPr="004C49DE" w:rsidRDefault="000C3123" w:rsidP="00BB7BBB">
      <w:pPr>
        <w:pStyle w:val="SingleTxt"/>
        <w:numPr>
          <w:ilvl w:val="0"/>
          <w:numId w:val="6"/>
        </w:numPr>
        <w:suppressAutoHyphens w:val="0"/>
        <w:ind w:left="1267" w:firstLine="0"/>
        <w:rPr>
          <w:szCs w:val="22"/>
          <w:lang w:val="es-ES_tradnl" w:eastAsia="en-US"/>
        </w:rPr>
      </w:pPr>
      <w:bookmarkStart w:id="10" w:name="_Hlk526178560"/>
      <w:r w:rsidRPr="004C49DE">
        <w:rPr>
          <w:szCs w:val="22"/>
          <w:lang w:val="es-ES_tradnl" w:eastAsia="en-US"/>
        </w:rPr>
        <w:t>A fin de mitigar el sufrimiento de las víctimas de la crisis posterior a las elecciones, ONU</w:t>
      </w:r>
      <w:r w:rsidR="001A14E9" w:rsidRPr="004C49DE">
        <w:rPr>
          <w:szCs w:val="22"/>
          <w:lang w:val="es-ES_tradnl" w:eastAsia="en-US"/>
        </w:rPr>
        <w:noBreakHyphen/>
      </w:r>
      <w:r w:rsidRPr="004C49DE">
        <w:rPr>
          <w:szCs w:val="22"/>
          <w:lang w:val="es-ES_tradnl" w:eastAsia="en-US"/>
        </w:rPr>
        <w:t>Mujeres, en colaboración con el MSFFE, con apoyo financiero de la Unión Europea, inició el Proyecto para el Restablecimiento de los Derechos de las Mujeres Víctimas de Violencia Sexual durante el Período Posterior a las Elecciones (PRDF)</w:t>
      </w:r>
      <w:r w:rsidR="00BB7BBB" w:rsidRPr="004C49DE">
        <w:rPr>
          <w:szCs w:val="22"/>
          <w:lang w:val="es-ES_tradnl" w:eastAsia="en-US"/>
        </w:rPr>
        <w:t>.</w:t>
      </w:r>
      <w:r w:rsidRPr="004C49DE">
        <w:rPr>
          <w:szCs w:val="22"/>
          <w:lang w:val="es-ES_tradnl" w:eastAsia="en-US"/>
        </w:rPr>
        <w:t xml:space="preserve"> De esta manera, se han constituido </w:t>
      </w:r>
      <w:hyperlink r:id="rId25" w:history="1">
        <w:r w:rsidRPr="004C49DE">
          <w:rPr>
            <w:rStyle w:val="Hyperlink"/>
            <w:szCs w:val="22"/>
            <w:lang w:val="es-ES_tradnl" w:eastAsia="en-US"/>
          </w:rPr>
          <w:t>67/70</w:t>
        </w:r>
      </w:hyperlink>
      <w:r w:rsidRPr="004C49DE">
        <w:rPr>
          <w:szCs w:val="22"/>
          <w:lang w:val="es-ES_tradnl" w:eastAsia="en-US"/>
        </w:rPr>
        <w:t xml:space="preserve"> expedientes judiciales pendientes y han</w:t>
      </w:r>
      <w:r w:rsidR="001A14E9" w:rsidRPr="004C49DE">
        <w:rPr>
          <w:szCs w:val="22"/>
          <w:lang w:val="es-ES_tradnl" w:eastAsia="en-US"/>
        </w:rPr>
        <w:t xml:space="preserve"> </w:t>
      </w:r>
      <w:r w:rsidRPr="004C49DE">
        <w:rPr>
          <w:szCs w:val="22"/>
          <w:lang w:val="es-ES_tradnl" w:eastAsia="en-US"/>
        </w:rPr>
        <w:t xml:space="preserve">sido transmitidos a la Comisión Especial de Investigación, </w:t>
      </w:r>
      <w:hyperlink r:id="rId26" w:history="1">
        <w:r w:rsidRPr="004C49DE">
          <w:rPr>
            <w:rStyle w:val="Hyperlink"/>
            <w:szCs w:val="22"/>
            <w:lang w:val="es-ES_tradnl" w:eastAsia="en-US"/>
          </w:rPr>
          <w:t>54/67</w:t>
        </w:r>
      </w:hyperlink>
      <w:r w:rsidRPr="004C49DE">
        <w:rPr>
          <w:szCs w:val="22"/>
          <w:lang w:val="es-ES_tradnl" w:eastAsia="en-US"/>
        </w:rPr>
        <w:t xml:space="preserve"> mujeres denunciantes se han sometido a un reconocimiento médico y 41 han asistido, de media, a cuatro sesiones de atención psicológica</w:t>
      </w:r>
      <w:r w:rsidR="00BB7BBB" w:rsidRPr="004C49DE">
        <w:rPr>
          <w:szCs w:val="22"/>
          <w:lang w:val="es-ES_tradnl" w:eastAsia="en-US"/>
        </w:rPr>
        <w:t>.</w:t>
      </w:r>
    </w:p>
    <w:bookmarkEnd w:id="10"/>
    <w:p w14:paraId="266055F9" w14:textId="6224B48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Por otra parte, la </w:t>
      </w:r>
      <w:bookmarkStart w:id="11" w:name="_Hlk526178545"/>
      <w:r w:rsidRPr="004C49DE">
        <w:rPr>
          <w:i/>
          <w:szCs w:val="22"/>
          <w:lang w:val="es-ES_tradnl" w:eastAsia="en-US"/>
        </w:rPr>
        <w:t xml:space="preserve">Orden </w:t>
      </w:r>
      <w:bookmarkEnd w:id="11"/>
      <w:r w:rsidRPr="004C49DE">
        <w:rPr>
          <w:i/>
          <w:szCs w:val="22"/>
          <w:lang w:val="es-ES_tradnl" w:eastAsia="en-US"/>
        </w:rPr>
        <w:t>núm</w:t>
      </w:r>
      <w:r w:rsidR="00BB7BBB" w:rsidRPr="004C49DE">
        <w:rPr>
          <w:i/>
          <w:szCs w:val="22"/>
          <w:lang w:val="es-ES_tradnl" w:eastAsia="en-US"/>
        </w:rPr>
        <w:t>.</w:t>
      </w:r>
      <w:r w:rsidRPr="004C49DE">
        <w:rPr>
          <w:i/>
          <w:szCs w:val="22"/>
          <w:lang w:val="es-ES_tradnl" w:eastAsia="en-US"/>
        </w:rPr>
        <w:t xml:space="preserve"> 1651/MEME/CAB, de 5 de junio de 2012, sobre la carta que rige la acogida en los servicios policiales</w:t>
      </w:r>
      <w:r w:rsidRPr="004C49DE">
        <w:rPr>
          <w:szCs w:val="22"/>
          <w:lang w:val="es-ES_tradnl" w:eastAsia="en-US"/>
        </w:rPr>
        <w:t xml:space="preserve"> fomenta el acceso a los servicios policiales y establece una acogida privilegiada para las víctimas de delitos penales relacionados con el género</w:t>
      </w:r>
      <w:r w:rsidR="00BB7BBB" w:rsidRPr="004C49DE">
        <w:rPr>
          <w:szCs w:val="22"/>
          <w:lang w:val="es-ES_tradnl" w:eastAsia="en-US"/>
        </w:rPr>
        <w:t>.</w:t>
      </w:r>
    </w:p>
    <w:bookmarkEnd w:id="9"/>
    <w:p w14:paraId="58CEE947" w14:textId="499712BA"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Por último, las circulares emitidas por el Ministro de Justicia, Derechos Humanos y Libertades Públicas (MJDHLP) y de carácter interministerial facilitan la presentación de denuncias ligadas a la violencia por razón de género</w:t>
      </w:r>
      <w:r w:rsidR="00BB7BBB" w:rsidRPr="004C49DE">
        <w:rPr>
          <w:szCs w:val="22"/>
          <w:lang w:val="es-ES_tradnl" w:eastAsia="en-US"/>
        </w:rPr>
        <w:t>.</w:t>
      </w:r>
    </w:p>
    <w:p w14:paraId="14D82F00" w14:textId="4C6EBBB5"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Formular una política integral destinada a fortalecer el sistema judicial, entre otros medios, aumentando los recursos logísticos y humanos, y finalizar, sin demora y con la asistencia de la comunidad internacional, la reforma del sistema judicial (véase </w:t>
      </w:r>
      <w:hyperlink r:id="rId2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21 b))</w:t>
      </w:r>
      <w:r w:rsidR="00BB7BBB" w:rsidRPr="004C49DE">
        <w:rPr>
          <w:b/>
          <w:szCs w:val="22"/>
          <w:lang w:val="es-ES_tradnl" w:eastAsia="en-US"/>
        </w:rPr>
        <w:t>.</w:t>
      </w:r>
    </w:p>
    <w:p w14:paraId="448FBD2F" w14:textId="504ADE1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Con el apoyo de la comunidad internacional, se aprobó el Documento de Orientación de la Política Sectorial (DOPS) del MJDHLP para mejorar el respecto de los derechos en todos los sectores y la eficacia del sistema judicial y penitenciario de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r w:rsidRPr="004C49DE">
        <w:rPr>
          <w:szCs w:val="22"/>
          <w:lang w:val="es-ES_tradnl" w:eastAsia="en-US"/>
        </w:rPr>
        <w:t xml:space="preserve"> El DOPS se complementa con un Plan de Acción Plurianual (PAPS), está vinculado al Plan Nacional de Desarrollo y tiene cinco objetivos principales</w:t>
      </w:r>
      <w:r w:rsidR="00BB7BBB" w:rsidRPr="004C49DE">
        <w:rPr>
          <w:szCs w:val="22"/>
          <w:lang w:val="es-ES_tradnl" w:eastAsia="en-US"/>
        </w:rPr>
        <w:t>.</w:t>
      </w:r>
    </w:p>
    <w:p w14:paraId="59599807" w14:textId="4F23E2E6"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Promover el acceso de las mujeres a la justicia, en particular mediante la prestación de asistencia letrada gratuita a las mujeres que no dispongan de medios suficientes (véase </w:t>
      </w:r>
      <w:hyperlink r:id="rId2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21 c))</w:t>
      </w:r>
      <w:r w:rsidR="00BB7BBB" w:rsidRPr="004C49DE">
        <w:rPr>
          <w:b/>
          <w:szCs w:val="22"/>
          <w:lang w:val="es-ES_tradnl" w:eastAsia="en-US"/>
        </w:rPr>
        <w:t>.</w:t>
      </w:r>
    </w:p>
    <w:p w14:paraId="5D2A2A38" w14:textId="4567DC62"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Constitución de Côte d</w:t>
      </w:r>
      <w:r w:rsidR="004C49DE">
        <w:rPr>
          <w:szCs w:val="22"/>
          <w:lang w:val="es-ES_tradnl" w:eastAsia="en-US"/>
        </w:rPr>
        <w:t>’</w:t>
      </w:r>
      <w:r w:rsidRPr="004C49DE">
        <w:rPr>
          <w:szCs w:val="22"/>
          <w:lang w:val="es-ES_tradnl" w:eastAsia="en-US"/>
        </w:rPr>
        <w:t xml:space="preserve">Ivoire de 2016, en el artículo 6, establece que </w:t>
      </w:r>
      <w:r w:rsidR="004C49DE">
        <w:rPr>
          <w:szCs w:val="22"/>
          <w:lang w:val="es-ES_tradnl" w:eastAsia="en-US"/>
        </w:rPr>
        <w:t>“</w:t>
      </w:r>
      <w:r w:rsidRPr="004C49DE">
        <w:rPr>
          <w:szCs w:val="22"/>
          <w:lang w:val="es-ES_tradnl" w:eastAsia="en-US"/>
        </w:rPr>
        <w:t>todas las personas tienen derecho a un acceso libre e igualitario a la justicia</w:t>
      </w:r>
      <w:r w:rsidR="004C49DE">
        <w:rPr>
          <w:szCs w:val="22"/>
          <w:lang w:val="es-ES_tradnl" w:eastAsia="en-US"/>
        </w:rPr>
        <w:t>”</w:t>
      </w:r>
      <w:r w:rsidR="00BB7BBB" w:rsidRPr="004C49DE">
        <w:rPr>
          <w:szCs w:val="22"/>
          <w:lang w:val="es-ES_tradnl" w:eastAsia="en-US"/>
        </w:rPr>
        <w:t>.</w:t>
      </w:r>
    </w:p>
    <w:p w14:paraId="35A292D7" w14:textId="59864C1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Por lo tanto, para mejorar el acceso equitativo a los servicios de justicia, el MJDHLP, con el apoyo de diferentes asociados, puso en marcha Proyectos de Apoyo</w:t>
      </w:r>
      <w:r w:rsidR="001A14E9" w:rsidRPr="004C49DE">
        <w:rPr>
          <w:szCs w:val="22"/>
          <w:lang w:val="es-ES_tradnl" w:eastAsia="en-US"/>
        </w:rPr>
        <w:t xml:space="preserve"> </w:t>
      </w:r>
      <w:r w:rsidRPr="004C49DE">
        <w:rPr>
          <w:szCs w:val="22"/>
          <w:lang w:val="es-ES_tradnl" w:eastAsia="en-US"/>
        </w:rPr>
        <w:t>para Mejorar el Acceso a los Derechos y la Justicia en las ciudades de Côte d</w:t>
      </w:r>
      <w:r w:rsidR="004C49DE">
        <w:rPr>
          <w:szCs w:val="22"/>
          <w:lang w:val="es-ES_tradnl" w:eastAsia="en-US"/>
        </w:rPr>
        <w:t>’</w:t>
      </w:r>
      <w:r w:rsidRPr="004C49DE">
        <w:rPr>
          <w:szCs w:val="22"/>
          <w:lang w:val="es-ES_tradnl" w:eastAsia="en-US"/>
        </w:rPr>
        <w:t>Ivoire</w:t>
      </w:r>
      <w:r w:rsidRPr="004C49DE">
        <w:rPr>
          <w:szCs w:val="22"/>
          <w:vertAlign w:val="superscript"/>
          <w:lang w:val="es-ES_tradnl" w:eastAsia="en-US"/>
        </w:rPr>
        <w:footnoteReference w:id="2"/>
      </w:r>
      <w:r w:rsidR="00BB7BBB" w:rsidRPr="004C49DE">
        <w:rPr>
          <w:szCs w:val="22"/>
          <w:lang w:val="es-ES_tradnl" w:eastAsia="en-US"/>
        </w:rPr>
        <w:t>.</w:t>
      </w:r>
    </w:p>
    <w:p w14:paraId="38E81C8B" w14:textId="213CA142"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lastRenderedPageBreak/>
        <w:t xml:space="preserve">Cabe destacar que, a fin de facilitar el acceso a la justicia para todos, se creó la asistencia jurídica en la década de 1970 para las personas necesitadas (con el nombre de </w:t>
      </w:r>
      <w:r w:rsidR="004C49DE">
        <w:rPr>
          <w:szCs w:val="22"/>
          <w:lang w:val="es-ES_tradnl" w:eastAsia="en-US"/>
        </w:rPr>
        <w:t>“</w:t>
      </w:r>
      <w:r w:rsidRPr="004C49DE">
        <w:rPr>
          <w:szCs w:val="22"/>
          <w:lang w:val="es-ES_tradnl" w:eastAsia="en-US"/>
        </w:rPr>
        <w:t>asistencia letrada</w:t>
      </w:r>
      <w:r w:rsidR="004C49DE">
        <w:rPr>
          <w:szCs w:val="22"/>
          <w:lang w:val="es-ES_tradnl" w:eastAsia="en-US"/>
        </w:rPr>
        <w:t>”</w:t>
      </w:r>
      <w:r w:rsidRPr="004C49DE">
        <w:rPr>
          <w:szCs w:val="22"/>
          <w:lang w:val="es-ES_tradnl" w:eastAsia="en-US"/>
        </w:rPr>
        <w:t>)</w:t>
      </w:r>
      <w:r w:rsidR="00BB7BBB" w:rsidRPr="004C49DE">
        <w:rPr>
          <w:szCs w:val="22"/>
          <w:lang w:val="es-ES_tradnl" w:eastAsia="en-US"/>
        </w:rPr>
        <w:t>.</w:t>
      </w:r>
    </w:p>
    <w:p w14:paraId="3B9BE38D" w14:textId="2C52904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cuadro que figura a continuación se presenta una evaluación del número de solicitudes de asistencia letrada y su tratamiento a lo largo de tres años</w:t>
      </w:r>
      <w:r w:rsidR="00BB7BBB" w:rsidRPr="004C49DE">
        <w:rPr>
          <w:szCs w:val="22"/>
          <w:lang w:val="es-ES_tradnl" w:eastAsia="en-US"/>
        </w:rPr>
        <w:t>.</w:t>
      </w:r>
    </w:p>
    <w:p w14:paraId="66757701" w14:textId="77777777" w:rsidR="00E5216E" w:rsidRPr="004C49DE" w:rsidRDefault="00E5216E" w:rsidP="00BB7BBB">
      <w:pPr>
        <w:pStyle w:val="SingleTxt"/>
        <w:suppressAutoHyphens w:val="0"/>
        <w:spacing w:after="0" w:line="120" w:lineRule="exact"/>
        <w:rPr>
          <w:sz w:val="10"/>
          <w:szCs w:val="10"/>
          <w:lang w:val="es-ES_tradnl"/>
        </w:rPr>
      </w:pPr>
    </w:p>
    <w:p w14:paraId="436358F3" w14:textId="77777777" w:rsidR="000C3123" w:rsidRPr="004C49DE" w:rsidRDefault="00E11290"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r>
      <w:r w:rsidR="000C3123" w:rsidRPr="004C49DE">
        <w:rPr>
          <w:b w:val="0"/>
          <w:bCs w:val="0"/>
          <w:lang w:val="es-ES_tradnl" w:eastAsia="en-US"/>
        </w:rPr>
        <w:t>Cuadro 1</w:t>
      </w:r>
      <w:r w:rsidRPr="004C49DE">
        <w:rPr>
          <w:b w:val="0"/>
          <w:bCs w:val="0"/>
          <w:lang w:val="es-ES_tradnl" w:eastAsia="en-US"/>
        </w:rPr>
        <w:t xml:space="preserve"> </w:t>
      </w:r>
      <w:r w:rsidRPr="004C49DE">
        <w:rPr>
          <w:b w:val="0"/>
          <w:bCs w:val="0"/>
          <w:lang w:val="es-ES_tradnl" w:eastAsia="en-US"/>
        </w:rPr>
        <w:br/>
      </w:r>
      <w:r w:rsidR="000C3123" w:rsidRPr="004C49DE">
        <w:rPr>
          <w:bCs w:val="0"/>
          <w:lang w:val="es-ES_tradnl" w:eastAsia="en-US"/>
        </w:rPr>
        <w:t>Solicitudes de asistencia letrada de 2012 a 2014</w:t>
      </w:r>
    </w:p>
    <w:p w14:paraId="55583838" w14:textId="47D8FE87" w:rsidR="00E5216E" w:rsidRPr="004C49DE" w:rsidRDefault="00E5216E" w:rsidP="00BB7BBB">
      <w:pPr>
        <w:pStyle w:val="SingleTxt"/>
        <w:suppressAutoHyphens w:val="0"/>
        <w:spacing w:after="0" w:line="120" w:lineRule="exact"/>
        <w:rPr>
          <w:sz w:val="10"/>
          <w:szCs w:val="10"/>
          <w:lang w:val="es-ES_tradnl"/>
        </w:rPr>
      </w:pPr>
    </w:p>
    <w:p w14:paraId="6AA96D89" w14:textId="77777777" w:rsidR="00AC5DFF" w:rsidRPr="004C49DE" w:rsidRDefault="00AC5DFF" w:rsidP="00BB7BBB">
      <w:pPr>
        <w:pStyle w:val="SingleTxt"/>
        <w:suppressAutoHyphens w:val="0"/>
        <w:spacing w:after="0" w:line="120" w:lineRule="exact"/>
        <w:rPr>
          <w:sz w:val="10"/>
          <w:szCs w:val="10"/>
          <w:lang w:val="es-ES_tradnl"/>
        </w:rPr>
      </w:pPr>
    </w:p>
    <w:tbl>
      <w:tblPr>
        <w:tblW w:w="7370" w:type="dxa"/>
        <w:tblInd w:w="1267" w:type="dxa"/>
        <w:tblLayout w:type="fixed"/>
        <w:tblCellMar>
          <w:left w:w="0" w:type="dxa"/>
          <w:right w:w="43" w:type="dxa"/>
        </w:tblCellMar>
        <w:tblLook w:val="04A0" w:firstRow="1" w:lastRow="0" w:firstColumn="1" w:lastColumn="0" w:noHBand="0" w:noVBand="1"/>
      </w:tblPr>
      <w:tblGrid>
        <w:gridCol w:w="2306"/>
        <w:gridCol w:w="1692"/>
        <w:gridCol w:w="1692"/>
        <w:gridCol w:w="1680"/>
      </w:tblGrid>
      <w:tr w:rsidR="000C3123" w:rsidRPr="004C49DE" w14:paraId="71D00DA4" w14:textId="77777777" w:rsidTr="00262A5A">
        <w:trPr>
          <w:tblHeader/>
        </w:trPr>
        <w:tc>
          <w:tcPr>
            <w:tcW w:w="2306" w:type="dxa"/>
            <w:tcBorders>
              <w:top w:val="single" w:sz="4" w:space="0" w:color="auto"/>
              <w:bottom w:val="single" w:sz="12" w:space="0" w:color="auto"/>
            </w:tcBorders>
            <w:shd w:val="clear" w:color="auto" w:fill="auto"/>
            <w:vAlign w:val="bottom"/>
          </w:tcPr>
          <w:p w14:paraId="3471A34C"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Años</w:t>
            </w:r>
          </w:p>
        </w:tc>
        <w:tc>
          <w:tcPr>
            <w:tcW w:w="1692" w:type="dxa"/>
            <w:tcBorders>
              <w:top w:val="single" w:sz="4" w:space="0" w:color="auto"/>
              <w:bottom w:val="single" w:sz="12" w:space="0" w:color="auto"/>
            </w:tcBorders>
            <w:shd w:val="clear" w:color="auto" w:fill="auto"/>
            <w:vAlign w:val="bottom"/>
          </w:tcPr>
          <w:p w14:paraId="0692641E"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Número de solicitudes</w:t>
            </w:r>
          </w:p>
        </w:tc>
        <w:tc>
          <w:tcPr>
            <w:tcW w:w="1692" w:type="dxa"/>
            <w:tcBorders>
              <w:top w:val="single" w:sz="4" w:space="0" w:color="auto"/>
              <w:bottom w:val="single" w:sz="12" w:space="0" w:color="auto"/>
            </w:tcBorders>
            <w:shd w:val="clear" w:color="auto" w:fill="auto"/>
            <w:vAlign w:val="bottom"/>
          </w:tcPr>
          <w:p w14:paraId="39178DA5"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 xml:space="preserve">Solicitudes aceptadas </w:t>
            </w:r>
          </w:p>
        </w:tc>
        <w:tc>
          <w:tcPr>
            <w:tcW w:w="1680" w:type="dxa"/>
            <w:tcBorders>
              <w:top w:val="single" w:sz="4" w:space="0" w:color="auto"/>
              <w:bottom w:val="single" w:sz="12" w:space="0" w:color="auto"/>
            </w:tcBorders>
            <w:shd w:val="clear" w:color="auto" w:fill="auto"/>
            <w:vAlign w:val="bottom"/>
          </w:tcPr>
          <w:p w14:paraId="57A1B600"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Solicitudes denegadas</w:t>
            </w:r>
          </w:p>
        </w:tc>
      </w:tr>
      <w:tr w:rsidR="00445891" w:rsidRPr="004C49DE" w14:paraId="4F92A906" w14:textId="77777777" w:rsidTr="00262A5A">
        <w:trPr>
          <w:trHeight w:hRule="exact" w:val="115"/>
          <w:tblHeader/>
        </w:trPr>
        <w:tc>
          <w:tcPr>
            <w:tcW w:w="2306" w:type="dxa"/>
            <w:tcBorders>
              <w:top w:val="single" w:sz="12" w:space="0" w:color="auto"/>
            </w:tcBorders>
            <w:shd w:val="clear" w:color="auto" w:fill="auto"/>
            <w:vAlign w:val="bottom"/>
          </w:tcPr>
          <w:p w14:paraId="55A83F24" w14:textId="77777777" w:rsidR="00445891" w:rsidRPr="004C49DE" w:rsidRDefault="00445891" w:rsidP="00BB7BBB">
            <w:pPr>
              <w:suppressAutoHyphens w:val="0"/>
              <w:spacing w:before="40" w:after="80" w:line="210" w:lineRule="exact"/>
              <w:rPr>
                <w:bCs/>
                <w:kern w:val="0"/>
                <w:sz w:val="17"/>
                <w:szCs w:val="17"/>
                <w:lang w:val="es-ES_tradnl" w:eastAsia="en-US"/>
              </w:rPr>
            </w:pPr>
          </w:p>
        </w:tc>
        <w:tc>
          <w:tcPr>
            <w:tcW w:w="1692" w:type="dxa"/>
            <w:tcBorders>
              <w:top w:val="single" w:sz="12" w:space="0" w:color="auto"/>
            </w:tcBorders>
            <w:shd w:val="clear" w:color="auto" w:fill="auto"/>
            <w:vAlign w:val="bottom"/>
          </w:tcPr>
          <w:p w14:paraId="328B3DF1" w14:textId="77777777" w:rsidR="00445891" w:rsidRPr="004C49DE" w:rsidRDefault="00445891" w:rsidP="00BB7BBB">
            <w:pPr>
              <w:suppressAutoHyphens w:val="0"/>
              <w:spacing w:before="40" w:after="40" w:line="220" w:lineRule="exact"/>
              <w:rPr>
                <w:kern w:val="0"/>
                <w:sz w:val="17"/>
                <w:szCs w:val="17"/>
                <w:lang w:val="es-ES_tradnl" w:eastAsia="en-US"/>
              </w:rPr>
            </w:pPr>
          </w:p>
        </w:tc>
        <w:tc>
          <w:tcPr>
            <w:tcW w:w="1692" w:type="dxa"/>
            <w:tcBorders>
              <w:top w:val="single" w:sz="12" w:space="0" w:color="auto"/>
            </w:tcBorders>
            <w:shd w:val="clear" w:color="auto" w:fill="auto"/>
            <w:vAlign w:val="bottom"/>
          </w:tcPr>
          <w:p w14:paraId="22D415AD" w14:textId="77777777" w:rsidR="00445891" w:rsidRPr="004C49DE" w:rsidRDefault="00445891" w:rsidP="00BB7BBB">
            <w:pPr>
              <w:suppressAutoHyphens w:val="0"/>
              <w:spacing w:before="40" w:after="40" w:line="220" w:lineRule="exact"/>
              <w:rPr>
                <w:kern w:val="0"/>
                <w:sz w:val="17"/>
                <w:szCs w:val="17"/>
                <w:lang w:val="es-ES_tradnl" w:eastAsia="en-US"/>
              </w:rPr>
            </w:pPr>
          </w:p>
        </w:tc>
        <w:tc>
          <w:tcPr>
            <w:tcW w:w="1680" w:type="dxa"/>
            <w:tcBorders>
              <w:top w:val="single" w:sz="12" w:space="0" w:color="auto"/>
            </w:tcBorders>
            <w:shd w:val="clear" w:color="auto" w:fill="auto"/>
            <w:vAlign w:val="bottom"/>
          </w:tcPr>
          <w:p w14:paraId="3D50607E" w14:textId="77777777" w:rsidR="00445891" w:rsidRPr="004C49DE" w:rsidRDefault="00445891" w:rsidP="00BB7BBB">
            <w:pPr>
              <w:suppressAutoHyphens w:val="0"/>
              <w:spacing w:before="40" w:after="40" w:line="220" w:lineRule="exact"/>
              <w:rPr>
                <w:kern w:val="0"/>
                <w:sz w:val="17"/>
                <w:szCs w:val="17"/>
                <w:lang w:val="es-ES_tradnl" w:eastAsia="en-US"/>
              </w:rPr>
            </w:pPr>
          </w:p>
        </w:tc>
      </w:tr>
      <w:tr w:rsidR="000C3123" w:rsidRPr="004C49DE" w14:paraId="7394199A" w14:textId="77777777" w:rsidTr="00262A5A">
        <w:tc>
          <w:tcPr>
            <w:tcW w:w="2306" w:type="dxa"/>
            <w:shd w:val="clear" w:color="auto" w:fill="auto"/>
            <w:vAlign w:val="bottom"/>
          </w:tcPr>
          <w:p w14:paraId="486B308F"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2012</w:t>
            </w:r>
          </w:p>
        </w:tc>
        <w:tc>
          <w:tcPr>
            <w:tcW w:w="1692" w:type="dxa"/>
            <w:shd w:val="clear" w:color="auto" w:fill="auto"/>
            <w:vAlign w:val="bottom"/>
          </w:tcPr>
          <w:p w14:paraId="5332AE92"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193</w:t>
            </w:r>
          </w:p>
        </w:tc>
        <w:tc>
          <w:tcPr>
            <w:tcW w:w="1692" w:type="dxa"/>
            <w:shd w:val="clear" w:color="auto" w:fill="auto"/>
            <w:vAlign w:val="bottom"/>
          </w:tcPr>
          <w:p w14:paraId="5A6001F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148 (76,68%)</w:t>
            </w:r>
          </w:p>
        </w:tc>
        <w:tc>
          <w:tcPr>
            <w:tcW w:w="1680" w:type="dxa"/>
            <w:shd w:val="clear" w:color="auto" w:fill="auto"/>
            <w:vAlign w:val="bottom"/>
          </w:tcPr>
          <w:p w14:paraId="30381BED"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45 (23,32%)</w:t>
            </w:r>
          </w:p>
        </w:tc>
      </w:tr>
      <w:tr w:rsidR="000C3123" w:rsidRPr="004C49DE" w14:paraId="329A6155" w14:textId="77777777" w:rsidTr="00262A5A">
        <w:tc>
          <w:tcPr>
            <w:tcW w:w="2306" w:type="dxa"/>
            <w:shd w:val="clear" w:color="auto" w:fill="auto"/>
            <w:vAlign w:val="bottom"/>
          </w:tcPr>
          <w:p w14:paraId="13A7263A"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2013</w:t>
            </w:r>
          </w:p>
        </w:tc>
        <w:tc>
          <w:tcPr>
            <w:tcW w:w="1692" w:type="dxa"/>
            <w:shd w:val="clear" w:color="auto" w:fill="auto"/>
            <w:vAlign w:val="bottom"/>
          </w:tcPr>
          <w:p w14:paraId="0E724D8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141</w:t>
            </w:r>
          </w:p>
        </w:tc>
        <w:tc>
          <w:tcPr>
            <w:tcW w:w="1692" w:type="dxa"/>
            <w:shd w:val="clear" w:color="auto" w:fill="auto"/>
            <w:vAlign w:val="bottom"/>
          </w:tcPr>
          <w:p w14:paraId="5214C7F9"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139 (95,58%)</w:t>
            </w:r>
          </w:p>
        </w:tc>
        <w:tc>
          <w:tcPr>
            <w:tcW w:w="1680" w:type="dxa"/>
            <w:shd w:val="clear" w:color="auto" w:fill="auto"/>
            <w:vAlign w:val="bottom"/>
          </w:tcPr>
          <w:p w14:paraId="02488170"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 (4,42%)</w:t>
            </w:r>
          </w:p>
        </w:tc>
      </w:tr>
      <w:tr w:rsidR="000C3123" w:rsidRPr="004C49DE" w14:paraId="1C5603F1" w14:textId="77777777" w:rsidTr="00262A5A">
        <w:tc>
          <w:tcPr>
            <w:tcW w:w="2306" w:type="dxa"/>
            <w:tcBorders>
              <w:bottom w:val="single" w:sz="2" w:space="0" w:color="auto"/>
            </w:tcBorders>
            <w:shd w:val="clear" w:color="auto" w:fill="auto"/>
            <w:vAlign w:val="bottom"/>
          </w:tcPr>
          <w:p w14:paraId="6794C3D5" w14:textId="04B31556"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2014 (de ene</w:t>
            </w:r>
            <w:r w:rsidR="00BB7BBB" w:rsidRPr="004C49DE">
              <w:rPr>
                <w:bCs/>
                <w:kern w:val="0"/>
                <w:sz w:val="17"/>
                <w:szCs w:val="17"/>
                <w:lang w:val="es-ES_tradnl" w:eastAsia="en-US"/>
              </w:rPr>
              <w:t>.</w:t>
            </w:r>
            <w:r w:rsidRPr="004C49DE">
              <w:rPr>
                <w:bCs/>
                <w:kern w:val="0"/>
                <w:sz w:val="17"/>
                <w:szCs w:val="17"/>
                <w:lang w:val="es-ES_tradnl" w:eastAsia="en-US"/>
              </w:rPr>
              <w:t xml:space="preserve"> a nov</w:t>
            </w:r>
            <w:r w:rsidR="00BB7BBB" w:rsidRPr="004C49DE">
              <w:rPr>
                <w:bCs/>
                <w:kern w:val="0"/>
                <w:sz w:val="17"/>
                <w:szCs w:val="17"/>
                <w:lang w:val="es-ES_tradnl" w:eastAsia="en-US"/>
              </w:rPr>
              <w:t>.</w:t>
            </w:r>
            <w:r w:rsidRPr="004C49DE">
              <w:rPr>
                <w:bCs/>
                <w:kern w:val="0"/>
                <w:sz w:val="17"/>
                <w:szCs w:val="17"/>
                <w:lang w:val="es-ES_tradnl" w:eastAsia="en-US"/>
              </w:rPr>
              <w:t xml:space="preserve"> de 2014)</w:t>
            </w:r>
          </w:p>
        </w:tc>
        <w:tc>
          <w:tcPr>
            <w:tcW w:w="1692" w:type="dxa"/>
            <w:tcBorders>
              <w:bottom w:val="single" w:sz="2" w:space="0" w:color="auto"/>
            </w:tcBorders>
            <w:shd w:val="clear" w:color="auto" w:fill="auto"/>
            <w:vAlign w:val="bottom"/>
          </w:tcPr>
          <w:p w14:paraId="5129BDEF"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140</w:t>
            </w:r>
          </w:p>
        </w:tc>
        <w:tc>
          <w:tcPr>
            <w:tcW w:w="1692" w:type="dxa"/>
            <w:tcBorders>
              <w:bottom w:val="single" w:sz="2" w:space="0" w:color="auto"/>
            </w:tcBorders>
            <w:shd w:val="clear" w:color="auto" w:fill="auto"/>
            <w:vAlign w:val="bottom"/>
          </w:tcPr>
          <w:p w14:paraId="496867D2"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109 (77,85%)</w:t>
            </w:r>
          </w:p>
        </w:tc>
        <w:tc>
          <w:tcPr>
            <w:tcW w:w="1680" w:type="dxa"/>
            <w:tcBorders>
              <w:bottom w:val="single" w:sz="2" w:space="0" w:color="auto"/>
            </w:tcBorders>
            <w:shd w:val="clear" w:color="auto" w:fill="auto"/>
            <w:vAlign w:val="bottom"/>
          </w:tcPr>
          <w:p w14:paraId="4563AFA4"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31 (22,15%)</w:t>
            </w:r>
          </w:p>
        </w:tc>
      </w:tr>
      <w:tr w:rsidR="000C3123" w:rsidRPr="004C49DE" w14:paraId="7FC934AA" w14:textId="77777777" w:rsidTr="00262A5A">
        <w:tc>
          <w:tcPr>
            <w:tcW w:w="2306" w:type="dxa"/>
            <w:tcBorders>
              <w:top w:val="single" w:sz="2" w:space="0" w:color="auto"/>
              <w:bottom w:val="single" w:sz="12" w:space="0" w:color="auto"/>
            </w:tcBorders>
            <w:shd w:val="clear" w:color="auto" w:fill="auto"/>
            <w:vAlign w:val="bottom"/>
          </w:tcPr>
          <w:p w14:paraId="2AE1F477" w14:textId="77777777" w:rsidR="000C3123" w:rsidRPr="004C49DE" w:rsidRDefault="00445891" w:rsidP="00BB7BBB">
            <w:pPr>
              <w:tabs>
                <w:tab w:val="left" w:pos="365"/>
              </w:tabs>
              <w:suppressAutoHyphens w:val="0"/>
              <w:spacing w:before="80" w:after="80" w:line="210" w:lineRule="exact"/>
              <w:rPr>
                <w:b/>
                <w:bCs/>
                <w:kern w:val="0"/>
                <w:sz w:val="17"/>
                <w:szCs w:val="17"/>
                <w:lang w:val="es-ES_tradnl" w:eastAsia="en-US"/>
              </w:rPr>
            </w:pPr>
            <w:r w:rsidRPr="004C49DE">
              <w:rPr>
                <w:b/>
                <w:bCs/>
                <w:kern w:val="0"/>
                <w:sz w:val="17"/>
                <w:szCs w:val="17"/>
                <w:lang w:val="es-ES_tradnl" w:eastAsia="en-US"/>
              </w:rPr>
              <w:tab/>
            </w:r>
            <w:r w:rsidR="000C3123" w:rsidRPr="004C49DE">
              <w:rPr>
                <w:b/>
                <w:bCs/>
                <w:kern w:val="0"/>
                <w:sz w:val="17"/>
                <w:szCs w:val="17"/>
                <w:lang w:val="es-ES_tradnl" w:eastAsia="en-US"/>
              </w:rPr>
              <w:t>Total</w:t>
            </w:r>
          </w:p>
        </w:tc>
        <w:tc>
          <w:tcPr>
            <w:tcW w:w="1692" w:type="dxa"/>
            <w:tcBorders>
              <w:top w:val="single" w:sz="2" w:space="0" w:color="auto"/>
              <w:bottom w:val="single" w:sz="12" w:space="0" w:color="auto"/>
            </w:tcBorders>
            <w:shd w:val="clear" w:color="auto" w:fill="auto"/>
            <w:vAlign w:val="bottom"/>
          </w:tcPr>
          <w:p w14:paraId="396C50BF"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474</w:t>
            </w:r>
          </w:p>
        </w:tc>
        <w:tc>
          <w:tcPr>
            <w:tcW w:w="1692" w:type="dxa"/>
            <w:tcBorders>
              <w:top w:val="single" w:sz="2" w:space="0" w:color="auto"/>
              <w:bottom w:val="single" w:sz="12" w:space="0" w:color="auto"/>
            </w:tcBorders>
            <w:shd w:val="clear" w:color="auto" w:fill="auto"/>
            <w:vAlign w:val="bottom"/>
          </w:tcPr>
          <w:p w14:paraId="0B628F39"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396 (83,54%)</w:t>
            </w:r>
          </w:p>
        </w:tc>
        <w:tc>
          <w:tcPr>
            <w:tcW w:w="1680" w:type="dxa"/>
            <w:tcBorders>
              <w:top w:val="single" w:sz="2" w:space="0" w:color="auto"/>
              <w:bottom w:val="single" w:sz="12" w:space="0" w:color="auto"/>
            </w:tcBorders>
            <w:shd w:val="clear" w:color="auto" w:fill="auto"/>
            <w:vAlign w:val="bottom"/>
          </w:tcPr>
          <w:p w14:paraId="5F1D3D65"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78 (16,46%)</w:t>
            </w:r>
          </w:p>
        </w:tc>
      </w:tr>
    </w:tbl>
    <w:p w14:paraId="64F649F4" w14:textId="77777777" w:rsidR="001D3214" w:rsidRPr="004C49DE" w:rsidRDefault="001D3214" w:rsidP="00BB7BBB">
      <w:pPr>
        <w:pStyle w:val="SingleTxt"/>
        <w:suppressAutoHyphens w:val="0"/>
        <w:spacing w:after="0" w:line="120" w:lineRule="exact"/>
        <w:rPr>
          <w:sz w:val="10"/>
          <w:szCs w:val="10"/>
          <w:lang w:val="es-ES_tradnl"/>
        </w:rPr>
      </w:pPr>
    </w:p>
    <w:p w14:paraId="577FFA91" w14:textId="4F61BBB5" w:rsidR="000C3123" w:rsidRPr="004C49DE" w:rsidRDefault="00C666C5" w:rsidP="00BB7BBB">
      <w:pPr>
        <w:pStyle w:val="FootnoteText"/>
        <w:widowControl/>
        <w:tabs>
          <w:tab w:val="clear" w:pos="418"/>
          <w:tab w:val="right" w:pos="1476"/>
          <w:tab w:val="left" w:pos="1548"/>
          <w:tab w:val="right" w:pos="1836"/>
          <w:tab w:val="left" w:pos="1908"/>
        </w:tabs>
        <w:suppressAutoHyphens w:val="0"/>
        <w:ind w:left="1548" w:right="1065" w:hanging="289"/>
        <w:rPr>
          <w:w w:val="104"/>
          <w:kern w:val="0"/>
          <w:szCs w:val="22"/>
          <w:lang w:val="es-ES_tradnl" w:eastAsia="en-US"/>
        </w:rPr>
      </w:pPr>
      <w:r w:rsidRPr="004C49DE">
        <w:rPr>
          <w:i/>
          <w:w w:val="104"/>
          <w:kern w:val="0"/>
          <w:szCs w:val="22"/>
          <w:lang w:val="es-ES_tradnl" w:eastAsia="en-US"/>
        </w:rPr>
        <w:tab/>
      </w:r>
      <w:r w:rsidR="000C3123" w:rsidRPr="004C49DE">
        <w:rPr>
          <w:i/>
          <w:w w:val="104"/>
          <w:kern w:val="0"/>
          <w:szCs w:val="22"/>
          <w:lang w:val="es-ES_tradnl" w:eastAsia="en-US"/>
        </w:rPr>
        <w:t xml:space="preserve">Fuente: </w:t>
      </w:r>
      <w:r w:rsidR="000C3123" w:rsidRPr="004C49DE">
        <w:rPr>
          <w:w w:val="104"/>
          <w:kern w:val="0"/>
          <w:szCs w:val="22"/>
          <w:lang w:val="es-ES_tradnl" w:eastAsia="en-US"/>
        </w:rPr>
        <w:t>Dirección de Asuntos Civiles y Penales del Ministerio de Justicia</w:t>
      </w:r>
      <w:r w:rsidR="00BB7BBB" w:rsidRPr="004C49DE">
        <w:rPr>
          <w:w w:val="104"/>
          <w:kern w:val="0"/>
          <w:szCs w:val="22"/>
          <w:lang w:val="es-ES_tradnl" w:eastAsia="en-US"/>
        </w:rPr>
        <w:t>.</w:t>
      </w:r>
    </w:p>
    <w:p w14:paraId="63BC8037" w14:textId="00DC2193" w:rsidR="001D3214" w:rsidRPr="004C49DE" w:rsidRDefault="001D3214" w:rsidP="00BB7BBB">
      <w:pPr>
        <w:pStyle w:val="SingleTxt"/>
        <w:suppressAutoHyphens w:val="0"/>
        <w:spacing w:after="0" w:line="120" w:lineRule="exact"/>
        <w:rPr>
          <w:sz w:val="10"/>
          <w:szCs w:val="10"/>
          <w:lang w:val="es-ES_tradnl"/>
        </w:rPr>
      </w:pPr>
    </w:p>
    <w:p w14:paraId="1800C119" w14:textId="77777777" w:rsidR="00AC5DFF" w:rsidRPr="004C49DE" w:rsidRDefault="00AC5DFF" w:rsidP="00BB7BBB">
      <w:pPr>
        <w:pStyle w:val="SingleTxt"/>
        <w:suppressAutoHyphens w:val="0"/>
        <w:spacing w:after="0" w:line="120" w:lineRule="exact"/>
        <w:rPr>
          <w:sz w:val="10"/>
          <w:szCs w:val="10"/>
          <w:lang w:val="es-ES_tradnl"/>
        </w:rPr>
      </w:pPr>
    </w:p>
    <w:p w14:paraId="518F9B44" w14:textId="77777777" w:rsidR="001D3214" w:rsidRPr="004C49DE" w:rsidRDefault="001D3214" w:rsidP="00BB7BBB">
      <w:pPr>
        <w:pStyle w:val="SingleTxt"/>
        <w:suppressAutoHyphens w:val="0"/>
        <w:spacing w:after="0" w:line="120" w:lineRule="exact"/>
        <w:rPr>
          <w:sz w:val="10"/>
          <w:szCs w:val="10"/>
          <w:lang w:val="es-ES_tradnl"/>
        </w:rPr>
      </w:pPr>
    </w:p>
    <w:p w14:paraId="0D445F04" w14:textId="60AFBE96"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número de solicitudes es relativamente bajo en comparación con la población que vive en Côte d</w:t>
      </w:r>
      <w:r w:rsidR="004C49DE">
        <w:rPr>
          <w:szCs w:val="22"/>
          <w:lang w:val="es-ES_tradnl" w:eastAsia="en-US"/>
        </w:rPr>
        <w:t>’</w:t>
      </w:r>
      <w:r w:rsidRPr="004C49DE">
        <w:rPr>
          <w:szCs w:val="22"/>
          <w:lang w:val="es-ES_tradnl" w:eastAsia="en-US"/>
        </w:rPr>
        <w:t>Ivoire, el índice de pobreza y el costo relativamente elevado de las costas judiciales, la centralización geográfica de la asistencia letrada y el desconocimiento entre la población</w:t>
      </w:r>
      <w:r w:rsidR="00DA55A2" w:rsidRPr="004C49DE">
        <w:rPr>
          <w:szCs w:val="22"/>
          <w:lang w:val="es-ES_tradnl" w:eastAsia="en-US"/>
        </w:rPr>
        <w:t xml:space="preserve"> </w:t>
      </w:r>
      <w:r w:rsidRPr="004C49DE">
        <w:rPr>
          <w:szCs w:val="22"/>
          <w:lang w:val="es-ES_tradnl" w:eastAsia="en-US"/>
        </w:rPr>
        <w:t>que puede beneficiarse de ella</w:t>
      </w:r>
      <w:r w:rsidR="00BB7BBB" w:rsidRPr="004C49DE">
        <w:rPr>
          <w:szCs w:val="22"/>
          <w:lang w:val="es-ES_tradnl" w:eastAsia="en-US"/>
        </w:rPr>
        <w:t>.</w:t>
      </w:r>
    </w:p>
    <w:p w14:paraId="2D269313" w14:textId="2049707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Sin embargo, lamentablemente no existen datos desglosados por sexo</w:t>
      </w:r>
      <w:r w:rsidR="00BB7BBB" w:rsidRPr="004C49DE">
        <w:rPr>
          <w:szCs w:val="22"/>
          <w:lang w:val="es-ES_tradnl" w:eastAsia="en-US"/>
        </w:rPr>
        <w:t>.</w:t>
      </w:r>
    </w:p>
    <w:p w14:paraId="5C3980CD" w14:textId="7B98DA32"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vista de esta situación, el Presidente de la República, sobre la base del</w:t>
      </w:r>
      <w:r w:rsidR="001A14E9" w:rsidRPr="004C49DE">
        <w:rPr>
          <w:szCs w:val="22"/>
          <w:lang w:val="es-ES_tradnl" w:eastAsia="en-US"/>
        </w:rPr>
        <w:t xml:space="preserve"> </w:t>
      </w:r>
      <w:r w:rsidRPr="004C49DE">
        <w:rPr>
          <w:szCs w:val="22"/>
          <w:lang w:val="es-ES_tradnl" w:eastAsia="en-US"/>
        </w:rPr>
        <w:t xml:space="preserve">informe del Ministro de Justicia, promulgó el </w:t>
      </w:r>
      <w:r w:rsidRPr="004C49DE">
        <w:rPr>
          <w:i/>
          <w:szCs w:val="22"/>
          <w:lang w:val="es-ES_tradnl" w:eastAsia="en-US"/>
        </w:rPr>
        <w:t>Decreto núm</w:t>
      </w:r>
      <w:r w:rsidR="00BB7BBB" w:rsidRPr="004C49DE">
        <w:rPr>
          <w:i/>
          <w:szCs w:val="22"/>
          <w:lang w:val="es-ES_tradnl" w:eastAsia="en-US"/>
        </w:rPr>
        <w:t>.</w:t>
      </w:r>
      <w:r w:rsidRPr="004C49DE">
        <w:rPr>
          <w:i/>
          <w:szCs w:val="22"/>
          <w:lang w:val="es-ES_tradnl" w:eastAsia="en-US"/>
        </w:rPr>
        <w:t xml:space="preserve"> 2016</w:t>
      </w:r>
      <w:r w:rsidR="001A14E9" w:rsidRPr="004C49DE">
        <w:rPr>
          <w:i/>
          <w:szCs w:val="22"/>
          <w:lang w:val="es-ES_tradnl" w:eastAsia="en-US"/>
        </w:rPr>
        <w:noBreakHyphen/>
      </w:r>
      <w:r w:rsidRPr="004C49DE">
        <w:rPr>
          <w:i/>
          <w:szCs w:val="22"/>
          <w:lang w:val="es-ES_tradnl" w:eastAsia="en-US"/>
        </w:rPr>
        <w:t>781, de 12 de octubre de 2016, por el que se establecen las formas de aplicación de la Ley 72</w:t>
      </w:r>
      <w:r w:rsidR="001A14E9" w:rsidRPr="004C49DE">
        <w:rPr>
          <w:i/>
          <w:szCs w:val="22"/>
          <w:lang w:val="es-ES_tradnl" w:eastAsia="en-US"/>
        </w:rPr>
        <w:noBreakHyphen/>
      </w:r>
      <w:r w:rsidRPr="004C49DE">
        <w:rPr>
          <w:i/>
          <w:szCs w:val="22"/>
          <w:lang w:val="es-ES_tradnl" w:eastAsia="en-US"/>
        </w:rPr>
        <w:t>833, de 21 de diciembre de 1972, relativa al Código de Procedimiento Civil, Comercial y Administrativo con relación a la asistencia letrada</w:t>
      </w:r>
      <w:r w:rsidR="00BB7BBB" w:rsidRPr="004C49DE">
        <w:rPr>
          <w:szCs w:val="22"/>
          <w:lang w:val="es-ES_tradnl" w:eastAsia="en-US"/>
        </w:rPr>
        <w:t>.</w:t>
      </w:r>
      <w:r w:rsidRPr="004C49DE">
        <w:rPr>
          <w:szCs w:val="22"/>
          <w:lang w:val="es-ES_tradnl" w:eastAsia="en-US"/>
        </w:rPr>
        <w:t xml:space="preserve"> El artículo 2 dispone que </w:t>
      </w:r>
      <w:r w:rsidR="004C49DE">
        <w:rPr>
          <w:szCs w:val="22"/>
          <w:lang w:val="es-ES_tradnl" w:eastAsia="en-US"/>
        </w:rPr>
        <w:t>“</w:t>
      </w:r>
      <w:r w:rsidRPr="004C49DE">
        <w:rPr>
          <w:szCs w:val="22"/>
          <w:lang w:val="es-ES_tradnl" w:eastAsia="en-US"/>
        </w:rPr>
        <w:t>se crea, para poner en práctica la asistencia jurídica, una oficina local en cada tribunal de primera instancia y una oficina central en la cancillería</w:t>
      </w:r>
      <w:r w:rsidR="004C49DE">
        <w:rPr>
          <w:szCs w:val="22"/>
          <w:lang w:val="es-ES_tradnl" w:eastAsia="en-US"/>
        </w:rPr>
        <w:t>”</w:t>
      </w:r>
      <w:r w:rsidR="00BB7BBB" w:rsidRPr="004C49DE">
        <w:rPr>
          <w:szCs w:val="22"/>
          <w:lang w:val="es-ES_tradnl" w:eastAsia="en-US"/>
        </w:rPr>
        <w:t>.</w:t>
      </w:r>
    </w:p>
    <w:p w14:paraId="40CB721E" w14:textId="6CBAE5E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Además, el </w:t>
      </w:r>
      <w:r w:rsidRPr="004C49DE">
        <w:rPr>
          <w:i/>
          <w:szCs w:val="22"/>
          <w:lang w:val="es-ES_tradnl" w:eastAsia="en-US"/>
        </w:rPr>
        <w:t>Decreto núm</w:t>
      </w:r>
      <w:r w:rsidR="00BB7BBB" w:rsidRPr="004C49DE">
        <w:rPr>
          <w:i/>
          <w:szCs w:val="22"/>
          <w:lang w:val="es-ES_tradnl" w:eastAsia="en-US"/>
        </w:rPr>
        <w:t>.</w:t>
      </w:r>
      <w:r w:rsidRPr="004C49DE">
        <w:rPr>
          <w:i/>
          <w:szCs w:val="22"/>
          <w:lang w:val="es-ES_tradnl" w:eastAsia="en-US"/>
        </w:rPr>
        <w:t xml:space="preserve"> 2014</w:t>
      </w:r>
      <w:r w:rsidR="001A14E9" w:rsidRPr="004C49DE">
        <w:rPr>
          <w:i/>
          <w:szCs w:val="22"/>
          <w:lang w:val="es-ES_tradnl" w:eastAsia="en-US"/>
        </w:rPr>
        <w:noBreakHyphen/>
      </w:r>
      <w:r w:rsidRPr="004C49DE">
        <w:rPr>
          <w:i/>
          <w:szCs w:val="22"/>
          <w:lang w:val="es-ES_tradnl" w:eastAsia="en-US"/>
        </w:rPr>
        <w:t>259, de 14 de mayo de 2014, relativo a los precios de la remuneración y las costas judiciales en causas civiles, comerciales, administrativas y sociales mediante la modificación del artículo 74 del Decreto núm</w:t>
      </w:r>
      <w:r w:rsidR="00BB7BBB" w:rsidRPr="004C49DE">
        <w:rPr>
          <w:i/>
          <w:szCs w:val="22"/>
          <w:lang w:val="es-ES_tradnl" w:eastAsia="en-US"/>
        </w:rPr>
        <w:t>.</w:t>
      </w:r>
      <w:r w:rsidRPr="004C49DE">
        <w:rPr>
          <w:i/>
          <w:szCs w:val="22"/>
          <w:lang w:val="es-ES_tradnl" w:eastAsia="en-US"/>
        </w:rPr>
        <w:t xml:space="preserve"> 2013</w:t>
      </w:r>
      <w:r w:rsidR="001A14E9" w:rsidRPr="004C49DE">
        <w:rPr>
          <w:i/>
          <w:szCs w:val="22"/>
          <w:lang w:val="es-ES_tradnl" w:eastAsia="en-US"/>
        </w:rPr>
        <w:noBreakHyphen/>
      </w:r>
      <w:r w:rsidRPr="004C49DE">
        <w:rPr>
          <w:i/>
          <w:szCs w:val="22"/>
          <w:lang w:val="es-ES_tradnl" w:eastAsia="en-US"/>
        </w:rPr>
        <w:t>279, de 24 de abril de 2013</w:t>
      </w:r>
      <w:r w:rsidRPr="004C49DE">
        <w:rPr>
          <w:szCs w:val="22"/>
          <w:lang w:val="es-ES_tradnl" w:eastAsia="en-US"/>
        </w:rPr>
        <w:t>, determina los costos de los actos judiciales</w:t>
      </w:r>
      <w:r w:rsidR="00BB7BBB" w:rsidRPr="004C49DE">
        <w:rPr>
          <w:szCs w:val="22"/>
          <w:lang w:val="es-ES_tradnl" w:eastAsia="en-US"/>
        </w:rPr>
        <w:t>.</w:t>
      </w:r>
    </w:p>
    <w:p w14:paraId="57E5C01D" w14:textId="2EC46AB9"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Impartir formación sistemática a los jueces, los abogados y las organizaciones no gubernamentales (ONG) sobre la aplicación de las leyes que</w:t>
      </w:r>
      <w:r w:rsidR="001A14E9" w:rsidRPr="004C49DE">
        <w:rPr>
          <w:b/>
          <w:szCs w:val="22"/>
          <w:lang w:val="es-ES_tradnl" w:eastAsia="en-US"/>
        </w:rPr>
        <w:t xml:space="preserve"> </w:t>
      </w:r>
      <w:r w:rsidRPr="004C49DE">
        <w:rPr>
          <w:b/>
          <w:szCs w:val="22"/>
          <w:lang w:val="es-ES_tradnl" w:eastAsia="en-US"/>
        </w:rPr>
        <w:t>prohíben la discriminación, a la luz de las obligaciones que ha contraído</w:t>
      </w:r>
      <w:r w:rsidR="001A14E9" w:rsidRPr="004C49DE">
        <w:rPr>
          <w:b/>
          <w:szCs w:val="22"/>
          <w:lang w:val="es-ES_tradnl" w:eastAsia="en-US"/>
        </w:rPr>
        <w:t xml:space="preserve"> </w:t>
      </w:r>
      <w:r w:rsidRPr="004C49DE">
        <w:rPr>
          <w:b/>
          <w:szCs w:val="22"/>
          <w:lang w:val="es-ES_tradnl" w:eastAsia="en-US"/>
        </w:rPr>
        <w:t>en</w:t>
      </w:r>
      <w:r w:rsidR="001A14E9" w:rsidRPr="004C49DE">
        <w:rPr>
          <w:b/>
          <w:szCs w:val="22"/>
          <w:lang w:val="es-ES_tradnl" w:eastAsia="en-US"/>
        </w:rPr>
        <w:t xml:space="preserve"> </w:t>
      </w:r>
      <w:r w:rsidRPr="004C49DE">
        <w:rPr>
          <w:b/>
          <w:szCs w:val="22"/>
          <w:lang w:val="es-ES_tradnl" w:eastAsia="en-US"/>
        </w:rPr>
        <w:t xml:space="preserve">virtud de la Convención y su Protocolo Facultativo (véase </w:t>
      </w:r>
      <w:hyperlink r:id="rId2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21 d))</w:t>
      </w:r>
      <w:r w:rsidR="00BB7BBB" w:rsidRPr="004C49DE">
        <w:rPr>
          <w:b/>
          <w:szCs w:val="22"/>
          <w:lang w:val="es-ES_tradnl" w:eastAsia="en-US"/>
        </w:rPr>
        <w:t>.</w:t>
      </w:r>
    </w:p>
    <w:p w14:paraId="510CF867" w14:textId="6A3282C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Desde 2012, el personal judicial participa en talleres de desarrollo de la capacidad sobre la violencia por razón de género organizados por el MSFFE, los organismos del sistema de las Naciones Unidas, la ONUCI y las </w:t>
      </w:r>
      <w:r w:rsidR="00D05639" w:rsidRPr="004C49DE">
        <w:rPr>
          <w:szCs w:val="22"/>
          <w:lang w:val="es-ES_tradnl" w:eastAsia="en-US"/>
        </w:rPr>
        <w:t>organizaciones de la sociedad civil</w:t>
      </w:r>
      <w:r w:rsidR="00BB7BBB" w:rsidRPr="004C49DE">
        <w:rPr>
          <w:szCs w:val="22"/>
          <w:lang w:val="es-ES_tradnl" w:eastAsia="en-US"/>
        </w:rPr>
        <w:t>.</w:t>
      </w:r>
      <w:r w:rsidRPr="004C49DE">
        <w:rPr>
          <w:szCs w:val="22"/>
          <w:lang w:val="es-ES_tradnl" w:eastAsia="en-US"/>
        </w:rPr>
        <w:t xml:space="preserve"> Hasta la fecha, 200 jueces, fiscales, abogados y secretarios han mejorado sus capacidades en materia de violencia de género</w:t>
      </w:r>
      <w:r w:rsidR="00BB7BBB" w:rsidRPr="004C49DE">
        <w:rPr>
          <w:szCs w:val="22"/>
          <w:lang w:val="es-ES_tradnl" w:eastAsia="en-US"/>
        </w:rPr>
        <w:t>.</w:t>
      </w:r>
    </w:p>
    <w:p w14:paraId="62628218" w14:textId="30E0D07F"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Otros agentes de la cadena de justicia, incluidas las fuerzas militares y paramilitares, reciben formación desde 2011</w:t>
      </w:r>
      <w:r w:rsidR="00BB7BBB" w:rsidRPr="004C49DE">
        <w:rPr>
          <w:szCs w:val="22"/>
          <w:lang w:val="es-ES_tradnl" w:eastAsia="en-US"/>
        </w:rPr>
        <w:t>.</w:t>
      </w:r>
    </w:p>
    <w:p w14:paraId="7825BA31" w14:textId="403EF487"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Facilitar el acceso a la justicia de las ONG que apoyan a la mujer (véase </w:t>
      </w:r>
      <w:hyperlink r:id="rId3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21 e))</w:t>
      </w:r>
      <w:r w:rsidR="00BB7BBB" w:rsidRPr="004C49DE">
        <w:rPr>
          <w:b/>
          <w:szCs w:val="22"/>
          <w:lang w:val="es-ES_tradnl" w:eastAsia="en-US"/>
        </w:rPr>
        <w:t>.</w:t>
      </w:r>
    </w:p>
    <w:p w14:paraId="5A64E415" w14:textId="038FB93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lastRenderedPageBreak/>
        <w:t>La forma en que los jueces interpretan los artículos 2 y 3 del Código de Procedimiento Penal evolucionó a favor de la constitución de las ONG como parte si la infracción (crimen o delito) guarda relación con su objeto</w:t>
      </w:r>
      <w:r w:rsidR="00BB7BBB" w:rsidRPr="004C49DE">
        <w:rPr>
          <w:szCs w:val="22"/>
          <w:lang w:val="es-ES_tradnl" w:eastAsia="en-US"/>
        </w:rPr>
        <w:t>.</w:t>
      </w:r>
      <w:r w:rsidRPr="004C49DE">
        <w:rPr>
          <w:szCs w:val="22"/>
          <w:lang w:val="es-ES_tradnl" w:eastAsia="en-US"/>
        </w:rPr>
        <w:t xml:space="preserve"> En caso de que la infracción derive, por ejemplo, de una violación de los derechos humanos, las ONG para la defensa de los derechos humanos pueden constituirse como parte</w:t>
      </w:r>
      <w:r w:rsidR="00BB7BBB" w:rsidRPr="004C49DE">
        <w:rPr>
          <w:szCs w:val="22"/>
          <w:lang w:val="es-ES_tradnl" w:eastAsia="en-US"/>
        </w:rPr>
        <w:t>.</w:t>
      </w:r>
    </w:p>
    <w:p w14:paraId="663D69DA" w14:textId="07052868"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Con la ayuda de los asociados para el desarrollo, ha mejorado el acceso a la justicia de las ONG que apoyan a la mujer</w:t>
      </w:r>
      <w:r w:rsidR="00BB7BBB" w:rsidRPr="004C49DE">
        <w:rPr>
          <w:szCs w:val="22"/>
          <w:lang w:val="es-ES_tradnl" w:eastAsia="en-US"/>
        </w:rPr>
        <w:t>.</w:t>
      </w:r>
    </w:p>
    <w:p w14:paraId="63D7574B" w14:textId="79A26659" w:rsidR="004A3B61" w:rsidRPr="004C49DE" w:rsidRDefault="004A3B61" w:rsidP="00BB7BBB">
      <w:pPr>
        <w:pStyle w:val="SingleTxt"/>
        <w:suppressAutoHyphens w:val="0"/>
        <w:spacing w:after="0" w:line="120" w:lineRule="exact"/>
        <w:rPr>
          <w:sz w:val="10"/>
          <w:szCs w:val="10"/>
          <w:lang w:val="es-ES_tradnl"/>
        </w:rPr>
      </w:pPr>
    </w:p>
    <w:p w14:paraId="573CD5C0"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Mecanismos nacionales para el adelanto de la mujer</w:t>
      </w:r>
    </w:p>
    <w:p w14:paraId="53E10A1B" w14:textId="77777777" w:rsidR="004A3B61" w:rsidRPr="004C49DE" w:rsidRDefault="004A3B61" w:rsidP="00BB7BBB">
      <w:pPr>
        <w:pStyle w:val="SingleTxt"/>
        <w:suppressAutoHyphens w:val="0"/>
        <w:spacing w:after="0" w:line="120" w:lineRule="exact"/>
        <w:rPr>
          <w:sz w:val="10"/>
          <w:szCs w:val="10"/>
          <w:lang w:val="es-ES_tradnl"/>
        </w:rPr>
      </w:pPr>
    </w:p>
    <w:p w14:paraId="7B4D821A" w14:textId="4A37B729"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Reforzar los mecanismos nacionales para el empoderamiento de la mujer a nivel nacional y local y dotarlos de los recursos humanos, financieros y técnicos necesarios para que funcionen eficazmente en todas las esferas conexas y, en particular, incrementar su capacidad para intensificar la cooperación con la sociedad civil (véase </w:t>
      </w:r>
      <w:hyperlink r:id="rId3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23 a))</w:t>
      </w:r>
      <w:r w:rsidR="00BB7BBB" w:rsidRPr="004C49DE">
        <w:rPr>
          <w:b/>
          <w:szCs w:val="22"/>
          <w:lang w:val="es-ES_tradnl" w:eastAsia="en-US"/>
        </w:rPr>
        <w:t>.</w:t>
      </w:r>
    </w:p>
    <w:p w14:paraId="6785068B" w14:textId="7777777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MPFFPE cuenta con dos estructuras nuevas, además de la Dirección para el Empoderamiento de la Mujer, encaminadas a abordar mejor las cuestiones de género, a saber:</w:t>
      </w:r>
    </w:p>
    <w:p w14:paraId="7559004C" w14:textId="77777777" w:rsidR="000C3123" w:rsidRPr="004C49DE" w:rsidRDefault="001C36A7"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Dirección de Género y Equidad (en sustitución de la antigua Dirección de Promoción de la Igualdad de Género y la Equidad, que se disolvió en 2014);</w:t>
      </w:r>
    </w:p>
    <w:p w14:paraId="726D62D6" w14:textId="03A5D009" w:rsidR="000C3123" w:rsidRPr="004C49DE" w:rsidRDefault="001C36A7" w:rsidP="00BB7BBB">
      <w:pPr>
        <w:pStyle w:val="SingleTxt"/>
        <w:tabs>
          <w:tab w:val="right" w:pos="1685"/>
        </w:tabs>
        <w:suppressAutoHyphens w:val="0"/>
        <w:ind w:left="1742" w:hanging="475"/>
        <w:rPr>
          <w:szCs w:val="22"/>
          <w:lang w:val="es-ES_tradnl" w:eastAsia="en-US"/>
        </w:rPr>
      </w:pPr>
      <w:r w:rsidRPr="004C49DE">
        <w:rPr>
          <w:lang w:val="es-ES_tradnl"/>
        </w:rPr>
        <w:tab/>
        <w:t>•</w:t>
      </w:r>
      <w:r w:rsidRPr="004C49DE">
        <w:rPr>
          <w:lang w:val="es-ES_tradnl"/>
        </w:rPr>
        <w:tab/>
      </w:r>
      <w:r w:rsidR="000C3123" w:rsidRPr="004C49DE">
        <w:rPr>
          <w:szCs w:val="22"/>
          <w:lang w:val="es-ES_tradnl" w:eastAsia="en-US"/>
        </w:rPr>
        <w:t>La Dirección de Desarrollo de Competencias de la Mujer</w:t>
      </w:r>
      <w:r w:rsidR="00BB7BBB" w:rsidRPr="004C49DE">
        <w:rPr>
          <w:szCs w:val="22"/>
          <w:lang w:val="es-ES_tradnl" w:eastAsia="en-US"/>
        </w:rPr>
        <w:t>.</w:t>
      </w:r>
    </w:p>
    <w:p w14:paraId="69759610" w14:textId="7777777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MPFFPE y sus asociados llevaron a cabo múltiples y diversas actividades para promover la igualdad de género en diferentes esferas:</w:t>
      </w:r>
    </w:p>
    <w:p w14:paraId="5F0ADA6C" w14:textId="77777777" w:rsidR="000C3123" w:rsidRPr="004C49DE" w:rsidRDefault="001C36A7"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transformación de la dirección encargada de gestionar el Fondo para las Mujeres y el Desarrollo en el Proyecto de Gestión Innovadora del Fondo Nacional para las Mujeres y el Desarrollo (PGNFFD);</w:t>
      </w:r>
    </w:p>
    <w:p w14:paraId="3E6A4FAE" w14:textId="2ED0DAD9" w:rsidR="000C3123" w:rsidRPr="004C49DE" w:rsidRDefault="001C36A7"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 xml:space="preserve">El aumento de la cantidad de </w:t>
      </w:r>
      <w:r w:rsidR="001359DB" w:rsidRPr="004C49DE">
        <w:rPr>
          <w:lang w:val="es-ES_tradnl"/>
        </w:rPr>
        <w:t>Instituciones de Formación y Educación de la Mujer</w:t>
      </w:r>
      <w:r w:rsidR="000C3123" w:rsidRPr="004C49DE">
        <w:rPr>
          <w:lang w:val="es-ES_tradnl"/>
        </w:rPr>
        <w:t xml:space="preserve"> de 58 en 2011 a 115 en 2016;</w:t>
      </w:r>
    </w:p>
    <w:p w14:paraId="3405BF6B" w14:textId="2086C21B" w:rsidR="00BB7BBB" w:rsidRPr="004C49DE" w:rsidRDefault="001C36A7"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creación del Fondo de Apoyo a las Mujeres de Côte d</w:t>
      </w:r>
      <w:r w:rsidR="004C49DE">
        <w:rPr>
          <w:lang w:val="es-ES_tradnl"/>
        </w:rPr>
        <w:t>’</w:t>
      </w:r>
      <w:r w:rsidR="000C3123" w:rsidRPr="004C49DE">
        <w:rPr>
          <w:lang w:val="es-ES_tradnl"/>
        </w:rPr>
        <w:t>Ivoire (FAFCI), que fue inaugurado en 2012 por la Primera Dama del país, la Sra</w:t>
      </w:r>
      <w:r w:rsidR="00BB7BBB" w:rsidRPr="004C49DE">
        <w:rPr>
          <w:lang w:val="es-ES_tradnl"/>
        </w:rPr>
        <w:t>.</w:t>
      </w:r>
      <w:r w:rsidR="000C3123" w:rsidRPr="004C49DE">
        <w:rPr>
          <w:lang w:val="es-ES_tradnl"/>
        </w:rPr>
        <w:t xml:space="preserve"> Dominique OUATTARA</w:t>
      </w:r>
      <w:r w:rsidR="00BB7BBB" w:rsidRPr="004C49DE">
        <w:rPr>
          <w:lang w:val="es-ES_tradnl"/>
        </w:rPr>
        <w:t>.</w:t>
      </w:r>
    </w:p>
    <w:p w14:paraId="56BADD26" w14:textId="340A9069"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FAFCI, dotado inicialmente con 1</w:t>
      </w:r>
      <w:r w:rsidR="00BB7BBB" w:rsidRPr="004C49DE">
        <w:rPr>
          <w:szCs w:val="22"/>
          <w:lang w:val="es-ES_tradnl" w:eastAsia="en-US"/>
        </w:rPr>
        <w:t>.</w:t>
      </w:r>
      <w:r w:rsidRPr="004C49DE">
        <w:rPr>
          <w:szCs w:val="22"/>
          <w:lang w:val="es-ES_tradnl" w:eastAsia="en-US"/>
        </w:rPr>
        <w:t>000 millones de francos CFA, aumentó gradualmente hasta alcanzar los 8</w:t>
      </w:r>
      <w:r w:rsidR="00BB7BBB" w:rsidRPr="004C49DE">
        <w:rPr>
          <w:szCs w:val="22"/>
          <w:lang w:val="es-ES_tradnl" w:eastAsia="en-US"/>
        </w:rPr>
        <w:t>.</w:t>
      </w:r>
      <w:r w:rsidRPr="004C49DE">
        <w:rPr>
          <w:szCs w:val="22"/>
          <w:lang w:val="es-ES_tradnl" w:eastAsia="en-US"/>
        </w:rPr>
        <w:t>000 millones de francos CFA en 2016</w:t>
      </w:r>
      <w:r w:rsidR="00BB7BBB" w:rsidRPr="004C49DE">
        <w:rPr>
          <w:szCs w:val="22"/>
          <w:lang w:val="es-ES_tradnl" w:eastAsia="en-US"/>
        </w:rPr>
        <w:t>.</w:t>
      </w:r>
    </w:p>
    <w:p w14:paraId="257A88AF" w14:textId="484B68E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Gracias a su estrategia de franquicia social</w:t>
      </w:r>
      <w:r w:rsidRPr="004C49DE">
        <w:rPr>
          <w:szCs w:val="22"/>
          <w:vertAlign w:val="superscript"/>
          <w:lang w:val="es-ES_tradnl" w:eastAsia="en-US"/>
        </w:rPr>
        <w:footnoteReference w:id="3"/>
      </w:r>
      <w:r w:rsidRPr="004C49DE">
        <w:rPr>
          <w:szCs w:val="22"/>
          <w:lang w:val="es-ES_tradnl" w:eastAsia="en-US"/>
        </w:rPr>
        <w:t>, el UNFPA posibilitó la creación de 86 organizaciones comunitarias de mujeres y actividades remunerativas al otorgar microcréditos a las supervivientes de la violencia por razón de género</w:t>
      </w:r>
      <w:r w:rsidR="00BB7BBB" w:rsidRPr="004C49DE">
        <w:rPr>
          <w:szCs w:val="22"/>
          <w:lang w:val="es-ES_tradnl" w:eastAsia="en-US"/>
        </w:rPr>
        <w:t>.</w:t>
      </w:r>
    </w:p>
    <w:p w14:paraId="243BFA68" w14:textId="1139E461"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El PNUD ayudó a fomentar entre las comunidades desfavorecidas la aparición de pequeñas actividades productivas y comerciales encaminadas a mejorar de manera </w:t>
      </w:r>
      <w:r w:rsidRPr="004C49DE">
        <w:rPr>
          <w:szCs w:val="22"/>
          <w:lang w:val="es-ES_tradnl" w:eastAsia="en-US"/>
        </w:rPr>
        <w:lastRenderedPageBreak/>
        <w:t>sostenible las condiciones de vida y de trabajo de las mujeres en particular</w:t>
      </w:r>
      <w:r w:rsidR="00BB7BBB" w:rsidRPr="004C49DE">
        <w:rPr>
          <w:szCs w:val="22"/>
          <w:lang w:val="es-ES_tradnl" w:eastAsia="en-US"/>
        </w:rPr>
        <w:t>.</w:t>
      </w:r>
      <w:r w:rsidRPr="004C49DE">
        <w:rPr>
          <w:szCs w:val="22"/>
          <w:lang w:val="es-ES_tradnl" w:eastAsia="en-US"/>
        </w:rPr>
        <w:t xml:space="preserve"> Estas representan el 80% de los beneficiarios directos de las iniciativas</w:t>
      </w:r>
      <w:r w:rsidR="00BB7BBB" w:rsidRPr="004C49DE">
        <w:rPr>
          <w:szCs w:val="22"/>
          <w:lang w:val="es-ES_tradnl" w:eastAsia="en-US"/>
        </w:rPr>
        <w:t>.</w:t>
      </w:r>
    </w:p>
    <w:p w14:paraId="69FEAC13" w14:textId="2A45E2FE"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PNUD sigue apoyando al Ministerio de Planificación y Desarrollo en la aplicación del Programa de Apoyo a la Reducción de la Pobreza y el Logro de los Objetivos de Desarrollo del Milenio (ODM) para 2009</w:t>
      </w:r>
      <w:r w:rsidR="001A14E9" w:rsidRPr="004C49DE">
        <w:rPr>
          <w:szCs w:val="22"/>
          <w:lang w:val="es-ES_tradnl" w:eastAsia="en-US"/>
        </w:rPr>
        <w:noBreakHyphen/>
      </w:r>
      <w:r w:rsidRPr="004C49DE">
        <w:rPr>
          <w:szCs w:val="22"/>
          <w:lang w:val="es-ES_tradnl" w:eastAsia="en-US"/>
        </w:rPr>
        <w:t>2013</w:t>
      </w:r>
      <w:r w:rsidR="00BB7BBB" w:rsidRPr="004C49DE">
        <w:rPr>
          <w:szCs w:val="22"/>
          <w:lang w:val="es-ES_tradnl" w:eastAsia="en-US"/>
        </w:rPr>
        <w:t>.</w:t>
      </w:r>
      <w:r w:rsidRPr="004C49DE">
        <w:rPr>
          <w:szCs w:val="22"/>
          <w:lang w:val="es-ES_tradnl" w:eastAsia="en-US"/>
        </w:rPr>
        <w:t xml:space="preserve"> El Programa se basa en un enfoque con perspectiva de género y hace una diferenciación entre las distintas necesidades de los hombres y las mujeres jóvenes</w:t>
      </w:r>
      <w:r w:rsidR="00BB7BBB" w:rsidRPr="004C49DE">
        <w:rPr>
          <w:szCs w:val="22"/>
          <w:lang w:val="es-ES_tradnl" w:eastAsia="en-US"/>
        </w:rPr>
        <w:t>.</w:t>
      </w:r>
      <w:r w:rsidRPr="004C49DE">
        <w:rPr>
          <w:szCs w:val="22"/>
          <w:lang w:val="es-ES_tradnl" w:eastAsia="en-US"/>
        </w:rPr>
        <w:t xml:space="preserve"> Este Programa prestó atención a más de 120 grupos de 5</w:t>
      </w:r>
      <w:r w:rsidR="00BB7BBB" w:rsidRPr="004C49DE">
        <w:rPr>
          <w:szCs w:val="22"/>
          <w:lang w:val="es-ES_tradnl" w:eastAsia="en-US"/>
        </w:rPr>
        <w:t>.</w:t>
      </w:r>
      <w:r w:rsidRPr="004C49DE">
        <w:rPr>
          <w:szCs w:val="22"/>
          <w:lang w:val="es-ES_tradnl" w:eastAsia="en-US"/>
        </w:rPr>
        <w:t>000 miembros aproximadamente, de los cuales más del 85% son mujeres</w:t>
      </w:r>
      <w:r w:rsidR="00BB7BBB" w:rsidRPr="004C49DE">
        <w:rPr>
          <w:szCs w:val="22"/>
          <w:lang w:val="es-ES_tradnl" w:eastAsia="en-US"/>
        </w:rPr>
        <w:t>.</w:t>
      </w:r>
    </w:p>
    <w:p w14:paraId="7738A4D1" w14:textId="3327A4D4"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Desde principios de 2016, la división de ONU</w:t>
      </w:r>
      <w:r w:rsidR="001A14E9" w:rsidRPr="004C49DE">
        <w:rPr>
          <w:szCs w:val="22"/>
          <w:lang w:val="es-ES_tradnl" w:eastAsia="en-US"/>
        </w:rPr>
        <w:noBreakHyphen/>
      </w:r>
      <w:r w:rsidRPr="004C49DE">
        <w:rPr>
          <w:szCs w:val="22"/>
          <w:lang w:val="es-ES_tradnl" w:eastAsia="en-US"/>
        </w:rPr>
        <w:t>Mujeres en Côte d</w:t>
      </w:r>
      <w:r w:rsidR="004C49DE">
        <w:rPr>
          <w:szCs w:val="22"/>
          <w:lang w:val="es-ES_tradnl" w:eastAsia="en-US"/>
        </w:rPr>
        <w:t>’</w:t>
      </w:r>
      <w:r w:rsidRPr="004C49DE">
        <w:rPr>
          <w:szCs w:val="22"/>
          <w:lang w:val="es-ES_tradnl" w:eastAsia="en-US"/>
        </w:rPr>
        <w:t>Ivoire ejecuta un proyecto para el empoderamiento económico de la mujer, así como la gestión de los conflictos</w:t>
      </w:r>
      <w:r w:rsidR="00BB7BBB" w:rsidRPr="004C49DE">
        <w:rPr>
          <w:szCs w:val="22"/>
          <w:lang w:val="es-ES_tradnl" w:eastAsia="en-US"/>
        </w:rPr>
        <w:t>.</w:t>
      </w:r>
      <w:r w:rsidRPr="004C49DE">
        <w:rPr>
          <w:szCs w:val="22"/>
          <w:lang w:val="es-ES_tradnl" w:eastAsia="en-US"/>
        </w:rPr>
        <w:t xml:space="preserve"> El objetivo principal del proyecto es desarrollar las cadenas de valor del norte para incluir a los grupos de mujeres y garantizar así un crecimiento inclusivo que fortalezca al mismo tiempo la capacidad de la mujer</w:t>
      </w:r>
      <w:r w:rsidR="00BB7BBB" w:rsidRPr="004C49DE">
        <w:rPr>
          <w:szCs w:val="22"/>
          <w:lang w:val="es-ES_tradnl" w:eastAsia="en-US"/>
        </w:rPr>
        <w:t>.</w:t>
      </w:r>
    </w:p>
    <w:p w14:paraId="5317CDC7" w14:textId="567A6ABF" w:rsidR="000C3123" w:rsidRPr="004C49DE" w:rsidRDefault="000C3123" w:rsidP="00BB7BBB">
      <w:pPr>
        <w:pStyle w:val="SingleTxt"/>
        <w:numPr>
          <w:ilvl w:val="0"/>
          <w:numId w:val="6"/>
        </w:numPr>
        <w:suppressAutoHyphens w:val="0"/>
        <w:ind w:left="1267" w:firstLine="0"/>
        <w:rPr>
          <w:b/>
          <w:spacing w:val="2"/>
          <w:szCs w:val="22"/>
          <w:lang w:val="es-ES_tradnl" w:eastAsia="en-US"/>
        </w:rPr>
      </w:pPr>
      <w:r w:rsidRPr="004C49DE">
        <w:rPr>
          <w:b/>
          <w:spacing w:val="2"/>
          <w:szCs w:val="22"/>
          <w:lang w:val="es-ES_tradnl" w:eastAsia="en-US"/>
        </w:rPr>
        <w:t>Mejorar la inclusión y la representación de las mujeres en el mecanismo nacional para el empoderamiento de la mujer en los niveles de la adopción de</w:t>
      </w:r>
      <w:r w:rsidR="001A14E9" w:rsidRPr="004C49DE">
        <w:rPr>
          <w:b/>
          <w:spacing w:val="2"/>
          <w:szCs w:val="22"/>
          <w:lang w:val="es-ES_tradnl" w:eastAsia="en-US"/>
        </w:rPr>
        <w:t xml:space="preserve"> </w:t>
      </w:r>
      <w:r w:rsidRPr="004C49DE">
        <w:rPr>
          <w:b/>
          <w:spacing w:val="2"/>
          <w:szCs w:val="22"/>
          <w:lang w:val="es-ES_tradnl" w:eastAsia="en-US"/>
        </w:rPr>
        <w:t>decisiones, la formulación y la ejecución de políticas, y apoyar y coordinar la</w:t>
      </w:r>
      <w:r w:rsidR="001A14E9" w:rsidRPr="004C49DE">
        <w:rPr>
          <w:b/>
          <w:spacing w:val="2"/>
          <w:szCs w:val="22"/>
          <w:lang w:val="es-ES_tradnl" w:eastAsia="en-US"/>
        </w:rPr>
        <w:t xml:space="preserve"> </w:t>
      </w:r>
      <w:r w:rsidRPr="004C49DE">
        <w:rPr>
          <w:b/>
          <w:spacing w:val="2"/>
          <w:szCs w:val="22"/>
          <w:lang w:val="es-ES_tradnl" w:eastAsia="en-US"/>
        </w:rPr>
        <w:t xml:space="preserve">utilización eficaz de esta estrategia en la elaboración, aplicación y evaluación de todas las leyes, políticas y programas (véase </w:t>
      </w:r>
      <w:hyperlink r:id="rId32" w:history="1">
        <w:r w:rsidRPr="004C49DE">
          <w:rPr>
            <w:b/>
            <w:color w:val="0000FF"/>
            <w:spacing w:val="2"/>
            <w:szCs w:val="22"/>
            <w:lang w:val="es-ES_tradnl" w:eastAsia="en-US"/>
          </w:rPr>
          <w:t>CEDAW/C/CIV/CO/1</w:t>
        </w:r>
        <w:r w:rsidR="001A14E9" w:rsidRPr="004C49DE">
          <w:rPr>
            <w:b/>
            <w:color w:val="0000FF"/>
            <w:spacing w:val="2"/>
            <w:szCs w:val="22"/>
            <w:lang w:val="es-ES_tradnl" w:eastAsia="en-US"/>
          </w:rPr>
          <w:noBreakHyphen/>
        </w:r>
        <w:r w:rsidRPr="004C49DE">
          <w:rPr>
            <w:b/>
            <w:color w:val="0000FF"/>
            <w:spacing w:val="2"/>
            <w:szCs w:val="22"/>
            <w:lang w:val="es-ES_tradnl" w:eastAsia="en-US"/>
          </w:rPr>
          <w:t>3</w:t>
        </w:r>
      </w:hyperlink>
      <w:r w:rsidRPr="004C49DE">
        <w:rPr>
          <w:b/>
          <w:spacing w:val="2"/>
          <w:szCs w:val="22"/>
          <w:lang w:val="es-ES_tradnl" w:eastAsia="en-US"/>
        </w:rPr>
        <w:t>, párr</w:t>
      </w:r>
      <w:r w:rsidR="00BB7BBB" w:rsidRPr="004C49DE">
        <w:rPr>
          <w:b/>
          <w:spacing w:val="2"/>
          <w:szCs w:val="22"/>
          <w:lang w:val="es-ES_tradnl" w:eastAsia="en-US"/>
        </w:rPr>
        <w:t>.</w:t>
      </w:r>
      <w:r w:rsidR="00D00E0F" w:rsidRPr="004C49DE">
        <w:rPr>
          <w:b/>
          <w:spacing w:val="2"/>
          <w:szCs w:val="22"/>
          <w:lang w:val="es-ES_tradnl" w:eastAsia="en-US"/>
        </w:rPr>
        <w:t> </w:t>
      </w:r>
      <w:r w:rsidRPr="004C49DE">
        <w:rPr>
          <w:b/>
          <w:spacing w:val="2"/>
          <w:szCs w:val="22"/>
          <w:lang w:val="es-ES_tradnl" w:eastAsia="en-US"/>
        </w:rPr>
        <w:t>23 b))</w:t>
      </w:r>
      <w:r w:rsidR="00BB7BBB" w:rsidRPr="004C49DE">
        <w:rPr>
          <w:b/>
          <w:spacing w:val="2"/>
          <w:szCs w:val="22"/>
          <w:lang w:val="es-ES_tradnl" w:eastAsia="en-US"/>
        </w:rPr>
        <w:t>.</w:t>
      </w:r>
    </w:p>
    <w:p w14:paraId="598CDA6A" w14:textId="6B1A3483"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MPFFPE puso en marcha en 2012 el proceso de integración de la elaboración de presupuestos con perspectiva de género mediante actividades de sensibilización y formación de los encargados de formular políticas y los planificadores</w:t>
      </w:r>
      <w:r w:rsidR="00BB7BBB" w:rsidRPr="004C49DE">
        <w:rPr>
          <w:szCs w:val="22"/>
          <w:lang w:val="es-ES_tradnl" w:eastAsia="en-US"/>
        </w:rPr>
        <w:t>.</w:t>
      </w:r>
      <w:r w:rsidRPr="004C49DE">
        <w:rPr>
          <w:szCs w:val="22"/>
          <w:lang w:val="es-ES_tradnl" w:eastAsia="en-US"/>
        </w:rPr>
        <w:t xml:space="preserve"> Estas actividades se llevan a cabo en colaboración con las dependencias de género de los ministerios encargados de los presupuestos, la economía y las finanzas, y otros ministerios técnicos</w:t>
      </w:r>
      <w:r w:rsidR="00BB7BBB" w:rsidRPr="004C49DE">
        <w:rPr>
          <w:szCs w:val="22"/>
          <w:lang w:val="es-ES_tradnl" w:eastAsia="en-US"/>
        </w:rPr>
        <w:t>.</w:t>
      </w:r>
    </w:p>
    <w:p w14:paraId="10BEEB10" w14:textId="094195BD"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Además, en 2012 el país comenzó a poner a prueba en los ministerios técnicos el Marco de Gastos a Mediano Plazo, de conformidad con las directrices de la Unión Económica y Monetaria de África Occidental</w:t>
      </w:r>
      <w:r w:rsidR="00BB7BBB" w:rsidRPr="004C49DE">
        <w:rPr>
          <w:szCs w:val="22"/>
          <w:lang w:val="es-ES_tradnl" w:eastAsia="en-US"/>
        </w:rPr>
        <w:t>.</w:t>
      </w:r>
    </w:p>
    <w:p w14:paraId="074C8421" w14:textId="6276B64D"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La elaboración en 2011 del </w:t>
      </w:r>
      <w:r w:rsidR="000A404F" w:rsidRPr="004C49DE">
        <w:rPr>
          <w:bCs/>
          <w:lang w:val="es-ES_tradnl" w:eastAsia="en-US"/>
        </w:rPr>
        <w:t>Compendio de competencias femeninas de Côte d</w:t>
      </w:r>
      <w:r w:rsidR="004C49DE">
        <w:rPr>
          <w:bCs/>
          <w:lang w:val="es-ES_tradnl" w:eastAsia="en-US"/>
        </w:rPr>
        <w:t>’</w:t>
      </w:r>
      <w:r w:rsidR="000A404F" w:rsidRPr="004C49DE">
        <w:rPr>
          <w:bCs/>
          <w:lang w:val="es-ES_tradnl" w:eastAsia="en-US"/>
        </w:rPr>
        <w:t xml:space="preserve">Ivoire </w:t>
      </w:r>
      <w:r w:rsidRPr="004C49DE">
        <w:rPr>
          <w:szCs w:val="22"/>
          <w:lang w:val="es-ES_tradnl" w:eastAsia="en-US"/>
        </w:rPr>
        <w:t>hoy en día permite reforzar la visibilidad de las mujeres y contar con una base de datos actualizada sobre los recursos humanos femeninos en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p>
    <w:p w14:paraId="2C155155" w14:textId="4FF95279"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 través de la creación del Observatorio Nacional de Equidad y Género (ONEG), el Estado de Côte d</w:t>
      </w:r>
      <w:r w:rsidR="004C49DE">
        <w:rPr>
          <w:szCs w:val="22"/>
          <w:lang w:val="es-ES_tradnl" w:eastAsia="en-US"/>
        </w:rPr>
        <w:t>’</w:t>
      </w:r>
      <w:r w:rsidRPr="004C49DE">
        <w:rPr>
          <w:szCs w:val="22"/>
          <w:lang w:val="es-ES_tradnl" w:eastAsia="en-US"/>
        </w:rPr>
        <w:t>Ivoire tiene el propósito de elaborar instrumentos que permitan evaluar si se han tomado en consideración las necesidades específicas de las mujeres y su representación en las esferas de la adopción de decisiones y en la elaboración, la aplicación y el seguimiento de los programas y las políticas</w:t>
      </w:r>
      <w:r w:rsidR="00BB7BBB" w:rsidRPr="004C49DE">
        <w:rPr>
          <w:szCs w:val="22"/>
          <w:lang w:val="es-ES_tradnl" w:eastAsia="en-US"/>
        </w:rPr>
        <w:t>.</w:t>
      </w:r>
    </w:p>
    <w:p w14:paraId="4658FBB3" w14:textId="290CB88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Por otra parte, la creación y el fortalecimiento de los Grupos de Trabajo Técnico sobre Género permiten integrar la dimensión de género en todos los ministerios y servicios técnicos</w:t>
      </w:r>
      <w:r w:rsidR="00BB7BBB" w:rsidRPr="004C49DE">
        <w:rPr>
          <w:szCs w:val="22"/>
          <w:lang w:val="es-ES_tradnl" w:eastAsia="en-US"/>
        </w:rPr>
        <w:t>.</w:t>
      </w:r>
    </w:p>
    <w:p w14:paraId="05281F37" w14:textId="21A5315C"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contexto de la valoración de la integración de la perspectiva de género en los ministerios de Côte d</w:t>
      </w:r>
      <w:r w:rsidR="004C49DE">
        <w:rPr>
          <w:szCs w:val="22"/>
          <w:lang w:val="es-ES_tradnl" w:eastAsia="en-US"/>
        </w:rPr>
        <w:t>’</w:t>
      </w:r>
      <w:r w:rsidRPr="004C49DE">
        <w:rPr>
          <w:szCs w:val="22"/>
          <w:lang w:val="es-ES_tradnl" w:eastAsia="en-US"/>
        </w:rPr>
        <w:t>Ivoire, tres ministerios</w:t>
      </w:r>
      <w:r w:rsidRPr="004C49DE">
        <w:rPr>
          <w:szCs w:val="22"/>
          <w:vertAlign w:val="superscript"/>
          <w:lang w:val="es-ES_tradnl" w:eastAsia="en-US"/>
        </w:rPr>
        <w:footnoteReference w:id="4"/>
      </w:r>
      <w:r w:rsidRPr="004C49DE">
        <w:rPr>
          <w:szCs w:val="22"/>
          <w:lang w:val="es-ES_tradnl" w:eastAsia="en-US"/>
        </w:rPr>
        <w:t xml:space="preserve"> fueron escogidos en 2016 para participar en las auditorías en materia de género</w:t>
      </w:r>
      <w:r w:rsidR="00BB7BBB" w:rsidRPr="004C49DE">
        <w:rPr>
          <w:szCs w:val="22"/>
          <w:lang w:val="es-ES_tradnl" w:eastAsia="en-US"/>
        </w:rPr>
        <w:t>.</w:t>
      </w:r>
      <w:r w:rsidRPr="004C49DE">
        <w:rPr>
          <w:szCs w:val="22"/>
          <w:lang w:val="es-ES_tradnl" w:eastAsia="en-US"/>
        </w:rPr>
        <w:t xml:space="preserve"> Gracias a ellas, estos ministerios contarán con un diagnóstico que les permitirá detectar las deficiencias y analizar y aplicar las recomendaciones adecuadas para la incorporación de las consideraciones de género, contribuyendo así al progreso hacia la transformación de Côte d</w:t>
      </w:r>
      <w:r w:rsidR="004C49DE">
        <w:rPr>
          <w:szCs w:val="22"/>
          <w:lang w:val="es-ES_tradnl" w:eastAsia="en-US"/>
        </w:rPr>
        <w:t>’</w:t>
      </w:r>
      <w:r w:rsidRPr="004C49DE">
        <w:rPr>
          <w:szCs w:val="22"/>
          <w:lang w:val="es-ES_tradnl" w:eastAsia="en-US"/>
        </w:rPr>
        <w:t>Ivoire en país emergente para 2020</w:t>
      </w:r>
      <w:r w:rsidR="00BB7BBB" w:rsidRPr="004C49DE">
        <w:rPr>
          <w:szCs w:val="22"/>
          <w:lang w:val="es-ES_tradnl" w:eastAsia="en-US"/>
        </w:rPr>
        <w:t>.</w:t>
      </w:r>
      <w:r w:rsidRPr="004C49DE">
        <w:rPr>
          <w:szCs w:val="22"/>
          <w:lang w:val="es-ES_tradnl" w:eastAsia="en-US"/>
        </w:rPr>
        <w:t xml:space="preserve"> Con el apoyo financiero y técnico de ONU</w:t>
      </w:r>
      <w:r w:rsidR="001A14E9" w:rsidRPr="004C49DE">
        <w:rPr>
          <w:szCs w:val="22"/>
          <w:lang w:val="es-ES_tradnl" w:eastAsia="en-US"/>
        </w:rPr>
        <w:noBreakHyphen/>
      </w:r>
      <w:r w:rsidRPr="004C49DE">
        <w:rPr>
          <w:szCs w:val="22"/>
          <w:lang w:val="es-ES_tradnl" w:eastAsia="en-US"/>
        </w:rPr>
        <w:t xml:space="preserve">Mujeres y la </w:t>
      </w:r>
      <w:r w:rsidRPr="004C49DE">
        <w:rPr>
          <w:szCs w:val="22"/>
          <w:lang w:val="es-ES_tradnl" w:eastAsia="en-US"/>
        </w:rPr>
        <w:lastRenderedPageBreak/>
        <w:t>Oficina Internacional del Trabajo, se contrató a dos consultores y el proceso avanza con normalidad</w:t>
      </w:r>
      <w:r w:rsidR="00BB7BBB" w:rsidRPr="004C49DE">
        <w:rPr>
          <w:szCs w:val="22"/>
          <w:lang w:val="es-ES_tradnl" w:eastAsia="en-US"/>
        </w:rPr>
        <w:t>.</w:t>
      </w:r>
    </w:p>
    <w:p w14:paraId="0FAD356B" w14:textId="315E0CD6"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Promover la incorporación de la perspectiva de género en todos los organismos intergubernamentales (véase </w:t>
      </w:r>
      <w:hyperlink r:id="rId33"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23 c))</w:t>
      </w:r>
      <w:r w:rsidR="00BB7BBB" w:rsidRPr="004C49DE">
        <w:rPr>
          <w:b/>
          <w:szCs w:val="22"/>
          <w:lang w:val="es-ES_tradnl" w:eastAsia="en-US"/>
        </w:rPr>
        <w:t>.</w:t>
      </w:r>
    </w:p>
    <w:p w14:paraId="02E6F4BC" w14:textId="566F10A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Côte d</w:t>
      </w:r>
      <w:r w:rsidR="004C49DE">
        <w:rPr>
          <w:szCs w:val="22"/>
          <w:lang w:val="es-ES_tradnl" w:eastAsia="en-US"/>
        </w:rPr>
        <w:t>’</w:t>
      </w:r>
      <w:r w:rsidRPr="004C49DE">
        <w:rPr>
          <w:szCs w:val="22"/>
          <w:lang w:val="es-ES_tradnl" w:eastAsia="en-US"/>
        </w:rPr>
        <w:t>Ivoire ha ratificado varias convenciones y participa en reuniones subregionales y africanas para mejorar la coordinación de las actividades destinadas a hacer frente a las necesidades de los hombres y las mujeres en África, principalmente las siguientes: a) la ratificación del Protocolo de MAPUTO (Protocolo de la Carta Africana de Derechos Humanos y de los Pueblos relativo a los Derechos de la Mujer en África) en marzo de 2012; ii) la conferencia subregional sobre la mujer del espacio de la Comisión de la Comunidad Económica de los Estados de África Occidental (CEDEAO) sobre cuestiones de género; iii)</w:t>
      </w:r>
      <w:r w:rsidR="001A14E9" w:rsidRPr="004C49DE">
        <w:rPr>
          <w:szCs w:val="22"/>
          <w:lang w:val="es-ES_tradnl" w:eastAsia="en-US"/>
        </w:rPr>
        <w:t xml:space="preserve"> </w:t>
      </w:r>
      <w:r w:rsidRPr="004C49DE">
        <w:rPr>
          <w:szCs w:val="22"/>
          <w:lang w:val="es-ES_tradnl" w:eastAsia="en-US"/>
        </w:rPr>
        <w:t>la</w:t>
      </w:r>
      <w:r w:rsidR="001A14E9" w:rsidRPr="004C49DE">
        <w:rPr>
          <w:szCs w:val="22"/>
          <w:lang w:val="es-ES_tradnl" w:eastAsia="en-US"/>
        </w:rPr>
        <w:t xml:space="preserve"> </w:t>
      </w:r>
      <w:r w:rsidRPr="004C49DE">
        <w:rPr>
          <w:szCs w:val="22"/>
          <w:lang w:val="es-ES_tradnl" w:eastAsia="en-US"/>
        </w:rPr>
        <w:t>colaboración con el Centro de Desarrollo del Género de la CEDEAO; iv)</w:t>
      </w:r>
      <w:r w:rsidR="001A14E9" w:rsidRPr="004C49DE">
        <w:rPr>
          <w:szCs w:val="22"/>
          <w:lang w:val="es-ES_tradnl" w:eastAsia="en-US"/>
        </w:rPr>
        <w:t xml:space="preserve"> </w:t>
      </w:r>
      <w:r w:rsidRPr="004C49DE">
        <w:rPr>
          <w:szCs w:val="22"/>
          <w:lang w:val="es-ES_tradnl" w:eastAsia="en-US"/>
        </w:rPr>
        <w:t>las</w:t>
      </w:r>
      <w:r w:rsidR="001A14E9" w:rsidRPr="004C49DE">
        <w:rPr>
          <w:szCs w:val="22"/>
          <w:lang w:val="es-ES_tradnl" w:eastAsia="en-US"/>
        </w:rPr>
        <w:t xml:space="preserve"> </w:t>
      </w:r>
      <w:r w:rsidRPr="004C49DE">
        <w:rPr>
          <w:szCs w:val="22"/>
          <w:lang w:val="es-ES_tradnl" w:eastAsia="en-US"/>
        </w:rPr>
        <w:t xml:space="preserve">conferencias ministeriales regionales sobre la mujer y el Centro de Conferencias de las Naciones Unidas en Addis Abeba (Etiopía) (Comisión Económica para África); v) las conferencias de ministras de la Unión Africana (UA); vi) el Índice Africano de Género y Desarrollo (IAGD); vii) la colaboración con la Agencia Intergubernamental de la Francofonía; viii) la resolución 1325 y la Declaración de los Jefes de Estado de la UA sobre la Igualdad de Género; ix) la Academia de la UA para el Liderazgo con relación al tema </w:t>
      </w:r>
      <w:r w:rsidR="004C49DE">
        <w:rPr>
          <w:szCs w:val="22"/>
          <w:lang w:val="es-ES_tradnl" w:eastAsia="en-US"/>
        </w:rPr>
        <w:t>“</w:t>
      </w:r>
      <w:r w:rsidRPr="004C49DE">
        <w:rPr>
          <w:szCs w:val="22"/>
          <w:lang w:val="es-ES_tradnl" w:eastAsia="en-US"/>
        </w:rPr>
        <w:t>la contribución del Protocolo de MAPUTO relativo a los derechos de la mujer en la transformación de los roles tradicionales de los dos sexos en África: balance, posibilidades y responsabilidades</w:t>
      </w:r>
      <w:r w:rsidR="004C49DE">
        <w:rPr>
          <w:szCs w:val="22"/>
          <w:lang w:val="es-ES_tradnl" w:eastAsia="en-US"/>
        </w:rPr>
        <w:t>”</w:t>
      </w:r>
      <w:r w:rsidRPr="004C49DE">
        <w:rPr>
          <w:szCs w:val="22"/>
          <w:lang w:val="es-ES_tradnl" w:eastAsia="en-US"/>
        </w:rPr>
        <w:t>, en julio de 2016</w:t>
      </w:r>
      <w:r w:rsidR="00BB7BBB" w:rsidRPr="004C49DE">
        <w:rPr>
          <w:szCs w:val="22"/>
          <w:lang w:val="es-ES_tradnl" w:eastAsia="en-US"/>
        </w:rPr>
        <w:t>.</w:t>
      </w:r>
    </w:p>
    <w:p w14:paraId="71477FE0" w14:textId="001F335B"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Reforzar, en colaboración con otros ministerios, sus mecanismos de supervisión para la aplicación de las leyes y los planes de acción destinados a lograr la igualdad </w:t>
      </w:r>
      <w:r w:rsidRPr="004C49DE">
        <w:rPr>
          <w:b/>
          <w:i/>
          <w:szCs w:val="22"/>
          <w:lang w:val="es-ES_tradnl" w:eastAsia="en-US"/>
        </w:rPr>
        <w:t>de facto</w:t>
      </w:r>
      <w:r w:rsidRPr="004C49DE">
        <w:rPr>
          <w:b/>
          <w:szCs w:val="22"/>
          <w:lang w:val="es-ES_tradnl" w:eastAsia="en-US"/>
        </w:rPr>
        <w:t xml:space="preserve"> entre hombres y mujeres (véase </w:t>
      </w:r>
      <w:hyperlink r:id="rId34"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23 d))</w:t>
      </w:r>
      <w:r w:rsidR="00BB7BBB" w:rsidRPr="004C49DE">
        <w:rPr>
          <w:b/>
          <w:szCs w:val="22"/>
          <w:lang w:val="es-ES_tradnl" w:eastAsia="en-US"/>
        </w:rPr>
        <w:t>.</w:t>
      </w:r>
    </w:p>
    <w:p w14:paraId="5F019B54" w14:textId="3B101FDF"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Cabe destacar la existencia de 21 dependencias y centros de coordinación y 4</w:t>
      </w:r>
      <w:r w:rsidR="007E2A1C" w:rsidRPr="004C49DE">
        <w:rPr>
          <w:szCs w:val="22"/>
          <w:lang w:val="es-ES_tradnl" w:eastAsia="en-US"/>
        </w:rPr>
        <w:t> </w:t>
      </w:r>
      <w:r w:rsidRPr="004C49DE">
        <w:rPr>
          <w:szCs w:val="22"/>
          <w:lang w:val="es-ES_tradnl" w:eastAsia="en-US"/>
        </w:rPr>
        <w:t>direcciones de género (Organismo Nacional de Apoyo al Desarrollo Rural (ANADER), Ministerio de Educación Superior, BNEPT y Ministerio de la Formación Profesional y la Enseñanza Técnica) que buscan la inclusión de la dimensión de género en las diversas estructuras en 2016</w:t>
      </w:r>
      <w:r w:rsidR="00BB7BBB" w:rsidRPr="004C49DE">
        <w:rPr>
          <w:szCs w:val="22"/>
          <w:lang w:val="es-ES_tradnl" w:eastAsia="en-US"/>
        </w:rPr>
        <w:t>.</w:t>
      </w:r>
    </w:p>
    <w:p w14:paraId="57CC963B" w14:textId="41350124"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Grupo de Mujeres Parlamentarias, creado en mayo de 2014 con el apoyo del</w:t>
      </w:r>
      <w:r w:rsidR="00364FE0" w:rsidRPr="004C49DE">
        <w:rPr>
          <w:szCs w:val="22"/>
          <w:lang w:val="es-ES_tradnl" w:eastAsia="en-US"/>
        </w:rPr>
        <w:t> </w:t>
      </w:r>
      <w:r w:rsidRPr="004C49DE">
        <w:rPr>
          <w:szCs w:val="22"/>
          <w:lang w:val="es-ES_tradnl" w:eastAsia="en-US"/>
        </w:rPr>
        <w:t>MSFFE, tiene por objeto lograr que se tome en consideración la perspectiva de</w:t>
      </w:r>
      <w:r w:rsidR="00364FE0" w:rsidRPr="004C49DE">
        <w:rPr>
          <w:szCs w:val="22"/>
          <w:lang w:val="es-ES_tradnl" w:eastAsia="en-US"/>
        </w:rPr>
        <w:t> </w:t>
      </w:r>
      <w:r w:rsidRPr="004C49DE">
        <w:rPr>
          <w:szCs w:val="22"/>
          <w:lang w:val="es-ES_tradnl" w:eastAsia="en-US"/>
        </w:rPr>
        <w:t>género en las tres funciones de los parlamentarios (representación, control y aprobación de leyes)</w:t>
      </w:r>
      <w:r w:rsidR="00BB7BBB" w:rsidRPr="004C49DE">
        <w:rPr>
          <w:szCs w:val="22"/>
          <w:lang w:val="es-ES_tradnl" w:eastAsia="en-US"/>
        </w:rPr>
        <w:t>.</w:t>
      </w:r>
    </w:p>
    <w:p w14:paraId="27AC8C18" w14:textId="4801D3B8"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Elaborar un sistema global de indicadores de igualdad de género con miras a mejorar la recopilación de los datos desglosados por sexo necesarios para evaluar los efectos y la eficacia de las políticas y los programas destinados a integrar la igualdad de género (véase </w:t>
      </w:r>
      <w:hyperlink r:id="rId35"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23 e))</w:t>
      </w:r>
      <w:r w:rsidR="00BB7BBB" w:rsidRPr="004C49DE">
        <w:rPr>
          <w:b/>
          <w:szCs w:val="22"/>
          <w:lang w:val="es-ES_tradnl" w:eastAsia="en-US"/>
        </w:rPr>
        <w:t>.</w:t>
      </w:r>
    </w:p>
    <w:p w14:paraId="2187347C" w14:textId="5D43FCB0" w:rsidR="000C3123" w:rsidRPr="004C49DE" w:rsidRDefault="00910912"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creación del Observatorio Nacional de Equidad y Género (ONEG) por medio del Decreto núm</w:t>
      </w:r>
      <w:r w:rsidR="00BB7BBB" w:rsidRPr="004C49DE">
        <w:rPr>
          <w:lang w:val="es-ES_tradnl"/>
        </w:rPr>
        <w:t>.</w:t>
      </w:r>
      <w:r w:rsidR="000C3123" w:rsidRPr="004C49DE">
        <w:rPr>
          <w:lang w:val="es-ES_tradnl"/>
        </w:rPr>
        <w:t xml:space="preserve"> 842, de 17 de diciembre de 2014, permitirá supervisar, evaluar y formular las propuestas encaminadas a promover la igualdad de género en las políticas públicas</w:t>
      </w:r>
      <w:r w:rsidR="00BB7BBB" w:rsidRPr="004C49DE">
        <w:rPr>
          <w:lang w:val="es-ES_tradnl"/>
        </w:rPr>
        <w:t>.</w:t>
      </w:r>
    </w:p>
    <w:p w14:paraId="5AF542A0" w14:textId="77777777" w:rsidR="000C3123" w:rsidRPr="004C49DE" w:rsidRDefault="000C3123" w:rsidP="007F0F3A">
      <w:pPr>
        <w:pStyle w:val="SingleTxt"/>
        <w:numPr>
          <w:ilvl w:val="0"/>
          <w:numId w:val="6"/>
        </w:numPr>
        <w:suppressAutoHyphens w:val="0"/>
        <w:ind w:left="1267" w:firstLine="0"/>
        <w:rPr>
          <w:szCs w:val="22"/>
          <w:lang w:val="es-ES_tradnl" w:eastAsia="en-US"/>
        </w:rPr>
      </w:pPr>
      <w:r w:rsidRPr="004C49DE">
        <w:rPr>
          <w:szCs w:val="22"/>
          <w:lang w:val="es-ES_tradnl" w:eastAsia="en-US"/>
        </w:rPr>
        <w:t>Por otra parte, existen otros instrumentos que proporcionan datos desglosados en distintos ámbitos:</w:t>
      </w:r>
    </w:p>
    <w:p w14:paraId="0E09DC34" w14:textId="79507D9B" w:rsidR="000C3123" w:rsidRPr="004C49DE" w:rsidRDefault="00910912" w:rsidP="007F0F3A">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 xml:space="preserve">la </w:t>
      </w:r>
      <w:r w:rsidR="000C3123" w:rsidRPr="004C49DE">
        <w:rPr>
          <w:i/>
          <w:lang w:val="es-ES_tradnl"/>
        </w:rPr>
        <w:t>Ley estadística núm</w:t>
      </w:r>
      <w:r w:rsidR="00BB7BBB" w:rsidRPr="004C49DE">
        <w:rPr>
          <w:i/>
          <w:lang w:val="es-ES_tradnl"/>
        </w:rPr>
        <w:t>.</w:t>
      </w:r>
      <w:r w:rsidR="000C3123" w:rsidRPr="004C49DE">
        <w:rPr>
          <w:i/>
          <w:lang w:val="es-ES_tradnl"/>
        </w:rPr>
        <w:t xml:space="preserve"> 2013</w:t>
      </w:r>
      <w:r w:rsidR="001A14E9" w:rsidRPr="004C49DE">
        <w:rPr>
          <w:i/>
          <w:lang w:val="es-ES_tradnl"/>
        </w:rPr>
        <w:noBreakHyphen/>
      </w:r>
      <w:r w:rsidR="000C3123" w:rsidRPr="004C49DE">
        <w:rPr>
          <w:i/>
          <w:lang w:val="es-ES_tradnl"/>
        </w:rPr>
        <w:t>537, de 30 de julio de 2013, relativa a la</w:t>
      </w:r>
      <w:r w:rsidR="001A14E9" w:rsidRPr="004C49DE">
        <w:rPr>
          <w:i/>
          <w:lang w:val="es-ES_tradnl"/>
        </w:rPr>
        <w:t xml:space="preserve"> </w:t>
      </w:r>
      <w:r w:rsidR="000C3123" w:rsidRPr="004C49DE">
        <w:rPr>
          <w:i/>
          <w:lang w:val="es-ES_tradnl"/>
        </w:rPr>
        <w:t>organización del sistema estadístico de Côte d</w:t>
      </w:r>
      <w:r w:rsidR="004C49DE">
        <w:rPr>
          <w:i/>
          <w:lang w:val="es-ES_tradnl"/>
        </w:rPr>
        <w:t>’</w:t>
      </w:r>
      <w:r w:rsidR="000C3123" w:rsidRPr="004C49DE">
        <w:rPr>
          <w:i/>
          <w:lang w:val="es-ES_tradnl"/>
        </w:rPr>
        <w:t>Ivoire</w:t>
      </w:r>
      <w:r w:rsidR="000C3123" w:rsidRPr="004C49DE">
        <w:rPr>
          <w:lang w:val="es-ES_tradnl"/>
        </w:rPr>
        <w:t>; deroga la Ley núm</w:t>
      </w:r>
      <w:r w:rsidR="00BB7BBB" w:rsidRPr="004C49DE">
        <w:rPr>
          <w:lang w:val="es-ES_tradnl"/>
        </w:rPr>
        <w:t>.</w:t>
      </w:r>
      <w:r w:rsidR="001A14E9" w:rsidRPr="004C49DE">
        <w:rPr>
          <w:lang w:val="es-ES_tradnl"/>
        </w:rPr>
        <w:t xml:space="preserve"> </w:t>
      </w:r>
      <w:r w:rsidR="000C3123" w:rsidRPr="004C49DE">
        <w:rPr>
          <w:lang w:val="es-ES_tradnl"/>
        </w:rPr>
        <w:t>51</w:t>
      </w:r>
      <w:r w:rsidR="001A14E9" w:rsidRPr="004C49DE">
        <w:rPr>
          <w:lang w:val="es-ES_tradnl"/>
        </w:rPr>
        <w:noBreakHyphen/>
      </w:r>
      <w:r w:rsidR="000C3123" w:rsidRPr="004C49DE">
        <w:rPr>
          <w:lang w:val="es-ES_tradnl"/>
        </w:rPr>
        <w:t>711, de 7 de junio de 1951;</w:t>
      </w:r>
    </w:p>
    <w:p w14:paraId="2B5175D5" w14:textId="77777777" w:rsidR="000C3123" w:rsidRPr="004C49DE" w:rsidRDefault="00910912" w:rsidP="007F0F3A">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el censo general de población y vivienda de 2014;</w:t>
      </w:r>
    </w:p>
    <w:p w14:paraId="6F223608" w14:textId="77777777" w:rsidR="000C3123" w:rsidRPr="004C49DE" w:rsidRDefault="00910912" w:rsidP="007F0F3A">
      <w:pPr>
        <w:pStyle w:val="SingleTxt"/>
        <w:tabs>
          <w:tab w:val="right" w:pos="1685"/>
        </w:tabs>
        <w:suppressAutoHyphens w:val="0"/>
        <w:ind w:left="1742" w:hanging="475"/>
        <w:rPr>
          <w:lang w:val="es-ES_tradnl"/>
        </w:rPr>
      </w:pPr>
      <w:r w:rsidRPr="004C49DE">
        <w:rPr>
          <w:lang w:val="es-ES_tradnl"/>
        </w:rPr>
        <w:lastRenderedPageBreak/>
        <w:tab/>
        <w:t>•</w:t>
      </w:r>
      <w:r w:rsidRPr="004C49DE">
        <w:rPr>
          <w:lang w:val="es-ES_tradnl"/>
        </w:rPr>
        <w:tab/>
      </w:r>
      <w:r w:rsidR="000C3123" w:rsidRPr="004C49DE">
        <w:rPr>
          <w:lang w:val="es-ES_tradnl"/>
        </w:rPr>
        <w:t>la encuesta sobre el nivel de vida de los hogares de 2015;</w:t>
      </w:r>
    </w:p>
    <w:p w14:paraId="0E7FBFF4" w14:textId="33B5D53B" w:rsidR="000C3123" w:rsidRPr="004C49DE" w:rsidRDefault="00910912" w:rsidP="007F0F3A">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las encuestas de demografía y salud y de indicadores múltiples por conglomerados 2011</w:t>
      </w:r>
      <w:r w:rsidR="001A14E9" w:rsidRPr="004C49DE">
        <w:rPr>
          <w:lang w:val="es-ES_tradnl"/>
        </w:rPr>
        <w:noBreakHyphen/>
      </w:r>
      <w:r w:rsidR="000C3123" w:rsidRPr="004C49DE">
        <w:rPr>
          <w:lang w:val="es-ES_tradnl"/>
        </w:rPr>
        <w:t>2012</w:t>
      </w:r>
      <w:r w:rsidR="00BB7BBB" w:rsidRPr="004C49DE">
        <w:rPr>
          <w:lang w:val="es-ES_tradnl"/>
        </w:rPr>
        <w:t>.</w:t>
      </w:r>
    </w:p>
    <w:p w14:paraId="55F3AE9C" w14:textId="77777777" w:rsidR="00594B11" w:rsidRPr="004C49DE" w:rsidRDefault="00594B11" w:rsidP="00BB7BBB">
      <w:pPr>
        <w:pStyle w:val="SingleTxt"/>
        <w:suppressAutoHyphens w:val="0"/>
        <w:spacing w:after="0" w:line="120" w:lineRule="exact"/>
        <w:rPr>
          <w:sz w:val="10"/>
          <w:szCs w:val="10"/>
          <w:lang w:val="es-ES_tradnl"/>
        </w:rPr>
      </w:pPr>
    </w:p>
    <w:p w14:paraId="007E6EA4"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Medidas especiales de carácter temporal</w:t>
      </w:r>
    </w:p>
    <w:p w14:paraId="0D674680" w14:textId="77777777" w:rsidR="00594B11" w:rsidRPr="004C49DE" w:rsidRDefault="00594B11" w:rsidP="00BB7BBB">
      <w:pPr>
        <w:pStyle w:val="SingleTxt"/>
        <w:suppressAutoHyphens w:val="0"/>
        <w:spacing w:after="0" w:line="120" w:lineRule="exact"/>
        <w:rPr>
          <w:sz w:val="10"/>
          <w:szCs w:val="10"/>
          <w:lang w:val="es-ES_tradnl"/>
        </w:rPr>
      </w:pPr>
    </w:p>
    <w:p w14:paraId="4E084377" w14:textId="09241363"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Promulgar y aplicar sin dilación el proyecto de disposición legislativa que establece una cuota del 30% de representación femenina en el Parlamento y velar por que en las listas electorales de los partidos políticos por lo menos uno de cada tres candidatos sea mujer (véase </w:t>
      </w:r>
      <w:hyperlink r:id="rId3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25 a))</w:t>
      </w:r>
      <w:r w:rsidR="00BB7BBB" w:rsidRPr="004C49DE">
        <w:rPr>
          <w:b/>
          <w:szCs w:val="22"/>
          <w:lang w:val="es-ES_tradnl" w:eastAsia="en-US"/>
        </w:rPr>
        <w:t>.</w:t>
      </w:r>
    </w:p>
    <w:p w14:paraId="0E70642D" w14:textId="0FE46180"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nueva Constitución de octubre de 2016 establece, en el artículo 36, que el Estado se esforzará por promover los derechos políticos de la mujer aumentando sus oportunidades de acceso a la representación en las asambleas electivas</w:t>
      </w:r>
      <w:r w:rsidR="00BB7BBB" w:rsidRPr="004C49DE">
        <w:rPr>
          <w:szCs w:val="22"/>
          <w:lang w:val="es-ES_tradnl" w:eastAsia="en-US"/>
        </w:rPr>
        <w:t>.</w:t>
      </w:r>
      <w:r w:rsidRPr="004C49DE">
        <w:rPr>
          <w:szCs w:val="22"/>
          <w:lang w:val="es-ES_tradnl" w:eastAsia="en-US"/>
        </w:rPr>
        <w:t xml:space="preserve"> Las formas de aplicación de dicho artículo deben establecerse en la legislación</w:t>
      </w:r>
      <w:r w:rsidR="00BB7BBB" w:rsidRPr="004C49DE">
        <w:rPr>
          <w:szCs w:val="22"/>
          <w:lang w:val="es-ES_tradnl" w:eastAsia="en-US"/>
        </w:rPr>
        <w:t>.</w:t>
      </w:r>
    </w:p>
    <w:p w14:paraId="5CB7129B" w14:textId="48088126"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Garantizar que el proyecto de disposición legislativa encaminado a aumentar la representación de la mujer en la administración pública incluya medidas especiales de carácter temporal para acelerar la participación plena e igualitaria de la mujer en la vida pública y política, en particular en los altos niveles de adopción de decisiones, y promulgar esta disposición a la mayor brevedad (véase </w:t>
      </w:r>
      <w:hyperlink r:id="rId3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25 b))</w:t>
      </w:r>
      <w:r w:rsidR="00BB7BBB" w:rsidRPr="004C49DE">
        <w:rPr>
          <w:b/>
          <w:szCs w:val="22"/>
          <w:lang w:val="es-ES_tradnl" w:eastAsia="en-US"/>
        </w:rPr>
        <w:t>.</w:t>
      </w:r>
    </w:p>
    <w:p w14:paraId="7651B7C5" w14:textId="1455BC70"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nueva Constitución de octubre de 2016 prevé la promoción de la paridad entre hombres y mujeres en el mercado laboral</w:t>
      </w:r>
      <w:r w:rsidR="00BB7BBB" w:rsidRPr="004C49DE">
        <w:rPr>
          <w:szCs w:val="22"/>
          <w:lang w:val="es-ES_tradnl" w:eastAsia="en-US"/>
        </w:rPr>
        <w:t>.</w:t>
      </w:r>
      <w:r w:rsidRPr="004C49DE">
        <w:rPr>
          <w:szCs w:val="22"/>
          <w:lang w:val="es-ES_tradnl" w:eastAsia="en-US"/>
        </w:rPr>
        <w:t xml:space="preserve"> Alienta la plena participación de las mujeres en puestos de designación directa, tanto en las instituciones como en las administraciones públicas</w:t>
      </w:r>
      <w:r w:rsidR="00BB7BBB" w:rsidRPr="004C49DE">
        <w:rPr>
          <w:szCs w:val="22"/>
          <w:lang w:val="es-ES_tradnl" w:eastAsia="en-US"/>
        </w:rPr>
        <w:t>.</w:t>
      </w:r>
      <w:r w:rsidRPr="004C49DE">
        <w:rPr>
          <w:szCs w:val="22"/>
          <w:lang w:val="es-ES_tradnl" w:eastAsia="en-US"/>
        </w:rPr>
        <w:t xml:space="preserve"> La Constitución contempla claramente la noción de </w:t>
      </w:r>
      <w:r w:rsidR="004C49DE">
        <w:rPr>
          <w:szCs w:val="22"/>
          <w:lang w:val="es-ES_tradnl" w:eastAsia="en-US"/>
        </w:rPr>
        <w:t>“</w:t>
      </w:r>
      <w:r w:rsidRPr="004C49DE">
        <w:rPr>
          <w:szCs w:val="22"/>
          <w:lang w:val="es-ES_tradnl" w:eastAsia="en-US"/>
        </w:rPr>
        <w:t>paridad entre hombres y mujeres</w:t>
      </w:r>
      <w:r w:rsidR="004C49DE">
        <w:rPr>
          <w:szCs w:val="22"/>
          <w:lang w:val="es-ES_tradnl" w:eastAsia="en-US"/>
        </w:rPr>
        <w:t>”</w:t>
      </w:r>
      <w:r w:rsidR="00BB7BBB" w:rsidRPr="004C49DE">
        <w:rPr>
          <w:szCs w:val="22"/>
          <w:lang w:val="es-ES_tradnl" w:eastAsia="en-US"/>
        </w:rPr>
        <w:t>.</w:t>
      </w:r>
    </w:p>
    <w:p w14:paraId="3803FD3F" w14:textId="094F73E3"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Aplicar medidas especiales de carácter temporal en otras esferas abarcadas por la Convención en las que las mujeres no tengan representación suficiente o estén en situación de desventaja (véase </w:t>
      </w:r>
      <w:hyperlink r:id="rId3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25 c))</w:t>
      </w:r>
      <w:r w:rsidR="00BB7BBB" w:rsidRPr="004C49DE">
        <w:rPr>
          <w:b/>
          <w:szCs w:val="22"/>
          <w:lang w:val="es-ES_tradnl" w:eastAsia="en-US"/>
        </w:rPr>
        <w:t>.</w:t>
      </w:r>
    </w:p>
    <w:p w14:paraId="0C173D52" w14:textId="05A4808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Para garantizar el derecho a la propiedad, el Gobierno ha establecido, por medio del Decreto núm</w:t>
      </w:r>
      <w:r w:rsidR="00BB7BBB" w:rsidRPr="004C49DE">
        <w:rPr>
          <w:szCs w:val="22"/>
          <w:lang w:val="es-ES_tradnl" w:eastAsia="en-US"/>
        </w:rPr>
        <w:t>.</w:t>
      </w:r>
      <w:r w:rsidRPr="004C49DE">
        <w:rPr>
          <w:szCs w:val="22"/>
          <w:lang w:val="es-ES_tradnl" w:eastAsia="en-US"/>
        </w:rPr>
        <w:t xml:space="preserve"> 2013</w:t>
      </w:r>
      <w:r w:rsidR="001A14E9" w:rsidRPr="004C49DE">
        <w:rPr>
          <w:szCs w:val="22"/>
          <w:lang w:val="es-ES_tradnl" w:eastAsia="en-US"/>
        </w:rPr>
        <w:noBreakHyphen/>
      </w:r>
      <w:r w:rsidRPr="004C49DE">
        <w:rPr>
          <w:szCs w:val="22"/>
          <w:lang w:val="es-ES_tradnl" w:eastAsia="en-US"/>
        </w:rPr>
        <w:t>481, de 2 de julio de 2013, la reforma pública de la orden definitiva de concesión de tierras, a fin de poner orden en el ámbito de las tierras urbanas</w:t>
      </w:r>
      <w:r w:rsidR="00BB7BBB" w:rsidRPr="004C49DE">
        <w:rPr>
          <w:szCs w:val="22"/>
          <w:lang w:val="es-ES_tradnl" w:eastAsia="en-US"/>
        </w:rPr>
        <w:t>.</w:t>
      </w:r>
      <w:r w:rsidRPr="004C49DE">
        <w:rPr>
          <w:szCs w:val="22"/>
          <w:lang w:val="es-ES_tradnl" w:eastAsia="en-US"/>
        </w:rPr>
        <w:t xml:space="preserve"> La reforma devuelve la seguridad a las comunidades urbanas y permite a hombres y mujeres por igual tener acceso a la propiedad</w:t>
      </w:r>
      <w:r w:rsidR="00BB7BBB" w:rsidRPr="004C49DE">
        <w:rPr>
          <w:szCs w:val="22"/>
          <w:lang w:val="es-ES_tradnl" w:eastAsia="en-US"/>
        </w:rPr>
        <w:t>.</w:t>
      </w:r>
    </w:p>
    <w:p w14:paraId="729827B0" w14:textId="481D8037"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Incluir información en su próximo informe periódico sobre la utilización de medidas especiales de carácter temporal, en relación con las diversas disposiciones de la Convención, así como sobre los efectos de estas medidas (véase </w:t>
      </w:r>
      <w:hyperlink r:id="rId3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25 d))</w:t>
      </w:r>
      <w:r w:rsidR="00BB7BBB" w:rsidRPr="004C49DE">
        <w:rPr>
          <w:b/>
          <w:szCs w:val="22"/>
          <w:lang w:val="es-ES_tradnl" w:eastAsia="en-US"/>
        </w:rPr>
        <w:t>.</w:t>
      </w:r>
    </w:p>
    <w:p w14:paraId="3E65D4B9" w14:textId="0B5219D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No se ha adoptado ninguna medida especial de carácter temporal en el ámbito de la cuota de mujeres en las esferas de la adopción de decisiones; sin embargo, el ministerio encargado de las cuestiones de género ha presentado un proyecto de ley sobre cuotas de al menos un 30% de mujeres en los cargos electivos que ya ha sido objeto de una primera lectura a nivel del Consejo de Ministros</w:t>
      </w:r>
      <w:r w:rsidR="00BB7BBB" w:rsidRPr="004C49DE">
        <w:rPr>
          <w:szCs w:val="22"/>
          <w:lang w:val="es-ES_tradnl" w:eastAsia="en-US"/>
        </w:rPr>
        <w:t>.</w:t>
      </w:r>
      <w:r w:rsidRPr="004C49DE">
        <w:rPr>
          <w:szCs w:val="22"/>
          <w:lang w:val="es-ES_tradnl" w:eastAsia="en-US"/>
        </w:rPr>
        <w:t xml:space="preserve"> Esta lectura dio lugar a enmiendas que estén en proceso de integración</w:t>
      </w:r>
      <w:r w:rsidR="00BB7BBB" w:rsidRPr="004C49DE">
        <w:rPr>
          <w:szCs w:val="22"/>
          <w:lang w:val="es-ES_tradnl" w:eastAsia="en-US"/>
        </w:rPr>
        <w:t>.</w:t>
      </w:r>
    </w:p>
    <w:p w14:paraId="3380A843" w14:textId="08BFBA96" w:rsidR="00C104C0" w:rsidRPr="004C49DE" w:rsidRDefault="00C104C0" w:rsidP="00BB7BBB">
      <w:pPr>
        <w:pStyle w:val="SingleTxt"/>
        <w:suppressAutoHyphens w:val="0"/>
        <w:spacing w:after="0" w:line="120" w:lineRule="exact"/>
        <w:rPr>
          <w:sz w:val="10"/>
          <w:szCs w:val="10"/>
          <w:lang w:val="es-ES_tradnl"/>
        </w:rPr>
      </w:pPr>
    </w:p>
    <w:p w14:paraId="56AAF24E" w14:textId="77777777" w:rsidR="00BB7BBB" w:rsidRPr="004C49DE" w:rsidRDefault="000C3123" w:rsidP="007F0F3A">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Estereotipos y prácticas nocivas</w:t>
      </w:r>
    </w:p>
    <w:p w14:paraId="1CA74E1E" w14:textId="639E9AF1" w:rsidR="00C104C0" w:rsidRPr="004C49DE" w:rsidRDefault="00C104C0" w:rsidP="007F0F3A">
      <w:pPr>
        <w:pStyle w:val="SingleTxt"/>
        <w:suppressAutoHyphens w:val="0"/>
        <w:spacing w:after="0" w:line="120" w:lineRule="exact"/>
        <w:rPr>
          <w:sz w:val="10"/>
          <w:szCs w:val="10"/>
          <w:lang w:val="es-ES_tradnl"/>
        </w:rPr>
      </w:pPr>
    </w:p>
    <w:p w14:paraId="596C9962" w14:textId="2ECC9307" w:rsidR="000C3123" w:rsidRPr="004C49DE" w:rsidRDefault="000C3123" w:rsidP="007F0F3A">
      <w:pPr>
        <w:pStyle w:val="SingleTxt"/>
        <w:numPr>
          <w:ilvl w:val="0"/>
          <w:numId w:val="6"/>
        </w:numPr>
        <w:suppressAutoHyphens w:val="0"/>
        <w:ind w:left="1267" w:firstLine="0"/>
        <w:rPr>
          <w:b/>
          <w:szCs w:val="22"/>
          <w:lang w:val="es-ES_tradnl" w:eastAsia="en-US"/>
        </w:rPr>
      </w:pPr>
      <w:r w:rsidRPr="004C49DE">
        <w:rPr>
          <w:b/>
          <w:szCs w:val="22"/>
          <w:lang w:val="es-ES_tradnl" w:eastAsia="en-US"/>
        </w:rPr>
        <w:t>Poner en marcha, sin demora, una estrategia global para eliminar las prácticas tradicionales nocivas y los estereotipos que discriminan a la mujer, de conformidad con lo dispuesto en los artículos 2 f) y 5 a) de la Convención</w:t>
      </w:r>
      <w:r w:rsidR="00BB7BBB" w:rsidRPr="004C49DE">
        <w:rPr>
          <w:b/>
          <w:szCs w:val="22"/>
          <w:lang w:val="es-ES_tradnl" w:eastAsia="en-US"/>
        </w:rPr>
        <w:t>.</w:t>
      </w:r>
      <w:r w:rsidRPr="004C49DE">
        <w:rPr>
          <w:b/>
          <w:szCs w:val="22"/>
          <w:lang w:val="es-ES_tradnl" w:eastAsia="en-US"/>
        </w:rPr>
        <w:t xml:space="preserve"> Estas</w:t>
      </w:r>
      <w:r w:rsidR="00EB271C" w:rsidRPr="004C49DE">
        <w:rPr>
          <w:b/>
          <w:szCs w:val="22"/>
          <w:lang w:val="es-ES_tradnl" w:eastAsia="en-US"/>
        </w:rPr>
        <w:t> </w:t>
      </w:r>
      <w:r w:rsidRPr="004C49DE">
        <w:rPr>
          <w:b/>
          <w:szCs w:val="22"/>
          <w:lang w:val="es-ES_tradnl" w:eastAsia="en-US"/>
        </w:rPr>
        <w:t>medidas deben incluir más esfuerzos concertados, en colaboración con la</w:t>
      </w:r>
      <w:r w:rsidR="001A14E9" w:rsidRPr="004C49DE">
        <w:rPr>
          <w:b/>
          <w:szCs w:val="22"/>
          <w:lang w:val="es-ES_tradnl" w:eastAsia="en-US"/>
        </w:rPr>
        <w:t xml:space="preserve"> </w:t>
      </w:r>
      <w:r w:rsidRPr="004C49DE">
        <w:rPr>
          <w:b/>
          <w:szCs w:val="22"/>
          <w:lang w:val="es-ES_tradnl" w:eastAsia="en-US"/>
        </w:rPr>
        <w:t>sociedad civil, para educar y sensibilizar sobre esta cuestión, que estén</w:t>
      </w:r>
      <w:r w:rsidR="001A14E9" w:rsidRPr="004C49DE">
        <w:rPr>
          <w:b/>
          <w:szCs w:val="22"/>
          <w:lang w:val="es-ES_tradnl" w:eastAsia="en-US"/>
        </w:rPr>
        <w:t xml:space="preserve"> </w:t>
      </w:r>
      <w:r w:rsidRPr="004C49DE">
        <w:rPr>
          <w:b/>
          <w:szCs w:val="22"/>
          <w:lang w:val="es-ES_tradnl" w:eastAsia="en-US"/>
        </w:rPr>
        <w:t xml:space="preserve">dirigidos </w:t>
      </w:r>
      <w:r w:rsidRPr="004C49DE">
        <w:rPr>
          <w:b/>
          <w:szCs w:val="22"/>
          <w:lang w:val="es-ES_tradnl" w:eastAsia="en-US"/>
        </w:rPr>
        <w:lastRenderedPageBreak/>
        <w:t>a los hombres y las mujeres de todos los niveles de la sociedad y</w:t>
      </w:r>
      <w:r w:rsidR="001A14E9" w:rsidRPr="004C49DE">
        <w:rPr>
          <w:b/>
          <w:szCs w:val="22"/>
          <w:lang w:val="es-ES_tradnl" w:eastAsia="en-US"/>
        </w:rPr>
        <w:t xml:space="preserve"> </w:t>
      </w:r>
      <w:r w:rsidRPr="004C49DE">
        <w:rPr>
          <w:b/>
          <w:szCs w:val="22"/>
          <w:lang w:val="es-ES_tradnl" w:eastAsia="en-US"/>
        </w:rPr>
        <w:t>cuenten con la participación del sistema escolar, los medios de comunicación y</w:t>
      </w:r>
      <w:r w:rsidR="001A14E9" w:rsidRPr="004C49DE">
        <w:rPr>
          <w:b/>
          <w:szCs w:val="22"/>
          <w:lang w:val="es-ES_tradnl" w:eastAsia="en-US"/>
        </w:rPr>
        <w:t xml:space="preserve"> </w:t>
      </w:r>
      <w:r w:rsidRPr="004C49DE">
        <w:rPr>
          <w:b/>
          <w:szCs w:val="22"/>
          <w:lang w:val="es-ES_tradnl" w:eastAsia="en-US"/>
        </w:rPr>
        <w:t xml:space="preserve">los dirigentes comunitarios y religiosos (véase </w:t>
      </w:r>
      <w:hyperlink r:id="rId4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001A14E9" w:rsidRPr="004C49DE">
        <w:rPr>
          <w:b/>
          <w:szCs w:val="22"/>
          <w:lang w:val="es-ES_tradnl" w:eastAsia="en-US"/>
        </w:rPr>
        <w:t xml:space="preserve"> </w:t>
      </w:r>
      <w:r w:rsidRPr="004C49DE">
        <w:rPr>
          <w:b/>
          <w:szCs w:val="22"/>
          <w:lang w:val="es-ES_tradnl" w:eastAsia="en-US"/>
        </w:rPr>
        <w:t>27</w:t>
      </w:r>
      <w:r w:rsidR="001A14E9" w:rsidRPr="004C49DE">
        <w:rPr>
          <w:b/>
          <w:szCs w:val="22"/>
          <w:lang w:val="es-ES_tradnl" w:eastAsia="en-US"/>
        </w:rPr>
        <w:t xml:space="preserve"> </w:t>
      </w:r>
      <w:r w:rsidRPr="004C49DE">
        <w:rPr>
          <w:b/>
          <w:szCs w:val="22"/>
          <w:lang w:val="es-ES_tradnl" w:eastAsia="en-US"/>
        </w:rPr>
        <w:t>a))</w:t>
      </w:r>
      <w:r w:rsidR="00BB7BBB" w:rsidRPr="004C49DE">
        <w:rPr>
          <w:b/>
          <w:szCs w:val="22"/>
          <w:lang w:val="es-ES_tradnl" w:eastAsia="en-US"/>
        </w:rPr>
        <w:t>.</w:t>
      </w:r>
    </w:p>
    <w:p w14:paraId="36451F31" w14:textId="5AED2BD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Estrategia Nacional de Lucha contra la Violencia de Género aprobada en 2014 está reforzada por otros dos documentos marco: el Plan Acelerado de Lucha contra los Matrimonios y los Embarazos Precoces para el período 2013</w:t>
      </w:r>
      <w:r w:rsidR="001A14E9" w:rsidRPr="004C49DE">
        <w:rPr>
          <w:szCs w:val="22"/>
          <w:lang w:val="es-ES_tradnl" w:eastAsia="en-US"/>
        </w:rPr>
        <w:noBreakHyphen/>
      </w:r>
      <w:r w:rsidRPr="004C49DE">
        <w:rPr>
          <w:szCs w:val="22"/>
          <w:lang w:val="es-ES_tradnl" w:eastAsia="en-US"/>
        </w:rPr>
        <w:t>2015 y el Plan Acelerado de Lucha contra los Embarazos en las Escuelas (2013</w:t>
      </w:r>
      <w:r w:rsidR="001A14E9" w:rsidRPr="004C49DE">
        <w:rPr>
          <w:szCs w:val="22"/>
          <w:lang w:val="es-ES_tradnl" w:eastAsia="en-US"/>
        </w:rPr>
        <w:noBreakHyphen/>
      </w:r>
      <w:r w:rsidRPr="004C49DE">
        <w:rPr>
          <w:szCs w:val="22"/>
          <w:lang w:val="es-ES_tradnl" w:eastAsia="en-US"/>
        </w:rPr>
        <w:t>2015)</w:t>
      </w:r>
      <w:r w:rsidR="00BB7BBB" w:rsidRPr="004C49DE">
        <w:rPr>
          <w:szCs w:val="22"/>
          <w:lang w:val="es-ES_tradnl" w:eastAsia="en-US"/>
        </w:rPr>
        <w:t>.</w:t>
      </w:r>
    </w:p>
    <w:p w14:paraId="14CA656F" w14:textId="79312D3C" w:rsidR="000C3123" w:rsidRPr="004C49DE" w:rsidRDefault="000C3123" w:rsidP="00BB7BBB">
      <w:pPr>
        <w:pStyle w:val="SingleTxt"/>
        <w:numPr>
          <w:ilvl w:val="0"/>
          <w:numId w:val="6"/>
        </w:numPr>
        <w:suppressAutoHyphens w:val="0"/>
        <w:ind w:left="1267" w:firstLine="0"/>
        <w:rPr>
          <w:b/>
          <w:szCs w:val="22"/>
          <w:lang w:val="es-ES_tradnl" w:eastAsia="en-US"/>
        </w:rPr>
      </w:pPr>
      <w:bookmarkStart w:id="12" w:name="Sample_8"/>
      <w:r w:rsidRPr="004C49DE">
        <w:rPr>
          <w:b/>
          <w:szCs w:val="22"/>
          <w:lang w:val="es-ES_tradnl" w:eastAsia="en-US"/>
        </w:rPr>
        <w:t xml:space="preserve">Actuar contra las prácticas tradicionales nocivas, como la mutilación genital femenina, el matrimonio forzado y precoz, el levirato, el sororato, la poligamia y el otorgamiento de todo el poder de decisión a los hombres en la familia, ampliando los programas de educación pública y aplicando de manera efectiva las leyes que prohíben tales prácticas, en particular en las zonas rurales (véase </w:t>
      </w:r>
      <w:hyperlink r:id="rId4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27 b))</w:t>
      </w:r>
      <w:r w:rsidR="00BB7BBB" w:rsidRPr="004C49DE">
        <w:rPr>
          <w:b/>
          <w:szCs w:val="22"/>
          <w:lang w:val="es-ES_tradnl" w:eastAsia="en-US"/>
        </w:rPr>
        <w:t>.</w:t>
      </w:r>
    </w:p>
    <w:p w14:paraId="33A20381" w14:textId="1132269F" w:rsidR="000C3123" w:rsidRPr="004C49DE" w:rsidRDefault="000A1B8C"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Se elaboró y se puso en práctica el Plan Acelerado de Lucha contra los Matrimonios y los Embarazos Precoces para el período 2013</w:t>
      </w:r>
      <w:r w:rsidR="001A14E9" w:rsidRPr="004C49DE">
        <w:rPr>
          <w:lang w:val="es-ES_tradnl"/>
        </w:rPr>
        <w:noBreakHyphen/>
      </w:r>
      <w:r w:rsidR="000C3123" w:rsidRPr="004C49DE">
        <w:rPr>
          <w:lang w:val="es-ES_tradnl"/>
        </w:rPr>
        <w:t>2015;</w:t>
      </w:r>
    </w:p>
    <w:p w14:paraId="696D3DD5" w14:textId="16928EEB" w:rsidR="000C3123" w:rsidRPr="004C49DE" w:rsidRDefault="000A1B8C"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45C7" w:rsidRPr="004C49DE">
        <w:rPr>
          <w:lang w:val="es-ES_tradnl"/>
        </w:rPr>
        <w:t xml:space="preserve">Algunos </w:t>
      </w:r>
      <w:r w:rsidR="000C3123" w:rsidRPr="004C49DE">
        <w:rPr>
          <w:lang w:val="es-ES_tradnl"/>
        </w:rPr>
        <w:t>dirigentes de comunidades y líderes religiosos de diversas regiones se comprometieron de forma solemne;</w:t>
      </w:r>
    </w:p>
    <w:p w14:paraId="1EEA09A5" w14:textId="6EA151C0" w:rsidR="000C3123" w:rsidRPr="004C49DE" w:rsidRDefault="000A1B8C"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En lo que concierne a la mutilación genital femenina, Côte d</w:t>
      </w:r>
      <w:r w:rsidR="004C49DE">
        <w:rPr>
          <w:lang w:val="es-ES_tradnl"/>
        </w:rPr>
        <w:t>’</w:t>
      </w:r>
      <w:r w:rsidR="000C3123" w:rsidRPr="004C49DE">
        <w:rPr>
          <w:lang w:val="es-ES_tradnl"/>
        </w:rPr>
        <w:t xml:space="preserve">Ivoire ha adoptado numerosas medidas para aplicar la resolución </w:t>
      </w:r>
      <w:hyperlink r:id="rId42" w:history="1">
        <w:r w:rsidR="000C3123" w:rsidRPr="004C49DE">
          <w:rPr>
            <w:color w:val="0000FF"/>
            <w:lang w:val="es-ES_tradnl"/>
          </w:rPr>
          <w:t>A/RES/67/146</w:t>
        </w:r>
      </w:hyperlink>
      <w:r w:rsidR="000C3123" w:rsidRPr="004C49DE">
        <w:rPr>
          <w:lang w:val="es-ES_tradnl"/>
        </w:rPr>
        <w:t xml:space="preserve"> de las Naciones Unidas sobre la intensificación de los esfuerzos mundiales para la eliminación de la mutilación genital femenina;</w:t>
      </w:r>
    </w:p>
    <w:p w14:paraId="68ABD960" w14:textId="43825A74" w:rsidR="00BB7BBB" w:rsidRPr="004C49DE" w:rsidRDefault="000A1B8C"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En 2013, se puso en marcha una campaña de Tolerancia Cero con la Mutilación Genital Femenina y se adoptaron medidas para reforzar la aplicación de la Ley núm</w:t>
      </w:r>
      <w:r w:rsidR="00BB7BBB" w:rsidRPr="004C49DE">
        <w:rPr>
          <w:lang w:val="es-ES_tradnl"/>
        </w:rPr>
        <w:t>.</w:t>
      </w:r>
      <w:r w:rsidR="000C3123" w:rsidRPr="004C49DE">
        <w:rPr>
          <w:lang w:val="es-ES_tradnl"/>
        </w:rPr>
        <w:t xml:space="preserve"> 98</w:t>
      </w:r>
      <w:r w:rsidR="001A14E9" w:rsidRPr="004C49DE">
        <w:rPr>
          <w:lang w:val="es-ES_tradnl"/>
        </w:rPr>
        <w:noBreakHyphen/>
      </w:r>
      <w:r w:rsidR="000C3123" w:rsidRPr="004C49DE">
        <w:rPr>
          <w:lang w:val="es-ES_tradnl"/>
        </w:rPr>
        <w:t>757, de 23 de diciembre de 1998, relativa a la</w:t>
      </w:r>
      <w:r w:rsidR="001A14E9" w:rsidRPr="004C49DE">
        <w:rPr>
          <w:lang w:val="es-ES_tradnl"/>
        </w:rPr>
        <w:t xml:space="preserve"> </w:t>
      </w:r>
      <w:r w:rsidR="000C3123" w:rsidRPr="004C49DE">
        <w:rPr>
          <w:lang w:val="es-ES_tradnl"/>
        </w:rPr>
        <w:t>práctica de la mutilación genital femenina, con el fin de prestar apoyo a los profesionales del derecho y las autoridades de las prefecturas</w:t>
      </w:r>
      <w:r w:rsidR="00BB7BBB" w:rsidRPr="004C49DE">
        <w:rPr>
          <w:lang w:val="es-ES_tradnl"/>
        </w:rPr>
        <w:t>.</w:t>
      </w:r>
    </w:p>
    <w:bookmarkEnd w:id="12"/>
    <w:p w14:paraId="4CD352D3" w14:textId="27EF3950" w:rsidR="000C3123" w:rsidRPr="004C49DE" w:rsidRDefault="000C3123" w:rsidP="00BB7BBB">
      <w:pPr>
        <w:pStyle w:val="SingleTxt"/>
        <w:numPr>
          <w:ilvl w:val="0"/>
          <w:numId w:val="6"/>
        </w:numPr>
        <w:suppressAutoHyphens w:val="0"/>
        <w:ind w:left="1267" w:firstLine="0"/>
        <w:rPr>
          <w:b/>
          <w:spacing w:val="0"/>
          <w:w w:val="100"/>
          <w:szCs w:val="22"/>
          <w:lang w:val="es-ES_tradnl" w:eastAsia="en-US"/>
        </w:rPr>
      </w:pPr>
      <w:r w:rsidRPr="004C49DE">
        <w:rPr>
          <w:b/>
          <w:spacing w:val="0"/>
          <w:w w:val="100"/>
          <w:szCs w:val="22"/>
          <w:lang w:val="es-ES_tradnl" w:eastAsia="en-US"/>
        </w:rPr>
        <w:t xml:space="preserve">Realizar una evaluación de los efectos de esas medidas para determinar las deficiencias y subsanarlas en consecuencia (véase </w:t>
      </w:r>
      <w:hyperlink r:id="rId43" w:history="1">
        <w:r w:rsidRPr="004C49DE">
          <w:rPr>
            <w:b/>
            <w:color w:val="0000FF"/>
            <w:spacing w:val="0"/>
            <w:w w:val="100"/>
            <w:szCs w:val="22"/>
            <w:lang w:val="es-ES_tradnl" w:eastAsia="en-US"/>
          </w:rPr>
          <w:t>CEDAW/C/CIV/CO/1</w:t>
        </w:r>
        <w:r w:rsidR="001A14E9" w:rsidRPr="004C49DE">
          <w:rPr>
            <w:b/>
            <w:color w:val="0000FF"/>
            <w:spacing w:val="0"/>
            <w:w w:val="100"/>
            <w:szCs w:val="22"/>
            <w:lang w:val="es-ES_tradnl" w:eastAsia="en-US"/>
          </w:rPr>
          <w:noBreakHyphen/>
        </w:r>
        <w:r w:rsidRPr="004C49DE">
          <w:rPr>
            <w:b/>
            <w:color w:val="0000FF"/>
            <w:spacing w:val="0"/>
            <w:w w:val="100"/>
            <w:szCs w:val="22"/>
            <w:lang w:val="es-ES_tradnl" w:eastAsia="en-US"/>
          </w:rPr>
          <w:t>3</w:t>
        </w:r>
      </w:hyperlink>
      <w:r w:rsidRPr="004C49DE">
        <w:rPr>
          <w:b/>
          <w:spacing w:val="0"/>
          <w:w w:val="100"/>
          <w:szCs w:val="22"/>
          <w:lang w:val="es-ES_tradnl" w:eastAsia="en-US"/>
        </w:rPr>
        <w:t>, párr</w:t>
      </w:r>
      <w:r w:rsidR="00BB7BBB" w:rsidRPr="004C49DE">
        <w:rPr>
          <w:b/>
          <w:spacing w:val="0"/>
          <w:w w:val="100"/>
          <w:szCs w:val="22"/>
          <w:lang w:val="es-ES_tradnl" w:eastAsia="en-US"/>
        </w:rPr>
        <w:t>.</w:t>
      </w:r>
      <w:r w:rsidRPr="004C49DE">
        <w:rPr>
          <w:b/>
          <w:spacing w:val="0"/>
          <w:w w:val="100"/>
          <w:szCs w:val="22"/>
          <w:lang w:val="es-ES_tradnl" w:eastAsia="en-US"/>
        </w:rPr>
        <w:t xml:space="preserve"> 27 c))</w:t>
      </w:r>
      <w:r w:rsidR="00BB7BBB" w:rsidRPr="004C49DE">
        <w:rPr>
          <w:b/>
          <w:spacing w:val="0"/>
          <w:w w:val="100"/>
          <w:szCs w:val="22"/>
          <w:lang w:val="es-ES_tradnl" w:eastAsia="en-US"/>
        </w:rPr>
        <w:t>.</w:t>
      </w:r>
    </w:p>
    <w:p w14:paraId="621D4CE8" w14:textId="4F9912F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2015, se evaluó la aplicación de la estrategia contra la violencia por razón de género</w:t>
      </w:r>
      <w:r w:rsidR="00BB7BBB" w:rsidRPr="004C49DE">
        <w:rPr>
          <w:szCs w:val="22"/>
          <w:lang w:val="es-ES_tradnl" w:eastAsia="en-US"/>
        </w:rPr>
        <w:t>.</w:t>
      </w:r>
      <w:r w:rsidRPr="004C49DE">
        <w:rPr>
          <w:szCs w:val="22"/>
          <w:lang w:val="es-ES_tradnl" w:eastAsia="en-US"/>
        </w:rPr>
        <w:t xml:space="preserve"> Un taller de examen permitió valorar el grado de aplicación y adoptar nuevas medidas de prevención y atención integral a los casos de violencia</w:t>
      </w:r>
      <w:r w:rsidR="00BB7BBB" w:rsidRPr="004C49DE">
        <w:rPr>
          <w:szCs w:val="22"/>
          <w:lang w:val="es-ES_tradnl" w:eastAsia="en-US"/>
        </w:rPr>
        <w:t>.</w:t>
      </w:r>
    </w:p>
    <w:p w14:paraId="191C3B79" w14:textId="185485C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2013, la Escuela Nacional Superior de Estadística y Economía Aplicada (ENSEA) y el MSFFE llevaron a cabo una investigación TRaC</w:t>
      </w:r>
      <w:r w:rsidRPr="004C49DE">
        <w:rPr>
          <w:szCs w:val="22"/>
          <w:vertAlign w:val="superscript"/>
          <w:lang w:val="es-ES_tradnl" w:eastAsia="en-US"/>
        </w:rPr>
        <w:footnoteReference w:id="5"/>
      </w:r>
      <w:r w:rsidRPr="004C49DE">
        <w:rPr>
          <w:szCs w:val="22"/>
          <w:lang w:val="es-ES_tradnl" w:eastAsia="en-US"/>
        </w:rPr>
        <w:t xml:space="preserve"> de base para supervisar y evaluar el abandono de la práctica de la mutilación genital femenina en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r w:rsidRPr="004C49DE">
        <w:rPr>
          <w:szCs w:val="22"/>
          <w:lang w:val="es-ES_tradnl" w:eastAsia="en-US"/>
        </w:rPr>
        <w:t xml:space="preserve"> Los datos reunidos incluyen el hecho de no tener una hija mutilada, la intención de no practicar la ablación a las hijas propias y los factores determinantes de la oportunidad, la capacidad y la motivación con relación a esta práctica en la población</w:t>
      </w:r>
      <w:r w:rsidR="00BB7BBB" w:rsidRPr="004C49DE">
        <w:rPr>
          <w:szCs w:val="22"/>
          <w:lang w:val="es-ES_tradnl" w:eastAsia="en-US"/>
        </w:rPr>
        <w:t>.</w:t>
      </w:r>
      <w:r w:rsidRPr="004C49DE">
        <w:rPr>
          <w:szCs w:val="22"/>
          <w:lang w:val="es-ES_tradnl" w:eastAsia="en-US"/>
        </w:rPr>
        <w:t xml:space="preserve"> La investigación reveló que los porcentajes de mujeres que no tienen ninguna hija mutilada o que no tienen la intención de someter a sus hijas a esta práctica son considerablemente elevados y superan el 70% tanto en las ciudades (93,4% y 84,5%) como en las zonas rurales (81,9% y 71,3%)</w:t>
      </w:r>
      <w:r w:rsidR="00BB7BBB" w:rsidRPr="004C49DE">
        <w:rPr>
          <w:szCs w:val="22"/>
          <w:lang w:val="es-ES_tradnl" w:eastAsia="en-US"/>
        </w:rPr>
        <w:t>.</w:t>
      </w:r>
      <w:r w:rsidRPr="004C49DE">
        <w:rPr>
          <w:szCs w:val="22"/>
          <w:lang w:val="es-ES_tradnl" w:eastAsia="en-US"/>
        </w:rPr>
        <w:t xml:space="preserve"> No cabe duda de que estos resultandos ponen de relieve una tendencia a abandonar la práctica de la mutilación genital femenina con el tiempo</w:t>
      </w:r>
      <w:r w:rsidR="00BB7BBB" w:rsidRPr="004C49DE">
        <w:rPr>
          <w:szCs w:val="22"/>
          <w:lang w:val="es-ES_tradnl" w:eastAsia="en-US"/>
        </w:rPr>
        <w:t>.</w:t>
      </w:r>
    </w:p>
    <w:p w14:paraId="6B22469A" w14:textId="77777777" w:rsidR="005F5347" w:rsidRPr="004C49DE" w:rsidRDefault="005F5347" w:rsidP="00BB7BBB">
      <w:pPr>
        <w:pStyle w:val="SingleTxt"/>
        <w:suppressAutoHyphens w:val="0"/>
        <w:spacing w:after="0" w:line="120" w:lineRule="exact"/>
        <w:rPr>
          <w:sz w:val="10"/>
          <w:szCs w:val="10"/>
          <w:lang w:val="es-ES_tradnl"/>
        </w:rPr>
      </w:pPr>
    </w:p>
    <w:p w14:paraId="7908323F"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lastRenderedPageBreak/>
        <w:tab/>
      </w:r>
      <w:r w:rsidRPr="004C49DE">
        <w:rPr>
          <w:bCs w:val="0"/>
          <w:lang w:val="es-ES_tradnl" w:eastAsia="en-US"/>
        </w:rPr>
        <w:tab/>
        <w:t>Violencia contra la mujer</w:t>
      </w:r>
    </w:p>
    <w:p w14:paraId="780D39ED" w14:textId="23BF32AF" w:rsidR="005F5347" w:rsidRPr="004C49DE" w:rsidRDefault="005F5347" w:rsidP="00BB7BBB">
      <w:pPr>
        <w:pStyle w:val="SingleTxt"/>
        <w:suppressAutoHyphens w:val="0"/>
        <w:spacing w:after="0" w:line="120" w:lineRule="exact"/>
        <w:rPr>
          <w:sz w:val="10"/>
          <w:szCs w:val="10"/>
          <w:lang w:val="es-ES_tradnl"/>
        </w:rPr>
      </w:pPr>
    </w:p>
    <w:p w14:paraId="2E743F85" w14:textId="1F766F6E"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Agilizar la aprobación y la aplicación de una estrategia nacional integral</w:t>
      </w:r>
      <w:r w:rsidR="001A14E9" w:rsidRPr="004C49DE">
        <w:rPr>
          <w:b/>
          <w:szCs w:val="22"/>
          <w:lang w:val="es-ES_tradnl" w:eastAsia="en-US"/>
        </w:rPr>
        <w:t xml:space="preserve"> </w:t>
      </w:r>
      <w:r w:rsidRPr="004C49DE">
        <w:rPr>
          <w:b/>
          <w:szCs w:val="22"/>
          <w:lang w:val="es-ES_tradnl" w:eastAsia="en-US"/>
        </w:rPr>
        <w:t>y</w:t>
      </w:r>
      <w:r w:rsidR="001A14E9" w:rsidRPr="004C49DE">
        <w:rPr>
          <w:b/>
          <w:szCs w:val="22"/>
          <w:lang w:val="es-ES_tradnl" w:eastAsia="en-US"/>
        </w:rPr>
        <w:t xml:space="preserve"> a</w:t>
      </w:r>
      <w:r w:rsidRPr="004C49DE">
        <w:rPr>
          <w:b/>
          <w:szCs w:val="22"/>
          <w:lang w:val="es-ES_tradnl" w:eastAsia="en-US"/>
        </w:rPr>
        <w:t xml:space="preserve">ctualizada de lucha contra la violencia de género (véase </w:t>
      </w:r>
      <w:hyperlink r:id="rId44"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31 a))</w:t>
      </w:r>
      <w:r w:rsidR="00BB7BBB" w:rsidRPr="004C49DE">
        <w:rPr>
          <w:b/>
          <w:szCs w:val="22"/>
          <w:lang w:val="es-ES_tradnl" w:eastAsia="en-US"/>
        </w:rPr>
        <w:t>.</w:t>
      </w:r>
    </w:p>
    <w:p w14:paraId="27BE6578" w14:textId="12B02E3B"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Estrategia Nacional de Lucha contra la Violencia de Género se mejoró mediante un plan de acción operacional</w:t>
      </w:r>
      <w:r w:rsidR="00BB7BBB" w:rsidRPr="004C49DE">
        <w:rPr>
          <w:szCs w:val="22"/>
          <w:lang w:val="es-ES_tradnl" w:eastAsia="en-US"/>
        </w:rPr>
        <w:t>.</w:t>
      </w:r>
      <w:r w:rsidRPr="004C49DE">
        <w:rPr>
          <w:szCs w:val="22"/>
          <w:lang w:val="es-ES_tradnl" w:eastAsia="en-US"/>
        </w:rPr>
        <w:t xml:space="preserve"> El análisis de dicha Estrategia puso de relieve un marco de resultados acorde a los desafíos y las prioridades del Gobierno en lo que respecta a la lucha contra la violencia por razón de género</w:t>
      </w:r>
      <w:r w:rsidR="00BB7BBB" w:rsidRPr="004C49DE">
        <w:rPr>
          <w:szCs w:val="22"/>
          <w:lang w:val="es-ES_tradnl" w:eastAsia="en-US"/>
        </w:rPr>
        <w:t>.</w:t>
      </w:r>
      <w:r w:rsidRPr="004C49DE">
        <w:rPr>
          <w:szCs w:val="22"/>
          <w:lang w:val="es-ES_tradnl" w:eastAsia="en-US"/>
        </w:rPr>
        <w:t xml:space="preserve"> Sin embargo, sería necesario revisar la modalidad de financiación para proporcionar los medios adecuados en la respuesta</w:t>
      </w:r>
      <w:r w:rsidR="00BB7BBB" w:rsidRPr="004C49DE">
        <w:rPr>
          <w:szCs w:val="22"/>
          <w:lang w:val="es-ES_tradnl" w:eastAsia="en-US"/>
        </w:rPr>
        <w:t>.</w:t>
      </w:r>
    </w:p>
    <w:p w14:paraId="1FB07800" w14:textId="1D9D9FBC"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Garantizar el acceso efectivo de las mujeres a los tribunales y reforzar la</w:t>
      </w:r>
      <w:r w:rsidR="001A14E9" w:rsidRPr="004C49DE">
        <w:rPr>
          <w:b/>
          <w:szCs w:val="22"/>
          <w:lang w:val="es-ES_tradnl" w:eastAsia="en-US"/>
        </w:rPr>
        <w:t xml:space="preserve"> </w:t>
      </w:r>
      <w:r w:rsidRPr="004C49DE">
        <w:rPr>
          <w:b/>
          <w:szCs w:val="22"/>
          <w:lang w:val="es-ES_tradnl" w:eastAsia="en-US"/>
        </w:rPr>
        <w:t>asistencia a las víctimas y su rehabilitación mediante el establecimiento, con</w:t>
      </w:r>
      <w:r w:rsidR="001A14E9" w:rsidRPr="004C49DE">
        <w:rPr>
          <w:b/>
          <w:szCs w:val="22"/>
          <w:lang w:val="es-ES_tradnl" w:eastAsia="en-US"/>
        </w:rPr>
        <w:t xml:space="preserve"> </w:t>
      </w:r>
      <w:r w:rsidRPr="004C49DE">
        <w:rPr>
          <w:b/>
          <w:szCs w:val="22"/>
          <w:lang w:val="es-ES_tradnl" w:eastAsia="en-US"/>
        </w:rPr>
        <w:t>la ayuda de la comunidad internacional, de un sistema general de atención</w:t>
      </w:r>
      <w:r w:rsidR="001A14E9" w:rsidRPr="004C49DE">
        <w:rPr>
          <w:b/>
          <w:szCs w:val="22"/>
          <w:lang w:val="es-ES_tradnl" w:eastAsia="en-US"/>
        </w:rPr>
        <w:t xml:space="preserve"> </w:t>
      </w:r>
      <w:r w:rsidRPr="004C49DE">
        <w:rPr>
          <w:b/>
          <w:szCs w:val="22"/>
          <w:lang w:val="es-ES_tradnl" w:eastAsia="en-US"/>
        </w:rPr>
        <w:t xml:space="preserve">a las víctimas de la violencia sexual, que incluya medidas para brindarles apoyo médico y psicológico y combatir la estigmatización (véase </w:t>
      </w:r>
      <w:hyperlink r:id="rId45"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31 b))</w:t>
      </w:r>
      <w:r w:rsidR="00BB7BBB" w:rsidRPr="004C49DE">
        <w:rPr>
          <w:b/>
          <w:szCs w:val="22"/>
          <w:lang w:val="es-ES_tradnl" w:eastAsia="en-US"/>
        </w:rPr>
        <w:t>.</w:t>
      </w:r>
    </w:p>
    <w:p w14:paraId="4FF856B7" w14:textId="2B7F380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Proyecto PRDF (período 2012</w:t>
      </w:r>
      <w:r w:rsidR="001A14E9" w:rsidRPr="004C49DE">
        <w:rPr>
          <w:szCs w:val="22"/>
          <w:lang w:val="es-ES_tradnl" w:eastAsia="en-US"/>
        </w:rPr>
        <w:noBreakHyphen/>
      </w:r>
      <w:r w:rsidRPr="004C49DE">
        <w:rPr>
          <w:szCs w:val="22"/>
          <w:lang w:val="es-ES_tradnl" w:eastAsia="en-US"/>
        </w:rPr>
        <w:t>2014) se llevó a cabo bajo la supervisión del MSFFE</w:t>
      </w:r>
      <w:r w:rsidR="00BB7BBB" w:rsidRPr="004C49DE">
        <w:rPr>
          <w:szCs w:val="22"/>
          <w:lang w:val="es-ES_tradnl" w:eastAsia="en-US"/>
        </w:rPr>
        <w:t>.</w:t>
      </w:r>
      <w:r w:rsidRPr="004C49DE">
        <w:rPr>
          <w:szCs w:val="22"/>
          <w:lang w:val="es-ES_tradnl" w:eastAsia="en-US"/>
        </w:rPr>
        <w:t xml:space="preserve"> Diferentes expertos médicos y abogados han contribuido a preparar los expedientes de 67 mujeres víctimas de actos de violencia sexual cuyas denuncias se encuentran a la espera de juicio</w:t>
      </w:r>
      <w:r w:rsidR="00BB7BBB" w:rsidRPr="004C49DE">
        <w:rPr>
          <w:szCs w:val="22"/>
          <w:lang w:val="es-ES_tradnl" w:eastAsia="en-US"/>
        </w:rPr>
        <w:t>.</w:t>
      </w:r>
    </w:p>
    <w:p w14:paraId="05238599" w14:textId="5D6FFDF2"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Entre 2011 y 2014, se elaboraron procedimientos operativos estándar y se celebraron sesiones de capacitación en materia de atención médica, psicosocial y</w:t>
      </w:r>
      <w:r w:rsidR="001A14E9" w:rsidRPr="004C49DE">
        <w:rPr>
          <w:szCs w:val="22"/>
          <w:lang w:val="es-ES_tradnl" w:eastAsia="en-US"/>
        </w:rPr>
        <w:t xml:space="preserve"> </w:t>
      </w:r>
      <w:r w:rsidRPr="004C49DE">
        <w:rPr>
          <w:szCs w:val="22"/>
          <w:lang w:val="es-ES_tradnl" w:eastAsia="en-US"/>
        </w:rPr>
        <w:t>jurídica respecto a la violencia por razón de género para 300 administradores nacionales y miembros del personal de ONG</w:t>
      </w:r>
      <w:r w:rsidR="00BB7BBB" w:rsidRPr="004C49DE">
        <w:rPr>
          <w:szCs w:val="22"/>
          <w:lang w:val="es-ES_tradnl" w:eastAsia="en-US"/>
        </w:rPr>
        <w:t>.</w:t>
      </w:r>
    </w:p>
    <w:p w14:paraId="25AD2826" w14:textId="7BA1C00F"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prevalencia de la violencia sexual en Côte d</w:t>
      </w:r>
      <w:r w:rsidR="004C49DE">
        <w:rPr>
          <w:szCs w:val="22"/>
          <w:lang w:val="es-ES_tradnl" w:eastAsia="en-US"/>
        </w:rPr>
        <w:t>’</w:t>
      </w:r>
      <w:r w:rsidRPr="004C49DE">
        <w:rPr>
          <w:szCs w:val="22"/>
          <w:lang w:val="es-ES_tradnl" w:eastAsia="en-US"/>
        </w:rPr>
        <w:t>Ivoire, los obstáculos que impiden el acceso de los supervivientes a la atención integral y las lecciones aprendidas en las capacitaciones pusieron de relieve la necesidad de difundir un protocolo de tratamiento clínico para las violaciones en todos los centros de salud del país</w:t>
      </w:r>
      <w:r w:rsidR="00BB7BBB" w:rsidRPr="004C49DE">
        <w:rPr>
          <w:szCs w:val="22"/>
          <w:lang w:val="es-ES_tradnl" w:eastAsia="en-US"/>
        </w:rPr>
        <w:t>.</w:t>
      </w:r>
      <w:r w:rsidRPr="004C49DE">
        <w:rPr>
          <w:szCs w:val="22"/>
          <w:lang w:val="es-ES_tradnl" w:eastAsia="en-US"/>
        </w:rPr>
        <w:t xml:space="preserve"> Para ello, se elaboró, en un proceso participativo en 2012, un algoritmo para el tratamiento clínico de las violaciones adaptado a las directrices nacionales sobre la prevención del virus de la inmunodeficiencia humana (VIH) y las directrices del Comité Permanente entre Organismos</w:t>
      </w:r>
      <w:r w:rsidR="00BB7BBB" w:rsidRPr="004C49DE">
        <w:rPr>
          <w:szCs w:val="22"/>
          <w:lang w:val="es-ES_tradnl" w:eastAsia="en-US"/>
        </w:rPr>
        <w:t>.</w:t>
      </w:r>
      <w:r w:rsidRPr="004C49DE">
        <w:rPr>
          <w:szCs w:val="22"/>
          <w:lang w:val="es-ES_tradnl" w:eastAsia="en-US"/>
        </w:rPr>
        <w:t xml:space="preserve"> Se trata de un instrumento de referencia para los proveedores sanitarios, a fin de que puedan prestar una atención</w:t>
      </w:r>
      <w:r w:rsidR="001A14E9" w:rsidRPr="004C49DE">
        <w:rPr>
          <w:szCs w:val="22"/>
          <w:lang w:val="es-ES_tradnl" w:eastAsia="en-US"/>
        </w:rPr>
        <w:t xml:space="preserve"> </w:t>
      </w:r>
      <w:r w:rsidRPr="004C49DE">
        <w:rPr>
          <w:szCs w:val="22"/>
          <w:lang w:val="es-ES_tradnl" w:eastAsia="en-US"/>
        </w:rPr>
        <w:t>de calidad a las víctimas de violaciones de ambos sexos</w:t>
      </w:r>
      <w:r w:rsidR="00BB7BBB" w:rsidRPr="004C49DE">
        <w:rPr>
          <w:szCs w:val="22"/>
          <w:lang w:val="es-ES_tradnl" w:eastAsia="en-US"/>
        </w:rPr>
        <w:t>.</w:t>
      </w:r>
      <w:r w:rsidRPr="004C49DE">
        <w:rPr>
          <w:szCs w:val="22"/>
          <w:lang w:val="es-ES_tradnl" w:eastAsia="en-US"/>
        </w:rPr>
        <w:t xml:space="preserve"> Se repitió en 10</w:t>
      </w:r>
      <w:r w:rsidR="00BB7BBB" w:rsidRPr="004C49DE">
        <w:rPr>
          <w:szCs w:val="22"/>
          <w:lang w:val="es-ES_tradnl" w:eastAsia="en-US"/>
        </w:rPr>
        <w:t>.</w:t>
      </w:r>
      <w:r w:rsidRPr="004C49DE">
        <w:rPr>
          <w:szCs w:val="22"/>
          <w:lang w:val="es-ES_tradnl" w:eastAsia="en-US"/>
        </w:rPr>
        <w:t>000 ocasiones y fue objeto del desarrollo de la capacidad de más de 1</w:t>
      </w:r>
      <w:r w:rsidR="00BB7BBB" w:rsidRPr="004C49DE">
        <w:rPr>
          <w:szCs w:val="22"/>
          <w:lang w:val="es-ES_tradnl" w:eastAsia="en-US"/>
        </w:rPr>
        <w:t>.</w:t>
      </w:r>
      <w:r w:rsidRPr="004C49DE">
        <w:rPr>
          <w:szCs w:val="22"/>
          <w:lang w:val="es-ES_tradnl" w:eastAsia="en-US"/>
        </w:rPr>
        <w:t>000 partes interesadas del ámbito de la salud y la respuesta psicosocial</w:t>
      </w:r>
      <w:r w:rsidR="00BB7BBB" w:rsidRPr="004C49DE">
        <w:rPr>
          <w:szCs w:val="22"/>
          <w:lang w:val="es-ES_tradnl" w:eastAsia="en-US"/>
        </w:rPr>
        <w:t>.</w:t>
      </w:r>
    </w:p>
    <w:p w14:paraId="3D430366" w14:textId="5E241A4F"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También se puso en marcha un proceso de promoción de la gratuidad del certificado médico que, durante mucho tiempo, ha representado un obstáculo para la respuesta judicial</w:t>
      </w:r>
      <w:r w:rsidR="00BB7BBB" w:rsidRPr="004C49DE">
        <w:rPr>
          <w:szCs w:val="22"/>
          <w:lang w:val="es-ES_tradnl" w:eastAsia="en-US"/>
        </w:rPr>
        <w:t>.</w:t>
      </w:r>
      <w:r w:rsidRPr="004C49DE">
        <w:rPr>
          <w:szCs w:val="22"/>
          <w:lang w:val="es-ES_tradnl" w:eastAsia="en-US"/>
        </w:rPr>
        <w:t xml:space="preserve"> Además de la Circular 016/MJ/MEMIS/MPRD, de 4 de agosto de</w:t>
      </w:r>
      <w:r w:rsidR="003A6071" w:rsidRPr="004C49DE">
        <w:rPr>
          <w:szCs w:val="22"/>
          <w:lang w:val="es-ES_tradnl" w:eastAsia="en-US"/>
        </w:rPr>
        <w:t> </w:t>
      </w:r>
      <w:r w:rsidRPr="004C49DE">
        <w:rPr>
          <w:szCs w:val="22"/>
          <w:lang w:val="es-ES_tradnl" w:eastAsia="en-US"/>
        </w:rPr>
        <w:t>2016 (mencionada en las reformas legislativas), se solicitó la ayuda del Congreso de Ginecólogos y el Colegio de Médicos en este sentido</w:t>
      </w:r>
      <w:r w:rsidR="00BB7BBB" w:rsidRPr="004C49DE">
        <w:rPr>
          <w:szCs w:val="22"/>
          <w:lang w:val="es-ES_tradnl" w:eastAsia="en-US"/>
        </w:rPr>
        <w:t>.</w:t>
      </w:r>
      <w:r w:rsidRPr="004C49DE">
        <w:rPr>
          <w:szCs w:val="22"/>
          <w:lang w:val="es-ES_tradnl" w:eastAsia="en-US"/>
        </w:rPr>
        <w:t xml:space="preserve"> Cerca de 100 médicos están de acuerdo en instaurar los certificados médicos gratuitos para los casos de</w:t>
      </w:r>
      <w:r w:rsidR="001A14E9" w:rsidRPr="004C49DE">
        <w:rPr>
          <w:szCs w:val="22"/>
          <w:lang w:val="es-ES_tradnl" w:eastAsia="en-US"/>
        </w:rPr>
        <w:t xml:space="preserve"> </w:t>
      </w:r>
      <w:r w:rsidRPr="004C49DE">
        <w:rPr>
          <w:szCs w:val="22"/>
          <w:lang w:val="es-ES_tradnl" w:eastAsia="en-US"/>
        </w:rPr>
        <w:t>violación</w:t>
      </w:r>
      <w:r w:rsidR="00BB7BBB" w:rsidRPr="004C49DE">
        <w:rPr>
          <w:szCs w:val="22"/>
          <w:lang w:val="es-ES_tradnl" w:eastAsia="en-US"/>
        </w:rPr>
        <w:t>.</w:t>
      </w:r>
    </w:p>
    <w:p w14:paraId="4EE634A6" w14:textId="0868EED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Con el apoyo de los organismos del sistema de las Naciones Unidas, se crearon 120 comités de vigilancia para garantizar que los casos denunciados se transmiten a las autoridades competentes con miras a proporcionar atención médica y jurídica</w:t>
      </w:r>
      <w:r w:rsidR="00BB7BBB" w:rsidRPr="004C49DE">
        <w:rPr>
          <w:szCs w:val="22"/>
          <w:lang w:val="es-ES_tradnl" w:eastAsia="en-US"/>
        </w:rPr>
        <w:t>.</w:t>
      </w:r>
      <w:r w:rsidRPr="004C49DE">
        <w:rPr>
          <w:szCs w:val="22"/>
          <w:lang w:val="es-ES_tradnl" w:eastAsia="en-US"/>
        </w:rPr>
        <w:t xml:space="preserve"> Además, cinco comisarías de policía y una legión de la gendarmería cuentan en estos momentos con una </w:t>
      </w:r>
      <w:r w:rsidR="004C49DE">
        <w:rPr>
          <w:szCs w:val="22"/>
          <w:lang w:val="es-ES_tradnl" w:eastAsia="en-US"/>
        </w:rPr>
        <w:t>“</w:t>
      </w:r>
      <w:r w:rsidRPr="004C49DE">
        <w:rPr>
          <w:szCs w:val="22"/>
          <w:lang w:val="es-ES_tradnl" w:eastAsia="en-US"/>
        </w:rPr>
        <w:t>unidad de género</w:t>
      </w:r>
      <w:r w:rsidR="004C49DE">
        <w:rPr>
          <w:szCs w:val="22"/>
          <w:lang w:val="es-ES_tradnl" w:eastAsia="en-US"/>
        </w:rPr>
        <w:t>”</w:t>
      </w:r>
      <w:r w:rsidRPr="004C49DE">
        <w:rPr>
          <w:szCs w:val="22"/>
          <w:lang w:val="es-ES_tradnl" w:eastAsia="en-US"/>
        </w:rPr>
        <w:t xml:space="preserve"> que facilita la tramitación de las denuncias de casos de violencia contra mujeres y niñas</w:t>
      </w:r>
      <w:r w:rsidR="00BB7BBB" w:rsidRPr="004C49DE">
        <w:rPr>
          <w:szCs w:val="22"/>
          <w:lang w:val="es-ES_tradnl" w:eastAsia="en-US"/>
        </w:rPr>
        <w:t>.</w:t>
      </w:r>
      <w:r w:rsidRPr="004C49DE">
        <w:rPr>
          <w:szCs w:val="22"/>
          <w:lang w:val="es-ES_tradnl" w:eastAsia="en-US"/>
        </w:rPr>
        <w:t xml:space="preserve"> Desde abril de 2014, estas unidades han registrado y tramitado 1</w:t>
      </w:r>
      <w:r w:rsidR="00BB7BBB" w:rsidRPr="004C49DE">
        <w:rPr>
          <w:szCs w:val="22"/>
          <w:lang w:val="es-ES_tradnl" w:eastAsia="en-US"/>
        </w:rPr>
        <w:t>.</w:t>
      </w:r>
      <w:r w:rsidRPr="004C49DE">
        <w:rPr>
          <w:szCs w:val="22"/>
          <w:lang w:val="es-ES_tradnl" w:eastAsia="en-US"/>
        </w:rPr>
        <w:t>541 casos de violencia por razón de género</w:t>
      </w:r>
      <w:r w:rsidR="00BB7BBB" w:rsidRPr="004C49DE">
        <w:rPr>
          <w:szCs w:val="22"/>
          <w:lang w:val="es-ES_tradnl" w:eastAsia="en-US"/>
        </w:rPr>
        <w:t>.</w:t>
      </w:r>
    </w:p>
    <w:p w14:paraId="707EA0EA" w14:textId="4305C1CB"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pacing w:val="0"/>
          <w:w w:val="102"/>
          <w:szCs w:val="22"/>
          <w:lang w:val="es-ES_tradnl" w:eastAsia="en-US"/>
        </w:rPr>
        <w:lastRenderedPageBreak/>
        <w:t>Enmendar sin demora el Código Penal y la Ley núm</w:t>
      </w:r>
      <w:r w:rsidR="00BB7BBB" w:rsidRPr="004C49DE">
        <w:rPr>
          <w:b/>
          <w:spacing w:val="0"/>
          <w:w w:val="102"/>
          <w:szCs w:val="22"/>
          <w:lang w:val="es-ES_tradnl" w:eastAsia="en-US"/>
        </w:rPr>
        <w:t>.</w:t>
      </w:r>
      <w:r w:rsidRPr="004C49DE">
        <w:rPr>
          <w:b/>
          <w:spacing w:val="0"/>
          <w:w w:val="102"/>
          <w:szCs w:val="22"/>
          <w:lang w:val="es-ES_tradnl" w:eastAsia="en-US"/>
        </w:rPr>
        <w:t xml:space="preserve"> 98</w:t>
      </w:r>
      <w:r w:rsidR="001A14E9" w:rsidRPr="004C49DE">
        <w:rPr>
          <w:b/>
          <w:spacing w:val="0"/>
          <w:w w:val="102"/>
          <w:szCs w:val="22"/>
          <w:lang w:val="es-ES_tradnl" w:eastAsia="en-US"/>
        </w:rPr>
        <w:noBreakHyphen/>
      </w:r>
      <w:r w:rsidRPr="004C49DE">
        <w:rPr>
          <w:b/>
          <w:spacing w:val="0"/>
          <w:w w:val="102"/>
          <w:szCs w:val="22"/>
          <w:lang w:val="es-ES_tradnl" w:eastAsia="en-US"/>
        </w:rPr>
        <w:t>757, de 23 de diciembre de 1998, para incorporar una definición de violación que abarque</w:t>
      </w:r>
      <w:r w:rsidR="001A14E9" w:rsidRPr="004C49DE">
        <w:rPr>
          <w:b/>
          <w:spacing w:val="0"/>
          <w:w w:val="102"/>
          <w:szCs w:val="22"/>
          <w:lang w:val="es-ES_tradnl" w:eastAsia="en-US"/>
        </w:rPr>
        <w:t xml:space="preserve"> </w:t>
      </w:r>
      <w:r w:rsidRPr="004C49DE">
        <w:rPr>
          <w:b/>
          <w:spacing w:val="0"/>
          <w:w w:val="102"/>
          <w:szCs w:val="22"/>
          <w:lang w:val="es-ES_tradnl" w:eastAsia="en-US"/>
        </w:rPr>
        <w:t>cualquier agresión sexual, incluso cuando no haya resistencia por parte de la víctima, y tipifique como delito la violencia doméstica y la violación conyugal, de conformidad con la Convención y la Recomendación general núm</w:t>
      </w:r>
      <w:r w:rsidR="00BB7BBB" w:rsidRPr="004C49DE">
        <w:rPr>
          <w:b/>
          <w:spacing w:val="0"/>
          <w:w w:val="102"/>
          <w:szCs w:val="22"/>
          <w:lang w:val="es-ES_tradnl" w:eastAsia="en-US"/>
        </w:rPr>
        <w:t>.</w:t>
      </w:r>
      <w:r w:rsidR="001A14E9" w:rsidRPr="004C49DE">
        <w:rPr>
          <w:b/>
          <w:spacing w:val="0"/>
          <w:w w:val="102"/>
          <w:szCs w:val="22"/>
          <w:lang w:val="es-ES_tradnl" w:eastAsia="en-US"/>
        </w:rPr>
        <w:t xml:space="preserve"> </w:t>
      </w:r>
      <w:r w:rsidRPr="004C49DE">
        <w:rPr>
          <w:b/>
          <w:spacing w:val="0"/>
          <w:w w:val="102"/>
          <w:szCs w:val="22"/>
          <w:lang w:val="es-ES_tradnl" w:eastAsia="en-US"/>
        </w:rPr>
        <w:t>19 del Comité sobre la violencia contra la mujer (1992) (véase</w:t>
      </w:r>
      <w:r w:rsidRPr="004C49DE">
        <w:rPr>
          <w:b/>
          <w:szCs w:val="22"/>
          <w:lang w:val="es-ES_tradnl" w:eastAsia="en-US"/>
        </w:rPr>
        <w:t xml:space="preserve"> </w:t>
      </w:r>
      <w:hyperlink r:id="rId4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31 c))</w:t>
      </w:r>
      <w:r w:rsidR="00BB7BBB" w:rsidRPr="004C49DE">
        <w:rPr>
          <w:b/>
          <w:szCs w:val="22"/>
          <w:lang w:val="es-ES_tradnl" w:eastAsia="en-US"/>
        </w:rPr>
        <w:t>.</w:t>
      </w:r>
    </w:p>
    <w:p w14:paraId="44F01E54" w14:textId="5C43119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Código Penal y el Código de Procedimiento Penal se encuentran en proceso de revisión y tienen en cuenta la definición de violación</w:t>
      </w:r>
      <w:r w:rsidR="00BB7BBB" w:rsidRPr="004C49DE">
        <w:rPr>
          <w:szCs w:val="22"/>
          <w:lang w:val="es-ES_tradnl" w:eastAsia="en-US"/>
        </w:rPr>
        <w:t>.</w:t>
      </w:r>
      <w:r w:rsidRPr="004C49DE">
        <w:rPr>
          <w:szCs w:val="22"/>
          <w:lang w:val="es-ES_tradnl" w:eastAsia="en-US"/>
        </w:rPr>
        <w:t xml:space="preserve"> Si bien el proceso de revisión del Código Penal no ha finalizado, los diferentes agentes estatales y no estatales, sobre la base de la herramienta de clasificación de la violencia por razón de género, han elaborado una definición de violación que figura en el algoritmo para el tratamiento clínico de las violaciones</w:t>
      </w:r>
      <w:r w:rsidRPr="004C49DE">
        <w:rPr>
          <w:szCs w:val="22"/>
          <w:vertAlign w:val="superscript"/>
          <w:lang w:val="es-ES_tradnl" w:eastAsia="en-US"/>
        </w:rPr>
        <w:footnoteReference w:id="6"/>
      </w:r>
      <w:r w:rsidR="00BB7BBB" w:rsidRPr="004C49DE">
        <w:rPr>
          <w:szCs w:val="22"/>
          <w:lang w:val="es-ES_tradnl" w:eastAsia="en-US"/>
        </w:rPr>
        <w:t>.</w:t>
      </w:r>
      <w:r w:rsidRPr="004C49DE">
        <w:rPr>
          <w:szCs w:val="22"/>
          <w:lang w:val="es-ES_tradnl" w:eastAsia="en-US"/>
        </w:rPr>
        <w:t xml:space="preserve"> Dicha definición se utiliza como referencia para la calificación del delito en el marco de la justicia</w:t>
      </w:r>
      <w:r w:rsidR="00BB7BBB" w:rsidRPr="004C49DE">
        <w:rPr>
          <w:szCs w:val="22"/>
          <w:lang w:val="es-ES_tradnl" w:eastAsia="en-US"/>
        </w:rPr>
        <w:t>.</w:t>
      </w:r>
      <w:r w:rsidRPr="004C49DE">
        <w:rPr>
          <w:szCs w:val="22"/>
          <w:lang w:val="es-ES_tradnl" w:eastAsia="en-US"/>
        </w:rPr>
        <w:t xml:space="preserve"> En este contexto, más de 1</w:t>
      </w:r>
      <w:r w:rsidR="00BB7BBB" w:rsidRPr="004C49DE">
        <w:rPr>
          <w:szCs w:val="22"/>
          <w:lang w:val="es-ES_tradnl" w:eastAsia="en-US"/>
        </w:rPr>
        <w:t>.</w:t>
      </w:r>
      <w:r w:rsidRPr="004C49DE">
        <w:rPr>
          <w:szCs w:val="22"/>
          <w:lang w:val="es-ES_tradnl" w:eastAsia="en-US"/>
        </w:rPr>
        <w:t>000 agentes de la policía, la gendarmería, el ejército y el personal de justicia, y 2</w:t>
      </w:r>
      <w:r w:rsidR="00BB7BBB" w:rsidRPr="004C49DE">
        <w:rPr>
          <w:szCs w:val="22"/>
          <w:lang w:val="es-ES_tradnl" w:eastAsia="en-US"/>
        </w:rPr>
        <w:t>.</w:t>
      </w:r>
      <w:r w:rsidRPr="004C49DE">
        <w:rPr>
          <w:szCs w:val="22"/>
          <w:lang w:val="es-ES_tradnl" w:eastAsia="en-US"/>
        </w:rPr>
        <w:t>865 excombatientes recibieron capacitaciones en materia de prevención y tratamiento de los casos de violación</w:t>
      </w:r>
      <w:r w:rsidR="00BB7BBB" w:rsidRPr="004C49DE">
        <w:rPr>
          <w:szCs w:val="22"/>
          <w:lang w:val="es-ES_tradnl" w:eastAsia="en-US"/>
        </w:rPr>
        <w:t>.</w:t>
      </w:r>
    </w:p>
    <w:p w14:paraId="4AC856F4" w14:textId="4EE8620F"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Velar por la aplicación efectiva de las disposiciones de la Ley de 23 de diciembre de 1998 que tipifica la mutilación genital femenina, enjuiciar esos actos e imponer a los autores penas adecuadas</w:t>
      </w:r>
      <w:r w:rsidR="00BB7BBB" w:rsidRPr="004C49DE">
        <w:rPr>
          <w:b/>
          <w:szCs w:val="22"/>
          <w:lang w:val="es-ES_tradnl" w:eastAsia="en-US"/>
        </w:rPr>
        <w:t>...</w:t>
      </w:r>
      <w:r w:rsidRPr="004C49DE">
        <w:rPr>
          <w:b/>
          <w:szCs w:val="22"/>
          <w:lang w:val="es-ES_tradnl" w:eastAsia="en-US"/>
        </w:rPr>
        <w:t xml:space="preserve"> Como parte de esas medidas, se deben organizar y ejecutar campañas eficaces de educación destinadas a combatir las presiones tradicionales y familiares en favor de esta práctica, sobre todo entre las personas analfabetas y especialmente los progenitores (véase </w:t>
      </w:r>
      <w:hyperlink r:id="rId4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31 d))</w:t>
      </w:r>
      <w:r w:rsidR="00BB7BBB" w:rsidRPr="004C49DE">
        <w:rPr>
          <w:b/>
          <w:szCs w:val="22"/>
          <w:lang w:val="es-ES_tradnl" w:eastAsia="en-US"/>
        </w:rPr>
        <w:t>.</w:t>
      </w:r>
    </w:p>
    <w:p w14:paraId="02BCB1B3" w14:textId="658BCB6C"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Desde enero de 2012, los tribunales de Katiola, Danané, Séguéla, Odienné, Bouaké, Tabou y Man han dictado siete (7) condenas tras la aprobación de la Ley núm</w:t>
      </w:r>
      <w:r w:rsidR="00BB7BBB" w:rsidRPr="004C49DE">
        <w:rPr>
          <w:szCs w:val="22"/>
          <w:lang w:val="es-ES_tradnl" w:eastAsia="en-US"/>
        </w:rPr>
        <w:t>.</w:t>
      </w:r>
      <w:r w:rsidRPr="004C49DE">
        <w:rPr>
          <w:szCs w:val="22"/>
          <w:lang w:val="es-ES_tradnl" w:eastAsia="en-US"/>
        </w:rPr>
        <w:t xml:space="preserve"> 98</w:t>
      </w:r>
      <w:r w:rsidR="001A14E9" w:rsidRPr="004C49DE">
        <w:rPr>
          <w:szCs w:val="22"/>
          <w:lang w:val="es-ES_tradnl" w:eastAsia="en-US"/>
        </w:rPr>
        <w:noBreakHyphen/>
      </w:r>
      <w:r w:rsidRPr="004C49DE">
        <w:rPr>
          <w:szCs w:val="22"/>
          <w:lang w:val="es-ES_tradnl" w:eastAsia="en-US"/>
        </w:rPr>
        <w:t>757, de 23 de diciembre de 1998, contra la mutilación genital femenina</w:t>
      </w:r>
      <w:r w:rsidR="00BB7BBB" w:rsidRPr="004C49DE">
        <w:rPr>
          <w:szCs w:val="22"/>
          <w:lang w:val="es-ES_tradnl" w:eastAsia="en-US"/>
        </w:rPr>
        <w:t>.</w:t>
      </w:r>
    </w:p>
    <w:p w14:paraId="732627F3" w14:textId="6E2B8E09"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Cabe destacar que el proyecto </w:t>
      </w:r>
      <w:r w:rsidR="004C49DE">
        <w:rPr>
          <w:szCs w:val="22"/>
          <w:lang w:val="es-ES_tradnl" w:eastAsia="en-US"/>
        </w:rPr>
        <w:t>“</w:t>
      </w:r>
      <w:r w:rsidRPr="004C49DE">
        <w:rPr>
          <w:szCs w:val="22"/>
          <w:lang w:val="es-ES_tradnl" w:eastAsia="en-US"/>
        </w:rPr>
        <w:t>Asistencia y reinserción social de las mujeres víctimas de la violencia en situaciones de conflicto en Côte d</w:t>
      </w:r>
      <w:r w:rsidR="004C49DE">
        <w:rPr>
          <w:szCs w:val="22"/>
          <w:lang w:val="es-ES_tradnl" w:eastAsia="en-US"/>
        </w:rPr>
        <w:t>’</w:t>
      </w:r>
      <w:r w:rsidRPr="004C49DE">
        <w:rPr>
          <w:szCs w:val="22"/>
          <w:lang w:val="es-ES_tradnl" w:eastAsia="en-US"/>
        </w:rPr>
        <w:t>Ivoire</w:t>
      </w:r>
      <w:r w:rsidR="004C49DE">
        <w:rPr>
          <w:szCs w:val="22"/>
          <w:lang w:val="es-ES_tradnl" w:eastAsia="en-US"/>
        </w:rPr>
        <w:t>”</w:t>
      </w:r>
      <w:r w:rsidRPr="004C49DE">
        <w:rPr>
          <w:szCs w:val="22"/>
          <w:lang w:val="es-ES_tradnl" w:eastAsia="en-US"/>
        </w:rPr>
        <w:t xml:space="preserve"> también permitió realizar una película de sensibilización sobre la violencia por razón de género destinado a los agentes sobre el terreno</w:t>
      </w:r>
      <w:r w:rsidR="00BB7BBB" w:rsidRPr="004C49DE">
        <w:rPr>
          <w:szCs w:val="22"/>
          <w:lang w:val="es-ES_tradnl" w:eastAsia="en-US"/>
        </w:rPr>
        <w:t>.</w:t>
      </w:r>
      <w:r w:rsidRPr="004C49DE">
        <w:rPr>
          <w:szCs w:val="22"/>
          <w:lang w:val="es-ES_tradnl" w:eastAsia="en-US"/>
        </w:rPr>
        <w:t xml:space="preserve"> La película, titulada </w:t>
      </w:r>
      <w:r w:rsidRPr="004C49DE">
        <w:rPr>
          <w:i/>
          <w:szCs w:val="22"/>
          <w:lang w:val="es-ES_tradnl" w:eastAsia="en-US"/>
        </w:rPr>
        <w:t>Les défis de Fifi</w:t>
      </w:r>
      <w:r w:rsidRPr="004C49DE">
        <w:rPr>
          <w:szCs w:val="22"/>
          <w:lang w:val="es-ES_tradnl" w:eastAsia="en-US"/>
        </w:rPr>
        <w:t>, se estrenó en 2014 en Abiyán</w:t>
      </w:r>
      <w:r w:rsidR="00BB7BBB" w:rsidRPr="004C49DE">
        <w:rPr>
          <w:szCs w:val="22"/>
          <w:lang w:val="es-ES_tradnl" w:eastAsia="en-US"/>
        </w:rPr>
        <w:t>.</w:t>
      </w:r>
    </w:p>
    <w:p w14:paraId="5AF18500" w14:textId="4406C712"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Considerar la posibilidad de aprobar una ley general sobre la violencia contra la mujer, ofrecer medidas de protección a las mujeres víctimas de</w:t>
      </w:r>
      <w:r w:rsidR="001A14E9" w:rsidRPr="004C49DE">
        <w:rPr>
          <w:b/>
          <w:szCs w:val="22"/>
          <w:lang w:val="es-ES_tradnl" w:eastAsia="en-US"/>
        </w:rPr>
        <w:t xml:space="preserve"> </w:t>
      </w:r>
      <w:r w:rsidRPr="004C49DE">
        <w:rPr>
          <w:b/>
          <w:szCs w:val="22"/>
          <w:lang w:val="es-ES_tradnl" w:eastAsia="en-US"/>
        </w:rPr>
        <w:t xml:space="preserve">violencia y reforzar las medidas de apoyo, tales como albergues y servicios de asesoramiento y rehabilitación, en todo el territorio del Estado parte (véase </w:t>
      </w:r>
      <w:hyperlink r:id="rId4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31 e))</w:t>
      </w:r>
      <w:r w:rsidR="00BB7BBB" w:rsidRPr="004C49DE">
        <w:rPr>
          <w:b/>
          <w:szCs w:val="22"/>
          <w:lang w:val="es-ES_tradnl" w:eastAsia="en-US"/>
        </w:rPr>
        <w:t>.</w:t>
      </w:r>
    </w:p>
    <w:p w14:paraId="7E883DF1" w14:textId="599DDEB7" w:rsidR="000C3123" w:rsidRPr="004C49DE" w:rsidRDefault="000C3123" w:rsidP="007F0F3A">
      <w:pPr>
        <w:pStyle w:val="SingleTxt"/>
        <w:numPr>
          <w:ilvl w:val="0"/>
          <w:numId w:val="6"/>
        </w:numPr>
        <w:suppressAutoHyphens w:val="0"/>
        <w:ind w:left="1267" w:firstLine="0"/>
        <w:rPr>
          <w:szCs w:val="22"/>
          <w:lang w:val="es-ES_tradnl" w:eastAsia="en-US"/>
        </w:rPr>
      </w:pPr>
      <w:r w:rsidRPr="004C49DE">
        <w:rPr>
          <w:szCs w:val="22"/>
          <w:lang w:val="es-ES_tradnl" w:eastAsia="en-US"/>
        </w:rPr>
        <w:t>Como parte del seguimiento de las recomendaciones del examen periódico universal, la Coordinación Nacional de los Agentes Judiciales contra la Violencia de Género (CONAJUG), SOS Violences Sexuelles y las demás partes interesadas iniciaron, con el apoyo financiero de Save The Children, la promoción del certificado médico gratuito y, de forma indirecta, de la aprobación de una ley integral sobre la violencia por razón de género</w:t>
      </w:r>
      <w:r w:rsidR="00BB7BBB" w:rsidRPr="004C49DE">
        <w:rPr>
          <w:szCs w:val="22"/>
          <w:lang w:val="es-ES_tradnl" w:eastAsia="en-US"/>
        </w:rPr>
        <w:t>.</w:t>
      </w:r>
      <w:r w:rsidRPr="004C49DE">
        <w:rPr>
          <w:szCs w:val="22"/>
          <w:lang w:val="es-ES_tradnl" w:eastAsia="en-US"/>
        </w:rPr>
        <w:t xml:space="preserve"> Continúan las consultas entre los agentes no estatales y el Gobierno para la reanudación del proyecto de ley sobre la</w:t>
      </w:r>
      <w:r w:rsidR="001A14E9" w:rsidRPr="004C49DE">
        <w:rPr>
          <w:szCs w:val="22"/>
          <w:lang w:val="es-ES_tradnl" w:eastAsia="en-US"/>
        </w:rPr>
        <w:t xml:space="preserve"> </w:t>
      </w:r>
      <w:r w:rsidRPr="004C49DE">
        <w:rPr>
          <w:szCs w:val="22"/>
          <w:lang w:val="es-ES_tradnl" w:eastAsia="en-US"/>
        </w:rPr>
        <w:t>cuestión</w:t>
      </w:r>
      <w:r w:rsidR="00BB7BBB" w:rsidRPr="004C49DE">
        <w:rPr>
          <w:szCs w:val="22"/>
          <w:lang w:val="es-ES_tradnl" w:eastAsia="en-US"/>
        </w:rPr>
        <w:t>.</w:t>
      </w:r>
    </w:p>
    <w:p w14:paraId="4BBD4ACD" w14:textId="530FCD69" w:rsidR="000C3123" w:rsidRPr="004C49DE" w:rsidRDefault="000C3123" w:rsidP="007F0F3A">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Recopilar datos desglosados sobre el número de denuncias, enjuiciamientos y condenas, así como sobre las penas impuestas a los autores de actos de violencia sexual y de género, incluidas la mutilación genital femenina y la violencia </w:t>
      </w:r>
      <w:r w:rsidRPr="004C49DE">
        <w:rPr>
          <w:b/>
          <w:szCs w:val="22"/>
          <w:lang w:val="es-ES_tradnl" w:eastAsia="en-US"/>
        </w:rPr>
        <w:lastRenderedPageBreak/>
        <w:t xml:space="preserve">doméstica, e incorporar esos datos a su próximo informe (véase </w:t>
      </w:r>
      <w:hyperlink r:id="rId4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31 f))</w:t>
      </w:r>
      <w:r w:rsidR="00BB7BBB" w:rsidRPr="004C49DE">
        <w:rPr>
          <w:b/>
          <w:szCs w:val="22"/>
          <w:lang w:val="es-ES_tradnl" w:eastAsia="en-US"/>
        </w:rPr>
        <w:t>.</w:t>
      </w:r>
    </w:p>
    <w:p w14:paraId="37EB64E1" w14:textId="28DC72CE"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 fin de mejorar la reunión de datos sobre la violencia por razón de género, la ONG International Rescue Committee (IRC), con el apoyo financiero de los organismos del sistema de las Naciones Unidas, presentó, en 2010, el Sistema de Gestión de la Información sobre la Violencia de Género</w:t>
      </w:r>
      <w:r w:rsidR="00BB7BBB" w:rsidRPr="004C49DE">
        <w:rPr>
          <w:szCs w:val="22"/>
          <w:lang w:val="es-ES_tradnl" w:eastAsia="en-US"/>
        </w:rPr>
        <w:t>.</w:t>
      </w:r>
      <w:r w:rsidRPr="004C49DE">
        <w:rPr>
          <w:szCs w:val="22"/>
          <w:lang w:val="es-ES_tradnl" w:eastAsia="en-US"/>
        </w:rPr>
        <w:t xml:space="preserve"> El subgrupo de violencia por razón de género se encargó de la gestión en 2011 y 2012</w:t>
      </w:r>
      <w:r w:rsidR="00BB7BBB" w:rsidRPr="004C49DE">
        <w:rPr>
          <w:szCs w:val="22"/>
          <w:lang w:val="es-ES_tradnl" w:eastAsia="en-US"/>
        </w:rPr>
        <w:t>.</w:t>
      </w:r>
      <w:r w:rsidRPr="004C49DE">
        <w:rPr>
          <w:szCs w:val="22"/>
          <w:lang w:val="es-ES_tradnl" w:eastAsia="en-US"/>
        </w:rPr>
        <w:t xml:space="preserve"> A finales de 2012, el</w:t>
      </w:r>
      <w:r w:rsidR="001A14E9" w:rsidRPr="004C49DE">
        <w:rPr>
          <w:szCs w:val="22"/>
          <w:lang w:val="es-ES_tradnl" w:eastAsia="en-US"/>
        </w:rPr>
        <w:t xml:space="preserve"> </w:t>
      </w:r>
      <w:r w:rsidRPr="004C49DE">
        <w:rPr>
          <w:szCs w:val="22"/>
          <w:lang w:val="es-ES_tradnl" w:eastAsia="en-US"/>
        </w:rPr>
        <w:t xml:space="preserve">sistema experimentó una </w:t>
      </w:r>
      <w:r w:rsidR="004C49DE">
        <w:rPr>
          <w:szCs w:val="22"/>
          <w:lang w:val="es-ES_tradnl" w:eastAsia="en-US"/>
        </w:rPr>
        <w:t>“</w:t>
      </w:r>
      <w:r w:rsidRPr="004C49DE">
        <w:rPr>
          <w:szCs w:val="22"/>
          <w:lang w:val="es-ES_tradnl" w:eastAsia="en-US"/>
        </w:rPr>
        <w:t>nacionalización</w:t>
      </w:r>
      <w:r w:rsidR="004C49DE">
        <w:rPr>
          <w:szCs w:val="22"/>
          <w:lang w:val="es-ES_tradnl" w:eastAsia="en-US"/>
        </w:rPr>
        <w:t>”</w:t>
      </w:r>
      <w:r w:rsidR="00BB7BBB" w:rsidRPr="004C49DE">
        <w:rPr>
          <w:szCs w:val="22"/>
          <w:lang w:val="es-ES_tradnl" w:eastAsia="en-US"/>
        </w:rPr>
        <w:t>.</w:t>
      </w:r>
      <w:r w:rsidRPr="004C49DE">
        <w:rPr>
          <w:szCs w:val="22"/>
          <w:lang w:val="es-ES_tradnl" w:eastAsia="en-US"/>
        </w:rPr>
        <w:t xml:space="preserve"> Un Grupo de Trabajo Técnico compuesto por el MSFFE, el UNFPA e IRC, creado en abril de 2013, puso en marcha un proyecto piloto de implantación del Sistema de Gestión de la Información sobre la Violencia de Género a partir de las plataformas de la lucha contra la violencia por razón de género que están en funcionamiento</w:t>
      </w:r>
      <w:r w:rsidR="00BB7BBB" w:rsidRPr="004C49DE">
        <w:rPr>
          <w:szCs w:val="22"/>
          <w:lang w:val="es-ES_tradnl" w:eastAsia="en-US"/>
        </w:rPr>
        <w:t>.</w:t>
      </w:r>
      <w:r w:rsidRPr="004C49DE">
        <w:rPr>
          <w:szCs w:val="22"/>
          <w:lang w:val="es-ES_tradnl" w:eastAsia="en-US"/>
        </w:rPr>
        <w:t xml:space="preserve"> Se llevaron a cabo sesiones de desarrollo de la capacidad para 6 instructores nacionales, 20</w:t>
      </w:r>
      <w:r w:rsidR="001A14E9" w:rsidRPr="004C49DE">
        <w:rPr>
          <w:szCs w:val="22"/>
          <w:lang w:val="es-ES_tradnl" w:eastAsia="en-US"/>
        </w:rPr>
        <w:t xml:space="preserve"> </w:t>
      </w:r>
      <w:r w:rsidRPr="004C49DE">
        <w:rPr>
          <w:szCs w:val="22"/>
          <w:lang w:val="es-ES_tradnl" w:eastAsia="en-US"/>
        </w:rPr>
        <w:t>administradores de datos de 20 plataformas piloto y 16 Directores Regionales del MSFFE acerca de la utilización de la aplicación de la base de datos</w:t>
      </w:r>
      <w:r w:rsidR="00BB7BBB" w:rsidRPr="004C49DE">
        <w:rPr>
          <w:szCs w:val="22"/>
          <w:lang w:val="es-ES_tradnl" w:eastAsia="en-US"/>
        </w:rPr>
        <w:t>.</w:t>
      </w:r>
    </w:p>
    <w:p w14:paraId="5C89CD60" w14:textId="77777777" w:rsidR="00F75D91" w:rsidRPr="004C49DE" w:rsidRDefault="00F75D91" w:rsidP="00BB7BBB">
      <w:pPr>
        <w:pStyle w:val="SingleTxt"/>
        <w:suppressAutoHyphens w:val="0"/>
        <w:spacing w:after="0" w:line="120" w:lineRule="exact"/>
        <w:rPr>
          <w:sz w:val="10"/>
          <w:szCs w:val="10"/>
          <w:lang w:val="es-ES_tradnl"/>
        </w:rPr>
      </w:pPr>
    </w:p>
    <w:p w14:paraId="572C7764" w14:textId="77777777" w:rsidR="000C3123" w:rsidRPr="004C49DE" w:rsidRDefault="00F75D91"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r>
      <w:r w:rsidR="000C3123" w:rsidRPr="004C49DE">
        <w:rPr>
          <w:b w:val="0"/>
          <w:bCs w:val="0"/>
          <w:lang w:val="es-ES_tradnl" w:eastAsia="en-US"/>
        </w:rPr>
        <w:t>Cuadro 2</w:t>
      </w:r>
      <w:r w:rsidR="00590082" w:rsidRPr="004C49DE">
        <w:rPr>
          <w:b w:val="0"/>
          <w:bCs w:val="0"/>
          <w:lang w:val="es-ES_tradnl" w:eastAsia="en-US"/>
        </w:rPr>
        <w:t xml:space="preserve"> </w:t>
      </w:r>
      <w:r w:rsidR="00590082" w:rsidRPr="004C49DE">
        <w:rPr>
          <w:b w:val="0"/>
          <w:bCs w:val="0"/>
          <w:lang w:val="es-ES_tradnl" w:eastAsia="en-US"/>
        </w:rPr>
        <w:br/>
      </w:r>
      <w:r w:rsidR="000C3123" w:rsidRPr="004C49DE">
        <w:rPr>
          <w:bCs w:val="0"/>
          <w:lang w:val="es-ES_tradnl" w:eastAsia="en-US"/>
        </w:rPr>
        <w:t>Datos sobre la violencia por razón de género de 2010 a 2016</w:t>
      </w:r>
    </w:p>
    <w:p w14:paraId="5FED25FF" w14:textId="77777777" w:rsidR="0069407D" w:rsidRPr="004C49DE" w:rsidRDefault="0069407D" w:rsidP="00BB7BBB">
      <w:pPr>
        <w:pStyle w:val="SingleTxt"/>
        <w:suppressAutoHyphens w:val="0"/>
        <w:spacing w:after="0" w:line="120" w:lineRule="exact"/>
        <w:rPr>
          <w:sz w:val="10"/>
          <w:szCs w:val="10"/>
          <w:lang w:val="es-ES_tradnl"/>
        </w:rPr>
      </w:pPr>
    </w:p>
    <w:tbl>
      <w:tblPr>
        <w:tblW w:w="7373" w:type="dxa"/>
        <w:tblInd w:w="1267" w:type="dxa"/>
        <w:tblLayout w:type="fixed"/>
        <w:tblCellMar>
          <w:left w:w="0" w:type="dxa"/>
          <w:right w:w="43" w:type="dxa"/>
        </w:tblCellMar>
        <w:tblLook w:val="04A0" w:firstRow="1" w:lastRow="0" w:firstColumn="1" w:lastColumn="0" w:noHBand="0" w:noVBand="1"/>
      </w:tblPr>
      <w:tblGrid>
        <w:gridCol w:w="2823"/>
        <w:gridCol w:w="650"/>
        <w:gridCol w:w="650"/>
        <w:gridCol w:w="650"/>
        <w:gridCol w:w="650"/>
        <w:gridCol w:w="650"/>
        <w:gridCol w:w="650"/>
        <w:gridCol w:w="650"/>
      </w:tblGrid>
      <w:tr w:rsidR="00510D4C" w:rsidRPr="004C49DE" w14:paraId="56239499" w14:textId="77777777" w:rsidTr="00262A5A">
        <w:trPr>
          <w:tblHeader/>
        </w:trPr>
        <w:tc>
          <w:tcPr>
            <w:tcW w:w="2813" w:type="dxa"/>
            <w:tcBorders>
              <w:top w:val="single" w:sz="4" w:space="0" w:color="auto"/>
              <w:bottom w:val="single" w:sz="12" w:space="0" w:color="auto"/>
            </w:tcBorders>
            <w:shd w:val="clear" w:color="auto" w:fill="auto"/>
            <w:vAlign w:val="bottom"/>
          </w:tcPr>
          <w:p w14:paraId="27D78C58"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Tipo de violencia por razón de género</w:t>
            </w:r>
          </w:p>
        </w:tc>
        <w:tc>
          <w:tcPr>
            <w:tcW w:w="648" w:type="dxa"/>
            <w:tcBorders>
              <w:top w:val="single" w:sz="4" w:space="0" w:color="auto"/>
              <w:bottom w:val="single" w:sz="12" w:space="0" w:color="auto"/>
            </w:tcBorders>
            <w:shd w:val="clear" w:color="auto" w:fill="auto"/>
            <w:vAlign w:val="bottom"/>
          </w:tcPr>
          <w:p w14:paraId="132FC43E"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2010</w:t>
            </w:r>
          </w:p>
        </w:tc>
        <w:tc>
          <w:tcPr>
            <w:tcW w:w="648" w:type="dxa"/>
            <w:tcBorders>
              <w:top w:val="single" w:sz="4" w:space="0" w:color="auto"/>
              <w:bottom w:val="single" w:sz="12" w:space="0" w:color="auto"/>
            </w:tcBorders>
            <w:shd w:val="clear" w:color="auto" w:fill="auto"/>
            <w:vAlign w:val="bottom"/>
          </w:tcPr>
          <w:p w14:paraId="2A8841D0"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2011</w:t>
            </w:r>
          </w:p>
        </w:tc>
        <w:tc>
          <w:tcPr>
            <w:tcW w:w="648" w:type="dxa"/>
            <w:tcBorders>
              <w:top w:val="single" w:sz="4" w:space="0" w:color="auto"/>
              <w:bottom w:val="single" w:sz="12" w:space="0" w:color="auto"/>
            </w:tcBorders>
            <w:shd w:val="clear" w:color="auto" w:fill="auto"/>
            <w:vAlign w:val="bottom"/>
          </w:tcPr>
          <w:p w14:paraId="48518062"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2012</w:t>
            </w:r>
          </w:p>
        </w:tc>
        <w:tc>
          <w:tcPr>
            <w:tcW w:w="648" w:type="dxa"/>
            <w:tcBorders>
              <w:top w:val="single" w:sz="4" w:space="0" w:color="auto"/>
              <w:bottom w:val="single" w:sz="12" w:space="0" w:color="auto"/>
            </w:tcBorders>
            <w:shd w:val="clear" w:color="auto" w:fill="auto"/>
            <w:vAlign w:val="bottom"/>
          </w:tcPr>
          <w:p w14:paraId="79B715C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2013</w:t>
            </w:r>
          </w:p>
        </w:tc>
        <w:tc>
          <w:tcPr>
            <w:tcW w:w="648" w:type="dxa"/>
            <w:tcBorders>
              <w:top w:val="single" w:sz="4" w:space="0" w:color="auto"/>
              <w:bottom w:val="single" w:sz="12" w:space="0" w:color="auto"/>
            </w:tcBorders>
            <w:shd w:val="clear" w:color="auto" w:fill="auto"/>
            <w:vAlign w:val="bottom"/>
          </w:tcPr>
          <w:p w14:paraId="7FCC5061"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2014</w:t>
            </w:r>
          </w:p>
        </w:tc>
        <w:tc>
          <w:tcPr>
            <w:tcW w:w="648" w:type="dxa"/>
            <w:tcBorders>
              <w:top w:val="single" w:sz="4" w:space="0" w:color="auto"/>
              <w:bottom w:val="single" w:sz="12" w:space="0" w:color="auto"/>
            </w:tcBorders>
            <w:shd w:val="clear" w:color="auto" w:fill="auto"/>
            <w:vAlign w:val="bottom"/>
          </w:tcPr>
          <w:p w14:paraId="5C34A3A1"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2015</w:t>
            </w:r>
          </w:p>
        </w:tc>
        <w:tc>
          <w:tcPr>
            <w:tcW w:w="648" w:type="dxa"/>
            <w:tcBorders>
              <w:top w:val="single" w:sz="4" w:space="0" w:color="auto"/>
              <w:bottom w:val="single" w:sz="12" w:space="0" w:color="auto"/>
            </w:tcBorders>
            <w:shd w:val="clear" w:color="auto" w:fill="auto"/>
            <w:vAlign w:val="bottom"/>
          </w:tcPr>
          <w:p w14:paraId="6A764435"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2016</w:t>
            </w:r>
          </w:p>
        </w:tc>
      </w:tr>
      <w:tr w:rsidR="00510D4C" w:rsidRPr="004C49DE" w14:paraId="245BDFD7" w14:textId="77777777" w:rsidTr="00510D4C">
        <w:trPr>
          <w:trHeight w:hRule="exact" w:val="115"/>
          <w:tblHeader/>
        </w:trPr>
        <w:tc>
          <w:tcPr>
            <w:tcW w:w="2813" w:type="dxa"/>
            <w:tcBorders>
              <w:top w:val="single" w:sz="12" w:space="0" w:color="auto"/>
            </w:tcBorders>
            <w:shd w:val="clear" w:color="auto" w:fill="auto"/>
            <w:vAlign w:val="bottom"/>
          </w:tcPr>
          <w:p w14:paraId="2E088847"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lang w:val="es-ES_tradnl" w:eastAsia="en-US"/>
              </w:rPr>
            </w:pPr>
          </w:p>
        </w:tc>
        <w:tc>
          <w:tcPr>
            <w:tcW w:w="648" w:type="dxa"/>
            <w:tcBorders>
              <w:top w:val="single" w:sz="12" w:space="0" w:color="auto"/>
            </w:tcBorders>
            <w:shd w:val="clear" w:color="auto" w:fill="auto"/>
            <w:vAlign w:val="bottom"/>
          </w:tcPr>
          <w:p w14:paraId="1860C557"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648" w:type="dxa"/>
            <w:tcBorders>
              <w:top w:val="single" w:sz="12" w:space="0" w:color="auto"/>
            </w:tcBorders>
            <w:shd w:val="clear" w:color="auto" w:fill="auto"/>
            <w:vAlign w:val="bottom"/>
          </w:tcPr>
          <w:p w14:paraId="537F6143"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648" w:type="dxa"/>
            <w:tcBorders>
              <w:top w:val="single" w:sz="12" w:space="0" w:color="auto"/>
            </w:tcBorders>
            <w:shd w:val="clear" w:color="auto" w:fill="auto"/>
            <w:vAlign w:val="bottom"/>
          </w:tcPr>
          <w:p w14:paraId="58C32C31"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648" w:type="dxa"/>
            <w:tcBorders>
              <w:top w:val="single" w:sz="12" w:space="0" w:color="auto"/>
            </w:tcBorders>
            <w:shd w:val="clear" w:color="auto" w:fill="auto"/>
            <w:vAlign w:val="bottom"/>
          </w:tcPr>
          <w:p w14:paraId="5283405F"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648" w:type="dxa"/>
            <w:tcBorders>
              <w:top w:val="single" w:sz="12" w:space="0" w:color="auto"/>
            </w:tcBorders>
            <w:shd w:val="clear" w:color="auto" w:fill="auto"/>
            <w:vAlign w:val="bottom"/>
          </w:tcPr>
          <w:p w14:paraId="10495DEC"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648" w:type="dxa"/>
            <w:tcBorders>
              <w:top w:val="single" w:sz="12" w:space="0" w:color="auto"/>
            </w:tcBorders>
            <w:shd w:val="clear" w:color="auto" w:fill="auto"/>
            <w:vAlign w:val="bottom"/>
          </w:tcPr>
          <w:p w14:paraId="69A4DF4E"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648" w:type="dxa"/>
            <w:tcBorders>
              <w:top w:val="single" w:sz="12" w:space="0" w:color="auto"/>
            </w:tcBorders>
            <w:shd w:val="clear" w:color="auto" w:fill="auto"/>
            <w:vAlign w:val="bottom"/>
          </w:tcPr>
          <w:p w14:paraId="7517927E" w14:textId="77777777" w:rsidR="0069407D" w:rsidRPr="004C49DE" w:rsidRDefault="0069407D"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r>
      <w:tr w:rsidR="00510D4C" w:rsidRPr="004C49DE" w14:paraId="40E22D44" w14:textId="77777777" w:rsidTr="00262A5A">
        <w:tc>
          <w:tcPr>
            <w:tcW w:w="2813" w:type="dxa"/>
            <w:tcBorders>
              <w:bottom w:val="single" w:sz="4" w:space="0" w:color="auto"/>
            </w:tcBorders>
            <w:shd w:val="clear" w:color="auto" w:fill="auto"/>
            <w:vAlign w:val="bottom"/>
          </w:tcPr>
          <w:p w14:paraId="73A6FC84" w14:textId="77777777" w:rsidR="000C3123" w:rsidRPr="004C49DE" w:rsidRDefault="0069407D" w:rsidP="00BB7BBB">
            <w:pPr>
              <w:tabs>
                <w:tab w:val="left" w:pos="365"/>
              </w:tabs>
              <w:suppressAutoHyphens w:val="0"/>
              <w:spacing w:before="80" w:after="80" w:line="210" w:lineRule="exact"/>
              <w:rPr>
                <w:b/>
                <w:bCs/>
                <w:kern w:val="0"/>
                <w:sz w:val="17"/>
                <w:szCs w:val="17"/>
                <w:lang w:val="es-ES_tradnl" w:eastAsia="en-US"/>
              </w:rPr>
            </w:pPr>
            <w:r w:rsidRPr="004C49DE">
              <w:rPr>
                <w:b/>
                <w:bCs/>
                <w:kern w:val="0"/>
                <w:sz w:val="17"/>
                <w:szCs w:val="17"/>
                <w:lang w:val="es-ES_tradnl" w:eastAsia="en-US"/>
              </w:rPr>
              <w:tab/>
            </w:r>
            <w:r w:rsidR="000C3123" w:rsidRPr="004C49DE">
              <w:rPr>
                <w:b/>
                <w:bCs/>
                <w:kern w:val="0"/>
                <w:sz w:val="17"/>
                <w:szCs w:val="17"/>
                <w:lang w:val="es-ES_tradnl" w:eastAsia="en-US"/>
              </w:rPr>
              <w:t>Total</w:t>
            </w:r>
          </w:p>
        </w:tc>
        <w:tc>
          <w:tcPr>
            <w:tcW w:w="648" w:type="dxa"/>
            <w:tcBorders>
              <w:bottom w:val="single" w:sz="4" w:space="0" w:color="auto"/>
            </w:tcBorders>
            <w:shd w:val="clear" w:color="auto" w:fill="auto"/>
            <w:vAlign w:val="bottom"/>
          </w:tcPr>
          <w:p w14:paraId="683243BE"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711</w:t>
            </w:r>
          </w:p>
        </w:tc>
        <w:tc>
          <w:tcPr>
            <w:tcW w:w="648" w:type="dxa"/>
            <w:tcBorders>
              <w:bottom w:val="single" w:sz="4" w:space="0" w:color="auto"/>
            </w:tcBorders>
            <w:shd w:val="clear" w:color="auto" w:fill="auto"/>
            <w:vAlign w:val="bottom"/>
          </w:tcPr>
          <w:p w14:paraId="6B5DD086"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918</w:t>
            </w:r>
          </w:p>
        </w:tc>
        <w:tc>
          <w:tcPr>
            <w:tcW w:w="648" w:type="dxa"/>
            <w:tcBorders>
              <w:bottom w:val="single" w:sz="4" w:space="0" w:color="auto"/>
            </w:tcBorders>
            <w:shd w:val="clear" w:color="auto" w:fill="auto"/>
            <w:vAlign w:val="bottom"/>
          </w:tcPr>
          <w:p w14:paraId="0915923B"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2646</w:t>
            </w:r>
          </w:p>
        </w:tc>
        <w:tc>
          <w:tcPr>
            <w:tcW w:w="648" w:type="dxa"/>
            <w:tcBorders>
              <w:bottom w:val="single" w:sz="4" w:space="0" w:color="auto"/>
            </w:tcBorders>
            <w:shd w:val="clear" w:color="auto" w:fill="auto"/>
            <w:vAlign w:val="bottom"/>
          </w:tcPr>
          <w:p w14:paraId="1B978421"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1780</w:t>
            </w:r>
          </w:p>
        </w:tc>
        <w:tc>
          <w:tcPr>
            <w:tcW w:w="648" w:type="dxa"/>
            <w:tcBorders>
              <w:bottom w:val="single" w:sz="4" w:space="0" w:color="auto"/>
            </w:tcBorders>
            <w:shd w:val="clear" w:color="auto" w:fill="auto"/>
            <w:vAlign w:val="bottom"/>
          </w:tcPr>
          <w:p w14:paraId="1EB49D4A"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582</w:t>
            </w:r>
          </w:p>
        </w:tc>
        <w:tc>
          <w:tcPr>
            <w:tcW w:w="648" w:type="dxa"/>
            <w:tcBorders>
              <w:bottom w:val="single" w:sz="4" w:space="0" w:color="auto"/>
            </w:tcBorders>
            <w:shd w:val="clear" w:color="auto" w:fill="auto"/>
            <w:vAlign w:val="bottom"/>
          </w:tcPr>
          <w:p w14:paraId="1202D54F"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1323</w:t>
            </w:r>
          </w:p>
        </w:tc>
        <w:tc>
          <w:tcPr>
            <w:tcW w:w="648" w:type="dxa"/>
            <w:tcBorders>
              <w:bottom w:val="single" w:sz="4" w:space="0" w:color="auto"/>
            </w:tcBorders>
            <w:shd w:val="clear" w:color="auto" w:fill="auto"/>
            <w:vAlign w:val="bottom"/>
          </w:tcPr>
          <w:p w14:paraId="11BDFEBC"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578</w:t>
            </w:r>
          </w:p>
        </w:tc>
      </w:tr>
      <w:tr w:rsidR="00510D4C" w:rsidRPr="004C49DE" w14:paraId="35770D44" w14:textId="77777777" w:rsidTr="00262A5A">
        <w:tc>
          <w:tcPr>
            <w:tcW w:w="2813" w:type="dxa"/>
            <w:tcBorders>
              <w:top w:val="single" w:sz="4" w:space="0" w:color="auto"/>
            </w:tcBorders>
            <w:shd w:val="clear" w:color="auto" w:fill="auto"/>
            <w:vAlign w:val="bottom"/>
          </w:tcPr>
          <w:p w14:paraId="3FEF61AB"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Violación</w:t>
            </w:r>
          </w:p>
        </w:tc>
        <w:tc>
          <w:tcPr>
            <w:tcW w:w="648" w:type="dxa"/>
            <w:tcBorders>
              <w:top w:val="single" w:sz="4" w:space="0" w:color="auto"/>
            </w:tcBorders>
            <w:shd w:val="clear" w:color="auto" w:fill="auto"/>
            <w:vAlign w:val="bottom"/>
          </w:tcPr>
          <w:p w14:paraId="5D82C06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159</w:t>
            </w:r>
          </w:p>
        </w:tc>
        <w:tc>
          <w:tcPr>
            <w:tcW w:w="648" w:type="dxa"/>
            <w:tcBorders>
              <w:top w:val="single" w:sz="4" w:space="0" w:color="auto"/>
            </w:tcBorders>
            <w:shd w:val="clear" w:color="auto" w:fill="auto"/>
            <w:vAlign w:val="bottom"/>
          </w:tcPr>
          <w:p w14:paraId="7C1BFCBE"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217</w:t>
            </w:r>
          </w:p>
        </w:tc>
        <w:tc>
          <w:tcPr>
            <w:tcW w:w="648" w:type="dxa"/>
            <w:tcBorders>
              <w:top w:val="single" w:sz="4" w:space="0" w:color="auto"/>
            </w:tcBorders>
            <w:shd w:val="clear" w:color="auto" w:fill="auto"/>
            <w:vAlign w:val="bottom"/>
          </w:tcPr>
          <w:p w14:paraId="58BBF03F"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578</w:t>
            </w:r>
          </w:p>
        </w:tc>
        <w:tc>
          <w:tcPr>
            <w:tcW w:w="648" w:type="dxa"/>
            <w:tcBorders>
              <w:top w:val="single" w:sz="4" w:space="0" w:color="auto"/>
            </w:tcBorders>
            <w:shd w:val="clear" w:color="auto" w:fill="auto"/>
            <w:vAlign w:val="bottom"/>
          </w:tcPr>
          <w:p w14:paraId="3CFC7807"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497</w:t>
            </w:r>
          </w:p>
        </w:tc>
        <w:tc>
          <w:tcPr>
            <w:tcW w:w="648" w:type="dxa"/>
            <w:tcBorders>
              <w:top w:val="single" w:sz="4" w:space="0" w:color="auto"/>
            </w:tcBorders>
            <w:shd w:val="clear" w:color="auto" w:fill="auto"/>
            <w:vAlign w:val="bottom"/>
          </w:tcPr>
          <w:p w14:paraId="3C9587E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292</w:t>
            </w:r>
          </w:p>
        </w:tc>
        <w:tc>
          <w:tcPr>
            <w:tcW w:w="648" w:type="dxa"/>
            <w:tcBorders>
              <w:top w:val="single" w:sz="4" w:space="0" w:color="auto"/>
            </w:tcBorders>
            <w:shd w:val="clear" w:color="auto" w:fill="auto"/>
            <w:vAlign w:val="bottom"/>
          </w:tcPr>
          <w:p w14:paraId="4F8B56D9"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249</w:t>
            </w:r>
          </w:p>
        </w:tc>
        <w:tc>
          <w:tcPr>
            <w:tcW w:w="648" w:type="dxa"/>
            <w:tcBorders>
              <w:top w:val="single" w:sz="4" w:space="0" w:color="auto"/>
            </w:tcBorders>
            <w:shd w:val="clear" w:color="auto" w:fill="auto"/>
            <w:vAlign w:val="bottom"/>
          </w:tcPr>
          <w:p w14:paraId="2F8FA9EF"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159</w:t>
            </w:r>
          </w:p>
        </w:tc>
      </w:tr>
      <w:tr w:rsidR="00510D4C" w:rsidRPr="004C49DE" w14:paraId="44E25B78" w14:textId="77777777" w:rsidTr="00262A5A">
        <w:tc>
          <w:tcPr>
            <w:tcW w:w="2813" w:type="dxa"/>
            <w:shd w:val="clear" w:color="auto" w:fill="auto"/>
            <w:vAlign w:val="bottom"/>
          </w:tcPr>
          <w:p w14:paraId="3344C292"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Agresión sexual</w:t>
            </w:r>
          </w:p>
        </w:tc>
        <w:tc>
          <w:tcPr>
            <w:tcW w:w="648" w:type="dxa"/>
            <w:shd w:val="clear" w:color="auto" w:fill="auto"/>
            <w:vAlign w:val="bottom"/>
          </w:tcPr>
          <w:p w14:paraId="6FE91ED9"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22</w:t>
            </w:r>
          </w:p>
        </w:tc>
        <w:tc>
          <w:tcPr>
            <w:tcW w:w="648" w:type="dxa"/>
            <w:shd w:val="clear" w:color="auto" w:fill="auto"/>
            <w:vAlign w:val="bottom"/>
          </w:tcPr>
          <w:p w14:paraId="5D51536E"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36</w:t>
            </w:r>
          </w:p>
        </w:tc>
        <w:tc>
          <w:tcPr>
            <w:tcW w:w="648" w:type="dxa"/>
            <w:shd w:val="clear" w:color="auto" w:fill="auto"/>
            <w:vAlign w:val="bottom"/>
          </w:tcPr>
          <w:p w14:paraId="13FA92AF"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151</w:t>
            </w:r>
          </w:p>
        </w:tc>
        <w:tc>
          <w:tcPr>
            <w:tcW w:w="648" w:type="dxa"/>
            <w:shd w:val="clear" w:color="auto" w:fill="auto"/>
            <w:vAlign w:val="bottom"/>
          </w:tcPr>
          <w:p w14:paraId="0ED9F062"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52</w:t>
            </w:r>
          </w:p>
        </w:tc>
        <w:tc>
          <w:tcPr>
            <w:tcW w:w="648" w:type="dxa"/>
            <w:shd w:val="clear" w:color="auto" w:fill="auto"/>
            <w:vAlign w:val="bottom"/>
          </w:tcPr>
          <w:p w14:paraId="59E7AAE7"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37</w:t>
            </w:r>
          </w:p>
        </w:tc>
        <w:tc>
          <w:tcPr>
            <w:tcW w:w="648" w:type="dxa"/>
            <w:shd w:val="clear" w:color="auto" w:fill="auto"/>
            <w:vAlign w:val="bottom"/>
          </w:tcPr>
          <w:p w14:paraId="27944ED0"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93</w:t>
            </w:r>
          </w:p>
        </w:tc>
        <w:tc>
          <w:tcPr>
            <w:tcW w:w="648" w:type="dxa"/>
            <w:shd w:val="clear" w:color="auto" w:fill="auto"/>
            <w:vAlign w:val="bottom"/>
          </w:tcPr>
          <w:p w14:paraId="7FA054CE"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29</w:t>
            </w:r>
          </w:p>
        </w:tc>
      </w:tr>
      <w:tr w:rsidR="00510D4C" w:rsidRPr="004C49DE" w14:paraId="0966C024" w14:textId="77777777" w:rsidTr="00262A5A">
        <w:tc>
          <w:tcPr>
            <w:tcW w:w="2813" w:type="dxa"/>
            <w:shd w:val="clear" w:color="auto" w:fill="auto"/>
            <w:vAlign w:val="bottom"/>
          </w:tcPr>
          <w:p w14:paraId="3ADBF584"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Agresión física</w:t>
            </w:r>
          </w:p>
        </w:tc>
        <w:tc>
          <w:tcPr>
            <w:tcW w:w="648" w:type="dxa"/>
            <w:shd w:val="clear" w:color="auto" w:fill="auto"/>
            <w:vAlign w:val="bottom"/>
          </w:tcPr>
          <w:p w14:paraId="2366AA83"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82</w:t>
            </w:r>
          </w:p>
        </w:tc>
        <w:tc>
          <w:tcPr>
            <w:tcW w:w="648" w:type="dxa"/>
            <w:shd w:val="clear" w:color="auto" w:fill="auto"/>
            <w:vAlign w:val="bottom"/>
          </w:tcPr>
          <w:p w14:paraId="34A82A19"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281</w:t>
            </w:r>
          </w:p>
        </w:tc>
        <w:tc>
          <w:tcPr>
            <w:tcW w:w="648" w:type="dxa"/>
            <w:shd w:val="clear" w:color="auto" w:fill="auto"/>
            <w:vAlign w:val="bottom"/>
          </w:tcPr>
          <w:p w14:paraId="3263D800"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662</w:t>
            </w:r>
          </w:p>
        </w:tc>
        <w:tc>
          <w:tcPr>
            <w:tcW w:w="648" w:type="dxa"/>
            <w:shd w:val="clear" w:color="auto" w:fill="auto"/>
            <w:vAlign w:val="bottom"/>
          </w:tcPr>
          <w:p w14:paraId="3B624673"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465</w:t>
            </w:r>
          </w:p>
        </w:tc>
        <w:tc>
          <w:tcPr>
            <w:tcW w:w="648" w:type="dxa"/>
            <w:shd w:val="clear" w:color="auto" w:fill="auto"/>
            <w:vAlign w:val="bottom"/>
          </w:tcPr>
          <w:p w14:paraId="44358A6F"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136</w:t>
            </w:r>
          </w:p>
        </w:tc>
        <w:tc>
          <w:tcPr>
            <w:tcW w:w="648" w:type="dxa"/>
            <w:shd w:val="clear" w:color="auto" w:fill="auto"/>
            <w:vAlign w:val="bottom"/>
          </w:tcPr>
          <w:p w14:paraId="550CAA4D"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260</w:t>
            </w:r>
          </w:p>
        </w:tc>
        <w:tc>
          <w:tcPr>
            <w:tcW w:w="648" w:type="dxa"/>
            <w:shd w:val="clear" w:color="auto" w:fill="auto"/>
            <w:vAlign w:val="bottom"/>
          </w:tcPr>
          <w:p w14:paraId="61EE2DFA"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187</w:t>
            </w:r>
          </w:p>
        </w:tc>
      </w:tr>
      <w:tr w:rsidR="00510D4C" w:rsidRPr="004C49DE" w14:paraId="699222D1" w14:textId="77777777" w:rsidTr="00262A5A">
        <w:tc>
          <w:tcPr>
            <w:tcW w:w="2813" w:type="dxa"/>
            <w:shd w:val="clear" w:color="auto" w:fill="auto"/>
            <w:vAlign w:val="bottom"/>
          </w:tcPr>
          <w:p w14:paraId="45E5E345"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Matrimonio forzado</w:t>
            </w:r>
          </w:p>
        </w:tc>
        <w:tc>
          <w:tcPr>
            <w:tcW w:w="648" w:type="dxa"/>
            <w:shd w:val="clear" w:color="auto" w:fill="auto"/>
            <w:vAlign w:val="bottom"/>
          </w:tcPr>
          <w:p w14:paraId="1F4C9EC4" w14:textId="4B8F887E"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n</w:t>
            </w:r>
            <w:r w:rsidR="00BB7BBB" w:rsidRPr="004C49DE">
              <w:rPr>
                <w:kern w:val="0"/>
                <w:sz w:val="17"/>
                <w:szCs w:val="17"/>
                <w:lang w:val="es-ES_tradnl" w:eastAsia="en-US"/>
              </w:rPr>
              <w:t>.</w:t>
            </w:r>
            <w:r w:rsidRPr="004C49DE">
              <w:rPr>
                <w:kern w:val="0"/>
                <w:sz w:val="17"/>
                <w:szCs w:val="17"/>
                <w:lang w:val="es-ES_tradnl" w:eastAsia="en-US"/>
              </w:rPr>
              <w:t>d</w:t>
            </w:r>
            <w:r w:rsidR="00BB7BBB" w:rsidRPr="004C49DE">
              <w:rPr>
                <w:kern w:val="0"/>
                <w:sz w:val="17"/>
                <w:szCs w:val="17"/>
                <w:lang w:val="es-ES_tradnl" w:eastAsia="en-US"/>
              </w:rPr>
              <w:t>.</w:t>
            </w:r>
          </w:p>
        </w:tc>
        <w:tc>
          <w:tcPr>
            <w:tcW w:w="648" w:type="dxa"/>
            <w:shd w:val="clear" w:color="auto" w:fill="auto"/>
            <w:vAlign w:val="bottom"/>
          </w:tcPr>
          <w:p w14:paraId="597390BB" w14:textId="3525D823"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n</w:t>
            </w:r>
            <w:r w:rsidR="00BB7BBB" w:rsidRPr="004C49DE">
              <w:rPr>
                <w:kern w:val="0"/>
                <w:sz w:val="17"/>
                <w:szCs w:val="17"/>
                <w:lang w:val="es-ES_tradnl" w:eastAsia="en-US"/>
              </w:rPr>
              <w:t>.</w:t>
            </w:r>
            <w:r w:rsidRPr="004C49DE">
              <w:rPr>
                <w:kern w:val="0"/>
                <w:sz w:val="17"/>
                <w:szCs w:val="17"/>
                <w:lang w:val="es-ES_tradnl" w:eastAsia="en-US"/>
              </w:rPr>
              <w:t>d</w:t>
            </w:r>
            <w:r w:rsidR="00BB7BBB" w:rsidRPr="004C49DE">
              <w:rPr>
                <w:kern w:val="0"/>
                <w:sz w:val="17"/>
                <w:szCs w:val="17"/>
                <w:lang w:val="es-ES_tradnl" w:eastAsia="en-US"/>
              </w:rPr>
              <w:t>.</w:t>
            </w:r>
          </w:p>
        </w:tc>
        <w:tc>
          <w:tcPr>
            <w:tcW w:w="648" w:type="dxa"/>
            <w:shd w:val="clear" w:color="auto" w:fill="auto"/>
            <w:vAlign w:val="bottom"/>
          </w:tcPr>
          <w:p w14:paraId="4184335F" w14:textId="71A4C4E1"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n</w:t>
            </w:r>
            <w:r w:rsidR="00BB7BBB" w:rsidRPr="004C49DE">
              <w:rPr>
                <w:kern w:val="0"/>
                <w:sz w:val="17"/>
                <w:szCs w:val="17"/>
                <w:lang w:val="es-ES_tradnl" w:eastAsia="en-US"/>
              </w:rPr>
              <w:t>.</w:t>
            </w:r>
            <w:r w:rsidRPr="004C49DE">
              <w:rPr>
                <w:kern w:val="0"/>
                <w:sz w:val="17"/>
                <w:szCs w:val="17"/>
                <w:lang w:val="es-ES_tradnl" w:eastAsia="en-US"/>
              </w:rPr>
              <w:t>d</w:t>
            </w:r>
            <w:r w:rsidR="00BB7BBB" w:rsidRPr="004C49DE">
              <w:rPr>
                <w:kern w:val="0"/>
                <w:sz w:val="17"/>
                <w:szCs w:val="17"/>
                <w:lang w:val="es-ES_tradnl" w:eastAsia="en-US"/>
              </w:rPr>
              <w:t>.</w:t>
            </w:r>
          </w:p>
        </w:tc>
        <w:tc>
          <w:tcPr>
            <w:tcW w:w="648" w:type="dxa"/>
            <w:shd w:val="clear" w:color="auto" w:fill="auto"/>
            <w:vAlign w:val="bottom"/>
          </w:tcPr>
          <w:p w14:paraId="07B38A6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49</w:t>
            </w:r>
          </w:p>
        </w:tc>
        <w:tc>
          <w:tcPr>
            <w:tcW w:w="648" w:type="dxa"/>
            <w:shd w:val="clear" w:color="auto" w:fill="auto"/>
            <w:vAlign w:val="bottom"/>
          </w:tcPr>
          <w:p w14:paraId="0DD11817"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6</w:t>
            </w:r>
          </w:p>
        </w:tc>
        <w:tc>
          <w:tcPr>
            <w:tcW w:w="648" w:type="dxa"/>
            <w:shd w:val="clear" w:color="auto" w:fill="auto"/>
            <w:vAlign w:val="bottom"/>
          </w:tcPr>
          <w:p w14:paraId="2995E434"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64</w:t>
            </w:r>
          </w:p>
        </w:tc>
        <w:tc>
          <w:tcPr>
            <w:tcW w:w="648" w:type="dxa"/>
            <w:shd w:val="clear" w:color="auto" w:fill="auto"/>
            <w:vAlign w:val="bottom"/>
          </w:tcPr>
          <w:p w14:paraId="76605B0E"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12</w:t>
            </w:r>
          </w:p>
        </w:tc>
      </w:tr>
      <w:tr w:rsidR="00510D4C" w:rsidRPr="004C49DE" w14:paraId="66226DB3" w14:textId="77777777" w:rsidTr="00262A5A">
        <w:tc>
          <w:tcPr>
            <w:tcW w:w="2813" w:type="dxa"/>
            <w:shd w:val="clear" w:color="auto" w:fill="auto"/>
            <w:vAlign w:val="bottom"/>
          </w:tcPr>
          <w:p w14:paraId="264E9A26"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Denegación de recursos, oportunidades o servicios</w:t>
            </w:r>
          </w:p>
        </w:tc>
        <w:tc>
          <w:tcPr>
            <w:tcW w:w="648" w:type="dxa"/>
            <w:shd w:val="clear" w:color="auto" w:fill="auto"/>
            <w:vAlign w:val="bottom"/>
          </w:tcPr>
          <w:p w14:paraId="307C5EB3"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204</w:t>
            </w:r>
          </w:p>
        </w:tc>
        <w:tc>
          <w:tcPr>
            <w:tcW w:w="648" w:type="dxa"/>
            <w:shd w:val="clear" w:color="auto" w:fill="auto"/>
            <w:vAlign w:val="bottom"/>
          </w:tcPr>
          <w:p w14:paraId="2E49CA07"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249</w:t>
            </w:r>
          </w:p>
        </w:tc>
        <w:tc>
          <w:tcPr>
            <w:tcW w:w="648" w:type="dxa"/>
            <w:shd w:val="clear" w:color="auto" w:fill="auto"/>
            <w:vAlign w:val="bottom"/>
          </w:tcPr>
          <w:p w14:paraId="5FD82F94"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798</w:t>
            </w:r>
          </w:p>
        </w:tc>
        <w:tc>
          <w:tcPr>
            <w:tcW w:w="648" w:type="dxa"/>
            <w:shd w:val="clear" w:color="auto" w:fill="auto"/>
            <w:vAlign w:val="bottom"/>
          </w:tcPr>
          <w:p w14:paraId="03A6341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558</w:t>
            </w:r>
          </w:p>
        </w:tc>
        <w:tc>
          <w:tcPr>
            <w:tcW w:w="648" w:type="dxa"/>
            <w:shd w:val="clear" w:color="auto" w:fill="auto"/>
            <w:vAlign w:val="bottom"/>
          </w:tcPr>
          <w:p w14:paraId="1A28D203"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83</w:t>
            </w:r>
          </w:p>
        </w:tc>
        <w:tc>
          <w:tcPr>
            <w:tcW w:w="648" w:type="dxa"/>
            <w:shd w:val="clear" w:color="auto" w:fill="auto"/>
            <w:vAlign w:val="bottom"/>
          </w:tcPr>
          <w:p w14:paraId="2B0D826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443</w:t>
            </w:r>
          </w:p>
        </w:tc>
        <w:tc>
          <w:tcPr>
            <w:tcW w:w="648" w:type="dxa"/>
            <w:shd w:val="clear" w:color="auto" w:fill="auto"/>
            <w:vAlign w:val="bottom"/>
          </w:tcPr>
          <w:p w14:paraId="40505D92"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144</w:t>
            </w:r>
          </w:p>
        </w:tc>
      </w:tr>
      <w:tr w:rsidR="00510D4C" w:rsidRPr="004C49DE" w14:paraId="418CE4D1" w14:textId="77777777" w:rsidTr="00262A5A">
        <w:tc>
          <w:tcPr>
            <w:tcW w:w="2813" w:type="dxa"/>
            <w:tcBorders>
              <w:bottom w:val="single" w:sz="12" w:space="0" w:color="auto"/>
            </w:tcBorders>
            <w:shd w:val="clear" w:color="auto" w:fill="auto"/>
            <w:vAlign w:val="bottom"/>
          </w:tcPr>
          <w:p w14:paraId="51D746B1"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Maltrato psicológico o emocional</w:t>
            </w:r>
          </w:p>
        </w:tc>
        <w:tc>
          <w:tcPr>
            <w:tcW w:w="648" w:type="dxa"/>
            <w:tcBorders>
              <w:bottom w:val="single" w:sz="12" w:space="0" w:color="auto"/>
            </w:tcBorders>
            <w:shd w:val="clear" w:color="auto" w:fill="auto"/>
            <w:vAlign w:val="bottom"/>
          </w:tcPr>
          <w:p w14:paraId="4ABFC5E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82</w:t>
            </w:r>
          </w:p>
        </w:tc>
        <w:tc>
          <w:tcPr>
            <w:tcW w:w="648" w:type="dxa"/>
            <w:tcBorders>
              <w:bottom w:val="single" w:sz="12" w:space="0" w:color="auto"/>
            </w:tcBorders>
            <w:shd w:val="clear" w:color="auto" w:fill="auto"/>
            <w:vAlign w:val="bottom"/>
          </w:tcPr>
          <w:p w14:paraId="3A17DAFA"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113</w:t>
            </w:r>
          </w:p>
        </w:tc>
        <w:tc>
          <w:tcPr>
            <w:tcW w:w="648" w:type="dxa"/>
            <w:tcBorders>
              <w:bottom w:val="single" w:sz="12" w:space="0" w:color="auto"/>
            </w:tcBorders>
            <w:shd w:val="clear" w:color="auto" w:fill="auto"/>
            <w:vAlign w:val="bottom"/>
          </w:tcPr>
          <w:p w14:paraId="40387B2B"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422</w:t>
            </w:r>
          </w:p>
        </w:tc>
        <w:tc>
          <w:tcPr>
            <w:tcW w:w="648" w:type="dxa"/>
            <w:tcBorders>
              <w:bottom w:val="single" w:sz="12" w:space="0" w:color="auto"/>
            </w:tcBorders>
            <w:shd w:val="clear" w:color="auto" w:fill="auto"/>
            <w:vAlign w:val="bottom"/>
          </w:tcPr>
          <w:p w14:paraId="51D9EC00"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159</w:t>
            </w:r>
          </w:p>
        </w:tc>
        <w:tc>
          <w:tcPr>
            <w:tcW w:w="648" w:type="dxa"/>
            <w:tcBorders>
              <w:bottom w:val="single" w:sz="12" w:space="0" w:color="auto"/>
            </w:tcBorders>
            <w:shd w:val="clear" w:color="auto" w:fill="auto"/>
            <w:vAlign w:val="bottom"/>
          </w:tcPr>
          <w:p w14:paraId="303F8B80"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28</w:t>
            </w:r>
          </w:p>
        </w:tc>
        <w:tc>
          <w:tcPr>
            <w:tcW w:w="648" w:type="dxa"/>
            <w:tcBorders>
              <w:bottom w:val="single" w:sz="12" w:space="0" w:color="auto"/>
            </w:tcBorders>
            <w:shd w:val="clear" w:color="auto" w:fill="auto"/>
            <w:vAlign w:val="bottom"/>
          </w:tcPr>
          <w:p w14:paraId="10D77CA1"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214</w:t>
            </w:r>
          </w:p>
        </w:tc>
        <w:tc>
          <w:tcPr>
            <w:tcW w:w="648" w:type="dxa"/>
            <w:tcBorders>
              <w:bottom w:val="single" w:sz="12" w:space="0" w:color="auto"/>
            </w:tcBorders>
            <w:shd w:val="clear" w:color="auto" w:fill="auto"/>
            <w:vAlign w:val="bottom"/>
          </w:tcPr>
          <w:p w14:paraId="35D4D8C6" w14:textId="77777777" w:rsidR="000C3123" w:rsidRPr="004C49DE" w:rsidRDefault="000C3123" w:rsidP="00BB7BBB">
            <w:pPr>
              <w:suppressAutoHyphens w:val="0"/>
              <w:spacing w:before="40" w:after="40" w:line="220" w:lineRule="exact"/>
              <w:jc w:val="right"/>
              <w:rPr>
                <w:kern w:val="0"/>
                <w:sz w:val="17"/>
                <w:szCs w:val="17"/>
                <w:lang w:val="es-ES_tradnl" w:eastAsia="en-US"/>
              </w:rPr>
            </w:pPr>
            <w:r w:rsidRPr="004C49DE">
              <w:rPr>
                <w:kern w:val="0"/>
                <w:sz w:val="17"/>
                <w:szCs w:val="17"/>
                <w:lang w:val="es-ES_tradnl" w:eastAsia="en-US"/>
              </w:rPr>
              <w:t>47</w:t>
            </w:r>
          </w:p>
        </w:tc>
      </w:tr>
    </w:tbl>
    <w:p w14:paraId="55330B4E" w14:textId="77777777" w:rsidR="00A80B5B" w:rsidRPr="004C49DE" w:rsidRDefault="00A80B5B" w:rsidP="00BB7BBB">
      <w:pPr>
        <w:pStyle w:val="SingleTxt"/>
        <w:suppressAutoHyphens w:val="0"/>
        <w:spacing w:after="0" w:line="120" w:lineRule="exact"/>
        <w:rPr>
          <w:sz w:val="10"/>
          <w:szCs w:val="10"/>
          <w:lang w:val="es-ES_tradnl"/>
        </w:rPr>
      </w:pPr>
    </w:p>
    <w:p w14:paraId="22457FF6" w14:textId="287FFEB5" w:rsidR="000C3123" w:rsidRPr="004C49DE" w:rsidRDefault="000C3123" w:rsidP="00BB7BBB">
      <w:pPr>
        <w:pStyle w:val="FootnoteText"/>
        <w:widowControl/>
        <w:tabs>
          <w:tab w:val="clear" w:pos="418"/>
          <w:tab w:val="right" w:pos="1476"/>
          <w:tab w:val="left" w:pos="1548"/>
          <w:tab w:val="right" w:pos="1836"/>
          <w:tab w:val="left" w:pos="1908"/>
        </w:tabs>
        <w:suppressAutoHyphens w:val="0"/>
        <w:ind w:left="1548" w:right="1065" w:hanging="289"/>
        <w:rPr>
          <w:w w:val="104"/>
          <w:kern w:val="0"/>
          <w:szCs w:val="22"/>
          <w:lang w:val="es-ES_tradnl" w:eastAsia="en-US"/>
        </w:rPr>
      </w:pPr>
      <w:r w:rsidRPr="004C49DE">
        <w:rPr>
          <w:i/>
          <w:w w:val="104"/>
          <w:kern w:val="0"/>
          <w:szCs w:val="22"/>
          <w:lang w:val="es-ES_tradnl" w:eastAsia="en-US"/>
        </w:rPr>
        <w:t>Fuentes:</w:t>
      </w:r>
      <w:r w:rsidRPr="004C49DE">
        <w:rPr>
          <w:w w:val="104"/>
          <w:kern w:val="0"/>
          <w:szCs w:val="22"/>
          <w:lang w:val="es-ES_tradnl" w:eastAsia="en-US"/>
        </w:rPr>
        <w:t xml:space="preserve"> IRC: 2010 y 2011 (enero a septiembre), 2012 a 2014 (con el apoyo del UNFPA en el marco de la implementación del Sistema de Gestión de la Información sobre la Violencia de Género), Dirección de Planificación, Estudios y Documentación del MPFFPE: datos sobre la</w:t>
      </w:r>
      <w:r w:rsidR="00306F2E" w:rsidRPr="004C49DE">
        <w:rPr>
          <w:w w:val="104"/>
          <w:kern w:val="0"/>
          <w:szCs w:val="22"/>
          <w:lang w:val="es-ES_tradnl" w:eastAsia="en-US"/>
        </w:rPr>
        <w:t> </w:t>
      </w:r>
      <w:r w:rsidRPr="004C49DE">
        <w:rPr>
          <w:w w:val="104"/>
          <w:kern w:val="0"/>
          <w:szCs w:val="22"/>
          <w:lang w:val="es-ES_tradnl" w:eastAsia="en-US"/>
        </w:rPr>
        <w:t>violencia por razón de género de 2015 (datos pendientes de consolidación) y Sistema de Gestión de la Información sobre la Violencia de Género de Côte d</w:t>
      </w:r>
      <w:r w:rsidR="004C49DE">
        <w:rPr>
          <w:w w:val="104"/>
          <w:kern w:val="0"/>
          <w:szCs w:val="22"/>
          <w:lang w:val="es-ES_tradnl" w:eastAsia="en-US"/>
        </w:rPr>
        <w:t>’</w:t>
      </w:r>
      <w:r w:rsidRPr="004C49DE">
        <w:rPr>
          <w:w w:val="104"/>
          <w:kern w:val="0"/>
          <w:szCs w:val="22"/>
          <w:lang w:val="es-ES_tradnl" w:eastAsia="en-US"/>
        </w:rPr>
        <w:t>Ivoire: datos parciales sobre</w:t>
      </w:r>
      <w:r w:rsidR="00E208F2" w:rsidRPr="004C49DE">
        <w:rPr>
          <w:w w:val="104"/>
          <w:kern w:val="0"/>
          <w:szCs w:val="22"/>
          <w:lang w:val="es-ES_tradnl" w:eastAsia="en-US"/>
        </w:rPr>
        <w:t> </w:t>
      </w:r>
      <w:r w:rsidRPr="004C49DE">
        <w:rPr>
          <w:w w:val="104"/>
          <w:kern w:val="0"/>
          <w:szCs w:val="22"/>
          <w:lang w:val="es-ES_tradnl" w:eastAsia="en-US"/>
        </w:rPr>
        <w:t>la violencia por razón de género pendientes de tratamiento de 2016 (enero a septiembre)</w:t>
      </w:r>
      <w:r w:rsidR="00BB7BBB" w:rsidRPr="004C49DE">
        <w:rPr>
          <w:w w:val="104"/>
          <w:kern w:val="0"/>
          <w:szCs w:val="22"/>
          <w:lang w:val="es-ES_tradnl" w:eastAsia="en-US"/>
        </w:rPr>
        <w:t>.</w:t>
      </w:r>
    </w:p>
    <w:p w14:paraId="5F4AC4ED" w14:textId="77777777" w:rsidR="00A80B5B" w:rsidRPr="004C49DE" w:rsidRDefault="00A80B5B" w:rsidP="00BB7BBB">
      <w:pPr>
        <w:pStyle w:val="SingleTxt"/>
        <w:suppressAutoHyphens w:val="0"/>
        <w:spacing w:after="0" w:line="120" w:lineRule="exact"/>
        <w:rPr>
          <w:sz w:val="10"/>
          <w:szCs w:val="10"/>
          <w:lang w:val="es-ES_tradnl"/>
        </w:rPr>
      </w:pPr>
    </w:p>
    <w:p w14:paraId="527199A7" w14:textId="77777777" w:rsidR="00A80B5B" w:rsidRPr="004C49DE" w:rsidRDefault="00A80B5B" w:rsidP="00BB7BBB">
      <w:pPr>
        <w:pStyle w:val="SingleTxt"/>
        <w:suppressAutoHyphens w:val="0"/>
        <w:spacing w:after="0" w:line="120" w:lineRule="exact"/>
        <w:rPr>
          <w:sz w:val="10"/>
          <w:szCs w:val="10"/>
          <w:lang w:val="es-ES_tradnl"/>
        </w:rPr>
      </w:pPr>
    </w:p>
    <w:p w14:paraId="6B208889" w14:textId="2048271D"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Además, en el marco de la resolución </w:t>
      </w:r>
      <w:hyperlink r:id="rId50" w:history="1">
        <w:r w:rsidRPr="004C49DE">
          <w:rPr>
            <w:rStyle w:val="Hyperlink"/>
            <w:szCs w:val="22"/>
            <w:lang w:val="es-ES_tradnl" w:eastAsia="en-US"/>
          </w:rPr>
          <w:t>1960 (2010)</w:t>
        </w:r>
        <w:r w:rsidRPr="004C49DE">
          <w:rPr>
            <w:rStyle w:val="Hyperlink"/>
            <w:szCs w:val="22"/>
            <w:vertAlign w:val="superscript"/>
            <w:lang w:val="es-ES_tradnl" w:eastAsia="en-US"/>
          </w:rPr>
          <w:footnoteReference w:id="7"/>
        </w:r>
        <w:r w:rsidRPr="004C49DE">
          <w:rPr>
            <w:rStyle w:val="Hyperlink"/>
            <w:szCs w:val="22"/>
            <w:lang w:val="es-ES_tradnl" w:eastAsia="en-US"/>
          </w:rPr>
          <w:t>,</w:t>
        </w:r>
      </w:hyperlink>
      <w:r w:rsidRPr="004C49DE">
        <w:rPr>
          <w:szCs w:val="22"/>
          <w:lang w:val="es-ES_tradnl" w:eastAsia="en-US"/>
        </w:rPr>
        <w:t xml:space="preserve"> la División de Derechos Humanos de la ONUCI llevó a cabo un seguimiento de la situación de los derechos humanos y documentó 1</w:t>
      </w:r>
      <w:r w:rsidR="00BB7BBB" w:rsidRPr="004C49DE">
        <w:rPr>
          <w:szCs w:val="22"/>
          <w:lang w:val="es-ES_tradnl" w:eastAsia="en-US"/>
        </w:rPr>
        <w:t>.</w:t>
      </w:r>
      <w:r w:rsidRPr="004C49DE">
        <w:rPr>
          <w:szCs w:val="22"/>
          <w:lang w:val="es-ES_tradnl" w:eastAsia="en-US"/>
        </w:rPr>
        <w:t>129 casos de violencia que afectaban a 1</w:t>
      </w:r>
      <w:r w:rsidR="00BB7BBB" w:rsidRPr="004C49DE">
        <w:rPr>
          <w:szCs w:val="22"/>
          <w:lang w:val="es-ES_tradnl" w:eastAsia="en-US"/>
        </w:rPr>
        <w:t>.</w:t>
      </w:r>
      <w:r w:rsidRPr="004C49DE">
        <w:rPr>
          <w:szCs w:val="22"/>
          <w:lang w:val="es-ES_tradnl" w:eastAsia="en-US"/>
        </w:rPr>
        <w:t>146 víctimas en todo el territorio de Côte d</w:t>
      </w:r>
      <w:r w:rsidR="004C49DE">
        <w:rPr>
          <w:szCs w:val="22"/>
          <w:lang w:val="es-ES_tradnl" w:eastAsia="en-US"/>
        </w:rPr>
        <w:t>’</w:t>
      </w:r>
      <w:r w:rsidRPr="004C49DE">
        <w:rPr>
          <w:szCs w:val="22"/>
          <w:lang w:val="es-ES_tradnl" w:eastAsia="en-US"/>
        </w:rPr>
        <w:t>Ivoire entre el 1 de enero de 2012 y el 31 de diciembre de 2015</w:t>
      </w:r>
      <w:r w:rsidR="00BB7BBB" w:rsidRPr="004C49DE">
        <w:rPr>
          <w:szCs w:val="22"/>
          <w:lang w:val="es-ES_tradnl" w:eastAsia="en-US"/>
        </w:rPr>
        <w:t>.</w:t>
      </w:r>
      <w:r w:rsidRPr="004C49DE">
        <w:rPr>
          <w:szCs w:val="22"/>
          <w:lang w:val="es-ES_tradnl" w:eastAsia="en-US"/>
        </w:rPr>
        <w:t xml:space="preserve"> Cabe señalar que el 66% de las víctimas eran niños (1%) y niñas</w:t>
      </w:r>
      <w:r w:rsidR="00BB7BBB" w:rsidRPr="004C49DE">
        <w:rPr>
          <w:szCs w:val="22"/>
          <w:lang w:val="es-ES_tradnl" w:eastAsia="en-US"/>
        </w:rPr>
        <w:t>.</w:t>
      </w:r>
      <w:r w:rsidRPr="004C49DE">
        <w:rPr>
          <w:szCs w:val="22"/>
          <w:lang w:val="es-ES_tradnl" w:eastAsia="en-US"/>
        </w:rPr>
        <w:t xml:space="preserve"> Cerca del 7% de los presuntos autores de delitos de los casos documentados por la División de Derechos Humanos eran funcionarios públicos, principalmente miembros de las Fuerzas Republicanas de Côte d</w:t>
      </w:r>
      <w:r w:rsidR="004C49DE">
        <w:rPr>
          <w:szCs w:val="22"/>
          <w:lang w:val="es-ES_tradnl" w:eastAsia="en-US"/>
        </w:rPr>
        <w:t>’</w:t>
      </w:r>
      <w:r w:rsidRPr="004C49DE">
        <w:rPr>
          <w:szCs w:val="22"/>
          <w:lang w:val="es-ES_tradnl" w:eastAsia="en-US"/>
        </w:rPr>
        <w:t>Ivoire (FRCI) y docentes</w:t>
      </w:r>
      <w:r w:rsidR="00BB7BBB" w:rsidRPr="004C49DE">
        <w:rPr>
          <w:szCs w:val="22"/>
          <w:lang w:val="es-ES_tradnl" w:eastAsia="en-US"/>
        </w:rPr>
        <w:t>.</w:t>
      </w:r>
    </w:p>
    <w:p w14:paraId="7CEAB44F" w14:textId="7858CF60"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En lo que respecta al enjuiciamiento de las violaciones, de acuerdo con los datos reunidos por la División de Derechos Humanos, se iniciaron investigaciones y se </w:t>
      </w:r>
      <w:r w:rsidRPr="004C49DE">
        <w:rPr>
          <w:szCs w:val="22"/>
          <w:lang w:val="es-ES_tradnl" w:eastAsia="en-US"/>
        </w:rPr>
        <w:lastRenderedPageBreak/>
        <w:t>abrieron expedientes para 1</w:t>
      </w:r>
      <w:r w:rsidR="00BB7BBB" w:rsidRPr="004C49DE">
        <w:rPr>
          <w:szCs w:val="22"/>
          <w:lang w:val="es-ES_tradnl" w:eastAsia="en-US"/>
        </w:rPr>
        <w:t>.</w:t>
      </w:r>
      <w:r w:rsidRPr="004C49DE">
        <w:rPr>
          <w:szCs w:val="22"/>
          <w:lang w:val="es-ES_tradnl" w:eastAsia="en-US"/>
        </w:rPr>
        <w:t>021 casos, es decir, el 90% del número total de casos documentados por la División</w:t>
      </w:r>
      <w:r w:rsidR="00BB7BBB" w:rsidRPr="004C49DE">
        <w:rPr>
          <w:szCs w:val="22"/>
          <w:lang w:val="es-ES_tradnl" w:eastAsia="en-US"/>
        </w:rPr>
        <w:t>.</w:t>
      </w:r>
    </w:p>
    <w:p w14:paraId="494CEB4A" w14:textId="04CF289B"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enjuiciamiento de los delitos de violación encontró diversos obstáculos, en particular debido a la ausencia de sesiones en los tribunales penales entre 2001 y 2014, y a la celebración irregular de las sesiones a partir de 2014</w:t>
      </w:r>
      <w:r w:rsidR="00BB7BBB" w:rsidRPr="004C49DE">
        <w:rPr>
          <w:szCs w:val="22"/>
          <w:lang w:val="es-ES_tradnl" w:eastAsia="en-US"/>
        </w:rPr>
        <w:t>.</w:t>
      </w:r>
    </w:p>
    <w:p w14:paraId="2CA05AE8" w14:textId="3C4692B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División de Derechos Humanos tuvo la oportunidad de constatar que más del 93% de la cantidad total de los autores de las violaciones documentadas durante el período de que se informa fueron particulares sin ningún cargo dentro del Estado de Côte d</w:t>
      </w:r>
      <w:r w:rsidR="004C49DE">
        <w:rPr>
          <w:szCs w:val="22"/>
          <w:lang w:val="es-ES_tradnl" w:eastAsia="en-US"/>
        </w:rPr>
        <w:t>’</w:t>
      </w:r>
      <w:r w:rsidRPr="004C49DE">
        <w:rPr>
          <w:szCs w:val="22"/>
          <w:lang w:val="es-ES_tradnl" w:eastAsia="en-US"/>
        </w:rPr>
        <w:t>Ivoire, mientras que casi el 7% fueron funcionarios públicos</w:t>
      </w:r>
      <w:r w:rsidR="00BB7BBB" w:rsidRPr="004C49DE">
        <w:rPr>
          <w:szCs w:val="22"/>
          <w:lang w:val="es-ES_tradnl" w:eastAsia="en-US"/>
        </w:rPr>
        <w:t>.</w:t>
      </w:r>
      <w:r w:rsidRPr="004C49DE">
        <w:rPr>
          <w:szCs w:val="22"/>
          <w:lang w:val="es-ES_tradnl" w:eastAsia="en-US"/>
        </w:rPr>
        <w:t xml:space="preserve"> Los autores de los delitos de violación distintos de los funcionarios del Estado eran en su mayoría personas desconocidas para las víctimas (60%), mientras que el 30% eran vecinos y conocidos, y el 10%, familiares</w:t>
      </w:r>
      <w:r w:rsidR="00BB7BBB" w:rsidRPr="004C49DE">
        <w:rPr>
          <w:szCs w:val="22"/>
          <w:lang w:val="es-ES_tradnl" w:eastAsia="en-US"/>
        </w:rPr>
        <w:t>.</w:t>
      </w:r>
    </w:p>
    <w:p w14:paraId="59F13B8E" w14:textId="6F0F3258"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Con respecto a los funcionarios públicos que cometieron violaciones, el 60% se corresponde con las fuerzas de defensa y de seguridad, principalmente miembros de las FRCI (51 miembros), es decir, el 31%, y, en menor medida, gendarmes y agentes de policía (1 gendarme, 1 guardia de prisiones y 3 agentes de policía)</w:t>
      </w:r>
      <w:r w:rsidR="00BB7BBB" w:rsidRPr="004C49DE">
        <w:rPr>
          <w:szCs w:val="22"/>
          <w:lang w:val="es-ES_tradnl" w:eastAsia="en-US"/>
        </w:rPr>
        <w:t>.</w:t>
      </w:r>
      <w:r w:rsidRPr="004C49DE">
        <w:rPr>
          <w:szCs w:val="22"/>
          <w:lang w:val="es-ES_tradnl" w:eastAsia="en-US"/>
        </w:rPr>
        <w:t xml:space="preserve"> La cantidad de niños que fueron víctimas de violaciones perpetradas por funcionarios públicos uniformados es especialmente elevada: 41 víctimas de entre 3 y 17 años de edad, es decir, el 5% del número total de niños víctimas identificados por la División de Derechos Humanos</w:t>
      </w:r>
      <w:r w:rsidR="00BB7BBB" w:rsidRPr="004C49DE">
        <w:rPr>
          <w:szCs w:val="22"/>
          <w:lang w:val="es-ES_tradnl" w:eastAsia="en-US"/>
        </w:rPr>
        <w:t>.</w:t>
      </w:r>
      <w:r w:rsidRPr="004C49DE">
        <w:rPr>
          <w:szCs w:val="22"/>
          <w:lang w:val="es-ES_tradnl" w:eastAsia="en-US"/>
        </w:rPr>
        <w:t xml:space="preserve"> De los 40 funcionarios civiles del Estado que perpetraron las violaciones recopiladas por la División de Derechos Humanos, 32</w:t>
      </w:r>
      <w:r w:rsidR="00BB5018" w:rsidRPr="004C49DE">
        <w:rPr>
          <w:szCs w:val="22"/>
          <w:lang w:val="es-ES_tradnl" w:eastAsia="en-US"/>
        </w:rPr>
        <w:t> </w:t>
      </w:r>
      <w:r w:rsidRPr="004C49DE">
        <w:rPr>
          <w:szCs w:val="22"/>
          <w:lang w:val="es-ES_tradnl" w:eastAsia="en-US"/>
        </w:rPr>
        <w:t>eran docentes, es decir, el 2% de la cantidad total de los autores de violaciones registrados</w:t>
      </w:r>
      <w:r w:rsidR="00BB7BBB" w:rsidRPr="004C49DE">
        <w:rPr>
          <w:szCs w:val="22"/>
          <w:lang w:val="es-ES_tradnl" w:eastAsia="en-US"/>
        </w:rPr>
        <w:t>.</w:t>
      </w:r>
      <w:r w:rsidRPr="004C49DE">
        <w:rPr>
          <w:szCs w:val="22"/>
          <w:lang w:val="es-ES_tradnl" w:eastAsia="en-US"/>
        </w:rPr>
        <w:t xml:space="preserve"> Además, los datos del sistema judicial de Côte d</w:t>
      </w:r>
      <w:r w:rsidR="004C49DE">
        <w:rPr>
          <w:szCs w:val="22"/>
          <w:lang w:val="es-ES_tradnl" w:eastAsia="en-US"/>
        </w:rPr>
        <w:t>’</w:t>
      </w:r>
      <w:r w:rsidRPr="004C49DE">
        <w:rPr>
          <w:szCs w:val="22"/>
          <w:lang w:val="es-ES_tradnl" w:eastAsia="en-US"/>
        </w:rPr>
        <w:t>Ivoire nos permiten evaluar el grado de seguimiento de los casos</w:t>
      </w:r>
      <w:r w:rsidR="00BB7BBB" w:rsidRPr="004C49DE">
        <w:rPr>
          <w:szCs w:val="22"/>
          <w:lang w:val="es-ES_tradnl" w:eastAsia="en-US"/>
        </w:rPr>
        <w:t>.</w:t>
      </w:r>
    </w:p>
    <w:p w14:paraId="16869899" w14:textId="77777777" w:rsidR="001D41B0" w:rsidRPr="004C49DE" w:rsidRDefault="001D41B0" w:rsidP="00BB7BBB">
      <w:pPr>
        <w:pStyle w:val="SingleTxt"/>
        <w:suppressAutoHyphens w:val="0"/>
        <w:spacing w:after="0" w:line="120" w:lineRule="exact"/>
        <w:rPr>
          <w:sz w:val="10"/>
          <w:szCs w:val="10"/>
          <w:lang w:val="es-ES_tradnl"/>
        </w:rPr>
      </w:pPr>
    </w:p>
    <w:p w14:paraId="4498D4A3" w14:textId="77777777" w:rsidR="000C3123" w:rsidRPr="004C49DE" w:rsidRDefault="001D41B0" w:rsidP="00A50CED">
      <w:pPr>
        <w:pStyle w:val="H23"/>
        <w:keepNext w:val="0"/>
        <w:keepLines w:val="0"/>
        <w:suppressAutoHyphens w:val="0"/>
        <w:ind w:right="2650"/>
        <w:rPr>
          <w:bCs w:val="0"/>
          <w:lang w:val="es-ES_tradnl" w:eastAsia="en-US"/>
        </w:rPr>
      </w:pPr>
      <w:r w:rsidRPr="004C49DE">
        <w:rPr>
          <w:bCs w:val="0"/>
          <w:lang w:val="es-ES_tradnl" w:eastAsia="en-US"/>
        </w:rPr>
        <w:tab/>
      </w:r>
      <w:r w:rsidRPr="004C49DE">
        <w:rPr>
          <w:bCs w:val="0"/>
          <w:lang w:val="es-ES_tradnl" w:eastAsia="en-US"/>
        </w:rPr>
        <w:tab/>
      </w:r>
      <w:r w:rsidR="000C3123" w:rsidRPr="004C49DE">
        <w:rPr>
          <w:b w:val="0"/>
          <w:bCs w:val="0"/>
          <w:lang w:val="es-ES_tradnl" w:eastAsia="en-US"/>
        </w:rPr>
        <w:t xml:space="preserve">Cuadro 3 </w:t>
      </w:r>
      <w:r w:rsidRPr="004C49DE">
        <w:rPr>
          <w:b w:val="0"/>
          <w:bCs w:val="0"/>
          <w:lang w:val="es-ES_tradnl" w:eastAsia="en-US"/>
        </w:rPr>
        <w:br/>
      </w:r>
      <w:r w:rsidR="000C3123" w:rsidRPr="004C49DE">
        <w:rPr>
          <w:bCs w:val="0"/>
          <w:lang w:val="es-ES_tradnl" w:eastAsia="en-US"/>
        </w:rPr>
        <w:t>Estado de los procedimientos establecidos en materia de violencia por razón de género, enero de 2014 a octubre de 2015</w:t>
      </w:r>
    </w:p>
    <w:p w14:paraId="36224DC1" w14:textId="77777777" w:rsidR="001D41B0" w:rsidRPr="004C49DE" w:rsidRDefault="001D41B0" w:rsidP="00BB7BBB">
      <w:pPr>
        <w:pStyle w:val="SingleTxt"/>
        <w:suppressAutoHyphens w:val="0"/>
        <w:spacing w:after="0" w:line="120" w:lineRule="exact"/>
        <w:rPr>
          <w:sz w:val="10"/>
          <w:szCs w:val="10"/>
          <w:lang w:val="es-ES_tradnl"/>
        </w:rPr>
      </w:pPr>
    </w:p>
    <w:tbl>
      <w:tblPr>
        <w:tblW w:w="8611" w:type="dxa"/>
        <w:tblInd w:w="1267" w:type="dxa"/>
        <w:tblLayout w:type="fixed"/>
        <w:tblCellMar>
          <w:left w:w="0" w:type="dxa"/>
          <w:right w:w="29" w:type="dxa"/>
        </w:tblCellMar>
        <w:tblLook w:val="04A0" w:firstRow="1" w:lastRow="0" w:firstColumn="1" w:lastColumn="0" w:noHBand="0" w:noVBand="1"/>
      </w:tblPr>
      <w:tblGrid>
        <w:gridCol w:w="380"/>
        <w:gridCol w:w="1656"/>
        <w:gridCol w:w="837"/>
        <w:gridCol w:w="945"/>
        <w:gridCol w:w="702"/>
        <w:gridCol w:w="873"/>
        <w:gridCol w:w="810"/>
        <w:gridCol w:w="720"/>
        <w:gridCol w:w="810"/>
        <w:gridCol w:w="878"/>
      </w:tblGrid>
      <w:tr w:rsidR="00AC6182" w:rsidRPr="004C49DE" w14:paraId="331DF8C9" w14:textId="77777777" w:rsidTr="008074D0">
        <w:trPr>
          <w:trHeight w:val="319"/>
          <w:tblHeader/>
        </w:trPr>
        <w:tc>
          <w:tcPr>
            <w:tcW w:w="380" w:type="dxa"/>
            <w:tcBorders>
              <w:top w:val="single" w:sz="4" w:space="0" w:color="auto"/>
              <w:left w:val="nil"/>
              <w:bottom w:val="nil"/>
              <w:right w:val="nil"/>
            </w:tcBorders>
            <w:shd w:val="clear" w:color="auto" w:fill="auto"/>
            <w:vAlign w:val="bottom"/>
          </w:tcPr>
          <w:p w14:paraId="5D0DA51A"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lang w:val="es-ES_tradnl" w:eastAsia="en-US"/>
              </w:rPr>
            </w:pPr>
          </w:p>
        </w:tc>
        <w:tc>
          <w:tcPr>
            <w:tcW w:w="1656" w:type="dxa"/>
            <w:tcBorders>
              <w:top w:val="single" w:sz="4" w:space="0" w:color="auto"/>
              <w:left w:val="nil"/>
              <w:bottom w:val="nil"/>
              <w:right w:val="nil"/>
            </w:tcBorders>
            <w:shd w:val="clear" w:color="auto" w:fill="auto"/>
            <w:vAlign w:val="bottom"/>
          </w:tcPr>
          <w:p w14:paraId="6F83B4E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lang w:val="es-ES_tradnl" w:eastAsia="en-US"/>
              </w:rPr>
            </w:pPr>
          </w:p>
        </w:tc>
        <w:tc>
          <w:tcPr>
            <w:tcW w:w="837" w:type="dxa"/>
            <w:tcBorders>
              <w:top w:val="single" w:sz="4" w:space="0" w:color="auto"/>
              <w:left w:val="nil"/>
              <w:bottom w:val="nil"/>
              <w:right w:val="nil"/>
            </w:tcBorders>
            <w:shd w:val="clear" w:color="auto" w:fill="auto"/>
            <w:vAlign w:val="bottom"/>
          </w:tcPr>
          <w:p w14:paraId="2AC0EA2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lang w:val="es-ES_tradnl" w:eastAsia="en-US"/>
              </w:rPr>
            </w:pPr>
          </w:p>
        </w:tc>
        <w:tc>
          <w:tcPr>
            <w:tcW w:w="4050" w:type="dxa"/>
            <w:gridSpan w:val="5"/>
            <w:tcBorders>
              <w:top w:val="single" w:sz="4" w:space="0" w:color="auto"/>
              <w:left w:val="nil"/>
              <w:bottom w:val="single" w:sz="4" w:space="0" w:color="auto"/>
              <w:right w:val="nil"/>
            </w:tcBorders>
            <w:shd w:val="clear" w:color="auto" w:fill="auto"/>
            <w:vAlign w:val="bottom"/>
          </w:tcPr>
          <w:p w14:paraId="45E48069"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center"/>
              <w:rPr>
                <w:i/>
                <w:iCs/>
                <w:kern w:val="0"/>
                <w:sz w:val="14"/>
                <w:szCs w:val="14"/>
                <w:lang w:val="es-ES_tradnl" w:eastAsia="en-US"/>
              </w:rPr>
            </w:pPr>
            <w:r w:rsidRPr="004C49DE">
              <w:rPr>
                <w:i/>
                <w:iCs/>
                <w:kern w:val="0"/>
                <w:sz w:val="14"/>
                <w:szCs w:val="14"/>
                <w:lang w:val="es-ES_tradnl" w:eastAsia="en-US"/>
              </w:rPr>
              <w:t>Curso</w:t>
            </w:r>
          </w:p>
        </w:tc>
        <w:tc>
          <w:tcPr>
            <w:tcW w:w="810" w:type="dxa"/>
            <w:tcBorders>
              <w:top w:val="single" w:sz="4" w:space="0" w:color="auto"/>
              <w:left w:val="nil"/>
              <w:bottom w:val="nil"/>
              <w:right w:val="nil"/>
            </w:tcBorders>
            <w:shd w:val="clear" w:color="auto" w:fill="auto"/>
            <w:vAlign w:val="bottom"/>
          </w:tcPr>
          <w:p w14:paraId="6A1F2198"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lang w:val="es-ES_tradnl" w:eastAsia="en-US"/>
              </w:rPr>
            </w:pPr>
          </w:p>
        </w:tc>
        <w:tc>
          <w:tcPr>
            <w:tcW w:w="878" w:type="dxa"/>
            <w:tcBorders>
              <w:top w:val="single" w:sz="4" w:space="0" w:color="auto"/>
              <w:left w:val="nil"/>
              <w:bottom w:val="nil"/>
              <w:right w:val="nil"/>
            </w:tcBorders>
            <w:shd w:val="clear" w:color="auto" w:fill="auto"/>
            <w:vAlign w:val="bottom"/>
          </w:tcPr>
          <w:p w14:paraId="4758C22C"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lang w:val="es-ES_tradnl" w:eastAsia="en-US"/>
              </w:rPr>
            </w:pPr>
          </w:p>
        </w:tc>
      </w:tr>
      <w:tr w:rsidR="00AC6182" w:rsidRPr="004C49DE" w14:paraId="1644447A" w14:textId="77777777" w:rsidTr="008074D0">
        <w:trPr>
          <w:trHeight w:val="319"/>
          <w:tblHeader/>
        </w:trPr>
        <w:tc>
          <w:tcPr>
            <w:tcW w:w="380" w:type="dxa"/>
            <w:tcBorders>
              <w:top w:val="nil"/>
              <w:left w:val="nil"/>
              <w:bottom w:val="single" w:sz="12" w:space="0" w:color="auto"/>
              <w:right w:val="nil"/>
            </w:tcBorders>
            <w:shd w:val="clear" w:color="auto" w:fill="auto"/>
            <w:vAlign w:val="bottom"/>
          </w:tcPr>
          <w:p w14:paraId="1FDE18F4" w14:textId="3A4CDF55"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Núm</w:t>
            </w:r>
            <w:r w:rsidR="00BB7BBB" w:rsidRPr="004C49DE">
              <w:rPr>
                <w:i/>
                <w:iCs/>
                <w:kern w:val="0"/>
                <w:sz w:val="14"/>
                <w:szCs w:val="14"/>
                <w:lang w:val="es-ES_tradnl" w:eastAsia="en-US"/>
              </w:rPr>
              <w:t>.</w:t>
            </w:r>
          </w:p>
        </w:tc>
        <w:tc>
          <w:tcPr>
            <w:tcW w:w="1656" w:type="dxa"/>
            <w:tcBorders>
              <w:top w:val="nil"/>
              <w:left w:val="nil"/>
              <w:bottom w:val="single" w:sz="12" w:space="0" w:color="auto"/>
              <w:right w:val="nil"/>
            </w:tcBorders>
            <w:shd w:val="clear" w:color="auto" w:fill="auto"/>
            <w:vAlign w:val="bottom"/>
          </w:tcPr>
          <w:p w14:paraId="26700BA1"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Tipo de infracción</w:t>
            </w:r>
          </w:p>
        </w:tc>
        <w:tc>
          <w:tcPr>
            <w:tcW w:w="837" w:type="dxa"/>
            <w:tcBorders>
              <w:top w:val="nil"/>
              <w:left w:val="nil"/>
              <w:bottom w:val="single" w:sz="12" w:space="0" w:color="auto"/>
              <w:right w:val="nil"/>
            </w:tcBorders>
            <w:shd w:val="clear" w:color="auto" w:fill="auto"/>
            <w:vAlign w:val="bottom"/>
          </w:tcPr>
          <w:p w14:paraId="337AE1C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 xml:space="preserve">Cantidad de </w:t>
            </w:r>
            <w:r w:rsidR="00AC6182" w:rsidRPr="004C49DE">
              <w:rPr>
                <w:i/>
                <w:iCs/>
                <w:kern w:val="0"/>
                <w:sz w:val="14"/>
                <w:szCs w:val="14"/>
                <w:lang w:val="es-ES_tradnl" w:eastAsia="en-US"/>
              </w:rPr>
              <w:br/>
            </w:r>
            <w:r w:rsidRPr="004C49DE">
              <w:rPr>
                <w:i/>
                <w:iCs/>
                <w:kern w:val="0"/>
                <w:sz w:val="14"/>
                <w:szCs w:val="14"/>
                <w:lang w:val="es-ES_tradnl" w:eastAsia="en-US"/>
              </w:rPr>
              <w:t>casos de violencia registrados</w:t>
            </w:r>
          </w:p>
        </w:tc>
        <w:tc>
          <w:tcPr>
            <w:tcW w:w="945" w:type="dxa"/>
            <w:tcBorders>
              <w:left w:val="nil"/>
              <w:bottom w:val="single" w:sz="12" w:space="0" w:color="auto"/>
              <w:right w:val="nil"/>
            </w:tcBorders>
            <w:shd w:val="clear" w:color="auto" w:fill="auto"/>
            <w:vAlign w:val="bottom"/>
          </w:tcPr>
          <w:p w14:paraId="0C3545C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Desestimadas</w:t>
            </w:r>
          </w:p>
        </w:tc>
        <w:tc>
          <w:tcPr>
            <w:tcW w:w="702" w:type="dxa"/>
            <w:tcBorders>
              <w:left w:val="nil"/>
              <w:bottom w:val="single" w:sz="12" w:space="0" w:color="auto"/>
              <w:right w:val="nil"/>
            </w:tcBorders>
            <w:shd w:val="clear" w:color="auto" w:fill="auto"/>
            <w:vAlign w:val="bottom"/>
          </w:tcPr>
          <w:p w14:paraId="72C37228"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Flagrante delito</w:t>
            </w:r>
          </w:p>
        </w:tc>
        <w:tc>
          <w:tcPr>
            <w:tcW w:w="873" w:type="dxa"/>
            <w:tcBorders>
              <w:left w:val="nil"/>
              <w:bottom w:val="single" w:sz="12" w:space="0" w:color="auto"/>
              <w:right w:val="nil"/>
            </w:tcBorders>
            <w:shd w:val="clear" w:color="auto" w:fill="auto"/>
            <w:vAlign w:val="bottom"/>
          </w:tcPr>
          <w:p w14:paraId="4EFF5A92" w14:textId="23ED451A"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Info</w:t>
            </w:r>
            <w:r w:rsidR="00BB7BBB" w:rsidRPr="004C49DE">
              <w:rPr>
                <w:i/>
                <w:iCs/>
                <w:kern w:val="0"/>
                <w:sz w:val="14"/>
                <w:szCs w:val="14"/>
                <w:lang w:val="es-ES_tradnl" w:eastAsia="en-US"/>
              </w:rPr>
              <w:t>.</w:t>
            </w:r>
            <w:r w:rsidRPr="004C49DE">
              <w:rPr>
                <w:i/>
                <w:iCs/>
                <w:kern w:val="0"/>
                <w:sz w:val="14"/>
                <w:szCs w:val="14"/>
                <w:lang w:val="es-ES_tradnl" w:eastAsia="en-US"/>
              </w:rPr>
              <w:t xml:space="preserve"> juez de instrucción</w:t>
            </w:r>
          </w:p>
        </w:tc>
        <w:tc>
          <w:tcPr>
            <w:tcW w:w="810" w:type="dxa"/>
            <w:tcBorders>
              <w:left w:val="nil"/>
              <w:bottom w:val="single" w:sz="12" w:space="0" w:color="auto"/>
              <w:right w:val="nil"/>
            </w:tcBorders>
            <w:shd w:val="clear" w:color="auto" w:fill="auto"/>
            <w:vAlign w:val="bottom"/>
          </w:tcPr>
          <w:p w14:paraId="35427E90" w14:textId="441A67DD"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Info</w:t>
            </w:r>
            <w:r w:rsidR="00BB7BBB" w:rsidRPr="004C49DE">
              <w:rPr>
                <w:i/>
                <w:iCs/>
                <w:kern w:val="0"/>
                <w:sz w:val="14"/>
                <w:szCs w:val="14"/>
                <w:lang w:val="es-ES_tradnl" w:eastAsia="en-US"/>
              </w:rPr>
              <w:t>.</w:t>
            </w:r>
            <w:r w:rsidRPr="004C49DE">
              <w:rPr>
                <w:i/>
                <w:iCs/>
                <w:kern w:val="0"/>
                <w:sz w:val="14"/>
                <w:szCs w:val="14"/>
                <w:lang w:val="es-ES_tradnl" w:eastAsia="en-US"/>
              </w:rPr>
              <w:t xml:space="preserve"> juez </w:t>
            </w:r>
            <w:r w:rsidR="00784AA2" w:rsidRPr="004C49DE">
              <w:rPr>
                <w:i/>
                <w:iCs/>
                <w:kern w:val="0"/>
                <w:sz w:val="14"/>
                <w:szCs w:val="14"/>
                <w:lang w:val="es-ES_tradnl" w:eastAsia="en-US"/>
              </w:rPr>
              <w:br/>
            </w:r>
            <w:r w:rsidRPr="004C49DE">
              <w:rPr>
                <w:i/>
                <w:iCs/>
                <w:kern w:val="0"/>
                <w:sz w:val="14"/>
                <w:szCs w:val="14"/>
                <w:lang w:val="es-ES_tradnl" w:eastAsia="en-US"/>
              </w:rPr>
              <w:t>de menores</w:t>
            </w:r>
          </w:p>
        </w:tc>
        <w:tc>
          <w:tcPr>
            <w:tcW w:w="720" w:type="dxa"/>
            <w:tcBorders>
              <w:left w:val="nil"/>
              <w:bottom w:val="single" w:sz="12" w:space="0" w:color="auto"/>
              <w:right w:val="nil"/>
            </w:tcBorders>
            <w:shd w:val="clear" w:color="auto" w:fill="auto"/>
            <w:vAlign w:val="bottom"/>
          </w:tcPr>
          <w:p w14:paraId="52FE26E3"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Citación directa</w:t>
            </w:r>
          </w:p>
        </w:tc>
        <w:tc>
          <w:tcPr>
            <w:tcW w:w="810" w:type="dxa"/>
            <w:tcBorders>
              <w:top w:val="nil"/>
              <w:left w:val="nil"/>
              <w:bottom w:val="single" w:sz="12" w:space="0" w:color="auto"/>
              <w:right w:val="nil"/>
            </w:tcBorders>
            <w:shd w:val="clear" w:color="auto" w:fill="auto"/>
            <w:vAlign w:val="bottom"/>
          </w:tcPr>
          <w:p w14:paraId="7B26C4BA"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 xml:space="preserve">Cantidad </w:t>
            </w:r>
            <w:r w:rsidR="00AC6182" w:rsidRPr="004C49DE">
              <w:rPr>
                <w:i/>
                <w:iCs/>
                <w:kern w:val="0"/>
                <w:sz w:val="14"/>
                <w:szCs w:val="14"/>
                <w:lang w:val="es-ES_tradnl" w:eastAsia="en-US"/>
              </w:rPr>
              <w:br/>
            </w:r>
            <w:r w:rsidRPr="004C49DE">
              <w:rPr>
                <w:i/>
                <w:iCs/>
                <w:kern w:val="0"/>
                <w:sz w:val="14"/>
                <w:szCs w:val="14"/>
                <w:lang w:val="es-ES_tradnl" w:eastAsia="en-US"/>
              </w:rPr>
              <w:t>de causas juzgadas</w:t>
            </w:r>
          </w:p>
        </w:tc>
        <w:tc>
          <w:tcPr>
            <w:tcW w:w="878" w:type="dxa"/>
            <w:tcBorders>
              <w:top w:val="nil"/>
              <w:left w:val="nil"/>
              <w:bottom w:val="single" w:sz="12" w:space="0" w:color="auto"/>
              <w:right w:val="nil"/>
            </w:tcBorders>
            <w:shd w:val="clear" w:color="auto" w:fill="auto"/>
            <w:vAlign w:val="bottom"/>
          </w:tcPr>
          <w:p w14:paraId="195613DA"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 xml:space="preserve">Cantidad </w:t>
            </w:r>
            <w:r w:rsidR="00AC6182" w:rsidRPr="004C49DE">
              <w:rPr>
                <w:i/>
                <w:iCs/>
                <w:kern w:val="0"/>
                <w:sz w:val="14"/>
                <w:szCs w:val="14"/>
                <w:lang w:val="es-ES_tradnl" w:eastAsia="en-US"/>
              </w:rPr>
              <w:br/>
            </w:r>
            <w:r w:rsidRPr="004C49DE">
              <w:rPr>
                <w:i/>
                <w:iCs/>
                <w:kern w:val="0"/>
                <w:sz w:val="14"/>
                <w:szCs w:val="14"/>
                <w:lang w:val="es-ES_tradnl" w:eastAsia="en-US"/>
              </w:rPr>
              <w:t>de causas pendientes</w:t>
            </w:r>
          </w:p>
        </w:tc>
      </w:tr>
      <w:tr w:rsidR="00AC6182" w:rsidRPr="004C49DE" w14:paraId="1E2F3E07" w14:textId="77777777" w:rsidTr="008074D0">
        <w:trPr>
          <w:trHeight w:hRule="exact" w:val="115"/>
          <w:tblHeader/>
        </w:trPr>
        <w:tc>
          <w:tcPr>
            <w:tcW w:w="380" w:type="dxa"/>
            <w:tcBorders>
              <w:top w:val="single" w:sz="12" w:space="0" w:color="auto"/>
              <w:left w:val="nil"/>
              <w:right w:val="nil"/>
            </w:tcBorders>
            <w:shd w:val="clear" w:color="auto" w:fill="auto"/>
            <w:vAlign w:val="bottom"/>
          </w:tcPr>
          <w:p w14:paraId="5403AB39" w14:textId="77777777" w:rsidR="00DA580D" w:rsidRPr="004C49DE" w:rsidRDefault="00DA580D" w:rsidP="00BB7BBB">
            <w:pPr>
              <w:suppressAutoHyphens w:val="0"/>
              <w:spacing w:before="40" w:after="80" w:line="210" w:lineRule="exact"/>
              <w:rPr>
                <w:bCs/>
                <w:kern w:val="0"/>
                <w:sz w:val="17"/>
                <w:szCs w:val="17"/>
                <w:lang w:val="es-ES_tradnl" w:eastAsia="en-US"/>
              </w:rPr>
            </w:pPr>
          </w:p>
        </w:tc>
        <w:tc>
          <w:tcPr>
            <w:tcW w:w="1656" w:type="dxa"/>
            <w:tcBorders>
              <w:top w:val="single" w:sz="12" w:space="0" w:color="auto"/>
              <w:left w:val="nil"/>
              <w:right w:val="nil"/>
            </w:tcBorders>
            <w:shd w:val="clear" w:color="auto" w:fill="auto"/>
            <w:vAlign w:val="bottom"/>
          </w:tcPr>
          <w:p w14:paraId="2BCC9EAC" w14:textId="77777777" w:rsidR="00DA580D" w:rsidRPr="004C49DE" w:rsidRDefault="00DA580D" w:rsidP="00BB7BBB">
            <w:pPr>
              <w:suppressAutoHyphens w:val="0"/>
              <w:spacing w:before="40" w:after="80" w:line="210" w:lineRule="exact"/>
              <w:rPr>
                <w:bCs/>
                <w:kern w:val="0"/>
                <w:sz w:val="17"/>
                <w:szCs w:val="17"/>
                <w:lang w:val="es-ES_tradnl" w:eastAsia="en-US"/>
              </w:rPr>
            </w:pPr>
          </w:p>
        </w:tc>
        <w:tc>
          <w:tcPr>
            <w:tcW w:w="837" w:type="dxa"/>
            <w:tcBorders>
              <w:top w:val="single" w:sz="12" w:space="0" w:color="auto"/>
              <w:left w:val="nil"/>
              <w:right w:val="nil"/>
            </w:tcBorders>
            <w:shd w:val="clear" w:color="auto" w:fill="auto"/>
            <w:vAlign w:val="bottom"/>
          </w:tcPr>
          <w:p w14:paraId="63EFF4B7" w14:textId="77777777" w:rsidR="00DA580D" w:rsidRPr="004C49DE" w:rsidRDefault="00DA580D" w:rsidP="00BB7BBB">
            <w:pPr>
              <w:suppressAutoHyphens w:val="0"/>
              <w:spacing w:before="40" w:after="80" w:line="210" w:lineRule="exact"/>
              <w:rPr>
                <w:bCs/>
                <w:kern w:val="0"/>
                <w:sz w:val="17"/>
                <w:szCs w:val="17"/>
                <w:lang w:val="es-ES_tradnl" w:eastAsia="en-US"/>
              </w:rPr>
            </w:pPr>
          </w:p>
        </w:tc>
        <w:tc>
          <w:tcPr>
            <w:tcW w:w="945" w:type="dxa"/>
            <w:tcBorders>
              <w:top w:val="single" w:sz="12" w:space="0" w:color="auto"/>
              <w:left w:val="nil"/>
              <w:right w:val="nil"/>
            </w:tcBorders>
            <w:shd w:val="clear" w:color="auto" w:fill="auto"/>
            <w:vAlign w:val="bottom"/>
          </w:tcPr>
          <w:p w14:paraId="078BEE38" w14:textId="77777777" w:rsidR="00DA580D" w:rsidRPr="004C49DE" w:rsidRDefault="00DA580D" w:rsidP="00BB7BBB">
            <w:pPr>
              <w:suppressAutoHyphens w:val="0"/>
              <w:spacing w:before="40" w:after="80" w:line="210" w:lineRule="exact"/>
              <w:ind w:right="113"/>
              <w:rPr>
                <w:bCs/>
                <w:kern w:val="0"/>
                <w:sz w:val="17"/>
                <w:szCs w:val="17"/>
                <w:lang w:val="es-ES_tradnl" w:eastAsia="en-US"/>
              </w:rPr>
            </w:pPr>
          </w:p>
        </w:tc>
        <w:tc>
          <w:tcPr>
            <w:tcW w:w="702" w:type="dxa"/>
            <w:tcBorders>
              <w:top w:val="single" w:sz="12" w:space="0" w:color="auto"/>
              <w:left w:val="nil"/>
              <w:right w:val="nil"/>
            </w:tcBorders>
            <w:shd w:val="clear" w:color="auto" w:fill="auto"/>
            <w:vAlign w:val="bottom"/>
          </w:tcPr>
          <w:p w14:paraId="1E3E96BD" w14:textId="77777777" w:rsidR="00DA580D" w:rsidRPr="004C49DE" w:rsidRDefault="00DA580D" w:rsidP="00BB7BBB">
            <w:pPr>
              <w:suppressAutoHyphens w:val="0"/>
              <w:spacing w:before="40" w:after="80" w:line="210" w:lineRule="exact"/>
              <w:ind w:right="113"/>
              <w:rPr>
                <w:bCs/>
                <w:kern w:val="0"/>
                <w:sz w:val="17"/>
                <w:szCs w:val="17"/>
                <w:lang w:val="es-ES_tradnl" w:eastAsia="en-US"/>
              </w:rPr>
            </w:pPr>
          </w:p>
        </w:tc>
        <w:tc>
          <w:tcPr>
            <w:tcW w:w="873" w:type="dxa"/>
            <w:tcBorders>
              <w:top w:val="single" w:sz="12" w:space="0" w:color="auto"/>
              <w:left w:val="nil"/>
              <w:right w:val="nil"/>
            </w:tcBorders>
            <w:shd w:val="clear" w:color="auto" w:fill="auto"/>
            <w:vAlign w:val="bottom"/>
          </w:tcPr>
          <w:p w14:paraId="62299392" w14:textId="77777777" w:rsidR="00DA580D" w:rsidRPr="004C49DE" w:rsidRDefault="00DA580D" w:rsidP="00BB7BBB">
            <w:pPr>
              <w:suppressAutoHyphens w:val="0"/>
              <w:spacing w:before="40" w:after="80" w:line="210" w:lineRule="exact"/>
              <w:ind w:right="113"/>
              <w:rPr>
                <w:bCs/>
                <w:kern w:val="0"/>
                <w:sz w:val="17"/>
                <w:szCs w:val="17"/>
                <w:lang w:val="es-ES_tradnl" w:eastAsia="en-US"/>
              </w:rPr>
            </w:pPr>
          </w:p>
        </w:tc>
        <w:tc>
          <w:tcPr>
            <w:tcW w:w="810" w:type="dxa"/>
            <w:tcBorders>
              <w:top w:val="single" w:sz="12" w:space="0" w:color="auto"/>
              <w:left w:val="nil"/>
              <w:right w:val="nil"/>
            </w:tcBorders>
            <w:shd w:val="clear" w:color="auto" w:fill="auto"/>
            <w:vAlign w:val="bottom"/>
          </w:tcPr>
          <w:p w14:paraId="700F29BE" w14:textId="77777777" w:rsidR="00DA580D" w:rsidRPr="004C49DE" w:rsidRDefault="00DA580D" w:rsidP="00BB7BBB">
            <w:pPr>
              <w:suppressAutoHyphens w:val="0"/>
              <w:spacing w:before="40" w:after="80" w:line="210" w:lineRule="exact"/>
              <w:ind w:right="113"/>
              <w:rPr>
                <w:bCs/>
                <w:kern w:val="0"/>
                <w:sz w:val="17"/>
                <w:szCs w:val="17"/>
                <w:lang w:val="es-ES_tradnl" w:eastAsia="en-US"/>
              </w:rPr>
            </w:pPr>
          </w:p>
        </w:tc>
        <w:tc>
          <w:tcPr>
            <w:tcW w:w="720" w:type="dxa"/>
            <w:tcBorders>
              <w:top w:val="single" w:sz="12" w:space="0" w:color="auto"/>
              <w:left w:val="nil"/>
              <w:right w:val="nil"/>
            </w:tcBorders>
            <w:shd w:val="clear" w:color="auto" w:fill="auto"/>
            <w:vAlign w:val="bottom"/>
          </w:tcPr>
          <w:p w14:paraId="10C158D6" w14:textId="77777777" w:rsidR="00DA580D" w:rsidRPr="004C49DE" w:rsidRDefault="00DA580D" w:rsidP="00BB7BBB">
            <w:pPr>
              <w:suppressAutoHyphens w:val="0"/>
              <w:spacing w:before="40" w:after="80" w:line="210" w:lineRule="exact"/>
              <w:ind w:right="113"/>
              <w:rPr>
                <w:bCs/>
                <w:kern w:val="0"/>
                <w:sz w:val="17"/>
                <w:szCs w:val="17"/>
                <w:lang w:val="es-ES_tradnl" w:eastAsia="en-US"/>
              </w:rPr>
            </w:pPr>
          </w:p>
        </w:tc>
        <w:tc>
          <w:tcPr>
            <w:tcW w:w="810" w:type="dxa"/>
            <w:tcBorders>
              <w:top w:val="single" w:sz="12" w:space="0" w:color="auto"/>
              <w:left w:val="nil"/>
              <w:right w:val="nil"/>
            </w:tcBorders>
            <w:shd w:val="clear" w:color="auto" w:fill="auto"/>
            <w:vAlign w:val="bottom"/>
          </w:tcPr>
          <w:p w14:paraId="6479B220" w14:textId="77777777" w:rsidR="00DA580D" w:rsidRPr="004C49DE" w:rsidRDefault="00DA580D" w:rsidP="00BB7BBB">
            <w:pPr>
              <w:suppressAutoHyphens w:val="0"/>
              <w:spacing w:before="40" w:after="80" w:line="210" w:lineRule="exact"/>
              <w:rPr>
                <w:bCs/>
                <w:kern w:val="0"/>
                <w:sz w:val="17"/>
                <w:szCs w:val="17"/>
                <w:lang w:val="es-ES_tradnl" w:eastAsia="en-US"/>
              </w:rPr>
            </w:pPr>
          </w:p>
        </w:tc>
        <w:tc>
          <w:tcPr>
            <w:tcW w:w="878" w:type="dxa"/>
            <w:tcBorders>
              <w:top w:val="single" w:sz="12" w:space="0" w:color="auto"/>
              <w:left w:val="nil"/>
              <w:right w:val="nil"/>
            </w:tcBorders>
            <w:shd w:val="clear" w:color="auto" w:fill="auto"/>
            <w:vAlign w:val="bottom"/>
          </w:tcPr>
          <w:p w14:paraId="2BB37228" w14:textId="77777777" w:rsidR="00DA580D" w:rsidRPr="004C49DE" w:rsidRDefault="00DA580D" w:rsidP="00BB7BBB">
            <w:pPr>
              <w:suppressAutoHyphens w:val="0"/>
              <w:spacing w:before="40" w:after="80" w:line="210" w:lineRule="exact"/>
              <w:rPr>
                <w:bCs/>
                <w:kern w:val="0"/>
                <w:sz w:val="17"/>
                <w:szCs w:val="17"/>
                <w:lang w:val="es-ES_tradnl" w:eastAsia="en-US"/>
              </w:rPr>
            </w:pPr>
          </w:p>
        </w:tc>
      </w:tr>
      <w:tr w:rsidR="00AC6182" w:rsidRPr="004C49DE" w14:paraId="5FF19BAE" w14:textId="77777777" w:rsidTr="008074D0">
        <w:tc>
          <w:tcPr>
            <w:tcW w:w="380" w:type="dxa"/>
            <w:tcBorders>
              <w:left w:val="nil"/>
              <w:bottom w:val="nil"/>
              <w:right w:val="nil"/>
            </w:tcBorders>
            <w:shd w:val="clear" w:color="auto" w:fill="auto"/>
            <w:vAlign w:val="bottom"/>
          </w:tcPr>
          <w:p w14:paraId="156B4FB0"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1</w:t>
            </w:r>
          </w:p>
        </w:tc>
        <w:tc>
          <w:tcPr>
            <w:tcW w:w="1656" w:type="dxa"/>
            <w:tcBorders>
              <w:left w:val="nil"/>
              <w:bottom w:val="nil"/>
              <w:right w:val="nil"/>
            </w:tcBorders>
            <w:shd w:val="clear" w:color="auto" w:fill="auto"/>
            <w:vAlign w:val="bottom"/>
          </w:tcPr>
          <w:p w14:paraId="50DCCECE"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Violación</w:t>
            </w:r>
          </w:p>
        </w:tc>
        <w:tc>
          <w:tcPr>
            <w:tcW w:w="837" w:type="dxa"/>
            <w:tcBorders>
              <w:left w:val="nil"/>
              <w:bottom w:val="nil"/>
              <w:right w:val="nil"/>
            </w:tcBorders>
            <w:shd w:val="clear" w:color="auto" w:fill="auto"/>
            <w:vAlign w:val="bottom"/>
          </w:tcPr>
          <w:p w14:paraId="41F693B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13</w:t>
            </w:r>
          </w:p>
        </w:tc>
        <w:tc>
          <w:tcPr>
            <w:tcW w:w="945" w:type="dxa"/>
            <w:tcBorders>
              <w:left w:val="nil"/>
              <w:bottom w:val="nil"/>
              <w:right w:val="nil"/>
            </w:tcBorders>
            <w:shd w:val="clear" w:color="auto" w:fill="auto"/>
            <w:vAlign w:val="bottom"/>
          </w:tcPr>
          <w:p w14:paraId="2B8CEBDB"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702" w:type="dxa"/>
            <w:tcBorders>
              <w:left w:val="nil"/>
              <w:bottom w:val="nil"/>
              <w:right w:val="nil"/>
            </w:tcBorders>
            <w:shd w:val="clear" w:color="auto" w:fill="auto"/>
            <w:vAlign w:val="bottom"/>
          </w:tcPr>
          <w:p w14:paraId="58410261"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873" w:type="dxa"/>
            <w:tcBorders>
              <w:left w:val="nil"/>
              <w:bottom w:val="nil"/>
              <w:right w:val="nil"/>
            </w:tcBorders>
            <w:shd w:val="clear" w:color="auto" w:fill="auto"/>
            <w:vAlign w:val="bottom"/>
          </w:tcPr>
          <w:p w14:paraId="51052A90"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10</w:t>
            </w:r>
          </w:p>
        </w:tc>
        <w:tc>
          <w:tcPr>
            <w:tcW w:w="810" w:type="dxa"/>
            <w:tcBorders>
              <w:left w:val="nil"/>
              <w:bottom w:val="nil"/>
              <w:right w:val="nil"/>
            </w:tcBorders>
            <w:shd w:val="clear" w:color="auto" w:fill="auto"/>
            <w:vAlign w:val="bottom"/>
          </w:tcPr>
          <w:p w14:paraId="4E3EC2A9"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3</w:t>
            </w:r>
          </w:p>
        </w:tc>
        <w:tc>
          <w:tcPr>
            <w:tcW w:w="720" w:type="dxa"/>
            <w:tcBorders>
              <w:left w:val="nil"/>
              <w:bottom w:val="nil"/>
              <w:right w:val="nil"/>
            </w:tcBorders>
            <w:shd w:val="clear" w:color="auto" w:fill="auto"/>
            <w:vAlign w:val="bottom"/>
          </w:tcPr>
          <w:p w14:paraId="58BE99E5"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810" w:type="dxa"/>
            <w:tcBorders>
              <w:left w:val="nil"/>
              <w:bottom w:val="nil"/>
              <w:right w:val="nil"/>
            </w:tcBorders>
            <w:shd w:val="clear" w:color="auto" w:fill="auto"/>
            <w:vAlign w:val="bottom"/>
          </w:tcPr>
          <w:p w14:paraId="2322D17E"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w:t>
            </w:r>
          </w:p>
        </w:tc>
        <w:tc>
          <w:tcPr>
            <w:tcW w:w="878" w:type="dxa"/>
            <w:tcBorders>
              <w:left w:val="nil"/>
              <w:bottom w:val="nil"/>
              <w:right w:val="nil"/>
            </w:tcBorders>
            <w:shd w:val="clear" w:color="auto" w:fill="auto"/>
            <w:vAlign w:val="bottom"/>
          </w:tcPr>
          <w:p w14:paraId="09CB867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12</w:t>
            </w:r>
          </w:p>
        </w:tc>
      </w:tr>
      <w:tr w:rsidR="00AC6182" w:rsidRPr="004C49DE" w14:paraId="290FCA24" w14:textId="77777777" w:rsidTr="008074D0">
        <w:tc>
          <w:tcPr>
            <w:tcW w:w="380" w:type="dxa"/>
            <w:tcBorders>
              <w:top w:val="nil"/>
              <w:left w:val="nil"/>
              <w:bottom w:val="nil"/>
              <w:right w:val="nil"/>
            </w:tcBorders>
            <w:shd w:val="clear" w:color="auto" w:fill="auto"/>
            <w:vAlign w:val="bottom"/>
          </w:tcPr>
          <w:p w14:paraId="52EE3B00"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2</w:t>
            </w:r>
          </w:p>
        </w:tc>
        <w:tc>
          <w:tcPr>
            <w:tcW w:w="1656" w:type="dxa"/>
            <w:tcBorders>
              <w:top w:val="nil"/>
              <w:left w:val="nil"/>
              <w:bottom w:val="nil"/>
              <w:right w:val="nil"/>
            </w:tcBorders>
            <w:shd w:val="clear" w:color="auto" w:fill="auto"/>
            <w:vAlign w:val="bottom"/>
          </w:tcPr>
          <w:p w14:paraId="185A5235"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Ultraje al pudor</w:t>
            </w:r>
          </w:p>
        </w:tc>
        <w:tc>
          <w:tcPr>
            <w:tcW w:w="837" w:type="dxa"/>
            <w:tcBorders>
              <w:top w:val="nil"/>
              <w:left w:val="nil"/>
              <w:bottom w:val="nil"/>
              <w:right w:val="nil"/>
            </w:tcBorders>
            <w:shd w:val="clear" w:color="auto" w:fill="auto"/>
            <w:vAlign w:val="bottom"/>
          </w:tcPr>
          <w:p w14:paraId="5C10819C"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21</w:t>
            </w:r>
          </w:p>
        </w:tc>
        <w:tc>
          <w:tcPr>
            <w:tcW w:w="945" w:type="dxa"/>
            <w:tcBorders>
              <w:top w:val="nil"/>
              <w:left w:val="nil"/>
              <w:bottom w:val="nil"/>
              <w:right w:val="nil"/>
            </w:tcBorders>
            <w:shd w:val="clear" w:color="auto" w:fill="auto"/>
            <w:vAlign w:val="bottom"/>
          </w:tcPr>
          <w:p w14:paraId="00492D05"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702" w:type="dxa"/>
            <w:tcBorders>
              <w:top w:val="nil"/>
              <w:left w:val="nil"/>
              <w:bottom w:val="nil"/>
              <w:right w:val="nil"/>
            </w:tcBorders>
            <w:shd w:val="clear" w:color="auto" w:fill="auto"/>
            <w:vAlign w:val="bottom"/>
          </w:tcPr>
          <w:p w14:paraId="1250C926"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18</w:t>
            </w:r>
          </w:p>
        </w:tc>
        <w:tc>
          <w:tcPr>
            <w:tcW w:w="873" w:type="dxa"/>
            <w:tcBorders>
              <w:top w:val="nil"/>
              <w:left w:val="nil"/>
              <w:bottom w:val="nil"/>
              <w:right w:val="nil"/>
            </w:tcBorders>
            <w:shd w:val="clear" w:color="auto" w:fill="auto"/>
            <w:vAlign w:val="bottom"/>
          </w:tcPr>
          <w:p w14:paraId="4041705A"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2</w:t>
            </w:r>
          </w:p>
        </w:tc>
        <w:tc>
          <w:tcPr>
            <w:tcW w:w="810" w:type="dxa"/>
            <w:tcBorders>
              <w:top w:val="nil"/>
              <w:left w:val="nil"/>
              <w:bottom w:val="nil"/>
              <w:right w:val="nil"/>
            </w:tcBorders>
            <w:shd w:val="clear" w:color="auto" w:fill="auto"/>
            <w:vAlign w:val="bottom"/>
          </w:tcPr>
          <w:p w14:paraId="298001B9"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720" w:type="dxa"/>
            <w:tcBorders>
              <w:top w:val="nil"/>
              <w:left w:val="nil"/>
              <w:bottom w:val="nil"/>
              <w:right w:val="nil"/>
            </w:tcBorders>
            <w:shd w:val="clear" w:color="auto" w:fill="auto"/>
            <w:vAlign w:val="bottom"/>
          </w:tcPr>
          <w:p w14:paraId="2ECED7C5"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810" w:type="dxa"/>
            <w:tcBorders>
              <w:top w:val="nil"/>
              <w:left w:val="nil"/>
              <w:bottom w:val="nil"/>
              <w:right w:val="nil"/>
            </w:tcBorders>
            <w:shd w:val="clear" w:color="auto" w:fill="auto"/>
            <w:vAlign w:val="bottom"/>
          </w:tcPr>
          <w:p w14:paraId="503877EF"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19</w:t>
            </w:r>
          </w:p>
        </w:tc>
        <w:tc>
          <w:tcPr>
            <w:tcW w:w="878" w:type="dxa"/>
            <w:tcBorders>
              <w:top w:val="nil"/>
              <w:left w:val="nil"/>
              <w:bottom w:val="nil"/>
              <w:right w:val="nil"/>
            </w:tcBorders>
            <w:shd w:val="clear" w:color="auto" w:fill="auto"/>
            <w:vAlign w:val="bottom"/>
          </w:tcPr>
          <w:p w14:paraId="215DDDB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w:t>
            </w:r>
          </w:p>
        </w:tc>
      </w:tr>
      <w:tr w:rsidR="00AC6182" w:rsidRPr="004C49DE" w14:paraId="6A83C70E" w14:textId="77777777" w:rsidTr="008074D0">
        <w:tc>
          <w:tcPr>
            <w:tcW w:w="380" w:type="dxa"/>
            <w:tcBorders>
              <w:top w:val="nil"/>
              <w:left w:val="nil"/>
              <w:bottom w:val="nil"/>
              <w:right w:val="nil"/>
            </w:tcBorders>
            <w:shd w:val="clear" w:color="auto" w:fill="auto"/>
            <w:vAlign w:val="bottom"/>
          </w:tcPr>
          <w:p w14:paraId="5DCA88F0"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3</w:t>
            </w:r>
          </w:p>
        </w:tc>
        <w:tc>
          <w:tcPr>
            <w:tcW w:w="1656" w:type="dxa"/>
            <w:tcBorders>
              <w:top w:val="nil"/>
              <w:left w:val="nil"/>
              <w:bottom w:val="nil"/>
              <w:right w:val="nil"/>
            </w:tcBorders>
            <w:shd w:val="clear" w:color="auto" w:fill="auto"/>
            <w:vAlign w:val="bottom"/>
          </w:tcPr>
          <w:p w14:paraId="3DF4526D"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Secuestro de menores</w:t>
            </w:r>
          </w:p>
        </w:tc>
        <w:tc>
          <w:tcPr>
            <w:tcW w:w="837" w:type="dxa"/>
            <w:tcBorders>
              <w:top w:val="nil"/>
              <w:left w:val="nil"/>
              <w:bottom w:val="nil"/>
              <w:right w:val="nil"/>
            </w:tcBorders>
            <w:shd w:val="clear" w:color="auto" w:fill="auto"/>
            <w:vAlign w:val="bottom"/>
          </w:tcPr>
          <w:p w14:paraId="610B075F"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w:t>
            </w:r>
          </w:p>
        </w:tc>
        <w:tc>
          <w:tcPr>
            <w:tcW w:w="945" w:type="dxa"/>
            <w:tcBorders>
              <w:top w:val="nil"/>
              <w:left w:val="nil"/>
              <w:bottom w:val="nil"/>
              <w:right w:val="nil"/>
            </w:tcBorders>
            <w:shd w:val="clear" w:color="auto" w:fill="auto"/>
            <w:vAlign w:val="bottom"/>
          </w:tcPr>
          <w:p w14:paraId="7F26B74D"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2</w:t>
            </w:r>
          </w:p>
        </w:tc>
        <w:tc>
          <w:tcPr>
            <w:tcW w:w="702" w:type="dxa"/>
            <w:tcBorders>
              <w:top w:val="nil"/>
              <w:left w:val="nil"/>
              <w:bottom w:val="nil"/>
              <w:right w:val="nil"/>
            </w:tcBorders>
            <w:shd w:val="clear" w:color="auto" w:fill="auto"/>
            <w:vAlign w:val="bottom"/>
          </w:tcPr>
          <w:p w14:paraId="0B53057A"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1</w:t>
            </w:r>
          </w:p>
        </w:tc>
        <w:tc>
          <w:tcPr>
            <w:tcW w:w="873" w:type="dxa"/>
            <w:tcBorders>
              <w:top w:val="nil"/>
              <w:left w:val="nil"/>
              <w:bottom w:val="nil"/>
              <w:right w:val="nil"/>
            </w:tcBorders>
            <w:shd w:val="clear" w:color="auto" w:fill="auto"/>
            <w:vAlign w:val="bottom"/>
          </w:tcPr>
          <w:p w14:paraId="0B05E095"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810" w:type="dxa"/>
            <w:tcBorders>
              <w:top w:val="nil"/>
              <w:left w:val="nil"/>
              <w:bottom w:val="nil"/>
              <w:right w:val="nil"/>
            </w:tcBorders>
            <w:shd w:val="clear" w:color="auto" w:fill="auto"/>
            <w:vAlign w:val="bottom"/>
          </w:tcPr>
          <w:p w14:paraId="7B855DA3"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720" w:type="dxa"/>
            <w:tcBorders>
              <w:top w:val="nil"/>
              <w:left w:val="nil"/>
              <w:bottom w:val="nil"/>
              <w:right w:val="nil"/>
            </w:tcBorders>
            <w:shd w:val="clear" w:color="auto" w:fill="auto"/>
            <w:vAlign w:val="bottom"/>
          </w:tcPr>
          <w:p w14:paraId="4666282E"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810" w:type="dxa"/>
            <w:tcBorders>
              <w:top w:val="nil"/>
              <w:left w:val="nil"/>
              <w:bottom w:val="nil"/>
              <w:right w:val="nil"/>
            </w:tcBorders>
            <w:shd w:val="clear" w:color="auto" w:fill="auto"/>
            <w:vAlign w:val="bottom"/>
          </w:tcPr>
          <w:p w14:paraId="58205130"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w:t>
            </w:r>
          </w:p>
        </w:tc>
        <w:tc>
          <w:tcPr>
            <w:tcW w:w="878" w:type="dxa"/>
            <w:tcBorders>
              <w:top w:val="nil"/>
              <w:left w:val="nil"/>
              <w:bottom w:val="nil"/>
              <w:right w:val="nil"/>
            </w:tcBorders>
            <w:shd w:val="clear" w:color="auto" w:fill="auto"/>
            <w:vAlign w:val="bottom"/>
          </w:tcPr>
          <w:p w14:paraId="6AD78E87"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0</w:t>
            </w:r>
          </w:p>
        </w:tc>
      </w:tr>
      <w:tr w:rsidR="00AC6182" w:rsidRPr="004C49DE" w14:paraId="5C944497" w14:textId="77777777" w:rsidTr="008074D0">
        <w:tc>
          <w:tcPr>
            <w:tcW w:w="380" w:type="dxa"/>
            <w:tcBorders>
              <w:top w:val="nil"/>
              <w:left w:val="nil"/>
              <w:bottom w:val="single" w:sz="12" w:space="0" w:color="auto"/>
              <w:right w:val="nil"/>
            </w:tcBorders>
            <w:shd w:val="clear" w:color="auto" w:fill="auto"/>
            <w:vAlign w:val="bottom"/>
          </w:tcPr>
          <w:p w14:paraId="5C784138"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4</w:t>
            </w:r>
          </w:p>
        </w:tc>
        <w:tc>
          <w:tcPr>
            <w:tcW w:w="1656" w:type="dxa"/>
            <w:tcBorders>
              <w:top w:val="nil"/>
              <w:left w:val="nil"/>
              <w:bottom w:val="single" w:sz="12" w:space="0" w:color="auto"/>
              <w:right w:val="nil"/>
            </w:tcBorders>
            <w:shd w:val="clear" w:color="auto" w:fill="auto"/>
            <w:vAlign w:val="bottom"/>
          </w:tcPr>
          <w:p w14:paraId="0C6AF915"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Matrimonio forzado</w:t>
            </w:r>
          </w:p>
        </w:tc>
        <w:tc>
          <w:tcPr>
            <w:tcW w:w="837" w:type="dxa"/>
            <w:tcBorders>
              <w:top w:val="nil"/>
              <w:left w:val="nil"/>
              <w:bottom w:val="single" w:sz="12" w:space="0" w:color="auto"/>
              <w:right w:val="nil"/>
            </w:tcBorders>
            <w:shd w:val="clear" w:color="auto" w:fill="auto"/>
            <w:vAlign w:val="bottom"/>
          </w:tcPr>
          <w:p w14:paraId="7EE25824"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w:t>
            </w:r>
          </w:p>
        </w:tc>
        <w:tc>
          <w:tcPr>
            <w:tcW w:w="945" w:type="dxa"/>
            <w:tcBorders>
              <w:top w:val="nil"/>
              <w:left w:val="nil"/>
              <w:bottom w:val="single" w:sz="12" w:space="0" w:color="auto"/>
              <w:right w:val="nil"/>
            </w:tcBorders>
            <w:shd w:val="clear" w:color="auto" w:fill="auto"/>
            <w:vAlign w:val="bottom"/>
          </w:tcPr>
          <w:p w14:paraId="4C5C6226"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702" w:type="dxa"/>
            <w:tcBorders>
              <w:top w:val="nil"/>
              <w:left w:val="nil"/>
              <w:bottom w:val="single" w:sz="12" w:space="0" w:color="auto"/>
              <w:right w:val="nil"/>
            </w:tcBorders>
            <w:shd w:val="clear" w:color="auto" w:fill="auto"/>
            <w:vAlign w:val="bottom"/>
          </w:tcPr>
          <w:p w14:paraId="0F2E3C6D"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1</w:t>
            </w:r>
          </w:p>
        </w:tc>
        <w:tc>
          <w:tcPr>
            <w:tcW w:w="873" w:type="dxa"/>
            <w:tcBorders>
              <w:top w:val="nil"/>
              <w:left w:val="nil"/>
              <w:bottom w:val="single" w:sz="12" w:space="0" w:color="auto"/>
              <w:right w:val="nil"/>
            </w:tcBorders>
            <w:shd w:val="clear" w:color="auto" w:fill="auto"/>
            <w:vAlign w:val="bottom"/>
          </w:tcPr>
          <w:p w14:paraId="7BD0D54B"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810" w:type="dxa"/>
            <w:tcBorders>
              <w:top w:val="nil"/>
              <w:left w:val="nil"/>
              <w:bottom w:val="single" w:sz="12" w:space="0" w:color="auto"/>
              <w:right w:val="nil"/>
            </w:tcBorders>
            <w:shd w:val="clear" w:color="auto" w:fill="auto"/>
            <w:vAlign w:val="bottom"/>
          </w:tcPr>
          <w:p w14:paraId="1593AB30"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720" w:type="dxa"/>
            <w:tcBorders>
              <w:top w:val="nil"/>
              <w:left w:val="nil"/>
              <w:bottom w:val="single" w:sz="12" w:space="0" w:color="auto"/>
              <w:right w:val="nil"/>
            </w:tcBorders>
            <w:shd w:val="clear" w:color="auto" w:fill="auto"/>
            <w:vAlign w:val="bottom"/>
          </w:tcPr>
          <w:p w14:paraId="5D1B1D8A" w14:textId="77777777" w:rsidR="000C3123" w:rsidRPr="004C49DE" w:rsidRDefault="000C3123" w:rsidP="00BB7BBB">
            <w:pPr>
              <w:suppressAutoHyphens w:val="0"/>
              <w:spacing w:before="40" w:after="80" w:line="210" w:lineRule="exact"/>
              <w:ind w:right="113"/>
              <w:jc w:val="right"/>
              <w:rPr>
                <w:bCs/>
                <w:kern w:val="0"/>
                <w:sz w:val="17"/>
                <w:szCs w:val="17"/>
                <w:lang w:val="es-ES_tradnl" w:eastAsia="en-US"/>
              </w:rPr>
            </w:pPr>
            <w:r w:rsidRPr="004C49DE">
              <w:rPr>
                <w:bCs/>
                <w:kern w:val="0"/>
                <w:sz w:val="17"/>
                <w:szCs w:val="17"/>
                <w:lang w:val="es-ES_tradnl" w:eastAsia="en-US"/>
              </w:rPr>
              <w:t>0</w:t>
            </w:r>
          </w:p>
        </w:tc>
        <w:tc>
          <w:tcPr>
            <w:tcW w:w="810" w:type="dxa"/>
            <w:tcBorders>
              <w:top w:val="nil"/>
              <w:left w:val="nil"/>
              <w:bottom w:val="single" w:sz="12" w:space="0" w:color="auto"/>
              <w:right w:val="nil"/>
            </w:tcBorders>
            <w:shd w:val="clear" w:color="auto" w:fill="auto"/>
            <w:vAlign w:val="bottom"/>
          </w:tcPr>
          <w:p w14:paraId="74490D7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w:t>
            </w:r>
          </w:p>
        </w:tc>
        <w:tc>
          <w:tcPr>
            <w:tcW w:w="878" w:type="dxa"/>
            <w:tcBorders>
              <w:top w:val="nil"/>
              <w:left w:val="nil"/>
              <w:bottom w:val="single" w:sz="12" w:space="0" w:color="auto"/>
              <w:right w:val="nil"/>
            </w:tcBorders>
            <w:shd w:val="clear" w:color="auto" w:fill="auto"/>
            <w:vAlign w:val="bottom"/>
          </w:tcPr>
          <w:p w14:paraId="3195D83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0</w:t>
            </w:r>
          </w:p>
        </w:tc>
      </w:tr>
    </w:tbl>
    <w:p w14:paraId="3F183ECE" w14:textId="77777777" w:rsidR="001D41B0" w:rsidRPr="004C49DE" w:rsidRDefault="001D41B0" w:rsidP="00BB7BBB">
      <w:pPr>
        <w:pStyle w:val="SingleTxt"/>
        <w:suppressAutoHyphens w:val="0"/>
        <w:spacing w:after="0" w:line="120" w:lineRule="exact"/>
        <w:rPr>
          <w:sz w:val="10"/>
          <w:szCs w:val="10"/>
          <w:lang w:val="es-ES_tradnl"/>
        </w:rPr>
      </w:pPr>
    </w:p>
    <w:p w14:paraId="202E3888" w14:textId="1ADF50E1" w:rsidR="000C3123" w:rsidRPr="004C49DE" w:rsidRDefault="000C3123" w:rsidP="00BB7BBB">
      <w:pPr>
        <w:pStyle w:val="FootnoteText"/>
        <w:widowControl/>
        <w:tabs>
          <w:tab w:val="clear" w:pos="418"/>
          <w:tab w:val="right" w:pos="1476"/>
          <w:tab w:val="left" w:pos="1548"/>
          <w:tab w:val="right" w:pos="1836"/>
          <w:tab w:val="left" w:pos="1908"/>
        </w:tabs>
        <w:suppressAutoHyphens w:val="0"/>
        <w:ind w:left="1548" w:right="1065" w:hanging="289"/>
        <w:rPr>
          <w:i/>
          <w:w w:val="104"/>
          <w:kern w:val="0"/>
          <w:szCs w:val="22"/>
          <w:lang w:val="es-ES_tradnl" w:eastAsia="en-US"/>
        </w:rPr>
      </w:pPr>
      <w:r w:rsidRPr="004C49DE">
        <w:rPr>
          <w:i/>
          <w:w w:val="104"/>
          <w:kern w:val="0"/>
          <w:szCs w:val="22"/>
          <w:lang w:val="es-ES_tradnl" w:eastAsia="en-US"/>
        </w:rPr>
        <w:t>Fuente:</w:t>
      </w:r>
      <w:r w:rsidRPr="004C49DE">
        <w:rPr>
          <w:w w:val="104"/>
          <w:kern w:val="0"/>
          <w:szCs w:val="22"/>
          <w:lang w:val="es-ES_tradnl" w:eastAsia="en-US"/>
        </w:rPr>
        <w:t xml:space="preserve"> informe periódico de la Comisión Africana de Derechos Humanos y de los Pueblos (CADHP), 2016</w:t>
      </w:r>
      <w:r w:rsidR="00BB7BBB" w:rsidRPr="004C49DE">
        <w:rPr>
          <w:w w:val="104"/>
          <w:kern w:val="0"/>
          <w:szCs w:val="22"/>
          <w:lang w:val="es-ES_tradnl" w:eastAsia="en-US"/>
        </w:rPr>
        <w:t>.</w:t>
      </w:r>
    </w:p>
    <w:p w14:paraId="283B8F20" w14:textId="77777777" w:rsidR="001D41B0" w:rsidRPr="004C49DE" w:rsidRDefault="001D41B0" w:rsidP="00BB7BBB">
      <w:pPr>
        <w:pStyle w:val="SingleTxt"/>
        <w:suppressAutoHyphens w:val="0"/>
        <w:spacing w:after="0" w:line="120" w:lineRule="exact"/>
        <w:rPr>
          <w:sz w:val="10"/>
          <w:szCs w:val="10"/>
          <w:lang w:val="es-ES_tradnl"/>
        </w:rPr>
      </w:pPr>
    </w:p>
    <w:p w14:paraId="0FEE90AD" w14:textId="54F27801" w:rsidR="00731B97" w:rsidRPr="004C49DE" w:rsidRDefault="00731B97" w:rsidP="00BB7BBB">
      <w:pPr>
        <w:pStyle w:val="SingleTxt"/>
        <w:suppressAutoHyphens w:val="0"/>
        <w:spacing w:after="0" w:line="120" w:lineRule="exact"/>
        <w:rPr>
          <w:sz w:val="10"/>
          <w:szCs w:val="10"/>
          <w:lang w:val="es-ES_tradnl"/>
        </w:rPr>
      </w:pPr>
    </w:p>
    <w:p w14:paraId="74F299D9" w14:textId="77777777" w:rsidR="00AC5DFF" w:rsidRPr="004C49DE" w:rsidRDefault="00AC5DFF" w:rsidP="00BB7BBB">
      <w:pPr>
        <w:pStyle w:val="SingleTxt"/>
        <w:suppressAutoHyphens w:val="0"/>
        <w:spacing w:after="0" w:line="120" w:lineRule="exact"/>
        <w:rPr>
          <w:sz w:val="10"/>
          <w:szCs w:val="10"/>
          <w:lang w:val="es-ES_tradnl"/>
        </w:rPr>
      </w:pPr>
    </w:p>
    <w:p w14:paraId="4E30EC5A" w14:textId="77777777" w:rsidR="000C3123" w:rsidRPr="004C49DE" w:rsidRDefault="000C3123" w:rsidP="007F0F3A">
      <w:pPr>
        <w:pStyle w:val="H23"/>
        <w:keepNext w:val="0"/>
        <w:keepLines w:val="0"/>
        <w:suppressAutoHyphens w:val="0"/>
        <w:ind w:right="3820"/>
        <w:rPr>
          <w:bCs w:val="0"/>
          <w:lang w:val="es-ES_tradnl" w:eastAsia="en-US"/>
        </w:rPr>
      </w:pPr>
      <w:r w:rsidRPr="004C49DE">
        <w:rPr>
          <w:bCs w:val="0"/>
          <w:lang w:val="es-ES_tradnl" w:eastAsia="en-US"/>
        </w:rPr>
        <w:tab/>
      </w:r>
      <w:r w:rsidRPr="004C49DE">
        <w:rPr>
          <w:bCs w:val="0"/>
          <w:lang w:val="es-ES_tradnl" w:eastAsia="en-US"/>
        </w:rPr>
        <w:tab/>
        <w:t>Violencia contra la mujer en situaciones de conflicto y de consolidación de la paz</w:t>
      </w:r>
    </w:p>
    <w:p w14:paraId="45E818AE" w14:textId="77777777" w:rsidR="001D41B0" w:rsidRPr="004C49DE" w:rsidRDefault="001D41B0" w:rsidP="007F0F3A">
      <w:pPr>
        <w:pStyle w:val="SingleTxt"/>
        <w:suppressAutoHyphens w:val="0"/>
        <w:spacing w:after="0" w:line="120" w:lineRule="exact"/>
        <w:rPr>
          <w:sz w:val="10"/>
          <w:szCs w:val="10"/>
          <w:lang w:val="es-ES_tradnl"/>
        </w:rPr>
      </w:pPr>
    </w:p>
    <w:p w14:paraId="740798D5" w14:textId="0B114194" w:rsidR="000C3123" w:rsidRPr="004C49DE" w:rsidRDefault="000C3123" w:rsidP="007F0F3A">
      <w:pPr>
        <w:pStyle w:val="SingleTxt"/>
        <w:numPr>
          <w:ilvl w:val="0"/>
          <w:numId w:val="6"/>
        </w:numPr>
        <w:suppressAutoHyphens w:val="0"/>
        <w:ind w:left="1267" w:firstLine="0"/>
        <w:rPr>
          <w:b/>
          <w:szCs w:val="22"/>
          <w:lang w:val="es-ES_tradnl" w:eastAsia="en-US"/>
        </w:rPr>
      </w:pPr>
      <w:r w:rsidRPr="004C49DE">
        <w:rPr>
          <w:b/>
          <w:szCs w:val="22"/>
          <w:lang w:val="es-ES_tradnl" w:eastAsia="en-US"/>
        </w:rPr>
        <w:t>Velar por que los autores de las violaciones de los derechos humanos de</w:t>
      </w:r>
      <w:r w:rsidR="001A14E9" w:rsidRPr="004C49DE">
        <w:rPr>
          <w:b/>
          <w:szCs w:val="22"/>
          <w:lang w:val="es-ES_tradnl" w:eastAsia="en-US"/>
        </w:rPr>
        <w:t xml:space="preserve"> </w:t>
      </w:r>
      <w:r w:rsidRPr="004C49DE">
        <w:rPr>
          <w:b/>
          <w:szCs w:val="22"/>
          <w:lang w:val="es-ES_tradnl" w:eastAsia="en-US"/>
        </w:rPr>
        <w:t>las</w:t>
      </w:r>
      <w:r w:rsidR="001A14E9" w:rsidRPr="004C49DE">
        <w:rPr>
          <w:b/>
          <w:szCs w:val="22"/>
          <w:lang w:val="es-ES_tradnl" w:eastAsia="en-US"/>
        </w:rPr>
        <w:t xml:space="preserve"> </w:t>
      </w:r>
      <w:r w:rsidRPr="004C49DE">
        <w:rPr>
          <w:b/>
          <w:szCs w:val="22"/>
          <w:lang w:val="es-ES_tradnl" w:eastAsia="en-US"/>
        </w:rPr>
        <w:t xml:space="preserve">mujeres cometidas durante la crisis posterior a las elecciones sean enjuiciados y por que todos los actos de violencia sexual sean castigados (véase </w:t>
      </w:r>
      <w:hyperlink r:id="rId5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a))</w:t>
      </w:r>
      <w:r w:rsidR="00BB7BBB" w:rsidRPr="004C49DE">
        <w:rPr>
          <w:b/>
          <w:szCs w:val="22"/>
          <w:lang w:val="es-ES_tradnl" w:eastAsia="en-US"/>
        </w:rPr>
        <w:t>.</w:t>
      </w:r>
    </w:p>
    <w:p w14:paraId="1C6486E1" w14:textId="683AAE65" w:rsidR="00BB7BBB" w:rsidRPr="004C49DE" w:rsidRDefault="000C3123" w:rsidP="007F0F3A">
      <w:pPr>
        <w:pStyle w:val="SingleTxt"/>
        <w:numPr>
          <w:ilvl w:val="0"/>
          <w:numId w:val="6"/>
        </w:numPr>
        <w:suppressAutoHyphens w:val="0"/>
        <w:ind w:left="1267" w:firstLine="0"/>
        <w:rPr>
          <w:spacing w:val="2"/>
          <w:szCs w:val="22"/>
          <w:lang w:val="es-ES_tradnl" w:eastAsia="en-US"/>
        </w:rPr>
      </w:pPr>
      <w:r w:rsidRPr="004C49DE">
        <w:rPr>
          <w:spacing w:val="2"/>
          <w:szCs w:val="22"/>
          <w:lang w:val="es-ES_tradnl" w:eastAsia="en-US"/>
        </w:rPr>
        <w:t>Dos (2) dirigentes políticos de Côte d</w:t>
      </w:r>
      <w:r w:rsidR="004C49DE">
        <w:rPr>
          <w:spacing w:val="2"/>
          <w:szCs w:val="22"/>
          <w:lang w:val="es-ES_tradnl" w:eastAsia="en-US"/>
        </w:rPr>
        <w:t>’</w:t>
      </w:r>
      <w:r w:rsidRPr="004C49DE">
        <w:rPr>
          <w:spacing w:val="2"/>
          <w:szCs w:val="22"/>
          <w:lang w:val="es-ES_tradnl" w:eastAsia="en-US"/>
        </w:rPr>
        <w:t>Ivoire han sido llevados ante la Corte Penal Internacional (CPI)</w:t>
      </w:r>
      <w:r w:rsidR="00BB7BBB" w:rsidRPr="004C49DE">
        <w:rPr>
          <w:spacing w:val="2"/>
          <w:szCs w:val="22"/>
          <w:lang w:val="es-ES_tradnl" w:eastAsia="en-US"/>
        </w:rPr>
        <w:t>.</w:t>
      </w:r>
      <w:r w:rsidRPr="004C49DE">
        <w:rPr>
          <w:spacing w:val="2"/>
          <w:szCs w:val="22"/>
          <w:lang w:val="es-ES_tradnl" w:eastAsia="en-US"/>
        </w:rPr>
        <w:t xml:space="preserve"> El juicio está en curso y una de las acusaciones formuladas contra ellos son los actos de violencia sexual cometidos contra las mujeres durante la crisis </w:t>
      </w:r>
      <w:r w:rsidRPr="004C49DE">
        <w:rPr>
          <w:spacing w:val="2"/>
          <w:szCs w:val="22"/>
          <w:lang w:val="es-ES_tradnl" w:eastAsia="en-US"/>
        </w:rPr>
        <w:lastRenderedPageBreak/>
        <w:t>posterior a las elecciones</w:t>
      </w:r>
      <w:r w:rsidR="00BB7BBB" w:rsidRPr="004C49DE">
        <w:rPr>
          <w:spacing w:val="2"/>
          <w:szCs w:val="22"/>
          <w:lang w:val="es-ES_tradnl" w:eastAsia="en-US"/>
        </w:rPr>
        <w:t>.</w:t>
      </w:r>
      <w:r w:rsidRPr="004C49DE">
        <w:rPr>
          <w:spacing w:val="2"/>
          <w:szCs w:val="22"/>
          <w:lang w:val="es-ES_tradnl" w:eastAsia="en-US"/>
        </w:rPr>
        <w:t xml:space="preserve"> Los responsables del ejército de Côte d</w:t>
      </w:r>
      <w:r w:rsidR="004C49DE">
        <w:rPr>
          <w:spacing w:val="2"/>
          <w:szCs w:val="22"/>
          <w:lang w:val="es-ES_tradnl" w:eastAsia="en-US"/>
        </w:rPr>
        <w:t>’</w:t>
      </w:r>
      <w:r w:rsidRPr="004C49DE">
        <w:rPr>
          <w:spacing w:val="2"/>
          <w:szCs w:val="22"/>
          <w:lang w:val="es-ES_tradnl" w:eastAsia="en-US"/>
        </w:rPr>
        <w:t>Ivoire, que no han logrado establecer una cadena de mando en la rendición de cuentas de los autores de violaciones, tras un proceso de desarrollo de la capacidad sobre el problema de las violaciones en los conflictos, con el apoyo de la Oficina de la Representante Especial del Secretario General de las Naciones Unidas sobre la Violencia Sexual en los Conflictos y del Centro Internacional Kofi Annan de Capacitación en Mantenimiento de la Paz, se han comprometido a mejorar el seguimiento de la situación</w:t>
      </w:r>
      <w:r w:rsidR="00BB7BBB" w:rsidRPr="004C49DE">
        <w:rPr>
          <w:spacing w:val="2"/>
          <w:szCs w:val="22"/>
          <w:lang w:val="es-ES_tradnl" w:eastAsia="en-US"/>
        </w:rPr>
        <w:t>.</w:t>
      </w:r>
    </w:p>
    <w:p w14:paraId="438D50FA" w14:textId="300D8D87"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Iniciar una investigación exhaustiva y completa de la violencia y los abusos sexuales cometidos por las fuerzas de defensa y de seguridad y sus aliados (milicias y mercenarios), las Fuerzas Republicanas de Côte d</w:t>
      </w:r>
      <w:r w:rsidR="004C49DE">
        <w:rPr>
          <w:b/>
          <w:szCs w:val="22"/>
          <w:lang w:val="es-ES_tradnl" w:eastAsia="en-US"/>
        </w:rPr>
        <w:t>’</w:t>
      </w:r>
      <w:r w:rsidRPr="004C49DE">
        <w:rPr>
          <w:b/>
          <w:szCs w:val="22"/>
          <w:lang w:val="es-ES_tradnl" w:eastAsia="en-US"/>
        </w:rPr>
        <w:t xml:space="preserve">Ivoire (FRCI) y los agentes privados durante la crisis posterior a las elecciones, garantizando que las averiguaciones se realicen de manera cabal, imparcial y transparente; y pedir a las Naciones Unidas que se cercioren de que los miembros de la ONUCI sospechosos de haber cometido explotación y abusos sexuales sean devueltos al Estado de origen, con la petición de que se investiguen estos hechos y se enjuicie a los autores a nivel nacional (véase </w:t>
      </w:r>
      <w:hyperlink r:id="rId52"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b))</w:t>
      </w:r>
      <w:r w:rsidR="00BB7BBB" w:rsidRPr="004C49DE">
        <w:rPr>
          <w:b/>
          <w:szCs w:val="22"/>
          <w:lang w:val="es-ES_tradnl" w:eastAsia="en-US"/>
        </w:rPr>
        <w:t>.</w:t>
      </w:r>
    </w:p>
    <w:p w14:paraId="1F686BAD" w14:textId="49F07103"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pacing w:val="2"/>
          <w:szCs w:val="22"/>
          <w:lang w:val="es-ES_tradnl" w:eastAsia="en-US"/>
        </w:rPr>
        <w:t>Los informes de investigación de diferentes ONG de derechos humanos, como Action pour la Protection des Droits de l</w:t>
      </w:r>
      <w:r w:rsidR="004C49DE">
        <w:rPr>
          <w:spacing w:val="2"/>
          <w:szCs w:val="22"/>
          <w:lang w:val="es-ES_tradnl" w:eastAsia="en-US"/>
        </w:rPr>
        <w:t>’</w:t>
      </w:r>
      <w:r w:rsidRPr="004C49DE">
        <w:rPr>
          <w:spacing w:val="2"/>
          <w:szCs w:val="22"/>
          <w:lang w:val="es-ES_tradnl" w:eastAsia="en-US"/>
        </w:rPr>
        <w:t>Homme (APDH) y Regroupement des Acteurs Ivoiriens des Droits Humains (RAIDH), han presentado hechos recabados mediante testimonios, confesiones, fotografías, constataciones, estudios sobre el terreno y análisis</w:t>
      </w:r>
      <w:r w:rsidR="00BB7BBB" w:rsidRPr="004C49DE">
        <w:rPr>
          <w:spacing w:val="2"/>
          <w:szCs w:val="22"/>
          <w:lang w:val="es-ES_tradnl" w:eastAsia="en-US"/>
        </w:rPr>
        <w:t>.</w:t>
      </w:r>
      <w:r w:rsidRPr="004C49DE">
        <w:rPr>
          <w:spacing w:val="2"/>
          <w:szCs w:val="22"/>
          <w:lang w:val="es-ES_tradnl" w:eastAsia="en-US"/>
        </w:rPr>
        <w:t xml:space="preserve"> La información obtenida se combinó con otros elementos externos, como los informes y comunicados de ONG internacionales, por ejemplo, Amnistía Internacional, Human Rights Watch y la Federación Internacional de los Derechos Humanos, junto con los informes parciales de otras ONG nacionales</w:t>
      </w:r>
      <w:r w:rsidR="00BB7BBB" w:rsidRPr="004C49DE">
        <w:rPr>
          <w:spacing w:val="2"/>
          <w:szCs w:val="22"/>
          <w:lang w:val="es-ES_tradnl" w:eastAsia="en-US"/>
        </w:rPr>
        <w:t>.</w:t>
      </w:r>
      <w:r w:rsidRPr="004C49DE">
        <w:rPr>
          <w:spacing w:val="2"/>
          <w:szCs w:val="22"/>
          <w:lang w:val="es-ES_tradnl" w:eastAsia="en-US"/>
        </w:rPr>
        <w:t xml:space="preserve"> Estos informes muestran claramente que todas las partes en el conflicto cometieron crímenes con relación al derecho internacional, en particular crímenes de guerra y crímenes de lesa humanidad</w:t>
      </w:r>
      <w:r w:rsidR="00BB7BBB" w:rsidRPr="004C49DE">
        <w:rPr>
          <w:szCs w:val="22"/>
          <w:lang w:val="es-ES_tradnl" w:eastAsia="en-US"/>
        </w:rPr>
        <w:t>.</w:t>
      </w:r>
    </w:p>
    <w:p w14:paraId="03F7920F" w14:textId="72164448"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Entre la información reunida a partir de las medidas conjuntas adoptadas por el Tribunal Militar de Abiyán y el componente de policía de la ONUCI, destaca que, entre 2013 y 2015, se registraron 1</w:t>
      </w:r>
      <w:r w:rsidR="00BB7BBB" w:rsidRPr="004C49DE">
        <w:rPr>
          <w:szCs w:val="22"/>
          <w:lang w:val="es-ES_tradnl" w:eastAsia="en-US"/>
        </w:rPr>
        <w:t>.</w:t>
      </w:r>
      <w:r w:rsidRPr="004C49DE">
        <w:rPr>
          <w:szCs w:val="22"/>
          <w:lang w:val="es-ES_tradnl" w:eastAsia="en-US"/>
        </w:rPr>
        <w:t>108 casos de violencia por razón de género</w:t>
      </w:r>
      <w:r w:rsidR="00BB7BBB" w:rsidRPr="004C49DE">
        <w:rPr>
          <w:szCs w:val="22"/>
          <w:lang w:val="es-ES_tradnl" w:eastAsia="en-US"/>
        </w:rPr>
        <w:t>.</w:t>
      </w:r>
    </w:p>
    <w:p w14:paraId="4BAB047E" w14:textId="40963080"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Tribunal Militar de Abiyán, los incidentes de violencia por razón de género identificados ascienden a 548, al tiempo que se contabilizaron 325 casos de violación en 2014 en colaboración con el componente de policía de la ONUCI</w:t>
      </w:r>
      <w:r w:rsidR="00BB7BBB" w:rsidRPr="004C49DE">
        <w:rPr>
          <w:szCs w:val="22"/>
          <w:lang w:val="es-ES_tradnl" w:eastAsia="en-US"/>
        </w:rPr>
        <w:t>.</w:t>
      </w:r>
      <w:r w:rsidRPr="004C49DE">
        <w:rPr>
          <w:szCs w:val="22"/>
          <w:lang w:val="es-ES_tradnl" w:eastAsia="en-US"/>
        </w:rPr>
        <w:t xml:space="preserve"> De esos incidentes, 30 se atribuyeron a las fuerzas de defensa y de seguridad, y 20, a las</w:t>
      </w:r>
      <w:r w:rsidR="001A14E9" w:rsidRPr="004C49DE">
        <w:rPr>
          <w:szCs w:val="22"/>
          <w:lang w:val="es-ES_tradnl" w:eastAsia="en-US"/>
        </w:rPr>
        <w:t xml:space="preserve"> </w:t>
      </w:r>
      <w:r w:rsidRPr="004C49DE">
        <w:rPr>
          <w:szCs w:val="22"/>
          <w:lang w:val="es-ES_tradnl" w:eastAsia="en-US"/>
        </w:rPr>
        <w:t>FRCI</w:t>
      </w:r>
      <w:r w:rsidR="00BB7BBB" w:rsidRPr="004C49DE">
        <w:rPr>
          <w:szCs w:val="22"/>
          <w:lang w:val="es-ES_tradnl" w:eastAsia="en-US"/>
        </w:rPr>
        <w:t>.</w:t>
      </w:r>
      <w:r w:rsidRPr="004C49DE">
        <w:rPr>
          <w:szCs w:val="22"/>
          <w:lang w:val="es-ES_tradnl" w:eastAsia="en-US"/>
        </w:rPr>
        <w:t xml:space="preserve"> Se impusieron sanciones efectivas a los autores</w:t>
      </w:r>
      <w:r w:rsidR="00BB7BBB" w:rsidRPr="004C49DE">
        <w:rPr>
          <w:szCs w:val="22"/>
          <w:lang w:val="es-ES_tradnl" w:eastAsia="en-US"/>
        </w:rPr>
        <w:t>.</w:t>
      </w:r>
      <w:r w:rsidRPr="004C49DE">
        <w:rPr>
          <w:szCs w:val="22"/>
          <w:lang w:val="es-ES_tradnl" w:eastAsia="en-US"/>
        </w:rPr>
        <w:t xml:space="preserve"> Entre 2012 y 2015, se presentaron 6 denuncias, se iniciaron 6 procesos, se dictaron 5 sentencias y se ejecutaron 2 sentencias</w:t>
      </w:r>
      <w:r w:rsidR="00BB7BBB" w:rsidRPr="004C49DE">
        <w:rPr>
          <w:szCs w:val="22"/>
          <w:lang w:val="es-ES_tradnl" w:eastAsia="en-US"/>
        </w:rPr>
        <w:t>.</w:t>
      </w:r>
    </w:p>
    <w:p w14:paraId="7AD834B4" w14:textId="6E354C5C"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cuadro que figura a continuación se recogen las decisiones judiciales y los procedimientos iniciados entre 2012 y 2015</w:t>
      </w:r>
      <w:r w:rsidR="00BB7BBB" w:rsidRPr="004C49DE">
        <w:rPr>
          <w:szCs w:val="22"/>
          <w:lang w:val="es-ES_tradnl" w:eastAsia="en-US"/>
        </w:rPr>
        <w:t>.</w:t>
      </w:r>
    </w:p>
    <w:p w14:paraId="536AE2E9" w14:textId="77777777" w:rsidR="00731B97" w:rsidRPr="004C49DE" w:rsidRDefault="00731B97" w:rsidP="00BB7BBB">
      <w:pPr>
        <w:pStyle w:val="SingleTxt"/>
        <w:suppressAutoHyphens w:val="0"/>
        <w:spacing w:after="0" w:line="120" w:lineRule="exact"/>
        <w:rPr>
          <w:sz w:val="10"/>
          <w:szCs w:val="10"/>
          <w:lang w:val="es-ES_tradnl"/>
        </w:rPr>
      </w:pPr>
      <w:bookmarkStart w:id="13" w:name="_Toc435477352"/>
    </w:p>
    <w:p w14:paraId="468FF8DC" w14:textId="77777777" w:rsidR="000C3123" w:rsidRPr="004C49DE" w:rsidRDefault="00731B97" w:rsidP="00AC5DFF">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r>
      <w:r w:rsidR="000C3123" w:rsidRPr="004C49DE">
        <w:rPr>
          <w:b w:val="0"/>
          <w:bCs w:val="0"/>
          <w:lang w:val="es-ES_tradnl" w:eastAsia="en-US"/>
        </w:rPr>
        <w:t xml:space="preserve">Cuadro 4 </w:t>
      </w:r>
      <w:r w:rsidRPr="004C49DE">
        <w:rPr>
          <w:bCs w:val="0"/>
          <w:lang w:val="es-ES_tradnl" w:eastAsia="en-US"/>
        </w:rPr>
        <w:br/>
      </w:r>
      <w:r w:rsidR="000C3123" w:rsidRPr="004C49DE">
        <w:rPr>
          <w:bCs w:val="0"/>
          <w:lang w:val="es-ES_tradnl" w:eastAsia="en-US"/>
        </w:rPr>
        <w:t>Decisiones judiciales de 2012 a 2015</w:t>
      </w:r>
      <w:bookmarkEnd w:id="13"/>
    </w:p>
    <w:p w14:paraId="1C4ADF33" w14:textId="77777777" w:rsidR="00731B97" w:rsidRPr="004C49DE" w:rsidRDefault="00731B97" w:rsidP="00AC5DFF">
      <w:pPr>
        <w:pStyle w:val="SingleTxt"/>
        <w:suppressAutoHyphens w:val="0"/>
        <w:spacing w:after="0" w:line="120" w:lineRule="exact"/>
        <w:rPr>
          <w:sz w:val="10"/>
          <w:szCs w:val="10"/>
          <w:lang w:val="es-ES_tradnl"/>
        </w:rPr>
      </w:pPr>
    </w:p>
    <w:tbl>
      <w:tblPr>
        <w:tblW w:w="8611" w:type="dxa"/>
        <w:tblInd w:w="1267" w:type="dxa"/>
        <w:tblLayout w:type="fixed"/>
        <w:tblCellMar>
          <w:left w:w="0" w:type="dxa"/>
          <w:right w:w="43" w:type="dxa"/>
        </w:tblCellMar>
        <w:tblLook w:val="04A0" w:firstRow="1" w:lastRow="0" w:firstColumn="1" w:lastColumn="0" w:noHBand="0" w:noVBand="1"/>
      </w:tblPr>
      <w:tblGrid>
        <w:gridCol w:w="2093"/>
        <w:gridCol w:w="2220"/>
        <w:gridCol w:w="2460"/>
        <w:gridCol w:w="1838"/>
      </w:tblGrid>
      <w:tr w:rsidR="000C3123" w:rsidRPr="004C49DE" w14:paraId="1798B8BA" w14:textId="77777777" w:rsidTr="00EE3D98">
        <w:trPr>
          <w:tblHeader/>
        </w:trPr>
        <w:tc>
          <w:tcPr>
            <w:tcW w:w="2093" w:type="dxa"/>
            <w:tcBorders>
              <w:top w:val="single" w:sz="4" w:space="0" w:color="auto"/>
              <w:bottom w:val="single" w:sz="12" w:space="0" w:color="auto"/>
            </w:tcBorders>
            <w:shd w:val="clear" w:color="auto" w:fill="auto"/>
            <w:vAlign w:val="bottom"/>
          </w:tcPr>
          <w:p w14:paraId="7F6161BE" w14:textId="77777777" w:rsidR="000C3123" w:rsidRPr="004C49DE" w:rsidRDefault="000C3123" w:rsidP="00AC5D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Rango de los acusados</w:t>
            </w:r>
          </w:p>
        </w:tc>
        <w:tc>
          <w:tcPr>
            <w:tcW w:w="2220" w:type="dxa"/>
            <w:tcBorders>
              <w:top w:val="single" w:sz="4" w:space="0" w:color="auto"/>
              <w:bottom w:val="single" w:sz="12" w:space="0" w:color="auto"/>
            </w:tcBorders>
            <w:shd w:val="clear" w:color="auto" w:fill="auto"/>
            <w:vAlign w:val="bottom"/>
          </w:tcPr>
          <w:p w14:paraId="55EFBB65" w14:textId="77777777" w:rsidR="000C3123" w:rsidRPr="004C49DE" w:rsidRDefault="000C3123" w:rsidP="00AC5D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Infracciones enjuiciadas</w:t>
            </w:r>
          </w:p>
        </w:tc>
        <w:tc>
          <w:tcPr>
            <w:tcW w:w="2460" w:type="dxa"/>
            <w:tcBorders>
              <w:top w:val="single" w:sz="4" w:space="0" w:color="auto"/>
              <w:bottom w:val="single" w:sz="12" w:space="0" w:color="auto"/>
            </w:tcBorders>
            <w:shd w:val="clear" w:color="auto" w:fill="auto"/>
            <w:vAlign w:val="bottom"/>
          </w:tcPr>
          <w:p w14:paraId="68F4F7D1" w14:textId="77777777" w:rsidR="000C3123" w:rsidRPr="004C49DE" w:rsidRDefault="000C3123" w:rsidP="00AC5D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Sentencias dictadas</w:t>
            </w:r>
          </w:p>
        </w:tc>
        <w:tc>
          <w:tcPr>
            <w:tcW w:w="1838" w:type="dxa"/>
            <w:tcBorders>
              <w:top w:val="single" w:sz="4" w:space="0" w:color="auto"/>
              <w:bottom w:val="single" w:sz="12" w:space="0" w:color="auto"/>
            </w:tcBorders>
            <w:shd w:val="clear" w:color="auto" w:fill="auto"/>
            <w:vAlign w:val="bottom"/>
          </w:tcPr>
          <w:p w14:paraId="18D3FCDF" w14:textId="77777777" w:rsidR="000C3123" w:rsidRPr="004C49DE" w:rsidRDefault="000C3123" w:rsidP="00AC5D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Fecha</w:t>
            </w:r>
          </w:p>
        </w:tc>
      </w:tr>
      <w:tr w:rsidR="000C3123" w:rsidRPr="004C49DE" w14:paraId="2CC13EF4" w14:textId="77777777" w:rsidTr="002C3F23">
        <w:trPr>
          <w:trHeight w:hRule="exact" w:val="113"/>
          <w:tblHeader/>
        </w:trPr>
        <w:tc>
          <w:tcPr>
            <w:tcW w:w="2093" w:type="dxa"/>
            <w:shd w:val="clear" w:color="auto" w:fill="auto"/>
            <w:vAlign w:val="bottom"/>
          </w:tcPr>
          <w:p w14:paraId="58F37682" w14:textId="77777777" w:rsidR="000C3123" w:rsidRPr="004C49DE" w:rsidRDefault="000C3123" w:rsidP="00AC5DFF">
            <w:pPr>
              <w:suppressAutoHyphens w:val="0"/>
              <w:spacing w:before="80" w:after="80" w:line="200" w:lineRule="exact"/>
              <w:ind w:right="113"/>
              <w:rPr>
                <w:i/>
                <w:sz w:val="16"/>
                <w:lang w:val="es-ES_tradnl"/>
              </w:rPr>
            </w:pPr>
          </w:p>
        </w:tc>
        <w:tc>
          <w:tcPr>
            <w:tcW w:w="2220" w:type="dxa"/>
            <w:shd w:val="clear" w:color="auto" w:fill="auto"/>
            <w:vAlign w:val="bottom"/>
          </w:tcPr>
          <w:p w14:paraId="0F16493F" w14:textId="77777777" w:rsidR="000C3123" w:rsidRPr="004C49DE" w:rsidRDefault="000C3123" w:rsidP="00AC5DFF">
            <w:pPr>
              <w:suppressAutoHyphens w:val="0"/>
              <w:spacing w:before="80" w:after="80" w:line="200" w:lineRule="exact"/>
              <w:ind w:right="113"/>
              <w:rPr>
                <w:i/>
                <w:sz w:val="16"/>
                <w:lang w:val="es-ES_tradnl"/>
              </w:rPr>
            </w:pPr>
          </w:p>
        </w:tc>
        <w:tc>
          <w:tcPr>
            <w:tcW w:w="2460" w:type="dxa"/>
            <w:shd w:val="clear" w:color="auto" w:fill="auto"/>
            <w:vAlign w:val="bottom"/>
          </w:tcPr>
          <w:p w14:paraId="6504BE91" w14:textId="77777777" w:rsidR="000C3123" w:rsidRPr="004C49DE" w:rsidRDefault="000C3123" w:rsidP="00AC5DFF">
            <w:pPr>
              <w:suppressAutoHyphens w:val="0"/>
              <w:spacing w:before="80" w:after="80" w:line="200" w:lineRule="exact"/>
              <w:ind w:right="113"/>
              <w:rPr>
                <w:i/>
                <w:sz w:val="16"/>
                <w:lang w:val="es-ES_tradnl"/>
              </w:rPr>
            </w:pPr>
          </w:p>
        </w:tc>
        <w:tc>
          <w:tcPr>
            <w:tcW w:w="1838" w:type="dxa"/>
            <w:shd w:val="clear" w:color="auto" w:fill="auto"/>
            <w:vAlign w:val="bottom"/>
          </w:tcPr>
          <w:p w14:paraId="020FA1DD" w14:textId="77777777" w:rsidR="000C3123" w:rsidRPr="004C49DE" w:rsidRDefault="000C3123" w:rsidP="00AC5DFF">
            <w:pPr>
              <w:suppressAutoHyphens w:val="0"/>
              <w:spacing w:before="80" w:after="80" w:line="200" w:lineRule="exact"/>
              <w:ind w:right="113"/>
              <w:rPr>
                <w:i/>
                <w:sz w:val="16"/>
                <w:lang w:val="es-ES_tradnl"/>
              </w:rPr>
            </w:pPr>
          </w:p>
        </w:tc>
      </w:tr>
      <w:tr w:rsidR="000C3123" w:rsidRPr="004C49DE" w14:paraId="15EE1C86" w14:textId="77777777" w:rsidTr="00EE3D98">
        <w:tc>
          <w:tcPr>
            <w:tcW w:w="2093" w:type="dxa"/>
            <w:shd w:val="clear" w:color="auto" w:fill="auto"/>
          </w:tcPr>
          <w:p w14:paraId="0C98DBCE" w14:textId="77777777" w:rsidR="000C3123" w:rsidRPr="004C49DE" w:rsidRDefault="000C3123" w:rsidP="00AC5DFF">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Sargento/jefe de policía</w:t>
            </w:r>
          </w:p>
        </w:tc>
        <w:tc>
          <w:tcPr>
            <w:tcW w:w="2220" w:type="dxa"/>
            <w:shd w:val="clear" w:color="auto" w:fill="auto"/>
          </w:tcPr>
          <w:p w14:paraId="5F352B0D" w14:textId="77777777" w:rsidR="000C3123" w:rsidRPr="004C49DE" w:rsidRDefault="000C3123" w:rsidP="00AC5DFF">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Ultraje público al pudor</w:t>
            </w:r>
          </w:p>
        </w:tc>
        <w:tc>
          <w:tcPr>
            <w:tcW w:w="2460" w:type="dxa"/>
            <w:shd w:val="clear" w:color="auto" w:fill="auto"/>
          </w:tcPr>
          <w:p w14:paraId="15C17AED" w14:textId="77777777" w:rsidR="000C3123" w:rsidRPr="004C49DE" w:rsidRDefault="000C3123" w:rsidP="00AC5DFF">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Inocentes</w:t>
            </w:r>
          </w:p>
        </w:tc>
        <w:tc>
          <w:tcPr>
            <w:tcW w:w="1838" w:type="dxa"/>
            <w:shd w:val="clear" w:color="auto" w:fill="auto"/>
          </w:tcPr>
          <w:p w14:paraId="3A958A79" w14:textId="77777777" w:rsidR="000C3123" w:rsidRPr="004C49DE" w:rsidRDefault="000C3123" w:rsidP="00AC5DFF">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12 de abril de 2012</w:t>
            </w:r>
          </w:p>
        </w:tc>
      </w:tr>
      <w:tr w:rsidR="000C3123" w:rsidRPr="004C49DE" w14:paraId="468CE974" w14:textId="77777777" w:rsidTr="00EE3D98">
        <w:tc>
          <w:tcPr>
            <w:tcW w:w="2093" w:type="dxa"/>
            <w:shd w:val="clear" w:color="auto" w:fill="auto"/>
          </w:tcPr>
          <w:p w14:paraId="6AC90EFA" w14:textId="77777777" w:rsidR="000C3123" w:rsidRPr="004C49DE" w:rsidRDefault="000C3123" w:rsidP="00AC5DFF">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Sargento de policía</w:t>
            </w:r>
          </w:p>
        </w:tc>
        <w:tc>
          <w:tcPr>
            <w:tcW w:w="2220" w:type="dxa"/>
            <w:shd w:val="clear" w:color="auto" w:fill="auto"/>
          </w:tcPr>
          <w:p w14:paraId="3E5085E8" w14:textId="77777777" w:rsidR="000C3123" w:rsidRPr="004C49DE" w:rsidRDefault="000C3123" w:rsidP="00AC5DFF">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Violencia y agresión</w:t>
            </w:r>
          </w:p>
        </w:tc>
        <w:tc>
          <w:tcPr>
            <w:tcW w:w="2460" w:type="dxa"/>
            <w:shd w:val="clear" w:color="auto" w:fill="auto"/>
          </w:tcPr>
          <w:p w14:paraId="322DDD23" w14:textId="77777777" w:rsidR="000C3123" w:rsidRPr="004C49DE" w:rsidRDefault="000C3123" w:rsidP="00AC5DFF">
            <w:pPr>
              <w:suppressAutoHyphens w:val="0"/>
              <w:spacing w:before="40" w:after="80" w:line="210" w:lineRule="exact"/>
              <w:rPr>
                <w:bCs/>
                <w:kern w:val="0"/>
                <w:sz w:val="17"/>
                <w:szCs w:val="17"/>
                <w:lang w:val="es-ES_tradnl" w:eastAsia="en-US"/>
              </w:rPr>
            </w:pPr>
          </w:p>
        </w:tc>
        <w:tc>
          <w:tcPr>
            <w:tcW w:w="1838" w:type="dxa"/>
            <w:shd w:val="clear" w:color="auto" w:fill="auto"/>
          </w:tcPr>
          <w:p w14:paraId="248968F9" w14:textId="77777777" w:rsidR="000C3123" w:rsidRPr="004C49DE" w:rsidRDefault="000C3123" w:rsidP="00AC5DFF">
            <w:pPr>
              <w:suppressAutoHyphens w:val="0"/>
              <w:spacing w:before="40" w:after="80" w:line="210" w:lineRule="exact"/>
              <w:rPr>
                <w:bCs/>
                <w:kern w:val="0"/>
                <w:sz w:val="17"/>
                <w:szCs w:val="17"/>
                <w:lang w:val="es-ES_tradnl" w:eastAsia="en-US"/>
              </w:rPr>
            </w:pPr>
          </w:p>
        </w:tc>
      </w:tr>
      <w:tr w:rsidR="000C3123" w:rsidRPr="004C49DE" w14:paraId="4C4D3E67" w14:textId="77777777" w:rsidTr="00EE3D98">
        <w:tc>
          <w:tcPr>
            <w:tcW w:w="2093" w:type="dxa"/>
            <w:shd w:val="clear" w:color="auto" w:fill="auto"/>
          </w:tcPr>
          <w:p w14:paraId="26E4EE8B" w14:textId="77777777" w:rsidR="000C3123" w:rsidRPr="004C49DE" w:rsidRDefault="000C3123" w:rsidP="007F0F3A">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Sargento de policía</w:t>
            </w:r>
          </w:p>
        </w:tc>
        <w:tc>
          <w:tcPr>
            <w:tcW w:w="2220" w:type="dxa"/>
            <w:shd w:val="clear" w:color="auto" w:fill="auto"/>
          </w:tcPr>
          <w:p w14:paraId="37A01773" w14:textId="77777777" w:rsidR="000C3123" w:rsidRPr="004C49DE" w:rsidRDefault="000C3123" w:rsidP="007F0F3A">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Violación</w:t>
            </w:r>
          </w:p>
        </w:tc>
        <w:tc>
          <w:tcPr>
            <w:tcW w:w="2460" w:type="dxa"/>
            <w:shd w:val="clear" w:color="auto" w:fill="auto"/>
          </w:tcPr>
          <w:p w14:paraId="13B05F29" w14:textId="77777777" w:rsidR="000C3123" w:rsidRPr="004C49DE" w:rsidRDefault="000C3123" w:rsidP="007F0F3A">
            <w:pPr>
              <w:suppressAutoHyphens w:val="0"/>
              <w:spacing w:before="40" w:after="80" w:line="210" w:lineRule="exact"/>
              <w:rPr>
                <w:bCs/>
                <w:kern w:val="0"/>
                <w:sz w:val="17"/>
                <w:szCs w:val="17"/>
                <w:lang w:val="es-ES_tradnl" w:eastAsia="en-US"/>
              </w:rPr>
            </w:pPr>
          </w:p>
        </w:tc>
        <w:tc>
          <w:tcPr>
            <w:tcW w:w="1838" w:type="dxa"/>
            <w:shd w:val="clear" w:color="auto" w:fill="auto"/>
          </w:tcPr>
          <w:p w14:paraId="703F6D33" w14:textId="77777777" w:rsidR="000C3123" w:rsidRPr="004C49DE" w:rsidRDefault="000C3123" w:rsidP="007F0F3A">
            <w:pPr>
              <w:suppressAutoHyphens w:val="0"/>
              <w:spacing w:before="40" w:after="80" w:line="210" w:lineRule="exact"/>
              <w:rPr>
                <w:bCs/>
                <w:kern w:val="0"/>
                <w:sz w:val="17"/>
                <w:szCs w:val="17"/>
                <w:lang w:val="es-ES_tradnl" w:eastAsia="en-US"/>
              </w:rPr>
            </w:pPr>
          </w:p>
        </w:tc>
      </w:tr>
      <w:tr w:rsidR="000C3123" w:rsidRPr="004C49DE" w14:paraId="35E5C949" w14:textId="77777777" w:rsidTr="00EE3D98">
        <w:tc>
          <w:tcPr>
            <w:tcW w:w="2093" w:type="dxa"/>
            <w:shd w:val="clear" w:color="auto" w:fill="auto"/>
          </w:tcPr>
          <w:p w14:paraId="4A5FDF71"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lastRenderedPageBreak/>
              <w:t>Sargento/jefe de policía</w:t>
            </w:r>
          </w:p>
        </w:tc>
        <w:tc>
          <w:tcPr>
            <w:tcW w:w="2220" w:type="dxa"/>
            <w:shd w:val="clear" w:color="auto" w:fill="auto"/>
          </w:tcPr>
          <w:p w14:paraId="5B0BCCB6"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2460" w:type="dxa"/>
            <w:shd w:val="clear" w:color="auto" w:fill="auto"/>
          </w:tcPr>
          <w:p w14:paraId="6EB95A13"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1838" w:type="dxa"/>
            <w:shd w:val="clear" w:color="auto" w:fill="auto"/>
          </w:tcPr>
          <w:p w14:paraId="57C183B0"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r>
      <w:tr w:rsidR="000C3123" w:rsidRPr="004C49DE" w14:paraId="2EC03E98" w14:textId="77777777" w:rsidTr="00EE3D98">
        <w:tc>
          <w:tcPr>
            <w:tcW w:w="2093" w:type="dxa"/>
            <w:shd w:val="clear" w:color="auto" w:fill="auto"/>
          </w:tcPr>
          <w:p w14:paraId="4B67C0E6"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Sargento</w:t>
            </w:r>
          </w:p>
        </w:tc>
        <w:tc>
          <w:tcPr>
            <w:tcW w:w="2220" w:type="dxa"/>
            <w:shd w:val="clear" w:color="auto" w:fill="auto"/>
          </w:tcPr>
          <w:p w14:paraId="6660070D"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2460" w:type="dxa"/>
            <w:shd w:val="clear" w:color="auto" w:fill="auto"/>
          </w:tcPr>
          <w:p w14:paraId="0CFB7337"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1838" w:type="dxa"/>
            <w:shd w:val="clear" w:color="auto" w:fill="auto"/>
          </w:tcPr>
          <w:p w14:paraId="257FB144"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r>
      <w:tr w:rsidR="000C3123" w:rsidRPr="004C49DE" w14:paraId="042C0CD9" w14:textId="77777777" w:rsidTr="00EE3D98">
        <w:tc>
          <w:tcPr>
            <w:tcW w:w="2093" w:type="dxa"/>
            <w:shd w:val="clear" w:color="auto" w:fill="auto"/>
          </w:tcPr>
          <w:p w14:paraId="202E0C3C"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Soldado de primera clase</w:t>
            </w:r>
          </w:p>
        </w:tc>
        <w:tc>
          <w:tcPr>
            <w:tcW w:w="2220" w:type="dxa"/>
            <w:shd w:val="clear" w:color="auto" w:fill="auto"/>
          </w:tcPr>
          <w:p w14:paraId="21982A6C"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2460" w:type="dxa"/>
            <w:shd w:val="clear" w:color="auto" w:fill="auto"/>
          </w:tcPr>
          <w:p w14:paraId="65A035CB"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1838" w:type="dxa"/>
            <w:shd w:val="clear" w:color="auto" w:fill="auto"/>
          </w:tcPr>
          <w:p w14:paraId="4E3C8E4D"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r>
      <w:tr w:rsidR="000C3123" w:rsidRPr="004C49DE" w14:paraId="76631C8B" w14:textId="77777777" w:rsidTr="00EE3D98">
        <w:tc>
          <w:tcPr>
            <w:tcW w:w="2093" w:type="dxa"/>
            <w:shd w:val="clear" w:color="auto" w:fill="auto"/>
          </w:tcPr>
          <w:p w14:paraId="28F59163"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Soldado de primera clase</w:t>
            </w:r>
          </w:p>
        </w:tc>
        <w:tc>
          <w:tcPr>
            <w:tcW w:w="2220" w:type="dxa"/>
            <w:shd w:val="clear" w:color="auto" w:fill="auto"/>
          </w:tcPr>
          <w:p w14:paraId="6FD7516A" w14:textId="10C51F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Violación colectiva a menores de 15</w:t>
            </w:r>
            <w:r w:rsidR="001A14E9" w:rsidRPr="004C49DE">
              <w:rPr>
                <w:bCs/>
                <w:kern w:val="0"/>
                <w:sz w:val="17"/>
                <w:szCs w:val="17"/>
                <w:lang w:val="es-ES_tradnl" w:eastAsia="en-US"/>
              </w:rPr>
              <w:t xml:space="preserve"> </w:t>
            </w:r>
            <w:r w:rsidRPr="004C49DE">
              <w:rPr>
                <w:bCs/>
                <w:kern w:val="0"/>
                <w:sz w:val="17"/>
                <w:szCs w:val="17"/>
                <w:lang w:val="es-ES_tradnl" w:eastAsia="en-US"/>
              </w:rPr>
              <w:t>años</w:t>
            </w:r>
          </w:p>
        </w:tc>
        <w:tc>
          <w:tcPr>
            <w:tcW w:w="2460" w:type="dxa"/>
            <w:shd w:val="clear" w:color="auto" w:fill="auto"/>
          </w:tcPr>
          <w:p w14:paraId="325B302B"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Cadena perpetua</w:t>
            </w:r>
          </w:p>
        </w:tc>
        <w:tc>
          <w:tcPr>
            <w:tcW w:w="1838" w:type="dxa"/>
            <w:shd w:val="clear" w:color="auto" w:fill="auto"/>
          </w:tcPr>
          <w:p w14:paraId="6F53A162"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19 de julio de 2012</w:t>
            </w:r>
          </w:p>
        </w:tc>
      </w:tr>
      <w:tr w:rsidR="000C3123" w:rsidRPr="004C49DE" w14:paraId="3FFCBFB3" w14:textId="77777777" w:rsidTr="00EE3D98">
        <w:tc>
          <w:tcPr>
            <w:tcW w:w="2093" w:type="dxa"/>
            <w:shd w:val="clear" w:color="auto" w:fill="auto"/>
          </w:tcPr>
          <w:p w14:paraId="534AE8B8"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Sargento</w:t>
            </w:r>
          </w:p>
        </w:tc>
        <w:tc>
          <w:tcPr>
            <w:tcW w:w="2220" w:type="dxa"/>
            <w:shd w:val="clear" w:color="auto" w:fill="auto"/>
          </w:tcPr>
          <w:p w14:paraId="7BCECE28"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2460" w:type="dxa"/>
            <w:shd w:val="clear" w:color="auto" w:fill="auto"/>
          </w:tcPr>
          <w:p w14:paraId="47C7C346"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1838" w:type="dxa"/>
            <w:shd w:val="clear" w:color="auto" w:fill="auto"/>
          </w:tcPr>
          <w:p w14:paraId="559B4040"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r>
      <w:tr w:rsidR="000C3123" w:rsidRPr="004C49DE" w14:paraId="06DFC20F" w14:textId="77777777" w:rsidTr="00EE3D98">
        <w:tc>
          <w:tcPr>
            <w:tcW w:w="2093" w:type="dxa"/>
            <w:shd w:val="clear" w:color="auto" w:fill="auto"/>
          </w:tcPr>
          <w:p w14:paraId="5E5317CF"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Soldado de primera clase</w:t>
            </w:r>
          </w:p>
        </w:tc>
        <w:tc>
          <w:tcPr>
            <w:tcW w:w="2220" w:type="dxa"/>
            <w:shd w:val="clear" w:color="auto" w:fill="auto"/>
          </w:tcPr>
          <w:p w14:paraId="34C53B9D"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2460" w:type="dxa"/>
            <w:shd w:val="clear" w:color="auto" w:fill="auto"/>
          </w:tcPr>
          <w:p w14:paraId="0D8CC098"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c>
          <w:tcPr>
            <w:tcW w:w="1838" w:type="dxa"/>
            <w:shd w:val="clear" w:color="auto" w:fill="auto"/>
          </w:tcPr>
          <w:p w14:paraId="6BC5306D" w14:textId="77777777" w:rsidR="000C3123" w:rsidRPr="004C49DE" w:rsidRDefault="000C3123" w:rsidP="001A14E9">
            <w:pPr>
              <w:keepNext/>
              <w:suppressAutoHyphens w:val="0"/>
              <w:spacing w:before="40" w:after="80" w:line="210" w:lineRule="exact"/>
              <w:rPr>
                <w:bCs/>
                <w:kern w:val="0"/>
                <w:sz w:val="17"/>
                <w:szCs w:val="17"/>
                <w:lang w:val="es-ES_tradnl" w:eastAsia="en-US"/>
              </w:rPr>
            </w:pPr>
          </w:p>
        </w:tc>
      </w:tr>
      <w:tr w:rsidR="000C3123" w:rsidRPr="004C49DE" w14:paraId="70C945B4" w14:textId="77777777" w:rsidTr="00EE3D98">
        <w:tc>
          <w:tcPr>
            <w:tcW w:w="2093" w:type="dxa"/>
            <w:shd w:val="clear" w:color="auto" w:fill="auto"/>
          </w:tcPr>
          <w:p w14:paraId="512461AF"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Cabo</w:t>
            </w:r>
          </w:p>
        </w:tc>
        <w:tc>
          <w:tcPr>
            <w:tcW w:w="2220" w:type="dxa"/>
            <w:shd w:val="clear" w:color="auto" w:fill="auto"/>
          </w:tcPr>
          <w:p w14:paraId="7BC4652A"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Violación con violencia</w:t>
            </w:r>
          </w:p>
        </w:tc>
        <w:tc>
          <w:tcPr>
            <w:tcW w:w="2460" w:type="dxa"/>
            <w:shd w:val="clear" w:color="auto" w:fill="auto"/>
          </w:tcPr>
          <w:p w14:paraId="386A005B"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24 meses de detención militar sin orden de ingreso en prisión; 1 millón de francos de multa</w:t>
            </w:r>
          </w:p>
        </w:tc>
        <w:tc>
          <w:tcPr>
            <w:tcW w:w="1838" w:type="dxa"/>
            <w:shd w:val="clear" w:color="auto" w:fill="auto"/>
          </w:tcPr>
          <w:p w14:paraId="559C85E3"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7 de junio de 2012</w:t>
            </w:r>
          </w:p>
        </w:tc>
      </w:tr>
      <w:tr w:rsidR="000C3123" w:rsidRPr="004C49DE" w14:paraId="7C60E755" w14:textId="77777777" w:rsidTr="00EE3D98">
        <w:tc>
          <w:tcPr>
            <w:tcW w:w="2093" w:type="dxa"/>
            <w:shd w:val="clear" w:color="auto" w:fill="auto"/>
          </w:tcPr>
          <w:p w14:paraId="74840E56"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Sargento</w:t>
            </w:r>
          </w:p>
        </w:tc>
        <w:tc>
          <w:tcPr>
            <w:tcW w:w="2220" w:type="dxa"/>
            <w:shd w:val="clear" w:color="auto" w:fill="auto"/>
          </w:tcPr>
          <w:p w14:paraId="0926F481"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Violación</w:t>
            </w:r>
          </w:p>
        </w:tc>
        <w:tc>
          <w:tcPr>
            <w:tcW w:w="2460" w:type="dxa"/>
            <w:shd w:val="clear" w:color="auto" w:fill="auto"/>
          </w:tcPr>
          <w:p w14:paraId="367EA4B2"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Tribunal militar incompetente</w:t>
            </w:r>
          </w:p>
        </w:tc>
        <w:tc>
          <w:tcPr>
            <w:tcW w:w="1838" w:type="dxa"/>
            <w:shd w:val="clear" w:color="auto" w:fill="auto"/>
          </w:tcPr>
          <w:p w14:paraId="33812478"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7 de junio de 2012</w:t>
            </w:r>
          </w:p>
        </w:tc>
      </w:tr>
      <w:tr w:rsidR="000C3123" w:rsidRPr="004C49DE" w14:paraId="225CE3CB" w14:textId="77777777" w:rsidTr="00EE3D98">
        <w:tc>
          <w:tcPr>
            <w:tcW w:w="2093" w:type="dxa"/>
            <w:tcBorders>
              <w:bottom w:val="single" w:sz="12" w:space="0" w:color="auto"/>
            </w:tcBorders>
            <w:shd w:val="clear" w:color="auto" w:fill="auto"/>
          </w:tcPr>
          <w:p w14:paraId="2C979C9E"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Cabo</w:t>
            </w:r>
          </w:p>
        </w:tc>
        <w:tc>
          <w:tcPr>
            <w:tcW w:w="2220" w:type="dxa"/>
            <w:tcBorders>
              <w:bottom w:val="single" w:sz="12" w:space="0" w:color="auto"/>
            </w:tcBorders>
            <w:shd w:val="clear" w:color="auto" w:fill="auto"/>
          </w:tcPr>
          <w:p w14:paraId="4F60333D"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Violación</w:t>
            </w:r>
          </w:p>
        </w:tc>
        <w:tc>
          <w:tcPr>
            <w:tcW w:w="2460" w:type="dxa"/>
            <w:tcBorders>
              <w:bottom w:val="single" w:sz="12" w:space="0" w:color="auto"/>
            </w:tcBorders>
            <w:shd w:val="clear" w:color="auto" w:fill="auto"/>
          </w:tcPr>
          <w:p w14:paraId="389A7CD5"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Culpable; 5 años de cárcel con orden de ingreso en prisión</w:t>
            </w:r>
          </w:p>
        </w:tc>
        <w:tc>
          <w:tcPr>
            <w:tcW w:w="1838" w:type="dxa"/>
            <w:tcBorders>
              <w:bottom w:val="single" w:sz="12" w:space="0" w:color="auto"/>
            </w:tcBorders>
            <w:shd w:val="clear" w:color="auto" w:fill="auto"/>
          </w:tcPr>
          <w:p w14:paraId="19B3D0C5" w14:textId="77777777" w:rsidR="000C3123" w:rsidRPr="004C49DE" w:rsidRDefault="000C3123" w:rsidP="001A14E9">
            <w:pPr>
              <w:keepNext/>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4 de diciembre de 2014</w:t>
            </w:r>
          </w:p>
        </w:tc>
      </w:tr>
    </w:tbl>
    <w:p w14:paraId="609BAE7F" w14:textId="77777777" w:rsidR="00FF388C" w:rsidRPr="004C49DE" w:rsidRDefault="00FF388C" w:rsidP="001A14E9">
      <w:pPr>
        <w:pStyle w:val="SingleTxt"/>
        <w:keepNext/>
        <w:suppressAutoHyphens w:val="0"/>
        <w:spacing w:after="0" w:line="120" w:lineRule="exact"/>
        <w:rPr>
          <w:sz w:val="10"/>
          <w:szCs w:val="10"/>
          <w:lang w:val="es-ES_tradnl"/>
        </w:rPr>
      </w:pPr>
    </w:p>
    <w:p w14:paraId="4F82307A" w14:textId="0237820D" w:rsidR="000C3123" w:rsidRPr="004C49DE" w:rsidRDefault="000C3123" w:rsidP="001A14E9">
      <w:pPr>
        <w:pStyle w:val="FootnoteText"/>
        <w:keepNext/>
        <w:widowControl/>
        <w:tabs>
          <w:tab w:val="clear" w:pos="418"/>
          <w:tab w:val="right" w:pos="1476"/>
          <w:tab w:val="left" w:pos="1548"/>
          <w:tab w:val="right" w:pos="1836"/>
          <w:tab w:val="left" w:pos="1908"/>
        </w:tabs>
        <w:suppressAutoHyphens w:val="0"/>
        <w:ind w:left="1548" w:right="1065" w:hanging="289"/>
        <w:rPr>
          <w:i/>
          <w:w w:val="104"/>
          <w:kern w:val="0"/>
          <w:szCs w:val="22"/>
          <w:lang w:val="es-ES_tradnl" w:eastAsia="en-US"/>
        </w:rPr>
      </w:pPr>
      <w:r w:rsidRPr="004C49DE">
        <w:rPr>
          <w:i/>
          <w:w w:val="104"/>
          <w:kern w:val="0"/>
          <w:szCs w:val="22"/>
          <w:lang w:val="es-ES_tradnl" w:eastAsia="en-US"/>
        </w:rPr>
        <w:t>Fuente:</w:t>
      </w:r>
      <w:r w:rsidRPr="004C49DE">
        <w:rPr>
          <w:w w:val="104"/>
          <w:kern w:val="0"/>
          <w:szCs w:val="22"/>
          <w:lang w:val="es-ES_tradnl" w:eastAsia="en-US"/>
        </w:rPr>
        <w:t xml:space="preserve"> informe periódico de la CADHP, 2016</w:t>
      </w:r>
      <w:r w:rsidR="00BB7BBB" w:rsidRPr="004C49DE">
        <w:rPr>
          <w:w w:val="104"/>
          <w:kern w:val="0"/>
          <w:szCs w:val="22"/>
          <w:lang w:val="es-ES_tradnl" w:eastAsia="en-US"/>
        </w:rPr>
        <w:t>.</w:t>
      </w:r>
    </w:p>
    <w:p w14:paraId="508A9934" w14:textId="77777777" w:rsidR="00FF388C" w:rsidRPr="004C49DE" w:rsidRDefault="00FF388C" w:rsidP="001A14E9">
      <w:pPr>
        <w:pStyle w:val="SingleTxt"/>
        <w:keepNext/>
        <w:suppressAutoHyphens w:val="0"/>
        <w:spacing w:after="0" w:line="120" w:lineRule="exact"/>
        <w:rPr>
          <w:sz w:val="10"/>
          <w:szCs w:val="10"/>
          <w:lang w:val="es-ES_tradnl"/>
        </w:rPr>
      </w:pPr>
    </w:p>
    <w:p w14:paraId="70243468" w14:textId="77777777" w:rsidR="00FF388C" w:rsidRPr="004C49DE" w:rsidRDefault="00FF388C" w:rsidP="001A14E9">
      <w:pPr>
        <w:pStyle w:val="SingleTxt"/>
        <w:keepNext/>
        <w:suppressAutoHyphens w:val="0"/>
        <w:spacing w:after="0" w:line="120" w:lineRule="exact"/>
        <w:rPr>
          <w:sz w:val="10"/>
          <w:szCs w:val="10"/>
          <w:lang w:val="es-ES_tradnl"/>
        </w:rPr>
      </w:pPr>
    </w:p>
    <w:p w14:paraId="5DAEA21F" w14:textId="54E62495" w:rsidR="00BB7BBB" w:rsidRPr="004C49DE" w:rsidRDefault="000C3123" w:rsidP="001A14E9">
      <w:pPr>
        <w:pStyle w:val="SingleTxt"/>
        <w:keepNext/>
        <w:numPr>
          <w:ilvl w:val="0"/>
          <w:numId w:val="6"/>
        </w:numPr>
        <w:suppressAutoHyphens w:val="0"/>
        <w:ind w:left="1267" w:firstLine="0"/>
        <w:rPr>
          <w:szCs w:val="22"/>
          <w:lang w:val="es-ES_tradnl" w:eastAsia="en-US"/>
        </w:rPr>
      </w:pPr>
      <w:r w:rsidRPr="004C49DE">
        <w:rPr>
          <w:szCs w:val="22"/>
          <w:lang w:val="es-ES_tradnl" w:eastAsia="en-US"/>
        </w:rPr>
        <w:t>En septiembre de 2013, con el apoyo de la Oficina de la Representante Especial del Secretario General de las Naciones Unidas sobre la Violencia Sexual en los Conflictos, del Centro Internacional Kofi Annan de Capacitación en Mantenimiento de la Paz y del UNFPA, se creó un Comité Nacional de Expertos sobre Violencia Sexual en los Conflictos (Defensa e Interior) para desarrollar la capacidad de todos los órganos de las FRCI</w:t>
      </w:r>
      <w:r w:rsidR="00BB7BBB" w:rsidRPr="004C49DE">
        <w:rPr>
          <w:szCs w:val="22"/>
          <w:lang w:val="es-ES_tradnl" w:eastAsia="en-US"/>
        </w:rPr>
        <w:t>.</w:t>
      </w:r>
      <w:r w:rsidRPr="004C49DE">
        <w:rPr>
          <w:szCs w:val="22"/>
          <w:lang w:val="es-ES_tradnl" w:eastAsia="en-US"/>
        </w:rPr>
        <w:t xml:space="preserve"> En junio de 2014, la jerarquía de las FRCI se comprometió con la erradicación de la violencia sexual relacionada con los conflictos por medio de una declaración formulada en la Cumbre de Londres</w:t>
      </w:r>
      <w:r w:rsidR="00BB7BBB" w:rsidRPr="004C49DE">
        <w:rPr>
          <w:szCs w:val="22"/>
          <w:lang w:val="es-ES_tradnl" w:eastAsia="en-US"/>
        </w:rPr>
        <w:t>.</w:t>
      </w:r>
      <w:r w:rsidRPr="004C49DE">
        <w:rPr>
          <w:szCs w:val="22"/>
          <w:lang w:val="es-ES_tradnl" w:eastAsia="en-US"/>
        </w:rPr>
        <w:t xml:space="preserve"> Así, se puso en marcha un plan de acción encaminado a erradicar la violencia sexual en los</w:t>
      </w:r>
      <w:r w:rsidR="001A14E9" w:rsidRPr="004C49DE">
        <w:rPr>
          <w:szCs w:val="22"/>
          <w:lang w:val="es-ES_tradnl" w:eastAsia="en-US"/>
        </w:rPr>
        <w:t xml:space="preserve"> </w:t>
      </w:r>
      <w:r w:rsidRPr="004C49DE">
        <w:rPr>
          <w:szCs w:val="22"/>
          <w:lang w:val="es-ES_tradnl" w:eastAsia="en-US"/>
        </w:rPr>
        <w:t>conflictos</w:t>
      </w:r>
      <w:r w:rsidR="00BB7BBB" w:rsidRPr="004C49DE">
        <w:rPr>
          <w:szCs w:val="22"/>
          <w:lang w:val="es-ES_tradnl" w:eastAsia="en-US"/>
        </w:rPr>
        <w:t>.</w:t>
      </w:r>
    </w:p>
    <w:p w14:paraId="44E29189" w14:textId="0F7122DD"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Además, el Ministerio de Defensa, desde una perspectiva de tolerancia cero de la violencia sexual, adoptó medidas disciplinarias, como la exclusión del ejército de una veintena de miembros declarados culpables de abuso sexual en 2014</w:t>
      </w:r>
      <w:r w:rsidR="00BB7BBB" w:rsidRPr="004C49DE">
        <w:rPr>
          <w:szCs w:val="22"/>
          <w:lang w:val="es-ES_tradnl" w:eastAsia="en-US"/>
        </w:rPr>
        <w:t>.</w:t>
      </w:r>
    </w:p>
    <w:p w14:paraId="64C057D0" w14:textId="17A8C938"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Con el fin de reflejar a nivel interno los compromisos contraídos en Londres, se aprobó el </w:t>
      </w:r>
      <w:r w:rsidRPr="004C49DE">
        <w:rPr>
          <w:i/>
          <w:szCs w:val="22"/>
          <w:lang w:val="es-ES_tradnl" w:eastAsia="en-US"/>
        </w:rPr>
        <w:t>Decreto núm</w:t>
      </w:r>
      <w:r w:rsidR="00BB7BBB" w:rsidRPr="004C49DE">
        <w:rPr>
          <w:i/>
          <w:szCs w:val="22"/>
          <w:lang w:val="es-ES_tradnl" w:eastAsia="en-US"/>
        </w:rPr>
        <w:t>.</w:t>
      </w:r>
      <w:r w:rsidRPr="004C49DE">
        <w:rPr>
          <w:i/>
          <w:szCs w:val="22"/>
          <w:lang w:val="es-ES_tradnl" w:eastAsia="en-US"/>
        </w:rPr>
        <w:t xml:space="preserve"> 2016</w:t>
      </w:r>
      <w:r w:rsidR="001A14E9" w:rsidRPr="004C49DE">
        <w:rPr>
          <w:i/>
          <w:szCs w:val="22"/>
          <w:lang w:val="es-ES_tradnl" w:eastAsia="en-US"/>
        </w:rPr>
        <w:noBreakHyphen/>
      </w:r>
      <w:r w:rsidRPr="004C49DE">
        <w:rPr>
          <w:i/>
          <w:szCs w:val="22"/>
          <w:lang w:val="es-ES_tradnl" w:eastAsia="en-US"/>
        </w:rPr>
        <w:t>373, de 3 de junio de 2016, relativo a la creación, las atribuciones, la organización y el funcionamiento del Comité Nacional de Lucha contra la Violencia Sexual relacionada con los Conflictos</w:t>
      </w:r>
      <w:r w:rsidR="00BB7BBB" w:rsidRPr="004C49DE">
        <w:rPr>
          <w:szCs w:val="22"/>
          <w:lang w:val="es-ES_tradnl" w:eastAsia="en-US"/>
        </w:rPr>
        <w:t>.</w:t>
      </w:r>
    </w:p>
    <w:p w14:paraId="75AC5C0E" w14:textId="12FB47D1"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Adoptar medidas globales para brindar asistencia médica y psicológica, así como apoyo, a las mujeres víctimas de delitos sexuales cometidos durante el período comprendido entre 2002 y 2007 e incluidos en la ordenanza de amnistía de 2007, que contempla la mayor parte de los delitos cometidos durante el conflicto, también los actos sistemáticos de violencia sexual (véase </w:t>
      </w:r>
      <w:hyperlink r:id="rId53"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c))</w:t>
      </w:r>
      <w:r w:rsidR="00BB7BBB" w:rsidRPr="004C49DE">
        <w:rPr>
          <w:b/>
          <w:szCs w:val="22"/>
          <w:lang w:val="es-ES_tradnl" w:eastAsia="en-US"/>
        </w:rPr>
        <w:t>.</w:t>
      </w:r>
    </w:p>
    <w:p w14:paraId="07CC78F2" w14:textId="3F30101B"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El componente </w:t>
      </w:r>
      <w:r w:rsidR="004C49DE">
        <w:rPr>
          <w:szCs w:val="22"/>
          <w:lang w:val="es-ES_tradnl" w:eastAsia="en-US"/>
        </w:rPr>
        <w:t>“</w:t>
      </w:r>
      <w:r w:rsidRPr="004C49DE">
        <w:rPr>
          <w:szCs w:val="22"/>
          <w:lang w:val="es-ES_tradnl" w:eastAsia="en-US"/>
        </w:rPr>
        <w:t>Asistencia y reinserción social de las mujeres víctimas de la violencia en situaciones de conflicto en Côte d</w:t>
      </w:r>
      <w:r w:rsidR="004C49DE">
        <w:rPr>
          <w:szCs w:val="22"/>
          <w:lang w:val="es-ES_tradnl" w:eastAsia="en-US"/>
        </w:rPr>
        <w:t>’</w:t>
      </w:r>
      <w:r w:rsidRPr="004C49DE">
        <w:rPr>
          <w:szCs w:val="22"/>
          <w:lang w:val="es-ES_tradnl" w:eastAsia="en-US"/>
        </w:rPr>
        <w:t>Ivoire</w:t>
      </w:r>
      <w:r w:rsidR="004C49DE">
        <w:rPr>
          <w:szCs w:val="22"/>
          <w:lang w:val="es-ES_tradnl" w:eastAsia="en-US"/>
        </w:rPr>
        <w:t>”</w:t>
      </w:r>
      <w:r w:rsidRPr="004C49DE">
        <w:rPr>
          <w:szCs w:val="22"/>
          <w:lang w:val="es-ES_tradnl" w:eastAsia="en-US"/>
        </w:rPr>
        <w:t xml:space="preserve"> del Proyecto de Apoyo Institucional Multisectorial después de la Crisis (PAIMSC) se puso en práctica de julio de 2008 a noviembre de 2013 con el objeto de reducir la tasa de mortalidad materna y mejorar la protección de las personas expuestas a violencia por razón de género, en especial las víctimas de las crisis de 2002 a 2007 y de 2010 y 2011</w:t>
      </w:r>
      <w:r w:rsidR="00BB7BBB" w:rsidRPr="004C49DE">
        <w:rPr>
          <w:szCs w:val="22"/>
          <w:lang w:val="es-ES_tradnl" w:eastAsia="en-US"/>
        </w:rPr>
        <w:t>.</w:t>
      </w:r>
      <w:r w:rsidRPr="004C49DE">
        <w:rPr>
          <w:szCs w:val="22"/>
          <w:lang w:val="es-ES_tradnl" w:eastAsia="en-US"/>
        </w:rPr>
        <w:t xml:space="preserve"> El proyecto abarcó 10 departamentos de las zonas central, septentrional y occidental ocupadas por las Forces Nouvelles, a saber, Bouaké, Dabakala, Danané, Duékoué,</w:t>
      </w:r>
      <w:r w:rsidR="001A14E9" w:rsidRPr="004C49DE">
        <w:rPr>
          <w:szCs w:val="22"/>
          <w:lang w:val="es-ES_tradnl" w:eastAsia="en-US"/>
        </w:rPr>
        <w:t xml:space="preserve"> </w:t>
      </w:r>
      <w:r w:rsidRPr="004C49DE">
        <w:rPr>
          <w:szCs w:val="22"/>
          <w:lang w:val="es-ES_tradnl" w:eastAsia="en-US"/>
        </w:rPr>
        <w:t>Guiglo, Korhogo, Man, Odienné y Sakassou, junto con M</w:t>
      </w:r>
      <w:r w:rsidR="004C49DE">
        <w:rPr>
          <w:szCs w:val="22"/>
          <w:lang w:val="es-ES_tradnl" w:eastAsia="en-US"/>
        </w:rPr>
        <w:t>’</w:t>
      </w:r>
      <w:r w:rsidRPr="004C49DE">
        <w:rPr>
          <w:szCs w:val="22"/>
          <w:lang w:val="es-ES_tradnl" w:eastAsia="en-US"/>
        </w:rPr>
        <w:t>Bahiakro, un departamento de la zona republicana</w:t>
      </w:r>
      <w:r w:rsidR="00BB7BBB" w:rsidRPr="004C49DE">
        <w:rPr>
          <w:szCs w:val="22"/>
          <w:lang w:val="es-ES_tradnl" w:eastAsia="en-US"/>
        </w:rPr>
        <w:t>.</w:t>
      </w:r>
      <w:r w:rsidRPr="004C49DE">
        <w:rPr>
          <w:szCs w:val="22"/>
          <w:lang w:val="es-ES_tradnl" w:eastAsia="en-US"/>
        </w:rPr>
        <w:t xml:space="preserve"> Se adoptaron múltiples medidas para promover la salud </w:t>
      </w:r>
      <w:r w:rsidRPr="004C49DE">
        <w:rPr>
          <w:szCs w:val="22"/>
          <w:lang w:val="es-ES_tradnl" w:eastAsia="en-US"/>
        </w:rPr>
        <w:lastRenderedPageBreak/>
        <w:t>reproductiva, la prevención de la violencia por razón de género y la atención dirigida a las supervivientes de este tipo de actos de violencia</w:t>
      </w:r>
      <w:r w:rsidR="00BB7BBB" w:rsidRPr="004C49DE">
        <w:rPr>
          <w:szCs w:val="22"/>
          <w:lang w:val="es-ES_tradnl" w:eastAsia="en-US"/>
        </w:rPr>
        <w:t>.</w:t>
      </w:r>
    </w:p>
    <w:p w14:paraId="5DF69262" w14:textId="14146ECE"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Gracias al proyecto, con un presupuesto de 3</w:t>
      </w:r>
      <w:r w:rsidR="00BB7BBB" w:rsidRPr="004C49DE">
        <w:rPr>
          <w:szCs w:val="22"/>
          <w:lang w:val="es-ES_tradnl" w:eastAsia="en-US"/>
        </w:rPr>
        <w:t>.</w:t>
      </w:r>
      <w:r w:rsidRPr="004C49DE">
        <w:rPr>
          <w:szCs w:val="22"/>
          <w:lang w:val="es-ES_tradnl" w:eastAsia="en-US"/>
        </w:rPr>
        <w:t>908</w:t>
      </w:r>
      <w:r w:rsidR="00BB7BBB" w:rsidRPr="004C49DE">
        <w:rPr>
          <w:szCs w:val="22"/>
          <w:lang w:val="es-ES_tradnl" w:eastAsia="en-US"/>
        </w:rPr>
        <w:t>.</w:t>
      </w:r>
      <w:r w:rsidRPr="004C49DE">
        <w:rPr>
          <w:szCs w:val="22"/>
          <w:lang w:val="es-ES_tradnl" w:eastAsia="en-US"/>
        </w:rPr>
        <w:t>587</w:t>
      </w:r>
      <w:r w:rsidR="00D529EC" w:rsidRPr="004C49DE">
        <w:rPr>
          <w:szCs w:val="22"/>
          <w:lang w:val="es-ES_tradnl" w:eastAsia="en-US"/>
        </w:rPr>
        <w:t xml:space="preserve"> </w:t>
      </w:r>
      <w:r w:rsidRPr="004C49DE">
        <w:rPr>
          <w:szCs w:val="22"/>
          <w:lang w:val="es-ES_tradnl" w:eastAsia="en-US"/>
        </w:rPr>
        <w:t>USD financiado por el Banco Africano de Desarrollo (BAfD) y bajo la dirección del UNFPA, fue posible atender 399 (el 87%) de los 457 casos de violación declarados</w:t>
      </w:r>
      <w:r w:rsidR="00BB7BBB" w:rsidRPr="004C49DE">
        <w:rPr>
          <w:szCs w:val="22"/>
          <w:lang w:val="es-ES_tradnl" w:eastAsia="en-US"/>
        </w:rPr>
        <w:t>.</w:t>
      </w:r>
    </w:p>
    <w:p w14:paraId="75DFBF7B" w14:textId="4CFED340"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Asegurar el acceso a la justicia y la asistencia letrada a todas las mujeres afectadas por los actos de violencia relacionados con la crisis posterior a las elecciones, en particular las mujeres víctimas de violencia sexual (véase </w:t>
      </w:r>
      <w:hyperlink r:id="rId54"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d))</w:t>
      </w:r>
      <w:r w:rsidR="00BB7BBB" w:rsidRPr="004C49DE">
        <w:rPr>
          <w:b/>
          <w:szCs w:val="22"/>
          <w:lang w:val="es-ES_tradnl" w:eastAsia="en-US"/>
        </w:rPr>
        <w:t>.</w:t>
      </w:r>
    </w:p>
    <w:p w14:paraId="23C1CDEB" w14:textId="7B632C82"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proyecto de asistencia letrada gratuita iniciado por el Ministerio de Justicia en colaboración con el Colegio de Abogados de Côte d</w:t>
      </w:r>
      <w:r w:rsidR="004C49DE">
        <w:rPr>
          <w:szCs w:val="22"/>
          <w:lang w:val="es-ES_tradnl" w:eastAsia="en-US"/>
        </w:rPr>
        <w:t>’</w:t>
      </w:r>
      <w:r w:rsidRPr="004C49DE">
        <w:rPr>
          <w:szCs w:val="22"/>
          <w:lang w:val="es-ES_tradnl" w:eastAsia="en-US"/>
        </w:rPr>
        <w:t>Ivoire gracias al apoyo financiero de la Unión Europea (UE) tiene por objeto ofrecer asistencia letrada y judicial gratis a más de 500 personas necesitadas</w:t>
      </w:r>
      <w:r w:rsidR="00BB7BBB" w:rsidRPr="004C49DE">
        <w:rPr>
          <w:szCs w:val="22"/>
          <w:lang w:val="es-ES_tradnl" w:eastAsia="en-US"/>
        </w:rPr>
        <w:t>.</w:t>
      </w:r>
      <w:r w:rsidRPr="004C49DE">
        <w:rPr>
          <w:szCs w:val="22"/>
          <w:lang w:val="es-ES_tradnl" w:eastAsia="en-US"/>
        </w:rPr>
        <w:t xml:space="preserve"> Se hace hincapié en casos concretos, como los casos de violación o agresión sexual</w:t>
      </w:r>
      <w:r w:rsidR="00BB7BBB" w:rsidRPr="004C49DE">
        <w:rPr>
          <w:szCs w:val="22"/>
          <w:lang w:val="es-ES_tradnl" w:eastAsia="en-US"/>
        </w:rPr>
        <w:t>.</w:t>
      </w:r>
    </w:p>
    <w:p w14:paraId="5D058111" w14:textId="4B6952E0"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Los miembros de la prefectura y los parlamentarios recibieron formación en 2013 y 2014 sobre el enfoque de género y violencia por razón de género, a fin de ser capaces de velar por el cumplimiento de la ley y la protección de la población</w:t>
      </w:r>
      <w:r w:rsidR="00BB7BBB" w:rsidRPr="004C49DE">
        <w:rPr>
          <w:szCs w:val="22"/>
          <w:lang w:val="es-ES_tradnl" w:eastAsia="en-US"/>
        </w:rPr>
        <w:t>.</w:t>
      </w:r>
    </w:p>
    <w:p w14:paraId="37355B11" w14:textId="3252220F"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2012, con el apoyo del CERF</w:t>
      </w:r>
      <w:r w:rsidRPr="004C49DE">
        <w:rPr>
          <w:szCs w:val="22"/>
          <w:vertAlign w:val="superscript"/>
          <w:lang w:val="es-ES_tradnl" w:eastAsia="en-US"/>
        </w:rPr>
        <w:footnoteReference w:id="8"/>
      </w:r>
      <w:r w:rsidRPr="004C49DE">
        <w:rPr>
          <w:szCs w:val="22"/>
          <w:lang w:val="es-ES_tradnl" w:eastAsia="en-US"/>
        </w:rPr>
        <w:t xml:space="preserve"> y la OFDA</w:t>
      </w:r>
      <w:r w:rsidRPr="004C49DE">
        <w:rPr>
          <w:szCs w:val="22"/>
          <w:vertAlign w:val="superscript"/>
          <w:lang w:val="es-ES_tradnl" w:eastAsia="en-US"/>
        </w:rPr>
        <w:footnoteReference w:id="9"/>
      </w:r>
      <w:r w:rsidRPr="004C49DE">
        <w:rPr>
          <w:szCs w:val="22"/>
          <w:lang w:val="es-ES_tradnl" w:eastAsia="en-US"/>
        </w:rPr>
        <w:t>, el UNFPA y sus asociados en la ejecución (la Organisation pour la Solidarité des Droits en Afrique (OIS</w:t>
      </w:r>
      <w:r w:rsidR="001A14E9" w:rsidRPr="004C49DE">
        <w:rPr>
          <w:szCs w:val="22"/>
          <w:lang w:val="es-ES_tradnl" w:eastAsia="en-US"/>
        </w:rPr>
        <w:noBreakHyphen/>
      </w:r>
      <w:r w:rsidRPr="004C49DE">
        <w:rPr>
          <w:szCs w:val="22"/>
          <w:lang w:val="es-ES_tradnl" w:eastAsia="en-US"/>
        </w:rPr>
        <w:t>Afrique), la</w:t>
      </w:r>
      <w:r w:rsidR="001A14E9" w:rsidRPr="004C49DE">
        <w:rPr>
          <w:szCs w:val="22"/>
          <w:lang w:val="es-ES_tradnl" w:eastAsia="en-US"/>
        </w:rPr>
        <w:t xml:space="preserve"> </w:t>
      </w:r>
      <w:r w:rsidRPr="004C49DE">
        <w:rPr>
          <w:szCs w:val="22"/>
          <w:lang w:val="es-ES_tradnl" w:eastAsia="en-US"/>
        </w:rPr>
        <w:t>Organisation pour le Développement des Activités des Femmes (ODAFEM) y la Association de Soutien à l</w:t>
      </w:r>
      <w:r w:rsidR="004C49DE">
        <w:rPr>
          <w:szCs w:val="22"/>
          <w:lang w:val="es-ES_tradnl" w:eastAsia="en-US"/>
        </w:rPr>
        <w:t>’</w:t>
      </w:r>
      <w:r w:rsidRPr="004C49DE">
        <w:rPr>
          <w:szCs w:val="22"/>
          <w:lang w:val="es-ES_tradnl" w:eastAsia="en-US"/>
        </w:rPr>
        <w:t>Autopromotion Sanitaire et Urbaine (ASAPSU)) ayudaron a prestar atención a 226 mujeres supervivientes, incluidas 67 víctimas de violaciones, y a crear cinco centros de excelencia en Abiyán en determinados barrios</w:t>
      </w:r>
      <w:r w:rsidR="00BB7BBB" w:rsidRPr="004C49DE">
        <w:rPr>
          <w:szCs w:val="22"/>
          <w:lang w:val="es-ES_tradnl" w:eastAsia="en-US"/>
        </w:rPr>
        <w:t>.</w:t>
      </w:r>
    </w:p>
    <w:p w14:paraId="14F3789D" w14:textId="66FB0C2C"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Reforzar las medidas adoptadas para establecer centros de asesoramiento para la mujer como respuesta a sus experiencias traumáticas, en especial en lo que respecta a la violencia sexual, y asegurar el acceso adecuado a los servicios de salud (véase </w:t>
      </w:r>
      <w:hyperlink r:id="rId55"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e))</w:t>
      </w:r>
      <w:r w:rsidR="00BB7BBB" w:rsidRPr="004C49DE">
        <w:rPr>
          <w:b/>
          <w:szCs w:val="22"/>
          <w:lang w:val="es-ES_tradnl" w:eastAsia="en-US"/>
        </w:rPr>
        <w:t>.</w:t>
      </w:r>
    </w:p>
    <w:p w14:paraId="5B66E5EA" w14:textId="519B69F4"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este ámbito, se creó el Comité Nacional de Lucha contra la Violencia de Género, que está en funcionamiento desde 2014</w:t>
      </w:r>
      <w:r w:rsidR="00BB7BBB" w:rsidRPr="004C49DE">
        <w:rPr>
          <w:szCs w:val="22"/>
          <w:lang w:val="es-ES_tradnl" w:eastAsia="en-US"/>
        </w:rPr>
        <w:t>.</w:t>
      </w:r>
      <w:r w:rsidRPr="004C49DE">
        <w:rPr>
          <w:szCs w:val="22"/>
          <w:lang w:val="es-ES_tradnl" w:eastAsia="en-US"/>
        </w:rPr>
        <w:t xml:space="preserve"> Se crearon nuevas plataformas para responder a la violencia vinculadas a los mecanismos de protección de la infancia en todo el país, al mismo tiempo que se reforzaron las antiguas</w:t>
      </w:r>
      <w:r w:rsidR="00BB7BBB" w:rsidRPr="004C49DE">
        <w:rPr>
          <w:szCs w:val="22"/>
          <w:lang w:val="es-ES_tradnl" w:eastAsia="en-US"/>
        </w:rPr>
        <w:t>.</w:t>
      </w:r>
      <w:r w:rsidRPr="004C49DE">
        <w:rPr>
          <w:szCs w:val="22"/>
          <w:lang w:val="es-ES_tradnl" w:eastAsia="en-US"/>
        </w:rPr>
        <w:t xml:space="preserve"> Actualmente, existen</w:t>
      </w:r>
      <w:r w:rsidR="001A14E9" w:rsidRPr="004C49DE">
        <w:rPr>
          <w:szCs w:val="22"/>
          <w:lang w:val="es-ES_tradnl" w:eastAsia="en-US"/>
        </w:rPr>
        <w:t xml:space="preserve"> </w:t>
      </w:r>
      <w:r w:rsidRPr="004C49DE">
        <w:rPr>
          <w:szCs w:val="22"/>
          <w:lang w:val="es-ES_tradnl" w:eastAsia="en-US"/>
        </w:rPr>
        <w:t>48 plataformas en todo el territorio nacional que se encuentran bajo la responsabilidad directa de las autoridades de las prefecturas, y se han abierto 14</w:t>
      </w:r>
      <w:r w:rsidR="001A14E9" w:rsidRPr="004C49DE">
        <w:rPr>
          <w:szCs w:val="22"/>
          <w:lang w:val="es-ES_tradnl" w:eastAsia="en-US"/>
        </w:rPr>
        <w:t xml:space="preserve"> </w:t>
      </w:r>
      <w:r w:rsidRPr="004C49DE">
        <w:rPr>
          <w:szCs w:val="22"/>
          <w:lang w:val="es-ES_tradnl" w:eastAsia="en-US"/>
        </w:rPr>
        <w:t>oficinas de atención</w:t>
      </w:r>
      <w:r w:rsidR="00BB7BBB" w:rsidRPr="004C49DE">
        <w:rPr>
          <w:szCs w:val="22"/>
          <w:lang w:val="es-ES_tradnl" w:eastAsia="en-US"/>
        </w:rPr>
        <w:t>.</w:t>
      </w:r>
      <w:r w:rsidRPr="004C49DE">
        <w:rPr>
          <w:szCs w:val="22"/>
          <w:lang w:val="es-ES_tradnl" w:eastAsia="en-US"/>
        </w:rPr>
        <w:t xml:space="preserve"> Estas oficinas están integradas por 238 voluntarios (enlaces comunitarios) que se encargan de la alerta temprana de los casos de violencia</w:t>
      </w:r>
      <w:r w:rsidR="00BB7BBB" w:rsidRPr="004C49DE">
        <w:rPr>
          <w:szCs w:val="22"/>
          <w:lang w:val="es-ES_tradnl" w:eastAsia="en-US"/>
        </w:rPr>
        <w:t>.</w:t>
      </w:r>
      <w:r w:rsidRPr="004C49DE">
        <w:rPr>
          <w:szCs w:val="22"/>
          <w:lang w:val="es-ES_tradnl" w:eastAsia="en-US"/>
        </w:rPr>
        <w:t xml:space="preserve"> Las plataformas y oficinas de atención constituyen la parte esencial de la atención multisectorial y el tratamiento de los distintos casos sobre el terreno</w:t>
      </w:r>
      <w:r w:rsidR="00BB7BBB" w:rsidRPr="004C49DE">
        <w:rPr>
          <w:szCs w:val="22"/>
          <w:lang w:val="es-ES_tradnl" w:eastAsia="en-US"/>
        </w:rPr>
        <w:t>.</w:t>
      </w:r>
    </w:p>
    <w:p w14:paraId="158F3BC5" w14:textId="1399FC0A"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Además, se crearon centros de excelencia para la atención integral de la violencia por razón de género (Korhogo, Bouaké, Yopougon, Abobo, Marcory, Prevención y Asistencia para las Víctimas de la Violencia Sexual (PAVVIOS), en Abiyán, y Centro de la Excelencia de la Mujer (CEFM), en Man)</w:t>
      </w:r>
      <w:r w:rsidR="00BB7BBB" w:rsidRPr="004C49DE">
        <w:rPr>
          <w:szCs w:val="22"/>
          <w:lang w:val="es-ES_tradnl" w:eastAsia="en-US"/>
        </w:rPr>
        <w:t>.</w:t>
      </w:r>
    </w:p>
    <w:p w14:paraId="32F4AE6A" w14:textId="2511409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marco del Proyecto PRDF, también se pusieron en marcha cinco espacios para la paz en Abobo, Danané, Duékoué, Man y Yopougon para la atención y remisión de las mujeres víctimas de la violencia</w:t>
      </w:r>
      <w:r w:rsidR="00BB7BBB" w:rsidRPr="004C49DE">
        <w:rPr>
          <w:szCs w:val="22"/>
          <w:lang w:val="es-ES_tradnl" w:eastAsia="en-US"/>
        </w:rPr>
        <w:t>.</w:t>
      </w:r>
    </w:p>
    <w:p w14:paraId="2C92C538" w14:textId="480EF097"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pacing w:val="0"/>
          <w:szCs w:val="22"/>
          <w:lang w:val="es-ES_tradnl" w:eastAsia="en-US"/>
        </w:rPr>
        <w:lastRenderedPageBreak/>
        <w:t>Velar por la seguridad de las desplazadas internas y asignar más recursos para atender sus necesidades, en particular su acceso a medios de subsistencia, agua y educación para ellas y para sus hijos (véase</w:t>
      </w:r>
      <w:r w:rsidRPr="004C49DE">
        <w:rPr>
          <w:b/>
          <w:szCs w:val="22"/>
          <w:lang w:val="es-ES_tradnl" w:eastAsia="en-US"/>
        </w:rPr>
        <w:t xml:space="preserve"> </w:t>
      </w:r>
      <w:hyperlink r:id="rId5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f))</w:t>
      </w:r>
      <w:r w:rsidR="00BB7BBB" w:rsidRPr="004C49DE">
        <w:rPr>
          <w:b/>
          <w:szCs w:val="22"/>
          <w:lang w:val="es-ES_tradnl" w:eastAsia="en-US"/>
        </w:rPr>
        <w:t>.</w:t>
      </w:r>
    </w:p>
    <w:p w14:paraId="15A4BD34" w14:textId="2C6E23D4"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 fin de fortalecer el proceso de reconciliación nacional y de atención a las víctimas iniciado por la Comisión para el Diálogo, la Verdad y la Reconciliación, se creó la Comisión Nacional para la Reconciliación y la Indemnización de las Víctimas, y el Programa Nacional de Cohesión Social del Ministerio de Solidaridad, Cohesión Social e Indemnización de las Víctimas en enero de 2016</w:t>
      </w:r>
      <w:r w:rsidR="00BB7BBB" w:rsidRPr="004C49DE">
        <w:rPr>
          <w:szCs w:val="22"/>
          <w:lang w:val="es-ES_tradnl" w:eastAsia="en-US"/>
        </w:rPr>
        <w:t>.</w:t>
      </w:r>
    </w:p>
    <w:p w14:paraId="4DB98F77" w14:textId="601AB211"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Gracias a estas estructuras, el Ministerio se encarga de la esfera de las reparaciones mediante la identificación e indemnización de las víctimas</w:t>
      </w:r>
      <w:r w:rsidR="00BB7BBB" w:rsidRPr="004C49DE">
        <w:rPr>
          <w:szCs w:val="22"/>
          <w:lang w:val="es-ES_tradnl" w:eastAsia="en-US"/>
        </w:rPr>
        <w:t>.</w:t>
      </w:r>
    </w:p>
    <w:p w14:paraId="1E3EA605" w14:textId="57EEDB2E"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Durante la fase experimental, las medidas del Ministerio de Solidaridad, Cohesión Social e Indemnización se destinaron a las víctimas que sufrieron daños físicos, con un primer presupuesto de 10 millones de francos CFA</w:t>
      </w:r>
      <w:r w:rsidR="00BB7BBB" w:rsidRPr="004C49DE">
        <w:rPr>
          <w:szCs w:val="22"/>
          <w:lang w:val="es-ES_tradnl" w:eastAsia="en-US"/>
        </w:rPr>
        <w:t>.</w:t>
      </w:r>
      <w:r w:rsidRPr="004C49DE">
        <w:rPr>
          <w:szCs w:val="22"/>
          <w:lang w:val="es-ES_tradnl" w:eastAsia="en-US"/>
        </w:rPr>
        <w:t xml:space="preserve"> El MSFFE, la Comisión Nacional de Investigación y la Autoridad de Desarme, Desmovilización y Reintegración se encargaron de conformar la lista de personas beneficiarias</w:t>
      </w:r>
      <w:r w:rsidR="00BB7BBB" w:rsidRPr="004C49DE">
        <w:rPr>
          <w:szCs w:val="22"/>
          <w:lang w:val="es-ES_tradnl" w:eastAsia="en-US"/>
        </w:rPr>
        <w:t>.</w:t>
      </w:r>
      <w:r w:rsidRPr="004C49DE">
        <w:rPr>
          <w:szCs w:val="22"/>
          <w:lang w:val="es-ES_tradnl" w:eastAsia="en-US"/>
        </w:rPr>
        <w:t xml:space="preserve"> Las actividades de indemnización englobaron a un total de 4</w:t>
      </w:r>
      <w:r w:rsidR="00BB7BBB" w:rsidRPr="004C49DE">
        <w:rPr>
          <w:szCs w:val="22"/>
          <w:lang w:val="es-ES_tradnl" w:eastAsia="en-US"/>
        </w:rPr>
        <w:t>.</w:t>
      </w:r>
      <w:r w:rsidRPr="004C49DE">
        <w:rPr>
          <w:szCs w:val="22"/>
          <w:lang w:val="es-ES_tradnl" w:eastAsia="en-US"/>
        </w:rPr>
        <w:t>500 víctimas, incluidos 3</w:t>
      </w:r>
      <w:r w:rsidR="00BB7BBB" w:rsidRPr="004C49DE">
        <w:rPr>
          <w:szCs w:val="22"/>
          <w:lang w:val="es-ES_tradnl" w:eastAsia="en-US"/>
        </w:rPr>
        <w:t>.</w:t>
      </w:r>
      <w:r w:rsidRPr="004C49DE">
        <w:rPr>
          <w:szCs w:val="22"/>
          <w:lang w:val="es-ES_tradnl" w:eastAsia="en-US"/>
        </w:rPr>
        <w:t>500 beneficiarios y 1</w:t>
      </w:r>
      <w:r w:rsidR="00BB7BBB" w:rsidRPr="004C49DE">
        <w:rPr>
          <w:szCs w:val="22"/>
          <w:lang w:val="es-ES_tradnl" w:eastAsia="en-US"/>
        </w:rPr>
        <w:t>.</w:t>
      </w:r>
      <w:r w:rsidRPr="004C49DE">
        <w:rPr>
          <w:szCs w:val="22"/>
          <w:lang w:val="es-ES_tradnl" w:eastAsia="en-US"/>
        </w:rPr>
        <w:t>000 heridos</w:t>
      </w:r>
      <w:r w:rsidR="00BB7BBB" w:rsidRPr="004C49DE">
        <w:rPr>
          <w:szCs w:val="22"/>
          <w:lang w:val="es-ES_tradnl" w:eastAsia="en-US"/>
        </w:rPr>
        <w:t>.</w:t>
      </w:r>
    </w:p>
    <w:p w14:paraId="6473CEED" w14:textId="2C6B82E6"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Además, para el cuidado de los niños huérfanos, Côte d</w:t>
      </w:r>
      <w:r w:rsidR="004C49DE">
        <w:rPr>
          <w:szCs w:val="22"/>
          <w:lang w:val="es-ES_tradnl" w:eastAsia="en-US"/>
        </w:rPr>
        <w:t>’</w:t>
      </w:r>
      <w:r w:rsidRPr="004C49DE">
        <w:rPr>
          <w:szCs w:val="22"/>
          <w:lang w:val="es-ES_tradnl" w:eastAsia="en-US"/>
        </w:rPr>
        <w:t xml:space="preserve">Ivoire adoptó la </w:t>
      </w:r>
      <w:r w:rsidRPr="004C49DE">
        <w:rPr>
          <w:i/>
          <w:szCs w:val="22"/>
          <w:lang w:val="es-ES_tradnl" w:eastAsia="en-US"/>
        </w:rPr>
        <w:t>Ley</w:t>
      </w:r>
      <w:r w:rsidR="002C3F23" w:rsidRPr="004C49DE">
        <w:rPr>
          <w:i/>
          <w:szCs w:val="22"/>
          <w:lang w:val="es-ES_tradnl" w:eastAsia="en-US"/>
        </w:rPr>
        <w:t> </w:t>
      </w:r>
      <w:r w:rsidRPr="004C49DE">
        <w:rPr>
          <w:i/>
          <w:szCs w:val="22"/>
          <w:lang w:val="es-ES_tradnl" w:eastAsia="en-US"/>
        </w:rPr>
        <w:t>2014</w:t>
      </w:r>
      <w:r w:rsidR="001A14E9" w:rsidRPr="004C49DE">
        <w:rPr>
          <w:i/>
          <w:szCs w:val="22"/>
          <w:lang w:val="es-ES_tradnl" w:eastAsia="en-US"/>
        </w:rPr>
        <w:noBreakHyphen/>
      </w:r>
      <w:r w:rsidRPr="004C49DE">
        <w:rPr>
          <w:i/>
          <w:szCs w:val="22"/>
          <w:lang w:val="es-ES_tradnl" w:eastAsia="en-US"/>
        </w:rPr>
        <w:t>137, de 24 de marzo de 2014, sobre la condición de los pupilos del Estado</w:t>
      </w:r>
      <w:r w:rsidR="00BB7BBB" w:rsidRPr="004C49DE">
        <w:rPr>
          <w:szCs w:val="22"/>
          <w:lang w:val="es-ES_tradnl" w:eastAsia="en-US"/>
        </w:rPr>
        <w:t>.</w:t>
      </w:r>
      <w:r w:rsidRPr="004C49DE">
        <w:rPr>
          <w:szCs w:val="22"/>
          <w:lang w:val="es-ES_tradnl" w:eastAsia="en-US"/>
        </w:rPr>
        <w:t xml:space="preserve"> Esta Ley define la condición de pupilo del Estado y las modalidades de su atención médica, escolar y universitaria, así como su integración socioprofesional</w:t>
      </w:r>
      <w:r w:rsidR="00BB7BBB" w:rsidRPr="004C49DE">
        <w:rPr>
          <w:szCs w:val="22"/>
          <w:lang w:val="es-ES_tradnl" w:eastAsia="en-US"/>
        </w:rPr>
        <w:t>.</w:t>
      </w:r>
    </w:p>
    <w:p w14:paraId="49D65461" w14:textId="0030AD52"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Hacer efectivos los derechos económicos y sociales durante la reconstrucción después del conflicto (véase </w:t>
      </w:r>
      <w:hyperlink r:id="rId5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002C3F23" w:rsidRPr="004C49DE">
        <w:rPr>
          <w:b/>
          <w:szCs w:val="22"/>
          <w:lang w:val="es-ES_tradnl" w:eastAsia="en-US"/>
        </w:rPr>
        <w:t> </w:t>
      </w:r>
      <w:r w:rsidRPr="004C49DE">
        <w:rPr>
          <w:b/>
          <w:szCs w:val="22"/>
          <w:lang w:val="es-ES_tradnl" w:eastAsia="en-US"/>
        </w:rPr>
        <w:t>29</w:t>
      </w:r>
      <w:r w:rsidR="002C3F23" w:rsidRPr="004C49DE">
        <w:rPr>
          <w:b/>
          <w:szCs w:val="22"/>
          <w:lang w:val="es-ES_tradnl" w:eastAsia="en-US"/>
        </w:rPr>
        <w:t> </w:t>
      </w:r>
      <w:r w:rsidRPr="004C49DE">
        <w:rPr>
          <w:b/>
          <w:szCs w:val="22"/>
          <w:lang w:val="es-ES_tradnl" w:eastAsia="en-US"/>
        </w:rPr>
        <w:t>g))</w:t>
      </w:r>
      <w:r w:rsidR="00BB7BBB" w:rsidRPr="004C49DE">
        <w:rPr>
          <w:b/>
          <w:szCs w:val="22"/>
          <w:lang w:val="es-ES_tradnl" w:eastAsia="en-US"/>
        </w:rPr>
        <w:t>.</w:t>
      </w:r>
    </w:p>
    <w:p w14:paraId="3E6FF7DD" w14:textId="77777777" w:rsidR="00991490" w:rsidRPr="004C49DE" w:rsidRDefault="00991490" w:rsidP="00BB7BBB">
      <w:pPr>
        <w:pStyle w:val="SingleTxt"/>
        <w:suppressAutoHyphens w:val="0"/>
        <w:spacing w:after="0" w:line="120" w:lineRule="exact"/>
        <w:rPr>
          <w:sz w:val="10"/>
          <w:szCs w:val="10"/>
          <w:lang w:val="es-ES_tradnl"/>
        </w:rPr>
      </w:pPr>
    </w:p>
    <w:p w14:paraId="68849EF7"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Derecho a un trabajo decente</w:t>
      </w:r>
    </w:p>
    <w:p w14:paraId="42D36716" w14:textId="77777777" w:rsidR="00991490" w:rsidRPr="004C49DE" w:rsidRDefault="00991490" w:rsidP="00BB7BBB">
      <w:pPr>
        <w:pStyle w:val="SingleTxt"/>
        <w:suppressAutoHyphens w:val="0"/>
        <w:spacing w:after="0" w:line="120" w:lineRule="exact"/>
        <w:rPr>
          <w:sz w:val="10"/>
          <w:szCs w:val="10"/>
          <w:lang w:val="es-ES_tradnl"/>
        </w:rPr>
      </w:pPr>
    </w:p>
    <w:p w14:paraId="3AF1AD03" w14:textId="3C9BEB8C"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Gracias al </w:t>
      </w:r>
      <w:r w:rsidRPr="004C49DE">
        <w:rPr>
          <w:i/>
          <w:szCs w:val="22"/>
          <w:lang w:val="es-ES_tradnl" w:eastAsia="en-US"/>
        </w:rPr>
        <w:t>Decreto núm</w:t>
      </w:r>
      <w:r w:rsidR="00BB7BBB" w:rsidRPr="004C49DE">
        <w:rPr>
          <w:i/>
          <w:szCs w:val="22"/>
          <w:lang w:val="es-ES_tradnl" w:eastAsia="en-US"/>
        </w:rPr>
        <w:t>.</w:t>
      </w:r>
      <w:r w:rsidRPr="004C49DE">
        <w:rPr>
          <w:i/>
          <w:szCs w:val="22"/>
          <w:lang w:val="es-ES_tradnl" w:eastAsia="en-US"/>
        </w:rPr>
        <w:t xml:space="preserve"> 2013</w:t>
      </w:r>
      <w:r w:rsidR="001A14E9" w:rsidRPr="004C49DE">
        <w:rPr>
          <w:i/>
          <w:szCs w:val="22"/>
          <w:lang w:val="es-ES_tradnl" w:eastAsia="en-US"/>
        </w:rPr>
        <w:noBreakHyphen/>
      </w:r>
      <w:r w:rsidRPr="004C49DE">
        <w:rPr>
          <w:i/>
          <w:szCs w:val="22"/>
          <w:lang w:val="es-ES_tradnl" w:eastAsia="en-US"/>
        </w:rPr>
        <w:t>791, de 20 de noviembre de 2013, relativo a la mejora del salario mínimo interprofesional</w:t>
      </w:r>
      <w:r w:rsidRPr="004C49DE">
        <w:rPr>
          <w:szCs w:val="22"/>
          <w:lang w:val="es-ES_tradnl" w:eastAsia="en-US"/>
        </w:rPr>
        <w:t>, el sueldo mínimo en Côte d</w:t>
      </w:r>
      <w:r w:rsidR="004C49DE">
        <w:rPr>
          <w:szCs w:val="22"/>
          <w:lang w:val="es-ES_tradnl" w:eastAsia="en-US"/>
        </w:rPr>
        <w:t>’</w:t>
      </w:r>
      <w:r w:rsidRPr="004C49DE">
        <w:rPr>
          <w:szCs w:val="22"/>
          <w:lang w:val="es-ES_tradnl" w:eastAsia="en-US"/>
        </w:rPr>
        <w:t>Ivoire aumentó de 36</w:t>
      </w:r>
      <w:r w:rsidR="00BB7BBB" w:rsidRPr="004C49DE">
        <w:rPr>
          <w:szCs w:val="22"/>
          <w:lang w:val="es-ES_tradnl" w:eastAsia="en-US"/>
        </w:rPr>
        <w:t>.</w:t>
      </w:r>
      <w:r w:rsidRPr="004C49DE">
        <w:rPr>
          <w:szCs w:val="22"/>
          <w:lang w:val="es-ES_tradnl" w:eastAsia="en-US"/>
        </w:rPr>
        <w:t>607 a 60</w:t>
      </w:r>
      <w:r w:rsidR="00BB7BBB" w:rsidRPr="004C49DE">
        <w:rPr>
          <w:szCs w:val="22"/>
          <w:lang w:val="es-ES_tradnl" w:eastAsia="en-US"/>
        </w:rPr>
        <w:t>.</w:t>
      </w:r>
      <w:r w:rsidRPr="004C49DE">
        <w:rPr>
          <w:szCs w:val="22"/>
          <w:lang w:val="es-ES_tradnl" w:eastAsia="en-US"/>
        </w:rPr>
        <w:t>000 francos CFA</w:t>
      </w:r>
      <w:r w:rsidR="00BB7BBB" w:rsidRPr="004C49DE">
        <w:rPr>
          <w:szCs w:val="22"/>
          <w:lang w:val="es-ES_tradnl" w:eastAsia="en-US"/>
        </w:rPr>
        <w:t>.</w:t>
      </w:r>
    </w:p>
    <w:p w14:paraId="38E574AF" w14:textId="6675DBCF"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Garantizar la ejecución eficaz del Plan de Acción Nacional relativo a la resolución 1325, con relación a la aplicación de la Convención, y velar por que las víctimas de delitos sexuales reciban una reparación y una rehabilitación adecuadas mediante, entre otras cosas, la movilización de financiación internacional para tal efecto (véase </w:t>
      </w:r>
      <w:hyperlink r:id="rId5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h))</w:t>
      </w:r>
      <w:r w:rsidR="00BB7BBB" w:rsidRPr="004C49DE">
        <w:rPr>
          <w:b/>
          <w:szCs w:val="22"/>
          <w:lang w:val="es-ES_tradnl" w:eastAsia="en-US"/>
        </w:rPr>
        <w:t>.</w:t>
      </w:r>
    </w:p>
    <w:p w14:paraId="2E0F20EC" w14:textId="044446A9"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sección de Côte d</w:t>
      </w:r>
      <w:r w:rsidR="004C49DE">
        <w:rPr>
          <w:szCs w:val="22"/>
          <w:lang w:val="es-ES_tradnl" w:eastAsia="en-US"/>
        </w:rPr>
        <w:t>’</w:t>
      </w:r>
      <w:r w:rsidRPr="004C49DE">
        <w:rPr>
          <w:szCs w:val="22"/>
          <w:lang w:val="es-ES_tradnl" w:eastAsia="en-US"/>
        </w:rPr>
        <w:t>Ivoire de la red de paz y seguridad del espacio de la CEDEAO llevó a cabo distintas iniciativas a favor de la resolución 1325</w:t>
      </w:r>
      <w:r w:rsidR="00BB7BBB" w:rsidRPr="004C49DE">
        <w:rPr>
          <w:szCs w:val="22"/>
          <w:lang w:val="es-ES_tradnl" w:eastAsia="en-US"/>
        </w:rPr>
        <w:t>.</w:t>
      </w:r>
      <w:r w:rsidRPr="004C49DE">
        <w:rPr>
          <w:szCs w:val="22"/>
          <w:lang w:val="es-ES_tradnl" w:eastAsia="en-US"/>
        </w:rPr>
        <w:t xml:space="preserve"> En 2014, elaboró, en colaboración con la Oficina de las Naciones Unidas para África Occidental, fichas didácticas sobre la resolución 1325 con el objeto de mejorar su divulgación</w:t>
      </w:r>
      <w:r w:rsidR="00BB7BBB" w:rsidRPr="004C49DE">
        <w:rPr>
          <w:szCs w:val="22"/>
          <w:lang w:val="es-ES_tradnl" w:eastAsia="en-US"/>
        </w:rPr>
        <w:t>.</w:t>
      </w:r>
      <w:r w:rsidRPr="004C49DE">
        <w:rPr>
          <w:szCs w:val="22"/>
          <w:lang w:val="es-ES_tradnl" w:eastAsia="en-US"/>
        </w:rPr>
        <w:t xml:space="preserve"> La red celebró un pequeño taller de desarrollo de la capacidad para las </w:t>
      </w:r>
      <w:r w:rsidR="00D05639" w:rsidRPr="004C49DE">
        <w:rPr>
          <w:szCs w:val="22"/>
          <w:lang w:val="es-ES_tradnl" w:eastAsia="en-US"/>
        </w:rPr>
        <w:t>organizaciones de la sociedad civil</w:t>
      </w:r>
      <w:r w:rsidR="00D05639" w:rsidRPr="004C49DE" w:rsidDel="00D05639">
        <w:rPr>
          <w:szCs w:val="22"/>
          <w:lang w:val="es-ES_tradnl" w:eastAsia="en-US"/>
        </w:rPr>
        <w:t xml:space="preserve"> </w:t>
      </w:r>
      <w:r w:rsidRPr="004C49DE">
        <w:rPr>
          <w:szCs w:val="22"/>
          <w:lang w:val="es-ES_tradnl" w:eastAsia="en-US"/>
        </w:rPr>
        <w:t>de mujeres acerca de las resoluciones del Consejo de Seguridad de las Naciones Unidas 1325 y 1820, y presentó la base de datos sobre el género, la mujer, la paz y la seguridad el 13 de febrero de 2014</w:t>
      </w:r>
      <w:r w:rsidR="00BB7BBB" w:rsidRPr="004C49DE">
        <w:rPr>
          <w:szCs w:val="22"/>
          <w:lang w:val="es-ES_tradnl" w:eastAsia="en-US"/>
        </w:rPr>
        <w:t>.</w:t>
      </w:r>
    </w:p>
    <w:p w14:paraId="6D249CD2" w14:textId="527E76CE"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Aumentar la inclusión y la representación de las mujeres en las instituciones y los mecanismos para la consolidación de la paz en los niveles de la toma de decisiones, la formulación de políticas y la ejecución (véase </w:t>
      </w:r>
      <w:hyperlink r:id="rId5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i))</w:t>
      </w:r>
      <w:r w:rsidR="00BB7BBB" w:rsidRPr="004C49DE">
        <w:rPr>
          <w:b/>
          <w:szCs w:val="22"/>
          <w:lang w:val="es-ES_tradnl" w:eastAsia="en-US"/>
        </w:rPr>
        <w:t>.</w:t>
      </w:r>
    </w:p>
    <w:p w14:paraId="30A10AB8" w14:textId="11497713"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Comisión para el Diálogo, la Verdad y la Reconciliación, creada para la reparación de las víctimas y la reconciliación de la población de Côte d</w:t>
      </w:r>
      <w:r w:rsidR="004C49DE">
        <w:rPr>
          <w:szCs w:val="22"/>
          <w:lang w:val="es-ES_tradnl" w:eastAsia="en-US"/>
        </w:rPr>
        <w:t>’</w:t>
      </w:r>
      <w:r w:rsidRPr="004C49DE">
        <w:rPr>
          <w:szCs w:val="22"/>
          <w:lang w:val="es-ES_tradnl" w:eastAsia="en-US"/>
        </w:rPr>
        <w:t>Ivoire, contaba con un 36,36% de mujeres entre sus miembros</w:t>
      </w:r>
      <w:r w:rsidR="00BB7BBB" w:rsidRPr="004C49DE">
        <w:rPr>
          <w:szCs w:val="22"/>
          <w:lang w:val="es-ES_tradnl" w:eastAsia="en-US"/>
        </w:rPr>
        <w:t>.</w:t>
      </w:r>
      <w:r w:rsidRPr="004C49DE">
        <w:rPr>
          <w:szCs w:val="22"/>
          <w:lang w:val="es-ES_tradnl" w:eastAsia="en-US"/>
        </w:rPr>
        <w:t xml:space="preserve"> En el Gobierno actual, el cargo de Ministro de Cohesión social e Indemnización de las Víctimas lo ocupa una </w:t>
      </w:r>
      <w:r w:rsidRPr="004C49DE">
        <w:rPr>
          <w:szCs w:val="22"/>
          <w:lang w:val="es-ES_tradnl" w:eastAsia="en-US"/>
        </w:rPr>
        <w:lastRenderedPageBreak/>
        <w:t>mujer</w:t>
      </w:r>
      <w:r w:rsidR="00BB7BBB" w:rsidRPr="004C49DE">
        <w:rPr>
          <w:szCs w:val="22"/>
          <w:lang w:val="es-ES_tradnl" w:eastAsia="en-US"/>
        </w:rPr>
        <w:t>.</w:t>
      </w:r>
      <w:r w:rsidRPr="004C49DE">
        <w:rPr>
          <w:szCs w:val="22"/>
          <w:lang w:val="es-ES_tradnl" w:eastAsia="en-US"/>
        </w:rPr>
        <w:t xml:space="preserve"> Las mujeres entraron a formar parte de la Policía Nacional de Côte d</w:t>
      </w:r>
      <w:r w:rsidR="004C49DE">
        <w:rPr>
          <w:szCs w:val="22"/>
          <w:lang w:val="es-ES_tradnl" w:eastAsia="en-US"/>
        </w:rPr>
        <w:t>’</w:t>
      </w:r>
      <w:r w:rsidRPr="004C49DE">
        <w:rPr>
          <w:szCs w:val="22"/>
          <w:lang w:val="es-ES_tradnl" w:eastAsia="en-US"/>
        </w:rPr>
        <w:t>Ivoire en 1987</w:t>
      </w:r>
      <w:r w:rsidR="00BB7BBB" w:rsidRPr="004C49DE">
        <w:rPr>
          <w:szCs w:val="22"/>
          <w:lang w:val="es-ES_tradnl" w:eastAsia="en-US"/>
        </w:rPr>
        <w:t>.</w:t>
      </w:r>
      <w:r w:rsidRPr="004C49DE">
        <w:rPr>
          <w:szCs w:val="22"/>
          <w:lang w:val="es-ES_tradnl" w:eastAsia="en-US"/>
        </w:rPr>
        <w:t xml:space="preserve"> En una dotación de efectivos constituida por 457 comisarios, hay un total de 52 comisarias</w:t>
      </w:r>
      <w:r w:rsidR="00BB7BBB" w:rsidRPr="004C49DE">
        <w:rPr>
          <w:szCs w:val="22"/>
          <w:lang w:val="es-ES_tradnl" w:eastAsia="en-US"/>
        </w:rPr>
        <w:t>.</w:t>
      </w:r>
      <w:r w:rsidRPr="004C49DE">
        <w:rPr>
          <w:szCs w:val="22"/>
          <w:lang w:val="es-ES_tradnl" w:eastAsia="en-US"/>
        </w:rPr>
        <w:t xml:space="preserve"> Las mujeres ocupan 15 puestos con funciones de adopción de decisiones de un total de 237, es decir, el 6%</w:t>
      </w:r>
      <w:r w:rsidR="00BB7BBB" w:rsidRPr="004C49DE">
        <w:rPr>
          <w:szCs w:val="22"/>
          <w:lang w:val="es-ES_tradnl" w:eastAsia="en-US"/>
        </w:rPr>
        <w:t>.</w:t>
      </w:r>
      <w:r w:rsidRPr="004C49DE">
        <w:rPr>
          <w:szCs w:val="22"/>
          <w:lang w:val="es-ES_tradnl" w:eastAsia="en-US"/>
        </w:rPr>
        <w:t xml:space="preserve"> En 2011, se nombró a la primera Directora Administrativa de la Policía Nacional</w:t>
      </w:r>
      <w:r w:rsidR="00BB7BBB" w:rsidRPr="004C49DE">
        <w:rPr>
          <w:szCs w:val="22"/>
          <w:lang w:val="es-ES_tradnl" w:eastAsia="en-US"/>
        </w:rPr>
        <w:t>.</w:t>
      </w:r>
      <w:r w:rsidRPr="004C49DE">
        <w:rPr>
          <w:szCs w:val="22"/>
          <w:lang w:val="es-ES_tradnl" w:eastAsia="en-US"/>
        </w:rPr>
        <w:t xml:space="preserve"> En 2012, se nombró a la primera jefa de distrito y, en estos momentos, hay dos jefas de distrito</w:t>
      </w:r>
      <w:r w:rsidR="00BB7BBB" w:rsidRPr="004C49DE">
        <w:rPr>
          <w:szCs w:val="22"/>
          <w:lang w:val="es-ES_tradnl" w:eastAsia="en-US"/>
        </w:rPr>
        <w:t>.</w:t>
      </w:r>
      <w:r w:rsidRPr="004C49DE">
        <w:rPr>
          <w:szCs w:val="22"/>
          <w:lang w:val="es-ES_tradnl" w:eastAsia="en-US"/>
        </w:rPr>
        <w:t xml:space="preserve"> El nombramiento de la primera Directora General Adjunta tuvo lugar en 2015</w:t>
      </w:r>
      <w:r w:rsidR="00BB7BBB" w:rsidRPr="004C49DE">
        <w:rPr>
          <w:szCs w:val="22"/>
          <w:lang w:val="es-ES_tradnl" w:eastAsia="en-US"/>
        </w:rPr>
        <w:t>.</w:t>
      </w:r>
      <w:r w:rsidRPr="004C49DE">
        <w:rPr>
          <w:szCs w:val="22"/>
          <w:lang w:val="es-ES_tradnl" w:eastAsia="en-US"/>
        </w:rPr>
        <w:t xml:space="preserve"> Por tanto, las mujeres ocupan el 6% de los puestos con responsabilidades de toma de decisiones</w:t>
      </w:r>
      <w:r w:rsidR="00BB7BBB" w:rsidRPr="004C49DE">
        <w:rPr>
          <w:szCs w:val="22"/>
          <w:lang w:val="es-ES_tradnl" w:eastAsia="en-US"/>
        </w:rPr>
        <w:t>.</w:t>
      </w:r>
    </w:p>
    <w:p w14:paraId="5500FA39" w14:textId="66AB51D2"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marco del proyecto Apoyo a las Iniciativas Comunitarias de las Mujeres</w:t>
      </w:r>
      <w:r w:rsidR="001A14E9" w:rsidRPr="004C49DE">
        <w:rPr>
          <w:szCs w:val="22"/>
          <w:lang w:val="es-ES_tradnl" w:eastAsia="en-US"/>
        </w:rPr>
        <w:t xml:space="preserve"> </w:t>
      </w:r>
      <w:r w:rsidRPr="004C49DE">
        <w:rPr>
          <w:szCs w:val="22"/>
          <w:lang w:val="es-ES_tradnl" w:eastAsia="en-US"/>
        </w:rPr>
        <w:t>a Favor de la Reconciliación y la Paz en Côte d</w:t>
      </w:r>
      <w:r w:rsidR="004C49DE">
        <w:rPr>
          <w:szCs w:val="22"/>
          <w:lang w:val="es-ES_tradnl" w:eastAsia="en-US"/>
        </w:rPr>
        <w:t>’</w:t>
      </w:r>
      <w:r w:rsidRPr="004C49DE">
        <w:rPr>
          <w:szCs w:val="22"/>
          <w:lang w:val="es-ES_tradnl" w:eastAsia="en-US"/>
        </w:rPr>
        <w:t>Ivoire, financiado por el Fondo para la Consolidación de la Paz en 2014</w:t>
      </w:r>
      <w:r w:rsidR="001A14E9" w:rsidRPr="004C49DE">
        <w:rPr>
          <w:szCs w:val="22"/>
          <w:lang w:val="es-ES_tradnl" w:eastAsia="en-US"/>
        </w:rPr>
        <w:noBreakHyphen/>
      </w:r>
      <w:r w:rsidRPr="004C49DE">
        <w:rPr>
          <w:szCs w:val="22"/>
          <w:lang w:val="es-ES_tradnl" w:eastAsia="en-US"/>
        </w:rPr>
        <w:t xml:space="preserve">2015, se crearon seis </w:t>
      </w:r>
      <w:r w:rsidR="004C49DE">
        <w:rPr>
          <w:szCs w:val="22"/>
          <w:lang w:val="es-ES_tradnl" w:eastAsia="en-US"/>
        </w:rPr>
        <w:t>“</w:t>
      </w:r>
      <w:r w:rsidRPr="004C49DE">
        <w:rPr>
          <w:szCs w:val="22"/>
          <w:lang w:val="es-ES_tradnl" w:eastAsia="en-US"/>
        </w:rPr>
        <w:t>espacios seguros de las mujeres para la paz</w:t>
      </w:r>
      <w:r w:rsidR="004C49DE">
        <w:rPr>
          <w:szCs w:val="22"/>
          <w:lang w:val="es-ES_tradnl" w:eastAsia="en-US"/>
        </w:rPr>
        <w:t>”</w:t>
      </w:r>
      <w:r w:rsidRPr="004C49DE">
        <w:rPr>
          <w:szCs w:val="22"/>
          <w:lang w:val="es-ES_tradnl" w:eastAsia="en-US"/>
        </w:rPr>
        <w:t xml:space="preserve"> o </w:t>
      </w:r>
      <w:r w:rsidR="004C49DE">
        <w:rPr>
          <w:szCs w:val="22"/>
          <w:lang w:val="es-ES_tradnl" w:eastAsia="en-US"/>
        </w:rPr>
        <w:t>“</w:t>
      </w:r>
      <w:r w:rsidRPr="004C49DE">
        <w:rPr>
          <w:szCs w:val="22"/>
          <w:lang w:val="es-ES_tradnl" w:eastAsia="en-US"/>
        </w:rPr>
        <w:t>Women Friendly Space</w:t>
      </w:r>
      <w:r w:rsidR="004C49DE">
        <w:rPr>
          <w:szCs w:val="22"/>
          <w:lang w:val="es-ES_tradnl" w:eastAsia="en-US"/>
        </w:rPr>
        <w:t>”</w:t>
      </w:r>
      <w:r w:rsidRPr="004C49DE">
        <w:rPr>
          <w:szCs w:val="22"/>
          <w:lang w:val="es-ES_tradnl" w:eastAsia="en-US"/>
        </w:rPr>
        <w:t xml:space="preserve"> en zonas del oeste de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p>
    <w:p w14:paraId="7DB1CF48" w14:textId="58A0A68F"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Facilitar la cooperación con la Corte Penal Internacional y considerar la posibilidad de ratificar el Estatuto de Roma de la Corte Penal Internacional (véase </w:t>
      </w:r>
      <w:hyperlink r:id="rId6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29 j))</w:t>
      </w:r>
      <w:r w:rsidR="00BB7BBB" w:rsidRPr="004C49DE">
        <w:rPr>
          <w:b/>
          <w:szCs w:val="22"/>
          <w:lang w:val="es-ES_tradnl" w:eastAsia="en-US"/>
        </w:rPr>
        <w:t>.</w:t>
      </w:r>
    </w:p>
    <w:p w14:paraId="296A0634" w14:textId="4F7589D3"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Côte d</w:t>
      </w:r>
      <w:r w:rsidR="004C49DE">
        <w:rPr>
          <w:szCs w:val="22"/>
          <w:lang w:val="es-ES_tradnl" w:eastAsia="en-US"/>
        </w:rPr>
        <w:t>’</w:t>
      </w:r>
      <w:r w:rsidRPr="004C49DE">
        <w:rPr>
          <w:szCs w:val="22"/>
          <w:lang w:val="es-ES_tradnl" w:eastAsia="en-US"/>
        </w:rPr>
        <w:t>Ivoire ratificó el Estatuto de Roma, por el que se instaura la Corte Penal Internacional, en 2013</w:t>
      </w:r>
      <w:r w:rsidR="00BB7BBB" w:rsidRPr="004C49DE">
        <w:rPr>
          <w:szCs w:val="22"/>
          <w:lang w:val="es-ES_tradnl" w:eastAsia="en-US"/>
        </w:rPr>
        <w:t>.</w:t>
      </w:r>
      <w:r w:rsidRPr="004C49DE">
        <w:rPr>
          <w:szCs w:val="22"/>
          <w:lang w:val="es-ES_tradnl" w:eastAsia="en-US"/>
        </w:rPr>
        <w:t xml:space="preserve"> En este ámbito, dos dirigentes de Côte d</w:t>
      </w:r>
      <w:r w:rsidR="004C49DE">
        <w:rPr>
          <w:szCs w:val="22"/>
          <w:lang w:val="es-ES_tradnl" w:eastAsia="en-US"/>
        </w:rPr>
        <w:t>’</w:t>
      </w:r>
      <w:r w:rsidRPr="004C49DE">
        <w:rPr>
          <w:szCs w:val="22"/>
          <w:lang w:val="es-ES_tradnl" w:eastAsia="en-US"/>
        </w:rPr>
        <w:t>Ivoire fueron llevados ante la CPI y su juicio está en curso</w:t>
      </w:r>
      <w:r w:rsidR="00BB7BBB" w:rsidRPr="004C49DE">
        <w:rPr>
          <w:szCs w:val="22"/>
          <w:lang w:val="es-ES_tradnl" w:eastAsia="en-US"/>
        </w:rPr>
        <w:t>.</w:t>
      </w:r>
    </w:p>
    <w:p w14:paraId="637CB4E8" w14:textId="77777777" w:rsidR="00991490" w:rsidRPr="004C49DE" w:rsidRDefault="00991490" w:rsidP="00BB7BBB">
      <w:pPr>
        <w:pStyle w:val="SingleTxt"/>
        <w:suppressAutoHyphens w:val="0"/>
        <w:spacing w:after="0" w:line="120" w:lineRule="exact"/>
        <w:rPr>
          <w:sz w:val="10"/>
          <w:szCs w:val="10"/>
          <w:lang w:val="es-ES_tradnl"/>
        </w:rPr>
      </w:pPr>
    </w:p>
    <w:p w14:paraId="42351514"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Trata y explotación de la prostitución</w:t>
      </w:r>
    </w:p>
    <w:p w14:paraId="09767038" w14:textId="77777777" w:rsidR="00991490" w:rsidRPr="004C49DE" w:rsidRDefault="00991490" w:rsidP="00BB7BBB">
      <w:pPr>
        <w:pStyle w:val="SingleTxt"/>
        <w:suppressAutoHyphens w:val="0"/>
        <w:spacing w:after="0" w:line="120" w:lineRule="exact"/>
        <w:rPr>
          <w:sz w:val="10"/>
          <w:szCs w:val="10"/>
          <w:lang w:val="es-ES_tradnl"/>
        </w:rPr>
      </w:pPr>
    </w:p>
    <w:p w14:paraId="1FBBC08E" w14:textId="2622A11B"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Realizar un estudio para investigar el alcance, la importancia y las causas de la trata de personas y la prostitución forzada, en particular de mujeres, que comprenda la reunión y el análisis de datos sobre la trata y la explotación de mujeres en la prostitución, y proporcionar información sobre los resultados del estudio, junto con datos desglosados por sexo, en su próximo informe periódico (véase </w:t>
      </w:r>
      <w:hyperlink r:id="rId6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33 a))</w:t>
      </w:r>
      <w:r w:rsidR="00BB7BBB" w:rsidRPr="004C49DE">
        <w:rPr>
          <w:b/>
          <w:szCs w:val="22"/>
          <w:lang w:val="es-ES_tradnl" w:eastAsia="en-US"/>
        </w:rPr>
        <w:t>.</w:t>
      </w:r>
    </w:p>
    <w:p w14:paraId="1EFADDA8" w14:textId="1BD5FB11"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Centro para Programas de Comunicación de la Universidad Johns Hopkins realizó un estudio (2012)</w:t>
      </w:r>
      <w:r w:rsidRPr="004C49DE">
        <w:rPr>
          <w:szCs w:val="22"/>
          <w:vertAlign w:val="superscript"/>
          <w:lang w:val="es-ES_tradnl" w:eastAsia="en-US"/>
        </w:rPr>
        <w:footnoteReference w:id="10"/>
      </w:r>
      <w:r w:rsidRPr="004C49DE">
        <w:rPr>
          <w:szCs w:val="22"/>
          <w:lang w:val="es-ES_tradnl" w:eastAsia="en-US"/>
        </w:rPr>
        <w:t xml:space="preserve"> que reveló que las niñas que han abandonado la escuela y que no asisten a esta, en particular, tienen unas condiciones de vida difíciles con las que no pueden satisfacer adecuadamente sus necesidades básicas en materia de alimentación, vestimenta, salud, información y vivienda, y que, en ocasiones, están expuestas a la prostitución clandestina o profesional</w:t>
      </w:r>
      <w:r w:rsidR="00BB7BBB" w:rsidRPr="004C49DE">
        <w:rPr>
          <w:szCs w:val="22"/>
          <w:lang w:val="es-ES_tradnl" w:eastAsia="en-US"/>
        </w:rPr>
        <w:t>.</w:t>
      </w:r>
    </w:p>
    <w:p w14:paraId="49CA5B5D" w14:textId="755CE40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ALLIANCE CÔTE D</w:t>
      </w:r>
      <w:r w:rsidR="004C49DE">
        <w:rPr>
          <w:szCs w:val="22"/>
          <w:lang w:val="es-ES_tradnl" w:eastAsia="en-US"/>
        </w:rPr>
        <w:t>’</w:t>
      </w:r>
      <w:r w:rsidRPr="004C49DE">
        <w:rPr>
          <w:szCs w:val="22"/>
          <w:lang w:val="es-ES_tradnl" w:eastAsia="en-US"/>
        </w:rPr>
        <w:t>IVOIRE</w:t>
      </w:r>
      <w:r w:rsidRPr="004C49DE">
        <w:rPr>
          <w:szCs w:val="22"/>
          <w:vertAlign w:val="superscript"/>
          <w:lang w:val="es-ES_tradnl" w:eastAsia="en-US"/>
        </w:rPr>
        <w:footnoteReference w:id="11"/>
      </w:r>
      <w:r w:rsidRPr="004C49DE">
        <w:rPr>
          <w:szCs w:val="22"/>
          <w:lang w:val="es-ES_tradnl" w:eastAsia="en-US"/>
        </w:rPr>
        <w:t xml:space="preserve"> llevó a cabo otro estudio en Abiyán en 2015 acerca de la vulnerabilidad socioeconómica de las niñas vulnerables a la explotación sexual</w:t>
      </w:r>
      <w:r w:rsidR="00BB7BBB" w:rsidRPr="004C49DE">
        <w:rPr>
          <w:szCs w:val="22"/>
          <w:lang w:val="es-ES_tradnl" w:eastAsia="en-US"/>
        </w:rPr>
        <w:t>.</w:t>
      </w:r>
      <w:r w:rsidRPr="004C49DE">
        <w:rPr>
          <w:szCs w:val="22"/>
          <w:lang w:val="es-ES_tradnl" w:eastAsia="en-US"/>
        </w:rPr>
        <w:t xml:space="preserve"> El estudio revela que tanto niñas de 11 años (el 0,9%) como niñas mayores de 18 años (el 38,1%) practican trabajos sexuales, siendo la edad mediana de 17</w:t>
      </w:r>
      <w:r w:rsidR="000B74F3" w:rsidRPr="004C49DE">
        <w:rPr>
          <w:szCs w:val="22"/>
          <w:lang w:val="es-ES_tradnl" w:eastAsia="en-US"/>
        </w:rPr>
        <w:t> </w:t>
      </w:r>
      <w:r w:rsidRPr="004C49DE">
        <w:rPr>
          <w:szCs w:val="22"/>
          <w:lang w:val="es-ES_tradnl" w:eastAsia="en-US"/>
        </w:rPr>
        <w:t>años</w:t>
      </w:r>
      <w:r w:rsidR="00BB7BBB" w:rsidRPr="004C49DE">
        <w:rPr>
          <w:szCs w:val="22"/>
          <w:lang w:val="es-ES_tradnl" w:eastAsia="en-US"/>
        </w:rPr>
        <w:t>.</w:t>
      </w:r>
      <w:r w:rsidRPr="004C49DE">
        <w:rPr>
          <w:szCs w:val="22"/>
          <w:lang w:val="es-ES_tradnl" w:eastAsia="en-US"/>
        </w:rPr>
        <w:t xml:space="preserve"> Los ingresos de los padres de la mayoría de esas niñas (el 63%) son muy bajos y el 37% de ellas provienen de familias numerosas</w:t>
      </w:r>
      <w:r w:rsidR="00BB7BBB" w:rsidRPr="004C49DE">
        <w:rPr>
          <w:szCs w:val="22"/>
          <w:lang w:val="es-ES_tradnl" w:eastAsia="en-US"/>
        </w:rPr>
        <w:t>.</w:t>
      </w:r>
      <w:r w:rsidRPr="004C49DE">
        <w:rPr>
          <w:szCs w:val="22"/>
          <w:lang w:val="es-ES_tradnl" w:eastAsia="en-US"/>
        </w:rPr>
        <w:t xml:space="preserve"> Se trata mayoritariamente de mujeres de nacionalidad de Côte d</w:t>
      </w:r>
      <w:r w:rsidR="004C49DE">
        <w:rPr>
          <w:szCs w:val="22"/>
          <w:lang w:val="es-ES_tradnl" w:eastAsia="en-US"/>
        </w:rPr>
        <w:t>’</w:t>
      </w:r>
      <w:r w:rsidRPr="004C49DE">
        <w:rPr>
          <w:szCs w:val="22"/>
          <w:lang w:val="es-ES_tradnl" w:eastAsia="en-US"/>
        </w:rPr>
        <w:t>Ivoire, el 72%, frente a un 28% de extranjeras</w:t>
      </w:r>
      <w:r w:rsidR="00BB7BBB" w:rsidRPr="004C49DE">
        <w:rPr>
          <w:szCs w:val="22"/>
          <w:lang w:val="es-ES_tradnl" w:eastAsia="en-US"/>
        </w:rPr>
        <w:t>.</w:t>
      </w:r>
      <w:r w:rsidRPr="004C49DE">
        <w:rPr>
          <w:szCs w:val="22"/>
          <w:lang w:val="es-ES_tradnl" w:eastAsia="en-US"/>
        </w:rPr>
        <w:t xml:space="preserve"> A menudo consumen alcohol (45,5%) y, en ocasiones, drogas (11,7%)</w:t>
      </w:r>
      <w:r w:rsidR="00BB7BBB" w:rsidRPr="004C49DE">
        <w:rPr>
          <w:szCs w:val="22"/>
          <w:lang w:val="es-ES_tradnl" w:eastAsia="en-US"/>
        </w:rPr>
        <w:t>.</w:t>
      </w:r>
      <w:r w:rsidRPr="004C49DE">
        <w:rPr>
          <w:szCs w:val="22"/>
          <w:lang w:val="es-ES_tradnl" w:eastAsia="en-US"/>
        </w:rPr>
        <w:t xml:space="preserve"> Las niñas acceden a la prostitución de diferentes formas</w:t>
      </w:r>
      <w:r w:rsidR="00BB7BBB" w:rsidRPr="004C49DE">
        <w:rPr>
          <w:szCs w:val="22"/>
          <w:lang w:val="es-ES_tradnl" w:eastAsia="en-US"/>
        </w:rPr>
        <w:t>.</w:t>
      </w:r>
      <w:r w:rsidRPr="004C49DE">
        <w:rPr>
          <w:szCs w:val="22"/>
          <w:lang w:val="es-ES_tradnl" w:eastAsia="en-US"/>
        </w:rPr>
        <w:t xml:space="preserve"> El 46,6% entran en ella de manera voluntaria, el 40,7% son inducidas a ello y el 5,8% de estas niñas lo hacen por obligación</w:t>
      </w:r>
      <w:r w:rsidR="00BB7BBB" w:rsidRPr="004C49DE">
        <w:rPr>
          <w:szCs w:val="22"/>
          <w:lang w:val="es-ES_tradnl" w:eastAsia="en-US"/>
        </w:rPr>
        <w:t>.</w:t>
      </w:r>
      <w:r w:rsidRPr="004C49DE">
        <w:rPr>
          <w:szCs w:val="22"/>
          <w:lang w:val="es-ES_tradnl" w:eastAsia="en-US"/>
        </w:rPr>
        <w:t xml:space="preserve"> A menudo son víctimas de la violencia, de tal forma que el 38,6% de</w:t>
      </w:r>
      <w:r w:rsidR="001A14E9" w:rsidRPr="004C49DE">
        <w:rPr>
          <w:szCs w:val="22"/>
          <w:lang w:val="es-ES_tradnl" w:eastAsia="en-US"/>
        </w:rPr>
        <w:t xml:space="preserve"> </w:t>
      </w:r>
      <w:r w:rsidRPr="004C49DE">
        <w:rPr>
          <w:szCs w:val="22"/>
          <w:lang w:val="es-ES_tradnl" w:eastAsia="en-US"/>
        </w:rPr>
        <w:t>ellas son maltratadas, siendo los malos tratos más habituales los siguientes: i)</w:t>
      </w:r>
      <w:r w:rsidR="001A14E9" w:rsidRPr="004C49DE">
        <w:rPr>
          <w:szCs w:val="22"/>
          <w:lang w:val="es-ES_tradnl" w:eastAsia="en-US"/>
        </w:rPr>
        <w:t xml:space="preserve"> </w:t>
      </w:r>
      <w:r w:rsidRPr="004C49DE">
        <w:rPr>
          <w:szCs w:val="22"/>
          <w:lang w:val="es-ES_tradnl" w:eastAsia="en-US"/>
        </w:rPr>
        <w:t>violencia física (47,4%); ii) ausencia de remuneración (27,4%); y iii) violencia sexual (18%)</w:t>
      </w:r>
      <w:r w:rsidR="00BB7BBB" w:rsidRPr="004C49DE">
        <w:rPr>
          <w:szCs w:val="22"/>
          <w:lang w:val="es-ES_tradnl" w:eastAsia="en-US"/>
        </w:rPr>
        <w:t>.</w:t>
      </w:r>
      <w:r w:rsidRPr="004C49DE">
        <w:rPr>
          <w:szCs w:val="22"/>
          <w:lang w:val="es-ES_tradnl" w:eastAsia="en-US"/>
        </w:rPr>
        <w:t xml:space="preserve"> Entre los agresores sobresalen los clientes (46,9%), seguidos de las personas desconocidas para las </w:t>
      </w:r>
      <w:r w:rsidRPr="004C49DE">
        <w:rPr>
          <w:szCs w:val="22"/>
          <w:lang w:val="es-ES_tradnl" w:eastAsia="en-US"/>
        </w:rPr>
        <w:lastRenderedPageBreak/>
        <w:t>víctimas (34,5%) y las fuerzas del orden (12,4%)</w:t>
      </w:r>
      <w:r w:rsidR="00BB7BBB" w:rsidRPr="004C49DE">
        <w:rPr>
          <w:szCs w:val="22"/>
          <w:lang w:val="es-ES_tradnl" w:eastAsia="en-US"/>
        </w:rPr>
        <w:t>.</w:t>
      </w:r>
      <w:r w:rsidRPr="004C49DE">
        <w:rPr>
          <w:szCs w:val="22"/>
          <w:lang w:val="es-ES_tradnl" w:eastAsia="en-US"/>
        </w:rPr>
        <w:t xml:space="preserve"> En la mitad de los casos de agresión, las trabajadoras sexuales no han tenido ningún tipo de ayuda; en el 18% de los casos, han recurrido a protectores; y en el 17,7%, a amigos</w:t>
      </w:r>
      <w:r w:rsidR="00BB7BBB" w:rsidRPr="004C49DE">
        <w:rPr>
          <w:szCs w:val="22"/>
          <w:lang w:val="es-ES_tradnl" w:eastAsia="en-US"/>
        </w:rPr>
        <w:t>.</w:t>
      </w:r>
      <w:r w:rsidRPr="004C49DE">
        <w:rPr>
          <w:szCs w:val="22"/>
          <w:lang w:val="es-ES_tradnl" w:eastAsia="en-US"/>
        </w:rPr>
        <w:t xml:space="preserve"> Cabe señalar que el 36,7% de estas niñas nunca se han sometido a la prueba de detección del VIH</w:t>
      </w:r>
      <w:r w:rsidR="00BB7BBB" w:rsidRPr="004C49DE">
        <w:rPr>
          <w:szCs w:val="22"/>
          <w:lang w:val="es-ES_tradnl" w:eastAsia="en-US"/>
        </w:rPr>
        <w:t>.</w:t>
      </w:r>
    </w:p>
    <w:p w14:paraId="731FCF08" w14:textId="198B4487"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Aprobar una ley general sobre la trata que cumpla plenamente lo dispuesto en el artículo 6 de la Convención, con miras a reforzar los mecanismos para la investigación, el enjuiciamiento y el castigo de los autores de la trata (véase </w:t>
      </w:r>
      <w:hyperlink r:id="rId62"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33 b))</w:t>
      </w:r>
      <w:r w:rsidR="00BB7BBB" w:rsidRPr="004C49DE">
        <w:rPr>
          <w:b/>
          <w:szCs w:val="22"/>
          <w:lang w:val="es-ES_tradnl" w:eastAsia="en-US"/>
        </w:rPr>
        <w:t>.</w:t>
      </w:r>
    </w:p>
    <w:p w14:paraId="26565FD1" w14:textId="77777777" w:rsidR="00554A8B" w:rsidRPr="004C49DE" w:rsidRDefault="00554A8B" w:rsidP="00BB7BBB">
      <w:pPr>
        <w:pStyle w:val="SingleTxt"/>
        <w:suppressAutoHyphens w:val="0"/>
        <w:spacing w:after="0" w:line="120" w:lineRule="exact"/>
        <w:rPr>
          <w:sz w:val="10"/>
          <w:szCs w:val="10"/>
          <w:lang w:val="es-ES_tradnl"/>
        </w:rPr>
      </w:pPr>
    </w:p>
    <w:p w14:paraId="5AA69CC8"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En el plano jurídico</w:t>
      </w:r>
    </w:p>
    <w:p w14:paraId="44D985EA" w14:textId="77777777" w:rsidR="00554A8B" w:rsidRPr="004C49DE" w:rsidRDefault="00554A8B" w:rsidP="00BB7BBB">
      <w:pPr>
        <w:pStyle w:val="SingleTxt"/>
        <w:suppressAutoHyphens w:val="0"/>
        <w:spacing w:after="0" w:line="120" w:lineRule="exact"/>
        <w:rPr>
          <w:sz w:val="10"/>
          <w:szCs w:val="10"/>
          <w:lang w:val="es-ES_tradnl"/>
        </w:rPr>
      </w:pPr>
    </w:p>
    <w:p w14:paraId="065C62B3" w14:textId="676C65AA"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Cabe señalar que el proceso de formulación de una ley sobre la trata de personas iniciado en 2014 llegó a una fase de gran relevancia</w:t>
      </w:r>
      <w:r w:rsidR="00BB7BBB" w:rsidRPr="004C49DE">
        <w:rPr>
          <w:szCs w:val="22"/>
          <w:lang w:val="es-ES_tradnl" w:eastAsia="en-US"/>
        </w:rPr>
        <w:t>.</w:t>
      </w:r>
      <w:r w:rsidRPr="004C49DE">
        <w:rPr>
          <w:szCs w:val="22"/>
          <w:lang w:val="es-ES_tradnl" w:eastAsia="en-US"/>
        </w:rPr>
        <w:t xml:space="preserve"> La ley fue aprobada el 7 de diciembre de 2016 y está pendiente de promulgación</w:t>
      </w:r>
      <w:r w:rsidR="00BB7BBB" w:rsidRPr="004C49DE">
        <w:rPr>
          <w:szCs w:val="22"/>
          <w:lang w:val="es-ES_tradnl" w:eastAsia="en-US"/>
        </w:rPr>
        <w:t>.</w:t>
      </w:r>
      <w:r w:rsidRPr="004C49DE">
        <w:rPr>
          <w:szCs w:val="22"/>
          <w:lang w:val="es-ES_tradnl" w:eastAsia="en-US"/>
        </w:rPr>
        <w:t xml:space="preserve"> Esta ley responde a la necesidad de </w:t>
      </w:r>
      <w:r w:rsidR="004C49DE">
        <w:rPr>
          <w:szCs w:val="22"/>
          <w:lang w:val="es-ES_tradnl" w:eastAsia="en-US"/>
        </w:rPr>
        <w:t>“</w:t>
      </w:r>
      <w:r w:rsidRPr="004C49DE">
        <w:rPr>
          <w:szCs w:val="22"/>
          <w:lang w:val="es-ES_tradnl" w:eastAsia="en-US"/>
        </w:rPr>
        <w:t>prevenir y castigar la trata y la explotación de personas, en particular de niñas, un problema de grandes proporciones en Côte d</w:t>
      </w:r>
      <w:r w:rsidR="004C49DE">
        <w:rPr>
          <w:szCs w:val="22"/>
          <w:lang w:val="es-ES_tradnl" w:eastAsia="en-US"/>
        </w:rPr>
        <w:t>’</w:t>
      </w:r>
      <w:r w:rsidRPr="004C49DE">
        <w:rPr>
          <w:szCs w:val="22"/>
          <w:lang w:val="es-ES_tradnl" w:eastAsia="en-US"/>
        </w:rPr>
        <w:t>Ivoire</w:t>
      </w:r>
      <w:r w:rsidR="004C49DE">
        <w:rPr>
          <w:szCs w:val="22"/>
          <w:lang w:val="es-ES_tradnl" w:eastAsia="en-US"/>
        </w:rPr>
        <w:t>”</w:t>
      </w:r>
      <w:r w:rsidR="00BB7BBB" w:rsidRPr="004C49DE">
        <w:rPr>
          <w:szCs w:val="22"/>
          <w:lang w:val="es-ES_tradnl" w:eastAsia="en-US"/>
        </w:rPr>
        <w:t>.</w:t>
      </w:r>
      <w:r w:rsidRPr="004C49DE">
        <w:rPr>
          <w:szCs w:val="22"/>
          <w:lang w:val="es-ES_tradnl" w:eastAsia="en-US"/>
        </w:rPr>
        <w:t xml:space="preserve"> La ley de la trata también define los actos que se consideran trata de personas: la explotación de personas, el trabajo forzoso, la explotación sexual, la explotación organizada, la mendicidad y el tráfico ilícito de migrantes</w:t>
      </w:r>
      <w:r w:rsidR="00BB7BBB" w:rsidRPr="004C49DE">
        <w:rPr>
          <w:szCs w:val="22"/>
          <w:lang w:val="es-ES_tradnl" w:eastAsia="en-US"/>
        </w:rPr>
        <w:t>.</w:t>
      </w:r>
      <w:r w:rsidRPr="004C49DE">
        <w:rPr>
          <w:szCs w:val="22"/>
          <w:lang w:val="es-ES_tradnl" w:eastAsia="en-US"/>
        </w:rPr>
        <w:t xml:space="preserve"> Existen otros instrumentos que permiten reforzar los mecanismos para la investigación y el enjuiciamiento de los autores de delitos de trata</w:t>
      </w:r>
      <w:r w:rsidR="00BB7BBB" w:rsidRPr="004C49DE">
        <w:rPr>
          <w:szCs w:val="22"/>
          <w:lang w:val="es-ES_tradnl" w:eastAsia="en-US"/>
        </w:rPr>
        <w:t>.</w:t>
      </w:r>
      <w:r w:rsidRPr="004C49DE">
        <w:rPr>
          <w:szCs w:val="22"/>
          <w:lang w:val="es-ES_tradnl" w:eastAsia="en-US"/>
        </w:rPr>
        <w:t xml:space="preserve"> Dichos instrumentos son:</w:t>
      </w:r>
    </w:p>
    <w:p w14:paraId="77F894C3" w14:textId="409AB5E6"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 xml:space="preserve">El </w:t>
      </w:r>
      <w:r w:rsidR="000C3123" w:rsidRPr="004C49DE">
        <w:rPr>
          <w:i/>
          <w:lang w:val="es-ES_tradnl"/>
        </w:rPr>
        <w:t>Decreto núm</w:t>
      </w:r>
      <w:r w:rsidR="00BB7BBB" w:rsidRPr="004C49DE">
        <w:rPr>
          <w:i/>
          <w:lang w:val="es-ES_tradnl"/>
        </w:rPr>
        <w:t>.</w:t>
      </w:r>
      <w:r w:rsidR="000C3123" w:rsidRPr="004C49DE">
        <w:rPr>
          <w:i/>
          <w:lang w:val="es-ES_tradnl"/>
        </w:rPr>
        <w:t xml:space="preserve"> 2013</w:t>
      </w:r>
      <w:r w:rsidR="001A14E9" w:rsidRPr="004C49DE">
        <w:rPr>
          <w:i/>
          <w:lang w:val="es-ES_tradnl"/>
        </w:rPr>
        <w:noBreakHyphen/>
      </w:r>
      <w:r w:rsidR="000C3123" w:rsidRPr="004C49DE">
        <w:rPr>
          <w:i/>
          <w:lang w:val="es-ES_tradnl"/>
        </w:rPr>
        <w:t>857, de 19 de diciembre de 2013, por el que se establece el Parlamento de la Infancia de Côte d</w:t>
      </w:r>
      <w:r w:rsidR="004C49DE">
        <w:rPr>
          <w:i/>
          <w:lang w:val="es-ES_tradnl"/>
        </w:rPr>
        <w:t>’</w:t>
      </w:r>
      <w:r w:rsidR="000C3123" w:rsidRPr="004C49DE">
        <w:rPr>
          <w:i/>
          <w:lang w:val="es-ES_tradnl"/>
        </w:rPr>
        <w:t>Ivoire</w:t>
      </w:r>
      <w:r w:rsidR="000C3123" w:rsidRPr="004C49DE">
        <w:rPr>
          <w:lang w:val="es-ES_tradnl"/>
        </w:rPr>
        <w:t>; este instrumento permite a los niños comprender sus derechos y participar en la prevención de las violaciones</w:t>
      </w:r>
      <w:r w:rsidR="00BB7BBB" w:rsidRPr="004C49DE">
        <w:rPr>
          <w:lang w:val="es-ES_tradnl"/>
        </w:rPr>
        <w:t>.</w:t>
      </w:r>
    </w:p>
    <w:p w14:paraId="166FF028" w14:textId="49142840"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 xml:space="preserve">El </w:t>
      </w:r>
      <w:r w:rsidR="000C3123" w:rsidRPr="004C49DE">
        <w:rPr>
          <w:i/>
          <w:lang w:val="es-ES_tradnl"/>
        </w:rPr>
        <w:t>Decreto núm</w:t>
      </w:r>
      <w:r w:rsidR="00BB7BBB" w:rsidRPr="004C49DE">
        <w:rPr>
          <w:i/>
          <w:lang w:val="es-ES_tradnl"/>
        </w:rPr>
        <w:t>.</w:t>
      </w:r>
      <w:r w:rsidR="000C3123" w:rsidRPr="004C49DE">
        <w:rPr>
          <w:i/>
          <w:lang w:val="es-ES_tradnl"/>
        </w:rPr>
        <w:t xml:space="preserve"> 2014</w:t>
      </w:r>
      <w:r w:rsidR="001A14E9" w:rsidRPr="004C49DE">
        <w:rPr>
          <w:i/>
          <w:lang w:val="es-ES_tradnl"/>
        </w:rPr>
        <w:noBreakHyphen/>
      </w:r>
      <w:r w:rsidR="000C3123" w:rsidRPr="004C49DE">
        <w:rPr>
          <w:i/>
          <w:lang w:val="es-ES_tradnl"/>
        </w:rPr>
        <w:t>290, de 21 de mayo de 2014, relativo a forma de aplicar la Ley núm</w:t>
      </w:r>
      <w:r w:rsidR="00BB7BBB" w:rsidRPr="004C49DE">
        <w:rPr>
          <w:i/>
          <w:lang w:val="es-ES_tradnl"/>
        </w:rPr>
        <w:t>.</w:t>
      </w:r>
      <w:r w:rsidR="000C3123" w:rsidRPr="004C49DE">
        <w:rPr>
          <w:i/>
          <w:lang w:val="es-ES_tradnl"/>
        </w:rPr>
        <w:t xml:space="preserve"> 2010</w:t>
      </w:r>
      <w:r w:rsidR="001A14E9" w:rsidRPr="004C49DE">
        <w:rPr>
          <w:i/>
          <w:lang w:val="es-ES_tradnl"/>
        </w:rPr>
        <w:noBreakHyphen/>
      </w:r>
      <w:r w:rsidR="000C3123" w:rsidRPr="004C49DE">
        <w:rPr>
          <w:i/>
          <w:lang w:val="es-ES_tradnl"/>
        </w:rPr>
        <w:t>272 sobre la prohibición de la trata y las peores formas de trabajo infantil</w:t>
      </w:r>
      <w:r w:rsidR="00BB7BBB" w:rsidRPr="004C49DE">
        <w:rPr>
          <w:lang w:val="es-ES_tradnl"/>
        </w:rPr>
        <w:t>.</w:t>
      </w:r>
    </w:p>
    <w:p w14:paraId="5F5CF6FC" w14:textId="77777777" w:rsidR="00554A8B" w:rsidRPr="004C49DE" w:rsidRDefault="00554A8B" w:rsidP="00BB7BBB">
      <w:pPr>
        <w:pStyle w:val="SingleTxt"/>
        <w:suppressAutoHyphens w:val="0"/>
        <w:spacing w:after="0" w:line="120" w:lineRule="exact"/>
        <w:rPr>
          <w:sz w:val="10"/>
          <w:szCs w:val="10"/>
          <w:lang w:val="es-ES_tradnl"/>
        </w:rPr>
      </w:pPr>
    </w:p>
    <w:p w14:paraId="0F1F4BD5"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En el plano institucional</w:t>
      </w:r>
    </w:p>
    <w:p w14:paraId="3EACEE6A" w14:textId="77777777" w:rsidR="00554A8B" w:rsidRPr="004C49DE" w:rsidRDefault="00554A8B" w:rsidP="00BB7BBB">
      <w:pPr>
        <w:pStyle w:val="SingleTxt"/>
        <w:suppressAutoHyphens w:val="0"/>
        <w:spacing w:after="0" w:line="120" w:lineRule="exact"/>
        <w:rPr>
          <w:sz w:val="10"/>
          <w:szCs w:val="10"/>
          <w:lang w:val="es-ES_tradnl"/>
        </w:rPr>
      </w:pPr>
    </w:p>
    <w:p w14:paraId="0B432FA7" w14:textId="739595A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2015, se elaboró un documento de estrategia nacional sobre la trata de personas y un plan de acción para 5 años</w:t>
      </w:r>
      <w:r w:rsidR="00BB7BBB" w:rsidRPr="004C49DE">
        <w:rPr>
          <w:szCs w:val="22"/>
          <w:lang w:val="es-ES_tradnl" w:eastAsia="en-US"/>
        </w:rPr>
        <w:t>.</w:t>
      </w:r>
      <w:r w:rsidRPr="004C49DE">
        <w:rPr>
          <w:szCs w:val="22"/>
          <w:lang w:val="es-ES_tradnl" w:eastAsia="en-US"/>
        </w:rPr>
        <w:t xml:space="preserve"> Estos instrumentos prestan apoyo al documento de la Política Nacional para la Protección de la Infancia, con el objeto de fortalecer los mecanismos de protección de las personas</w:t>
      </w:r>
      <w:r w:rsidR="00BB7BBB" w:rsidRPr="004C49DE">
        <w:rPr>
          <w:szCs w:val="22"/>
          <w:lang w:val="es-ES_tradnl" w:eastAsia="en-US"/>
        </w:rPr>
        <w:t>.</w:t>
      </w:r>
    </w:p>
    <w:p w14:paraId="25FDF527" w14:textId="74B1E612"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Para ello, se crearon dos comités y un programa destinados a luchar contra la trata de niños y la explotación y el trabajo infantiles</w:t>
      </w:r>
      <w:r w:rsidR="00BB7BBB" w:rsidRPr="004C49DE">
        <w:rPr>
          <w:szCs w:val="22"/>
          <w:lang w:val="es-ES_tradnl" w:eastAsia="en-US"/>
        </w:rPr>
        <w:t>.</w:t>
      </w:r>
      <w:r w:rsidRPr="004C49DE">
        <w:rPr>
          <w:szCs w:val="22"/>
          <w:lang w:val="es-ES_tradnl" w:eastAsia="en-US"/>
        </w:rPr>
        <w:t xml:space="preserve"> Dichos instrumentos son:</w:t>
      </w:r>
    </w:p>
    <w:p w14:paraId="1542E5B1" w14:textId="625E4D42"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El Comité Interministerial de Lucha contra la Trata de Niños y la Explotación y el Trabajo Infantiles, en virtud del Decreto núm</w:t>
      </w:r>
      <w:r w:rsidR="00BB7BBB" w:rsidRPr="004C49DE">
        <w:rPr>
          <w:lang w:val="es-ES_tradnl"/>
        </w:rPr>
        <w:t>.</w:t>
      </w:r>
      <w:r w:rsidR="000C3123" w:rsidRPr="004C49DE">
        <w:rPr>
          <w:lang w:val="es-ES_tradnl"/>
        </w:rPr>
        <w:t xml:space="preserve"> 2011</w:t>
      </w:r>
      <w:r w:rsidR="001A14E9" w:rsidRPr="004C49DE">
        <w:rPr>
          <w:lang w:val="es-ES_tradnl"/>
        </w:rPr>
        <w:noBreakHyphen/>
      </w:r>
      <w:r w:rsidR="000C3123" w:rsidRPr="004C49DE">
        <w:rPr>
          <w:lang w:val="es-ES_tradnl"/>
        </w:rPr>
        <w:t>365, de 3 de noviembre de 2011</w:t>
      </w:r>
      <w:r w:rsidR="00BB7BBB" w:rsidRPr="004C49DE">
        <w:rPr>
          <w:lang w:val="es-ES_tradnl"/>
        </w:rPr>
        <w:t>.</w:t>
      </w:r>
    </w:p>
    <w:p w14:paraId="4272780A" w14:textId="21999381"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El Comité Nacional de Supervisión para las Actividades contra la Trata de Niños y la Explotación y el Trabajo Infantiles, en virtud del Decreto núm</w:t>
      </w:r>
      <w:r w:rsidR="00BB7BBB" w:rsidRPr="004C49DE">
        <w:rPr>
          <w:lang w:val="es-ES_tradnl"/>
        </w:rPr>
        <w:t>.</w:t>
      </w:r>
      <w:r w:rsidR="000C3123" w:rsidRPr="004C49DE">
        <w:rPr>
          <w:lang w:val="es-ES_tradnl"/>
        </w:rPr>
        <w:t xml:space="preserve"> 2011</w:t>
      </w:r>
      <w:r w:rsidR="001A14E9" w:rsidRPr="004C49DE">
        <w:rPr>
          <w:lang w:val="es-ES_tradnl"/>
        </w:rPr>
        <w:noBreakHyphen/>
      </w:r>
      <w:r w:rsidR="000C3123" w:rsidRPr="004C49DE">
        <w:rPr>
          <w:lang w:val="es-ES_tradnl"/>
        </w:rPr>
        <w:t>366, de 3 de noviembre de 2011</w:t>
      </w:r>
      <w:r w:rsidR="00BB7BBB" w:rsidRPr="004C49DE">
        <w:rPr>
          <w:lang w:val="es-ES_tradnl"/>
        </w:rPr>
        <w:t>.</w:t>
      </w:r>
    </w:p>
    <w:p w14:paraId="3C73EF13" w14:textId="67C2999E"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El Programa Nacional de Animación Comunitaria para la Protección de la Infancia, basado en el diagnóstico comunitario en 200 localidades de 500</w:t>
      </w:r>
      <w:r w:rsidR="00BB7BBB" w:rsidRPr="004C49DE">
        <w:rPr>
          <w:lang w:val="es-ES_tradnl"/>
        </w:rPr>
        <w:t>.</w:t>
      </w:r>
    </w:p>
    <w:p w14:paraId="46A784C4" w14:textId="77777777" w:rsidR="001E1EC8" w:rsidRPr="004C49DE" w:rsidRDefault="001E1EC8" w:rsidP="00BB7BBB">
      <w:pPr>
        <w:pStyle w:val="SingleTxt"/>
        <w:suppressAutoHyphens w:val="0"/>
        <w:spacing w:after="0" w:line="120" w:lineRule="exact"/>
        <w:rPr>
          <w:sz w:val="10"/>
          <w:szCs w:val="10"/>
          <w:lang w:val="es-ES_tradnl"/>
        </w:rPr>
      </w:pPr>
    </w:p>
    <w:p w14:paraId="239D3D61" w14:textId="77777777" w:rsidR="000C3123" w:rsidRPr="004C49DE" w:rsidRDefault="000C3123" w:rsidP="007F0F3A">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En el plano operacional</w:t>
      </w:r>
    </w:p>
    <w:p w14:paraId="62487479" w14:textId="77777777" w:rsidR="001E1EC8" w:rsidRPr="004C49DE" w:rsidRDefault="001E1EC8" w:rsidP="007F0F3A">
      <w:pPr>
        <w:pStyle w:val="SingleTxt"/>
        <w:suppressAutoHyphens w:val="0"/>
        <w:spacing w:after="0" w:line="120" w:lineRule="exact"/>
        <w:rPr>
          <w:sz w:val="10"/>
          <w:szCs w:val="10"/>
          <w:lang w:val="es-ES_tradnl"/>
        </w:rPr>
      </w:pPr>
    </w:p>
    <w:p w14:paraId="10A935AE" w14:textId="28A33BC9" w:rsidR="000C3123" w:rsidRPr="004C49DE" w:rsidRDefault="000C3123" w:rsidP="007F0F3A">
      <w:pPr>
        <w:pStyle w:val="SingleTxt"/>
        <w:numPr>
          <w:ilvl w:val="0"/>
          <w:numId w:val="6"/>
        </w:numPr>
        <w:suppressAutoHyphens w:val="0"/>
        <w:ind w:left="1267" w:firstLine="0"/>
        <w:rPr>
          <w:szCs w:val="22"/>
          <w:lang w:val="es-ES_tradnl" w:eastAsia="en-US"/>
        </w:rPr>
      </w:pPr>
      <w:r w:rsidRPr="004C49DE">
        <w:rPr>
          <w:szCs w:val="22"/>
          <w:lang w:val="es-ES_tradnl" w:eastAsia="en-US"/>
        </w:rPr>
        <w:t>La aplicación del Plan de Acción Nacional para el período 2012</w:t>
      </w:r>
      <w:r w:rsidR="001A14E9" w:rsidRPr="004C49DE">
        <w:rPr>
          <w:szCs w:val="22"/>
          <w:lang w:val="es-ES_tradnl" w:eastAsia="en-US"/>
        </w:rPr>
        <w:noBreakHyphen/>
      </w:r>
      <w:r w:rsidRPr="004C49DE">
        <w:rPr>
          <w:szCs w:val="22"/>
          <w:lang w:val="es-ES_tradnl" w:eastAsia="en-US"/>
        </w:rPr>
        <w:t>2014 contra el trabajo infantil logró resultados satisfactorios, entre los que destacan los siguientes:</w:t>
      </w:r>
    </w:p>
    <w:p w14:paraId="467D0105" w14:textId="7B23F89D" w:rsidR="000C3123" w:rsidRPr="004C49DE" w:rsidRDefault="001E1EC8" w:rsidP="007F0F3A">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En cuanto a la prevención de este fenómeno: el fortalecimiento del marco jurídico y normativo para la aprobación de diferentes leyes, incluidas aquellas que prohíben las peores formas de trabajo infantil en Côte d</w:t>
      </w:r>
      <w:r w:rsidR="004C49DE">
        <w:rPr>
          <w:lang w:val="es-ES_tradnl"/>
        </w:rPr>
        <w:t>’</w:t>
      </w:r>
      <w:r w:rsidR="000C3123" w:rsidRPr="004C49DE">
        <w:rPr>
          <w:lang w:val="es-ES_tradnl"/>
        </w:rPr>
        <w:t>Ivoire</w:t>
      </w:r>
      <w:r w:rsidR="00BB7BBB" w:rsidRPr="004C49DE">
        <w:rPr>
          <w:lang w:val="es-ES_tradnl"/>
        </w:rPr>
        <w:t>.</w:t>
      </w:r>
      <w:r w:rsidR="000C3123" w:rsidRPr="004C49DE">
        <w:rPr>
          <w:lang w:val="es-ES_tradnl"/>
        </w:rPr>
        <w:t xml:space="preserve"> Este </w:t>
      </w:r>
      <w:r w:rsidR="000C3123" w:rsidRPr="004C49DE">
        <w:rPr>
          <w:lang w:val="es-ES_tradnl"/>
        </w:rPr>
        <w:lastRenderedPageBreak/>
        <w:t>instrumento legislativo posibilitó la detención y la condena de distintos traficantes de niños con penas efectivas de prisión;</w:t>
      </w:r>
    </w:p>
    <w:p w14:paraId="449CE81F" w14:textId="278CE690"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puesta en marcha del Sistema de Observación y Seguimiento del Trabajo Infantil en Côte d</w:t>
      </w:r>
      <w:r w:rsidR="004C49DE">
        <w:rPr>
          <w:lang w:val="es-ES_tradnl"/>
        </w:rPr>
        <w:t>’</w:t>
      </w:r>
      <w:r w:rsidR="000C3123" w:rsidRPr="004C49DE">
        <w:rPr>
          <w:lang w:val="es-ES_tradnl"/>
        </w:rPr>
        <w:t>Ivoire (SOSTECI);</w:t>
      </w:r>
    </w:p>
    <w:p w14:paraId="5281B5CB" w14:textId="77777777"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Se iniciaron campañas basadas en la comunidad para aumentar la sensibilización a nivel nacional, con el objeto de promover la participación de la población en las iniciativas del país destinadas a combatir las peores formas de trabajo infantil;</w:t>
      </w:r>
    </w:p>
    <w:p w14:paraId="5527FFFE" w14:textId="77777777"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firma de seis decisiones de prefectura relativas a la creación, las atribuciones y el funcionamiento de los mecanismos regionales para la protección de los niños;</w:t>
      </w:r>
    </w:p>
    <w:p w14:paraId="7A94858B" w14:textId="77777777"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creación de los órganos de coordinación y seguimiento para la aplicación de la Política Nacional para la Protección de la Infancia, con la creación de seis plataformas en seis regiones;</w:t>
      </w:r>
    </w:p>
    <w:p w14:paraId="2ED41045" w14:textId="7DF060F2" w:rsidR="000C3123" w:rsidRPr="004C49DE" w:rsidRDefault="001E1EC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 xml:space="preserve">El establecimiento de una línea verde 116 </w:t>
      </w:r>
      <w:r w:rsidR="004C49DE">
        <w:rPr>
          <w:lang w:val="es-ES_tradnl"/>
        </w:rPr>
        <w:t>“</w:t>
      </w:r>
      <w:r w:rsidR="000C3123" w:rsidRPr="004C49DE">
        <w:rPr>
          <w:lang w:val="es-ES_tradnl"/>
        </w:rPr>
        <w:t>Allo enfant en détresse</w:t>
      </w:r>
      <w:r w:rsidR="004C49DE">
        <w:rPr>
          <w:lang w:val="es-ES_tradnl"/>
        </w:rPr>
        <w:t>”</w:t>
      </w:r>
      <w:r w:rsidR="000C3123" w:rsidRPr="004C49DE">
        <w:rPr>
          <w:lang w:val="es-ES_tradnl"/>
        </w:rPr>
        <w:t xml:space="preserve"> que, en 2015, registró 18</w:t>
      </w:r>
      <w:r w:rsidR="00BB7BBB" w:rsidRPr="004C49DE">
        <w:rPr>
          <w:lang w:val="es-ES_tradnl"/>
        </w:rPr>
        <w:t>.</w:t>
      </w:r>
      <w:r w:rsidR="000C3123" w:rsidRPr="004C49DE">
        <w:rPr>
          <w:lang w:val="es-ES_tradnl"/>
        </w:rPr>
        <w:t>655 llamadas relativas a diversos casos de abusos y malos</w:t>
      </w:r>
      <w:r w:rsidRPr="004C49DE">
        <w:rPr>
          <w:lang w:val="es-ES_tradnl"/>
        </w:rPr>
        <w:t> </w:t>
      </w:r>
      <w:r w:rsidR="000C3123" w:rsidRPr="004C49DE">
        <w:rPr>
          <w:lang w:val="es-ES_tradnl"/>
        </w:rPr>
        <w:t>tratos</w:t>
      </w:r>
      <w:r w:rsidR="00BB7BBB" w:rsidRPr="004C49DE">
        <w:rPr>
          <w:lang w:val="es-ES_tradnl"/>
        </w:rPr>
        <w:t>.</w:t>
      </w:r>
    </w:p>
    <w:p w14:paraId="1880FAC4" w14:textId="0ED0BFF8"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Intensificar las iniciativas de cooperación internacional, regional y bilateral con los países de origen, tránsito y destino, con el fin de prevenir la trata mediante el intercambio de información y armonizar los procedimientos jurídicos para enjuiciar y castigar a los autores (véase </w:t>
      </w:r>
      <w:hyperlink r:id="rId63"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33 c))</w:t>
      </w:r>
      <w:r w:rsidR="00BB7BBB" w:rsidRPr="004C49DE">
        <w:rPr>
          <w:b/>
          <w:szCs w:val="22"/>
          <w:lang w:val="es-ES_tradnl" w:eastAsia="en-US"/>
        </w:rPr>
        <w:t>.</w:t>
      </w:r>
    </w:p>
    <w:p w14:paraId="2720E08F" w14:textId="11CC37A6"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Además del acuerdo de cooperación bilateral celebrado entre Côte d</w:t>
      </w:r>
      <w:r w:rsidR="004C49DE">
        <w:rPr>
          <w:szCs w:val="22"/>
          <w:lang w:val="es-ES_tradnl" w:eastAsia="en-US"/>
        </w:rPr>
        <w:t>’</w:t>
      </w:r>
      <w:r w:rsidRPr="004C49DE">
        <w:rPr>
          <w:szCs w:val="22"/>
          <w:lang w:val="es-ES_tradnl" w:eastAsia="en-US"/>
        </w:rPr>
        <w:t>Ivoire y Malí en materia de lucha contra la trata transfronteriza de niños, firmado el 1 de septiembre de 2000, y el acuerdo multilateral de cooperación entre Côte d</w:t>
      </w:r>
      <w:r w:rsidR="004C49DE">
        <w:rPr>
          <w:szCs w:val="22"/>
          <w:lang w:val="es-ES_tradnl" w:eastAsia="en-US"/>
        </w:rPr>
        <w:t>’</w:t>
      </w:r>
      <w:r w:rsidRPr="004C49DE">
        <w:rPr>
          <w:szCs w:val="22"/>
          <w:lang w:val="es-ES_tradnl" w:eastAsia="en-US"/>
        </w:rPr>
        <w:t>Ivoire y otros ocho países para combatir la trata de niños, celebrado el 27 de julio de 2005, Côte d</w:t>
      </w:r>
      <w:r w:rsidR="004C49DE">
        <w:rPr>
          <w:szCs w:val="22"/>
          <w:lang w:val="es-ES_tradnl" w:eastAsia="en-US"/>
        </w:rPr>
        <w:t>’</w:t>
      </w:r>
      <w:r w:rsidRPr="004C49DE">
        <w:rPr>
          <w:szCs w:val="22"/>
          <w:lang w:val="es-ES_tradnl" w:eastAsia="en-US"/>
        </w:rPr>
        <w:t>Ivoire firmó un acuerdo con Burkina Faso contra la trata transfronteriza de niños el 17 de octubre de 2013; además, el 13 de septiembre de 2016, se firmó una declaración de compromiso conjunta de las Primeras Damas de Côte d</w:t>
      </w:r>
      <w:r w:rsidR="004C49DE">
        <w:rPr>
          <w:szCs w:val="22"/>
          <w:lang w:val="es-ES_tradnl" w:eastAsia="en-US"/>
        </w:rPr>
        <w:t>’</w:t>
      </w:r>
      <w:r w:rsidRPr="004C49DE">
        <w:rPr>
          <w:szCs w:val="22"/>
          <w:lang w:val="es-ES_tradnl" w:eastAsia="en-US"/>
        </w:rPr>
        <w:t>Ivoire y Ghana, en el marco de la lucha contra la trata transfronteriza y las peores formas de trabajo infantil</w:t>
      </w:r>
      <w:r w:rsidR="00BB7BBB" w:rsidRPr="004C49DE">
        <w:rPr>
          <w:szCs w:val="22"/>
          <w:lang w:val="es-ES_tradnl" w:eastAsia="en-US"/>
        </w:rPr>
        <w:t>.</w:t>
      </w:r>
    </w:p>
    <w:p w14:paraId="33539FFF" w14:textId="79614729"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Ratificar la Convención de las Naciones Unidas contra la Delincuencia Organizada Transnacional y el Protocolo de Palermo para prevenir, reprimir y sancionar la trata de personas, especialmente mujeres y niños (véase </w:t>
      </w:r>
      <w:hyperlink r:id="rId64"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33 d))</w:t>
      </w:r>
      <w:r w:rsidR="00BB7BBB" w:rsidRPr="004C49DE">
        <w:rPr>
          <w:b/>
          <w:szCs w:val="22"/>
          <w:lang w:val="es-ES_tradnl" w:eastAsia="en-US"/>
        </w:rPr>
        <w:t>.</w:t>
      </w:r>
    </w:p>
    <w:p w14:paraId="2A2DCF82" w14:textId="564435E8"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Côte d</w:t>
      </w:r>
      <w:r w:rsidR="004C49DE">
        <w:rPr>
          <w:szCs w:val="22"/>
          <w:lang w:val="es-ES_tradnl" w:eastAsia="en-US"/>
        </w:rPr>
        <w:t>’</w:t>
      </w:r>
      <w:r w:rsidRPr="004C49DE">
        <w:rPr>
          <w:szCs w:val="22"/>
          <w:lang w:val="es-ES_tradnl" w:eastAsia="en-US"/>
        </w:rPr>
        <w:t>Ivoire ratificó los tres protocolos siguientes: i) el Protocolo para Prevenir, Reprimir y Sancionar la Trata de Personas, Especialmente Mujeres y Niños, que complementa la Convención de las Naciones Unidas contra la Delincuencia Organizada Transnacional, el 6 de diciembre de 2011; ii) el Protocolo Facultativo de la Convención sobre los Derechos del Niño relativo a la participación de niños en los conflictos armados, el 3 de agosto de 2011; y iii) el Protocolo Facultativo de la Convención sobre los Derechos del Niño relativo a la venta de niños, la prostitución infantil y la utilización de niños en la pornografía, el 7 de septiembre de 2011</w:t>
      </w:r>
      <w:r w:rsidR="00BB7BBB" w:rsidRPr="004C49DE">
        <w:rPr>
          <w:szCs w:val="22"/>
          <w:lang w:val="es-ES_tradnl" w:eastAsia="en-US"/>
        </w:rPr>
        <w:t>.</w:t>
      </w:r>
    </w:p>
    <w:p w14:paraId="3A7E67D9" w14:textId="23F3E755"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pacing w:val="0"/>
          <w:w w:val="101"/>
          <w:szCs w:val="22"/>
          <w:lang w:val="es-ES_tradnl" w:eastAsia="en-US"/>
        </w:rPr>
        <w:t>Abordar las causas profundas de la prostitución de mujeres y niñas, en</w:t>
      </w:r>
      <w:r w:rsidR="001A14E9" w:rsidRPr="004C49DE">
        <w:rPr>
          <w:b/>
          <w:spacing w:val="0"/>
          <w:w w:val="101"/>
          <w:szCs w:val="22"/>
          <w:lang w:val="es-ES_tradnl" w:eastAsia="en-US"/>
        </w:rPr>
        <w:t xml:space="preserve"> </w:t>
      </w:r>
      <w:r w:rsidRPr="004C49DE">
        <w:rPr>
          <w:b/>
          <w:spacing w:val="0"/>
          <w:w w:val="101"/>
          <w:szCs w:val="22"/>
          <w:lang w:val="es-ES_tradnl" w:eastAsia="en-US"/>
        </w:rPr>
        <w:t>particular la pobreza, con el objeto de eliminar su vulnerabilidad, garantizar</w:t>
      </w:r>
      <w:r w:rsidR="001A14E9" w:rsidRPr="004C49DE">
        <w:rPr>
          <w:b/>
          <w:spacing w:val="0"/>
          <w:w w:val="101"/>
          <w:szCs w:val="22"/>
          <w:lang w:val="es-ES_tradnl" w:eastAsia="en-US"/>
        </w:rPr>
        <w:t xml:space="preserve"> </w:t>
      </w:r>
      <w:r w:rsidRPr="004C49DE">
        <w:rPr>
          <w:b/>
          <w:spacing w:val="0"/>
          <w:w w:val="101"/>
          <w:szCs w:val="22"/>
          <w:lang w:val="es-ES_tradnl" w:eastAsia="en-US"/>
        </w:rPr>
        <w:t>su</w:t>
      </w:r>
      <w:r w:rsidR="001A14E9" w:rsidRPr="004C49DE">
        <w:rPr>
          <w:b/>
          <w:spacing w:val="0"/>
          <w:w w:val="101"/>
          <w:szCs w:val="22"/>
          <w:lang w:val="es-ES_tradnl" w:eastAsia="en-US"/>
        </w:rPr>
        <w:t xml:space="preserve"> </w:t>
      </w:r>
      <w:r w:rsidRPr="004C49DE">
        <w:rPr>
          <w:b/>
          <w:spacing w:val="0"/>
          <w:w w:val="101"/>
          <w:szCs w:val="22"/>
          <w:lang w:val="es-ES_tradnl" w:eastAsia="en-US"/>
        </w:rPr>
        <w:t>salud sexual y protegerlas frente a la explotación y la trata, y emprender</w:t>
      </w:r>
      <w:r w:rsidR="001A14E9" w:rsidRPr="004C49DE">
        <w:rPr>
          <w:b/>
          <w:spacing w:val="0"/>
          <w:w w:val="101"/>
          <w:szCs w:val="22"/>
          <w:lang w:val="es-ES_tradnl" w:eastAsia="en-US"/>
        </w:rPr>
        <w:t xml:space="preserve"> </w:t>
      </w:r>
      <w:r w:rsidRPr="004C49DE">
        <w:rPr>
          <w:b/>
          <w:spacing w:val="0"/>
          <w:w w:val="101"/>
          <w:szCs w:val="22"/>
          <w:lang w:val="es-ES_tradnl" w:eastAsia="en-US"/>
        </w:rPr>
        <w:t>medidas para lograr la reintegración de las víctimas (véase</w:t>
      </w:r>
      <w:r w:rsidRPr="004C49DE">
        <w:rPr>
          <w:b/>
          <w:szCs w:val="22"/>
          <w:lang w:val="es-ES_tradnl" w:eastAsia="en-US"/>
        </w:rPr>
        <w:t xml:space="preserve"> </w:t>
      </w:r>
      <w:hyperlink r:id="rId65"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33 e))</w:t>
      </w:r>
      <w:r w:rsidR="00BB7BBB" w:rsidRPr="004C49DE">
        <w:rPr>
          <w:b/>
          <w:szCs w:val="22"/>
          <w:lang w:val="es-ES_tradnl" w:eastAsia="en-US"/>
        </w:rPr>
        <w:t>.</w:t>
      </w:r>
    </w:p>
    <w:p w14:paraId="4F853F35" w14:textId="05373015"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El Ministerio de Seguridad Urbana y Saneamiento, en colaboración con el MPFFPE, desarticuló ciertas redes de prostitución y cerró determinados bares, </w:t>
      </w:r>
      <w:r w:rsidRPr="004C49DE">
        <w:rPr>
          <w:szCs w:val="22"/>
          <w:lang w:val="es-ES_tradnl" w:eastAsia="en-US"/>
        </w:rPr>
        <w:lastRenderedPageBreak/>
        <w:t>restaurantes y discotecas en 2012 y 2016</w:t>
      </w:r>
      <w:r w:rsidR="00BB7BBB" w:rsidRPr="004C49DE">
        <w:rPr>
          <w:szCs w:val="22"/>
          <w:lang w:val="es-ES_tradnl" w:eastAsia="en-US"/>
        </w:rPr>
        <w:t>.</w:t>
      </w:r>
      <w:r w:rsidRPr="004C49DE">
        <w:rPr>
          <w:szCs w:val="22"/>
          <w:lang w:val="es-ES_tradnl" w:eastAsia="en-US"/>
        </w:rPr>
        <w:t xml:space="preserve"> Es necesario promover y aplicar este tipo de medidas en las demás localidades grandes</w:t>
      </w:r>
      <w:r w:rsidR="00BB7BBB" w:rsidRPr="004C49DE">
        <w:rPr>
          <w:szCs w:val="22"/>
          <w:lang w:val="es-ES_tradnl" w:eastAsia="en-US"/>
        </w:rPr>
        <w:t>.</w:t>
      </w:r>
    </w:p>
    <w:p w14:paraId="4D0B123C" w14:textId="7176FAD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Además, el Gobierno emprendió en 2011 una campaña nacional para combatir la trata y la explotación sexual de niños por medio del fortalecimiento de los mecanismos de protección y escolarización</w:t>
      </w:r>
      <w:r w:rsidR="00BB7BBB" w:rsidRPr="004C49DE">
        <w:rPr>
          <w:szCs w:val="22"/>
          <w:lang w:val="es-ES_tradnl" w:eastAsia="en-US"/>
        </w:rPr>
        <w:t>.</w:t>
      </w:r>
    </w:p>
    <w:p w14:paraId="3CC774BE" w14:textId="77777777" w:rsidR="000C3123" w:rsidRPr="004C49DE" w:rsidRDefault="00846342"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gratuidad de la enseñanza primaria y la simplificación de las condiciones de matriculación han facilitado enormemente el acceso de los niños y las niñas a la escuela;</w:t>
      </w:r>
    </w:p>
    <w:p w14:paraId="4AD67AE9" w14:textId="27BDA0A0" w:rsidR="000C3123" w:rsidRPr="004C49DE" w:rsidRDefault="00846342"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El promedio de ingreso a los centros de enseñanza secundaria se revisó a la</w:t>
      </w:r>
      <w:r w:rsidR="001A14E9" w:rsidRPr="004C49DE">
        <w:rPr>
          <w:lang w:val="es-ES_tradnl"/>
        </w:rPr>
        <w:t xml:space="preserve"> </w:t>
      </w:r>
      <w:r w:rsidR="000C3123" w:rsidRPr="004C49DE">
        <w:rPr>
          <w:lang w:val="es-ES_tradnl"/>
        </w:rPr>
        <w:t>baja a fin de reducir la tasa de abandono escolar al término de la escuela</w:t>
      </w:r>
      <w:r w:rsidR="001A14E9" w:rsidRPr="004C49DE">
        <w:rPr>
          <w:lang w:val="es-ES_tradnl"/>
        </w:rPr>
        <w:t xml:space="preserve"> </w:t>
      </w:r>
      <w:r w:rsidR="000C3123" w:rsidRPr="004C49DE">
        <w:rPr>
          <w:lang w:val="es-ES_tradnl"/>
        </w:rPr>
        <w:t>primaria;</w:t>
      </w:r>
    </w:p>
    <w:p w14:paraId="213606FA" w14:textId="32D60804" w:rsidR="000C3123" w:rsidRPr="004C49DE" w:rsidRDefault="00846342"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 xml:space="preserve">La </w:t>
      </w:r>
      <w:r w:rsidR="000C3123" w:rsidRPr="004C49DE">
        <w:rPr>
          <w:i/>
          <w:lang w:val="es-ES_tradnl"/>
        </w:rPr>
        <w:t>Ley núm</w:t>
      </w:r>
      <w:r w:rsidR="00BB7BBB" w:rsidRPr="004C49DE">
        <w:rPr>
          <w:i/>
          <w:lang w:val="es-ES_tradnl"/>
        </w:rPr>
        <w:t>.</w:t>
      </w:r>
      <w:r w:rsidR="000C3123" w:rsidRPr="004C49DE">
        <w:rPr>
          <w:i/>
          <w:lang w:val="es-ES_tradnl"/>
        </w:rPr>
        <w:t xml:space="preserve"> 2015</w:t>
      </w:r>
      <w:r w:rsidR="001A14E9" w:rsidRPr="004C49DE">
        <w:rPr>
          <w:i/>
          <w:lang w:val="es-ES_tradnl"/>
        </w:rPr>
        <w:noBreakHyphen/>
      </w:r>
      <w:r w:rsidR="000C3123" w:rsidRPr="004C49DE">
        <w:rPr>
          <w:i/>
          <w:lang w:val="es-ES_tradnl"/>
        </w:rPr>
        <w:t>635, de 17 de septiembre de 2015, sobre la modificación de la Ley 95</w:t>
      </w:r>
      <w:r w:rsidR="001A14E9" w:rsidRPr="004C49DE">
        <w:rPr>
          <w:i/>
          <w:lang w:val="es-ES_tradnl"/>
        </w:rPr>
        <w:noBreakHyphen/>
      </w:r>
      <w:r w:rsidR="000C3123" w:rsidRPr="004C49DE">
        <w:rPr>
          <w:i/>
          <w:lang w:val="es-ES_tradnl"/>
        </w:rPr>
        <w:t>696, de 7 de septiembre de 1995, relativa a la enseñanza</w:t>
      </w:r>
      <w:r w:rsidR="000C3123" w:rsidRPr="004C49DE">
        <w:rPr>
          <w:lang w:val="es-ES_tradnl"/>
        </w:rPr>
        <w:t>, la cual</w:t>
      </w:r>
      <w:r w:rsidR="001A14E9" w:rsidRPr="004C49DE">
        <w:rPr>
          <w:lang w:val="es-ES_tradnl"/>
        </w:rPr>
        <w:t xml:space="preserve"> </w:t>
      </w:r>
      <w:r w:rsidR="000C3123" w:rsidRPr="004C49DE">
        <w:rPr>
          <w:lang w:val="es-ES_tradnl"/>
        </w:rPr>
        <w:t>establece la escolarización obligatoria para los niños de 6 a 16 años en Côte</w:t>
      </w:r>
      <w:r w:rsidR="001A14E9" w:rsidRPr="004C49DE">
        <w:rPr>
          <w:lang w:val="es-ES_tradnl"/>
        </w:rPr>
        <w:t xml:space="preserve"> </w:t>
      </w:r>
      <w:r w:rsidR="000C3123" w:rsidRPr="004C49DE">
        <w:rPr>
          <w:lang w:val="es-ES_tradnl"/>
        </w:rPr>
        <w:t>d</w:t>
      </w:r>
      <w:r w:rsidR="004C49DE">
        <w:rPr>
          <w:lang w:val="es-ES_tradnl"/>
        </w:rPr>
        <w:t>’</w:t>
      </w:r>
      <w:r w:rsidR="000C3123" w:rsidRPr="004C49DE">
        <w:rPr>
          <w:lang w:val="es-ES_tradnl"/>
        </w:rPr>
        <w:t>Ivoire, constituye una medida que refuerza el compromiso de las autoridades;</w:t>
      </w:r>
    </w:p>
    <w:p w14:paraId="30B65F7E" w14:textId="72C9C259" w:rsidR="000C3123" w:rsidRPr="004C49DE" w:rsidRDefault="00846342"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inclusión de los pupilos del Estado</w:t>
      </w:r>
      <w:r w:rsidR="00BB7BBB" w:rsidRPr="004C49DE">
        <w:rPr>
          <w:lang w:val="es-ES_tradnl"/>
        </w:rPr>
        <w:t>.</w:t>
      </w:r>
    </w:p>
    <w:p w14:paraId="6B4BB20C" w14:textId="5EFE7009"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Aplicar un enfoque integral para hacer frente al problema de la prostitución, que incluya, entre otras cosas, programas para las mujeres y las niñas que deseen abandonarla (véase </w:t>
      </w:r>
      <w:hyperlink r:id="rId6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33 f))</w:t>
      </w:r>
      <w:r w:rsidR="00BB7BBB" w:rsidRPr="004C49DE">
        <w:rPr>
          <w:b/>
          <w:szCs w:val="22"/>
          <w:lang w:val="es-ES_tradnl" w:eastAsia="en-US"/>
        </w:rPr>
        <w:t>.</w:t>
      </w:r>
    </w:p>
    <w:p w14:paraId="51FA688D" w14:textId="61608F0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estrategia de protección de la infancia es el primer instrumento que tiene en cuenta todos los casos de vulnerabilidad y ha sido elaborada por la Dirección de la Protección de la Infancia tras su transformación en una Dirección de Administración Central del MSFFE</w:t>
      </w:r>
      <w:r w:rsidR="00BB7BBB" w:rsidRPr="004C49DE">
        <w:rPr>
          <w:szCs w:val="22"/>
          <w:lang w:val="es-ES_tradnl" w:eastAsia="en-US"/>
        </w:rPr>
        <w:t>.</w:t>
      </w:r>
      <w:r w:rsidRPr="004C49DE">
        <w:rPr>
          <w:szCs w:val="22"/>
          <w:lang w:val="es-ES_tradnl" w:eastAsia="en-US"/>
        </w:rPr>
        <w:t xml:space="preserve"> A fin de mejorar el proceso de elaboración de una estrategia global para combatir la prostitución, la Dirección de la Protección de la Infancia se basará en los resultados del estudio realizado por la red Acabar con la Prostitución Infantil, la Pornografía Infantil y el Tráfico de Niños con Fines Sexuales (ECPAT) sobre la explotación sexual de los niños con fines comerciales</w:t>
      </w:r>
      <w:r w:rsidR="00BB7BBB" w:rsidRPr="004C49DE">
        <w:rPr>
          <w:szCs w:val="22"/>
          <w:lang w:val="es-ES_tradnl" w:eastAsia="en-US"/>
        </w:rPr>
        <w:t>.</w:t>
      </w:r>
    </w:p>
    <w:p w14:paraId="0E89BC2C" w14:textId="77777777" w:rsidR="000F50D6" w:rsidRPr="004C49DE" w:rsidRDefault="000F50D6" w:rsidP="00BB7BBB">
      <w:pPr>
        <w:pStyle w:val="SingleTxt"/>
        <w:suppressAutoHyphens w:val="0"/>
        <w:spacing w:after="0" w:line="120" w:lineRule="exact"/>
        <w:rPr>
          <w:sz w:val="10"/>
          <w:szCs w:val="10"/>
          <w:lang w:val="es-ES_tradnl"/>
        </w:rPr>
      </w:pPr>
    </w:p>
    <w:p w14:paraId="55049A62"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Participación en la vida política y pública</w:t>
      </w:r>
    </w:p>
    <w:p w14:paraId="2CA3767F" w14:textId="77777777" w:rsidR="000F50D6" w:rsidRPr="004C49DE" w:rsidRDefault="000F50D6" w:rsidP="00BB7BBB">
      <w:pPr>
        <w:pStyle w:val="SingleTxt"/>
        <w:suppressAutoHyphens w:val="0"/>
        <w:spacing w:after="0" w:line="120" w:lineRule="exact"/>
        <w:rPr>
          <w:sz w:val="10"/>
          <w:szCs w:val="10"/>
          <w:lang w:val="es-ES_tradnl"/>
        </w:rPr>
      </w:pPr>
    </w:p>
    <w:p w14:paraId="1605B843" w14:textId="621CE009"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Promulgar, sin demora, el proyecto de disposición legislativa que establece una cuota del 30% de representación femenina en el Parlamento (véase </w:t>
      </w:r>
      <w:hyperlink r:id="rId6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35 a))</w:t>
      </w:r>
      <w:r w:rsidR="00BB7BBB" w:rsidRPr="004C49DE">
        <w:rPr>
          <w:b/>
          <w:szCs w:val="22"/>
          <w:lang w:val="es-ES_tradnl" w:eastAsia="en-US"/>
        </w:rPr>
        <w:t>.</w:t>
      </w:r>
    </w:p>
    <w:p w14:paraId="747A98CF" w14:textId="2ED027A6"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situación ha evolucionado de manera positiva</w:t>
      </w:r>
      <w:r w:rsidR="00BB7BBB" w:rsidRPr="004C49DE">
        <w:rPr>
          <w:szCs w:val="22"/>
          <w:lang w:val="es-ES_tradnl" w:eastAsia="en-US"/>
        </w:rPr>
        <w:t>.</w:t>
      </w:r>
      <w:r w:rsidRPr="004C49DE">
        <w:rPr>
          <w:szCs w:val="22"/>
          <w:lang w:val="es-ES_tradnl" w:eastAsia="en-US"/>
        </w:rPr>
        <w:t xml:space="preserve"> El proyecto de disposición legislativa se ha transformado en un proyecto de ley que ya ha sido objeto de una primera lectura en el Consejo de Ministros</w:t>
      </w:r>
      <w:r w:rsidR="00BB7BBB" w:rsidRPr="004C49DE">
        <w:rPr>
          <w:szCs w:val="22"/>
          <w:lang w:val="es-ES_tradnl" w:eastAsia="en-US"/>
        </w:rPr>
        <w:t>.</w:t>
      </w:r>
    </w:p>
    <w:p w14:paraId="1E453F6D" w14:textId="08CBA026"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Llevar a cabo actividades de concienciación dirigidas a la sociedad en general sobre la importancia de la participación de la mujer en la adopción de decisiones y desarrollar formación con fines concretos y programas de orientación sobre el liderazgo y las competencias de negociación para presentar las candidaturas de las mujeres que ocupen cargos públicos (véase </w:t>
      </w:r>
      <w:hyperlink r:id="rId6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35 b))</w:t>
      </w:r>
      <w:r w:rsidR="00BB7BBB" w:rsidRPr="004C49DE">
        <w:rPr>
          <w:b/>
          <w:szCs w:val="22"/>
          <w:lang w:val="es-ES_tradnl" w:eastAsia="en-US"/>
        </w:rPr>
        <w:t>.</w:t>
      </w:r>
    </w:p>
    <w:p w14:paraId="619F06BF" w14:textId="69B03588"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general, los partidos políticos todavía están lejos de alcanzar las recomendaciones internacionales, en especial las de Beijing, que proponen la cuota del 30% de representación femenina en las esferas de adopción de decisiones, y la Declaración de los Jefes de Estado de la UA sobre la Igualdad de Género</w:t>
      </w:r>
      <w:r w:rsidR="00BB7BBB" w:rsidRPr="004C49DE">
        <w:rPr>
          <w:szCs w:val="22"/>
          <w:lang w:val="es-ES_tradnl" w:eastAsia="en-US"/>
        </w:rPr>
        <w:t>.</w:t>
      </w:r>
    </w:p>
    <w:p w14:paraId="2CD2B889" w14:textId="04A7149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Sin embargo, las mujeres están empezando a ocupar puestos de responsabilidad en los partidos políticos, los sindicatos, las asociaciones de empleadores y las asociaciones de profesiones liberales</w:t>
      </w:r>
      <w:r w:rsidR="00BB7BBB" w:rsidRPr="004C49DE">
        <w:rPr>
          <w:szCs w:val="22"/>
          <w:lang w:val="es-ES_tradnl" w:eastAsia="en-US"/>
        </w:rPr>
        <w:t>.</w:t>
      </w:r>
    </w:p>
    <w:p w14:paraId="2AFE2FDF" w14:textId="06CB9458"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lastRenderedPageBreak/>
        <w:t xml:space="preserve">Garantizar el acceso de la mujer a todos los ámbitos de la vida pública, en particular, la gendarmería, la policía y el poder judicial, en especial en los altos niveles de toma de decisiones (véase </w:t>
      </w:r>
      <w:hyperlink r:id="rId6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35 c))</w:t>
      </w:r>
      <w:r w:rsidR="00BB7BBB" w:rsidRPr="004C49DE">
        <w:rPr>
          <w:b/>
          <w:szCs w:val="22"/>
          <w:lang w:val="es-ES_tradnl" w:eastAsia="en-US"/>
        </w:rPr>
        <w:t>.</w:t>
      </w:r>
    </w:p>
    <w:p w14:paraId="747F3827" w14:textId="0FBD0D6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Estado alienta el adelanto de la mujer a puestos de responsabilidad en las instituciones y administraciones públicas, así como en las empresas (artículo 37)</w:t>
      </w:r>
      <w:r w:rsidR="00BB7BBB" w:rsidRPr="004C49DE">
        <w:rPr>
          <w:szCs w:val="22"/>
          <w:lang w:val="es-ES_tradnl" w:eastAsia="en-US"/>
        </w:rPr>
        <w:t>.</w:t>
      </w:r>
    </w:p>
    <w:p w14:paraId="4F9A2E92" w14:textId="5143BD7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organización del Grupo de Alto Nivel en Abiyán, del 2 al 4 de octubre de 2013, alentó a las autoridades de Côte d</w:t>
      </w:r>
      <w:r w:rsidR="004C49DE">
        <w:rPr>
          <w:szCs w:val="22"/>
          <w:lang w:val="es-ES_tradnl" w:eastAsia="en-US"/>
        </w:rPr>
        <w:t>’</w:t>
      </w:r>
      <w:r w:rsidRPr="004C49DE">
        <w:rPr>
          <w:szCs w:val="22"/>
          <w:lang w:val="es-ES_tradnl" w:eastAsia="en-US"/>
        </w:rPr>
        <w:t>Ivoire a llevar a cabo iniciativas para el adelanto de la mujer en las esferas de la toma de decisiones y tomar en consideración las necesidades esenciales de la mujer en determinados ámbitos</w:t>
      </w:r>
      <w:r w:rsidR="00BB7BBB" w:rsidRPr="004C49DE">
        <w:rPr>
          <w:szCs w:val="22"/>
          <w:lang w:val="es-ES_tradnl" w:eastAsia="en-US"/>
        </w:rPr>
        <w:t>.</w:t>
      </w:r>
    </w:p>
    <w:p w14:paraId="57EA4000" w14:textId="64EBD4FC"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De esta manera, a partir del curso académico 2013</w:t>
      </w:r>
      <w:r w:rsidR="001A14E9" w:rsidRPr="004C49DE">
        <w:rPr>
          <w:szCs w:val="22"/>
          <w:lang w:val="es-ES_tradnl" w:eastAsia="en-US"/>
        </w:rPr>
        <w:noBreakHyphen/>
      </w:r>
      <w:r w:rsidRPr="004C49DE">
        <w:rPr>
          <w:szCs w:val="22"/>
          <w:lang w:val="es-ES_tradnl" w:eastAsia="en-US"/>
        </w:rPr>
        <w:t xml:space="preserve">2014, ingresaron aproximadamente 35 niñas en la </w:t>
      </w:r>
      <w:r w:rsidR="000A404F" w:rsidRPr="004C49DE">
        <w:rPr>
          <w:bCs/>
          <w:lang w:val="es-ES_tradnl" w:eastAsia="en-US"/>
        </w:rPr>
        <w:t>Escuela Militar Técnica Preparatoria</w:t>
      </w:r>
      <w:r w:rsidR="00BB7BBB" w:rsidRPr="004C49DE">
        <w:rPr>
          <w:szCs w:val="22"/>
          <w:lang w:val="es-ES_tradnl" w:eastAsia="en-US"/>
        </w:rPr>
        <w:t>.</w:t>
      </w:r>
      <w:r w:rsidRPr="004C49DE">
        <w:rPr>
          <w:szCs w:val="22"/>
          <w:lang w:val="es-ES_tradnl" w:eastAsia="en-US"/>
        </w:rPr>
        <w:t xml:space="preserve"> En el curso académico 2016</w:t>
      </w:r>
      <w:r w:rsidR="001A14E9" w:rsidRPr="004C49DE">
        <w:rPr>
          <w:szCs w:val="22"/>
          <w:lang w:val="es-ES_tradnl" w:eastAsia="en-US"/>
        </w:rPr>
        <w:noBreakHyphen/>
      </w:r>
      <w:r w:rsidRPr="004C49DE">
        <w:rPr>
          <w:szCs w:val="22"/>
          <w:lang w:val="es-ES_tradnl" w:eastAsia="en-US"/>
        </w:rPr>
        <w:t>2017, la escuela cuenta con un total de 130 niñas en el primer ciclo de la enseñanza secundaria</w:t>
      </w:r>
      <w:r w:rsidR="00BB7BBB" w:rsidRPr="004C49DE">
        <w:rPr>
          <w:szCs w:val="22"/>
          <w:lang w:val="es-ES_tradnl" w:eastAsia="en-US"/>
        </w:rPr>
        <w:t>.</w:t>
      </w:r>
    </w:p>
    <w:p w14:paraId="130E52AE" w14:textId="6474CC17"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Por otra parte, tras formarse como oficiales militares en la Academia de las Fuerzas Armadas, cuatro mujeres jóvenes han recibido en 2014 la formación práctica de la gendarmería</w:t>
      </w:r>
      <w:r w:rsidR="00BB7BBB" w:rsidRPr="004C49DE">
        <w:rPr>
          <w:szCs w:val="22"/>
          <w:lang w:val="es-ES_tradnl" w:eastAsia="en-US"/>
        </w:rPr>
        <w:t>.</w:t>
      </w:r>
    </w:p>
    <w:p w14:paraId="727789F1" w14:textId="5226EB24"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plano judicial</w:t>
      </w:r>
      <w:r w:rsidRPr="004C49DE">
        <w:rPr>
          <w:szCs w:val="22"/>
          <w:vertAlign w:val="superscript"/>
          <w:lang w:val="es-ES_tradnl" w:eastAsia="en-US"/>
        </w:rPr>
        <w:footnoteReference w:id="12"/>
      </w:r>
      <w:r w:rsidRPr="004C49DE">
        <w:rPr>
          <w:szCs w:val="22"/>
          <w:lang w:val="es-ES_tradnl" w:eastAsia="en-US"/>
        </w:rPr>
        <w:t>, según se indica en el cuadro que figura a continuación, las mujeres representan el 22,50% del personal</w:t>
      </w:r>
      <w:r w:rsidR="00BB7BBB" w:rsidRPr="004C49DE">
        <w:rPr>
          <w:szCs w:val="22"/>
          <w:lang w:val="es-ES_tradnl" w:eastAsia="en-US"/>
        </w:rPr>
        <w:t>.</w:t>
      </w:r>
      <w:r w:rsidRPr="004C49DE">
        <w:rPr>
          <w:szCs w:val="22"/>
          <w:lang w:val="es-ES_tradnl" w:eastAsia="en-US"/>
        </w:rPr>
        <w:t xml:space="preserve"> La mayor representación femenina se encuentra entre los notarios (52,11%) y la menor, entre los representantes legales (6,09%)</w:t>
      </w:r>
      <w:r w:rsidR="00BB7BBB" w:rsidRPr="004C49DE">
        <w:rPr>
          <w:szCs w:val="22"/>
          <w:lang w:val="es-ES_tradnl" w:eastAsia="en-US"/>
        </w:rPr>
        <w:t>.</w:t>
      </w:r>
      <w:r w:rsidRPr="004C49DE">
        <w:rPr>
          <w:szCs w:val="22"/>
          <w:lang w:val="es-ES_tradnl" w:eastAsia="en-US"/>
        </w:rPr>
        <w:t xml:space="preserve"> Las mujeres constituyen el 26,50% de los magistrados</w:t>
      </w:r>
      <w:r w:rsidR="00BB7BBB" w:rsidRPr="004C49DE">
        <w:rPr>
          <w:szCs w:val="22"/>
          <w:lang w:val="es-ES_tradnl" w:eastAsia="en-US"/>
        </w:rPr>
        <w:t>.</w:t>
      </w:r>
    </w:p>
    <w:p w14:paraId="073D1292" w14:textId="3563C84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Con el objeto de defender sus derechos y los derechos de las mujeres que entran en conflicto con la legislación, las magistradas de Côte d</w:t>
      </w:r>
      <w:r w:rsidR="004C49DE">
        <w:rPr>
          <w:szCs w:val="22"/>
          <w:lang w:val="es-ES_tradnl" w:eastAsia="en-US"/>
        </w:rPr>
        <w:t>’</w:t>
      </w:r>
      <w:r w:rsidRPr="004C49DE">
        <w:rPr>
          <w:szCs w:val="22"/>
          <w:lang w:val="es-ES_tradnl" w:eastAsia="en-US"/>
        </w:rPr>
        <w:t>Ivoire constituyeron en mayo de 2016 una asociación denominada Asociación de Mujeres Magistradas de Côte d</w:t>
      </w:r>
      <w:r w:rsidR="004C49DE">
        <w:rPr>
          <w:szCs w:val="22"/>
          <w:lang w:val="es-ES_tradnl" w:eastAsia="en-US"/>
        </w:rPr>
        <w:t>’</w:t>
      </w:r>
      <w:r w:rsidRPr="004C49DE">
        <w:rPr>
          <w:szCs w:val="22"/>
          <w:lang w:val="es-ES_tradnl" w:eastAsia="en-US"/>
        </w:rPr>
        <w:t>Ivoire (AFEMCI)</w:t>
      </w:r>
      <w:r w:rsidR="00BB7BBB" w:rsidRPr="004C49DE">
        <w:rPr>
          <w:szCs w:val="22"/>
          <w:lang w:val="es-ES_tradnl" w:eastAsia="en-US"/>
        </w:rPr>
        <w:t>.</w:t>
      </w:r>
      <w:r w:rsidRPr="004C49DE">
        <w:rPr>
          <w:szCs w:val="22"/>
          <w:lang w:val="es-ES_tradnl" w:eastAsia="en-US"/>
        </w:rPr>
        <w:t xml:space="preserve"> La AFEMCI trabajará por el adelanto de la mujer en el sistema judicial, especialmente en los puestos de responsabilidad</w:t>
      </w:r>
      <w:r w:rsidR="00BB7BBB" w:rsidRPr="004C49DE">
        <w:rPr>
          <w:szCs w:val="22"/>
          <w:lang w:val="es-ES_tradnl" w:eastAsia="en-US"/>
        </w:rPr>
        <w:t>.</w:t>
      </w:r>
      <w:r w:rsidRPr="004C49DE">
        <w:rPr>
          <w:szCs w:val="22"/>
          <w:lang w:val="es-ES_tradnl" w:eastAsia="en-US"/>
        </w:rPr>
        <w:t xml:space="preserve"> Para ello, promoverá una imagen positiva de las magistradas responsables, combatirá todas las formas de discriminación contra las magistradas y fomentará su aprendizaje continuo</w:t>
      </w:r>
      <w:r w:rsidR="00BB7BBB" w:rsidRPr="004C49DE">
        <w:rPr>
          <w:szCs w:val="22"/>
          <w:lang w:val="es-ES_tradnl" w:eastAsia="en-US"/>
        </w:rPr>
        <w:t>.</w:t>
      </w:r>
    </w:p>
    <w:p w14:paraId="4CFE30B9" w14:textId="77777777" w:rsidR="0088129E" w:rsidRPr="004C49DE" w:rsidRDefault="0088129E" w:rsidP="00BB7BBB">
      <w:pPr>
        <w:pStyle w:val="SingleTxt"/>
        <w:suppressAutoHyphens w:val="0"/>
        <w:spacing w:after="0" w:line="120" w:lineRule="exact"/>
        <w:rPr>
          <w:sz w:val="10"/>
          <w:szCs w:val="10"/>
          <w:lang w:val="es-ES_tradnl"/>
        </w:rPr>
      </w:pPr>
    </w:p>
    <w:p w14:paraId="4EA00033" w14:textId="77777777" w:rsidR="000C3123" w:rsidRPr="004C49DE" w:rsidRDefault="0088129E" w:rsidP="007F0F3A">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r>
      <w:r w:rsidRPr="004C49DE">
        <w:rPr>
          <w:b w:val="0"/>
          <w:bCs w:val="0"/>
          <w:lang w:val="es-ES_tradnl" w:eastAsia="en-US"/>
        </w:rPr>
        <w:t xml:space="preserve">Cuadro 5 </w:t>
      </w:r>
      <w:r w:rsidRPr="004C49DE">
        <w:rPr>
          <w:bCs w:val="0"/>
          <w:lang w:val="es-ES_tradnl" w:eastAsia="en-US"/>
        </w:rPr>
        <w:br/>
      </w:r>
      <w:r w:rsidR="000C3123" w:rsidRPr="004C49DE">
        <w:rPr>
          <w:bCs w:val="0"/>
          <w:lang w:val="es-ES_tradnl" w:eastAsia="en-US"/>
        </w:rPr>
        <w:t>Personal del ámbito judicial en 2016</w:t>
      </w:r>
    </w:p>
    <w:p w14:paraId="6B3479F1" w14:textId="77777777" w:rsidR="0088129E" w:rsidRPr="004C49DE" w:rsidRDefault="0088129E" w:rsidP="007F0F3A">
      <w:pPr>
        <w:pStyle w:val="SingleTxt"/>
        <w:suppressAutoHyphens w:val="0"/>
        <w:spacing w:after="0" w:line="120" w:lineRule="exact"/>
        <w:rPr>
          <w:sz w:val="10"/>
          <w:szCs w:val="10"/>
          <w:lang w:val="es-ES_tradnl"/>
        </w:rPr>
      </w:pPr>
    </w:p>
    <w:tbl>
      <w:tblPr>
        <w:tblW w:w="7370" w:type="dxa"/>
        <w:tblInd w:w="1267" w:type="dxa"/>
        <w:tblLayout w:type="fixed"/>
        <w:tblCellMar>
          <w:left w:w="0" w:type="dxa"/>
          <w:right w:w="43" w:type="dxa"/>
        </w:tblCellMar>
        <w:tblLook w:val="04A0" w:firstRow="1" w:lastRow="0" w:firstColumn="1" w:lastColumn="0" w:noHBand="0" w:noVBand="1"/>
      </w:tblPr>
      <w:tblGrid>
        <w:gridCol w:w="2333"/>
        <w:gridCol w:w="1800"/>
        <w:gridCol w:w="1710"/>
        <w:gridCol w:w="1527"/>
      </w:tblGrid>
      <w:tr w:rsidR="000C3123" w:rsidRPr="004C49DE" w14:paraId="3F669E7E" w14:textId="77777777" w:rsidTr="00EE3D98">
        <w:trPr>
          <w:tblHeader/>
        </w:trPr>
        <w:tc>
          <w:tcPr>
            <w:tcW w:w="2333" w:type="dxa"/>
            <w:tcBorders>
              <w:top w:val="single" w:sz="4" w:space="0" w:color="auto"/>
              <w:bottom w:val="single" w:sz="12" w:space="0" w:color="auto"/>
            </w:tcBorders>
            <w:shd w:val="clear" w:color="auto" w:fill="auto"/>
            <w:vAlign w:val="bottom"/>
          </w:tcPr>
          <w:p w14:paraId="57371573" w14:textId="77777777" w:rsidR="000C3123" w:rsidRPr="004C49DE" w:rsidRDefault="000C3123"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Gremio</w:t>
            </w:r>
          </w:p>
        </w:tc>
        <w:tc>
          <w:tcPr>
            <w:tcW w:w="1800" w:type="dxa"/>
            <w:tcBorders>
              <w:top w:val="single" w:sz="4" w:space="0" w:color="auto"/>
              <w:bottom w:val="single" w:sz="12" w:space="0" w:color="auto"/>
            </w:tcBorders>
            <w:shd w:val="clear" w:color="auto" w:fill="auto"/>
            <w:vAlign w:val="bottom"/>
          </w:tcPr>
          <w:p w14:paraId="773EC334" w14:textId="77777777" w:rsidR="000C3123" w:rsidRPr="004C49DE" w:rsidRDefault="000C3123"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Personal total</w:t>
            </w:r>
          </w:p>
        </w:tc>
        <w:tc>
          <w:tcPr>
            <w:tcW w:w="1710" w:type="dxa"/>
            <w:tcBorders>
              <w:top w:val="single" w:sz="4" w:space="0" w:color="auto"/>
              <w:bottom w:val="single" w:sz="12" w:space="0" w:color="auto"/>
            </w:tcBorders>
            <w:shd w:val="clear" w:color="auto" w:fill="auto"/>
            <w:vAlign w:val="bottom"/>
          </w:tcPr>
          <w:p w14:paraId="3DD38758" w14:textId="77777777" w:rsidR="000C3123" w:rsidRPr="004C49DE" w:rsidRDefault="000C3123"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Cantidad de mujeres</w:t>
            </w:r>
          </w:p>
        </w:tc>
        <w:tc>
          <w:tcPr>
            <w:tcW w:w="1527" w:type="dxa"/>
            <w:tcBorders>
              <w:top w:val="single" w:sz="4" w:space="0" w:color="auto"/>
              <w:bottom w:val="single" w:sz="12" w:space="0" w:color="auto"/>
            </w:tcBorders>
            <w:shd w:val="clear" w:color="auto" w:fill="auto"/>
            <w:vAlign w:val="bottom"/>
          </w:tcPr>
          <w:p w14:paraId="76FC12B5" w14:textId="77777777" w:rsidR="000C3123" w:rsidRPr="004C49DE" w:rsidRDefault="000C3123"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Porcentaje</w:t>
            </w:r>
          </w:p>
        </w:tc>
      </w:tr>
      <w:tr w:rsidR="00251CF8" w:rsidRPr="004C49DE" w14:paraId="75E0EADF" w14:textId="77777777" w:rsidTr="00EE3D98">
        <w:trPr>
          <w:trHeight w:hRule="exact" w:val="115"/>
          <w:tblHeader/>
        </w:trPr>
        <w:tc>
          <w:tcPr>
            <w:tcW w:w="2333" w:type="dxa"/>
            <w:tcBorders>
              <w:top w:val="single" w:sz="12" w:space="0" w:color="auto"/>
            </w:tcBorders>
            <w:shd w:val="clear" w:color="auto" w:fill="auto"/>
            <w:vAlign w:val="bottom"/>
          </w:tcPr>
          <w:p w14:paraId="5EDB219C" w14:textId="77777777" w:rsidR="00251CF8" w:rsidRPr="004C49DE" w:rsidRDefault="00251CF8"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lang w:val="es-ES_tradnl" w:eastAsia="en-US"/>
              </w:rPr>
            </w:pPr>
          </w:p>
        </w:tc>
        <w:tc>
          <w:tcPr>
            <w:tcW w:w="1800" w:type="dxa"/>
            <w:tcBorders>
              <w:top w:val="single" w:sz="12" w:space="0" w:color="auto"/>
            </w:tcBorders>
            <w:shd w:val="clear" w:color="auto" w:fill="auto"/>
            <w:vAlign w:val="bottom"/>
          </w:tcPr>
          <w:p w14:paraId="17A555B6" w14:textId="77777777" w:rsidR="00251CF8" w:rsidRPr="004C49DE" w:rsidRDefault="00251CF8"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1710" w:type="dxa"/>
            <w:tcBorders>
              <w:top w:val="single" w:sz="12" w:space="0" w:color="auto"/>
            </w:tcBorders>
            <w:shd w:val="clear" w:color="auto" w:fill="auto"/>
            <w:vAlign w:val="bottom"/>
          </w:tcPr>
          <w:p w14:paraId="3CD5DA25" w14:textId="77777777" w:rsidR="00251CF8" w:rsidRPr="004C49DE" w:rsidRDefault="00251CF8"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c>
          <w:tcPr>
            <w:tcW w:w="1527" w:type="dxa"/>
            <w:tcBorders>
              <w:top w:val="single" w:sz="12" w:space="0" w:color="auto"/>
            </w:tcBorders>
            <w:shd w:val="clear" w:color="auto" w:fill="auto"/>
            <w:vAlign w:val="bottom"/>
          </w:tcPr>
          <w:p w14:paraId="731E8BAA" w14:textId="77777777" w:rsidR="00251CF8" w:rsidRPr="004C49DE" w:rsidRDefault="00251CF8" w:rsidP="007F0F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lang w:val="es-ES_tradnl" w:eastAsia="en-US"/>
              </w:rPr>
            </w:pPr>
          </w:p>
        </w:tc>
      </w:tr>
      <w:tr w:rsidR="000C3123" w:rsidRPr="004C49DE" w14:paraId="417F1DE8" w14:textId="77777777" w:rsidTr="00EE3D98">
        <w:tc>
          <w:tcPr>
            <w:tcW w:w="2333" w:type="dxa"/>
            <w:shd w:val="clear" w:color="auto" w:fill="auto"/>
            <w:vAlign w:val="bottom"/>
          </w:tcPr>
          <w:p w14:paraId="509F5F6D"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Ujieres</w:t>
            </w:r>
          </w:p>
        </w:tc>
        <w:tc>
          <w:tcPr>
            <w:tcW w:w="1800" w:type="dxa"/>
            <w:shd w:val="clear" w:color="auto" w:fill="auto"/>
            <w:vAlign w:val="bottom"/>
          </w:tcPr>
          <w:p w14:paraId="0D1CC087"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417</w:t>
            </w:r>
          </w:p>
        </w:tc>
        <w:tc>
          <w:tcPr>
            <w:tcW w:w="1710" w:type="dxa"/>
            <w:shd w:val="clear" w:color="auto" w:fill="auto"/>
            <w:vAlign w:val="bottom"/>
          </w:tcPr>
          <w:p w14:paraId="2312AC0C"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48</w:t>
            </w:r>
          </w:p>
        </w:tc>
        <w:tc>
          <w:tcPr>
            <w:tcW w:w="1527" w:type="dxa"/>
            <w:shd w:val="clear" w:color="auto" w:fill="auto"/>
            <w:vAlign w:val="bottom"/>
          </w:tcPr>
          <w:p w14:paraId="1E5F1A42"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11,51</w:t>
            </w:r>
          </w:p>
        </w:tc>
      </w:tr>
      <w:tr w:rsidR="000C3123" w:rsidRPr="004C49DE" w14:paraId="60D11EB9" w14:textId="77777777" w:rsidTr="00EE3D98">
        <w:tc>
          <w:tcPr>
            <w:tcW w:w="2333" w:type="dxa"/>
            <w:shd w:val="clear" w:color="auto" w:fill="auto"/>
            <w:vAlign w:val="bottom"/>
          </w:tcPr>
          <w:p w14:paraId="44AB3582"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Notarios</w:t>
            </w:r>
          </w:p>
        </w:tc>
        <w:tc>
          <w:tcPr>
            <w:tcW w:w="1800" w:type="dxa"/>
            <w:shd w:val="clear" w:color="auto" w:fill="auto"/>
            <w:vAlign w:val="bottom"/>
          </w:tcPr>
          <w:p w14:paraId="7730891A"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213</w:t>
            </w:r>
          </w:p>
        </w:tc>
        <w:tc>
          <w:tcPr>
            <w:tcW w:w="1710" w:type="dxa"/>
            <w:shd w:val="clear" w:color="auto" w:fill="auto"/>
            <w:vAlign w:val="bottom"/>
          </w:tcPr>
          <w:p w14:paraId="1C089239"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111</w:t>
            </w:r>
          </w:p>
        </w:tc>
        <w:tc>
          <w:tcPr>
            <w:tcW w:w="1527" w:type="dxa"/>
            <w:shd w:val="clear" w:color="auto" w:fill="auto"/>
            <w:vAlign w:val="bottom"/>
          </w:tcPr>
          <w:p w14:paraId="0FDE5E37"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52,11</w:t>
            </w:r>
          </w:p>
        </w:tc>
      </w:tr>
      <w:tr w:rsidR="000C3123" w:rsidRPr="004C49DE" w14:paraId="216DF23F" w14:textId="77777777" w:rsidTr="00EE3D98">
        <w:tc>
          <w:tcPr>
            <w:tcW w:w="2333" w:type="dxa"/>
            <w:shd w:val="clear" w:color="auto" w:fill="auto"/>
            <w:vAlign w:val="bottom"/>
          </w:tcPr>
          <w:p w14:paraId="519488A1"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Abogados</w:t>
            </w:r>
          </w:p>
        </w:tc>
        <w:tc>
          <w:tcPr>
            <w:tcW w:w="1800" w:type="dxa"/>
            <w:shd w:val="clear" w:color="auto" w:fill="auto"/>
            <w:vAlign w:val="bottom"/>
          </w:tcPr>
          <w:p w14:paraId="4A4A7822"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513</w:t>
            </w:r>
          </w:p>
        </w:tc>
        <w:tc>
          <w:tcPr>
            <w:tcW w:w="1710" w:type="dxa"/>
            <w:shd w:val="clear" w:color="auto" w:fill="auto"/>
            <w:vAlign w:val="bottom"/>
          </w:tcPr>
          <w:p w14:paraId="25EF7C8E"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137</w:t>
            </w:r>
          </w:p>
        </w:tc>
        <w:tc>
          <w:tcPr>
            <w:tcW w:w="1527" w:type="dxa"/>
            <w:shd w:val="clear" w:color="auto" w:fill="auto"/>
            <w:vAlign w:val="bottom"/>
          </w:tcPr>
          <w:p w14:paraId="6F8A2302"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26,7</w:t>
            </w:r>
          </w:p>
        </w:tc>
      </w:tr>
      <w:tr w:rsidR="000C3123" w:rsidRPr="004C49DE" w14:paraId="7D3789C9" w14:textId="77777777" w:rsidTr="00EE3D98">
        <w:tc>
          <w:tcPr>
            <w:tcW w:w="2333" w:type="dxa"/>
            <w:shd w:val="clear" w:color="auto" w:fill="auto"/>
            <w:vAlign w:val="bottom"/>
          </w:tcPr>
          <w:p w14:paraId="11F331BB"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Asesores jurídicos</w:t>
            </w:r>
          </w:p>
        </w:tc>
        <w:tc>
          <w:tcPr>
            <w:tcW w:w="1800" w:type="dxa"/>
            <w:shd w:val="clear" w:color="auto" w:fill="auto"/>
            <w:vAlign w:val="bottom"/>
          </w:tcPr>
          <w:p w14:paraId="39C79A6A"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118</w:t>
            </w:r>
          </w:p>
        </w:tc>
        <w:tc>
          <w:tcPr>
            <w:tcW w:w="1710" w:type="dxa"/>
            <w:shd w:val="clear" w:color="auto" w:fill="auto"/>
            <w:vAlign w:val="bottom"/>
          </w:tcPr>
          <w:p w14:paraId="397BB949"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22</w:t>
            </w:r>
          </w:p>
        </w:tc>
        <w:tc>
          <w:tcPr>
            <w:tcW w:w="1527" w:type="dxa"/>
            <w:shd w:val="clear" w:color="auto" w:fill="auto"/>
            <w:vAlign w:val="bottom"/>
          </w:tcPr>
          <w:p w14:paraId="5A800B1F"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18,64</w:t>
            </w:r>
          </w:p>
        </w:tc>
      </w:tr>
      <w:tr w:rsidR="000C3123" w:rsidRPr="004C49DE" w14:paraId="7EEC30E2" w14:textId="77777777" w:rsidTr="00EE3D98">
        <w:tc>
          <w:tcPr>
            <w:tcW w:w="2333" w:type="dxa"/>
            <w:shd w:val="clear" w:color="auto" w:fill="auto"/>
            <w:vAlign w:val="bottom"/>
          </w:tcPr>
          <w:p w14:paraId="56ADE8F1"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Subastadores</w:t>
            </w:r>
          </w:p>
        </w:tc>
        <w:tc>
          <w:tcPr>
            <w:tcW w:w="1800" w:type="dxa"/>
            <w:shd w:val="clear" w:color="auto" w:fill="auto"/>
            <w:vAlign w:val="bottom"/>
          </w:tcPr>
          <w:p w14:paraId="68CE4861"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135</w:t>
            </w:r>
          </w:p>
        </w:tc>
        <w:tc>
          <w:tcPr>
            <w:tcW w:w="1710" w:type="dxa"/>
            <w:shd w:val="clear" w:color="auto" w:fill="auto"/>
            <w:vAlign w:val="bottom"/>
          </w:tcPr>
          <w:p w14:paraId="4CBBA17B"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12</w:t>
            </w:r>
          </w:p>
        </w:tc>
        <w:tc>
          <w:tcPr>
            <w:tcW w:w="1527" w:type="dxa"/>
            <w:shd w:val="clear" w:color="auto" w:fill="auto"/>
            <w:vAlign w:val="bottom"/>
          </w:tcPr>
          <w:p w14:paraId="552EC945"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8,88</w:t>
            </w:r>
          </w:p>
        </w:tc>
      </w:tr>
      <w:tr w:rsidR="000C3123" w:rsidRPr="004C49DE" w14:paraId="71D90A41" w14:textId="77777777" w:rsidTr="00EE3D98">
        <w:tc>
          <w:tcPr>
            <w:tcW w:w="2333" w:type="dxa"/>
            <w:shd w:val="clear" w:color="auto" w:fill="auto"/>
            <w:vAlign w:val="bottom"/>
          </w:tcPr>
          <w:p w14:paraId="461C3F9E"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Magistrados</w:t>
            </w:r>
          </w:p>
        </w:tc>
        <w:tc>
          <w:tcPr>
            <w:tcW w:w="1800" w:type="dxa"/>
            <w:shd w:val="clear" w:color="auto" w:fill="auto"/>
            <w:vAlign w:val="bottom"/>
          </w:tcPr>
          <w:p w14:paraId="44C1716E"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679</w:t>
            </w:r>
          </w:p>
        </w:tc>
        <w:tc>
          <w:tcPr>
            <w:tcW w:w="1710" w:type="dxa"/>
            <w:shd w:val="clear" w:color="auto" w:fill="auto"/>
            <w:vAlign w:val="bottom"/>
          </w:tcPr>
          <w:p w14:paraId="4C296B6B"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180</w:t>
            </w:r>
          </w:p>
        </w:tc>
        <w:tc>
          <w:tcPr>
            <w:tcW w:w="1527" w:type="dxa"/>
            <w:shd w:val="clear" w:color="auto" w:fill="auto"/>
            <w:vAlign w:val="bottom"/>
          </w:tcPr>
          <w:p w14:paraId="6C0AB545"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26,5</w:t>
            </w:r>
          </w:p>
        </w:tc>
      </w:tr>
      <w:tr w:rsidR="000C3123" w:rsidRPr="004C49DE" w14:paraId="55A989A8" w14:textId="77777777" w:rsidTr="00EE3D98">
        <w:tc>
          <w:tcPr>
            <w:tcW w:w="2333" w:type="dxa"/>
            <w:shd w:val="clear" w:color="auto" w:fill="auto"/>
            <w:vAlign w:val="bottom"/>
          </w:tcPr>
          <w:p w14:paraId="2E6B58EC"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Secretarios judiciales</w:t>
            </w:r>
          </w:p>
        </w:tc>
        <w:tc>
          <w:tcPr>
            <w:tcW w:w="1800" w:type="dxa"/>
            <w:shd w:val="clear" w:color="auto" w:fill="auto"/>
            <w:vAlign w:val="bottom"/>
          </w:tcPr>
          <w:p w14:paraId="673F3292"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w:t>
            </w:r>
            <w:r w:rsidR="00276F06" w:rsidRPr="004C49DE">
              <w:rPr>
                <w:bCs/>
                <w:kern w:val="0"/>
                <w:sz w:val="17"/>
                <w:szCs w:val="17"/>
                <w:lang w:val="es-ES_tradnl" w:eastAsia="en-US"/>
              </w:rPr>
              <w:t xml:space="preserve"> </w:t>
            </w:r>
            <w:r w:rsidRPr="004C49DE">
              <w:rPr>
                <w:bCs/>
                <w:kern w:val="0"/>
                <w:sz w:val="17"/>
                <w:szCs w:val="17"/>
                <w:lang w:val="es-ES_tradnl" w:eastAsia="en-US"/>
              </w:rPr>
              <w:t>025</w:t>
            </w:r>
          </w:p>
        </w:tc>
        <w:tc>
          <w:tcPr>
            <w:tcW w:w="1710" w:type="dxa"/>
            <w:shd w:val="clear" w:color="auto" w:fill="auto"/>
            <w:vAlign w:val="bottom"/>
          </w:tcPr>
          <w:p w14:paraId="7E83E6E6"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230</w:t>
            </w:r>
          </w:p>
        </w:tc>
        <w:tc>
          <w:tcPr>
            <w:tcW w:w="1527" w:type="dxa"/>
            <w:shd w:val="clear" w:color="auto" w:fill="auto"/>
            <w:vAlign w:val="bottom"/>
          </w:tcPr>
          <w:p w14:paraId="253DF9EC"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22,43</w:t>
            </w:r>
          </w:p>
        </w:tc>
      </w:tr>
      <w:tr w:rsidR="000C3123" w:rsidRPr="004C49DE" w14:paraId="1AF0E2B2" w14:textId="77777777" w:rsidTr="00EE3D98">
        <w:tc>
          <w:tcPr>
            <w:tcW w:w="2333" w:type="dxa"/>
            <w:tcBorders>
              <w:bottom w:val="single" w:sz="4" w:space="0" w:color="auto"/>
            </w:tcBorders>
            <w:shd w:val="clear" w:color="auto" w:fill="auto"/>
            <w:vAlign w:val="bottom"/>
          </w:tcPr>
          <w:p w14:paraId="6412D157" w14:textId="77777777" w:rsidR="000C3123" w:rsidRPr="004C49DE" w:rsidRDefault="000C3123" w:rsidP="001A14E9">
            <w:pPr>
              <w:keepNext/>
              <w:keepLines/>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Representantes legales</w:t>
            </w:r>
          </w:p>
        </w:tc>
        <w:tc>
          <w:tcPr>
            <w:tcW w:w="1800" w:type="dxa"/>
            <w:tcBorders>
              <w:bottom w:val="single" w:sz="4" w:space="0" w:color="auto"/>
            </w:tcBorders>
            <w:shd w:val="clear" w:color="auto" w:fill="auto"/>
            <w:vAlign w:val="bottom"/>
          </w:tcPr>
          <w:p w14:paraId="40F5D23E"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246</w:t>
            </w:r>
          </w:p>
        </w:tc>
        <w:tc>
          <w:tcPr>
            <w:tcW w:w="1710" w:type="dxa"/>
            <w:tcBorders>
              <w:bottom w:val="single" w:sz="4" w:space="0" w:color="auto"/>
            </w:tcBorders>
            <w:shd w:val="clear" w:color="auto" w:fill="auto"/>
            <w:vAlign w:val="bottom"/>
          </w:tcPr>
          <w:p w14:paraId="318F73FC"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15</w:t>
            </w:r>
          </w:p>
        </w:tc>
        <w:tc>
          <w:tcPr>
            <w:tcW w:w="1527" w:type="dxa"/>
            <w:tcBorders>
              <w:bottom w:val="single" w:sz="4" w:space="0" w:color="auto"/>
            </w:tcBorders>
            <w:shd w:val="clear" w:color="auto" w:fill="auto"/>
            <w:vAlign w:val="bottom"/>
          </w:tcPr>
          <w:p w14:paraId="67614DC1" w14:textId="77777777" w:rsidR="000C3123" w:rsidRPr="004C49DE" w:rsidRDefault="000C3123" w:rsidP="001A14E9">
            <w:pPr>
              <w:keepNext/>
              <w:keepLines/>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6,1</w:t>
            </w:r>
          </w:p>
        </w:tc>
      </w:tr>
      <w:tr w:rsidR="000C3123" w:rsidRPr="004C49DE" w14:paraId="3EDD7723" w14:textId="77777777" w:rsidTr="00EE3D98">
        <w:tc>
          <w:tcPr>
            <w:tcW w:w="2333" w:type="dxa"/>
            <w:tcBorders>
              <w:top w:val="single" w:sz="4" w:space="0" w:color="auto"/>
              <w:bottom w:val="single" w:sz="12" w:space="0" w:color="auto"/>
            </w:tcBorders>
            <w:shd w:val="clear" w:color="auto" w:fill="auto"/>
            <w:vAlign w:val="bottom"/>
          </w:tcPr>
          <w:p w14:paraId="26358AA0" w14:textId="77777777" w:rsidR="000C3123" w:rsidRPr="004C49DE" w:rsidRDefault="00010A9C" w:rsidP="007F0F3A">
            <w:pPr>
              <w:tabs>
                <w:tab w:val="left" w:pos="365"/>
              </w:tabs>
              <w:suppressAutoHyphens w:val="0"/>
              <w:spacing w:before="80" w:after="80" w:line="210" w:lineRule="exact"/>
              <w:rPr>
                <w:b/>
                <w:bCs/>
                <w:kern w:val="0"/>
                <w:sz w:val="17"/>
                <w:szCs w:val="17"/>
                <w:lang w:val="es-ES_tradnl" w:eastAsia="en-US"/>
              </w:rPr>
            </w:pPr>
            <w:r w:rsidRPr="004C49DE">
              <w:rPr>
                <w:b/>
                <w:bCs/>
                <w:kern w:val="0"/>
                <w:sz w:val="17"/>
                <w:szCs w:val="17"/>
                <w:lang w:val="es-ES_tradnl" w:eastAsia="en-US"/>
              </w:rPr>
              <w:tab/>
            </w:r>
            <w:r w:rsidR="000C3123" w:rsidRPr="004C49DE">
              <w:rPr>
                <w:b/>
                <w:bCs/>
                <w:kern w:val="0"/>
                <w:sz w:val="17"/>
                <w:szCs w:val="17"/>
                <w:lang w:val="es-ES_tradnl" w:eastAsia="en-US"/>
              </w:rPr>
              <w:t>Total</w:t>
            </w:r>
          </w:p>
        </w:tc>
        <w:tc>
          <w:tcPr>
            <w:tcW w:w="1800" w:type="dxa"/>
            <w:tcBorders>
              <w:top w:val="single" w:sz="4" w:space="0" w:color="auto"/>
              <w:bottom w:val="single" w:sz="12" w:space="0" w:color="auto"/>
            </w:tcBorders>
            <w:shd w:val="clear" w:color="auto" w:fill="auto"/>
            <w:vAlign w:val="bottom"/>
          </w:tcPr>
          <w:p w14:paraId="6F13EC4C" w14:textId="77777777" w:rsidR="000C3123" w:rsidRPr="004C49DE" w:rsidRDefault="000C3123" w:rsidP="007F0F3A">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3</w:t>
            </w:r>
            <w:r w:rsidR="00276F06" w:rsidRPr="004C49DE">
              <w:rPr>
                <w:b/>
                <w:bCs/>
                <w:kern w:val="0"/>
                <w:sz w:val="17"/>
                <w:szCs w:val="17"/>
                <w:lang w:val="es-ES_tradnl" w:eastAsia="en-US"/>
              </w:rPr>
              <w:t xml:space="preserve"> </w:t>
            </w:r>
            <w:r w:rsidRPr="004C49DE">
              <w:rPr>
                <w:b/>
                <w:bCs/>
                <w:kern w:val="0"/>
                <w:sz w:val="17"/>
                <w:szCs w:val="17"/>
                <w:lang w:val="es-ES_tradnl" w:eastAsia="en-US"/>
              </w:rPr>
              <w:t>346</w:t>
            </w:r>
          </w:p>
        </w:tc>
        <w:tc>
          <w:tcPr>
            <w:tcW w:w="1710" w:type="dxa"/>
            <w:tcBorders>
              <w:top w:val="single" w:sz="4" w:space="0" w:color="auto"/>
              <w:bottom w:val="single" w:sz="12" w:space="0" w:color="auto"/>
            </w:tcBorders>
            <w:shd w:val="clear" w:color="auto" w:fill="auto"/>
            <w:vAlign w:val="bottom"/>
          </w:tcPr>
          <w:p w14:paraId="6A5D0715" w14:textId="77777777" w:rsidR="000C3123" w:rsidRPr="004C49DE" w:rsidRDefault="000C3123" w:rsidP="007F0F3A">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755</w:t>
            </w:r>
          </w:p>
        </w:tc>
        <w:tc>
          <w:tcPr>
            <w:tcW w:w="1527" w:type="dxa"/>
            <w:tcBorders>
              <w:top w:val="single" w:sz="4" w:space="0" w:color="auto"/>
              <w:bottom w:val="single" w:sz="12" w:space="0" w:color="auto"/>
            </w:tcBorders>
            <w:shd w:val="clear" w:color="auto" w:fill="auto"/>
            <w:vAlign w:val="bottom"/>
          </w:tcPr>
          <w:p w14:paraId="0DE5AAFD" w14:textId="77777777" w:rsidR="000C3123" w:rsidRPr="004C49DE" w:rsidRDefault="000C3123" w:rsidP="007F0F3A">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22,56</w:t>
            </w:r>
          </w:p>
        </w:tc>
      </w:tr>
    </w:tbl>
    <w:p w14:paraId="513061A4" w14:textId="77777777" w:rsidR="0088129E" w:rsidRPr="004C49DE" w:rsidRDefault="0088129E" w:rsidP="007F0F3A">
      <w:pPr>
        <w:pStyle w:val="SingleTxt"/>
        <w:suppressAutoHyphens w:val="0"/>
        <w:spacing w:after="0" w:line="120" w:lineRule="exact"/>
        <w:rPr>
          <w:sz w:val="10"/>
          <w:szCs w:val="10"/>
          <w:lang w:val="es-ES_tradnl"/>
        </w:rPr>
      </w:pPr>
    </w:p>
    <w:p w14:paraId="481EA7F2" w14:textId="77777777" w:rsidR="0088129E" w:rsidRPr="004C49DE" w:rsidRDefault="0088129E" w:rsidP="007F0F3A">
      <w:pPr>
        <w:pStyle w:val="SingleTxt"/>
        <w:suppressAutoHyphens w:val="0"/>
        <w:spacing w:after="0" w:line="120" w:lineRule="exact"/>
        <w:rPr>
          <w:sz w:val="10"/>
          <w:szCs w:val="10"/>
          <w:lang w:val="es-ES_tradnl"/>
        </w:rPr>
      </w:pPr>
    </w:p>
    <w:p w14:paraId="5B1DC0CF" w14:textId="4B06B2D5" w:rsidR="000C3123" w:rsidRPr="004C49DE" w:rsidRDefault="000C3123" w:rsidP="007F0F3A">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Supervisar atentamente la eficacia de las medidas adoptadas y los resultados alcanzados para asegurar una mayor participación de la mujer en la vida política y pública (véase </w:t>
      </w:r>
      <w:hyperlink r:id="rId7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35 d))</w:t>
      </w:r>
      <w:r w:rsidR="00BB7BBB" w:rsidRPr="004C49DE">
        <w:rPr>
          <w:b/>
          <w:szCs w:val="22"/>
          <w:lang w:val="es-ES_tradnl" w:eastAsia="en-US"/>
        </w:rPr>
        <w:t>.</w:t>
      </w:r>
    </w:p>
    <w:p w14:paraId="1974E426" w14:textId="0745E470"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lastRenderedPageBreak/>
        <w:t xml:space="preserve">La presencia de la mujer en los niveles de adopción de decisiones sigue siendo baja, como se indica en </w:t>
      </w:r>
      <w:r w:rsidR="00B24819" w:rsidRPr="004C49DE">
        <w:rPr>
          <w:szCs w:val="22"/>
          <w:lang w:val="es-ES_tradnl" w:eastAsia="en-US"/>
        </w:rPr>
        <w:t>e</w:t>
      </w:r>
      <w:r w:rsidRPr="004C49DE">
        <w:rPr>
          <w:szCs w:val="22"/>
          <w:lang w:val="es-ES_tradnl" w:eastAsia="en-US"/>
        </w:rPr>
        <w:t>l gráfic</w:t>
      </w:r>
      <w:r w:rsidR="00B24819" w:rsidRPr="004C49DE">
        <w:rPr>
          <w:szCs w:val="22"/>
          <w:lang w:val="es-ES_tradnl" w:eastAsia="en-US"/>
        </w:rPr>
        <w:t>o</w:t>
      </w:r>
      <w:r w:rsidRPr="004C49DE">
        <w:rPr>
          <w:szCs w:val="22"/>
          <w:lang w:val="es-ES_tradnl" w:eastAsia="en-US"/>
        </w:rPr>
        <w:t xml:space="preserve"> que figura a continuación</w:t>
      </w:r>
      <w:r w:rsidR="00BB7BBB" w:rsidRPr="004C49DE">
        <w:rPr>
          <w:szCs w:val="22"/>
          <w:lang w:val="es-ES_tradnl" w:eastAsia="en-US"/>
        </w:rPr>
        <w:t>.</w:t>
      </w:r>
    </w:p>
    <w:p w14:paraId="4144D100" w14:textId="6EF3C90D" w:rsidR="0088129E" w:rsidRPr="004C49DE" w:rsidRDefault="0088129E" w:rsidP="00BB7BBB">
      <w:pPr>
        <w:pStyle w:val="SingleTxt"/>
        <w:suppressAutoHyphens w:val="0"/>
        <w:spacing w:after="0" w:line="120" w:lineRule="exact"/>
        <w:rPr>
          <w:sz w:val="10"/>
          <w:szCs w:val="10"/>
          <w:lang w:val="es-ES_tradnl"/>
        </w:rPr>
      </w:pPr>
    </w:p>
    <w:p w14:paraId="5171AE26" w14:textId="1F595962" w:rsidR="000C3123" w:rsidRPr="004C49DE" w:rsidRDefault="0088129E" w:rsidP="00BB7BBB">
      <w:pPr>
        <w:pStyle w:val="H23"/>
        <w:keepNext w:val="0"/>
        <w:keepLines w:val="0"/>
        <w:suppressAutoHyphens w:val="0"/>
        <w:ind w:right="1260"/>
        <w:rPr>
          <w:bCs w:val="0"/>
          <w:lang w:val="es-ES_tradnl" w:eastAsia="en-US"/>
        </w:rPr>
      </w:pPr>
      <w:r w:rsidRPr="004C49DE">
        <w:rPr>
          <w:bCs w:val="0"/>
          <w:lang w:val="es-ES_tradnl" w:eastAsia="en-US"/>
        </w:rPr>
        <w:tab/>
      </w:r>
      <w:r w:rsidR="000C3123" w:rsidRPr="004C49DE">
        <w:rPr>
          <w:bCs w:val="0"/>
          <w:lang w:val="es-ES_tradnl" w:eastAsia="en-US"/>
        </w:rPr>
        <w:tab/>
      </w:r>
      <w:r w:rsidR="000C3123" w:rsidRPr="004C49DE">
        <w:rPr>
          <w:b w:val="0"/>
          <w:bCs w:val="0"/>
          <w:lang w:val="es-ES_tradnl" w:eastAsia="en-US"/>
        </w:rPr>
        <w:t>Gráfic</w:t>
      </w:r>
      <w:r w:rsidR="00B24819" w:rsidRPr="004C49DE">
        <w:rPr>
          <w:b w:val="0"/>
          <w:bCs w:val="0"/>
          <w:lang w:val="es-ES_tradnl" w:eastAsia="en-US"/>
        </w:rPr>
        <w:t>o</w:t>
      </w:r>
      <w:r w:rsidR="000C3123" w:rsidRPr="004C49DE">
        <w:rPr>
          <w:b w:val="0"/>
          <w:bCs w:val="0"/>
          <w:lang w:val="es-ES_tradnl" w:eastAsia="en-US"/>
        </w:rPr>
        <w:t xml:space="preserve"> 1 </w:t>
      </w:r>
      <w:r w:rsidRPr="004C49DE">
        <w:rPr>
          <w:b w:val="0"/>
          <w:bCs w:val="0"/>
          <w:lang w:val="es-ES_tradnl" w:eastAsia="en-US"/>
        </w:rPr>
        <w:br/>
      </w:r>
      <w:r w:rsidR="000C3123" w:rsidRPr="004C49DE">
        <w:rPr>
          <w:bCs w:val="0"/>
          <w:lang w:val="es-ES_tradnl" w:eastAsia="en-US"/>
        </w:rPr>
        <w:t>Representación de la mujer en la vida política y pública</w:t>
      </w:r>
    </w:p>
    <w:p w14:paraId="1132D79A" w14:textId="77777777" w:rsidR="0088129E" w:rsidRPr="004C49DE" w:rsidRDefault="0088129E" w:rsidP="00BB7BBB">
      <w:pPr>
        <w:pStyle w:val="SingleTxt"/>
        <w:suppressAutoHyphens w:val="0"/>
        <w:spacing w:after="0" w:line="120" w:lineRule="exact"/>
        <w:rPr>
          <w:sz w:val="10"/>
          <w:szCs w:val="10"/>
          <w:lang w:val="es-ES_tradnl"/>
        </w:rPr>
      </w:pPr>
    </w:p>
    <w:p w14:paraId="6685E2B8" w14:textId="77777777" w:rsidR="000C3123" w:rsidRPr="004C49DE" w:rsidRDefault="00A21EA5" w:rsidP="00BB7BBB">
      <w:pPr>
        <w:pStyle w:val="SingleTxt"/>
        <w:suppressAutoHyphens w:val="0"/>
        <w:spacing w:line="240" w:lineRule="atLeast"/>
        <w:rPr>
          <w:lang w:val="es-ES_tradnl"/>
        </w:rPr>
      </w:pPr>
      <w:r w:rsidRPr="004C49DE">
        <w:rPr>
          <w:noProof/>
          <w:lang w:val="es-ES_tradnl"/>
        </w:rPr>
        <w:drawing>
          <wp:inline distT="0" distB="0" distL="0" distR="0" wp14:anchorId="35BD6AD2" wp14:editId="3EB7CF42">
            <wp:extent cx="4663440" cy="238133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4663440" cy="2381332"/>
                    </a:xfrm>
                    <a:prstGeom prst="rect">
                      <a:avLst/>
                    </a:prstGeom>
                    <a:noFill/>
                    <a:ln w="6350">
                      <a:noFill/>
                    </a:ln>
                    <a:extLst>
                      <a:ext uri="{53640926-AAD7-44D8-BBD7-CCE9431645EC}">
                        <a14:shadowObscured xmlns:a14="http://schemas.microsoft.com/office/drawing/2010/main"/>
                      </a:ext>
                    </a:extLst>
                  </pic:spPr>
                </pic:pic>
              </a:graphicData>
            </a:graphic>
          </wp:inline>
        </w:drawing>
      </w:r>
    </w:p>
    <w:p w14:paraId="39579A64" w14:textId="77777777" w:rsidR="0088129E" w:rsidRPr="004C49DE" w:rsidRDefault="0088129E" w:rsidP="00BB7BBB">
      <w:pPr>
        <w:pStyle w:val="SingleTxt"/>
        <w:suppressAutoHyphens w:val="0"/>
        <w:spacing w:after="0" w:line="120" w:lineRule="exact"/>
        <w:rPr>
          <w:sz w:val="10"/>
          <w:szCs w:val="10"/>
          <w:lang w:val="es-ES_tradnl"/>
        </w:rPr>
      </w:pPr>
    </w:p>
    <w:p w14:paraId="70CAB73B" w14:textId="77777777" w:rsidR="0088129E" w:rsidRPr="004C49DE" w:rsidRDefault="0088129E" w:rsidP="00BB7BBB">
      <w:pPr>
        <w:pStyle w:val="SingleTxt"/>
        <w:suppressAutoHyphens w:val="0"/>
        <w:spacing w:after="0" w:line="120" w:lineRule="exact"/>
        <w:rPr>
          <w:sz w:val="10"/>
          <w:szCs w:val="10"/>
          <w:lang w:val="es-ES_tradnl"/>
        </w:rPr>
      </w:pPr>
    </w:p>
    <w:p w14:paraId="2BE44886" w14:textId="2D88FE53"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situación de la mujer en Côte d</w:t>
      </w:r>
      <w:r w:rsidR="004C49DE">
        <w:rPr>
          <w:szCs w:val="22"/>
          <w:lang w:val="es-ES_tradnl" w:eastAsia="en-US"/>
        </w:rPr>
        <w:t>’</w:t>
      </w:r>
      <w:r w:rsidRPr="004C49DE">
        <w:rPr>
          <w:szCs w:val="22"/>
          <w:lang w:val="es-ES_tradnl" w:eastAsia="en-US"/>
        </w:rPr>
        <w:t>Ivoire se caracteriza por una representación insuficiente en los puestos de responsabilidad en la administración pública y privada</w:t>
      </w:r>
      <w:r w:rsidR="00BB7BBB" w:rsidRPr="004C49DE">
        <w:rPr>
          <w:szCs w:val="22"/>
          <w:lang w:val="es-ES_tradnl" w:eastAsia="en-US"/>
        </w:rPr>
        <w:t>.</w:t>
      </w:r>
      <w:r w:rsidRPr="004C49DE">
        <w:rPr>
          <w:szCs w:val="22"/>
          <w:lang w:val="es-ES_tradnl" w:eastAsia="en-US"/>
        </w:rPr>
        <w:t xml:space="preserve"> Actualmente, la representación de las mujeres es inferior al 30% en la mayoría de los puestos de adopción de decisiones</w:t>
      </w:r>
      <w:r w:rsidR="00BB7BBB" w:rsidRPr="004C49DE">
        <w:rPr>
          <w:szCs w:val="22"/>
          <w:lang w:val="es-ES_tradnl" w:eastAsia="en-US"/>
        </w:rPr>
        <w:t>.</w:t>
      </w:r>
      <w:r w:rsidRPr="004C49DE">
        <w:rPr>
          <w:szCs w:val="22"/>
          <w:lang w:val="es-ES_tradnl" w:eastAsia="en-US"/>
        </w:rPr>
        <w:t xml:space="preserve"> En los cargos electos, las mujeres son muy minoritarias (un 11,5% en las últimas elecciones parlamentarias)</w:t>
      </w:r>
      <w:r w:rsidR="00BB7BBB" w:rsidRPr="004C49DE">
        <w:rPr>
          <w:szCs w:val="22"/>
          <w:lang w:val="es-ES_tradnl" w:eastAsia="en-US"/>
        </w:rPr>
        <w:t>.</w:t>
      </w:r>
    </w:p>
    <w:p w14:paraId="6FBEFA58" w14:textId="77777777" w:rsidR="0088129E" w:rsidRPr="004C49DE" w:rsidRDefault="0088129E" w:rsidP="00BB7BBB">
      <w:pPr>
        <w:pStyle w:val="SingleTxt"/>
        <w:suppressAutoHyphens w:val="0"/>
        <w:spacing w:after="0" w:line="120" w:lineRule="exact"/>
        <w:rPr>
          <w:sz w:val="10"/>
          <w:szCs w:val="10"/>
          <w:lang w:val="es-ES_tradnl"/>
        </w:rPr>
      </w:pPr>
    </w:p>
    <w:p w14:paraId="0FEDDBB2" w14:textId="77777777" w:rsidR="00BB7BBB" w:rsidRPr="004C49DE" w:rsidRDefault="000C3123" w:rsidP="00A50CED">
      <w:pPr>
        <w:pStyle w:val="H23"/>
        <w:suppressAutoHyphens w:val="0"/>
        <w:ind w:right="1260"/>
        <w:rPr>
          <w:bCs w:val="0"/>
          <w:lang w:val="es-ES_tradnl" w:eastAsia="en-US"/>
        </w:rPr>
      </w:pPr>
      <w:r w:rsidRPr="004C49DE">
        <w:rPr>
          <w:bCs w:val="0"/>
          <w:lang w:val="es-ES_tradnl" w:eastAsia="en-US"/>
        </w:rPr>
        <w:tab/>
      </w:r>
      <w:r w:rsidRPr="004C49DE">
        <w:rPr>
          <w:bCs w:val="0"/>
          <w:lang w:val="es-ES_tradnl" w:eastAsia="en-US"/>
        </w:rPr>
        <w:tab/>
        <w:t>Educación</w:t>
      </w:r>
    </w:p>
    <w:p w14:paraId="154CE590" w14:textId="346132FD" w:rsidR="0088129E" w:rsidRPr="004C49DE" w:rsidRDefault="0088129E" w:rsidP="00A50CED">
      <w:pPr>
        <w:pStyle w:val="SingleTxt"/>
        <w:keepNext/>
        <w:keepLines/>
        <w:suppressAutoHyphens w:val="0"/>
        <w:spacing w:after="0" w:line="120" w:lineRule="exact"/>
        <w:rPr>
          <w:sz w:val="10"/>
          <w:szCs w:val="10"/>
          <w:lang w:val="es-ES_tradnl"/>
        </w:rPr>
      </w:pPr>
    </w:p>
    <w:p w14:paraId="420F87B3" w14:textId="5B077E6D" w:rsidR="000C3123" w:rsidRPr="004C49DE" w:rsidRDefault="000C3123" w:rsidP="00A50CED">
      <w:pPr>
        <w:pStyle w:val="SingleTxt"/>
        <w:keepNext/>
        <w:keepLines/>
        <w:numPr>
          <w:ilvl w:val="0"/>
          <w:numId w:val="6"/>
        </w:numPr>
        <w:suppressAutoHyphens w:val="0"/>
        <w:ind w:left="1267" w:firstLine="0"/>
        <w:rPr>
          <w:b/>
          <w:szCs w:val="22"/>
          <w:lang w:val="es-ES_tradnl" w:eastAsia="en-US"/>
        </w:rPr>
      </w:pPr>
      <w:r w:rsidRPr="004C49DE">
        <w:rPr>
          <w:b/>
          <w:szCs w:val="22"/>
          <w:lang w:val="es-ES_tradnl" w:eastAsia="en-US"/>
        </w:rPr>
        <w:t xml:space="preserve">Identificar y aplicar medidas para reducir y prevenir el abandono escolar de las niñas, entre otros medios, sensibilizando a los progenitores, las comunidades, los docentes, los dirigentes tradicionales y los funcionarios públicos sobre la importancia de la educación de las mujeres y las niñas (véase </w:t>
      </w:r>
      <w:hyperlink r:id="rId72"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37 a))</w:t>
      </w:r>
      <w:r w:rsidR="00BB7BBB" w:rsidRPr="004C49DE">
        <w:rPr>
          <w:b/>
          <w:szCs w:val="22"/>
          <w:lang w:val="es-ES_tradnl" w:eastAsia="en-US"/>
        </w:rPr>
        <w:t>.</w:t>
      </w:r>
    </w:p>
    <w:p w14:paraId="522148F9" w14:textId="5E6502BD" w:rsidR="00BB7BBB" w:rsidRPr="004C49DE" w:rsidRDefault="000C3123" w:rsidP="00A50CED">
      <w:pPr>
        <w:pStyle w:val="SingleTxt"/>
        <w:keepNext/>
        <w:keepLines/>
        <w:numPr>
          <w:ilvl w:val="0"/>
          <w:numId w:val="6"/>
        </w:numPr>
        <w:suppressAutoHyphens w:val="0"/>
        <w:ind w:left="1267" w:firstLine="0"/>
        <w:rPr>
          <w:szCs w:val="22"/>
          <w:lang w:val="es-ES_tradnl" w:eastAsia="en-US"/>
        </w:rPr>
      </w:pPr>
      <w:r w:rsidRPr="004C49DE">
        <w:rPr>
          <w:szCs w:val="22"/>
          <w:lang w:val="es-ES_tradnl" w:eastAsia="en-US"/>
        </w:rPr>
        <w:t>El Plan Estratégico para la Aceleración de la Educación de las Niñas para el período 2016</w:t>
      </w:r>
      <w:r w:rsidR="001A14E9" w:rsidRPr="004C49DE">
        <w:rPr>
          <w:szCs w:val="22"/>
          <w:lang w:val="es-ES_tradnl" w:eastAsia="en-US"/>
        </w:rPr>
        <w:noBreakHyphen/>
      </w:r>
      <w:r w:rsidRPr="004C49DE">
        <w:rPr>
          <w:szCs w:val="22"/>
          <w:lang w:val="es-ES_tradnl" w:eastAsia="en-US"/>
        </w:rPr>
        <w:t xml:space="preserve">2018, titulado </w:t>
      </w:r>
      <w:r w:rsidR="004C49DE">
        <w:rPr>
          <w:szCs w:val="22"/>
          <w:lang w:val="es-ES_tradnl" w:eastAsia="en-US"/>
        </w:rPr>
        <w:t>“</w:t>
      </w:r>
      <w:r w:rsidRPr="004C49DE">
        <w:rPr>
          <w:szCs w:val="22"/>
          <w:lang w:val="es-ES_tradnl" w:eastAsia="en-US"/>
        </w:rPr>
        <w:t>El desafío de la enseñanza obligatoria: las niñas como prioridad</w:t>
      </w:r>
      <w:r w:rsidR="004C49DE">
        <w:rPr>
          <w:szCs w:val="22"/>
          <w:lang w:val="es-ES_tradnl" w:eastAsia="en-US"/>
        </w:rPr>
        <w:t>”</w:t>
      </w:r>
      <w:r w:rsidRPr="004C49DE">
        <w:rPr>
          <w:szCs w:val="22"/>
          <w:lang w:val="es-ES_tradnl" w:eastAsia="en-US"/>
        </w:rPr>
        <w:t>, refuerza todas las medidas que se han llevado a cabo desde 2007 para la permanencia de las niñas en la escuela</w:t>
      </w:r>
      <w:r w:rsidR="00BB7BBB" w:rsidRPr="004C49DE">
        <w:rPr>
          <w:szCs w:val="22"/>
          <w:lang w:val="es-ES_tradnl" w:eastAsia="en-US"/>
        </w:rPr>
        <w:t>.</w:t>
      </w:r>
      <w:r w:rsidRPr="004C49DE">
        <w:rPr>
          <w:szCs w:val="22"/>
          <w:lang w:val="es-ES_tradnl" w:eastAsia="en-US"/>
        </w:rPr>
        <w:t xml:space="preserve"> Se construyeron seis (6)</w:t>
      </w:r>
      <w:r w:rsidR="001A14E9" w:rsidRPr="004C49DE">
        <w:rPr>
          <w:szCs w:val="22"/>
          <w:lang w:val="es-ES_tradnl" w:eastAsia="en-US"/>
        </w:rPr>
        <w:t xml:space="preserve"> </w:t>
      </w:r>
      <w:r w:rsidRPr="004C49DE">
        <w:rPr>
          <w:szCs w:val="22"/>
          <w:lang w:val="es-ES_tradnl" w:eastAsia="en-US"/>
        </w:rPr>
        <w:t>escuelas secundarias para niñas en Man, Bondoukou, Abobo, Odienné, San Pedro y Dimbokro para complementar los centros existentes (2 en Bouaké, 1 en Yopougon, 1 en Bingerville, 1 en Man y 1 en Yamoussoukro)</w:t>
      </w:r>
      <w:r w:rsidR="00BB7BBB" w:rsidRPr="004C49DE">
        <w:rPr>
          <w:szCs w:val="22"/>
          <w:lang w:val="es-ES_tradnl" w:eastAsia="en-US"/>
        </w:rPr>
        <w:t>.</w:t>
      </w:r>
      <w:r w:rsidRPr="004C49DE">
        <w:rPr>
          <w:szCs w:val="22"/>
          <w:lang w:val="es-ES_tradnl" w:eastAsia="en-US"/>
        </w:rPr>
        <w:t xml:space="preserve"> Cabe señalar que los centros de enseñanza secundaria previstos deberán contar con un internado</w:t>
      </w:r>
      <w:r w:rsidR="00BB7BBB" w:rsidRPr="004C49DE">
        <w:rPr>
          <w:szCs w:val="22"/>
          <w:lang w:val="es-ES_tradnl" w:eastAsia="en-US"/>
        </w:rPr>
        <w:t>.</w:t>
      </w:r>
    </w:p>
    <w:p w14:paraId="36D0E885" w14:textId="24601AF1"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Desde la Iniciativa de las Naciones Unidas para la Educación de las Niñas (UNGEI, 2005), el Ministerio de Educación Nacional y Enseñanza Técnica ha llevado a cabo distintas actividades de sensibilización a favor del acceso de las niñas a las escuelas y su permanencia en estas, por ejemplo, los comités de vigilancia en torno a las escuelas, la integración de la perspectiva de género en los planes de estudio en el período 2009‐2012 y el concepto </w:t>
      </w:r>
      <w:r w:rsidR="004C49DE">
        <w:rPr>
          <w:szCs w:val="22"/>
          <w:lang w:val="es-ES_tradnl" w:eastAsia="en-US"/>
        </w:rPr>
        <w:t>“</w:t>
      </w:r>
      <w:r w:rsidRPr="004C49DE">
        <w:rPr>
          <w:szCs w:val="22"/>
          <w:lang w:val="es-ES_tradnl" w:eastAsia="en-US"/>
        </w:rPr>
        <w:t>Escuela, amiga de los niños, amiga de las niñas</w:t>
      </w:r>
      <w:r w:rsidR="004C49DE">
        <w:rPr>
          <w:szCs w:val="22"/>
          <w:lang w:val="es-ES_tradnl" w:eastAsia="en-US"/>
        </w:rPr>
        <w:t>”</w:t>
      </w:r>
      <w:r w:rsidR="00BB7BBB" w:rsidRPr="004C49DE">
        <w:rPr>
          <w:szCs w:val="22"/>
          <w:lang w:val="es-ES_tradnl" w:eastAsia="en-US"/>
        </w:rPr>
        <w:t>.</w:t>
      </w:r>
    </w:p>
    <w:p w14:paraId="4DA8BFE5" w14:textId="1CF2EF33"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proyecto para la movilización de las comunidades descentralizadas y las mujeres sobre la educación de las niñas, iniciado en 2009, sigue en curso</w:t>
      </w:r>
      <w:r w:rsidR="00BB7BBB" w:rsidRPr="004C49DE">
        <w:rPr>
          <w:szCs w:val="22"/>
          <w:lang w:val="es-ES_tradnl" w:eastAsia="en-US"/>
        </w:rPr>
        <w:t>.</w:t>
      </w:r>
      <w:r w:rsidRPr="004C49DE">
        <w:rPr>
          <w:szCs w:val="22"/>
          <w:lang w:val="es-ES_tradnl" w:eastAsia="en-US"/>
        </w:rPr>
        <w:t xml:space="preserve"> Veinte (20) comunidades elaboraron planes para la promoción de la educación de las niñas</w:t>
      </w:r>
      <w:r w:rsidR="00BB7BBB" w:rsidRPr="004C49DE">
        <w:rPr>
          <w:szCs w:val="22"/>
          <w:lang w:val="es-ES_tradnl" w:eastAsia="en-US"/>
        </w:rPr>
        <w:t>.</w:t>
      </w:r>
      <w:r w:rsidRPr="004C49DE">
        <w:rPr>
          <w:szCs w:val="22"/>
          <w:lang w:val="es-ES_tradnl" w:eastAsia="en-US"/>
        </w:rPr>
        <w:t xml:space="preserve"> Se crearon clubes de madres de alumnas en más de 15 direcciones regionales</w:t>
      </w:r>
      <w:r w:rsidR="00BB7BBB" w:rsidRPr="004C49DE">
        <w:rPr>
          <w:szCs w:val="22"/>
          <w:lang w:val="es-ES_tradnl" w:eastAsia="en-US"/>
        </w:rPr>
        <w:t>.</w:t>
      </w:r>
    </w:p>
    <w:p w14:paraId="5DD69C0A" w14:textId="60AD2199" w:rsidR="000C3123" w:rsidRPr="004C49DE" w:rsidRDefault="00C04DF0" w:rsidP="00BB7BBB">
      <w:pPr>
        <w:pStyle w:val="H23"/>
        <w:keepNext w:val="0"/>
        <w:keepLines w:val="0"/>
        <w:suppressAutoHyphens w:val="0"/>
        <w:ind w:right="1260"/>
        <w:rPr>
          <w:bCs w:val="0"/>
          <w:lang w:val="es-ES_tradnl" w:eastAsia="en-US"/>
        </w:rPr>
      </w:pPr>
      <w:r w:rsidRPr="004C49DE">
        <w:rPr>
          <w:bCs w:val="0"/>
          <w:lang w:val="es-ES_tradnl" w:eastAsia="en-US"/>
        </w:rPr>
        <w:lastRenderedPageBreak/>
        <w:tab/>
      </w:r>
      <w:r w:rsidRPr="004C49DE">
        <w:rPr>
          <w:bCs w:val="0"/>
          <w:lang w:val="es-ES_tradnl" w:eastAsia="en-US"/>
        </w:rPr>
        <w:tab/>
      </w:r>
      <w:r w:rsidRPr="004C49DE">
        <w:rPr>
          <w:b w:val="0"/>
          <w:bCs w:val="0"/>
          <w:lang w:val="es-ES_tradnl" w:eastAsia="en-US"/>
        </w:rPr>
        <w:t xml:space="preserve">Cuadro 6 </w:t>
      </w:r>
      <w:r w:rsidRPr="004C49DE">
        <w:rPr>
          <w:b w:val="0"/>
          <w:bCs w:val="0"/>
          <w:lang w:val="es-ES_tradnl" w:eastAsia="en-US"/>
        </w:rPr>
        <w:br/>
      </w:r>
      <w:r w:rsidR="000C3123" w:rsidRPr="004C49DE">
        <w:rPr>
          <w:bCs w:val="0"/>
          <w:lang w:val="es-ES_tradnl" w:eastAsia="en-US"/>
        </w:rPr>
        <w:t>Participación de las niñas y los niños en el año académico 2015</w:t>
      </w:r>
      <w:r w:rsidR="001A14E9" w:rsidRPr="004C49DE">
        <w:rPr>
          <w:bCs w:val="0"/>
          <w:lang w:val="es-ES_tradnl" w:eastAsia="en-US"/>
        </w:rPr>
        <w:noBreakHyphen/>
      </w:r>
      <w:r w:rsidR="000C3123" w:rsidRPr="004C49DE">
        <w:rPr>
          <w:bCs w:val="0"/>
          <w:lang w:val="es-ES_tradnl" w:eastAsia="en-US"/>
        </w:rPr>
        <w:t>2016</w:t>
      </w:r>
      <w:r w:rsidR="000C3123" w:rsidRPr="004C49DE">
        <w:rPr>
          <w:b w:val="0"/>
          <w:bCs w:val="0"/>
          <w:vertAlign w:val="superscript"/>
          <w:lang w:val="es-ES_tradnl" w:eastAsia="en-US"/>
        </w:rPr>
        <w:footnoteReference w:id="13"/>
      </w:r>
    </w:p>
    <w:p w14:paraId="0D2D2266" w14:textId="77777777" w:rsidR="00C04DF0" w:rsidRPr="004C49DE" w:rsidRDefault="00C04DF0" w:rsidP="00BB7BBB">
      <w:pPr>
        <w:pStyle w:val="SingleTxt"/>
        <w:suppressAutoHyphens w:val="0"/>
        <w:spacing w:after="0" w:line="120" w:lineRule="exact"/>
        <w:rPr>
          <w:sz w:val="10"/>
          <w:szCs w:val="10"/>
          <w:lang w:val="es-ES_tradnl"/>
        </w:rPr>
      </w:pPr>
    </w:p>
    <w:tbl>
      <w:tblPr>
        <w:tblW w:w="9806" w:type="dxa"/>
        <w:tblLayout w:type="fixed"/>
        <w:tblCellMar>
          <w:left w:w="0" w:type="dxa"/>
          <w:right w:w="43" w:type="dxa"/>
        </w:tblCellMar>
        <w:tblLook w:val="04A0" w:firstRow="1" w:lastRow="0" w:firstColumn="1" w:lastColumn="0" w:noHBand="0" w:noVBand="1"/>
      </w:tblPr>
      <w:tblGrid>
        <w:gridCol w:w="2160"/>
        <w:gridCol w:w="1440"/>
        <w:gridCol w:w="1271"/>
        <w:gridCol w:w="1431"/>
        <w:gridCol w:w="1332"/>
        <w:gridCol w:w="1086"/>
        <w:gridCol w:w="1086"/>
      </w:tblGrid>
      <w:tr w:rsidR="000C3123" w:rsidRPr="004C49DE" w14:paraId="62D47C8D" w14:textId="77777777" w:rsidTr="00856098">
        <w:trPr>
          <w:trHeight w:val="151"/>
          <w:tblHeader/>
        </w:trPr>
        <w:tc>
          <w:tcPr>
            <w:tcW w:w="2160" w:type="dxa"/>
            <w:vMerge w:val="restart"/>
            <w:tcBorders>
              <w:top w:val="single" w:sz="4" w:space="0" w:color="auto"/>
            </w:tcBorders>
            <w:shd w:val="clear" w:color="auto" w:fill="auto"/>
            <w:vAlign w:val="bottom"/>
          </w:tcPr>
          <w:p w14:paraId="178D52B6"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Tipo de enseñanza</w:t>
            </w:r>
          </w:p>
        </w:tc>
        <w:tc>
          <w:tcPr>
            <w:tcW w:w="1440" w:type="dxa"/>
            <w:vMerge w:val="restart"/>
            <w:tcBorders>
              <w:top w:val="single" w:sz="4" w:space="0" w:color="auto"/>
            </w:tcBorders>
            <w:shd w:val="clear" w:color="auto" w:fill="auto"/>
            <w:vAlign w:val="bottom"/>
          </w:tcPr>
          <w:p w14:paraId="23AAD7A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Número de escuelas</w:t>
            </w:r>
          </w:p>
        </w:tc>
        <w:tc>
          <w:tcPr>
            <w:tcW w:w="1271" w:type="dxa"/>
            <w:vMerge w:val="restart"/>
            <w:tcBorders>
              <w:top w:val="single" w:sz="4" w:space="0" w:color="auto"/>
            </w:tcBorders>
            <w:shd w:val="clear" w:color="auto" w:fill="auto"/>
            <w:vAlign w:val="bottom"/>
          </w:tcPr>
          <w:p w14:paraId="6C20CD3B"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Número de aulas</w:t>
            </w:r>
          </w:p>
        </w:tc>
        <w:tc>
          <w:tcPr>
            <w:tcW w:w="2763" w:type="dxa"/>
            <w:gridSpan w:val="2"/>
            <w:tcBorders>
              <w:top w:val="single" w:sz="4" w:space="0" w:color="auto"/>
              <w:bottom w:val="single" w:sz="2" w:space="0" w:color="auto"/>
            </w:tcBorders>
            <w:shd w:val="clear" w:color="auto" w:fill="auto"/>
            <w:vAlign w:val="bottom"/>
          </w:tcPr>
          <w:p w14:paraId="416E31EA"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center"/>
              <w:rPr>
                <w:i/>
                <w:iCs/>
                <w:kern w:val="0"/>
                <w:sz w:val="14"/>
                <w:szCs w:val="14"/>
                <w:lang w:val="es-ES_tradnl" w:eastAsia="en-US"/>
              </w:rPr>
            </w:pPr>
            <w:r w:rsidRPr="004C49DE">
              <w:rPr>
                <w:i/>
                <w:iCs/>
                <w:kern w:val="0"/>
                <w:sz w:val="14"/>
                <w:szCs w:val="14"/>
                <w:lang w:val="es-ES_tradnl" w:eastAsia="en-US"/>
              </w:rPr>
              <w:t>Número de alumnos</w:t>
            </w:r>
          </w:p>
        </w:tc>
        <w:tc>
          <w:tcPr>
            <w:tcW w:w="2172" w:type="dxa"/>
            <w:gridSpan w:val="2"/>
            <w:tcBorders>
              <w:top w:val="single" w:sz="4" w:space="0" w:color="auto"/>
              <w:bottom w:val="single" w:sz="2" w:space="0" w:color="auto"/>
            </w:tcBorders>
            <w:shd w:val="clear" w:color="auto" w:fill="auto"/>
            <w:vAlign w:val="bottom"/>
          </w:tcPr>
          <w:p w14:paraId="3B7DC3FC"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center"/>
              <w:rPr>
                <w:i/>
                <w:iCs/>
                <w:kern w:val="0"/>
                <w:sz w:val="14"/>
                <w:szCs w:val="14"/>
                <w:lang w:val="es-ES_tradnl" w:eastAsia="en-US"/>
              </w:rPr>
            </w:pPr>
            <w:r w:rsidRPr="004C49DE">
              <w:rPr>
                <w:i/>
                <w:iCs/>
                <w:kern w:val="0"/>
                <w:sz w:val="14"/>
                <w:szCs w:val="14"/>
                <w:lang w:val="es-ES_tradnl" w:eastAsia="en-US"/>
              </w:rPr>
              <w:t>Número de docentes</w:t>
            </w:r>
          </w:p>
        </w:tc>
      </w:tr>
      <w:tr w:rsidR="000C3123" w:rsidRPr="004C49DE" w14:paraId="2373258C" w14:textId="77777777" w:rsidTr="00856098">
        <w:trPr>
          <w:trHeight w:val="150"/>
          <w:tblHeader/>
        </w:trPr>
        <w:tc>
          <w:tcPr>
            <w:tcW w:w="2160" w:type="dxa"/>
            <w:vMerge/>
            <w:tcBorders>
              <w:bottom w:val="single" w:sz="12" w:space="0" w:color="auto"/>
            </w:tcBorders>
            <w:shd w:val="clear" w:color="auto" w:fill="auto"/>
            <w:vAlign w:val="bottom"/>
          </w:tcPr>
          <w:p w14:paraId="0CBB1D8B"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p>
        </w:tc>
        <w:tc>
          <w:tcPr>
            <w:tcW w:w="1440" w:type="dxa"/>
            <w:vMerge/>
            <w:tcBorders>
              <w:bottom w:val="single" w:sz="12" w:space="0" w:color="auto"/>
            </w:tcBorders>
            <w:shd w:val="clear" w:color="auto" w:fill="auto"/>
            <w:vAlign w:val="bottom"/>
          </w:tcPr>
          <w:p w14:paraId="01691BB1"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p>
        </w:tc>
        <w:tc>
          <w:tcPr>
            <w:tcW w:w="1271" w:type="dxa"/>
            <w:vMerge/>
            <w:tcBorders>
              <w:bottom w:val="single" w:sz="12" w:space="0" w:color="auto"/>
            </w:tcBorders>
            <w:shd w:val="clear" w:color="auto" w:fill="auto"/>
            <w:vAlign w:val="bottom"/>
          </w:tcPr>
          <w:p w14:paraId="3857FFA3"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p>
        </w:tc>
        <w:tc>
          <w:tcPr>
            <w:tcW w:w="1431" w:type="dxa"/>
            <w:tcBorders>
              <w:top w:val="single" w:sz="2" w:space="0" w:color="auto"/>
              <w:bottom w:val="single" w:sz="12" w:space="0" w:color="auto"/>
            </w:tcBorders>
            <w:shd w:val="clear" w:color="auto" w:fill="auto"/>
            <w:vAlign w:val="bottom"/>
          </w:tcPr>
          <w:p w14:paraId="22F6DBBF"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Niñas</w:t>
            </w:r>
          </w:p>
        </w:tc>
        <w:tc>
          <w:tcPr>
            <w:tcW w:w="1332" w:type="dxa"/>
            <w:tcBorders>
              <w:top w:val="single" w:sz="2" w:space="0" w:color="auto"/>
              <w:bottom w:val="single" w:sz="12" w:space="0" w:color="auto"/>
            </w:tcBorders>
            <w:shd w:val="clear" w:color="auto" w:fill="auto"/>
            <w:vAlign w:val="bottom"/>
          </w:tcPr>
          <w:p w14:paraId="7358F0EC"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Niños</w:t>
            </w:r>
          </w:p>
        </w:tc>
        <w:tc>
          <w:tcPr>
            <w:tcW w:w="1086" w:type="dxa"/>
            <w:tcBorders>
              <w:top w:val="single" w:sz="2" w:space="0" w:color="auto"/>
              <w:bottom w:val="single" w:sz="12" w:space="0" w:color="auto"/>
            </w:tcBorders>
            <w:shd w:val="clear" w:color="auto" w:fill="auto"/>
            <w:vAlign w:val="bottom"/>
          </w:tcPr>
          <w:p w14:paraId="361F72F7"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Mujeres</w:t>
            </w:r>
          </w:p>
        </w:tc>
        <w:tc>
          <w:tcPr>
            <w:tcW w:w="1086" w:type="dxa"/>
            <w:tcBorders>
              <w:top w:val="single" w:sz="2" w:space="0" w:color="auto"/>
              <w:bottom w:val="single" w:sz="12" w:space="0" w:color="auto"/>
            </w:tcBorders>
            <w:shd w:val="clear" w:color="auto" w:fill="auto"/>
            <w:vAlign w:val="bottom"/>
          </w:tcPr>
          <w:p w14:paraId="6F8A307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Hombres</w:t>
            </w:r>
          </w:p>
        </w:tc>
      </w:tr>
      <w:tr w:rsidR="00EE3D98" w:rsidRPr="004C49DE" w14:paraId="73954E62" w14:textId="77777777" w:rsidTr="00856098">
        <w:trPr>
          <w:trHeight w:hRule="exact" w:val="115"/>
          <w:tblHeader/>
        </w:trPr>
        <w:tc>
          <w:tcPr>
            <w:tcW w:w="2160" w:type="dxa"/>
            <w:tcBorders>
              <w:top w:val="single" w:sz="12" w:space="0" w:color="auto"/>
            </w:tcBorders>
            <w:shd w:val="clear" w:color="auto" w:fill="auto"/>
            <w:vAlign w:val="bottom"/>
          </w:tcPr>
          <w:p w14:paraId="13742256" w14:textId="77777777" w:rsidR="00EE3D98" w:rsidRPr="004C49DE" w:rsidRDefault="00EE3D98" w:rsidP="00BB7BBB">
            <w:pPr>
              <w:suppressAutoHyphens w:val="0"/>
              <w:spacing w:before="40" w:after="40" w:line="220" w:lineRule="exact"/>
              <w:rPr>
                <w:lang w:val="es-ES_tradnl"/>
              </w:rPr>
            </w:pPr>
          </w:p>
        </w:tc>
        <w:tc>
          <w:tcPr>
            <w:tcW w:w="1440" w:type="dxa"/>
            <w:tcBorders>
              <w:top w:val="single" w:sz="12" w:space="0" w:color="auto"/>
            </w:tcBorders>
            <w:shd w:val="clear" w:color="auto" w:fill="auto"/>
            <w:vAlign w:val="bottom"/>
          </w:tcPr>
          <w:p w14:paraId="6955F2BD" w14:textId="77777777" w:rsidR="00EE3D98" w:rsidRPr="004C49DE" w:rsidRDefault="00EE3D98" w:rsidP="00BB7BBB">
            <w:pPr>
              <w:suppressAutoHyphens w:val="0"/>
              <w:spacing w:before="40" w:after="40" w:line="220" w:lineRule="exact"/>
              <w:rPr>
                <w:lang w:val="es-ES_tradnl"/>
              </w:rPr>
            </w:pPr>
          </w:p>
        </w:tc>
        <w:tc>
          <w:tcPr>
            <w:tcW w:w="1271" w:type="dxa"/>
            <w:tcBorders>
              <w:top w:val="single" w:sz="12" w:space="0" w:color="auto"/>
            </w:tcBorders>
            <w:shd w:val="clear" w:color="auto" w:fill="auto"/>
            <w:vAlign w:val="bottom"/>
          </w:tcPr>
          <w:p w14:paraId="214E3107" w14:textId="77777777" w:rsidR="00EE3D98" w:rsidRPr="004C49DE" w:rsidRDefault="00EE3D98" w:rsidP="00BB7BBB">
            <w:pPr>
              <w:suppressAutoHyphens w:val="0"/>
              <w:spacing w:before="40" w:after="40" w:line="220" w:lineRule="exact"/>
              <w:rPr>
                <w:lang w:val="es-ES_tradnl"/>
              </w:rPr>
            </w:pPr>
          </w:p>
        </w:tc>
        <w:tc>
          <w:tcPr>
            <w:tcW w:w="1431" w:type="dxa"/>
            <w:tcBorders>
              <w:top w:val="single" w:sz="12" w:space="0" w:color="auto"/>
            </w:tcBorders>
            <w:shd w:val="clear" w:color="auto" w:fill="auto"/>
            <w:vAlign w:val="bottom"/>
          </w:tcPr>
          <w:p w14:paraId="4FBB9064" w14:textId="77777777" w:rsidR="00EE3D98" w:rsidRPr="004C49DE" w:rsidRDefault="00EE3D98" w:rsidP="00BB7BBB">
            <w:pPr>
              <w:suppressAutoHyphens w:val="0"/>
              <w:spacing w:before="40" w:after="40" w:line="220" w:lineRule="exact"/>
              <w:rPr>
                <w:lang w:val="es-ES_tradnl"/>
              </w:rPr>
            </w:pPr>
          </w:p>
        </w:tc>
        <w:tc>
          <w:tcPr>
            <w:tcW w:w="1332" w:type="dxa"/>
            <w:tcBorders>
              <w:top w:val="single" w:sz="12" w:space="0" w:color="auto"/>
            </w:tcBorders>
            <w:shd w:val="clear" w:color="auto" w:fill="auto"/>
            <w:vAlign w:val="bottom"/>
          </w:tcPr>
          <w:p w14:paraId="699F24AB" w14:textId="77777777" w:rsidR="00EE3D98" w:rsidRPr="004C49DE" w:rsidRDefault="00EE3D98" w:rsidP="00BB7BBB">
            <w:pPr>
              <w:suppressAutoHyphens w:val="0"/>
              <w:spacing w:before="40" w:after="40" w:line="220" w:lineRule="exact"/>
              <w:rPr>
                <w:lang w:val="es-ES_tradnl"/>
              </w:rPr>
            </w:pPr>
          </w:p>
        </w:tc>
        <w:tc>
          <w:tcPr>
            <w:tcW w:w="1086" w:type="dxa"/>
            <w:tcBorders>
              <w:top w:val="single" w:sz="12" w:space="0" w:color="auto"/>
            </w:tcBorders>
            <w:shd w:val="clear" w:color="auto" w:fill="auto"/>
            <w:vAlign w:val="bottom"/>
          </w:tcPr>
          <w:p w14:paraId="194E93E2" w14:textId="77777777" w:rsidR="00EE3D98" w:rsidRPr="004C49DE" w:rsidRDefault="00EE3D98" w:rsidP="00BB7BBB">
            <w:pPr>
              <w:suppressAutoHyphens w:val="0"/>
              <w:spacing w:before="40" w:after="40" w:line="220" w:lineRule="exact"/>
              <w:rPr>
                <w:lang w:val="es-ES_tradnl"/>
              </w:rPr>
            </w:pPr>
          </w:p>
        </w:tc>
        <w:tc>
          <w:tcPr>
            <w:tcW w:w="1086" w:type="dxa"/>
            <w:tcBorders>
              <w:top w:val="single" w:sz="12" w:space="0" w:color="auto"/>
            </w:tcBorders>
            <w:shd w:val="clear" w:color="auto" w:fill="auto"/>
            <w:vAlign w:val="bottom"/>
          </w:tcPr>
          <w:p w14:paraId="768BFDD2" w14:textId="77777777" w:rsidR="00EE3D98" w:rsidRPr="004C49DE" w:rsidRDefault="00EE3D98" w:rsidP="00BB7BBB">
            <w:pPr>
              <w:suppressAutoHyphens w:val="0"/>
              <w:spacing w:before="40" w:after="40" w:line="220" w:lineRule="exact"/>
              <w:rPr>
                <w:lang w:val="es-ES_tradnl"/>
              </w:rPr>
            </w:pPr>
          </w:p>
        </w:tc>
      </w:tr>
      <w:tr w:rsidR="000C3123" w:rsidRPr="004C49DE" w14:paraId="06993E61" w14:textId="77777777" w:rsidTr="00856098">
        <w:tc>
          <w:tcPr>
            <w:tcW w:w="2160" w:type="dxa"/>
            <w:shd w:val="clear" w:color="auto" w:fill="auto"/>
            <w:vAlign w:val="bottom"/>
          </w:tcPr>
          <w:p w14:paraId="41ECF16C"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Preescolar</w:t>
            </w:r>
          </w:p>
        </w:tc>
        <w:tc>
          <w:tcPr>
            <w:tcW w:w="1440" w:type="dxa"/>
            <w:shd w:val="clear" w:color="auto" w:fill="auto"/>
            <w:vAlign w:val="bottom"/>
          </w:tcPr>
          <w:p w14:paraId="39F6A4C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2 223</w:t>
            </w:r>
          </w:p>
        </w:tc>
        <w:tc>
          <w:tcPr>
            <w:tcW w:w="1271" w:type="dxa"/>
            <w:shd w:val="clear" w:color="auto" w:fill="auto"/>
            <w:vAlign w:val="bottom"/>
          </w:tcPr>
          <w:p w14:paraId="461B8F3A"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5 668</w:t>
            </w:r>
          </w:p>
        </w:tc>
        <w:tc>
          <w:tcPr>
            <w:tcW w:w="1431" w:type="dxa"/>
            <w:shd w:val="clear" w:color="auto" w:fill="auto"/>
            <w:vAlign w:val="bottom"/>
          </w:tcPr>
          <w:p w14:paraId="2A527B5D"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80 885 (50%)</w:t>
            </w:r>
          </w:p>
        </w:tc>
        <w:tc>
          <w:tcPr>
            <w:tcW w:w="1332" w:type="dxa"/>
            <w:shd w:val="clear" w:color="auto" w:fill="auto"/>
            <w:vAlign w:val="bottom"/>
          </w:tcPr>
          <w:p w14:paraId="395369B7"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80 811 (50%)</w:t>
            </w:r>
          </w:p>
        </w:tc>
        <w:tc>
          <w:tcPr>
            <w:tcW w:w="1086" w:type="dxa"/>
            <w:shd w:val="clear" w:color="auto" w:fill="auto"/>
            <w:vAlign w:val="bottom"/>
          </w:tcPr>
          <w:p w14:paraId="500B5D88"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6 524 (93%)</w:t>
            </w:r>
          </w:p>
        </w:tc>
        <w:tc>
          <w:tcPr>
            <w:tcW w:w="1086" w:type="dxa"/>
            <w:shd w:val="clear" w:color="auto" w:fill="auto"/>
            <w:vAlign w:val="bottom"/>
          </w:tcPr>
          <w:p w14:paraId="5F10124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521 (7%)</w:t>
            </w:r>
          </w:p>
        </w:tc>
      </w:tr>
      <w:tr w:rsidR="000C3123" w:rsidRPr="004C49DE" w14:paraId="31F92C57" w14:textId="77777777" w:rsidTr="00856098">
        <w:tc>
          <w:tcPr>
            <w:tcW w:w="2160" w:type="dxa"/>
            <w:shd w:val="clear" w:color="auto" w:fill="auto"/>
            <w:vAlign w:val="bottom"/>
          </w:tcPr>
          <w:p w14:paraId="3FFABEE5"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Primaria</w:t>
            </w:r>
          </w:p>
        </w:tc>
        <w:tc>
          <w:tcPr>
            <w:tcW w:w="1440" w:type="dxa"/>
            <w:shd w:val="clear" w:color="auto" w:fill="auto"/>
            <w:vAlign w:val="bottom"/>
          </w:tcPr>
          <w:p w14:paraId="117A1EC0"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15 547</w:t>
            </w:r>
          </w:p>
        </w:tc>
        <w:tc>
          <w:tcPr>
            <w:tcW w:w="1271" w:type="dxa"/>
            <w:shd w:val="clear" w:color="auto" w:fill="auto"/>
            <w:vAlign w:val="bottom"/>
          </w:tcPr>
          <w:p w14:paraId="14FA712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84 730</w:t>
            </w:r>
          </w:p>
        </w:tc>
        <w:tc>
          <w:tcPr>
            <w:tcW w:w="1431" w:type="dxa"/>
            <w:shd w:val="clear" w:color="auto" w:fill="auto"/>
            <w:vAlign w:val="bottom"/>
          </w:tcPr>
          <w:p w14:paraId="66D306D5" w14:textId="77777777" w:rsidR="000C3123" w:rsidRPr="004C49DE" w:rsidRDefault="00276F06"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1 705 016 (47%</w:t>
            </w:r>
            <w:r w:rsidR="000C3123" w:rsidRPr="004C49DE">
              <w:rPr>
                <w:bCs/>
                <w:kern w:val="0"/>
                <w:sz w:val="17"/>
                <w:szCs w:val="17"/>
                <w:lang w:val="es-ES_tradnl" w:eastAsia="en-US"/>
              </w:rPr>
              <w:t>)</w:t>
            </w:r>
          </w:p>
        </w:tc>
        <w:tc>
          <w:tcPr>
            <w:tcW w:w="1332" w:type="dxa"/>
            <w:shd w:val="clear" w:color="auto" w:fill="auto"/>
            <w:vAlign w:val="bottom"/>
          </w:tcPr>
          <w:p w14:paraId="48B9FF48"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1 912 203 (53%)</w:t>
            </w:r>
          </w:p>
        </w:tc>
        <w:tc>
          <w:tcPr>
            <w:tcW w:w="1086" w:type="dxa"/>
            <w:shd w:val="clear" w:color="auto" w:fill="auto"/>
            <w:vAlign w:val="bottom"/>
          </w:tcPr>
          <w:p w14:paraId="2283483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23 851 (28%)</w:t>
            </w:r>
          </w:p>
        </w:tc>
        <w:tc>
          <w:tcPr>
            <w:tcW w:w="1086" w:type="dxa"/>
            <w:shd w:val="clear" w:color="auto" w:fill="auto"/>
            <w:vAlign w:val="bottom"/>
          </w:tcPr>
          <w:p w14:paraId="2175743E"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61 258 (72%)</w:t>
            </w:r>
          </w:p>
        </w:tc>
      </w:tr>
      <w:tr w:rsidR="000C3123" w:rsidRPr="004C49DE" w14:paraId="047D06AE" w14:textId="77777777" w:rsidTr="00856098">
        <w:tc>
          <w:tcPr>
            <w:tcW w:w="2160" w:type="dxa"/>
            <w:shd w:val="clear" w:color="auto" w:fill="auto"/>
            <w:vAlign w:val="bottom"/>
          </w:tcPr>
          <w:p w14:paraId="3F26D9D3"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Secundaria general</w:t>
            </w:r>
          </w:p>
        </w:tc>
        <w:tc>
          <w:tcPr>
            <w:tcW w:w="1440" w:type="dxa"/>
            <w:shd w:val="clear" w:color="auto" w:fill="auto"/>
            <w:vAlign w:val="bottom"/>
          </w:tcPr>
          <w:p w14:paraId="507F53C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 xml:space="preserve">1 479 </w:t>
            </w:r>
          </w:p>
        </w:tc>
        <w:tc>
          <w:tcPr>
            <w:tcW w:w="1271" w:type="dxa"/>
            <w:shd w:val="clear" w:color="auto" w:fill="auto"/>
            <w:vAlign w:val="bottom"/>
          </w:tcPr>
          <w:p w14:paraId="3FBE219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28 357</w:t>
            </w:r>
          </w:p>
        </w:tc>
        <w:tc>
          <w:tcPr>
            <w:tcW w:w="1431" w:type="dxa"/>
            <w:shd w:val="clear" w:color="auto" w:fill="auto"/>
            <w:vAlign w:val="bottom"/>
          </w:tcPr>
          <w:p w14:paraId="7C1B299E"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672 145 (41%)</w:t>
            </w:r>
          </w:p>
        </w:tc>
        <w:tc>
          <w:tcPr>
            <w:tcW w:w="1332" w:type="dxa"/>
            <w:shd w:val="clear" w:color="auto" w:fill="auto"/>
            <w:vAlign w:val="bottom"/>
          </w:tcPr>
          <w:p w14:paraId="39188018"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949 729 (59%)</w:t>
            </w:r>
          </w:p>
        </w:tc>
        <w:tc>
          <w:tcPr>
            <w:tcW w:w="1086" w:type="dxa"/>
            <w:shd w:val="clear" w:color="auto" w:fill="auto"/>
            <w:vAlign w:val="bottom"/>
          </w:tcPr>
          <w:p w14:paraId="7BF6EF8F"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7 645 (14%)</w:t>
            </w:r>
          </w:p>
        </w:tc>
        <w:tc>
          <w:tcPr>
            <w:tcW w:w="1086" w:type="dxa"/>
            <w:shd w:val="clear" w:color="auto" w:fill="auto"/>
            <w:vAlign w:val="bottom"/>
          </w:tcPr>
          <w:p w14:paraId="4B512EC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45 892 (86%)</w:t>
            </w:r>
          </w:p>
        </w:tc>
      </w:tr>
      <w:tr w:rsidR="000C3123" w:rsidRPr="004C49DE" w14:paraId="6BC667D6" w14:textId="77777777" w:rsidTr="00856098">
        <w:tc>
          <w:tcPr>
            <w:tcW w:w="2160" w:type="dxa"/>
            <w:tcBorders>
              <w:bottom w:val="single" w:sz="12" w:space="0" w:color="auto"/>
            </w:tcBorders>
            <w:shd w:val="clear" w:color="auto" w:fill="auto"/>
            <w:vAlign w:val="bottom"/>
          </w:tcPr>
          <w:p w14:paraId="4B75E806"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Centros comunitarios y de formación pedagógica</w:t>
            </w:r>
          </w:p>
        </w:tc>
        <w:tc>
          <w:tcPr>
            <w:tcW w:w="1440" w:type="dxa"/>
            <w:tcBorders>
              <w:bottom w:val="single" w:sz="12" w:space="0" w:color="auto"/>
            </w:tcBorders>
            <w:shd w:val="clear" w:color="auto" w:fill="auto"/>
            <w:vAlign w:val="bottom"/>
          </w:tcPr>
          <w:p w14:paraId="05530B78"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16</w:t>
            </w:r>
          </w:p>
        </w:tc>
        <w:tc>
          <w:tcPr>
            <w:tcW w:w="1271" w:type="dxa"/>
            <w:tcBorders>
              <w:bottom w:val="single" w:sz="12" w:space="0" w:color="auto"/>
            </w:tcBorders>
            <w:shd w:val="clear" w:color="auto" w:fill="auto"/>
            <w:vAlign w:val="bottom"/>
          </w:tcPr>
          <w:p w14:paraId="5DEBB38A"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170</w:t>
            </w:r>
          </w:p>
        </w:tc>
        <w:tc>
          <w:tcPr>
            <w:tcW w:w="1431" w:type="dxa"/>
            <w:tcBorders>
              <w:bottom w:val="single" w:sz="12" w:space="0" w:color="auto"/>
            </w:tcBorders>
            <w:shd w:val="clear" w:color="auto" w:fill="auto"/>
            <w:vAlign w:val="bottom"/>
          </w:tcPr>
          <w:p w14:paraId="365390C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2 822 (48%)</w:t>
            </w:r>
          </w:p>
        </w:tc>
        <w:tc>
          <w:tcPr>
            <w:tcW w:w="1332" w:type="dxa"/>
            <w:tcBorders>
              <w:bottom w:val="single" w:sz="12" w:space="0" w:color="auto"/>
            </w:tcBorders>
            <w:shd w:val="clear" w:color="auto" w:fill="auto"/>
            <w:vAlign w:val="bottom"/>
          </w:tcPr>
          <w:p w14:paraId="3EE5B507"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3 064 (52%)</w:t>
            </w:r>
          </w:p>
        </w:tc>
        <w:tc>
          <w:tcPr>
            <w:tcW w:w="1086" w:type="dxa"/>
            <w:tcBorders>
              <w:bottom w:val="single" w:sz="12" w:space="0" w:color="auto"/>
            </w:tcBorders>
            <w:shd w:val="clear" w:color="auto" w:fill="auto"/>
            <w:vAlign w:val="bottom"/>
          </w:tcPr>
          <w:p w14:paraId="0D5E90C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p>
        </w:tc>
        <w:tc>
          <w:tcPr>
            <w:tcW w:w="1086" w:type="dxa"/>
            <w:tcBorders>
              <w:bottom w:val="single" w:sz="12" w:space="0" w:color="auto"/>
            </w:tcBorders>
            <w:shd w:val="clear" w:color="auto" w:fill="auto"/>
            <w:vAlign w:val="bottom"/>
          </w:tcPr>
          <w:p w14:paraId="7FE41354" w14:textId="77777777" w:rsidR="000C3123" w:rsidRPr="004C49DE" w:rsidRDefault="000C3123" w:rsidP="00BB7BBB">
            <w:pPr>
              <w:suppressAutoHyphens w:val="0"/>
              <w:spacing w:before="40" w:after="80" w:line="210" w:lineRule="exact"/>
              <w:jc w:val="right"/>
              <w:rPr>
                <w:bCs/>
                <w:kern w:val="0"/>
                <w:sz w:val="17"/>
                <w:szCs w:val="17"/>
                <w:lang w:val="es-ES_tradnl" w:eastAsia="en-US"/>
              </w:rPr>
            </w:pPr>
          </w:p>
        </w:tc>
      </w:tr>
    </w:tbl>
    <w:p w14:paraId="358A735B" w14:textId="77777777" w:rsidR="00C04DF0" w:rsidRPr="004C49DE" w:rsidRDefault="00C04DF0" w:rsidP="00BB7BBB">
      <w:pPr>
        <w:pStyle w:val="SingleTxt"/>
        <w:suppressAutoHyphens w:val="0"/>
        <w:spacing w:after="0" w:line="120" w:lineRule="exact"/>
        <w:rPr>
          <w:sz w:val="10"/>
          <w:szCs w:val="10"/>
          <w:lang w:val="es-ES_tradnl"/>
        </w:rPr>
      </w:pPr>
    </w:p>
    <w:p w14:paraId="1B783238" w14:textId="4D7DDBDA" w:rsidR="00C04DF0" w:rsidRPr="004C49DE" w:rsidRDefault="00C04DF0" w:rsidP="00BB7BBB">
      <w:pPr>
        <w:pStyle w:val="SingleTxt"/>
        <w:suppressAutoHyphens w:val="0"/>
        <w:spacing w:after="0" w:line="120" w:lineRule="exact"/>
        <w:rPr>
          <w:sz w:val="10"/>
          <w:szCs w:val="10"/>
          <w:lang w:val="es-ES_tradnl"/>
        </w:rPr>
      </w:pPr>
    </w:p>
    <w:p w14:paraId="70681F0C" w14:textId="77777777" w:rsidR="00F1178C" w:rsidRPr="004C49DE" w:rsidRDefault="00F1178C" w:rsidP="00BB7BBB">
      <w:pPr>
        <w:pStyle w:val="SingleTxt"/>
        <w:suppressAutoHyphens w:val="0"/>
        <w:spacing w:after="0" w:line="120" w:lineRule="exact"/>
        <w:rPr>
          <w:sz w:val="10"/>
          <w:szCs w:val="10"/>
          <w:lang w:val="es-ES_tradnl"/>
        </w:rPr>
      </w:pPr>
    </w:p>
    <w:p w14:paraId="31725AC6" w14:textId="058AF4F5"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lo que respecta a la formación profesional, se han adoptado diversas medidas: i) en 2012, se creó un servicio específico para las cuestiones de género con su propio presupuesto y personal permanente; ii) en 2016, se nombró a un asesor técnico encargado de la promoción de la igualdad de género; iii) se elaboró un documento sobre la Política Sectorial de Género para este ministerio que está pendiente de validación desde 2016; iv) en 2015, se instauró el Día de Promoción de la Igualdad de Género; v) se aumentó la beca anual de estudios para las niñas en los ámbitos industriales de 36</w:t>
      </w:r>
      <w:r w:rsidR="00BB7BBB" w:rsidRPr="004C49DE">
        <w:rPr>
          <w:szCs w:val="22"/>
          <w:lang w:val="es-ES_tradnl" w:eastAsia="en-US"/>
        </w:rPr>
        <w:t>.</w:t>
      </w:r>
      <w:r w:rsidRPr="004C49DE">
        <w:rPr>
          <w:szCs w:val="22"/>
          <w:lang w:val="es-ES_tradnl" w:eastAsia="en-US"/>
        </w:rPr>
        <w:t>000 a 180</w:t>
      </w:r>
      <w:r w:rsidR="00BB7BBB" w:rsidRPr="004C49DE">
        <w:rPr>
          <w:szCs w:val="22"/>
          <w:lang w:val="es-ES_tradnl" w:eastAsia="en-US"/>
        </w:rPr>
        <w:t>.</w:t>
      </w:r>
      <w:r w:rsidRPr="004C49DE">
        <w:rPr>
          <w:szCs w:val="22"/>
          <w:lang w:val="es-ES_tradnl" w:eastAsia="en-US"/>
        </w:rPr>
        <w:t>000 francos CFA; vi) existencia de un sistema de supervisión y un centro de asesoramiento para la orientación en los ámbitos industriales</w:t>
      </w:r>
      <w:r w:rsidR="00BB7BBB" w:rsidRPr="004C49DE">
        <w:rPr>
          <w:szCs w:val="22"/>
          <w:lang w:val="es-ES_tradnl" w:eastAsia="en-US"/>
        </w:rPr>
        <w:t>.</w:t>
      </w:r>
    </w:p>
    <w:p w14:paraId="2F130C44" w14:textId="498A0EC3"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Aplicar una política de tolerancia cero respecto al acoso y los abusos sexuales por parte de los docentes y los tutores, y asegurarse de que los culpables sean sancionados como corresponde (véase </w:t>
      </w:r>
      <w:hyperlink r:id="rId73"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37 b))</w:t>
      </w:r>
      <w:r w:rsidR="00BB7BBB" w:rsidRPr="004C49DE">
        <w:rPr>
          <w:b/>
          <w:szCs w:val="22"/>
          <w:lang w:val="es-ES_tradnl" w:eastAsia="en-US"/>
        </w:rPr>
        <w:t>.</w:t>
      </w:r>
    </w:p>
    <w:p w14:paraId="2B92F4E6" w14:textId="157F8C4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Gobierno de Côte d</w:t>
      </w:r>
      <w:r w:rsidR="004C49DE">
        <w:rPr>
          <w:szCs w:val="22"/>
          <w:lang w:val="es-ES_tradnl" w:eastAsia="en-US"/>
        </w:rPr>
        <w:t>’</w:t>
      </w:r>
      <w:r w:rsidRPr="004C49DE">
        <w:rPr>
          <w:szCs w:val="22"/>
          <w:lang w:val="es-ES_tradnl" w:eastAsia="en-US"/>
        </w:rPr>
        <w:t xml:space="preserve">Ivoire ha incluido en el código deontológico de los docentes estos términos: </w:t>
      </w:r>
      <w:r w:rsidR="004C49DE">
        <w:rPr>
          <w:szCs w:val="22"/>
          <w:lang w:val="es-ES_tradnl" w:eastAsia="en-US"/>
        </w:rPr>
        <w:t>“</w:t>
      </w:r>
      <w:r w:rsidRPr="004C49DE">
        <w:rPr>
          <w:szCs w:val="22"/>
          <w:lang w:val="es-ES_tradnl" w:eastAsia="en-US"/>
        </w:rPr>
        <w:t>La ética prohíbe categóricamente cualquier tipo de relación sexual entre profesores y alumnos</w:t>
      </w:r>
      <w:r w:rsidR="004C49DE">
        <w:rPr>
          <w:szCs w:val="22"/>
          <w:lang w:val="es-ES_tradnl" w:eastAsia="en-US"/>
        </w:rPr>
        <w:t>”</w:t>
      </w:r>
      <w:r w:rsidR="00BB7BBB" w:rsidRPr="004C49DE">
        <w:rPr>
          <w:szCs w:val="22"/>
          <w:lang w:val="es-ES_tradnl" w:eastAsia="en-US"/>
        </w:rPr>
        <w:t>.</w:t>
      </w:r>
    </w:p>
    <w:p w14:paraId="4090441B" w14:textId="0154A15A"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Muchos docentes han sido sancionados por cometer actos de violación y atentado al pudor contra alumnas menores de escuelas primarias y secundarias de diversas localidades</w:t>
      </w:r>
      <w:r w:rsidR="00BB7BBB" w:rsidRPr="004C49DE">
        <w:rPr>
          <w:szCs w:val="22"/>
          <w:lang w:val="es-ES_tradnl" w:eastAsia="en-US"/>
        </w:rPr>
        <w:t>.</w:t>
      </w:r>
    </w:p>
    <w:p w14:paraId="59E474E7" w14:textId="50652FA6"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pacing w:val="1"/>
          <w:szCs w:val="22"/>
          <w:lang w:val="es-ES_tradnl" w:eastAsia="en-US"/>
        </w:rPr>
        <w:t>Seguir asignando recursos suficientes al sector de la educación y velar por</w:t>
      </w:r>
      <w:r w:rsidR="001A14E9" w:rsidRPr="004C49DE">
        <w:rPr>
          <w:b/>
          <w:spacing w:val="1"/>
          <w:szCs w:val="22"/>
          <w:lang w:val="es-ES_tradnl" w:eastAsia="en-US"/>
        </w:rPr>
        <w:t xml:space="preserve"> </w:t>
      </w:r>
      <w:r w:rsidRPr="004C49DE">
        <w:rPr>
          <w:b/>
          <w:spacing w:val="1"/>
          <w:szCs w:val="22"/>
          <w:lang w:val="es-ES_tradnl" w:eastAsia="en-US"/>
        </w:rPr>
        <w:t xml:space="preserve">que sean utilizados para mejorar la calidad de la formación de los docentes e incluir capacitación sobre los efectos de la desigualdad de género en la escolarización y la educación de las niñas (véase </w:t>
      </w:r>
      <w:hyperlink r:id="rId74"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001A14E9" w:rsidRPr="004C49DE">
        <w:rPr>
          <w:b/>
          <w:szCs w:val="22"/>
          <w:lang w:val="es-ES_tradnl" w:eastAsia="en-US"/>
        </w:rPr>
        <w:t xml:space="preserve"> </w:t>
      </w:r>
      <w:r w:rsidRPr="004C49DE">
        <w:rPr>
          <w:b/>
          <w:szCs w:val="22"/>
          <w:lang w:val="es-ES_tradnl" w:eastAsia="en-US"/>
        </w:rPr>
        <w:t>37 c))</w:t>
      </w:r>
      <w:r w:rsidR="00BB7BBB" w:rsidRPr="004C49DE">
        <w:rPr>
          <w:b/>
          <w:szCs w:val="22"/>
          <w:lang w:val="es-ES_tradnl" w:eastAsia="en-US"/>
        </w:rPr>
        <w:t>.</w:t>
      </w:r>
    </w:p>
    <w:p w14:paraId="63193775" w14:textId="0B4D2486"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Estado de Côte d</w:t>
      </w:r>
      <w:r w:rsidR="004C49DE">
        <w:rPr>
          <w:szCs w:val="22"/>
          <w:lang w:val="es-ES_tradnl" w:eastAsia="en-US"/>
        </w:rPr>
        <w:t>’</w:t>
      </w:r>
      <w:r w:rsidRPr="004C49DE">
        <w:rPr>
          <w:szCs w:val="22"/>
          <w:lang w:val="es-ES_tradnl" w:eastAsia="en-US"/>
        </w:rPr>
        <w:t>Ivoire asigna más del 22% del presupuesto nacional al sector de la educación y la formación</w:t>
      </w:r>
      <w:r w:rsidR="00BB7BBB" w:rsidRPr="004C49DE">
        <w:rPr>
          <w:szCs w:val="22"/>
          <w:lang w:val="es-ES_tradnl" w:eastAsia="en-US"/>
        </w:rPr>
        <w:t>.</w:t>
      </w:r>
      <w:r w:rsidRPr="004C49DE">
        <w:rPr>
          <w:szCs w:val="22"/>
          <w:lang w:val="es-ES_tradnl" w:eastAsia="en-US"/>
        </w:rPr>
        <w:t xml:space="preserve"> En el período 2012‐2014, se movilizaron 31</w:t>
      </w:r>
      <w:r w:rsidR="00BB7BBB" w:rsidRPr="004C49DE">
        <w:rPr>
          <w:szCs w:val="22"/>
          <w:lang w:val="es-ES_tradnl" w:eastAsia="en-US"/>
        </w:rPr>
        <w:t>.</w:t>
      </w:r>
      <w:r w:rsidRPr="004C49DE">
        <w:rPr>
          <w:szCs w:val="22"/>
          <w:lang w:val="es-ES_tradnl" w:eastAsia="en-US"/>
        </w:rPr>
        <w:t>450 millones de francos CFA para la educación básica, 3</w:t>
      </w:r>
      <w:r w:rsidR="00BB7BBB" w:rsidRPr="004C49DE">
        <w:rPr>
          <w:szCs w:val="22"/>
          <w:lang w:val="es-ES_tradnl" w:eastAsia="en-US"/>
        </w:rPr>
        <w:t>.</w:t>
      </w:r>
      <w:r w:rsidRPr="004C49DE">
        <w:rPr>
          <w:szCs w:val="22"/>
          <w:lang w:val="es-ES_tradnl" w:eastAsia="en-US"/>
        </w:rPr>
        <w:t>486 millones de francos CFA para la enseñanza secundaria general y 1</w:t>
      </w:r>
      <w:r w:rsidR="00BB7BBB" w:rsidRPr="004C49DE">
        <w:rPr>
          <w:szCs w:val="22"/>
          <w:lang w:val="es-ES_tradnl" w:eastAsia="en-US"/>
        </w:rPr>
        <w:t>.</w:t>
      </w:r>
      <w:r w:rsidRPr="004C49DE">
        <w:rPr>
          <w:szCs w:val="22"/>
          <w:lang w:val="es-ES_tradnl" w:eastAsia="en-US"/>
        </w:rPr>
        <w:t>235 millones de francos CFA para la enseñanza técnica y la formación profesional</w:t>
      </w:r>
      <w:r w:rsidR="00BB7BBB" w:rsidRPr="004C49DE">
        <w:rPr>
          <w:szCs w:val="22"/>
          <w:lang w:val="es-ES_tradnl" w:eastAsia="en-US"/>
        </w:rPr>
        <w:t>.</w:t>
      </w:r>
    </w:p>
    <w:p w14:paraId="54EF26CA" w14:textId="4A91908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Los fondos previstos para el sector de la educación y la formación ascendieron, en total, a 1</w:t>
      </w:r>
      <w:r w:rsidR="00BB7BBB" w:rsidRPr="004C49DE">
        <w:rPr>
          <w:szCs w:val="22"/>
          <w:lang w:val="es-ES_tradnl" w:eastAsia="en-US"/>
        </w:rPr>
        <w:t>.</w:t>
      </w:r>
      <w:r w:rsidRPr="004C49DE">
        <w:rPr>
          <w:szCs w:val="22"/>
          <w:lang w:val="es-ES_tradnl" w:eastAsia="en-US"/>
        </w:rPr>
        <w:t>190</w:t>
      </w:r>
      <w:r w:rsidR="00BB7BBB" w:rsidRPr="004C49DE">
        <w:rPr>
          <w:szCs w:val="22"/>
          <w:lang w:val="es-ES_tradnl" w:eastAsia="en-US"/>
        </w:rPr>
        <w:t>.</w:t>
      </w:r>
      <w:r w:rsidRPr="004C49DE">
        <w:rPr>
          <w:szCs w:val="22"/>
          <w:lang w:val="es-ES_tradnl" w:eastAsia="en-US"/>
        </w:rPr>
        <w:t>900 millones en 2016, en comparación con los 954</w:t>
      </w:r>
      <w:r w:rsidR="00BB7BBB" w:rsidRPr="004C49DE">
        <w:rPr>
          <w:szCs w:val="22"/>
          <w:lang w:val="es-ES_tradnl" w:eastAsia="en-US"/>
        </w:rPr>
        <w:t>.</w:t>
      </w:r>
      <w:r w:rsidRPr="004C49DE">
        <w:rPr>
          <w:szCs w:val="22"/>
          <w:lang w:val="es-ES_tradnl" w:eastAsia="en-US"/>
        </w:rPr>
        <w:t>800 millones del presupuesto de 2015</w:t>
      </w:r>
      <w:r w:rsidR="00BB7BBB" w:rsidRPr="004C49DE">
        <w:rPr>
          <w:szCs w:val="22"/>
          <w:lang w:val="es-ES_tradnl" w:eastAsia="en-US"/>
        </w:rPr>
        <w:t>.</w:t>
      </w:r>
      <w:r w:rsidRPr="004C49DE">
        <w:rPr>
          <w:szCs w:val="22"/>
          <w:lang w:val="es-ES_tradnl" w:eastAsia="en-US"/>
        </w:rPr>
        <w:t xml:space="preserve"> Estos recursos cubren, entre otras cosas, las iniciativas del proyecto de la enseñanza obligatoria, la construcción de 3</w:t>
      </w:r>
      <w:r w:rsidR="00BB7BBB" w:rsidRPr="004C49DE">
        <w:rPr>
          <w:szCs w:val="22"/>
          <w:lang w:val="es-ES_tradnl" w:eastAsia="en-US"/>
        </w:rPr>
        <w:t>.</w:t>
      </w:r>
      <w:r w:rsidRPr="004C49DE">
        <w:rPr>
          <w:szCs w:val="22"/>
          <w:lang w:val="es-ES_tradnl" w:eastAsia="en-US"/>
        </w:rPr>
        <w:t>000</w:t>
      </w:r>
      <w:r w:rsidR="001A14E9" w:rsidRPr="004C49DE">
        <w:rPr>
          <w:szCs w:val="22"/>
          <w:lang w:val="es-ES_tradnl" w:eastAsia="en-US"/>
        </w:rPr>
        <w:t xml:space="preserve"> </w:t>
      </w:r>
      <w:r w:rsidRPr="004C49DE">
        <w:rPr>
          <w:szCs w:val="22"/>
          <w:lang w:val="es-ES_tradnl" w:eastAsia="en-US"/>
        </w:rPr>
        <w:t xml:space="preserve">clases de enseñanza primaria, la adquisición de libros de texto y materiales escolares y didácticos, la construcción, el equipamiento y la rehabilitación de las infraestructuras escolares y el fortalecimiento de la capacidad funcional de los centros educativos, las becas y las </w:t>
      </w:r>
      <w:r w:rsidRPr="004C49DE">
        <w:rPr>
          <w:szCs w:val="22"/>
          <w:lang w:val="es-ES_tradnl" w:eastAsia="en-US"/>
        </w:rPr>
        <w:lastRenderedPageBreak/>
        <w:t>subvenciones para las escuelas privadas y la</w:t>
      </w:r>
      <w:r w:rsidR="001A14E9" w:rsidRPr="004C49DE">
        <w:rPr>
          <w:szCs w:val="22"/>
          <w:lang w:val="es-ES_tradnl" w:eastAsia="en-US"/>
        </w:rPr>
        <w:t xml:space="preserve"> </w:t>
      </w:r>
      <w:r w:rsidRPr="004C49DE">
        <w:rPr>
          <w:szCs w:val="22"/>
          <w:lang w:val="es-ES_tradnl" w:eastAsia="en-US"/>
        </w:rPr>
        <w:t>Empresa de Transporte de Abiyán (SOTRA), para el transporte de alumnos y</w:t>
      </w:r>
      <w:r w:rsidR="001A14E9" w:rsidRPr="004C49DE">
        <w:rPr>
          <w:szCs w:val="22"/>
          <w:lang w:val="es-ES_tradnl" w:eastAsia="en-US"/>
        </w:rPr>
        <w:t xml:space="preserve"> </w:t>
      </w:r>
      <w:r w:rsidRPr="004C49DE">
        <w:rPr>
          <w:szCs w:val="22"/>
          <w:lang w:val="es-ES_tradnl" w:eastAsia="en-US"/>
        </w:rPr>
        <w:t>estudiantes</w:t>
      </w:r>
      <w:r w:rsidR="00BB7BBB" w:rsidRPr="004C49DE">
        <w:rPr>
          <w:szCs w:val="22"/>
          <w:lang w:val="es-ES_tradnl" w:eastAsia="en-US"/>
        </w:rPr>
        <w:t>.</w:t>
      </w:r>
    </w:p>
    <w:p w14:paraId="75AFF2B0" w14:textId="77777777" w:rsidR="004F21B6" w:rsidRPr="004C49DE" w:rsidRDefault="004F21B6" w:rsidP="00BB7BBB">
      <w:pPr>
        <w:pStyle w:val="SingleTxt"/>
        <w:suppressAutoHyphens w:val="0"/>
        <w:spacing w:after="0" w:line="120" w:lineRule="exact"/>
        <w:rPr>
          <w:sz w:val="10"/>
          <w:szCs w:val="10"/>
          <w:lang w:val="es-ES_tradnl"/>
        </w:rPr>
      </w:pPr>
    </w:p>
    <w:p w14:paraId="79FE4BEF"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r>
      <w:r w:rsidRPr="004C49DE">
        <w:rPr>
          <w:b w:val="0"/>
          <w:bCs w:val="0"/>
          <w:lang w:val="es-ES_tradnl" w:eastAsia="en-US"/>
        </w:rPr>
        <w:t xml:space="preserve">Cuadro 7 </w:t>
      </w:r>
      <w:r w:rsidR="004F21B6" w:rsidRPr="004C49DE">
        <w:rPr>
          <w:bCs w:val="0"/>
          <w:lang w:val="es-ES_tradnl" w:eastAsia="en-US"/>
        </w:rPr>
        <w:br/>
      </w:r>
      <w:r w:rsidRPr="004C49DE">
        <w:rPr>
          <w:bCs w:val="0"/>
          <w:lang w:val="es-ES_tradnl" w:eastAsia="en-US"/>
        </w:rPr>
        <w:t>Evolución del número de alumnos y el número de aulas en los diferentes niveles de enseñanza</w:t>
      </w:r>
      <w:r w:rsidRPr="004C49DE">
        <w:rPr>
          <w:b w:val="0"/>
          <w:bCs w:val="0"/>
          <w:vertAlign w:val="superscript"/>
          <w:lang w:val="es-ES_tradnl" w:eastAsia="en-US"/>
        </w:rPr>
        <w:footnoteReference w:id="14"/>
      </w:r>
    </w:p>
    <w:p w14:paraId="2BB415B9" w14:textId="657BFBEE" w:rsidR="004F21B6" w:rsidRPr="004C49DE" w:rsidRDefault="004F21B6" w:rsidP="00BB7BBB">
      <w:pPr>
        <w:pStyle w:val="SingleTxt"/>
        <w:suppressAutoHyphens w:val="0"/>
        <w:spacing w:after="0" w:line="120" w:lineRule="exact"/>
        <w:rPr>
          <w:sz w:val="10"/>
          <w:szCs w:val="10"/>
          <w:lang w:val="es-ES_tradnl"/>
        </w:rPr>
      </w:pPr>
    </w:p>
    <w:p w14:paraId="607CBAF1" w14:textId="77777777" w:rsidR="00F1178C" w:rsidRPr="004C49DE" w:rsidRDefault="00F1178C" w:rsidP="00BB7BBB">
      <w:pPr>
        <w:pStyle w:val="SingleTxt"/>
        <w:suppressAutoHyphens w:val="0"/>
        <w:spacing w:after="0" w:line="120" w:lineRule="exact"/>
        <w:rPr>
          <w:sz w:val="10"/>
          <w:szCs w:val="10"/>
          <w:lang w:val="es-ES_tradnl"/>
        </w:rPr>
      </w:pPr>
    </w:p>
    <w:tbl>
      <w:tblPr>
        <w:tblW w:w="7370" w:type="dxa"/>
        <w:tblInd w:w="1267" w:type="dxa"/>
        <w:tblLayout w:type="fixed"/>
        <w:tblCellMar>
          <w:left w:w="0" w:type="dxa"/>
          <w:right w:w="43" w:type="dxa"/>
        </w:tblCellMar>
        <w:tblLook w:val="04A0" w:firstRow="1" w:lastRow="0" w:firstColumn="1" w:lastColumn="0" w:noHBand="0" w:noVBand="1"/>
      </w:tblPr>
      <w:tblGrid>
        <w:gridCol w:w="1052"/>
        <w:gridCol w:w="1053"/>
        <w:gridCol w:w="1053"/>
        <w:gridCol w:w="1053"/>
        <w:gridCol w:w="1053"/>
        <w:gridCol w:w="1053"/>
        <w:gridCol w:w="1053"/>
      </w:tblGrid>
      <w:tr w:rsidR="000C3123" w:rsidRPr="004C49DE" w14:paraId="50827DC1" w14:textId="77777777" w:rsidTr="000F34BE">
        <w:trPr>
          <w:tblHeader/>
        </w:trPr>
        <w:tc>
          <w:tcPr>
            <w:tcW w:w="1052" w:type="dxa"/>
            <w:tcBorders>
              <w:top w:val="single" w:sz="4" w:space="0" w:color="auto"/>
              <w:bottom w:val="single" w:sz="12" w:space="0" w:color="auto"/>
            </w:tcBorders>
            <w:shd w:val="clear" w:color="auto" w:fill="auto"/>
            <w:vAlign w:val="bottom"/>
          </w:tcPr>
          <w:p w14:paraId="36B22476"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Nivel</w:t>
            </w:r>
          </w:p>
        </w:tc>
        <w:tc>
          <w:tcPr>
            <w:tcW w:w="1053" w:type="dxa"/>
            <w:tcBorders>
              <w:top w:val="single" w:sz="4" w:space="0" w:color="auto"/>
              <w:bottom w:val="single" w:sz="12" w:space="0" w:color="auto"/>
            </w:tcBorders>
            <w:shd w:val="clear" w:color="auto" w:fill="auto"/>
            <w:vAlign w:val="bottom"/>
          </w:tcPr>
          <w:p w14:paraId="6B2D9CEE"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Curso académico</w:t>
            </w:r>
          </w:p>
        </w:tc>
        <w:tc>
          <w:tcPr>
            <w:tcW w:w="1053" w:type="dxa"/>
            <w:tcBorders>
              <w:top w:val="single" w:sz="4" w:space="0" w:color="auto"/>
              <w:bottom w:val="single" w:sz="12" w:space="0" w:color="auto"/>
            </w:tcBorders>
            <w:shd w:val="clear" w:color="auto" w:fill="auto"/>
            <w:vAlign w:val="bottom"/>
          </w:tcPr>
          <w:p w14:paraId="4FEA3D0A" w14:textId="30649DD8"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2011</w:t>
            </w:r>
            <w:r w:rsidR="001A14E9" w:rsidRPr="004C49DE">
              <w:rPr>
                <w:i/>
                <w:iCs/>
                <w:kern w:val="0"/>
                <w:sz w:val="14"/>
                <w:szCs w:val="14"/>
                <w:lang w:val="es-ES_tradnl" w:eastAsia="en-US"/>
              </w:rPr>
              <w:noBreakHyphen/>
            </w:r>
            <w:r w:rsidRPr="004C49DE">
              <w:rPr>
                <w:i/>
                <w:iCs/>
                <w:kern w:val="0"/>
                <w:sz w:val="14"/>
                <w:szCs w:val="14"/>
                <w:lang w:val="es-ES_tradnl" w:eastAsia="en-US"/>
              </w:rPr>
              <w:t>2012</w:t>
            </w:r>
          </w:p>
        </w:tc>
        <w:tc>
          <w:tcPr>
            <w:tcW w:w="1053" w:type="dxa"/>
            <w:tcBorders>
              <w:top w:val="single" w:sz="4" w:space="0" w:color="auto"/>
              <w:bottom w:val="single" w:sz="12" w:space="0" w:color="auto"/>
            </w:tcBorders>
            <w:shd w:val="clear" w:color="auto" w:fill="auto"/>
            <w:vAlign w:val="bottom"/>
          </w:tcPr>
          <w:p w14:paraId="683475BB" w14:textId="1A178CE0"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2012</w:t>
            </w:r>
            <w:r w:rsidR="001A14E9" w:rsidRPr="004C49DE">
              <w:rPr>
                <w:i/>
                <w:iCs/>
                <w:kern w:val="0"/>
                <w:sz w:val="14"/>
                <w:szCs w:val="14"/>
                <w:lang w:val="es-ES_tradnl" w:eastAsia="en-US"/>
              </w:rPr>
              <w:noBreakHyphen/>
            </w:r>
            <w:r w:rsidRPr="004C49DE">
              <w:rPr>
                <w:i/>
                <w:iCs/>
                <w:kern w:val="0"/>
                <w:sz w:val="14"/>
                <w:szCs w:val="14"/>
                <w:lang w:val="es-ES_tradnl" w:eastAsia="en-US"/>
              </w:rPr>
              <w:t>2013</w:t>
            </w:r>
          </w:p>
        </w:tc>
        <w:tc>
          <w:tcPr>
            <w:tcW w:w="1053" w:type="dxa"/>
            <w:tcBorders>
              <w:top w:val="single" w:sz="4" w:space="0" w:color="auto"/>
              <w:bottom w:val="single" w:sz="12" w:space="0" w:color="auto"/>
            </w:tcBorders>
            <w:shd w:val="clear" w:color="auto" w:fill="auto"/>
            <w:vAlign w:val="bottom"/>
          </w:tcPr>
          <w:p w14:paraId="3F95839D" w14:textId="2D2F0E62"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2013</w:t>
            </w:r>
            <w:r w:rsidR="001A14E9" w:rsidRPr="004C49DE">
              <w:rPr>
                <w:i/>
                <w:iCs/>
                <w:kern w:val="0"/>
                <w:sz w:val="14"/>
                <w:szCs w:val="14"/>
                <w:lang w:val="es-ES_tradnl" w:eastAsia="en-US"/>
              </w:rPr>
              <w:noBreakHyphen/>
            </w:r>
            <w:r w:rsidRPr="004C49DE">
              <w:rPr>
                <w:i/>
                <w:iCs/>
                <w:kern w:val="0"/>
                <w:sz w:val="14"/>
                <w:szCs w:val="14"/>
                <w:lang w:val="es-ES_tradnl" w:eastAsia="en-US"/>
              </w:rPr>
              <w:t>2014</w:t>
            </w:r>
          </w:p>
        </w:tc>
        <w:tc>
          <w:tcPr>
            <w:tcW w:w="1053" w:type="dxa"/>
            <w:tcBorders>
              <w:top w:val="single" w:sz="4" w:space="0" w:color="auto"/>
              <w:bottom w:val="single" w:sz="12" w:space="0" w:color="auto"/>
            </w:tcBorders>
            <w:shd w:val="clear" w:color="auto" w:fill="auto"/>
            <w:vAlign w:val="bottom"/>
          </w:tcPr>
          <w:p w14:paraId="65E70177" w14:textId="337D4692"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2014</w:t>
            </w:r>
            <w:r w:rsidR="001A14E9" w:rsidRPr="004C49DE">
              <w:rPr>
                <w:i/>
                <w:iCs/>
                <w:kern w:val="0"/>
                <w:sz w:val="14"/>
                <w:szCs w:val="14"/>
                <w:lang w:val="es-ES_tradnl" w:eastAsia="en-US"/>
              </w:rPr>
              <w:noBreakHyphen/>
            </w:r>
            <w:r w:rsidRPr="004C49DE">
              <w:rPr>
                <w:i/>
                <w:iCs/>
                <w:kern w:val="0"/>
                <w:sz w:val="14"/>
                <w:szCs w:val="14"/>
                <w:lang w:val="es-ES_tradnl" w:eastAsia="en-US"/>
              </w:rPr>
              <w:t>2015</w:t>
            </w:r>
          </w:p>
        </w:tc>
        <w:tc>
          <w:tcPr>
            <w:tcW w:w="1053" w:type="dxa"/>
            <w:tcBorders>
              <w:top w:val="single" w:sz="4" w:space="0" w:color="auto"/>
              <w:bottom w:val="single" w:sz="12" w:space="0" w:color="auto"/>
            </w:tcBorders>
            <w:shd w:val="clear" w:color="auto" w:fill="auto"/>
            <w:vAlign w:val="bottom"/>
          </w:tcPr>
          <w:p w14:paraId="6A300D7E" w14:textId="3EB7C7D9"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2015</w:t>
            </w:r>
            <w:r w:rsidR="001A14E9" w:rsidRPr="004C49DE">
              <w:rPr>
                <w:i/>
                <w:iCs/>
                <w:kern w:val="0"/>
                <w:sz w:val="14"/>
                <w:szCs w:val="14"/>
                <w:lang w:val="es-ES_tradnl" w:eastAsia="en-US"/>
              </w:rPr>
              <w:noBreakHyphen/>
            </w:r>
            <w:r w:rsidRPr="004C49DE">
              <w:rPr>
                <w:i/>
                <w:iCs/>
                <w:kern w:val="0"/>
                <w:sz w:val="14"/>
                <w:szCs w:val="14"/>
                <w:lang w:val="es-ES_tradnl" w:eastAsia="en-US"/>
              </w:rPr>
              <w:t>2016</w:t>
            </w:r>
          </w:p>
        </w:tc>
      </w:tr>
      <w:tr w:rsidR="00C97D05" w:rsidRPr="004C49DE" w14:paraId="5996C53C" w14:textId="77777777" w:rsidTr="000F34BE">
        <w:trPr>
          <w:trHeight w:hRule="exact" w:val="115"/>
          <w:tblHeader/>
        </w:trPr>
        <w:tc>
          <w:tcPr>
            <w:tcW w:w="1052" w:type="dxa"/>
            <w:tcBorders>
              <w:top w:val="single" w:sz="12" w:space="0" w:color="auto"/>
            </w:tcBorders>
            <w:shd w:val="clear" w:color="auto" w:fill="auto"/>
          </w:tcPr>
          <w:p w14:paraId="391F2CEE" w14:textId="77777777" w:rsidR="00C97D05" w:rsidRPr="004C49DE" w:rsidRDefault="00C97D05" w:rsidP="00BB7BBB">
            <w:pPr>
              <w:suppressAutoHyphens w:val="0"/>
              <w:spacing w:before="40" w:after="40" w:line="220" w:lineRule="exact"/>
              <w:rPr>
                <w:lang w:val="es-ES_tradnl"/>
              </w:rPr>
            </w:pPr>
          </w:p>
        </w:tc>
        <w:tc>
          <w:tcPr>
            <w:tcW w:w="1053" w:type="dxa"/>
            <w:tcBorders>
              <w:top w:val="single" w:sz="12" w:space="0" w:color="auto"/>
            </w:tcBorders>
            <w:shd w:val="clear" w:color="auto" w:fill="auto"/>
            <w:vAlign w:val="bottom"/>
          </w:tcPr>
          <w:p w14:paraId="7C0B7BCD" w14:textId="77777777" w:rsidR="00C97D05" w:rsidRPr="004C49DE" w:rsidRDefault="00C97D05" w:rsidP="00BB7BBB">
            <w:pPr>
              <w:suppressAutoHyphens w:val="0"/>
              <w:spacing w:before="40" w:after="40" w:line="220" w:lineRule="exact"/>
              <w:jc w:val="right"/>
              <w:rPr>
                <w:lang w:val="es-ES_tradnl"/>
              </w:rPr>
            </w:pPr>
          </w:p>
        </w:tc>
        <w:tc>
          <w:tcPr>
            <w:tcW w:w="1053" w:type="dxa"/>
            <w:tcBorders>
              <w:top w:val="single" w:sz="12" w:space="0" w:color="auto"/>
            </w:tcBorders>
            <w:shd w:val="clear" w:color="auto" w:fill="auto"/>
            <w:vAlign w:val="bottom"/>
          </w:tcPr>
          <w:p w14:paraId="5F996367" w14:textId="77777777" w:rsidR="00C97D05" w:rsidRPr="004C49DE" w:rsidRDefault="00C97D05" w:rsidP="00BB7BBB">
            <w:pPr>
              <w:suppressAutoHyphens w:val="0"/>
              <w:spacing w:before="40" w:after="40" w:line="220" w:lineRule="exact"/>
              <w:rPr>
                <w:lang w:val="es-ES_tradnl"/>
              </w:rPr>
            </w:pPr>
          </w:p>
        </w:tc>
        <w:tc>
          <w:tcPr>
            <w:tcW w:w="1053" w:type="dxa"/>
            <w:tcBorders>
              <w:top w:val="single" w:sz="12" w:space="0" w:color="auto"/>
            </w:tcBorders>
            <w:shd w:val="clear" w:color="auto" w:fill="auto"/>
            <w:vAlign w:val="bottom"/>
          </w:tcPr>
          <w:p w14:paraId="1A87510B" w14:textId="77777777" w:rsidR="00C97D05" w:rsidRPr="004C49DE" w:rsidRDefault="00C97D05" w:rsidP="00BB7BBB">
            <w:pPr>
              <w:suppressAutoHyphens w:val="0"/>
              <w:spacing w:before="40" w:after="40" w:line="220" w:lineRule="exact"/>
              <w:rPr>
                <w:lang w:val="es-ES_tradnl"/>
              </w:rPr>
            </w:pPr>
          </w:p>
        </w:tc>
        <w:tc>
          <w:tcPr>
            <w:tcW w:w="1053" w:type="dxa"/>
            <w:tcBorders>
              <w:top w:val="single" w:sz="12" w:space="0" w:color="auto"/>
            </w:tcBorders>
            <w:shd w:val="clear" w:color="auto" w:fill="auto"/>
            <w:vAlign w:val="bottom"/>
          </w:tcPr>
          <w:p w14:paraId="543CD8AE" w14:textId="77777777" w:rsidR="00C97D05" w:rsidRPr="004C49DE" w:rsidRDefault="00C97D05" w:rsidP="00BB7BBB">
            <w:pPr>
              <w:suppressAutoHyphens w:val="0"/>
              <w:spacing w:before="40" w:after="40" w:line="220" w:lineRule="exact"/>
              <w:rPr>
                <w:lang w:val="es-ES_tradnl"/>
              </w:rPr>
            </w:pPr>
          </w:p>
        </w:tc>
        <w:tc>
          <w:tcPr>
            <w:tcW w:w="1053" w:type="dxa"/>
            <w:tcBorders>
              <w:top w:val="single" w:sz="12" w:space="0" w:color="auto"/>
            </w:tcBorders>
            <w:shd w:val="clear" w:color="auto" w:fill="auto"/>
            <w:vAlign w:val="bottom"/>
          </w:tcPr>
          <w:p w14:paraId="3D516234" w14:textId="77777777" w:rsidR="00C97D05" w:rsidRPr="004C49DE" w:rsidRDefault="00C97D05" w:rsidP="00BB7BBB">
            <w:pPr>
              <w:suppressAutoHyphens w:val="0"/>
              <w:spacing w:before="40" w:after="40" w:line="220" w:lineRule="exact"/>
              <w:rPr>
                <w:lang w:val="es-ES_tradnl"/>
              </w:rPr>
            </w:pPr>
          </w:p>
        </w:tc>
        <w:tc>
          <w:tcPr>
            <w:tcW w:w="1053" w:type="dxa"/>
            <w:tcBorders>
              <w:top w:val="single" w:sz="12" w:space="0" w:color="auto"/>
            </w:tcBorders>
            <w:shd w:val="clear" w:color="auto" w:fill="auto"/>
            <w:vAlign w:val="bottom"/>
          </w:tcPr>
          <w:p w14:paraId="76313A4E" w14:textId="77777777" w:rsidR="00C97D05" w:rsidRPr="004C49DE" w:rsidRDefault="00C97D05" w:rsidP="00BB7BBB">
            <w:pPr>
              <w:suppressAutoHyphens w:val="0"/>
              <w:spacing w:before="40" w:after="40" w:line="220" w:lineRule="exact"/>
              <w:rPr>
                <w:lang w:val="es-ES_tradnl"/>
              </w:rPr>
            </w:pPr>
          </w:p>
        </w:tc>
      </w:tr>
      <w:tr w:rsidR="000C3123" w:rsidRPr="004C49DE" w14:paraId="0A1F4A9A" w14:textId="77777777" w:rsidTr="00F40BCF">
        <w:tc>
          <w:tcPr>
            <w:tcW w:w="1052" w:type="dxa"/>
            <w:vMerge w:val="restart"/>
            <w:shd w:val="clear" w:color="auto" w:fill="auto"/>
          </w:tcPr>
          <w:p w14:paraId="0819753A"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Preescolar</w:t>
            </w:r>
          </w:p>
        </w:tc>
        <w:tc>
          <w:tcPr>
            <w:tcW w:w="1053" w:type="dxa"/>
            <w:shd w:val="clear" w:color="auto" w:fill="auto"/>
            <w:vAlign w:val="bottom"/>
          </w:tcPr>
          <w:p w14:paraId="53B2F12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Aulas</w:t>
            </w:r>
          </w:p>
        </w:tc>
        <w:tc>
          <w:tcPr>
            <w:tcW w:w="1053" w:type="dxa"/>
            <w:shd w:val="clear" w:color="auto" w:fill="auto"/>
            <w:vAlign w:val="bottom"/>
          </w:tcPr>
          <w:p w14:paraId="12DA897D"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3 143</w:t>
            </w:r>
          </w:p>
        </w:tc>
        <w:tc>
          <w:tcPr>
            <w:tcW w:w="1053" w:type="dxa"/>
            <w:shd w:val="clear" w:color="auto" w:fill="auto"/>
            <w:vAlign w:val="bottom"/>
          </w:tcPr>
          <w:p w14:paraId="64D940D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3803</w:t>
            </w:r>
          </w:p>
        </w:tc>
        <w:tc>
          <w:tcPr>
            <w:tcW w:w="1053" w:type="dxa"/>
            <w:shd w:val="clear" w:color="auto" w:fill="auto"/>
            <w:vAlign w:val="bottom"/>
          </w:tcPr>
          <w:p w14:paraId="7D99A6C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4 308</w:t>
            </w:r>
          </w:p>
        </w:tc>
        <w:tc>
          <w:tcPr>
            <w:tcW w:w="1053" w:type="dxa"/>
            <w:shd w:val="clear" w:color="auto" w:fill="auto"/>
            <w:vAlign w:val="bottom"/>
          </w:tcPr>
          <w:p w14:paraId="0A9F703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 xml:space="preserve">4 584 </w:t>
            </w:r>
          </w:p>
        </w:tc>
        <w:tc>
          <w:tcPr>
            <w:tcW w:w="1053" w:type="dxa"/>
            <w:shd w:val="clear" w:color="auto" w:fill="auto"/>
            <w:vAlign w:val="bottom"/>
          </w:tcPr>
          <w:p w14:paraId="219FCA44"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5 668</w:t>
            </w:r>
          </w:p>
        </w:tc>
      </w:tr>
      <w:tr w:rsidR="000C3123" w:rsidRPr="004C49DE" w14:paraId="4453AD6D" w14:textId="77777777" w:rsidTr="00F40BCF">
        <w:tc>
          <w:tcPr>
            <w:tcW w:w="1052" w:type="dxa"/>
            <w:vMerge/>
            <w:shd w:val="clear" w:color="auto" w:fill="auto"/>
            <w:vAlign w:val="bottom"/>
          </w:tcPr>
          <w:p w14:paraId="6D7DBCC0" w14:textId="77777777" w:rsidR="000C3123" w:rsidRPr="004C49DE" w:rsidRDefault="000C3123" w:rsidP="00BB7BBB">
            <w:pPr>
              <w:suppressAutoHyphens w:val="0"/>
              <w:spacing w:before="40" w:after="80" w:line="210" w:lineRule="exact"/>
              <w:rPr>
                <w:bCs/>
                <w:kern w:val="0"/>
                <w:sz w:val="17"/>
                <w:szCs w:val="17"/>
                <w:lang w:val="es-ES_tradnl" w:eastAsia="en-US"/>
              </w:rPr>
            </w:pPr>
          </w:p>
        </w:tc>
        <w:tc>
          <w:tcPr>
            <w:tcW w:w="1053" w:type="dxa"/>
            <w:shd w:val="clear" w:color="auto" w:fill="auto"/>
            <w:vAlign w:val="bottom"/>
          </w:tcPr>
          <w:p w14:paraId="0BBF048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Alumnos</w:t>
            </w:r>
          </w:p>
        </w:tc>
        <w:tc>
          <w:tcPr>
            <w:tcW w:w="1053" w:type="dxa"/>
            <w:shd w:val="clear" w:color="auto" w:fill="auto"/>
            <w:vAlign w:val="bottom"/>
          </w:tcPr>
          <w:p w14:paraId="3A1E0676"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91 393</w:t>
            </w:r>
          </w:p>
        </w:tc>
        <w:tc>
          <w:tcPr>
            <w:tcW w:w="1053" w:type="dxa"/>
            <w:shd w:val="clear" w:color="auto" w:fill="auto"/>
            <w:vAlign w:val="bottom"/>
          </w:tcPr>
          <w:p w14:paraId="2CEABF06"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111 384</w:t>
            </w:r>
          </w:p>
        </w:tc>
        <w:tc>
          <w:tcPr>
            <w:tcW w:w="1053" w:type="dxa"/>
            <w:shd w:val="clear" w:color="auto" w:fill="auto"/>
            <w:vAlign w:val="bottom"/>
          </w:tcPr>
          <w:p w14:paraId="44AF211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129 371</w:t>
            </w:r>
          </w:p>
        </w:tc>
        <w:tc>
          <w:tcPr>
            <w:tcW w:w="1053" w:type="dxa"/>
            <w:shd w:val="clear" w:color="auto" w:fill="auto"/>
            <w:vAlign w:val="bottom"/>
          </w:tcPr>
          <w:p w14:paraId="0D948BD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144 128</w:t>
            </w:r>
          </w:p>
        </w:tc>
        <w:tc>
          <w:tcPr>
            <w:tcW w:w="1053" w:type="dxa"/>
            <w:shd w:val="clear" w:color="auto" w:fill="auto"/>
            <w:vAlign w:val="bottom"/>
          </w:tcPr>
          <w:p w14:paraId="16C5FBA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161 699</w:t>
            </w:r>
          </w:p>
        </w:tc>
      </w:tr>
      <w:tr w:rsidR="000C3123" w:rsidRPr="004C49DE" w14:paraId="632D2FE6" w14:textId="77777777" w:rsidTr="00F40BCF">
        <w:tc>
          <w:tcPr>
            <w:tcW w:w="1052" w:type="dxa"/>
            <w:vMerge/>
            <w:shd w:val="clear" w:color="auto" w:fill="auto"/>
            <w:vAlign w:val="bottom"/>
          </w:tcPr>
          <w:p w14:paraId="5931092F" w14:textId="77777777" w:rsidR="000C3123" w:rsidRPr="004C49DE" w:rsidRDefault="000C3123" w:rsidP="00BB7BBB">
            <w:pPr>
              <w:suppressAutoHyphens w:val="0"/>
              <w:spacing w:before="40" w:after="80" w:line="210" w:lineRule="exact"/>
              <w:rPr>
                <w:bCs/>
                <w:kern w:val="0"/>
                <w:sz w:val="17"/>
                <w:szCs w:val="17"/>
                <w:lang w:val="es-ES_tradnl" w:eastAsia="en-US"/>
              </w:rPr>
            </w:pPr>
          </w:p>
        </w:tc>
        <w:tc>
          <w:tcPr>
            <w:tcW w:w="1053" w:type="dxa"/>
            <w:shd w:val="clear" w:color="auto" w:fill="auto"/>
            <w:vAlign w:val="bottom"/>
          </w:tcPr>
          <w:p w14:paraId="493A411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Docentes</w:t>
            </w:r>
          </w:p>
        </w:tc>
        <w:tc>
          <w:tcPr>
            <w:tcW w:w="1053" w:type="dxa"/>
            <w:shd w:val="clear" w:color="auto" w:fill="auto"/>
            <w:vAlign w:val="bottom"/>
          </w:tcPr>
          <w:p w14:paraId="5ADEFFB7"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4 941</w:t>
            </w:r>
          </w:p>
        </w:tc>
        <w:tc>
          <w:tcPr>
            <w:tcW w:w="1053" w:type="dxa"/>
            <w:shd w:val="clear" w:color="auto" w:fill="auto"/>
            <w:vAlign w:val="bottom"/>
          </w:tcPr>
          <w:p w14:paraId="380507D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 xml:space="preserve">5 378 </w:t>
            </w:r>
          </w:p>
        </w:tc>
        <w:tc>
          <w:tcPr>
            <w:tcW w:w="1053" w:type="dxa"/>
            <w:shd w:val="clear" w:color="auto" w:fill="auto"/>
            <w:vAlign w:val="bottom"/>
          </w:tcPr>
          <w:p w14:paraId="3409ABD4"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5 921</w:t>
            </w:r>
          </w:p>
        </w:tc>
        <w:tc>
          <w:tcPr>
            <w:tcW w:w="1053" w:type="dxa"/>
            <w:shd w:val="clear" w:color="auto" w:fill="auto"/>
            <w:vAlign w:val="bottom"/>
          </w:tcPr>
          <w:p w14:paraId="7211A1C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6 524</w:t>
            </w:r>
          </w:p>
        </w:tc>
        <w:tc>
          <w:tcPr>
            <w:tcW w:w="1053" w:type="dxa"/>
            <w:shd w:val="clear" w:color="auto" w:fill="auto"/>
            <w:vAlign w:val="bottom"/>
          </w:tcPr>
          <w:p w14:paraId="29775CB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7 045</w:t>
            </w:r>
          </w:p>
        </w:tc>
      </w:tr>
      <w:tr w:rsidR="000C3123" w:rsidRPr="004C49DE" w14:paraId="704E8F27" w14:textId="77777777" w:rsidTr="00F40BCF">
        <w:tc>
          <w:tcPr>
            <w:tcW w:w="1052" w:type="dxa"/>
            <w:vMerge w:val="restart"/>
            <w:shd w:val="clear" w:color="auto" w:fill="auto"/>
          </w:tcPr>
          <w:p w14:paraId="57936CB6"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Primaria</w:t>
            </w:r>
          </w:p>
        </w:tc>
        <w:tc>
          <w:tcPr>
            <w:tcW w:w="1053" w:type="dxa"/>
            <w:shd w:val="clear" w:color="auto" w:fill="auto"/>
            <w:vAlign w:val="bottom"/>
          </w:tcPr>
          <w:p w14:paraId="4DBE5A0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Aulas</w:t>
            </w:r>
          </w:p>
        </w:tc>
        <w:tc>
          <w:tcPr>
            <w:tcW w:w="1053" w:type="dxa"/>
            <w:shd w:val="clear" w:color="auto" w:fill="auto"/>
            <w:vAlign w:val="bottom"/>
          </w:tcPr>
          <w:p w14:paraId="1A8FDB0A"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68 557</w:t>
            </w:r>
          </w:p>
        </w:tc>
        <w:tc>
          <w:tcPr>
            <w:tcW w:w="1053" w:type="dxa"/>
            <w:shd w:val="clear" w:color="auto" w:fill="auto"/>
            <w:vAlign w:val="bottom"/>
          </w:tcPr>
          <w:p w14:paraId="1BD2E01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70 296</w:t>
            </w:r>
          </w:p>
        </w:tc>
        <w:tc>
          <w:tcPr>
            <w:tcW w:w="1053" w:type="dxa"/>
            <w:shd w:val="clear" w:color="auto" w:fill="auto"/>
            <w:vAlign w:val="bottom"/>
          </w:tcPr>
          <w:p w14:paraId="03EB4A1E"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74 671</w:t>
            </w:r>
          </w:p>
        </w:tc>
        <w:tc>
          <w:tcPr>
            <w:tcW w:w="1053" w:type="dxa"/>
            <w:shd w:val="clear" w:color="auto" w:fill="auto"/>
            <w:vAlign w:val="bottom"/>
          </w:tcPr>
          <w:p w14:paraId="7487151F"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76 564</w:t>
            </w:r>
          </w:p>
        </w:tc>
        <w:tc>
          <w:tcPr>
            <w:tcW w:w="1053" w:type="dxa"/>
            <w:shd w:val="clear" w:color="auto" w:fill="auto"/>
            <w:vAlign w:val="bottom"/>
          </w:tcPr>
          <w:p w14:paraId="7D423740"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84 730</w:t>
            </w:r>
          </w:p>
        </w:tc>
      </w:tr>
      <w:tr w:rsidR="000C3123" w:rsidRPr="004C49DE" w14:paraId="6AD3FD8D" w14:textId="77777777" w:rsidTr="00F40BCF">
        <w:tc>
          <w:tcPr>
            <w:tcW w:w="1052" w:type="dxa"/>
            <w:vMerge/>
            <w:shd w:val="clear" w:color="auto" w:fill="auto"/>
            <w:vAlign w:val="bottom"/>
          </w:tcPr>
          <w:p w14:paraId="10D6C395" w14:textId="77777777" w:rsidR="000C3123" w:rsidRPr="004C49DE" w:rsidRDefault="000C3123" w:rsidP="00BB7BBB">
            <w:pPr>
              <w:suppressAutoHyphens w:val="0"/>
              <w:spacing w:before="40" w:after="80" w:line="210" w:lineRule="exact"/>
              <w:rPr>
                <w:bCs/>
                <w:kern w:val="0"/>
                <w:sz w:val="17"/>
                <w:szCs w:val="17"/>
                <w:lang w:val="es-ES_tradnl" w:eastAsia="en-US"/>
              </w:rPr>
            </w:pPr>
          </w:p>
        </w:tc>
        <w:tc>
          <w:tcPr>
            <w:tcW w:w="1053" w:type="dxa"/>
            <w:shd w:val="clear" w:color="auto" w:fill="auto"/>
            <w:vAlign w:val="bottom"/>
          </w:tcPr>
          <w:p w14:paraId="1A19DAB6"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Alumnos</w:t>
            </w:r>
          </w:p>
        </w:tc>
        <w:tc>
          <w:tcPr>
            <w:tcW w:w="1053" w:type="dxa"/>
            <w:shd w:val="clear" w:color="auto" w:fill="auto"/>
            <w:vAlign w:val="bottom"/>
          </w:tcPr>
          <w:p w14:paraId="6CE838B4"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2 920 791</w:t>
            </w:r>
          </w:p>
        </w:tc>
        <w:tc>
          <w:tcPr>
            <w:tcW w:w="1053" w:type="dxa"/>
            <w:shd w:val="clear" w:color="auto" w:fill="auto"/>
            <w:vAlign w:val="bottom"/>
          </w:tcPr>
          <w:p w14:paraId="23D4414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3 021 417</w:t>
            </w:r>
          </w:p>
        </w:tc>
        <w:tc>
          <w:tcPr>
            <w:tcW w:w="1053" w:type="dxa"/>
            <w:shd w:val="clear" w:color="auto" w:fill="auto"/>
            <w:vAlign w:val="bottom"/>
          </w:tcPr>
          <w:p w14:paraId="20D8622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3 176 874</w:t>
            </w:r>
          </w:p>
        </w:tc>
        <w:tc>
          <w:tcPr>
            <w:tcW w:w="1053" w:type="dxa"/>
            <w:shd w:val="clear" w:color="auto" w:fill="auto"/>
            <w:vAlign w:val="bottom"/>
          </w:tcPr>
          <w:p w14:paraId="283A88ED"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3 370 558</w:t>
            </w:r>
          </w:p>
        </w:tc>
        <w:tc>
          <w:tcPr>
            <w:tcW w:w="1053" w:type="dxa"/>
            <w:shd w:val="clear" w:color="auto" w:fill="auto"/>
            <w:vAlign w:val="bottom"/>
          </w:tcPr>
          <w:p w14:paraId="68A3B14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3 617 219</w:t>
            </w:r>
          </w:p>
        </w:tc>
      </w:tr>
      <w:tr w:rsidR="000C3123" w:rsidRPr="004C49DE" w14:paraId="7979C44F" w14:textId="77777777" w:rsidTr="00F40BCF">
        <w:tc>
          <w:tcPr>
            <w:tcW w:w="1052" w:type="dxa"/>
            <w:vMerge/>
            <w:shd w:val="clear" w:color="auto" w:fill="auto"/>
            <w:vAlign w:val="bottom"/>
          </w:tcPr>
          <w:p w14:paraId="61B2FC7D" w14:textId="77777777" w:rsidR="000C3123" w:rsidRPr="004C49DE" w:rsidRDefault="000C3123" w:rsidP="00BB7BBB">
            <w:pPr>
              <w:suppressAutoHyphens w:val="0"/>
              <w:spacing w:before="40" w:after="80" w:line="210" w:lineRule="exact"/>
              <w:rPr>
                <w:bCs/>
                <w:kern w:val="0"/>
                <w:sz w:val="17"/>
                <w:szCs w:val="17"/>
                <w:lang w:val="es-ES_tradnl" w:eastAsia="en-US"/>
              </w:rPr>
            </w:pPr>
          </w:p>
        </w:tc>
        <w:tc>
          <w:tcPr>
            <w:tcW w:w="1053" w:type="dxa"/>
            <w:shd w:val="clear" w:color="auto" w:fill="auto"/>
            <w:vAlign w:val="bottom"/>
          </w:tcPr>
          <w:p w14:paraId="2A8D2167"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Docentes</w:t>
            </w:r>
          </w:p>
        </w:tc>
        <w:tc>
          <w:tcPr>
            <w:tcW w:w="1053" w:type="dxa"/>
            <w:shd w:val="clear" w:color="auto" w:fill="auto"/>
            <w:vAlign w:val="bottom"/>
          </w:tcPr>
          <w:p w14:paraId="034725A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70 016</w:t>
            </w:r>
          </w:p>
        </w:tc>
        <w:tc>
          <w:tcPr>
            <w:tcW w:w="1053" w:type="dxa"/>
            <w:shd w:val="clear" w:color="auto" w:fill="auto"/>
            <w:vAlign w:val="bottom"/>
          </w:tcPr>
          <w:p w14:paraId="5B7CBBE7"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73 691</w:t>
            </w:r>
          </w:p>
        </w:tc>
        <w:tc>
          <w:tcPr>
            <w:tcW w:w="1053" w:type="dxa"/>
            <w:shd w:val="clear" w:color="auto" w:fill="auto"/>
            <w:vAlign w:val="bottom"/>
          </w:tcPr>
          <w:p w14:paraId="5B41824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74 703</w:t>
            </w:r>
          </w:p>
        </w:tc>
        <w:tc>
          <w:tcPr>
            <w:tcW w:w="1053" w:type="dxa"/>
            <w:shd w:val="clear" w:color="auto" w:fill="auto"/>
            <w:vAlign w:val="bottom"/>
          </w:tcPr>
          <w:p w14:paraId="7B2EF9AF"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80 155</w:t>
            </w:r>
          </w:p>
        </w:tc>
        <w:tc>
          <w:tcPr>
            <w:tcW w:w="1053" w:type="dxa"/>
            <w:shd w:val="clear" w:color="auto" w:fill="auto"/>
            <w:vAlign w:val="bottom"/>
          </w:tcPr>
          <w:p w14:paraId="542DBB5D"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85 109</w:t>
            </w:r>
          </w:p>
        </w:tc>
      </w:tr>
      <w:tr w:rsidR="000C3123" w:rsidRPr="004C49DE" w14:paraId="6910BA05" w14:textId="77777777" w:rsidTr="00F40BCF">
        <w:tc>
          <w:tcPr>
            <w:tcW w:w="1052" w:type="dxa"/>
            <w:vMerge w:val="restart"/>
            <w:shd w:val="clear" w:color="auto" w:fill="auto"/>
          </w:tcPr>
          <w:p w14:paraId="4F6D0F9F"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Secundaria general</w:t>
            </w:r>
          </w:p>
        </w:tc>
        <w:tc>
          <w:tcPr>
            <w:tcW w:w="1053" w:type="dxa"/>
            <w:shd w:val="clear" w:color="auto" w:fill="auto"/>
            <w:vAlign w:val="bottom"/>
          </w:tcPr>
          <w:p w14:paraId="25FD2998"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Aulas</w:t>
            </w:r>
          </w:p>
        </w:tc>
        <w:tc>
          <w:tcPr>
            <w:tcW w:w="1053" w:type="dxa"/>
            <w:shd w:val="clear" w:color="auto" w:fill="auto"/>
            <w:vAlign w:val="bottom"/>
          </w:tcPr>
          <w:p w14:paraId="7C317618"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19 274</w:t>
            </w:r>
          </w:p>
        </w:tc>
        <w:tc>
          <w:tcPr>
            <w:tcW w:w="1053" w:type="dxa"/>
            <w:shd w:val="clear" w:color="auto" w:fill="auto"/>
            <w:vAlign w:val="bottom"/>
          </w:tcPr>
          <w:p w14:paraId="108C7AAC"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20 491</w:t>
            </w:r>
          </w:p>
        </w:tc>
        <w:tc>
          <w:tcPr>
            <w:tcW w:w="1053" w:type="dxa"/>
            <w:shd w:val="clear" w:color="auto" w:fill="auto"/>
            <w:vAlign w:val="bottom"/>
          </w:tcPr>
          <w:p w14:paraId="784AC70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22 339</w:t>
            </w:r>
          </w:p>
        </w:tc>
        <w:tc>
          <w:tcPr>
            <w:tcW w:w="1053" w:type="dxa"/>
            <w:shd w:val="clear" w:color="auto" w:fill="auto"/>
            <w:vAlign w:val="bottom"/>
          </w:tcPr>
          <w:p w14:paraId="67C1B693"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25 709</w:t>
            </w:r>
          </w:p>
        </w:tc>
        <w:tc>
          <w:tcPr>
            <w:tcW w:w="1053" w:type="dxa"/>
            <w:shd w:val="clear" w:color="auto" w:fill="auto"/>
            <w:vAlign w:val="bottom"/>
          </w:tcPr>
          <w:p w14:paraId="0D86023E"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28 357</w:t>
            </w:r>
          </w:p>
        </w:tc>
      </w:tr>
      <w:tr w:rsidR="000C3123" w:rsidRPr="004C49DE" w14:paraId="2D33595F" w14:textId="77777777" w:rsidTr="00F40BCF">
        <w:tc>
          <w:tcPr>
            <w:tcW w:w="1052" w:type="dxa"/>
            <w:vMerge/>
            <w:shd w:val="clear" w:color="auto" w:fill="auto"/>
          </w:tcPr>
          <w:p w14:paraId="41BD462E" w14:textId="77777777" w:rsidR="000C3123" w:rsidRPr="004C49DE" w:rsidRDefault="000C3123" w:rsidP="00BB7BBB">
            <w:pPr>
              <w:suppressAutoHyphens w:val="0"/>
              <w:spacing w:before="40" w:after="80" w:line="210" w:lineRule="exact"/>
              <w:rPr>
                <w:bCs/>
                <w:kern w:val="0"/>
                <w:sz w:val="17"/>
                <w:szCs w:val="17"/>
                <w:lang w:val="es-ES_tradnl" w:eastAsia="en-US"/>
              </w:rPr>
            </w:pPr>
          </w:p>
        </w:tc>
        <w:tc>
          <w:tcPr>
            <w:tcW w:w="1053" w:type="dxa"/>
            <w:shd w:val="clear" w:color="auto" w:fill="auto"/>
            <w:vAlign w:val="bottom"/>
          </w:tcPr>
          <w:p w14:paraId="153A2FED"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Alumnos</w:t>
            </w:r>
          </w:p>
        </w:tc>
        <w:tc>
          <w:tcPr>
            <w:tcW w:w="1053" w:type="dxa"/>
            <w:shd w:val="clear" w:color="auto" w:fill="auto"/>
            <w:vAlign w:val="bottom"/>
          </w:tcPr>
          <w:p w14:paraId="744D491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1 132 464</w:t>
            </w:r>
          </w:p>
        </w:tc>
        <w:tc>
          <w:tcPr>
            <w:tcW w:w="1053" w:type="dxa"/>
            <w:shd w:val="clear" w:color="auto" w:fill="auto"/>
            <w:vAlign w:val="bottom"/>
          </w:tcPr>
          <w:p w14:paraId="53F93DA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1 215 672</w:t>
            </w:r>
          </w:p>
        </w:tc>
        <w:tc>
          <w:tcPr>
            <w:tcW w:w="1053" w:type="dxa"/>
            <w:shd w:val="clear" w:color="auto" w:fill="auto"/>
            <w:vAlign w:val="bottom"/>
          </w:tcPr>
          <w:p w14:paraId="1BBF5BA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1 321 556</w:t>
            </w:r>
          </w:p>
        </w:tc>
        <w:tc>
          <w:tcPr>
            <w:tcW w:w="1053" w:type="dxa"/>
            <w:shd w:val="clear" w:color="auto" w:fill="auto"/>
            <w:vAlign w:val="bottom"/>
          </w:tcPr>
          <w:p w14:paraId="172B042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1 479 005</w:t>
            </w:r>
          </w:p>
        </w:tc>
        <w:tc>
          <w:tcPr>
            <w:tcW w:w="1053" w:type="dxa"/>
            <w:shd w:val="clear" w:color="auto" w:fill="auto"/>
            <w:vAlign w:val="bottom"/>
          </w:tcPr>
          <w:p w14:paraId="684B561C"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1 621 874</w:t>
            </w:r>
          </w:p>
        </w:tc>
      </w:tr>
      <w:tr w:rsidR="000C3123" w:rsidRPr="004C49DE" w14:paraId="3FA33509" w14:textId="77777777" w:rsidTr="00F40BCF">
        <w:tc>
          <w:tcPr>
            <w:tcW w:w="1052" w:type="dxa"/>
            <w:vMerge/>
            <w:tcBorders>
              <w:bottom w:val="single" w:sz="12" w:space="0" w:color="auto"/>
            </w:tcBorders>
            <w:shd w:val="clear" w:color="auto" w:fill="auto"/>
          </w:tcPr>
          <w:p w14:paraId="25F86C40" w14:textId="77777777" w:rsidR="000C3123" w:rsidRPr="004C49DE" w:rsidRDefault="000C3123" w:rsidP="00BB7BBB">
            <w:pPr>
              <w:suppressAutoHyphens w:val="0"/>
              <w:spacing w:before="40" w:after="80" w:line="210" w:lineRule="exact"/>
              <w:rPr>
                <w:bCs/>
                <w:kern w:val="0"/>
                <w:sz w:val="17"/>
                <w:szCs w:val="17"/>
                <w:lang w:val="es-ES_tradnl" w:eastAsia="en-US"/>
              </w:rPr>
            </w:pPr>
          </w:p>
        </w:tc>
        <w:tc>
          <w:tcPr>
            <w:tcW w:w="1053" w:type="dxa"/>
            <w:tcBorders>
              <w:bottom w:val="single" w:sz="12" w:space="0" w:color="auto"/>
            </w:tcBorders>
            <w:shd w:val="clear" w:color="auto" w:fill="auto"/>
            <w:vAlign w:val="bottom"/>
          </w:tcPr>
          <w:p w14:paraId="465DABD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Docentes</w:t>
            </w:r>
          </w:p>
        </w:tc>
        <w:tc>
          <w:tcPr>
            <w:tcW w:w="1053" w:type="dxa"/>
            <w:tcBorders>
              <w:bottom w:val="single" w:sz="12" w:space="0" w:color="auto"/>
            </w:tcBorders>
            <w:shd w:val="clear" w:color="auto" w:fill="auto"/>
            <w:vAlign w:val="bottom"/>
          </w:tcPr>
          <w:p w14:paraId="12953F3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31 109</w:t>
            </w:r>
          </w:p>
        </w:tc>
        <w:tc>
          <w:tcPr>
            <w:tcW w:w="1053" w:type="dxa"/>
            <w:tcBorders>
              <w:bottom w:val="single" w:sz="12" w:space="0" w:color="auto"/>
            </w:tcBorders>
            <w:shd w:val="clear" w:color="auto" w:fill="auto"/>
            <w:vAlign w:val="bottom"/>
          </w:tcPr>
          <w:p w14:paraId="02A766CC"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57 065</w:t>
            </w:r>
          </w:p>
        </w:tc>
        <w:tc>
          <w:tcPr>
            <w:tcW w:w="1053" w:type="dxa"/>
            <w:tcBorders>
              <w:bottom w:val="single" w:sz="12" w:space="0" w:color="auto"/>
            </w:tcBorders>
            <w:shd w:val="clear" w:color="auto" w:fill="auto"/>
            <w:vAlign w:val="bottom"/>
          </w:tcPr>
          <w:p w14:paraId="6B1F419A"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49 550</w:t>
            </w:r>
          </w:p>
        </w:tc>
        <w:tc>
          <w:tcPr>
            <w:tcW w:w="1053" w:type="dxa"/>
            <w:tcBorders>
              <w:bottom w:val="single" w:sz="12" w:space="0" w:color="auto"/>
            </w:tcBorders>
            <w:shd w:val="clear" w:color="auto" w:fill="auto"/>
            <w:vAlign w:val="bottom"/>
          </w:tcPr>
          <w:p w14:paraId="2924923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51 192</w:t>
            </w:r>
          </w:p>
        </w:tc>
        <w:tc>
          <w:tcPr>
            <w:tcW w:w="1053" w:type="dxa"/>
            <w:tcBorders>
              <w:bottom w:val="single" w:sz="12" w:space="0" w:color="auto"/>
            </w:tcBorders>
            <w:shd w:val="clear" w:color="auto" w:fill="auto"/>
            <w:vAlign w:val="bottom"/>
          </w:tcPr>
          <w:p w14:paraId="7B09BCF6"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53 537</w:t>
            </w:r>
          </w:p>
        </w:tc>
      </w:tr>
    </w:tbl>
    <w:p w14:paraId="733663EC" w14:textId="77777777" w:rsidR="004F21B6" w:rsidRPr="004C49DE" w:rsidRDefault="004F21B6" w:rsidP="00BB7BBB">
      <w:pPr>
        <w:pStyle w:val="SingleTxt"/>
        <w:suppressAutoHyphens w:val="0"/>
        <w:spacing w:after="0" w:line="120" w:lineRule="exact"/>
        <w:rPr>
          <w:sz w:val="10"/>
          <w:szCs w:val="10"/>
          <w:lang w:val="es-ES_tradnl"/>
        </w:rPr>
      </w:pPr>
    </w:p>
    <w:p w14:paraId="08A443C8" w14:textId="2C1C9574" w:rsidR="004F21B6" w:rsidRPr="004C49DE" w:rsidRDefault="004F21B6" w:rsidP="00BB7BBB">
      <w:pPr>
        <w:pStyle w:val="SingleTxt"/>
        <w:suppressAutoHyphens w:val="0"/>
        <w:spacing w:after="0" w:line="120" w:lineRule="exact"/>
        <w:rPr>
          <w:sz w:val="10"/>
          <w:szCs w:val="10"/>
          <w:lang w:val="es-ES_tradnl"/>
        </w:rPr>
      </w:pPr>
    </w:p>
    <w:p w14:paraId="5F9E5E2D" w14:textId="77777777" w:rsidR="00F1178C" w:rsidRPr="004C49DE" w:rsidRDefault="00F1178C" w:rsidP="00BB7BBB">
      <w:pPr>
        <w:pStyle w:val="SingleTxt"/>
        <w:suppressAutoHyphens w:val="0"/>
        <w:spacing w:after="0" w:line="120" w:lineRule="exact"/>
        <w:rPr>
          <w:sz w:val="10"/>
          <w:szCs w:val="10"/>
          <w:lang w:val="es-ES_tradnl"/>
        </w:rPr>
      </w:pPr>
    </w:p>
    <w:p w14:paraId="20C90AA1" w14:textId="54E1C0DB"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Garantizar la finalización del proceso de integración de las escuelas coránicas en el sistema de enseñanza y la validación de sus módulos de formación y programas de estudios (véase </w:t>
      </w:r>
      <w:hyperlink r:id="rId75"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37 d))</w:t>
      </w:r>
      <w:r w:rsidR="00BB7BBB" w:rsidRPr="004C49DE">
        <w:rPr>
          <w:b/>
          <w:szCs w:val="22"/>
          <w:lang w:val="es-ES_tradnl" w:eastAsia="en-US"/>
        </w:rPr>
        <w:t>.</w:t>
      </w:r>
    </w:p>
    <w:p w14:paraId="5BA97417" w14:textId="5BD79F0E"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Comisión Nacional para el Apoyo de los Establecimientos Educativos Islámicos posibilitó la integración de 116 escuelas confesionales islámicas en el sistema educativo oficial (22 en 2011 y 94 en 2012)</w:t>
      </w:r>
      <w:r w:rsidR="00BB7BBB" w:rsidRPr="004C49DE">
        <w:rPr>
          <w:szCs w:val="22"/>
          <w:lang w:val="es-ES_tradnl" w:eastAsia="en-US"/>
        </w:rPr>
        <w:t>.</w:t>
      </w:r>
      <w:r w:rsidRPr="004C49DE">
        <w:rPr>
          <w:szCs w:val="22"/>
          <w:lang w:val="es-ES_tradnl" w:eastAsia="en-US"/>
        </w:rPr>
        <w:t xml:space="preserve"> Entre 2011 y 2016, se organizaron visitas a 1</w:t>
      </w:r>
      <w:r w:rsidR="00BB7BBB" w:rsidRPr="004C49DE">
        <w:rPr>
          <w:szCs w:val="22"/>
          <w:lang w:val="es-ES_tradnl" w:eastAsia="en-US"/>
        </w:rPr>
        <w:t>.</w:t>
      </w:r>
      <w:r w:rsidRPr="004C49DE">
        <w:rPr>
          <w:szCs w:val="22"/>
          <w:lang w:val="es-ES_tradnl" w:eastAsia="en-US"/>
        </w:rPr>
        <w:t>080 centros para realizar el seguimiento de su integración</w:t>
      </w:r>
      <w:r w:rsidR="00BB7BBB" w:rsidRPr="004C49DE">
        <w:rPr>
          <w:szCs w:val="22"/>
          <w:lang w:val="es-ES_tradnl" w:eastAsia="en-US"/>
        </w:rPr>
        <w:t>.</w:t>
      </w:r>
    </w:p>
    <w:p w14:paraId="0ED779A4" w14:textId="73B06B52"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Emprender una nueva revisión de los libros de texto para eliminar los</w:t>
      </w:r>
      <w:r w:rsidR="008B2CB6" w:rsidRPr="004C49DE">
        <w:rPr>
          <w:b/>
          <w:szCs w:val="22"/>
          <w:lang w:val="es-ES_tradnl" w:eastAsia="en-US"/>
        </w:rPr>
        <w:t> </w:t>
      </w:r>
      <w:r w:rsidRPr="004C49DE">
        <w:rPr>
          <w:b/>
          <w:szCs w:val="22"/>
          <w:lang w:val="es-ES_tradnl" w:eastAsia="en-US"/>
        </w:rPr>
        <w:t xml:space="preserve">estereotipos de género que subsisten (véase </w:t>
      </w:r>
      <w:hyperlink r:id="rId7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008B2CB6" w:rsidRPr="004C49DE">
        <w:rPr>
          <w:b/>
          <w:szCs w:val="22"/>
          <w:lang w:val="es-ES_tradnl" w:eastAsia="en-US"/>
        </w:rPr>
        <w:t> </w:t>
      </w:r>
      <w:r w:rsidRPr="004C49DE">
        <w:rPr>
          <w:b/>
          <w:szCs w:val="22"/>
          <w:lang w:val="es-ES_tradnl" w:eastAsia="en-US"/>
        </w:rPr>
        <w:t>37</w:t>
      </w:r>
      <w:r w:rsidR="008B2CB6" w:rsidRPr="004C49DE">
        <w:rPr>
          <w:b/>
          <w:szCs w:val="22"/>
          <w:lang w:val="es-ES_tradnl" w:eastAsia="en-US"/>
        </w:rPr>
        <w:t> </w:t>
      </w:r>
      <w:r w:rsidRPr="004C49DE">
        <w:rPr>
          <w:b/>
          <w:szCs w:val="22"/>
          <w:lang w:val="es-ES_tradnl" w:eastAsia="en-US"/>
        </w:rPr>
        <w:t>e))</w:t>
      </w:r>
      <w:r w:rsidR="00BB7BBB" w:rsidRPr="004C49DE">
        <w:rPr>
          <w:b/>
          <w:szCs w:val="22"/>
          <w:lang w:val="es-ES_tradnl" w:eastAsia="en-US"/>
        </w:rPr>
        <w:t>.</w:t>
      </w:r>
    </w:p>
    <w:p w14:paraId="6DAC43EA" w14:textId="1902CC18"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perspectiva de género se incorporó en los planes de estudio en el período</w:t>
      </w:r>
      <w:r w:rsidR="000C29E2" w:rsidRPr="004C49DE">
        <w:rPr>
          <w:szCs w:val="22"/>
          <w:lang w:val="es-ES_tradnl" w:eastAsia="en-US"/>
        </w:rPr>
        <w:t> </w:t>
      </w:r>
      <w:r w:rsidRPr="004C49DE">
        <w:rPr>
          <w:szCs w:val="22"/>
          <w:lang w:val="es-ES_tradnl" w:eastAsia="en-US"/>
        </w:rPr>
        <w:t>2009‐2012 y también se revisaron los libros de texto</w:t>
      </w:r>
      <w:r w:rsidR="00BB7BBB" w:rsidRPr="004C49DE">
        <w:rPr>
          <w:szCs w:val="22"/>
          <w:lang w:val="es-ES_tradnl" w:eastAsia="en-US"/>
        </w:rPr>
        <w:t>.</w:t>
      </w:r>
    </w:p>
    <w:p w14:paraId="00C6AC5C" w14:textId="521219DB"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Intensificar los programas de alfabetización de adultos, en especial para las mujeres de las zonas rurales (véase </w:t>
      </w:r>
      <w:hyperlink r:id="rId7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37 f))</w:t>
      </w:r>
      <w:r w:rsidR="00BB7BBB" w:rsidRPr="004C49DE">
        <w:rPr>
          <w:b/>
          <w:szCs w:val="22"/>
          <w:lang w:val="es-ES_tradnl" w:eastAsia="en-US"/>
        </w:rPr>
        <w:t>.</w:t>
      </w:r>
    </w:p>
    <w:p w14:paraId="60CEF633" w14:textId="01218F9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2012, el Estado de Côte d</w:t>
      </w:r>
      <w:r w:rsidR="004C49DE">
        <w:rPr>
          <w:szCs w:val="22"/>
          <w:lang w:val="es-ES_tradnl" w:eastAsia="en-US"/>
        </w:rPr>
        <w:t>’</w:t>
      </w:r>
      <w:r w:rsidRPr="004C49DE">
        <w:rPr>
          <w:szCs w:val="22"/>
          <w:lang w:val="es-ES_tradnl" w:eastAsia="en-US"/>
        </w:rPr>
        <w:t>Ivoire fortaleció las capacidades operacionales del Servicio Independiente de Alfabetización</w:t>
      </w:r>
      <w:r w:rsidR="00BB7BBB" w:rsidRPr="004C49DE">
        <w:rPr>
          <w:szCs w:val="22"/>
          <w:lang w:val="es-ES_tradnl" w:eastAsia="en-US"/>
        </w:rPr>
        <w:t>.</w:t>
      </w:r>
      <w:r w:rsidRPr="004C49DE">
        <w:rPr>
          <w:szCs w:val="22"/>
          <w:lang w:val="es-ES_tradnl" w:eastAsia="en-US"/>
        </w:rPr>
        <w:t xml:space="preserve"> Gracias a la mejora de la política de</w:t>
      </w:r>
      <w:r w:rsidR="00B9544D" w:rsidRPr="004C49DE">
        <w:rPr>
          <w:szCs w:val="22"/>
          <w:lang w:val="es-ES_tradnl" w:eastAsia="en-US"/>
        </w:rPr>
        <w:t> </w:t>
      </w:r>
      <w:r w:rsidRPr="004C49DE">
        <w:rPr>
          <w:szCs w:val="22"/>
          <w:lang w:val="es-ES_tradnl" w:eastAsia="en-US"/>
        </w:rPr>
        <w:t>alfabetización, se crearon</w:t>
      </w:r>
      <w:r w:rsidRPr="004C49DE">
        <w:rPr>
          <w:szCs w:val="22"/>
          <w:vertAlign w:val="superscript"/>
          <w:lang w:val="es-ES_tradnl" w:eastAsia="en-US"/>
        </w:rPr>
        <w:footnoteReference w:id="15"/>
      </w:r>
      <w:r w:rsidRPr="004C49DE">
        <w:rPr>
          <w:szCs w:val="22"/>
          <w:lang w:val="es-ES_tradnl" w:eastAsia="en-US"/>
        </w:rPr>
        <w:t xml:space="preserve"> 2</w:t>
      </w:r>
      <w:r w:rsidR="00BB7BBB" w:rsidRPr="004C49DE">
        <w:rPr>
          <w:szCs w:val="22"/>
          <w:lang w:val="es-ES_tradnl" w:eastAsia="en-US"/>
        </w:rPr>
        <w:t>.</w:t>
      </w:r>
      <w:r w:rsidRPr="004C49DE">
        <w:rPr>
          <w:szCs w:val="22"/>
          <w:lang w:val="es-ES_tradnl" w:eastAsia="en-US"/>
        </w:rPr>
        <w:t>828 centros con un total de 75</w:t>
      </w:r>
      <w:r w:rsidR="00BB7BBB" w:rsidRPr="004C49DE">
        <w:rPr>
          <w:szCs w:val="22"/>
          <w:lang w:val="es-ES_tradnl" w:eastAsia="en-US"/>
        </w:rPr>
        <w:t>.</w:t>
      </w:r>
      <w:r w:rsidRPr="004C49DE">
        <w:rPr>
          <w:szCs w:val="22"/>
          <w:lang w:val="es-ES_tradnl" w:eastAsia="en-US"/>
        </w:rPr>
        <w:t>275 alumnos (43</w:t>
      </w:r>
      <w:r w:rsidR="00BB7BBB" w:rsidRPr="004C49DE">
        <w:rPr>
          <w:szCs w:val="22"/>
          <w:lang w:val="es-ES_tradnl" w:eastAsia="en-US"/>
        </w:rPr>
        <w:t>.</w:t>
      </w:r>
      <w:r w:rsidRPr="004C49DE">
        <w:rPr>
          <w:szCs w:val="22"/>
          <w:lang w:val="es-ES_tradnl" w:eastAsia="en-US"/>
        </w:rPr>
        <w:t>626</w:t>
      </w:r>
      <w:r w:rsidR="00B9544D" w:rsidRPr="004C49DE">
        <w:rPr>
          <w:szCs w:val="22"/>
          <w:lang w:val="es-ES_tradnl" w:eastAsia="en-US"/>
        </w:rPr>
        <w:t> </w:t>
      </w:r>
      <w:r w:rsidRPr="004C49DE">
        <w:rPr>
          <w:szCs w:val="22"/>
          <w:lang w:val="es-ES_tradnl" w:eastAsia="en-US"/>
        </w:rPr>
        <w:t>mujeres y 31</w:t>
      </w:r>
      <w:r w:rsidR="00BB7BBB" w:rsidRPr="004C49DE">
        <w:rPr>
          <w:szCs w:val="22"/>
          <w:lang w:val="es-ES_tradnl" w:eastAsia="en-US"/>
        </w:rPr>
        <w:t>.</w:t>
      </w:r>
      <w:r w:rsidRPr="004C49DE">
        <w:rPr>
          <w:szCs w:val="22"/>
          <w:lang w:val="es-ES_tradnl" w:eastAsia="en-US"/>
        </w:rPr>
        <w:t>649 hombres) y 4</w:t>
      </w:r>
      <w:r w:rsidR="00BB7BBB" w:rsidRPr="004C49DE">
        <w:rPr>
          <w:szCs w:val="22"/>
          <w:lang w:val="es-ES_tradnl" w:eastAsia="en-US"/>
        </w:rPr>
        <w:t>.</w:t>
      </w:r>
      <w:r w:rsidRPr="004C49DE">
        <w:rPr>
          <w:szCs w:val="22"/>
          <w:lang w:val="es-ES_tradnl" w:eastAsia="en-US"/>
        </w:rPr>
        <w:t>371 facilitadores</w:t>
      </w:r>
      <w:r w:rsidR="00BB7BBB" w:rsidRPr="004C49DE">
        <w:rPr>
          <w:szCs w:val="22"/>
          <w:lang w:val="es-ES_tradnl" w:eastAsia="en-US"/>
        </w:rPr>
        <w:t>.</w:t>
      </w:r>
      <w:r w:rsidRPr="004C49DE">
        <w:rPr>
          <w:szCs w:val="22"/>
          <w:lang w:val="es-ES_tradnl" w:eastAsia="en-US"/>
        </w:rPr>
        <w:t xml:space="preserve"> Estos centros ofrecen diversas oportunidades de formación, como costura, capacitación de auxiliar sanitario o peluquería</w:t>
      </w:r>
      <w:r w:rsidR="00BB7BBB" w:rsidRPr="004C49DE">
        <w:rPr>
          <w:szCs w:val="22"/>
          <w:lang w:val="es-ES_tradnl" w:eastAsia="en-US"/>
        </w:rPr>
        <w:t>.</w:t>
      </w:r>
    </w:p>
    <w:p w14:paraId="7EC7E5E1" w14:textId="77777777" w:rsidR="00B9544D" w:rsidRPr="004C49DE" w:rsidRDefault="00B9544D" w:rsidP="00BB7BBB">
      <w:pPr>
        <w:pStyle w:val="SingleTxt"/>
        <w:suppressAutoHyphens w:val="0"/>
        <w:spacing w:after="0" w:line="120" w:lineRule="exact"/>
        <w:rPr>
          <w:sz w:val="10"/>
          <w:szCs w:val="10"/>
          <w:lang w:val="es-ES_tradnl"/>
        </w:rPr>
      </w:pPr>
    </w:p>
    <w:p w14:paraId="7E7C7B32" w14:textId="77777777" w:rsidR="00F1178C" w:rsidRPr="004C49DE" w:rsidRDefault="00F1178C">
      <w:pPr>
        <w:suppressAutoHyphens w:val="0"/>
        <w:spacing w:line="240" w:lineRule="auto"/>
        <w:rPr>
          <w:b/>
          <w:spacing w:val="2"/>
          <w:lang w:val="es-ES_tradnl" w:eastAsia="en-US"/>
        </w:rPr>
      </w:pPr>
      <w:r w:rsidRPr="004C49DE">
        <w:rPr>
          <w:bCs/>
          <w:lang w:val="es-ES_tradnl" w:eastAsia="en-US"/>
        </w:rPr>
        <w:br w:type="page"/>
      </w:r>
    </w:p>
    <w:p w14:paraId="55CAEEDC" w14:textId="598FD8C9" w:rsidR="000C3123" w:rsidRPr="004C49DE" w:rsidRDefault="00251CF8" w:rsidP="001A14E9">
      <w:pPr>
        <w:pStyle w:val="H23"/>
        <w:keepNext w:val="0"/>
        <w:keepLines w:val="0"/>
        <w:suppressAutoHyphens w:val="0"/>
        <w:ind w:right="1930"/>
        <w:rPr>
          <w:bCs w:val="0"/>
          <w:lang w:val="es-ES_tradnl" w:eastAsia="en-US"/>
        </w:rPr>
      </w:pPr>
      <w:r w:rsidRPr="004C49DE">
        <w:rPr>
          <w:bCs w:val="0"/>
          <w:lang w:val="es-ES_tradnl" w:eastAsia="en-US"/>
        </w:rPr>
        <w:lastRenderedPageBreak/>
        <w:tab/>
      </w:r>
      <w:r w:rsidRPr="004C49DE">
        <w:rPr>
          <w:bCs w:val="0"/>
          <w:lang w:val="es-ES_tradnl" w:eastAsia="en-US"/>
        </w:rPr>
        <w:tab/>
      </w:r>
      <w:r w:rsidRPr="004C49DE">
        <w:rPr>
          <w:b w:val="0"/>
          <w:bCs w:val="0"/>
          <w:lang w:val="es-ES_tradnl" w:eastAsia="en-US"/>
        </w:rPr>
        <w:t xml:space="preserve">Cuadro 8 </w:t>
      </w:r>
      <w:r w:rsidRPr="004C49DE">
        <w:rPr>
          <w:bCs w:val="0"/>
          <w:lang w:val="es-ES_tradnl" w:eastAsia="en-US"/>
        </w:rPr>
        <w:br/>
      </w:r>
      <w:r w:rsidR="000C3123" w:rsidRPr="004C49DE">
        <w:rPr>
          <w:bCs w:val="0"/>
          <w:lang w:val="es-ES_tradnl" w:eastAsia="en-US"/>
        </w:rPr>
        <w:t>Datos por sexo de los alumnos y facilitadores en materia de alfabetización en</w:t>
      </w:r>
      <w:r w:rsidR="001A14E9" w:rsidRPr="004C49DE">
        <w:rPr>
          <w:bCs w:val="0"/>
          <w:lang w:val="es-ES_tradnl" w:eastAsia="en-US"/>
        </w:rPr>
        <w:t xml:space="preserve"> </w:t>
      </w:r>
      <w:r w:rsidR="000C3123" w:rsidRPr="004C49DE">
        <w:rPr>
          <w:bCs w:val="0"/>
          <w:lang w:val="es-ES_tradnl" w:eastAsia="en-US"/>
        </w:rPr>
        <w:t>2015</w:t>
      </w:r>
    </w:p>
    <w:p w14:paraId="653A4D27" w14:textId="77777777" w:rsidR="000F34BE" w:rsidRPr="004C49DE" w:rsidRDefault="000F34BE" w:rsidP="00BB7BBB">
      <w:pPr>
        <w:pStyle w:val="SingleTxt"/>
        <w:suppressAutoHyphens w:val="0"/>
        <w:spacing w:after="0" w:line="120" w:lineRule="exact"/>
        <w:rPr>
          <w:sz w:val="10"/>
          <w:szCs w:val="10"/>
          <w:lang w:val="es-ES_tradnl"/>
        </w:rPr>
      </w:pPr>
    </w:p>
    <w:tbl>
      <w:tblPr>
        <w:tblW w:w="8611" w:type="dxa"/>
        <w:tblInd w:w="1267" w:type="dxa"/>
        <w:tblLayout w:type="fixed"/>
        <w:tblCellMar>
          <w:left w:w="0" w:type="dxa"/>
          <w:right w:w="43" w:type="dxa"/>
        </w:tblCellMar>
        <w:tblLook w:val="04A0" w:firstRow="1" w:lastRow="0" w:firstColumn="1" w:lastColumn="0" w:noHBand="0" w:noVBand="1"/>
      </w:tblPr>
      <w:tblGrid>
        <w:gridCol w:w="2153"/>
        <w:gridCol w:w="1350"/>
        <w:gridCol w:w="1287"/>
        <w:gridCol w:w="1278"/>
        <w:gridCol w:w="1278"/>
        <w:gridCol w:w="1265"/>
      </w:tblGrid>
      <w:tr w:rsidR="000C3123" w:rsidRPr="004C49DE" w14:paraId="075069CD" w14:textId="77777777" w:rsidTr="00615D31">
        <w:trPr>
          <w:trHeight w:val="151"/>
          <w:tblHeader/>
        </w:trPr>
        <w:tc>
          <w:tcPr>
            <w:tcW w:w="2153" w:type="dxa"/>
            <w:vMerge w:val="restart"/>
            <w:tcBorders>
              <w:top w:val="single" w:sz="4" w:space="0" w:color="auto"/>
            </w:tcBorders>
            <w:shd w:val="clear" w:color="auto" w:fill="auto"/>
            <w:vAlign w:val="bottom"/>
          </w:tcPr>
          <w:p w14:paraId="08AECC34"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r w:rsidRPr="004C49DE">
              <w:rPr>
                <w:i/>
                <w:iCs/>
                <w:kern w:val="0"/>
                <w:sz w:val="14"/>
                <w:szCs w:val="14"/>
                <w:lang w:val="es-ES_tradnl" w:eastAsia="en-US"/>
              </w:rPr>
              <w:t>Alfabetización</w:t>
            </w:r>
          </w:p>
        </w:tc>
        <w:tc>
          <w:tcPr>
            <w:tcW w:w="1350" w:type="dxa"/>
            <w:vMerge w:val="restart"/>
            <w:tcBorders>
              <w:top w:val="single" w:sz="4" w:space="0" w:color="auto"/>
            </w:tcBorders>
            <w:shd w:val="clear" w:color="auto" w:fill="auto"/>
            <w:vAlign w:val="bottom"/>
          </w:tcPr>
          <w:p w14:paraId="34DCA41C"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Número de centros</w:t>
            </w:r>
          </w:p>
        </w:tc>
        <w:tc>
          <w:tcPr>
            <w:tcW w:w="2565" w:type="dxa"/>
            <w:gridSpan w:val="2"/>
            <w:tcBorders>
              <w:top w:val="single" w:sz="4" w:space="0" w:color="auto"/>
              <w:bottom w:val="single" w:sz="2" w:space="0" w:color="auto"/>
            </w:tcBorders>
            <w:shd w:val="clear" w:color="auto" w:fill="auto"/>
            <w:vAlign w:val="bottom"/>
          </w:tcPr>
          <w:p w14:paraId="0F908903"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center"/>
              <w:rPr>
                <w:i/>
                <w:iCs/>
                <w:kern w:val="0"/>
                <w:sz w:val="14"/>
                <w:szCs w:val="14"/>
                <w:lang w:val="es-ES_tradnl" w:eastAsia="en-US"/>
              </w:rPr>
            </w:pPr>
            <w:r w:rsidRPr="004C49DE">
              <w:rPr>
                <w:i/>
                <w:iCs/>
                <w:kern w:val="0"/>
                <w:sz w:val="14"/>
                <w:szCs w:val="14"/>
                <w:lang w:val="es-ES_tradnl" w:eastAsia="en-US"/>
              </w:rPr>
              <w:t>Número de alumnos</w:t>
            </w:r>
          </w:p>
        </w:tc>
        <w:tc>
          <w:tcPr>
            <w:tcW w:w="2543" w:type="dxa"/>
            <w:gridSpan w:val="2"/>
            <w:tcBorders>
              <w:top w:val="single" w:sz="4" w:space="0" w:color="auto"/>
              <w:bottom w:val="single" w:sz="2" w:space="0" w:color="auto"/>
            </w:tcBorders>
            <w:shd w:val="clear" w:color="auto" w:fill="auto"/>
            <w:vAlign w:val="bottom"/>
          </w:tcPr>
          <w:p w14:paraId="36E4EC77"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center"/>
              <w:rPr>
                <w:i/>
                <w:iCs/>
                <w:kern w:val="0"/>
                <w:sz w:val="14"/>
                <w:szCs w:val="14"/>
                <w:lang w:val="es-ES_tradnl" w:eastAsia="en-US"/>
              </w:rPr>
            </w:pPr>
            <w:r w:rsidRPr="004C49DE">
              <w:rPr>
                <w:i/>
                <w:iCs/>
                <w:kern w:val="0"/>
                <w:sz w:val="14"/>
                <w:szCs w:val="14"/>
                <w:lang w:val="es-ES_tradnl" w:eastAsia="en-US"/>
              </w:rPr>
              <w:t>Número de facilitadores</w:t>
            </w:r>
          </w:p>
        </w:tc>
      </w:tr>
      <w:tr w:rsidR="000C3123" w:rsidRPr="004C49DE" w14:paraId="33890831" w14:textId="77777777" w:rsidTr="00615D31">
        <w:trPr>
          <w:trHeight w:val="150"/>
          <w:tblHeader/>
        </w:trPr>
        <w:tc>
          <w:tcPr>
            <w:tcW w:w="2153" w:type="dxa"/>
            <w:vMerge/>
            <w:tcBorders>
              <w:bottom w:val="single" w:sz="12" w:space="0" w:color="auto"/>
            </w:tcBorders>
            <w:shd w:val="clear" w:color="auto" w:fill="auto"/>
            <w:vAlign w:val="bottom"/>
          </w:tcPr>
          <w:p w14:paraId="32F78569"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p>
        </w:tc>
        <w:tc>
          <w:tcPr>
            <w:tcW w:w="1350" w:type="dxa"/>
            <w:vMerge/>
            <w:tcBorders>
              <w:bottom w:val="single" w:sz="12" w:space="0" w:color="auto"/>
            </w:tcBorders>
            <w:shd w:val="clear" w:color="auto" w:fill="auto"/>
            <w:vAlign w:val="bottom"/>
          </w:tcPr>
          <w:p w14:paraId="5CC5DFDD"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left"/>
              <w:rPr>
                <w:i/>
                <w:iCs/>
                <w:kern w:val="0"/>
                <w:sz w:val="14"/>
                <w:szCs w:val="14"/>
                <w:lang w:val="es-ES_tradnl" w:eastAsia="en-US"/>
              </w:rPr>
            </w:pPr>
          </w:p>
        </w:tc>
        <w:tc>
          <w:tcPr>
            <w:tcW w:w="1287" w:type="dxa"/>
            <w:tcBorders>
              <w:top w:val="single" w:sz="2" w:space="0" w:color="auto"/>
              <w:bottom w:val="single" w:sz="12" w:space="0" w:color="auto"/>
            </w:tcBorders>
            <w:shd w:val="clear" w:color="auto" w:fill="auto"/>
            <w:vAlign w:val="bottom"/>
          </w:tcPr>
          <w:p w14:paraId="2E2A0F82"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Mujeres</w:t>
            </w:r>
          </w:p>
        </w:tc>
        <w:tc>
          <w:tcPr>
            <w:tcW w:w="1278" w:type="dxa"/>
            <w:tcBorders>
              <w:top w:val="single" w:sz="2" w:space="0" w:color="auto"/>
              <w:bottom w:val="single" w:sz="12" w:space="0" w:color="auto"/>
            </w:tcBorders>
            <w:shd w:val="clear" w:color="auto" w:fill="auto"/>
            <w:vAlign w:val="bottom"/>
          </w:tcPr>
          <w:p w14:paraId="1EA1A91F"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Hombres</w:t>
            </w:r>
          </w:p>
        </w:tc>
        <w:tc>
          <w:tcPr>
            <w:tcW w:w="1278" w:type="dxa"/>
            <w:tcBorders>
              <w:top w:val="single" w:sz="2" w:space="0" w:color="auto"/>
              <w:bottom w:val="single" w:sz="12" w:space="0" w:color="auto"/>
            </w:tcBorders>
            <w:shd w:val="clear" w:color="auto" w:fill="auto"/>
            <w:vAlign w:val="bottom"/>
          </w:tcPr>
          <w:p w14:paraId="3AE1DB43"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Mujeres</w:t>
            </w:r>
          </w:p>
        </w:tc>
        <w:tc>
          <w:tcPr>
            <w:tcW w:w="1265" w:type="dxa"/>
            <w:tcBorders>
              <w:top w:val="single" w:sz="2" w:space="0" w:color="auto"/>
              <w:bottom w:val="single" w:sz="12" w:space="0" w:color="auto"/>
            </w:tcBorders>
            <w:shd w:val="clear" w:color="auto" w:fill="auto"/>
            <w:vAlign w:val="bottom"/>
          </w:tcPr>
          <w:p w14:paraId="05A55A62" w14:textId="77777777" w:rsidR="000C3123" w:rsidRPr="004C49DE" w:rsidRDefault="000C3123" w:rsidP="00BB7B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80" w:after="80" w:line="160" w:lineRule="exact"/>
              <w:ind w:left="0" w:right="0"/>
              <w:jc w:val="right"/>
              <w:rPr>
                <w:i/>
                <w:iCs/>
                <w:kern w:val="0"/>
                <w:sz w:val="14"/>
                <w:szCs w:val="14"/>
                <w:lang w:val="es-ES_tradnl" w:eastAsia="en-US"/>
              </w:rPr>
            </w:pPr>
            <w:r w:rsidRPr="004C49DE">
              <w:rPr>
                <w:i/>
                <w:iCs/>
                <w:kern w:val="0"/>
                <w:sz w:val="14"/>
                <w:szCs w:val="14"/>
                <w:lang w:val="es-ES_tradnl" w:eastAsia="en-US"/>
              </w:rPr>
              <w:t>Hombres</w:t>
            </w:r>
          </w:p>
        </w:tc>
      </w:tr>
      <w:tr w:rsidR="00F40BCF" w:rsidRPr="004C49DE" w14:paraId="312DA504" w14:textId="77777777" w:rsidTr="00615D31">
        <w:trPr>
          <w:trHeight w:hRule="exact" w:val="115"/>
          <w:tblHeader/>
        </w:trPr>
        <w:tc>
          <w:tcPr>
            <w:tcW w:w="2153" w:type="dxa"/>
            <w:tcBorders>
              <w:top w:val="single" w:sz="12" w:space="0" w:color="auto"/>
            </w:tcBorders>
            <w:shd w:val="clear" w:color="auto" w:fill="auto"/>
            <w:vAlign w:val="bottom"/>
          </w:tcPr>
          <w:p w14:paraId="2B0C082F" w14:textId="77777777" w:rsidR="00F40BCF" w:rsidRPr="004C49DE" w:rsidRDefault="00F40BCF" w:rsidP="00BB7BBB">
            <w:pPr>
              <w:suppressAutoHyphens w:val="0"/>
              <w:spacing w:before="40" w:after="40" w:line="220" w:lineRule="exact"/>
              <w:rPr>
                <w:lang w:val="es-ES_tradnl"/>
              </w:rPr>
            </w:pPr>
          </w:p>
        </w:tc>
        <w:tc>
          <w:tcPr>
            <w:tcW w:w="1350" w:type="dxa"/>
            <w:tcBorders>
              <w:top w:val="single" w:sz="12" w:space="0" w:color="auto"/>
            </w:tcBorders>
            <w:shd w:val="clear" w:color="auto" w:fill="auto"/>
            <w:vAlign w:val="bottom"/>
          </w:tcPr>
          <w:p w14:paraId="07A2B863" w14:textId="77777777" w:rsidR="00F40BCF" w:rsidRPr="004C49DE" w:rsidRDefault="00F40BCF" w:rsidP="00BB7BBB">
            <w:pPr>
              <w:suppressAutoHyphens w:val="0"/>
              <w:spacing w:before="40" w:after="40" w:line="220" w:lineRule="exact"/>
              <w:rPr>
                <w:lang w:val="es-ES_tradnl"/>
              </w:rPr>
            </w:pPr>
          </w:p>
        </w:tc>
        <w:tc>
          <w:tcPr>
            <w:tcW w:w="1287" w:type="dxa"/>
            <w:tcBorders>
              <w:top w:val="single" w:sz="12" w:space="0" w:color="auto"/>
            </w:tcBorders>
            <w:shd w:val="clear" w:color="auto" w:fill="auto"/>
            <w:vAlign w:val="bottom"/>
          </w:tcPr>
          <w:p w14:paraId="0888621E" w14:textId="77777777" w:rsidR="00F40BCF" w:rsidRPr="004C49DE" w:rsidRDefault="00F40BCF" w:rsidP="00BB7BBB">
            <w:pPr>
              <w:suppressAutoHyphens w:val="0"/>
              <w:spacing w:before="40" w:after="40" w:line="220" w:lineRule="exact"/>
              <w:rPr>
                <w:lang w:val="es-ES_tradnl"/>
              </w:rPr>
            </w:pPr>
          </w:p>
        </w:tc>
        <w:tc>
          <w:tcPr>
            <w:tcW w:w="1278" w:type="dxa"/>
            <w:tcBorders>
              <w:top w:val="single" w:sz="12" w:space="0" w:color="auto"/>
            </w:tcBorders>
            <w:shd w:val="clear" w:color="auto" w:fill="auto"/>
            <w:vAlign w:val="bottom"/>
          </w:tcPr>
          <w:p w14:paraId="7328DC8E" w14:textId="77777777" w:rsidR="00F40BCF" w:rsidRPr="004C49DE" w:rsidRDefault="00F40BCF" w:rsidP="00BB7BBB">
            <w:pPr>
              <w:suppressAutoHyphens w:val="0"/>
              <w:spacing w:before="40" w:after="40" w:line="220" w:lineRule="exact"/>
              <w:rPr>
                <w:lang w:val="es-ES_tradnl"/>
              </w:rPr>
            </w:pPr>
          </w:p>
        </w:tc>
        <w:tc>
          <w:tcPr>
            <w:tcW w:w="1278" w:type="dxa"/>
            <w:tcBorders>
              <w:top w:val="single" w:sz="12" w:space="0" w:color="auto"/>
            </w:tcBorders>
            <w:shd w:val="clear" w:color="auto" w:fill="auto"/>
            <w:vAlign w:val="bottom"/>
          </w:tcPr>
          <w:p w14:paraId="01A2349E" w14:textId="77777777" w:rsidR="00F40BCF" w:rsidRPr="004C49DE" w:rsidRDefault="00F40BCF" w:rsidP="00BB7BBB">
            <w:pPr>
              <w:suppressAutoHyphens w:val="0"/>
              <w:spacing w:before="40" w:after="40" w:line="220" w:lineRule="exact"/>
              <w:rPr>
                <w:lang w:val="es-ES_tradnl"/>
              </w:rPr>
            </w:pPr>
          </w:p>
        </w:tc>
        <w:tc>
          <w:tcPr>
            <w:tcW w:w="1265" w:type="dxa"/>
            <w:tcBorders>
              <w:top w:val="single" w:sz="12" w:space="0" w:color="auto"/>
            </w:tcBorders>
            <w:shd w:val="clear" w:color="auto" w:fill="auto"/>
            <w:vAlign w:val="bottom"/>
          </w:tcPr>
          <w:p w14:paraId="46C93CC8" w14:textId="77777777" w:rsidR="00F40BCF" w:rsidRPr="004C49DE" w:rsidRDefault="00F40BCF" w:rsidP="00BB7BBB">
            <w:pPr>
              <w:suppressAutoHyphens w:val="0"/>
              <w:spacing w:before="40" w:after="40" w:line="220" w:lineRule="exact"/>
              <w:rPr>
                <w:lang w:val="es-ES_tradnl"/>
              </w:rPr>
            </w:pPr>
          </w:p>
        </w:tc>
      </w:tr>
      <w:tr w:rsidR="000C3123" w:rsidRPr="004C49DE" w14:paraId="1ED1FAD8" w14:textId="77777777" w:rsidTr="00615D31">
        <w:tc>
          <w:tcPr>
            <w:tcW w:w="2153" w:type="dxa"/>
            <w:shd w:val="clear" w:color="auto" w:fill="auto"/>
            <w:vAlign w:val="bottom"/>
          </w:tcPr>
          <w:p w14:paraId="3F206006"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Nivel 1</w:t>
            </w:r>
          </w:p>
        </w:tc>
        <w:tc>
          <w:tcPr>
            <w:tcW w:w="1350" w:type="dxa"/>
            <w:shd w:val="clear" w:color="auto" w:fill="auto"/>
            <w:vAlign w:val="bottom"/>
          </w:tcPr>
          <w:p w14:paraId="58108A4A"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1 641</w:t>
            </w:r>
          </w:p>
        </w:tc>
        <w:tc>
          <w:tcPr>
            <w:tcW w:w="1287" w:type="dxa"/>
            <w:shd w:val="clear" w:color="auto" w:fill="auto"/>
            <w:vAlign w:val="bottom"/>
          </w:tcPr>
          <w:p w14:paraId="0D9616FF"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27 828 (58%)</w:t>
            </w:r>
          </w:p>
        </w:tc>
        <w:tc>
          <w:tcPr>
            <w:tcW w:w="1278" w:type="dxa"/>
            <w:shd w:val="clear" w:color="auto" w:fill="auto"/>
            <w:vAlign w:val="bottom"/>
          </w:tcPr>
          <w:p w14:paraId="51FCED82"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20 445 (42%)</w:t>
            </w:r>
          </w:p>
        </w:tc>
        <w:tc>
          <w:tcPr>
            <w:tcW w:w="1278" w:type="dxa"/>
            <w:shd w:val="clear" w:color="auto" w:fill="auto"/>
            <w:vAlign w:val="bottom"/>
          </w:tcPr>
          <w:p w14:paraId="6F3068E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377 (15%)</w:t>
            </w:r>
          </w:p>
        </w:tc>
        <w:tc>
          <w:tcPr>
            <w:tcW w:w="1265" w:type="dxa"/>
            <w:shd w:val="clear" w:color="auto" w:fill="auto"/>
            <w:vAlign w:val="bottom"/>
          </w:tcPr>
          <w:p w14:paraId="2F34FCC6"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2 063 (85%)</w:t>
            </w:r>
          </w:p>
        </w:tc>
      </w:tr>
      <w:tr w:rsidR="000C3123" w:rsidRPr="004C49DE" w14:paraId="4E9B461E" w14:textId="77777777" w:rsidTr="00615D31">
        <w:tc>
          <w:tcPr>
            <w:tcW w:w="2153" w:type="dxa"/>
            <w:shd w:val="clear" w:color="auto" w:fill="auto"/>
            <w:vAlign w:val="bottom"/>
          </w:tcPr>
          <w:p w14:paraId="7890EBCF"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Nivel 2</w:t>
            </w:r>
          </w:p>
        </w:tc>
        <w:tc>
          <w:tcPr>
            <w:tcW w:w="1350" w:type="dxa"/>
            <w:shd w:val="clear" w:color="auto" w:fill="auto"/>
            <w:vAlign w:val="bottom"/>
          </w:tcPr>
          <w:p w14:paraId="6AB35F01"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823</w:t>
            </w:r>
          </w:p>
        </w:tc>
        <w:tc>
          <w:tcPr>
            <w:tcW w:w="1287" w:type="dxa"/>
            <w:shd w:val="clear" w:color="auto" w:fill="auto"/>
            <w:vAlign w:val="bottom"/>
          </w:tcPr>
          <w:p w14:paraId="7E509E7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11 601 (59%)</w:t>
            </w:r>
          </w:p>
        </w:tc>
        <w:tc>
          <w:tcPr>
            <w:tcW w:w="1278" w:type="dxa"/>
            <w:shd w:val="clear" w:color="auto" w:fill="auto"/>
            <w:vAlign w:val="bottom"/>
          </w:tcPr>
          <w:p w14:paraId="75DC847C"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7 993 (41%)</w:t>
            </w:r>
          </w:p>
        </w:tc>
        <w:tc>
          <w:tcPr>
            <w:tcW w:w="1278" w:type="dxa"/>
            <w:shd w:val="clear" w:color="auto" w:fill="auto"/>
            <w:vAlign w:val="bottom"/>
          </w:tcPr>
          <w:p w14:paraId="27D3850E"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176 (14%)</w:t>
            </w:r>
          </w:p>
        </w:tc>
        <w:tc>
          <w:tcPr>
            <w:tcW w:w="1265" w:type="dxa"/>
            <w:shd w:val="clear" w:color="auto" w:fill="auto"/>
            <w:vAlign w:val="bottom"/>
          </w:tcPr>
          <w:p w14:paraId="78A4353C"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1 109 (86%)</w:t>
            </w:r>
          </w:p>
        </w:tc>
      </w:tr>
      <w:tr w:rsidR="000C3123" w:rsidRPr="004C49DE" w14:paraId="0618046A" w14:textId="77777777" w:rsidTr="00615D31">
        <w:tc>
          <w:tcPr>
            <w:tcW w:w="2153" w:type="dxa"/>
            <w:tcBorders>
              <w:bottom w:val="single" w:sz="4" w:space="0" w:color="auto"/>
            </w:tcBorders>
            <w:shd w:val="clear" w:color="auto" w:fill="auto"/>
            <w:vAlign w:val="bottom"/>
          </w:tcPr>
          <w:p w14:paraId="35DDC889" w14:textId="77777777" w:rsidR="000C3123" w:rsidRPr="004C49DE" w:rsidRDefault="000C3123" w:rsidP="00BB7BBB">
            <w:pPr>
              <w:suppressAutoHyphens w:val="0"/>
              <w:spacing w:before="40" w:after="80" w:line="210" w:lineRule="exact"/>
              <w:rPr>
                <w:bCs/>
                <w:kern w:val="0"/>
                <w:sz w:val="17"/>
                <w:szCs w:val="17"/>
                <w:lang w:val="es-ES_tradnl" w:eastAsia="en-US"/>
              </w:rPr>
            </w:pPr>
            <w:r w:rsidRPr="004C49DE">
              <w:rPr>
                <w:bCs/>
                <w:kern w:val="0"/>
                <w:sz w:val="17"/>
                <w:szCs w:val="17"/>
                <w:lang w:val="es-ES_tradnl" w:eastAsia="en-US"/>
              </w:rPr>
              <w:t>Posterior a la alfabetización</w:t>
            </w:r>
          </w:p>
        </w:tc>
        <w:tc>
          <w:tcPr>
            <w:tcW w:w="1350" w:type="dxa"/>
            <w:tcBorders>
              <w:bottom w:val="single" w:sz="4" w:space="0" w:color="auto"/>
            </w:tcBorders>
            <w:shd w:val="clear" w:color="auto" w:fill="auto"/>
            <w:vAlign w:val="bottom"/>
          </w:tcPr>
          <w:p w14:paraId="18630F3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355</w:t>
            </w:r>
          </w:p>
        </w:tc>
        <w:tc>
          <w:tcPr>
            <w:tcW w:w="1287" w:type="dxa"/>
            <w:tcBorders>
              <w:bottom w:val="single" w:sz="4" w:space="0" w:color="auto"/>
            </w:tcBorders>
            <w:shd w:val="clear" w:color="auto" w:fill="auto"/>
            <w:vAlign w:val="bottom"/>
          </w:tcPr>
          <w:p w14:paraId="2B4C0DA5"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4 197 (57%)</w:t>
            </w:r>
          </w:p>
        </w:tc>
        <w:tc>
          <w:tcPr>
            <w:tcW w:w="1278" w:type="dxa"/>
            <w:tcBorders>
              <w:bottom w:val="single" w:sz="4" w:space="0" w:color="auto"/>
            </w:tcBorders>
            <w:shd w:val="clear" w:color="auto" w:fill="auto"/>
            <w:vAlign w:val="bottom"/>
          </w:tcPr>
          <w:p w14:paraId="1FB44A29"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3 211 (43%)</w:t>
            </w:r>
          </w:p>
        </w:tc>
        <w:tc>
          <w:tcPr>
            <w:tcW w:w="1278" w:type="dxa"/>
            <w:tcBorders>
              <w:bottom w:val="single" w:sz="4" w:space="0" w:color="auto"/>
            </w:tcBorders>
            <w:shd w:val="clear" w:color="auto" w:fill="auto"/>
            <w:vAlign w:val="bottom"/>
          </w:tcPr>
          <w:p w14:paraId="628DCADA"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91 (14%)</w:t>
            </w:r>
          </w:p>
        </w:tc>
        <w:tc>
          <w:tcPr>
            <w:tcW w:w="1265" w:type="dxa"/>
            <w:tcBorders>
              <w:bottom w:val="single" w:sz="4" w:space="0" w:color="auto"/>
            </w:tcBorders>
            <w:shd w:val="clear" w:color="auto" w:fill="auto"/>
            <w:vAlign w:val="bottom"/>
          </w:tcPr>
          <w:p w14:paraId="74AC03BB" w14:textId="77777777" w:rsidR="000C3123" w:rsidRPr="004C49DE" w:rsidRDefault="000C3123" w:rsidP="00BB7BBB">
            <w:pPr>
              <w:suppressAutoHyphens w:val="0"/>
              <w:spacing w:before="40" w:after="80" w:line="210" w:lineRule="exact"/>
              <w:jc w:val="right"/>
              <w:rPr>
                <w:bCs/>
                <w:kern w:val="0"/>
                <w:sz w:val="17"/>
                <w:szCs w:val="17"/>
                <w:lang w:val="es-ES_tradnl" w:eastAsia="en-US"/>
              </w:rPr>
            </w:pPr>
            <w:r w:rsidRPr="004C49DE">
              <w:rPr>
                <w:bCs/>
                <w:kern w:val="0"/>
                <w:sz w:val="17"/>
                <w:szCs w:val="17"/>
                <w:lang w:val="es-ES_tradnl" w:eastAsia="en-US"/>
              </w:rPr>
              <w:t>555 (86%)</w:t>
            </w:r>
          </w:p>
        </w:tc>
      </w:tr>
      <w:tr w:rsidR="000C3123" w:rsidRPr="004C49DE" w14:paraId="304835CF" w14:textId="77777777" w:rsidTr="00615D31">
        <w:tc>
          <w:tcPr>
            <w:tcW w:w="2153" w:type="dxa"/>
            <w:tcBorders>
              <w:top w:val="single" w:sz="4" w:space="0" w:color="auto"/>
              <w:bottom w:val="single" w:sz="4" w:space="0" w:color="auto"/>
            </w:tcBorders>
            <w:shd w:val="clear" w:color="auto" w:fill="auto"/>
            <w:vAlign w:val="bottom"/>
          </w:tcPr>
          <w:p w14:paraId="626E0423" w14:textId="77777777" w:rsidR="000C3123" w:rsidRPr="004C49DE" w:rsidRDefault="00485779" w:rsidP="00BB7BBB">
            <w:pPr>
              <w:tabs>
                <w:tab w:val="left" w:pos="365"/>
              </w:tabs>
              <w:suppressAutoHyphens w:val="0"/>
              <w:spacing w:before="80" w:after="80" w:line="210" w:lineRule="exact"/>
              <w:rPr>
                <w:b/>
                <w:bCs/>
                <w:kern w:val="0"/>
                <w:sz w:val="17"/>
                <w:szCs w:val="17"/>
                <w:lang w:val="es-ES_tradnl" w:eastAsia="en-US"/>
              </w:rPr>
            </w:pPr>
            <w:r w:rsidRPr="004C49DE">
              <w:rPr>
                <w:b/>
                <w:bCs/>
                <w:kern w:val="0"/>
                <w:sz w:val="17"/>
                <w:szCs w:val="17"/>
                <w:lang w:val="es-ES_tradnl" w:eastAsia="en-US"/>
              </w:rPr>
              <w:tab/>
            </w:r>
            <w:r w:rsidR="000C3123" w:rsidRPr="004C49DE">
              <w:rPr>
                <w:b/>
                <w:bCs/>
                <w:kern w:val="0"/>
                <w:sz w:val="17"/>
                <w:szCs w:val="17"/>
                <w:lang w:val="es-ES_tradnl" w:eastAsia="en-US"/>
              </w:rPr>
              <w:t>Total</w:t>
            </w:r>
          </w:p>
        </w:tc>
        <w:tc>
          <w:tcPr>
            <w:tcW w:w="1350" w:type="dxa"/>
            <w:tcBorders>
              <w:top w:val="single" w:sz="4" w:space="0" w:color="auto"/>
              <w:bottom w:val="single" w:sz="4" w:space="0" w:color="auto"/>
            </w:tcBorders>
            <w:shd w:val="clear" w:color="auto" w:fill="auto"/>
            <w:vAlign w:val="bottom"/>
          </w:tcPr>
          <w:p w14:paraId="31A1A44F"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2 828</w:t>
            </w:r>
          </w:p>
        </w:tc>
        <w:tc>
          <w:tcPr>
            <w:tcW w:w="1287" w:type="dxa"/>
            <w:tcBorders>
              <w:top w:val="single" w:sz="4" w:space="0" w:color="auto"/>
              <w:bottom w:val="single" w:sz="4" w:space="0" w:color="auto"/>
            </w:tcBorders>
            <w:shd w:val="clear" w:color="auto" w:fill="auto"/>
            <w:vAlign w:val="bottom"/>
          </w:tcPr>
          <w:p w14:paraId="21292C44"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43 626 (58%)</w:t>
            </w:r>
          </w:p>
        </w:tc>
        <w:tc>
          <w:tcPr>
            <w:tcW w:w="1278" w:type="dxa"/>
            <w:tcBorders>
              <w:top w:val="single" w:sz="4" w:space="0" w:color="auto"/>
              <w:bottom w:val="single" w:sz="4" w:space="0" w:color="auto"/>
            </w:tcBorders>
            <w:shd w:val="clear" w:color="auto" w:fill="auto"/>
            <w:vAlign w:val="bottom"/>
          </w:tcPr>
          <w:p w14:paraId="4393DDB5"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31 649 (42%)</w:t>
            </w:r>
          </w:p>
        </w:tc>
        <w:tc>
          <w:tcPr>
            <w:tcW w:w="1278" w:type="dxa"/>
            <w:tcBorders>
              <w:top w:val="single" w:sz="4" w:space="0" w:color="auto"/>
              <w:bottom w:val="single" w:sz="4" w:space="0" w:color="auto"/>
            </w:tcBorders>
            <w:shd w:val="clear" w:color="auto" w:fill="auto"/>
            <w:vAlign w:val="bottom"/>
          </w:tcPr>
          <w:p w14:paraId="1AAD3AA7"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644 (15%)</w:t>
            </w:r>
          </w:p>
        </w:tc>
        <w:tc>
          <w:tcPr>
            <w:tcW w:w="1265" w:type="dxa"/>
            <w:tcBorders>
              <w:top w:val="single" w:sz="4" w:space="0" w:color="auto"/>
              <w:bottom w:val="single" w:sz="4" w:space="0" w:color="auto"/>
            </w:tcBorders>
            <w:shd w:val="clear" w:color="auto" w:fill="auto"/>
            <w:vAlign w:val="bottom"/>
          </w:tcPr>
          <w:p w14:paraId="02AFE09A"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r w:rsidRPr="004C49DE">
              <w:rPr>
                <w:b/>
                <w:bCs/>
                <w:kern w:val="0"/>
                <w:sz w:val="17"/>
                <w:szCs w:val="17"/>
                <w:lang w:val="es-ES_tradnl" w:eastAsia="en-US"/>
              </w:rPr>
              <w:t>3 727 (85%)</w:t>
            </w:r>
          </w:p>
        </w:tc>
      </w:tr>
      <w:tr w:rsidR="000C3123" w:rsidRPr="004C49DE" w14:paraId="05BA2047" w14:textId="77777777" w:rsidTr="00615D31">
        <w:tc>
          <w:tcPr>
            <w:tcW w:w="2153" w:type="dxa"/>
            <w:tcBorders>
              <w:top w:val="single" w:sz="4" w:space="0" w:color="auto"/>
              <w:bottom w:val="single" w:sz="12" w:space="0" w:color="auto"/>
            </w:tcBorders>
            <w:shd w:val="clear" w:color="auto" w:fill="auto"/>
            <w:vAlign w:val="bottom"/>
          </w:tcPr>
          <w:p w14:paraId="5D451314"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p>
        </w:tc>
        <w:tc>
          <w:tcPr>
            <w:tcW w:w="1350" w:type="dxa"/>
            <w:tcBorders>
              <w:top w:val="single" w:sz="4" w:space="0" w:color="auto"/>
              <w:bottom w:val="single" w:sz="12" w:space="0" w:color="auto"/>
            </w:tcBorders>
            <w:shd w:val="clear" w:color="auto" w:fill="auto"/>
            <w:vAlign w:val="bottom"/>
          </w:tcPr>
          <w:p w14:paraId="3DF9BEAE" w14:textId="77777777" w:rsidR="000C3123" w:rsidRPr="004C49DE" w:rsidRDefault="000C3123" w:rsidP="00BB7BBB">
            <w:pPr>
              <w:suppressAutoHyphens w:val="0"/>
              <w:spacing w:before="80" w:after="80" w:line="210" w:lineRule="exact"/>
              <w:jc w:val="right"/>
              <w:rPr>
                <w:b/>
                <w:bCs/>
                <w:kern w:val="0"/>
                <w:sz w:val="17"/>
                <w:szCs w:val="17"/>
                <w:lang w:val="es-ES_tradnl" w:eastAsia="en-US"/>
              </w:rPr>
            </w:pPr>
          </w:p>
        </w:tc>
        <w:tc>
          <w:tcPr>
            <w:tcW w:w="2565" w:type="dxa"/>
            <w:gridSpan w:val="2"/>
            <w:tcBorders>
              <w:top w:val="single" w:sz="4" w:space="0" w:color="auto"/>
              <w:bottom w:val="single" w:sz="12" w:space="0" w:color="auto"/>
            </w:tcBorders>
            <w:shd w:val="clear" w:color="auto" w:fill="auto"/>
            <w:vAlign w:val="bottom"/>
          </w:tcPr>
          <w:p w14:paraId="3114FFF0" w14:textId="77777777" w:rsidR="000C3123" w:rsidRPr="004C49DE" w:rsidRDefault="000C3123" w:rsidP="00BB7BBB">
            <w:pPr>
              <w:suppressAutoHyphens w:val="0"/>
              <w:spacing w:before="80" w:after="80" w:line="210" w:lineRule="exact"/>
              <w:jc w:val="center"/>
              <w:rPr>
                <w:b/>
                <w:bCs/>
                <w:kern w:val="0"/>
                <w:sz w:val="17"/>
                <w:szCs w:val="17"/>
                <w:lang w:val="es-ES_tradnl" w:eastAsia="en-US"/>
              </w:rPr>
            </w:pPr>
            <w:r w:rsidRPr="004C49DE">
              <w:rPr>
                <w:b/>
                <w:bCs/>
                <w:kern w:val="0"/>
                <w:sz w:val="17"/>
                <w:szCs w:val="17"/>
                <w:lang w:val="es-ES_tradnl" w:eastAsia="en-US"/>
              </w:rPr>
              <w:t>75 275</w:t>
            </w:r>
          </w:p>
        </w:tc>
        <w:tc>
          <w:tcPr>
            <w:tcW w:w="2543" w:type="dxa"/>
            <w:gridSpan w:val="2"/>
            <w:tcBorders>
              <w:top w:val="single" w:sz="4" w:space="0" w:color="auto"/>
              <w:bottom w:val="single" w:sz="12" w:space="0" w:color="auto"/>
            </w:tcBorders>
            <w:shd w:val="clear" w:color="auto" w:fill="auto"/>
            <w:vAlign w:val="bottom"/>
          </w:tcPr>
          <w:p w14:paraId="0DAB7527" w14:textId="77777777" w:rsidR="000C3123" w:rsidRPr="004C49DE" w:rsidRDefault="000C3123" w:rsidP="00BB7BBB">
            <w:pPr>
              <w:suppressAutoHyphens w:val="0"/>
              <w:spacing w:before="80" w:after="80" w:line="210" w:lineRule="exact"/>
              <w:jc w:val="center"/>
              <w:rPr>
                <w:b/>
                <w:bCs/>
                <w:kern w:val="0"/>
                <w:sz w:val="17"/>
                <w:szCs w:val="17"/>
                <w:lang w:val="es-ES_tradnl" w:eastAsia="en-US"/>
              </w:rPr>
            </w:pPr>
            <w:r w:rsidRPr="004C49DE">
              <w:rPr>
                <w:b/>
                <w:bCs/>
                <w:kern w:val="0"/>
                <w:sz w:val="17"/>
                <w:szCs w:val="17"/>
                <w:lang w:val="es-ES_tradnl" w:eastAsia="en-US"/>
              </w:rPr>
              <w:t>4 371</w:t>
            </w:r>
          </w:p>
        </w:tc>
      </w:tr>
    </w:tbl>
    <w:p w14:paraId="507505BB" w14:textId="77777777" w:rsidR="000F34BE" w:rsidRPr="004C49DE" w:rsidRDefault="000F34BE" w:rsidP="00BB7BBB">
      <w:pPr>
        <w:pStyle w:val="SingleTxt"/>
        <w:suppressAutoHyphens w:val="0"/>
        <w:spacing w:after="0" w:line="120" w:lineRule="exact"/>
        <w:rPr>
          <w:sz w:val="10"/>
          <w:szCs w:val="10"/>
          <w:lang w:val="es-ES_tradnl"/>
        </w:rPr>
      </w:pPr>
    </w:p>
    <w:p w14:paraId="3469AAC8" w14:textId="77777777" w:rsidR="000F34BE" w:rsidRPr="004C49DE" w:rsidRDefault="000F34BE" w:rsidP="00BB7BBB">
      <w:pPr>
        <w:pStyle w:val="SingleTxt"/>
        <w:suppressAutoHyphens w:val="0"/>
        <w:spacing w:after="0" w:line="120" w:lineRule="exact"/>
        <w:rPr>
          <w:sz w:val="10"/>
          <w:szCs w:val="10"/>
          <w:lang w:val="es-ES_tradnl"/>
        </w:rPr>
      </w:pPr>
    </w:p>
    <w:p w14:paraId="54C977F2" w14:textId="68F438A2"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cuanto a la educación básica informal de las niñas, se adoptaron medidas para el incremento y el refuerzo de l</w:t>
      </w:r>
      <w:r w:rsidR="001359DB" w:rsidRPr="004C49DE">
        <w:rPr>
          <w:szCs w:val="22"/>
          <w:lang w:val="es-ES_tradnl" w:eastAsia="en-US"/>
        </w:rPr>
        <w:t>a</w:t>
      </w:r>
      <w:r w:rsidRPr="004C49DE">
        <w:rPr>
          <w:szCs w:val="22"/>
          <w:lang w:val="es-ES_tradnl" w:eastAsia="en-US"/>
        </w:rPr>
        <w:t xml:space="preserve">s </w:t>
      </w:r>
      <w:r w:rsidR="001359DB" w:rsidRPr="004C49DE">
        <w:rPr>
          <w:lang w:val="es-ES_tradnl"/>
        </w:rPr>
        <w:t>Instituciones de Formación y Educación de la Mujer</w:t>
      </w:r>
      <w:r w:rsidR="00BB7BBB" w:rsidRPr="004C49DE">
        <w:rPr>
          <w:szCs w:val="22"/>
          <w:lang w:val="es-ES_tradnl" w:eastAsia="en-US"/>
        </w:rPr>
        <w:t>.</w:t>
      </w:r>
      <w:r w:rsidRPr="004C49DE">
        <w:rPr>
          <w:szCs w:val="22"/>
          <w:lang w:val="es-ES_tradnl" w:eastAsia="en-US"/>
        </w:rPr>
        <w:t xml:space="preserve"> Estas instituciones contribuyen a la alfabetización y la formación para que las niñas desescolarizadas y las mujeres puedan desempeñar empleos generadores de ingresos</w:t>
      </w:r>
      <w:r w:rsidR="00BB7BBB" w:rsidRPr="004C49DE">
        <w:rPr>
          <w:szCs w:val="22"/>
          <w:lang w:val="es-ES_tradnl" w:eastAsia="en-US"/>
        </w:rPr>
        <w:t>.</w:t>
      </w:r>
      <w:r w:rsidRPr="004C49DE">
        <w:rPr>
          <w:szCs w:val="22"/>
          <w:lang w:val="es-ES_tradnl" w:eastAsia="en-US"/>
        </w:rPr>
        <w:t xml:space="preserve"> Así, entre 2011 y 2016, los docentes de </w:t>
      </w:r>
      <w:r w:rsidR="001359DB" w:rsidRPr="004C49DE">
        <w:rPr>
          <w:szCs w:val="22"/>
          <w:lang w:val="es-ES_tradnl" w:eastAsia="en-US"/>
        </w:rPr>
        <w:t xml:space="preserve">las </w:t>
      </w:r>
      <w:r w:rsidR="001359DB" w:rsidRPr="004C49DE">
        <w:rPr>
          <w:lang w:val="es-ES_tradnl"/>
        </w:rPr>
        <w:t>Instituciones de Formación y Educación de la Mujer</w:t>
      </w:r>
      <w:r w:rsidRPr="004C49DE">
        <w:rPr>
          <w:szCs w:val="22"/>
          <w:lang w:val="es-ES_tradnl" w:eastAsia="en-US"/>
        </w:rPr>
        <w:t xml:space="preserve"> alfabetizaron a 15</w:t>
      </w:r>
      <w:r w:rsidR="00BB7BBB" w:rsidRPr="004C49DE">
        <w:rPr>
          <w:szCs w:val="22"/>
          <w:lang w:val="es-ES_tradnl" w:eastAsia="en-US"/>
        </w:rPr>
        <w:t>.</w:t>
      </w:r>
      <w:r w:rsidRPr="004C49DE">
        <w:rPr>
          <w:szCs w:val="22"/>
          <w:lang w:val="es-ES_tradnl" w:eastAsia="en-US"/>
        </w:rPr>
        <w:t>840 mujeres y niñas en los centros de formación y las comunidades</w:t>
      </w:r>
      <w:r w:rsidR="00BB7BBB" w:rsidRPr="004C49DE">
        <w:rPr>
          <w:szCs w:val="22"/>
          <w:lang w:val="es-ES_tradnl" w:eastAsia="en-US"/>
        </w:rPr>
        <w:t>.</w:t>
      </w:r>
      <w:r w:rsidRPr="004C49DE">
        <w:rPr>
          <w:szCs w:val="22"/>
          <w:lang w:val="es-ES_tradnl" w:eastAsia="en-US"/>
        </w:rPr>
        <w:t xml:space="preserve"> A fin de mejorar la integración de las auditoras, está finalizando el proceso de elaboración de un documento sobre la política de reforma de l</w:t>
      </w:r>
      <w:r w:rsidR="001359DB" w:rsidRPr="004C49DE">
        <w:rPr>
          <w:szCs w:val="22"/>
          <w:lang w:val="es-ES_tradnl" w:eastAsia="en-US"/>
        </w:rPr>
        <w:t xml:space="preserve">as </w:t>
      </w:r>
      <w:r w:rsidR="001359DB" w:rsidRPr="004C49DE">
        <w:rPr>
          <w:lang w:val="es-ES_tradnl"/>
        </w:rPr>
        <w:t>Instituciones de Formación y Educación de la Mujer</w:t>
      </w:r>
      <w:r w:rsidR="00BB7BBB" w:rsidRPr="004C49DE">
        <w:rPr>
          <w:szCs w:val="22"/>
          <w:lang w:val="es-ES_tradnl" w:eastAsia="en-US"/>
        </w:rPr>
        <w:t>.</w:t>
      </w:r>
    </w:p>
    <w:p w14:paraId="500B6F15" w14:textId="77777777" w:rsidR="000F34BE" w:rsidRPr="004C49DE" w:rsidRDefault="000F34BE" w:rsidP="00BB7BBB">
      <w:pPr>
        <w:pStyle w:val="SingleTxt"/>
        <w:suppressAutoHyphens w:val="0"/>
        <w:spacing w:after="0" w:line="120" w:lineRule="exact"/>
        <w:rPr>
          <w:sz w:val="10"/>
          <w:szCs w:val="10"/>
          <w:lang w:val="es-ES_tradnl"/>
        </w:rPr>
      </w:pPr>
    </w:p>
    <w:p w14:paraId="61B14F3F" w14:textId="77777777" w:rsidR="000C3123" w:rsidRPr="004C49DE" w:rsidRDefault="000C3123" w:rsidP="00D529EC">
      <w:pPr>
        <w:pStyle w:val="H23"/>
        <w:suppressAutoHyphens w:val="0"/>
        <w:ind w:right="1260"/>
        <w:rPr>
          <w:bCs w:val="0"/>
          <w:lang w:val="es-ES_tradnl" w:eastAsia="en-US"/>
        </w:rPr>
      </w:pPr>
      <w:r w:rsidRPr="004C49DE">
        <w:rPr>
          <w:bCs w:val="0"/>
          <w:lang w:val="es-ES_tradnl" w:eastAsia="en-US"/>
        </w:rPr>
        <w:tab/>
      </w:r>
      <w:r w:rsidRPr="004C49DE">
        <w:rPr>
          <w:bCs w:val="0"/>
          <w:lang w:val="es-ES_tradnl" w:eastAsia="en-US"/>
        </w:rPr>
        <w:tab/>
        <w:t>Empleo</w:t>
      </w:r>
    </w:p>
    <w:p w14:paraId="6A39FCD3" w14:textId="77777777" w:rsidR="000F34BE" w:rsidRPr="004C49DE" w:rsidRDefault="000F34BE" w:rsidP="00D529EC">
      <w:pPr>
        <w:pStyle w:val="SingleTxt"/>
        <w:keepNext/>
        <w:keepLines/>
        <w:suppressAutoHyphens w:val="0"/>
        <w:spacing w:after="0" w:line="120" w:lineRule="exact"/>
        <w:rPr>
          <w:sz w:val="10"/>
          <w:szCs w:val="10"/>
          <w:lang w:val="es-ES_tradnl"/>
        </w:rPr>
      </w:pPr>
    </w:p>
    <w:p w14:paraId="4DA51BCB" w14:textId="1B76C426" w:rsidR="000C3123" w:rsidRPr="004C49DE" w:rsidRDefault="000C3123" w:rsidP="00D529EC">
      <w:pPr>
        <w:pStyle w:val="SingleTxt"/>
        <w:keepNext/>
        <w:keepLines/>
        <w:numPr>
          <w:ilvl w:val="0"/>
          <w:numId w:val="6"/>
        </w:numPr>
        <w:suppressAutoHyphens w:val="0"/>
        <w:ind w:left="1267" w:firstLine="0"/>
        <w:rPr>
          <w:b/>
          <w:szCs w:val="22"/>
          <w:lang w:val="es-ES_tradnl" w:eastAsia="en-US"/>
        </w:rPr>
      </w:pPr>
      <w:r w:rsidRPr="004C49DE">
        <w:rPr>
          <w:b/>
          <w:szCs w:val="22"/>
          <w:lang w:val="es-ES_tradnl" w:eastAsia="en-US"/>
        </w:rPr>
        <w:t>Proteger a las niñas y los niños frente al trabajo infantil con fines de explotación, en particular en las plantaciones de cacao y el servicio doméstico, mediante el aumento de las inspecciones y las multas impuestas a los empleadores, de conformidad con el Convenio sobre las Peores Formas de Trabajo Infantil, 1999 (núm</w:t>
      </w:r>
      <w:r w:rsidR="00BB7BBB" w:rsidRPr="004C49DE">
        <w:rPr>
          <w:b/>
          <w:szCs w:val="22"/>
          <w:lang w:val="es-ES_tradnl" w:eastAsia="en-US"/>
        </w:rPr>
        <w:t>.</w:t>
      </w:r>
      <w:r w:rsidRPr="004C49DE">
        <w:rPr>
          <w:b/>
          <w:szCs w:val="22"/>
          <w:lang w:val="es-ES_tradnl" w:eastAsia="en-US"/>
        </w:rPr>
        <w:t xml:space="preserve"> 182), de la Organización Internacional del Trabajo (OIT); regular y supervisar las condiciones laborales de los trabajadores domésticos, en particular las niñas; y considerar la posibilidad de ratificar el Convenio sobre las Trabajadoras y los Trabajadores Domésticos, 2011 (núm</w:t>
      </w:r>
      <w:r w:rsidR="00BB7BBB" w:rsidRPr="004C49DE">
        <w:rPr>
          <w:b/>
          <w:szCs w:val="22"/>
          <w:lang w:val="es-ES_tradnl" w:eastAsia="en-US"/>
        </w:rPr>
        <w:t>.</w:t>
      </w:r>
      <w:r w:rsidRPr="004C49DE">
        <w:rPr>
          <w:b/>
          <w:szCs w:val="22"/>
          <w:lang w:val="es-ES_tradnl" w:eastAsia="en-US"/>
        </w:rPr>
        <w:t xml:space="preserve"> 189) de la OIT (véase </w:t>
      </w:r>
      <w:hyperlink r:id="rId7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39 a))</w:t>
      </w:r>
      <w:r w:rsidR="00BB7BBB" w:rsidRPr="004C49DE">
        <w:rPr>
          <w:b/>
          <w:szCs w:val="22"/>
          <w:lang w:val="es-ES_tradnl" w:eastAsia="en-US"/>
        </w:rPr>
        <w:t>.</w:t>
      </w:r>
    </w:p>
    <w:p w14:paraId="52281F39" w14:textId="78E8A8C7" w:rsidR="000C3123" w:rsidRPr="004C49DE" w:rsidRDefault="000C3123" w:rsidP="00D529EC">
      <w:pPr>
        <w:pStyle w:val="SingleTxt"/>
        <w:keepNext/>
        <w:keepLines/>
        <w:numPr>
          <w:ilvl w:val="0"/>
          <w:numId w:val="6"/>
        </w:numPr>
        <w:suppressAutoHyphens w:val="0"/>
        <w:ind w:left="1267" w:firstLine="0"/>
        <w:rPr>
          <w:szCs w:val="22"/>
          <w:lang w:val="es-ES_tradnl" w:eastAsia="en-US"/>
        </w:rPr>
      </w:pPr>
      <w:r w:rsidRPr="004C49DE">
        <w:rPr>
          <w:szCs w:val="22"/>
          <w:lang w:val="es-ES_tradnl" w:eastAsia="en-US"/>
        </w:rPr>
        <w:t xml:space="preserve">La </w:t>
      </w:r>
      <w:r w:rsidRPr="004C49DE">
        <w:rPr>
          <w:i/>
          <w:szCs w:val="22"/>
          <w:lang w:val="es-ES_tradnl" w:eastAsia="en-US"/>
        </w:rPr>
        <w:t>Ley núm</w:t>
      </w:r>
      <w:r w:rsidR="00BB7BBB" w:rsidRPr="004C49DE">
        <w:rPr>
          <w:i/>
          <w:szCs w:val="22"/>
          <w:lang w:val="es-ES_tradnl" w:eastAsia="en-US"/>
        </w:rPr>
        <w:t>.</w:t>
      </w:r>
      <w:r w:rsidRPr="004C49DE">
        <w:rPr>
          <w:i/>
          <w:szCs w:val="22"/>
          <w:lang w:val="es-ES_tradnl" w:eastAsia="en-US"/>
        </w:rPr>
        <w:t xml:space="preserve"> 2010</w:t>
      </w:r>
      <w:r w:rsidR="001A14E9" w:rsidRPr="004C49DE">
        <w:rPr>
          <w:i/>
          <w:szCs w:val="22"/>
          <w:lang w:val="es-ES_tradnl" w:eastAsia="en-US"/>
        </w:rPr>
        <w:noBreakHyphen/>
      </w:r>
      <w:r w:rsidRPr="004C49DE">
        <w:rPr>
          <w:i/>
          <w:szCs w:val="22"/>
          <w:lang w:val="es-ES_tradnl" w:eastAsia="en-US"/>
        </w:rPr>
        <w:t>272 sobre la prohibición de la trata y las peores formas de trabajo infantil</w:t>
      </w:r>
      <w:r w:rsidRPr="004C49DE">
        <w:rPr>
          <w:szCs w:val="22"/>
          <w:lang w:val="es-ES_tradnl" w:eastAsia="en-US"/>
        </w:rPr>
        <w:t>, aprobada en septiembre de 2010, establece penas de prisión de 5 a 20 años y una multa por la coacción o la oferta de niños con fines ligados a la prostitución</w:t>
      </w:r>
      <w:r w:rsidR="00BB7BBB" w:rsidRPr="004C49DE">
        <w:rPr>
          <w:szCs w:val="22"/>
          <w:lang w:val="es-ES_tradnl" w:eastAsia="en-US"/>
        </w:rPr>
        <w:t>.</w:t>
      </w:r>
    </w:p>
    <w:p w14:paraId="615918F0" w14:textId="27E7C9F8"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Comité Nacional de Supervisión y el Comité Interministerial, creado en 2011, siguen constituyendo órganos nacionales de coordinación para las cuestiones relacionadas con la trata de personas en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r w:rsidRPr="004C49DE">
        <w:rPr>
          <w:szCs w:val="22"/>
          <w:lang w:val="es-ES_tradnl" w:eastAsia="en-US"/>
        </w:rPr>
        <w:t xml:space="preserve"> Se puso en marcha el Plan de</w:t>
      </w:r>
      <w:r w:rsidR="007D3A1E" w:rsidRPr="004C49DE">
        <w:rPr>
          <w:szCs w:val="22"/>
          <w:lang w:val="es-ES_tradnl" w:eastAsia="en-US"/>
        </w:rPr>
        <w:t> </w:t>
      </w:r>
      <w:r w:rsidRPr="004C49DE">
        <w:rPr>
          <w:szCs w:val="22"/>
          <w:lang w:val="es-ES_tradnl" w:eastAsia="en-US"/>
        </w:rPr>
        <w:t>Acción Nacional 2012</w:t>
      </w:r>
      <w:r w:rsidR="001A14E9" w:rsidRPr="004C49DE">
        <w:rPr>
          <w:szCs w:val="22"/>
          <w:lang w:val="es-ES_tradnl" w:eastAsia="en-US"/>
        </w:rPr>
        <w:noBreakHyphen/>
      </w:r>
      <w:r w:rsidRPr="004C49DE">
        <w:rPr>
          <w:szCs w:val="22"/>
          <w:lang w:val="es-ES_tradnl" w:eastAsia="en-US"/>
        </w:rPr>
        <w:t>2014 sobre el trabajo infantil y la trata, el cual logró verdaderos progresos</w:t>
      </w:r>
      <w:r w:rsidR="00BB7BBB" w:rsidRPr="004C49DE">
        <w:rPr>
          <w:szCs w:val="22"/>
          <w:lang w:val="es-ES_tradnl" w:eastAsia="en-US"/>
        </w:rPr>
        <w:t>.</w:t>
      </w:r>
    </w:p>
    <w:p w14:paraId="6378311F" w14:textId="364F9443"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Crear mecanismos para la promoción de la mujer en todos los sectores de la vida profesional (véase </w:t>
      </w:r>
      <w:hyperlink r:id="rId7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39 b))</w:t>
      </w:r>
      <w:r w:rsidR="00BB7BBB" w:rsidRPr="004C49DE">
        <w:rPr>
          <w:b/>
          <w:szCs w:val="22"/>
          <w:lang w:val="es-ES_tradnl" w:eastAsia="en-US"/>
        </w:rPr>
        <w:t>.</w:t>
      </w:r>
    </w:p>
    <w:p w14:paraId="15014F53" w14:textId="2C1091C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Estado elaboró una serie de políticas y programas destinados a la mujer</w:t>
      </w:r>
      <w:r w:rsidR="00BB7BBB" w:rsidRPr="004C49DE">
        <w:rPr>
          <w:szCs w:val="22"/>
          <w:lang w:val="es-ES_tradnl" w:eastAsia="en-US"/>
        </w:rPr>
        <w:t>.</w:t>
      </w:r>
      <w:r w:rsidRPr="004C49DE">
        <w:rPr>
          <w:szCs w:val="22"/>
          <w:lang w:val="es-ES_tradnl" w:eastAsia="en-US"/>
        </w:rPr>
        <w:t xml:space="preserve"> Los más específicos son los siguientes:</w:t>
      </w:r>
    </w:p>
    <w:p w14:paraId="6E4CED8E" w14:textId="427BD799" w:rsidR="000C3123" w:rsidRPr="004C49DE" w:rsidRDefault="00896DD0"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el Plan Nacional de Inversiones Agrícolas (2012</w:t>
      </w:r>
      <w:r w:rsidR="001A14E9" w:rsidRPr="004C49DE">
        <w:rPr>
          <w:lang w:val="es-ES_tradnl"/>
        </w:rPr>
        <w:noBreakHyphen/>
      </w:r>
      <w:r w:rsidR="000C3123" w:rsidRPr="004C49DE">
        <w:rPr>
          <w:lang w:val="es-ES_tradnl"/>
        </w:rPr>
        <w:t>2015), que favorece a las mujeres de las zonas rurales;</w:t>
      </w:r>
    </w:p>
    <w:p w14:paraId="18424897" w14:textId="77777777" w:rsidR="000C3123" w:rsidRPr="004C49DE" w:rsidRDefault="00896DD0" w:rsidP="00BB7BBB">
      <w:pPr>
        <w:pStyle w:val="SingleTxt"/>
        <w:tabs>
          <w:tab w:val="right" w:pos="1685"/>
        </w:tabs>
        <w:suppressAutoHyphens w:val="0"/>
        <w:ind w:left="1742" w:hanging="475"/>
        <w:rPr>
          <w:lang w:val="es-ES_tradnl"/>
        </w:rPr>
      </w:pPr>
      <w:r w:rsidRPr="004C49DE">
        <w:rPr>
          <w:lang w:val="es-ES_tradnl"/>
        </w:rPr>
        <w:lastRenderedPageBreak/>
        <w:tab/>
        <w:t>•</w:t>
      </w:r>
      <w:r w:rsidRPr="004C49DE">
        <w:rPr>
          <w:lang w:val="es-ES_tradnl"/>
        </w:rPr>
        <w:tab/>
      </w:r>
      <w:r w:rsidR="000C3123" w:rsidRPr="004C49DE">
        <w:rPr>
          <w:lang w:val="es-ES_tradnl"/>
        </w:rPr>
        <w:t>el Plan de Aplicación de la Política Nacional sobre la Igualdad de Oportunidades, la Equidad y el Género (2014‐2016);</w:t>
      </w:r>
    </w:p>
    <w:p w14:paraId="41E780D4" w14:textId="512434D4" w:rsidR="000C3123" w:rsidRPr="004C49DE" w:rsidRDefault="00896DD0"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Estrategia Nacional de Protección Social (2013</w:t>
      </w:r>
      <w:r w:rsidR="001A14E9" w:rsidRPr="004C49DE">
        <w:rPr>
          <w:lang w:val="es-ES_tradnl"/>
        </w:rPr>
        <w:noBreakHyphen/>
      </w:r>
      <w:r w:rsidR="000C3123" w:rsidRPr="004C49DE">
        <w:rPr>
          <w:lang w:val="es-ES_tradnl"/>
        </w:rPr>
        <w:t>2016)</w:t>
      </w:r>
      <w:r w:rsidR="00BB7BBB" w:rsidRPr="004C49DE">
        <w:rPr>
          <w:lang w:val="es-ES_tradnl"/>
        </w:rPr>
        <w:t>.</w:t>
      </w:r>
    </w:p>
    <w:p w14:paraId="694612CA" w14:textId="25F7997F"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Mejorar el acceso de las mujeres a la tierra y a la microfinanciación y los</w:t>
      </w:r>
      <w:r w:rsidR="001A14E9" w:rsidRPr="004C49DE">
        <w:rPr>
          <w:b/>
          <w:szCs w:val="22"/>
          <w:lang w:val="es-ES_tradnl" w:eastAsia="en-US"/>
        </w:rPr>
        <w:t xml:space="preserve"> </w:t>
      </w:r>
      <w:r w:rsidRPr="004C49DE">
        <w:rPr>
          <w:b/>
          <w:szCs w:val="22"/>
          <w:lang w:val="es-ES_tradnl" w:eastAsia="en-US"/>
        </w:rPr>
        <w:t xml:space="preserve">microcréditos a tipos de interés bajos para que puedan dedicarse a actividades remunerativas y poner en marcha sus propios negocios (véase </w:t>
      </w:r>
      <w:hyperlink r:id="rId8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39 c))</w:t>
      </w:r>
      <w:r w:rsidR="00BB7BBB" w:rsidRPr="004C49DE">
        <w:rPr>
          <w:b/>
          <w:szCs w:val="22"/>
          <w:lang w:val="es-ES_tradnl" w:eastAsia="en-US"/>
        </w:rPr>
        <w:t>.</w:t>
      </w:r>
    </w:p>
    <w:p w14:paraId="404BBE0D" w14:textId="527A9E2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Estado de Côte d</w:t>
      </w:r>
      <w:r w:rsidR="004C49DE">
        <w:rPr>
          <w:szCs w:val="22"/>
          <w:lang w:val="es-ES_tradnl" w:eastAsia="en-US"/>
        </w:rPr>
        <w:t>’</w:t>
      </w:r>
      <w:r w:rsidRPr="004C49DE">
        <w:rPr>
          <w:szCs w:val="22"/>
          <w:lang w:val="es-ES_tradnl" w:eastAsia="en-US"/>
        </w:rPr>
        <w:t>Ivoire emprendió la creación de diversas estructuras en el mercado de trabajo</w:t>
      </w:r>
      <w:r w:rsidR="00BB7BBB" w:rsidRPr="004C49DE">
        <w:rPr>
          <w:szCs w:val="22"/>
          <w:lang w:val="es-ES_tradnl" w:eastAsia="en-US"/>
        </w:rPr>
        <w:t>.</w:t>
      </w:r>
    </w:p>
    <w:p w14:paraId="58B8007F" w14:textId="20036663"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contexto de la puesta en práctica del Plan Nacional de Inversiones Agrícolas, se están llevando a cabo reformas a favor de las mujeres de las zonas rurales</w:t>
      </w:r>
      <w:r w:rsidR="00BB7BBB" w:rsidRPr="004C49DE">
        <w:rPr>
          <w:szCs w:val="22"/>
          <w:lang w:val="es-ES_tradnl" w:eastAsia="en-US"/>
        </w:rPr>
        <w:t>.</w:t>
      </w:r>
      <w:r w:rsidRPr="004C49DE">
        <w:rPr>
          <w:szCs w:val="22"/>
          <w:lang w:val="es-ES_tradnl" w:eastAsia="en-US"/>
        </w:rPr>
        <w:t xml:space="preserve"> Desde 2015, el Grupo de Trabajo Técnico sobre Género del Ministerio de Agricultura y Desarrollo Rural organiza sesiones de capacitación para los directores regionales y los coordinadores de proyectos sobre el enfoque de género y desarrollo</w:t>
      </w:r>
      <w:r w:rsidR="00BB7BBB" w:rsidRPr="004C49DE">
        <w:rPr>
          <w:szCs w:val="22"/>
          <w:lang w:val="es-ES_tradnl" w:eastAsia="en-US"/>
        </w:rPr>
        <w:t>.</w:t>
      </w:r>
    </w:p>
    <w:p w14:paraId="35DAF4FF" w14:textId="77777777"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Gobierno ha emprendido otras iniciativas:</w:t>
      </w:r>
    </w:p>
    <w:p w14:paraId="6EB62A14" w14:textId="25F7FE13" w:rsidR="000C3123" w:rsidRPr="004C49DE" w:rsidRDefault="007D3A1E"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asignación del 30% de las tierras destinadas al desarrollo a mujeres;</w:t>
      </w:r>
    </w:p>
    <w:p w14:paraId="5D7945D0" w14:textId="77777777" w:rsidR="000C3123" w:rsidRPr="004C49DE" w:rsidRDefault="007D3A1E"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apoyo al fortalecimiento de la capacidad de los responsables de las cooperativas y los grupos de mujeres en materia de gestión administrativa y financiera;</w:t>
      </w:r>
    </w:p>
    <w:p w14:paraId="107822D8" w14:textId="77777777" w:rsidR="000C3123" w:rsidRPr="004C49DE" w:rsidRDefault="007D3A1E"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refuerzo de la capacidad de las mujeres que son directivas y miembros de organizaciones de la sociedad civil en materia de liderazgo;</w:t>
      </w:r>
    </w:p>
    <w:p w14:paraId="6BDD699F" w14:textId="77777777" w:rsidR="000C3123" w:rsidRPr="004C49DE" w:rsidRDefault="007D3A1E"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capacitación dirigida a las mujeres de las zonas rurales acerca de las técnicas de producción y comercialización de los productos alimenticios;</w:t>
      </w:r>
    </w:p>
    <w:p w14:paraId="2829D899" w14:textId="77777777" w:rsidR="000C3123" w:rsidRPr="004C49DE" w:rsidRDefault="007D3A1E"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manifestación del reconocimiento del país al trabajo de las mujeres empresarias a través de condecoraciones y otras ceremonias en su honor;</w:t>
      </w:r>
    </w:p>
    <w:p w14:paraId="68672558" w14:textId="77777777" w:rsidR="000C3123" w:rsidRPr="004C49DE" w:rsidRDefault="007D3A1E"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organización de jornadas de reflexión nacional sobre la iniciativa empresarial de la mujer (se han realizado tres ediciones);</w:t>
      </w:r>
    </w:p>
    <w:p w14:paraId="581090E9" w14:textId="4AB54CFB" w:rsidR="000C3123" w:rsidRPr="004C49DE" w:rsidRDefault="007D3A1E"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subvenciones para viajes de estudios y para la participación en ferias comerciales en otros países</w:t>
      </w:r>
      <w:r w:rsidR="00BB7BBB" w:rsidRPr="004C49DE">
        <w:rPr>
          <w:lang w:val="es-ES_tradnl"/>
        </w:rPr>
        <w:t>.</w:t>
      </w:r>
    </w:p>
    <w:p w14:paraId="0E9422B9" w14:textId="26C857BC"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Recopilar datos desglosados por sexo sobre la situación de la mujer en los sectores privado e informal, y adoptar medidas eficaces para supervisar y mejorar las condiciones de trabajo de las mujeres en esos sectores (véase </w:t>
      </w:r>
      <w:hyperlink r:id="rId8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39 d))</w:t>
      </w:r>
      <w:r w:rsidR="00BB7BBB" w:rsidRPr="004C49DE">
        <w:rPr>
          <w:b/>
          <w:szCs w:val="22"/>
          <w:lang w:val="es-ES_tradnl" w:eastAsia="en-US"/>
        </w:rPr>
        <w:t>.</w:t>
      </w:r>
    </w:p>
    <w:p w14:paraId="6404D225" w14:textId="52E5447C" w:rsidR="000C3123" w:rsidRPr="004C49DE" w:rsidRDefault="000C3123" w:rsidP="00BB7BBB">
      <w:pPr>
        <w:pStyle w:val="SingleTxt"/>
        <w:numPr>
          <w:ilvl w:val="0"/>
          <w:numId w:val="6"/>
        </w:numPr>
        <w:suppressAutoHyphens w:val="0"/>
        <w:ind w:left="1267" w:firstLine="0"/>
        <w:rPr>
          <w:spacing w:val="0"/>
          <w:szCs w:val="22"/>
          <w:lang w:val="es-ES_tradnl" w:eastAsia="en-US"/>
        </w:rPr>
      </w:pPr>
      <w:r w:rsidRPr="004C49DE">
        <w:rPr>
          <w:spacing w:val="0"/>
          <w:szCs w:val="22"/>
          <w:lang w:val="es-ES_tradnl" w:eastAsia="en-US"/>
        </w:rPr>
        <w:t>En febrero de 2016, se pusieron en marcha las encuestas nacionales sobre la situación del empleo y el sector informal y, actualmente, siguen en curso</w:t>
      </w:r>
      <w:r w:rsidR="00BB7BBB" w:rsidRPr="004C49DE">
        <w:rPr>
          <w:spacing w:val="0"/>
          <w:szCs w:val="22"/>
          <w:lang w:val="es-ES_tradnl" w:eastAsia="en-US"/>
        </w:rPr>
        <w:t>.</w:t>
      </w:r>
      <w:r w:rsidRPr="004C49DE">
        <w:rPr>
          <w:spacing w:val="0"/>
          <w:szCs w:val="22"/>
          <w:lang w:val="es-ES_tradnl" w:eastAsia="en-US"/>
        </w:rPr>
        <w:t xml:space="preserve"> Los datos que figuran a continuación se han extraído de encuestas e informes de análisis de</w:t>
      </w:r>
      <w:r w:rsidR="001A14E9" w:rsidRPr="004C49DE">
        <w:rPr>
          <w:spacing w:val="0"/>
          <w:szCs w:val="22"/>
          <w:lang w:val="es-ES_tradnl" w:eastAsia="en-US"/>
        </w:rPr>
        <w:t xml:space="preserve"> </w:t>
      </w:r>
      <w:r w:rsidRPr="004C49DE">
        <w:rPr>
          <w:spacing w:val="0"/>
          <w:szCs w:val="22"/>
          <w:lang w:val="es-ES_tradnl" w:eastAsia="en-US"/>
        </w:rPr>
        <w:t>2013 y 2014</w:t>
      </w:r>
      <w:r w:rsidR="00BB7BBB" w:rsidRPr="004C49DE">
        <w:rPr>
          <w:spacing w:val="0"/>
          <w:szCs w:val="22"/>
          <w:lang w:val="es-ES_tradnl" w:eastAsia="en-US"/>
        </w:rPr>
        <w:t>.</w:t>
      </w:r>
    </w:p>
    <w:p w14:paraId="27FEC576" w14:textId="377FD4FB" w:rsidR="000C3123" w:rsidRPr="004C49DE" w:rsidRDefault="000C3123" w:rsidP="00BB7BBB">
      <w:pPr>
        <w:pStyle w:val="SingleTxt"/>
        <w:numPr>
          <w:ilvl w:val="0"/>
          <w:numId w:val="6"/>
        </w:numPr>
        <w:suppressAutoHyphens w:val="0"/>
        <w:ind w:left="1267" w:firstLine="0"/>
        <w:rPr>
          <w:spacing w:val="0"/>
          <w:szCs w:val="22"/>
          <w:lang w:val="es-ES_tradnl" w:eastAsia="en-US"/>
        </w:rPr>
      </w:pPr>
      <w:r w:rsidRPr="004C49DE">
        <w:rPr>
          <w:spacing w:val="0"/>
          <w:szCs w:val="22"/>
          <w:lang w:val="es-ES_tradnl" w:eastAsia="en-US"/>
        </w:rPr>
        <w:t>La población en edad de trabajar</w:t>
      </w:r>
      <w:r w:rsidRPr="004C49DE">
        <w:rPr>
          <w:spacing w:val="0"/>
          <w:szCs w:val="22"/>
          <w:vertAlign w:val="superscript"/>
          <w:lang w:val="es-ES_tradnl" w:eastAsia="en-US"/>
        </w:rPr>
        <w:footnoteReference w:id="16"/>
      </w:r>
      <w:r w:rsidRPr="004C49DE">
        <w:rPr>
          <w:spacing w:val="0"/>
          <w:szCs w:val="22"/>
          <w:lang w:val="es-ES_tradnl" w:eastAsia="en-US"/>
        </w:rPr>
        <w:t xml:space="preserve"> (personas mayores de 14 años) representa el</w:t>
      </w:r>
      <w:r w:rsidR="007D3A1E" w:rsidRPr="004C49DE">
        <w:rPr>
          <w:spacing w:val="0"/>
          <w:szCs w:val="22"/>
          <w:lang w:val="es-ES_tradnl" w:eastAsia="en-US"/>
        </w:rPr>
        <w:t> </w:t>
      </w:r>
      <w:r w:rsidRPr="004C49DE">
        <w:rPr>
          <w:spacing w:val="0"/>
          <w:szCs w:val="22"/>
          <w:lang w:val="es-ES_tradnl" w:eastAsia="en-US"/>
        </w:rPr>
        <w:t>62,5% de la población del país y el 63% de los hombres y el 61% de las mujeres</w:t>
      </w:r>
      <w:r w:rsidR="00BB7BBB" w:rsidRPr="004C49DE">
        <w:rPr>
          <w:spacing w:val="0"/>
          <w:szCs w:val="22"/>
          <w:lang w:val="es-ES_tradnl" w:eastAsia="en-US"/>
        </w:rPr>
        <w:t>.</w:t>
      </w:r>
      <w:r w:rsidR="001A14E9" w:rsidRPr="004C49DE">
        <w:rPr>
          <w:spacing w:val="0"/>
          <w:szCs w:val="22"/>
          <w:lang w:val="es-ES_tradnl" w:eastAsia="en-US"/>
        </w:rPr>
        <w:t xml:space="preserve"> </w:t>
      </w:r>
      <w:r w:rsidRPr="004C49DE">
        <w:rPr>
          <w:spacing w:val="0"/>
          <w:szCs w:val="22"/>
          <w:lang w:val="es-ES_tradnl" w:eastAsia="en-US"/>
        </w:rPr>
        <w:t>Las personas con empleo ascienden a 7</w:t>
      </w:r>
      <w:r w:rsidR="00BB7BBB" w:rsidRPr="004C49DE">
        <w:rPr>
          <w:spacing w:val="0"/>
          <w:szCs w:val="22"/>
          <w:lang w:val="es-ES_tradnl" w:eastAsia="en-US"/>
        </w:rPr>
        <w:t>.</w:t>
      </w:r>
      <w:r w:rsidRPr="004C49DE">
        <w:rPr>
          <w:spacing w:val="0"/>
          <w:szCs w:val="22"/>
          <w:lang w:val="es-ES_tradnl" w:eastAsia="en-US"/>
        </w:rPr>
        <w:t>644</w:t>
      </w:r>
      <w:r w:rsidR="00BB7BBB" w:rsidRPr="004C49DE">
        <w:rPr>
          <w:spacing w:val="0"/>
          <w:szCs w:val="22"/>
          <w:lang w:val="es-ES_tradnl" w:eastAsia="en-US"/>
        </w:rPr>
        <w:t>.</w:t>
      </w:r>
      <w:r w:rsidRPr="004C49DE">
        <w:rPr>
          <w:spacing w:val="0"/>
          <w:szCs w:val="22"/>
          <w:lang w:val="es-ES_tradnl" w:eastAsia="en-US"/>
        </w:rPr>
        <w:t>539 (el 57,1% son hombres y el 42,9%, mujeres)</w:t>
      </w:r>
      <w:r w:rsidR="00BB7BBB" w:rsidRPr="004C49DE">
        <w:rPr>
          <w:spacing w:val="0"/>
          <w:szCs w:val="22"/>
          <w:lang w:val="es-ES_tradnl" w:eastAsia="en-US"/>
        </w:rPr>
        <w:t>.</w:t>
      </w:r>
    </w:p>
    <w:p w14:paraId="0A677186" w14:textId="08AB00E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2013</w:t>
      </w:r>
      <w:r w:rsidRPr="004C49DE">
        <w:rPr>
          <w:szCs w:val="22"/>
          <w:vertAlign w:val="superscript"/>
          <w:lang w:val="es-ES_tradnl" w:eastAsia="en-US"/>
        </w:rPr>
        <w:footnoteReference w:id="17"/>
      </w:r>
      <w:r w:rsidRPr="004C49DE">
        <w:rPr>
          <w:szCs w:val="22"/>
          <w:lang w:val="es-ES_tradnl" w:eastAsia="en-US"/>
        </w:rPr>
        <w:t>, había un total de 426</w:t>
      </w:r>
      <w:r w:rsidR="00BB7BBB" w:rsidRPr="004C49DE">
        <w:rPr>
          <w:szCs w:val="22"/>
          <w:lang w:val="es-ES_tradnl" w:eastAsia="en-US"/>
        </w:rPr>
        <w:t>.</w:t>
      </w:r>
      <w:r w:rsidRPr="004C49DE">
        <w:rPr>
          <w:szCs w:val="22"/>
          <w:lang w:val="es-ES_tradnl" w:eastAsia="en-US"/>
        </w:rPr>
        <w:t>225 desempleados en Côte d</w:t>
      </w:r>
      <w:r w:rsidR="004C49DE">
        <w:rPr>
          <w:szCs w:val="22"/>
          <w:lang w:val="es-ES_tradnl" w:eastAsia="en-US"/>
        </w:rPr>
        <w:t>’</w:t>
      </w:r>
      <w:r w:rsidRPr="004C49DE">
        <w:rPr>
          <w:szCs w:val="22"/>
          <w:lang w:val="es-ES_tradnl" w:eastAsia="en-US"/>
        </w:rPr>
        <w:t>Ivoire, de los cuales el 53,4% eran mujeres</w:t>
      </w:r>
      <w:r w:rsidR="00BB7BBB" w:rsidRPr="004C49DE">
        <w:rPr>
          <w:szCs w:val="22"/>
          <w:lang w:val="es-ES_tradnl" w:eastAsia="en-US"/>
        </w:rPr>
        <w:t>.</w:t>
      </w:r>
      <w:r w:rsidRPr="004C49DE">
        <w:rPr>
          <w:szCs w:val="22"/>
          <w:lang w:val="es-ES_tradnl" w:eastAsia="en-US"/>
        </w:rPr>
        <w:t xml:space="preserve"> En la población ajena a la fuerza de trabajo</w:t>
      </w:r>
      <w:r w:rsidRPr="004C49DE">
        <w:rPr>
          <w:szCs w:val="22"/>
          <w:vertAlign w:val="superscript"/>
          <w:lang w:val="es-ES_tradnl" w:eastAsia="en-US"/>
        </w:rPr>
        <w:footnoteReference w:id="18"/>
      </w:r>
      <w:r w:rsidRPr="004C49DE">
        <w:rPr>
          <w:szCs w:val="22"/>
          <w:lang w:val="es-ES_tradnl" w:eastAsia="en-US"/>
        </w:rPr>
        <w:t xml:space="preserve">, que </w:t>
      </w:r>
      <w:r w:rsidRPr="004C49DE">
        <w:rPr>
          <w:szCs w:val="22"/>
          <w:lang w:val="es-ES_tradnl" w:eastAsia="en-US"/>
        </w:rPr>
        <w:lastRenderedPageBreak/>
        <w:t>representa el 44,3% de la población total en edad de trabajar, predominan las mujeres (55,6%)</w:t>
      </w:r>
      <w:r w:rsidR="00BB7BBB" w:rsidRPr="004C49DE">
        <w:rPr>
          <w:szCs w:val="22"/>
          <w:lang w:val="es-ES_tradnl" w:eastAsia="en-US"/>
        </w:rPr>
        <w:t>.</w:t>
      </w:r>
      <w:r w:rsidRPr="004C49DE">
        <w:rPr>
          <w:szCs w:val="22"/>
          <w:lang w:val="es-ES_tradnl" w:eastAsia="en-US"/>
        </w:rPr>
        <w:t xml:space="preserve"> En la agricultura, se registra el 48% de los hombres frente al 36,4% de las mujeres</w:t>
      </w:r>
      <w:r w:rsidR="00BB7BBB" w:rsidRPr="004C49DE">
        <w:rPr>
          <w:szCs w:val="22"/>
          <w:lang w:val="es-ES_tradnl" w:eastAsia="en-US"/>
        </w:rPr>
        <w:t>.</w:t>
      </w:r>
      <w:r w:rsidRPr="004C49DE">
        <w:rPr>
          <w:szCs w:val="22"/>
          <w:lang w:val="es-ES_tradnl" w:eastAsia="en-US"/>
        </w:rPr>
        <w:t xml:space="preserve"> En cambio, el 23,5% de las mujeres de Côte d</w:t>
      </w:r>
      <w:r w:rsidR="004C49DE">
        <w:rPr>
          <w:szCs w:val="22"/>
          <w:lang w:val="es-ES_tradnl" w:eastAsia="en-US"/>
        </w:rPr>
        <w:t>’</w:t>
      </w:r>
      <w:r w:rsidRPr="004C49DE">
        <w:rPr>
          <w:szCs w:val="22"/>
          <w:lang w:val="es-ES_tradnl" w:eastAsia="en-US"/>
        </w:rPr>
        <w:t>Ivoire se</w:t>
      </w:r>
      <w:r w:rsidR="001A14E9" w:rsidRPr="004C49DE">
        <w:rPr>
          <w:szCs w:val="22"/>
          <w:lang w:val="es-ES_tradnl" w:eastAsia="en-US"/>
        </w:rPr>
        <w:t xml:space="preserve"> </w:t>
      </w:r>
      <w:r w:rsidRPr="004C49DE">
        <w:rPr>
          <w:szCs w:val="22"/>
          <w:lang w:val="es-ES_tradnl" w:eastAsia="en-US"/>
        </w:rPr>
        <w:t>dedican al comercio, mientras que este tipo de actividad se corresponde con</w:t>
      </w:r>
      <w:r w:rsidR="001A14E9" w:rsidRPr="004C49DE">
        <w:rPr>
          <w:szCs w:val="22"/>
          <w:lang w:val="es-ES_tradnl" w:eastAsia="en-US"/>
        </w:rPr>
        <w:t xml:space="preserve"> </w:t>
      </w:r>
      <w:r w:rsidRPr="004C49DE">
        <w:rPr>
          <w:szCs w:val="22"/>
          <w:lang w:val="es-ES_tradnl" w:eastAsia="en-US"/>
        </w:rPr>
        <w:t>el</w:t>
      </w:r>
      <w:r w:rsidR="001A14E9" w:rsidRPr="004C49DE">
        <w:rPr>
          <w:szCs w:val="22"/>
          <w:lang w:val="es-ES_tradnl" w:eastAsia="en-US"/>
        </w:rPr>
        <w:t xml:space="preserve"> </w:t>
      </w:r>
      <w:r w:rsidRPr="004C49DE">
        <w:rPr>
          <w:szCs w:val="22"/>
          <w:lang w:val="es-ES_tradnl" w:eastAsia="en-US"/>
        </w:rPr>
        <w:t>13,2% de los hombres</w:t>
      </w:r>
      <w:r w:rsidR="00BB7BBB" w:rsidRPr="004C49DE">
        <w:rPr>
          <w:szCs w:val="22"/>
          <w:lang w:val="es-ES_tradnl" w:eastAsia="en-US"/>
        </w:rPr>
        <w:t>.</w:t>
      </w:r>
      <w:r w:rsidRPr="004C49DE">
        <w:rPr>
          <w:szCs w:val="22"/>
          <w:lang w:val="es-ES_tradnl" w:eastAsia="en-US"/>
        </w:rPr>
        <w:t xml:space="preserve"> El sector informal no agrícola</w:t>
      </w:r>
      <w:r w:rsidRPr="004C49DE">
        <w:rPr>
          <w:szCs w:val="22"/>
          <w:vertAlign w:val="superscript"/>
          <w:lang w:val="es-ES_tradnl" w:eastAsia="en-US"/>
        </w:rPr>
        <w:footnoteReference w:id="19"/>
      </w:r>
      <w:r w:rsidRPr="004C49DE">
        <w:rPr>
          <w:szCs w:val="22"/>
          <w:lang w:val="es-ES_tradnl" w:eastAsia="en-US"/>
        </w:rPr>
        <w:t xml:space="preserve"> cuenta con 3</w:t>
      </w:r>
      <w:r w:rsidR="00BB7BBB" w:rsidRPr="004C49DE">
        <w:rPr>
          <w:szCs w:val="22"/>
          <w:lang w:val="es-ES_tradnl" w:eastAsia="en-US"/>
        </w:rPr>
        <w:t>.</w:t>
      </w:r>
      <w:r w:rsidRPr="004C49DE">
        <w:rPr>
          <w:szCs w:val="22"/>
          <w:lang w:val="es-ES_tradnl" w:eastAsia="en-US"/>
        </w:rPr>
        <w:t>537</w:t>
      </w:r>
      <w:r w:rsidR="00BB7BBB" w:rsidRPr="004C49DE">
        <w:rPr>
          <w:szCs w:val="22"/>
          <w:lang w:val="es-ES_tradnl" w:eastAsia="en-US"/>
        </w:rPr>
        <w:t>.</w:t>
      </w:r>
      <w:r w:rsidRPr="004C49DE">
        <w:rPr>
          <w:szCs w:val="22"/>
          <w:lang w:val="es-ES_tradnl" w:eastAsia="en-US"/>
        </w:rPr>
        <w:t>722</w:t>
      </w:r>
      <w:r w:rsidR="001A14E9" w:rsidRPr="004C49DE">
        <w:rPr>
          <w:szCs w:val="22"/>
          <w:lang w:val="es-ES_tradnl" w:eastAsia="en-US"/>
        </w:rPr>
        <w:t xml:space="preserve"> </w:t>
      </w:r>
      <w:r w:rsidRPr="004C49DE">
        <w:rPr>
          <w:szCs w:val="22"/>
          <w:lang w:val="es-ES_tradnl" w:eastAsia="en-US"/>
        </w:rPr>
        <w:t>empleos, lo que representa el 46,3% de los puestos de trabajo</w:t>
      </w:r>
      <w:r w:rsidR="00BB7BBB" w:rsidRPr="004C49DE">
        <w:rPr>
          <w:szCs w:val="22"/>
          <w:lang w:val="es-ES_tradnl" w:eastAsia="en-US"/>
        </w:rPr>
        <w:t>.</w:t>
      </w:r>
      <w:r w:rsidRPr="004C49DE">
        <w:rPr>
          <w:szCs w:val="22"/>
          <w:lang w:val="es-ES_tradnl" w:eastAsia="en-US"/>
        </w:rPr>
        <w:t xml:space="preserve"> La mayoría de estos puestos de trabajo son desempeñados por mujeres (56,3%)</w:t>
      </w:r>
      <w:r w:rsidR="00BB7BBB" w:rsidRPr="004C49DE">
        <w:rPr>
          <w:szCs w:val="22"/>
          <w:lang w:val="es-ES_tradnl" w:eastAsia="en-US"/>
        </w:rPr>
        <w:t>.</w:t>
      </w:r>
    </w:p>
    <w:p w14:paraId="2D83C35E" w14:textId="2FB243FC"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Se calcula que existe un total de 176</w:t>
      </w:r>
      <w:r w:rsidR="00BB7BBB" w:rsidRPr="004C49DE">
        <w:rPr>
          <w:szCs w:val="22"/>
          <w:lang w:val="es-ES_tradnl" w:eastAsia="en-US"/>
        </w:rPr>
        <w:t>.</w:t>
      </w:r>
      <w:r w:rsidRPr="004C49DE">
        <w:rPr>
          <w:szCs w:val="22"/>
          <w:lang w:val="es-ES_tradnl" w:eastAsia="en-US"/>
        </w:rPr>
        <w:t>803 empleos en los hogares, es decir, el 2,3% de los empleos</w:t>
      </w:r>
      <w:r w:rsidR="00BB7BBB" w:rsidRPr="004C49DE">
        <w:rPr>
          <w:szCs w:val="22"/>
          <w:lang w:val="es-ES_tradnl" w:eastAsia="en-US"/>
        </w:rPr>
        <w:t>.</w:t>
      </w:r>
      <w:r w:rsidRPr="004C49DE">
        <w:rPr>
          <w:szCs w:val="22"/>
          <w:lang w:val="es-ES_tradnl" w:eastAsia="en-US"/>
        </w:rPr>
        <w:t xml:space="preserve"> Fundamentalmente son mujeres las que desempeñan dichos trabajos, los cuales representan el 4,1% del empleo femenino en Côte d</w:t>
      </w:r>
      <w:r w:rsidR="004C49DE">
        <w:rPr>
          <w:szCs w:val="22"/>
          <w:lang w:val="es-ES_tradnl" w:eastAsia="en-US"/>
        </w:rPr>
        <w:t>’</w:t>
      </w:r>
      <w:r w:rsidRPr="004C49DE">
        <w:rPr>
          <w:szCs w:val="22"/>
          <w:lang w:val="es-ES_tradnl" w:eastAsia="en-US"/>
        </w:rPr>
        <w:t>Ivoire, el 5,3% de las personas empleadas de 14 a 24 años y el 2,1% de las personas empleadas de 25 a 35 años</w:t>
      </w:r>
      <w:r w:rsidR="00BB7BBB" w:rsidRPr="004C49DE">
        <w:rPr>
          <w:szCs w:val="22"/>
          <w:lang w:val="es-ES_tradnl" w:eastAsia="en-US"/>
        </w:rPr>
        <w:t>.</w:t>
      </w:r>
    </w:p>
    <w:p w14:paraId="70F82B13" w14:textId="06A2A089"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cuanto a los tipos de empleo, el autoempleo no agrícola representaba el 37% de los trabajos desempeñados en febrero de 2014, mientras que el 29,6% de los empleos agrícolas son autoempleos agrícolas</w:t>
      </w:r>
      <w:r w:rsidR="00BB7BBB" w:rsidRPr="004C49DE">
        <w:rPr>
          <w:szCs w:val="22"/>
          <w:lang w:val="es-ES_tradnl" w:eastAsia="en-US"/>
        </w:rPr>
        <w:t>.</w:t>
      </w:r>
      <w:r w:rsidRPr="004C49DE">
        <w:rPr>
          <w:szCs w:val="22"/>
          <w:lang w:val="es-ES_tradnl" w:eastAsia="en-US"/>
        </w:rPr>
        <w:t xml:space="preserve"> En total, casi tres cuartas partes de la población trabajadora ejercen por tanto empleos no asalariados (el 74,6%, incluidos los cuidadores)</w:t>
      </w:r>
      <w:r w:rsidR="00BB7BBB" w:rsidRPr="004C49DE">
        <w:rPr>
          <w:szCs w:val="22"/>
          <w:lang w:val="es-ES_tradnl" w:eastAsia="en-US"/>
        </w:rPr>
        <w:t>.</w:t>
      </w:r>
      <w:r w:rsidRPr="004C49DE">
        <w:rPr>
          <w:szCs w:val="22"/>
          <w:lang w:val="es-ES_tradnl" w:eastAsia="en-US"/>
        </w:rPr>
        <w:t xml:space="preserve"> Los hombres presentan un mayor nivel de autoempleo agrícola (35,3%), mientras que las mujeres cuentan con más autoempleos ajenos a la agricultura (52,6%)</w:t>
      </w:r>
      <w:r w:rsidR="00BB7BBB" w:rsidRPr="004C49DE">
        <w:rPr>
          <w:szCs w:val="22"/>
          <w:lang w:val="es-ES_tradnl" w:eastAsia="en-US"/>
        </w:rPr>
        <w:t>.</w:t>
      </w:r>
      <w:r w:rsidRPr="004C49DE">
        <w:rPr>
          <w:szCs w:val="22"/>
          <w:lang w:val="es-ES_tradnl" w:eastAsia="en-US"/>
        </w:rPr>
        <w:t xml:space="preserve"> Además, solo el 25,4% del empleo en Côte d</w:t>
      </w:r>
      <w:r w:rsidR="004C49DE">
        <w:rPr>
          <w:szCs w:val="22"/>
          <w:lang w:val="es-ES_tradnl" w:eastAsia="en-US"/>
        </w:rPr>
        <w:t>’</w:t>
      </w:r>
      <w:r w:rsidRPr="004C49DE">
        <w:rPr>
          <w:szCs w:val="22"/>
          <w:lang w:val="es-ES_tradnl" w:eastAsia="en-US"/>
        </w:rPr>
        <w:t>Ivoire es empleo asalariado</w:t>
      </w:r>
      <w:r w:rsidR="00BB7BBB" w:rsidRPr="004C49DE">
        <w:rPr>
          <w:szCs w:val="22"/>
          <w:lang w:val="es-ES_tradnl" w:eastAsia="en-US"/>
        </w:rPr>
        <w:t>.</w:t>
      </w:r>
      <w:r w:rsidRPr="004C49DE">
        <w:rPr>
          <w:szCs w:val="22"/>
          <w:lang w:val="es-ES_tradnl" w:eastAsia="en-US"/>
        </w:rPr>
        <w:t xml:space="preserve"> El 33,9% de los puestos de trabajo ocupados por hombres son remunerados, frente a un 13,8% entre las mujeres</w:t>
      </w:r>
      <w:r w:rsidR="00BB7BBB" w:rsidRPr="004C49DE">
        <w:rPr>
          <w:szCs w:val="22"/>
          <w:lang w:val="es-ES_tradnl" w:eastAsia="en-US"/>
        </w:rPr>
        <w:t>.</w:t>
      </w:r>
    </w:p>
    <w:p w14:paraId="36C345A6" w14:textId="0402749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Cabe destacar también que las mujeres pluriactivas están más orientadas a las actividades remunerativas (72,5%) que a la agricultura (27,7%), a diferencia de los hombres, quienes presentan tanto actividades remunerativas (43,2%) como terrenos agrícolas (46,2%)</w:t>
      </w:r>
      <w:r w:rsidR="00BB7BBB" w:rsidRPr="004C49DE">
        <w:rPr>
          <w:szCs w:val="22"/>
          <w:lang w:val="es-ES_tradnl" w:eastAsia="en-US"/>
        </w:rPr>
        <w:t>.</w:t>
      </w:r>
    </w:p>
    <w:p w14:paraId="7C53C0BA" w14:textId="03236CDC"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También cabe señalar que los jóvenes de 14 a 35 años representan el 58,9% de los trabajadores de la economía informal, al tiempo que la proporción de mujeres es del 44%</w:t>
      </w:r>
      <w:r w:rsidR="00BB7BBB" w:rsidRPr="004C49DE">
        <w:rPr>
          <w:szCs w:val="22"/>
          <w:lang w:val="es-ES_tradnl" w:eastAsia="en-US"/>
        </w:rPr>
        <w:t>.</w:t>
      </w:r>
      <w:r w:rsidRPr="004C49DE">
        <w:rPr>
          <w:szCs w:val="22"/>
          <w:lang w:val="es-ES_tradnl" w:eastAsia="en-US"/>
        </w:rPr>
        <w:t xml:space="preserve"> Es importante tener en cuenta que el trabajo doméstico (servicios a los hogares) está representado por un 51,6% de mujeres</w:t>
      </w:r>
      <w:r w:rsidRPr="004C49DE">
        <w:rPr>
          <w:szCs w:val="22"/>
          <w:vertAlign w:val="superscript"/>
          <w:lang w:val="es-ES_tradnl" w:eastAsia="en-US"/>
        </w:rPr>
        <w:footnoteReference w:id="20"/>
      </w:r>
      <w:r w:rsidR="00BB7BBB" w:rsidRPr="004C49DE">
        <w:rPr>
          <w:szCs w:val="22"/>
          <w:lang w:val="es-ES_tradnl" w:eastAsia="en-US"/>
        </w:rPr>
        <w:t>.</w:t>
      </w:r>
    </w:p>
    <w:p w14:paraId="34158E17" w14:textId="6EDA7C6B"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Establecer un marco normativo para el sector informal, con miras a brindar a las mujeres que trabajan en este sector acceso a la seguridad social y otras prestaciones (véase </w:t>
      </w:r>
      <w:hyperlink r:id="rId82"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39 e))</w:t>
      </w:r>
      <w:r w:rsidR="00BB7BBB" w:rsidRPr="004C49DE">
        <w:rPr>
          <w:b/>
          <w:szCs w:val="22"/>
          <w:lang w:val="es-ES_tradnl" w:eastAsia="en-US"/>
        </w:rPr>
        <w:t>.</w:t>
      </w:r>
    </w:p>
    <w:p w14:paraId="39F8DF33" w14:textId="184A682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Una de las iniciativas de la Estrategia Nacional de Protección Social (2013</w:t>
      </w:r>
      <w:r w:rsidR="001A14E9" w:rsidRPr="004C49DE">
        <w:rPr>
          <w:szCs w:val="22"/>
          <w:lang w:val="es-ES_tradnl" w:eastAsia="en-US"/>
        </w:rPr>
        <w:noBreakHyphen/>
      </w:r>
      <w:r w:rsidRPr="004C49DE">
        <w:rPr>
          <w:szCs w:val="22"/>
          <w:lang w:val="es-ES_tradnl" w:eastAsia="en-US"/>
        </w:rPr>
        <w:t>2016), actualmente en curso, será la creación de un plan de pensiones para los trabajadores por cuenta propia</w:t>
      </w:r>
      <w:r w:rsidR="00BB7BBB" w:rsidRPr="004C49DE">
        <w:rPr>
          <w:szCs w:val="22"/>
          <w:lang w:val="es-ES_tradnl" w:eastAsia="en-US"/>
        </w:rPr>
        <w:t>.</w:t>
      </w:r>
      <w:r w:rsidRPr="004C49DE">
        <w:rPr>
          <w:szCs w:val="22"/>
          <w:lang w:val="es-ES_tradnl" w:eastAsia="en-US"/>
        </w:rPr>
        <w:t xml:space="preserve"> Este sistema, conocido como sistema de seguridad social para los trabajadores por cuenta propia, estará abierto a cualquier persona que trabaje por cuenta propia en sectores económicos que engloban desde la agricultura familiar hasta las profesiones liberales</w:t>
      </w:r>
      <w:r w:rsidR="00BB7BBB" w:rsidRPr="004C49DE">
        <w:rPr>
          <w:szCs w:val="22"/>
          <w:lang w:val="es-ES_tradnl" w:eastAsia="en-US"/>
        </w:rPr>
        <w:t>.</w:t>
      </w:r>
      <w:r w:rsidRPr="004C49DE">
        <w:rPr>
          <w:szCs w:val="22"/>
          <w:lang w:val="es-ES_tradnl" w:eastAsia="en-US"/>
        </w:rPr>
        <w:t xml:space="preserve"> El sistema también incluirá subsidios diarios</w:t>
      </w:r>
      <w:r w:rsidR="001A14E9" w:rsidRPr="004C49DE">
        <w:rPr>
          <w:szCs w:val="22"/>
          <w:lang w:val="es-ES_tradnl" w:eastAsia="en-US"/>
        </w:rPr>
        <w:t xml:space="preserve"> </w:t>
      </w:r>
      <w:r w:rsidRPr="004C49DE">
        <w:rPr>
          <w:szCs w:val="22"/>
          <w:lang w:val="es-ES_tradnl" w:eastAsia="en-US"/>
        </w:rPr>
        <w:t>en caso de incapacidad temporal para el trabajo a causa de una enfermedad</w:t>
      </w:r>
      <w:r w:rsidR="00BB7BBB" w:rsidRPr="004C49DE">
        <w:rPr>
          <w:szCs w:val="22"/>
          <w:lang w:val="es-ES_tradnl" w:eastAsia="en-US"/>
        </w:rPr>
        <w:t>.</w:t>
      </w:r>
      <w:r w:rsidRPr="004C49DE">
        <w:rPr>
          <w:szCs w:val="22"/>
          <w:lang w:val="es-ES_tradnl" w:eastAsia="en-US"/>
        </w:rPr>
        <w:t xml:space="preserve"> En el marco de la cobertura universal de los riesgos de enfermedad, se aplicará el seguro médico tanto para los trabajadores del sector informal como para los del sector formal</w:t>
      </w:r>
      <w:r w:rsidR="00BB7BBB" w:rsidRPr="004C49DE">
        <w:rPr>
          <w:szCs w:val="22"/>
          <w:lang w:val="es-ES_tradnl" w:eastAsia="en-US"/>
        </w:rPr>
        <w:t>.</w:t>
      </w:r>
    </w:p>
    <w:p w14:paraId="1B976F03" w14:textId="77777777" w:rsidR="007D3A1E" w:rsidRPr="004C49DE" w:rsidRDefault="007D3A1E" w:rsidP="00BB7BBB">
      <w:pPr>
        <w:pStyle w:val="SingleTxt"/>
        <w:suppressAutoHyphens w:val="0"/>
        <w:spacing w:after="0" w:line="120" w:lineRule="exact"/>
        <w:rPr>
          <w:sz w:val="10"/>
          <w:szCs w:val="10"/>
          <w:lang w:val="es-ES_tradnl"/>
        </w:rPr>
      </w:pPr>
    </w:p>
    <w:p w14:paraId="007726A1" w14:textId="77777777" w:rsidR="00E7328E" w:rsidRPr="004C49DE" w:rsidRDefault="00E7328E">
      <w:pPr>
        <w:suppressAutoHyphens w:val="0"/>
        <w:spacing w:line="240" w:lineRule="auto"/>
        <w:rPr>
          <w:b/>
          <w:spacing w:val="2"/>
          <w:lang w:val="es-ES_tradnl" w:eastAsia="en-US"/>
        </w:rPr>
      </w:pPr>
      <w:r w:rsidRPr="004C49DE">
        <w:rPr>
          <w:bCs/>
          <w:lang w:val="es-ES_tradnl" w:eastAsia="en-US"/>
        </w:rPr>
        <w:br w:type="page"/>
      </w:r>
    </w:p>
    <w:p w14:paraId="1B8A8482" w14:textId="27B25BC4"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lastRenderedPageBreak/>
        <w:tab/>
      </w:r>
      <w:r w:rsidRPr="004C49DE">
        <w:rPr>
          <w:bCs w:val="0"/>
          <w:lang w:val="es-ES_tradnl" w:eastAsia="en-US"/>
        </w:rPr>
        <w:tab/>
        <w:t>Salud</w:t>
      </w:r>
    </w:p>
    <w:p w14:paraId="2C0A2E78" w14:textId="77777777" w:rsidR="007D3A1E" w:rsidRPr="004C49DE" w:rsidRDefault="007D3A1E" w:rsidP="00BB7BBB">
      <w:pPr>
        <w:pStyle w:val="SingleTxt"/>
        <w:suppressAutoHyphens w:val="0"/>
        <w:spacing w:after="0" w:line="120" w:lineRule="exact"/>
        <w:rPr>
          <w:sz w:val="10"/>
          <w:szCs w:val="10"/>
          <w:lang w:val="es-ES_tradnl"/>
        </w:rPr>
      </w:pPr>
    </w:p>
    <w:p w14:paraId="1DA570C3" w14:textId="4EE40CC1"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Garantizar, con el apoyo de los organismos de las Naciones Unidas competentes, que se destinen fondos suficientes a la salud (véase </w:t>
      </w:r>
      <w:hyperlink r:id="rId83"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41 a))</w:t>
      </w:r>
      <w:r w:rsidR="00BB7BBB" w:rsidRPr="004C49DE">
        <w:rPr>
          <w:b/>
          <w:szCs w:val="22"/>
          <w:lang w:val="es-ES_tradnl" w:eastAsia="en-US"/>
        </w:rPr>
        <w:t>.</w:t>
      </w:r>
    </w:p>
    <w:p w14:paraId="6EE3A109" w14:textId="0A4A369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El presupuesto asignado al Ministerio de Salud aumentó de manera notable, como se muestra en </w:t>
      </w:r>
      <w:r w:rsidR="00B24819" w:rsidRPr="004C49DE">
        <w:rPr>
          <w:szCs w:val="22"/>
          <w:lang w:val="es-ES_tradnl" w:eastAsia="en-US"/>
        </w:rPr>
        <w:t>e</w:t>
      </w:r>
      <w:r w:rsidRPr="004C49DE">
        <w:rPr>
          <w:szCs w:val="22"/>
          <w:lang w:val="es-ES_tradnl" w:eastAsia="en-US"/>
        </w:rPr>
        <w:t>l gráfic</w:t>
      </w:r>
      <w:r w:rsidR="00B24819" w:rsidRPr="004C49DE">
        <w:rPr>
          <w:szCs w:val="22"/>
          <w:lang w:val="es-ES_tradnl" w:eastAsia="en-US"/>
        </w:rPr>
        <w:t>o</w:t>
      </w:r>
      <w:r w:rsidRPr="004C49DE">
        <w:rPr>
          <w:szCs w:val="22"/>
          <w:lang w:val="es-ES_tradnl" w:eastAsia="en-US"/>
        </w:rPr>
        <w:t xml:space="preserve"> que figura a continuación</w:t>
      </w:r>
      <w:r w:rsidR="00BB7BBB" w:rsidRPr="004C49DE">
        <w:rPr>
          <w:szCs w:val="22"/>
          <w:lang w:val="es-ES_tradnl" w:eastAsia="en-US"/>
        </w:rPr>
        <w:t>.</w:t>
      </w:r>
      <w:r w:rsidRPr="004C49DE">
        <w:rPr>
          <w:szCs w:val="22"/>
          <w:lang w:val="es-ES_tradnl" w:eastAsia="en-US"/>
        </w:rPr>
        <w:t xml:space="preserve"> Así, aumentó de 190</w:t>
      </w:r>
      <w:r w:rsidR="00BB7BBB" w:rsidRPr="004C49DE">
        <w:rPr>
          <w:szCs w:val="22"/>
          <w:lang w:val="es-ES_tradnl" w:eastAsia="en-US"/>
        </w:rPr>
        <w:t>.</w:t>
      </w:r>
      <w:r w:rsidRPr="004C49DE">
        <w:rPr>
          <w:szCs w:val="22"/>
          <w:lang w:val="es-ES_tradnl" w:eastAsia="en-US"/>
        </w:rPr>
        <w:t>000</w:t>
      </w:r>
      <w:r w:rsidR="00680B53" w:rsidRPr="004C49DE">
        <w:rPr>
          <w:szCs w:val="22"/>
          <w:lang w:val="es-ES_tradnl" w:eastAsia="en-US"/>
        </w:rPr>
        <w:t> </w:t>
      </w:r>
      <w:r w:rsidRPr="004C49DE">
        <w:rPr>
          <w:szCs w:val="22"/>
          <w:lang w:val="es-ES_tradnl" w:eastAsia="en-US"/>
        </w:rPr>
        <w:t>millones en 2013 a 245</w:t>
      </w:r>
      <w:r w:rsidR="00BB7BBB" w:rsidRPr="004C49DE">
        <w:rPr>
          <w:szCs w:val="22"/>
          <w:lang w:val="es-ES_tradnl" w:eastAsia="en-US"/>
        </w:rPr>
        <w:t>.</w:t>
      </w:r>
      <w:r w:rsidRPr="004C49DE">
        <w:rPr>
          <w:szCs w:val="22"/>
          <w:lang w:val="es-ES_tradnl" w:eastAsia="en-US"/>
        </w:rPr>
        <w:t>000 millones en 2014 y 278</w:t>
      </w:r>
      <w:r w:rsidR="00BB7BBB" w:rsidRPr="004C49DE">
        <w:rPr>
          <w:szCs w:val="22"/>
          <w:lang w:val="es-ES_tradnl" w:eastAsia="en-US"/>
        </w:rPr>
        <w:t>.</w:t>
      </w:r>
      <w:r w:rsidRPr="004C49DE">
        <w:rPr>
          <w:szCs w:val="22"/>
          <w:lang w:val="es-ES_tradnl" w:eastAsia="en-US"/>
        </w:rPr>
        <w:t>000 millones en 2015</w:t>
      </w:r>
      <w:r w:rsidR="00BB7BBB" w:rsidRPr="004C49DE">
        <w:rPr>
          <w:szCs w:val="22"/>
          <w:lang w:val="es-ES_tradnl" w:eastAsia="en-US"/>
        </w:rPr>
        <w:t>.</w:t>
      </w:r>
      <w:r w:rsidRPr="004C49DE">
        <w:rPr>
          <w:szCs w:val="22"/>
          <w:lang w:val="es-ES_tradnl" w:eastAsia="en-US"/>
        </w:rPr>
        <w:t xml:space="preserve"> El presupuesto ascendió a 596</w:t>
      </w:r>
      <w:r w:rsidR="00BB7BBB" w:rsidRPr="004C49DE">
        <w:rPr>
          <w:szCs w:val="22"/>
          <w:lang w:val="es-ES_tradnl" w:eastAsia="en-US"/>
        </w:rPr>
        <w:t>.</w:t>
      </w:r>
      <w:r w:rsidRPr="004C49DE">
        <w:rPr>
          <w:szCs w:val="22"/>
          <w:lang w:val="es-ES_tradnl" w:eastAsia="en-US"/>
        </w:rPr>
        <w:t>310 millones en 2016, lo que representa aproximadamente el 5,36% del presupuesto total del Estado de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p>
    <w:p w14:paraId="2DA5B8F4" w14:textId="1F5BEBEE" w:rsidR="00721904" w:rsidRPr="004C49DE" w:rsidRDefault="00721904" w:rsidP="00BB7BBB">
      <w:pPr>
        <w:pStyle w:val="SingleTxt"/>
        <w:suppressAutoHyphens w:val="0"/>
        <w:spacing w:after="0" w:line="120" w:lineRule="exact"/>
        <w:rPr>
          <w:sz w:val="10"/>
          <w:szCs w:val="10"/>
          <w:lang w:val="es-ES_tradnl"/>
        </w:rPr>
      </w:pPr>
    </w:p>
    <w:p w14:paraId="2476C6C1" w14:textId="77777777" w:rsidR="000D616E" w:rsidRPr="004C49DE" w:rsidRDefault="000D616E" w:rsidP="00BB7BBB">
      <w:pPr>
        <w:pStyle w:val="SingleTxt"/>
        <w:suppressAutoHyphens w:val="0"/>
        <w:spacing w:after="0" w:line="120" w:lineRule="exact"/>
        <w:rPr>
          <w:sz w:val="10"/>
          <w:szCs w:val="10"/>
          <w:lang w:val="es-ES_tradnl"/>
        </w:rPr>
      </w:pPr>
    </w:p>
    <w:p w14:paraId="49B524A8" w14:textId="77777777" w:rsidR="000C3123" w:rsidRPr="004C49DE" w:rsidRDefault="000C3123" w:rsidP="00BB7BBB">
      <w:pPr>
        <w:pStyle w:val="SingleTxt"/>
        <w:suppressAutoHyphens w:val="0"/>
        <w:spacing w:line="240" w:lineRule="atLeast"/>
        <w:rPr>
          <w:lang w:val="es-ES_tradnl"/>
        </w:rPr>
      </w:pPr>
      <w:r w:rsidRPr="004C49DE">
        <w:rPr>
          <w:noProof/>
          <w:szCs w:val="22"/>
          <w:lang w:val="es-ES_tradnl"/>
        </w:rPr>
        <w:drawing>
          <wp:inline distT="0" distB="0" distL="0" distR="0" wp14:anchorId="2C96F011" wp14:editId="7B62AAD6">
            <wp:extent cx="4672807" cy="1808328"/>
            <wp:effectExtent l="0" t="0" r="0" b="1905"/>
            <wp:docPr id="5"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4685452" cy="1813221"/>
                    </a:xfrm>
                    <a:prstGeom prst="rect">
                      <a:avLst/>
                    </a:prstGeom>
                    <a:noFill/>
                    <a:ln w="9525">
                      <a:noFill/>
                      <a:miter lim="800000"/>
                      <a:headEnd/>
                      <a:tailEnd/>
                    </a:ln>
                  </pic:spPr>
                </pic:pic>
              </a:graphicData>
            </a:graphic>
          </wp:inline>
        </w:drawing>
      </w:r>
    </w:p>
    <w:p w14:paraId="454C2DD4" w14:textId="76119958" w:rsidR="007D3A1E" w:rsidRPr="004C49DE" w:rsidRDefault="007D3A1E" w:rsidP="00BB7BBB">
      <w:pPr>
        <w:pStyle w:val="SingleTxt"/>
        <w:suppressAutoHyphens w:val="0"/>
        <w:spacing w:after="0" w:line="120" w:lineRule="exact"/>
        <w:rPr>
          <w:sz w:val="10"/>
          <w:szCs w:val="10"/>
          <w:lang w:val="es-ES_tradnl"/>
        </w:rPr>
      </w:pPr>
    </w:p>
    <w:p w14:paraId="1686EDF8" w14:textId="77777777" w:rsidR="007D3A1E" w:rsidRPr="004C49DE" w:rsidRDefault="007D3A1E" w:rsidP="00BB7BBB">
      <w:pPr>
        <w:pStyle w:val="SingleTxt"/>
        <w:suppressAutoHyphens w:val="0"/>
        <w:spacing w:after="0" w:line="120" w:lineRule="exact"/>
        <w:rPr>
          <w:sz w:val="10"/>
          <w:szCs w:val="10"/>
          <w:lang w:val="es-ES_tradnl"/>
        </w:rPr>
      </w:pPr>
    </w:p>
    <w:p w14:paraId="5163EF4D" w14:textId="1DCA39EF"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Intensificar las medidas para reducir, con el apoyo de la comunidad internacional, la incidencia de la mortalidad materna y mejorar el acceso de</w:t>
      </w:r>
      <w:r w:rsidR="001A14E9" w:rsidRPr="004C49DE">
        <w:rPr>
          <w:b/>
          <w:szCs w:val="22"/>
          <w:lang w:val="es-ES_tradnl" w:eastAsia="en-US"/>
        </w:rPr>
        <w:t xml:space="preserve"> </w:t>
      </w:r>
      <w:r w:rsidRPr="004C49DE">
        <w:rPr>
          <w:b/>
          <w:szCs w:val="22"/>
          <w:lang w:val="es-ES_tradnl" w:eastAsia="en-US"/>
        </w:rPr>
        <w:t>las</w:t>
      </w:r>
      <w:r w:rsidR="001A14E9" w:rsidRPr="004C49DE">
        <w:rPr>
          <w:b/>
          <w:szCs w:val="22"/>
          <w:lang w:val="es-ES_tradnl" w:eastAsia="en-US"/>
        </w:rPr>
        <w:t xml:space="preserve"> </w:t>
      </w:r>
      <w:r w:rsidRPr="004C49DE">
        <w:rPr>
          <w:b/>
          <w:szCs w:val="22"/>
          <w:lang w:val="es-ES_tradnl" w:eastAsia="en-US"/>
        </w:rPr>
        <w:t xml:space="preserve">mujeres y las niñas a los servicios de salud básicos (véase </w:t>
      </w:r>
      <w:hyperlink r:id="rId85"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41 b))</w:t>
      </w:r>
      <w:r w:rsidR="00BB7BBB" w:rsidRPr="004C49DE">
        <w:rPr>
          <w:b/>
          <w:szCs w:val="22"/>
          <w:lang w:val="es-ES_tradnl" w:eastAsia="en-US"/>
        </w:rPr>
        <w:t>.</w:t>
      </w:r>
    </w:p>
    <w:p w14:paraId="01E03D42" w14:textId="06C180F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Gobierno de Côte d</w:t>
      </w:r>
      <w:r w:rsidR="004C49DE">
        <w:rPr>
          <w:szCs w:val="22"/>
          <w:lang w:val="es-ES_tradnl" w:eastAsia="en-US"/>
        </w:rPr>
        <w:t>’</w:t>
      </w:r>
      <w:r w:rsidRPr="004C49DE">
        <w:rPr>
          <w:szCs w:val="22"/>
          <w:lang w:val="es-ES_tradnl" w:eastAsia="en-US"/>
        </w:rPr>
        <w:t>Ivoire ha iniciado varias actividades con sus asociados</w:t>
      </w:r>
      <w:r w:rsidR="00BB7BBB" w:rsidRPr="004C49DE">
        <w:rPr>
          <w:szCs w:val="22"/>
          <w:lang w:val="es-ES_tradnl" w:eastAsia="en-US"/>
        </w:rPr>
        <w:t>.</w:t>
      </w:r>
      <w:r w:rsidRPr="004C49DE">
        <w:rPr>
          <w:szCs w:val="22"/>
          <w:lang w:val="es-ES_tradnl" w:eastAsia="en-US"/>
        </w:rPr>
        <w:t xml:space="preserve"> En la esfera de la salud sexual y reproductiva y la salud infantil, destacan las siguientes: i) la instauración de la política específica de la gratuidad en 2012, con vistas a mejorar la asequibilidad de los servicios de salud para la población en general y, en especial, para los niños de 0 a 5 años; ii) la elaboración y la puesta en práctica del Marco para Acelerar el Logro del ODM 5 en 2012; iii) la elaboración y la puesta en práctica de actividades de gran repercusión en las iniciativas MUSKOKA (2011) y H4+Sida (2013); iv) la puesta en marcha en 2013 de la Campaña para la Reducción Acelerada de la Mortalidad Materna, Neonatal e Infantil en África (CARMMA), y su implementación en todas las regiones sanitarias; v) la elaboración y la aplicación del Plan Nacional Presupuestado para la Planificación Familiar en el período 2015</w:t>
      </w:r>
      <w:r w:rsidR="001A14E9" w:rsidRPr="004C49DE">
        <w:rPr>
          <w:szCs w:val="22"/>
          <w:lang w:val="es-ES_tradnl" w:eastAsia="en-US"/>
        </w:rPr>
        <w:noBreakHyphen/>
      </w:r>
      <w:r w:rsidRPr="004C49DE">
        <w:rPr>
          <w:szCs w:val="22"/>
          <w:lang w:val="es-ES_tradnl" w:eastAsia="en-US"/>
        </w:rPr>
        <w:t>2020; vi) la incorporación del examen de las muertes maternas y la respuesta a estas del Ministerio de Salud e Higiene pública; vii) la puesta en práctica del proyecto que combate la fístula obstétrica; viii) la creación del colegio de matrones y matronas; ix) el apoyo a la difusión y la gestión del Gobierno para la presentación de la candidatura de Côte d</w:t>
      </w:r>
      <w:r w:rsidR="004C49DE">
        <w:rPr>
          <w:szCs w:val="22"/>
          <w:lang w:val="es-ES_tradnl" w:eastAsia="en-US"/>
        </w:rPr>
        <w:t>’</w:t>
      </w:r>
      <w:r w:rsidRPr="004C49DE">
        <w:rPr>
          <w:szCs w:val="22"/>
          <w:lang w:val="es-ES_tradnl" w:eastAsia="en-US"/>
        </w:rPr>
        <w:t>Ivoire encaminada a la implantación de una maestría en enfermería y obstetricia en 2016; x) la aprobación de una ley de prevención, protección y enjuiciamiento con respecto al VIH; xi) la creación de la Dirección de Enfermería y Maternidad; xii) el inicio del proceso de establecimiento de la cobertura universal de los riesgos de enfermedad; y xiii) el Plan Estratégico para la Salud Materna e Infantil para el período 2016</w:t>
      </w:r>
      <w:r w:rsidR="001A14E9" w:rsidRPr="004C49DE">
        <w:rPr>
          <w:szCs w:val="22"/>
          <w:lang w:val="es-ES_tradnl" w:eastAsia="en-US"/>
        </w:rPr>
        <w:noBreakHyphen/>
      </w:r>
      <w:r w:rsidRPr="004C49DE">
        <w:rPr>
          <w:szCs w:val="22"/>
          <w:lang w:val="es-ES_tradnl" w:eastAsia="en-US"/>
        </w:rPr>
        <w:t>2020, que se está finalizando y tiene en cuenta los Objetivos de Desarrollo Sostenible</w:t>
      </w:r>
      <w:r w:rsidR="00BB7BBB" w:rsidRPr="004C49DE">
        <w:rPr>
          <w:szCs w:val="22"/>
          <w:lang w:val="es-ES_tradnl" w:eastAsia="en-US"/>
        </w:rPr>
        <w:t>.</w:t>
      </w:r>
    </w:p>
    <w:p w14:paraId="129AD01E" w14:textId="721D35ED"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Redoblar la labor de lucha contra la malnutrición y la malaria (véase </w:t>
      </w:r>
      <w:hyperlink r:id="rId8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41 c))</w:t>
      </w:r>
      <w:r w:rsidR="00BB7BBB" w:rsidRPr="004C49DE">
        <w:rPr>
          <w:b/>
          <w:szCs w:val="22"/>
          <w:lang w:val="es-ES_tradnl" w:eastAsia="en-US"/>
        </w:rPr>
        <w:t>.</w:t>
      </w:r>
    </w:p>
    <w:p w14:paraId="488AA22D" w14:textId="1A9A5CC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lastRenderedPageBreak/>
        <w:t>El Plan Estratégico Nacional de Lucha contra la Malaria se revisó en el período 2012</w:t>
      </w:r>
      <w:r w:rsidR="001A14E9" w:rsidRPr="004C49DE">
        <w:rPr>
          <w:szCs w:val="22"/>
          <w:lang w:val="es-ES_tradnl" w:eastAsia="en-US"/>
        </w:rPr>
        <w:noBreakHyphen/>
      </w:r>
      <w:r w:rsidRPr="004C49DE">
        <w:rPr>
          <w:szCs w:val="22"/>
          <w:lang w:val="es-ES_tradnl" w:eastAsia="en-US"/>
        </w:rPr>
        <w:t>2015 y se encuentra en proceso de aplicación</w:t>
      </w:r>
      <w:r w:rsidR="00BB7BBB" w:rsidRPr="004C49DE">
        <w:rPr>
          <w:szCs w:val="22"/>
          <w:lang w:val="es-ES_tradnl" w:eastAsia="en-US"/>
        </w:rPr>
        <w:t>.</w:t>
      </w:r>
    </w:p>
    <w:p w14:paraId="1373D61B" w14:textId="7496C64C"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informe anual sobre la situación sanitaria de 2015 reveló que la incidencia de la malaria en la población general era del 155,5 ‰ y entre los niños menores de 5</w:t>
      </w:r>
      <w:r w:rsidR="005460C7" w:rsidRPr="004C49DE">
        <w:rPr>
          <w:szCs w:val="22"/>
          <w:lang w:val="es-ES_tradnl" w:eastAsia="en-US"/>
        </w:rPr>
        <w:t> </w:t>
      </w:r>
      <w:r w:rsidRPr="004C49DE">
        <w:rPr>
          <w:szCs w:val="22"/>
          <w:lang w:val="es-ES_tradnl" w:eastAsia="en-US"/>
        </w:rPr>
        <w:t>años de edad, del 291,8‰</w:t>
      </w:r>
      <w:r w:rsidR="00BB7BBB" w:rsidRPr="004C49DE">
        <w:rPr>
          <w:szCs w:val="22"/>
          <w:lang w:val="es-ES_tradnl" w:eastAsia="en-US"/>
        </w:rPr>
        <w:t>.</w:t>
      </w:r>
    </w:p>
    <w:p w14:paraId="04E7FC1D" w14:textId="222799E7"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ámbito de la atención sanitaria, el Gobierno reforzó la gratuidad de los tratamientos combinados con artemisinina en los centros de salud públicos</w:t>
      </w:r>
      <w:r w:rsidR="00BB7BBB" w:rsidRPr="004C49DE">
        <w:rPr>
          <w:szCs w:val="22"/>
          <w:lang w:val="es-ES_tradnl" w:eastAsia="en-US"/>
        </w:rPr>
        <w:t>.</w:t>
      </w:r>
    </w:p>
    <w:p w14:paraId="645AE9F4" w14:textId="1F55C293"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A fin de fortalecer la lucha contra la malnutrición, el Estado de Côte d</w:t>
      </w:r>
      <w:r w:rsidR="004C49DE">
        <w:rPr>
          <w:szCs w:val="22"/>
          <w:lang w:val="es-ES_tradnl" w:eastAsia="en-US"/>
        </w:rPr>
        <w:t>’</w:t>
      </w:r>
      <w:r w:rsidRPr="004C49DE">
        <w:rPr>
          <w:szCs w:val="22"/>
          <w:lang w:val="es-ES_tradnl" w:eastAsia="en-US"/>
        </w:rPr>
        <w:t xml:space="preserve">Ivoire adoptó diversas medidas, a saber: i) el decreto de 2013, que regula la comercialización de sucedáneos de la leche materna; ii) la recuperación de la iniciativa </w:t>
      </w:r>
      <w:r w:rsidR="004C49DE">
        <w:rPr>
          <w:szCs w:val="22"/>
          <w:lang w:val="es-ES_tradnl" w:eastAsia="en-US"/>
        </w:rPr>
        <w:t>“</w:t>
      </w:r>
      <w:r w:rsidRPr="004C49DE">
        <w:rPr>
          <w:szCs w:val="22"/>
          <w:lang w:val="es-ES_tradnl" w:eastAsia="en-US"/>
        </w:rPr>
        <w:t>Hospitales amigos de los niños</w:t>
      </w:r>
      <w:r w:rsidR="004C49DE">
        <w:rPr>
          <w:szCs w:val="22"/>
          <w:lang w:val="es-ES_tradnl" w:eastAsia="en-US"/>
        </w:rPr>
        <w:t>”</w:t>
      </w:r>
      <w:r w:rsidRPr="004C49DE">
        <w:rPr>
          <w:szCs w:val="22"/>
          <w:lang w:val="es-ES_tradnl" w:eastAsia="en-US"/>
        </w:rPr>
        <w:t xml:space="preserve"> desde 2013 y la organización de una caravana nacional sobre buenas prácticas de nutrición; iii) la puesta en práctica de programas hidráulicos en las aldeas que ayudaron a dotar al 77% de las localidades con bombas, con el objeto de alcanzar una cobertura del 100% en 2015; iv) el inicio de proyectos para reactivar las cadenas agrícolas, ganaderas y pesqueras a fin de mejorar la productividad y la competitividad de la producción y satisfacer así las necesidades alimentarias locales, en particular para los productos que presentan déficits importantes: arroz (100% de las necesidades en 2016), frutas y verduras (100% de las necesidades en 2020) y carne y asaduras (62% de las necesidades en 2020); v) la aprobación de la política de desarrollo de los comedores escolares, especialmente en las zonas rurales, como una oportunidad para mejorar la situación nutricional de los niños</w:t>
      </w:r>
      <w:r w:rsidR="00BB7BBB" w:rsidRPr="004C49DE">
        <w:rPr>
          <w:szCs w:val="22"/>
          <w:lang w:val="es-ES_tradnl" w:eastAsia="en-US"/>
        </w:rPr>
        <w:t>.</w:t>
      </w:r>
      <w:r w:rsidRPr="004C49DE">
        <w:rPr>
          <w:szCs w:val="22"/>
          <w:lang w:val="es-ES_tradnl" w:eastAsia="en-US"/>
        </w:rPr>
        <w:t xml:space="preserve"> En 2014, el 43% de los centros escolares públicos contaban con un comedor en funcionamiento</w:t>
      </w:r>
      <w:r w:rsidR="00BB7BBB" w:rsidRPr="004C49DE">
        <w:rPr>
          <w:szCs w:val="22"/>
          <w:lang w:val="es-ES_tradnl" w:eastAsia="en-US"/>
        </w:rPr>
        <w:t>.</w:t>
      </w:r>
    </w:p>
    <w:p w14:paraId="0ECE1E18" w14:textId="65AAB676"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Reunir datos desglosados sobre el número de abortos practicados en condiciones de riesgo, asegurar la prestación de asistencia médica cualificada y servicios sanitarios a las mujeres y las niñas que sufren complicaciones de salud como consecuencia de abortos y despenalizar el aborto en determinadas circunstancias, en especial cuando el embarazo pone en peligro la vida o la salud de la madre, así como en caso de incesto y violación, y más concretamente en el caso de violaciones perpetradas en un contexto de conflicto o posterior al conflicto (véase </w:t>
      </w:r>
      <w:hyperlink r:id="rId8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41 d))</w:t>
      </w:r>
      <w:r w:rsidR="00BB7BBB" w:rsidRPr="004C49DE">
        <w:rPr>
          <w:b/>
          <w:szCs w:val="22"/>
          <w:lang w:val="es-ES_tradnl" w:eastAsia="en-US"/>
        </w:rPr>
        <w:t>.</w:t>
      </w:r>
    </w:p>
    <w:p w14:paraId="1DCC9F05" w14:textId="008317DA"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Los datos sobre este tema son de difícil acceso en el marco de la restrictiva ley contra el aborto sin riesgo</w:t>
      </w:r>
      <w:r w:rsidR="00BB7BBB" w:rsidRPr="004C49DE">
        <w:rPr>
          <w:szCs w:val="22"/>
          <w:lang w:val="es-ES_tradnl" w:eastAsia="en-US"/>
        </w:rPr>
        <w:t>.</w:t>
      </w:r>
      <w:r w:rsidRPr="004C49DE">
        <w:rPr>
          <w:szCs w:val="22"/>
          <w:lang w:val="es-ES_tradnl" w:eastAsia="en-US"/>
        </w:rPr>
        <w:t xml:space="preserve"> Sin embargo, algunos estudios realizados en el país muestran que los abortos clandestinos persisten en el país, con una tasa de evolución del 31% en 1994, del 41,5% en 2006 y del 42,5% en 2012</w:t>
      </w:r>
      <w:r w:rsidRPr="004C49DE">
        <w:rPr>
          <w:szCs w:val="22"/>
          <w:vertAlign w:val="superscript"/>
          <w:lang w:val="es-ES_tradnl" w:eastAsia="en-US"/>
        </w:rPr>
        <w:footnoteReference w:id="21"/>
      </w:r>
      <w:r w:rsidR="00BB7BBB" w:rsidRPr="004C49DE">
        <w:rPr>
          <w:szCs w:val="22"/>
          <w:lang w:val="es-ES_tradnl" w:eastAsia="en-US"/>
        </w:rPr>
        <w:t>.</w:t>
      </w:r>
    </w:p>
    <w:p w14:paraId="0A742C22" w14:textId="41D1BCA1"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Se está poniendo en práctica la estrategia para el tratamiento de las complicaciones ligadas a los abortos clandestinos inducidos, denominado </w:t>
      </w:r>
      <w:r w:rsidR="004C49DE">
        <w:rPr>
          <w:szCs w:val="22"/>
          <w:lang w:val="es-ES_tradnl" w:eastAsia="en-US"/>
        </w:rPr>
        <w:t>“</w:t>
      </w:r>
      <w:r w:rsidRPr="004C49DE">
        <w:rPr>
          <w:szCs w:val="22"/>
          <w:lang w:val="es-ES_tradnl" w:eastAsia="en-US"/>
        </w:rPr>
        <w:t>atención posterior al aborto</w:t>
      </w:r>
      <w:r w:rsidR="004C49DE">
        <w:rPr>
          <w:szCs w:val="22"/>
          <w:lang w:val="es-ES_tradnl" w:eastAsia="en-US"/>
        </w:rPr>
        <w:t>”</w:t>
      </w:r>
      <w:r w:rsidRPr="004C49DE">
        <w:rPr>
          <w:szCs w:val="22"/>
          <w:lang w:val="es-ES_tradnl" w:eastAsia="en-US"/>
        </w:rPr>
        <w:t>, que es una de las principales intervenciones encaminadas a combatir la mortalidad materna</w:t>
      </w:r>
      <w:r w:rsidR="00BB7BBB" w:rsidRPr="004C49DE">
        <w:rPr>
          <w:szCs w:val="22"/>
          <w:lang w:val="es-ES_tradnl" w:eastAsia="en-US"/>
        </w:rPr>
        <w:t>.</w:t>
      </w:r>
    </w:p>
    <w:p w14:paraId="25CDB88B" w14:textId="6126C653"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Promover ampliamente la educación sobre la salud sexual y reproductiva y los derechos conexos, en particular emprendiendo campañas de sensibilización a gran escala dirigidas a la población en general, integrando la educación efectiva en esa esfera, adaptada a la edad de los alumnos, en todos los niveles de enseñanza e incorporándola a los programas de estudio (véase </w:t>
      </w:r>
      <w:hyperlink r:id="rId8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41 e))</w:t>
      </w:r>
      <w:r w:rsidR="00BB7BBB" w:rsidRPr="004C49DE">
        <w:rPr>
          <w:b/>
          <w:szCs w:val="22"/>
          <w:lang w:val="es-ES_tradnl" w:eastAsia="en-US"/>
        </w:rPr>
        <w:t>.</w:t>
      </w:r>
    </w:p>
    <w:p w14:paraId="07B69A4C" w14:textId="17BFD906"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Desde 2014, el Ministerio de Promoción de la Juventud ofrece, en colaboración con el Ministerio de Educación Nacional, actividades de sensibilización y prestaciones sanitarias en un centenar de departamentos cada año</w:t>
      </w:r>
      <w:r w:rsidR="00BB7BBB" w:rsidRPr="004C49DE">
        <w:rPr>
          <w:szCs w:val="22"/>
          <w:lang w:val="es-ES_tradnl" w:eastAsia="en-US"/>
        </w:rPr>
        <w:t>.</w:t>
      </w:r>
      <w:r w:rsidRPr="004C49DE">
        <w:rPr>
          <w:szCs w:val="22"/>
          <w:lang w:val="es-ES_tradnl" w:eastAsia="en-US"/>
        </w:rPr>
        <w:t xml:space="preserve"> Se destinan a adolescentes y jóvenes de entre 10 y 24 años, y se centran en la educación sexual, la </w:t>
      </w:r>
      <w:r w:rsidRPr="004C49DE">
        <w:rPr>
          <w:szCs w:val="22"/>
          <w:lang w:val="es-ES_tradnl" w:eastAsia="en-US"/>
        </w:rPr>
        <w:lastRenderedPageBreak/>
        <w:t>distribución de preservativos y la prueba del VIH</w:t>
      </w:r>
      <w:r w:rsidR="00BB7BBB" w:rsidRPr="004C49DE">
        <w:rPr>
          <w:szCs w:val="22"/>
          <w:lang w:val="es-ES_tradnl" w:eastAsia="en-US"/>
        </w:rPr>
        <w:t>.</w:t>
      </w:r>
      <w:r w:rsidRPr="004C49DE">
        <w:rPr>
          <w:szCs w:val="22"/>
          <w:lang w:val="es-ES_tradnl" w:eastAsia="en-US"/>
        </w:rPr>
        <w:t xml:space="preserve"> Así, en 2014 se sensibilizó a 207</w:t>
      </w:r>
      <w:r w:rsidR="00BB7BBB" w:rsidRPr="004C49DE">
        <w:rPr>
          <w:szCs w:val="22"/>
          <w:lang w:val="es-ES_tradnl" w:eastAsia="en-US"/>
        </w:rPr>
        <w:t>.</w:t>
      </w:r>
      <w:r w:rsidRPr="004C49DE">
        <w:rPr>
          <w:szCs w:val="22"/>
          <w:lang w:val="es-ES_tradnl" w:eastAsia="en-US"/>
        </w:rPr>
        <w:t>235 jóvenes, de los cuales 84</w:t>
      </w:r>
      <w:r w:rsidR="00BB7BBB" w:rsidRPr="004C49DE">
        <w:rPr>
          <w:szCs w:val="22"/>
          <w:lang w:val="es-ES_tradnl" w:eastAsia="en-US"/>
        </w:rPr>
        <w:t>.</w:t>
      </w:r>
      <w:r w:rsidRPr="004C49DE">
        <w:rPr>
          <w:szCs w:val="22"/>
          <w:lang w:val="es-ES_tradnl" w:eastAsia="en-US"/>
        </w:rPr>
        <w:t>557 eran niñas</w:t>
      </w:r>
      <w:r w:rsidR="00BB7BBB" w:rsidRPr="004C49DE">
        <w:rPr>
          <w:szCs w:val="22"/>
          <w:lang w:val="es-ES_tradnl" w:eastAsia="en-US"/>
        </w:rPr>
        <w:t>.</w:t>
      </w:r>
    </w:p>
    <w:p w14:paraId="4BFD94A2" w14:textId="279348DA"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pacing w:val="3"/>
          <w:szCs w:val="22"/>
          <w:lang w:val="es-ES_tradnl" w:eastAsia="en-US"/>
        </w:rPr>
        <w:t>Acelerar la aprobación del proyecto de ley sobre las personas que viven con el VIH/sida y garantizar el tratamiento antirretrovírico gratuito a todos los hombres y mujeres infectados por el virus, en particular las mujeres embarazadas con el fin de prevenir la transmisión maternoinfantil, y seguir</w:t>
      </w:r>
      <w:r w:rsidR="001A14E9" w:rsidRPr="004C49DE">
        <w:rPr>
          <w:b/>
          <w:spacing w:val="3"/>
          <w:szCs w:val="22"/>
          <w:lang w:val="es-ES_tradnl" w:eastAsia="en-US"/>
        </w:rPr>
        <w:t xml:space="preserve"> </w:t>
      </w:r>
      <w:r w:rsidRPr="004C49DE">
        <w:rPr>
          <w:b/>
          <w:spacing w:val="3"/>
          <w:szCs w:val="22"/>
          <w:lang w:val="es-ES_tradnl" w:eastAsia="en-US"/>
        </w:rPr>
        <w:t>sensibilizando a las madres y los padres que viven con el VIH/sida sobre la importancia de prevenir esa transmisión (véase</w:t>
      </w:r>
      <w:r w:rsidRPr="004C49DE">
        <w:rPr>
          <w:b/>
          <w:szCs w:val="22"/>
          <w:lang w:val="es-ES_tradnl" w:eastAsia="en-US"/>
        </w:rPr>
        <w:t xml:space="preserve"> </w:t>
      </w:r>
      <w:hyperlink r:id="rId8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001A14E9" w:rsidRPr="004C49DE">
        <w:rPr>
          <w:b/>
          <w:szCs w:val="22"/>
          <w:lang w:val="es-ES_tradnl" w:eastAsia="en-US"/>
        </w:rPr>
        <w:t xml:space="preserve"> </w:t>
      </w:r>
      <w:r w:rsidRPr="004C49DE">
        <w:rPr>
          <w:b/>
          <w:szCs w:val="22"/>
          <w:lang w:val="es-ES_tradnl" w:eastAsia="en-US"/>
        </w:rPr>
        <w:t>41 f))</w:t>
      </w:r>
      <w:r w:rsidR="00BB7BBB" w:rsidRPr="004C49DE">
        <w:rPr>
          <w:b/>
          <w:szCs w:val="22"/>
          <w:lang w:val="es-ES_tradnl" w:eastAsia="en-US"/>
        </w:rPr>
        <w:t>.</w:t>
      </w:r>
    </w:p>
    <w:p w14:paraId="4D480043" w14:textId="2F8A5B0E"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En el plano jurídico, la aprobación de la </w:t>
      </w:r>
      <w:r w:rsidRPr="004C49DE">
        <w:rPr>
          <w:i/>
          <w:szCs w:val="22"/>
          <w:lang w:val="es-ES_tradnl" w:eastAsia="en-US"/>
        </w:rPr>
        <w:t>Ley núm</w:t>
      </w:r>
      <w:r w:rsidR="00BB7BBB" w:rsidRPr="004C49DE">
        <w:rPr>
          <w:i/>
          <w:szCs w:val="22"/>
          <w:lang w:val="es-ES_tradnl" w:eastAsia="en-US"/>
        </w:rPr>
        <w:t>.</w:t>
      </w:r>
      <w:r w:rsidRPr="004C49DE">
        <w:rPr>
          <w:i/>
          <w:szCs w:val="22"/>
          <w:lang w:val="es-ES_tradnl" w:eastAsia="en-US"/>
        </w:rPr>
        <w:t xml:space="preserve"> 2014</w:t>
      </w:r>
      <w:r w:rsidR="001A14E9" w:rsidRPr="004C49DE">
        <w:rPr>
          <w:i/>
          <w:szCs w:val="22"/>
          <w:lang w:val="es-ES_tradnl" w:eastAsia="en-US"/>
        </w:rPr>
        <w:noBreakHyphen/>
      </w:r>
      <w:r w:rsidRPr="004C49DE">
        <w:rPr>
          <w:i/>
          <w:szCs w:val="22"/>
          <w:lang w:val="es-ES_tradnl" w:eastAsia="en-US"/>
        </w:rPr>
        <w:t>430, de 14 de julio de</w:t>
      </w:r>
      <w:r w:rsidR="001A14E9" w:rsidRPr="004C49DE">
        <w:rPr>
          <w:i/>
          <w:szCs w:val="22"/>
          <w:lang w:val="es-ES_tradnl" w:eastAsia="en-US"/>
        </w:rPr>
        <w:t xml:space="preserve"> </w:t>
      </w:r>
      <w:r w:rsidRPr="004C49DE">
        <w:rPr>
          <w:i/>
          <w:szCs w:val="22"/>
          <w:lang w:val="es-ES_tradnl" w:eastAsia="en-US"/>
        </w:rPr>
        <w:t>2014, relativa al sistema de prevención, protección y enjuiciamiento en la lucha contra el VIH/sida</w:t>
      </w:r>
      <w:r w:rsidR="00BB7BBB" w:rsidRPr="004C49DE">
        <w:rPr>
          <w:szCs w:val="22"/>
          <w:lang w:val="es-ES_tradnl" w:eastAsia="en-US"/>
        </w:rPr>
        <w:t>.</w:t>
      </w:r>
    </w:p>
    <w:p w14:paraId="450F1F80" w14:textId="2A43932B"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el plano institucional, la revisión del Plan Estratégico Nacional de Lucha contra la Infección por el VIH/Sida y las Infecciones de Transmisión Sexual, durante un período de aplicación breve hasta 2015, y la creación de la Dirección para la Coordinación del Programa Nacional de Lucha contra el Sida en 2014</w:t>
      </w:r>
      <w:r w:rsidR="00BB7BBB" w:rsidRPr="004C49DE">
        <w:rPr>
          <w:szCs w:val="22"/>
          <w:lang w:val="es-ES_tradnl" w:eastAsia="en-US"/>
        </w:rPr>
        <w:t>.</w:t>
      </w:r>
    </w:p>
    <w:p w14:paraId="302605F8" w14:textId="4A9223E5"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atención se centra en los cuidados paliativos, el cuidado físico y el apoyo nutricional, espiritual y psicosocial para todos los pacientes, independientemente de su sexo</w:t>
      </w:r>
      <w:r w:rsidR="00BB7BBB" w:rsidRPr="004C49DE">
        <w:rPr>
          <w:szCs w:val="22"/>
          <w:lang w:val="es-ES_tradnl" w:eastAsia="en-US"/>
        </w:rPr>
        <w:t>.</w:t>
      </w:r>
      <w:r w:rsidRPr="004C49DE">
        <w:rPr>
          <w:szCs w:val="22"/>
          <w:lang w:val="es-ES_tradnl" w:eastAsia="en-US"/>
        </w:rPr>
        <w:t xml:space="preserve"> Los medicamentos antirretrovíricos gratis para las personas con derecho a recibirlos en Côte d</w:t>
      </w:r>
      <w:r w:rsidR="004C49DE">
        <w:rPr>
          <w:szCs w:val="22"/>
          <w:lang w:val="es-ES_tradnl" w:eastAsia="en-US"/>
        </w:rPr>
        <w:t>’</w:t>
      </w:r>
      <w:r w:rsidRPr="004C49DE">
        <w:rPr>
          <w:szCs w:val="22"/>
          <w:lang w:val="es-ES_tradnl" w:eastAsia="en-US"/>
        </w:rPr>
        <w:t>Ivoire están disponibles tanto para los hombres como para las mujeres</w:t>
      </w:r>
      <w:r w:rsidR="00BB7BBB" w:rsidRPr="004C49DE">
        <w:rPr>
          <w:szCs w:val="22"/>
          <w:lang w:val="es-ES_tradnl" w:eastAsia="en-US"/>
        </w:rPr>
        <w:t>.</w:t>
      </w:r>
      <w:r w:rsidRPr="004C49DE">
        <w:rPr>
          <w:szCs w:val="22"/>
          <w:lang w:val="es-ES_tradnl" w:eastAsia="en-US"/>
        </w:rPr>
        <w:t xml:space="preserve"> En el caso de las mujeres embarazadas, se realiza sistemáticamente un reconocimiento inicial previo al tratamiento y cabe señalar el aumento de los centros de prevención de la transmisión maternoinfantil</w:t>
      </w:r>
      <w:r w:rsidR="00BB7BBB" w:rsidRPr="004C49DE">
        <w:rPr>
          <w:szCs w:val="22"/>
          <w:lang w:val="es-ES_tradnl" w:eastAsia="en-US"/>
        </w:rPr>
        <w:t>.</w:t>
      </w:r>
    </w:p>
    <w:p w14:paraId="3BE2AC71" w14:textId="5E3EF411" w:rsidR="005460C7" w:rsidRPr="004C49DE" w:rsidRDefault="005460C7" w:rsidP="00BB7BBB">
      <w:pPr>
        <w:pStyle w:val="SingleTxt"/>
        <w:suppressAutoHyphens w:val="0"/>
        <w:spacing w:after="0" w:line="120" w:lineRule="exact"/>
        <w:rPr>
          <w:sz w:val="10"/>
          <w:szCs w:val="10"/>
          <w:lang w:val="es-ES_tradnl"/>
        </w:rPr>
      </w:pPr>
    </w:p>
    <w:p w14:paraId="01FE3190" w14:textId="77777777" w:rsidR="000C3123" w:rsidRPr="004C49DE" w:rsidRDefault="000C3123" w:rsidP="00A50CED">
      <w:pPr>
        <w:pStyle w:val="H23"/>
        <w:suppressAutoHyphens w:val="0"/>
        <w:ind w:right="1260"/>
        <w:rPr>
          <w:bCs w:val="0"/>
          <w:lang w:val="es-ES_tradnl" w:eastAsia="en-US"/>
        </w:rPr>
      </w:pPr>
      <w:r w:rsidRPr="004C49DE">
        <w:rPr>
          <w:bCs w:val="0"/>
          <w:lang w:val="es-ES_tradnl" w:eastAsia="en-US"/>
        </w:rPr>
        <w:tab/>
      </w:r>
      <w:r w:rsidRPr="004C49DE">
        <w:rPr>
          <w:bCs w:val="0"/>
          <w:lang w:val="es-ES_tradnl" w:eastAsia="en-US"/>
        </w:rPr>
        <w:tab/>
        <w:t>Matrimonio y relaciones familiares</w:t>
      </w:r>
    </w:p>
    <w:p w14:paraId="0FC011DF" w14:textId="77777777" w:rsidR="005460C7" w:rsidRPr="004C49DE" w:rsidRDefault="005460C7" w:rsidP="00A50CED">
      <w:pPr>
        <w:pStyle w:val="SingleTxt"/>
        <w:keepNext/>
        <w:keepLines/>
        <w:suppressAutoHyphens w:val="0"/>
        <w:spacing w:after="0" w:line="120" w:lineRule="exact"/>
        <w:rPr>
          <w:sz w:val="10"/>
          <w:szCs w:val="10"/>
          <w:lang w:val="es-ES_tradnl"/>
        </w:rPr>
      </w:pPr>
    </w:p>
    <w:p w14:paraId="567A401A" w14:textId="585E9FD9" w:rsidR="000C3123" w:rsidRPr="004C49DE" w:rsidRDefault="000C3123" w:rsidP="00A50CED">
      <w:pPr>
        <w:pStyle w:val="SingleTxt"/>
        <w:keepNext/>
        <w:keepLines/>
        <w:numPr>
          <w:ilvl w:val="0"/>
          <w:numId w:val="6"/>
        </w:numPr>
        <w:suppressAutoHyphens w:val="0"/>
        <w:ind w:left="1267" w:firstLine="0"/>
        <w:rPr>
          <w:b/>
          <w:szCs w:val="22"/>
          <w:lang w:val="es-ES_tradnl" w:eastAsia="en-US"/>
        </w:rPr>
      </w:pPr>
      <w:r w:rsidRPr="004C49DE">
        <w:rPr>
          <w:b/>
          <w:szCs w:val="22"/>
          <w:lang w:val="es-ES_tradnl" w:eastAsia="en-US"/>
        </w:rPr>
        <w:t xml:space="preserve">Velar por la aplicación efectiva de las disposiciones legales destinadas a eliminar la práctica de los matrimonios polígamos (véase </w:t>
      </w:r>
      <w:hyperlink r:id="rId9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43 a))</w:t>
      </w:r>
      <w:r w:rsidR="00BB7BBB" w:rsidRPr="004C49DE">
        <w:rPr>
          <w:b/>
          <w:szCs w:val="22"/>
          <w:lang w:val="es-ES_tradnl" w:eastAsia="en-US"/>
        </w:rPr>
        <w:t>.</w:t>
      </w:r>
    </w:p>
    <w:p w14:paraId="033907EC" w14:textId="55D65EDA" w:rsidR="00BB7BBB" w:rsidRPr="004C49DE" w:rsidRDefault="000C3123" w:rsidP="00A50CED">
      <w:pPr>
        <w:pStyle w:val="SingleTxt"/>
        <w:keepNext/>
        <w:keepLines/>
        <w:numPr>
          <w:ilvl w:val="0"/>
          <w:numId w:val="6"/>
        </w:numPr>
        <w:suppressAutoHyphens w:val="0"/>
        <w:ind w:left="1267" w:firstLine="0"/>
        <w:rPr>
          <w:szCs w:val="22"/>
          <w:lang w:val="es-ES_tradnl" w:eastAsia="en-US"/>
        </w:rPr>
      </w:pPr>
      <w:r w:rsidRPr="004C49DE">
        <w:rPr>
          <w:szCs w:val="22"/>
          <w:lang w:val="es-ES_tradnl" w:eastAsia="en-US"/>
        </w:rPr>
        <w:t>El artículo 4 de la ley sobre el matrimonio establece que los hombres y las mujeres mayores de edad y solteros dan su consentimiento para el matrimonio</w:t>
      </w:r>
      <w:r w:rsidR="00BB7BBB" w:rsidRPr="004C49DE">
        <w:rPr>
          <w:szCs w:val="22"/>
          <w:lang w:val="es-ES_tradnl" w:eastAsia="en-US"/>
        </w:rPr>
        <w:t>.</w:t>
      </w:r>
      <w:r w:rsidRPr="004C49DE">
        <w:rPr>
          <w:szCs w:val="22"/>
          <w:lang w:val="es-ES_tradnl" w:eastAsia="en-US"/>
        </w:rPr>
        <w:t xml:space="preserve"> Además, el artículo 20 dispone que </w:t>
      </w:r>
      <w:r w:rsidR="004C49DE">
        <w:rPr>
          <w:szCs w:val="22"/>
          <w:lang w:val="es-ES_tradnl" w:eastAsia="en-US"/>
        </w:rPr>
        <w:t>“</w:t>
      </w:r>
      <w:r w:rsidRPr="004C49DE">
        <w:rPr>
          <w:szCs w:val="22"/>
          <w:lang w:val="es-ES_tradnl" w:eastAsia="en-US"/>
        </w:rPr>
        <w:t>los ministros de culto no podrán celebrar ceremonias religiosas si no se ha justificado mediante la presentación del certificado previsto en el artículo 28 la celebración civil</w:t>
      </w:r>
      <w:r w:rsidR="004C49DE">
        <w:rPr>
          <w:szCs w:val="22"/>
          <w:lang w:val="es-ES_tradnl" w:eastAsia="en-US"/>
        </w:rPr>
        <w:t>”</w:t>
      </w:r>
      <w:r w:rsidRPr="004C49DE">
        <w:rPr>
          <w:szCs w:val="22"/>
          <w:lang w:val="es-ES_tradnl" w:eastAsia="en-US"/>
        </w:rPr>
        <w:t>, lo que rechaza por tanto cualquier tipo de matrimonio polígamo</w:t>
      </w:r>
      <w:r w:rsidR="00BB7BBB" w:rsidRPr="004C49DE">
        <w:rPr>
          <w:szCs w:val="22"/>
          <w:lang w:val="es-ES_tradnl" w:eastAsia="en-US"/>
        </w:rPr>
        <w:t>.</w:t>
      </w:r>
    </w:p>
    <w:p w14:paraId="527BB3EF" w14:textId="41271AB4"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Modificar sin demora el Código Penal a fin de prohibir el levirato y el sororato, y las prácticas discriminatorias respecto de la herencia de la mujer (véase </w:t>
      </w:r>
      <w:hyperlink r:id="rId9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43 b))</w:t>
      </w:r>
      <w:r w:rsidR="00BB7BBB" w:rsidRPr="004C49DE">
        <w:rPr>
          <w:b/>
          <w:szCs w:val="22"/>
          <w:lang w:val="es-ES_tradnl" w:eastAsia="en-US"/>
        </w:rPr>
        <w:t>.</w:t>
      </w:r>
    </w:p>
    <w:p w14:paraId="6EB2BAA7" w14:textId="20B1BDEC"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revisión del Código Penal para incluir la prohibición del levirato y del sororato, así como las prácticas discriminatorias, todavía está en curso</w:t>
      </w:r>
      <w:r w:rsidR="00BB7BBB" w:rsidRPr="004C49DE">
        <w:rPr>
          <w:szCs w:val="22"/>
          <w:lang w:val="es-ES_tradnl" w:eastAsia="en-US"/>
        </w:rPr>
        <w:t>.</w:t>
      </w:r>
      <w:r w:rsidRPr="004C49DE">
        <w:rPr>
          <w:szCs w:val="22"/>
          <w:lang w:val="es-ES_tradnl" w:eastAsia="en-US"/>
        </w:rPr>
        <w:t xml:space="preserve"> Sin embargo, cuando se recurre a la justicia, esta falla a favor de la mujer que, conforme a la ley de sucesiones, hereda de su cónyuge</w:t>
      </w:r>
      <w:r w:rsidR="00BB7BBB" w:rsidRPr="004C49DE">
        <w:rPr>
          <w:szCs w:val="22"/>
          <w:lang w:val="es-ES_tradnl" w:eastAsia="en-US"/>
        </w:rPr>
        <w:t>.</w:t>
      </w:r>
    </w:p>
    <w:p w14:paraId="59AF88E9" w14:textId="14384130"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Aprobar con prontitud el proyecto de Código de la Persona y la Familia, y</w:t>
      </w:r>
      <w:r w:rsidR="001A14E9" w:rsidRPr="004C49DE">
        <w:rPr>
          <w:b/>
          <w:szCs w:val="22"/>
          <w:lang w:val="es-ES_tradnl" w:eastAsia="en-US"/>
        </w:rPr>
        <w:t xml:space="preserve"> </w:t>
      </w:r>
      <w:r w:rsidRPr="004C49DE">
        <w:rPr>
          <w:b/>
          <w:szCs w:val="22"/>
          <w:lang w:val="es-ES_tradnl" w:eastAsia="en-US"/>
        </w:rPr>
        <w:t xml:space="preserve">garantizar que sea exhaustivo y que se ajuste a la Convención (véase </w:t>
      </w:r>
      <w:hyperlink r:id="rId92"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43 c))</w:t>
      </w:r>
      <w:r w:rsidR="00BB7BBB" w:rsidRPr="004C49DE">
        <w:rPr>
          <w:b/>
          <w:szCs w:val="22"/>
          <w:lang w:val="es-ES_tradnl" w:eastAsia="en-US"/>
        </w:rPr>
        <w:t>.</w:t>
      </w:r>
    </w:p>
    <w:p w14:paraId="79FCAA09" w14:textId="185F232D"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proyecto de revisión del Código de la Persona y la Familia forma parte del proceso de reforma judicial en curso</w:t>
      </w:r>
      <w:r w:rsidR="00BB7BBB" w:rsidRPr="004C49DE">
        <w:rPr>
          <w:szCs w:val="22"/>
          <w:lang w:val="es-ES_tradnl" w:eastAsia="en-US"/>
        </w:rPr>
        <w:t>.</w:t>
      </w:r>
    </w:p>
    <w:p w14:paraId="0D60DBFF" w14:textId="4D298117"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Revisar y modificar sin dilación las disposiciones discriminatorias vigentes, como las relativas a la diferencia entre hombres y mujeres en la edad para contraer matrimonio, el otorgamiento de todo el poder de decisión a los hombres, el período de espera impuesto a las mujeres para contraer nuevas nupcias y la </w:t>
      </w:r>
      <w:r w:rsidRPr="004C49DE">
        <w:rPr>
          <w:b/>
          <w:szCs w:val="22"/>
          <w:lang w:val="es-ES_tradnl" w:eastAsia="en-US"/>
        </w:rPr>
        <w:lastRenderedPageBreak/>
        <w:t xml:space="preserve">diferencia en la admisibilidad de las pruebas en caso de adulterio, con miras a ajustarlas plenamente a lo dispuesto en los artículos 2 y 16 de la Convención (véase </w:t>
      </w:r>
      <w:hyperlink r:id="rId93"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43 d))</w:t>
      </w:r>
      <w:r w:rsidR="00BB7BBB" w:rsidRPr="004C49DE">
        <w:rPr>
          <w:b/>
          <w:szCs w:val="22"/>
          <w:lang w:val="es-ES_tradnl" w:eastAsia="en-US"/>
        </w:rPr>
        <w:t>.</w:t>
      </w:r>
    </w:p>
    <w:p w14:paraId="57E4888C" w14:textId="2637F3BA"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Las disposiciones discriminatorias vigentes fueron recogidas en un documento sobre la legislación discriminatoria y se incluyeron en el proyecto de revisión del Código de la Persona y la Familia</w:t>
      </w:r>
      <w:r w:rsidR="00BB7BBB" w:rsidRPr="004C49DE">
        <w:rPr>
          <w:szCs w:val="22"/>
          <w:lang w:val="es-ES_tradnl" w:eastAsia="en-US"/>
        </w:rPr>
        <w:t>.</w:t>
      </w:r>
      <w:r w:rsidRPr="004C49DE">
        <w:rPr>
          <w:szCs w:val="22"/>
          <w:lang w:val="es-ES_tradnl" w:eastAsia="en-US"/>
        </w:rPr>
        <w:t xml:space="preserve"> Se corrigieron las disposiciones con carácter discriminatorio, concretamente la diferencia en la edad para contraer matrimonio en el caso de las mujeres y los hombres, el período de espera para un nuevo matrimonio de la mujer y las diferencias en la admisibilidad de las pruebas en caso de adulterio</w:t>
      </w:r>
      <w:r w:rsidR="00BB7BBB" w:rsidRPr="004C49DE">
        <w:rPr>
          <w:szCs w:val="22"/>
          <w:lang w:val="es-ES_tradnl" w:eastAsia="en-US"/>
        </w:rPr>
        <w:t>.</w:t>
      </w:r>
    </w:p>
    <w:p w14:paraId="75574490" w14:textId="6051220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lo que respecta al otorgamiento de todo el poder de decisión a los hombres, la Ley 2013</w:t>
      </w:r>
      <w:r w:rsidR="001A14E9" w:rsidRPr="004C49DE">
        <w:rPr>
          <w:szCs w:val="22"/>
          <w:lang w:val="es-ES_tradnl" w:eastAsia="en-US"/>
        </w:rPr>
        <w:noBreakHyphen/>
      </w:r>
      <w:r w:rsidRPr="004C49DE">
        <w:rPr>
          <w:szCs w:val="22"/>
          <w:lang w:val="es-ES_tradnl" w:eastAsia="en-US"/>
        </w:rPr>
        <w:t>33, de 13 de enero de 2013, eliminó esta desigualdad al suprimir el concepto de cabeza de familia, derogar el artículo 53 y modificar los artículos 58, 59, 60 y 67</w:t>
      </w:r>
      <w:r w:rsidR="00BB7BBB" w:rsidRPr="004C49DE">
        <w:rPr>
          <w:szCs w:val="22"/>
          <w:lang w:val="es-ES_tradnl" w:eastAsia="en-US"/>
        </w:rPr>
        <w:t>.</w:t>
      </w:r>
      <w:r w:rsidRPr="004C49DE">
        <w:rPr>
          <w:szCs w:val="22"/>
          <w:lang w:val="es-ES_tradnl" w:eastAsia="en-US"/>
        </w:rPr>
        <w:t xml:space="preserve"> Esta nueva ley establece la gestión compartida del hogar, en pie de igualdad para el hombre y la mujer, con la participación de ambos miembros en función de sus respectivos medios</w:t>
      </w:r>
      <w:r w:rsidR="00BB7BBB" w:rsidRPr="004C49DE">
        <w:rPr>
          <w:szCs w:val="22"/>
          <w:lang w:val="es-ES_tradnl" w:eastAsia="en-US"/>
        </w:rPr>
        <w:t>.</w:t>
      </w:r>
    </w:p>
    <w:p w14:paraId="2FEE431F" w14:textId="77777777" w:rsidR="00B51E37" w:rsidRPr="004C49DE" w:rsidRDefault="00B51E37" w:rsidP="00BB7BBB">
      <w:pPr>
        <w:pStyle w:val="SingleTxt"/>
        <w:suppressAutoHyphens w:val="0"/>
        <w:spacing w:after="0" w:line="120" w:lineRule="exact"/>
        <w:rPr>
          <w:sz w:val="10"/>
          <w:szCs w:val="10"/>
          <w:lang w:val="es-ES_tradnl"/>
        </w:rPr>
      </w:pPr>
    </w:p>
    <w:p w14:paraId="38D332AB" w14:textId="77777777" w:rsidR="00BB7BBB" w:rsidRPr="004C49DE" w:rsidRDefault="000C3123" w:rsidP="000768E2">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Institución nacional de derechos humanos</w:t>
      </w:r>
    </w:p>
    <w:p w14:paraId="0E260843" w14:textId="6D1424C3" w:rsidR="00B51E37" w:rsidRPr="004C49DE" w:rsidRDefault="00B51E37" w:rsidP="000768E2">
      <w:pPr>
        <w:pStyle w:val="SingleTxt"/>
        <w:suppressAutoHyphens w:val="0"/>
        <w:spacing w:after="0" w:line="120" w:lineRule="exact"/>
        <w:rPr>
          <w:sz w:val="10"/>
          <w:szCs w:val="10"/>
          <w:lang w:val="es-ES_tradnl"/>
        </w:rPr>
      </w:pPr>
    </w:p>
    <w:p w14:paraId="6417A178" w14:textId="4C4A211A" w:rsidR="000C3123" w:rsidRPr="004C49DE" w:rsidRDefault="000C3123" w:rsidP="000768E2">
      <w:pPr>
        <w:pStyle w:val="SingleTxt"/>
        <w:numPr>
          <w:ilvl w:val="0"/>
          <w:numId w:val="6"/>
        </w:numPr>
        <w:suppressAutoHyphens w:val="0"/>
        <w:ind w:left="1267" w:firstLine="0"/>
        <w:rPr>
          <w:szCs w:val="22"/>
          <w:lang w:val="es-ES_tradnl" w:eastAsia="en-US"/>
        </w:rPr>
      </w:pPr>
      <w:r w:rsidRPr="004C49DE">
        <w:rPr>
          <w:szCs w:val="22"/>
          <w:lang w:val="es-ES_tradnl" w:eastAsia="en-US"/>
        </w:rPr>
        <w:t>V</w:t>
      </w:r>
      <w:r w:rsidRPr="004C49DE">
        <w:rPr>
          <w:b/>
          <w:szCs w:val="22"/>
          <w:lang w:val="es-ES_tradnl" w:eastAsia="en-US"/>
        </w:rPr>
        <w:t xml:space="preserve">elar por que la Comisión Nacional de Derechos Humanos cumpla los Principios de París y disponga de recursos suficientes para un mandato amplio en materia de derechos humanos y un mandato específico sobre igualdad de género (véase </w:t>
      </w:r>
      <w:hyperlink r:id="rId94"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45 a))</w:t>
      </w:r>
      <w:r w:rsidR="00BB7BBB" w:rsidRPr="004C49DE">
        <w:rPr>
          <w:b/>
          <w:szCs w:val="22"/>
          <w:lang w:val="es-ES_tradnl" w:eastAsia="en-US"/>
        </w:rPr>
        <w:t>.</w:t>
      </w:r>
    </w:p>
    <w:p w14:paraId="799A5C18" w14:textId="0C0F9D16" w:rsidR="000C3123" w:rsidRPr="004C49DE" w:rsidRDefault="000C3123" w:rsidP="000768E2">
      <w:pPr>
        <w:pStyle w:val="SingleTxt"/>
        <w:keepNext/>
        <w:keepLines/>
        <w:numPr>
          <w:ilvl w:val="0"/>
          <w:numId w:val="6"/>
        </w:numPr>
        <w:suppressAutoHyphens w:val="0"/>
        <w:ind w:left="1267" w:firstLine="0"/>
        <w:rPr>
          <w:szCs w:val="22"/>
          <w:lang w:val="es-ES_tradnl" w:eastAsia="en-US"/>
        </w:rPr>
      </w:pPr>
      <w:r w:rsidRPr="004C49DE">
        <w:rPr>
          <w:szCs w:val="22"/>
          <w:lang w:val="es-ES_tradnl" w:eastAsia="en-US"/>
        </w:rPr>
        <w:t>La Comisión Nacional de Derechos Humanos de Côte d</w:t>
      </w:r>
      <w:r w:rsidR="004C49DE">
        <w:rPr>
          <w:szCs w:val="22"/>
          <w:lang w:val="es-ES_tradnl" w:eastAsia="en-US"/>
        </w:rPr>
        <w:t>’</w:t>
      </w:r>
      <w:r w:rsidRPr="004C49DE">
        <w:rPr>
          <w:szCs w:val="22"/>
          <w:lang w:val="es-ES_tradnl" w:eastAsia="en-US"/>
        </w:rPr>
        <w:t>Ivoire, sobre la base del análisis del expediente presentado ante el Subcomité</w:t>
      </w:r>
      <w:r w:rsidRPr="004C49DE">
        <w:rPr>
          <w:szCs w:val="22"/>
          <w:vertAlign w:val="superscript"/>
          <w:lang w:val="es-ES_tradnl" w:eastAsia="en-US"/>
        </w:rPr>
        <w:footnoteReference w:id="22"/>
      </w:r>
      <w:r w:rsidRPr="004C49DE">
        <w:rPr>
          <w:szCs w:val="22"/>
          <w:lang w:val="es-ES_tradnl" w:eastAsia="en-US"/>
        </w:rPr>
        <w:t xml:space="preserve"> de Acreditación en mayo de 2016, fue acreditada con la categoría B con una serie de recomendaciones a fin de cumplir en todos los sentidos los Principios de París</w:t>
      </w:r>
      <w:r w:rsidR="00BB7BBB" w:rsidRPr="004C49DE">
        <w:rPr>
          <w:szCs w:val="22"/>
          <w:lang w:val="es-ES_tradnl" w:eastAsia="en-US"/>
        </w:rPr>
        <w:t>.</w:t>
      </w:r>
    </w:p>
    <w:p w14:paraId="31CC0D50" w14:textId="52E4C2CD"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Garantizar que la composición y las actividades de la Comisión Nacional de Derechos Humanos tengan en cuenta la perspectiva de género y que el organismo se ocupe de todas las cuestiones relativas a los derechos humanos de la mujer (véase </w:t>
      </w:r>
      <w:hyperlink r:id="rId95"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45 b))</w:t>
      </w:r>
      <w:r w:rsidR="00BB7BBB" w:rsidRPr="004C49DE">
        <w:rPr>
          <w:b/>
          <w:szCs w:val="22"/>
          <w:lang w:val="es-ES_tradnl" w:eastAsia="en-US"/>
        </w:rPr>
        <w:t>.</w:t>
      </w:r>
    </w:p>
    <w:p w14:paraId="05036FDF" w14:textId="663BC754" w:rsidR="00BB7BBB" w:rsidRPr="004C49DE" w:rsidRDefault="000C3123" w:rsidP="0059595F">
      <w:pPr>
        <w:pStyle w:val="SingleTxt"/>
        <w:numPr>
          <w:ilvl w:val="0"/>
          <w:numId w:val="6"/>
        </w:numPr>
        <w:suppressAutoHyphens w:val="0"/>
        <w:ind w:left="1267" w:firstLine="0"/>
        <w:rPr>
          <w:spacing w:val="0"/>
          <w:szCs w:val="22"/>
          <w:lang w:val="es-ES_tradnl" w:eastAsia="en-US"/>
        </w:rPr>
      </w:pPr>
      <w:r w:rsidRPr="004C49DE">
        <w:rPr>
          <w:spacing w:val="0"/>
          <w:szCs w:val="22"/>
          <w:lang w:val="es-ES_tradnl" w:eastAsia="en-US"/>
        </w:rPr>
        <w:t>La Convención sobre la Eliminación de Todas las Formas de Discriminación contra la Mujer, que es un instrumento de trabajo de la Comisión Nacional de Derechos Humanos de Côte d</w:t>
      </w:r>
      <w:r w:rsidR="004C49DE">
        <w:rPr>
          <w:spacing w:val="0"/>
          <w:szCs w:val="22"/>
          <w:lang w:val="es-ES_tradnl" w:eastAsia="en-US"/>
        </w:rPr>
        <w:t>’</w:t>
      </w:r>
      <w:r w:rsidRPr="004C49DE">
        <w:rPr>
          <w:spacing w:val="0"/>
          <w:szCs w:val="22"/>
          <w:lang w:val="es-ES_tradnl" w:eastAsia="en-US"/>
        </w:rPr>
        <w:t>Ivoire, dirige todas sus actividades de sensibilización y protección</w:t>
      </w:r>
      <w:r w:rsidR="00BB7BBB" w:rsidRPr="004C49DE">
        <w:rPr>
          <w:spacing w:val="0"/>
          <w:szCs w:val="22"/>
          <w:lang w:val="es-ES_tradnl" w:eastAsia="en-US"/>
        </w:rPr>
        <w:t>.</w:t>
      </w:r>
      <w:r w:rsidRPr="004C49DE">
        <w:rPr>
          <w:spacing w:val="0"/>
          <w:szCs w:val="22"/>
          <w:lang w:val="es-ES_tradnl" w:eastAsia="en-US"/>
        </w:rPr>
        <w:t xml:space="preserve"> Así, la Comisión Nacional de Derechos Humanos de Côte d</w:t>
      </w:r>
      <w:r w:rsidR="004C49DE">
        <w:rPr>
          <w:spacing w:val="0"/>
          <w:szCs w:val="22"/>
          <w:lang w:val="es-ES_tradnl" w:eastAsia="en-US"/>
        </w:rPr>
        <w:t>’</w:t>
      </w:r>
      <w:r w:rsidRPr="004C49DE">
        <w:rPr>
          <w:spacing w:val="0"/>
          <w:szCs w:val="22"/>
          <w:lang w:val="es-ES_tradnl" w:eastAsia="en-US"/>
        </w:rPr>
        <w:t>Ivoire llevó a cabo actividades sobre el empoderamiento y el adelanto de la mujer</w:t>
      </w:r>
      <w:r w:rsidR="00BB7BBB" w:rsidRPr="004C49DE">
        <w:rPr>
          <w:spacing w:val="0"/>
          <w:szCs w:val="22"/>
          <w:lang w:val="es-ES_tradnl" w:eastAsia="en-US"/>
        </w:rPr>
        <w:t>.</w:t>
      </w:r>
      <w:r w:rsidRPr="004C49DE">
        <w:rPr>
          <w:spacing w:val="0"/>
          <w:szCs w:val="22"/>
          <w:lang w:val="es-ES_tradnl" w:eastAsia="en-US"/>
        </w:rPr>
        <w:t xml:space="preserve"> También prestó apoyo a las mujeres encarceladas en </w:t>
      </w:r>
      <w:r w:rsidR="0059595F" w:rsidRPr="004C49DE">
        <w:rPr>
          <w:spacing w:val="0"/>
          <w:szCs w:val="22"/>
          <w:lang w:val="es-ES_tradnl" w:eastAsia="en-US"/>
        </w:rPr>
        <w:t>e</w:t>
      </w:r>
      <w:r w:rsidRPr="004C49DE">
        <w:rPr>
          <w:spacing w:val="0"/>
          <w:szCs w:val="22"/>
          <w:lang w:val="es-ES_tradnl" w:eastAsia="en-US"/>
        </w:rPr>
        <w:t xml:space="preserve">l </w:t>
      </w:r>
      <w:r w:rsidR="0059595F" w:rsidRPr="004C49DE">
        <w:rPr>
          <w:spacing w:val="0"/>
          <w:szCs w:val="22"/>
          <w:lang w:val="es-ES_tradnl" w:eastAsia="en-US"/>
        </w:rPr>
        <w:t>Centro de Detención Preventiva y Correccional de Abiyán</w:t>
      </w:r>
      <w:r w:rsidR="00BB7BBB" w:rsidRPr="004C49DE">
        <w:rPr>
          <w:spacing w:val="0"/>
          <w:szCs w:val="22"/>
          <w:lang w:val="es-ES_tradnl" w:eastAsia="en-US"/>
        </w:rPr>
        <w:t>.</w:t>
      </w:r>
    </w:p>
    <w:p w14:paraId="158BD9CC" w14:textId="1AEEF6EE"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pacing w:val="0"/>
          <w:szCs w:val="22"/>
          <w:lang w:val="es-ES_tradnl" w:eastAsia="en-US"/>
        </w:rPr>
        <w:t>Además, está finalizando el proceso de elaboración del informe de la Comisión Nacional de Derechos Humanos de Côte d</w:t>
      </w:r>
      <w:r w:rsidR="004C49DE">
        <w:rPr>
          <w:spacing w:val="0"/>
          <w:szCs w:val="22"/>
          <w:lang w:val="es-ES_tradnl" w:eastAsia="en-US"/>
        </w:rPr>
        <w:t>’</w:t>
      </w:r>
      <w:r w:rsidRPr="004C49DE">
        <w:rPr>
          <w:spacing w:val="0"/>
          <w:szCs w:val="22"/>
          <w:lang w:val="es-ES_tradnl" w:eastAsia="en-US"/>
        </w:rPr>
        <w:t>Ivoire relativo a la violencia contra la</w:t>
      </w:r>
      <w:r w:rsidR="005A2325" w:rsidRPr="004C49DE">
        <w:rPr>
          <w:spacing w:val="0"/>
          <w:szCs w:val="22"/>
          <w:lang w:val="es-ES_tradnl" w:eastAsia="en-US"/>
        </w:rPr>
        <w:t> </w:t>
      </w:r>
      <w:r w:rsidRPr="004C49DE">
        <w:rPr>
          <w:spacing w:val="0"/>
          <w:szCs w:val="22"/>
          <w:lang w:val="es-ES_tradnl" w:eastAsia="en-US"/>
        </w:rPr>
        <w:t>mujer</w:t>
      </w:r>
      <w:r w:rsidR="00BB7BBB" w:rsidRPr="004C49DE">
        <w:rPr>
          <w:szCs w:val="22"/>
          <w:lang w:val="es-ES_tradnl" w:eastAsia="en-US"/>
        </w:rPr>
        <w:t>.</w:t>
      </w:r>
    </w:p>
    <w:p w14:paraId="312F34F6" w14:textId="77777777" w:rsidR="005A2325" w:rsidRPr="004C49DE" w:rsidRDefault="005A2325" w:rsidP="00BB7BBB">
      <w:pPr>
        <w:pStyle w:val="SingleTxt"/>
        <w:suppressAutoHyphens w:val="0"/>
        <w:spacing w:after="0" w:line="120" w:lineRule="exact"/>
        <w:rPr>
          <w:sz w:val="10"/>
          <w:szCs w:val="10"/>
          <w:lang w:val="es-ES_tradnl"/>
        </w:rPr>
      </w:pPr>
    </w:p>
    <w:p w14:paraId="1DD9CFFF"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Declaración y Plataforma de Acción de Beijing</w:t>
      </w:r>
    </w:p>
    <w:p w14:paraId="1F2CC42A" w14:textId="6FE77754" w:rsidR="005A2325" w:rsidRPr="004C49DE" w:rsidRDefault="005A2325" w:rsidP="00BB7BBB">
      <w:pPr>
        <w:pStyle w:val="SingleTxt"/>
        <w:suppressAutoHyphens w:val="0"/>
        <w:spacing w:after="0" w:line="120" w:lineRule="exact"/>
        <w:rPr>
          <w:sz w:val="10"/>
          <w:szCs w:val="10"/>
          <w:lang w:val="es-ES_tradnl"/>
        </w:rPr>
      </w:pPr>
    </w:p>
    <w:p w14:paraId="136E37FB" w14:textId="2D1222F1"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 (véase </w:t>
      </w:r>
      <w:hyperlink r:id="rId96"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46)</w:t>
      </w:r>
      <w:r w:rsidR="00BB7BBB" w:rsidRPr="004C49DE">
        <w:rPr>
          <w:b/>
          <w:szCs w:val="22"/>
          <w:lang w:val="es-ES_tradnl" w:eastAsia="en-US"/>
        </w:rPr>
        <w:t>.</w:t>
      </w:r>
    </w:p>
    <w:p w14:paraId="06665EEB" w14:textId="46D60074"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Con el apoyo de los organismos del sistema de las Naciones Unidas, Côte d</w:t>
      </w:r>
      <w:r w:rsidR="004C49DE">
        <w:rPr>
          <w:szCs w:val="22"/>
          <w:lang w:val="es-ES_tradnl" w:eastAsia="en-US"/>
        </w:rPr>
        <w:t>’</w:t>
      </w:r>
      <w:r w:rsidRPr="004C49DE">
        <w:rPr>
          <w:szCs w:val="22"/>
          <w:lang w:val="es-ES_tradnl" w:eastAsia="en-US"/>
        </w:rPr>
        <w:t xml:space="preserve">Ivoire evaluó sucesivamente la aplicación de la Plataforma de Acción de Beijing en </w:t>
      </w:r>
      <w:r w:rsidRPr="004C49DE">
        <w:rPr>
          <w:szCs w:val="22"/>
          <w:lang w:val="es-ES_tradnl" w:eastAsia="en-US"/>
        </w:rPr>
        <w:lastRenderedPageBreak/>
        <w:t>2000, 2005, 2010 y 2015</w:t>
      </w:r>
      <w:r w:rsidR="00BB7BBB" w:rsidRPr="004C49DE">
        <w:rPr>
          <w:szCs w:val="22"/>
          <w:lang w:val="es-ES_tradnl" w:eastAsia="en-US"/>
        </w:rPr>
        <w:t>.</w:t>
      </w:r>
      <w:r w:rsidRPr="004C49DE">
        <w:rPr>
          <w:szCs w:val="22"/>
          <w:lang w:val="es-ES_tradnl" w:eastAsia="en-US"/>
        </w:rPr>
        <w:t xml:space="preserve"> El último informe elaborado en 2014 puso de relieve algunos aspectos</w:t>
      </w:r>
      <w:r w:rsidR="00BB7BBB" w:rsidRPr="004C49DE">
        <w:rPr>
          <w:szCs w:val="22"/>
          <w:lang w:val="es-ES_tradnl" w:eastAsia="en-US"/>
        </w:rPr>
        <w:t>.</w:t>
      </w:r>
    </w:p>
    <w:p w14:paraId="205422D5" w14:textId="0B581BFE"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Los dos (2) fracasos identificados en el logro de la igualdad de género y el empoderamiento de la mujer son: i) la falta de mejoría en la representación de las mujeres en los puestos de adopción de decisiones, como se había previsto; de hecho, Côte d</w:t>
      </w:r>
      <w:r w:rsidR="004C49DE">
        <w:rPr>
          <w:szCs w:val="22"/>
          <w:lang w:val="es-ES_tradnl" w:eastAsia="en-US"/>
        </w:rPr>
        <w:t>’</w:t>
      </w:r>
      <w:r w:rsidRPr="004C49DE">
        <w:rPr>
          <w:szCs w:val="22"/>
          <w:lang w:val="es-ES_tradnl" w:eastAsia="en-US"/>
        </w:rPr>
        <w:t>Ivoire se encuentra lejos de la cuota del 30% establecida por la Conferencia de Beijing; y II) la inexistencia de un mecanismo para el control ciudadano de las medidas planteadas por el Gobierno en el ámbito de las cuestiones de género y el empoderamiento de la mujer</w:t>
      </w:r>
      <w:r w:rsidR="00BB7BBB" w:rsidRPr="004C49DE">
        <w:rPr>
          <w:szCs w:val="22"/>
          <w:lang w:val="es-ES_tradnl" w:eastAsia="en-US"/>
        </w:rPr>
        <w:t>.</w:t>
      </w:r>
    </w:p>
    <w:p w14:paraId="56C90777" w14:textId="77777777" w:rsidR="005A2325" w:rsidRPr="004C49DE" w:rsidRDefault="005A2325" w:rsidP="00BB7BBB">
      <w:pPr>
        <w:pStyle w:val="SingleTxt"/>
        <w:suppressAutoHyphens w:val="0"/>
        <w:spacing w:after="0" w:line="120" w:lineRule="exact"/>
        <w:rPr>
          <w:sz w:val="10"/>
          <w:szCs w:val="10"/>
          <w:lang w:val="es-ES_tradnl"/>
        </w:rPr>
      </w:pPr>
    </w:p>
    <w:p w14:paraId="3DA38ADC" w14:textId="77777777" w:rsidR="00BB7BBB" w:rsidRPr="004C49DE" w:rsidRDefault="000C3123" w:rsidP="000768E2">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Objetivos de Desarrollo del Milenio</w:t>
      </w:r>
    </w:p>
    <w:p w14:paraId="4B614881" w14:textId="480D347D" w:rsidR="005A2325" w:rsidRPr="004C49DE" w:rsidRDefault="005A2325" w:rsidP="000768E2">
      <w:pPr>
        <w:pStyle w:val="SingleTxt"/>
        <w:suppressAutoHyphens w:val="0"/>
        <w:spacing w:after="0" w:line="120" w:lineRule="exact"/>
        <w:rPr>
          <w:sz w:val="10"/>
          <w:szCs w:val="10"/>
          <w:lang w:val="es-ES_tradnl"/>
        </w:rPr>
      </w:pPr>
    </w:p>
    <w:p w14:paraId="6E27476A" w14:textId="2BD343AE" w:rsidR="000C3123" w:rsidRPr="004C49DE" w:rsidRDefault="000C3123" w:rsidP="000768E2">
      <w:pPr>
        <w:pStyle w:val="SingleTxt"/>
        <w:numPr>
          <w:ilvl w:val="0"/>
          <w:numId w:val="6"/>
        </w:numPr>
        <w:suppressAutoHyphens w:val="0"/>
        <w:ind w:left="1267" w:firstLine="0"/>
        <w:rPr>
          <w:b/>
          <w:szCs w:val="22"/>
          <w:lang w:val="es-ES_tradnl" w:eastAsia="en-US"/>
        </w:rPr>
      </w:pPr>
      <w:r w:rsidRPr="004C49DE">
        <w:rPr>
          <w:b/>
          <w:szCs w:val="22"/>
          <w:lang w:val="es-ES_tradnl" w:eastAsia="en-US"/>
        </w:rPr>
        <w:t>El Comité pone de relieve que la aplicación plena y efectiva de la Convención es indispensable para alcanzar los Objetivos de Desarrollo del Milenio</w:t>
      </w:r>
      <w:r w:rsidR="00BB7BBB" w:rsidRPr="004C49DE">
        <w:rPr>
          <w:b/>
          <w:szCs w:val="22"/>
          <w:lang w:val="es-ES_tradnl" w:eastAsia="en-US"/>
        </w:rPr>
        <w:t>.</w:t>
      </w:r>
      <w:r w:rsidRPr="004C49DE">
        <w:rPr>
          <w:b/>
          <w:szCs w:val="22"/>
          <w:lang w:val="es-ES_tradnl" w:eastAsia="en-US"/>
        </w:rPr>
        <w:t xml:space="preserve"> Hace un llamamiento para la reflexión sobre la incorporación de una</w:t>
      </w:r>
      <w:r w:rsidR="001A14E9" w:rsidRPr="004C49DE">
        <w:rPr>
          <w:b/>
          <w:szCs w:val="22"/>
          <w:lang w:val="es-ES_tradnl" w:eastAsia="en-US"/>
        </w:rPr>
        <w:t xml:space="preserve"> </w:t>
      </w:r>
      <w:r w:rsidRPr="004C49DE">
        <w:rPr>
          <w:b/>
          <w:szCs w:val="22"/>
          <w:lang w:val="es-ES_tradnl" w:eastAsia="en-US"/>
        </w:rPr>
        <w:t xml:space="preserve">perspectiva de género explícita conforme a las disposiciones de la Convención en todas las actividades destinadas al logro de los Objetivos de Desarrollo del Milenio, y pide al Estado parte que incluya información al respecto en su próximo informe periódico (véase </w:t>
      </w:r>
      <w:hyperlink r:id="rId97"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001A14E9" w:rsidRPr="004C49DE">
        <w:rPr>
          <w:b/>
          <w:szCs w:val="22"/>
          <w:lang w:val="es-ES_tradnl" w:eastAsia="en-US"/>
        </w:rPr>
        <w:t xml:space="preserve"> </w:t>
      </w:r>
      <w:r w:rsidRPr="004C49DE">
        <w:rPr>
          <w:b/>
          <w:szCs w:val="22"/>
          <w:lang w:val="es-ES_tradnl" w:eastAsia="en-US"/>
        </w:rPr>
        <w:t>47)</w:t>
      </w:r>
      <w:r w:rsidR="00BB7BBB" w:rsidRPr="004C49DE">
        <w:rPr>
          <w:b/>
          <w:szCs w:val="22"/>
          <w:lang w:val="es-ES_tradnl" w:eastAsia="en-US"/>
        </w:rPr>
        <w:t>.</w:t>
      </w:r>
    </w:p>
    <w:p w14:paraId="5D16346E" w14:textId="1EC28043" w:rsidR="00BB7BBB" w:rsidRPr="004C49DE" w:rsidRDefault="000C3123" w:rsidP="000768E2">
      <w:pPr>
        <w:pStyle w:val="SingleTxt"/>
        <w:keepNext/>
        <w:keepLines/>
        <w:numPr>
          <w:ilvl w:val="0"/>
          <w:numId w:val="6"/>
        </w:numPr>
        <w:suppressAutoHyphens w:val="0"/>
        <w:ind w:left="1267" w:firstLine="0"/>
        <w:rPr>
          <w:szCs w:val="22"/>
          <w:lang w:val="es-ES_tradnl" w:eastAsia="en-US"/>
        </w:rPr>
      </w:pPr>
      <w:r w:rsidRPr="004C49DE">
        <w:rPr>
          <w:szCs w:val="22"/>
          <w:lang w:val="es-ES_tradnl" w:eastAsia="en-US"/>
        </w:rPr>
        <w:t>El empoderamiento económico de la mujer para alcanzar los ODM en Côte</w:t>
      </w:r>
      <w:r w:rsidR="00876022" w:rsidRPr="004C49DE">
        <w:rPr>
          <w:szCs w:val="22"/>
          <w:lang w:val="es-ES_tradnl" w:eastAsia="en-US"/>
        </w:rPr>
        <w:t> </w:t>
      </w:r>
      <w:r w:rsidRPr="004C49DE">
        <w:rPr>
          <w:szCs w:val="22"/>
          <w:lang w:val="es-ES_tradnl" w:eastAsia="en-US"/>
        </w:rPr>
        <w:t>d</w:t>
      </w:r>
      <w:r w:rsidR="004C49DE">
        <w:rPr>
          <w:szCs w:val="22"/>
          <w:lang w:val="es-ES_tradnl" w:eastAsia="en-US"/>
        </w:rPr>
        <w:t>’</w:t>
      </w:r>
      <w:r w:rsidRPr="004C49DE">
        <w:rPr>
          <w:szCs w:val="22"/>
          <w:lang w:val="es-ES_tradnl" w:eastAsia="en-US"/>
        </w:rPr>
        <w:t>Ivoire se plasmó en la asistencia de los organismos del sistema de las Naciones Unidas a través del fortalecimiento de la capacidad técnica y financiera de las organizaciones de mujeres</w:t>
      </w:r>
      <w:r w:rsidR="00BB7BBB" w:rsidRPr="004C49DE">
        <w:rPr>
          <w:szCs w:val="22"/>
          <w:lang w:val="es-ES_tradnl" w:eastAsia="en-US"/>
        </w:rPr>
        <w:t>.</w:t>
      </w:r>
    </w:p>
    <w:p w14:paraId="1638BFAA" w14:textId="11D2EB2E"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Por medio de un enfoque, por una parte, de protección del medio ambiente y de mejora de las condiciones de vida y, por otra parte, de participación de la mujer en la gestión del medio ambiente, se llevaron a cabo estudios bajo el amparo del MPFFPE y del Ministerio de Medio Ambiente y Desarrollo Sostenible</w:t>
      </w:r>
      <w:r w:rsidR="00BB7BBB" w:rsidRPr="004C49DE">
        <w:rPr>
          <w:szCs w:val="22"/>
          <w:lang w:val="es-ES_tradnl" w:eastAsia="en-US"/>
        </w:rPr>
        <w:t>.</w:t>
      </w:r>
      <w:r w:rsidRPr="004C49DE">
        <w:rPr>
          <w:szCs w:val="22"/>
          <w:lang w:val="es-ES_tradnl" w:eastAsia="en-US"/>
        </w:rPr>
        <w:t xml:space="preserve"> Se trata de los siguientes: i) estudio sobre la integración del enfoque basado en el género en el sector de los recursos hídricos, de 2015; ii) situación y perspectivas de las energías limpias para cocina en Côte d</w:t>
      </w:r>
      <w:r w:rsidR="004C49DE">
        <w:rPr>
          <w:szCs w:val="22"/>
          <w:lang w:val="es-ES_tradnl" w:eastAsia="en-US"/>
        </w:rPr>
        <w:t>’</w:t>
      </w:r>
      <w:r w:rsidRPr="004C49DE">
        <w:rPr>
          <w:szCs w:val="22"/>
          <w:lang w:val="es-ES_tradnl" w:eastAsia="en-US"/>
        </w:rPr>
        <w:t>Ivoire, de 2015; y iii) evaluación de la oferta y la demanda de combustibles domésticos y tendencias en las zonas agroecológicas que se definen en el mecanismo para la reducción de las emisiones debidas a la deforestación y la degradación forestal y función de la conservación, la gestión sostenible de los bosques y el aumento de las reservas forestales de carbono en los países en desarrollo (REDD</w:t>
      </w:r>
      <w:r w:rsidR="001A14E9" w:rsidRPr="004C49DE">
        <w:rPr>
          <w:szCs w:val="22"/>
          <w:lang w:val="es-ES_tradnl" w:eastAsia="en-US"/>
        </w:rPr>
        <w:noBreakHyphen/>
      </w:r>
      <w:r w:rsidRPr="004C49DE">
        <w:rPr>
          <w:szCs w:val="22"/>
          <w:lang w:val="es-ES_tradnl" w:eastAsia="en-US"/>
        </w:rPr>
        <w:t>plus), de 2016</w:t>
      </w:r>
      <w:r w:rsidR="00BB7BBB" w:rsidRPr="004C49DE">
        <w:rPr>
          <w:szCs w:val="22"/>
          <w:lang w:val="es-ES_tradnl" w:eastAsia="en-US"/>
        </w:rPr>
        <w:t>.</w:t>
      </w:r>
    </w:p>
    <w:p w14:paraId="7E406390" w14:textId="37E63980" w:rsidR="00876022" w:rsidRPr="004C49DE" w:rsidRDefault="00876022" w:rsidP="00BB7BBB">
      <w:pPr>
        <w:pStyle w:val="SingleTxt"/>
        <w:suppressAutoHyphens w:val="0"/>
        <w:spacing w:after="0" w:line="120" w:lineRule="exact"/>
        <w:rPr>
          <w:sz w:val="10"/>
          <w:szCs w:val="10"/>
          <w:lang w:val="es-ES_tradnl"/>
        </w:rPr>
      </w:pPr>
    </w:p>
    <w:p w14:paraId="07389808"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Difusión de las observaciones finales</w:t>
      </w:r>
    </w:p>
    <w:p w14:paraId="212D232E" w14:textId="77777777" w:rsidR="00876022" w:rsidRPr="004C49DE" w:rsidRDefault="00876022" w:rsidP="00BB7BBB">
      <w:pPr>
        <w:pStyle w:val="SingleTxt"/>
        <w:suppressAutoHyphens w:val="0"/>
        <w:spacing w:after="0" w:line="120" w:lineRule="exact"/>
        <w:rPr>
          <w:sz w:val="10"/>
          <w:szCs w:val="10"/>
          <w:lang w:val="es-ES_tradnl"/>
        </w:rPr>
      </w:pPr>
    </w:p>
    <w:p w14:paraId="5BAB5EFF" w14:textId="62D832AA"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El Comité pide al Estado parte que siga difundiendo ampliamente, sobre todo entre las mujeres y las organizaciones de derechos humanos, las recomendaciones generales del Comité, la Declaración y la Plataforma de Acción de Beijing, y los resultados del vigésimo tercer período extraordinario de sesiones de la Asamblea General, dedicado al tema </w:t>
      </w:r>
      <w:r w:rsidR="004C49DE">
        <w:rPr>
          <w:b/>
          <w:szCs w:val="22"/>
          <w:lang w:val="es-ES_tradnl" w:eastAsia="en-US"/>
        </w:rPr>
        <w:t>“</w:t>
      </w:r>
      <w:r w:rsidRPr="004C49DE">
        <w:rPr>
          <w:b/>
          <w:szCs w:val="22"/>
          <w:lang w:val="es-ES_tradnl" w:eastAsia="en-US"/>
        </w:rPr>
        <w:t>La mujer en el año</w:t>
      </w:r>
      <w:r w:rsidR="001A14E9" w:rsidRPr="004C49DE">
        <w:rPr>
          <w:b/>
          <w:szCs w:val="22"/>
          <w:lang w:val="es-ES_tradnl" w:eastAsia="en-US"/>
        </w:rPr>
        <w:t xml:space="preserve"> </w:t>
      </w:r>
      <w:r w:rsidRPr="004C49DE">
        <w:rPr>
          <w:b/>
          <w:szCs w:val="22"/>
          <w:lang w:val="es-ES_tradnl" w:eastAsia="en-US"/>
        </w:rPr>
        <w:t>2000: igualdad entre los géneros, desarrollo y paz para el siglo XXI</w:t>
      </w:r>
      <w:r w:rsidR="004C49DE">
        <w:rPr>
          <w:b/>
          <w:szCs w:val="22"/>
          <w:lang w:val="es-ES_tradnl" w:eastAsia="en-US"/>
        </w:rPr>
        <w:t>”</w:t>
      </w:r>
      <w:r w:rsidRPr="004C49DE">
        <w:rPr>
          <w:b/>
          <w:szCs w:val="22"/>
          <w:lang w:val="es-ES_tradnl" w:eastAsia="en-US"/>
        </w:rPr>
        <w:t xml:space="preserve"> (véase </w:t>
      </w:r>
      <w:hyperlink r:id="rId98"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48)</w:t>
      </w:r>
      <w:r w:rsidR="00BB7BBB" w:rsidRPr="004C49DE">
        <w:rPr>
          <w:b/>
          <w:szCs w:val="22"/>
          <w:lang w:val="es-ES_tradnl" w:eastAsia="en-US"/>
        </w:rPr>
        <w:t>.</w:t>
      </w:r>
    </w:p>
    <w:p w14:paraId="7D9A43CA" w14:textId="34A64EC6" w:rsidR="00BB7BBB" w:rsidRPr="004C49DE" w:rsidRDefault="000C3123" w:rsidP="00BB7BBB">
      <w:pPr>
        <w:pStyle w:val="SingleTxt"/>
        <w:numPr>
          <w:ilvl w:val="0"/>
          <w:numId w:val="6"/>
        </w:numPr>
        <w:suppressAutoHyphens w:val="0"/>
        <w:ind w:left="1267" w:firstLine="0"/>
        <w:rPr>
          <w:spacing w:val="0"/>
          <w:szCs w:val="22"/>
          <w:lang w:val="es-ES_tradnl" w:eastAsia="en-US"/>
        </w:rPr>
      </w:pPr>
      <w:r w:rsidRPr="004C49DE">
        <w:rPr>
          <w:spacing w:val="0"/>
          <w:szCs w:val="22"/>
          <w:lang w:val="es-ES_tradnl" w:eastAsia="en-US"/>
        </w:rPr>
        <w:t>El MPFFPE ha organizado diferentes emisiones por televisión y radio para informar a la población sobre la Convención sobre la Eliminación de Todas las Formas de Discriminación contra la Mujer, la resolución 1325 y la Plataforma de Acción de Beijing</w:t>
      </w:r>
      <w:r w:rsidR="00BB7BBB" w:rsidRPr="004C49DE">
        <w:rPr>
          <w:spacing w:val="0"/>
          <w:szCs w:val="22"/>
          <w:lang w:val="es-ES_tradnl" w:eastAsia="en-US"/>
        </w:rPr>
        <w:t>.</w:t>
      </w:r>
    </w:p>
    <w:p w14:paraId="31A5707E" w14:textId="1A1DA045" w:rsidR="00876022" w:rsidRPr="004C49DE" w:rsidRDefault="00876022" w:rsidP="00BB7BBB">
      <w:pPr>
        <w:pStyle w:val="SingleTxt"/>
        <w:suppressAutoHyphens w:val="0"/>
        <w:spacing w:after="0" w:line="120" w:lineRule="exact"/>
        <w:rPr>
          <w:sz w:val="10"/>
          <w:szCs w:val="10"/>
          <w:lang w:val="es-ES_tradnl"/>
        </w:rPr>
      </w:pPr>
    </w:p>
    <w:p w14:paraId="32D96253"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Ratificación de otros tratados</w:t>
      </w:r>
    </w:p>
    <w:p w14:paraId="589DC7BE" w14:textId="77777777" w:rsidR="00876022" w:rsidRPr="004C49DE" w:rsidRDefault="00876022" w:rsidP="00BB7BBB">
      <w:pPr>
        <w:pStyle w:val="SingleTxt"/>
        <w:suppressAutoHyphens w:val="0"/>
        <w:spacing w:after="0" w:line="120" w:lineRule="exact"/>
        <w:rPr>
          <w:sz w:val="10"/>
          <w:szCs w:val="10"/>
          <w:lang w:val="es-ES_tradnl"/>
        </w:rPr>
      </w:pPr>
    </w:p>
    <w:p w14:paraId="3804A9B4" w14:textId="1B1C9667"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 xml:space="preserve">El Comité alienta al Estado parte a que considere la posibilidad de ratificar los tratados en que todavía no es parte, a saber, la Convención Internacional sobre la Protección de los Derechos de Todos los Trabajadores Migratorios y de </w:t>
      </w:r>
      <w:r w:rsidRPr="004C49DE">
        <w:rPr>
          <w:b/>
          <w:szCs w:val="22"/>
          <w:lang w:val="es-ES_tradnl" w:eastAsia="en-US"/>
        </w:rPr>
        <w:lastRenderedPageBreak/>
        <w:t xml:space="preserve">sus Familiares, la Convención Internacional para la Protección de Todas las Personas contra las Desapariciones Forzadas y la Convención sobre los Derechos de las Personas con Discapacidad (véase </w:t>
      </w:r>
      <w:hyperlink r:id="rId99"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49)</w:t>
      </w:r>
      <w:r w:rsidR="00BB7BBB" w:rsidRPr="004C49DE">
        <w:rPr>
          <w:b/>
          <w:szCs w:val="22"/>
          <w:lang w:val="es-ES_tradnl" w:eastAsia="en-US"/>
        </w:rPr>
        <w:t>.</w:t>
      </w:r>
    </w:p>
    <w:p w14:paraId="25EF2487" w14:textId="63BF2AE9"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Côte d</w:t>
      </w:r>
      <w:r w:rsidR="004C49DE">
        <w:rPr>
          <w:szCs w:val="22"/>
          <w:lang w:val="es-ES_tradnl" w:eastAsia="en-US"/>
        </w:rPr>
        <w:t>’</w:t>
      </w:r>
      <w:r w:rsidRPr="004C49DE">
        <w:rPr>
          <w:szCs w:val="22"/>
          <w:lang w:val="es-ES_tradnl" w:eastAsia="en-US"/>
        </w:rPr>
        <w:t>Ivoire no ha podido materializar el deseo del Comité de ratificar las siguientes convenciones: i) la Convención Internacional sobre la Protección de los Derechos de Todos los Trabajadores Migratorios y de sus Familiares; y ii) la Convención Internacional para la Protección de Todas las Personas contra las Desapariciones Forzadas</w:t>
      </w:r>
      <w:r w:rsidR="00BB7BBB" w:rsidRPr="004C49DE">
        <w:rPr>
          <w:szCs w:val="22"/>
          <w:lang w:val="es-ES_tradnl" w:eastAsia="en-US"/>
        </w:rPr>
        <w:t>.</w:t>
      </w:r>
    </w:p>
    <w:p w14:paraId="6259031E" w14:textId="77777777" w:rsidR="00876022" w:rsidRPr="004C49DE" w:rsidRDefault="00876022" w:rsidP="00BB7BBB">
      <w:pPr>
        <w:pStyle w:val="SingleTxt"/>
        <w:suppressAutoHyphens w:val="0"/>
        <w:spacing w:after="0" w:line="120" w:lineRule="exact"/>
        <w:rPr>
          <w:sz w:val="10"/>
          <w:szCs w:val="10"/>
          <w:lang w:val="es-ES_tradnl"/>
        </w:rPr>
      </w:pPr>
    </w:p>
    <w:p w14:paraId="0BD978F5"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Informes elaborados</w:t>
      </w:r>
    </w:p>
    <w:p w14:paraId="3102076D" w14:textId="77777777" w:rsidR="00876022" w:rsidRPr="004C49DE" w:rsidRDefault="00876022" w:rsidP="00BB7BBB">
      <w:pPr>
        <w:pStyle w:val="SingleTxt"/>
        <w:suppressAutoHyphens w:val="0"/>
        <w:spacing w:after="0" w:line="120" w:lineRule="exact"/>
        <w:rPr>
          <w:sz w:val="10"/>
          <w:szCs w:val="10"/>
          <w:lang w:val="es-ES_tradnl"/>
        </w:rPr>
      </w:pPr>
    </w:p>
    <w:p w14:paraId="64AEF83D" w14:textId="5F408B76"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Côte d</w:t>
      </w:r>
      <w:r w:rsidR="004C49DE">
        <w:rPr>
          <w:szCs w:val="22"/>
          <w:lang w:val="es-ES_tradnl" w:eastAsia="en-US"/>
        </w:rPr>
        <w:t>’</w:t>
      </w:r>
      <w:r w:rsidRPr="004C49DE">
        <w:rPr>
          <w:szCs w:val="22"/>
          <w:lang w:val="es-ES_tradnl" w:eastAsia="en-US"/>
        </w:rPr>
        <w:t>Ivoire ha elaborado numerosos informes en relación con los instrumentos jurídicos que ha ratificado</w:t>
      </w:r>
      <w:r w:rsidR="00BB7BBB" w:rsidRPr="004C49DE">
        <w:rPr>
          <w:szCs w:val="22"/>
          <w:lang w:val="es-ES_tradnl" w:eastAsia="en-US"/>
        </w:rPr>
        <w:t>.</w:t>
      </w:r>
      <w:r w:rsidRPr="004C49DE">
        <w:rPr>
          <w:szCs w:val="22"/>
          <w:lang w:val="es-ES_tradnl" w:eastAsia="en-US"/>
        </w:rPr>
        <w:t xml:space="preserve"> Se trata, entre otros, de los siguientes: i) la Convención sobre la Eliminación de Todas las Formas de Discriminación contra la Mujer, en octubre de 2011; ii) la Plataforma de Acción de Beijing, en concreto el examen al cabo de 20 años de la aplicación de la Declaración y la Plataforma de Acción de Beijing (Beijing+20), en 2014; iii) el examen periódico universal, en particular, el segundo informe del 29 de abril de 2014; iv) la Carta Africana de Derechos Humanos y de los Pueblos, en octubre de 2012 y en 2016; v) la Declaración Solemne de los Jefes de Estado y de Gobierno sobre la Igualdad entre los Géneros en África, en 2014; vi) la Carta Africana sobre los Derechos y el Bienestar del Niño, en diciembre de 2015; y vii) la Convención sobre los Derechos del Niño, en enero 2016</w:t>
      </w:r>
      <w:r w:rsidR="00BB7BBB" w:rsidRPr="004C49DE">
        <w:rPr>
          <w:szCs w:val="22"/>
          <w:lang w:val="es-ES_tradnl" w:eastAsia="en-US"/>
        </w:rPr>
        <w:t>.</w:t>
      </w:r>
    </w:p>
    <w:p w14:paraId="7B299B3B" w14:textId="22279C96" w:rsidR="00876022" w:rsidRPr="004C49DE" w:rsidRDefault="00876022" w:rsidP="00BB7BBB">
      <w:pPr>
        <w:pStyle w:val="SingleTxt"/>
        <w:suppressAutoHyphens w:val="0"/>
        <w:spacing w:after="0" w:line="120" w:lineRule="exact"/>
        <w:rPr>
          <w:sz w:val="10"/>
          <w:szCs w:val="10"/>
          <w:lang w:val="es-ES_tradnl"/>
        </w:rPr>
      </w:pPr>
    </w:p>
    <w:p w14:paraId="7930E46B"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Seguimiento de las observaciones finales</w:t>
      </w:r>
    </w:p>
    <w:p w14:paraId="4B079471" w14:textId="27761C85" w:rsidR="00876022" w:rsidRPr="004C49DE" w:rsidRDefault="00876022" w:rsidP="00BB7BBB">
      <w:pPr>
        <w:pStyle w:val="SingleTxt"/>
        <w:suppressAutoHyphens w:val="0"/>
        <w:spacing w:after="0" w:line="120" w:lineRule="exact"/>
        <w:rPr>
          <w:sz w:val="10"/>
          <w:szCs w:val="10"/>
          <w:lang w:val="es-ES_tradnl"/>
        </w:rPr>
      </w:pPr>
    </w:p>
    <w:p w14:paraId="7CD6943B" w14:textId="32C29D73"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El Comité pide al Estado parte que, en el plazo de dos años, proporcione</w:t>
      </w:r>
      <w:r w:rsidR="001A14E9" w:rsidRPr="004C49DE">
        <w:rPr>
          <w:b/>
          <w:szCs w:val="22"/>
          <w:lang w:val="es-ES_tradnl" w:eastAsia="en-US"/>
        </w:rPr>
        <w:t xml:space="preserve"> </w:t>
      </w:r>
      <w:r w:rsidRPr="004C49DE">
        <w:rPr>
          <w:b/>
          <w:szCs w:val="22"/>
          <w:lang w:val="es-ES_tradnl" w:eastAsia="en-US"/>
        </w:rPr>
        <w:t>información por escrito sobre las medidas adoptadas para aplicar</w:t>
      </w:r>
      <w:r w:rsidR="001A14E9" w:rsidRPr="004C49DE">
        <w:rPr>
          <w:b/>
          <w:szCs w:val="22"/>
          <w:lang w:val="es-ES_tradnl" w:eastAsia="en-US"/>
        </w:rPr>
        <w:t xml:space="preserve"> </w:t>
      </w:r>
      <w:r w:rsidRPr="004C49DE">
        <w:rPr>
          <w:b/>
          <w:szCs w:val="22"/>
          <w:lang w:val="es-ES_tradnl" w:eastAsia="en-US"/>
        </w:rPr>
        <w:t>las</w:t>
      </w:r>
      <w:r w:rsidR="001A14E9" w:rsidRPr="004C49DE">
        <w:rPr>
          <w:b/>
          <w:szCs w:val="22"/>
          <w:lang w:val="es-ES_tradnl" w:eastAsia="en-US"/>
        </w:rPr>
        <w:t xml:space="preserve"> </w:t>
      </w:r>
      <w:r w:rsidRPr="004C49DE">
        <w:rPr>
          <w:b/>
          <w:szCs w:val="22"/>
          <w:lang w:val="es-ES_tradnl" w:eastAsia="en-US"/>
        </w:rPr>
        <w:t xml:space="preserve">recomendaciones que figuran en los párrafos 29 y 35 (véase </w:t>
      </w:r>
      <w:hyperlink r:id="rId100"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50)</w:t>
      </w:r>
      <w:r w:rsidR="00BB7BBB" w:rsidRPr="004C49DE">
        <w:rPr>
          <w:b/>
          <w:szCs w:val="22"/>
          <w:lang w:val="es-ES_tradnl" w:eastAsia="en-US"/>
        </w:rPr>
        <w:t>.</w:t>
      </w:r>
    </w:p>
    <w:p w14:paraId="1D9AEB3E" w14:textId="2EE78CFF"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 xml:space="preserve">En diciembre de 2013, se presentó la hoja de ruta elaborada en julio de 2012 por el MSFFE y sus asociados, así como las </w:t>
      </w:r>
      <w:r w:rsidR="00D05639" w:rsidRPr="004C49DE">
        <w:rPr>
          <w:szCs w:val="22"/>
          <w:lang w:val="es-ES_tradnl" w:eastAsia="en-US"/>
        </w:rPr>
        <w:t>organizaciones de la sociedad civil</w:t>
      </w:r>
      <w:r w:rsidRPr="004C49DE">
        <w:rPr>
          <w:szCs w:val="22"/>
          <w:lang w:val="es-ES_tradnl" w:eastAsia="en-US"/>
        </w:rPr>
        <w:t>, a todos los agentes con el objetivo de servir de orientación para cualquier tipo de actividad en pro de la mujer</w:t>
      </w:r>
      <w:r w:rsidR="00BB7BBB" w:rsidRPr="004C49DE">
        <w:rPr>
          <w:szCs w:val="22"/>
          <w:lang w:val="es-ES_tradnl" w:eastAsia="en-US"/>
        </w:rPr>
        <w:t>.</w:t>
      </w:r>
      <w:r w:rsidRPr="004C49DE">
        <w:rPr>
          <w:szCs w:val="22"/>
          <w:lang w:val="es-ES_tradnl" w:eastAsia="en-US"/>
        </w:rPr>
        <w:t xml:space="preserve"> En el transcurso de una breve retirada en marzo de 2014, se evaluó la aplicación de sus cinco ejes</w:t>
      </w:r>
      <w:r w:rsidR="00BB7BBB" w:rsidRPr="004C49DE">
        <w:rPr>
          <w:szCs w:val="22"/>
          <w:lang w:val="es-ES_tradnl" w:eastAsia="en-US"/>
        </w:rPr>
        <w:t>.</w:t>
      </w:r>
    </w:p>
    <w:p w14:paraId="0418E211" w14:textId="39879DCD" w:rsidR="00E7328E" w:rsidRPr="004C49DE" w:rsidRDefault="00E7328E" w:rsidP="00E7328E">
      <w:pPr>
        <w:pStyle w:val="SingleTxt"/>
        <w:suppressAutoHyphens w:val="0"/>
        <w:spacing w:after="0" w:line="120" w:lineRule="exact"/>
        <w:rPr>
          <w:sz w:val="10"/>
          <w:szCs w:val="22"/>
          <w:lang w:val="es-ES_tradnl" w:eastAsia="en-US"/>
        </w:rPr>
      </w:pPr>
    </w:p>
    <w:p w14:paraId="2C970FDE" w14:textId="77777777" w:rsidR="00BB7BBB"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Asistencia técnica</w:t>
      </w:r>
    </w:p>
    <w:p w14:paraId="7792CFEC" w14:textId="5B3F75CD" w:rsidR="00876022" w:rsidRPr="004C49DE" w:rsidRDefault="00876022" w:rsidP="00BB7BBB">
      <w:pPr>
        <w:pStyle w:val="SingleTxt"/>
        <w:suppressAutoHyphens w:val="0"/>
        <w:spacing w:after="0" w:line="120" w:lineRule="exact"/>
        <w:rPr>
          <w:sz w:val="10"/>
          <w:szCs w:val="10"/>
          <w:lang w:val="es-ES_tradnl"/>
        </w:rPr>
      </w:pPr>
    </w:p>
    <w:p w14:paraId="563F8300" w14:textId="6F1F08CF" w:rsidR="000C3123" w:rsidRPr="004C49DE" w:rsidRDefault="000C3123" w:rsidP="00BB7BBB">
      <w:pPr>
        <w:pStyle w:val="SingleTxt"/>
        <w:numPr>
          <w:ilvl w:val="0"/>
          <w:numId w:val="6"/>
        </w:numPr>
        <w:suppressAutoHyphens w:val="0"/>
        <w:ind w:left="1267" w:firstLine="0"/>
        <w:rPr>
          <w:b/>
          <w:szCs w:val="22"/>
          <w:lang w:val="es-ES_tradnl" w:eastAsia="en-US"/>
        </w:rPr>
      </w:pPr>
      <w:r w:rsidRPr="004C49DE">
        <w:rPr>
          <w:b/>
          <w:szCs w:val="22"/>
          <w:lang w:val="es-ES_tradnl" w:eastAsia="en-US"/>
        </w:rPr>
        <w:t>El Comité recomienda al Estado parte que tenga en cuenta la posibilidad de solicitar la cooperación y asistencia técnica necesaria en el desarrollo y la aplicación de una estrategia global para poner en marcha las anteriores recomendaciones y la Convención en general</w:t>
      </w:r>
      <w:r w:rsidR="00BB7BBB" w:rsidRPr="004C49DE">
        <w:rPr>
          <w:b/>
          <w:szCs w:val="22"/>
          <w:lang w:val="es-ES_tradnl" w:eastAsia="en-US"/>
        </w:rPr>
        <w:t>...</w:t>
      </w:r>
      <w:r w:rsidRPr="004C49DE">
        <w:rPr>
          <w:b/>
          <w:szCs w:val="22"/>
          <w:lang w:val="es-ES_tradnl" w:eastAsia="en-US"/>
        </w:rPr>
        <w:t xml:space="preserve"> Asimismo, el Comité invita al Estado parte a reforzar su cooperación con las instituciones especializadas y los programas del sistema de las Naciones Unidas (véase </w:t>
      </w:r>
      <w:hyperlink r:id="rId101" w:history="1">
        <w:r w:rsidRPr="004C49DE">
          <w:rPr>
            <w:b/>
            <w:color w:val="0000FF"/>
            <w:szCs w:val="22"/>
            <w:lang w:val="es-ES_tradnl" w:eastAsia="en-US"/>
          </w:rPr>
          <w:t>CEDAW/C/CIV/CO/1</w:t>
        </w:r>
        <w:r w:rsidR="001A14E9" w:rsidRPr="004C49DE">
          <w:rPr>
            <w:b/>
            <w:color w:val="0000FF"/>
            <w:szCs w:val="22"/>
            <w:lang w:val="es-ES_tradnl" w:eastAsia="en-US"/>
          </w:rPr>
          <w:noBreakHyphen/>
        </w:r>
        <w:r w:rsidRPr="004C49DE">
          <w:rPr>
            <w:b/>
            <w:color w:val="0000FF"/>
            <w:szCs w:val="22"/>
            <w:lang w:val="es-ES_tradnl" w:eastAsia="en-US"/>
          </w:rPr>
          <w:t>3</w:t>
        </w:r>
      </w:hyperlink>
      <w:r w:rsidRPr="004C49DE">
        <w:rPr>
          <w:b/>
          <w:szCs w:val="22"/>
          <w:lang w:val="es-ES_tradnl" w:eastAsia="en-US"/>
        </w:rPr>
        <w:t>, párr</w:t>
      </w:r>
      <w:r w:rsidR="00BB7BBB" w:rsidRPr="004C49DE">
        <w:rPr>
          <w:b/>
          <w:szCs w:val="22"/>
          <w:lang w:val="es-ES_tradnl" w:eastAsia="en-US"/>
        </w:rPr>
        <w:t>.</w:t>
      </w:r>
      <w:r w:rsidRPr="004C49DE">
        <w:rPr>
          <w:b/>
          <w:szCs w:val="22"/>
          <w:lang w:val="es-ES_tradnl" w:eastAsia="en-US"/>
        </w:rPr>
        <w:t xml:space="preserve"> 51)</w:t>
      </w:r>
      <w:r w:rsidR="00BB7BBB" w:rsidRPr="004C49DE">
        <w:rPr>
          <w:b/>
          <w:szCs w:val="22"/>
          <w:lang w:val="es-ES_tradnl" w:eastAsia="en-US"/>
        </w:rPr>
        <w:t>.</w:t>
      </w:r>
    </w:p>
    <w:p w14:paraId="5D9170FD" w14:textId="77777777" w:rsidR="00876022" w:rsidRPr="004C49DE" w:rsidRDefault="00876022" w:rsidP="00BB7BBB">
      <w:pPr>
        <w:pStyle w:val="SingleTxt"/>
        <w:suppressAutoHyphens w:val="0"/>
        <w:spacing w:after="0" w:line="120" w:lineRule="exact"/>
        <w:rPr>
          <w:sz w:val="10"/>
          <w:szCs w:val="10"/>
          <w:lang w:val="es-ES_tradnl"/>
        </w:rPr>
      </w:pPr>
    </w:p>
    <w:p w14:paraId="2FA87985" w14:textId="738A3087" w:rsidR="000C3123" w:rsidRPr="004C49DE" w:rsidRDefault="000C3123" w:rsidP="001A14E9">
      <w:pPr>
        <w:pStyle w:val="H4"/>
        <w:keepNext w:val="0"/>
        <w:keepLines w:val="0"/>
        <w:suppressAutoHyphens w:val="0"/>
        <w:ind w:right="2290"/>
        <w:rPr>
          <w:iCs w:val="0"/>
          <w:lang w:val="es-ES_tradnl" w:eastAsia="en-US"/>
        </w:rPr>
      </w:pPr>
      <w:r w:rsidRPr="004C49DE">
        <w:rPr>
          <w:iCs w:val="0"/>
          <w:lang w:val="es-ES_tradnl" w:eastAsia="en-US"/>
        </w:rPr>
        <w:tab/>
      </w:r>
      <w:r w:rsidRPr="004C49DE">
        <w:rPr>
          <w:iCs w:val="0"/>
          <w:lang w:val="es-ES_tradnl" w:eastAsia="en-US"/>
        </w:rPr>
        <w:tab/>
        <w:t>Marco programático único/Marco de Asistencia de las Naciones Unidas para el</w:t>
      </w:r>
      <w:r w:rsidR="001A14E9" w:rsidRPr="004C49DE">
        <w:rPr>
          <w:iCs w:val="0"/>
          <w:lang w:val="es-ES_tradnl" w:eastAsia="en-US"/>
        </w:rPr>
        <w:t xml:space="preserve"> </w:t>
      </w:r>
      <w:r w:rsidRPr="004C49DE">
        <w:rPr>
          <w:iCs w:val="0"/>
          <w:lang w:val="es-ES_tradnl" w:eastAsia="en-US"/>
        </w:rPr>
        <w:t>Desarrollo</w:t>
      </w:r>
    </w:p>
    <w:p w14:paraId="6D4AB476" w14:textId="77777777" w:rsidR="00876022" w:rsidRPr="004C49DE" w:rsidRDefault="00876022" w:rsidP="00BB7BBB">
      <w:pPr>
        <w:pStyle w:val="SingleTxt"/>
        <w:suppressAutoHyphens w:val="0"/>
        <w:spacing w:after="0" w:line="120" w:lineRule="exact"/>
        <w:rPr>
          <w:sz w:val="10"/>
          <w:szCs w:val="10"/>
          <w:lang w:val="es-ES_tradnl"/>
        </w:rPr>
      </w:pPr>
    </w:p>
    <w:p w14:paraId="65FA0834" w14:textId="26E02CB5"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En su colaboración con el estado de Côte d</w:t>
      </w:r>
      <w:r w:rsidR="004C49DE">
        <w:rPr>
          <w:szCs w:val="22"/>
          <w:lang w:val="es-ES_tradnl" w:eastAsia="en-US"/>
        </w:rPr>
        <w:t>’</w:t>
      </w:r>
      <w:r w:rsidRPr="004C49DE">
        <w:rPr>
          <w:szCs w:val="22"/>
          <w:lang w:val="es-ES_tradnl" w:eastAsia="en-US"/>
        </w:rPr>
        <w:t>Ivoire, los organismos del sistema de las Naciones Unidas elaboraron un documento programático único y estratégico para orientar la participación de todas las organizaciones del sistema de las</w:t>
      </w:r>
      <w:r w:rsidR="001A14E9" w:rsidRPr="004C49DE">
        <w:rPr>
          <w:szCs w:val="22"/>
          <w:lang w:val="es-ES_tradnl" w:eastAsia="en-US"/>
        </w:rPr>
        <w:t xml:space="preserve"> </w:t>
      </w:r>
      <w:r w:rsidRPr="004C49DE">
        <w:rPr>
          <w:szCs w:val="22"/>
          <w:lang w:val="es-ES_tradnl" w:eastAsia="en-US"/>
        </w:rPr>
        <w:t>Naciones Unidas</w:t>
      </w:r>
      <w:r w:rsidR="00BB7BBB" w:rsidRPr="004C49DE">
        <w:rPr>
          <w:szCs w:val="22"/>
          <w:lang w:val="es-ES_tradnl" w:eastAsia="en-US"/>
        </w:rPr>
        <w:t>.</w:t>
      </w:r>
      <w:r w:rsidRPr="004C49DE">
        <w:rPr>
          <w:szCs w:val="22"/>
          <w:lang w:val="es-ES_tradnl" w:eastAsia="en-US"/>
        </w:rPr>
        <w:t xml:space="preserve"> La programación del Marco de Asistencia de las Naciones Unidas para el Desarrollo (MANUD) para el período 2009</w:t>
      </w:r>
      <w:r w:rsidR="001A14E9" w:rsidRPr="004C49DE">
        <w:rPr>
          <w:szCs w:val="22"/>
          <w:lang w:val="es-ES_tradnl" w:eastAsia="en-US"/>
        </w:rPr>
        <w:noBreakHyphen/>
      </w:r>
      <w:r w:rsidRPr="004C49DE">
        <w:rPr>
          <w:szCs w:val="22"/>
          <w:lang w:val="es-ES_tradnl" w:eastAsia="en-US"/>
        </w:rPr>
        <w:t>2013 se centró fundamentalmente en la estabilización de la seguridad y la consolidación de la paz</w:t>
      </w:r>
      <w:r w:rsidR="00BB7BBB" w:rsidRPr="004C49DE">
        <w:rPr>
          <w:szCs w:val="22"/>
          <w:lang w:val="es-ES_tradnl" w:eastAsia="en-US"/>
        </w:rPr>
        <w:t>.</w:t>
      </w:r>
    </w:p>
    <w:p w14:paraId="44199E1D" w14:textId="492E2753"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lastRenderedPageBreak/>
        <w:t>La programación del período 2013</w:t>
      </w:r>
      <w:r w:rsidR="001A14E9" w:rsidRPr="004C49DE">
        <w:rPr>
          <w:szCs w:val="22"/>
          <w:lang w:val="es-ES_tradnl" w:eastAsia="en-US"/>
        </w:rPr>
        <w:noBreakHyphen/>
      </w:r>
      <w:r w:rsidRPr="004C49DE">
        <w:rPr>
          <w:szCs w:val="22"/>
          <w:lang w:val="es-ES_tradnl" w:eastAsia="en-US"/>
        </w:rPr>
        <w:t>2015 conforme al Plan Nacional de Desarrollo del período 2012</w:t>
      </w:r>
      <w:r w:rsidR="001A14E9" w:rsidRPr="004C49DE">
        <w:rPr>
          <w:szCs w:val="22"/>
          <w:lang w:val="es-ES_tradnl" w:eastAsia="en-US"/>
        </w:rPr>
        <w:noBreakHyphen/>
      </w:r>
      <w:r w:rsidRPr="004C49DE">
        <w:rPr>
          <w:szCs w:val="22"/>
          <w:lang w:val="es-ES_tradnl" w:eastAsia="en-US"/>
        </w:rPr>
        <w:t>2015 hizo hincapié en tres ejes principales: i) la consolidación de la paz y la protección de los derechos humanos y la gobernanza; ii)</w:t>
      </w:r>
      <w:r w:rsidR="001A14E9" w:rsidRPr="004C49DE">
        <w:rPr>
          <w:szCs w:val="22"/>
          <w:lang w:val="es-ES_tradnl" w:eastAsia="en-US"/>
        </w:rPr>
        <w:t xml:space="preserve"> </w:t>
      </w:r>
      <w:r w:rsidRPr="004C49DE">
        <w:rPr>
          <w:szCs w:val="22"/>
          <w:lang w:val="es-ES_tradnl" w:eastAsia="en-US"/>
        </w:rPr>
        <w:t>la creación de empleo y el aumento de los ingresos y el desarrollo sostenible; y iii) los servicios sociales básicos</w:t>
      </w:r>
      <w:r w:rsidR="00BB7BBB" w:rsidRPr="004C49DE">
        <w:rPr>
          <w:szCs w:val="22"/>
          <w:lang w:val="es-ES_tradnl" w:eastAsia="en-US"/>
        </w:rPr>
        <w:t>.</w:t>
      </w:r>
    </w:p>
    <w:p w14:paraId="09BDBFB8" w14:textId="3E6064F5"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programación para el período 2017</w:t>
      </w:r>
      <w:r w:rsidR="001A14E9" w:rsidRPr="004C49DE">
        <w:rPr>
          <w:szCs w:val="22"/>
          <w:lang w:val="es-ES_tradnl" w:eastAsia="en-US"/>
        </w:rPr>
        <w:noBreakHyphen/>
      </w:r>
      <w:r w:rsidRPr="004C49DE">
        <w:rPr>
          <w:szCs w:val="22"/>
          <w:lang w:val="es-ES_tradnl" w:eastAsia="en-US"/>
        </w:rPr>
        <w:t>2020, en consonancia con el Plan Nacional de Desarrollo para el período 2016</w:t>
      </w:r>
      <w:r w:rsidR="001A14E9" w:rsidRPr="004C49DE">
        <w:rPr>
          <w:szCs w:val="22"/>
          <w:lang w:val="es-ES_tradnl" w:eastAsia="en-US"/>
        </w:rPr>
        <w:noBreakHyphen/>
      </w:r>
      <w:r w:rsidRPr="004C49DE">
        <w:rPr>
          <w:szCs w:val="22"/>
          <w:lang w:val="es-ES_tradnl" w:eastAsia="en-US"/>
        </w:rPr>
        <w:t>2020, se conoce como marco programático único</w:t>
      </w:r>
      <w:r w:rsidR="00BB7BBB" w:rsidRPr="004C49DE">
        <w:rPr>
          <w:szCs w:val="22"/>
          <w:lang w:val="es-ES_tradnl" w:eastAsia="en-US"/>
        </w:rPr>
        <w:t>.</w:t>
      </w:r>
      <w:r w:rsidRPr="004C49DE">
        <w:rPr>
          <w:szCs w:val="22"/>
          <w:lang w:val="es-ES_tradnl" w:eastAsia="en-US"/>
        </w:rPr>
        <w:t xml:space="preserve"> Este ha sido diseñado para reforzar la sinergia, la coherencia, la unidad de acción y la coordinación de las actividades operativas de las Naciones Unidas en Côte d</w:t>
      </w:r>
      <w:r w:rsidR="004C49DE">
        <w:rPr>
          <w:szCs w:val="22"/>
          <w:lang w:val="es-ES_tradnl" w:eastAsia="en-US"/>
        </w:rPr>
        <w:t>’</w:t>
      </w:r>
      <w:r w:rsidRPr="004C49DE">
        <w:rPr>
          <w:szCs w:val="22"/>
          <w:lang w:val="es-ES_tradnl" w:eastAsia="en-US"/>
        </w:rPr>
        <w:t>Ivoire y su adecuación a las prioridades nacionales, conforme a la Declaración de París</w:t>
      </w:r>
      <w:r w:rsidR="00BB7BBB" w:rsidRPr="004C49DE">
        <w:rPr>
          <w:szCs w:val="22"/>
          <w:lang w:val="es-ES_tradnl" w:eastAsia="en-US"/>
        </w:rPr>
        <w:t>.</w:t>
      </w:r>
    </w:p>
    <w:p w14:paraId="411F1155" w14:textId="3A487BAF" w:rsidR="00EA31DB" w:rsidRPr="004C49DE" w:rsidRDefault="00EA31DB" w:rsidP="00BB7BBB">
      <w:pPr>
        <w:pStyle w:val="SingleTxt"/>
        <w:suppressAutoHyphens w:val="0"/>
        <w:spacing w:after="0" w:line="120" w:lineRule="exact"/>
        <w:rPr>
          <w:sz w:val="10"/>
          <w:szCs w:val="10"/>
          <w:lang w:val="es-ES_tradnl"/>
        </w:rPr>
      </w:pPr>
    </w:p>
    <w:p w14:paraId="5FE8C24B"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Grupo Temático sobre Género y Desarrollo</w:t>
      </w:r>
    </w:p>
    <w:p w14:paraId="7F729DF8" w14:textId="77777777" w:rsidR="00EA31DB" w:rsidRPr="004C49DE" w:rsidRDefault="00EA31DB" w:rsidP="00BB7BBB">
      <w:pPr>
        <w:pStyle w:val="SingleTxt"/>
        <w:suppressAutoHyphens w:val="0"/>
        <w:spacing w:after="0" w:line="120" w:lineRule="exact"/>
        <w:rPr>
          <w:sz w:val="10"/>
          <w:szCs w:val="10"/>
          <w:lang w:val="es-ES_tradnl"/>
        </w:rPr>
      </w:pPr>
    </w:p>
    <w:p w14:paraId="3189900A" w14:textId="57D52833"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Grupo Temático sobre Género y Desarrollo se puso en marcha en 2004 para impulsar un entendimiento común de las actividades conjuntas y colaborativas de los organismos del sistema de las Naciones Unidas en materia de género</w:t>
      </w:r>
      <w:r w:rsidR="00BB7BBB" w:rsidRPr="004C49DE">
        <w:rPr>
          <w:szCs w:val="22"/>
          <w:lang w:val="es-ES_tradnl" w:eastAsia="en-US"/>
        </w:rPr>
        <w:t>.</w:t>
      </w:r>
      <w:r w:rsidRPr="004C49DE">
        <w:rPr>
          <w:szCs w:val="22"/>
          <w:lang w:val="es-ES_tradnl" w:eastAsia="en-US"/>
        </w:rPr>
        <w:t xml:space="preserve"> Está presidido por ONU</w:t>
      </w:r>
      <w:r w:rsidR="001A14E9" w:rsidRPr="004C49DE">
        <w:rPr>
          <w:szCs w:val="22"/>
          <w:lang w:val="es-ES_tradnl" w:eastAsia="en-US"/>
        </w:rPr>
        <w:noBreakHyphen/>
      </w:r>
      <w:r w:rsidRPr="004C49DE">
        <w:rPr>
          <w:szCs w:val="22"/>
          <w:lang w:val="es-ES_tradnl" w:eastAsia="en-US"/>
        </w:rPr>
        <w:t>Mujeres en el seno del sistema de las Naciones Unidas y copresidido por el MPFFPE</w:t>
      </w:r>
      <w:r w:rsidR="00BB7BBB" w:rsidRPr="004C49DE">
        <w:rPr>
          <w:szCs w:val="22"/>
          <w:lang w:val="es-ES_tradnl" w:eastAsia="en-US"/>
        </w:rPr>
        <w:t>.</w:t>
      </w:r>
      <w:r w:rsidRPr="004C49DE">
        <w:rPr>
          <w:szCs w:val="22"/>
          <w:lang w:val="es-ES_tradnl" w:eastAsia="en-US"/>
        </w:rPr>
        <w:t xml:space="preserve"> El Grupo interactúa con las ONG internacionales que abordan cuestiones de género y las unidades sectoriales de género, así como con determinados asociados en materias técnicas y financieras</w:t>
      </w:r>
      <w:r w:rsidR="00BB7BBB" w:rsidRPr="004C49DE">
        <w:rPr>
          <w:szCs w:val="22"/>
          <w:lang w:val="es-ES_tradnl" w:eastAsia="en-US"/>
        </w:rPr>
        <w:t>.</w:t>
      </w:r>
      <w:r w:rsidRPr="004C49DE">
        <w:rPr>
          <w:szCs w:val="22"/>
          <w:lang w:val="es-ES_tradnl" w:eastAsia="en-US"/>
        </w:rPr>
        <w:t xml:space="preserve"> De conformidad con sus términos de referencia, el Grupo Temático sobre Género y Desarrollo se reúne una</w:t>
      </w:r>
      <w:r w:rsidR="001A14E9" w:rsidRPr="004C49DE">
        <w:rPr>
          <w:szCs w:val="22"/>
          <w:lang w:val="es-ES_tradnl" w:eastAsia="en-US"/>
        </w:rPr>
        <w:t xml:space="preserve"> </w:t>
      </w:r>
      <w:r w:rsidRPr="004C49DE">
        <w:rPr>
          <w:szCs w:val="22"/>
          <w:lang w:val="es-ES_tradnl" w:eastAsia="en-US"/>
        </w:rPr>
        <w:t>vez al mes</w:t>
      </w:r>
      <w:r w:rsidR="00BB7BBB" w:rsidRPr="004C49DE">
        <w:rPr>
          <w:szCs w:val="22"/>
          <w:lang w:val="es-ES_tradnl" w:eastAsia="en-US"/>
        </w:rPr>
        <w:t>.</w:t>
      </w:r>
      <w:r w:rsidRPr="004C49DE">
        <w:rPr>
          <w:szCs w:val="22"/>
          <w:lang w:val="es-ES_tradnl" w:eastAsia="en-US"/>
        </w:rPr>
        <w:t xml:space="preserve"> El Grupo apoya la elaboración, la validación y la aplicación de normas y documentos marco tales como el Plan Nacional de Desarrollo, el marco programático único, la Estrategia Nacional de Lucha contra la Violencia de Género, la Política Nacional sobre la Igualdad de Oportunidades, la Equidad y el Género, aprobada en junio de 2009, el Plan de Acción Nacional para aplicar la resolución 1325 del Consejo de Seguridad de las Naciones Unidas, etc</w:t>
      </w:r>
      <w:r w:rsidR="00BB7BBB" w:rsidRPr="004C49DE">
        <w:rPr>
          <w:szCs w:val="22"/>
          <w:lang w:val="es-ES_tradnl" w:eastAsia="en-US"/>
        </w:rPr>
        <w:t>.</w:t>
      </w:r>
    </w:p>
    <w:p w14:paraId="409EDA7E" w14:textId="4F70B2D6" w:rsidR="00EA31DB" w:rsidRPr="004C49DE" w:rsidRDefault="00EA31DB" w:rsidP="00BB7BBB">
      <w:pPr>
        <w:pStyle w:val="SingleTxt"/>
        <w:suppressAutoHyphens w:val="0"/>
        <w:spacing w:after="0" w:line="120" w:lineRule="exact"/>
        <w:rPr>
          <w:sz w:val="10"/>
          <w:szCs w:val="10"/>
          <w:lang w:val="es-ES_tradnl"/>
        </w:rPr>
      </w:pPr>
    </w:p>
    <w:p w14:paraId="2930E3B9" w14:textId="77777777" w:rsidR="000C3123" w:rsidRPr="004C49DE" w:rsidRDefault="000C3123" w:rsidP="00BB7BBB">
      <w:pPr>
        <w:pStyle w:val="H4"/>
        <w:keepNext w:val="0"/>
        <w:keepLines w:val="0"/>
        <w:suppressAutoHyphens w:val="0"/>
        <w:ind w:right="1260"/>
        <w:rPr>
          <w:iCs w:val="0"/>
          <w:lang w:val="es-ES_tradnl" w:eastAsia="en-US"/>
        </w:rPr>
      </w:pPr>
      <w:r w:rsidRPr="004C49DE">
        <w:rPr>
          <w:iCs w:val="0"/>
          <w:lang w:val="es-ES_tradnl" w:eastAsia="en-US"/>
        </w:rPr>
        <w:tab/>
      </w:r>
      <w:r w:rsidRPr="004C49DE">
        <w:rPr>
          <w:iCs w:val="0"/>
          <w:lang w:val="es-ES_tradnl" w:eastAsia="en-US"/>
        </w:rPr>
        <w:tab/>
        <w:t>Hojas de puntuación sobre las cuestiones de género</w:t>
      </w:r>
    </w:p>
    <w:p w14:paraId="539D02C7" w14:textId="77777777" w:rsidR="00EA31DB" w:rsidRPr="004C49DE" w:rsidRDefault="00EA31DB" w:rsidP="00BB7BBB">
      <w:pPr>
        <w:pStyle w:val="SingleTxt"/>
        <w:suppressAutoHyphens w:val="0"/>
        <w:spacing w:after="0" w:line="120" w:lineRule="exact"/>
        <w:rPr>
          <w:sz w:val="10"/>
          <w:szCs w:val="10"/>
          <w:lang w:val="es-ES_tradnl"/>
        </w:rPr>
      </w:pPr>
    </w:p>
    <w:p w14:paraId="711A63F3" w14:textId="15AF7F84"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El proceso de aplicación de las hojas de resultados, también denominadas hojas de puntuación sobre las cuestiones de género, adoptado por el Grupo de las Naciones Unidas para el Desarrollo (GNUD) en 2008</w:t>
      </w:r>
      <w:r w:rsidRPr="004C49DE">
        <w:rPr>
          <w:szCs w:val="22"/>
          <w:vertAlign w:val="superscript"/>
          <w:lang w:val="es-ES_tradnl" w:eastAsia="en-US"/>
        </w:rPr>
        <w:footnoteReference w:id="23"/>
      </w:r>
      <w:r w:rsidRPr="004C49DE">
        <w:rPr>
          <w:szCs w:val="22"/>
          <w:lang w:val="es-ES_tradnl" w:eastAsia="en-US"/>
        </w:rPr>
        <w:t>,se inició con una misión de evaluación en mayo de 2015 bajo el mando de ONU</w:t>
      </w:r>
      <w:r w:rsidR="001A14E9" w:rsidRPr="004C49DE">
        <w:rPr>
          <w:szCs w:val="22"/>
          <w:lang w:val="es-ES_tradnl" w:eastAsia="en-US"/>
        </w:rPr>
        <w:noBreakHyphen/>
      </w:r>
      <w:r w:rsidRPr="004C49DE">
        <w:rPr>
          <w:szCs w:val="22"/>
          <w:lang w:val="es-ES_tradnl" w:eastAsia="en-US"/>
        </w:rPr>
        <w:t>Mujeres Dicha misión ha permitido lo siguiente: i) identificar los ámbitos en los que las actividades en materia de integración de las consideraciones sobre género responden, o no, a las normas mínimas que se plantean en la hoja de resultados; ii) facilitar un diálogo constructivo en el seno del sistema de las Naciones Unidas a propósito de la situación actual del apoyo a la promoción de la igualdad de género; y iii) el empoderamiento de las mujeres y los medios para mejorar la eficacia y la pertinencia de dicho apoyo en relación con las prioridades nacionales de desarrollo de Côte d</w:t>
      </w:r>
      <w:r w:rsidR="004C49DE">
        <w:rPr>
          <w:szCs w:val="22"/>
          <w:lang w:val="es-ES_tradnl" w:eastAsia="en-US"/>
        </w:rPr>
        <w:t>’</w:t>
      </w:r>
      <w:r w:rsidRPr="004C49DE">
        <w:rPr>
          <w:szCs w:val="22"/>
          <w:lang w:val="es-ES_tradnl" w:eastAsia="en-US"/>
        </w:rPr>
        <w:t>Ivoire</w:t>
      </w:r>
      <w:r w:rsidR="00BB7BBB" w:rsidRPr="004C49DE">
        <w:rPr>
          <w:szCs w:val="22"/>
          <w:lang w:val="es-ES_tradnl" w:eastAsia="en-US"/>
        </w:rPr>
        <w:t>.</w:t>
      </w:r>
      <w:r w:rsidRPr="004C49DE">
        <w:rPr>
          <w:szCs w:val="22"/>
          <w:lang w:val="es-ES_tradnl" w:eastAsia="en-US"/>
        </w:rPr>
        <w:t xml:space="preserve"> La auditoría de género de los ministerios técnicos que se encuentra en curso forma parte del proceso de aplicación de la hoja de resultados</w:t>
      </w:r>
      <w:r w:rsidR="00BB7BBB" w:rsidRPr="004C49DE">
        <w:rPr>
          <w:szCs w:val="22"/>
          <w:lang w:val="es-ES_tradnl" w:eastAsia="en-US"/>
        </w:rPr>
        <w:t>.</w:t>
      </w:r>
    </w:p>
    <w:p w14:paraId="5ED22CE6" w14:textId="05679060" w:rsidR="00EA31DB" w:rsidRPr="004C49DE" w:rsidRDefault="00EA31DB" w:rsidP="00BB7BBB">
      <w:pPr>
        <w:pStyle w:val="SingleTxt"/>
        <w:suppressAutoHyphens w:val="0"/>
        <w:spacing w:after="0" w:line="120" w:lineRule="exact"/>
        <w:rPr>
          <w:sz w:val="10"/>
          <w:szCs w:val="10"/>
          <w:lang w:val="es-ES_tradnl"/>
        </w:rPr>
      </w:pPr>
    </w:p>
    <w:p w14:paraId="40116A2B" w14:textId="77777777" w:rsidR="00EA31DB" w:rsidRPr="004C49DE" w:rsidRDefault="00EA31DB" w:rsidP="00BB7BBB">
      <w:pPr>
        <w:pStyle w:val="SingleTxt"/>
        <w:suppressAutoHyphens w:val="0"/>
        <w:spacing w:after="0" w:line="120" w:lineRule="exact"/>
        <w:rPr>
          <w:sz w:val="10"/>
          <w:szCs w:val="10"/>
          <w:lang w:val="es-ES_tradnl"/>
        </w:rPr>
      </w:pPr>
    </w:p>
    <w:p w14:paraId="1182EAB1" w14:textId="77777777" w:rsidR="00E7328E" w:rsidRPr="004C49DE" w:rsidRDefault="00E7328E">
      <w:pPr>
        <w:suppressAutoHyphens w:val="0"/>
        <w:spacing w:line="240" w:lineRule="auto"/>
        <w:rPr>
          <w:b/>
          <w:sz w:val="24"/>
          <w:lang w:val="es-ES_tradnl" w:eastAsia="en-US"/>
        </w:rPr>
      </w:pPr>
      <w:r w:rsidRPr="004C49DE">
        <w:rPr>
          <w:bCs/>
          <w:lang w:val="es-ES_tradnl" w:eastAsia="en-US"/>
        </w:rPr>
        <w:br w:type="page"/>
      </w:r>
    </w:p>
    <w:p w14:paraId="7722BBB3" w14:textId="5B7E25F4" w:rsidR="000C3123" w:rsidRPr="004C49DE" w:rsidRDefault="000C3123" w:rsidP="00BB7BBB">
      <w:pPr>
        <w:pStyle w:val="H1"/>
        <w:keepNext w:val="0"/>
        <w:keepLines w:val="0"/>
        <w:suppressAutoHyphens w:val="0"/>
        <w:ind w:right="1260"/>
        <w:rPr>
          <w:bCs w:val="0"/>
          <w:szCs w:val="20"/>
          <w:lang w:val="es-ES_tradnl" w:eastAsia="en-US"/>
        </w:rPr>
      </w:pPr>
      <w:r w:rsidRPr="004C49DE">
        <w:rPr>
          <w:bCs w:val="0"/>
          <w:szCs w:val="20"/>
          <w:lang w:val="es-ES_tradnl" w:eastAsia="en-US"/>
        </w:rPr>
        <w:lastRenderedPageBreak/>
        <w:tab/>
      </w:r>
      <w:bookmarkStart w:id="14" w:name="Sample_9"/>
      <w:r w:rsidRPr="004C49DE">
        <w:rPr>
          <w:bCs w:val="0"/>
          <w:szCs w:val="20"/>
          <w:lang w:val="es-ES_tradnl" w:eastAsia="en-US"/>
        </w:rPr>
        <w:tab/>
        <w:t>Dificultades relativas a la aplicación, desafíos y perspectivas</w:t>
      </w:r>
    </w:p>
    <w:p w14:paraId="0A87B831" w14:textId="77777777" w:rsidR="00EA31DB" w:rsidRPr="004C49DE" w:rsidRDefault="00EA31DB" w:rsidP="00BB7BBB">
      <w:pPr>
        <w:pStyle w:val="SingleTxt"/>
        <w:suppressAutoHyphens w:val="0"/>
        <w:spacing w:after="0" w:line="120" w:lineRule="exact"/>
        <w:rPr>
          <w:sz w:val="10"/>
          <w:szCs w:val="10"/>
          <w:lang w:val="es-ES_tradnl"/>
        </w:rPr>
      </w:pPr>
    </w:p>
    <w:p w14:paraId="13B1F483" w14:textId="77777777" w:rsidR="00EA31DB" w:rsidRPr="004C49DE" w:rsidRDefault="00EA31DB" w:rsidP="00BB7BBB">
      <w:pPr>
        <w:pStyle w:val="SingleTxt"/>
        <w:suppressAutoHyphens w:val="0"/>
        <w:spacing w:after="0" w:line="120" w:lineRule="exact"/>
        <w:rPr>
          <w:sz w:val="10"/>
          <w:szCs w:val="10"/>
          <w:lang w:val="es-ES_tradnl"/>
        </w:rPr>
      </w:pPr>
    </w:p>
    <w:p w14:paraId="2CFE0EB9"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Dificultades</w:t>
      </w:r>
    </w:p>
    <w:p w14:paraId="29878D79" w14:textId="77777777" w:rsidR="00EA31DB" w:rsidRPr="004C49DE" w:rsidRDefault="00EA31DB" w:rsidP="00BB7BBB">
      <w:pPr>
        <w:pStyle w:val="SingleTxt"/>
        <w:suppressAutoHyphens w:val="0"/>
        <w:spacing w:after="0" w:line="120" w:lineRule="exact"/>
        <w:rPr>
          <w:sz w:val="10"/>
          <w:szCs w:val="10"/>
          <w:lang w:val="es-ES_tradnl"/>
        </w:rPr>
      </w:pPr>
    </w:p>
    <w:p w14:paraId="504B329F" w14:textId="77777777" w:rsidR="000C3123" w:rsidRPr="004C49DE" w:rsidRDefault="0066161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inexistencia de un marco de coordinación global o de un mecanismo encargado de aplicar las actividades de la hoja de ruta de la Convención para la Eliminación de todas las Formas de Discriminación contra la Mujer;</w:t>
      </w:r>
    </w:p>
    <w:p w14:paraId="6FE1EB87" w14:textId="77777777" w:rsidR="000C3123" w:rsidRPr="004C49DE" w:rsidRDefault="0066161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escasa contribución del presupuesto nacional;</w:t>
      </w:r>
    </w:p>
    <w:p w14:paraId="49159E37" w14:textId="77777777" w:rsidR="000C3123" w:rsidRPr="004C49DE" w:rsidRDefault="00661618"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Las presiones socioculturales;</w:t>
      </w:r>
    </w:p>
    <w:p w14:paraId="5D638DB4"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falta de informes y de datos desglosados por sexo;</w:t>
      </w:r>
    </w:p>
    <w:p w14:paraId="4F40178B" w14:textId="20AE342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Entre 2012 y 2016, el Gobierno de Côte d</w:t>
      </w:r>
      <w:r w:rsidR="004C49DE">
        <w:rPr>
          <w:lang w:val="es-ES_tradnl"/>
        </w:rPr>
        <w:t>’</w:t>
      </w:r>
      <w:r w:rsidR="000C3123" w:rsidRPr="004C49DE">
        <w:rPr>
          <w:lang w:val="es-ES_tradnl"/>
        </w:rPr>
        <w:t>Ivoire se reorganizó en tres ocasiones y el ministerio encargado de las cuestiones de la mujer tuvo tres</w:t>
      </w:r>
      <w:r w:rsidR="001A14E9" w:rsidRPr="004C49DE">
        <w:rPr>
          <w:lang w:val="es-ES_tradnl"/>
        </w:rPr>
        <w:t xml:space="preserve"> </w:t>
      </w:r>
      <w:r w:rsidR="000C3123" w:rsidRPr="004C49DE">
        <w:rPr>
          <w:lang w:val="es-ES_tradnl"/>
        </w:rPr>
        <w:t>ministros diferentes en cinco años</w:t>
      </w:r>
      <w:r w:rsidR="00BB7BBB" w:rsidRPr="004C49DE">
        <w:rPr>
          <w:lang w:val="es-ES_tradnl"/>
        </w:rPr>
        <w:t>.</w:t>
      </w:r>
      <w:r w:rsidR="000C3123" w:rsidRPr="004C49DE">
        <w:rPr>
          <w:lang w:val="es-ES_tradnl"/>
        </w:rPr>
        <w:t xml:space="preserve"> Dichos ministros necesitaron tiempo para familiarizarse con el proceso en curso</w:t>
      </w:r>
      <w:r w:rsidR="00BB7BBB" w:rsidRPr="004C49DE">
        <w:rPr>
          <w:lang w:val="es-ES_tradnl"/>
        </w:rPr>
        <w:t>.</w:t>
      </w:r>
      <w:r w:rsidR="000C3123" w:rsidRPr="004C49DE">
        <w:rPr>
          <w:lang w:val="es-ES_tradnl"/>
        </w:rPr>
        <w:t xml:space="preserve"> Por tanto, algunas medidas, como</w:t>
      </w:r>
      <w:r w:rsidR="001A14E9" w:rsidRPr="004C49DE">
        <w:rPr>
          <w:lang w:val="es-ES_tradnl"/>
        </w:rPr>
        <w:t xml:space="preserve"> </w:t>
      </w:r>
      <w:r w:rsidR="000C3123" w:rsidRPr="004C49DE">
        <w:rPr>
          <w:lang w:val="es-ES_tradnl"/>
        </w:rPr>
        <w:t>la aplicación de los compromisos contraídos en el plano internacional, se han retrasado;</w:t>
      </w:r>
    </w:p>
    <w:p w14:paraId="68D41193" w14:textId="69DA7FFA"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movilidad de los funcionarios de la administración pública también contribuyó a la demora en la comprensión y la tramitación de los</w:t>
      </w:r>
      <w:r w:rsidR="00107710" w:rsidRPr="004C49DE">
        <w:rPr>
          <w:lang w:val="es-ES_tradnl"/>
        </w:rPr>
        <w:t xml:space="preserve"> expedientes</w:t>
      </w:r>
      <w:r w:rsidR="000C3123" w:rsidRPr="004C49DE">
        <w:rPr>
          <w:lang w:val="es-ES_tradnl"/>
        </w:rPr>
        <w:t xml:space="preserve">; </w:t>
      </w:r>
      <w:r w:rsidR="00B5492F" w:rsidRPr="004C49DE">
        <w:rPr>
          <w:lang w:val="es-ES_tradnl"/>
        </w:rPr>
        <w:t>e</w:t>
      </w:r>
      <w:r w:rsidR="000C3123" w:rsidRPr="004C49DE">
        <w:rPr>
          <w:lang w:val="es-ES_tradnl"/>
        </w:rPr>
        <w:t>s el caso de varios representantes de las dependencias de género;</w:t>
      </w:r>
    </w:p>
    <w:p w14:paraId="2AB32BB1" w14:textId="03DC848F"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falta de integración de la elaboración de presupuestos con perspectiva de</w:t>
      </w:r>
      <w:r w:rsidR="001A14E9" w:rsidRPr="004C49DE">
        <w:rPr>
          <w:lang w:val="es-ES_tradnl"/>
        </w:rPr>
        <w:t xml:space="preserve"> </w:t>
      </w:r>
      <w:r w:rsidR="000C3123" w:rsidRPr="004C49DE">
        <w:rPr>
          <w:lang w:val="es-ES_tradnl"/>
        </w:rPr>
        <w:t>género;</w:t>
      </w:r>
    </w:p>
    <w:p w14:paraId="369FDF5F"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Los débiles mecanismos de financiación;</w:t>
      </w:r>
    </w:p>
    <w:p w14:paraId="440E1280"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falta de medidas especiales de carácter temporal relativas a la cuota del 30% y la difusión insuficiente de la legislación;</w:t>
      </w:r>
    </w:p>
    <w:p w14:paraId="6AE88154"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falta de asimilación del enfoque de género y desarrollo;</w:t>
      </w:r>
    </w:p>
    <w:p w14:paraId="74B662A2"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escasa proporción del presupuesto nacional destinada a lograr la igualdad de género y el empoderamiento de la mujer;</w:t>
      </w:r>
    </w:p>
    <w:p w14:paraId="13F2C914"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La debilidad institucional de la estructura encargada de las cuestiones de género en el Gobierno;</w:t>
      </w:r>
    </w:p>
    <w:p w14:paraId="6418D137" w14:textId="550C0456"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Los recursos financieros para abordar las cuestiones de género y el empoderamiento de la mujer provienen de dos fuentes: el Estado y los donantes</w:t>
      </w:r>
      <w:r w:rsidR="00BB7BBB" w:rsidRPr="004C49DE">
        <w:rPr>
          <w:lang w:val="es-ES_tradnl"/>
        </w:rPr>
        <w:t>.</w:t>
      </w:r>
    </w:p>
    <w:p w14:paraId="77781F2F" w14:textId="6861B2B6"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proporción del presupuesto del Estado que se destina al logro de la igualdad de género y el empoderamiento de la mujer es insuficiente para las necesidades existentes y no llega al 10% del presupuesto nacional</w:t>
      </w:r>
      <w:r w:rsidR="00BB7BBB" w:rsidRPr="004C49DE">
        <w:rPr>
          <w:szCs w:val="22"/>
          <w:lang w:val="es-ES_tradnl" w:eastAsia="en-US"/>
        </w:rPr>
        <w:t>.</w:t>
      </w:r>
    </w:p>
    <w:p w14:paraId="6F2AB9E0" w14:textId="1C796082" w:rsidR="00DE0EF3" w:rsidRPr="004C49DE" w:rsidRDefault="00DE0EF3" w:rsidP="00BB7BBB">
      <w:pPr>
        <w:pStyle w:val="SingleTxt"/>
        <w:suppressAutoHyphens w:val="0"/>
        <w:spacing w:after="0" w:line="120" w:lineRule="exact"/>
        <w:rPr>
          <w:sz w:val="10"/>
          <w:szCs w:val="10"/>
          <w:lang w:val="es-ES_tradnl"/>
        </w:rPr>
      </w:pPr>
    </w:p>
    <w:p w14:paraId="5529C740"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Desafíos</w:t>
      </w:r>
    </w:p>
    <w:p w14:paraId="3ECDCC46" w14:textId="77777777" w:rsidR="00DE0EF3" w:rsidRPr="004C49DE" w:rsidRDefault="00DE0EF3" w:rsidP="00BB7BBB">
      <w:pPr>
        <w:pStyle w:val="SingleTxt"/>
        <w:suppressAutoHyphens w:val="0"/>
        <w:spacing w:after="0" w:line="120" w:lineRule="exact"/>
        <w:rPr>
          <w:sz w:val="10"/>
          <w:szCs w:val="10"/>
          <w:lang w:val="es-ES_tradnl"/>
        </w:rPr>
      </w:pPr>
    </w:p>
    <w:p w14:paraId="06C1FC4D" w14:textId="77777777"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Los principales desafíos para el adelanto de las mujeres y las niñas son los siguientes:</w:t>
      </w:r>
    </w:p>
    <w:p w14:paraId="5CCC8E50" w14:textId="5651449C"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Lograr que los diferentes agentes asuman los 16 artículos de la Convención sobre la Eliminación de Todas las Formas de Discriminación contra la Mujer para que se tenga más en cuenta en el ejercicio diario de cada estructura;</w:t>
      </w:r>
    </w:p>
    <w:p w14:paraId="2E7C8BEC"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Aprobar el proyecto de ley sobre las cuotas;</w:t>
      </w:r>
    </w:p>
    <w:p w14:paraId="7B10B60C"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Lograr que la población y las instituciones participen en el cambio que se debe producir necesariamente en la mentalidad, el comportamiento y las prácticas para reducir las desigualdades relacionadas con el género;</w:t>
      </w:r>
    </w:p>
    <w:p w14:paraId="4B24D7FB"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lastRenderedPageBreak/>
        <w:tab/>
        <w:t>•</w:t>
      </w:r>
      <w:r w:rsidRPr="004C49DE">
        <w:rPr>
          <w:lang w:val="es-ES_tradnl"/>
        </w:rPr>
        <w:tab/>
      </w:r>
      <w:r w:rsidR="000C3123" w:rsidRPr="004C49DE">
        <w:rPr>
          <w:lang w:val="es-ES_tradnl"/>
        </w:rPr>
        <w:t>Proseguir con las reformas jurídicas que tienen en cuenta las cuestiones de género a fin de mejorar el nivel de representación de las mujeres en los órganos de adopción de decisiones;</w:t>
      </w:r>
    </w:p>
    <w:p w14:paraId="5F7E8821"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Desarrollar estrategias encaminadas a crear condiciones favorables para la mejora del potencial de la mujer;</w:t>
      </w:r>
    </w:p>
    <w:p w14:paraId="143952ED"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Promover un modelo de familia responsable, junto con valores familiares y comunitarios positivos y de socialización;</w:t>
      </w:r>
    </w:p>
    <w:p w14:paraId="762F0804"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Fomentar la elaboración de presupuestos con perspectiva de género;</w:t>
      </w:r>
    </w:p>
    <w:p w14:paraId="05536AF5"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Llevar a cabo auditorías de género en todos los ministerios;</w:t>
      </w:r>
    </w:p>
    <w:p w14:paraId="6C3AE2E3"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Ajustar los servicios e intensificar las iniciativas de protección de las mujeres y las niñas;</w:t>
      </w:r>
    </w:p>
    <w:p w14:paraId="2A1F0CE9" w14:textId="52AB3496"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Establecer una colaboración y una coordinación mejores con el sector privado, la sociedad civil, las comunidades locales y los asociados para el desarrollo</w:t>
      </w:r>
      <w:r w:rsidR="00BB7BBB" w:rsidRPr="004C49DE">
        <w:rPr>
          <w:lang w:val="es-ES_tradnl"/>
        </w:rPr>
        <w:t>.</w:t>
      </w:r>
    </w:p>
    <w:bookmarkEnd w:id="14"/>
    <w:p w14:paraId="043F1699" w14:textId="77777777" w:rsidR="00DE0EF3" w:rsidRPr="004C49DE" w:rsidRDefault="00DE0EF3" w:rsidP="00BB7BBB">
      <w:pPr>
        <w:pStyle w:val="SingleTxt"/>
        <w:suppressAutoHyphens w:val="0"/>
        <w:spacing w:after="0" w:line="120" w:lineRule="exact"/>
        <w:rPr>
          <w:sz w:val="10"/>
          <w:szCs w:val="10"/>
          <w:lang w:val="es-ES_tradnl"/>
        </w:rPr>
      </w:pPr>
    </w:p>
    <w:p w14:paraId="035297CB" w14:textId="77777777" w:rsidR="000C3123" w:rsidRPr="004C49DE" w:rsidRDefault="000C3123" w:rsidP="00BB7BBB">
      <w:pPr>
        <w:pStyle w:val="H23"/>
        <w:keepNext w:val="0"/>
        <w:keepLines w:val="0"/>
        <w:suppressAutoHyphens w:val="0"/>
        <w:ind w:right="1260"/>
        <w:rPr>
          <w:bCs w:val="0"/>
          <w:lang w:val="es-ES_tradnl" w:eastAsia="en-US"/>
        </w:rPr>
      </w:pPr>
      <w:r w:rsidRPr="004C49DE">
        <w:rPr>
          <w:bCs w:val="0"/>
          <w:lang w:val="es-ES_tradnl" w:eastAsia="en-US"/>
        </w:rPr>
        <w:tab/>
      </w:r>
      <w:r w:rsidRPr="004C49DE">
        <w:rPr>
          <w:bCs w:val="0"/>
          <w:lang w:val="es-ES_tradnl" w:eastAsia="en-US"/>
        </w:rPr>
        <w:tab/>
        <w:t>Perspectivas</w:t>
      </w:r>
    </w:p>
    <w:p w14:paraId="129600AB" w14:textId="77777777" w:rsidR="00DE0EF3" w:rsidRPr="004C49DE" w:rsidRDefault="00DE0EF3" w:rsidP="00BB7BBB">
      <w:pPr>
        <w:pStyle w:val="SingleTxt"/>
        <w:suppressAutoHyphens w:val="0"/>
        <w:spacing w:after="0" w:line="120" w:lineRule="exact"/>
        <w:rPr>
          <w:sz w:val="10"/>
          <w:szCs w:val="10"/>
          <w:lang w:val="es-ES_tradnl"/>
        </w:rPr>
      </w:pPr>
    </w:p>
    <w:p w14:paraId="1FA46343" w14:textId="77777777"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Estas perspectivas tienen por objeto mejorar el seguimiento de la aplicación de las recomendaciones de la Convención sobre la Eliminación de Todas las Formas de Discriminación contra la Mujer y de los diferentes instrumentos ratificados:</w:t>
      </w:r>
    </w:p>
    <w:p w14:paraId="0080C23B"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Crear y fortalecer los mecanismos de seguimiento y transposición de los instrumentos internacionales y de las estrategias nacionales y los documentos normativos nacionales;</w:t>
      </w:r>
    </w:p>
    <w:p w14:paraId="66A81072"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Reforzar los mecanismos para evaluar la aplicación de las hojas de ruta y los planes de acción;</w:t>
      </w:r>
    </w:p>
    <w:p w14:paraId="588BDC66"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Establecer, mediante la utilización de indicadores, un vínculo entre los diferentes instrumentos internacionales ratificados para orientar mejor las actividades;</w:t>
      </w:r>
    </w:p>
    <w:p w14:paraId="08932B72"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Poner en práctica instrumentos de reunión de datos estadísticos para conseguir datos desglosados por sexo;</w:t>
      </w:r>
    </w:p>
    <w:p w14:paraId="10F66798" w14:textId="77777777"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Formalizar la creación y el fortalecimiento de grupos de trabajo técnicos sobre cuestiones de género para incorporar la perspectiva de género y la planificación en los ministerios correspondientes;</w:t>
      </w:r>
    </w:p>
    <w:p w14:paraId="57F0E804" w14:textId="290C4685"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 xml:space="preserve">Reforzar la capacidad de movilización de recursos de los organismos del sistema de las Naciones Unidas y las </w:t>
      </w:r>
      <w:r w:rsidR="00D05639" w:rsidRPr="004C49DE">
        <w:rPr>
          <w:szCs w:val="22"/>
          <w:lang w:val="es-ES_tradnl" w:eastAsia="en-US"/>
        </w:rPr>
        <w:t>organizaciones de la sociedad civil</w:t>
      </w:r>
      <w:r w:rsidR="00D05639" w:rsidRPr="004C49DE" w:rsidDel="00D05639">
        <w:rPr>
          <w:lang w:val="es-ES_tradnl"/>
        </w:rPr>
        <w:t xml:space="preserve"> </w:t>
      </w:r>
      <w:r w:rsidR="000C3123" w:rsidRPr="004C49DE">
        <w:rPr>
          <w:lang w:val="es-ES_tradnl"/>
        </w:rPr>
        <w:t>para que complementen mejor al MPFFPE;</w:t>
      </w:r>
    </w:p>
    <w:p w14:paraId="5001CB53" w14:textId="64F36E1D"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Mejorar la alianza público</w:t>
      </w:r>
      <w:r w:rsidR="001A14E9" w:rsidRPr="004C49DE">
        <w:rPr>
          <w:lang w:val="es-ES_tradnl"/>
        </w:rPr>
        <w:noBreakHyphen/>
      </w:r>
      <w:r w:rsidR="000C3123" w:rsidRPr="004C49DE">
        <w:rPr>
          <w:lang w:val="es-ES_tradnl"/>
        </w:rPr>
        <w:t>privada para el adelanto de las mujeres y las niñas;</w:t>
      </w:r>
    </w:p>
    <w:p w14:paraId="6FE2223D" w14:textId="50115CB9" w:rsidR="000C3123" w:rsidRPr="004C49DE" w:rsidRDefault="00DE0EF3" w:rsidP="00BB7BBB">
      <w:pPr>
        <w:pStyle w:val="SingleTxt"/>
        <w:tabs>
          <w:tab w:val="right" w:pos="1685"/>
        </w:tabs>
        <w:suppressAutoHyphens w:val="0"/>
        <w:ind w:left="1742" w:hanging="475"/>
        <w:rPr>
          <w:lang w:val="es-ES_tradnl"/>
        </w:rPr>
      </w:pPr>
      <w:r w:rsidRPr="004C49DE">
        <w:rPr>
          <w:lang w:val="es-ES_tradnl"/>
        </w:rPr>
        <w:tab/>
        <w:t>•</w:t>
      </w:r>
      <w:r w:rsidRPr="004C49DE">
        <w:rPr>
          <w:lang w:val="es-ES_tradnl"/>
        </w:rPr>
        <w:tab/>
      </w:r>
      <w:r w:rsidR="000C3123" w:rsidRPr="004C49DE">
        <w:rPr>
          <w:lang w:val="es-ES_tradnl"/>
        </w:rPr>
        <w:t>Apoyar la provisión de fondos para la aplicación de las convenciones y otros instrumentos internacionales</w:t>
      </w:r>
      <w:r w:rsidR="00BB7BBB" w:rsidRPr="004C49DE">
        <w:rPr>
          <w:lang w:val="es-ES_tradnl"/>
        </w:rPr>
        <w:t>.</w:t>
      </w:r>
    </w:p>
    <w:p w14:paraId="51487E5D" w14:textId="77777777" w:rsidR="00DE0EF3" w:rsidRPr="004C49DE" w:rsidRDefault="00DE0EF3" w:rsidP="00BB7BBB">
      <w:pPr>
        <w:pStyle w:val="SingleTxt"/>
        <w:suppressAutoHyphens w:val="0"/>
        <w:spacing w:after="0" w:line="120" w:lineRule="exact"/>
        <w:rPr>
          <w:sz w:val="10"/>
          <w:szCs w:val="10"/>
          <w:lang w:val="es-ES_tradnl"/>
        </w:rPr>
      </w:pPr>
    </w:p>
    <w:p w14:paraId="65248788" w14:textId="77777777" w:rsidR="00DE0EF3" w:rsidRPr="004C49DE" w:rsidRDefault="00DE0EF3" w:rsidP="00BB7BBB">
      <w:pPr>
        <w:pStyle w:val="SingleTxt"/>
        <w:suppressAutoHyphens w:val="0"/>
        <w:spacing w:after="0" w:line="120" w:lineRule="exact"/>
        <w:rPr>
          <w:sz w:val="10"/>
          <w:szCs w:val="10"/>
          <w:lang w:val="es-ES_tradnl"/>
        </w:rPr>
      </w:pPr>
    </w:p>
    <w:p w14:paraId="45704CC4" w14:textId="77777777" w:rsidR="000C3123" w:rsidRPr="004C49DE" w:rsidRDefault="000C3123" w:rsidP="00BB7BBB">
      <w:pPr>
        <w:pStyle w:val="HCh"/>
        <w:keepNext w:val="0"/>
        <w:keepLines w:val="0"/>
        <w:suppressAutoHyphens w:val="0"/>
        <w:ind w:left="1267" w:right="1260" w:hanging="1267"/>
        <w:rPr>
          <w:bCs w:val="0"/>
          <w:szCs w:val="20"/>
          <w:lang w:val="es-ES_tradnl" w:eastAsia="en-US"/>
        </w:rPr>
      </w:pPr>
      <w:r w:rsidRPr="004C49DE">
        <w:rPr>
          <w:bCs w:val="0"/>
          <w:szCs w:val="20"/>
          <w:lang w:val="es-ES_tradnl" w:eastAsia="en-US"/>
        </w:rPr>
        <w:tab/>
      </w:r>
      <w:bookmarkStart w:id="15" w:name="Sample_10"/>
      <w:r w:rsidRPr="004C49DE">
        <w:rPr>
          <w:bCs w:val="0"/>
          <w:szCs w:val="20"/>
          <w:lang w:val="es-ES_tradnl" w:eastAsia="en-US"/>
        </w:rPr>
        <w:tab/>
        <w:t>Conclusión</w:t>
      </w:r>
    </w:p>
    <w:p w14:paraId="003DC550" w14:textId="77777777" w:rsidR="00DE0EF3" w:rsidRPr="004C49DE" w:rsidRDefault="00DE0EF3" w:rsidP="00BB7BBB">
      <w:pPr>
        <w:pStyle w:val="SingleTxt"/>
        <w:suppressAutoHyphens w:val="0"/>
        <w:spacing w:after="0" w:line="120" w:lineRule="exact"/>
        <w:rPr>
          <w:sz w:val="10"/>
          <w:szCs w:val="10"/>
          <w:lang w:val="es-ES_tradnl"/>
        </w:rPr>
      </w:pPr>
    </w:p>
    <w:p w14:paraId="5CC733D3" w14:textId="77777777" w:rsidR="00DE0EF3" w:rsidRPr="004C49DE" w:rsidRDefault="00DE0EF3" w:rsidP="00BB7BBB">
      <w:pPr>
        <w:pStyle w:val="SingleTxt"/>
        <w:suppressAutoHyphens w:val="0"/>
        <w:spacing w:after="0" w:line="120" w:lineRule="exact"/>
        <w:rPr>
          <w:sz w:val="10"/>
          <w:szCs w:val="10"/>
          <w:lang w:val="es-ES_tradnl"/>
        </w:rPr>
      </w:pPr>
    </w:p>
    <w:p w14:paraId="611C1479" w14:textId="367E5ACC"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La Convención sobre la Eliminación de Todas las Formas de Discriminación contra la Mujer despierta un gran interés en Côte d</w:t>
      </w:r>
      <w:r w:rsidR="004C49DE">
        <w:rPr>
          <w:szCs w:val="22"/>
          <w:lang w:val="es-ES_tradnl" w:eastAsia="en-US"/>
        </w:rPr>
        <w:t>’</w:t>
      </w:r>
      <w:r w:rsidRPr="004C49DE">
        <w:rPr>
          <w:szCs w:val="22"/>
          <w:lang w:val="es-ES_tradnl" w:eastAsia="en-US"/>
        </w:rPr>
        <w:t>Ivoire, ya que se trata de un marco estratégico eficaz para combatir la discriminación contra las mujeres y las niñas en todas las esferas de la vida social</w:t>
      </w:r>
      <w:r w:rsidR="00BB7BBB" w:rsidRPr="004C49DE">
        <w:rPr>
          <w:szCs w:val="22"/>
          <w:lang w:val="es-ES_tradnl" w:eastAsia="en-US"/>
        </w:rPr>
        <w:t>.</w:t>
      </w:r>
    </w:p>
    <w:p w14:paraId="0D4A40A0" w14:textId="0C4C4068"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lastRenderedPageBreak/>
        <w:t>Su aplicación es responsabilidad en primer lugar del Gobierno y, en particular, del MPFFPE, que es el líder ejecutivo de las iniciativas en materia de género, adelanto de la mujer y lucha contra todas las formas de discriminación contra la</w:t>
      </w:r>
      <w:r w:rsidR="001A14E9" w:rsidRPr="004C49DE">
        <w:rPr>
          <w:szCs w:val="22"/>
          <w:lang w:val="es-ES_tradnl" w:eastAsia="en-US"/>
        </w:rPr>
        <w:t xml:space="preserve"> </w:t>
      </w:r>
      <w:r w:rsidRPr="004C49DE">
        <w:rPr>
          <w:szCs w:val="22"/>
          <w:lang w:val="es-ES_tradnl" w:eastAsia="en-US"/>
        </w:rPr>
        <w:t>mujer</w:t>
      </w:r>
      <w:r w:rsidR="00BB7BBB" w:rsidRPr="004C49DE">
        <w:rPr>
          <w:szCs w:val="22"/>
          <w:lang w:val="es-ES_tradnl" w:eastAsia="en-US"/>
        </w:rPr>
        <w:t>.</w:t>
      </w:r>
    </w:p>
    <w:p w14:paraId="749DE55B" w14:textId="1FB430AA"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Este cuarto informe de Côte d</w:t>
      </w:r>
      <w:r w:rsidR="004C49DE">
        <w:rPr>
          <w:szCs w:val="22"/>
          <w:lang w:val="es-ES_tradnl" w:eastAsia="en-US"/>
        </w:rPr>
        <w:t>’</w:t>
      </w:r>
      <w:r w:rsidRPr="004C49DE">
        <w:rPr>
          <w:szCs w:val="22"/>
          <w:lang w:val="es-ES_tradnl" w:eastAsia="en-US"/>
        </w:rPr>
        <w:t>Ivoire revela los importantes avances realizados y las medidas urgentes y concretas adoptadas para reducir las situaciones discriminatorias y la violencia contra la mujer de conformidad con las recomendaciones del Comité para la Eliminación de la Discriminación contra la Mujer durante la presentación del primer informe combinado</w:t>
      </w:r>
      <w:r w:rsidR="00BB7BBB" w:rsidRPr="004C49DE">
        <w:rPr>
          <w:szCs w:val="22"/>
          <w:lang w:val="es-ES_tradnl" w:eastAsia="en-US"/>
        </w:rPr>
        <w:t>.</w:t>
      </w:r>
    </w:p>
    <w:p w14:paraId="6874CCD7" w14:textId="24AD0250" w:rsidR="000C3123"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Los resultados logrados en la aplicación de estas recomendaciones son el resultado de la colaboración y la participación efectiva de los diferentes grupos de interesados institucionales (poderes públicos y privados), los asociados técnicos y financieros, las ONG nacionales e internacionales, y las comunidades locales</w:t>
      </w:r>
      <w:r w:rsidR="00BB7BBB" w:rsidRPr="004C49DE">
        <w:rPr>
          <w:szCs w:val="22"/>
          <w:lang w:val="es-ES_tradnl" w:eastAsia="en-US"/>
        </w:rPr>
        <w:t>.</w:t>
      </w:r>
    </w:p>
    <w:p w14:paraId="1688A49D" w14:textId="6040C4CF" w:rsidR="00BB7BBB" w:rsidRPr="004C49DE" w:rsidRDefault="000C3123" w:rsidP="00BB7BBB">
      <w:pPr>
        <w:pStyle w:val="SingleTxt"/>
        <w:numPr>
          <w:ilvl w:val="0"/>
          <w:numId w:val="6"/>
        </w:numPr>
        <w:suppressAutoHyphens w:val="0"/>
        <w:ind w:left="1267" w:firstLine="0"/>
        <w:rPr>
          <w:szCs w:val="22"/>
          <w:lang w:val="es-ES_tradnl" w:eastAsia="en-US"/>
        </w:rPr>
      </w:pPr>
      <w:r w:rsidRPr="004C49DE">
        <w:rPr>
          <w:szCs w:val="22"/>
          <w:lang w:val="es-ES_tradnl" w:eastAsia="en-US"/>
        </w:rPr>
        <w:t>Estas medidas han permitido mejorar la condición de la mujer y tener una influencia positiva en las estadísticas conexas en consonancia con la visión del Gobierno de Côte d</w:t>
      </w:r>
      <w:r w:rsidR="004C49DE">
        <w:rPr>
          <w:szCs w:val="22"/>
          <w:lang w:val="es-ES_tradnl" w:eastAsia="en-US"/>
        </w:rPr>
        <w:t>’</w:t>
      </w:r>
      <w:r w:rsidRPr="004C49DE">
        <w:rPr>
          <w:szCs w:val="22"/>
          <w:lang w:val="es-ES_tradnl" w:eastAsia="en-US"/>
        </w:rPr>
        <w:t>Ivoire, que consiste en acelerar el logro de la igualdad de género en el país</w:t>
      </w:r>
      <w:r w:rsidR="00BB7BBB" w:rsidRPr="004C49DE">
        <w:rPr>
          <w:szCs w:val="22"/>
          <w:lang w:val="es-ES_tradnl" w:eastAsia="en-US"/>
        </w:rPr>
        <w:t>.</w:t>
      </w:r>
    </w:p>
    <w:bookmarkEnd w:id="15"/>
    <w:p w14:paraId="587761B2" w14:textId="383CA7B0" w:rsidR="00F16571" w:rsidRPr="004C49DE" w:rsidRDefault="00B84C17" w:rsidP="001A14E9">
      <w:pPr>
        <w:pStyle w:val="SingleTxt"/>
        <w:suppressAutoHyphens w:val="0"/>
        <w:rPr>
          <w:szCs w:val="22"/>
          <w:lang w:val="es-ES_tradnl" w:eastAsia="en-US"/>
        </w:rPr>
      </w:pPr>
      <w:r w:rsidRPr="004C49DE">
        <w:rPr>
          <w:noProof/>
          <w:szCs w:val="22"/>
          <w:lang w:val="es-ES_tradnl" w:eastAsia="en-US"/>
        </w:rPr>
        <mc:AlternateContent>
          <mc:Choice Requires="wps">
            <w:drawing>
              <wp:anchor distT="4294967294" distB="4294967294" distL="114300" distR="114300" simplePos="0" relativeHeight="251658752" behindDoc="0" locked="0" layoutInCell="1" allowOverlap="1" wp14:anchorId="3A50CB11" wp14:editId="488B15A8">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18C5"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F16571" w:rsidRPr="004C49DE" w:rsidSect="00B11E0C">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05T17:40:00Z" w:initials="Start">
    <w:p w14:paraId="040CF0CA" w14:textId="77777777" w:rsidR="001359B1" w:rsidRDefault="001359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NO&gt;&gt;N1821959S&lt;&lt;ODS JOB NO&gt;&gt;</w:t>
      </w:r>
    </w:p>
    <w:p w14:paraId="254E78F8" w14:textId="77777777" w:rsidR="001359B1" w:rsidRDefault="001359B1">
      <w:pPr>
        <w:pStyle w:val="CommentText"/>
      </w:pPr>
      <w:r>
        <w:t>&lt;&lt;ODS DOC SYMBOL1&gt;&gt;CEDAW/C/CIV/4&lt;&lt;ODS DOC SYMBOL1&gt;&gt;</w:t>
      </w:r>
    </w:p>
    <w:p w14:paraId="007C16C0" w14:textId="4E8379EA" w:rsidR="001359B1" w:rsidRDefault="001359B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C16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DB2C" w14:textId="77777777" w:rsidR="00DA2C93" w:rsidRDefault="00DA2C93">
      <w:r>
        <w:separator/>
      </w:r>
    </w:p>
  </w:endnote>
  <w:endnote w:type="continuationSeparator" w:id="0">
    <w:p w14:paraId="07AD4E04" w14:textId="77777777" w:rsidR="00DA2C93" w:rsidRDefault="00DA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DA2C93" w:rsidRPr="0055312A" w14:paraId="077D78D1" w14:textId="77777777">
      <w:trPr>
        <w:jc w:val="right"/>
      </w:trPr>
      <w:tc>
        <w:tcPr>
          <w:tcW w:w="5028" w:type="dxa"/>
        </w:tcPr>
        <w:p w14:paraId="1438BD99" w14:textId="0B506F87" w:rsidR="00DA2C93" w:rsidRDefault="00DA2C93"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42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47</w:t>
          </w:r>
          <w:r>
            <w:rPr>
              <w:w w:val="103"/>
            </w:rPr>
            <w:fldChar w:fldCharType="end"/>
          </w:r>
        </w:p>
      </w:tc>
      <w:tc>
        <w:tcPr>
          <w:tcW w:w="5028" w:type="dxa"/>
        </w:tcPr>
        <w:p w14:paraId="5FCE46C2" w14:textId="664E2DC6" w:rsidR="00DA2C93" w:rsidRDefault="00A202D0" w:rsidP="00A744CE">
          <w:pPr>
            <w:pStyle w:val="Footer"/>
            <w:jc w:val="right"/>
            <w:rPr>
              <w:w w:val="103"/>
            </w:rPr>
          </w:pPr>
          <w:r>
            <w:rPr>
              <w:b w:val="0"/>
              <w:bCs w:val="0"/>
              <w:w w:val="103"/>
              <w:sz w:val="14"/>
              <w:szCs w:val="14"/>
            </w:rPr>
            <w:t>18-11484</w:t>
          </w:r>
        </w:p>
      </w:tc>
    </w:tr>
  </w:tbl>
  <w:p w14:paraId="73909276" w14:textId="77777777" w:rsidR="00DA2C93" w:rsidRDefault="00DA2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DA2C93" w14:paraId="695E6CE9" w14:textId="77777777">
      <w:trPr>
        <w:jc w:val="right"/>
      </w:trPr>
      <w:tc>
        <w:tcPr>
          <w:tcW w:w="5028" w:type="dxa"/>
        </w:tcPr>
        <w:p w14:paraId="6545C9B5" w14:textId="31D2A3A3" w:rsidR="00DA2C93" w:rsidRDefault="00A202D0" w:rsidP="00A744CE">
          <w:pPr>
            <w:pStyle w:val="Footer"/>
            <w:rPr>
              <w:w w:val="103"/>
            </w:rPr>
          </w:pPr>
          <w:r>
            <w:rPr>
              <w:b w:val="0"/>
              <w:bCs w:val="0"/>
              <w:w w:val="103"/>
              <w:sz w:val="14"/>
              <w:szCs w:val="14"/>
            </w:rPr>
            <w:t>18-11484</w:t>
          </w:r>
        </w:p>
      </w:tc>
      <w:tc>
        <w:tcPr>
          <w:tcW w:w="5028" w:type="dxa"/>
        </w:tcPr>
        <w:p w14:paraId="41580902" w14:textId="597BFD2C" w:rsidR="00DA2C93" w:rsidRDefault="00DA2C93"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47</w:t>
          </w:r>
          <w:r>
            <w:rPr>
              <w:w w:val="103"/>
            </w:rPr>
            <w:fldChar w:fldCharType="end"/>
          </w:r>
        </w:p>
      </w:tc>
    </w:tr>
  </w:tbl>
  <w:p w14:paraId="66852905" w14:textId="77777777" w:rsidR="00DA2C93" w:rsidRDefault="00DA2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DA2C93" w14:paraId="06B6F7A7" w14:textId="77777777">
      <w:tc>
        <w:tcPr>
          <w:tcW w:w="3801" w:type="dxa"/>
        </w:tcPr>
        <w:p w14:paraId="1D0302CC" w14:textId="0D6ECEE6" w:rsidR="00DA2C93" w:rsidRDefault="00DA2C93">
          <w:pPr>
            <w:pStyle w:val="ReleaseDate"/>
          </w:pPr>
          <w:r>
            <w:rPr>
              <w:noProof/>
            </w:rPr>
            <w:t>18-11484</w:t>
          </w:r>
          <w:r w:rsidR="00385171">
            <w:rPr>
              <w:noProof/>
            </w:rPr>
            <w:t>X</w:t>
          </w:r>
          <w:r>
            <w:rPr>
              <w:noProof/>
            </w:rPr>
            <w:t xml:space="preserve"> (S)</w:t>
          </w:r>
          <w:r w:rsidRPr="00343FEC">
            <w:rPr>
              <w:noProof/>
            </w:rPr>
            <w:t xml:space="preserve">   </w:t>
          </w:r>
        </w:p>
        <w:p w14:paraId="178EFF97" w14:textId="77777777" w:rsidR="00DA2C93" w:rsidRDefault="00DA2C93">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*1811484*</w:t>
          </w:r>
        </w:p>
      </w:tc>
      <w:tc>
        <w:tcPr>
          <w:tcW w:w="5028" w:type="dxa"/>
        </w:tcPr>
        <w:p w14:paraId="63EFEF2A" w14:textId="77777777" w:rsidR="00DA2C93" w:rsidRDefault="00DA2C93">
          <w:pPr>
            <w:pStyle w:val="Footer"/>
            <w:jc w:val="right"/>
            <w:rPr>
              <w:b w:val="0"/>
              <w:bCs w:val="0"/>
              <w:sz w:val="20"/>
              <w:szCs w:val="20"/>
            </w:rPr>
          </w:pPr>
          <w:r>
            <w:rPr>
              <w:b w:val="0"/>
              <w:bCs w:val="0"/>
              <w:sz w:val="20"/>
              <w:szCs w:val="20"/>
            </w:rPr>
            <w:drawing>
              <wp:anchor distT="0" distB="0" distL="114300" distR="114300" simplePos="0" relativeHeight="251658240" behindDoc="0" locked="0" layoutInCell="1" allowOverlap="1" wp14:anchorId="6BC8F1B4" wp14:editId="16ED7AAF">
                <wp:simplePos x="0" y="0"/>
                <wp:positionH relativeFrom="column">
                  <wp:posOffset>3133090</wp:posOffset>
                </wp:positionH>
                <wp:positionV relativeFrom="paragraph">
                  <wp:posOffset>-363220</wp:posOffset>
                </wp:positionV>
                <wp:extent cx="688975"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94690"/>
                        </a:xfrm>
                        <a:prstGeom prst="rect">
                          <a:avLst/>
                        </a:prstGeom>
                        <a:noFill/>
                      </pic:spPr>
                    </pic:pic>
                  </a:graphicData>
                </a:graphic>
                <wp14:sizeRelH relativeFrom="page">
                  <wp14:pctWidth>0</wp14:pctWidth>
                </wp14:sizeRelH>
                <wp14:sizeRelV relativeFrom="page">
                  <wp14:pctHeight>0</wp14:pctHeight>
                </wp14:sizeRelV>
              </wp:anchor>
            </w:drawing>
          </w:r>
          <w:r>
            <w:rPr>
              <w:b w:val="0"/>
              <w:sz w:val="20"/>
            </w:rPr>
            <w:drawing>
              <wp:inline distT="0" distB="0" distL="0" distR="0" wp14:anchorId="2F883B74" wp14:editId="185DAD9B">
                <wp:extent cx="1085850" cy="219075"/>
                <wp:effectExtent l="0" t="0" r="0" b="0"/>
                <wp:docPr id="4" name="Picture 5" descr="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19075"/>
                        </a:xfrm>
                        <a:prstGeom prst="rect">
                          <a:avLst/>
                        </a:prstGeom>
                        <a:noFill/>
                        <a:ln>
                          <a:noFill/>
                        </a:ln>
                      </pic:spPr>
                    </pic:pic>
                  </a:graphicData>
                </a:graphic>
              </wp:inline>
            </w:drawing>
          </w:r>
        </w:p>
      </w:tc>
    </w:tr>
  </w:tbl>
  <w:p w14:paraId="34476988" w14:textId="77777777" w:rsidR="00DA2C93" w:rsidRDefault="00DA2C93">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47DB" w14:textId="77777777" w:rsidR="00DA2C93" w:rsidRDefault="00DA2C93">
      <w:pPr>
        <w:pStyle w:val="Footer"/>
        <w:spacing w:after="80"/>
        <w:ind w:left="792"/>
        <w:rPr>
          <w:sz w:val="16"/>
          <w:szCs w:val="16"/>
        </w:rPr>
      </w:pPr>
      <w:r>
        <w:rPr>
          <w:sz w:val="16"/>
          <w:szCs w:val="16"/>
        </w:rPr>
        <w:t>__________________</w:t>
      </w:r>
    </w:p>
  </w:footnote>
  <w:footnote w:type="continuationSeparator" w:id="0">
    <w:p w14:paraId="3E5A2334" w14:textId="77777777" w:rsidR="00DA2C93" w:rsidRDefault="00DA2C93">
      <w:pPr>
        <w:pStyle w:val="Footer"/>
        <w:spacing w:after="80"/>
        <w:ind w:left="792"/>
        <w:rPr>
          <w:sz w:val="16"/>
          <w:szCs w:val="16"/>
        </w:rPr>
      </w:pPr>
      <w:r>
        <w:rPr>
          <w:sz w:val="16"/>
          <w:szCs w:val="16"/>
        </w:rPr>
        <w:t>__________________</w:t>
      </w:r>
    </w:p>
  </w:footnote>
  <w:footnote w:id="1">
    <w:p w14:paraId="5CD9CC54"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Cabe señalar que esta red ya no está en funcionamiento hoy en día.</w:t>
      </w:r>
    </w:p>
  </w:footnote>
  <w:footnote w:id="2">
    <w:p w14:paraId="2A80951F" w14:textId="11BC6E2B"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El Proyecto de Apoyo para Mejorar el Acceso a los Derechos y la Justicia  fue inaugurado oficialmente en marzo de 2013 por la Operación de las Naciones Unidas en Côte</w:t>
      </w:r>
      <w:r w:rsidRPr="000E7E85">
        <w:rPr>
          <w:spacing w:val="4"/>
          <w:kern w:val="0"/>
          <w:szCs w:val="22"/>
          <w:highlight w:val="darkBlue"/>
          <w:lang w:val="es-ES" w:eastAsia="en-US"/>
        </w:rPr>
        <w:t> </w:t>
      </w:r>
      <w:r w:rsidRPr="000E7E85">
        <w:rPr>
          <w:spacing w:val="4"/>
          <w:kern w:val="0"/>
          <w:szCs w:val="22"/>
          <w:lang w:val="es-ES" w:eastAsia="en-US"/>
        </w:rPr>
        <w:t>d’Ivoire (ONUCI), la Unión Europea, el Fondo de las Naciones Unidas para la Infancia (UNICEF), el PNUD y la AFJCI. Su finalidad es el acercamiento entre la justicia y los litigantes mediante el desarrollo de la capacidad de las personas y los grupos vulnerables en materia de derechos humanos.</w:t>
      </w:r>
    </w:p>
  </w:footnote>
  <w:footnote w:id="3">
    <w:p w14:paraId="21E5A19A" w14:textId="30568AF9"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La franquicia social se caracteriza por la concesión de subvenciones por parte de los Gobiernos a partir de fondos públicos y por parte de donantes (UNFPA), las cuales se destinan a grupos de ingresos bajos (grupos de mujeres y jóvenes en edad de procrear) con el objeto de que lleven a cabo actividades generadoras de ingresos financieros y logren así sufragar los gastos ligados a la utilización de los servicios de salud. En este caso, se hizo hincapié en el acceso y la utilización de los servicios de salud reproductiva, en especial la planificación familiar. El principio consiste en que los grupos sociales beneficiarios de la subvención, al mismo tiempo que realizan actividades que generan ingresos económicos, se sensibilicen acerca de la salud reproductiva y la planificación familiar, y puedan decidir libremente, sin ningún tipo de coacción, utilizar los servicios. Además, estos grupos movilizan y sensibilizan a otros miembros de la comunidad, con lo que aumentan sus conocimientos acerca de la salud reproductiva y la planificación familiar, y favorecen la transformación positiva de las actitudes y los comportamientos.</w:t>
      </w:r>
    </w:p>
  </w:footnote>
  <w:footnote w:id="4">
    <w:p w14:paraId="01755489"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Ministerio del Adelanto de la Mujer, la Familia y la Protección del Niño, Ministro de Educación Nacional y Ministro de Comercio.</w:t>
      </w:r>
    </w:p>
  </w:footnote>
  <w:footnote w:id="5">
    <w:p w14:paraId="0D38B91B"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TrackingResultsContinously (TRaC). Se trata de un enfoque de investigación operacional elaborado por Population Services International (PSI), una ONG estadounidense con sede en Washington D.C., con el objeto de facilitar la adopción de decisiones en la esfera de la comercialización social de productos sanitarios a fin de aumentar la repercusión de las iniciativas ligadas a la salud de la población. Primera realización en Côte d’Ivoire, informe de 2014.</w:t>
      </w:r>
    </w:p>
  </w:footnote>
  <w:footnote w:id="6">
    <w:p w14:paraId="5421F02A"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Una violación es todo acto de penetración vaginal, anal o bucal que tiene lugar sin consentimiento (aunque sea superficial) utilizando el pene o cualquier otra parte del cuerpo. Se aplica también a la introducción de un objeto en la vagina o en el ano.</w:t>
      </w:r>
    </w:p>
  </w:footnote>
  <w:footnote w:id="7">
    <w:p w14:paraId="350758CF" w14:textId="14A1EAB5"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 xml:space="preserve">La resolución </w:t>
      </w:r>
      <w:hyperlink r:id="rId1" w:history="1">
        <w:r w:rsidRPr="00A50CED">
          <w:rPr>
            <w:rStyle w:val="Hyperlink"/>
            <w:spacing w:val="4"/>
            <w:kern w:val="0"/>
            <w:szCs w:val="22"/>
            <w:lang w:val="es-ES" w:eastAsia="en-US"/>
          </w:rPr>
          <w:t>1960 (2010),</w:t>
        </w:r>
      </w:hyperlink>
      <w:r w:rsidRPr="000E7E85">
        <w:rPr>
          <w:spacing w:val="4"/>
          <w:kern w:val="0"/>
          <w:szCs w:val="22"/>
          <w:lang w:val="es-ES" w:eastAsia="en-US"/>
        </w:rPr>
        <w:t xml:space="preserve"> en la que el Consejo de Seguridad pidió al Secretario General que elaborase una lista de las partes sobre las cuales pesasen sospechas fundadas de haber cometido o haber sido responsables de actos de violencia sexual en situaciones enmarcadas en el programa del Consejo y en que se solicitó el establecimiento de disposiciones de vigilancia, análisis y presentación de informes expresamente sobre la violencia sexual relacionada con los conflictos.</w:t>
      </w:r>
    </w:p>
  </w:footnote>
  <w:footnote w:id="8">
    <w:p w14:paraId="75E6BB63"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Fondo Central para la Acción en Casos de Emergencia.</w:t>
      </w:r>
    </w:p>
  </w:footnote>
  <w:footnote w:id="9">
    <w:p w14:paraId="2FAFBC07"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Oficina de Asistencia para Desastres en el Extranjero.</w:t>
      </w:r>
    </w:p>
  </w:footnote>
  <w:footnote w:id="10">
    <w:p w14:paraId="03CD2426" w14:textId="77777777" w:rsidR="00DA2C93" w:rsidRPr="0006538B"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fr-FR"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6538B">
        <w:rPr>
          <w:spacing w:val="4"/>
          <w:kern w:val="0"/>
          <w:szCs w:val="22"/>
          <w:lang w:val="fr-FR" w:eastAsia="en-US"/>
        </w:rPr>
        <w:tab/>
      </w:r>
      <w:r w:rsidRPr="0006538B">
        <w:rPr>
          <w:i/>
          <w:spacing w:val="4"/>
          <w:kern w:val="0"/>
          <w:szCs w:val="22"/>
          <w:lang w:val="fr-FR" w:eastAsia="en-US"/>
        </w:rPr>
        <w:t>Vulnérabilité des jeunes filles face au VIH/sida en Côte d’Ivoire - Une analyse genre</w:t>
      </w:r>
      <w:r w:rsidRPr="0006538B">
        <w:rPr>
          <w:spacing w:val="4"/>
          <w:kern w:val="0"/>
          <w:szCs w:val="22"/>
          <w:lang w:val="fr-FR" w:eastAsia="en-US"/>
        </w:rPr>
        <w:t>.</w:t>
      </w:r>
    </w:p>
  </w:footnote>
  <w:footnote w:id="11">
    <w:p w14:paraId="6FF083D8" w14:textId="77777777" w:rsidR="00DA2C93" w:rsidRPr="0006538B"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fr-FR" w:eastAsia="en-US"/>
        </w:rPr>
      </w:pPr>
      <w:r w:rsidRPr="0006538B">
        <w:rPr>
          <w:spacing w:val="4"/>
          <w:kern w:val="0"/>
          <w:szCs w:val="22"/>
          <w:lang w:val="fr-FR" w:eastAsia="en-US"/>
        </w:rPr>
        <w:tab/>
      </w:r>
      <w:r w:rsidRPr="000E7E85">
        <w:rPr>
          <w:spacing w:val="4"/>
          <w:kern w:val="0"/>
          <w:szCs w:val="22"/>
          <w:vertAlign w:val="superscript"/>
          <w:lang w:val="es-ES" w:eastAsia="en-US"/>
        </w:rPr>
        <w:footnoteRef/>
      </w:r>
      <w:r w:rsidRPr="0006538B">
        <w:rPr>
          <w:spacing w:val="4"/>
          <w:kern w:val="0"/>
          <w:szCs w:val="22"/>
          <w:lang w:val="fr-FR" w:eastAsia="en-US"/>
        </w:rPr>
        <w:tab/>
      </w:r>
      <w:r w:rsidRPr="0006538B">
        <w:rPr>
          <w:i/>
          <w:spacing w:val="4"/>
          <w:kern w:val="0"/>
          <w:szCs w:val="22"/>
          <w:lang w:val="fr-FR" w:eastAsia="en-US"/>
        </w:rPr>
        <w:t>Analyse situationnelle des facteurs de vulnérabilité socioéconomiques des jeunes filles victimes d’exploitation sexuelle face au VIH/SIDA, de leur accès aux services de santé de la reproduction et au planning familial dans le cadre de la mise en œuvre du Programme du Fonds Mondial VIH Volet communautaire.</w:t>
      </w:r>
    </w:p>
  </w:footnote>
  <w:footnote w:id="12">
    <w:p w14:paraId="78FEDE97"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6538B">
        <w:rPr>
          <w:spacing w:val="4"/>
          <w:kern w:val="0"/>
          <w:szCs w:val="22"/>
          <w:lang w:val="fr-FR" w:eastAsia="en-US"/>
        </w:rPr>
        <w:tab/>
      </w:r>
      <w:r w:rsidRPr="000E7E85">
        <w:rPr>
          <w:spacing w:val="4"/>
          <w:kern w:val="0"/>
          <w:szCs w:val="22"/>
          <w:vertAlign w:val="superscript"/>
          <w:lang w:val="es-ES" w:eastAsia="en-US"/>
        </w:rPr>
        <w:footnoteRef/>
      </w:r>
      <w:r w:rsidRPr="000E7E85">
        <w:rPr>
          <w:spacing w:val="4"/>
          <w:kern w:val="0"/>
          <w:szCs w:val="22"/>
          <w:lang w:val="es-ES" w:eastAsia="en-US"/>
        </w:rPr>
        <w:tab/>
        <w:t>Datos sobre el personal proporcionados por el gabinete de justicia.</w:t>
      </w:r>
    </w:p>
  </w:footnote>
  <w:footnote w:id="13">
    <w:p w14:paraId="64AE4110"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r>
      <w:r w:rsidRPr="000E7E85">
        <w:rPr>
          <w:i/>
          <w:spacing w:val="4"/>
          <w:kern w:val="0"/>
          <w:szCs w:val="22"/>
          <w:lang w:val="es-ES" w:eastAsia="en-US"/>
        </w:rPr>
        <w:t>Idem</w:t>
      </w:r>
      <w:r w:rsidRPr="000E7E85">
        <w:rPr>
          <w:spacing w:val="4"/>
          <w:kern w:val="0"/>
          <w:szCs w:val="22"/>
          <w:lang w:val="es-ES" w:eastAsia="en-US"/>
        </w:rPr>
        <w:t>.</w:t>
      </w:r>
    </w:p>
  </w:footnote>
  <w:footnote w:id="14">
    <w:p w14:paraId="0C02E68C"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r>
      <w:r w:rsidRPr="000E7E85">
        <w:rPr>
          <w:i/>
          <w:spacing w:val="4"/>
          <w:kern w:val="0"/>
          <w:szCs w:val="22"/>
          <w:lang w:val="es-ES" w:eastAsia="en-US"/>
        </w:rPr>
        <w:t>Ibidem</w:t>
      </w:r>
      <w:r w:rsidRPr="000E7E85">
        <w:rPr>
          <w:spacing w:val="4"/>
          <w:kern w:val="0"/>
          <w:szCs w:val="22"/>
          <w:lang w:val="es-ES" w:eastAsia="en-US"/>
        </w:rPr>
        <w:t xml:space="preserve">. </w:t>
      </w:r>
    </w:p>
  </w:footnote>
  <w:footnote w:id="15">
    <w:p w14:paraId="66533344"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r>
      <w:r w:rsidRPr="000E7E85">
        <w:rPr>
          <w:i/>
          <w:spacing w:val="4"/>
          <w:kern w:val="0"/>
          <w:szCs w:val="22"/>
          <w:lang w:val="es-ES" w:eastAsia="en-US"/>
        </w:rPr>
        <w:t>Ibidem</w:t>
      </w:r>
      <w:r w:rsidRPr="000E7E85">
        <w:rPr>
          <w:spacing w:val="4"/>
          <w:kern w:val="0"/>
          <w:szCs w:val="22"/>
          <w:lang w:val="es-ES" w:eastAsia="en-US"/>
        </w:rPr>
        <w:t xml:space="preserve">. </w:t>
      </w:r>
    </w:p>
  </w:footnote>
  <w:footnote w:id="16">
    <w:p w14:paraId="20E2B091"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Informe descriptivo sobre la situación laboral en 2014.</w:t>
      </w:r>
    </w:p>
  </w:footnote>
  <w:footnote w:id="17">
    <w:p w14:paraId="339C5DA1"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La situación del empleo en Côte d’Ivoire en 2013.</w:t>
      </w:r>
    </w:p>
  </w:footnote>
  <w:footnote w:id="18">
    <w:p w14:paraId="10C0B0C0"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Las personas ajenas a la fuerza de trabajo son aquellas personas en edad de trabajar que no cuentan con un empleo ni están en situación de desempleo durante el breve período de referencia. Se trata principalmente (74,8%) de personas que trabajan (pero que no tienen un empleo) para el consumo personal (productores de alimentos de subsistencia u otros trabajos de producción para el autoconsumo). En este tipo de población se incluyen tanto la fuerza de trabajo potencial (5,6%) como las demás personas ajenas a la fuerza de trabajo (19,6%).</w:t>
      </w:r>
    </w:p>
  </w:footnote>
  <w:footnote w:id="19">
    <w:p w14:paraId="4B495F43"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Los autoempleos no agrícolas son, en general, informales (99,5%). Independientemente de la característica sociodemográfica que se analice, los autoempleos no agrícolas son fundamentalmente informales.</w:t>
      </w:r>
    </w:p>
  </w:footnote>
  <w:footnote w:id="20">
    <w:p w14:paraId="58D858F1" w14:textId="77777777" w:rsidR="00DA2C93" w:rsidRPr="0006538B"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fr-FR"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6538B">
        <w:rPr>
          <w:spacing w:val="4"/>
          <w:kern w:val="0"/>
          <w:szCs w:val="22"/>
          <w:lang w:val="fr-FR" w:eastAsia="en-US"/>
        </w:rPr>
        <w:tab/>
      </w:r>
      <w:r w:rsidRPr="0006538B">
        <w:rPr>
          <w:i/>
          <w:spacing w:val="4"/>
          <w:kern w:val="0"/>
          <w:szCs w:val="22"/>
          <w:lang w:val="fr-FR" w:eastAsia="en-US"/>
        </w:rPr>
        <w:t>Politiques et dispositifs d’insertion professionnelle et de création d’emploi</w:t>
      </w:r>
      <w:r w:rsidRPr="0006538B">
        <w:rPr>
          <w:spacing w:val="4"/>
          <w:kern w:val="0"/>
          <w:szCs w:val="22"/>
          <w:lang w:val="fr-FR" w:eastAsia="en-US"/>
        </w:rPr>
        <w:t>, informe provisional, marzo.</w:t>
      </w:r>
    </w:p>
  </w:footnote>
  <w:footnote w:id="21">
    <w:p w14:paraId="7ED8F9F4" w14:textId="77777777" w:rsidR="00DA2C93" w:rsidRPr="0006538B"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fr-FR" w:eastAsia="en-US"/>
        </w:rPr>
      </w:pPr>
      <w:r w:rsidRPr="0006538B">
        <w:rPr>
          <w:spacing w:val="4"/>
          <w:kern w:val="0"/>
          <w:szCs w:val="22"/>
          <w:lang w:val="fr-FR" w:eastAsia="en-US"/>
        </w:rPr>
        <w:tab/>
      </w:r>
      <w:r w:rsidRPr="000E7E85">
        <w:rPr>
          <w:spacing w:val="4"/>
          <w:kern w:val="0"/>
          <w:szCs w:val="22"/>
          <w:vertAlign w:val="superscript"/>
          <w:lang w:val="es-ES" w:eastAsia="en-US"/>
        </w:rPr>
        <w:footnoteRef/>
      </w:r>
      <w:r w:rsidRPr="0006538B">
        <w:rPr>
          <w:spacing w:val="4"/>
          <w:kern w:val="0"/>
          <w:szCs w:val="22"/>
          <w:lang w:val="fr-FR" w:eastAsia="en-US"/>
        </w:rPr>
        <w:tab/>
      </w:r>
      <w:r w:rsidRPr="0006538B">
        <w:rPr>
          <w:i/>
          <w:spacing w:val="4"/>
          <w:kern w:val="0"/>
          <w:szCs w:val="22"/>
          <w:lang w:val="fr-FR" w:eastAsia="en-US"/>
        </w:rPr>
        <w:t>Epidémiologie des avortements provoqués en Côte d’Ivoire</w:t>
      </w:r>
      <w:r w:rsidRPr="0006538B">
        <w:rPr>
          <w:spacing w:val="4"/>
          <w:kern w:val="0"/>
          <w:szCs w:val="22"/>
          <w:lang w:val="fr-FR" w:eastAsia="en-US"/>
        </w:rPr>
        <w:t xml:space="preserve">, 2012, Joseph Benié Bi Bro </w:t>
      </w:r>
      <w:r w:rsidRPr="0006538B">
        <w:rPr>
          <w:i/>
          <w:spacing w:val="4"/>
          <w:kern w:val="0"/>
          <w:szCs w:val="22"/>
          <w:lang w:val="fr-FR" w:eastAsia="en-US"/>
        </w:rPr>
        <w:t>et al.</w:t>
      </w:r>
      <w:r w:rsidRPr="0006538B">
        <w:rPr>
          <w:spacing w:val="4"/>
          <w:kern w:val="0"/>
          <w:szCs w:val="22"/>
          <w:lang w:val="fr-FR" w:eastAsia="en-US"/>
        </w:rPr>
        <w:t>, CAIRN.</w:t>
      </w:r>
    </w:p>
  </w:footnote>
  <w:footnote w:id="22">
    <w:p w14:paraId="64F9EEC3"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6538B">
        <w:rPr>
          <w:spacing w:val="4"/>
          <w:kern w:val="0"/>
          <w:szCs w:val="22"/>
          <w:lang w:val="fr-FR" w:eastAsia="en-US"/>
        </w:rPr>
        <w:tab/>
      </w:r>
      <w:r w:rsidRPr="000E7E85">
        <w:rPr>
          <w:spacing w:val="4"/>
          <w:kern w:val="0"/>
          <w:szCs w:val="22"/>
          <w:vertAlign w:val="superscript"/>
          <w:lang w:val="es-ES" w:eastAsia="en-US"/>
        </w:rPr>
        <w:footnoteRef/>
      </w:r>
      <w:r w:rsidRPr="000E7E85">
        <w:rPr>
          <w:spacing w:val="4"/>
          <w:kern w:val="0"/>
          <w:szCs w:val="22"/>
          <w:lang w:val="es-ES" w:eastAsia="en-US"/>
        </w:rPr>
        <w:tab/>
        <w:t>Carta de respuesta del Subcomité de Acreditación de la Alianza Global de Instituciones Nacionales de Derechos Humanos (GANHRI).</w:t>
      </w:r>
    </w:p>
  </w:footnote>
  <w:footnote w:id="23">
    <w:p w14:paraId="6349A90C" w14:textId="77777777" w:rsidR="00DA2C93" w:rsidRPr="000E7E85" w:rsidRDefault="00DA2C93" w:rsidP="0038656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0E7E85">
        <w:rPr>
          <w:spacing w:val="4"/>
          <w:kern w:val="0"/>
          <w:szCs w:val="22"/>
          <w:lang w:val="es-ES" w:eastAsia="en-US"/>
        </w:rPr>
        <w:tab/>
      </w:r>
      <w:r w:rsidRPr="000E7E85">
        <w:rPr>
          <w:spacing w:val="4"/>
          <w:kern w:val="0"/>
          <w:szCs w:val="22"/>
          <w:vertAlign w:val="superscript"/>
          <w:lang w:val="es-ES" w:eastAsia="en-US"/>
        </w:rPr>
        <w:footnoteRef/>
      </w:r>
      <w:r w:rsidRPr="000E7E85">
        <w:rPr>
          <w:spacing w:val="4"/>
          <w:kern w:val="0"/>
          <w:szCs w:val="22"/>
          <w:lang w:val="es-ES" w:eastAsia="en-US"/>
        </w:rPr>
        <w:tab/>
        <w:t>La hoja de puntuación sobre las cuestiones de género constituye el Plan de Acción para Todo el Sistema de las Naciones Unidas sobre la Igualdad de Género y el Empoderamiento de las Mujeres (ONU-SWAP) (2006) y la resolución 1325 del Consejo de Seguridad sobre las mujeres, la paz y la seguridad (2000). Se trata de los tres marcos adoptados por el GNUD para la rendición de cuentas respecto al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A2C93" w14:paraId="1BCEFD61" w14:textId="77777777">
      <w:trPr>
        <w:trHeight w:hRule="exact" w:val="864"/>
      </w:trPr>
      <w:tc>
        <w:tcPr>
          <w:tcW w:w="4838" w:type="dxa"/>
          <w:tcBorders>
            <w:bottom w:val="single" w:sz="2" w:space="0" w:color="000000"/>
          </w:tcBorders>
          <w:vAlign w:val="bottom"/>
        </w:tcPr>
        <w:p w14:paraId="24B1087D" w14:textId="37967FAD" w:rsidR="00DA2C93" w:rsidRDefault="00DA2C93">
          <w:pPr>
            <w:pStyle w:val="Header"/>
            <w:spacing w:after="80"/>
            <w:rPr>
              <w:b/>
              <w:bCs/>
            </w:rPr>
          </w:pPr>
          <w:r>
            <w:rPr>
              <w:b/>
              <w:bCs/>
            </w:rPr>
            <w:fldChar w:fldCharType="begin"/>
          </w:r>
          <w:r>
            <w:rPr>
              <w:b/>
              <w:bCs/>
            </w:rPr>
            <w:instrText xml:space="preserve"> DOCVARIABLE "sss1" \* MERGEFORMAT </w:instrText>
          </w:r>
          <w:r>
            <w:rPr>
              <w:b/>
              <w:bCs/>
            </w:rPr>
            <w:fldChar w:fldCharType="separate"/>
          </w:r>
          <w:r w:rsidR="0055312A">
            <w:rPr>
              <w:b/>
              <w:bCs/>
            </w:rPr>
            <w:t>CEDAW/C/CIV/4</w:t>
          </w:r>
          <w:r>
            <w:rPr>
              <w:b/>
              <w:bCs/>
            </w:rPr>
            <w:fldChar w:fldCharType="end"/>
          </w:r>
        </w:p>
      </w:tc>
      <w:tc>
        <w:tcPr>
          <w:tcW w:w="5028" w:type="dxa"/>
          <w:tcBorders>
            <w:bottom w:val="single" w:sz="2" w:space="0" w:color="000000"/>
          </w:tcBorders>
          <w:vAlign w:val="bottom"/>
        </w:tcPr>
        <w:p w14:paraId="369F6413" w14:textId="77777777" w:rsidR="00DA2C93" w:rsidRDefault="00DA2C93">
          <w:pPr>
            <w:pStyle w:val="Header"/>
          </w:pPr>
        </w:p>
      </w:tc>
    </w:tr>
  </w:tbl>
  <w:p w14:paraId="6EDB28DC" w14:textId="77777777" w:rsidR="00DA2C93" w:rsidRDefault="00DA2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A2C93" w14:paraId="1E2E0FC0" w14:textId="77777777">
      <w:trPr>
        <w:trHeight w:hRule="exact" w:val="864"/>
      </w:trPr>
      <w:tc>
        <w:tcPr>
          <w:tcW w:w="4838" w:type="dxa"/>
          <w:tcBorders>
            <w:bottom w:val="single" w:sz="2" w:space="0" w:color="000000"/>
          </w:tcBorders>
          <w:vAlign w:val="bottom"/>
        </w:tcPr>
        <w:p w14:paraId="78D3A3F6" w14:textId="77777777" w:rsidR="00DA2C93" w:rsidRDefault="00DA2C93">
          <w:pPr>
            <w:pStyle w:val="Header"/>
          </w:pPr>
        </w:p>
      </w:tc>
      <w:tc>
        <w:tcPr>
          <w:tcW w:w="5028" w:type="dxa"/>
          <w:tcBorders>
            <w:bottom w:val="single" w:sz="2" w:space="0" w:color="000000"/>
          </w:tcBorders>
          <w:vAlign w:val="bottom"/>
        </w:tcPr>
        <w:p w14:paraId="6A4618B0" w14:textId="388449A1" w:rsidR="00DA2C93" w:rsidRDefault="00DA2C93">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sidR="0055312A">
            <w:rPr>
              <w:b/>
              <w:bCs/>
            </w:rPr>
            <w:t>CEDAW/C/CIV/4</w:t>
          </w:r>
          <w:r>
            <w:rPr>
              <w:b/>
              <w:bCs/>
            </w:rPr>
            <w:fldChar w:fldCharType="end"/>
          </w:r>
        </w:p>
      </w:tc>
    </w:tr>
  </w:tbl>
  <w:p w14:paraId="681EFD3B" w14:textId="77777777" w:rsidR="00DA2C93" w:rsidRDefault="00DA2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DA2C93" w14:paraId="6A7AE7EA" w14:textId="77777777" w:rsidTr="000973A0">
      <w:trPr>
        <w:trHeight w:hRule="exact" w:val="864"/>
      </w:trPr>
      <w:tc>
        <w:tcPr>
          <w:tcW w:w="1267" w:type="dxa"/>
          <w:tcBorders>
            <w:bottom w:val="single" w:sz="4" w:space="0" w:color="auto"/>
          </w:tcBorders>
          <w:vAlign w:val="bottom"/>
        </w:tcPr>
        <w:p w14:paraId="58EF4115" w14:textId="77777777" w:rsidR="00DA2C93" w:rsidRDefault="00DA2C93">
          <w:pPr>
            <w:pStyle w:val="Header"/>
            <w:spacing w:after="120"/>
          </w:pPr>
        </w:p>
      </w:tc>
      <w:tc>
        <w:tcPr>
          <w:tcW w:w="2592" w:type="dxa"/>
          <w:tcBorders>
            <w:bottom w:val="single" w:sz="4" w:space="0" w:color="auto"/>
          </w:tcBorders>
          <w:vAlign w:val="bottom"/>
        </w:tcPr>
        <w:p w14:paraId="6DA09BB7" w14:textId="77777777" w:rsidR="00DA2C93" w:rsidRPr="0043124C" w:rsidRDefault="00DA2C93"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4582BA8F" w14:textId="77777777" w:rsidR="00DA2C93" w:rsidRDefault="00DA2C93">
          <w:pPr>
            <w:pStyle w:val="Header"/>
            <w:spacing w:after="120"/>
          </w:pPr>
        </w:p>
      </w:tc>
      <w:tc>
        <w:tcPr>
          <w:tcW w:w="5796" w:type="dxa"/>
          <w:gridSpan w:val="4"/>
          <w:tcBorders>
            <w:bottom w:val="single" w:sz="4" w:space="0" w:color="auto"/>
          </w:tcBorders>
          <w:vAlign w:val="bottom"/>
        </w:tcPr>
        <w:p w14:paraId="433BDC30" w14:textId="77777777" w:rsidR="00DA2C93" w:rsidRDefault="00DA2C93" w:rsidP="00E329E5">
          <w:pPr>
            <w:spacing w:after="80" w:line="240" w:lineRule="auto"/>
            <w:jc w:val="right"/>
            <w:rPr>
              <w:position w:val="-4"/>
            </w:rPr>
          </w:pPr>
          <w:r>
            <w:rPr>
              <w:noProof/>
              <w:position w:val="-4"/>
              <w:sz w:val="40"/>
              <w:szCs w:val="40"/>
            </w:rPr>
            <w:t>CEDAW</w:t>
          </w:r>
          <w:r>
            <w:rPr>
              <w:noProof/>
              <w:position w:val="-4"/>
            </w:rPr>
            <w:t>/C/CIV/4</w:t>
          </w:r>
        </w:p>
      </w:tc>
    </w:tr>
    <w:tr w:rsidR="00DA2C93" w:rsidRPr="0055552B" w14:paraId="6CD93B90" w14:textId="77777777" w:rsidTr="000973A0">
      <w:trPr>
        <w:gridAfter w:val="1"/>
        <w:wAfter w:w="21" w:type="dxa"/>
        <w:trHeight w:hRule="exact" w:val="2880"/>
      </w:trPr>
      <w:tc>
        <w:tcPr>
          <w:tcW w:w="1267" w:type="dxa"/>
          <w:tcBorders>
            <w:top w:val="single" w:sz="4" w:space="0" w:color="auto"/>
            <w:bottom w:val="single" w:sz="12" w:space="0" w:color="auto"/>
          </w:tcBorders>
        </w:tcPr>
        <w:p w14:paraId="081FEAFB" w14:textId="77777777" w:rsidR="00DA2C93" w:rsidRDefault="00DA2C93">
          <w:pPr>
            <w:pStyle w:val="Header"/>
            <w:spacing w:before="120"/>
            <w:jc w:val="center"/>
          </w:pPr>
          <w:r>
            <w:drawing>
              <wp:inline distT="0" distB="0" distL="0" distR="0" wp14:anchorId="7961DDE4" wp14:editId="3A8A6EC9">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4B865309" w14:textId="77777777" w:rsidR="00DA2C93" w:rsidRPr="00862864" w:rsidRDefault="00DA2C93"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7B2C4E6B" w14:textId="77777777" w:rsidR="00DA2C93" w:rsidRDefault="00DA2C93">
          <w:pPr>
            <w:pStyle w:val="Header"/>
            <w:spacing w:before="109"/>
          </w:pPr>
        </w:p>
      </w:tc>
      <w:tc>
        <w:tcPr>
          <w:tcW w:w="3140" w:type="dxa"/>
          <w:tcBorders>
            <w:top w:val="single" w:sz="4" w:space="0" w:color="auto"/>
            <w:bottom w:val="single" w:sz="12" w:space="0" w:color="auto"/>
          </w:tcBorders>
        </w:tcPr>
        <w:p w14:paraId="6DC94A04" w14:textId="77777777" w:rsidR="00DA2C93" w:rsidRDefault="00DA2C93">
          <w:pPr>
            <w:pStyle w:val="Distribution"/>
            <w:rPr>
              <w:lang w:val="es-ES"/>
            </w:rPr>
          </w:pPr>
          <w:r>
            <w:rPr>
              <w:color w:val="010000"/>
              <w:lang w:val="es-ES"/>
            </w:rPr>
            <w:t>Distr. general</w:t>
          </w:r>
        </w:p>
        <w:p w14:paraId="5E297210" w14:textId="77777777" w:rsidR="00DA2C93" w:rsidRDefault="00DA2C93">
          <w:pPr>
            <w:pStyle w:val="Publication"/>
            <w:rPr>
              <w:color w:val="010000"/>
              <w:lang w:val="es-ES"/>
            </w:rPr>
          </w:pPr>
          <w:r>
            <w:rPr>
              <w:color w:val="010000"/>
              <w:lang w:val="es-ES"/>
            </w:rPr>
            <w:t>11 de julio de 2018</w:t>
          </w:r>
        </w:p>
        <w:p w14:paraId="7709BE54" w14:textId="77777777" w:rsidR="00DA2C93" w:rsidRDefault="00DA2C93">
          <w:pPr>
            <w:pStyle w:val="Original"/>
            <w:rPr>
              <w:color w:val="010000"/>
              <w:lang w:val="es-ES"/>
            </w:rPr>
          </w:pPr>
          <w:r>
            <w:rPr>
              <w:color w:val="010000"/>
              <w:lang w:val="es-ES"/>
            </w:rPr>
            <w:t>Español</w:t>
          </w:r>
          <w:r>
            <w:rPr>
              <w:color w:val="010000"/>
              <w:lang w:val="es-ES"/>
            </w:rPr>
            <w:br/>
            <w:t>Original:</w:t>
          </w:r>
          <w:r w:rsidRPr="00B11E0C">
            <w:rPr>
              <w:color w:val="010000"/>
              <w:lang w:val="es-ES"/>
            </w:rPr>
            <w:t xml:space="preserve"> </w:t>
          </w:r>
          <w:r w:rsidRPr="006F561A">
            <w:rPr>
              <w:color w:val="010000"/>
              <w:lang w:val="es-ES"/>
            </w:rPr>
            <w:t>francés</w:t>
          </w:r>
        </w:p>
        <w:p w14:paraId="4BD799A5" w14:textId="77777777" w:rsidR="00DA2C93" w:rsidRPr="006F561A" w:rsidRDefault="00DA2C93" w:rsidP="006F561A">
          <w:pPr>
            <w:rPr>
              <w:lang w:val="es-ES"/>
            </w:rPr>
          </w:pPr>
          <w:r w:rsidRPr="006F561A">
            <w:rPr>
              <w:lang w:val="es-ES"/>
            </w:rPr>
            <w:t>Español, francés e inglés únicamente</w:t>
          </w:r>
        </w:p>
        <w:p w14:paraId="292E35F8" w14:textId="77777777" w:rsidR="00DA2C93" w:rsidRPr="00B11E0C" w:rsidRDefault="00DA2C93">
          <w:pPr>
            <w:rPr>
              <w:lang w:val="es-ES"/>
            </w:rPr>
          </w:pPr>
        </w:p>
      </w:tc>
    </w:tr>
  </w:tbl>
  <w:p w14:paraId="64CF06A9" w14:textId="77777777" w:rsidR="00DA2C93" w:rsidRDefault="00DA2C9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4" w15:restartNumberingAfterBreak="0">
    <w:nsid w:val="30EA3D37"/>
    <w:multiLevelType w:val="hybridMultilevel"/>
    <w:tmpl w:val="212008C8"/>
    <w:lvl w:ilvl="0" w:tplc="55565840">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4E878E2"/>
    <w:multiLevelType w:val="hybridMultilevel"/>
    <w:tmpl w:val="EBF0DC2E"/>
    <w:lvl w:ilvl="0" w:tplc="151635A2">
      <w:start w:val="1"/>
      <w:numFmt w:val="bullet"/>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7"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8"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1"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2" w15:restartNumberingAfterBreak="0">
    <w:nsid w:val="64F14A04"/>
    <w:multiLevelType w:val="hybridMultilevel"/>
    <w:tmpl w:val="0F8E0BF2"/>
    <w:lvl w:ilvl="0" w:tplc="F404D8B4">
      <w:start w:val="1"/>
      <w:numFmt w:val="bullet"/>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13" w15:restartNumberingAfterBreak="0">
    <w:nsid w:val="65B05A48"/>
    <w:multiLevelType w:val="hybridMultilevel"/>
    <w:tmpl w:val="44B41852"/>
    <w:lvl w:ilvl="0" w:tplc="040C000D">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5"/>
  </w:num>
  <w:num w:numId="4">
    <w:abstractNumId w:val="12"/>
  </w:num>
  <w:num w:numId="5">
    <w:abstractNumId w:val="6"/>
  </w:num>
  <w:num w:numId="6">
    <w:abstractNumId w:val="7"/>
  </w:num>
  <w:num w:numId="7">
    <w:abstractNumId w:val="10"/>
  </w:num>
  <w:num w:numId="8">
    <w:abstractNumId w:val="0"/>
  </w:num>
  <w:num w:numId="9">
    <w:abstractNumId w:val="11"/>
  </w:num>
  <w:num w:numId="10">
    <w:abstractNumId w:val="3"/>
  </w:num>
  <w:num w:numId="11">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2">
    <w:abstractNumId w:val="9"/>
    <w:lvlOverride w:ilvl="0">
      <w:lvl w:ilvl="0" w:tplc="395833DC">
        <w:start w:val="1"/>
        <w:numFmt w:val="decimal"/>
        <w:lvlText w:val="%1."/>
        <w:lvlJc w:val="left"/>
        <w:pPr>
          <w:ind w:left="1080" w:hanging="360"/>
        </w:pPr>
        <w:rPr>
          <w:rFonts w:cs="Times New Roman" w:hint="default"/>
        </w:rPr>
      </w:lvl>
    </w:lvlOverride>
  </w:num>
  <w:num w:numId="13">
    <w:abstractNumId w:val="8"/>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14">
    <w:abstractNumId w:val="14"/>
  </w:num>
  <w:num w:numId="15">
    <w:abstractNumId w:val="2"/>
  </w:num>
  <w:num w:numId="16">
    <w:abstractNumId w:val="13"/>
  </w:num>
  <w:num w:numId="17">
    <w:abstractNumId w:val="4"/>
    <w:lvlOverride w:ilvl="0">
      <w:lvl w:ilvl="0" w:tplc="55565840">
        <w:start w:val="1"/>
        <w:numFmt w:val="decimal"/>
        <w:lvlText w:val="%1."/>
        <w:lvlJc w:val="left"/>
        <w:pPr>
          <w:ind w:left="1134" w:firstLine="0"/>
        </w:pPr>
        <w:rPr>
          <w:rFonts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1484*"/>
    <w:docVar w:name="jobn" w:val="18-11484 (S)"/>
    <w:docVar w:name="JobNo" w:val="1811484S"/>
    <w:docVar w:name="ODSRefJobNo" w:val="1821959S"/>
    <w:docVar w:name="sss1" w:val="CEDAW/C/CIV/4"/>
    <w:docVar w:name="sss2" w:val="-"/>
  </w:docVars>
  <w:rsids>
    <w:rsidRoot w:val="0056215F"/>
    <w:rsid w:val="00000FA2"/>
    <w:rsid w:val="0000301C"/>
    <w:rsid w:val="000044BD"/>
    <w:rsid w:val="00006ABE"/>
    <w:rsid w:val="00010A9C"/>
    <w:rsid w:val="00010CB2"/>
    <w:rsid w:val="00011F66"/>
    <w:rsid w:val="000130C5"/>
    <w:rsid w:val="000134E2"/>
    <w:rsid w:val="000137FE"/>
    <w:rsid w:val="00013C9F"/>
    <w:rsid w:val="0001793F"/>
    <w:rsid w:val="00020858"/>
    <w:rsid w:val="00021540"/>
    <w:rsid w:val="000226FD"/>
    <w:rsid w:val="00023BDE"/>
    <w:rsid w:val="000243C1"/>
    <w:rsid w:val="00024A91"/>
    <w:rsid w:val="00024B08"/>
    <w:rsid w:val="00024E5A"/>
    <w:rsid w:val="00025848"/>
    <w:rsid w:val="000258AB"/>
    <w:rsid w:val="000268A2"/>
    <w:rsid w:val="00027828"/>
    <w:rsid w:val="000308AA"/>
    <w:rsid w:val="00031362"/>
    <w:rsid w:val="00032100"/>
    <w:rsid w:val="0003242E"/>
    <w:rsid w:val="000329BC"/>
    <w:rsid w:val="00034259"/>
    <w:rsid w:val="000405A7"/>
    <w:rsid w:val="00041883"/>
    <w:rsid w:val="00041CAB"/>
    <w:rsid w:val="00043AA0"/>
    <w:rsid w:val="000453D3"/>
    <w:rsid w:val="00045480"/>
    <w:rsid w:val="00045DEF"/>
    <w:rsid w:val="000509B8"/>
    <w:rsid w:val="00051981"/>
    <w:rsid w:val="00051D6F"/>
    <w:rsid w:val="00052994"/>
    <w:rsid w:val="000541C6"/>
    <w:rsid w:val="00054828"/>
    <w:rsid w:val="0005594B"/>
    <w:rsid w:val="00056CC8"/>
    <w:rsid w:val="00057F15"/>
    <w:rsid w:val="00057FD3"/>
    <w:rsid w:val="00060FB4"/>
    <w:rsid w:val="00062E0F"/>
    <w:rsid w:val="0006538B"/>
    <w:rsid w:val="0006620A"/>
    <w:rsid w:val="00070481"/>
    <w:rsid w:val="00070D7C"/>
    <w:rsid w:val="00073B00"/>
    <w:rsid w:val="00073E95"/>
    <w:rsid w:val="00075E3E"/>
    <w:rsid w:val="00076050"/>
    <w:rsid w:val="00076459"/>
    <w:rsid w:val="000768E2"/>
    <w:rsid w:val="0007729C"/>
    <w:rsid w:val="00077C68"/>
    <w:rsid w:val="00077DB0"/>
    <w:rsid w:val="00080953"/>
    <w:rsid w:val="00081CC0"/>
    <w:rsid w:val="000873DA"/>
    <w:rsid w:val="0009142F"/>
    <w:rsid w:val="000930EA"/>
    <w:rsid w:val="00093D6E"/>
    <w:rsid w:val="000950BC"/>
    <w:rsid w:val="00095653"/>
    <w:rsid w:val="00096611"/>
    <w:rsid w:val="00096D8A"/>
    <w:rsid w:val="000973A0"/>
    <w:rsid w:val="000A1401"/>
    <w:rsid w:val="000A1601"/>
    <w:rsid w:val="000A1B8C"/>
    <w:rsid w:val="000A404F"/>
    <w:rsid w:val="000A628D"/>
    <w:rsid w:val="000B2AB1"/>
    <w:rsid w:val="000B2C6A"/>
    <w:rsid w:val="000B2FE5"/>
    <w:rsid w:val="000B3196"/>
    <w:rsid w:val="000B407F"/>
    <w:rsid w:val="000B5343"/>
    <w:rsid w:val="000B6D50"/>
    <w:rsid w:val="000B6F32"/>
    <w:rsid w:val="000B7349"/>
    <w:rsid w:val="000B74F3"/>
    <w:rsid w:val="000C29E2"/>
    <w:rsid w:val="000C30BC"/>
    <w:rsid w:val="000C3123"/>
    <w:rsid w:val="000C45C7"/>
    <w:rsid w:val="000C4942"/>
    <w:rsid w:val="000C49BE"/>
    <w:rsid w:val="000C676D"/>
    <w:rsid w:val="000D07EC"/>
    <w:rsid w:val="000D3616"/>
    <w:rsid w:val="000D4520"/>
    <w:rsid w:val="000D616E"/>
    <w:rsid w:val="000D6467"/>
    <w:rsid w:val="000D7DC3"/>
    <w:rsid w:val="000E098E"/>
    <w:rsid w:val="000E0D44"/>
    <w:rsid w:val="000E3E97"/>
    <w:rsid w:val="000E454F"/>
    <w:rsid w:val="000E4DB4"/>
    <w:rsid w:val="000E520C"/>
    <w:rsid w:val="000E578F"/>
    <w:rsid w:val="000E6736"/>
    <w:rsid w:val="000E7174"/>
    <w:rsid w:val="000E7902"/>
    <w:rsid w:val="000E7E85"/>
    <w:rsid w:val="000F0681"/>
    <w:rsid w:val="000F0730"/>
    <w:rsid w:val="000F09C2"/>
    <w:rsid w:val="000F1CED"/>
    <w:rsid w:val="000F34BE"/>
    <w:rsid w:val="000F50D6"/>
    <w:rsid w:val="000F5752"/>
    <w:rsid w:val="000F6381"/>
    <w:rsid w:val="000F6E1A"/>
    <w:rsid w:val="00100B22"/>
    <w:rsid w:val="0010116E"/>
    <w:rsid w:val="001026A3"/>
    <w:rsid w:val="00103408"/>
    <w:rsid w:val="00103E5C"/>
    <w:rsid w:val="00104C2F"/>
    <w:rsid w:val="00105C9B"/>
    <w:rsid w:val="00107710"/>
    <w:rsid w:val="00107D5F"/>
    <w:rsid w:val="00107DAD"/>
    <w:rsid w:val="001115D1"/>
    <w:rsid w:val="00111F5A"/>
    <w:rsid w:val="0011241F"/>
    <w:rsid w:val="00112598"/>
    <w:rsid w:val="00113764"/>
    <w:rsid w:val="00114F9E"/>
    <w:rsid w:val="0011565A"/>
    <w:rsid w:val="001158C0"/>
    <w:rsid w:val="0012032E"/>
    <w:rsid w:val="001208CF"/>
    <w:rsid w:val="001223CB"/>
    <w:rsid w:val="00122FEC"/>
    <w:rsid w:val="0012652C"/>
    <w:rsid w:val="00127234"/>
    <w:rsid w:val="00131E97"/>
    <w:rsid w:val="00131FC9"/>
    <w:rsid w:val="00132F77"/>
    <w:rsid w:val="001359B1"/>
    <w:rsid w:val="001359DB"/>
    <w:rsid w:val="00135DA1"/>
    <w:rsid w:val="00136ECF"/>
    <w:rsid w:val="00145F81"/>
    <w:rsid w:val="00146E4B"/>
    <w:rsid w:val="00147316"/>
    <w:rsid w:val="001477DE"/>
    <w:rsid w:val="001505B6"/>
    <w:rsid w:val="001518F3"/>
    <w:rsid w:val="00152C51"/>
    <w:rsid w:val="001531AF"/>
    <w:rsid w:val="00153789"/>
    <w:rsid w:val="00154A7D"/>
    <w:rsid w:val="001575F0"/>
    <w:rsid w:val="001605CF"/>
    <w:rsid w:val="00163673"/>
    <w:rsid w:val="00164BCE"/>
    <w:rsid w:val="00164D53"/>
    <w:rsid w:val="001652E9"/>
    <w:rsid w:val="001653FB"/>
    <w:rsid w:val="00165CBD"/>
    <w:rsid w:val="0017380E"/>
    <w:rsid w:val="001745C0"/>
    <w:rsid w:val="001801E4"/>
    <w:rsid w:val="00180380"/>
    <w:rsid w:val="001809B5"/>
    <w:rsid w:val="00182593"/>
    <w:rsid w:val="00182B15"/>
    <w:rsid w:val="00184193"/>
    <w:rsid w:val="00184370"/>
    <w:rsid w:val="00184809"/>
    <w:rsid w:val="00184C73"/>
    <w:rsid w:val="001917A6"/>
    <w:rsid w:val="00191E88"/>
    <w:rsid w:val="0019245C"/>
    <w:rsid w:val="00192845"/>
    <w:rsid w:val="001936F0"/>
    <w:rsid w:val="001947AD"/>
    <w:rsid w:val="00196A9E"/>
    <w:rsid w:val="00197346"/>
    <w:rsid w:val="00197757"/>
    <w:rsid w:val="001A06E7"/>
    <w:rsid w:val="001A077F"/>
    <w:rsid w:val="001A0C03"/>
    <w:rsid w:val="001A14E9"/>
    <w:rsid w:val="001A1DC8"/>
    <w:rsid w:val="001A3BE9"/>
    <w:rsid w:val="001A5D2D"/>
    <w:rsid w:val="001A5D75"/>
    <w:rsid w:val="001A6BBE"/>
    <w:rsid w:val="001B071E"/>
    <w:rsid w:val="001B0B41"/>
    <w:rsid w:val="001B1926"/>
    <w:rsid w:val="001B1FD5"/>
    <w:rsid w:val="001B2AEA"/>
    <w:rsid w:val="001B3651"/>
    <w:rsid w:val="001B54FB"/>
    <w:rsid w:val="001B5845"/>
    <w:rsid w:val="001B6CFE"/>
    <w:rsid w:val="001B70EB"/>
    <w:rsid w:val="001B74B6"/>
    <w:rsid w:val="001B7AA8"/>
    <w:rsid w:val="001C0012"/>
    <w:rsid w:val="001C266D"/>
    <w:rsid w:val="001C26F7"/>
    <w:rsid w:val="001C36A7"/>
    <w:rsid w:val="001C5625"/>
    <w:rsid w:val="001C5971"/>
    <w:rsid w:val="001C7E54"/>
    <w:rsid w:val="001D1798"/>
    <w:rsid w:val="001D1F8D"/>
    <w:rsid w:val="001D3214"/>
    <w:rsid w:val="001D41B0"/>
    <w:rsid w:val="001D4790"/>
    <w:rsid w:val="001D5FF9"/>
    <w:rsid w:val="001D7216"/>
    <w:rsid w:val="001E06EC"/>
    <w:rsid w:val="001E077C"/>
    <w:rsid w:val="001E0B55"/>
    <w:rsid w:val="001E1EC8"/>
    <w:rsid w:val="001E2717"/>
    <w:rsid w:val="001E4D56"/>
    <w:rsid w:val="001E5AE9"/>
    <w:rsid w:val="001E6CDB"/>
    <w:rsid w:val="001E7805"/>
    <w:rsid w:val="001F167E"/>
    <w:rsid w:val="001F2BDA"/>
    <w:rsid w:val="001F2E45"/>
    <w:rsid w:val="001F5923"/>
    <w:rsid w:val="001F5FE7"/>
    <w:rsid w:val="001F670D"/>
    <w:rsid w:val="001F6818"/>
    <w:rsid w:val="001F6E66"/>
    <w:rsid w:val="001F78BC"/>
    <w:rsid w:val="001F7C50"/>
    <w:rsid w:val="001F7CCF"/>
    <w:rsid w:val="001F7F2E"/>
    <w:rsid w:val="0020186B"/>
    <w:rsid w:val="00203422"/>
    <w:rsid w:val="00203A1A"/>
    <w:rsid w:val="00204227"/>
    <w:rsid w:val="00204FDA"/>
    <w:rsid w:val="00207D01"/>
    <w:rsid w:val="00210D7F"/>
    <w:rsid w:val="00211F3F"/>
    <w:rsid w:val="00213104"/>
    <w:rsid w:val="002141E3"/>
    <w:rsid w:val="002148DC"/>
    <w:rsid w:val="00217415"/>
    <w:rsid w:val="002179A1"/>
    <w:rsid w:val="00217D97"/>
    <w:rsid w:val="0022004C"/>
    <w:rsid w:val="00221573"/>
    <w:rsid w:val="00222AD1"/>
    <w:rsid w:val="00222B6F"/>
    <w:rsid w:val="00222D9B"/>
    <w:rsid w:val="00223E81"/>
    <w:rsid w:val="00225B63"/>
    <w:rsid w:val="00225DD9"/>
    <w:rsid w:val="00232F19"/>
    <w:rsid w:val="00233939"/>
    <w:rsid w:val="002339E2"/>
    <w:rsid w:val="00234170"/>
    <w:rsid w:val="002346A6"/>
    <w:rsid w:val="00234C5B"/>
    <w:rsid w:val="00236DA6"/>
    <w:rsid w:val="00236E6D"/>
    <w:rsid w:val="00240E5F"/>
    <w:rsid w:val="00243655"/>
    <w:rsid w:val="002453F5"/>
    <w:rsid w:val="00246892"/>
    <w:rsid w:val="00247E83"/>
    <w:rsid w:val="002508E9"/>
    <w:rsid w:val="00251954"/>
    <w:rsid w:val="00251A44"/>
    <w:rsid w:val="00251CF8"/>
    <w:rsid w:val="00251DDD"/>
    <w:rsid w:val="00253D26"/>
    <w:rsid w:val="00254277"/>
    <w:rsid w:val="002549C4"/>
    <w:rsid w:val="00255264"/>
    <w:rsid w:val="002554B9"/>
    <w:rsid w:val="00255F10"/>
    <w:rsid w:val="00256A49"/>
    <w:rsid w:val="0025759D"/>
    <w:rsid w:val="00257663"/>
    <w:rsid w:val="00261D48"/>
    <w:rsid w:val="00261FDB"/>
    <w:rsid w:val="00262A5A"/>
    <w:rsid w:val="00264279"/>
    <w:rsid w:val="002665CB"/>
    <w:rsid w:val="002713B7"/>
    <w:rsid w:val="0027290F"/>
    <w:rsid w:val="002741C3"/>
    <w:rsid w:val="00274B66"/>
    <w:rsid w:val="00275106"/>
    <w:rsid w:val="00275598"/>
    <w:rsid w:val="00276B79"/>
    <w:rsid w:val="00276F06"/>
    <w:rsid w:val="00281885"/>
    <w:rsid w:val="00283125"/>
    <w:rsid w:val="00284AF2"/>
    <w:rsid w:val="002853D5"/>
    <w:rsid w:val="002877DA"/>
    <w:rsid w:val="00287926"/>
    <w:rsid w:val="00287D43"/>
    <w:rsid w:val="002901C3"/>
    <w:rsid w:val="00290BD6"/>
    <w:rsid w:val="00290C42"/>
    <w:rsid w:val="002939E8"/>
    <w:rsid w:val="00294980"/>
    <w:rsid w:val="002952C8"/>
    <w:rsid w:val="00296E6C"/>
    <w:rsid w:val="002A2A24"/>
    <w:rsid w:val="002A5739"/>
    <w:rsid w:val="002A5D97"/>
    <w:rsid w:val="002A5DBE"/>
    <w:rsid w:val="002A60A7"/>
    <w:rsid w:val="002A6C02"/>
    <w:rsid w:val="002B0DEC"/>
    <w:rsid w:val="002B1614"/>
    <w:rsid w:val="002B4B8E"/>
    <w:rsid w:val="002B649C"/>
    <w:rsid w:val="002B67EC"/>
    <w:rsid w:val="002B6C6C"/>
    <w:rsid w:val="002B77DF"/>
    <w:rsid w:val="002C0552"/>
    <w:rsid w:val="002C12A1"/>
    <w:rsid w:val="002C171C"/>
    <w:rsid w:val="002C2E6F"/>
    <w:rsid w:val="002C3AE4"/>
    <w:rsid w:val="002C3F23"/>
    <w:rsid w:val="002C53F1"/>
    <w:rsid w:val="002C69A3"/>
    <w:rsid w:val="002D0A3F"/>
    <w:rsid w:val="002D17A2"/>
    <w:rsid w:val="002D25CC"/>
    <w:rsid w:val="002D4228"/>
    <w:rsid w:val="002D4776"/>
    <w:rsid w:val="002E1A4F"/>
    <w:rsid w:val="002E1C17"/>
    <w:rsid w:val="002E201C"/>
    <w:rsid w:val="002E7CDC"/>
    <w:rsid w:val="002F0531"/>
    <w:rsid w:val="002F0B71"/>
    <w:rsid w:val="002F0B79"/>
    <w:rsid w:val="002F5FAC"/>
    <w:rsid w:val="002F7170"/>
    <w:rsid w:val="00300297"/>
    <w:rsid w:val="00303242"/>
    <w:rsid w:val="00306640"/>
    <w:rsid w:val="00306F2E"/>
    <w:rsid w:val="00312D4B"/>
    <w:rsid w:val="00314F83"/>
    <w:rsid w:val="00316B63"/>
    <w:rsid w:val="00316C23"/>
    <w:rsid w:val="00320E1B"/>
    <w:rsid w:val="00321A47"/>
    <w:rsid w:val="00321D9E"/>
    <w:rsid w:val="00322E87"/>
    <w:rsid w:val="00323E9C"/>
    <w:rsid w:val="003245CB"/>
    <w:rsid w:val="003268E2"/>
    <w:rsid w:val="00326A29"/>
    <w:rsid w:val="0032749A"/>
    <w:rsid w:val="00327EBA"/>
    <w:rsid w:val="003302D1"/>
    <w:rsid w:val="00331963"/>
    <w:rsid w:val="00331C78"/>
    <w:rsid w:val="00332088"/>
    <w:rsid w:val="003345CC"/>
    <w:rsid w:val="00340230"/>
    <w:rsid w:val="00341AF8"/>
    <w:rsid w:val="00343E74"/>
    <w:rsid w:val="00343FEC"/>
    <w:rsid w:val="003464E2"/>
    <w:rsid w:val="003466DC"/>
    <w:rsid w:val="003471DC"/>
    <w:rsid w:val="00347604"/>
    <w:rsid w:val="00347A79"/>
    <w:rsid w:val="00347DD3"/>
    <w:rsid w:val="00350876"/>
    <w:rsid w:val="0035239E"/>
    <w:rsid w:val="00352A6C"/>
    <w:rsid w:val="00353C50"/>
    <w:rsid w:val="00357410"/>
    <w:rsid w:val="00357866"/>
    <w:rsid w:val="00357AA1"/>
    <w:rsid w:val="003635B1"/>
    <w:rsid w:val="00363896"/>
    <w:rsid w:val="00363B13"/>
    <w:rsid w:val="003643FB"/>
    <w:rsid w:val="00364F28"/>
    <w:rsid w:val="00364FE0"/>
    <w:rsid w:val="00365017"/>
    <w:rsid w:val="00366102"/>
    <w:rsid w:val="00370AA7"/>
    <w:rsid w:val="003769DF"/>
    <w:rsid w:val="00376C4C"/>
    <w:rsid w:val="003774A9"/>
    <w:rsid w:val="0037786A"/>
    <w:rsid w:val="00377EED"/>
    <w:rsid w:val="00383922"/>
    <w:rsid w:val="00385171"/>
    <w:rsid w:val="0038518C"/>
    <w:rsid w:val="0038656B"/>
    <w:rsid w:val="00387FE0"/>
    <w:rsid w:val="0039024C"/>
    <w:rsid w:val="00392746"/>
    <w:rsid w:val="003928D1"/>
    <w:rsid w:val="00392946"/>
    <w:rsid w:val="00392AC1"/>
    <w:rsid w:val="00395DFD"/>
    <w:rsid w:val="003A09C3"/>
    <w:rsid w:val="003A0EDA"/>
    <w:rsid w:val="003A371A"/>
    <w:rsid w:val="003A5087"/>
    <w:rsid w:val="003A6071"/>
    <w:rsid w:val="003A6507"/>
    <w:rsid w:val="003B05A0"/>
    <w:rsid w:val="003B0DE7"/>
    <w:rsid w:val="003B102B"/>
    <w:rsid w:val="003B3671"/>
    <w:rsid w:val="003B42B9"/>
    <w:rsid w:val="003B6918"/>
    <w:rsid w:val="003C05E2"/>
    <w:rsid w:val="003C0D55"/>
    <w:rsid w:val="003C3A7D"/>
    <w:rsid w:val="003C42F4"/>
    <w:rsid w:val="003C43F7"/>
    <w:rsid w:val="003D0ED4"/>
    <w:rsid w:val="003D1038"/>
    <w:rsid w:val="003D157E"/>
    <w:rsid w:val="003D427B"/>
    <w:rsid w:val="003D5797"/>
    <w:rsid w:val="003D7A78"/>
    <w:rsid w:val="003D7F08"/>
    <w:rsid w:val="003E0D98"/>
    <w:rsid w:val="003E6CE4"/>
    <w:rsid w:val="003E6E27"/>
    <w:rsid w:val="003E7000"/>
    <w:rsid w:val="003E72BD"/>
    <w:rsid w:val="003E78BF"/>
    <w:rsid w:val="003F1E2B"/>
    <w:rsid w:val="003F2102"/>
    <w:rsid w:val="003F49AB"/>
    <w:rsid w:val="003F4EDB"/>
    <w:rsid w:val="003F5778"/>
    <w:rsid w:val="003F6918"/>
    <w:rsid w:val="003F6ACC"/>
    <w:rsid w:val="003F7EC3"/>
    <w:rsid w:val="00401E19"/>
    <w:rsid w:val="0040560E"/>
    <w:rsid w:val="00405629"/>
    <w:rsid w:val="00407301"/>
    <w:rsid w:val="00410A02"/>
    <w:rsid w:val="00411C7D"/>
    <w:rsid w:val="004125C5"/>
    <w:rsid w:val="00412ACF"/>
    <w:rsid w:val="0041494A"/>
    <w:rsid w:val="00414F44"/>
    <w:rsid w:val="0041500E"/>
    <w:rsid w:val="00416E8C"/>
    <w:rsid w:val="00417309"/>
    <w:rsid w:val="00425258"/>
    <w:rsid w:val="0042710E"/>
    <w:rsid w:val="004271EA"/>
    <w:rsid w:val="0043124C"/>
    <w:rsid w:val="00432FF9"/>
    <w:rsid w:val="00434183"/>
    <w:rsid w:val="00436FEA"/>
    <w:rsid w:val="004411C5"/>
    <w:rsid w:val="00441580"/>
    <w:rsid w:val="00441EF4"/>
    <w:rsid w:val="004423AB"/>
    <w:rsid w:val="00443330"/>
    <w:rsid w:val="00443A4A"/>
    <w:rsid w:val="00444725"/>
    <w:rsid w:val="00445891"/>
    <w:rsid w:val="0044626D"/>
    <w:rsid w:val="004472AD"/>
    <w:rsid w:val="00447DF5"/>
    <w:rsid w:val="004510EC"/>
    <w:rsid w:val="00452F29"/>
    <w:rsid w:val="004530B3"/>
    <w:rsid w:val="0045397A"/>
    <w:rsid w:val="00453E64"/>
    <w:rsid w:val="00455CD0"/>
    <w:rsid w:val="004567BB"/>
    <w:rsid w:val="00457ADA"/>
    <w:rsid w:val="00463B57"/>
    <w:rsid w:val="004677E2"/>
    <w:rsid w:val="00470EE0"/>
    <w:rsid w:val="004715CF"/>
    <w:rsid w:val="0047515B"/>
    <w:rsid w:val="00475672"/>
    <w:rsid w:val="0047572C"/>
    <w:rsid w:val="004774B3"/>
    <w:rsid w:val="00477F9F"/>
    <w:rsid w:val="004818A0"/>
    <w:rsid w:val="004831A5"/>
    <w:rsid w:val="00485779"/>
    <w:rsid w:val="00485B77"/>
    <w:rsid w:val="00487D0A"/>
    <w:rsid w:val="004907C3"/>
    <w:rsid w:val="00492648"/>
    <w:rsid w:val="00494C70"/>
    <w:rsid w:val="00496395"/>
    <w:rsid w:val="00496B26"/>
    <w:rsid w:val="00497BF5"/>
    <w:rsid w:val="00497FE2"/>
    <w:rsid w:val="004A06AE"/>
    <w:rsid w:val="004A0F53"/>
    <w:rsid w:val="004A36EA"/>
    <w:rsid w:val="004A3B61"/>
    <w:rsid w:val="004A492C"/>
    <w:rsid w:val="004A5068"/>
    <w:rsid w:val="004A635B"/>
    <w:rsid w:val="004A6F00"/>
    <w:rsid w:val="004B1595"/>
    <w:rsid w:val="004B6AB6"/>
    <w:rsid w:val="004B6D7B"/>
    <w:rsid w:val="004B732D"/>
    <w:rsid w:val="004B77E3"/>
    <w:rsid w:val="004B7B7A"/>
    <w:rsid w:val="004B7F75"/>
    <w:rsid w:val="004C0A4B"/>
    <w:rsid w:val="004C17D1"/>
    <w:rsid w:val="004C2F9E"/>
    <w:rsid w:val="004C49DE"/>
    <w:rsid w:val="004C599F"/>
    <w:rsid w:val="004C72E0"/>
    <w:rsid w:val="004C7A38"/>
    <w:rsid w:val="004C7E05"/>
    <w:rsid w:val="004D0839"/>
    <w:rsid w:val="004D0C85"/>
    <w:rsid w:val="004D2970"/>
    <w:rsid w:val="004D3027"/>
    <w:rsid w:val="004D580C"/>
    <w:rsid w:val="004D5846"/>
    <w:rsid w:val="004D6800"/>
    <w:rsid w:val="004D7A08"/>
    <w:rsid w:val="004E4352"/>
    <w:rsid w:val="004E5426"/>
    <w:rsid w:val="004E669B"/>
    <w:rsid w:val="004F0853"/>
    <w:rsid w:val="004F09C3"/>
    <w:rsid w:val="004F1019"/>
    <w:rsid w:val="004F21B6"/>
    <w:rsid w:val="004F269C"/>
    <w:rsid w:val="004F2B25"/>
    <w:rsid w:val="004F3BF2"/>
    <w:rsid w:val="004F4085"/>
    <w:rsid w:val="004F410A"/>
    <w:rsid w:val="004F4AA8"/>
    <w:rsid w:val="004F71A8"/>
    <w:rsid w:val="005001FE"/>
    <w:rsid w:val="00502499"/>
    <w:rsid w:val="00502739"/>
    <w:rsid w:val="00503E52"/>
    <w:rsid w:val="00510D4C"/>
    <w:rsid w:val="00511E5A"/>
    <w:rsid w:val="00514854"/>
    <w:rsid w:val="00516D15"/>
    <w:rsid w:val="00516FA4"/>
    <w:rsid w:val="005200EA"/>
    <w:rsid w:val="005229CF"/>
    <w:rsid w:val="005300F6"/>
    <w:rsid w:val="005312B5"/>
    <w:rsid w:val="00531F33"/>
    <w:rsid w:val="00533A03"/>
    <w:rsid w:val="00534D74"/>
    <w:rsid w:val="00535910"/>
    <w:rsid w:val="00537BFB"/>
    <w:rsid w:val="00537D2B"/>
    <w:rsid w:val="00541089"/>
    <w:rsid w:val="00542A9C"/>
    <w:rsid w:val="00542FE7"/>
    <w:rsid w:val="00543905"/>
    <w:rsid w:val="00544AE5"/>
    <w:rsid w:val="005460C7"/>
    <w:rsid w:val="00546F5D"/>
    <w:rsid w:val="005513EE"/>
    <w:rsid w:val="0055312A"/>
    <w:rsid w:val="0055474C"/>
    <w:rsid w:val="00554A8B"/>
    <w:rsid w:val="00554CEC"/>
    <w:rsid w:val="00554D98"/>
    <w:rsid w:val="0055552B"/>
    <w:rsid w:val="00556788"/>
    <w:rsid w:val="00556945"/>
    <w:rsid w:val="0055753C"/>
    <w:rsid w:val="00560735"/>
    <w:rsid w:val="005607F2"/>
    <w:rsid w:val="005619C0"/>
    <w:rsid w:val="00561A99"/>
    <w:rsid w:val="0056215F"/>
    <w:rsid w:val="005656D1"/>
    <w:rsid w:val="00566B69"/>
    <w:rsid w:val="00567F84"/>
    <w:rsid w:val="005709A1"/>
    <w:rsid w:val="005709F9"/>
    <w:rsid w:val="00571F37"/>
    <w:rsid w:val="00572732"/>
    <w:rsid w:val="005729BA"/>
    <w:rsid w:val="0057512C"/>
    <w:rsid w:val="0057797B"/>
    <w:rsid w:val="00580716"/>
    <w:rsid w:val="00581316"/>
    <w:rsid w:val="005827E6"/>
    <w:rsid w:val="00583963"/>
    <w:rsid w:val="00586761"/>
    <w:rsid w:val="00586902"/>
    <w:rsid w:val="00586986"/>
    <w:rsid w:val="00587482"/>
    <w:rsid w:val="00590082"/>
    <w:rsid w:val="005906D1"/>
    <w:rsid w:val="00591C19"/>
    <w:rsid w:val="00594A53"/>
    <w:rsid w:val="00594B11"/>
    <w:rsid w:val="0059595F"/>
    <w:rsid w:val="00595BC5"/>
    <w:rsid w:val="00595FBF"/>
    <w:rsid w:val="005A18A0"/>
    <w:rsid w:val="005A1973"/>
    <w:rsid w:val="005A2325"/>
    <w:rsid w:val="005A3D90"/>
    <w:rsid w:val="005A49FD"/>
    <w:rsid w:val="005B0A07"/>
    <w:rsid w:val="005B0B96"/>
    <w:rsid w:val="005B1E30"/>
    <w:rsid w:val="005B40D0"/>
    <w:rsid w:val="005B426E"/>
    <w:rsid w:val="005B500B"/>
    <w:rsid w:val="005B6440"/>
    <w:rsid w:val="005B6B7F"/>
    <w:rsid w:val="005C0C5A"/>
    <w:rsid w:val="005C1CFB"/>
    <w:rsid w:val="005C2441"/>
    <w:rsid w:val="005C394D"/>
    <w:rsid w:val="005C493E"/>
    <w:rsid w:val="005C5080"/>
    <w:rsid w:val="005C5196"/>
    <w:rsid w:val="005C5A80"/>
    <w:rsid w:val="005C639D"/>
    <w:rsid w:val="005C66E3"/>
    <w:rsid w:val="005C76B7"/>
    <w:rsid w:val="005D0BE5"/>
    <w:rsid w:val="005D1801"/>
    <w:rsid w:val="005D2A61"/>
    <w:rsid w:val="005D3D41"/>
    <w:rsid w:val="005D7A0E"/>
    <w:rsid w:val="005E0744"/>
    <w:rsid w:val="005E0C30"/>
    <w:rsid w:val="005E107A"/>
    <w:rsid w:val="005E125B"/>
    <w:rsid w:val="005E1EFC"/>
    <w:rsid w:val="005E360C"/>
    <w:rsid w:val="005E3697"/>
    <w:rsid w:val="005F03CA"/>
    <w:rsid w:val="005F0A8C"/>
    <w:rsid w:val="005F443D"/>
    <w:rsid w:val="005F5347"/>
    <w:rsid w:val="005F5764"/>
    <w:rsid w:val="005F59A3"/>
    <w:rsid w:val="005F6860"/>
    <w:rsid w:val="00600132"/>
    <w:rsid w:val="0060057C"/>
    <w:rsid w:val="00601E37"/>
    <w:rsid w:val="0060256A"/>
    <w:rsid w:val="006034E2"/>
    <w:rsid w:val="006035F9"/>
    <w:rsid w:val="00603BDA"/>
    <w:rsid w:val="0060441D"/>
    <w:rsid w:val="00604E50"/>
    <w:rsid w:val="00605495"/>
    <w:rsid w:val="006073AB"/>
    <w:rsid w:val="00607981"/>
    <w:rsid w:val="00610819"/>
    <w:rsid w:val="00610AC8"/>
    <w:rsid w:val="0061160A"/>
    <w:rsid w:val="00614E10"/>
    <w:rsid w:val="00615073"/>
    <w:rsid w:val="00615D31"/>
    <w:rsid w:val="006162A7"/>
    <w:rsid w:val="006165A5"/>
    <w:rsid w:val="00617904"/>
    <w:rsid w:val="006208E6"/>
    <w:rsid w:val="00620A95"/>
    <w:rsid w:val="0062207B"/>
    <w:rsid w:val="006242A5"/>
    <w:rsid w:val="006246A9"/>
    <w:rsid w:val="0062527E"/>
    <w:rsid w:val="006300B5"/>
    <w:rsid w:val="006300C2"/>
    <w:rsid w:val="00634617"/>
    <w:rsid w:val="00634DE0"/>
    <w:rsid w:val="00634FA8"/>
    <w:rsid w:val="00635451"/>
    <w:rsid w:val="00635760"/>
    <w:rsid w:val="006365D0"/>
    <w:rsid w:val="0064046C"/>
    <w:rsid w:val="006412C0"/>
    <w:rsid w:val="006415B9"/>
    <w:rsid w:val="00645A2F"/>
    <w:rsid w:val="00647F62"/>
    <w:rsid w:val="006511CB"/>
    <w:rsid w:val="006520C7"/>
    <w:rsid w:val="0065341F"/>
    <w:rsid w:val="00653B25"/>
    <w:rsid w:val="00653C50"/>
    <w:rsid w:val="00655DC6"/>
    <w:rsid w:val="00655F4D"/>
    <w:rsid w:val="00656459"/>
    <w:rsid w:val="00657313"/>
    <w:rsid w:val="00657FD6"/>
    <w:rsid w:val="0066134F"/>
    <w:rsid w:val="0066144E"/>
    <w:rsid w:val="00661618"/>
    <w:rsid w:val="0066368E"/>
    <w:rsid w:val="006639A8"/>
    <w:rsid w:val="0066426D"/>
    <w:rsid w:val="00665391"/>
    <w:rsid w:val="006679F0"/>
    <w:rsid w:val="0067014A"/>
    <w:rsid w:val="00671C4A"/>
    <w:rsid w:val="00673A86"/>
    <w:rsid w:val="00673D70"/>
    <w:rsid w:val="00677800"/>
    <w:rsid w:val="00677C8D"/>
    <w:rsid w:val="00680515"/>
    <w:rsid w:val="00680B53"/>
    <w:rsid w:val="00681FD5"/>
    <w:rsid w:val="006845F9"/>
    <w:rsid w:val="00686BDE"/>
    <w:rsid w:val="006904DC"/>
    <w:rsid w:val="0069407D"/>
    <w:rsid w:val="00694438"/>
    <w:rsid w:val="00694C40"/>
    <w:rsid w:val="00694DAB"/>
    <w:rsid w:val="006964B0"/>
    <w:rsid w:val="00696C4F"/>
    <w:rsid w:val="00696CE2"/>
    <w:rsid w:val="00696DA0"/>
    <w:rsid w:val="0069758C"/>
    <w:rsid w:val="006A012D"/>
    <w:rsid w:val="006A188B"/>
    <w:rsid w:val="006A33A3"/>
    <w:rsid w:val="006A39AB"/>
    <w:rsid w:val="006A45EA"/>
    <w:rsid w:val="006A5D53"/>
    <w:rsid w:val="006A630B"/>
    <w:rsid w:val="006A7C03"/>
    <w:rsid w:val="006A7C8D"/>
    <w:rsid w:val="006A7D5D"/>
    <w:rsid w:val="006B2F19"/>
    <w:rsid w:val="006B4FAA"/>
    <w:rsid w:val="006B513C"/>
    <w:rsid w:val="006B5AF3"/>
    <w:rsid w:val="006B6458"/>
    <w:rsid w:val="006B6CD0"/>
    <w:rsid w:val="006B6EDE"/>
    <w:rsid w:val="006C0277"/>
    <w:rsid w:val="006C3073"/>
    <w:rsid w:val="006C3723"/>
    <w:rsid w:val="006C465B"/>
    <w:rsid w:val="006C4C17"/>
    <w:rsid w:val="006C6B8B"/>
    <w:rsid w:val="006C7E5F"/>
    <w:rsid w:val="006D0C8A"/>
    <w:rsid w:val="006D217F"/>
    <w:rsid w:val="006D42DA"/>
    <w:rsid w:val="006D74B5"/>
    <w:rsid w:val="006D766E"/>
    <w:rsid w:val="006E0E18"/>
    <w:rsid w:val="006E44B8"/>
    <w:rsid w:val="006E5457"/>
    <w:rsid w:val="006E5BF6"/>
    <w:rsid w:val="006E68D5"/>
    <w:rsid w:val="006F40EA"/>
    <w:rsid w:val="006F561A"/>
    <w:rsid w:val="006F6266"/>
    <w:rsid w:val="006F795D"/>
    <w:rsid w:val="007004CC"/>
    <w:rsid w:val="00702C5A"/>
    <w:rsid w:val="00704652"/>
    <w:rsid w:val="007067FB"/>
    <w:rsid w:val="00706FFC"/>
    <w:rsid w:val="00707C2F"/>
    <w:rsid w:val="00707CEE"/>
    <w:rsid w:val="00710880"/>
    <w:rsid w:val="007108C3"/>
    <w:rsid w:val="00712595"/>
    <w:rsid w:val="00716FBE"/>
    <w:rsid w:val="00717723"/>
    <w:rsid w:val="00721904"/>
    <w:rsid w:val="0072210F"/>
    <w:rsid w:val="007222CF"/>
    <w:rsid w:val="0072272F"/>
    <w:rsid w:val="00724074"/>
    <w:rsid w:val="00724DC3"/>
    <w:rsid w:val="00730B23"/>
    <w:rsid w:val="00731357"/>
    <w:rsid w:val="00731B97"/>
    <w:rsid w:val="00734332"/>
    <w:rsid w:val="007417DD"/>
    <w:rsid w:val="00742BEE"/>
    <w:rsid w:val="007444A3"/>
    <w:rsid w:val="00744698"/>
    <w:rsid w:val="00744E46"/>
    <w:rsid w:val="00744EC7"/>
    <w:rsid w:val="00744F35"/>
    <w:rsid w:val="0075363A"/>
    <w:rsid w:val="007537A5"/>
    <w:rsid w:val="00753D40"/>
    <w:rsid w:val="007560BC"/>
    <w:rsid w:val="00756A93"/>
    <w:rsid w:val="007579F8"/>
    <w:rsid w:val="007608D8"/>
    <w:rsid w:val="00761483"/>
    <w:rsid w:val="00761545"/>
    <w:rsid w:val="00762A8D"/>
    <w:rsid w:val="0076347B"/>
    <w:rsid w:val="0076370D"/>
    <w:rsid w:val="0076482E"/>
    <w:rsid w:val="00764EF1"/>
    <w:rsid w:val="00765152"/>
    <w:rsid w:val="007669B0"/>
    <w:rsid w:val="00766ABF"/>
    <w:rsid w:val="00767C83"/>
    <w:rsid w:val="00776168"/>
    <w:rsid w:val="0077656B"/>
    <w:rsid w:val="007772CC"/>
    <w:rsid w:val="0078007F"/>
    <w:rsid w:val="00780BE7"/>
    <w:rsid w:val="0078199E"/>
    <w:rsid w:val="00781D65"/>
    <w:rsid w:val="00783F24"/>
    <w:rsid w:val="0078460C"/>
    <w:rsid w:val="0078480B"/>
    <w:rsid w:val="00784AA2"/>
    <w:rsid w:val="00787D22"/>
    <w:rsid w:val="00792C8E"/>
    <w:rsid w:val="007932C1"/>
    <w:rsid w:val="0079386A"/>
    <w:rsid w:val="00795305"/>
    <w:rsid w:val="00796A8E"/>
    <w:rsid w:val="007A196D"/>
    <w:rsid w:val="007A4518"/>
    <w:rsid w:val="007A4F17"/>
    <w:rsid w:val="007A4F77"/>
    <w:rsid w:val="007A5254"/>
    <w:rsid w:val="007A6B23"/>
    <w:rsid w:val="007A6F6C"/>
    <w:rsid w:val="007A78A7"/>
    <w:rsid w:val="007B3AC6"/>
    <w:rsid w:val="007B5ECA"/>
    <w:rsid w:val="007B632D"/>
    <w:rsid w:val="007B6885"/>
    <w:rsid w:val="007B74E7"/>
    <w:rsid w:val="007C05FF"/>
    <w:rsid w:val="007C29F7"/>
    <w:rsid w:val="007C3EEC"/>
    <w:rsid w:val="007C5499"/>
    <w:rsid w:val="007C5AD3"/>
    <w:rsid w:val="007C5FAF"/>
    <w:rsid w:val="007C78B7"/>
    <w:rsid w:val="007D0989"/>
    <w:rsid w:val="007D2E6A"/>
    <w:rsid w:val="007D3A1E"/>
    <w:rsid w:val="007D586B"/>
    <w:rsid w:val="007D5E0A"/>
    <w:rsid w:val="007D649F"/>
    <w:rsid w:val="007D7C7B"/>
    <w:rsid w:val="007E18FA"/>
    <w:rsid w:val="007E1D71"/>
    <w:rsid w:val="007E2A1C"/>
    <w:rsid w:val="007E304E"/>
    <w:rsid w:val="007E3D89"/>
    <w:rsid w:val="007E46AE"/>
    <w:rsid w:val="007E5210"/>
    <w:rsid w:val="007E7AFA"/>
    <w:rsid w:val="007F0F3A"/>
    <w:rsid w:val="007F23CE"/>
    <w:rsid w:val="007F2954"/>
    <w:rsid w:val="007F37F3"/>
    <w:rsid w:val="007F3C8D"/>
    <w:rsid w:val="007F3E59"/>
    <w:rsid w:val="007F4A1D"/>
    <w:rsid w:val="007F5F1E"/>
    <w:rsid w:val="007F621D"/>
    <w:rsid w:val="007F6537"/>
    <w:rsid w:val="007F7D93"/>
    <w:rsid w:val="00802C43"/>
    <w:rsid w:val="00804CB4"/>
    <w:rsid w:val="0080697C"/>
    <w:rsid w:val="008074D0"/>
    <w:rsid w:val="00810655"/>
    <w:rsid w:val="00810F2C"/>
    <w:rsid w:val="00812539"/>
    <w:rsid w:val="008134C8"/>
    <w:rsid w:val="00816CF9"/>
    <w:rsid w:val="00822F82"/>
    <w:rsid w:val="00826ECD"/>
    <w:rsid w:val="00827519"/>
    <w:rsid w:val="00830944"/>
    <w:rsid w:val="0083303D"/>
    <w:rsid w:val="00835605"/>
    <w:rsid w:val="00835A0F"/>
    <w:rsid w:val="00836679"/>
    <w:rsid w:val="00836BFA"/>
    <w:rsid w:val="00837F18"/>
    <w:rsid w:val="00843B36"/>
    <w:rsid w:val="008446CE"/>
    <w:rsid w:val="00844846"/>
    <w:rsid w:val="00846342"/>
    <w:rsid w:val="008470B8"/>
    <w:rsid w:val="0084786F"/>
    <w:rsid w:val="0085025D"/>
    <w:rsid w:val="00852178"/>
    <w:rsid w:val="00853FF3"/>
    <w:rsid w:val="0085451D"/>
    <w:rsid w:val="00854EC8"/>
    <w:rsid w:val="00856098"/>
    <w:rsid w:val="008603B4"/>
    <w:rsid w:val="00861579"/>
    <w:rsid w:val="00862864"/>
    <w:rsid w:val="008640BE"/>
    <w:rsid w:val="008642D7"/>
    <w:rsid w:val="0086531E"/>
    <w:rsid w:val="00865C17"/>
    <w:rsid w:val="00867748"/>
    <w:rsid w:val="0086797E"/>
    <w:rsid w:val="00870BAC"/>
    <w:rsid w:val="00872532"/>
    <w:rsid w:val="00872D3A"/>
    <w:rsid w:val="00874731"/>
    <w:rsid w:val="00875539"/>
    <w:rsid w:val="00875AA2"/>
    <w:rsid w:val="00875D2D"/>
    <w:rsid w:val="00876022"/>
    <w:rsid w:val="0088069E"/>
    <w:rsid w:val="00880CB5"/>
    <w:rsid w:val="0088129E"/>
    <w:rsid w:val="00882652"/>
    <w:rsid w:val="00883027"/>
    <w:rsid w:val="0088316B"/>
    <w:rsid w:val="00884D77"/>
    <w:rsid w:val="008858E6"/>
    <w:rsid w:val="00885F41"/>
    <w:rsid w:val="0089053A"/>
    <w:rsid w:val="008915FF"/>
    <w:rsid w:val="00891DB1"/>
    <w:rsid w:val="008926F4"/>
    <w:rsid w:val="008928E2"/>
    <w:rsid w:val="00893324"/>
    <w:rsid w:val="00895331"/>
    <w:rsid w:val="00895AA1"/>
    <w:rsid w:val="00896C72"/>
    <w:rsid w:val="00896DD0"/>
    <w:rsid w:val="008971FD"/>
    <w:rsid w:val="008A2623"/>
    <w:rsid w:val="008A2C8A"/>
    <w:rsid w:val="008A2F69"/>
    <w:rsid w:val="008A4B89"/>
    <w:rsid w:val="008A609F"/>
    <w:rsid w:val="008A6769"/>
    <w:rsid w:val="008A7260"/>
    <w:rsid w:val="008A7B66"/>
    <w:rsid w:val="008B026E"/>
    <w:rsid w:val="008B22EF"/>
    <w:rsid w:val="008B2CB6"/>
    <w:rsid w:val="008B367A"/>
    <w:rsid w:val="008B38BA"/>
    <w:rsid w:val="008B3914"/>
    <w:rsid w:val="008B4249"/>
    <w:rsid w:val="008B4A41"/>
    <w:rsid w:val="008B6EE2"/>
    <w:rsid w:val="008B7698"/>
    <w:rsid w:val="008C016E"/>
    <w:rsid w:val="008C0422"/>
    <w:rsid w:val="008C04D4"/>
    <w:rsid w:val="008C22D8"/>
    <w:rsid w:val="008C394A"/>
    <w:rsid w:val="008C3E90"/>
    <w:rsid w:val="008C4CE3"/>
    <w:rsid w:val="008C6B4B"/>
    <w:rsid w:val="008C7168"/>
    <w:rsid w:val="008D006F"/>
    <w:rsid w:val="008D03CA"/>
    <w:rsid w:val="008D2798"/>
    <w:rsid w:val="008D285F"/>
    <w:rsid w:val="008D73A5"/>
    <w:rsid w:val="008E0A8C"/>
    <w:rsid w:val="008E2435"/>
    <w:rsid w:val="008E2700"/>
    <w:rsid w:val="008E2A91"/>
    <w:rsid w:val="008E3CCE"/>
    <w:rsid w:val="008E4C20"/>
    <w:rsid w:val="008E5470"/>
    <w:rsid w:val="008E736E"/>
    <w:rsid w:val="008E77FE"/>
    <w:rsid w:val="008E7B06"/>
    <w:rsid w:val="008F0945"/>
    <w:rsid w:val="008F3AD2"/>
    <w:rsid w:val="008F5B48"/>
    <w:rsid w:val="008F78FD"/>
    <w:rsid w:val="00900E88"/>
    <w:rsid w:val="00902473"/>
    <w:rsid w:val="00902D37"/>
    <w:rsid w:val="00902F4F"/>
    <w:rsid w:val="00902F7B"/>
    <w:rsid w:val="00905226"/>
    <w:rsid w:val="0090602F"/>
    <w:rsid w:val="00910912"/>
    <w:rsid w:val="009117E9"/>
    <w:rsid w:val="00912D65"/>
    <w:rsid w:val="00913169"/>
    <w:rsid w:val="00913843"/>
    <w:rsid w:val="00914CC1"/>
    <w:rsid w:val="009154A1"/>
    <w:rsid w:val="00916EBB"/>
    <w:rsid w:val="00917137"/>
    <w:rsid w:val="00920276"/>
    <w:rsid w:val="00920F8E"/>
    <w:rsid w:val="0092264E"/>
    <w:rsid w:val="00922B54"/>
    <w:rsid w:val="00923057"/>
    <w:rsid w:val="00923331"/>
    <w:rsid w:val="00923563"/>
    <w:rsid w:val="00923F62"/>
    <w:rsid w:val="00924CEA"/>
    <w:rsid w:val="00924DA4"/>
    <w:rsid w:val="0092570A"/>
    <w:rsid w:val="00926BCB"/>
    <w:rsid w:val="00926CD2"/>
    <w:rsid w:val="00926D4B"/>
    <w:rsid w:val="00927DEE"/>
    <w:rsid w:val="00930C56"/>
    <w:rsid w:val="009315C5"/>
    <w:rsid w:val="00932493"/>
    <w:rsid w:val="0093296C"/>
    <w:rsid w:val="00933F74"/>
    <w:rsid w:val="00933F9A"/>
    <w:rsid w:val="00934AED"/>
    <w:rsid w:val="00934BC8"/>
    <w:rsid w:val="00935F51"/>
    <w:rsid w:val="00936E96"/>
    <w:rsid w:val="00936F56"/>
    <w:rsid w:val="00937653"/>
    <w:rsid w:val="00937A4F"/>
    <w:rsid w:val="00940A1A"/>
    <w:rsid w:val="00941EDA"/>
    <w:rsid w:val="00944452"/>
    <w:rsid w:val="00944FB6"/>
    <w:rsid w:val="00945C9B"/>
    <w:rsid w:val="00946814"/>
    <w:rsid w:val="00947B76"/>
    <w:rsid w:val="00952A4F"/>
    <w:rsid w:val="00954097"/>
    <w:rsid w:val="00955C4C"/>
    <w:rsid w:val="009567F0"/>
    <w:rsid w:val="00956D53"/>
    <w:rsid w:val="00956E53"/>
    <w:rsid w:val="00956F40"/>
    <w:rsid w:val="00957F32"/>
    <w:rsid w:val="00961D71"/>
    <w:rsid w:val="00961E03"/>
    <w:rsid w:val="00963A67"/>
    <w:rsid w:val="009642DF"/>
    <w:rsid w:val="00964C39"/>
    <w:rsid w:val="00965183"/>
    <w:rsid w:val="00966166"/>
    <w:rsid w:val="00966C76"/>
    <w:rsid w:val="0097107C"/>
    <w:rsid w:val="00974073"/>
    <w:rsid w:val="009757AD"/>
    <w:rsid w:val="00976852"/>
    <w:rsid w:val="009824C8"/>
    <w:rsid w:val="00986111"/>
    <w:rsid w:val="00986D82"/>
    <w:rsid w:val="00987646"/>
    <w:rsid w:val="00987852"/>
    <w:rsid w:val="00991490"/>
    <w:rsid w:val="00992A83"/>
    <w:rsid w:val="00993204"/>
    <w:rsid w:val="009935CF"/>
    <w:rsid w:val="00993D85"/>
    <w:rsid w:val="009943E5"/>
    <w:rsid w:val="009946BE"/>
    <w:rsid w:val="009956B4"/>
    <w:rsid w:val="0099600D"/>
    <w:rsid w:val="00996DC7"/>
    <w:rsid w:val="00997C03"/>
    <w:rsid w:val="009A08CC"/>
    <w:rsid w:val="009A08DF"/>
    <w:rsid w:val="009A2A0B"/>
    <w:rsid w:val="009A2EA6"/>
    <w:rsid w:val="009A64C4"/>
    <w:rsid w:val="009A7563"/>
    <w:rsid w:val="009A7BFC"/>
    <w:rsid w:val="009A7DED"/>
    <w:rsid w:val="009B0CFA"/>
    <w:rsid w:val="009C12F0"/>
    <w:rsid w:val="009C20D0"/>
    <w:rsid w:val="009C219D"/>
    <w:rsid w:val="009C2B0B"/>
    <w:rsid w:val="009C3FA5"/>
    <w:rsid w:val="009C4614"/>
    <w:rsid w:val="009C7D16"/>
    <w:rsid w:val="009C7F5B"/>
    <w:rsid w:val="009D1A10"/>
    <w:rsid w:val="009D23EF"/>
    <w:rsid w:val="009D3A01"/>
    <w:rsid w:val="009D3EFA"/>
    <w:rsid w:val="009D51E6"/>
    <w:rsid w:val="009D5ECA"/>
    <w:rsid w:val="009D6159"/>
    <w:rsid w:val="009D6BCF"/>
    <w:rsid w:val="009D7F7A"/>
    <w:rsid w:val="009E1D8F"/>
    <w:rsid w:val="009E1EC0"/>
    <w:rsid w:val="009E2D53"/>
    <w:rsid w:val="009E33FF"/>
    <w:rsid w:val="009E6C4F"/>
    <w:rsid w:val="009E70E6"/>
    <w:rsid w:val="009F0EFA"/>
    <w:rsid w:val="009F11CF"/>
    <w:rsid w:val="009F1279"/>
    <w:rsid w:val="009F1E59"/>
    <w:rsid w:val="009F2C4D"/>
    <w:rsid w:val="009F4284"/>
    <w:rsid w:val="009F607C"/>
    <w:rsid w:val="009F68B5"/>
    <w:rsid w:val="009F75F1"/>
    <w:rsid w:val="009F79AF"/>
    <w:rsid w:val="00A00D98"/>
    <w:rsid w:val="00A019BF"/>
    <w:rsid w:val="00A020B8"/>
    <w:rsid w:val="00A0449E"/>
    <w:rsid w:val="00A0545A"/>
    <w:rsid w:val="00A05B1C"/>
    <w:rsid w:val="00A0627B"/>
    <w:rsid w:val="00A07847"/>
    <w:rsid w:val="00A11278"/>
    <w:rsid w:val="00A12857"/>
    <w:rsid w:val="00A16DCD"/>
    <w:rsid w:val="00A16FC1"/>
    <w:rsid w:val="00A17083"/>
    <w:rsid w:val="00A202D0"/>
    <w:rsid w:val="00A210DF"/>
    <w:rsid w:val="00A21EA5"/>
    <w:rsid w:val="00A224BA"/>
    <w:rsid w:val="00A231B7"/>
    <w:rsid w:val="00A24811"/>
    <w:rsid w:val="00A2503D"/>
    <w:rsid w:val="00A251C7"/>
    <w:rsid w:val="00A25D6E"/>
    <w:rsid w:val="00A2656D"/>
    <w:rsid w:val="00A26996"/>
    <w:rsid w:val="00A274FC"/>
    <w:rsid w:val="00A309AC"/>
    <w:rsid w:val="00A33319"/>
    <w:rsid w:val="00A3386D"/>
    <w:rsid w:val="00A33C7F"/>
    <w:rsid w:val="00A35945"/>
    <w:rsid w:val="00A35C59"/>
    <w:rsid w:val="00A4014F"/>
    <w:rsid w:val="00A4086D"/>
    <w:rsid w:val="00A42423"/>
    <w:rsid w:val="00A42868"/>
    <w:rsid w:val="00A42A15"/>
    <w:rsid w:val="00A4417C"/>
    <w:rsid w:val="00A44672"/>
    <w:rsid w:val="00A44A1E"/>
    <w:rsid w:val="00A4565A"/>
    <w:rsid w:val="00A50CED"/>
    <w:rsid w:val="00A50ED5"/>
    <w:rsid w:val="00A517AF"/>
    <w:rsid w:val="00A52CCD"/>
    <w:rsid w:val="00A545B2"/>
    <w:rsid w:val="00A554A0"/>
    <w:rsid w:val="00A56356"/>
    <w:rsid w:val="00A5745C"/>
    <w:rsid w:val="00A60240"/>
    <w:rsid w:val="00A6142D"/>
    <w:rsid w:val="00A649C2"/>
    <w:rsid w:val="00A653A2"/>
    <w:rsid w:val="00A6651F"/>
    <w:rsid w:val="00A675FD"/>
    <w:rsid w:val="00A67A30"/>
    <w:rsid w:val="00A700EF"/>
    <w:rsid w:val="00A719F9"/>
    <w:rsid w:val="00A71BB0"/>
    <w:rsid w:val="00A744CE"/>
    <w:rsid w:val="00A74979"/>
    <w:rsid w:val="00A7696A"/>
    <w:rsid w:val="00A769C4"/>
    <w:rsid w:val="00A77231"/>
    <w:rsid w:val="00A7736C"/>
    <w:rsid w:val="00A77FFB"/>
    <w:rsid w:val="00A80B5B"/>
    <w:rsid w:val="00A81690"/>
    <w:rsid w:val="00A822E9"/>
    <w:rsid w:val="00A83C88"/>
    <w:rsid w:val="00A850B7"/>
    <w:rsid w:val="00A90C30"/>
    <w:rsid w:val="00AA0393"/>
    <w:rsid w:val="00AA4141"/>
    <w:rsid w:val="00AA4BEA"/>
    <w:rsid w:val="00AA4E7B"/>
    <w:rsid w:val="00AA5215"/>
    <w:rsid w:val="00AA7474"/>
    <w:rsid w:val="00AB0936"/>
    <w:rsid w:val="00AB222F"/>
    <w:rsid w:val="00AB2280"/>
    <w:rsid w:val="00AB238A"/>
    <w:rsid w:val="00AB546D"/>
    <w:rsid w:val="00AB71AF"/>
    <w:rsid w:val="00AB72B7"/>
    <w:rsid w:val="00AB7FA5"/>
    <w:rsid w:val="00AC1F01"/>
    <w:rsid w:val="00AC310E"/>
    <w:rsid w:val="00AC3BFA"/>
    <w:rsid w:val="00AC5DFF"/>
    <w:rsid w:val="00AC6182"/>
    <w:rsid w:val="00AC6D46"/>
    <w:rsid w:val="00AD17F6"/>
    <w:rsid w:val="00AD4C00"/>
    <w:rsid w:val="00AD4D03"/>
    <w:rsid w:val="00AD64D8"/>
    <w:rsid w:val="00AD7301"/>
    <w:rsid w:val="00AE00C7"/>
    <w:rsid w:val="00AE1749"/>
    <w:rsid w:val="00AE1D5D"/>
    <w:rsid w:val="00AE3E85"/>
    <w:rsid w:val="00AE41AE"/>
    <w:rsid w:val="00AE560C"/>
    <w:rsid w:val="00AE6470"/>
    <w:rsid w:val="00AE6AFF"/>
    <w:rsid w:val="00AF0A9D"/>
    <w:rsid w:val="00AF0ED9"/>
    <w:rsid w:val="00AF2D5E"/>
    <w:rsid w:val="00AF5B2A"/>
    <w:rsid w:val="00AF5B60"/>
    <w:rsid w:val="00AF6C82"/>
    <w:rsid w:val="00AF7784"/>
    <w:rsid w:val="00B041F5"/>
    <w:rsid w:val="00B10B5D"/>
    <w:rsid w:val="00B11E0C"/>
    <w:rsid w:val="00B124AB"/>
    <w:rsid w:val="00B12658"/>
    <w:rsid w:val="00B13D70"/>
    <w:rsid w:val="00B14126"/>
    <w:rsid w:val="00B150ED"/>
    <w:rsid w:val="00B16B46"/>
    <w:rsid w:val="00B170A3"/>
    <w:rsid w:val="00B24819"/>
    <w:rsid w:val="00B24A17"/>
    <w:rsid w:val="00B25FD4"/>
    <w:rsid w:val="00B268C6"/>
    <w:rsid w:val="00B27C06"/>
    <w:rsid w:val="00B322D3"/>
    <w:rsid w:val="00B377FF"/>
    <w:rsid w:val="00B37801"/>
    <w:rsid w:val="00B3797D"/>
    <w:rsid w:val="00B37A0A"/>
    <w:rsid w:val="00B400C6"/>
    <w:rsid w:val="00B400FD"/>
    <w:rsid w:val="00B434BE"/>
    <w:rsid w:val="00B439F3"/>
    <w:rsid w:val="00B44C9A"/>
    <w:rsid w:val="00B45324"/>
    <w:rsid w:val="00B4752D"/>
    <w:rsid w:val="00B518D4"/>
    <w:rsid w:val="00B518EE"/>
    <w:rsid w:val="00B51E37"/>
    <w:rsid w:val="00B51E41"/>
    <w:rsid w:val="00B52F52"/>
    <w:rsid w:val="00B53945"/>
    <w:rsid w:val="00B5492F"/>
    <w:rsid w:val="00B54B9F"/>
    <w:rsid w:val="00B61B0D"/>
    <w:rsid w:val="00B62486"/>
    <w:rsid w:val="00B62DB0"/>
    <w:rsid w:val="00B636CF"/>
    <w:rsid w:val="00B63FF7"/>
    <w:rsid w:val="00B64723"/>
    <w:rsid w:val="00B6608A"/>
    <w:rsid w:val="00B67B92"/>
    <w:rsid w:val="00B704AF"/>
    <w:rsid w:val="00B72250"/>
    <w:rsid w:val="00B76E81"/>
    <w:rsid w:val="00B7753D"/>
    <w:rsid w:val="00B8044B"/>
    <w:rsid w:val="00B804EC"/>
    <w:rsid w:val="00B81452"/>
    <w:rsid w:val="00B8270B"/>
    <w:rsid w:val="00B82915"/>
    <w:rsid w:val="00B82AC7"/>
    <w:rsid w:val="00B84C17"/>
    <w:rsid w:val="00B84FA6"/>
    <w:rsid w:val="00B8583F"/>
    <w:rsid w:val="00B85869"/>
    <w:rsid w:val="00B8709A"/>
    <w:rsid w:val="00B93C4E"/>
    <w:rsid w:val="00B93E9A"/>
    <w:rsid w:val="00B9544D"/>
    <w:rsid w:val="00B975D2"/>
    <w:rsid w:val="00BA0548"/>
    <w:rsid w:val="00BA0720"/>
    <w:rsid w:val="00BA07D8"/>
    <w:rsid w:val="00BA0F90"/>
    <w:rsid w:val="00BA1398"/>
    <w:rsid w:val="00BA1EA2"/>
    <w:rsid w:val="00BA2044"/>
    <w:rsid w:val="00BA2239"/>
    <w:rsid w:val="00BA2886"/>
    <w:rsid w:val="00BA4E0D"/>
    <w:rsid w:val="00BA76AF"/>
    <w:rsid w:val="00BB1353"/>
    <w:rsid w:val="00BB1977"/>
    <w:rsid w:val="00BB1AD4"/>
    <w:rsid w:val="00BB3145"/>
    <w:rsid w:val="00BB5018"/>
    <w:rsid w:val="00BB59DB"/>
    <w:rsid w:val="00BB7BBB"/>
    <w:rsid w:val="00BC2DFF"/>
    <w:rsid w:val="00BC41F2"/>
    <w:rsid w:val="00BC42C0"/>
    <w:rsid w:val="00BC44EE"/>
    <w:rsid w:val="00BD0908"/>
    <w:rsid w:val="00BD0DCE"/>
    <w:rsid w:val="00BD2782"/>
    <w:rsid w:val="00BD33F2"/>
    <w:rsid w:val="00BD3FB2"/>
    <w:rsid w:val="00BD54BF"/>
    <w:rsid w:val="00BD636C"/>
    <w:rsid w:val="00BD7175"/>
    <w:rsid w:val="00BD7B4E"/>
    <w:rsid w:val="00BE0233"/>
    <w:rsid w:val="00BE0DC8"/>
    <w:rsid w:val="00BE23E9"/>
    <w:rsid w:val="00BE54EF"/>
    <w:rsid w:val="00BE79D1"/>
    <w:rsid w:val="00BF13A7"/>
    <w:rsid w:val="00BF375A"/>
    <w:rsid w:val="00BF38EE"/>
    <w:rsid w:val="00BF3A36"/>
    <w:rsid w:val="00BF4169"/>
    <w:rsid w:val="00BF472E"/>
    <w:rsid w:val="00BF7146"/>
    <w:rsid w:val="00BF7DFA"/>
    <w:rsid w:val="00C03CD1"/>
    <w:rsid w:val="00C04DF0"/>
    <w:rsid w:val="00C054C0"/>
    <w:rsid w:val="00C07058"/>
    <w:rsid w:val="00C104C0"/>
    <w:rsid w:val="00C11584"/>
    <w:rsid w:val="00C121EB"/>
    <w:rsid w:val="00C1252E"/>
    <w:rsid w:val="00C12789"/>
    <w:rsid w:val="00C15933"/>
    <w:rsid w:val="00C167E7"/>
    <w:rsid w:val="00C20B4C"/>
    <w:rsid w:val="00C20CC5"/>
    <w:rsid w:val="00C21D9D"/>
    <w:rsid w:val="00C2494E"/>
    <w:rsid w:val="00C24D28"/>
    <w:rsid w:val="00C25DF1"/>
    <w:rsid w:val="00C262FE"/>
    <w:rsid w:val="00C2699D"/>
    <w:rsid w:val="00C27D47"/>
    <w:rsid w:val="00C307BD"/>
    <w:rsid w:val="00C31C68"/>
    <w:rsid w:val="00C3344D"/>
    <w:rsid w:val="00C33DA4"/>
    <w:rsid w:val="00C3525B"/>
    <w:rsid w:val="00C35789"/>
    <w:rsid w:val="00C4084D"/>
    <w:rsid w:val="00C416DD"/>
    <w:rsid w:val="00C42166"/>
    <w:rsid w:val="00C421CA"/>
    <w:rsid w:val="00C4296C"/>
    <w:rsid w:val="00C433B8"/>
    <w:rsid w:val="00C4446E"/>
    <w:rsid w:val="00C445A7"/>
    <w:rsid w:val="00C463AE"/>
    <w:rsid w:val="00C51E36"/>
    <w:rsid w:val="00C54590"/>
    <w:rsid w:val="00C54CC6"/>
    <w:rsid w:val="00C56E19"/>
    <w:rsid w:val="00C604D0"/>
    <w:rsid w:val="00C61226"/>
    <w:rsid w:val="00C643AB"/>
    <w:rsid w:val="00C64C5A"/>
    <w:rsid w:val="00C65EDC"/>
    <w:rsid w:val="00C666C5"/>
    <w:rsid w:val="00C7062B"/>
    <w:rsid w:val="00C711CC"/>
    <w:rsid w:val="00C72EF9"/>
    <w:rsid w:val="00C7444C"/>
    <w:rsid w:val="00C75F91"/>
    <w:rsid w:val="00C819A4"/>
    <w:rsid w:val="00C8247E"/>
    <w:rsid w:val="00C83786"/>
    <w:rsid w:val="00C84B2D"/>
    <w:rsid w:val="00C85CCE"/>
    <w:rsid w:val="00C864BB"/>
    <w:rsid w:val="00C870AF"/>
    <w:rsid w:val="00C903D3"/>
    <w:rsid w:val="00C91877"/>
    <w:rsid w:val="00C91CCF"/>
    <w:rsid w:val="00C926AF"/>
    <w:rsid w:val="00C93DC9"/>
    <w:rsid w:val="00C9718B"/>
    <w:rsid w:val="00C97D05"/>
    <w:rsid w:val="00CA07E4"/>
    <w:rsid w:val="00CA605D"/>
    <w:rsid w:val="00CA72F7"/>
    <w:rsid w:val="00CA7E13"/>
    <w:rsid w:val="00CB0E45"/>
    <w:rsid w:val="00CB1B5C"/>
    <w:rsid w:val="00CB2F01"/>
    <w:rsid w:val="00CB45CE"/>
    <w:rsid w:val="00CB4EE2"/>
    <w:rsid w:val="00CB5583"/>
    <w:rsid w:val="00CB6168"/>
    <w:rsid w:val="00CB71DA"/>
    <w:rsid w:val="00CB79FC"/>
    <w:rsid w:val="00CC1C6D"/>
    <w:rsid w:val="00CC4AF3"/>
    <w:rsid w:val="00CC5B87"/>
    <w:rsid w:val="00CD2056"/>
    <w:rsid w:val="00CD2501"/>
    <w:rsid w:val="00CD362B"/>
    <w:rsid w:val="00CD39B2"/>
    <w:rsid w:val="00CD3B11"/>
    <w:rsid w:val="00CD4E68"/>
    <w:rsid w:val="00CD5CFD"/>
    <w:rsid w:val="00CD5D29"/>
    <w:rsid w:val="00CD6279"/>
    <w:rsid w:val="00CD7F8F"/>
    <w:rsid w:val="00CE0ECB"/>
    <w:rsid w:val="00CE1B29"/>
    <w:rsid w:val="00CE29C5"/>
    <w:rsid w:val="00CE3C21"/>
    <w:rsid w:val="00CF08B0"/>
    <w:rsid w:val="00CF0A5E"/>
    <w:rsid w:val="00CF2576"/>
    <w:rsid w:val="00CF5802"/>
    <w:rsid w:val="00CF5FF2"/>
    <w:rsid w:val="00CF61C5"/>
    <w:rsid w:val="00CF6DDE"/>
    <w:rsid w:val="00CF734C"/>
    <w:rsid w:val="00CF76C2"/>
    <w:rsid w:val="00D00E0F"/>
    <w:rsid w:val="00D048A7"/>
    <w:rsid w:val="00D051B9"/>
    <w:rsid w:val="00D05543"/>
    <w:rsid w:val="00D05639"/>
    <w:rsid w:val="00D05C08"/>
    <w:rsid w:val="00D13BFB"/>
    <w:rsid w:val="00D151CD"/>
    <w:rsid w:val="00D16C00"/>
    <w:rsid w:val="00D16DEE"/>
    <w:rsid w:val="00D20003"/>
    <w:rsid w:val="00D23427"/>
    <w:rsid w:val="00D23BCF"/>
    <w:rsid w:val="00D244DC"/>
    <w:rsid w:val="00D24660"/>
    <w:rsid w:val="00D25F2F"/>
    <w:rsid w:val="00D269E0"/>
    <w:rsid w:val="00D27122"/>
    <w:rsid w:val="00D3059E"/>
    <w:rsid w:val="00D30B9C"/>
    <w:rsid w:val="00D30EE8"/>
    <w:rsid w:val="00D3170D"/>
    <w:rsid w:val="00D379B4"/>
    <w:rsid w:val="00D37DF1"/>
    <w:rsid w:val="00D40316"/>
    <w:rsid w:val="00D413BF"/>
    <w:rsid w:val="00D426B1"/>
    <w:rsid w:val="00D429B7"/>
    <w:rsid w:val="00D42D47"/>
    <w:rsid w:val="00D431D5"/>
    <w:rsid w:val="00D43BD4"/>
    <w:rsid w:val="00D44AD6"/>
    <w:rsid w:val="00D5084D"/>
    <w:rsid w:val="00D513B3"/>
    <w:rsid w:val="00D5247A"/>
    <w:rsid w:val="00D529EC"/>
    <w:rsid w:val="00D5404C"/>
    <w:rsid w:val="00D54736"/>
    <w:rsid w:val="00D54B65"/>
    <w:rsid w:val="00D54C22"/>
    <w:rsid w:val="00D5591C"/>
    <w:rsid w:val="00D60635"/>
    <w:rsid w:val="00D60660"/>
    <w:rsid w:val="00D637D0"/>
    <w:rsid w:val="00D6526E"/>
    <w:rsid w:val="00D703FE"/>
    <w:rsid w:val="00D7165F"/>
    <w:rsid w:val="00D719E5"/>
    <w:rsid w:val="00D750EB"/>
    <w:rsid w:val="00D77944"/>
    <w:rsid w:val="00D77BBA"/>
    <w:rsid w:val="00D84F53"/>
    <w:rsid w:val="00D86EAE"/>
    <w:rsid w:val="00D874E3"/>
    <w:rsid w:val="00D876BF"/>
    <w:rsid w:val="00D90BE6"/>
    <w:rsid w:val="00D936C9"/>
    <w:rsid w:val="00D94AF5"/>
    <w:rsid w:val="00DA26DF"/>
    <w:rsid w:val="00DA2C93"/>
    <w:rsid w:val="00DA2FC4"/>
    <w:rsid w:val="00DA55A2"/>
    <w:rsid w:val="00DA580D"/>
    <w:rsid w:val="00DA58BE"/>
    <w:rsid w:val="00DA6EC8"/>
    <w:rsid w:val="00DA7E22"/>
    <w:rsid w:val="00DB0521"/>
    <w:rsid w:val="00DB32C6"/>
    <w:rsid w:val="00DB537B"/>
    <w:rsid w:val="00DB623E"/>
    <w:rsid w:val="00DB67FD"/>
    <w:rsid w:val="00DC0F29"/>
    <w:rsid w:val="00DC0FE2"/>
    <w:rsid w:val="00DC15F1"/>
    <w:rsid w:val="00DC220C"/>
    <w:rsid w:val="00DC4C40"/>
    <w:rsid w:val="00DC4D20"/>
    <w:rsid w:val="00DD0473"/>
    <w:rsid w:val="00DD0B1F"/>
    <w:rsid w:val="00DD281C"/>
    <w:rsid w:val="00DD2E70"/>
    <w:rsid w:val="00DD53BD"/>
    <w:rsid w:val="00DD7D50"/>
    <w:rsid w:val="00DE0C29"/>
    <w:rsid w:val="00DE0EF3"/>
    <w:rsid w:val="00DE4CF1"/>
    <w:rsid w:val="00DE64A2"/>
    <w:rsid w:val="00DE7F74"/>
    <w:rsid w:val="00DF27DD"/>
    <w:rsid w:val="00DF6642"/>
    <w:rsid w:val="00E02BE4"/>
    <w:rsid w:val="00E0302D"/>
    <w:rsid w:val="00E04238"/>
    <w:rsid w:val="00E049B4"/>
    <w:rsid w:val="00E0514B"/>
    <w:rsid w:val="00E05A3F"/>
    <w:rsid w:val="00E05FB1"/>
    <w:rsid w:val="00E06DAD"/>
    <w:rsid w:val="00E07E17"/>
    <w:rsid w:val="00E103B0"/>
    <w:rsid w:val="00E1107B"/>
    <w:rsid w:val="00E11290"/>
    <w:rsid w:val="00E147DD"/>
    <w:rsid w:val="00E16E00"/>
    <w:rsid w:val="00E208F2"/>
    <w:rsid w:val="00E21237"/>
    <w:rsid w:val="00E22306"/>
    <w:rsid w:val="00E2569F"/>
    <w:rsid w:val="00E2614B"/>
    <w:rsid w:val="00E268D5"/>
    <w:rsid w:val="00E26E2E"/>
    <w:rsid w:val="00E329E5"/>
    <w:rsid w:val="00E33FE5"/>
    <w:rsid w:val="00E34A2A"/>
    <w:rsid w:val="00E35AF0"/>
    <w:rsid w:val="00E362B3"/>
    <w:rsid w:val="00E37EE7"/>
    <w:rsid w:val="00E41E3B"/>
    <w:rsid w:val="00E422E3"/>
    <w:rsid w:val="00E425EB"/>
    <w:rsid w:val="00E43688"/>
    <w:rsid w:val="00E443D9"/>
    <w:rsid w:val="00E4452B"/>
    <w:rsid w:val="00E45616"/>
    <w:rsid w:val="00E456C6"/>
    <w:rsid w:val="00E47526"/>
    <w:rsid w:val="00E47B5C"/>
    <w:rsid w:val="00E5216E"/>
    <w:rsid w:val="00E5289B"/>
    <w:rsid w:val="00E52D1C"/>
    <w:rsid w:val="00E535FA"/>
    <w:rsid w:val="00E56BA7"/>
    <w:rsid w:val="00E5771D"/>
    <w:rsid w:val="00E5772B"/>
    <w:rsid w:val="00E5794E"/>
    <w:rsid w:val="00E60187"/>
    <w:rsid w:val="00E606E9"/>
    <w:rsid w:val="00E62C6C"/>
    <w:rsid w:val="00E63FCD"/>
    <w:rsid w:val="00E64F8A"/>
    <w:rsid w:val="00E65894"/>
    <w:rsid w:val="00E663C9"/>
    <w:rsid w:val="00E67750"/>
    <w:rsid w:val="00E677E7"/>
    <w:rsid w:val="00E71190"/>
    <w:rsid w:val="00E7328E"/>
    <w:rsid w:val="00E7348A"/>
    <w:rsid w:val="00E75CA7"/>
    <w:rsid w:val="00E763F4"/>
    <w:rsid w:val="00E76523"/>
    <w:rsid w:val="00E76A46"/>
    <w:rsid w:val="00E76B5C"/>
    <w:rsid w:val="00E7701B"/>
    <w:rsid w:val="00E80A39"/>
    <w:rsid w:val="00E81B24"/>
    <w:rsid w:val="00E836AF"/>
    <w:rsid w:val="00E83A25"/>
    <w:rsid w:val="00E85601"/>
    <w:rsid w:val="00E85EF4"/>
    <w:rsid w:val="00E85EFB"/>
    <w:rsid w:val="00E85F80"/>
    <w:rsid w:val="00E86E91"/>
    <w:rsid w:val="00E90083"/>
    <w:rsid w:val="00E92CEE"/>
    <w:rsid w:val="00E94566"/>
    <w:rsid w:val="00E94800"/>
    <w:rsid w:val="00E94860"/>
    <w:rsid w:val="00E96491"/>
    <w:rsid w:val="00E97C4F"/>
    <w:rsid w:val="00EA19C9"/>
    <w:rsid w:val="00EA31DB"/>
    <w:rsid w:val="00EA63A7"/>
    <w:rsid w:val="00EA659F"/>
    <w:rsid w:val="00EA739D"/>
    <w:rsid w:val="00EB1E10"/>
    <w:rsid w:val="00EB271C"/>
    <w:rsid w:val="00EB2D36"/>
    <w:rsid w:val="00EB4B23"/>
    <w:rsid w:val="00EB61B9"/>
    <w:rsid w:val="00EB7547"/>
    <w:rsid w:val="00EB7684"/>
    <w:rsid w:val="00EB7685"/>
    <w:rsid w:val="00EC008D"/>
    <w:rsid w:val="00EC0FD6"/>
    <w:rsid w:val="00EC2B23"/>
    <w:rsid w:val="00EC49C5"/>
    <w:rsid w:val="00EC4A17"/>
    <w:rsid w:val="00EC58CC"/>
    <w:rsid w:val="00EC744D"/>
    <w:rsid w:val="00ED10BE"/>
    <w:rsid w:val="00ED1D3A"/>
    <w:rsid w:val="00ED256B"/>
    <w:rsid w:val="00ED2850"/>
    <w:rsid w:val="00ED44D2"/>
    <w:rsid w:val="00ED65A6"/>
    <w:rsid w:val="00ED6807"/>
    <w:rsid w:val="00ED74DD"/>
    <w:rsid w:val="00EE0440"/>
    <w:rsid w:val="00EE08E8"/>
    <w:rsid w:val="00EE3D98"/>
    <w:rsid w:val="00EE406E"/>
    <w:rsid w:val="00EE6196"/>
    <w:rsid w:val="00EE77A2"/>
    <w:rsid w:val="00EF0867"/>
    <w:rsid w:val="00EF0A2F"/>
    <w:rsid w:val="00EF31CF"/>
    <w:rsid w:val="00EF478C"/>
    <w:rsid w:val="00EF4C0F"/>
    <w:rsid w:val="00EF5557"/>
    <w:rsid w:val="00EF5966"/>
    <w:rsid w:val="00EF63BE"/>
    <w:rsid w:val="00EF7692"/>
    <w:rsid w:val="00F00A6C"/>
    <w:rsid w:val="00F01488"/>
    <w:rsid w:val="00F0224C"/>
    <w:rsid w:val="00F02806"/>
    <w:rsid w:val="00F02C16"/>
    <w:rsid w:val="00F0451F"/>
    <w:rsid w:val="00F115B7"/>
    <w:rsid w:val="00F1178C"/>
    <w:rsid w:val="00F126CB"/>
    <w:rsid w:val="00F12DCE"/>
    <w:rsid w:val="00F12FAD"/>
    <w:rsid w:val="00F13B57"/>
    <w:rsid w:val="00F141EC"/>
    <w:rsid w:val="00F142CB"/>
    <w:rsid w:val="00F16571"/>
    <w:rsid w:val="00F16A17"/>
    <w:rsid w:val="00F16E74"/>
    <w:rsid w:val="00F17EF8"/>
    <w:rsid w:val="00F20BE3"/>
    <w:rsid w:val="00F20E96"/>
    <w:rsid w:val="00F25A51"/>
    <w:rsid w:val="00F260C9"/>
    <w:rsid w:val="00F272B2"/>
    <w:rsid w:val="00F27CCD"/>
    <w:rsid w:val="00F30B11"/>
    <w:rsid w:val="00F31418"/>
    <w:rsid w:val="00F32DEE"/>
    <w:rsid w:val="00F34519"/>
    <w:rsid w:val="00F34A43"/>
    <w:rsid w:val="00F35998"/>
    <w:rsid w:val="00F40BCF"/>
    <w:rsid w:val="00F41FCA"/>
    <w:rsid w:val="00F44C19"/>
    <w:rsid w:val="00F44F26"/>
    <w:rsid w:val="00F455C2"/>
    <w:rsid w:val="00F457C3"/>
    <w:rsid w:val="00F45C7C"/>
    <w:rsid w:val="00F45F79"/>
    <w:rsid w:val="00F470C5"/>
    <w:rsid w:val="00F47CAA"/>
    <w:rsid w:val="00F502BA"/>
    <w:rsid w:val="00F5059C"/>
    <w:rsid w:val="00F5362C"/>
    <w:rsid w:val="00F5385D"/>
    <w:rsid w:val="00F538CE"/>
    <w:rsid w:val="00F54811"/>
    <w:rsid w:val="00F573A4"/>
    <w:rsid w:val="00F57711"/>
    <w:rsid w:val="00F6247F"/>
    <w:rsid w:val="00F64960"/>
    <w:rsid w:val="00F65186"/>
    <w:rsid w:val="00F65A4D"/>
    <w:rsid w:val="00F67DD9"/>
    <w:rsid w:val="00F7009B"/>
    <w:rsid w:val="00F70C0E"/>
    <w:rsid w:val="00F7137F"/>
    <w:rsid w:val="00F71B25"/>
    <w:rsid w:val="00F724E2"/>
    <w:rsid w:val="00F73835"/>
    <w:rsid w:val="00F73A5A"/>
    <w:rsid w:val="00F742F9"/>
    <w:rsid w:val="00F75D91"/>
    <w:rsid w:val="00F7764C"/>
    <w:rsid w:val="00F819EA"/>
    <w:rsid w:val="00F82744"/>
    <w:rsid w:val="00F828C2"/>
    <w:rsid w:val="00F82F67"/>
    <w:rsid w:val="00F83463"/>
    <w:rsid w:val="00F8507F"/>
    <w:rsid w:val="00F85329"/>
    <w:rsid w:val="00F864B6"/>
    <w:rsid w:val="00F8693B"/>
    <w:rsid w:val="00F90544"/>
    <w:rsid w:val="00F9421B"/>
    <w:rsid w:val="00F94FF9"/>
    <w:rsid w:val="00F95D36"/>
    <w:rsid w:val="00F9791A"/>
    <w:rsid w:val="00FA008A"/>
    <w:rsid w:val="00FA02D8"/>
    <w:rsid w:val="00FA0BA7"/>
    <w:rsid w:val="00FA0DD9"/>
    <w:rsid w:val="00FA2355"/>
    <w:rsid w:val="00FA2933"/>
    <w:rsid w:val="00FA4B36"/>
    <w:rsid w:val="00FA5990"/>
    <w:rsid w:val="00FA59BC"/>
    <w:rsid w:val="00FA72B1"/>
    <w:rsid w:val="00FB05EA"/>
    <w:rsid w:val="00FB2AE2"/>
    <w:rsid w:val="00FB2CDB"/>
    <w:rsid w:val="00FB3A54"/>
    <w:rsid w:val="00FB43F5"/>
    <w:rsid w:val="00FB71FE"/>
    <w:rsid w:val="00FC3370"/>
    <w:rsid w:val="00FC372B"/>
    <w:rsid w:val="00FC3C0B"/>
    <w:rsid w:val="00FC43F4"/>
    <w:rsid w:val="00FC527B"/>
    <w:rsid w:val="00FC62E0"/>
    <w:rsid w:val="00FD0195"/>
    <w:rsid w:val="00FD0CBE"/>
    <w:rsid w:val="00FD2AD5"/>
    <w:rsid w:val="00FD4657"/>
    <w:rsid w:val="00FD489F"/>
    <w:rsid w:val="00FD6145"/>
    <w:rsid w:val="00FD78CF"/>
    <w:rsid w:val="00FD7E27"/>
    <w:rsid w:val="00FE0CE3"/>
    <w:rsid w:val="00FE18BF"/>
    <w:rsid w:val="00FE21AD"/>
    <w:rsid w:val="00FE3E5B"/>
    <w:rsid w:val="00FE49B3"/>
    <w:rsid w:val="00FE6063"/>
    <w:rsid w:val="00FF1C46"/>
    <w:rsid w:val="00FF388C"/>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962E99"/>
  <w14:defaultImageDpi w14:val="96"/>
  <w15:docId w15:val="{F3E9215B-4CFB-4B32-A729-0EB0AB1D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1">
    <w:name w:val="heading 1"/>
    <w:aliases w:val="Table_G"/>
    <w:basedOn w:val="Normal"/>
    <w:next w:val="Normal"/>
    <w:link w:val="Heading1Char"/>
    <w:uiPriority w:val="9"/>
    <w:qFormat/>
    <w:rsid w:val="000C3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C3123"/>
    <w:pPr>
      <w:spacing w:line="240" w:lineRule="auto"/>
      <w:outlineLvl w:val="1"/>
    </w:pPr>
    <w:rPr>
      <w:spacing w:val="0"/>
      <w:w w:val="100"/>
      <w:kern w:val="0"/>
      <w:lang w:val="fr-CH" w:eastAsia="en-US"/>
    </w:rPr>
  </w:style>
  <w:style w:type="paragraph" w:styleId="Heading3">
    <w:name w:val="heading 3"/>
    <w:basedOn w:val="Normal"/>
    <w:next w:val="Normal"/>
    <w:link w:val="Heading3Char"/>
    <w:uiPriority w:val="9"/>
    <w:qFormat/>
    <w:rsid w:val="000C3123"/>
    <w:pPr>
      <w:spacing w:line="240" w:lineRule="auto"/>
      <w:outlineLvl w:val="2"/>
    </w:pPr>
    <w:rPr>
      <w:spacing w:val="0"/>
      <w:w w:val="100"/>
      <w:kern w:val="0"/>
      <w:lang w:val="fr-CH" w:eastAsia="en-US"/>
    </w:rPr>
  </w:style>
  <w:style w:type="paragraph" w:styleId="Heading4">
    <w:name w:val="heading 4"/>
    <w:basedOn w:val="Normal"/>
    <w:next w:val="Normal"/>
    <w:link w:val="Heading4Char"/>
    <w:semiHidden/>
    <w:qFormat/>
    <w:rsid w:val="000C3123"/>
    <w:pPr>
      <w:spacing w:line="240" w:lineRule="auto"/>
      <w:outlineLvl w:val="3"/>
    </w:pPr>
    <w:rPr>
      <w:spacing w:val="0"/>
      <w:w w:val="100"/>
      <w:kern w:val="0"/>
      <w:lang w:val="fr-CH" w:eastAsia="en-US"/>
    </w:rPr>
  </w:style>
  <w:style w:type="paragraph" w:styleId="Heading5">
    <w:name w:val="heading 5"/>
    <w:basedOn w:val="Normal"/>
    <w:next w:val="Normal"/>
    <w:link w:val="Heading5Char"/>
    <w:semiHidden/>
    <w:qFormat/>
    <w:rsid w:val="000C3123"/>
    <w:pPr>
      <w:spacing w:line="240" w:lineRule="auto"/>
      <w:outlineLvl w:val="4"/>
    </w:pPr>
    <w:rPr>
      <w:spacing w:val="0"/>
      <w:w w:val="100"/>
      <w:kern w:val="0"/>
      <w:lang w:val="fr-CH" w:eastAsia="en-US"/>
    </w:rPr>
  </w:style>
  <w:style w:type="paragraph" w:styleId="Heading6">
    <w:name w:val="heading 6"/>
    <w:basedOn w:val="Normal"/>
    <w:next w:val="Normal"/>
    <w:link w:val="Heading6Char"/>
    <w:semiHidden/>
    <w:qFormat/>
    <w:rsid w:val="000C3123"/>
    <w:pPr>
      <w:spacing w:line="240" w:lineRule="auto"/>
      <w:outlineLvl w:val="5"/>
    </w:pPr>
    <w:rPr>
      <w:spacing w:val="0"/>
      <w:w w:val="100"/>
      <w:kern w:val="0"/>
      <w:lang w:val="fr-CH" w:eastAsia="en-US"/>
    </w:rPr>
  </w:style>
  <w:style w:type="paragraph" w:styleId="Heading7">
    <w:name w:val="heading 7"/>
    <w:basedOn w:val="Normal"/>
    <w:next w:val="Normal"/>
    <w:link w:val="Heading7Char"/>
    <w:semiHidden/>
    <w:unhideWhenUsed/>
    <w:qFormat/>
    <w:rsid w:val="00603BDA"/>
    <w:pPr>
      <w:keepNext/>
      <w:keepLines/>
      <w:numPr>
        <w:ilvl w:val="6"/>
        <w:numId w:val="10"/>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semiHidden/>
    <w:unhideWhenUsed/>
    <w:qFormat/>
    <w:rsid w:val="00603BDA"/>
    <w:pPr>
      <w:keepNext/>
      <w:keepLines/>
      <w:numPr>
        <w:ilvl w:val="7"/>
        <w:numId w:val="10"/>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semiHidden/>
    <w:unhideWhenUsed/>
    <w:qFormat/>
    <w:rsid w:val="00603BDA"/>
    <w:pPr>
      <w:keepNext/>
      <w:keepLines/>
      <w:numPr>
        <w:ilvl w:val="8"/>
        <w:numId w:val="10"/>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0C3123"/>
    <w:rPr>
      <w:rFonts w:asciiTheme="majorHAnsi" w:eastAsiaTheme="majorEastAsia" w:hAnsiTheme="majorHAnsi" w:cstheme="majorBidi"/>
      <w:b/>
      <w:bCs/>
      <w:color w:val="365F91" w:themeColor="accent1" w:themeShade="BF"/>
      <w:spacing w:val="4"/>
      <w:w w:val="103"/>
      <w:kern w:val="14"/>
      <w:sz w:val="28"/>
      <w:szCs w:val="28"/>
      <w:lang w:val="en-GB" w:eastAsia="es-ES"/>
    </w:rPr>
  </w:style>
  <w:style w:type="character" w:customStyle="1" w:styleId="Heading2Char">
    <w:name w:val="Heading 2 Char"/>
    <w:basedOn w:val="DefaultParagraphFont"/>
    <w:link w:val="Heading2"/>
    <w:uiPriority w:val="9"/>
    <w:rsid w:val="000C3123"/>
    <w:rPr>
      <w:lang w:val="fr-CH" w:eastAsia="en-US"/>
    </w:rPr>
  </w:style>
  <w:style w:type="character" w:customStyle="1" w:styleId="Heading3Char">
    <w:name w:val="Heading 3 Char"/>
    <w:basedOn w:val="DefaultParagraphFont"/>
    <w:link w:val="Heading3"/>
    <w:uiPriority w:val="9"/>
    <w:rsid w:val="000C3123"/>
    <w:rPr>
      <w:lang w:val="fr-CH" w:eastAsia="en-US"/>
    </w:rPr>
  </w:style>
  <w:style w:type="character" w:customStyle="1" w:styleId="Heading7Char">
    <w:name w:val="Heading 7 Char"/>
    <w:basedOn w:val="DefaultParagraphFont"/>
    <w:link w:val="Heading7"/>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customStyle="1" w:styleId="SingleTxtChar">
    <w:name w:val="__Single Txt Char"/>
    <w:link w:val="SingleTxt"/>
    <w:locked/>
    <w:rsid w:val="00ED74DD"/>
    <w:rPr>
      <w:spacing w:val="4"/>
      <w:w w:val="103"/>
      <w:kern w:val="14"/>
      <w:lang w:val="en-GB" w:eastAsia="es-ES"/>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styleId="BalloonText">
    <w:name w:val="Balloon Text"/>
    <w:basedOn w:val="Normal"/>
    <w:link w:val="BalloonTextChar"/>
    <w:uiPriority w:val="99"/>
    <w:semiHidden/>
    <w:rPr>
      <w:rFonts w:eastAsia="SimSun"/>
      <w:b/>
      <w:sz w:val="18"/>
      <w:szCs w:val="16"/>
    </w:rPr>
  </w:style>
  <w:style w:type="character" w:customStyle="1" w:styleId="BalloonTextChar">
    <w:name w:val="Balloon Text Char"/>
    <w:basedOn w:val="DefaultParagraphFont"/>
    <w:link w:val="BalloonText"/>
    <w:uiPriority w:val="99"/>
    <w:semiHidden/>
    <w:locked/>
    <w:rPr>
      <w:rFonts w:eastAsia="SimSun"/>
      <w:b/>
      <w:spacing w:val="4"/>
      <w:w w:val="103"/>
      <w:kern w:val="14"/>
      <w:sz w:val="18"/>
      <w:szCs w:val="16"/>
      <w:lang w:val="en-GB" w:eastAsia="es-ES"/>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uiPriority w:val="99"/>
    <w:qFormat/>
    <w:rPr>
      <w:rFonts w:cs="Times New Roman"/>
      <w:color w:val="auto"/>
      <w:spacing w:val="5"/>
      <w:w w:val="103"/>
      <w:kern w:val="14"/>
      <w:position w:val="0"/>
      <w:vertAlign w:val="superscript"/>
    </w:rPr>
  </w:style>
  <w:style w:type="character" w:styleId="EndnoteReference">
    <w:name w:val="endnote reference"/>
    <w:aliases w:val="1_G"/>
    <w:basedOn w:val="DefaultParagraphFont"/>
    <w:qFormat/>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élkövér,Dolt"/>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Dolt Char"/>
    <w:basedOn w:val="DefaultParagraphFont"/>
    <w:link w:val="FootnoteText"/>
    <w:locked/>
    <w:rPr>
      <w:rFonts w:cs="Times New Roman"/>
      <w:spacing w:val="4"/>
      <w:w w:val="103"/>
      <w:kern w:val="14"/>
      <w:lang w:val="en-GB" w:eastAsia="x-none"/>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locked/>
    <w:rPr>
      <w:rFonts w:cs="Times New Roman"/>
      <w:spacing w:val="4"/>
      <w:w w:val="103"/>
      <w:kern w:val="14"/>
      <w:lang w:val="en-GB" w:eastAsia="x-none"/>
    </w:rPr>
  </w:style>
  <w:style w:type="paragraph" w:styleId="Footer">
    <w:name w:val="footer"/>
    <w:aliases w:val="3_G"/>
    <w:basedOn w:val="Normal"/>
    <w:link w:val="FooterChar"/>
    <w:uiPriority w:val="99"/>
    <w:qFormat/>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aliases w:val="3_G Char"/>
    <w:basedOn w:val="DefaultParagraphFont"/>
    <w:link w:val="Footer"/>
    <w:uiPriority w:val="99"/>
    <w:locked/>
    <w:rPr>
      <w:rFonts w:cs="Times New Roman"/>
      <w:spacing w:val="4"/>
      <w:w w:val="103"/>
      <w:kern w:val="14"/>
      <w:lang w:val="en-GB" w:eastAsia="x-none"/>
    </w:rPr>
  </w:style>
  <w:style w:type="paragraph" w:styleId="Header">
    <w:name w:val="header"/>
    <w:aliases w:val="6_G"/>
    <w:basedOn w:val="Normal"/>
    <w:link w:val="HeaderChar"/>
    <w:uiPriority w:val="99"/>
    <w:qFormat/>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aliases w:val="6_G Char"/>
    <w:basedOn w:val="DefaultParagraphFont"/>
    <w:link w:val="Header"/>
    <w:uiPriority w:val="99"/>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3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SingleTxt"/>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spacing w:after="120" w:line="240" w:lineRule="atLeast"/>
      <w:ind w:left="1743" w:right="1267" w:hanging="130"/>
      <w:jc w:val="both"/>
    </w:pPr>
  </w:style>
  <w:style w:type="paragraph" w:customStyle="1" w:styleId="Bullet2">
    <w:name w:val="Bullet 2"/>
    <w:basedOn w:val="Normal"/>
    <w:pPr>
      <w:spacing w:after="120"/>
      <w:ind w:left="2217" w:right="1264" w:hanging="130"/>
      <w:jc w:val="both"/>
    </w:pPr>
  </w:style>
  <w:style w:type="paragraph" w:customStyle="1" w:styleId="Bullet3">
    <w:name w:val="Bullet 3"/>
    <w:basedOn w:val="SingleTxt"/>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rPr>
      <w:rFonts w:eastAsia="SimSun"/>
      <w:sz w:val="18"/>
    </w:rPr>
  </w:style>
  <w:style w:type="character" w:customStyle="1" w:styleId="CommentTextChar">
    <w:name w:val="Comment Text Char"/>
    <w:basedOn w:val="DefaultParagraphFont"/>
    <w:link w:val="CommentText"/>
    <w:uiPriority w:val="99"/>
    <w:semiHidden/>
    <w:locked/>
    <w:rPr>
      <w:rFonts w:eastAsia="SimSun"/>
      <w:spacing w:val="4"/>
      <w:w w:val="103"/>
      <w:kern w:val="14"/>
      <w:sz w:val="18"/>
      <w:lang w:val="en-GB" w:eastAsia="es-ES"/>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SimSun" w:cs="Times New Roman"/>
      <w:b/>
      <w:spacing w:val="4"/>
      <w:w w:val="103"/>
      <w:kern w:val="14"/>
      <w:sz w:val="18"/>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Heading4Char">
    <w:name w:val="Heading 4 Char"/>
    <w:basedOn w:val="DefaultParagraphFont"/>
    <w:link w:val="Heading4"/>
    <w:semiHidden/>
    <w:rsid w:val="000C3123"/>
    <w:rPr>
      <w:lang w:val="fr-CH" w:eastAsia="en-US"/>
    </w:rPr>
  </w:style>
  <w:style w:type="character" w:customStyle="1" w:styleId="Heading5Char">
    <w:name w:val="Heading 5 Char"/>
    <w:basedOn w:val="DefaultParagraphFont"/>
    <w:link w:val="Heading5"/>
    <w:semiHidden/>
    <w:rsid w:val="000C3123"/>
    <w:rPr>
      <w:lang w:val="fr-CH" w:eastAsia="en-US"/>
    </w:rPr>
  </w:style>
  <w:style w:type="character" w:customStyle="1" w:styleId="Heading6Char">
    <w:name w:val="Heading 6 Char"/>
    <w:basedOn w:val="DefaultParagraphFont"/>
    <w:link w:val="Heading6"/>
    <w:semiHidden/>
    <w:rsid w:val="000C3123"/>
    <w:rPr>
      <w:lang w:val="fr-CH" w:eastAsia="en-US"/>
    </w:rPr>
  </w:style>
  <w:style w:type="character" w:styleId="PageNumber">
    <w:name w:val="page number"/>
    <w:aliases w:val="7_G"/>
    <w:basedOn w:val="DefaultParagraphFont"/>
    <w:qFormat/>
    <w:rsid w:val="000C3123"/>
    <w:rPr>
      <w:rFonts w:ascii="Times New Roman" w:hAnsi="Times New Roman"/>
      <w:b/>
      <w:sz w:val="18"/>
    </w:rPr>
  </w:style>
  <w:style w:type="paragraph" w:customStyle="1" w:styleId="XLargeG">
    <w:name w:val="__XLarge_G"/>
    <w:basedOn w:val="Normal"/>
    <w:next w:val="Normal"/>
    <w:rsid w:val="000C3123"/>
    <w:pPr>
      <w:keepNext/>
      <w:keepLines/>
      <w:spacing w:before="240" w:after="240" w:line="420" w:lineRule="exact"/>
      <w:ind w:left="1134" w:right="1134"/>
    </w:pPr>
    <w:rPr>
      <w:b/>
      <w:spacing w:val="0"/>
      <w:w w:val="100"/>
      <w:kern w:val="0"/>
      <w:sz w:val="40"/>
      <w:lang w:val="fr-CH" w:eastAsia="en-US"/>
    </w:rPr>
  </w:style>
  <w:style w:type="paragraph" w:customStyle="1" w:styleId="ParNoG">
    <w:name w:val="_ParNo_G"/>
    <w:basedOn w:val="Normal"/>
    <w:qFormat/>
    <w:rsid w:val="00010A9C"/>
    <w:pPr>
      <w:tabs>
        <w:tab w:val="num" w:pos="1701"/>
      </w:tabs>
      <w:kinsoku w:val="0"/>
      <w:overflowPunct w:val="0"/>
      <w:autoSpaceDE w:val="0"/>
      <w:autoSpaceDN w:val="0"/>
      <w:adjustRightInd w:val="0"/>
      <w:snapToGrid w:val="0"/>
      <w:spacing w:after="120" w:line="240" w:lineRule="atLeast"/>
      <w:ind w:left="1134" w:right="1134"/>
      <w:jc w:val="both"/>
    </w:pPr>
    <w:rPr>
      <w:spacing w:val="0"/>
      <w:w w:val="100"/>
      <w:kern w:val="0"/>
      <w:lang w:val="fr-CH" w:eastAsia="en-US"/>
    </w:rPr>
  </w:style>
  <w:style w:type="paragraph" w:styleId="BodyText">
    <w:name w:val="Body Text"/>
    <w:basedOn w:val="Normal"/>
    <w:link w:val="BodyTextChar"/>
    <w:unhideWhenUsed/>
    <w:rsid w:val="000C3123"/>
    <w:pPr>
      <w:spacing w:after="120" w:line="240" w:lineRule="atLeast"/>
    </w:pPr>
    <w:rPr>
      <w:spacing w:val="0"/>
      <w:w w:val="100"/>
      <w:kern w:val="0"/>
      <w:lang w:val="fr-CH" w:eastAsia="en-US"/>
    </w:rPr>
  </w:style>
  <w:style w:type="character" w:customStyle="1" w:styleId="BodyTextChar">
    <w:name w:val="Body Text Char"/>
    <w:basedOn w:val="DefaultParagraphFont"/>
    <w:link w:val="BodyText"/>
    <w:rsid w:val="000C3123"/>
    <w:rPr>
      <w:lang w:val="fr-CH" w:eastAsia="en-US"/>
    </w:rPr>
  </w:style>
  <w:style w:type="character" w:customStyle="1" w:styleId="fullarticletexte1">
    <w:name w:val="fullarticletexte1"/>
    <w:rsid w:val="000C3123"/>
    <w:rPr>
      <w:rFonts w:ascii="Arial" w:hAnsi="Arial" w:cs="Arial" w:hint="default"/>
      <w:b w:val="0"/>
      <w:bCs w:val="0"/>
      <w:sz w:val="20"/>
      <w:szCs w:val="20"/>
    </w:rPr>
  </w:style>
  <w:style w:type="paragraph" w:styleId="NoSpacing">
    <w:name w:val="No Spacing"/>
    <w:link w:val="NoSpacingChar"/>
    <w:uiPriority w:val="1"/>
    <w:qFormat/>
    <w:rsid w:val="000C3123"/>
    <w:rPr>
      <w:rFonts w:ascii="Calibri" w:hAnsi="Calibri"/>
      <w:sz w:val="22"/>
      <w:szCs w:val="22"/>
      <w:lang w:val="fr-FR" w:eastAsia="fr-FR"/>
    </w:rPr>
  </w:style>
  <w:style w:type="character" w:customStyle="1" w:styleId="NoSpacingChar">
    <w:name w:val="No Spacing Char"/>
    <w:link w:val="NoSpacing"/>
    <w:uiPriority w:val="1"/>
    <w:rsid w:val="000C3123"/>
    <w:rPr>
      <w:rFonts w:ascii="Calibri" w:hAnsi="Calibri"/>
      <w:sz w:val="22"/>
      <w:szCs w:val="22"/>
      <w:lang w:val="fr-FR" w:eastAsia="fr-FR"/>
    </w:rPr>
  </w:style>
  <w:style w:type="character" w:customStyle="1" w:styleId="apple-converted-space">
    <w:name w:val="apple-converted-space"/>
    <w:basedOn w:val="DefaultParagraphFont"/>
    <w:rsid w:val="000C3123"/>
  </w:style>
  <w:style w:type="paragraph" w:customStyle="1" w:styleId="align-justify">
    <w:name w:val="align-justify"/>
    <w:basedOn w:val="Normal"/>
    <w:rsid w:val="000C3123"/>
    <w:pPr>
      <w:suppressAutoHyphens w:val="0"/>
      <w:spacing w:before="100" w:beforeAutospacing="1" w:after="100" w:afterAutospacing="1" w:line="240" w:lineRule="auto"/>
    </w:pPr>
    <w:rPr>
      <w:spacing w:val="0"/>
      <w:w w:val="100"/>
      <w:kern w:val="0"/>
      <w:sz w:val="24"/>
      <w:szCs w:val="24"/>
      <w:lang w:val="fr-FR" w:eastAsia="fr-FR"/>
    </w:rPr>
  </w:style>
  <w:style w:type="character" w:styleId="Strong">
    <w:name w:val="Strong"/>
    <w:uiPriority w:val="22"/>
    <w:qFormat/>
    <w:rsid w:val="000C3123"/>
    <w:rPr>
      <w:b/>
      <w:bCs/>
    </w:rPr>
  </w:style>
  <w:style w:type="character" w:styleId="Emphasis">
    <w:name w:val="Emphasis"/>
    <w:uiPriority w:val="20"/>
    <w:qFormat/>
    <w:rsid w:val="000C3123"/>
    <w:rPr>
      <w:i/>
      <w:iCs/>
    </w:rPr>
  </w:style>
  <w:style w:type="paragraph" w:customStyle="1" w:styleId="Default">
    <w:name w:val="Default"/>
    <w:rsid w:val="000C3123"/>
    <w:pPr>
      <w:autoSpaceDE w:val="0"/>
      <w:autoSpaceDN w:val="0"/>
      <w:adjustRightInd w:val="0"/>
    </w:pPr>
    <w:rPr>
      <w:rFonts w:ascii="Calibri" w:eastAsia="Calibri" w:hAnsi="Calibri" w:cs="Calibri"/>
      <w:color w:val="000000"/>
      <w:sz w:val="24"/>
      <w:szCs w:val="24"/>
      <w:lang w:val="fr-FR" w:eastAsia="en-US"/>
    </w:rPr>
  </w:style>
  <w:style w:type="paragraph" w:customStyle="1" w:styleId="MediumGrid21">
    <w:name w:val="Medium Grid 21"/>
    <w:uiPriority w:val="1"/>
    <w:qFormat/>
    <w:rsid w:val="000C3123"/>
    <w:rPr>
      <w:rFonts w:ascii="Calibri" w:eastAsia="Calibri" w:hAnsi="Calibri"/>
      <w:sz w:val="22"/>
      <w:szCs w:val="22"/>
      <w:lang w:val="fr-FR" w:eastAsia="en-US"/>
    </w:rPr>
  </w:style>
  <w:style w:type="paragraph" w:customStyle="1" w:styleId="Standard">
    <w:name w:val="Standard"/>
    <w:autoRedefine/>
    <w:rsid w:val="000C3123"/>
    <w:pPr>
      <w:jc w:val="both"/>
    </w:pPr>
    <w:rPr>
      <w:rFonts w:ascii="Calibri" w:eastAsia="ヒラギノ角ゴ Pro W3" w:hAnsi="Calibri"/>
      <w:color w:val="000000"/>
      <w:kern w:val="1"/>
      <w:sz w:val="16"/>
      <w:szCs w:val="16"/>
      <w:lang w:val="fr-FR" w:eastAsia="fr-FR"/>
    </w:rPr>
  </w:style>
  <w:style w:type="character" w:customStyle="1" w:styleId="fontarticlemaintitle1">
    <w:name w:val="fontarticlemaintitle1"/>
    <w:rsid w:val="000C3123"/>
    <w:rPr>
      <w:rFonts w:ascii="Trebuchet MS" w:hAnsi="Trebuchet MS" w:hint="default"/>
      <w:b/>
      <w:bCs/>
      <w:i w:val="0"/>
      <w:iCs w:val="0"/>
      <w:caps w:val="0"/>
      <w:smallCaps w:val="0"/>
      <w:sz w:val="30"/>
      <w:szCs w:val="30"/>
    </w:rPr>
  </w:style>
  <w:style w:type="paragraph" w:styleId="Title">
    <w:name w:val="Title"/>
    <w:basedOn w:val="Normal"/>
    <w:link w:val="TitleChar"/>
    <w:uiPriority w:val="10"/>
    <w:qFormat/>
    <w:rsid w:val="000C3123"/>
    <w:pPr>
      <w:widowControl w:val="0"/>
      <w:pBdr>
        <w:top w:val="single" w:sz="8" w:space="6" w:color="1C5840"/>
        <w:bottom w:val="single" w:sz="8" w:space="6" w:color="1C5840"/>
        <w:between w:val="single" w:sz="8" w:space="6" w:color="1C5840"/>
      </w:pBdr>
      <w:suppressAutoHyphens w:val="0"/>
      <w:spacing w:before="240" w:line="240" w:lineRule="auto"/>
      <w:ind w:left="1134" w:right="1134"/>
      <w:jc w:val="center"/>
    </w:pPr>
    <w:rPr>
      <w:rFonts w:ascii="Verdana" w:hAnsi="Verdana"/>
      <w:b/>
      <w:smallCaps/>
      <w:color w:val="1C5840"/>
      <w:spacing w:val="0"/>
      <w:w w:val="100"/>
      <w:kern w:val="0"/>
      <w:sz w:val="40"/>
      <w:szCs w:val="40"/>
      <w:lang w:val="fr-FR" w:eastAsia="fr-FR"/>
    </w:rPr>
  </w:style>
  <w:style w:type="character" w:customStyle="1" w:styleId="TitleChar">
    <w:name w:val="Title Char"/>
    <w:basedOn w:val="DefaultParagraphFont"/>
    <w:link w:val="Title"/>
    <w:uiPriority w:val="10"/>
    <w:rsid w:val="000C3123"/>
    <w:rPr>
      <w:rFonts w:ascii="Verdana" w:hAnsi="Verdana"/>
      <w:b/>
      <w:smallCaps/>
      <w:color w:val="1C5840"/>
      <w:sz w:val="40"/>
      <w:szCs w:val="40"/>
      <w:lang w:val="fr-FR" w:eastAsia="fr-FR"/>
    </w:rPr>
  </w:style>
  <w:style w:type="character" w:customStyle="1" w:styleId="st1">
    <w:name w:val="st1"/>
    <w:rsid w:val="000C3123"/>
  </w:style>
  <w:style w:type="paragraph" w:styleId="NormalWeb">
    <w:name w:val="Normal (Web)"/>
    <w:basedOn w:val="Normal"/>
    <w:uiPriority w:val="99"/>
    <w:unhideWhenUsed/>
    <w:rsid w:val="000C3123"/>
    <w:pPr>
      <w:suppressAutoHyphens w:val="0"/>
      <w:spacing w:before="100" w:beforeAutospacing="1" w:after="100" w:afterAutospacing="1" w:line="240" w:lineRule="auto"/>
    </w:pPr>
    <w:rPr>
      <w:spacing w:val="0"/>
      <w:w w:val="100"/>
      <w:kern w:val="0"/>
      <w:sz w:val="24"/>
      <w:szCs w:val="24"/>
      <w:lang w:val="fr-FR" w:eastAsia="fr-FR"/>
    </w:rPr>
  </w:style>
  <w:style w:type="character" w:customStyle="1" w:styleId="tgc">
    <w:name w:val="_tgc"/>
    <w:rsid w:val="000C3123"/>
  </w:style>
  <w:style w:type="character" w:styleId="UnresolvedMention">
    <w:name w:val="Unresolved Mention"/>
    <w:basedOn w:val="DefaultParagraphFont"/>
    <w:uiPriority w:val="99"/>
    <w:semiHidden/>
    <w:unhideWhenUsed/>
    <w:rsid w:val="00A50CED"/>
    <w:rPr>
      <w:color w:val="808080"/>
      <w:shd w:val="clear" w:color="auto" w:fill="E6E6E6"/>
    </w:rPr>
  </w:style>
  <w:style w:type="character" w:styleId="PlaceholderText">
    <w:name w:val="Placeholder Text"/>
    <w:basedOn w:val="DefaultParagraphFont"/>
    <w:uiPriority w:val="99"/>
    <w:semiHidden/>
    <w:rsid w:val="00347604"/>
    <w:rPr>
      <w:color w:val="808080"/>
    </w:rPr>
  </w:style>
  <w:style w:type="paragraph" w:styleId="Revision">
    <w:name w:val="Revision"/>
    <w:hidden/>
    <w:uiPriority w:val="99"/>
    <w:semiHidden/>
    <w:rsid w:val="00E7328E"/>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sp/A/RES/54/67" TargetMode="External"/><Relationship Id="rId21" Type="http://schemas.openxmlformats.org/officeDocument/2006/relationships/hyperlink" Target="https://undocs.org/es/CEDAW/C/CIV/CO/1-3" TargetMode="External"/><Relationship Id="rId42" Type="http://schemas.openxmlformats.org/officeDocument/2006/relationships/hyperlink" Target="https://undocs.org/es/A/RES/67/146" TargetMode="External"/><Relationship Id="rId47" Type="http://schemas.openxmlformats.org/officeDocument/2006/relationships/hyperlink" Target="https://undocs.org/es/CEDAW/C/CIV/CO/1-3" TargetMode="External"/><Relationship Id="rId63" Type="http://schemas.openxmlformats.org/officeDocument/2006/relationships/hyperlink" Target="https://undocs.org/es/CEDAW/C/CIV/CO/1-3" TargetMode="External"/><Relationship Id="rId68" Type="http://schemas.openxmlformats.org/officeDocument/2006/relationships/hyperlink" Target="https://undocs.org/es/CEDAW/C/CIV/CO/1-3" TargetMode="External"/><Relationship Id="rId84" Type="http://schemas.openxmlformats.org/officeDocument/2006/relationships/image" Target="media/image5.png"/><Relationship Id="rId89" Type="http://schemas.openxmlformats.org/officeDocument/2006/relationships/hyperlink" Target="https://undocs.org/es/CEDAW/C/CIV/CO/1-3" TargetMode="External"/><Relationship Id="rId7" Type="http://schemas.openxmlformats.org/officeDocument/2006/relationships/endnotes" Target="endnotes.xml"/><Relationship Id="rId71" Type="http://schemas.openxmlformats.org/officeDocument/2006/relationships/image" Target="media/image4.png"/><Relationship Id="rId92" Type="http://schemas.openxmlformats.org/officeDocument/2006/relationships/hyperlink" Target="https://undocs.org/es/CEDAW/C/CIV/CO/1-3" TargetMode="External"/><Relationship Id="rId2" Type="http://schemas.openxmlformats.org/officeDocument/2006/relationships/numbering" Target="numbering.xml"/><Relationship Id="rId16" Type="http://schemas.openxmlformats.org/officeDocument/2006/relationships/hyperlink" Target="https://undocs.org/es/CEDAW/C/CIV/CO/1-3" TargetMode="External"/><Relationship Id="rId29" Type="http://schemas.openxmlformats.org/officeDocument/2006/relationships/hyperlink" Target="https://undocs.org/es/CEDAW/C/CIV/CO/1-3" TargetMode="External"/><Relationship Id="rId11" Type="http://schemas.openxmlformats.org/officeDocument/2006/relationships/header" Target="header2.xml"/><Relationship Id="rId24" Type="http://schemas.openxmlformats.org/officeDocument/2006/relationships/hyperlink" Target="https://undocs.org/es/CEDAW/C/CIV/CO/1-3" TargetMode="External"/><Relationship Id="rId32" Type="http://schemas.openxmlformats.org/officeDocument/2006/relationships/hyperlink" Target="https://undocs.org/es/CEDAW/C/CIV/CO/1-3" TargetMode="External"/><Relationship Id="rId37" Type="http://schemas.openxmlformats.org/officeDocument/2006/relationships/hyperlink" Target="https://undocs.org/es/CEDAW/C/CIV/CO/1-3" TargetMode="External"/><Relationship Id="rId40" Type="http://schemas.openxmlformats.org/officeDocument/2006/relationships/hyperlink" Target="https://undocs.org/es/CEDAW/C/CIV/CO/1-3" TargetMode="External"/><Relationship Id="rId45" Type="http://schemas.openxmlformats.org/officeDocument/2006/relationships/hyperlink" Target="https://undocs.org/es/CEDAW/C/CIV/CO/1-3" TargetMode="External"/><Relationship Id="rId53" Type="http://schemas.openxmlformats.org/officeDocument/2006/relationships/hyperlink" Target="https://undocs.org/es/CEDAW/C/CIV/CO/1-3" TargetMode="External"/><Relationship Id="rId58" Type="http://schemas.openxmlformats.org/officeDocument/2006/relationships/hyperlink" Target="https://undocs.org/es/CEDAW/C/CIV/CO/1-3" TargetMode="External"/><Relationship Id="rId66" Type="http://schemas.openxmlformats.org/officeDocument/2006/relationships/hyperlink" Target="https://undocs.org/es/CEDAW/C/CIV/CO/1-3" TargetMode="External"/><Relationship Id="rId74" Type="http://schemas.openxmlformats.org/officeDocument/2006/relationships/hyperlink" Target="https://undocs.org/es/CEDAW/C/CIV/CO/1-3" TargetMode="External"/><Relationship Id="rId79" Type="http://schemas.openxmlformats.org/officeDocument/2006/relationships/hyperlink" Target="https://undocs.org/es/CEDAW/C/CIV/CO/1-3" TargetMode="External"/><Relationship Id="rId87" Type="http://schemas.openxmlformats.org/officeDocument/2006/relationships/hyperlink" Target="https://undocs.org/es/CEDAW/C/CIV/CO/1-3"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ndocs.org/es/CEDAW/C/CIV/CO/1-3" TargetMode="External"/><Relationship Id="rId82" Type="http://schemas.openxmlformats.org/officeDocument/2006/relationships/hyperlink" Target="https://undocs.org/es/CEDAW/C/CIV/CO/1-3" TargetMode="External"/><Relationship Id="rId90" Type="http://schemas.openxmlformats.org/officeDocument/2006/relationships/hyperlink" Target="https://undocs.org/es/CEDAW/C/CIV/CO/1-3" TargetMode="External"/><Relationship Id="rId95" Type="http://schemas.openxmlformats.org/officeDocument/2006/relationships/hyperlink" Target="https://undocs.org/es/CEDAW/C/CIV/CO/1-3" TargetMode="External"/><Relationship Id="rId19" Type="http://schemas.openxmlformats.org/officeDocument/2006/relationships/hyperlink" Target="https://undocs.org/es/CEDAW/C/CIV/CO/1-3" TargetMode="External"/><Relationship Id="rId14" Type="http://schemas.openxmlformats.org/officeDocument/2006/relationships/header" Target="header3.xml"/><Relationship Id="rId22" Type="http://schemas.openxmlformats.org/officeDocument/2006/relationships/hyperlink" Target="https://undocs.org/es/CEDAW/C/CIV/CO/1-3" TargetMode="External"/><Relationship Id="rId27" Type="http://schemas.openxmlformats.org/officeDocument/2006/relationships/hyperlink" Target="https://undocs.org/es/CEDAW/C/CIV/CO/1-3" TargetMode="External"/><Relationship Id="rId30" Type="http://schemas.openxmlformats.org/officeDocument/2006/relationships/hyperlink" Target="https://undocs.org/es/CEDAW/C/CIV/CO/1-3" TargetMode="External"/><Relationship Id="rId35" Type="http://schemas.openxmlformats.org/officeDocument/2006/relationships/hyperlink" Target="https://undocs.org/es/CEDAW/C/CIV/CO/1-3" TargetMode="External"/><Relationship Id="rId43" Type="http://schemas.openxmlformats.org/officeDocument/2006/relationships/hyperlink" Target="https://undocs.org/es/CEDAW/C/CIV/CO/1-3" TargetMode="External"/><Relationship Id="rId48" Type="http://schemas.openxmlformats.org/officeDocument/2006/relationships/hyperlink" Target="https://undocs.org/es/CEDAW/C/CIV/CO/1-3" TargetMode="External"/><Relationship Id="rId56" Type="http://schemas.openxmlformats.org/officeDocument/2006/relationships/hyperlink" Target="https://undocs.org/es/CEDAW/C/CIV/CO/1-3" TargetMode="External"/><Relationship Id="rId64" Type="http://schemas.openxmlformats.org/officeDocument/2006/relationships/hyperlink" Target="https://undocs.org/es/CEDAW/C/CIV/CO/1-3" TargetMode="External"/><Relationship Id="rId69" Type="http://schemas.openxmlformats.org/officeDocument/2006/relationships/hyperlink" Target="https://undocs.org/es/CEDAW/C/CIV/CO/1-3" TargetMode="External"/><Relationship Id="rId77" Type="http://schemas.openxmlformats.org/officeDocument/2006/relationships/hyperlink" Target="https://undocs.org/es/CEDAW/C/CIV/CO/1-3" TargetMode="External"/><Relationship Id="rId100" Type="http://schemas.openxmlformats.org/officeDocument/2006/relationships/hyperlink" Target="https://undocs.org/es/CEDAW/C/CIV/CO/1-3" TargetMode="External"/><Relationship Id="rId8" Type="http://schemas.openxmlformats.org/officeDocument/2006/relationships/comments" Target="comments.xml"/><Relationship Id="rId51" Type="http://schemas.openxmlformats.org/officeDocument/2006/relationships/hyperlink" Target="https://undocs.org/es/CEDAW/C/CIV/CO/1-3" TargetMode="External"/><Relationship Id="rId72" Type="http://schemas.openxmlformats.org/officeDocument/2006/relationships/hyperlink" Target="https://undocs.org/es/CEDAW/C/CIV/CO/1-3" TargetMode="External"/><Relationship Id="rId80" Type="http://schemas.openxmlformats.org/officeDocument/2006/relationships/hyperlink" Target="https://undocs.org/es/CEDAW/C/CIV/CO/1-3" TargetMode="External"/><Relationship Id="rId85" Type="http://schemas.openxmlformats.org/officeDocument/2006/relationships/hyperlink" Target="https://undocs.org/es/CEDAW/C/CIV/CO/1-3" TargetMode="External"/><Relationship Id="rId93" Type="http://schemas.openxmlformats.org/officeDocument/2006/relationships/hyperlink" Target="https://undocs.org/es/CEDAW/C/CIV/CO/1-3" TargetMode="External"/><Relationship Id="rId98" Type="http://schemas.openxmlformats.org/officeDocument/2006/relationships/hyperlink" Target="https://undocs.org/es/CEDAW/C/CIV/CO/1-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undocs.org/es/CEDAW/C/CIV/CO/1-3" TargetMode="External"/><Relationship Id="rId25" Type="http://schemas.openxmlformats.org/officeDocument/2006/relationships/hyperlink" Target="https://undocs.org/sp/A/RES/67/70" TargetMode="External"/><Relationship Id="rId33" Type="http://schemas.openxmlformats.org/officeDocument/2006/relationships/hyperlink" Target="https://undocs.org/es/CEDAW/C/CIV/CO/1-3" TargetMode="External"/><Relationship Id="rId38" Type="http://schemas.openxmlformats.org/officeDocument/2006/relationships/hyperlink" Target="https://undocs.org/es/CEDAW/C/CIV/CO/1-3" TargetMode="External"/><Relationship Id="rId46" Type="http://schemas.openxmlformats.org/officeDocument/2006/relationships/hyperlink" Target="https://undocs.org/es/CEDAW/C/CIV/CO/1-3" TargetMode="External"/><Relationship Id="rId59" Type="http://schemas.openxmlformats.org/officeDocument/2006/relationships/hyperlink" Target="https://undocs.org/es/CEDAW/C/CIV/CO/1-3" TargetMode="External"/><Relationship Id="rId67" Type="http://schemas.openxmlformats.org/officeDocument/2006/relationships/hyperlink" Target="https://undocs.org/es/CEDAW/C/CIV/CO/1-3" TargetMode="External"/><Relationship Id="rId103" Type="http://schemas.openxmlformats.org/officeDocument/2006/relationships/theme" Target="theme/theme1.xml"/><Relationship Id="rId20" Type="http://schemas.openxmlformats.org/officeDocument/2006/relationships/hyperlink" Target="https://undocs.org/es/CEDAW/C/CIV/CO/1-3" TargetMode="External"/><Relationship Id="rId41" Type="http://schemas.openxmlformats.org/officeDocument/2006/relationships/hyperlink" Target="https://undocs.org/es/CEDAW/C/CIV/CO/1-3" TargetMode="External"/><Relationship Id="rId54" Type="http://schemas.openxmlformats.org/officeDocument/2006/relationships/hyperlink" Target="https://undocs.org/es/CEDAW/C/CIV/CO/1-3" TargetMode="External"/><Relationship Id="rId62" Type="http://schemas.openxmlformats.org/officeDocument/2006/relationships/hyperlink" Target="https://undocs.org/es/CEDAW/C/CIV/CO/1-3" TargetMode="External"/><Relationship Id="rId70" Type="http://schemas.openxmlformats.org/officeDocument/2006/relationships/hyperlink" Target="https://undocs.org/es/CEDAW/C/CIV/CO/1-3" TargetMode="External"/><Relationship Id="rId75" Type="http://schemas.openxmlformats.org/officeDocument/2006/relationships/hyperlink" Target="https://undocs.org/es/CEDAW/C/CIV/CO/1-3" TargetMode="External"/><Relationship Id="rId83" Type="http://schemas.openxmlformats.org/officeDocument/2006/relationships/hyperlink" Target="https://undocs.org/es/CEDAW/C/CIV/CO/1-3" TargetMode="External"/><Relationship Id="rId88" Type="http://schemas.openxmlformats.org/officeDocument/2006/relationships/hyperlink" Target="https://undocs.org/es/CEDAW/C/CIV/CO/1-3" TargetMode="External"/><Relationship Id="rId91" Type="http://schemas.openxmlformats.org/officeDocument/2006/relationships/hyperlink" Target="https://undocs.org/es/CEDAW/C/CIV/CO/1-3" TargetMode="External"/><Relationship Id="rId96" Type="http://schemas.openxmlformats.org/officeDocument/2006/relationships/hyperlink" Target="https://undocs.org/es/CEDAW/C/CIV/CO/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undocs.org/es/CEDAW/C/CIV/CO/1-3" TargetMode="External"/><Relationship Id="rId28" Type="http://schemas.openxmlformats.org/officeDocument/2006/relationships/hyperlink" Target="https://undocs.org/es/CEDAW/C/CIV/CO/1-3" TargetMode="External"/><Relationship Id="rId36" Type="http://schemas.openxmlformats.org/officeDocument/2006/relationships/hyperlink" Target="https://undocs.org/es/CEDAW/C/CIV/CO/1-3" TargetMode="External"/><Relationship Id="rId49" Type="http://schemas.openxmlformats.org/officeDocument/2006/relationships/hyperlink" Target="https://undocs.org/es/CEDAW/C/CIV/CO/1-3" TargetMode="External"/><Relationship Id="rId57" Type="http://schemas.openxmlformats.org/officeDocument/2006/relationships/hyperlink" Target="https://undocs.org/es/CEDAW/C/CIV/CO/1-3" TargetMode="External"/><Relationship Id="rId10" Type="http://schemas.openxmlformats.org/officeDocument/2006/relationships/header" Target="header1.xml"/><Relationship Id="rId31" Type="http://schemas.openxmlformats.org/officeDocument/2006/relationships/hyperlink" Target="https://undocs.org/es/CEDAW/C/CIV/CO/1-3" TargetMode="External"/><Relationship Id="rId44" Type="http://schemas.openxmlformats.org/officeDocument/2006/relationships/hyperlink" Target="https://undocs.org/es/CEDAW/C/CIV/CO/1-3" TargetMode="External"/><Relationship Id="rId52" Type="http://schemas.openxmlformats.org/officeDocument/2006/relationships/hyperlink" Target="https://undocs.org/es/CEDAW/C/CIV/CO/1-3" TargetMode="External"/><Relationship Id="rId60" Type="http://schemas.openxmlformats.org/officeDocument/2006/relationships/hyperlink" Target="https://undocs.org/es/CEDAW/C/CIV/CO/1-3" TargetMode="External"/><Relationship Id="rId65" Type="http://schemas.openxmlformats.org/officeDocument/2006/relationships/hyperlink" Target="https://undocs.org/es/CEDAW/C/CIV/CO/1-3" TargetMode="External"/><Relationship Id="rId73" Type="http://schemas.openxmlformats.org/officeDocument/2006/relationships/hyperlink" Target="https://undocs.org/es/CEDAW/C/CIV/CO/1-3" TargetMode="External"/><Relationship Id="rId78" Type="http://schemas.openxmlformats.org/officeDocument/2006/relationships/hyperlink" Target="https://undocs.org/es/CEDAW/C/CIV/CO/1-3" TargetMode="External"/><Relationship Id="rId81" Type="http://schemas.openxmlformats.org/officeDocument/2006/relationships/hyperlink" Target="https://undocs.org/es/CEDAW/C/CIV/CO/1-3" TargetMode="External"/><Relationship Id="rId86" Type="http://schemas.openxmlformats.org/officeDocument/2006/relationships/hyperlink" Target="https://undocs.org/es/CEDAW/C/CIV/CO/1-3" TargetMode="External"/><Relationship Id="rId94" Type="http://schemas.openxmlformats.org/officeDocument/2006/relationships/hyperlink" Target="https://undocs.org/es/CEDAW/C/CIV/CO/1-3" TargetMode="External"/><Relationship Id="rId99" Type="http://schemas.openxmlformats.org/officeDocument/2006/relationships/hyperlink" Target="https://undocs.org/es/CEDAW/C/CIV/CO/1-3" TargetMode="External"/><Relationship Id="rId101" Type="http://schemas.openxmlformats.org/officeDocument/2006/relationships/hyperlink" Target="https://undocs.org/es/CEDAW/C/CIV/CO/1-3" TargetMode="Externa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yperlink" Target="https://undocs.org/es/CEDAW/C/CIV/CO/1-3" TargetMode="External"/><Relationship Id="rId39" Type="http://schemas.openxmlformats.org/officeDocument/2006/relationships/hyperlink" Target="https://undocs.org/es/CEDAW/C/CIV/CO/1-3" TargetMode="External"/><Relationship Id="rId34" Type="http://schemas.openxmlformats.org/officeDocument/2006/relationships/hyperlink" Target="https://undocs.org/es/CEDAW/C/CIV/CO/1-3" TargetMode="External"/><Relationship Id="rId50" Type="http://schemas.openxmlformats.org/officeDocument/2006/relationships/hyperlink" Target="https://undocs.org/sp/S/RES/1960(2010)" TargetMode="External"/><Relationship Id="rId55" Type="http://schemas.openxmlformats.org/officeDocument/2006/relationships/hyperlink" Target="https://undocs.org/es/CEDAW/C/CIV/CO/1-3" TargetMode="External"/><Relationship Id="rId76" Type="http://schemas.openxmlformats.org/officeDocument/2006/relationships/hyperlink" Target="https://undocs.org/es/CEDAW/C/CIV/CO/1-3" TargetMode="External"/><Relationship Id="rId97" Type="http://schemas.openxmlformats.org/officeDocument/2006/relationships/hyperlink" Target="https://undocs.org/es/CEDAW/C/CIV/CO/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S/RES/1960(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69EA-1601-4CDC-8CA3-B97514DC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20528</Words>
  <Characters>110708</Characters>
  <Application>Microsoft Office Word</Application>
  <DocSecurity>0</DocSecurity>
  <Lines>922</Lines>
  <Paragraphs>261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Reviser</dc:creator>
  <cp:lastModifiedBy>Maria Cristina Arias-bal</cp:lastModifiedBy>
  <cp:revision>2</cp:revision>
  <cp:lastPrinted>2018-10-08T16:34:00Z</cp:lastPrinted>
  <dcterms:created xsi:type="dcterms:W3CDTF">2018-10-08T17:10:00Z</dcterms:created>
  <dcterms:modified xsi:type="dcterms:W3CDTF">2018-10-08T17:10:00Z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1811484S</vt:lpwstr>
  </property>
  <property fmtid="{D5CDD505-2E9C-101B-9397-08002B2CF9AE}" pid="3" name="ODSRefJobNo">
    <vt:lpwstr>1821959S</vt:lpwstr>
  </property>
  <property fmtid="{D5CDD505-2E9C-101B-9397-08002B2CF9AE}" pid="4" name="Symbol1">
    <vt:lpwstr>CEDAW/C/CIV/4</vt:lpwstr>
  </property>
  <property fmtid="{D5CDD505-2E9C-101B-9397-08002B2CF9AE}" pid="5" name="Symbol2">
    <vt:lpwstr/>
  </property>
  <property fmtid="{D5CDD505-2E9C-101B-9397-08002B2CF9AE}" pid="6" name="Category">
    <vt:lpwstr>Document</vt:lpwstr>
  </property>
  <property fmtid="{D5CDD505-2E9C-101B-9397-08002B2CF9AE}" pid="7" name="Original">
    <vt:lpwstr>francés</vt:lpwstr>
  </property>
  <property fmtid="{D5CDD505-2E9C-101B-9397-08002B2CF9AE}" pid="8" name="Title1">
    <vt:lpwstr>		Cuarto informe periódico presentado por Côte d’Ivoire en virtud del artículo 18 de la Convención, que debía presentarse en 2015*_x000d_</vt:lpwstr>
  </property>
</Properties>
</file>