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6AF0" w14:textId="77777777" w:rsidR="00637F34" w:rsidRDefault="00637F34" w:rsidP="00637F34">
      <w:pPr>
        <w:spacing w:line="240" w:lineRule="auto"/>
        <w:rPr>
          <w:sz w:val="2"/>
        </w:rPr>
        <w:sectPr w:rsidR="00637F34" w:rsidSect="00B5002C">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49B603FE" w14:textId="17AF3567" w:rsidR="00B5002C" w:rsidRPr="00B5002C" w:rsidRDefault="00B5002C" w:rsidP="002C4B1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5002C">
        <w:rPr>
          <w:lang w:val="fr-FR"/>
        </w:rPr>
        <w:t>Comité pour l</w:t>
      </w:r>
      <w:r w:rsidR="000C16F5">
        <w:rPr>
          <w:lang w:val="fr-FR"/>
        </w:rPr>
        <w:t>’</w:t>
      </w:r>
      <w:r w:rsidRPr="00B5002C">
        <w:rPr>
          <w:lang w:val="fr-FR"/>
        </w:rPr>
        <w:t xml:space="preserve">élimination de la discrimination </w:t>
      </w:r>
      <w:r w:rsidR="002C4B1B">
        <w:rPr>
          <w:lang w:val="fr-FR"/>
        </w:rPr>
        <w:br/>
      </w:r>
      <w:r w:rsidRPr="00B5002C">
        <w:rPr>
          <w:lang w:val="fr-FR"/>
        </w:rPr>
        <w:t>à l</w:t>
      </w:r>
      <w:r w:rsidR="000C16F5">
        <w:rPr>
          <w:lang w:val="fr-FR"/>
        </w:rPr>
        <w:t>’</w:t>
      </w:r>
      <w:r w:rsidRPr="00B5002C">
        <w:rPr>
          <w:lang w:val="fr-FR"/>
        </w:rPr>
        <w:t>égard des femmes</w:t>
      </w:r>
    </w:p>
    <w:p w14:paraId="6EFFE2B7" w14:textId="77777777" w:rsidR="00B5002C" w:rsidRPr="00B5002C" w:rsidRDefault="00B5002C" w:rsidP="00B5002C">
      <w:pPr>
        <w:pStyle w:val="SingleTxt"/>
        <w:spacing w:after="0" w:line="120" w:lineRule="exact"/>
        <w:rPr>
          <w:b/>
          <w:sz w:val="10"/>
          <w:lang w:val="fr-FR"/>
        </w:rPr>
      </w:pPr>
    </w:p>
    <w:p w14:paraId="250B9711" w14:textId="77777777" w:rsidR="00B5002C" w:rsidRPr="00B5002C" w:rsidRDefault="00B5002C" w:rsidP="00B5002C">
      <w:pPr>
        <w:pStyle w:val="SingleTxt"/>
        <w:spacing w:after="0" w:line="120" w:lineRule="exact"/>
        <w:rPr>
          <w:b/>
          <w:sz w:val="10"/>
          <w:lang w:val="fr-FR"/>
        </w:rPr>
      </w:pPr>
    </w:p>
    <w:p w14:paraId="05A8F047" w14:textId="77777777" w:rsidR="00B5002C" w:rsidRPr="00B5002C" w:rsidRDefault="00B5002C" w:rsidP="00B5002C">
      <w:pPr>
        <w:pStyle w:val="SingleTxt"/>
        <w:spacing w:after="0" w:line="120" w:lineRule="exact"/>
        <w:rPr>
          <w:b/>
          <w:sz w:val="10"/>
          <w:lang w:val="fr-FR"/>
        </w:rPr>
      </w:pPr>
    </w:p>
    <w:p w14:paraId="66C3F7BF" w14:textId="3577E4E6" w:rsidR="00B5002C" w:rsidRPr="00B5002C" w:rsidRDefault="00B5002C" w:rsidP="00B5002C">
      <w:pPr>
        <w:pStyle w:val="TitleHCH"/>
        <w:ind w:right="1260"/>
        <w:rPr>
          <w:lang w:val="fr-FR"/>
        </w:rPr>
      </w:pPr>
      <w:r w:rsidRPr="00B5002C">
        <w:rPr>
          <w:lang w:val="fr-FR"/>
        </w:rPr>
        <w:tab/>
      </w:r>
      <w:r w:rsidRPr="00B5002C">
        <w:rPr>
          <w:lang w:val="fr-FR"/>
        </w:rPr>
        <w:tab/>
        <w:t xml:space="preserve">Quatrième rapport périodique soumis par la </w:t>
      </w:r>
      <w:r w:rsidRPr="00B5002C">
        <w:rPr>
          <w:bCs/>
          <w:lang w:val="fr-FR"/>
        </w:rPr>
        <w:t>Côte d</w:t>
      </w:r>
      <w:r w:rsidR="000C16F5">
        <w:rPr>
          <w:bCs/>
          <w:lang w:val="fr-FR"/>
        </w:rPr>
        <w:t>’</w:t>
      </w:r>
      <w:r w:rsidRPr="00B5002C">
        <w:rPr>
          <w:bCs/>
          <w:lang w:val="fr-FR"/>
        </w:rPr>
        <w:t>Ivoire</w:t>
      </w:r>
      <w:r w:rsidRPr="00B5002C">
        <w:rPr>
          <w:lang w:val="fr-FR"/>
        </w:rPr>
        <w:t xml:space="preserve"> en application de l</w:t>
      </w:r>
      <w:r w:rsidR="000C16F5">
        <w:rPr>
          <w:lang w:val="fr-FR"/>
        </w:rPr>
        <w:t>’</w:t>
      </w:r>
      <w:r w:rsidRPr="00B5002C">
        <w:rPr>
          <w:lang w:val="fr-FR"/>
        </w:rPr>
        <w:t>article 18 de la Convention, attendu en</w:t>
      </w:r>
      <w:r w:rsidR="00225D0B">
        <w:rPr>
          <w:lang w:val="fr-FR"/>
        </w:rPr>
        <w:t> </w:t>
      </w:r>
      <w:r w:rsidRPr="00B5002C">
        <w:rPr>
          <w:lang w:val="fr-FR"/>
        </w:rPr>
        <w:t>2015</w:t>
      </w:r>
      <w:r w:rsidRPr="00300E48">
        <w:rPr>
          <w:b w:val="0"/>
          <w:bCs/>
          <w:sz w:val="20"/>
          <w:szCs w:val="20"/>
          <w:lang w:val="fr-FR"/>
        </w:rPr>
        <w:footnoteReference w:customMarkFollows="1" w:id="1"/>
        <w:t>*</w:t>
      </w:r>
    </w:p>
    <w:p w14:paraId="22E8E3E8" w14:textId="77777777" w:rsidR="00B5002C" w:rsidRPr="00B5002C" w:rsidRDefault="00B5002C" w:rsidP="00B5002C">
      <w:pPr>
        <w:pStyle w:val="SingleTxt"/>
        <w:spacing w:after="0" w:line="120" w:lineRule="exact"/>
        <w:rPr>
          <w:sz w:val="10"/>
          <w:lang w:val="fr-FR"/>
        </w:rPr>
      </w:pPr>
    </w:p>
    <w:p w14:paraId="07043760" w14:textId="5A8A2B25" w:rsidR="00B5002C" w:rsidRPr="00B5002C" w:rsidRDefault="00B5002C" w:rsidP="00B5002C">
      <w:pPr>
        <w:pStyle w:val="SingleTxt"/>
        <w:jc w:val="right"/>
        <w:rPr>
          <w:lang w:val="fr-FR"/>
        </w:rPr>
      </w:pPr>
      <w:r w:rsidRPr="00B5002C">
        <w:rPr>
          <w:lang w:val="fr-FR"/>
        </w:rPr>
        <w:t>[Date de réception</w:t>
      </w:r>
      <w:r w:rsidR="008945B3">
        <w:rPr>
          <w:lang w:val="fr-FR"/>
        </w:rPr>
        <w:t> :</w:t>
      </w:r>
      <w:r w:rsidRPr="00B5002C">
        <w:rPr>
          <w:lang w:val="fr-FR"/>
        </w:rPr>
        <w:t xml:space="preserve"> 9 mars 2018]</w:t>
      </w:r>
    </w:p>
    <w:p w14:paraId="1D702C47" w14:textId="251BAA04" w:rsidR="00637F34" w:rsidRDefault="00637F34" w:rsidP="00637F34">
      <w:pPr>
        <w:pStyle w:val="SingleTxt"/>
      </w:pPr>
    </w:p>
    <w:p w14:paraId="31561DEA" w14:textId="4FC67844" w:rsidR="0014162E" w:rsidRDefault="0014162E">
      <w:pPr>
        <w:spacing w:after="200" w:line="276" w:lineRule="auto"/>
      </w:pPr>
      <w:r>
        <w:br w:type="page"/>
      </w:r>
    </w:p>
    <w:p w14:paraId="13599993" w14:textId="77777777" w:rsidR="0014162E" w:rsidRPr="0014162E" w:rsidRDefault="0014162E" w:rsidP="0014162E">
      <w:pPr>
        <w:pStyle w:val="HCH"/>
        <w:spacing w:after="120"/>
      </w:pPr>
      <w: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4162E" w:rsidRPr="0014162E" w14:paraId="2312DB74" w14:textId="77777777" w:rsidTr="0014162E">
        <w:tc>
          <w:tcPr>
            <w:tcW w:w="1060" w:type="dxa"/>
            <w:shd w:val="clear" w:color="auto" w:fill="auto"/>
          </w:tcPr>
          <w:p w14:paraId="791F1E46" w14:textId="1C17054A" w:rsidR="0014162E" w:rsidRPr="0014162E" w:rsidRDefault="0014162E" w:rsidP="0014162E">
            <w:pPr>
              <w:spacing w:after="120" w:line="240" w:lineRule="auto"/>
              <w:jc w:val="right"/>
              <w:rPr>
                <w:i/>
                <w:sz w:val="14"/>
              </w:rPr>
            </w:pPr>
          </w:p>
        </w:tc>
        <w:tc>
          <w:tcPr>
            <w:tcW w:w="7315" w:type="dxa"/>
            <w:shd w:val="clear" w:color="auto" w:fill="auto"/>
          </w:tcPr>
          <w:p w14:paraId="39D9534C" w14:textId="77777777" w:rsidR="0014162E" w:rsidRPr="0014162E" w:rsidRDefault="0014162E" w:rsidP="0014162E">
            <w:pPr>
              <w:spacing w:after="120" w:line="240" w:lineRule="auto"/>
              <w:rPr>
                <w:i/>
                <w:sz w:val="14"/>
              </w:rPr>
            </w:pPr>
          </w:p>
        </w:tc>
        <w:tc>
          <w:tcPr>
            <w:tcW w:w="994" w:type="dxa"/>
            <w:shd w:val="clear" w:color="auto" w:fill="auto"/>
          </w:tcPr>
          <w:p w14:paraId="615D6BCA" w14:textId="35F69D61" w:rsidR="0014162E" w:rsidRPr="0014162E" w:rsidRDefault="0014162E" w:rsidP="0014162E">
            <w:pPr>
              <w:spacing w:after="120" w:line="240" w:lineRule="auto"/>
              <w:jc w:val="right"/>
              <w:rPr>
                <w:i/>
                <w:sz w:val="14"/>
              </w:rPr>
            </w:pPr>
          </w:p>
        </w:tc>
        <w:tc>
          <w:tcPr>
            <w:tcW w:w="533" w:type="dxa"/>
            <w:shd w:val="clear" w:color="auto" w:fill="auto"/>
          </w:tcPr>
          <w:p w14:paraId="57FD14C6" w14:textId="4330D110" w:rsidR="0014162E" w:rsidRPr="0014162E" w:rsidRDefault="0014162E" w:rsidP="0014162E">
            <w:pPr>
              <w:spacing w:after="120" w:line="240" w:lineRule="auto"/>
              <w:jc w:val="right"/>
              <w:rPr>
                <w:i/>
                <w:sz w:val="14"/>
              </w:rPr>
            </w:pPr>
            <w:r>
              <w:rPr>
                <w:i/>
                <w:sz w:val="14"/>
              </w:rPr>
              <w:t>Page</w:t>
            </w:r>
          </w:p>
        </w:tc>
      </w:tr>
      <w:tr w:rsidR="0014162E" w:rsidRPr="0014162E" w14:paraId="7345BBC6" w14:textId="77777777" w:rsidTr="0014162E">
        <w:tc>
          <w:tcPr>
            <w:tcW w:w="9369" w:type="dxa"/>
            <w:gridSpan w:val="3"/>
            <w:shd w:val="clear" w:color="auto" w:fill="auto"/>
          </w:tcPr>
          <w:p w14:paraId="60467A41" w14:textId="09C592F0" w:rsidR="0014162E" w:rsidRPr="00303790" w:rsidRDefault="0014162E" w:rsidP="00303790">
            <w:pPr>
              <w:pStyle w:val="ListParagraph"/>
              <w:tabs>
                <w:tab w:val="left" w:pos="1296"/>
                <w:tab w:val="left" w:pos="1728"/>
                <w:tab w:val="left" w:pos="2160"/>
                <w:tab w:val="right" w:leader="dot" w:pos="9360"/>
              </w:tabs>
              <w:suppressAutoHyphens/>
              <w:spacing w:after="120"/>
              <w:ind w:left="1296"/>
              <w:rPr>
                <w:spacing w:val="60"/>
                <w:sz w:val="17"/>
              </w:rPr>
            </w:pPr>
            <w:r w:rsidRPr="0014162E">
              <w:t>Introduction</w:t>
            </w:r>
            <w:r w:rsidR="00303790">
              <w:rPr>
                <w:spacing w:val="60"/>
                <w:sz w:val="17"/>
              </w:rPr>
              <w:tab/>
            </w:r>
          </w:p>
        </w:tc>
        <w:tc>
          <w:tcPr>
            <w:tcW w:w="533" w:type="dxa"/>
            <w:shd w:val="clear" w:color="auto" w:fill="auto"/>
            <w:vAlign w:val="bottom"/>
          </w:tcPr>
          <w:p w14:paraId="0ACCF0FC" w14:textId="237FD562" w:rsidR="0014162E" w:rsidRPr="0014162E" w:rsidRDefault="00AE32B5" w:rsidP="0014162E">
            <w:pPr>
              <w:spacing w:after="120"/>
              <w:ind w:right="40"/>
              <w:jc w:val="right"/>
            </w:pPr>
            <w:r>
              <w:t>8</w:t>
            </w:r>
          </w:p>
        </w:tc>
      </w:tr>
      <w:tr w:rsidR="00AE32B5" w:rsidRPr="0014162E" w14:paraId="569547BF" w14:textId="77777777" w:rsidTr="0014162E">
        <w:tc>
          <w:tcPr>
            <w:tcW w:w="9369" w:type="dxa"/>
            <w:gridSpan w:val="3"/>
            <w:shd w:val="clear" w:color="auto" w:fill="auto"/>
          </w:tcPr>
          <w:p w14:paraId="591EC630" w14:textId="7E74B405" w:rsidR="00AE32B5" w:rsidRPr="00AE32B5" w:rsidRDefault="00AE32B5" w:rsidP="00AE32B5">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296"/>
              <w:rPr>
                <w:spacing w:val="60"/>
                <w:sz w:val="17"/>
              </w:rPr>
            </w:pPr>
            <w:r>
              <w:t>Première partie</w:t>
            </w:r>
            <w:r w:rsidR="00B40361">
              <w:t> </w:t>
            </w:r>
            <w:r>
              <w:t>: Processus de développement de la Côte d’Ivoire et les grands progrès</w:t>
            </w:r>
            <w:r>
              <w:rPr>
                <w:spacing w:val="60"/>
                <w:sz w:val="17"/>
              </w:rPr>
              <w:tab/>
            </w:r>
          </w:p>
        </w:tc>
        <w:tc>
          <w:tcPr>
            <w:tcW w:w="533" w:type="dxa"/>
            <w:shd w:val="clear" w:color="auto" w:fill="auto"/>
            <w:vAlign w:val="bottom"/>
          </w:tcPr>
          <w:p w14:paraId="0CA5FADA" w14:textId="115BAFD1" w:rsidR="00AE32B5" w:rsidRDefault="00AE32B5" w:rsidP="0014162E">
            <w:pPr>
              <w:spacing w:after="120"/>
              <w:ind w:right="40"/>
              <w:jc w:val="right"/>
            </w:pPr>
            <w:r>
              <w:t>8</w:t>
            </w:r>
          </w:p>
        </w:tc>
      </w:tr>
      <w:tr w:rsidR="00AE32B5" w:rsidRPr="0014162E" w14:paraId="057F78C4" w14:textId="77777777" w:rsidTr="0014162E">
        <w:tc>
          <w:tcPr>
            <w:tcW w:w="9369" w:type="dxa"/>
            <w:gridSpan w:val="3"/>
            <w:shd w:val="clear" w:color="auto" w:fill="auto"/>
          </w:tcPr>
          <w:p w14:paraId="29CC0987" w14:textId="1A6DDEB1" w:rsidR="00AE32B5" w:rsidRPr="00B40361" w:rsidRDefault="00B40361" w:rsidP="00B40361">
            <w:pPr>
              <w:pStyle w:val="ListParagraph"/>
              <w:tabs>
                <w:tab w:val="left" w:pos="1296"/>
                <w:tab w:val="left" w:pos="1728"/>
                <w:tab w:val="left" w:pos="2160"/>
                <w:tab w:val="left" w:pos="2592"/>
                <w:tab w:val="left" w:pos="3024"/>
                <w:tab w:val="left" w:pos="3456"/>
                <w:tab w:val="left" w:pos="3888"/>
                <w:tab w:val="right" w:leader="dot" w:pos="9360"/>
              </w:tabs>
              <w:suppressAutoHyphens/>
              <w:spacing w:after="120"/>
              <w:ind w:left="1296"/>
              <w:rPr>
                <w:spacing w:val="60"/>
                <w:sz w:val="17"/>
              </w:rPr>
            </w:pPr>
            <w:r>
              <w:tab/>
            </w:r>
            <w:r w:rsidRPr="00B40361">
              <w:t>Les grands progrès réalisés</w:t>
            </w:r>
            <w:r>
              <w:rPr>
                <w:spacing w:val="60"/>
                <w:sz w:val="17"/>
              </w:rPr>
              <w:tab/>
            </w:r>
          </w:p>
        </w:tc>
        <w:tc>
          <w:tcPr>
            <w:tcW w:w="533" w:type="dxa"/>
            <w:shd w:val="clear" w:color="auto" w:fill="auto"/>
            <w:vAlign w:val="bottom"/>
          </w:tcPr>
          <w:p w14:paraId="13963BC4" w14:textId="67710092" w:rsidR="00AE32B5" w:rsidRDefault="00B40361" w:rsidP="0014162E">
            <w:pPr>
              <w:spacing w:after="120"/>
              <w:ind w:right="40"/>
              <w:jc w:val="right"/>
            </w:pPr>
            <w:r>
              <w:t>8</w:t>
            </w:r>
          </w:p>
        </w:tc>
      </w:tr>
      <w:tr w:rsidR="00B40361" w:rsidRPr="0014162E" w14:paraId="1E591E6B" w14:textId="77777777" w:rsidTr="0014162E">
        <w:tc>
          <w:tcPr>
            <w:tcW w:w="9369" w:type="dxa"/>
            <w:gridSpan w:val="3"/>
            <w:shd w:val="clear" w:color="auto" w:fill="auto"/>
          </w:tcPr>
          <w:p w14:paraId="6E91537A" w14:textId="31823E36" w:rsidR="00B40361" w:rsidRPr="00B40361" w:rsidRDefault="00B40361" w:rsidP="00B40361">
            <w:pPr>
              <w:pStyle w:val="ListParagraph"/>
              <w:tabs>
                <w:tab w:val="left" w:pos="1296"/>
                <w:tab w:val="left" w:pos="1728"/>
                <w:tab w:val="left" w:pos="2160"/>
                <w:tab w:val="right" w:leader="dot" w:pos="9360"/>
              </w:tabs>
              <w:suppressAutoHyphens/>
              <w:spacing w:after="120"/>
              <w:ind w:left="1296"/>
              <w:rPr>
                <w:spacing w:val="60"/>
                <w:sz w:val="17"/>
              </w:rPr>
            </w:pPr>
            <w:r w:rsidRPr="00190491">
              <w:rPr>
                <w:lang w:val="fr-FR"/>
              </w:rPr>
              <w:t>Deuxième partie</w:t>
            </w:r>
            <w:r>
              <w:rPr>
                <w:lang w:val="fr-FR"/>
              </w:rPr>
              <w:t> :</w:t>
            </w:r>
            <w:r w:rsidRPr="00190491">
              <w:rPr>
                <w:lang w:val="fr-FR"/>
              </w:rPr>
              <w:t xml:space="preserve"> État de mise en œuvre des</w:t>
            </w:r>
            <w:r>
              <w:rPr>
                <w:lang w:val="fr-FR"/>
              </w:rPr>
              <w:t xml:space="preserve"> </w:t>
            </w:r>
            <w:r w:rsidRPr="00190491">
              <w:rPr>
                <w:lang w:val="fr-FR"/>
              </w:rPr>
              <w:t xml:space="preserve">recommandations, difficultés, défis </w:t>
            </w:r>
            <w:r>
              <w:rPr>
                <w:lang w:val="fr-FR"/>
              </w:rPr>
              <w:br/>
            </w:r>
            <w:r w:rsidRPr="00190491">
              <w:rPr>
                <w:lang w:val="fr-FR"/>
              </w:rPr>
              <w:t>et perspectives</w:t>
            </w:r>
            <w:r>
              <w:rPr>
                <w:spacing w:val="60"/>
                <w:sz w:val="17"/>
                <w:lang w:val="fr-FR"/>
              </w:rPr>
              <w:tab/>
            </w:r>
          </w:p>
        </w:tc>
        <w:tc>
          <w:tcPr>
            <w:tcW w:w="533" w:type="dxa"/>
            <w:shd w:val="clear" w:color="auto" w:fill="auto"/>
            <w:vAlign w:val="bottom"/>
          </w:tcPr>
          <w:p w14:paraId="583C5A18" w14:textId="2AF7D6B7" w:rsidR="00B40361" w:rsidRDefault="00B40361" w:rsidP="0014162E">
            <w:pPr>
              <w:spacing w:after="120"/>
              <w:ind w:right="40"/>
              <w:jc w:val="right"/>
            </w:pPr>
            <w:r>
              <w:t>10</w:t>
            </w:r>
          </w:p>
        </w:tc>
      </w:tr>
      <w:tr w:rsidR="00B40361" w:rsidRPr="0014162E" w14:paraId="27CD5EEA" w14:textId="77777777" w:rsidTr="0014162E">
        <w:tc>
          <w:tcPr>
            <w:tcW w:w="9369" w:type="dxa"/>
            <w:gridSpan w:val="3"/>
            <w:shd w:val="clear" w:color="auto" w:fill="auto"/>
          </w:tcPr>
          <w:p w14:paraId="1CA419E0" w14:textId="3C588A2D" w:rsidR="00B40361" w:rsidRPr="00B40361" w:rsidRDefault="00B40361" w:rsidP="00B40361">
            <w:pPr>
              <w:pStyle w:val="ListParagraph"/>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296"/>
              <w:rPr>
                <w:spacing w:val="60"/>
                <w:sz w:val="17"/>
                <w:lang w:val="fr-FR"/>
              </w:rPr>
            </w:pPr>
            <w:r>
              <w:rPr>
                <w:lang w:val="fr-FR"/>
              </w:rPr>
              <w:tab/>
            </w:r>
            <w:r w:rsidRPr="00B40361">
              <w:rPr>
                <w:lang w:val="fr-FR"/>
              </w:rPr>
              <w:t>Mise en œuvre des recommandations</w:t>
            </w:r>
            <w:r>
              <w:rPr>
                <w:spacing w:val="60"/>
                <w:sz w:val="17"/>
                <w:lang w:val="fr-FR"/>
              </w:rPr>
              <w:tab/>
            </w:r>
          </w:p>
        </w:tc>
        <w:tc>
          <w:tcPr>
            <w:tcW w:w="533" w:type="dxa"/>
            <w:shd w:val="clear" w:color="auto" w:fill="auto"/>
            <w:vAlign w:val="bottom"/>
          </w:tcPr>
          <w:p w14:paraId="5E81775F" w14:textId="64CFEF08" w:rsidR="00B40361" w:rsidRDefault="00B40361" w:rsidP="0014162E">
            <w:pPr>
              <w:spacing w:after="120"/>
              <w:ind w:right="40"/>
              <w:jc w:val="right"/>
            </w:pPr>
            <w:r>
              <w:t>10</w:t>
            </w:r>
          </w:p>
        </w:tc>
      </w:tr>
      <w:tr w:rsidR="00B40361" w:rsidRPr="0014162E" w14:paraId="5B7D4AB2" w14:textId="77777777" w:rsidTr="0014162E">
        <w:tc>
          <w:tcPr>
            <w:tcW w:w="9369" w:type="dxa"/>
            <w:gridSpan w:val="3"/>
            <w:shd w:val="clear" w:color="auto" w:fill="auto"/>
          </w:tcPr>
          <w:p w14:paraId="31BCE012" w14:textId="151B8D0E" w:rsidR="00B40361" w:rsidRPr="00B40361" w:rsidRDefault="00B40361" w:rsidP="00B40361">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lang w:val="fr-FR"/>
              </w:rPr>
            </w:pPr>
            <w:r>
              <w:rPr>
                <w:lang w:val="fr-FR"/>
              </w:rPr>
              <w:tab/>
            </w:r>
            <w:r w:rsidRPr="00B40361">
              <w:rPr>
                <w:lang w:val="fr-FR"/>
              </w:rPr>
              <w:t>Difficultés de mise en œuvre, défis et perspectives</w:t>
            </w:r>
            <w:r>
              <w:rPr>
                <w:spacing w:val="60"/>
                <w:sz w:val="17"/>
                <w:lang w:val="fr-FR"/>
              </w:rPr>
              <w:tab/>
            </w:r>
          </w:p>
        </w:tc>
        <w:tc>
          <w:tcPr>
            <w:tcW w:w="533" w:type="dxa"/>
            <w:shd w:val="clear" w:color="auto" w:fill="auto"/>
            <w:vAlign w:val="bottom"/>
          </w:tcPr>
          <w:p w14:paraId="35ECE0EA" w14:textId="05249672" w:rsidR="00B40361" w:rsidRDefault="00B40361" w:rsidP="0014162E">
            <w:pPr>
              <w:spacing w:after="120"/>
              <w:ind w:right="40"/>
              <w:jc w:val="right"/>
            </w:pPr>
            <w:r>
              <w:t>43</w:t>
            </w:r>
          </w:p>
        </w:tc>
      </w:tr>
      <w:tr w:rsidR="00B40361" w:rsidRPr="0014162E" w14:paraId="0B28324E" w14:textId="77777777" w:rsidTr="0014162E">
        <w:tc>
          <w:tcPr>
            <w:tcW w:w="9369" w:type="dxa"/>
            <w:gridSpan w:val="3"/>
            <w:shd w:val="clear" w:color="auto" w:fill="auto"/>
          </w:tcPr>
          <w:p w14:paraId="1E0CBDE8" w14:textId="00FAED6B" w:rsidR="00B40361" w:rsidRPr="00B40361" w:rsidRDefault="00B40361" w:rsidP="00B40361">
            <w:pPr>
              <w:pStyle w:val="ListParagraph"/>
              <w:tabs>
                <w:tab w:val="left" w:pos="1296"/>
                <w:tab w:val="left" w:pos="1728"/>
                <w:tab w:val="left" w:pos="2160"/>
                <w:tab w:val="right" w:leader="dot" w:pos="9360"/>
              </w:tabs>
              <w:suppressAutoHyphens/>
              <w:spacing w:after="120"/>
              <w:ind w:left="1296"/>
              <w:rPr>
                <w:spacing w:val="60"/>
                <w:sz w:val="17"/>
                <w:lang w:val="fr-FR"/>
              </w:rPr>
            </w:pPr>
            <w:r w:rsidRPr="00B40361">
              <w:rPr>
                <w:lang w:val="fr-FR"/>
              </w:rPr>
              <w:t>Conclusion</w:t>
            </w:r>
            <w:r>
              <w:rPr>
                <w:spacing w:val="60"/>
                <w:sz w:val="17"/>
                <w:lang w:val="fr-FR"/>
              </w:rPr>
              <w:tab/>
            </w:r>
          </w:p>
        </w:tc>
        <w:tc>
          <w:tcPr>
            <w:tcW w:w="533" w:type="dxa"/>
            <w:shd w:val="clear" w:color="auto" w:fill="auto"/>
            <w:vAlign w:val="bottom"/>
          </w:tcPr>
          <w:p w14:paraId="69DE2B18" w14:textId="67488234" w:rsidR="00B40361" w:rsidRDefault="00B40361" w:rsidP="0014162E">
            <w:pPr>
              <w:spacing w:after="120"/>
              <w:ind w:right="40"/>
              <w:jc w:val="right"/>
            </w:pPr>
            <w:r>
              <w:t>45</w:t>
            </w:r>
          </w:p>
        </w:tc>
      </w:tr>
      <w:tr w:rsidR="00B40361" w:rsidRPr="0014162E" w14:paraId="6DD847E2" w14:textId="77777777" w:rsidTr="0014162E">
        <w:tc>
          <w:tcPr>
            <w:tcW w:w="9369" w:type="dxa"/>
            <w:gridSpan w:val="3"/>
            <w:shd w:val="clear" w:color="auto" w:fill="auto"/>
          </w:tcPr>
          <w:p w14:paraId="3D142D77" w14:textId="4C352751" w:rsidR="00B40361" w:rsidRPr="00B40361" w:rsidRDefault="00B40361" w:rsidP="00B40361">
            <w:pPr>
              <w:pStyle w:val="ListParagraph"/>
              <w:tabs>
                <w:tab w:val="left" w:pos="1296"/>
                <w:tab w:val="left" w:pos="1728"/>
                <w:tab w:val="left" w:pos="2160"/>
                <w:tab w:val="right" w:leader="dot" w:pos="9360"/>
              </w:tabs>
              <w:suppressAutoHyphens/>
              <w:spacing w:after="120"/>
              <w:ind w:left="1296"/>
              <w:rPr>
                <w:spacing w:val="60"/>
                <w:sz w:val="17"/>
                <w:lang w:val="fr-FR"/>
              </w:rPr>
            </w:pPr>
            <w:r w:rsidRPr="00190491">
              <w:rPr>
                <w:lang w:val="fr-FR"/>
              </w:rPr>
              <w:t>Bibliographie</w:t>
            </w:r>
            <w:r>
              <w:rPr>
                <w:spacing w:val="60"/>
                <w:sz w:val="17"/>
                <w:lang w:val="fr-FR"/>
              </w:rPr>
              <w:tab/>
            </w:r>
          </w:p>
        </w:tc>
        <w:tc>
          <w:tcPr>
            <w:tcW w:w="533" w:type="dxa"/>
            <w:shd w:val="clear" w:color="auto" w:fill="auto"/>
            <w:vAlign w:val="bottom"/>
          </w:tcPr>
          <w:p w14:paraId="4A20F809" w14:textId="4F02F8D4" w:rsidR="00B40361" w:rsidRDefault="00B40361" w:rsidP="0014162E">
            <w:pPr>
              <w:spacing w:after="120"/>
              <w:ind w:right="40"/>
              <w:jc w:val="right"/>
            </w:pPr>
            <w:r>
              <w:t>4</w:t>
            </w:r>
            <w:r w:rsidR="00F148BC">
              <w:t>6</w:t>
            </w:r>
          </w:p>
        </w:tc>
      </w:tr>
    </w:tbl>
    <w:p w14:paraId="0C00B5E1" w14:textId="4DCC8358" w:rsidR="0014162E" w:rsidRDefault="0014162E" w:rsidP="0014162E"/>
    <w:p w14:paraId="39D7AA66" w14:textId="6357D7D5" w:rsidR="0014162E" w:rsidRDefault="0014162E" w:rsidP="0014162E"/>
    <w:p w14:paraId="3BFFECE2" w14:textId="7A1F7468" w:rsidR="0014162E" w:rsidRDefault="0014162E">
      <w:pPr>
        <w:spacing w:after="200" w:line="276" w:lineRule="auto"/>
      </w:pPr>
      <w:r>
        <w:br w:type="page"/>
      </w:r>
    </w:p>
    <w:p w14:paraId="1B5EE15E" w14:textId="1723D5AB" w:rsidR="0014162E" w:rsidRPr="0014162E" w:rsidRDefault="00303790" w:rsidP="003037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14162E" w:rsidRPr="0014162E">
        <w:rPr>
          <w:lang w:val="fr-FR"/>
        </w:rPr>
        <w:t>Liste des tableaux et graphiques</w:t>
      </w:r>
    </w:p>
    <w:p w14:paraId="76533A60" w14:textId="77777777" w:rsidR="00303790" w:rsidRPr="00303790" w:rsidRDefault="00303790" w:rsidP="00303790">
      <w:pPr>
        <w:pStyle w:val="SingleTxt"/>
        <w:spacing w:after="0" w:line="120" w:lineRule="exact"/>
        <w:rPr>
          <w:sz w:val="10"/>
          <w:lang w:val="fr-FR"/>
        </w:rPr>
      </w:pPr>
      <w:bookmarkStart w:id="1" w:name="_Hlk519237775"/>
    </w:p>
    <w:p w14:paraId="0EA84C8A" w14:textId="77777777" w:rsidR="00303790" w:rsidRPr="00303790" w:rsidRDefault="00303790" w:rsidP="00303790">
      <w:pPr>
        <w:pStyle w:val="SingleTxt"/>
        <w:spacing w:after="0" w:line="120" w:lineRule="exact"/>
        <w:rPr>
          <w:sz w:val="10"/>
          <w:lang w:val="fr-FR"/>
        </w:rPr>
      </w:pPr>
    </w:p>
    <w:p w14:paraId="21F88221" w14:textId="582499A8" w:rsidR="0014162E" w:rsidRPr="0014162E" w:rsidRDefault="0014162E" w:rsidP="0014162E">
      <w:pPr>
        <w:pStyle w:val="SingleTxt"/>
        <w:rPr>
          <w:lang w:val="fr-FR"/>
        </w:rPr>
      </w:pPr>
      <w:r w:rsidRPr="0014162E">
        <w:rPr>
          <w:lang w:val="fr-FR"/>
        </w:rPr>
        <w:t>Tableau 1</w:t>
      </w:r>
      <w:r w:rsidR="008945B3">
        <w:rPr>
          <w:lang w:val="fr-FR"/>
        </w:rPr>
        <w:t> :</w:t>
      </w:r>
      <w:r w:rsidRPr="0014162E">
        <w:rPr>
          <w:lang w:val="fr-FR"/>
        </w:rPr>
        <w:t xml:space="preserve"> Demande d</w:t>
      </w:r>
      <w:r w:rsidR="000C16F5">
        <w:rPr>
          <w:lang w:val="fr-FR"/>
        </w:rPr>
        <w:t>’</w:t>
      </w:r>
      <w:r w:rsidRPr="0014162E">
        <w:rPr>
          <w:lang w:val="fr-FR"/>
        </w:rPr>
        <w:t>assistance judiciaire de 2012 à 2014</w:t>
      </w:r>
    </w:p>
    <w:p w14:paraId="55A5018E" w14:textId="7E73CD0F" w:rsidR="0014162E" w:rsidRPr="0014162E" w:rsidRDefault="0014162E" w:rsidP="0014162E">
      <w:pPr>
        <w:pStyle w:val="SingleTxt"/>
        <w:rPr>
          <w:lang w:val="fr-FR"/>
        </w:rPr>
      </w:pPr>
      <w:r w:rsidRPr="0014162E">
        <w:rPr>
          <w:lang w:val="fr-FR"/>
        </w:rPr>
        <w:t>Tableau 2</w:t>
      </w:r>
      <w:r w:rsidR="008945B3">
        <w:rPr>
          <w:lang w:val="fr-FR"/>
        </w:rPr>
        <w:t> :</w:t>
      </w:r>
      <w:r w:rsidRPr="0014162E">
        <w:rPr>
          <w:lang w:val="fr-FR"/>
        </w:rPr>
        <w:t xml:space="preserve"> Données VBG de 2010 à 2016</w:t>
      </w:r>
    </w:p>
    <w:p w14:paraId="36398F0F" w14:textId="1FA31C7F" w:rsidR="0014162E" w:rsidRPr="0014162E" w:rsidRDefault="0014162E" w:rsidP="0014162E">
      <w:pPr>
        <w:pStyle w:val="SingleTxt"/>
        <w:rPr>
          <w:lang w:val="fr-FR"/>
        </w:rPr>
      </w:pPr>
      <w:r w:rsidRPr="0014162E">
        <w:rPr>
          <w:lang w:val="fr-FR"/>
        </w:rPr>
        <w:t>Tableau 3</w:t>
      </w:r>
      <w:r w:rsidR="008945B3">
        <w:rPr>
          <w:lang w:val="fr-FR"/>
        </w:rPr>
        <w:t> :</w:t>
      </w:r>
      <w:r w:rsidRPr="0014162E">
        <w:rPr>
          <w:lang w:val="fr-FR"/>
        </w:rPr>
        <w:t xml:space="preserve"> </w:t>
      </w:r>
      <w:r w:rsidR="00C10A78" w:rsidRPr="0014162E">
        <w:rPr>
          <w:lang w:val="fr-FR"/>
        </w:rPr>
        <w:t>État</w:t>
      </w:r>
      <w:r w:rsidRPr="0014162E">
        <w:rPr>
          <w:lang w:val="fr-FR"/>
        </w:rPr>
        <w:t xml:space="preserve"> des procédures réglées en matière de VBG Janvier 2014-Octobre</w:t>
      </w:r>
      <w:r w:rsidR="004B37CA">
        <w:rPr>
          <w:lang w:val="fr-FR"/>
        </w:rPr>
        <w:t> </w:t>
      </w:r>
      <w:r w:rsidRPr="0014162E">
        <w:rPr>
          <w:lang w:val="fr-FR"/>
        </w:rPr>
        <w:t>2015</w:t>
      </w:r>
    </w:p>
    <w:p w14:paraId="5932108F" w14:textId="115A209E" w:rsidR="0014162E" w:rsidRPr="0014162E" w:rsidRDefault="0014162E" w:rsidP="0014162E">
      <w:pPr>
        <w:pStyle w:val="SingleTxt"/>
        <w:rPr>
          <w:lang w:val="fr-FR"/>
        </w:rPr>
      </w:pPr>
      <w:r w:rsidRPr="0014162E">
        <w:rPr>
          <w:lang w:val="fr-FR"/>
        </w:rPr>
        <w:t>Tableau 4</w:t>
      </w:r>
      <w:r w:rsidR="008945B3">
        <w:rPr>
          <w:lang w:val="fr-FR"/>
        </w:rPr>
        <w:t> :</w:t>
      </w:r>
      <w:r w:rsidRPr="0014162E">
        <w:rPr>
          <w:lang w:val="fr-FR"/>
        </w:rPr>
        <w:t xml:space="preserve"> Décisions de justice de 2012 à 2015</w:t>
      </w:r>
    </w:p>
    <w:p w14:paraId="70B21D2E" w14:textId="65F74F55" w:rsidR="0014162E" w:rsidRPr="0014162E" w:rsidRDefault="0014162E" w:rsidP="0014162E">
      <w:pPr>
        <w:pStyle w:val="SingleTxt"/>
        <w:rPr>
          <w:lang w:val="fr-FR"/>
        </w:rPr>
      </w:pPr>
      <w:r w:rsidRPr="0014162E">
        <w:rPr>
          <w:lang w:val="fr-FR"/>
        </w:rPr>
        <w:t>Tableau 5</w:t>
      </w:r>
      <w:r w:rsidR="008945B3">
        <w:rPr>
          <w:lang w:val="fr-FR"/>
        </w:rPr>
        <w:t> :</w:t>
      </w:r>
      <w:r w:rsidRPr="0014162E">
        <w:rPr>
          <w:lang w:val="fr-FR"/>
        </w:rPr>
        <w:t xml:space="preserve"> Personnel des corps de métier de justice</w:t>
      </w:r>
    </w:p>
    <w:p w14:paraId="7C1668BD" w14:textId="56547CB6" w:rsidR="0014162E" w:rsidRPr="0014162E" w:rsidRDefault="0014162E" w:rsidP="0014162E">
      <w:pPr>
        <w:pStyle w:val="SingleTxt"/>
        <w:rPr>
          <w:vertAlign w:val="superscript"/>
          <w:lang w:val="fr-FR"/>
        </w:rPr>
      </w:pPr>
      <w:r w:rsidRPr="0014162E">
        <w:rPr>
          <w:lang w:val="fr-FR"/>
        </w:rPr>
        <w:t>Tableau 6</w:t>
      </w:r>
      <w:r w:rsidR="008945B3">
        <w:rPr>
          <w:lang w:val="fr-FR"/>
        </w:rPr>
        <w:t> :</w:t>
      </w:r>
      <w:r w:rsidRPr="0014162E">
        <w:rPr>
          <w:lang w:val="fr-FR"/>
        </w:rPr>
        <w:t xml:space="preserve"> Participation des filles et garçons rentrée 2015-2016</w:t>
      </w:r>
    </w:p>
    <w:p w14:paraId="02BD24C2" w14:textId="371DDE84" w:rsidR="0014162E" w:rsidRPr="0014162E" w:rsidRDefault="0014162E" w:rsidP="0014162E">
      <w:pPr>
        <w:pStyle w:val="SingleTxt"/>
        <w:rPr>
          <w:lang w:val="fr-FR"/>
        </w:rPr>
      </w:pPr>
      <w:r w:rsidRPr="0014162E">
        <w:rPr>
          <w:lang w:val="fr-FR"/>
        </w:rPr>
        <w:t>Tableau 7</w:t>
      </w:r>
      <w:r w:rsidR="008945B3">
        <w:rPr>
          <w:lang w:val="fr-FR"/>
        </w:rPr>
        <w:t> :</w:t>
      </w:r>
      <w:r w:rsidRPr="0014162E">
        <w:rPr>
          <w:lang w:val="fr-FR"/>
        </w:rPr>
        <w:t xml:space="preserve"> </w:t>
      </w:r>
      <w:r w:rsidR="00C10A78" w:rsidRPr="0014162E">
        <w:rPr>
          <w:lang w:val="fr-FR"/>
        </w:rPr>
        <w:t>Évolution</w:t>
      </w:r>
      <w:r w:rsidRPr="0014162E">
        <w:rPr>
          <w:lang w:val="fr-FR"/>
        </w:rPr>
        <w:t xml:space="preserve"> des effectifs élèves, nombre de salles de classe</w:t>
      </w:r>
    </w:p>
    <w:p w14:paraId="2D37D0F6" w14:textId="57AE4B16" w:rsidR="0014162E" w:rsidRPr="0014162E" w:rsidRDefault="0014162E" w:rsidP="0014162E">
      <w:pPr>
        <w:pStyle w:val="SingleTxt"/>
        <w:rPr>
          <w:lang w:val="fr-FR"/>
        </w:rPr>
      </w:pPr>
      <w:r w:rsidRPr="0014162E">
        <w:rPr>
          <w:lang w:val="fr-FR"/>
        </w:rPr>
        <w:t>Tableau 8</w:t>
      </w:r>
      <w:r w:rsidR="008945B3">
        <w:rPr>
          <w:lang w:val="fr-FR"/>
        </w:rPr>
        <w:t> :</w:t>
      </w:r>
      <w:r w:rsidRPr="0014162E">
        <w:rPr>
          <w:lang w:val="fr-FR"/>
        </w:rPr>
        <w:t xml:space="preserve"> Données par sexe des apprenants et animateurs en alphabétisation 2015</w:t>
      </w:r>
    </w:p>
    <w:bookmarkEnd w:id="1"/>
    <w:p w14:paraId="515846D5" w14:textId="543DDD52" w:rsidR="0014162E" w:rsidRPr="0014162E" w:rsidRDefault="0014162E" w:rsidP="0014162E">
      <w:pPr>
        <w:pStyle w:val="SingleTxt"/>
        <w:rPr>
          <w:lang w:val="fr-FR"/>
        </w:rPr>
      </w:pPr>
      <w:r w:rsidRPr="0014162E">
        <w:rPr>
          <w:lang w:val="fr-FR"/>
        </w:rPr>
        <w:t>Graphique 1</w:t>
      </w:r>
      <w:r w:rsidR="008945B3">
        <w:rPr>
          <w:lang w:val="fr-FR"/>
        </w:rPr>
        <w:t> :</w:t>
      </w:r>
      <w:r w:rsidRPr="0014162E">
        <w:rPr>
          <w:lang w:val="fr-FR"/>
        </w:rPr>
        <w:t xml:space="preserve"> Représentation des femmes dans la vie publique et politique</w:t>
      </w:r>
    </w:p>
    <w:p w14:paraId="42A24593" w14:textId="6250ECDD" w:rsidR="0014162E" w:rsidRPr="0014162E" w:rsidRDefault="0014162E" w:rsidP="0014162E">
      <w:pPr>
        <w:pStyle w:val="SingleTxt"/>
        <w:rPr>
          <w:lang w:val="fr-FR"/>
        </w:rPr>
      </w:pPr>
      <w:r w:rsidRPr="0014162E">
        <w:rPr>
          <w:lang w:val="fr-FR"/>
        </w:rPr>
        <w:t>Graphique 2</w:t>
      </w:r>
      <w:r w:rsidR="008945B3">
        <w:rPr>
          <w:lang w:val="fr-FR"/>
        </w:rPr>
        <w:t> :</w:t>
      </w:r>
      <w:r w:rsidRPr="0014162E">
        <w:rPr>
          <w:lang w:val="fr-FR"/>
        </w:rPr>
        <w:t xml:space="preserve"> Courbe de croissant du budget alloué à la santé</w:t>
      </w:r>
    </w:p>
    <w:p w14:paraId="23C1C0CE" w14:textId="59EB06E8" w:rsidR="0014162E" w:rsidRDefault="0014162E">
      <w:pPr>
        <w:spacing w:after="200" w:line="276" w:lineRule="auto"/>
        <w:rPr>
          <w:lang w:val="fr-FR"/>
        </w:rPr>
      </w:pPr>
      <w:r>
        <w:rPr>
          <w:lang w:val="fr-FR"/>
        </w:rPr>
        <w:br w:type="page"/>
      </w:r>
    </w:p>
    <w:p w14:paraId="288A85F5" w14:textId="5470DD29" w:rsidR="0014162E" w:rsidRPr="0014162E" w:rsidRDefault="003B7978" w:rsidP="00BA17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14162E" w:rsidRPr="0014162E">
        <w:rPr>
          <w:lang w:val="fr-FR"/>
        </w:rPr>
        <w:t>Acronymes</w:t>
      </w:r>
    </w:p>
    <w:p w14:paraId="3C6A8AC8" w14:textId="77777777" w:rsidR="00BA1774" w:rsidRPr="00BA1774" w:rsidRDefault="00BA1774" w:rsidP="00BA1774">
      <w:pPr>
        <w:pStyle w:val="SingleTxt"/>
        <w:spacing w:after="0" w:line="120" w:lineRule="exact"/>
        <w:rPr>
          <w:sz w:val="10"/>
          <w:lang w:val="fr-FR"/>
        </w:rPr>
      </w:pPr>
    </w:p>
    <w:p w14:paraId="3E1696D6" w14:textId="77777777" w:rsidR="00BA1774" w:rsidRPr="00BA1774" w:rsidRDefault="00BA1774" w:rsidP="00BA1774">
      <w:pPr>
        <w:pStyle w:val="SingleTxt"/>
        <w:spacing w:after="0" w:line="120" w:lineRule="exact"/>
        <w:rPr>
          <w:sz w:val="10"/>
          <w:lang w:val="fr-FR"/>
        </w:rPr>
      </w:pPr>
    </w:p>
    <w:p w14:paraId="6541E12B" w14:textId="6BBE322F" w:rsidR="0014162E" w:rsidRPr="0014162E" w:rsidRDefault="0014162E" w:rsidP="0021663E">
      <w:pPr>
        <w:pStyle w:val="SingleTxt"/>
        <w:jc w:val="left"/>
        <w:rPr>
          <w:lang w:val="fr-FR"/>
        </w:rPr>
      </w:pPr>
      <w:r w:rsidRPr="0014162E">
        <w:rPr>
          <w:lang w:val="fr-FR"/>
        </w:rPr>
        <w:t>ACD</w:t>
      </w:r>
      <w:r w:rsidRPr="0014162E">
        <w:rPr>
          <w:lang w:val="fr-FR"/>
        </w:rPr>
        <w:tab/>
      </w:r>
      <w:r w:rsidRPr="0014162E">
        <w:rPr>
          <w:lang w:val="fr-FR"/>
        </w:rPr>
        <w:tab/>
      </w:r>
      <w:r w:rsidR="00BA1774">
        <w:rPr>
          <w:lang w:val="fr-FR"/>
        </w:rPr>
        <w:tab/>
      </w:r>
      <w:r w:rsidR="00022F9A">
        <w:rPr>
          <w:lang w:val="fr-FR"/>
        </w:rPr>
        <w:tab/>
      </w:r>
      <w:r w:rsidRPr="0014162E">
        <w:rPr>
          <w:lang w:val="fr-FR"/>
        </w:rPr>
        <w:t xml:space="preserve">Arrêté de Concession Définitive </w:t>
      </w:r>
    </w:p>
    <w:p w14:paraId="2B680E4E" w14:textId="59E52D9B" w:rsidR="0014162E" w:rsidRPr="0014162E" w:rsidRDefault="0014162E" w:rsidP="0021663E">
      <w:pPr>
        <w:pStyle w:val="SingleTxt"/>
        <w:jc w:val="left"/>
        <w:rPr>
          <w:lang w:val="fr-FR"/>
        </w:rPr>
      </w:pPr>
      <w:r w:rsidRPr="0014162E">
        <w:rPr>
          <w:lang w:val="fr-FR"/>
        </w:rPr>
        <w:t>ADBC</w:t>
      </w:r>
      <w:r w:rsidRPr="0014162E">
        <w:rPr>
          <w:lang w:val="fr-FR"/>
        </w:rPr>
        <w:tab/>
      </w:r>
      <w:r w:rsidR="00022F9A">
        <w:rPr>
          <w:lang w:val="fr-FR"/>
        </w:rPr>
        <w:tab/>
      </w:r>
      <w:r w:rsidR="00022F9A">
        <w:rPr>
          <w:lang w:val="fr-FR"/>
        </w:rPr>
        <w:tab/>
      </w:r>
      <w:r w:rsidRPr="0014162E">
        <w:rPr>
          <w:lang w:val="fr-FR"/>
        </w:rPr>
        <w:t xml:space="preserve">Agents de Distribution à Base Communautaire </w:t>
      </w:r>
    </w:p>
    <w:p w14:paraId="51F99E73" w14:textId="4078E66B" w:rsidR="0014162E" w:rsidRPr="0014162E" w:rsidRDefault="0014162E" w:rsidP="0021663E">
      <w:pPr>
        <w:pStyle w:val="SingleTxt"/>
        <w:jc w:val="left"/>
        <w:rPr>
          <w:lang w:val="fr-FR"/>
        </w:rPr>
      </w:pPr>
      <w:r w:rsidRPr="0014162E">
        <w:rPr>
          <w:lang w:val="fr-FR"/>
        </w:rPr>
        <w:t>AFD</w:t>
      </w:r>
      <w:r w:rsidRPr="0014162E">
        <w:rPr>
          <w:lang w:val="fr-FR"/>
        </w:rPr>
        <w:tab/>
      </w:r>
      <w:r w:rsidRPr="0014162E">
        <w:rPr>
          <w:lang w:val="fr-FR"/>
        </w:rPr>
        <w:tab/>
      </w:r>
      <w:r w:rsidR="00022F9A">
        <w:rPr>
          <w:lang w:val="fr-FR"/>
        </w:rPr>
        <w:tab/>
      </w:r>
      <w:r w:rsidR="00022F9A">
        <w:rPr>
          <w:lang w:val="fr-FR"/>
        </w:rPr>
        <w:tab/>
      </w:r>
      <w:r w:rsidRPr="0014162E">
        <w:rPr>
          <w:lang w:val="fr-FR"/>
        </w:rPr>
        <w:t xml:space="preserve">Agence Française de Développement </w:t>
      </w:r>
    </w:p>
    <w:p w14:paraId="704092FE" w14:textId="4C42B2D0" w:rsidR="0014162E" w:rsidRPr="0014162E" w:rsidRDefault="0014162E" w:rsidP="0021663E">
      <w:pPr>
        <w:pStyle w:val="SingleTxt"/>
        <w:jc w:val="left"/>
        <w:rPr>
          <w:lang w:val="fr-FR"/>
        </w:rPr>
      </w:pPr>
      <w:r w:rsidRPr="0014162E">
        <w:rPr>
          <w:lang w:val="fr-FR"/>
        </w:rPr>
        <w:t>AFJCI</w:t>
      </w:r>
      <w:r w:rsidRPr="0014162E">
        <w:rPr>
          <w:lang w:val="fr-FR"/>
        </w:rPr>
        <w:tab/>
      </w:r>
      <w:r w:rsidR="00022F9A">
        <w:rPr>
          <w:lang w:val="fr-FR"/>
        </w:rPr>
        <w:tab/>
      </w:r>
      <w:r w:rsidR="00022F9A">
        <w:rPr>
          <w:lang w:val="fr-FR"/>
        </w:rPr>
        <w:tab/>
      </w:r>
      <w:r w:rsidRPr="0014162E">
        <w:rPr>
          <w:lang w:val="fr-FR"/>
        </w:rPr>
        <w:t>Association des Femmes Juristes de Côte d</w:t>
      </w:r>
      <w:r w:rsidR="000C16F5">
        <w:rPr>
          <w:lang w:val="fr-FR"/>
        </w:rPr>
        <w:t>’</w:t>
      </w:r>
      <w:r w:rsidRPr="0014162E">
        <w:rPr>
          <w:lang w:val="fr-FR"/>
        </w:rPr>
        <w:t>Ivoire</w:t>
      </w:r>
    </w:p>
    <w:p w14:paraId="785405B8" w14:textId="79EE09E3" w:rsidR="0014162E" w:rsidRPr="0014162E" w:rsidRDefault="0014162E" w:rsidP="0021663E">
      <w:pPr>
        <w:pStyle w:val="SingleTxt"/>
        <w:jc w:val="left"/>
        <w:rPr>
          <w:lang w:val="fr-FR"/>
        </w:rPr>
      </w:pPr>
      <w:r w:rsidRPr="0014162E">
        <w:rPr>
          <w:lang w:val="fr-FR"/>
        </w:rPr>
        <w:t>AGR</w:t>
      </w:r>
      <w:r w:rsidRPr="0014162E">
        <w:rPr>
          <w:lang w:val="fr-FR"/>
        </w:rPr>
        <w:tab/>
      </w:r>
      <w:r w:rsidRPr="0014162E">
        <w:rPr>
          <w:lang w:val="fr-FR"/>
        </w:rPr>
        <w:tab/>
      </w:r>
      <w:r w:rsidR="00022F9A">
        <w:rPr>
          <w:lang w:val="fr-FR"/>
        </w:rPr>
        <w:tab/>
      </w:r>
      <w:r w:rsidR="00022F9A">
        <w:rPr>
          <w:lang w:val="fr-FR"/>
        </w:rPr>
        <w:tab/>
      </w:r>
      <w:r w:rsidRPr="0014162E">
        <w:rPr>
          <w:lang w:val="fr-FR"/>
        </w:rPr>
        <w:t>Activités Génératrices de Revenus</w:t>
      </w:r>
    </w:p>
    <w:p w14:paraId="4A6C4FF7" w14:textId="2A6B4242" w:rsidR="0014162E" w:rsidRPr="0014162E" w:rsidRDefault="0014162E" w:rsidP="0021663E">
      <w:pPr>
        <w:pStyle w:val="SingleTxt"/>
        <w:jc w:val="left"/>
        <w:rPr>
          <w:lang w:val="fr-FR"/>
        </w:rPr>
      </w:pPr>
      <w:r w:rsidRPr="0014162E">
        <w:rPr>
          <w:lang w:val="fr-FR"/>
        </w:rPr>
        <w:t>AIBEF</w:t>
      </w:r>
      <w:r w:rsidRPr="0014162E">
        <w:rPr>
          <w:lang w:val="fr-FR"/>
        </w:rPr>
        <w:tab/>
      </w:r>
      <w:r w:rsidR="00022F9A">
        <w:rPr>
          <w:lang w:val="fr-FR"/>
        </w:rPr>
        <w:tab/>
      </w:r>
      <w:r w:rsidR="00022F9A">
        <w:rPr>
          <w:lang w:val="fr-FR"/>
        </w:rPr>
        <w:tab/>
      </w:r>
      <w:r w:rsidRPr="0014162E">
        <w:rPr>
          <w:lang w:val="fr-FR"/>
        </w:rPr>
        <w:t xml:space="preserve">Association Ivoirienne pour le Bien Être-Familial </w:t>
      </w:r>
    </w:p>
    <w:p w14:paraId="384494C4" w14:textId="4C9B470A" w:rsidR="0014162E" w:rsidRPr="0014162E" w:rsidRDefault="0014162E" w:rsidP="0021663E">
      <w:pPr>
        <w:pStyle w:val="SingleTxt"/>
        <w:jc w:val="left"/>
        <w:rPr>
          <w:lang w:val="fr-FR"/>
        </w:rPr>
      </w:pPr>
      <w:r w:rsidRPr="0014162E">
        <w:rPr>
          <w:lang w:val="fr-FR"/>
        </w:rPr>
        <w:t>AIMAS</w:t>
      </w:r>
      <w:r w:rsidRPr="0014162E">
        <w:rPr>
          <w:lang w:val="fr-FR"/>
        </w:rPr>
        <w:tab/>
      </w:r>
      <w:r w:rsidR="00022F9A">
        <w:rPr>
          <w:lang w:val="fr-FR"/>
        </w:rPr>
        <w:tab/>
      </w:r>
      <w:r w:rsidR="00022F9A">
        <w:rPr>
          <w:lang w:val="fr-FR"/>
        </w:rPr>
        <w:tab/>
      </w:r>
      <w:r w:rsidRPr="0014162E">
        <w:rPr>
          <w:lang w:val="fr-FR"/>
        </w:rPr>
        <w:t xml:space="preserve">Agence Ivoirienne de Marketing social </w:t>
      </w:r>
    </w:p>
    <w:p w14:paraId="3A0BFB78" w14:textId="0B248EB6" w:rsidR="0014162E" w:rsidRPr="0014162E" w:rsidRDefault="0014162E" w:rsidP="0021663E">
      <w:pPr>
        <w:pStyle w:val="SingleTxt"/>
        <w:jc w:val="left"/>
        <w:rPr>
          <w:lang w:val="fr-FR"/>
        </w:rPr>
      </w:pPr>
      <w:r w:rsidRPr="0014162E">
        <w:rPr>
          <w:lang w:val="fr-FR"/>
        </w:rPr>
        <w:t>ALPC</w:t>
      </w:r>
      <w:r w:rsidRPr="0014162E">
        <w:rPr>
          <w:lang w:val="fr-FR"/>
        </w:rPr>
        <w:tab/>
      </w:r>
      <w:r w:rsidRPr="0014162E">
        <w:rPr>
          <w:lang w:val="fr-FR"/>
        </w:rPr>
        <w:tab/>
      </w:r>
      <w:r w:rsidR="00022F9A">
        <w:rPr>
          <w:lang w:val="fr-FR"/>
        </w:rPr>
        <w:tab/>
      </w:r>
      <w:r w:rsidRPr="0014162E">
        <w:rPr>
          <w:lang w:val="fr-FR"/>
        </w:rPr>
        <w:t xml:space="preserve">Armes Légères et de Petits Calibres </w:t>
      </w:r>
    </w:p>
    <w:p w14:paraId="78BB0361" w14:textId="6E6656AC" w:rsidR="0014162E" w:rsidRPr="0014162E" w:rsidRDefault="0014162E" w:rsidP="0021663E">
      <w:pPr>
        <w:pStyle w:val="SingleTxt"/>
        <w:jc w:val="left"/>
        <w:rPr>
          <w:lang w:val="fr-FR"/>
        </w:rPr>
      </w:pPr>
      <w:r w:rsidRPr="0014162E">
        <w:rPr>
          <w:lang w:val="fr-FR"/>
        </w:rPr>
        <w:t>ANADER</w:t>
      </w:r>
      <w:r w:rsidRPr="0014162E">
        <w:rPr>
          <w:lang w:val="fr-FR"/>
        </w:rPr>
        <w:tab/>
      </w:r>
      <w:r w:rsidR="00022F9A">
        <w:rPr>
          <w:lang w:val="fr-FR"/>
        </w:rPr>
        <w:tab/>
      </w:r>
      <w:r w:rsidR="00022F9A">
        <w:rPr>
          <w:lang w:val="fr-FR"/>
        </w:rPr>
        <w:tab/>
      </w:r>
      <w:r w:rsidRPr="0014162E">
        <w:rPr>
          <w:lang w:val="fr-FR"/>
        </w:rPr>
        <w:t>Agence Nationale d</w:t>
      </w:r>
      <w:r w:rsidR="000C16F5">
        <w:rPr>
          <w:lang w:val="fr-FR"/>
        </w:rPr>
        <w:t>’</w:t>
      </w:r>
      <w:r w:rsidRPr="0014162E">
        <w:rPr>
          <w:lang w:val="fr-FR"/>
        </w:rPr>
        <w:t>Appui au Développement Rural</w:t>
      </w:r>
    </w:p>
    <w:p w14:paraId="397DA9CF" w14:textId="2041DCA2" w:rsidR="0014162E" w:rsidRPr="0014162E" w:rsidRDefault="0014162E" w:rsidP="0021663E">
      <w:pPr>
        <w:pStyle w:val="SingleTxt"/>
        <w:jc w:val="left"/>
        <w:rPr>
          <w:lang w:val="fr-FR"/>
        </w:rPr>
      </w:pPr>
      <w:r w:rsidRPr="0014162E">
        <w:rPr>
          <w:lang w:val="fr-FR"/>
        </w:rPr>
        <w:t>ANCI</w:t>
      </w:r>
      <w:r w:rsidRPr="0014162E">
        <w:rPr>
          <w:lang w:val="fr-FR"/>
        </w:rPr>
        <w:tab/>
      </w:r>
      <w:r w:rsidRPr="0014162E">
        <w:rPr>
          <w:lang w:val="fr-FR"/>
        </w:rPr>
        <w:tab/>
      </w:r>
      <w:r w:rsidR="00022F9A">
        <w:rPr>
          <w:lang w:val="fr-FR"/>
        </w:rPr>
        <w:tab/>
      </w:r>
      <w:r w:rsidRPr="0014162E">
        <w:rPr>
          <w:lang w:val="fr-FR"/>
        </w:rPr>
        <w:t>Assemblée Nationale de Côte d</w:t>
      </w:r>
      <w:r w:rsidR="000C16F5">
        <w:rPr>
          <w:lang w:val="fr-FR"/>
        </w:rPr>
        <w:t>’</w:t>
      </w:r>
      <w:r w:rsidRPr="0014162E">
        <w:rPr>
          <w:lang w:val="fr-FR"/>
        </w:rPr>
        <w:t>Ivoire</w:t>
      </w:r>
    </w:p>
    <w:p w14:paraId="24E8308F" w14:textId="0F832B20" w:rsidR="0014162E" w:rsidRPr="0014162E" w:rsidRDefault="0014162E" w:rsidP="0021663E">
      <w:pPr>
        <w:pStyle w:val="SingleTxt"/>
        <w:ind w:left="3182" w:hanging="1915"/>
        <w:jc w:val="left"/>
        <w:rPr>
          <w:lang w:val="fr-FR"/>
        </w:rPr>
      </w:pPr>
      <w:r w:rsidRPr="0014162E">
        <w:rPr>
          <w:lang w:val="fr-FR"/>
        </w:rPr>
        <w:t>APAC-CI</w:t>
      </w:r>
      <w:r w:rsidRPr="0014162E">
        <w:rPr>
          <w:lang w:val="fr-FR"/>
        </w:rPr>
        <w:tab/>
      </w:r>
      <w:r w:rsidR="00022F9A">
        <w:rPr>
          <w:lang w:val="fr-FR"/>
        </w:rPr>
        <w:tab/>
      </w:r>
      <w:r w:rsidR="00022F9A">
        <w:rPr>
          <w:lang w:val="fr-FR"/>
        </w:rPr>
        <w:tab/>
      </w:r>
      <w:r w:rsidRPr="0014162E">
        <w:rPr>
          <w:lang w:val="fr-FR"/>
        </w:rPr>
        <w:t>Association des Femmes Professionnelles de la Communication de Côte d</w:t>
      </w:r>
      <w:r w:rsidR="000C16F5">
        <w:rPr>
          <w:lang w:val="fr-FR"/>
        </w:rPr>
        <w:t>’</w:t>
      </w:r>
      <w:r w:rsidRPr="0014162E">
        <w:rPr>
          <w:lang w:val="fr-FR"/>
        </w:rPr>
        <w:t>Ivoire</w:t>
      </w:r>
    </w:p>
    <w:p w14:paraId="7A9BA6ED" w14:textId="130857A7" w:rsidR="0014162E" w:rsidRPr="0014162E" w:rsidRDefault="0014162E" w:rsidP="0021663E">
      <w:pPr>
        <w:pStyle w:val="SingleTxt"/>
        <w:ind w:left="3182" w:hanging="1915"/>
        <w:jc w:val="left"/>
        <w:rPr>
          <w:lang w:val="fr-FR"/>
        </w:rPr>
      </w:pPr>
      <w:r w:rsidRPr="0014162E">
        <w:rPr>
          <w:lang w:val="fr-FR"/>
        </w:rPr>
        <w:t>APROSAM</w:t>
      </w:r>
      <w:r w:rsidRPr="0014162E">
        <w:rPr>
          <w:lang w:val="fr-FR"/>
        </w:rPr>
        <w:tab/>
      </w:r>
      <w:r w:rsidR="00022F9A">
        <w:rPr>
          <w:lang w:val="fr-FR"/>
        </w:rPr>
        <w:tab/>
      </w:r>
      <w:r w:rsidRPr="0014162E">
        <w:rPr>
          <w:lang w:val="fr-FR"/>
        </w:rPr>
        <w:t xml:space="preserve">Association pour la Promotion de la Santé de la Femme, </w:t>
      </w:r>
      <w:r w:rsidR="0021663E">
        <w:rPr>
          <w:lang w:val="fr-FR"/>
        </w:rPr>
        <w:br/>
      </w:r>
      <w:r w:rsidRPr="0014162E">
        <w:rPr>
          <w:lang w:val="fr-FR"/>
        </w:rPr>
        <w:t>de la Mère, de l</w:t>
      </w:r>
      <w:r w:rsidR="000C16F5">
        <w:rPr>
          <w:lang w:val="fr-FR"/>
        </w:rPr>
        <w:t>’</w:t>
      </w:r>
      <w:r w:rsidRPr="0014162E">
        <w:rPr>
          <w:lang w:val="fr-FR"/>
        </w:rPr>
        <w:t xml:space="preserve">Enfant et de la Famille </w:t>
      </w:r>
    </w:p>
    <w:p w14:paraId="405FCF27" w14:textId="39C758D4" w:rsidR="0014162E" w:rsidRPr="000C16F5" w:rsidRDefault="0014162E" w:rsidP="0021663E">
      <w:pPr>
        <w:pStyle w:val="SingleTxt"/>
        <w:jc w:val="left"/>
        <w:rPr>
          <w:lang w:val="en-US"/>
        </w:rPr>
      </w:pPr>
      <w:r w:rsidRPr="000C16F5">
        <w:rPr>
          <w:lang w:val="en-US"/>
        </w:rPr>
        <w:t>AWECO</w:t>
      </w:r>
      <w:r w:rsidRPr="000C16F5">
        <w:rPr>
          <w:lang w:val="en-US"/>
        </w:rPr>
        <w:tab/>
      </w:r>
      <w:r w:rsidR="00022F9A" w:rsidRPr="000C16F5">
        <w:rPr>
          <w:lang w:val="en-US"/>
        </w:rPr>
        <w:tab/>
      </w:r>
      <w:r w:rsidR="00022F9A" w:rsidRPr="000C16F5">
        <w:rPr>
          <w:lang w:val="en-US"/>
        </w:rPr>
        <w:tab/>
      </w:r>
      <w:r w:rsidRPr="000C16F5">
        <w:rPr>
          <w:lang w:val="en-US"/>
        </w:rPr>
        <w:t xml:space="preserve">African Women Welfare Committee </w:t>
      </w:r>
    </w:p>
    <w:p w14:paraId="369AEB27" w14:textId="04EE3F08" w:rsidR="0014162E" w:rsidRPr="000C16F5" w:rsidRDefault="0014162E" w:rsidP="0021663E">
      <w:pPr>
        <w:pStyle w:val="SingleTxt"/>
        <w:jc w:val="left"/>
        <w:rPr>
          <w:lang w:val="en-US"/>
        </w:rPr>
      </w:pPr>
      <w:r w:rsidRPr="000C16F5">
        <w:rPr>
          <w:lang w:val="en-US"/>
        </w:rPr>
        <w:t>ARV</w:t>
      </w:r>
      <w:r w:rsidRPr="000C16F5">
        <w:rPr>
          <w:lang w:val="en-US"/>
        </w:rPr>
        <w:tab/>
      </w:r>
      <w:r w:rsidRPr="000C16F5">
        <w:rPr>
          <w:lang w:val="en-US"/>
        </w:rPr>
        <w:tab/>
      </w:r>
      <w:r w:rsidR="00022F9A" w:rsidRPr="000C16F5">
        <w:rPr>
          <w:lang w:val="en-US"/>
        </w:rPr>
        <w:tab/>
      </w:r>
      <w:r w:rsidR="00022F9A" w:rsidRPr="000C16F5">
        <w:rPr>
          <w:lang w:val="en-US"/>
        </w:rPr>
        <w:tab/>
      </w:r>
      <w:r w:rsidRPr="000C16F5">
        <w:rPr>
          <w:lang w:val="en-US"/>
        </w:rPr>
        <w:t>Antiretroviral</w:t>
      </w:r>
    </w:p>
    <w:p w14:paraId="703C04CB" w14:textId="107F9B1F" w:rsidR="0014162E" w:rsidRPr="0014162E" w:rsidRDefault="0014162E" w:rsidP="0021663E">
      <w:pPr>
        <w:pStyle w:val="SingleTxt"/>
        <w:jc w:val="left"/>
        <w:rPr>
          <w:lang w:val="fr-FR"/>
        </w:rPr>
      </w:pPr>
      <w:r w:rsidRPr="0014162E">
        <w:rPr>
          <w:lang w:val="fr-FR"/>
        </w:rPr>
        <w:t>ASNU</w:t>
      </w:r>
      <w:r w:rsidRPr="0014162E">
        <w:rPr>
          <w:lang w:val="fr-FR"/>
        </w:rPr>
        <w:tab/>
      </w:r>
      <w:r w:rsidRPr="0014162E">
        <w:rPr>
          <w:lang w:val="fr-FR"/>
        </w:rPr>
        <w:tab/>
      </w:r>
      <w:r w:rsidR="00022F9A">
        <w:rPr>
          <w:lang w:val="fr-FR"/>
        </w:rPr>
        <w:tab/>
      </w:r>
      <w:r w:rsidRPr="0014162E">
        <w:rPr>
          <w:lang w:val="fr-FR"/>
        </w:rPr>
        <w:t xml:space="preserve">Agences du Système des Nations Unies </w:t>
      </w:r>
    </w:p>
    <w:p w14:paraId="4990C07A" w14:textId="69F7CEA4" w:rsidR="0014162E" w:rsidRPr="0014162E" w:rsidRDefault="0014162E" w:rsidP="0021663E">
      <w:pPr>
        <w:pStyle w:val="SingleTxt"/>
        <w:jc w:val="left"/>
        <w:rPr>
          <w:lang w:val="fr-FR"/>
        </w:rPr>
      </w:pPr>
      <w:r w:rsidRPr="0014162E">
        <w:rPr>
          <w:lang w:val="fr-FR"/>
        </w:rPr>
        <w:t>BAD</w:t>
      </w:r>
      <w:r w:rsidRPr="0014162E">
        <w:rPr>
          <w:lang w:val="fr-FR"/>
        </w:rPr>
        <w:tab/>
      </w:r>
      <w:r w:rsidRPr="0014162E">
        <w:rPr>
          <w:lang w:val="fr-FR"/>
        </w:rPr>
        <w:tab/>
      </w:r>
      <w:r w:rsidR="00022F9A">
        <w:rPr>
          <w:lang w:val="fr-FR"/>
        </w:rPr>
        <w:tab/>
      </w:r>
      <w:r w:rsidR="00022F9A">
        <w:rPr>
          <w:lang w:val="fr-FR"/>
        </w:rPr>
        <w:tab/>
      </w:r>
      <w:r w:rsidRPr="0014162E">
        <w:rPr>
          <w:lang w:val="fr-FR"/>
        </w:rPr>
        <w:t>Banque Africaine de Développement</w:t>
      </w:r>
    </w:p>
    <w:p w14:paraId="5134F557" w14:textId="41B8E89E" w:rsidR="0014162E" w:rsidRPr="0014162E" w:rsidRDefault="0014162E" w:rsidP="0021663E">
      <w:pPr>
        <w:pStyle w:val="SingleTxt"/>
        <w:jc w:val="left"/>
        <w:rPr>
          <w:lang w:val="fr-FR"/>
        </w:rPr>
      </w:pPr>
      <w:r w:rsidRPr="0014162E">
        <w:rPr>
          <w:lang w:val="fr-FR"/>
        </w:rPr>
        <w:t>BICE</w:t>
      </w:r>
      <w:r w:rsidRPr="0014162E">
        <w:rPr>
          <w:lang w:val="fr-FR"/>
        </w:rPr>
        <w:tab/>
      </w:r>
      <w:r w:rsidRPr="0014162E">
        <w:rPr>
          <w:lang w:val="fr-FR"/>
        </w:rPr>
        <w:tab/>
      </w:r>
      <w:r w:rsidR="00022F9A">
        <w:rPr>
          <w:lang w:val="fr-FR"/>
        </w:rPr>
        <w:tab/>
      </w:r>
      <w:r w:rsidRPr="0014162E">
        <w:rPr>
          <w:lang w:val="fr-FR"/>
        </w:rPr>
        <w:t>Bureau International Catholique de l</w:t>
      </w:r>
      <w:r w:rsidR="000C16F5">
        <w:rPr>
          <w:lang w:val="fr-FR"/>
        </w:rPr>
        <w:t>’</w:t>
      </w:r>
      <w:r w:rsidRPr="0014162E">
        <w:rPr>
          <w:lang w:val="fr-FR"/>
        </w:rPr>
        <w:t xml:space="preserve">Enfance </w:t>
      </w:r>
    </w:p>
    <w:p w14:paraId="77B4EF75" w14:textId="7A664B68" w:rsidR="0014162E" w:rsidRPr="0014162E" w:rsidRDefault="0014162E" w:rsidP="0021663E">
      <w:pPr>
        <w:pStyle w:val="SingleTxt"/>
        <w:ind w:left="3182" w:hanging="1915"/>
        <w:jc w:val="left"/>
        <w:rPr>
          <w:lang w:val="fr-FR"/>
        </w:rPr>
      </w:pPr>
      <w:r w:rsidRPr="0014162E">
        <w:rPr>
          <w:lang w:val="fr-FR"/>
        </w:rPr>
        <w:t>BRSSG-VSC</w:t>
      </w:r>
      <w:r w:rsidRPr="0014162E">
        <w:rPr>
          <w:lang w:val="fr-FR"/>
        </w:rPr>
        <w:tab/>
      </w:r>
      <w:r w:rsidR="00022F9A">
        <w:rPr>
          <w:lang w:val="fr-FR"/>
        </w:rPr>
        <w:tab/>
      </w:r>
      <w:r w:rsidRPr="0014162E">
        <w:rPr>
          <w:lang w:val="fr-FR"/>
        </w:rPr>
        <w:t>Bureau de la Représentante Spéciale du Secrétaire Générale de Nations Unies chargée des Violences Sexuelles en Situation de Conflit</w:t>
      </w:r>
    </w:p>
    <w:p w14:paraId="73534812" w14:textId="120896B8" w:rsidR="0014162E" w:rsidRPr="0014162E" w:rsidRDefault="0014162E" w:rsidP="0021663E">
      <w:pPr>
        <w:pStyle w:val="SingleTxt"/>
        <w:jc w:val="left"/>
        <w:rPr>
          <w:lang w:val="fr-FR"/>
        </w:rPr>
      </w:pPr>
      <w:r w:rsidRPr="0014162E">
        <w:rPr>
          <w:lang w:val="fr-FR"/>
        </w:rPr>
        <w:t>BIT</w:t>
      </w:r>
      <w:r w:rsidRPr="0014162E">
        <w:rPr>
          <w:lang w:val="fr-FR"/>
        </w:rPr>
        <w:tab/>
      </w:r>
      <w:r w:rsidRPr="0014162E">
        <w:rPr>
          <w:lang w:val="fr-FR"/>
        </w:rPr>
        <w:tab/>
      </w:r>
      <w:r w:rsidR="00022F9A">
        <w:rPr>
          <w:lang w:val="fr-FR"/>
        </w:rPr>
        <w:tab/>
      </w:r>
      <w:r w:rsidR="00022F9A">
        <w:rPr>
          <w:lang w:val="fr-FR"/>
        </w:rPr>
        <w:tab/>
      </w:r>
      <w:r w:rsidRPr="0014162E">
        <w:rPr>
          <w:lang w:val="fr-FR"/>
        </w:rPr>
        <w:t>Bureau International du Travail</w:t>
      </w:r>
    </w:p>
    <w:p w14:paraId="5D00E262" w14:textId="4699A933" w:rsidR="0014162E" w:rsidRPr="0014162E" w:rsidRDefault="0014162E" w:rsidP="0021663E">
      <w:pPr>
        <w:pStyle w:val="SingleTxt"/>
        <w:jc w:val="left"/>
        <w:rPr>
          <w:lang w:val="fr-FR"/>
        </w:rPr>
      </w:pPr>
      <w:r w:rsidRPr="0014162E">
        <w:rPr>
          <w:lang w:val="fr-FR"/>
        </w:rPr>
        <w:t>CADBE</w:t>
      </w:r>
      <w:r w:rsidRPr="0014162E">
        <w:rPr>
          <w:lang w:val="fr-FR"/>
        </w:rPr>
        <w:tab/>
      </w:r>
      <w:r w:rsidR="00022F9A">
        <w:rPr>
          <w:lang w:val="fr-FR"/>
        </w:rPr>
        <w:tab/>
      </w:r>
      <w:r w:rsidR="00022F9A">
        <w:rPr>
          <w:lang w:val="fr-FR"/>
        </w:rPr>
        <w:tab/>
      </w:r>
      <w:r w:rsidRPr="0014162E">
        <w:rPr>
          <w:lang w:val="fr-FR"/>
        </w:rPr>
        <w:t xml:space="preserve">Charte Africaine des Droits et du Bien </w:t>
      </w:r>
      <w:r w:rsidR="00C10A78" w:rsidRPr="0014162E">
        <w:rPr>
          <w:lang w:val="fr-FR"/>
        </w:rPr>
        <w:t>Être</w:t>
      </w:r>
      <w:r w:rsidRPr="0014162E">
        <w:rPr>
          <w:lang w:val="fr-FR"/>
        </w:rPr>
        <w:t xml:space="preserve"> de l</w:t>
      </w:r>
      <w:r w:rsidR="000C16F5">
        <w:rPr>
          <w:lang w:val="fr-FR"/>
        </w:rPr>
        <w:t>’</w:t>
      </w:r>
      <w:r w:rsidRPr="0014162E">
        <w:rPr>
          <w:lang w:val="fr-FR"/>
        </w:rPr>
        <w:t xml:space="preserve">Enfant </w:t>
      </w:r>
    </w:p>
    <w:p w14:paraId="05F9AF95" w14:textId="1C2D85E0" w:rsidR="0014162E" w:rsidRPr="0014162E" w:rsidRDefault="0014162E" w:rsidP="0021663E">
      <w:pPr>
        <w:pStyle w:val="SingleTxt"/>
        <w:jc w:val="left"/>
        <w:rPr>
          <w:lang w:val="fr-FR"/>
        </w:rPr>
      </w:pPr>
      <w:r w:rsidRPr="0014162E">
        <w:rPr>
          <w:lang w:val="fr-FR"/>
        </w:rPr>
        <w:t>CADHP</w:t>
      </w:r>
      <w:r w:rsidRPr="0014162E">
        <w:rPr>
          <w:lang w:val="fr-FR"/>
        </w:rPr>
        <w:tab/>
      </w:r>
      <w:r w:rsidR="00022F9A">
        <w:rPr>
          <w:lang w:val="fr-FR"/>
        </w:rPr>
        <w:tab/>
      </w:r>
      <w:r w:rsidR="00022F9A">
        <w:rPr>
          <w:lang w:val="fr-FR"/>
        </w:rPr>
        <w:tab/>
      </w:r>
      <w:r w:rsidRPr="0014162E">
        <w:rPr>
          <w:lang w:val="fr-FR"/>
        </w:rPr>
        <w:t>Commission Africaine des Droits de l</w:t>
      </w:r>
      <w:r w:rsidR="000C16F5">
        <w:rPr>
          <w:lang w:val="fr-FR"/>
        </w:rPr>
        <w:t>’</w:t>
      </w:r>
      <w:r w:rsidRPr="0014162E">
        <w:rPr>
          <w:lang w:val="fr-FR"/>
        </w:rPr>
        <w:t xml:space="preserve">Homme et des Peuples </w:t>
      </w:r>
    </w:p>
    <w:p w14:paraId="56D1A2C5" w14:textId="52F67058" w:rsidR="0014162E" w:rsidRPr="0014162E" w:rsidRDefault="0014162E" w:rsidP="0021663E">
      <w:pPr>
        <w:pStyle w:val="SingleTxt"/>
        <w:jc w:val="left"/>
        <w:rPr>
          <w:lang w:val="fr-FR"/>
        </w:rPr>
      </w:pPr>
      <w:r w:rsidRPr="0014162E">
        <w:rPr>
          <w:lang w:val="fr-FR"/>
        </w:rPr>
        <w:t>CAFOP</w:t>
      </w:r>
      <w:r w:rsidRPr="0014162E">
        <w:rPr>
          <w:lang w:val="fr-FR"/>
        </w:rPr>
        <w:tab/>
      </w:r>
      <w:r w:rsidR="00022F9A">
        <w:rPr>
          <w:lang w:val="fr-FR"/>
        </w:rPr>
        <w:tab/>
      </w:r>
      <w:r w:rsidR="00022F9A">
        <w:rPr>
          <w:lang w:val="fr-FR"/>
        </w:rPr>
        <w:tab/>
      </w:r>
      <w:r w:rsidRPr="0014162E">
        <w:rPr>
          <w:lang w:val="fr-FR"/>
        </w:rPr>
        <w:t>Centre d</w:t>
      </w:r>
      <w:r w:rsidR="000C16F5">
        <w:rPr>
          <w:lang w:val="fr-FR"/>
        </w:rPr>
        <w:t>’</w:t>
      </w:r>
      <w:r w:rsidRPr="0014162E">
        <w:rPr>
          <w:lang w:val="fr-FR"/>
        </w:rPr>
        <w:t>Animation et de Formation Pédagogique</w:t>
      </w:r>
    </w:p>
    <w:p w14:paraId="435E4FE2" w14:textId="7627C03B" w:rsidR="0014162E" w:rsidRPr="0014162E" w:rsidRDefault="0014162E" w:rsidP="0021663E">
      <w:pPr>
        <w:pStyle w:val="SingleTxt"/>
        <w:ind w:left="3182" w:hanging="1915"/>
        <w:jc w:val="left"/>
        <w:rPr>
          <w:lang w:val="fr-FR"/>
        </w:rPr>
      </w:pPr>
      <w:r w:rsidRPr="0014162E">
        <w:rPr>
          <w:lang w:val="fr-FR"/>
        </w:rPr>
        <w:t>CARMMA</w:t>
      </w:r>
      <w:r w:rsidRPr="0014162E">
        <w:rPr>
          <w:lang w:val="fr-FR"/>
        </w:rPr>
        <w:tab/>
      </w:r>
      <w:r w:rsidR="00022F9A">
        <w:rPr>
          <w:lang w:val="fr-FR"/>
        </w:rPr>
        <w:tab/>
      </w:r>
      <w:r w:rsidRPr="0014162E">
        <w:rPr>
          <w:lang w:val="fr-FR"/>
        </w:rPr>
        <w:t>Campagne pour l</w:t>
      </w:r>
      <w:r w:rsidR="000C16F5">
        <w:rPr>
          <w:lang w:val="fr-FR"/>
        </w:rPr>
        <w:t>’</w:t>
      </w:r>
      <w:r w:rsidRPr="0014162E">
        <w:rPr>
          <w:lang w:val="fr-FR"/>
        </w:rPr>
        <w:t>Accélération de la Réduction de la Mortalité Maternelle en Afrique</w:t>
      </w:r>
    </w:p>
    <w:p w14:paraId="142B75A9" w14:textId="1D4F0507" w:rsidR="0014162E" w:rsidRPr="0014162E" w:rsidRDefault="0014162E" w:rsidP="0021663E">
      <w:pPr>
        <w:pStyle w:val="SingleTxt"/>
        <w:jc w:val="left"/>
        <w:rPr>
          <w:lang w:val="fr-FR"/>
        </w:rPr>
      </w:pPr>
      <w:r w:rsidRPr="0014162E">
        <w:rPr>
          <w:lang w:val="fr-FR"/>
        </w:rPr>
        <w:t>CDVR</w:t>
      </w:r>
      <w:r w:rsidRPr="0014162E">
        <w:rPr>
          <w:lang w:val="fr-FR"/>
        </w:rPr>
        <w:tab/>
      </w:r>
      <w:r w:rsidRPr="0014162E">
        <w:rPr>
          <w:lang w:val="fr-FR"/>
        </w:rPr>
        <w:tab/>
      </w:r>
      <w:r w:rsidR="00022F9A">
        <w:rPr>
          <w:lang w:val="fr-FR"/>
        </w:rPr>
        <w:tab/>
      </w:r>
      <w:r w:rsidRPr="0014162E">
        <w:rPr>
          <w:lang w:val="fr-FR"/>
        </w:rPr>
        <w:t>Commission Dialogue Vérité -Réconciliation</w:t>
      </w:r>
    </w:p>
    <w:p w14:paraId="624D7EBA" w14:textId="3879DA1F" w:rsidR="0014162E" w:rsidRPr="0014162E" w:rsidRDefault="0014162E" w:rsidP="0021663E">
      <w:pPr>
        <w:pStyle w:val="SingleTxt"/>
        <w:jc w:val="left"/>
        <w:rPr>
          <w:lang w:val="fr-FR"/>
        </w:rPr>
      </w:pPr>
      <w:r w:rsidRPr="0014162E">
        <w:rPr>
          <w:lang w:val="fr-FR"/>
        </w:rPr>
        <w:t>CEDEAO</w:t>
      </w:r>
      <w:r w:rsidRPr="0014162E">
        <w:rPr>
          <w:lang w:val="fr-FR"/>
        </w:rPr>
        <w:tab/>
      </w:r>
      <w:r w:rsidR="00022F9A">
        <w:rPr>
          <w:lang w:val="fr-FR"/>
        </w:rPr>
        <w:tab/>
      </w:r>
      <w:r w:rsidR="00022F9A">
        <w:rPr>
          <w:lang w:val="fr-FR"/>
        </w:rPr>
        <w:tab/>
      </w:r>
      <w:r w:rsidRPr="0014162E">
        <w:rPr>
          <w:lang w:val="fr-FR"/>
        </w:rPr>
        <w:t xml:space="preserve">Communauté des </w:t>
      </w:r>
      <w:r w:rsidR="00C10A78" w:rsidRPr="0014162E">
        <w:rPr>
          <w:lang w:val="fr-FR"/>
        </w:rPr>
        <w:t>États</w:t>
      </w:r>
      <w:r w:rsidRPr="0014162E">
        <w:rPr>
          <w:lang w:val="fr-FR"/>
        </w:rPr>
        <w:t xml:space="preserve"> De l</w:t>
      </w:r>
      <w:r w:rsidR="000C16F5">
        <w:rPr>
          <w:lang w:val="fr-FR"/>
        </w:rPr>
        <w:t>’</w:t>
      </w:r>
      <w:r w:rsidRPr="0014162E">
        <w:rPr>
          <w:lang w:val="fr-FR"/>
        </w:rPr>
        <w:t>Afrique de l</w:t>
      </w:r>
      <w:r w:rsidR="000C16F5">
        <w:rPr>
          <w:lang w:val="fr-FR"/>
        </w:rPr>
        <w:t>’</w:t>
      </w:r>
      <w:r w:rsidRPr="0014162E">
        <w:rPr>
          <w:lang w:val="fr-FR"/>
        </w:rPr>
        <w:t>Ouest</w:t>
      </w:r>
    </w:p>
    <w:p w14:paraId="52039776" w14:textId="23864A8A" w:rsidR="0014162E" w:rsidRPr="0014162E" w:rsidRDefault="0014162E" w:rsidP="0021663E">
      <w:pPr>
        <w:pStyle w:val="SingleTxt"/>
        <w:jc w:val="left"/>
        <w:rPr>
          <w:lang w:val="fr-FR"/>
        </w:rPr>
      </w:pPr>
      <w:r w:rsidRPr="0014162E">
        <w:rPr>
          <w:lang w:val="fr-FR"/>
        </w:rPr>
        <w:t>CEFEM</w:t>
      </w:r>
      <w:r w:rsidRPr="0014162E">
        <w:rPr>
          <w:lang w:val="fr-FR"/>
        </w:rPr>
        <w:tab/>
      </w:r>
      <w:r w:rsidR="00022F9A">
        <w:rPr>
          <w:lang w:val="fr-FR"/>
        </w:rPr>
        <w:tab/>
      </w:r>
      <w:r w:rsidR="00022F9A">
        <w:rPr>
          <w:lang w:val="fr-FR"/>
        </w:rPr>
        <w:tab/>
      </w:r>
      <w:r w:rsidRPr="0014162E">
        <w:rPr>
          <w:lang w:val="fr-FR"/>
        </w:rPr>
        <w:t>Centre d</w:t>
      </w:r>
      <w:r w:rsidR="000C16F5">
        <w:rPr>
          <w:lang w:val="fr-FR"/>
        </w:rPr>
        <w:t>’</w:t>
      </w:r>
      <w:r w:rsidRPr="0014162E">
        <w:rPr>
          <w:lang w:val="fr-FR"/>
        </w:rPr>
        <w:t xml:space="preserve">Excellence des Femmes de Man </w:t>
      </w:r>
    </w:p>
    <w:p w14:paraId="6ED6674D" w14:textId="2F2A5AD1" w:rsidR="0014162E" w:rsidRPr="0014162E" w:rsidRDefault="0014162E" w:rsidP="0021663E">
      <w:pPr>
        <w:pStyle w:val="SingleTxt"/>
        <w:jc w:val="left"/>
        <w:rPr>
          <w:lang w:val="fr-FR"/>
        </w:rPr>
      </w:pPr>
      <w:r w:rsidRPr="0014162E">
        <w:rPr>
          <w:lang w:val="fr-FR"/>
        </w:rPr>
        <w:t>CMEF</w:t>
      </w:r>
      <w:r w:rsidRPr="0014162E">
        <w:rPr>
          <w:lang w:val="fr-FR"/>
        </w:rPr>
        <w:tab/>
      </w:r>
      <w:r w:rsidRPr="0014162E">
        <w:rPr>
          <w:lang w:val="fr-FR"/>
        </w:rPr>
        <w:tab/>
      </w:r>
      <w:r w:rsidR="00022F9A">
        <w:rPr>
          <w:lang w:val="fr-FR"/>
        </w:rPr>
        <w:tab/>
      </w:r>
      <w:r w:rsidRPr="0014162E">
        <w:rPr>
          <w:lang w:val="fr-FR"/>
        </w:rPr>
        <w:t>Clubs de Mères d</w:t>
      </w:r>
      <w:r w:rsidR="000C16F5">
        <w:rPr>
          <w:lang w:val="fr-FR"/>
        </w:rPr>
        <w:t>’</w:t>
      </w:r>
      <w:r w:rsidRPr="0014162E">
        <w:rPr>
          <w:lang w:val="fr-FR"/>
        </w:rPr>
        <w:t xml:space="preserve">élèves filles </w:t>
      </w:r>
    </w:p>
    <w:p w14:paraId="3245E238" w14:textId="3BDF38C5" w:rsidR="0014162E" w:rsidRPr="0014162E" w:rsidRDefault="0014162E" w:rsidP="0021663E">
      <w:pPr>
        <w:pStyle w:val="SingleTxt"/>
        <w:jc w:val="left"/>
        <w:rPr>
          <w:lang w:val="fr-FR"/>
        </w:rPr>
      </w:pPr>
      <w:r w:rsidRPr="0014162E">
        <w:rPr>
          <w:lang w:val="fr-FR"/>
        </w:rPr>
        <w:t>CMU</w:t>
      </w:r>
      <w:r w:rsidRPr="0014162E">
        <w:rPr>
          <w:lang w:val="fr-FR"/>
        </w:rPr>
        <w:tab/>
      </w:r>
      <w:r w:rsidRPr="0014162E">
        <w:rPr>
          <w:lang w:val="fr-FR"/>
        </w:rPr>
        <w:tab/>
      </w:r>
      <w:r w:rsidR="00022F9A">
        <w:rPr>
          <w:lang w:val="fr-FR"/>
        </w:rPr>
        <w:tab/>
      </w:r>
      <w:r w:rsidRPr="0014162E">
        <w:rPr>
          <w:lang w:val="fr-FR"/>
        </w:rPr>
        <w:t xml:space="preserve">Couverture Maladie Universelle </w:t>
      </w:r>
    </w:p>
    <w:p w14:paraId="3E0451E4" w14:textId="78B5579E" w:rsidR="0014162E" w:rsidRPr="0014162E" w:rsidRDefault="0014162E" w:rsidP="0021663E">
      <w:pPr>
        <w:pStyle w:val="SingleTxt"/>
        <w:jc w:val="left"/>
        <w:rPr>
          <w:lang w:val="fr-FR"/>
        </w:rPr>
      </w:pPr>
      <w:r w:rsidRPr="0014162E">
        <w:rPr>
          <w:lang w:val="fr-FR"/>
        </w:rPr>
        <w:t>CNAL</w:t>
      </w:r>
      <w:r w:rsidRPr="0014162E">
        <w:rPr>
          <w:lang w:val="fr-FR"/>
        </w:rPr>
        <w:tab/>
      </w:r>
      <w:r w:rsidRPr="0014162E">
        <w:rPr>
          <w:lang w:val="fr-FR"/>
        </w:rPr>
        <w:tab/>
      </w:r>
      <w:r w:rsidR="00022F9A">
        <w:rPr>
          <w:lang w:val="fr-FR"/>
        </w:rPr>
        <w:tab/>
      </w:r>
      <w:r w:rsidRPr="0014162E">
        <w:rPr>
          <w:lang w:val="fr-FR"/>
        </w:rPr>
        <w:t>Comité National d</w:t>
      </w:r>
      <w:r w:rsidR="000C16F5">
        <w:rPr>
          <w:lang w:val="fr-FR"/>
        </w:rPr>
        <w:t>’</w:t>
      </w:r>
      <w:r w:rsidRPr="0014162E">
        <w:rPr>
          <w:lang w:val="fr-FR"/>
        </w:rPr>
        <w:t>Alphabétisation</w:t>
      </w:r>
    </w:p>
    <w:p w14:paraId="46C65F9C" w14:textId="21458105" w:rsidR="0014162E" w:rsidRPr="0014162E" w:rsidRDefault="0014162E" w:rsidP="0021663E">
      <w:pPr>
        <w:pStyle w:val="SingleTxt"/>
        <w:ind w:left="3182" w:hanging="1915"/>
        <w:jc w:val="left"/>
        <w:rPr>
          <w:lang w:val="fr-FR"/>
        </w:rPr>
      </w:pPr>
      <w:r w:rsidRPr="0014162E">
        <w:rPr>
          <w:lang w:val="fr-FR"/>
        </w:rPr>
        <w:t>CNDH-CI</w:t>
      </w:r>
      <w:r w:rsidRPr="0014162E">
        <w:rPr>
          <w:lang w:val="fr-FR"/>
        </w:rPr>
        <w:tab/>
      </w:r>
      <w:r w:rsidR="00022F9A">
        <w:rPr>
          <w:lang w:val="fr-FR"/>
        </w:rPr>
        <w:tab/>
      </w:r>
      <w:r w:rsidR="00022F9A">
        <w:rPr>
          <w:lang w:val="fr-FR"/>
        </w:rPr>
        <w:tab/>
      </w:r>
      <w:r w:rsidRPr="0014162E">
        <w:rPr>
          <w:lang w:val="fr-FR"/>
        </w:rPr>
        <w:t>Commission Nationale des Droits de l</w:t>
      </w:r>
      <w:r w:rsidR="000C16F5">
        <w:rPr>
          <w:lang w:val="fr-FR"/>
        </w:rPr>
        <w:t>’</w:t>
      </w:r>
      <w:r w:rsidRPr="0014162E">
        <w:rPr>
          <w:lang w:val="fr-FR"/>
        </w:rPr>
        <w:t>Homme de Côte d</w:t>
      </w:r>
      <w:r w:rsidR="000C16F5">
        <w:rPr>
          <w:lang w:val="fr-FR"/>
        </w:rPr>
        <w:t>’</w:t>
      </w:r>
      <w:r w:rsidRPr="0014162E">
        <w:rPr>
          <w:lang w:val="fr-FR"/>
        </w:rPr>
        <w:t xml:space="preserve">Ivoire </w:t>
      </w:r>
    </w:p>
    <w:p w14:paraId="434EBDF6" w14:textId="5627A70B" w:rsidR="0014162E" w:rsidRPr="0014162E" w:rsidRDefault="0014162E" w:rsidP="0021663E">
      <w:pPr>
        <w:pStyle w:val="SingleTxt"/>
        <w:jc w:val="left"/>
        <w:rPr>
          <w:lang w:val="fr-FR"/>
        </w:rPr>
      </w:pPr>
      <w:r w:rsidRPr="0014162E">
        <w:rPr>
          <w:lang w:val="fr-FR"/>
        </w:rPr>
        <w:t>CNF</w:t>
      </w:r>
      <w:r w:rsidRPr="0014162E">
        <w:rPr>
          <w:lang w:val="fr-FR"/>
        </w:rPr>
        <w:tab/>
      </w:r>
      <w:r w:rsidRPr="0014162E">
        <w:rPr>
          <w:lang w:val="fr-FR"/>
        </w:rPr>
        <w:tab/>
      </w:r>
      <w:r w:rsidR="00022F9A">
        <w:rPr>
          <w:lang w:val="fr-FR"/>
        </w:rPr>
        <w:tab/>
      </w:r>
      <w:r w:rsidR="00022F9A">
        <w:rPr>
          <w:lang w:val="fr-FR"/>
        </w:rPr>
        <w:tab/>
      </w:r>
      <w:r w:rsidRPr="0014162E">
        <w:rPr>
          <w:lang w:val="fr-FR"/>
        </w:rPr>
        <w:t>Commission Nationale de la Famille</w:t>
      </w:r>
    </w:p>
    <w:p w14:paraId="3EDA5B7C" w14:textId="086E7E56" w:rsidR="0014162E" w:rsidRPr="0014162E" w:rsidRDefault="0014162E" w:rsidP="0021663E">
      <w:pPr>
        <w:pStyle w:val="SingleTxt"/>
        <w:ind w:left="3182" w:hanging="1915"/>
        <w:jc w:val="left"/>
        <w:rPr>
          <w:lang w:val="fr-FR"/>
        </w:rPr>
      </w:pPr>
      <w:r w:rsidRPr="0014162E">
        <w:rPr>
          <w:lang w:val="fr-FR"/>
        </w:rPr>
        <w:lastRenderedPageBreak/>
        <w:t>CNLVSC</w:t>
      </w:r>
      <w:r w:rsidRPr="0014162E">
        <w:rPr>
          <w:lang w:val="fr-FR"/>
        </w:rPr>
        <w:tab/>
      </w:r>
      <w:r w:rsidR="00022F9A">
        <w:rPr>
          <w:lang w:val="fr-FR"/>
        </w:rPr>
        <w:tab/>
      </w:r>
      <w:r w:rsidR="00022F9A">
        <w:rPr>
          <w:lang w:val="fr-FR"/>
        </w:rPr>
        <w:tab/>
      </w:r>
      <w:r w:rsidRPr="0014162E">
        <w:rPr>
          <w:lang w:val="fr-FR"/>
        </w:rPr>
        <w:t>Comité National de Lutte contre les Violences Sexuelles liées aux Conflits</w:t>
      </w:r>
    </w:p>
    <w:p w14:paraId="59F48B12" w14:textId="7D8AFB9C" w:rsidR="0014162E" w:rsidRPr="0014162E" w:rsidRDefault="0014162E" w:rsidP="0021663E">
      <w:pPr>
        <w:pStyle w:val="SingleTxt"/>
        <w:jc w:val="left"/>
        <w:rPr>
          <w:lang w:val="fr-FR"/>
        </w:rPr>
      </w:pPr>
      <w:r w:rsidRPr="0014162E">
        <w:rPr>
          <w:lang w:val="fr-FR"/>
        </w:rPr>
        <w:t xml:space="preserve">CNN </w:t>
      </w:r>
      <w:r w:rsidRPr="0014162E">
        <w:rPr>
          <w:lang w:val="fr-FR"/>
        </w:rPr>
        <w:tab/>
      </w:r>
      <w:r w:rsidRPr="0014162E">
        <w:rPr>
          <w:lang w:val="fr-FR"/>
        </w:rPr>
        <w:tab/>
      </w:r>
      <w:r w:rsidR="00022F9A">
        <w:rPr>
          <w:lang w:val="fr-FR"/>
        </w:rPr>
        <w:tab/>
      </w:r>
      <w:r w:rsidRPr="0014162E">
        <w:rPr>
          <w:lang w:val="fr-FR"/>
        </w:rPr>
        <w:t xml:space="preserve">Conseil National pour la Nutrition </w:t>
      </w:r>
    </w:p>
    <w:p w14:paraId="15882861" w14:textId="0F9EA136" w:rsidR="0014162E" w:rsidRPr="0014162E" w:rsidRDefault="0014162E" w:rsidP="0021663E">
      <w:pPr>
        <w:pStyle w:val="SingleTxt"/>
        <w:jc w:val="left"/>
        <w:rPr>
          <w:lang w:val="fr-FR"/>
        </w:rPr>
      </w:pPr>
      <w:r w:rsidRPr="0014162E">
        <w:rPr>
          <w:lang w:val="fr-FR"/>
        </w:rPr>
        <w:t>CNO</w:t>
      </w:r>
      <w:r w:rsidRPr="0014162E">
        <w:rPr>
          <w:lang w:val="fr-FR"/>
        </w:rPr>
        <w:tab/>
      </w:r>
      <w:r w:rsidRPr="0014162E">
        <w:rPr>
          <w:lang w:val="fr-FR"/>
        </w:rPr>
        <w:tab/>
      </w:r>
      <w:r w:rsidR="00022F9A">
        <w:rPr>
          <w:lang w:val="fr-FR"/>
        </w:rPr>
        <w:tab/>
      </w:r>
      <w:r w:rsidR="00022F9A">
        <w:rPr>
          <w:lang w:val="fr-FR"/>
        </w:rPr>
        <w:tab/>
      </w:r>
      <w:r w:rsidRPr="0014162E">
        <w:rPr>
          <w:lang w:val="fr-FR"/>
        </w:rPr>
        <w:t>Centre Nord-Ouest</w:t>
      </w:r>
    </w:p>
    <w:p w14:paraId="2381C7DD" w14:textId="6D7643B9" w:rsidR="0014162E" w:rsidRPr="0014162E" w:rsidRDefault="0014162E" w:rsidP="0021663E">
      <w:pPr>
        <w:pStyle w:val="SingleTxt"/>
        <w:jc w:val="left"/>
        <w:rPr>
          <w:lang w:val="fr-FR"/>
        </w:rPr>
      </w:pPr>
      <w:r w:rsidRPr="0014162E">
        <w:rPr>
          <w:lang w:val="fr-FR"/>
        </w:rPr>
        <w:t>CNPS</w:t>
      </w:r>
      <w:r w:rsidRPr="0014162E">
        <w:rPr>
          <w:lang w:val="fr-FR"/>
        </w:rPr>
        <w:tab/>
      </w:r>
      <w:r w:rsidRPr="0014162E">
        <w:rPr>
          <w:lang w:val="fr-FR"/>
        </w:rPr>
        <w:tab/>
      </w:r>
      <w:r w:rsidR="00022F9A">
        <w:rPr>
          <w:lang w:val="fr-FR"/>
        </w:rPr>
        <w:tab/>
      </w:r>
      <w:r w:rsidRPr="0014162E">
        <w:rPr>
          <w:lang w:val="fr-FR"/>
        </w:rPr>
        <w:t xml:space="preserve">Caisse Nationale de Prévoyance Sociale </w:t>
      </w:r>
    </w:p>
    <w:p w14:paraId="44DD2CB8" w14:textId="4DA5288A" w:rsidR="0014162E" w:rsidRPr="0014162E" w:rsidRDefault="0014162E" w:rsidP="0021663E">
      <w:pPr>
        <w:pStyle w:val="SingleTxt"/>
        <w:ind w:left="3182" w:hanging="1915"/>
        <w:jc w:val="left"/>
        <w:rPr>
          <w:lang w:val="fr-FR"/>
        </w:rPr>
      </w:pPr>
      <w:r w:rsidRPr="0014162E">
        <w:rPr>
          <w:lang w:val="fr-FR"/>
        </w:rPr>
        <w:t xml:space="preserve">CNS </w:t>
      </w:r>
      <w:r w:rsidRPr="0014162E">
        <w:rPr>
          <w:lang w:val="fr-FR"/>
        </w:rPr>
        <w:tab/>
      </w:r>
      <w:r w:rsidRPr="0014162E">
        <w:rPr>
          <w:lang w:val="fr-FR"/>
        </w:rPr>
        <w:tab/>
      </w:r>
      <w:r w:rsidR="00022F9A">
        <w:rPr>
          <w:lang w:val="fr-FR"/>
        </w:rPr>
        <w:tab/>
      </w:r>
      <w:r w:rsidR="00022F9A">
        <w:rPr>
          <w:lang w:val="fr-FR"/>
        </w:rPr>
        <w:tab/>
      </w:r>
      <w:r w:rsidRPr="0014162E">
        <w:rPr>
          <w:lang w:val="fr-FR"/>
        </w:rPr>
        <w:t xml:space="preserve">Comité National de Surveillance des actions de lutte </w:t>
      </w:r>
      <w:r w:rsidR="004351DE">
        <w:rPr>
          <w:lang w:val="fr-FR"/>
        </w:rPr>
        <w:br/>
      </w:r>
      <w:r w:rsidRPr="0014162E">
        <w:rPr>
          <w:lang w:val="fr-FR"/>
        </w:rPr>
        <w:t>contre la traite, l</w:t>
      </w:r>
      <w:r w:rsidR="000C16F5">
        <w:rPr>
          <w:lang w:val="fr-FR"/>
        </w:rPr>
        <w:t>’</w:t>
      </w:r>
      <w:r w:rsidRPr="0014162E">
        <w:rPr>
          <w:lang w:val="fr-FR"/>
        </w:rPr>
        <w:t xml:space="preserve">exploitation et le travail des enfants </w:t>
      </w:r>
    </w:p>
    <w:p w14:paraId="74097AF6" w14:textId="51C1CDEE" w:rsidR="0014162E" w:rsidRPr="0014162E" w:rsidRDefault="0014162E" w:rsidP="0021663E">
      <w:pPr>
        <w:pStyle w:val="SingleTxt"/>
        <w:jc w:val="left"/>
        <w:rPr>
          <w:lang w:val="fr-FR"/>
        </w:rPr>
      </w:pPr>
      <w:r w:rsidRPr="0014162E">
        <w:rPr>
          <w:lang w:val="fr-FR"/>
        </w:rPr>
        <w:t>COCOFCI</w:t>
      </w:r>
      <w:r w:rsidRPr="0014162E">
        <w:rPr>
          <w:lang w:val="fr-FR"/>
        </w:rPr>
        <w:tab/>
      </w:r>
      <w:r w:rsidR="00022F9A">
        <w:rPr>
          <w:lang w:val="fr-FR"/>
        </w:rPr>
        <w:tab/>
      </w:r>
      <w:r w:rsidR="00022F9A">
        <w:rPr>
          <w:lang w:val="fr-FR"/>
        </w:rPr>
        <w:tab/>
      </w:r>
      <w:r w:rsidRPr="0014162E">
        <w:rPr>
          <w:lang w:val="fr-FR"/>
        </w:rPr>
        <w:t>Compendium des Compétences Féminines de Côte-d</w:t>
      </w:r>
      <w:r w:rsidR="000C16F5">
        <w:rPr>
          <w:lang w:val="fr-FR"/>
        </w:rPr>
        <w:t>’</w:t>
      </w:r>
      <w:r w:rsidRPr="0014162E">
        <w:rPr>
          <w:lang w:val="fr-FR"/>
        </w:rPr>
        <w:t>Ivoire</w:t>
      </w:r>
    </w:p>
    <w:p w14:paraId="2ABF33B1" w14:textId="75EDA0B8" w:rsidR="0014162E" w:rsidRPr="0014162E" w:rsidRDefault="0014162E" w:rsidP="0021663E">
      <w:pPr>
        <w:pStyle w:val="SingleTxt"/>
        <w:ind w:left="3182" w:hanging="1915"/>
        <w:jc w:val="left"/>
        <w:rPr>
          <w:lang w:val="fr-FR"/>
        </w:rPr>
      </w:pPr>
      <w:r w:rsidRPr="0014162E">
        <w:rPr>
          <w:lang w:val="fr-FR"/>
        </w:rPr>
        <w:t>COCOVICO</w:t>
      </w:r>
      <w:r w:rsidRPr="0014162E">
        <w:rPr>
          <w:lang w:val="fr-FR"/>
        </w:rPr>
        <w:tab/>
      </w:r>
      <w:r w:rsidR="00022F9A">
        <w:rPr>
          <w:lang w:val="fr-FR"/>
        </w:rPr>
        <w:tab/>
      </w:r>
      <w:r w:rsidRPr="0014162E">
        <w:rPr>
          <w:lang w:val="fr-FR"/>
        </w:rPr>
        <w:t>Coopérative de Commercialisation de produits Vivriers de Cocody</w:t>
      </w:r>
    </w:p>
    <w:p w14:paraId="042EDEC0" w14:textId="7BD9ACDB" w:rsidR="0014162E" w:rsidRPr="0014162E" w:rsidRDefault="0014162E" w:rsidP="0021663E">
      <w:pPr>
        <w:pStyle w:val="SingleTxt"/>
        <w:ind w:left="3182" w:hanging="1915"/>
        <w:jc w:val="left"/>
        <w:rPr>
          <w:lang w:val="fr-FR"/>
        </w:rPr>
      </w:pPr>
      <w:r w:rsidRPr="0014162E">
        <w:rPr>
          <w:lang w:val="fr-FR"/>
        </w:rPr>
        <w:t>CONARIV</w:t>
      </w:r>
      <w:r w:rsidRPr="0014162E">
        <w:rPr>
          <w:lang w:val="fr-FR"/>
        </w:rPr>
        <w:tab/>
      </w:r>
      <w:r w:rsidR="00022F9A">
        <w:rPr>
          <w:lang w:val="fr-FR"/>
        </w:rPr>
        <w:tab/>
      </w:r>
      <w:r w:rsidRPr="0014162E">
        <w:rPr>
          <w:lang w:val="fr-FR"/>
        </w:rPr>
        <w:t xml:space="preserve">Commission nationale pour la réconciliation </w:t>
      </w:r>
      <w:r w:rsidR="004351DE">
        <w:rPr>
          <w:lang w:val="fr-FR"/>
        </w:rPr>
        <w:br/>
      </w:r>
      <w:r w:rsidRPr="0014162E">
        <w:rPr>
          <w:lang w:val="fr-FR"/>
        </w:rPr>
        <w:t>et l</w:t>
      </w:r>
      <w:r w:rsidR="000C16F5">
        <w:rPr>
          <w:lang w:val="fr-FR"/>
        </w:rPr>
        <w:t>’</w:t>
      </w:r>
      <w:r w:rsidRPr="0014162E">
        <w:rPr>
          <w:lang w:val="fr-FR"/>
        </w:rPr>
        <w:t xml:space="preserve">indemnisation des victimes </w:t>
      </w:r>
    </w:p>
    <w:p w14:paraId="1524303D" w14:textId="70E5D7AC" w:rsidR="0014162E" w:rsidRPr="0014162E" w:rsidRDefault="0014162E" w:rsidP="0021663E">
      <w:pPr>
        <w:pStyle w:val="SingleTxt"/>
        <w:jc w:val="left"/>
        <w:rPr>
          <w:lang w:val="fr-FR"/>
        </w:rPr>
      </w:pPr>
      <w:r w:rsidRPr="0014162E">
        <w:rPr>
          <w:lang w:val="fr-FR"/>
        </w:rPr>
        <w:t>COP (anglais)</w:t>
      </w:r>
      <w:r w:rsidRPr="0014162E">
        <w:rPr>
          <w:lang w:val="fr-FR"/>
        </w:rPr>
        <w:tab/>
      </w:r>
      <w:r w:rsidR="00022F9A">
        <w:rPr>
          <w:lang w:val="fr-FR"/>
        </w:rPr>
        <w:tab/>
      </w:r>
      <w:r w:rsidRPr="0014162E">
        <w:rPr>
          <w:lang w:val="fr-FR"/>
        </w:rPr>
        <w:t>Conférence des Parties</w:t>
      </w:r>
    </w:p>
    <w:p w14:paraId="285B4863" w14:textId="35C8FD00" w:rsidR="0014162E" w:rsidRPr="0014162E" w:rsidRDefault="0014162E" w:rsidP="0021663E">
      <w:pPr>
        <w:pStyle w:val="SingleTxt"/>
        <w:jc w:val="left"/>
        <w:rPr>
          <w:lang w:val="fr-FR"/>
        </w:rPr>
      </w:pPr>
      <w:r w:rsidRPr="0014162E">
        <w:rPr>
          <w:lang w:val="fr-FR"/>
        </w:rPr>
        <w:t>COS</w:t>
      </w:r>
      <w:r w:rsidRPr="0014162E">
        <w:rPr>
          <w:lang w:val="fr-FR"/>
        </w:rPr>
        <w:tab/>
      </w:r>
      <w:r w:rsidRPr="0014162E">
        <w:rPr>
          <w:lang w:val="fr-FR"/>
        </w:rPr>
        <w:tab/>
      </w:r>
      <w:r w:rsidR="00022F9A">
        <w:rPr>
          <w:lang w:val="fr-FR"/>
        </w:rPr>
        <w:tab/>
      </w:r>
      <w:r w:rsidR="00022F9A">
        <w:rPr>
          <w:lang w:val="fr-FR"/>
        </w:rPr>
        <w:tab/>
      </w:r>
      <w:r w:rsidRPr="0014162E">
        <w:rPr>
          <w:lang w:val="fr-FR"/>
        </w:rPr>
        <w:t>Comité interministériel d</w:t>
      </w:r>
      <w:r w:rsidR="000C16F5">
        <w:rPr>
          <w:lang w:val="fr-FR"/>
        </w:rPr>
        <w:t>’</w:t>
      </w:r>
      <w:r w:rsidRPr="0014162E">
        <w:rPr>
          <w:lang w:val="fr-FR"/>
        </w:rPr>
        <w:t>Orientation et de Supervision</w:t>
      </w:r>
    </w:p>
    <w:p w14:paraId="50F4C898" w14:textId="33909296" w:rsidR="0014162E" w:rsidRPr="0014162E" w:rsidRDefault="0014162E" w:rsidP="0021663E">
      <w:pPr>
        <w:pStyle w:val="SingleTxt"/>
        <w:jc w:val="left"/>
        <w:rPr>
          <w:lang w:val="fr-FR"/>
        </w:rPr>
      </w:pPr>
      <w:r w:rsidRPr="0014162E">
        <w:rPr>
          <w:lang w:val="fr-FR"/>
        </w:rPr>
        <w:t>CPN</w:t>
      </w:r>
      <w:r w:rsidRPr="0014162E">
        <w:rPr>
          <w:lang w:val="fr-FR"/>
        </w:rPr>
        <w:tab/>
      </w:r>
      <w:r w:rsidRPr="0014162E">
        <w:rPr>
          <w:lang w:val="fr-FR"/>
        </w:rPr>
        <w:tab/>
      </w:r>
      <w:r w:rsidR="00022F9A">
        <w:rPr>
          <w:lang w:val="fr-FR"/>
        </w:rPr>
        <w:tab/>
      </w:r>
      <w:r w:rsidR="00022F9A">
        <w:rPr>
          <w:lang w:val="fr-FR"/>
        </w:rPr>
        <w:tab/>
      </w:r>
      <w:r w:rsidRPr="0014162E">
        <w:rPr>
          <w:lang w:val="fr-FR"/>
        </w:rPr>
        <w:t>Consultation Prénatale</w:t>
      </w:r>
    </w:p>
    <w:p w14:paraId="59C045C2" w14:textId="2F87D89C" w:rsidR="0014162E" w:rsidRPr="0014162E" w:rsidRDefault="0014162E" w:rsidP="0021663E">
      <w:pPr>
        <w:pStyle w:val="SingleTxt"/>
        <w:jc w:val="left"/>
        <w:rPr>
          <w:lang w:val="fr-FR"/>
        </w:rPr>
      </w:pPr>
      <w:r w:rsidRPr="0014162E">
        <w:rPr>
          <w:lang w:val="fr-FR"/>
        </w:rPr>
        <w:t>CPU</w:t>
      </w:r>
      <w:r w:rsidRPr="0014162E">
        <w:rPr>
          <w:lang w:val="fr-FR"/>
        </w:rPr>
        <w:tab/>
      </w:r>
      <w:r w:rsidRPr="0014162E">
        <w:rPr>
          <w:lang w:val="fr-FR"/>
        </w:rPr>
        <w:tab/>
      </w:r>
      <w:r w:rsidR="00022F9A">
        <w:rPr>
          <w:lang w:val="fr-FR"/>
        </w:rPr>
        <w:tab/>
      </w:r>
      <w:r w:rsidR="00022F9A">
        <w:rPr>
          <w:lang w:val="fr-FR"/>
        </w:rPr>
        <w:tab/>
      </w:r>
      <w:r w:rsidRPr="0014162E">
        <w:rPr>
          <w:lang w:val="fr-FR"/>
        </w:rPr>
        <w:t>Cadre de Programmation Unique</w:t>
      </w:r>
    </w:p>
    <w:p w14:paraId="40411BD0" w14:textId="34D6E41C" w:rsidR="0014162E" w:rsidRPr="0014162E" w:rsidRDefault="0014162E" w:rsidP="0021663E">
      <w:pPr>
        <w:pStyle w:val="SingleTxt"/>
        <w:jc w:val="left"/>
        <w:rPr>
          <w:lang w:val="fr-FR"/>
        </w:rPr>
      </w:pPr>
      <w:r w:rsidRPr="0014162E">
        <w:rPr>
          <w:lang w:val="fr-FR"/>
        </w:rPr>
        <w:t>CSE</w:t>
      </w:r>
      <w:r w:rsidRPr="0014162E">
        <w:rPr>
          <w:lang w:val="fr-FR"/>
        </w:rPr>
        <w:tab/>
      </w:r>
      <w:r w:rsidRPr="0014162E">
        <w:rPr>
          <w:lang w:val="fr-FR"/>
        </w:rPr>
        <w:tab/>
      </w:r>
      <w:r w:rsidR="00022F9A">
        <w:rPr>
          <w:lang w:val="fr-FR"/>
        </w:rPr>
        <w:tab/>
      </w:r>
      <w:r w:rsidR="00022F9A">
        <w:rPr>
          <w:lang w:val="fr-FR"/>
        </w:rPr>
        <w:tab/>
      </w:r>
      <w:r w:rsidRPr="0014162E">
        <w:rPr>
          <w:lang w:val="fr-FR"/>
        </w:rPr>
        <w:t>Commission Spéciale d</w:t>
      </w:r>
      <w:r w:rsidR="000C16F5">
        <w:rPr>
          <w:lang w:val="fr-FR"/>
        </w:rPr>
        <w:t>’</w:t>
      </w:r>
      <w:r w:rsidRPr="0014162E">
        <w:rPr>
          <w:lang w:val="fr-FR"/>
        </w:rPr>
        <w:t xml:space="preserve">Enquête </w:t>
      </w:r>
    </w:p>
    <w:p w14:paraId="1CD4C977" w14:textId="5896F8A7" w:rsidR="0014162E" w:rsidRPr="0014162E" w:rsidRDefault="0014162E" w:rsidP="0021663E">
      <w:pPr>
        <w:pStyle w:val="SingleTxt"/>
        <w:jc w:val="left"/>
        <w:rPr>
          <w:lang w:val="fr-FR"/>
        </w:rPr>
      </w:pPr>
      <w:r w:rsidRPr="0014162E">
        <w:rPr>
          <w:lang w:val="fr-FR"/>
        </w:rPr>
        <w:t>CSNU</w:t>
      </w:r>
      <w:r w:rsidRPr="0014162E">
        <w:rPr>
          <w:lang w:val="fr-FR"/>
        </w:rPr>
        <w:tab/>
      </w:r>
      <w:r w:rsidRPr="0014162E">
        <w:rPr>
          <w:lang w:val="fr-FR"/>
        </w:rPr>
        <w:tab/>
      </w:r>
      <w:r w:rsidR="00022F9A">
        <w:rPr>
          <w:lang w:val="fr-FR"/>
        </w:rPr>
        <w:tab/>
      </w:r>
      <w:r w:rsidRPr="0014162E">
        <w:rPr>
          <w:lang w:val="fr-FR"/>
        </w:rPr>
        <w:t xml:space="preserve">Conseil de Sécurité des Nations Unies </w:t>
      </w:r>
    </w:p>
    <w:p w14:paraId="2A4197F9" w14:textId="362DAF1C" w:rsidR="0014162E" w:rsidRPr="0014162E" w:rsidRDefault="0014162E" w:rsidP="0021663E">
      <w:pPr>
        <w:pStyle w:val="SingleTxt"/>
        <w:jc w:val="left"/>
        <w:rPr>
          <w:lang w:val="fr-FR"/>
        </w:rPr>
      </w:pPr>
      <w:r w:rsidRPr="0014162E">
        <w:rPr>
          <w:lang w:val="fr-FR"/>
        </w:rPr>
        <w:t>CTA</w:t>
      </w:r>
      <w:r w:rsidRPr="0014162E">
        <w:rPr>
          <w:lang w:val="fr-FR"/>
        </w:rPr>
        <w:tab/>
      </w:r>
      <w:r w:rsidRPr="0014162E">
        <w:rPr>
          <w:lang w:val="fr-FR"/>
        </w:rPr>
        <w:tab/>
      </w:r>
      <w:r w:rsidR="00022F9A">
        <w:rPr>
          <w:lang w:val="fr-FR"/>
        </w:rPr>
        <w:tab/>
      </w:r>
      <w:r w:rsidR="00022F9A">
        <w:rPr>
          <w:lang w:val="fr-FR"/>
        </w:rPr>
        <w:tab/>
      </w:r>
      <w:r w:rsidRPr="0014162E">
        <w:rPr>
          <w:lang w:val="fr-FR"/>
        </w:rPr>
        <w:t>Combinaisons Thérapeutiques à base d</w:t>
      </w:r>
      <w:r w:rsidR="000C16F5">
        <w:rPr>
          <w:lang w:val="fr-FR"/>
        </w:rPr>
        <w:t>’</w:t>
      </w:r>
      <w:r w:rsidRPr="0014162E">
        <w:rPr>
          <w:lang w:val="fr-FR"/>
        </w:rPr>
        <w:t xml:space="preserve">Artémisinine </w:t>
      </w:r>
    </w:p>
    <w:p w14:paraId="316FF8B6" w14:textId="71C24A8D" w:rsidR="0014162E" w:rsidRPr="0014162E" w:rsidRDefault="0014162E" w:rsidP="0021663E">
      <w:pPr>
        <w:pStyle w:val="SingleTxt"/>
        <w:jc w:val="left"/>
        <w:rPr>
          <w:lang w:val="fr-FR"/>
        </w:rPr>
      </w:pPr>
      <w:r w:rsidRPr="0014162E">
        <w:rPr>
          <w:lang w:val="fr-FR"/>
        </w:rPr>
        <w:t>CTG</w:t>
      </w:r>
      <w:r w:rsidRPr="0014162E">
        <w:rPr>
          <w:lang w:val="fr-FR"/>
        </w:rPr>
        <w:tab/>
      </w:r>
      <w:r w:rsidRPr="0014162E">
        <w:rPr>
          <w:lang w:val="fr-FR"/>
        </w:rPr>
        <w:tab/>
      </w:r>
      <w:r w:rsidR="00022F9A">
        <w:rPr>
          <w:lang w:val="fr-FR"/>
        </w:rPr>
        <w:tab/>
      </w:r>
      <w:r w:rsidR="00022F9A">
        <w:rPr>
          <w:lang w:val="fr-FR"/>
        </w:rPr>
        <w:tab/>
      </w:r>
      <w:r w:rsidRPr="0014162E">
        <w:rPr>
          <w:lang w:val="fr-FR"/>
        </w:rPr>
        <w:t xml:space="preserve">Cellules Techniques Genre </w:t>
      </w:r>
    </w:p>
    <w:p w14:paraId="2FA51C02" w14:textId="4AB0E370" w:rsidR="0014162E" w:rsidRPr="0014162E" w:rsidRDefault="0014162E" w:rsidP="0021663E">
      <w:pPr>
        <w:pStyle w:val="SingleTxt"/>
        <w:jc w:val="left"/>
        <w:rPr>
          <w:lang w:val="fr-FR"/>
        </w:rPr>
      </w:pPr>
      <w:r w:rsidRPr="0014162E">
        <w:rPr>
          <w:lang w:val="fr-FR"/>
        </w:rPr>
        <w:t xml:space="preserve">DPE </w:t>
      </w:r>
      <w:r w:rsidRPr="0014162E">
        <w:rPr>
          <w:lang w:val="fr-FR"/>
        </w:rPr>
        <w:tab/>
      </w:r>
      <w:r w:rsidRPr="0014162E">
        <w:rPr>
          <w:lang w:val="fr-FR"/>
        </w:rPr>
        <w:tab/>
      </w:r>
      <w:r w:rsidR="00022F9A">
        <w:rPr>
          <w:lang w:val="fr-FR"/>
        </w:rPr>
        <w:tab/>
      </w:r>
      <w:r w:rsidR="00022F9A">
        <w:rPr>
          <w:lang w:val="fr-FR"/>
        </w:rPr>
        <w:tab/>
      </w:r>
      <w:r w:rsidRPr="0014162E">
        <w:rPr>
          <w:lang w:val="fr-FR"/>
        </w:rPr>
        <w:t>Direction de la Protection de l</w:t>
      </w:r>
      <w:r w:rsidR="000C16F5">
        <w:rPr>
          <w:lang w:val="fr-FR"/>
        </w:rPr>
        <w:t>’</w:t>
      </w:r>
      <w:r w:rsidRPr="0014162E">
        <w:rPr>
          <w:lang w:val="fr-FR"/>
        </w:rPr>
        <w:t>Enfant</w:t>
      </w:r>
    </w:p>
    <w:p w14:paraId="6C3053E9" w14:textId="719E6ADE" w:rsidR="0014162E" w:rsidRPr="0014162E" w:rsidRDefault="0014162E" w:rsidP="0021663E">
      <w:pPr>
        <w:pStyle w:val="SingleTxt"/>
        <w:jc w:val="left"/>
        <w:rPr>
          <w:lang w:val="fr-FR"/>
        </w:rPr>
      </w:pPr>
      <w:r w:rsidRPr="0014162E">
        <w:rPr>
          <w:lang w:val="fr-FR"/>
        </w:rPr>
        <w:t>DEPG</w:t>
      </w:r>
      <w:r w:rsidRPr="0014162E">
        <w:rPr>
          <w:lang w:val="fr-FR"/>
        </w:rPr>
        <w:tab/>
      </w:r>
      <w:r w:rsidRPr="0014162E">
        <w:rPr>
          <w:lang w:val="fr-FR"/>
        </w:rPr>
        <w:tab/>
      </w:r>
      <w:r w:rsidR="00022F9A">
        <w:rPr>
          <w:lang w:val="fr-FR"/>
        </w:rPr>
        <w:tab/>
      </w:r>
      <w:r w:rsidRPr="0014162E">
        <w:rPr>
          <w:lang w:val="fr-FR"/>
        </w:rPr>
        <w:t>Direction de l</w:t>
      </w:r>
      <w:r w:rsidR="000C16F5">
        <w:rPr>
          <w:lang w:val="fr-FR"/>
        </w:rPr>
        <w:t>’</w:t>
      </w:r>
      <w:r w:rsidR="00C10A78" w:rsidRPr="0014162E">
        <w:rPr>
          <w:lang w:val="fr-FR"/>
        </w:rPr>
        <w:t>Egalite</w:t>
      </w:r>
      <w:r w:rsidRPr="0014162E">
        <w:rPr>
          <w:lang w:val="fr-FR"/>
        </w:rPr>
        <w:t xml:space="preserve"> et de la Promotion du Genre</w:t>
      </w:r>
    </w:p>
    <w:p w14:paraId="15101406" w14:textId="2C30309F" w:rsidR="0014162E" w:rsidRPr="0014162E" w:rsidRDefault="0014162E" w:rsidP="0021663E">
      <w:pPr>
        <w:pStyle w:val="SingleTxt"/>
        <w:jc w:val="left"/>
        <w:rPr>
          <w:lang w:val="fr-FR"/>
        </w:rPr>
      </w:pPr>
      <w:r w:rsidRPr="0014162E">
        <w:rPr>
          <w:lang w:val="fr-FR"/>
        </w:rPr>
        <w:t>DDH</w:t>
      </w:r>
      <w:r w:rsidR="00022F9A">
        <w:rPr>
          <w:lang w:val="fr-FR"/>
        </w:rPr>
        <w:tab/>
      </w:r>
      <w:r w:rsidRPr="0014162E">
        <w:rPr>
          <w:lang w:val="fr-FR"/>
        </w:rPr>
        <w:tab/>
      </w:r>
      <w:r w:rsidR="00022F9A">
        <w:rPr>
          <w:lang w:val="fr-FR"/>
        </w:rPr>
        <w:tab/>
      </w:r>
      <w:r w:rsidR="00022F9A">
        <w:rPr>
          <w:lang w:val="fr-FR"/>
        </w:rPr>
        <w:tab/>
      </w:r>
      <w:r w:rsidRPr="0014162E">
        <w:rPr>
          <w:lang w:val="fr-FR"/>
        </w:rPr>
        <w:t>Division des Droits de l</w:t>
      </w:r>
      <w:r w:rsidR="000C16F5">
        <w:rPr>
          <w:lang w:val="fr-FR"/>
        </w:rPr>
        <w:t>’</w:t>
      </w:r>
      <w:r w:rsidRPr="0014162E">
        <w:rPr>
          <w:lang w:val="fr-FR"/>
        </w:rPr>
        <w:t>Homme</w:t>
      </w:r>
    </w:p>
    <w:p w14:paraId="24DCDFC1" w14:textId="3D0333F4" w:rsidR="0014162E" w:rsidRPr="0014162E" w:rsidRDefault="0014162E" w:rsidP="0021663E">
      <w:pPr>
        <w:pStyle w:val="SingleTxt"/>
        <w:jc w:val="left"/>
        <w:rPr>
          <w:lang w:val="fr-FR"/>
        </w:rPr>
      </w:pPr>
      <w:r w:rsidRPr="0014162E">
        <w:rPr>
          <w:lang w:val="fr-FR"/>
        </w:rPr>
        <w:t xml:space="preserve">DGE </w:t>
      </w:r>
      <w:r w:rsidRPr="0014162E">
        <w:rPr>
          <w:lang w:val="fr-FR"/>
        </w:rPr>
        <w:tab/>
      </w:r>
      <w:r w:rsidRPr="0014162E">
        <w:rPr>
          <w:lang w:val="fr-FR"/>
        </w:rPr>
        <w:tab/>
      </w:r>
      <w:r w:rsidR="00022F9A">
        <w:rPr>
          <w:lang w:val="fr-FR"/>
        </w:rPr>
        <w:tab/>
      </w:r>
      <w:r w:rsidRPr="0014162E">
        <w:rPr>
          <w:lang w:val="fr-FR"/>
        </w:rPr>
        <w:t>Direction du Genre et de l</w:t>
      </w:r>
      <w:r w:rsidR="000C16F5">
        <w:rPr>
          <w:lang w:val="fr-FR"/>
        </w:rPr>
        <w:t>’</w:t>
      </w:r>
      <w:r w:rsidR="00C10A78" w:rsidRPr="0014162E">
        <w:rPr>
          <w:lang w:val="fr-FR"/>
        </w:rPr>
        <w:t>Équité</w:t>
      </w:r>
    </w:p>
    <w:p w14:paraId="4880C415" w14:textId="0C089E99" w:rsidR="0014162E" w:rsidRPr="0014162E" w:rsidRDefault="0014162E" w:rsidP="0021663E">
      <w:pPr>
        <w:pStyle w:val="SingleTxt"/>
        <w:jc w:val="left"/>
        <w:rPr>
          <w:lang w:val="fr-FR"/>
        </w:rPr>
      </w:pPr>
      <w:r w:rsidRPr="0014162E">
        <w:rPr>
          <w:lang w:val="fr-FR"/>
        </w:rPr>
        <w:t xml:space="preserve">DPS </w:t>
      </w:r>
      <w:r w:rsidRPr="0014162E">
        <w:rPr>
          <w:lang w:val="fr-FR"/>
        </w:rPr>
        <w:tab/>
      </w:r>
      <w:r w:rsidRPr="0014162E">
        <w:rPr>
          <w:lang w:val="fr-FR"/>
        </w:rPr>
        <w:tab/>
      </w:r>
      <w:r w:rsidR="00022F9A">
        <w:rPr>
          <w:lang w:val="fr-FR"/>
        </w:rPr>
        <w:tab/>
      </w:r>
      <w:r w:rsidR="00022F9A">
        <w:rPr>
          <w:lang w:val="fr-FR"/>
        </w:rPr>
        <w:tab/>
      </w:r>
      <w:r w:rsidRPr="0014162E">
        <w:rPr>
          <w:lang w:val="fr-FR"/>
        </w:rPr>
        <w:t>Direction de la Protection Sociale</w:t>
      </w:r>
    </w:p>
    <w:p w14:paraId="0EEF32B9" w14:textId="2EB2F7D7" w:rsidR="0014162E" w:rsidRPr="0014162E" w:rsidRDefault="0014162E" w:rsidP="0021663E">
      <w:pPr>
        <w:pStyle w:val="SingleTxt"/>
        <w:ind w:left="3182" w:hanging="1915"/>
        <w:jc w:val="left"/>
        <w:rPr>
          <w:lang w:val="fr-FR"/>
        </w:rPr>
      </w:pPr>
      <w:r w:rsidRPr="0014162E">
        <w:rPr>
          <w:lang w:val="fr-FR"/>
        </w:rPr>
        <w:t>DS</w:t>
      </w:r>
      <w:r w:rsidRPr="0014162E">
        <w:rPr>
          <w:lang w:val="fr-FR"/>
        </w:rPr>
        <w:tab/>
      </w:r>
      <w:r w:rsidRPr="0014162E">
        <w:rPr>
          <w:lang w:val="fr-FR"/>
        </w:rPr>
        <w:tab/>
      </w:r>
      <w:r w:rsidR="00022F9A">
        <w:rPr>
          <w:lang w:val="fr-FR"/>
        </w:rPr>
        <w:tab/>
      </w:r>
      <w:r w:rsidR="00022F9A">
        <w:rPr>
          <w:lang w:val="fr-FR"/>
        </w:rPr>
        <w:tab/>
      </w:r>
      <w:r w:rsidRPr="0014162E">
        <w:rPr>
          <w:lang w:val="fr-FR"/>
        </w:rPr>
        <w:t>Déclaration Solennelle de la Côte d</w:t>
      </w:r>
      <w:r w:rsidR="000C16F5">
        <w:rPr>
          <w:lang w:val="fr-FR"/>
        </w:rPr>
        <w:t>’</w:t>
      </w:r>
      <w:r w:rsidRPr="0014162E">
        <w:rPr>
          <w:lang w:val="fr-FR"/>
        </w:rPr>
        <w:t>Ivoire sur l</w:t>
      </w:r>
      <w:r w:rsidR="000C16F5">
        <w:rPr>
          <w:lang w:val="fr-FR"/>
        </w:rPr>
        <w:t>’</w:t>
      </w:r>
      <w:r w:rsidR="00C10A78" w:rsidRPr="0014162E">
        <w:rPr>
          <w:lang w:val="fr-FR"/>
        </w:rPr>
        <w:t>Egalite</w:t>
      </w:r>
      <w:r w:rsidRPr="0014162E">
        <w:rPr>
          <w:lang w:val="fr-FR"/>
        </w:rPr>
        <w:t xml:space="preserve"> </w:t>
      </w:r>
      <w:r w:rsidR="004351DE">
        <w:rPr>
          <w:lang w:val="fr-FR"/>
        </w:rPr>
        <w:br/>
      </w:r>
      <w:r w:rsidRPr="0014162E">
        <w:rPr>
          <w:lang w:val="fr-FR"/>
        </w:rPr>
        <w:t>des chances, l</w:t>
      </w:r>
      <w:r w:rsidR="000C16F5">
        <w:rPr>
          <w:lang w:val="fr-FR"/>
        </w:rPr>
        <w:t>’</w:t>
      </w:r>
      <w:r w:rsidR="00C10A78" w:rsidRPr="0014162E">
        <w:rPr>
          <w:lang w:val="fr-FR"/>
        </w:rPr>
        <w:t>Équité</w:t>
      </w:r>
      <w:r w:rsidRPr="0014162E">
        <w:rPr>
          <w:lang w:val="fr-FR"/>
        </w:rPr>
        <w:t xml:space="preserve"> et le Genre</w:t>
      </w:r>
    </w:p>
    <w:p w14:paraId="09799590" w14:textId="3721118C" w:rsidR="0014162E" w:rsidRPr="0014162E" w:rsidRDefault="0014162E" w:rsidP="0021663E">
      <w:pPr>
        <w:pStyle w:val="SingleTxt"/>
        <w:jc w:val="left"/>
        <w:rPr>
          <w:lang w:val="fr-FR"/>
        </w:rPr>
      </w:pPr>
      <w:r w:rsidRPr="0014162E">
        <w:rPr>
          <w:lang w:val="fr-FR"/>
        </w:rPr>
        <w:t>DSRP</w:t>
      </w:r>
      <w:r w:rsidRPr="0014162E">
        <w:rPr>
          <w:lang w:val="fr-FR"/>
        </w:rPr>
        <w:tab/>
      </w:r>
      <w:r w:rsidRPr="0014162E">
        <w:rPr>
          <w:lang w:val="fr-FR"/>
        </w:rPr>
        <w:tab/>
      </w:r>
      <w:r w:rsidR="00022F9A">
        <w:rPr>
          <w:lang w:val="fr-FR"/>
        </w:rPr>
        <w:tab/>
      </w:r>
      <w:r w:rsidRPr="0014162E">
        <w:rPr>
          <w:lang w:val="fr-FR"/>
        </w:rPr>
        <w:t>Document stratégique pour la réduction de la pauvreté</w:t>
      </w:r>
    </w:p>
    <w:p w14:paraId="186B6B30" w14:textId="155DECE7" w:rsidR="0014162E" w:rsidRPr="0014162E" w:rsidRDefault="0014162E" w:rsidP="0021663E">
      <w:pPr>
        <w:pStyle w:val="SingleTxt"/>
        <w:jc w:val="left"/>
        <w:rPr>
          <w:lang w:val="fr-FR"/>
        </w:rPr>
      </w:pPr>
      <w:r w:rsidRPr="0014162E">
        <w:rPr>
          <w:lang w:val="fr-FR"/>
        </w:rPr>
        <w:t>DVCF</w:t>
      </w:r>
      <w:r w:rsidRPr="0014162E">
        <w:rPr>
          <w:lang w:val="fr-FR"/>
        </w:rPr>
        <w:tab/>
      </w:r>
      <w:r w:rsidRPr="0014162E">
        <w:rPr>
          <w:lang w:val="fr-FR"/>
        </w:rPr>
        <w:tab/>
      </w:r>
      <w:r w:rsidR="00022F9A">
        <w:rPr>
          <w:lang w:val="fr-FR"/>
        </w:rPr>
        <w:tab/>
      </w:r>
      <w:r w:rsidRPr="0014162E">
        <w:rPr>
          <w:lang w:val="fr-FR"/>
        </w:rPr>
        <w:t xml:space="preserve">Direction de la Valorisation des Compétences Féminines </w:t>
      </w:r>
    </w:p>
    <w:p w14:paraId="6BFBDAEA" w14:textId="7A8C36DE" w:rsidR="0014162E" w:rsidRPr="0014162E" w:rsidRDefault="0014162E" w:rsidP="0021663E">
      <w:pPr>
        <w:pStyle w:val="SingleTxt"/>
        <w:jc w:val="left"/>
        <w:rPr>
          <w:lang w:val="fr-FR"/>
        </w:rPr>
      </w:pPr>
      <w:r w:rsidRPr="0014162E">
        <w:rPr>
          <w:lang w:val="fr-FR"/>
        </w:rPr>
        <w:t>EDHC</w:t>
      </w:r>
      <w:r w:rsidRPr="0014162E">
        <w:rPr>
          <w:lang w:val="fr-FR"/>
        </w:rPr>
        <w:tab/>
      </w:r>
      <w:r w:rsidRPr="0014162E">
        <w:rPr>
          <w:lang w:val="fr-FR"/>
        </w:rPr>
        <w:tab/>
      </w:r>
      <w:r w:rsidR="00022F9A">
        <w:rPr>
          <w:lang w:val="fr-FR"/>
        </w:rPr>
        <w:tab/>
      </w:r>
      <w:r w:rsidR="00C10A78" w:rsidRPr="0014162E">
        <w:rPr>
          <w:lang w:val="fr-FR"/>
        </w:rPr>
        <w:t>Éducation</w:t>
      </w:r>
      <w:r w:rsidRPr="0014162E">
        <w:rPr>
          <w:lang w:val="fr-FR"/>
        </w:rPr>
        <w:t xml:space="preserve"> aux Droits de l</w:t>
      </w:r>
      <w:r w:rsidR="000C16F5">
        <w:rPr>
          <w:lang w:val="fr-FR"/>
        </w:rPr>
        <w:t>’</w:t>
      </w:r>
      <w:r w:rsidRPr="0014162E">
        <w:rPr>
          <w:lang w:val="fr-FR"/>
        </w:rPr>
        <w:t xml:space="preserve">Homme et à la Citoyenneté </w:t>
      </w:r>
    </w:p>
    <w:p w14:paraId="380A31FA" w14:textId="7CA0B340" w:rsidR="0014162E" w:rsidRPr="0014162E" w:rsidRDefault="0014162E" w:rsidP="0021663E">
      <w:pPr>
        <w:pStyle w:val="SingleTxt"/>
        <w:jc w:val="left"/>
        <w:rPr>
          <w:lang w:val="fr-FR"/>
        </w:rPr>
      </w:pPr>
      <w:r w:rsidRPr="0014162E">
        <w:rPr>
          <w:lang w:val="fr-FR"/>
        </w:rPr>
        <w:t>EDS-CI</w:t>
      </w:r>
      <w:r w:rsidRPr="0014162E">
        <w:rPr>
          <w:lang w:val="fr-FR"/>
        </w:rPr>
        <w:tab/>
      </w:r>
      <w:r w:rsidR="00022F9A">
        <w:rPr>
          <w:lang w:val="fr-FR"/>
        </w:rPr>
        <w:tab/>
      </w:r>
      <w:r w:rsidR="00022F9A">
        <w:rPr>
          <w:lang w:val="fr-FR"/>
        </w:rPr>
        <w:tab/>
      </w:r>
      <w:r w:rsidRPr="0014162E">
        <w:rPr>
          <w:lang w:val="fr-FR"/>
        </w:rPr>
        <w:t>Enquête Démographique de Santé en Côte d</w:t>
      </w:r>
      <w:r w:rsidR="000C16F5">
        <w:rPr>
          <w:lang w:val="fr-FR"/>
        </w:rPr>
        <w:t>’</w:t>
      </w:r>
      <w:r w:rsidRPr="0014162E">
        <w:rPr>
          <w:lang w:val="fr-FR"/>
        </w:rPr>
        <w:t xml:space="preserve">Ivoire </w:t>
      </w:r>
    </w:p>
    <w:p w14:paraId="7A2C1E1B" w14:textId="4BF00475" w:rsidR="0014162E" w:rsidRPr="0014162E" w:rsidRDefault="0014162E" w:rsidP="0021663E">
      <w:pPr>
        <w:pStyle w:val="SingleTxt"/>
        <w:jc w:val="left"/>
        <w:rPr>
          <w:lang w:val="fr-FR"/>
        </w:rPr>
      </w:pPr>
      <w:r w:rsidRPr="0014162E">
        <w:rPr>
          <w:lang w:val="fr-FR"/>
        </w:rPr>
        <w:t xml:space="preserve">EMPT </w:t>
      </w:r>
      <w:r w:rsidRPr="0014162E">
        <w:rPr>
          <w:lang w:val="fr-FR"/>
        </w:rPr>
        <w:tab/>
      </w:r>
      <w:r w:rsidR="00022F9A">
        <w:rPr>
          <w:lang w:val="fr-FR"/>
        </w:rPr>
        <w:tab/>
      </w:r>
      <w:r w:rsidR="00022F9A">
        <w:rPr>
          <w:lang w:val="fr-FR"/>
        </w:rPr>
        <w:tab/>
      </w:r>
      <w:r w:rsidR="00C10A78" w:rsidRPr="0014162E">
        <w:rPr>
          <w:lang w:val="fr-FR"/>
        </w:rPr>
        <w:t>École</w:t>
      </w:r>
      <w:r w:rsidRPr="0014162E">
        <w:rPr>
          <w:lang w:val="fr-FR"/>
        </w:rPr>
        <w:t xml:space="preserve"> Militaire Préparatoire Technique</w:t>
      </w:r>
    </w:p>
    <w:p w14:paraId="098BED4B" w14:textId="596F4A1C" w:rsidR="0014162E" w:rsidRPr="0014162E" w:rsidRDefault="0014162E" w:rsidP="0021663E">
      <w:pPr>
        <w:pStyle w:val="SingleTxt"/>
        <w:ind w:left="3182" w:hanging="1915"/>
        <w:jc w:val="left"/>
        <w:rPr>
          <w:lang w:val="fr-FR"/>
        </w:rPr>
      </w:pPr>
      <w:r w:rsidRPr="0014162E">
        <w:rPr>
          <w:lang w:val="fr-FR"/>
        </w:rPr>
        <w:t>ENSESI</w:t>
      </w:r>
      <w:r w:rsidRPr="0014162E">
        <w:rPr>
          <w:lang w:val="fr-FR"/>
        </w:rPr>
        <w:tab/>
      </w:r>
      <w:r w:rsidR="00022F9A">
        <w:rPr>
          <w:lang w:val="fr-FR"/>
        </w:rPr>
        <w:tab/>
      </w:r>
      <w:r w:rsidR="00022F9A">
        <w:rPr>
          <w:lang w:val="fr-FR"/>
        </w:rPr>
        <w:tab/>
      </w:r>
      <w:r w:rsidRPr="0014162E">
        <w:rPr>
          <w:lang w:val="fr-FR"/>
        </w:rPr>
        <w:t>Enquêtes Nationales sur la Situation de l</w:t>
      </w:r>
      <w:r w:rsidR="000C16F5">
        <w:rPr>
          <w:lang w:val="fr-FR"/>
        </w:rPr>
        <w:t>’</w:t>
      </w:r>
      <w:r w:rsidRPr="0014162E">
        <w:rPr>
          <w:lang w:val="fr-FR"/>
        </w:rPr>
        <w:t>Emploi et le Secteur Informel</w:t>
      </w:r>
    </w:p>
    <w:p w14:paraId="581B16E8" w14:textId="13A49442" w:rsidR="0014162E" w:rsidRPr="0014162E" w:rsidRDefault="0014162E" w:rsidP="0021663E">
      <w:pPr>
        <w:pStyle w:val="SingleTxt"/>
        <w:jc w:val="left"/>
        <w:rPr>
          <w:lang w:val="fr-FR"/>
        </w:rPr>
      </w:pPr>
      <w:r w:rsidRPr="0014162E">
        <w:rPr>
          <w:lang w:val="fr-FR"/>
        </w:rPr>
        <w:t>ENV</w:t>
      </w:r>
      <w:r w:rsidRPr="0014162E">
        <w:rPr>
          <w:lang w:val="fr-FR"/>
        </w:rPr>
        <w:tab/>
      </w:r>
      <w:r w:rsidRPr="0014162E">
        <w:rPr>
          <w:lang w:val="fr-FR"/>
        </w:rPr>
        <w:tab/>
      </w:r>
      <w:r w:rsidR="00022F9A">
        <w:rPr>
          <w:lang w:val="fr-FR"/>
        </w:rPr>
        <w:tab/>
      </w:r>
      <w:r w:rsidR="00022F9A">
        <w:rPr>
          <w:lang w:val="fr-FR"/>
        </w:rPr>
        <w:tab/>
      </w:r>
      <w:r w:rsidRPr="0014162E">
        <w:rPr>
          <w:lang w:val="fr-FR"/>
        </w:rPr>
        <w:t>Enquête sur le Niveau de Vie</w:t>
      </w:r>
    </w:p>
    <w:p w14:paraId="224AB91F" w14:textId="30D5905A" w:rsidR="0014162E" w:rsidRPr="0014162E" w:rsidRDefault="0014162E" w:rsidP="0021663E">
      <w:pPr>
        <w:pStyle w:val="SingleTxt"/>
        <w:jc w:val="left"/>
        <w:rPr>
          <w:lang w:val="fr-FR"/>
        </w:rPr>
      </w:pPr>
      <w:r w:rsidRPr="0014162E">
        <w:rPr>
          <w:lang w:val="fr-FR"/>
        </w:rPr>
        <w:t>FAFCI</w:t>
      </w:r>
      <w:r w:rsidRPr="0014162E">
        <w:rPr>
          <w:lang w:val="fr-FR"/>
        </w:rPr>
        <w:tab/>
      </w:r>
      <w:r w:rsidRPr="0014162E">
        <w:rPr>
          <w:lang w:val="fr-FR"/>
        </w:rPr>
        <w:tab/>
      </w:r>
      <w:r w:rsidR="00022F9A">
        <w:rPr>
          <w:lang w:val="fr-FR"/>
        </w:rPr>
        <w:tab/>
      </w:r>
      <w:r w:rsidRPr="0014162E">
        <w:rPr>
          <w:lang w:val="fr-FR"/>
        </w:rPr>
        <w:t>Fonds d</w:t>
      </w:r>
      <w:r w:rsidR="000C16F5">
        <w:rPr>
          <w:lang w:val="fr-FR"/>
        </w:rPr>
        <w:t>’</w:t>
      </w:r>
      <w:r w:rsidRPr="0014162E">
        <w:rPr>
          <w:lang w:val="fr-FR"/>
        </w:rPr>
        <w:t>Appui aux Femmes de Côte d</w:t>
      </w:r>
      <w:r w:rsidR="000C16F5">
        <w:rPr>
          <w:lang w:val="fr-FR"/>
        </w:rPr>
        <w:t>’</w:t>
      </w:r>
      <w:r w:rsidRPr="0014162E">
        <w:rPr>
          <w:lang w:val="fr-FR"/>
        </w:rPr>
        <w:t xml:space="preserve">Ivoire </w:t>
      </w:r>
    </w:p>
    <w:p w14:paraId="27AC90E3" w14:textId="54B61AD2" w:rsidR="0014162E" w:rsidRPr="0014162E" w:rsidRDefault="0014162E" w:rsidP="0021663E">
      <w:pPr>
        <w:pStyle w:val="SingleTxt"/>
        <w:jc w:val="left"/>
        <w:rPr>
          <w:lang w:val="fr-FR"/>
        </w:rPr>
      </w:pPr>
      <w:r w:rsidRPr="0014162E">
        <w:rPr>
          <w:lang w:val="fr-FR"/>
        </w:rPr>
        <w:t>FNFPC</w:t>
      </w:r>
      <w:r w:rsidRPr="0014162E">
        <w:rPr>
          <w:lang w:val="fr-FR"/>
        </w:rPr>
        <w:tab/>
      </w:r>
      <w:r w:rsidR="00022F9A">
        <w:rPr>
          <w:lang w:val="fr-FR"/>
        </w:rPr>
        <w:tab/>
      </w:r>
      <w:r w:rsidR="00022F9A">
        <w:rPr>
          <w:lang w:val="fr-FR"/>
        </w:rPr>
        <w:tab/>
      </w:r>
      <w:r w:rsidRPr="0014162E">
        <w:rPr>
          <w:lang w:val="fr-FR"/>
        </w:rPr>
        <w:t xml:space="preserve">Fédération des Femmes Productrices de Cacao </w:t>
      </w:r>
    </w:p>
    <w:p w14:paraId="223F17E7" w14:textId="4D2D21B2" w:rsidR="0014162E" w:rsidRPr="0014162E" w:rsidRDefault="0014162E" w:rsidP="0021663E">
      <w:pPr>
        <w:pStyle w:val="SingleTxt"/>
        <w:jc w:val="left"/>
        <w:rPr>
          <w:lang w:val="fr-FR"/>
        </w:rPr>
      </w:pPr>
      <w:r w:rsidRPr="0014162E">
        <w:rPr>
          <w:lang w:val="fr-FR"/>
        </w:rPr>
        <w:t>FRCI</w:t>
      </w:r>
      <w:r w:rsidRPr="0014162E">
        <w:rPr>
          <w:lang w:val="fr-FR"/>
        </w:rPr>
        <w:tab/>
      </w:r>
      <w:r w:rsidRPr="0014162E">
        <w:rPr>
          <w:lang w:val="fr-FR"/>
        </w:rPr>
        <w:tab/>
      </w:r>
      <w:r w:rsidR="00022F9A">
        <w:rPr>
          <w:lang w:val="fr-FR"/>
        </w:rPr>
        <w:tab/>
      </w:r>
      <w:r w:rsidR="00022F9A">
        <w:rPr>
          <w:lang w:val="fr-FR"/>
        </w:rPr>
        <w:tab/>
      </w:r>
      <w:r w:rsidRPr="0014162E">
        <w:rPr>
          <w:lang w:val="fr-FR"/>
        </w:rPr>
        <w:t>Forces Républicaines de Côte d</w:t>
      </w:r>
      <w:r w:rsidR="000C16F5">
        <w:rPr>
          <w:lang w:val="fr-FR"/>
        </w:rPr>
        <w:t>’</w:t>
      </w:r>
      <w:r w:rsidRPr="0014162E">
        <w:rPr>
          <w:lang w:val="fr-FR"/>
        </w:rPr>
        <w:t xml:space="preserve">Ivoire </w:t>
      </w:r>
    </w:p>
    <w:p w14:paraId="6984BEAD" w14:textId="5DFDEB1D" w:rsidR="0014162E" w:rsidRPr="0014162E" w:rsidRDefault="0014162E" w:rsidP="0021663E">
      <w:pPr>
        <w:pStyle w:val="SingleTxt"/>
        <w:jc w:val="left"/>
        <w:rPr>
          <w:lang w:val="fr-FR"/>
        </w:rPr>
      </w:pPr>
      <w:r w:rsidRPr="0014162E">
        <w:rPr>
          <w:lang w:val="fr-FR"/>
        </w:rPr>
        <w:lastRenderedPageBreak/>
        <w:t>FSH</w:t>
      </w:r>
      <w:r w:rsidRPr="0014162E">
        <w:rPr>
          <w:lang w:val="fr-FR"/>
        </w:rPr>
        <w:tab/>
      </w:r>
      <w:r w:rsidRPr="0014162E">
        <w:rPr>
          <w:lang w:val="fr-FR"/>
        </w:rPr>
        <w:tab/>
      </w:r>
      <w:r w:rsidR="00022F9A">
        <w:rPr>
          <w:lang w:val="fr-FR"/>
        </w:rPr>
        <w:tab/>
      </w:r>
      <w:r w:rsidR="00022F9A">
        <w:rPr>
          <w:lang w:val="fr-FR"/>
        </w:rPr>
        <w:tab/>
      </w:r>
      <w:r w:rsidRPr="0014162E">
        <w:rPr>
          <w:lang w:val="fr-FR"/>
        </w:rPr>
        <w:t>Fonds de Soutien à l</w:t>
      </w:r>
      <w:r w:rsidR="000C16F5">
        <w:rPr>
          <w:lang w:val="fr-FR"/>
        </w:rPr>
        <w:t>’</w:t>
      </w:r>
      <w:r w:rsidRPr="0014162E">
        <w:rPr>
          <w:lang w:val="fr-FR"/>
        </w:rPr>
        <w:t>Habitat</w:t>
      </w:r>
    </w:p>
    <w:p w14:paraId="2493D0CF" w14:textId="3D38A52B" w:rsidR="0014162E" w:rsidRPr="0014162E" w:rsidRDefault="0014162E" w:rsidP="0021663E">
      <w:pPr>
        <w:pStyle w:val="SingleTxt"/>
        <w:jc w:val="left"/>
        <w:rPr>
          <w:lang w:val="fr-FR"/>
        </w:rPr>
      </w:pPr>
      <w:r w:rsidRPr="0014162E">
        <w:rPr>
          <w:lang w:val="fr-FR"/>
        </w:rPr>
        <w:t>GAR</w:t>
      </w:r>
      <w:r w:rsidRPr="0014162E">
        <w:rPr>
          <w:lang w:val="fr-FR"/>
        </w:rPr>
        <w:tab/>
      </w:r>
      <w:r w:rsidRPr="0014162E">
        <w:rPr>
          <w:lang w:val="fr-FR"/>
        </w:rPr>
        <w:tab/>
      </w:r>
      <w:r w:rsidR="00022F9A">
        <w:rPr>
          <w:lang w:val="fr-FR"/>
        </w:rPr>
        <w:tab/>
      </w:r>
      <w:r w:rsidR="00022F9A">
        <w:rPr>
          <w:lang w:val="fr-FR"/>
        </w:rPr>
        <w:tab/>
      </w:r>
      <w:r w:rsidRPr="0014162E">
        <w:rPr>
          <w:lang w:val="fr-FR"/>
        </w:rPr>
        <w:t xml:space="preserve">Gestion Axée sur les Résultats </w:t>
      </w:r>
    </w:p>
    <w:p w14:paraId="55BE667F" w14:textId="0B5F1F50" w:rsidR="0014162E" w:rsidRPr="0014162E" w:rsidRDefault="0014162E" w:rsidP="0021663E">
      <w:pPr>
        <w:pStyle w:val="SingleTxt"/>
        <w:jc w:val="left"/>
        <w:rPr>
          <w:lang w:val="fr-FR"/>
        </w:rPr>
      </w:pPr>
      <w:r w:rsidRPr="0014162E">
        <w:rPr>
          <w:lang w:val="fr-FR"/>
        </w:rPr>
        <w:t>GTGD</w:t>
      </w:r>
      <w:r w:rsidRPr="0014162E">
        <w:rPr>
          <w:lang w:val="fr-FR"/>
        </w:rPr>
        <w:tab/>
      </w:r>
      <w:r w:rsidRPr="0014162E">
        <w:rPr>
          <w:lang w:val="fr-FR"/>
        </w:rPr>
        <w:tab/>
      </w:r>
      <w:r w:rsidR="00022F9A">
        <w:rPr>
          <w:lang w:val="fr-FR"/>
        </w:rPr>
        <w:tab/>
      </w:r>
      <w:r w:rsidRPr="0014162E">
        <w:rPr>
          <w:lang w:val="fr-FR"/>
        </w:rPr>
        <w:t>Groupe Thématique Genre et Développement</w:t>
      </w:r>
    </w:p>
    <w:p w14:paraId="046EF30D" w14:textId="6570F282" w:rsidR="0014162E" w:rsidRPr="0014162E" w:rsidRDefault="0014162E" w:rsidP="0021663E">
      <w:pPr>
        <w:pStyle w:val="SingleTxt"/>
        <w:jc w:val="left"/>
        <w:rPr>
          <w:lang w:val="fr-FR"/>
        </w:rPr>
      </w:pPr>
      <w:r w:rsidRPr="0014162E">
        <w:rPr>
          <w:lang w:val="fr-FR"/>
        </w:rPr>
        <w:t>IFEF</w:t>
      </w:r>
      <w:r w:rsidRPr="0014162E">
        <w:rPr>
          <w:lang w:val="fr-FR"/>
        </w:rPr>
        <w:tab/>
      </w:r>
      <w:r w:rsidR="00022F9A">
        <w:rPr>
          <w:lang w:val="fr-FR"/>
        </w:rPr>
        <w:tab/>
      </w:r>
      <w:r w:rsidR="00022F9A">
        <w:rPr>
          <w:lang w:val="fr-FR"/>
        </w:rPr>
        <w:tab/>
      </w:r>
      <w:r w:rsidR="00022F9A">
        <w:rPr>
          <w:lang w:val="fr-FR"/>
        </w:rPr>
        <w:tab/>
      </w:r>
      <w:r w:rsidRPr="0014162E">
        <w:rPr>
          <w:lang w:val="fr-FR"/>
        </w:rPr>
        <w:t>Instituts de Formation Féminin</w:t>
      </w:r>
    </w:p>
    <w:p w14:paraId="2F6EF631" w14:textId="172CAFD5" w:rsidR="0014162E" w:rsidRPr="0014162E" w:rsidRDefault="0014162E" w:rsidP="0021663E">
      <w:pPr>
        <w:pStyle w:val="SingleTxt"/>
        <w:jc w:val="left"/>
        <w:rPr>
          <w:lang w:val="fr-FR"/>
        </w:rPr>
      </w:pPr>
      <w:r w:rsidRPr="0014162E">
        <w:rPr>
          <w:lang w:val="fr-FR"/>
        </w:rPr>
        <w:t>INHP</w:t>
      </w:r>
      <w:r w:rsidRPr="0014162E">
        <w:rPr>
          <w:lang w:val="fr-FR"/>
        </w:rPr>
        <w:tab/>
      </w:r>
      <w:r w:rsidR="00022F9A">
        <w:rPr>
          <w:lang w:val="fr-FR"/>
        </w:rPr>
        <w:tab/>
      </w:r>
      <w:r w:rsidR="00022F9A">
        <w:rPr>
          <w:lang w:val="fr-FR"/>
        </w:rPr>
        <w:tab/>
      </w:r>
      <w:r w:rsidRPr="0014162E">
        <w:rPr>
          <w:lang w:val="fr-FR"/>
        </w:rPr>
        <w:t>Institut National de l</w:t>
      </w:r>
      <w:r w:rsidR="000C16F5">
        <w:rPr>
          <w:lang w:val="fr-FR"/>
        </w:rPr>
        <w:t>’</w:t>
      </w:r>
      <w:r w:rsidRPr="0014162E">
        <w:rPr>
          <w:lang w:val="fr-FR"/>
        </w:rPr>
        <w:t xml:space="preserve">Hygiène Publique </w:t>
      </w:r>
    </w:p>
    <w:p w14:paraId="4EE77FAE" w14:textId="5BB1DE20" w:rsidR="0014162E" w:rsidRPr="0014162E" w:rsidRDefault="0014162E" w:rsidP="0021663E">
      <w:pPr>
        <w:pStyle w:val="SingleTxt"/>
        <w:jc w:val="left"/>
        <w:rPr>
          <w:lang w:val="fr-FR"/>
        </w:rPr>
      </w:pPr>
      <w:r w:rsidRPr="0014162E">
        <w:rPr>
          <w:lang w:val="fr-FR"/>
        </w:rPr>
        <w:t>INSAAC</w:t>
      </w:r>
      <w:r w:rsidRPr="0014162E">
        <w:rPr>
          <w:lang w:val="fr-FR"/>
        </w:rPr>
        <w:tab/>
      </w:r>
      <w:r w:rsidR="00022F9A">
        <w:rPr>
          <w:lang w:val="fr-FR"/>
        </w:rPr>
        <w:tab/>
      </w:r>
      <w:r w:rsidR="00022F9A">
        <w:rPr>
          <w:lang w:val="fr-FR"/>
        </w:rPr>
        <w:tab/>
      </w:r>
      <w:r w:rsidRPr="0014162E">
        <w:rPr>
          <w:lang w:val="fr-FR"/>
        </w:rPr>
        <w:t>Institut National Supérieur des Arts et de l</w:t>
      </w:r>
      <w:r w:rsidR="000C16F5">
        <w:rPr>
          <w:lang w:val="fr-FR"/>
        </w:rPr>
        <w:t>’</w:t>
      </w:r>
      <w:r w:rsidRPr="0014162E">
        <w:rPr>
          <w:lang w:val="fr-FR"/>
        </w:rPr>
        <w:t xml:space="preserve">Action Culturelle </w:t>
      </w:r>
    </w:p>
    <w:p w14:paraId="221A13CC" w14:textId="7C7AEA48" w:rsidR="0014162E" w:rsidRPr="0014162E" w:rsidRDefault="0014162E" w:rsidP="0021663E">
      <w:pPr>
        <w:pStyle w:val="SingleTxt"/>
        <w:jc w:val="left"/>
        <w:rPr>
          <w:lang w:val="fr-FR"/>
        </w:rPr>
      </w:pPr>
      <w:r w:rsidRPr="0014162E">
        <w:rPr>
          <w:lang w:val="fr-FR"/>
        </w:rPr>
        <w:t>JHU- CCP</w:t>
      </w:r>
      <w:r w:rsidR="00022F9A">
        <w:rPr>
          <w:lang w:val="fr-FR"/>
        </w:rPr>
        <w:tab/>
      </w:r>
      <w:r w:rsidR="00022F9A">
        <w:rPr>
          <w:lang w:val="fr-FR"/>
        </w:rPr>
        <w:tab/>
      </w:r>
      <w:r w:rsidRPr="0014162E">
        <w:rPr>
          <w:lang w:val="fr-FR"/>
        </w:rPr>
        <w:tab/>
        <w:t xml:space="preserve">Johns Hopkins Center for Communication Programme </w:t>
      </w:r>
    </w:p>
    <w:p w14:paraId="5D764DED" w14:textId="77777777" w:rsidR="0014162E" w:rsidRPr="0014162E" w:rsidRDefault="0014162E" w:rsidP="0021663E">
      <w:pPr>
        <w:pStyle w:val="SingleTxt"/>
        <w:ind w:left="3182" w:hanging="1915"/>
        <w:jc w:val="left"/>
        <w:rPr>
          <w:lang w:val="fr-FR"/>
        </w:rPr>
      </w:pPr>
      <w:r w:rsidRPr="0014162E">
        <w:rPr>
          <w:lang w:val="fr-FR"/>
        </w:rPr>
        <w:t>KAIPTC (anglais)</w:t>
      </w:r>
      <w:r w:rsidRPr="0014162E">
        <w:rPr>
          <w:lang w:val="fr-FR"/>
        </w:rPr>
        <w:tab/>
        <w:t>Centre Internationale Kofi Annan de formation au Maintien de la Paix</w:t>
      </w:r>
    </w:p>
    <w:p w14:paraId="1E986E9E" w14:textId="6CA4A08C" w:rsidR="0014162E" w:rsidRPr="0014162E" w:rsidRDefault="0014162E" w:rsidP="0021663E">
      <w:pPr>
        <w:pStyle w:val="SingleTxt"/>
        <w:jc w:val="left"/>
        <w:rPr>
          <w:lang w:val="fr-FR"/>
        </w:rPr>
      </w:pPr>
      <w:r w:rsidRPr="0014162E">
        <w:rPr>
          <w:lang w:val="fr-FR"/>
        </w:rPr>
        <w:t>LMD</w:t>
      </w:r>
      <w:r w:rsidRPr="0014162E">
        <w:rPr>
          <w:lang w:val="fr-FR"/>
        </w:rPr>
        <w:tab/>
      </w:r>
      <w:r w:rsidR="00022F9A">
        <w:rPr>
          <w:lang w:val="fr-FR"/>
        </w:rPr>
        <w:tab/>
      </w:r>
      <w:r w:rsidR="00022F9A">
        <w:rPr>
          <w:lang w:val="fr-FR"/>
        </w:rPr>
        <w:tab/>
      </w:r>
      <w:r w:rsidR="00022F9A">
        <w:rPr>
          <w:lang w:val="fr-FR"/>
        </w:rPr>
        <w:tab/>
      </w:r>
      <w:r w:rsidRPr="0014162E">
        <w:rPr>
          <w:lang w:val="fr-FR"/>
        </w:rPr>
        <w:t xml:space="preserve">Licence Master Doctorat </w:t>
      </w:r>
    </w:p>
    <w:p w14:paraId="58D85DFE" w14:textId="72A787A7" w:rsidR="0014162E" w:rsidRPr="0014162E" w:rsidRDefault="0014162E" w:rsidP="0021663E">
      <w:pPr>
        <w:pStyle w:val="SingleTxt"/>
        <w:jc w:val="left"/>
        <w:rPr>
          <w:lang w:val="fr-FR"/>
        </w:rPr>
      </w:pPr>
      <w:r w:rsidRPr="0014162E">
        <w:rPr>
          <w:lang w:val="fr-FR"/>
        </w:rPr>
        <w:t>MACA</w:t>
      </w:r>
      <w:r w:rsidRPr="0014162E">
        <w:rPr>
          <w:lang w:val="fr-FR"/>
        </w:rPr>
        <w:tab/>
      </w:r>
      <w:r w:rsidR="00022F9A">
        <w:rPr>
          <w:lang w:val="fr-FR"/>
        </w:rPr>
        <w:tab/>
      </w:r>
      <w:r w:rsidR="00022F9A">
        <w:rPr>
          <w:lang w:val="fr-FR"/>
        </w:rPr>
        <w:tab/>
      </w:r>
      <w:r w:rsidRPr="0014162E">
        <w:rPr>
          <w:lang w:val="fr-FR"/>
        </w:rPr>
        <w:t>Maison d</w:t>
      </w:r>
      <w:r w:rsidR="000C16F5">
        <w:rPr>
          <w:lang w:val="fr-FR"/>
        </w:rPr>
        <w:t>’</w:t>
      </w:r>
      <w:r w:rsidRPr="0014162E">
        <w:rPr>
          <w:lang w:val="fr-FR"/>
        </w:rPr>
        <w:t>Arrêt et de Correction d</w:t>
      </w:r>
      <w:r w:rsidR="000C16F5">
        <w:rPr>
          <w:lang w:val="fr-FR"/>
        </w:rPr>
        <w:t>’</w:t>
      </w:r>
      <w:r w:rsidRPr="0014162E">
        <w:rPr>
          <w:lang w:val="fr-FR"/>
        </w:rPr>
        <w:t>Abidjan</w:t>
      </w:r>
    </w:p>
    <w:p w14:paraId="7F9AB4C2" w14:textId="069B51DA" w:rsidR="0014162E" w:rsidRPr="0014162E" w:rsidRDefault="0014162E" w:rsidP="0021663E">
      <w:pPr>
        <w:pStyle w:val="SingleTxt"/>
        <w:jc w:val="left"/>
        <w:rPr>
          <w:lang w:val="fr-FR"/>
        </w:rPr>
      </w:pPr>
      <w:r w:rsidRPr="0014162E">
        <w:rPr>
          <w:lang w:val="fr-FR"/>
        </w:rPr>
        <w:t>MEN</w:t>
      </w:r>
      <w:r w:rsidR="00022F9A">
        <w:rPr>
          <w:lang w:val="fr-FR"/>
        </w:rPr>
        <w:tab/>
      </w:r>
      <w:r w:rsidRPr="0014162E">
        <w:rPr>
          <w:lang w:val="fr-FR"/>
        </w:rPr>
        <w:tab/>
      </w:r>
      <w:r w:rsidR="00022F9A">
        <w:rPr>
          <w:lang w:val="fr-FR"/>
        </w:rPr>
        <w:tab/>
      </w:r>
      <w:r w:rsidR="00022F9A">
        <w:rPr>
          <w:lang w:val="fr-FR"/>
        </w:rPr>
        <w:tab/>
      </w:r>
      <w:r w:rsidRPr="0014162E">
        <w:rPr>
          <w:lang w:val="fr-FR"/>
        </w:rPr>
        <w:t>Ministère de l</w:t>
      </w:r>
      <w:r w:rsidR="000C16F5">
        <w:rPr>
          <w:lang w:val="fr-FR"/>
        </w:rPr>
        <w:t>’</w:t>
      </w:r>
      <w:r w:rsidRPr="0014162E">
        <w:rPr>
          <w:lang w:val="fr-FR"/>
        </w:rPr>
        <w:t>Éducation Nationale</w:t>
      </w:r>
    </w:p>
    <w:p w14:paraId="6D156E5C" w14:textId="2AD1D7C5" w:rsidR="0014162E" w:rsidRPr="0014162E" w:rsidRDefault="0014162E" w:rsidP="0021663E">
      <w:pPr>
        <w:pStyle w:val="SingleTxt"/>
        <w:ind w:left="3182" w:hanging="1915"/>
        <w:jc w:val="left"/>
        <w:rPr>
          <w:lang w:val="fr-FR"/>
        </w:rPr>
      </w:pPr>
      <w:r w:rsidRPr="0014162E">
        <w:rPr>
          <w:lang w:val="fr-FR"/>
        </w:rPr>
        <w:t>MENET</w:t>
      </w:r>
      <w:r w:rsidRPr="0014162E">
        <w:rPr>
          <w:lang w:val="fr-FR"/>
        </w:rPr>
        <w:tab/>
      </w:r>
      <w:r w:rsidR="00022F9A">
        <w:rPr>
          <w:lang w:val="fr-FR"/>
        </w:rPr>
        <w:tab/>
      </w:r>
      <w:r w:rsidR="00022F9A">
        <w:rPr>
          <w:lang w:val="fr-FR"/>
        </w:rPr>
        <w:tab/>
      </w:r>
      <w:r w:rsidRPr="0014162E">
        <w:rPr>
          <w:lang w:val="fr-FR"/>
        </w:rPr>
        <w:t>Ministère de l</w:t>
      </w:r>
      <w:r w:rsidR="000C16F5">
        <w:rPr>
          <w:lang w:val="fr-FR"/>
        </w:rPr>
        <w:t>’</w:t>
      </w:r>
      <w:r w:rsidR="00C10A78" w:rsidRPr="0014162E">
        <w:rPr>
          <w:lang w:val="fr-FR"/>
        </w:rPr>
        <w:t>Éducation</w:t>
      </w:r>
      <w:r w:rsidRPr="0014162E">
        <w:rPr>
          <w:lang w:val="fr-FR"/>
        </w:rPr>
        <w:t xml:space="preserve"> Nationale et de l</w:t>
      </w:r>
      <w:r w:rsidR="000C16F5">
        <w:rPr>
          <w:lang w:val="fr-FR"/>
        </w:rPr>
        <w:t>’</w:t>
      </w:r>
      <w:r w:rsidRPr="0014162E">
        <w:rPr>
          <w:lang w:val="fr-FR"/>
        </w:rPr>
        <w:t>Enseignement Technique</w:t>
      </w:r>
    </w:p>
    <w:p w14:paraId="6A37B13C" w14:textId="722BEF4E" w:rsidR="0014162E" w:rsidRPr="0014162E" w:rsidRDefault="0014162E" w:rsidP="0021663E">
      <w:pPr>
        <w:pStyle w:val="SingleTxt"/>
        <w:ind w:left="3182" w:hanging="1915"/>
        <w:jc w:val="left"/>
        <w:rPr>
          <w:lang w:val="fr-FR"/>
        </w:rPr>
      </w:pPr>
      <w:r w:rsidRPr="0014162E">
        <w:rPr>
          <w:lang w:val="fr-FR"/>
        </w:rPr>
        <w:t xml:space="preserve">MILDA </w:t>
      </w:r>
      <w:r w:rsidRPr="0014162E">
        <w:rPr>
          <w:lang w:val="fr-FR"/>
        </w:rPr>
        <w:tab/>
      </w:r>
      <w:r w:rsidR="00022F9A">
        <w:rPr>
          <w:lang w:val="fr-FR"/>
        </w:rPr>
        <w:tab/>
      </w:r>
      <w:r w:rsidR="00022F9A">
        <w:rPr>
          <w:lang w:val="fr-FR"/>
        </w:rPr>
        <w:tab/>
      </w:r>
      <w:r w:rsidRPr="0014162E">
        <w:rPr>
          <w:lang w:val="fr-FR"/>
        </w:rPr>
        <w:t>Moustiquaire Imprégnée d</w:t>
      </w:r>
      <w:r w:rsidR="000C16F5">
        <w:rPr>
          <w:lang w:val="fr-FR"/>
        </w:rPr>
        <w:t>’</w:t>
      </w:r>
      <w:r w:rsidRPr="0014162E">
        <w:rPr>
          <w:lang w:val="fr-FR"/>
        </w:rPr>
        <w:t>insecticide à Longue Durée d</w:t>
      </w:r>
      <w:r w:rsidR="000C16F5">
        <w:rPr>
          <w:lang w:val="fr-FR"/>
        </w:rPr>
        <w:t>’</w:t>
      </w:r>
      <w:r w:rsidRPr="0014162E">
        <w:rPr>
          <w:lang w:val="fr-FR"/>
        </w:rPr>
        <w:t>Action</w:t>
      </w:r>
    </w:p>
    <w:p w14:paraId="759747B3" w14:textId="004B0C68" w:rsidR="0014162E" w:rsidRPr="0014162E" w:rsidRDefault="0014162E" w:rsidP="0021663E">
      <w:pPr>
        <w:pStyle w:val="SingleTxt"/>
        <w:ind w:left="3182" w:hanging="1915"/>
        <w:jc w:val="left"/>
        <w:rPr>
          <w:lang w:val="fr-FR"/>
        </w:rPr>
      </w:pPr>
      <w:r w:rsidRPr="0014162E">
        <w:rPr>
          <w:lang w:val="fr-FR"/>
        </w:rPr>
        <w:t xml:space="preserve">MJDHLP </w:t>
      </w:r>
      <w:r w:rsidRPr="0014162E">
        <w:rPr>
          <w:lang w:val="fr-FR"/>
        </w:rPr>
        <w:tab/>
      </w:r>
      <w:r w:rsidR="00022F9A">
        <w:rPr>
          <w:lang w:val="fr-FR"/>
        </w:rPr>
        <w:tab/>
      </w:r>
      <w:r w:rsidR="00022F9A">
        <w:rPr>
          <w:lang w:val="fr-FR"/>
        </w:rPr>
        <w:tab/>
      </w:r>
      <w:r w:rsidRPr="0014162E">
        <w:rPr>
          <w:lang w:val="fr-FR"/>
        </w:rPr>
        <w:t>Ministre de la Justice, des Droits de l</w:t>
      </w:r>
      <w:r w:rsidR="000C16F5">
        <w:rPr>
          <w:lang w:val="fr-FR"/>
        </w:rPr>
        <w:t>’</w:t>
      </w:r>
      <w:r w:rsidRPr="0014162E">
        <w:rPr>
          <w:lang w:val="fr-FR"/>
        </w:rPr>
        <w:t>Homme et des Libertés Publiques</w:t>
      </w:r>
    </w:p>
    <w:p w14:paraId="47A6965D" w14:textId="382BE4F5" w:rsidR="0014162E" w:rsidRPr="0014162E" w:rsidRDefault="0014162E" w:rsidP="0021663E">
      <w:pPr>
        <w:pStyle w:val="SingleTxt"/>
        <w:ind w:left="3182" w:hanging="1915"/>
        <w:jc w:val="left"/>
        <w:rPr>
          <w:lang w:val="fr-FR"/>
        </w:rPr>
      </w:pPr>
      <w:r w:rsidRPr="0014162E">
        <w:rPr>
          <w:lang w:val="fr-FR"/>
        </w:rPr>
        <w:t xml:space="preserve">MPFFPE </w:t>
      </w:r>
      <w:r w:rsidR="00022F9A">
        <w:rPr>
          <w:lang w:val="fr-FR"/>
        </w:rPr>
        <w:tab/>
      </w:r>
      <w:r w:rsidR="00022F9A">
        <w:rPr>
          <w:lang w:val="fr-FR"/>
        </w:rPr>
        <w:tab/>
      </w:r>
      <w:r w:rsidRPr="0014162E">
        <w:rPr>
          <w:lang w:val="fr-FR"/>
        </w:rPr>
        <w:tab/>
        <w:t xml:space="preserve">Ministère de la Promotion de la Femme, de la Famille </w:t>
      </w:r>
      <w:r w:rsidR="004E5C25">
        <w:rPr>
          <w:lang w:val="fr-FR"/>
        </w:rPr>
        <w:br/>
      </w:r>
      <w:r w:rsidRPr="0014162E">
        <w:rPr>
          <w:lang w:val="fr-FR"/>
        </w:rPr>
        <w:t>et de la Protection de l</w:t>
      </w:r>
      <w:r w:rsidR="000C16F5">
        <w:rPr>
          <w:lang w:val="fr-FR"/>
        </w:rPr>
        <w:t>’</w:t>
      </w:r>
      <w:r w:rsidRPr="0014162E">
        <w:rPr>
          <w:lang w:val="fr-FR"/>
        </w:rPr>
        <w:t xml:space="preserve">Enfant </w:t>
      </w:r>
    </w:p>
    <w:p w14:paraId="5CE33CD5" w14:textId="4F720A2B" w:rsidR="0014162E" w:rsidRPr="0014162E" w:rsidRDefault="0014162E" w:rsidP="0021663E">
      <w:pPr>
        <w:pStyle w:val="SingleTxt"/>
        <w:jc w:val="left"/>
        <w:rPr>
          <w:lang w:val="fr-FR"/>
        </w:rPr>
      </w:pPr>
      <w:r w:rsidRPr="0014162E">
        <w:rPr>
          <w:lang w:val="fr-FR"/>
        </w:rPr>
        <w:t xml:space="preserve">MSLS </w:t>
      </w:r>
      <w:r w:rsidRPr="0014162E">
        <w:rPr>
          <w:lang w:val="fr-FR"/>
        </w:rPr>
        <w:tab/>
      </w:r>
      <w:r w:rsidR="00022F9A">
        <w:rPr>
          <w:lang w:val="fr-FR"/>
        </w:rPr>
        <w:tab/>
      </w:r>
      <w:r w:rsidR="00022F9A">
        <w:rPr>
          <w:lang w:val="fr-FR"/>
        </w:rPr>
        <w:tab/>
      </w:r>
      <w:r w:rsidRPr="0014162E">
        <w:rPr>
          <w:lang w:val="fr-FR"/>
        </w:rPr>
        <w:t>Ministère de la Santé et de la Lutte contre le Sida</w:t>
      </w:r>
    </w:p>
    <w:p w14:paraId="14A1A96C" w14:textId="68486DC2" w:rsidR="0014162E" w:rsidRPr="0014162E" w:rsidRDefault="0014162E" w:rsidP="0021663E">
      <w:pPr>
        <w:pStyle w:val="SingleTxt"/>
        <w:ind w:left="3182" w:hanging="1915"/>
        <w:jc w:val="left"/>
        <w:rPr>
          <w:lang w:val="fr-FR"/>
        </w:rPr>
      </w:pPr>
      <w:r w:rsidRPr="0014162E">
        <w:rPr>
          <w:lang w:val="fr-FR"/>
        </w:rPr>
        <w:t>MSFFE</w:t>
      </w:r>
      <w:r w:rsidRPr="0014162E">
        <w:rPr>
          <w:lang w:val="fr-FR"/>
        </w:rPr>
        <w:tab/>
      </w:r>
      <w:r w:rsidR="00022F9A">
        <w:rPr>
          <w:lang w:val="fr-FR"/>
        </w:rPr>
        <w:tab/>
      </w:r>
      <w:r w:rsidR="00022F9A">
        <w:rPr>
          <w:lang w:val="fr-FR"/>
        </w:rPr>
        <w:tab/>
      </w:r>
      <w:r w:rsidRPr="0014162E">
        <w:rPr>
          <w:lang w:val="fr-FR"/>
        </w:rPr>
        <w:t xml:space="preserve">Ministère de la Solidarité de la Famille, de la Femme </w:t>
      </w:r>
      <w:r w:rsidR="004E5C25">
        <w:rPr>
          <w:lang w:val="fr-FR"/>
        </w:rPr>
        <w:br/>
      </w:r>
      <w:r w:rsidRPr="0014162E">
        <w:rPr>
          <w:lang w:val="fr-FR"/>
        </w:rPr>
        <w:t>et de l</w:t>
      </w:r>
      <w:r w:rsidR="000C16F5">
        <w:rPr>
          <w:lang w:val="fr-FR"/>
        </w:rPr>
        <w:t>’</w:t>
      </w:r>
      <w:r w:rsidRPr="0014162E">
        <w:rPr>
          <w:lang w:val="fr-FR"/>
        </w:rPr>
        <w:t>Enfant</w:t>
      </w:r>
    </w:p>
    <w:p w14:paraId="18ED593F" w14:textId="0F4A13E3" w:rsidR="0014162E" w:rsidRPr="0014162E" w:rsidRDefault="0014162E" w:rsidP="0021663E">
      <w:pPr>
        <w:pStyle w:val="SingleTxt"/>
        <w:jc w:val="left"/>
        <w:rPr>
          <w:lang w:val="fr-FR"/>
        </w:rPr>
      </w:pPr>
      <w:r w:rsidRPr="0014162E">
        <w:rPr>
          <w:lang w:val="fr-FR"/>
        </w:rPr>
        <w:t>OCB</w:t>
      </w:r>
      <w:r w:rsidRPr="0014162E">
        <w:rPr>
          <w:lang w:val="fr-FR"/>
        </w:rPr>
        <w:tab/>
      </w:r>
      <w:r w:rsidR="00022F9A">
        <w:rPr>
          <w:lang w:val="fr-FR"/>
        </w:rPr>
        <w:tab/>
      </w:r>
      <w:r w:rsidR="00022F9A">
        <w:rPr>
          <w:lang w:val="fr-FR"/>
        </w:rPr>
        <w:tab/>
      </w:r>
      <w:r w:rsidR="00022F9A">
        <w:rPr>
          <w:lang w:val="fr-FR"/>
        </w:rPr>
        <w:tab/>
      </w:r>
      <w:r w:rsidRPr="0014162E">
        <w:rPr>
          <w:lang w:val="fr-FR"/>
        </w:rPr>
        <w:t>Organisations Communautaires de Base de Femmes</w:t>
      </w:r>
    </w:p>
    <w:p w14:paraId="64858486" w14:textId="49783F26" w:rsidR="0014162E" w:rsidRPr="0014162E" w:rsidRDefault="0014162E" w:rsidP="00752D6E">
      <w:pPr>
        <w:pStyle w:val="SingleTxt"/>
        <w:ind w:left="3182" w:hanging="1915"/>
        <w:jc w:val="left"/>
        <w:rPr>
          <w:lang w:val="fr-FR"/>
        </w:rPr>
      </w:pPr>
      <w:r w:rsidRPr="0014162E">
        <w:rPr>
          <w:lang w:val="fr-FR"/>
        </w:rPr>
        <w:t>ODAFEM</w:t>
      </w:r>
      <w:r w:rsidRPr="0014162E">
        <w:rPr>
          <w:lang w:val="fr-FR"/>
        </w:rPr>
        <w:tab/>
      </w:r>
      <w:r w:rsidR="00022F9A">
        <w:rPr>
          <w:lang w:val="fr-FR"/>
        </w:rPr>
        <w:tab/>
      </w:r>
      <w:r w:rsidR="00022F9A">
        <w:rPr>
          <w:lang w:val="fr-FR"/>
        </w:rPr>
        <w:tab/>
      </w:r>
      <w:r w:rsidRPr="0014162E">
        <w:rPr>
          <w:lang w:val="fr-FR"/>
        </w:rPr>
        <w:t xml:space="preserve">Organisation pour le Développement des Activités </w:t>
      </w:r>
      <w:r w:rsidR="004E5C25">
        <w:rPr>
          <w:lang w:val="fr-FR"/>
        </w:rPr>
        <w:br/>
      </w:r>
      <w:r w:rsidRPr="0014162E">
        <w:rPr>
          <w:lang w:val="fr-FR"/>
        </w:rPr>
        <w:t>des Femmes</w:t>
      </w:r>
    </w:p>
    <w:p w14:paraId="713A032F" w14:textId="08BCE681" w:rsidR="0014162E" w:rsidRPr="0014162E" w:rsidRDefault="0014162E" w:rsidP="0021663E">
      <w:pPr>
        <w:pStyle w:val="SingleTxt"/>
        <w:jc w:val="left"/>
        <w:rPr>
          <w:lang w:val="fr-FR"/>
        </w:rPr>
      </w:pPr>
      <w:r w:rsidRPr="0014162E">
        <w:rPr>
          <w:lang w:val="fr-FR"/>
        </w:rPr>
        <w:t>ONEF</w:t>
      </w:r>
      <w:r w:rsidRPr="0014162E">
        <w:rPr>
          <w:lang w:val="fr-FR"/>
        </w:rPr>
        <w:tab/>
      </w:r>
      <w:r w:rsidR="00022F9A">
        <w:rPr>
          <w:lang w:val="fr-FR"/>
        </w:rPr>
        <w:tab/>
      </w:r>
      <w:r w:rsidR="00022F9A">
        <w:rPr>
          <w:lang w:val="fr-FR"/>
        </w:rPr>
        <w:tab/>
      </w:r>
      <w:r w:rsidRPr="0014162E">
        <w:rPr>
          <w:lang w:val="fr-FR"/>
        </w:rPr>
        <w:t>Organisation Nationale pour l</w:t>
      </w:r>
      <w:r w:rsidR="000C16F5">
        <w:rPr>
          <w:lang w:val="fr-FR"/>
        </w:rPr>
        <w:t>’</w:t>
      </w:r>
      <w:r w:rsidRPr="0014162E">
        <w:rPr>
          <w:lang w:val="fr-FR"/>
        </w:rPr>
        <w:t xml:space="preserve">Enfant, la Femme et la Famille </w:t>
      </w:r>
    </w:p>
    <w:p w14:paraId="5999219A" w14:textId="2F6AE7DB" w:rsidR="0014162E" w:rsidRPr="0014162E" w:rsidRDefault="0014162E" w:rsidP="0021663E">
      <w:pPr>
        <w:pStyle w:val="SingleTxt"/>
        <w:jc w:val="left"/>
        <w:rPr>
          <w:lang w:val="fr-FR"/>
        </w:rPr>
      </w:pPr>
      <w:r w:rsidRPr="0014162E">
        <w:rPr>
          <w:lang w:val="fr-FR"/>
        </w:rPr>
        <w:t xml:space="preserve">ONEG </w:t>
      </w:r>
      <w:r w:rsidRPr="0014162E">
        <w:rPr>
          <w:lang w:val="fr-FR"/>
        </w:rPr>
        <w:tab/>
      </w:r>
      <w:r w:rsidR="00022F9A">
        <w:rPr>
          <w:lang w:val="fr-FR"/>
        </w:rPr>
        <w:tab/>
      </w:r>
      <w:r w:rsidR="00022F9A">
        <w:rPr>
          <w:lang w:val="fr-FR"/>
        </w:rPr>
        <w:tab/>
      </w:r>
      <w:r w:rsidRPr="0014162E">
        <w:rPr>
          <w:lang w:val="fr-FR"/>
        </w:rPr>
        <w:t>Observatoire National de l</w:t>
      </w:r>
      <w:r w:rsidR="000C16F5">
        <w:rPr>
          <w:lang w:val="fr-FR"/>
        </w:rPr>
        <w:t>’</w:t>
      </w:r>
      <w:r w:rsidR="00C10A78" w:rsidRPr="0014162E">
        <w:rPr>
          <w:lang w:val="fr-FR"/>
        </w:rPr>
        <w:t>Équité</w:t>
      </w:r>
      <w:r w:rsidRPr="0014162E">
        <w:rPr>
          <w:lang w:val="fr-FR"/>
        </w:rPr>
        <w:t xml:space="preserve"> et du Genre </w:t>
      </w:r>
    </w:p>
    <w:p w14:paraId="62AAF0C7" w14:textId="17EC598D" w:rsidR="0014162E" w:rsidRPr="0014162E" w:rsidRDefault="0014162E" w:rsidP="0021663E">
      <w:pPr>
        <w:pStyle w:val="SingleTxt"/>
        <w:jc w:val="left"/>
        <w:rPr>
          <w:lang w:val="fr-FR"/>
        </w:rPr>
      </w:pPr>
      <w:r w:rsidRPr="0014162E">
        <w:rPr>
          <w:lang w:val="fr-FR"/>
        </w:rPr>
        <w:t>ONUCI</w:t>
      </w:r>
      <w:r w:rsidRPr="0014162E">
        <w:rPr>
          <w:lang w:val="fr-FR"/>
        </w:rPr>
        <w:tab/>
      </w:r>
      <w:r w:rsidR="00022F9A">
        <w:rPr>
          <w:lang w:val="fr-FR"/>
        </w:rPr>
        <w:tab/>
      </w:r>
      <w:r w:rsidR="00022F9A">
        <w:rPr>
          <w:lang w:val="fr-FR"/>
        </w:rPr>
        <w:tab/>
      </w:r>
      <w:r w:rsidRPr="0014162E">
        <w:rPr>
          <w:lang w:val="fr-FR"/>
        </w:rPr>
        <w:t>Opération des Nations Unies en Côte d</w:t>
      </w:r>
      <w:r w:rsidR="000C16F5">
        <w:rPr>
          <w:lang w:val="fr-FR"/>
        </w:rPr>
        <w:t>’</w:t>
      </w:r>
      <w:r w:rsidRPr="0014162E">
        <w:rPr>
          <w:lang w:val="fr-FR"/>
        </w:rPr>
        <w:t>Ivoire</w:t>
      </w:r>
    </w:p>
    <w:p w14:paraId="52E3E858" w14:textId="3D40E525" w:rsidR="0014162E" w:rsidRPr="0014162E" w:rsidRDefault="0014162E" w:rsidP="0021663E">
      <w:pPr>
        <w:pStyle w:val="SingleTxt"/>
        <w:jc w:val="left"/>
        <w:rPr>
          <w:lang w:val="fr-FR"/>
        </w:rPr>
      </w:pPr>
      <w:r w:rsidRPr="0014162E">
        <w:rPr>
          <w:lang w:val="fr-FR"/>
        </w:rPr>
        <w:t>OIS Afrique</w:t>
      </w:r>
      <w:r w:rsidRPr="0014162E">
        <w:rPr>
          <w:lang w:val="fr-FR"/>
        </w:rPr>
        <w:tab/>
      </w:r>
      <w:r w:rsidR="00022F9A">
        <w:rPr>
          <w:lang w:val="fr-FR"/>
        </w:rPr>
        <w:tab/>
      </w:r>
      <w:r w:rsidRPr="0014162E">
        <w:rPr>
          <w:lang w:val="fr-FR"/>
        </w:rPr>
        <w:t xml:space="preserve">Organisation pour la Solidarité des Droits en Afrique </w:t>
      </w:r>
    </w:p>
    <w:p w14:paraId="0C5560F2" w14:textId="07EA131B" w:rsidR="0014162E" w:rsidRPr="0014162E" w:rsidRDefault="0014162E" w:rsidP="0021663E">
      <w:pPr>
        <w:pStyle w:val="SingleTxt"/>
        <w:jc w:val="left"/>
        <w:rPr>
          <w:lang w:val="fr-FR"/>
        </w:rPr>
      </w:pPr>
      <w:r w:rsidRPr="0014162E">
        <w:rPr>
          <w:lang w:val="fr-FR"/>
        </w:rPr>
        <w:t>OSC</w:t>
      </w:r>
      <w:r w:rsidRPr="0014162E">
        <w:rPr>
          <w:lang w:val="fr-FR"/>
        </w:rPr>
        <w:tab/>
      </w:r>
      <w:r w:rsidR="00022F9A">
        <w:rPr>
          <w:lang w:val="fr-FR"/>
        </w:rPr>
        <w:tab/>
      </w:r>
      <w:r w:rsidR="00022F9A">
        <w:rPr>
          <w:lang w:val="fr-FR"/>
        </w:rPr>
        <w:tab/>
      </w:r>
      <w:r w:rsidR="00022F9A">
        <w:rPr>
          <w:lang w:val="fr-FR"/>
        </w:rPr>
        <w:tab/>
      </w:r>
      <w:r w:rsidRPr="0014162E">
        <w:rPr>
          <w:lang w:val="fr-FR"/>
        </w:rPr>
        <w:t xml:space="preserve">Organisations de la Société Civile </w:t>
      </w:r>
    </w:p>
    <w:p w14:paraId="4274E9BF" w14:textId="6EC6E6AF" w:rsidR="0014162E" w:rsidRPr="0014162E" w:rsidRDefault="0014162E" w:rsidP="0021663E">
      <w:pPr>
        <w:pStyle w:val="SingleTxt"/>
        <w:jc w:val="left"/>
        <w:rPr>
          <w:lang w:val="en-US"/>
        </w:rPr>
      </w:pPr>
      <w:r w:rsidRPr="0014162E">
        <w:rPr>
          <w:lang w:val="en-US"/>
        </w:rPr>
        <w:t>OSIWA</w:t>
      </w:r>
      <w:r w:rsidRPr="0014162E">
        <w:rPr>
          <w:lang w:val="en-US"/>
        </w:rPr>
        <w:tab/>
      </w:r>
      <w:r w:rsidR="00022F9A">
        <w:rPr>
          <w:lang w:val="en-US"/>
        </w:rPr>
        <w:tab/>
      </w:r>
      <w:r w:rsidR="00022F9A">
        <w:rPr>
          <w:lang w:val="en-US"/>
        </w:rPr>
        <w:tab/>
      </w:r>
      <w:r w:rsidRPr="0014162E">
        <w:rPr>
          <w:lang w:val="en-US"/>
        </w:rPr>
        <w:t>Open Society Initiative for West Africa (Fondation)</w:t>
      </w:r>
    </w:p>
    <w:p w14:paraId="1A382951" w14:textId="0470F18C" w:rsidR="0014162E" w:rsidRPr="0014162E" w:rsidRDefault="0014162E" w:rsidP="00752D6E">
      <w:pPr>
        <w:pStyle w:val="SingleTxt"/>
        <w:ind w:left="3182" w:hanging="1915"/>
        <w:jc w:val="left"/>
        <w:rPr>
          <w:lang w:val="fr-FR"/>
        </w:rPr>
      </w:pPr>
      <w:r w:rsidRPr="0014162E">
        <w:rPr>
          <w:lang w:val="fr-FR"/>
        </w:rPr>
        <w:t>PAIMSC</w:t>
      </w:r>
      <w:r w:rsidRPr="0014162E">
        <w:rPr>
          <w:lang w:val="fr-FR"/>
        </w:rPr>
        <w:tab/>
      </w:r>
      <w:r w:rsidR="00022F9A">
        <w:rPr>
          <w:lang w:val="fr-FR"/>
        </w:rPr>
        <w:tab/>
      </w:r>
      <w:r w:rsidR="00022F9A">
        <w:rPr>
          <w:lang w:val="fr-FR"/>
        </w:rPr>
        <w:tab/>
      </w:r>
      <w:r w:rsidRPr="0014162E">
        <w:rPr>
          <w:lang w:val="fr-FR"/>
        </w:rPr>
        <w:t>Projet d</w:t>
      </w:r>
      <w:r w:rsidR="000C16F5">
        <w:rPr>
          <w:lang w:val="fr-FR"/>
        </w:rPr>
        <w:t>’</w:t>
      </w:r>
      <w:r w:rsidRPr="0014162E">
        <w:rPr>
          <w:lang w:val="fr-FR"/>
        </w:rPr>
        <w:t xml:space="preserve">Appui Institutionnel Multisectoriel à la Sortie </w:t>
      </w:r>
      <w:r w:rsidR="001236DF">
        <w:rPr>
          <w:lang w:val="fr-FR"/>
        </w:rPr>
        <w:br/>
      </w:r>
      <w:r w:rsidRPr="0014162E">
        <w:rPr>
          <w:lang w:val="fr-FR"/>
        </w:rPr>
        <w:t xml:space="preserve">de Crise </w:t>
      </w:r>
    </w:p>
    <w:p w14:paraId="7795D599" w14:textId="2A9B1D24" w:rsidR="0014162E" w:rsidRPr="0014162E" w:rsidRDefault="0014162E" w:rsidP="0021663E">
      <w:pPr>
        <w:pStyle w:val="SingleTxt"/>
        <w:ind w:left="3182" w:hanging="1915"/>
        <w:jc w:val="left"/>
        <w:rPr>
          <w:lang w:val="fr-FR"/>
        </w:rPr>
      </w:pPr>
      <w:r w:rsidRPr="0014162E">
        <w:rPr>
          <w:lang w:val="fr-FR"/>
        </w:rPr>
        <w:t>PALAJ</w:t>
      </w:r>
      <w:r w:rsidRPr="0014162E">
        <w:rPr>
          <w:lang w:val="fr-FR"/>
        </w:rPr>
        <w:tab/>
      </w:r>
      <w:r w:rsidR="00022F9A">
        <w:rPr>
          <w:lang w:val="fr-FR"/>
        </w:rPr>
        <w:tab/>
      </w:r>
      <w:r w:rsidR="00022F9A">
        <w:rPr>
          <w:lang w:val="fr-FR"/>
        </w:rPr>
        <w:tab/>
      </w:r>
      <w:r w:rsidRPr="0014162E">
        <w:rPr>
          <w:lang w:val="fr-FR"/>
        </w:rPr>
        <w:t>Projet d</w:t>
      </w:r>
      <w:r w:rsidR="000C16F5">
        <w:rPr>
          <w:lang w:val="fr-FR"/>
        </w:rPr>
        <w:t>’</w:t>
      </w:r>
      <w:r w:rsidRPr="0014162E">
        <w:rPr>
          <w:lang w:val="fr-FR"/>
        </w:rPr>
        <w:t>appui à l</w:t>
      </w:r>
      <w:r w:rsidR="000C16F5">
        <w:rPr>
          <w:lang w:val="fr-FR"/>
        </w:rPr>
        <w:t>’</w:t>
      </w:r>
      <w:r w:rsidRPr="0014162E">
        <w:rPr>
          <w:lang w:val="fr-FR"/>
        </w:rPr>
        <w:t>amélioration de l</w:t>
      </w:r>
      <w:r w:rsidR="000C16F5">
        <w:rPr>
          <w:lang w:val="fr-FR"/>
        </w:rPr>
        <w:t>’</w:t>
      </w:r>
      <w:r w:rsidRPr="0014162E">
        <w:rPr>
          <w:lang w:val="fr-FR"/>
        </w:rPr>
        <w:t xml:space="preserve">accès aux droits </w:t>
      </w:r>
      <w:r w:rsidR="001236DF">
        <w:rPr>
          <w:lang w:val="fr-FR"/>
        </w:rPr>
        <w:br/>
      </w:r>
      <w:r w:rsidRPr="0014162E">
        <w:rPr>
          <w:lang w:val="fr-FR"/>
        </w:rPr>
        <w:t xml:space="preserve">et à la justice </w:t>
      </w:r>
    </w:p>
    <w:p w14:paraId="4A30523B" w14:textId="4A3F5E8B" w:rsidR="0014162E" w:rsidRPr="0014162E" w:rsidRDefault="0014162E" w:rsidP="0021663E">
      <w:pPr>
        <w:pStyle w:val="SingleTxt"/>
        <w:jc w:val="left"/>
        <w:rPr>
          <w:lang w:val="fr-FR"/>
        </w:rPr>
      </w:pPr>
      <w:r w:rsidRPr="0014162E">
        <w:rPr>
          <w:lang w:val="fr-FR"/>
        </w:rPr>
        <w:t>PCD</w:t>
      </w:r>
      <w:r w:rsidRPr="0014162E">
        <w:rPr>
          <w:lang w:val="fr-FR"/>
        </w:rPr>
        <w:tab/>
      </w:r>
      <w:r w:rsidR="00022F9A">
        <w:rPr>
          <w:lang w:val="fr-FR"/>
        </w:rPr>
        <w:tab/>
      </w:r>
      <w:r w:rsidR="00022F9A">
        <w:rPr>
          <w:lang w:val="fr-FR"/>
        </w:rPr>
        <w:tab/>
      </w:r>
      <w:r w:rsidR="00022F9A">
        <w:rPr>
          <w:lang w:val="fr-FR"/>
        </w:rPr>
        <w:tab/>
      </w:r>
      <w:r w:rsidRPr="0014162E">
        <w:rPr>
          <w:lang w:val="fr-FR"/>
        </w:rPr>
        <w:t>Programme Communautaire de Développement</w:t>
      </w:r>
    </w:p>
    <w:p w14:paraId="3ACF80D1" w14:textId="0AACB652" w:rsidR="0014162E" w:rsidRPr="0014162E" w:rsidRDefault="0014162E" w:rsidP="0021663E">
      <w:pPr>
        <w:pStyle w:val="SingleTxt"/>
        <w:jc w:val="left"/>
        <w:rPr>
          <w:lang w:val="fr-FR"/>
        </w:rPr>
      </w:pPr>
      <w:r w:rsidRPr="0014162E">
        <w:rPr>
          <w:lang w:val="fr-FR"/>
        </w:rPr>
        <w:t>PEV</w:t>
      </w:r>
      <w:r w:rsidRPr="0014162E">
        <w:rPr>
          <w:lang w:val="fr-FR"/>
        </w:rPr>
        <w:tab/>
      </w:r>
      <w:r w:rsidR="00022F9A">
        <w:rPr>
          <w:lang w:val="fr-FR"/>
        </w:rPr>
        <w:tab/>
      </w:r>
      <w:r w:rsidR="00022F9A">
        <w:rPr>
          <w:lang w:val="fr-FR"/>
        </w:rPr>
        <w:tab/>
      </w:r>
      <w:r w:rsidR="00022F9A">
        <w:rPr>
          <w:lang w:val="fr-FR"/>
        </w:rPr>
        <w:tab/>
      </w:r>
      <w:r w:rsidRPr="0014162E">
        <w:rPr>
          <w:lang w:val="fr-FR"/>
        </w:rPr>
        <w:t xml:space="preserve">Programme </w:t>
      </w:r>
      <w:r w:rsidR="00C10A78" w:rsidRPr="0014162E">
        <w:rPr>
          <w:lang w:val="fr-FR"/>
        </w:rPr>
        <w:t>Élargi</w:t>
      </w:r>
      <w:r w:rsidRPr="0014162E">
        <w:rPr>
          <w:lang w:val="fr-FR"/>
        </w:rPr>
        <w:t xml:space="preserve"> de Vaccination </w:t>
      </w:r>
    </w:p>
    <w:p w14:paraId="458DB488" w14:textId="72A709AA" w:rsidR="0014162E" w:rsidRPr="0014162E" w:rsidRDefault="0014162E" w:rsidP="0021663E">
      <w:pPr>
        <w:pStyle w:val="SingleTxt"/>
        <w:jc w:val="left"/>
        <w:rPr>
          <w:lang w:val="fr-FR"/>
        </w:rPr>
      </w:pPr>
      <w:r w:rsidRPr="0014162E">
        <w:rPr>
          <w:lang w:val="fr-FR"/>
        </w:rPr>
        <w:t>PF</w:t>
      </w:r>
      <w:r w:rsidRPr="0014162E">
        <w:rPr>
          <w:lang w:val="fr-FR"/>
        </w:rPr>
        <w:tab/>
      </w:r>
      <w:r w:rsidR="00022F9A">
        <w:rPr>
          <w:lang w:val="fr-FR"/>
        </w:rPr>
        <w:tab/>
      </w:r>
      <w:r w:rsidR="00022F9A">
        <w:rPr>
          <w:lang w:val="fr-FR"/>
        </w:rPr>
        <w:tab/>
      </w:r>
      <w:r w:rsidR="00022F9A">
        <w:rPr>
          <w:lang w:val="fr-FR"/>
        </w:rPr>
        <w:tab/>
      </w:r>
      <w:r w:rsidRPr="0014162E">
        <w:rPr>
          <w:lang w:val="fr-FR"/>
        </w:rPr>
        <w:t>Planification Familiale</w:t>
      </w:r>
    </w:p>
    <w:p w14:paraId="6853A0BE" w14:textId="2EB0AA01" w:rsidR="0014162E" w:rsidRPr="0014162E" w:rsidRDefault="0014162E" w:rsidP="0021663E">
      <w:pPr>
        <w:pStyle w:val="SingleTxt"/>
        <w:ind w:left="3182" w:hanging="1915"/>
        <w:jc w:val="left"/>
        <w:rPr>
          <w:lang w:val="fr-FR"/>
        </w:rPr>
      </w:pPr>
      <w:r w:rsidRPr="0014162E">
        <w:rPr>
          <w:lang w:val="fr-FR"/>
        </w:rPr>
        <w:lastRenderedPageBreak/>
        <w:t>PAN 1325</w:t>
      </w:r>
      <w:r w:rsidRPr="0014162E">
        <w:rPr>
          <w:lang w:val="fr-FR"/>
        </w:rPr>
        <w:tab/>
      </w:r>
      <w:r w:rsidR="00022F9A">
        <w:rPr>
          <w:lang w:val="fr-FR"/>
        </w:rPr>
        <w:tab/>
      </w:r>
      <w:r w:rsidR="00022F9A">
        <w:rPr>
          <w:lang w:val="fr-FR"/>
        </w:rPr>
        <w:tab/>
      </w:r>
      <w:r w:rsidRPr="0014162E">
        <w:rPr>
          <w:lang w:val="fr-FR"/>
        </w:rPr>
        <w:t>Plan d</w:t>
      </w:r>
      <w:r w:rsidR="000C16F5">
        <w:rPr>
          <w:lang w:val="fr-FR"/>
        </w:rPr>
        <w:t>’</w:t>
      </w:r>
      <w:r w:rsidRPr="0014162E">
        <w:rPr>
          <w:lang w:val="fr-FR"/>
        </w:rPr>
        <w:t xml:space="preserve">Action National sur la Mise en œuvre </w:t>
      </w:r>
      <w:r w:rsidR="004E5C25">
        <w:rPr>
          <w:lang w:val="fr-FR"/>
        </w:rPr>
        <w:br/>
      </w:r>
      <w:r w:rsidRPr="0014162E">
        <w:rPr>
          <w:lang w:val="fr-FR"/>
        </w:rPr>
        <w:t>de la Résolution 1325</w:t>
      </w:r>
    </w:p>
    <w:p w14:paraId="6B4A82F8" w14:textId="56F84FD1" w:rsidR="0014162E" w:rsidRPr="0014162E" w:rsidRDefault="0014162E" w:rsidP="0021663E">
      <w:pPr>
        <w:pStyle w:val="SingleTxt"/>
        <w:jc w:val="left"/>
        <w:rPr>
          <w:lang w:val="fr-FR"/>
        </w:rPr>
      </w:pPr>
      <w:r w:rsidRPr="0014162E">
        <w:rPr>
          <w:lang w:val="fr-FR"/>
        </w:rPr>
        <w:t>PNCS</w:t>
      </w:r>
      <w:r w:rsidRPr="0014162E">
        <w:rPr>
          <w:lang w:val="fr-FR"/>
        </w:rPr>
        <w:tab/>
      </w:r>
      <w:r w:rsidR="00022F9A">
        <w:rPr>
          <w:lang w:val="fr-FR"/>
        </w:rPr>
        <w:tab/>
      </w:r>
      <w:r w:rsidR="00022F9A">
        <w:rPr>
          <w:lang w:val="fr-FR"/>
        </w:rPr>
        <w:tab/>
      </w:r>
      <w:r w:rsidRPr="0014162E">
        <w:rPr>
          <w:lang w:val="fr-FR"/>
        </w:rPr>
        <w:t xml:space="preserve">Programme national de cohésion sociale </w:t>
      </w:r>
    </w:p>
    <w:p w14:paraId="248F5E27" w14:textId="579B9490" w:rsidR="0014162E" w:rsidRPr="0014162E" w:rsidRDefault="0014162E" w:rsidP="0021663E">
      <w:pPr>
        <w:pStyle w:val="SingleTxt"/>
        <w:jc w:val="left"/>
        <w:rPr>
          <w:lang w:val="fr-FR"/>
        </w:rPr>
      </w:pPr>
      <w:r w:rsidRPr="0014162E">
        <w:rPr>
          <w:lang w:val="fr-FR"/>
        </w:rPr>
        <w:t xml:space="preserve">PNIA </w:t>
      </w:r>
      <w:r w:rsidRPr="0014162E">
        <w:rPr>
          <w:lang w:val="fr-FR"/>
        </w:rPr>
        <w:tab/>
      </w:r>
      <w:r w:rsidR="00022F9A">
        <w:rPr>
          <w:lang w:val="fr-FR"/>
        </w:rPr>
        <w:tab/>
      </w:r>
      <w:r w:rsidR="00022F9A">
        <w:rPr>
          <w:lang w:val="fr-FR"/>
        </w:rPr>
        <w:tab/>
      </w:r>
      <w:r w:rsidRPr="0014162E">
        <w:rPr>
          <w:lang w:val="fr-FR"/>
        </w:rPr>
        <w:t>Plan National d</w:t>
      </w:r>
      <w:r w:rsidR="000C16F5">
        <w:rPr>
          <w:lang w:val="fr-FR"/>
        </w:rPr>
        <w:t>’</w:t>
      </w:r>
      <w:r w:rsidRPr="0014162E">
        <w:rPr>
          <w:lang w:val="fr-FR"/>
        </w:rPr>
        <w:t xml:space="preserve">Investissement Agricole </w:t>
      </w:r>
    </w:p>
    <w:p w14:paraId="2B1BD3F6" w14:textId="2AAA8504" w:rsidR="0014162E" w:rsidRPr="0014162E" w:rsidRDefault="0014162E" w:rsidP="0021663E">
      <w:pPr>
        <w:pStyle w:val="SingleTxt"/>
        <w:jc w:val="left"/>
        <w:rPr>
          <w:lang w:val="fr-FR"/>
        </w:rPr>
      </w:pPr>
      <w:r w:rsidRPr="0014162E">
        <w:rPr>
          <w:lang w:val="fr-FR"/>
        </w:rPr>
        <w:t>PND</w:t>
      </w:r>
      <w:r w:rsidRPr="0014162E">
        <w:rPr>
          <w:lang w:val="fr-FR"/>
        </w:rPr>
        <w:tab/>
      </w:r>
      <w:r w:rsidR="00022F9A">
        <w:rPr>
          <w:lang w:val="fr-FR"/>
        </w:rPr>
        <w:tab/>
      </w:r>
      <w:r w:rsidR="00022F9A">
        <w:rPr>
          <w:lang w:val="fr-FR"/>
        </w:rPr>
        <w:tab/>
      </w:r>
      <w:r w:rsidR="00022F9A">
        <w:rPr>
          <w:lang w:val="fr-FR"/>
        </w:rPr>
        <w:tab/>
      </w:r>
      <w:r w:rsidRPr="0014162E">
        <w:rPr>
          <w:lang w:val="fr-FR"/>
        </w:rPr>
        <w:t>Plan National de Développement</w:t>
      </w:r>
    </w:p>
    <w:p w14:paraId="659F5D61" w14:textId="27A0EDD2" w:rsidR="0014162E" w:rsidRPr="0014162E" w:rsidRDefault="0014162E" w:rsidP="0021663E">
      <w:pPr>
        <w:pStyle w:val="SingleTxt"/>
        <w:jc w:val="left"/>
        <w:rPr>
          <w:lang w:val="fr-FR"/>
        </w:rPr>
      </w:pPr>
      <w:r w:rsidRPr="0014162E">
        <w:rPr>
          <w:lang w:val="fr-FR"/>
        </w:rPr>
        <w:t>PNPE</w:t>
      </w:r>
      <w:r w:rsidRPr="0014162E">
        <w:rPr>
          <w:lang w:val="fr-FR"/>
        </w:rPr>
        <w:tab/>
      </w:r>
      <w:r w:rsidR="00022F9A">
        <w:rPr>
          <w:lang w:val="fr-FR"/>
        </w:rPr>
        <w:tab/>
      </w:r>
      <w:r w:rsidR="00022F9A">
        <w:rPr>
          <w:lang w:val="fr-FR"/>
        </w:rPr>
        <w:tab/>
      </w:r>
      <w:r w:rsidRPr="0014162E">
        <w:rPr>
          <w:lang w:val="fr-FR"/>
        </w:rPr>
        <w:t>Politique Nationale de Protection de l</w:t>
      </w:r>
      <w:r w:rsidR="000C16F5">
        <w:rPr>
          <w:lang w:val="fr-FR"/>
        </w:rPr>
        <w:t>’</w:t>
      </w:r>
      <w:r w:rsidRPr="0014162E">
        <w:rPr>
          <w:lang w:val="fr-FR"/>
        </w:rPr>
        <w:t xml:space="preserve">Enfants </w:t>
      </w:r>
    </w:p>
    <w:p w14:paraId="2DCE4A5A" w14:textId="72F1A55E" w:rsidR="0014162E" w:rsidRPr="0014162E" w:rsidRDefault="0014162E" w:rsidP="0021663E">
      <w:pPr>
        <w:pStyle w:val="SingleTxt"/>
        <w:jc w:val="left"/>
        <w:rPr>
          <w:lang w:val="fr-FR"/>
        </w:rPr>
      </w:pPr>
      <w:r w:rsidRPr="0014162E">
        <w:rPr>
          <w:lang w:val="fr-FR"/>
        </w:rPr>
        <w:t xml:space="preserve">PNDC </w:t>
      </w:r>
      <w:r w:rsidRPr="0014162E">
        <w:rPr>
          <w:lang w:val="fr-FR"/>
        </w:rPr>
        <w:tab/>
      </w:r>
      <w:r w:rsidR="00022F9A">
        <w:rPr>
          <w:lang w:val="fr-FR"/>
        </w:rPr>
        <w:tab/>
      </w:r>
      <w:r w:rsidR="00022F9A">
        <w:rPr>
          <w:lang w:val="fr-FR"/>
        </w:rPr>
        <w:tab/>
      </w:r>
      <w:r w:rsidRPr="0014162E">
        <w:rPr>
          <w:lang w:val="fr-FR"/>
        </w:rPr>
        <w:t xml:space="preserve">Programme National de Développement Communautaire </w:t>
      </w:r>
    </w:p>
    <w:p w14:paraId="5E0718B0" w14:textId="3E181789" w:rsidR="0014162E" w:rsidRPr="0014162E" w:rsidRDefault="0014162E" w:rsidP="0021663E">
      <w:pPr>
        <w:pStyle w:val="SingleTxt"/>
        <w:ind w:left="3182" w:hanging="1915"/>
        <w:jc w:val="left"/>
        <w:rPr>
          <w:lang w:val="fr-FR"/>
        </w:rPr>
      </w:pPr>
      <w:r w:rsidRPr="0014162E">
        <w:rPr>
          <w:lang w:val="fr-FR"/>
        </w:rPr>
        <w:t>PNSRPF</w:t>
      </w:r>
      <w:r w:rsidRPr="0014162E">
        <w:rPr>
          <w:lang w:val="fr-FR"/>
        </w:rPr>
        <w:tab/>
      </w:r>
      <w:r w:rsidR="00022F9A">
        <w:rPr>
          <w:lang w:val="fr-FR"/>
        </w:rPr>
        <w:tab/>
      </w:r>
      <w:r w:rsidR="00022F9A">
        <w:rPr>
          <w:lang w:val="fr-FR"/>
        </w:rPr>
        <w:tab/>
      </w:r>
      <w:r w:rsidRPr="0014162E">
        <w:rPr>
          <w:lang w:val="fr-FR"/>
        </w:rPr>
        <w:t xml:space="preserve">Programme National de la Santé de la Reproduction </w:t>
      </w:r>
      <w:r w:rsidR="004E5C25">
        <w:rPr>
          <w:lang w:val="fr-FR"/>
        </w:rPr>
        <w:br/>
      </w:r>
      <w:r w:rsidRPr="0014162E">
        <w:rPr>
          <w:lang w:val="fr-FR"/>
        </w:rPr>
        <w:t>et Planification Familiale</w:t>
      </w:r>
    </w:p>
    <w:p w14:paraId="514B0867" w14:textId="4A40C9FA" w:rsidR="0014162E" w:rsidRPr="0014162E" w:rsidRDefault="0014162E" w:rsidP="0021663E">
      <w:pPr>
        <w:pStyle w:val="SingleTxt"/>
        <w:jc w:val="left"/>
        <w:rPr>
          <w:lang w:val="fr-FR"/>
        </w:rPr>
      </w:pPr>
      <w:r w:rsidRPr="0014162E">
        <w:rPr>
          <w:lang w:val="fr-FR"/>
        </w:rPr>
        <w:t>PPU</w:t>
      </w:r>
      <w:r w:rsidRPr="0014162E">
        <w:rPr>
          <w:lang w:val="fr-FR"/>
        </w:rPr>
        <w:tab/>
      </w:r>
      <w:r w:rsidR="00022F9A">
        <w:rPr>
          <w:lang w:val="fr-FR"/>
        </w:rPr>
        <w:tab/>
      </w:r>
      <w:r w:rsidR="00022F9A">
        <w:rPr>
          <w:lang w:val="fr-FR"/>
        </w:rPr>
        <w:tab/>
      </w:r>
      <w:r w:rsidR="00022F9A">
        <w:rPr>
          <w:lang w:val="fr-FR"/>
        </w:rPr>
        <w:tab/>
      </w:r>
      <w:r w:rsidRPr="0014162E">
        <w:rPr>
          <w:lang w:val="fr-FR"/>
        </w:rPr>
        <w:t>Programme Présidentiel d</w:t>
      </w:r>
      <w:r w:rsidR="000C16F5">
        <w:rPr>
          <w:lang w:val="fr-FR"/>
        </w:rPr>
        <w:t>’</w:t>
      </w:r>
      <w:r w:rsidRPr="0014162E">
        <w:rPr>
          <w:lang w:val="fr-FR"/>
        </w:rPr>
        <w:t xml:space="preserve">Urgence </w:t>
      </w:r>
    </w:p>
    <w:p w14:paraId="468E49E9" w14:textId="008EBE4D" w:rsidR="0014162E" w:rsidRPr="0014162E" w:rsidRDefault="0014162E" w:rsidP="0021663E">
      <w:pPr>
        <w:pStyle w:val="SingleTxt"/>
        <w:jc w:val="left"/>
        <w:rPr>
          <w:lang w:val="fr-FR"/>
        </w:rPr>
      </w:pPr>
      <w:r w:rsidRPr="0014162E">
        <w:rPr>
          <w:lang w:val="fr-FR"/>
        </w:rPr>
        <w:t>POS</w:t>
      </w:r>
      <w:r w:rsidRPr="0014162E">
        <w:rPr>
          <w:lang w:val="fr-FR"/>
        </w:rPr>
        <w:tab/>
      </w:r>
      <w:r w:rsidR="00022F9A">
        <w:rPr>
          <w:lang w:val="fr-FR"/>
        </w:rPr>
        <w:tab/>
      </w:r>
      <w:r w:rsidR="00022F9A">
        <w:rPr>
          <w:lang w:val="fr-FR"/>
        </w:rPr>
        <w:tab/>
      </w:r>
      <w:r w:rsidR="00022F9A">
        <w:rPr>
          <w:lang w:val="fr-FR"/>
        </w:rPr>
        <w:tab/>
      </w:r>
      <w:r w:rsidRPr="0014162E">
        <w:rPr>
          <w:lang w:val="fr-FR"/>
        </w:rPr>
        <w:t xml:space="preserve">Procédures Opérationnelles Standards </w:t>
      </w:r>
    </w:p>
    <w:p w14:paraId="5BB63819" w14:textId="1B021595" w:rsidR="0014162E" w:rsidRPr="0014162E" w:rsidRDefault="0014162E" w:rsidP="0021663E">
      <w:pPr>
        <w:pStyle w:val="SingleTxt"/>
        <w:ind w:left="3182" w:hanging="1915"/>
        <w:jc w:val="left"/>
        <w:rPr>
          <w:lang w:val="fr-FR"/>
        </w:rPr>
      </w:pPr>
      <w:r w:rsidRPr="0014162E">
        <w:rPr>
          <w:lang w:val="fr-FR"/>
        </w:rPr>
        <w:t>PRDF</w:t>
      </w:r>
      <w:r w:rsidRPr="0014162E">
        <w:rPr>
          <w:lang w:val="fr-FR"/>
        </w:rPr>
        <w:tab/>
      </w:r>
      <w:r w:rsidR="00022F9A">
        <w:rPr>
          <w:lang w:val="fr-FR"/>
        </w:rPr>
        <w:tab/>
      </w:r>
      <w:r w:rsidR="00022F9A">
        <w:rPr>
          <w:lang w:val="fr-FR"/>
        </w:rPr>
        <w:tab/>
      </w:r>
      <w:r w:rsidRPr="0014162E">
        <w:rPr>
          <w:lang w:val="fr-FR"/>
        </w:rPr>
        <w:t xml:space="preserve">Projet de restauration des droits des femmes victimes </w:t>
      </w:r>
      <w:r w:rsidR="004E5C25">
        <w:rPr>
          <w:lang w:val="fr-FR"/>
        </w:rPr>
        <w:br/>
      </w:r>
      <w:r w:rsidRPr="0014162E">
        <w:rPr>
          <w:lang w:val="fr-FR"/>
        </w:rPr>
        <w:t>de violences sexuelles durant la période post-électorale</w:t>
      </w:r>
    </w:p>
    <w:p w14:paraId="789309B8" w14:textId="6ED53113" w:rsidR="0014162E" w:rsidRPr="0014162E" w:rsidRDefault="0014162E" w:rsidP="0021663E">
      <w:pPr>
        <w:pStyle w:val="SingleTxt"/>
        <w:ind w:left="3182" w:hanging="1915"/>
        <w:jc w:val="left"/>
        <w:rPr>
          <w:lang w:val="fr-FR"/>
        </w:rPr>
      </w:pPr>
      <w:r w:rsidRPr="0014162E">
        <w:rPr>
          <w:lang w:val="fr-FR"/>
        </w:rPr>
        <w:t>PRPC‐DC/DM</w:t>
      </w:r>
      <w:r w:rsidRPr="0014162E">
        <w:rPr>
          <w:lang w:val="fr-FR"/>
        </w:rPr>
        <w:tab/>
      </w:r>
      <w:r w:rsidR="00022F9A">
        <w:rPr>
          <w:lang w:val="fr-FR"/>
        </w:rPr>
        <w:tab/>
      </w:r>
      <w:r w:rsidRPr="0014162E">
        <w:rPr>
          <w:lang w:val="fr-FR"/>
        </w:rPr>
        <w:t>Projet de Reconstruction Post‐Conflit et de Développement Communautaire dans le District des Montagnes</w:t>
      </w:r>
    </w:p>
    <w:p w14:paraId="3BE8D49A" w14:textId="1B812F02" w:rsidR="0014162E" w:rsidRPr="0014162E" w:rsidRDefault="0014162E" w:rsidP="0021663E">
      <w:pPr>
        <w:pStyle w:val="SingleTxt"/>
        <w:jc w:val="left"/>
        <w:rPr>
          <w:lang w:val="fr-FR"/>
        </w:rPr>
      </w:pPr>
      <w:r w:rsidRPr="0014162E">
        <w:rPr>
          <w:lang w:val="fr-FR"/>
        </w:rPr>
        <w:t>PSAEF</w:t>
      </w:r>
      <w:r w:rsidRPr="0014162E">
        <w:rPr>
          <w:lang w:val="fr-FR"/>
        </w:rPr>
        <w:tab/>
      </w:r>
      <w:r w:rsidR="00022F9A">
        <w:rPr>
          <w:lang w:val="fr-FR"/>
        </w:rPr>
        <w:tab/>
      </w:r>
      <w:r w:rsidR="00022F9A">
        <w:rPr>
          <w:lang w:val="fr-FR"/>
        </w:rPr>
        <w:tab/>
      </w:r>
      <w:r w:rsidRPr="0014162E">
        <w:rPr>
          <w:lang w:val="fr-FR"/>
        </w:rPr>
        <w:t>Plan Stratégique d</w:t>
      </w:r>
      <w:r w:rsidR="000C16F5">
        <w:rPr>
          <w:lang w:val="fr-FR"/>
        </w:rPr>
        <w:t>’</w:t>
      </w:r>
      <w:r w:rsidRPr="0014162E">
        <w:rPr>
          <w:lang w:val="fr-FR"/>
        </w:rPr>
        <w:t>Accélération de l</w:t>
      </w:r>
      <w:r w:rsidR="000C16F5">
        <w:rPr>
          <w:lang w:val="fr-FR"/>
        </w:rPr>
        <w:t>’</w:t>
      </w:r>
      <w:r w:rsidR="00C10A78" w:rsidRPr="0014162E">
        <w:rPr>
          <w:lang w:val="fr-FR"/>
        </w:rPr>
        <w:t>Éducation</w:t>
      </w:r>
      <w:r w:rsidRPr="0014162E">
        <w:rPr>
          <w:lang w:val="fr-FR"/>
        </w:rPr>
        <w:t xml:space="preserve"> des Filles </w:t>
      </w:r>
    </w:p>
    <w:p w14:paraId="6E30DC0D" w14:textId="646DB22B" w:rsidR="0014162E" w:rsidRPr="0014162E" w:rsidRDefault="0014162E" w:rsidP="0021663E">
      <w:pPr>
        <w:pStyle w:val="SingleTxt"/>
        <w:jc w:val="left"/>
        <w:rPr>
          <w:lang w:val="fr-FR"/>
        </w:rPr>
      </w:pPr>
      <w:r w:rsidRPr="0014162E">
        <w:rPr>
          <w:lang w:val="fr-FR"/>
        </w:rPr>
        <w:t>PTF</w:t>
      </w:r>
      <w:r w:rsidRPr="0014162E">
        <w:rPr>
          <w:lang w:val="fr-FR"/>
        </w:rPr>
        <w:tab/>
      </w:r>
      <w:r w:rsidR="00022F9A">
        <w:rPr>
          <w:lang w:val="fr-FR"/>
        </w:rPr>
        <w:tab/>
      </w:r>
      <w:r w:rsidR="00022F9A">
        <w:rPr>
          <w:lang w:val="fr-FR"/>
        </w:rPr>
        <w:tab/>
      </w:r>
      <w:r w:rsidR="00022F9A">
        <w:rPr>
          <w:lang w:val="fr-FR"/>
        </w:rPr>
        <w:tab/>
      </w:r>
      <w:r w:rsidRPr="0014162E">
        <w:rPr>
          <w:lang w:val="fr-FR"/>
        </w:rPr>
        <w:t xml:space="preserve">Partenaires techniques et financiers </w:t>
      </w:r>
    </w:p>
    <w:p w14:paraId="6376E332" w14:textId="11FACD7E" w:rsidR="0014162E" w:rsidRPr="0014162E" w:rsidRDefault="0014162E" w:rsidP="0021663E">
      <w:pPr>
        <w:pStyle w:val="SingleTxt"/>
        <w:jc w:val="left"/>
        <w:rPr>
          <w:lang w:val="fr-FR"/>
        </w:rPr>
      </w:pPr>
      <w:r w:rsidRPr="0014162E">
        <w:rPr>
          <w:lang w:val="fr-FR"/>
        </w:rPr>
        <w:t>PTME</w:t>
      </w:r>
      <w:r w:rsidRPr="0014162E">
        <w:rPr>
          <w:lang w:val="fr-FR"/>
        </w:rPr>
        <w:tab/>
      </w:r>
      <w:r w:rsidR="00022F9A">
        <w:rPr>
          <w:lang w:val="fr-FR"/>
        </w:rPr>
        <w:tab/>
      </w:r>
      <w:r w:rsidR="00022F9A">
        <w:rPr>
          <w:lang w:val="fr-FR"/>
        </w:rPr>
        <w:tab/>
      </w:r>
      <w:r w:rsidRPr="0014162E">
        <w:rPr>
          <w:lang w:val="fr-FR"/>
        </w:rPr>
        <w:t>Prévention de la Transmission de la Mère à l</w:t>
      </w:r>
      <w:r w:rsidR="000C16F5">
        <w:rPr>
          <w:lang w:val="fr-FR"/>
        </w:rPr>
        <w:t>’</w:t>
      </w:r>
      <w:r w:rsidRPr="0014162E">
        <w:rPr>
          <w:lang w:val="fr-FR"/>
        </w:rPr>
        <w:t xml:space="preserve">Enfant </w:t>
      </w:r>
    </w:p>
    <w:p w14:paraId="62F6D465" w14:textId="32B31FAA" w:rsidR="0014162E" w:rsidRPr="0014162E" w:rsidRDefault="0014162E" w:rsidP="0021663E">
      <w:pPr>
        <w:pStyle w:val="SingleTxt"/>
        <w:jc w:val="left"/>
        <w:rPr>
          <w:lang w:val="fr-FR"/>
        </w:rPr>
      </w:pPr>
      <w:r w:rsidRPr="0014162E">
        <w:rPr>
          <w:lang w:val="fr-FR"/>
        </w:rPr>
        <w:t>PVVIH</w:t>
      </w:r>
      <w:r w:rsidRPr="0014162E">
        <w:rPr>
          <w:lang w:val="fr-FR"/>
        </w:rPr>
        <w:tab/>
      </w:r>
      <w:r w:rsidR="00022F9A">
        <w:rPr>
          <w:lang w:val="fr-FR"/>
        </w:rPr>
        <w:tab/>
      </w:r>
      <w:r w:rsidR="00022F9A">
        <w:rPr>
          <w:lang w:val="fr-FR"/>
        </w:rPr>
        <w:tab/>
      </w:r>
      <w:r w:rsidRPr="0014162E">
        <w:rPr>
          <w:lang w:val="fr-FR"/>
        </w:rPr>
        <w:t xml:space="preserve">Personnes Vivantes avec le VIH </w:t>
      </w:r>
    </w:p>
    <w:p w14:paraId="323F21BA" w14:textId="6518D9E9" w:rsidR="0014162E" w:rsidRPr="0014162E" w:rsidRDefault="0014162E" w:rsidP="0021663E">
      <w:pPr>
        <w:pStyle w:val="SingleTxt"/>
        <w:ind w:left="3182" w:hanging="1915"/>
        <w:jc w:val="left"/>
        <w:rPr>
          <w:lang w:val="fr-FR"/>
        </w:rPr>
      </w:pPr>
      <w:r w:rsidRPr="0014162E">
        <w:rPr>
          <w:lang w:val="fr-FR"/>
        </w:rPr>
        <w:t>REFAMPCI</w:t>
      </w:r>
      <w:r w:rsidRPr="0014162E">
        <w:rPr>
          <w:lang w:val="fr-FR"/>
        </w:rPr>
        <w:tab/>
      </w:r>
      <w:r w:rsidR="00022F9A">
        <w:rPr>
          <w:lang w:val="fr-FR"/>
        </w:rPr>
        <w:tab/>
      </w:r>
      <w:r w:rsidRPr="0014162E">
        <w:rPr>
          <w:lang w:val="fr-FR"/>
        </w:rPr>
        <w:t xml:space="preserve">Réseau des Femmes Africaines Ministres et Parlementaires </w:t>
      </w:r>
      <w:r w:rsidR="004E5C25">
        <w:rPr>
          <w:lang w:val="fr-FR"/>
        </w:rPr>
        <w:t>–</w:t>
      </w:r>
      <w:r w:rsidR="001236DF">
        <w:rPr>
          <w:lang w:val="fr-FR"/>
        </w:rPr>
        <w:t> </w:t>
      </w:r>
      <w:r w:rsidRPr="0014162E">
        <w:rPr>
          <w:lang w:val="fr-FR"/>
        </w:rPr>
        <w:t>Côte d</w:t>
      </w:r>
      <w:r w:rsidR="000C16F5">
        <w:rPr>
          <w:lang w:val="fr-FR"/>
        </w:rPr>
        <w:t>’</w:t>
      </w:r>
      <w:r w:rsidRPr="0014162E">
        <w:rPr>
          <w:lang w:val="fr-FR"/>
        </w:rPr>
        <w:t>Ivoire</w:t>
      </w:r>
    </w:p>
    <w:p w14:paraId="3AFD99CA" w14:textId="39B121AC" w:rsidR="0014162E" w:rsidRPr="0014162E" w:rsidRDefault="0014162E" w:rsidP="0021663E">
      <w:pPr>
        <w:pStyle w:val="SingleTxt"/>
        <w:jc w:val="left"/>
        <w:rPr>
          <w:lang w:val="fr-FR"/>
        </w:rPr>
      </w:pPr>
      <w:r w:rsidRPr="0014162E">
        <w:rPr>
          <w:lang w:val="fr-FR"/>
        </w:rPr>
        <w:t>RGPH</w:t>
      </w:r>
      <w:r w:rsidRPr="0014162E">
        <w:rPr>
          <w:lang w:val="fr-FR"/>
        </w:rPr>
        <w:tab/>
      </w:r>
      <w:r w:rsidR="00022F9A">
        <w:rPr>
          <w:lang w:val="fr-FR"/>
        </w:rPr>
        <w:tab/>
      </w:r>
      <w:r w:rsidR="00022F9A">
        <w:rPr>
          <w:lang w:val="fr-FR"/>
        </w:rPr>
        <w:tab/>
      </w:r>
      <w:r w:rsidRPr="0014162E">
        <w:rPr>
          <w:lang w:val="fr-FR"/>
        </w:rPr>
        <w:t>Recensement Général de la Population et de l</w:t>
      </w:r>
      <w:r w:rsidR="000C16F5">
        <w:rPr>
          <w:lang w:val="fr-FR"/>
        </w:rPr>
        <w:t>’</w:t>
      </w:r>
      <w:r w:rsidRPr="0014162E">
        <w:rPr>
          <w:lang w:val="fr-FR"/>
        </w:rPr>
        <w:t>Habitat</w:t>
      </w:r>
    </w:p>
    <w:p w14:paraId="2E019D38" w14:textId="5760D9D2" w:rsidR="0014162E" w:rsidRPr="0014162E" w:rsidRDefault="0014162E" w:rsidP="0021663E">
      <w:pPr>
        <w:pStyle w:val="SingleTxt"/>
        <w:jc w:val="left"/>
        <w:rPr>
          <w:lang w:val="fr-FR"/>
        </w:rPr>
      </w:pPr>
      <w:r w:rsidRPr="0014162E">
        <w:rPr>
          <w:lang w:val="fr-FR"/>
        </w:rPr>
        <w:t>SFD</w:t>
      </w:r>
      <w:r w:rsidRPr="0014162E">
        <w:rPr>
          <w:lang w:val="fr-FR"/>
        </w:rPr>
        <w:tab/>
      </w:r>
      <w:r w:rsidR="00022F9A">
        <w:rPr>
          <w:lang w:val="fr-FR"/>
        </w:rPr>
        <w:tab/>
      </w:r>
      <w:r w:rsidR="00022F9A">
        <w:rPr>
          <w:lang w:val="fr-FR"/>
        </w:rPr>
        <w:tab/>
      </w:r>
      <w:r w:rsidR="00022F9A">
        <w:rPr>
          <w:lang w:val="fr-FR"/>
        </w:rPr>
        <w:tab/>
      </w:r>
      <w:r w:rsidRPr="0014162E">
        <w:rPr>
          <w:lang w:val="fr-FR"/>
        </w:rPr>
        <w:t>Systèmes Financiers Décentralisés</w:t>
      </w:r>
    </w:p>
    <w:p w14:paraId="0EF94816" w14:textId="395B12DD" w:rsidR="0014162E" w:rsidRPr="0014162E" w:rsidRDefault="0014162E" w:rsidP="0021663E">
      <w:pPr>
        <w:pStyle w:val="SingleTxt"/>
        <w:ind w:left="3182" w:hanging="1915"/>
        <w:jc w:val="left"/>
        <w:rPr>
          <w:lang w:val="fr-FR"/>
        </w:rPr>
      </w:pPr>
      <w:r w:rsidRPr="0014162E">
        <w:rPr>
          <w:lang w:val="fr-FR"/>
        </w:rPr>
        <w:t xml:space="preserve">SNVBG </w:t>
      </w:r>
      <w:r w:rsidRPr="0014162E">
        <w:rPr>
          <w:lang w:val="fr-FR"/>
        </w:rPr>
        <w:tab/>
      </w:r>
      <w:r w:rsidR="00022F9A">
        <w:rPr>
          <w:lang w:val="fr-FR"/>
        </w:rPr>
        <w:tab/>
      </w:r>
      <w:r w:rsidR="00022F9A">
        <w:rPr>
          <w:lang w:val="fr-FR"/>
        </w:rPr>
        <w:tab/>
      </w:r>
      <w:r w:rsidRPr="0014162E">
        <w:rPr>
          <w:lang w:val="fr-FR"/>
        </w:rPr>
        <w:t xml:space="preserve">Stratégie Nationale de Lutte contre les Violences Basées </w:t>
      </w:r>
      <w:r w:rsidR="004E5C25">
        <w:rPr>
          <w:lang w:val="fr-FR"/>
        </w:rPr>
        <w:br/>
      </w:r>
      <w:r w:rsidRPr="0014162E">
        <w:rPr>
          <w:lang w:val="fr-FR"/>
        </w:rPr>
        <w:t>sur le Genre</w:t>
      </w:r>
    </w:p>
    <w:p w14:paraId="0C4F2633" w14:textId="3A8197B3" w:rsidR="0014162E" w:rsidRPr="0014162E" w:rsidRDefault="0014162E" w:rsidP="0021663E">
      <w:pPr>
        <w:pStyle w:val="SingleTxt"/>
        <w:jc w:val="left"/>
        <w:rPr>
          <w:lang w:val="fr-FR"/>
        </w:rPr>
      </w:pPr>
      <w:r w:rsidRPr="0014162E">
        <w:rPr>
          <w:lang w:val="fr-FR"/>
        </w:rPr>
        <w:t>SNPS</w:t>
      </w:r>
      <w:r w:rsidRPr="0014162E">
        <w:rPr>
          <w:lang w:val="fr-FR"/>
        </w:rPr>
        <w:tab/>
      </w:r>
      <w:r w:rsidR="00022F9A">
        <w:rPr>
          <w:lang w:val="fr-FR"/>
        </w:rPr>
        <w:tab/>
      </w:r>
      <w:r w:rsidR="00022F9A">
        <w:rPr>
          <w:lang w:val="fr-FR"/>
        </w:rPr>
        <w:tab/>
      </w:r>
      <w:r w:rsidRPr="0014162E">
        <w:rPr>
          <w:lang w:val="fr-FR"/>
        </w:rPr>
        <w:t xml:space="preserve">Stratégie Nationale de Protection Sociale </w:t>
      </w:r>
    </w:p>
    <w:p w14:paraId="53791A77" w14:textId="3701FF76" w:rsidR="0014162E" w:rsidRPr="0014162E" w:rsidRDefault="0014162E" w:rsidP="0021663E">
      <w:pPr>
        <w:pStyle w:val="SingleTxt"/>
        <w:jc w:val="left"/>
        <w:rPr>
          <w:lang w:val="fr-FR"/>
        </w:rPr>
      </w:pPr>
      <w:r w:rsidRPr="0014162E">
        <w:rPr>
          <w:lang w:val="fr-FR"/>
        </w:rPr>
        <w:t>SNLTP</w:t>
      </w:r>
      <w:r w:rsidRPr="0014162E">
        <w:rPr>
          <w:lang w:val="fr-FR"/>
        </w:rPr>
        <w:tab/>
      </w:r>
      <w:r w:rsidR="00022F9A">
        <w:rPr>
          <w:lang w:val="fr-FR"/>
        </w:rPr>
        <w:tab/>
      </w:r>
      <w:r w:rsidR="00022F9A">
        <w:rPr>
          <w:lang w:val="fr-FR"/>
        </w:rPr>
        <w:tab/>
      </w:r>
      <w:r w:rsidRPr="0014162E">
        <w:rPr>
          <w:lang w:val="fr-FR"/>
        </w:rPr>
        <w:t>Stratégie Nationale de lutte contre la traite des personnes</w:t>
      </w:r>
    </w:p>
    <w:p w14:paraId="67F919F3" w14:textId="7A8EDB8A" w:rsidR="0014162E" w:rsidRPr="0014162E" w:rsidRDefault="0014162E" w:rsidP="0021663E">
      <w:pPr>
        <w:pStyle w:val="SingleTxt"/>
        <w:jc w:val="left"/>
        <w:rPr>
          <w:lang w:val="fr-FR"/>
        </w:rPr>
      </w:pPr>
      <w:r w:rsidRPr="0014162E">
        <w:rPr>
          <w:lang w:val="fr-FR"/>
        </w:rPr>
        <w:t xml:space="preserve">SNPS </w:t>
      </w:r>
      <w:r w:rsidRPr="0014162E">
        <w:rPr>
          <w:lang w:val="fr-FR"/>
        </w:rPr>
        <w:tab/>
      </w:r>
      <w:r w:rsidR="00022F9A">
        <w:rPr>
          <w:lang w:val="fr-FR"/>
        </w:rPr>
        <w:tab/>
      </w:r>
      <w:r w:rsidR="00022F9A">
        <w:rPr>
          <w:lang w:val="fr-FR"/>
        </w:rPr>
        <w:tab/>
      </w:r>
      <w:r w:rsidRPr="0014162E">
        <w:rPr>
          <w:lang w:val="fr-FR"/>
        </w:rPr>
        <w:t xml:space="preserve">Stratégie Nationale de Protection Sociale </w:t>
      </w:r>
    </w:p>
    <w:p w14:paraId="5A656D7F" w14:textId="67DB8408" w:rsidR="0014162E" w:rsidRPr="0014162E" w:rsidRDefault="0014162E" w:rsidP="0021663E">
      <w:pPr>
        <w:pStyle w:val="SingleTxt"/>
        <w:jc w:val="left"/>
        <w:rPr>
          <w:lang w:val="fr-FR"/>
        </w:rPr>
      </w:pPr>
      <w:r w:rsidRPr="0014162E">
        <w:rPr>
          <w:lang w:val="fr-FR"/>
        </w:rPr>
        <w:t>SR</w:t>
      </w:r>
      <w:r w:rsidRPr="0014162E">
        <w:rPr>
          <w:lang w:val="fr-FR"/>
        </w:rPr>
        <w:tab/>
      </w:r>
      <w:r w:rsidR="00022F9A">
        <w:rPr>
          <w:lang w:val="fr-FR"/>
        </w:rPr>
        <w:tab/>
      </w:r>
      <w:r w:rsidR="00022F9A">
        <w:rPr>
          <w:lang w:val="fr-FR"/>
        </w:rPr>
        <w:tab/>
      </w:r>
      <w:r w:rsidR="00022F9A">
        <w:rPr>
          <w:lang w:val="fr-FR"/>
        </w:rPr>
        <w:tab/>
      </w:r>
      <w:r w:rsidRPr="0014162E">
        <w:rPr>
          <w:lang w:val="fr-FR"/>
        </w:rPr>
        <w:t>Santé de la reproduction</w:t>
      </w:r>
    </w:p>
    <w:p w14:paraId="00268266" w14:textId="33700AAB" w:rsidR="0014162E" w:rsidRPr="0014162E" w:rsidRDefault="0014162E" w:rsidP="0021663E">
      <w:pPr>
        <w:pStyle w:val="SingleTxt"/>
        <w:ind w:left="3182" w:hanging="1915"/>
        <w:jc w:val="left"/>
        <w:rPr>
          <w:lang w:val="fr-FR"/>
        </w:rPr>
      </w:pPr>
      <w:r w:rsidRPr="0014162E">
        <w:rPr>
          <w:lang w:val="fr-FR"/>
        </w:rPr>
        <w:t>UN Action</w:t>
      </w:r>
      <w:r w:rsidRPr="0014162E">
        <w:rPr>
          <w:lang w:val="fr-FR"/>
        </w:rPr>
        <w:tab/>
      </w:r>
      <w:r w:rsidR="00022F9A">
        <w:rPr>
          <w:lang w:val="fr-FR"/>
        </w:rPr>
        <w:tab/>
      </w:r>
      <w:r w:rsidR="00022F9A">
        <w:rPr>
          <w:lang w:val="fr-FR"/>
        </w:rPr>
        <w:tab/>
      </w:r>
      <w:r w:rsidRPr="0014162E">
        <w:rPr>
          <w:lang w:val="fr-FR"/>
        </w:rPr>
        <w:t>Initiative des Nations Unies contre les violences sexuelles liées au conflit</w:t>
      </w:r>
    </w:p>
    <w:p w14:paraId="60652DB0" w14:textId="73BDA808" w:rsidR="0014162E" w:rsidRPr="0014162E" w:rsidRDefault="0014162E" w:rsidP="0021663E">
      <w:pPr>
        <w:pStyle w:val="SingleTxt"/>
        <w:jc w:val="left"/>
        <w:rPr>
          <w:lang w:val="fr-FR"/>
        </w:rPr>
      </w:pPr>
      <w:r w:rsidRPr="0014162E">
        <w:rPr>
          <w:lang w:val="fr-FR"/>
        </w:rPr>
        <w:t>VBG</w:t>
      </w:r>
      <w:r w:rsidRPr="0014162E">
        <w:rPr>
          <w:lang w:val="fr-FR"/>
        </w:rPr>
        <w:tab/>
      </w:r>
      <w:r w:rsidR="00022F9A">
        <w:rPr>
          <w:lang w:val="fr-FR"/>
        </w:rPr>
        <w:tab/>
      </w:r>
      <w:r w:rsidR="00022F9A">
        <w:rPr>
          <w:lang w:val="fr-FR"/>
        </w:rPr>
        <w:tab/>
      </w:r>
      <w:r w:rsidR="00022F9A">
        <w:rPr>
          <w:lang w:val="fr-FR"/>
        </w:rPr>
        <w:tab/>
      </w:r>
      <w:r w:rsidRPr="0014162E">
        <w:rPr>
          <w:lang w:val="fr-FR"/>
        </w:rPr>
        <w:t>Violence Basée sur le Genre</w:t>
      </w:r>
    </w:p>
    <w:p w14:paraId="2496A058" w14:textId="26437E4C" w:rsidR="0014162E" w:rsidRPr="0014162E" w:rsidRDefault="0014162E" w:rsidP="0021663E">
      <w:pPr>
        <w:pStyle w:val="SingleTxt"/>
        <w:jc w:val="left"/>
        <w:rPr>
          <w:lang w:val="fr-FR"/>
        </w:rPr>
      </w:pPr>
      <w:r w:rsidRPr="0014162E">
        <w:rPr>
          <w:lang w:val="fr-FR"/>
        </w:rPr>
        <w:t>VIH</w:t>
      </w:r>
      <w:r w:rsidRPr="0014162E">
        <w:rPr>
          <w:lang w:val="fr-FR"/>
        </w:rPr>
        <w:tab/>
      </w:r>
      <w:r w:rsidR="00022F9A">
        <w:rPr>
          <w:lang w:val="fr-FR"/>
        </w:rPr>
        <w:tab/>
      </w:r>
      <w:r w:rsidR="00022F9A">
        <w:rPr>
          <w:lang w:val="fr-FR"/>
        </w:rPr>
        <w:tab/>
      </w:r>
      <w:r w:rsidR="00022F9A">
        <w:rPr>
          <w:lang w:val="fr-FR"/>
        </w:rPr>
        <w:tab/>
      </w:r>
      <w:r w:rsidRPr="0014162E">
        <w:rPr>
          <w:lang w:val="fr-FR"/>
        </w:rPr>
        <w:t>Virus de l</w:t>
      </w:r>
      <w:r w:rsidR="000C16F5">
        <w:rPr>
          <w:lang w:val="fr-FR"/>
        </w:rPr>
        <w:t>’</w:t>
      </w:r>
      <w:r w:rsidRPr="0014162E">
        <w:rPr>
          <w:lang w:val="fr-FR"/>
        </w:rPr>
        <w:t>Immunodéficience Humaine</w:t>
      </w:r>
    </w:p>
    <w:p w14:paraId="2874C946" w14:textId="7F677370" w:rsidR="00364BF3" w:rsidRDefault="00364BF3">
      <w:pPr>
        <w:spacing w:after="200" w:line="276" w:lineRule="auto"/>
        <w:rPr>
          <w:lang w:val="fr-FR"/>
        </w:rPr>
      </w:pPr>
      <w:r>
        <w:rPr>
          <w:lang w:val="fr-FR"/>
        </w:rPr>
        <w:br w:type="page"/>
      </w:r>
    </w:p>
    <w:p w14:paraId="134AE2D9" w14:textId="51C0C9CD" w:rsidR="00364BF3" w:rsidRDefault="00364BF3" w:rsidP="00A5144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lastRenderedPageBreak/>
        <w:tab/>
      </w:r>
      <w:r w:rsidR="00A51446">
        <w:rPr>
          <w:lang w:val="fr-FR"/>
        </w:rPr>
        <w:tab/>
      </w:r>
      <w:r w:rsidRPr="00190491">
        <w:rPr>
          <w:lang w:val="fr-FR"/>
        </w:rPr>
        <w:t>Introduction</w:t>
      </w:r>
    </w:p>
    <w:p w14:paraId="6C0A9E21" w14:textId="33B20F06" w:rsidR="00A51446" w:rsidRPr="00A51446" w:rsidRDefault="00A51446" w:rsidP="00A51446">
      <w:pPr>
        <w:spacing w:line="120" w:lineRule="exact"/>
        <w:rPr>
          <w:sz w:val="10"/>
          <w:lang w:val="fr-FR"/>
        </w:rPr>
      </w:pPr>
    </w:p>
    <w:p w14:paraId="50F73A70" w14:textId="341D13B6" w:rsidR="00A51446" w:rsidRPr="00A51446" w:rsidRDefault="00A51446" w:rsidP="00A51446">
      <w:pPr>
        <w:spacing w:line="120" w:lineRule="exact"/>
        <w:rPr>
          <w:sz w:val="10"/>
          <w:lang w:val="fr-FR"/>
        </w:rPr>
      </w:pPr>
    </w:p>
    <w:p w14:paraId="3AED5CA6" w14:textId="6A57D623" w:rsidR="00364BF3" w:rsidRPr="00190491" w:rsidRDefault="00364BF3" w:rsidP="008A6B29">
      <w:pPr>
        <w:pStyle w:val="SingleTxt"/>
        <w:numPr>
          <w:ilvl w:val="0"/>
          <w:numId w:val="6"/>
        </w:numPr>
        <w:tabs>
          <w:tab w:val="num" w:pos="2804"/>
        </w:tabs>
        <w:spacing w:line="240" w:lineRule="exact"/>
        <w:ind w:left="1267"/>
        <w:rPr>
          <w:lang w:val="fr-FR"/>
        </w:rPr>
      </w:pPr>
      <w:r w:rsidRPr="00190491">
        <w:rPr>
          <w:lang w:val="fr-FR"/>
        </w:rPr>
        <w:t>Conformément aux engagements inscrits dans les textes régionaux et les instruments juridiques internationaux ratifiés, l</w:t>
      </w:r>
      <w:r w:rsidR="000C16F5">
        <w:rPr>
          <w:lang w:val="fr-FR"/>
        </w:rPr>
        <w:t>’</w:t>
      </w:r>
      <w:r w:rsidR="00C10A78" w:rsidRPr="00190491">
        <w:rPr>
          <w:lang w:val="fr-FR"/>
        </w:rPr>
        <w:t>État</w:t>
      </w:r>
      <w:r w:rsidRPr="00190491">
        <w:rPr>
          <w:lang w:val="fr-FR"/>
        </w:rPr>
        <w:t xml:space="preserve"> de Côte d</w:t>
      </w:r>
      <w:r w:rsidR="000C16F5">
        <w:rPr>
          <w:lang w:val="fr-FR"/>
        </w:rPr>
        <w:t>’</w:t>
      </w:r>
      <w:r w:rsidRPr="00190491">
        <w:rPr>
          <w:lang w:val="fr-FR"/>
        </w:rPr>
        <w:t>Ivoire présente son rapport périodique sur la Convention sur l</w:t>
      </w:r>
      <w:r w:rsidR="000C16F5">
        <w:rPr>
          <w:lang w:val="fr-FR"/>
        </w:rPr>
        <w:t>’</w:t>
      </w:r>
      <w:r w:rsidRPr="00190491">
        <w:rPr>
          <w:lang w:val="fr-FR"/>
        </w:rPr>
        <w:t>élimination de toutes les Formes de Discrimination à l</w:t>
      </w:r>
      <w:r w:rsidR="000C16F5">
        <w:rPr>
          <w:lang w:val="fr-FR"/>
        </w:rPr>
        <w:t>’</w:t>
      </w:r>
      <w:r w:rsidR="00C10A78" w:rsidRPr="00190491">
        <w:rPr>
          <w:lang w:val="fr-FR"/>
        </w:rPr>
        <w:t>Égard</w:t>
      </w:r>
      <w:r w:rsidRPr="00190491">
        <w:rPr>
          <w:lang w:val="fr-FR"/>
        </w:rPr>
        <w:t xml:space="preserve"> des Femmes (CEDEF) couvrant la période 2011-2015.</w:t>
      </w:r>
    </w:p>
    <w:p w14:paraId="3F082086" w14:textId="6A4EAD4F" w:rsidR="00364BF3" w:rsidRPr="00190491" w:rsidRDefault="00364BF3" w:rsidP="008A6B29">
      <w:pPr>
        <w:pStyle w:val="SingleTxt"/>
        <w:numPr>
          <w:ilvl w:val="0"/>
          <w:numId w:val="6"/>
        </w:numPr>
        <w:tabs>
          <w:tab w:val="num" w:pos="2804"/>
        </w:tabs>
        <w:spacing w:line="240" w:lineRule="exact"/>
        <w:ind w:left="1267"/>
        <w:rPr>
          <w:lang w:val="fr-FR"/>
        </w:rPr>
      </w:pPr>
      <w:r w:rsidRPr="00190491">
        <w:rPr>
          <w:lang w:val="fr-FR"/>
        </w:rPr>
        <w:t>Il convient de rappeler que l</w:t>
      </w:r>
      <w:r w:rsidR="000C16F5">
        <w:rPr>
          <w:lang w:val="fr-FR"/>
        </w:rPr>
        <w:t>’</w:t>
      </w:r>
      <w:r w:rsidR="00C10A78" w:rsidRPr="00190491">
        <w:rPr>
          <w:lang w:val="fr-FR"/>
        </w:rPr>
        <w:t>État</w:t>
      </w:r>
      <w:r w:rsidRPr="00190491">
        <w:rPr>
          <w:lang w:val="fr-FR"/>
        </w:rPr>
        <w:t xml:space="preserve"> de Côte d</w:t>
      </w:r>
      <w:r w:rsidR="000C16F5">
        <w:rPr>
          <w:lang w:val="fr-FR"/>
        </w:rPr>
        <w:t>’</w:t>
      </w:r>
      <w:r w:rsidRPr="00190491">
        <w:rPr>
          <w:lang w:val="fr-FR"/>
        </w:rPr>
        <w:t>Ivoire après avoir ratifié la CEDEF en 1995, a présenté un rapport combiné (initial, 1</w:t>
      </w:r>
      <w:r w:rsidRPr="00190491">
        <w:rPr>
          <w:vertAlign w:val="superscript"/>
          <w:lang w:val="fr-FR"/>
        </w:rPr>
        <w:t>er</w:t>
      </w:r>
      <w:r w:rsidRPr="00190491">
        <w:rPr>
          <w:lang w:val="fr-FR"/>
        </w:rPr>
        <w:t>, 2</w:t>
      </w:r>
      <w:r w:rsidRPr="00190491">
        <w:rPr>
          <w:vertAlign w:val="superscript"/>
          <w:lang w:val="fr-FR"/>
        </w:rPr>
        <w:t>e</w:t>
      </w:r>
      <w:r w:rsidRPr="00190491">
        <w:rPr>
          <w:lang w:val="fr-FR"/>
        </w:rPr>
        <w:t xml:space="preserve"> et 3</w:t>
      </w:r>
      <w:r w:rsidRPr="00190491">
        <w:rPr>
          <w:vertAlign w:val="superscript"/>
          <w:lang w:val="fr-FR"/>
        </w:rPr>
        <w:t xml:space="preserve">e </w:t>
      </w:r>
      <w:r w:rsidRPr="00190491">
        <w:rPr>
          <w:lang w:val="fr-FR"/>
        </w:rPr>
        <w:t>rapports périodiques) en octobre 2011 devant le comité de Genève. Dans ce cadre, 80 recommandations ont été faites par le Comité CEDEF pour la mise en œuvre effective de ladite convention.</w:t>
      </w:r>
    </w:p>
    <w:p w14:paraId="35D494D0" w14:textId="12890676" w:rsidR="00364BF3" w:rsidRPr="00190491" w:rsidRDefault="00364BF3" w:rsidP="008A6B29">
      <w:pPr>
        <w:pStyle w:val="SingleTxt"/>
        <w:numPr>
          <w:ilvl w:val="0"/>
          <w:numId w:val="6"/>
        </w:numPr>
        <w:tabs>
          <w:tab w:val="num" w:pos="2804"/>
        </w:tabs>
        <w:spacing w:line="240" w:lineRule="exact"/>
        <w:ind w:left="1267"/>
        <w:rPr>
          <w:lang w:val="fr-FR"/>
        </w:rPr>
      </w:pPr>
      <w:r w:rsidRPr="00190491">
        <w:rPr>
          <w:lang w:val="fr-FR"/>
        </w:rPr>
        <w:t>L</w:t>
      </w:r>
      <w:r w:rsidR="000C16F5">
        <w:rPr>
          <w:lang w:val="fr-FR"/>
        </w:rPr>
        <w:t>’</w:t>
      </w:r>
      <w:r w:rsidR="00C10A78" w:rsidRPr="00190491">
        <w:rPr>
          <w:lang w:val="fr-FR"/>
        </w:rPr>
        <w:t>État</w:t>
      </w:r>
      <w:r w:rsidRPr="00190491">
        <w:rPr>
          <w:lang w:val="fr-FR"/>
        </w:rPr>
        <w:t xml:space="preserve"> de Côte d</w:t>
      </w:r>
      <w:r w:rsidR="000C16F5">
        <w:rPr>
          <w:lang w:val="fr-FR"/>
        </w:rPr>
        <w:t>’</w:t>
      </w:r>
      <w:r w:rsidRPr="00190491">
        <w:rPr>
          <w:lang w:val="fr-FR"/>
        </w:rPr>
        <w:t>Ivoire s</w:t>
      </w:r>
      <w:r w:rsidR="000C16F5">
        <w:rPr>
          <w:lang w:val="fr-FR"/>
        </w:rPr>
        <w:t>’</w:t>
      </w:r>
      <w:r w:rsidRPr="00190491">
        <w:rPr>
          <w:lang w:val="fr-FR"/>
        </w:rPr>
        <w:t>est inscrit dans une logique de recherche du bien-être de sa population avec l</w:t>
      </w:r>
      <w:r w:rsidR="000C16F5">
        <w:rPr>
          <w:lang w:val="fr-FR"/>
        </w:rPr>
        <w:t>’</w:t>
      </w:r>
      <w:r w:rsidRPr="00190491">
        <w:rPr>
          <w:lang w:val="fr-FR"/>
        </w:rPr>
        <w:t>ambition d</w:t>
      </w:r>
      <w:r w:rsidR="000C16F5">
        <w:rPr>
          <w:lang w:val="fr-FR"/>
        </w:rPr>
        <w:t>’</w:t>
      </w:r>
      <w:r w:rsidRPr="00190491">
        <w:rPr>
          <w:lang w:val="fr-FR"/>
        </w:rPr>
        <w:t>être un pays émergent à l</w:t>
      </w:r>
      <w:r w:rsidR="000C16F5">
        <w:rPr>
          <w:lang w:val="fr-FR"/>
        </w:rPr>
        <w:t>’</w:t>
      </w:r>
      <w:r w:rsidRPr="00190491">
        <w:rPr>
          <w:lang w:val="fr-FR"/>
        </w:rPr>
        <w:t>horizon 2020. Pour y parvenir, le pays s</w:t>
      </w:r>
      <w:r w:rsidR="000C16F5">
        <w:rPr>
          <w:lang w:val="fr-FR"/>
        </w:rPr>
        <w:t>’</w:t>
      </w:r>
      <w:r w:rsidRPr="00190491">
        <w:rPr>
          <w:lang w:val="fr-FR"/>
        </w:rPr>
        <w:t>est doté, en 2012 puis en 2016 d</w:t>
      </w:r>
      <w:r w:rsidR="000C16F5">
        <w:rPr>
          <w:lang w:val="fr-FR"/>
        </w:rPr>
        <w:t>’</w:t>
      </w:r>
      <w:r w:rsidRPr="00190491">
        <w:rPr>
          <w:lang w:val="fr-FR"/>
        </w:rPr>
        <w:t>un document de stratégie intitulé Programme National de Développement (PND) orienté vers la bonne gouvernance et le développement humain.</w:t>
      </w:r>
    </w:p>
    <w:p w14:paraId="375DCB20" w14:textId="071EB997" w:rsidR="00364BF3" w:rsidRPr="00190491" w:rsidRDefault="00364BF3" w:rsidP="008A6B29">
      <w:pPr>
        <w:pStyle w:val="SingleTxt"/>
        <w:numPr>
          <w:ilvl w:val="0"/>
          <w:numId w:val="6"/>
        </w:numPr>
        <w:tabs>
          <w:tab w:val="num" w:pos="2804"/>
        </w:tabs>
        <w:spacing w:line="240" w:lineRule="exact"/>
        <w:ind w:left="1267"/>
        <w:rPr>
          <w:lang w:val="fr-FR"/>
        </w:rPr>
      </w:pPr>
      <w:r w:rsidRPr="00190491">
        <w:rPr>
          <w:lang w:val="fr-FR"/>
        </w:rPr>
        <w:t>Cependant, malgré ses efforts, la Côte d</w:t>
      </w:r>
      <w:r w:rsidR="000C16F5">
        <w:rPr>
          <w:lang w:val="fr-FR"/>
        </w:rPr>
        <w:t>’</w:t>
      </w:r>
      <w:r w:rsidRPr="00190491">
        <w:rPr>
          <w:lang w:val="fr-FR"/>
        </w:rPr>
        <w:t xml:space="preserve">Ivoire rencontre encore des difficultés pour répondre à certains engagements pris en matière de droits fondamentaux de la femme. </w:t>
      </w:r>
    </w:p>
    <w:p w14:paraId="2446631E" w14:textId="67C7B2BB" w:rsidR="00364BF3" w:rsidRPr="00190491" w:rsidRDefault="00364BF3" w:rsidP="008A6B29">
      <w:pPr>
        <w:pStyle w:val="SingleTxt"/>
        <w:numPr>
          <w:ilvl w:val="0"/>
          <w:numId w:val="6"/>
        </w:numPr>
        <w:tabs>
          <w:tab w:val="num" w:pos="2804"/>
        </w:tabs>
        <w:spacing w:line="240" w:lineRule="exact"/>
        <w:ind w:left="1267"/>
        <w:rPr>
          <w:lang w:val="fr-FR"/>
        </w:rPr>
      </w:pPr>
      <w:r w:rsidRPr="00190491">
        <w:rPr>
          <w:lang w:val="fr-FR"/>
        </w:rPr>
        <w:t>Le présent rapport traduit le niveau d</w:t>
      </w:r>
      <w:r w:rsidR="000C16F5">
        <w:rPr>
          <w:lang w:val="fr-FR"/>
        </w:rPr>
        <w:t>’</w:t>
      </w:r>
      <w:r w:rsidRPr="00190491">
        <w:rPr>
          <w:lang w:val="fr-FR"/>
        </w:rPr>
        <w:t>avancement en matière de promotion de la femme en Côte d</w:t>
      </w:r>
      <w:r w:rsidR="000C16F5">
        <w:rPr>
          <w:lang w:val="fr-FR"/>
        </w:rPr>
        <w:t>’</w:t>
      </w:r>
      <w:r w:rsidRPr="00190491">
        <w:rPr>
          <w:lang w:val="fr-FR"/>
        </w:rPr>
        <w:t>Ivoire depuis 2011. L</w:t>
      </w:r>
      <w:r w:rsidR="000C16F5">
        <w:rPr>
          <w:lang w:val="fr-FR"/>
        </w:rPr>
        <w:t>’</w:t>
      </w:r>
      <w:r w:rsidRPr="00190491">
        <w:rPr>
          <w:lang w:val="fr-FR"/>
        </w:rPr>
        <w:t xml:space="preserve">élaboration et la validation du rapport ont suivi une démarche participative et multisectorielle. </w:t>
      </w:r>
    </w:p>
    <w:p w14:paraId="3B553D3B" w14:textId="247BA88E" w:rsidR="00364BF3" w:rsidRDefault="00364BF3" w:rsidP="008A6B29">
      <w:pPr>
        <w:pStyle w:val="SingleTxt"/>
        <w:numPr>
          <w:ilvl w:val="0"/>
          <w:numId w:val="6"/>
        </w:numPr>
        <w:tabs>
          <w:tab w:val="num" w:pos="2804"/>
        </w:tabs>
        <w:spacing w:line="240" w:lineRule="exact"/>
        <w:ind w:left="1267"/>
        <w:rPr>
          <w:bCs/>
          <w:lang w:val="fr-FR"/>
        </w:rPr>
      </w:pPr>
      <w:r w:rsidRPr="00190491">
        <w:rPr>
          <w:lang w:val="fr-FR"/>
        </w:rPr>
        <w:t>Le rapport se présente en 2 grandes parties consacrées respectivement au processus de développement de la Côte d</w:t>
      </w:r>
      <w:r w:rsidR="000C16F5">
        <w:rPr>
          <w:lang w:val="fr-FR"/>
        </w:rPr>
        <w:t>’</w:t>
      </w:r>
      <w:r w:rsidRPr="00190491">
        <w:rPr>
          <w:lang w:val="fr-FR"/>
        </w:rPr>
        <w:t>Ivoire et à l</w:t>
      </w:r>
      <w:r w:rsidR="000C16F5">
        <w:rPr>
          <w:lang w:val="fr-FR"/>
        </w:rPr>
        <w:t>’</w:t>
      </w:r>
      <w:r w:rsidRPr="00190491">
        <w:rPr>
          <w:bCs/>
          <w:lang w:val="fr-FR"/>
        </w:rPr>
        <w:t xml:space="preserve">état de mise en œuvre des recommandations </w:t>
      </w:r>
      <w:r w:rsidRPr="00190491">
        <w:rPr>
          <w:lang w:val="fr-FR"/>
        </w:rPr>
        <w:t>de la CEDEF (formulées à l</w:t>
      </w:r>
      <w:r w:rsidR="000C16F5">
        <w:rPr>
          <w:lang w:val="fr-FR"/>
        </w:rPr>
        <w:t>’</w:t>
      </w:r>
      <w:r w:rsidRPr="00190491">
        <w:rPr>
          <w:lang w:val="fr-FR"/>
        </w:rPr>
        <w:t>issue de la présentation du rapport cumulé initial, 1</w:t>
      </w:r>
      <w:r w:rsidRPr="00190491">
        <w:rPr>
          <w:vertAlign w:val="superscript"/>
          <w:lang w:val="fr-FR"/>
        </w:rPr>
        <w:t>er</w:t>
      </w:r>
      <w:r w:rsidRPr="00190491">
        <w:rPr>
          <w:lang w:val="fr-FR"/>
        </w:rPr>
        <w:t>, 2</w:t>
      </w:r>
      <w:r w:rsidRPr="00190491">
        <w:rPr>
          <w:vertAlign w:val="superscript"/>
          <w:lang w:val="fr-FR"/>
        </w:rPr>
        <w:t>e</w:t>
      </w:r>
      <w:r w:rsidRPr="00190491">
        <w:rPr>
          <w:lang w:val="fr-FR"/>
        </w:rPr>
        <w:t xml:space="preserve"> et 3</w:t>
      </w:r>
      <w:r w:rsidRPr="00190491">
        <w:rPr>
          <w:vertAlign w:val="superscript"/>
          <w:lang w:val="fr-FR"/>
        </w:rPr>
        <w:t>e</w:t>
      </w:r>
      <w:r w:rsidRPr="00190491">
        <w:rPr>
          <w:lang w:val="fr-FR"/>
        </w:rPr>
        <w:t xml:space="preserve"> rapport)</w:t>
      </w:r>
      <w:r w:rsidRPr="00190491">
        <w:rPr>
          <w:bCs/>
          <w:lang w:val="fr-FR"/>
        </w:rPr>
        <w:t>.</w:t>
      </w:r>
    </w:p>
    <w:p w14:paraId="367ED3F6" w14:textId="2D6D3D5F" w:rsidR="00A51446" w:rsidRPr="00A51446" w:rsidRDefault="00A51446" w:rsidP="00A51446">
      <w:pPr>
        <w:pStyle w:val="SingleTxt"/>
        <w:tabs>
          <w:tab w:val="num" w:pos="2804"/>
        </w:tabs>
        <w:spacing w:after="0" w:line="120" w:lineRule="exact"/>
        <w:rPr>
          <w:bCs/>
          <w:sz w:val="10"/>
          <w:lang w:val="fr-FR"/>
        </w:rPr>
      </w:pPr>
    </w:p>
    <w:p w14:paraId="52D827E6" w14:textId="4CA231EA" w:rsidR="00A51446" w:rsidRPr="00A51446" w:rsidRDefault="00A51446" w:rsidP="00A51446">
      <w:pPr>
        <w:pStyle w:val="SingleTxt"/>
        <w:tabs>
          <w:tab w:val="num" w:pos="2804"/>
        </w:tabs>
        <w:spacing w:line="120" w:lineRule="exact"/>
        <w:rPr>
          <w:bCs/>
          <w:sz w:val="10"/>
          <w:lang w:val="fr-FR"/>
        </w:rPr>
      </w:pPr>
    </w:p>
    <w:p w14:paraId="501AD746" w14:textId="569B44C5" w:rsidR="00364BF3" w:rsidRDefault="00364BF3" w:rsidP="0030379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0491">
        <w:rPr>
          <w:lang w:val="fr-FR"/>
        </w:rPr>
        <w:tab/>
      </w:r>
      <w:r w:rsidRPr="00190491">
        <w:rPr>
          <w:lang w:val="fr-FR"/>
        </w:rPr>
        <w:tab/>
        <w:t>Première partie</w:t>
      </w:r>
      <w:r w:rsidR="008945B3">
        <w:rPr>
          <w:lang w:val="fr-FR"/>
        </w:rPr>
        <w:t> :</w:t>
      </w:r>
      <w:r w:rsidRPr="00190491">
        <w:rPr>
          <w:lang w:val="fr-FR"/>
        </w:rPr>
        <w:t xml:space="preserve"> Processus de développement </w:t>
      </w:r>
      <w:r w:rsidR="00303790">
        <w:rPr>
          <w:lang w:val="fr-FR"/>
        </w:rPr>
        <w:br/>
      </w:r>
      <w:r w:rsidRPr="00190491">
        <w:rPr>
          <w:lang w:val="fr-FR"/>
        </w:rPr>
        <w:t>de la Côte d</w:t>
      </w:r>
      <w:r w:rsidR="000C16F5">
        <w:rPr>
          <w:lang w:val="fr-FR"/>
        </w:rPr>
        <w:t>’</w:t>
      </w:r>
      <w:r w:rsidRPr="00190491">
        <w:rPr>
          <w:lang w:val="fr-FR"/>
        </w:rPr>
        <w:t>Ivoire et les grands progrès</w:t>
      </w:r>
    </w:p>
    <w:p w14:paraId="08360B18" w14:textId="1AA7B6DC" w:rsidR="00303790" w:rsidRPr="00303790" w:rsidRDefault="00303790" w:rsidP="00303790">
      <w:pPr>
        <w:pStyle w:val="SingleTxt"/>
        <w:spacing w:after="0" w:line="120" w:lineRule="exact"/>
        <w:rPr>
          <w:sz w:val="10"/>
          <w:lang w:val="fr-FR"/>
        </w:rPr>
      </w:pPr>
    </w:p>
    <w:p w14:paraId="2F1ECDE5" w14:textId="5F620486" w:rsidR="00303790" w:rsidRPr="00303790" w:rsidRDefault="00303790" w:rsidP="00303790">
      <w:pPr>
        <w:pStyle w:val="SingleTxt"/>
        <w:spacing w:after="0" w:line="120" w:lineRule="exact"/>
        <w:rPr>
          <w:sz w:val="10"/>
          <w:lang w:val="fr-FR"/>
        </w:rPr>
      </w:pPr>
    </w:p>
    <w:p w14:paraId="30C18647" w14:textId="34ED61E1" w:rsidR="00364BF3" w:rsidRDefault="00364BF3" w:rsidP="0030379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Les grands progrès réalisés</w:t>
      </w:r>
    </w:p>
    <w:p w14:paraId="11D0CA9C" w14:textId="42F92781" w:rsidR="00303790" w:rsidRPr="00303790" w:rsidRDefault="00303790" w:rsidP="00303790">
      <w:pPr>
        <w:spacing w:line="120" w:lineRule="exact"/>
        <w:rPr>
          <w:sz w:val="10"/>
          <w:lang w:val="fr-FR"/>
        </w:rPr>
      </w:pPr>
    </w:p>
    <w:p w14:paraId="6B6D6474" w14:textId="49394398" w:rsidR="00303790" w:rsidRPr="00303790" w:rsidRDefault="00303790" w:rsidP="00303790">
      <w:pPr>
        <w:spacing w:line="120" w:lineRule="exact"/>
        <w:rPr>
          <w:sz w:val="10"/>
          <w:lang w:val="fr-FR"/>
        </w:rPr>
      </w:pPr>
    </w:p>
    <w:p w14:paraId="0B491036" w14:textId="41916A11" w:rsidR="00364BF3" w:rsidRDefault="00364BF3" w:rsidP="0030379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 xml:space="preserve">Les réformes </w:t>
      </w:r>
      <w:r w:rsidRPr="00190491">
        <w:rPr>
          <w:lang w:val="fr-FR"/>
        </w:rPr>
        <w:t>législatives</w:t>
      </w:r>
      <w:r w:rsidRPr="0011615C">
        <w:rPr>
          <w:lang w:val="fr-FR"/>
        </w:rPr>
        <w:t xml:space="preserve"> et institutionnelles </w:t>
      </w:r>
    </w:p>
    <w:p w14:paraId="029EF030" w14:textId="3FB16241" w:rsidR="00303790" w:rsidRPr="00303790" w:rsidRDefault="00303790" w:rsidP="00303790">
      <w:pPr>
        <w:spacing w:line="120" w:lineRule="exact"/>
        <w:rPr>
          <w:sz w:val="10"/>
          <w:lang w:val="fr-FR"/>
        </w:rPr>
      </w:pPr>
    </w:p>
    <w:p w14:paraId="0CFFA6DC" w14:textId="609B52D4" w:rsidR="00364BF3" w:rsidRDefault="00364BF3" w:rsidP="0030379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La ratification de textes de loi (Conventions)</w:t>
      </w:r>
    </w:p>
    <w:p w14:paraId="41C58B52" w14:textId="2C97DFEC" w:rsidR="00303790" w:rsidRPr="00303790" w:rsidRDefault="00303790" w:rsidP="00303790">
      <w:pPr>
        <w:spacing w:line="120" w:lineRule="exact"/>
        <w:rPr>
          <w:sz w:val="10"/>
          <w:lang w:val="fr-FR"/>
        </w:rPr>
      </w:pPr>
    </w:p>
    <w:p w14:paraId="46B10516" w14:textId="740067B4" w:rsidR="00364BF3" w:rsidRPr="00190491" w:rsidRDefault="00364BF3" w:rsidP="008A6B29">
      <w:pPr>
        <w:pStyle w:val="SingleTxt"/>
        <w:numPr>
          <w:ilvl w:val="0"/>
          <w:numId w:val="7"/>
        </w:numPr>
        <w:tabs>
          <w:tab w:val="num" w:pos="2804"/>
        </w:tabs>
        <w:spacing w:line="240" w:lineRule="exact"/>
        <w:rPr>
          <w:lang w:val="fr-FR"/>
        </w:rPr>
      </w:pPr>
      <w:r w:rsidRPr="00190491">
        <w:rPr>
          <w:lang w:val="fr-FR"/>
        </w:rPr>
        <w:t>La Côte d</w:t>
      </w:r>
      <w:r w:rsidR="000C16F5">
        <w:rPr>
          <w:lang w:val="fr-FR"/>
        </w:rPr>
        <w:t>’</w:t>
      </w:r>
      <w:r w:rsidRPr="00190491">
        <w:rPr>
          <w:lang w:val="fr-FR"/>
        </w:rPr>
        <w:t>Ivoire a ratifié la Convention relative aux droits des Personnes Handicapées le 10 janvier 2014, après l</w:t>
      </w:r>
      <w:r w:rsidR="000C16F5">
        <w:rPr>
          <w:lang w:val="fr-FR"/>
        </w:rPr>
        <w:t>’</w:t>
      </w:r>
      <w:r w:rsidRPr="00190491">
        <w:rPr>
          <w:lang w:val="fr-FR"/>
        </w:rPr>
        <w:t>avoir signée le 7 juin 2007.</w:t>
      </w:r>
    </w:p>
    <w:p w14:paraId="101CFB8E" w14:textId="4CB57D17" w:rsidR="00364BF3" w:rsidRDefault="00364BF3" w:rsidP="008A6B29">
      <w:pPr>
        <w:pStyle w:val="SingleTxt"/>
        <w:numPr>
          <w:ilvl w:val="0"/>
          <w:numId w:val="8"/>
        </w:numPr>
        <w:tabs>
          <w:tab w:val="num" w:pos="2804"/>
        </w:tabs>
        <w:spacing w:line="240" w:lineRule="exact"/>
        <w:rPr>
          <w:lang w:val="fr-FR"/>
        </w:rPr>
      </w:pPr>
      <w:r w:rsidRPr="00190491">
        <w:rPr>
          <w:lang w:val="fr-FR"/>
        </w:rPr>
        <w:t>Ainsi, le Chef de l</w:t>
      </w:r>
      <w:r w:rsidR="000C16F5">
        <w:rPr>
          <w:lang w:val="fr-FR"/>
        </w:rPr>
        <w:t>’</w:t>
      </w:r>
      <w:r w:rsidR="00C10A78" w:rsidRPr="00190491">
        <w:rPr>
          <w:lang w:val="fr-FR"/>
        </w:rPr>
        <w:t>État</w:t>
      </w:r>
      <w:r w:rsidRPr="00190491">
        <w:rPr>
          <w:lang w:val="fr-FR"/>
        </w:rPr>
        <w:t xml:space="preserve"> a porté à 300 les 94 postes ouverts à la Fonction publique pour les personnes en situation de handicap à titre dérogatoire. Parallèlement à cela, le Gouvernement initie des campagnes d</w:t>
      </w:r>
      <w:r w:rsidR="000C16F5">
        <w:rPr>
          <w:lang w:val="fr-FR"/>
        </w:rPr>
        <w:t>’</w:t>
      </w:r>
      <w:r w:rsidRPr="00190491">
        <w:rPr>
          <w:lang w:val="fr-FR"/>
        </w:rPr>
        <w:t>information et de sensibilisation à l</w:t>
      </w:r>
      <w:r w:rsidR="000C16F5">
        <w:rPr>
          <w:lang w:val="fr-FR"/>
        </w:rPr>
        <w:t>’</w:t>
      </w:r>
      <w:r w:rsidRPr="00190491">
        <w:rPr>
          <w:lang w:val="fr-FR"/>
        </w:rPr>
        <w:t>endroit des employeurs pour le recrutement des personnes en situation de handicap.</w:t>
      </w:r>
    </w:p>
    <w:p w14:paraId="1E62EDC7" w14:textId="19C393D6" w:rsidR="00303790" w:rsidRPr="00303790" w:rsidRDefault="00303790" w:rsidP="00303790">
      <w:pPr>
        <w:pStyle w:val="SingleTxt"/>
        <w:tabs>
          <w:tab w:val="clear" w:pos="1742"/>
          <w:tab w:val="num" w:pos="2804"/>
        </w:tabs>
        <w:spacing w:after="0" w:line="120" w:lineRule="exact"/>
        <w:rPr>
          <w:sz w:val="10"/>
          <w:lang w:val="fr-FR"/>
        </w:rPr>
      </w:pPr>
    </w:p>
    <w:p w14:paraId="42EB32E7" w14:textId="231A4340" w:rsidR="00364BF3" w:rsidRDefault="00364BF3" w:rsidP="00303790">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Les textes de loi interne</w:t>
      </w:r>
    </w:p>
    <w:p w14:paraId="4192A46C" w14:textId="5FBB07A1" w:rsidR="00303790" w:rsidRPr="00303790" w:rsidRDefault="00303790" w:rsidP="00303790">
      <w:pPr>
        <w:spacing w:line="120" w:lineRule="exact"/>
        <w:rPr>
          <w:sz w:val="10"/>
          <w:lang w:val="fr-FR"/>
        </w:rPr>
      </w:pPr>
    </w:p>
    <w:p w14:paraId="540CAA39" w14:textId="74059C91" w:rsidR="00364BF3" w:rsidRPr="0011615C" w:rsidRDefault="00303790" w:rsidP="00303790">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adoption de la loi n</w:t>
      </w:r>
      <w:r w:rsidR="004B7322" w:rsidRPr="004B7322">
        <w:rPr>
          <w:vertAlign w:val="superscript"/>
          <w:lang w:val="fr-FR"/>
        </w:rPr>
        <w:t>o</w:t>
      </w:r>
      <w:r w:rsidR="004B7322">
        <w:rPr>
          <w:lang w:val="fr-FR"/>
        </w:rPr>
        <w:t> </w:t>
      </w:r>
      <w:r w:rsidR="00364BF3" w:rsidRPr="0011615C">
        <w:rPr>
          <w:lang w:val="fr-FR"/>
        </w:rPr>
        <w:t>2016-886 du 08 novembre 2016 portant Constitution de la République de la Côte d</w:t>
      </w:r>
      <w:r w:rsidR="000C16F5">
        <w:rPr>
          <w:lang w:val="fr-FR"/>
        </w:rPr>
        <w:t>’</w:t>
      </w:r>
      <w:r w:rsidR="00364BF3" w:rsidRPr="0011615C">
        <w:rPr>
          <w:lang w:val="fr-FR"/>
        </w:rPr>
        <w:t>Ivoire qui reconnait les droits, les libertés et les devoirs de chaque ivoirien femme/homme, manifeste clairement et expressément la lutte contre les discriminations basées sur le sexe à ses articles</w:t>
      </w:r>
      <w:r w:rsidR="004B7322">
        <w:rPr>
          <w:lang w:val="fr-FR"/>
        </w:rPr>
        <w:t> </w:t>
      </w:r>
      <w:r w:rsidR="00364BF3" w:rsidRPr="0011615C">
        <w:rPr>
          <w:lang w:val="fr-FR"/>
        </w:rPr>
        <w:t>4 et 37</w:t>
      </w:r>
      <w:r w:rsidR="00DB4C05">
        <w:rPr>
          <w:lang w:val="fr-FR"/>
        </w:rPr>
        <w:t> ;</w:t>
      </w:r>
    </w:p>
    <w:p w14:paraId="04EB328A" w14:textId="1C363D38" w:rsidR="00364BF3" w:rsidRPr="0011615C" w:rsidRDefault="00303790" w:rsidP="00303790">
      <w:pPr>
        <w:pStyle w:val="SingleTxt"/>
        <w:tabs>
          <w:tab w:val="right" w:pos="1685"/>
        </w:tabs>
        <w:ind w:left="1742" w:hanging="475"/>
        <w:rPr>
          <w:lang w:val="fr-FR"/>
        </w:rPr>
      </w:pPr>
      <w:r>
        <w:rPr>
          <w:lang w:val="fr-FR"/>
        </w:rPr>
        <w:tab/>
        <w:t>•</w:t>
      </w:r>
      <w:r>
        <w:rPr>
          <w:lang w:val="fr-FR"/>
        </w:rPr>
        <w:tab/>
      </w:r>
      <w:r w:rsidR="00364BF3" w:rsidRPr="0011615C">
        <w:rPr>
          <w:lang w:val="fr-FR"/>
        </w:rPr>
        <w:t>Le décret n</w:t>
      </w:r>
      <w:r w:rsidR="004B7322" w:rsidRPr="004B7322">
        <w:rPr>
          <w:vertAlign w:val="superscript"/>
          <w:lang w:val="fr-FR"/>
        </w:rPr>
        <w:t>o</w:t>
      </w:r>
      <w:r w:rsidR="004B7322">
        <w:rPr>
          <w:lang w:val="fr-FR"/>
        </w:rPr>
        <w:t> </w:t>
      </w:r>
      <w:r w:rsidR="00364BF3" w:rsidRPr="0011615C">
        <w:rPr>
          <w:lang w:val="fr-FR"/>
        </w:rPr>
        <w:t>2016-781 du 12 octobre 2016 fixant les modalités d</w:t>
      </w:r>
      <w:r w:rsidR="000C16F5">
        <w:rPr>
          <w:lang w:val="fr-FR"/>
        </w:rPr>
        <w:t>’</w:t>
      </w:r>
      <w:r w:rsidR="00364BF3" w:rsidRPr="0011615C">
        <w:rPr>
          <w:lang w:val="fr-FR"/>
        </w:rPr>
        <w:t xml:space="preserve">application de la loi 72-833 du 21 décembre 1972 portant code de procédure civile, </w:t>
      </w:r>
      <w:r w:rsidR="00364BF3" w:rsidRPr="0011615C">
        <w:rPr>
          <w:lang w:val="fr-FR"/>
        </w:rPr>
        <w:lastRenderedPageBreak/>
        <w:t>commerciale et administrative relativement à l</w:t>
      </w:r>
      <w:r w:rsidR="000C16F5">
        <w:rPr>
          <w:lang w:val="fr-FR"/>
        </w:rPr>
        <w:t>’</w:t>
      </w:r>
      <w:r w:rsidR="00364BF3" w:rsidRPr="0011615C">
        <w:rPr>
          <w:lang w:val="fr-FR"/>
        </w:rPr>
        <w:t>assistance judiciaire renforçant ainsi l</w:t>
      </w:r>
      <w:r w:rsidR="000C16F5">
        <w:rPr>
          <w:lang w:val="fr-FR"/>
        </w:rPr>
        <w:t>’</w:t>
      </w:r>
      <w:r w:rsidR="00364BF3" w:rsidRPr="0011615C">
        <w:rPr>
          <w:lang w:val="fr-FR"/>
        </w:rPr>
        <w:t>accès à la justice des femmes victimes qui sont indigentes</w:t>
      </w:r>
      <w:r w:rsidR="00DB4C05">
        <w:rPr>
          <w:lang w:val="fr-FR"/>
        </w:rPr>
        <w:t> ;</w:t>
      </w:r>
    </w:p>
    <w:p w14:paraId="4DFE85D7" w14:textId="0AD6BA9C" w:rsidR="00364BF3" w:rsidRPr="0011615C" w:rsidRDefault="00303790" w:rsidP="00303790">
      <w:pPr>
        <w:pStyle w:val="SingleTxt"/>
        <w:tabs>
          <w:tab w:val="right" w:pos="1685"/>
        </w:tabs>
        <w:ind w:left="1742" w:hanging="475"/>
        <w:rPr>
          <w:lang w:val="fr-FR"/>
        </w:rPr>
      </w:pPr>
      <w:r>
        <w:rPr>
          <w:lang w:val="fr-FR"/>
        </w:rPr>
        <w:tab/>
        <w:t>•</w:t>
      </w:r>
      <w:r>
        <w:rPr>
          <w:lang w:val="fr-FR"/>
        </w:rPr>
        <w:tab/>
      </w:r>
      <w:r w:rsidR="00364BF3" w:rsidRPr="0011615C">
        <w:rPr>
          <w:lang w:val="fr-FR"/>
        </w:rPr>
        <w:t>La mise en place de l</w:t>
      </w:r>
      <w:r w:rsidR="000C16F5">
        <w:rPr>
          <w:lang w:val="fr-FR"/>
        </w:rPr>
        <w:t>’</w:t>
      </w:r>
      <w:r w:rsidR="00364BF3" w:rsidRPr="0011615C">
        <w:rPr>
          <w:lang w:val="fr-FR"/>
        </w:rPr>
        <w:t>Observatoire Nationale de l</w:t>
      </w:r>
      <w:r w:rsidR="000C16F5">
        <w:rPr>
          <w:lang w:val="fr-FR"/>
        </w:rPr>
        <w:t>’</w:t>
      </w:r>
      <w:r w:rsidR="00C10A78" w:rsidRPr="0011615C">
        <w:rPr>
          <w:lang w:val="fr-FR"/>
        </w:rPr>
        <w:t>Équité</w:t>
      </w:r>
      <w:r w:rsidR="00364BF3" w:rsidRPr="0011615C">
        <w:rPr>
          <w:lang w:val="fr-FR"/>
        </w:rPr>
        <w:t xml:space="preserve"> et du Genre par le décret 2014-842 du 17 décembre 2014, portant création, organisation et fonctionnement</w:t>
      </w:r>
      <w:r w:rsidR="00DB4C05">
        <w:rPr>
          <w:lang w:val="fr-FR"/>
        </w:rPr>
        <w:t> ;</w:t>
      </w:r>
    </w:p>
    <w:p w14:paraId="38615B4D" w14:textId="4D06C363" w:rsidR="00364BF3" w:rsidRPr="0011615C" w:rsidRDefault="00303790" w:rsidP="00303790">
      <w:pPr>
        <w:pStyle w:val="SingleTxt"/>
        <w:tabs>
          <w:tab w:val="right" w:pos="1685"/>
        </w:tabs>
        <w:ind w:left="1742" w:hanging="475"/>
        <w:rPr>
          <w:lang w:val="fr-FR"/>
        </w:rPr>
      </w:pPr>
      <w:r>
        <w:rPr>
          <w:lang w:val="fr-FR"/>
        </w:rPr>
        <w:tab/>
        <w:t>•</w:t>
      </w:r>
      <w:r>
        <w:rPr>
          <w:lang w:val="fr-FR"/>
        </w:rPr>
        <w:tab/>
      </w:r>
      <w:r w:rsidR="00364BF3" w:rsidRPr="0011615C">
        <w:rPr>
          <w:lang w:val="fr-FR"/>
        </w:rPr>
        <w:t>La circulaire n</w:t>
      </w:r>
      <w:r w:rsidR="004B7322" w:rsidRPr="004B7322">
        <w:rPr>
          <w:vertAlign w:val="superscript"/>
          <w:lang w:val="fr-FR"/>
        </w:rPr>
        <w:t>o</w:t>
      </w:r>
      <w:r w:rsidR="004B7322">
        <w:rPr>
          <w:lang w:val="fr-FR"/>
        </w:rPr>
        <w:t> </w:t>
      </w:r>
      <w:r w:rsidR="00364BF3" w:rsidRPr="0011615C">
        <w:rPr>
          <w:lang w:val="fr-FR"/>
        </w:rPr>
        <w:t>005 du 18 mars 2014 du Ministre de la Justice, des Droits de l</w:t>
      </w:r>
      <w:r w:rsidR="000C16F5">
        <w:rPr>
          <w:lang w:val="fr-FR"/>
        </w:rPr>
        <w:t>’</w:t>
      </w:r>
      <w:r w:rsidR="00364BF3" w:rsidRPr="0011615C">
        <w:rPr>
          <w:lang w:val="fr-FR"/>
        </w:rPr>
        <w:t>Homme et des Libertés Publiques et la circulaire interministériel n</w:t>
      </w:r>
      <w:r w:rsidR="004B7322" w:rsidRPr="004B7322">
        <w:rPr>
          <w:vertAlign w:val="superscript"/>
          <w:lang w:val="fr-FR"/>
        </w:rPr>
        <w:t>o</w:t>
      </w:r>
      <w:r w:rsidR="004B7322">
        <w:rPr>
          <w:lang w:val="fr-FR"/>
        </w:rPr>
        <w:t> </w:t>
      </w:r>
      <w:r w:rsidR="00364BF3" w:rsidRPr="0011615C">
        <w:rPr>
          <w:lang w:val="fr-FR"/>
        </w:rPr>
        <w:t>016/MJ/MEMIS/MPRD du 04 aout 2016 relative à la réception des plaintes consécutives aux violences basées sur le genre, facilitent le premier niveau de déclaration des cas de VBG</w:t>
      </w:r>
      <w:r w:rsidR="00DB4C05">
        <w:rPr>
          <w:lang w:val="fr-FR"/>
        </w:rPr>
        <w:t> ;</w:t>
      </w:r>
    </w:p>
    <w:p w14:paraId="09F87CC8" w14:textId="395F4518" w:rsidR="00364BF3" w:rsidRDefault="00303790" w:rsidP="00303790">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Arrêté numéro 1651/MEME/CAB du 05 juin 2012 portant Charte d</w:t>
      </w:r>
      <w:r w:rsidR="000C16F5">
        <w:rPr>
          <w:lang w:val="fr-FR"/>
        </w:rPr>
        <w:t>’</w:t>
      </w:r>
      <w:r w:rsidR="00364BF3" w:rsidRPr="0011615C">
        <w:rPr>
          <w:lang w:val="fr-FR"/>
        </w:rPr>
        <w:t>accueil dans les services de Police.</w:t>
      </w:r>
    </w:p>
    <w:p w14:paraId="16EA6FC8" w14:textId="4C5C98F6" w:rsidR="00F21523" w:rsidRPr="00F21523" w:rsidRDefault="00F21523" w:rsidP="00F21523">
      <w:pPr>
        <w:pStyle w:val="SingleTxt"/>
        <w:tabs>
          <w:tab w:val="right" w:pos="1685"/>
        </w:tabs>
        <w:spacing w:after="0" w:line="120" w:lineRule="exact"/>
        <w:ind w:left="1742" w:hanging="475"/>
        <w:rPr>
          <w:sz w:val="10"/>
          <w:lang w:val="fr-FR"/>
        </w:rPr>
      </w:pPr>
    </w:p>
    <w:p w14:paraId="1CD7B609" w14:textId="3BDB5EC1" w:rsidR="00364BF3" w:rsidRDefault="00364BF3" w:rsidP="00F21523">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La réforme institutionnelle</w:t>
      </w:r>
    </w:p>
    <w:p w14:paraId="69CEDDA4" w14:textId="64994CCE" w:rsidR="00F21523" w:rsidRPr="00F21523" w:rsidRDefault="00F21523" w:rsidP="00F21523">
      <w:pPr>
        <w:spacing w:line="120" w:lineRule="exact"/>
        <w:rPr>
          <w:sz w:val="10"/>
          <w:lang w:val="fr-FR"/>
        </w:rPr>
      </w:pPr>
    </w:p>
    <w:p w14:paraId="1A6F45A6" w14:textId="7CFA066C" w:rsidR="00364BF3" w:rsidRDefault="00364BF3" w:rsidP="008A6B29">
      <w:pPr>
        <w:pStyle w:val="SingleTxt"/>
        <w:numPr>
          <w:ilvl w:val="0"/>
          <w:numId w:val="8"/>
        </w:numPr>
        <w:spacing w:line="240" w:lineRule="exact"/>
        <w:rPr>
          <w:lang w:val="fr-FR"/>
        </w:rPr>
      </w:pPr>
      <w:r w:rsidRPr="0011615C">
        <w:rPr>
          <w:bCs/>
          <w:lang w:val="fr-FR"/>
        </w:rPr>
        <w:t xml:space="preserve">La </w:t>
      </w:r>
      <w:r w:rsidRPr="00190491">
        <w:rPr>
          <w:lang w:val="fr-FR"/>
        </w:rPr>
        <w:t>mise</w:t>
      </w:r>
      <w:r w:rsidRPr="0011615C">
        <w:rPr>
          <w:bCs/>
          <w:lang w:val="fr-FR"/>
        </w:rPr>
        <w:t xml:space="preserve"> en place du Conseil National de la Femme et </w:t>
      </w:r>
      <w:r w:rsidRPr="0011615C">
        <w:rPr>
          <w:lang w:val="fr-FR"/>
        </w:rPr>
        <w:t>la mise en œuvre de la réforme de la sécurité, qui a permis l</w:t>
      </w:r>
      <w:r w:rsidR="000C16F5">
        <w:rPr>
          <w:lang w:val="fr-FR"/>
        </w:rPr>
        <w:t>’</w:t>
      </w:r>
      <w:r w:rsidRPr="0011615C">
        <w:rPr>
          <w:lang w:val="fr-FR"/>
        </w:rPr>
        <w:t>ouverture de l</w:t>
      </w:r>
      <w:r w:rsidR="000C16F5">
        <w:rPr>
          <w:lang w:val="fr-FR"/>
        </w:rPr>
        <w:t>’</w:t>
      </w:r>
      <w:r w:rsidR="00C10A78" w:rsidRPr="0011615C">
        <w:rPr>
          <w:lang w:val="fr-FR"/>
        </w:rPr>
        <w:t>École</w:t>
      </w:r>
      <w:r w:rsidRPr="0011615C">
        <w:rPr>
          <w:lang w:val="fr-FR"/>
        </w:rPr>
        <w:t xml:space="preserve"> Militaire Préparatoire Technique aux jeunes filles (depuis la promotion 2013-2014) et la Gendarmerie (2014). </w:t>
      </w:r>
    </w:p>
    <w:p w14:paraId="5FB33832" w14:textId="1B054E54" w:rsidR="002A72D2" w:rsidRPr="002A72D2" w:rsidRDefault="002A72D2" w:rsidP="002A72D2">
      <w:pPr>
        <w:pStyle w:val="SingleTxt"/>
        <w:tabs>
          <w:tab w:val="clear" w:pos="1742"/>
        </w:tabs>
        <w:spacing w:after="0" w:line="120" w:lineRule="exact"/>
        <w:rPr>
          <w:sz w:val="10"/>
          <w:lang w:val="fr-FR"/>
        </w:rPr>
      </w:pPr>
    </w:p>
    <w:p w14:paraId="39CFA4A2" w14:textId="0ECB4A63" w:rsidR="00364BF3" w:rsidRDefault="00364BF3" w:rsidP="002A72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1615C">
        <w:rPr>
          <w:lang w:val="fr-FR"/>
        </w:rPr>
        <w:tab/>
      </w:r>
      <w:r w:rsidRPr="0011615C">
        <w:rPr>
          <w:lang w:val="fr-FR"/>
        </w:rPr>
        <w:tab/>
        <w:t>L</w:t>
      </w:r>
      <w:r w:rsidR="000C16F5">
        <w:rPr>
          <w:lang w:val="fr-FR"/>
        </w:rPr>
        <w:t>’</w:t>
      </w:r>
      <w:r w:rsidRPr="0011615C">
        <w:rPr>
          <w:lang w:val="fr-FR"/>
        </w:rPr>
        <w:t>Entrée des jeunes filles à l</w:t>
      </w:r>
      <w:r w:rsidR="000C16F5">
        <w:rPr>
          <w:lang w:val="fr-FR"/>
        </w:rPr>
        <w:t>’</w:t>
      </w:r>
      <w:r w:rsidR="00C10A78" w:rsidRPr="0011615C">
        <w:rPr>
          <w:lang w:val="fr-FR"/>
        </w:rPr>
        <w:t>École</w:t>
      </w:r>
      <w:r w:rsidRPr="0011615C">
        <w:rPr>
          <w:lang w:val="fr-FR"/>
        </w:rPr>
        <w:t xml:space="preserve"> Militaire Préparatoire Technique (EMPT) et</w:t>
      </w:r>
      <w:r w:rsidR="002A72D2">
        <w:rPr>
          <w:lang w:val="fr-FR"/>
        </w:rPr>
        <w:t> </w:t>
      </w:r>
      <w:r w:rsidRPr="0011615C">
        <w:rPr>
          <w:lang w:val="fr-FR"/>
        </w:rPr>
        <w:t>des femmes à la Gendarmerie Nationale (GN)</w:t>
      </w:r>
    </w:p>
    <w:p w14:paraId="512E1C3F" w14:textId="54535280" w:rsidR="002A72D2" w:rsidRPr="002A72D2" w:rsidRDefault="002A72D2" w:rsidP="002A72D2">
      <w:pPr>
        <w:pStyle w:val="SingleTxt"/>
        <w:spacing w:after="0" w:line="120" w:lineRule="exact"/>
        <w:rPr>
          <w:sz w:val="10"/>
          <w:lang w:val="fr-FR"/>
        </w:rPr>
      </w:pPr>
    </w:p>
    <w:p w14:paraId="6DEB9E96" w14:textId="2215654D" w:rsidR="00364BF3" w:rsidRPr="002A72D2" w:rsidRDefault="00364BF3" w:rsidP="008A6B29">
      <w:pPr>
        <w:pStyle w:val="SingleTxt"/>
        <w:numPr>
          <w:ilvl w:val="0"/>
          <w:numId w:val="9"/>
        </w:numPr>
        <w:spacing w:line="240" w:lineRule="exact"/>
        <w:rPr>
          <w:b/>
          <w:lang w:val="fr-FR"/>
        </w:rPr>
      </w:pPr>
      <w:r w:rsidRPr="00190491">
        <w:rPr>
          <w:lang w:val="fr-FR"/>
        </w:rPr>
        <w:t>Le Gouvernement a fourni des efforts en faveur de l</w:t>
      </w:r>
      <w:r w:rsidR="000C16F5">
        <w:rPr>
          <w:lang w:val="fr-FR"/>
        </w:rPr>
        <w:t>’</w:t>
      </w:r>
      <w:r w:rsidRPr="00190491">
        <w:rPr>
          <w:lang w:val="fr-FR"/>
        </w:rPr>
        <w:t>égalité du genre à travers l</w:t>
      </w:r>
      <w:r w:rsidR="000C16F5">
        <w:rPr>
          <w:lang w:val="fr-FR"/>
        </w:rPr>
        <w:t>’</w:t>
      </w:r>
      <w:r w:rsidRPr="00190491">
        <w:rPr>
          <w:lang w:val="fr-FR"/>
        </w:rPr>
        <w:t>ouverture de l</w:t>
      </w:r>
      <w:r w:rsidR="000C16F5">
        <w:rPr>
          <w:lang w:val="fr-FR"/>
        </w:rPr>
        <w:t>’</w:t>
      </w:r>
      <w:r w:rsidR="00C10A78" w:rsidRPr="00190491">
        <w:rPr>
          <w:lang w:val="fr-FR"/>
        </w:rPr>
        <w:t>École</w:t>
      </w:r>
      <w:r w:rsidRPr="00190491">
        <w:rPr>
          <w:lang w:val="fr-FR"/>
        </w:rPr>
        <w:t xml:space="preserve"> Militaire Préparatoire Technique aux jeunes filles en 2013 et de l</w:t>
      </w:r>
      <w:r w:rsidR="000C16F5">
        <w:rPr>
          <w:lang w:val="fr-FR"/>
        </w:rPr>
        <w:t>’</w:t>
      </w:r>
      <w:r w:rsidRPr="00190491">
        <w:rPr>
          <w:lang w:val="fr-FR"/>
        </w:rPr>
        <w:t xml:space="preserve">autorisation de la femme à la Gendarmerie Nationale (GN) en 2014. </w:t>
      </w:r>
    </w:p>
    <w:p w14:paraId="40AF6F1B" w14:textId="0D06D46B" w:rsidR="002A72D2" w:rsidRPr="002A72D2" w:rsidRDefault="002A72D2" w:rsidP="002A72D2">
      <w:pPr>
        <w:pStyle w:val="SingleTxt"/>
        <w:tabs>
          <w:tab w:val="clear" w:pos="1742"/>
        </w:tabs>
        <w:spacing w:after="0" w:line="120" w:lineRule="exact"/>
        <w:rPr>
          <w:b/>
          <w:sz w:val="10"/>
          <w:lang w:val="fr-FR"/>
        </w:rPr>
      </w:pPr>
    </w:p>
    <w:p w14:paraId="032FC221" w14:textId="16403FD8" w:rsidR="00364BF3" w:rsidRDefault="00364BF3" w:rsidP="002A72D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Le réseau des journalistes genre et police</w:t>
      </w:r>
    </w:p>
    <w:p w14:paraId="39DE0607" w14:textId="6EDB493E" w:rsidR="002A72D2" w:rsidRPr="002A72D2" w:rsidRDefault="002A72D2" w:rsidP="002A72D2">
      <w:pPr>
        <w:spacing w:line="120" w:lineRule="exact"/>
        <w:rPr>
          <w:sz w:val="10"/>
          <w:lang w:val="fr-FR"/>
        </w:rPr>
      </w:pPr>
    </w:p>
    <w:p w14:paraId="5A37132D" w14:textId="1D77919C" w:rsidR="00364BF3" w:rsidRPr="000E61B1" w:rsidRDefault="00364BF3" w:rsidP="008A6B29">
      <w:pPr>
        <w:pStyle w:val="SingleTxt"/>
        <w:numPr>
          <w:ilvl w:val="0"/>
          <w:numId w:val="9"/>
        </w:numPr>
        <w:spacing w:line="240" w:lineRule="exact"/>
        <w:rPr>
          <w:b/>
          <w:i/>
          <w:lang w:val="fr-FR"/>
        </w:rPr>
      </w:pPr>
      <w:r w:rsidRPr="00190491">
        <w:rPr>
          <w:lang w:val="fr-FR"/>
        </w:rPr>
        <w:t>Une dizaine d</w:t>
      </w:r>
      <w:r w:rsidR="000C16F5">
        <w:rPr>
          <w:lang w:val="fr-FR"/>
        </w:rPr>
        <w:t>’</w:t>
      </w:r>
      <w:r w:rsidRPr="00190491">
        <w:rPr>
          <w:lang w:val="fr-FR"/>
        </w:rPr>
        <w:t xml:space="preserve">organes de presse et média représentés par une trentaine de journalistes ont créé en novembre 2014, le réseau de journalistes genre et police. </w:t>
      </w:r>
    </w:p>
    <w:p w14:paraId="0F19BF6D" w14:textId="4610AC7C" w:rsidR="000E61B1" w:rsidRPr="000E61B1" w:rsidRDefault="000E61B1" w:rsidP="000E61B1">
      <w:pPr>
        <w:pStyle w:val="SingleTxt"/>
        <w:tabs>
          <w:tab w:val="clear" w:pos="1742"/>
        </w:tabs>
        <w:spacing w:after="0" w:line="120" w:lineRule="exact"/>
        <w:rPr>
          <w:b/>
          <w:i/>
          <w:sz w:val="10"/>
          <w:lang w:val="fr-FR"/>
        </w:rPr>
      </w:pPr>
    </w:p>
    <w:p w14:paraId="0DE77F1E" w14:textId="0D29D3E7" w:rsidR="00364BF3" w:rsidRDefault="00364BF3"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Le Fonds FAFCI</w:t>
      </w:r>
    </w:p>
    <w:p w14:paraId="18B2FD44" w14:textId="0A9DCF0C" w:rsidR="000E61B1" w:rsidRPr="000E61B1" w:rsidRDefault="000E61B1" w:rsidP="000E61B1">
      <w:pPr>
        <w:spacing w:line="120" w:lineRule="exact"/>
        <w:rPr>
          <w:sz w:val="10"/>
          <w:lang w:val="fr-FR"/>
        </w:rPr>
      </w:pPr>
    </w:p>
    <w:p w14:paraId="05045D3F" w14:textId="2C8346C8" w:rsidR="00364BF3" w:rsidRPr="00190491" w:rsidRDefault="00364BF3" w:rsidP="008A6B29">
      <w:pPr>
        <w:pStyle w:val="SingleTxt"/>
        <w:numPr>
          <w:ilvl w:val="0"/>
          <w:numId w:val="9"/>
        </w:numPr>
        <w:spacing w:line="240" w:lineRule="exact"/>
        <w:rPr>
          <w:iCs/>
          <w:lang w:val="fr-FR"/>
        </w:rPr>
      </w:pPr>
      <w:r w:rsidRPr="00190491">
        <w:rPr>
          <w:lang w:val="fr-FR"/>
        </w:rPr>
        <w:t>Le « Fonds d</w:t>
      </w:r>
      <w:r w:rsidR="000C16F5">
        <w:rPr>
          <w:lang w:val="fr-FR"/>
        </w:rPr>
        <w:t>’</w:t>
      </w:r>
      <w:r w:rsidRPr="00190491">
        <w:rPr>
          <w:lang w:val="fr-FR"/>
        </w:rPr>
        <w:t>Appui aux Femmes de Côte d</w:t>
      </w:r>
      <w:r w:rsidR="000C16F5">
        <w:rPr>
          <w:lang w:val="fr-FR"/>
        </w:rPr>
        <w:t>’</w:t>
      </w:r>
      <w:r w:rsidRPr="00190491">
        <w:rPr>
          <w:lang w:val="fr-FR"/>
        </w:rPr>
        <w:t>Ivoire » (FAFCI), a été mis en place en 2012 par la Première Dame de Côte d</w:t>
      </w:r>
      <w:r w:rsidR="000C16F5">
        <w:rPr>
          <w:lang w:val="fr-FR"/>
        </w:rPr>
        <w:t>’</w:t>
      </w:r>
      <w:r w:rsidRPr="00190491">
        <w:rPr>
          <w:lang w:val="fr-FR"/>
        </w:rPr>
        <w:t>Ivoire, M</w:t>
      </w:r>
      <w:r w:rsidRPr="00190491">
        <w:rPr>
          <w:vertAlign w:val="superscript"/>
          <w:lang w:val="fr-FR"/>
        </w:rPr>
        <w:t>me</w:t>
      </w:r>
      <w:r w:rsidRPr="00190491">
        <w:rPr>
          <w:lang w:val="fr-FR"/>
        </w:rPr>
        <w:t xml:space="preserve"> Dominique OUATTARA. </w:t>
      </w:r>
    </w:p>
    <w:p w14:paraId="4B74F3F6" w14:textId="17C26A2E" w:rsidR="000E61B1" w:rsidRPr="000E61B1" w:rsidRDefault="000E61B1" w:rsidP="000E61B1">
      <w:pPr>
        <w:pStyle w:val="H23G"/>
        <w:spacing w:before="0" w:after="0" w:line="120" w:lineRule="exact"/>
        <w:rPr>
          <w:sz w:val="10"/>
          <w:lang w:val="fr-FR"/>
        </w:rPr>
      </w:pPr>
    </w:p>
    <w:p w14:paraId="1379E7F8" w14:textId="42E0DB00" w:rsidR="00364BF3" w:rsidRDefault="000E61B1"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1615C">
        <w:rPr>
          <w:lang w:val="fr-FR"/>
        </w:rPr>
        <w:t>La mise en place d</w:t>
      </w:r>
      <w:r w:rsidR="000C16F5">
        <w:rPr>
          <w:lang w:val="fr-FR"/>
        </w:rPr>
        <w:t>’</w:t>
      </w:r>
      <w:r w:rsidR="00364BF3" w:rsidRPr="0011615C">
        <w:rPr>
          <w:lang w:val="fr-FR"/>
        </w:rPr>
        <w:t>une Fédération des Femmes Productrices de Cacao (FNFPC)</w:t>
      </w:r>
    </w:p>
    <w:p w14:paraId="473E68EA" w14:textId="6664F23C" w:rsidR="000E61B1" w:rsidRPr="000E61B1" w:rsidRDefault="000E61B1" w:rsidP="000E61B1">
      <w:pPr>
        <w:spacing w:line="120" w:lineRule="exact"/>
        <w:rPr>
          <w:sz w:val="10"/>
          <w:lang w:val="fr-FR"/>
        </w:rPr>
      </w:pPr>
    </w:p>
    <w:p w14:paraId="46C4E3C5" w14:textId="7BAD31A8" w:rsidR="00364BF3" w:rsidRDefault="00364BF3" w:rsidP="008A6B29">
      <w:pPr>
        <w:pStyle w:val="SingleTxt"/>
        <w:numPr>
          <w:ilvl w:val="0"/>
          <w:numId w:val="9"/>
        </w:numPr>
        <w:spacing w:line="240" w:lineRule="exact"/>
        <w:rPr>
          <w:lang w:val="fr-FR"/>
        </w:rPr>
      </w:pPr>
      <w:r w:rsidRPr="00190491">
        <w:rPr>
          <w:lang w:val="fr-FR"/>
        </w:rPr>
        <w:t>Cette fédération a pour but d</w:t>
      </w:r>
      <w:r w:rsidR="000C16F5">
        <w:rPr>
          <w:lang w:val="fr-FR"/>
        </w:rPr>
        <w:t>’</w:t>
      </w:r>
      <w:r w:rsidRPr="00190491">
        <w:rPr>
          <w:lang w:val="fr-FR"/>
        </w:rPr>
        <w:t xml:space="preserve">accompagner les productrices de cacao dans le renforcement de leurs capacités de production et de distribution. </w:t>
      </w:r>
    </w:p>
    <w:p w14:paraId="3E56E135" w14:textId="428AB6D6" w:rsidR="000E61B1" w:rsidRPr="000E61B1" w:rsidRDefault="000E61B1" w:rsidP="000E61B1">
      <w:pPr>
        <w:pStyle w:val="SingleTxt"/>
        <w:tabs>
          <w:tab w:val="clear" w:pos="1742"/>
        </w:tabs>
        <w:spacing w:after="0" w:line="120" w:lineRule="exact"/>
        <w:rPr>
          <w:sz w:val="10"/>
          <w:lang w:val="fr-FR"/>
        </w:rPr>
      </w:pPr>
    </w:p>
    <w:p w14:paraId="0A62CBC5" w14:textId="1DA051F1" w:rsidR="00364BF3" w:rsidRDefault="00364BF3"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 xml:space="preserve">La délivrance de certificats fonciers aux femmes </w:t>
      </w:r>
    </w:p>
    <w:p w14:paraId="2A74522F" w14:textId="06458579" w:rsidR="000E61B1" w:rsidRPr="000E61B1" w:rsidRDefault="000E61B1" w:rsidP="000E61B1">
      <w:pPr>
        <w:spacing w:line="120" w:lineRule="exact"/>
        <w:rPr>
          <w:sz w:val="10"/>
          <w:lang w:val="fr-FR"/>
        </w:rPr>
      </w:pPr>
    </w:p>
    <w:p w14:paraId="0B2FF7D2" w14:textId="04540787" w:rsidR="00364BF3" w:rsidRPr="00190491" w:rsidRDefault="00364BF3" w:rsidP="008A6B29">
      <w:pPr>
        <w:pStyle w:val="SingleTxt"/>
        <w:numPr>
          <w:ilvl w:val="0"/>
          <w:numId w:val="9"/>
        </w:numPr>
        <w:spacing w:line="240" w:lineRule="exact"/>
        <w:rPr>
          <w:lang w:val="fr-FR"/>
        </w:rPr>
      </w:pPr>
      <w:r w:rsidRPr="00190491">
        <w:rPr>
          <w:lang w:val="fr-FR"/>
        </w:rPr>
        <w:t>La délivrance de certificat foncier à 277 femmes bénéficiaires marque le début d</w:t>
      </w:r>
      <w:r w:rsidR="000C16F5">
        <w:rPr>
          <w:lang w:val="fr-FR"/>
        </w:rPr>
        <w:t>’</w:t>
      </w:r>
      <w:r w:rsidRPr="00190491">
        <w:rPr>
          <w:lang w:val="fr-FR"/>
        </w:rPr>
        <w:t>une ère d</w:t>
      </w:r>
      <w:r w:rsidR="000C16F5">
        <w:rPr>
          <w:lang w:val="fr-FR"/>
        </w:rPr>
        <w:t>’</w:t>
      </w:r>
      <w:r w:rsidRPr="00190491">
        <w:rPr>
          <w:lang w:val="fr-FR"/>
        </w:rPr>
        <w:t>égalité de l</w:t>
      </w:r>
      <w:r w:rsidR="000C16F5">
        <w:rPr>
          <w:lang w:val="fr-FR"/>
        </w:rPr>
        <w:t>’</w:t>
      </w:r>
      <w:r w:rsidRPr="00190491">
        <w:rPr>
          <w:lang w:val="fr-FR"/>
        </w:rPr>
        <w:t>homme et de la femme en milieu rural. En effet, sous l</w:t>
      </w:r>
      <w:r w:rsidR="000C16F5">
        <w:rPr>
          <w:lang w:val="fr-FR"/>
        </w:rPr>
        <w:t>’</w:t>
      </w:r>
      <w:r w:rsidRPr="00190491">
        <w:rPr>
          <w:lang w:val="fr-FR"/>
        </w:rPr>
        <w:t>égide de l</w:t>
      </w:r>
      <w:r w:rsidR="000C16F5">
        <w:rPr>
          <w:lang w:val="fr-FR"/>
        </w:rPr>
        <w:t>’</w:t>
      </w:r>
      <w:r w:rsidRPr="00190491">
        <w:rPr>
          <w:lang w:val="fr-FR"/>
        </w:rPr>
        <w:t>Agence du Foncier Rural (AFOR) créée par décret n</w:t>
      </w:r>
      <w:r w:rsidR="004B7322" w:rsidRPr="004B7322">
        <w:rPr>
          <w:vertAlign w:val="superscript"/>
          <w:lang w:val="fr-FR"/>
        </w:rPr>
        <w:t>o</w:t>
      </w:r>
      <w:r w:rsidR="004B7322">
        <w:rPr>
          <w:lang w:val="fr-FR"/>
        </w:rPr>
        <w:t> </w:t>
      </w:r>
      <w:r w:rsidRPr="00190491">
        <w:rPr>
          <w:lang w:val="fr-FR"/>
        </w:rPr>
        <w:t xml:space="preserve">2016-590 du 3 Aout 2016 portant création, attribution, organisation et fonctionnement, des actions de sensibilisation communautaires sur le foncier rural. </w:t>
      </w:r>
    </w:p>
    <w:p w14:paraId="47074611" w14:textId="77777777" w:rsidR="000E61B1" w:rsidRPr="000E61B1" w:rsidRDefault="00364BF3" w:rsidP="000E61B1">
      <w:pPr>
        <w:pStyle w:val="H23G"/>
        <w:spacing w:before="0" w:after="0" w:line="120" w:lineRule="exact"/>
        <w:rPr>
          <w:sz w:val="10"/>
          <w:lang w:val="fr-FR"/>
        </w:rPr>
      </w:pPr>
      <w:r w:rsidRPr="0011615C">
        <w:rPr>
          <w:lang w:val="fr-FR"/>
        </w:rPr>
        <w:tab/>
      </w:r>
      <w:r w:rsidRPr="0011615C">
        <w:rPr>
          <w:lang w:val="fr-FR"/>
        </w:rPr>
        <w:tab/>
      </w:r>
    </w:p>
    <w:p w14:paraId="4A42F00E" w14:textId="705B7B10" w:rsidR="00364BF3" w:rsidRDefault="000E61B1"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1615C">
        <w:rPr>
          <w:lang w:val="fr-FR"/>
        </w:rPr>
        <w:t>La Commission Nationale de la Famille (CNF)</w:t>
      </w:r>
    </w:p>
    <w:p w14:paraId="008D0C1A" w14:textId="23C92999" w:rsidR="000E61B1" w:rsidRPr="000E61B1" w:rsidRDefault="000E61B1" w:rsidP="000E61B1">
      <w:pPr>
        <w:spacing w:line="120" w:lineRule="exact"/>
        <w:rPr>
          <w:sz w:val="10"/>
          <w:lang w:val="fr-FR"/>
        </w:rPr>
      </w:pPr>
    </w:p>
    <w:p w14:paraId="05002ED8" w14:textId="16D41EB0" w:rsidR="00364BF3" w:rsidRPr="00190491" w:rsidRDefault="00364BF3" w:rsidP="008A6B29">
      <w:pPr>
        <w:pStyle w:val="SingleTxt"/>
        <w:numPr>
          <w:ilvl w:val="0"/>
          <w:numId w:val="9"/>
        </w:numPr>
        <w:spacing w:line="240" w:lineRule="exact"/>
        <w:rPr>
          <w:lang w:val="fr-FR"/>
        </w:rPr>
      </w:pPr>
      <w:r w:rsidRPr="00190491">
        <w:rPr>
          <w:lang w:val="fr-FR"/>
        </w:rPr>
        <w:t>La création de la CNF vient répondre à un besoin essentiel de renforcement des valeurs fondamentales de l</w:t>
      </w:r>
      <w:r w:rsidR="000C16F5">
        <w:rPr>
          <w:lang w:val="fr-FR"/>
        </w:rPr>
        <w:t>’</w:t>
      </w:r>
      <w:r w:rsidRPr="00190491">
        <w:rPr>
          <w:lang w:val="fr-FR"/>
        </w:rPr>
        <w:t>environnement familial et de la vie en communauté.</w:t>
      </w:r>
    </w:p>
    <w:p w14:paraId="7311BB34" w14:textId="3B1A942C" w:rsidR="00364BF3" w:rsidRDefault="00364BF3"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lastRenderedPageBreak/>
        <w:tab/>
      </w:r>
      <w:r w:rsidRPr="0011615C">
        <w:rPr>
          <w:lang w:val="fr-FR"/>
        </w:rPr>
        <w:tab/>
        <w:t xml:space="preserve">Les Rendez-vous de la famille </w:t>
      </w:r>
    </w:p>
    <w:p w14:paraId="05B322B8" w14:textId="0EC2CA0E" w:rsidR="000E61B1" w:rsidRPr="000E61B1" w:rsidRDefault="000E61B1" w:rsidP="000E61B1">
      <w:pPr>
        <w:keepNext/>
        <w:spacing w:line="120" w:lineRule="exact"/>
        <w:rPr>
          <w:sz w:val="10"/>
          <w:lang w:val="fr-FR"/>
        </w:rPr>
      </w:pPr>
    </w:p>
    <w:p w14:paraId="0A47B693" w14:textId="41579BF4" w:rsidR="00364BF3" w:rsidRPr="00190491" w:rsidRDefault="00364BF3" w:rsidP="008A6B29">
      <w:pPr>
        <w:pStyle w:val="SingleTxt"/>
        <w:keepNext/>
        <w:numPr>
          <w:ilvl w:val="0"/>
          <w:numId w:val="9"/>
        </w:numPr>
        <w:spacing w:line="240" w:lineRule="exact"/>
        <w:rPr>
          <w:lang w:val="fr-FR"/>
        </w:rPr>
      </w:pPr>
      <w:r w:rsidRPr="00190491">
        <w:rPr>
          <w:lang w:val="fr-FR"/>
        </w:rPr>
        <w:t>« Les Rendez-vous de la famille » initiés en 2015 par le MPFFPE sont un espace d</w:t>
      </w:r>
      <w:r w:rsidR="000C16F5">
        <w:rPr>
          <w:lang w:val="fr-FR"/>
        </w:rPr>
        <w:t>’</w:t>
      </w:r>
      <w:r w:rsidRPr="00190491">
        <w:rPr>
          <w:lang w:val="fr-FR"/>
        </w:rPr>
        <w:t>échanges réservé à la famille à l</w:t>
      </w:r>
      <w:r w:rsidR="000C16F5">
        <w:rPr>
          <w:lang w:val="fr-FR"/>
        </w:rPr>
        <w:t>’</w:t>
      </w:r>
      <w:r w:rsidRPr="00190491">
        <w:rPr>
          <w:lang w:val="fr-FR"/>
        </w:rPr>
        <w:t>effet d</w:t>
      </w:r>
      <w:r w:rsidR="000C16F5">
        <w:rPr>
          <w:lang w:val="fr-FR"/>
        </w:rPr>
        <w:t>’</w:t>
      </w:r>
      <w:r w:rsidRPr="00190491">
        <w:rPr>
          <w:lang w:val="fr-FR"/>
        </w:rPr>
        <w:t xml:space="preserve">adhérer à la noble vision du Président de la République à savoir le vivre ensemble. </w:t>
      </w:r>
    </w:p>
    <w:p w14:paraId="750AB637" w14:textId="107C9958" w:rsidR="000E61B1" w:rsidRPr="000E61B1" w:rsidRDefault="000E61B1" w:rsidP="000E61B1">
      <w:pPr>
        <w:pStyle w:val="H23G"/>
        <w:spacing w:before="0" w:after="0" w:line="120" w:lineRule="exact"/>
        <w:rPr>
          <w:sz w:val="10"/>
          <w:lang w:val="fr-FR"/>
        </w:rPr>
      </w:pPr>
    </w:p>
    <w:p w14:paraId="7C33E277" w14:textId="01145397" w:rsidR="00364BF3" w:rsidRDefault="000E61B1"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1615C">
        <w:rPr>
          <w:lang w:val="fr-FR"/>
        </w:rPr>
        <w:t>Compendium des compétences féminines de Côte d</w:t>
      </w:r>
      <w:r w:rsidR="000C16F5">
        <w:rPr>
          <w:lang w:val="fr-FR"/>
        </w:rPr>
        <w:t>’</w:t>
      </w:r>
      <w:r w:rsidR="00364BF3" w:rsidRPr="0011615C">
        <w:rPr>
          <w:lang w:val="fr-FR"/>
        </w:rPr>
        <w:t>Ivoire (COCOFCI)</w:t>
      </w:r>
    </w:p>
    <w:p w14:paraId="6A2D9FCE" w14:textId="36F56F54" w:rsidR="000E61B1" w:rsidRPr="000E61B1" w:rsidRDefault="000E61B1" w:rsidP="000E61B1">
      <w:pPr>
        <w:spacing w:line="120" w:lineRule="exact"/>
        <w:rPr>
          <w:sz w:val="10"/>
          <w:lang w:val="fr-FR"/>
        </w:rPr>
      </w:pPr>
    </w:p>
    <w:p w14:paraId="6D83F0DB" w14:textId="579CD10C" w:rsidR="00364BF3" w:rsidRPr="00190491" w:rsidRDefault="00364BF3" w:rsidP="008A6B29">
      <w:pPr>
        <w:pStyle w:val="SingleTxt"/>
        <w:numPr>
          <w:ilvl w:val="0"/>
          <w:numId w:val="9"/>
        </w:numPr>
        <w:spacing w:line="240" w:lineRule="exact"/>
        <w:rPr>
          <w:lang w:val="fr-FR"/>
        </w:rPr>
      </w:pPr>
      <w:r w:rsidRPr="00190491">
        <w:rPr>
          <w:lang w:val="fr-FR"/>
        </w:rPr>
        <w:t>Le COCOFCI a été mis en place le 4 octobre 2011 par la Conseillère chargée du genre du Président de la République de Côte d</w:t>
      </w:r>
      <w:r w:rsidR="000C16F5">
        <w:rPr>
          <w:lang w:val="fr-FR"/>
        </w:rPr>
        <w:t>’</w:t>
      </w:r>
      <w:r w:rsidRPr="00190491">
        <w:rPr>
          <w:lang w:val="fr-FR"/>
        </w:rPr>
        <w:t xml:space="preserve">Ivoire pour renforcer la visibilité, la participation et le leadership des femmes dans la gestion des affaires publiques et privées. </w:t>
      </w:r>
    </w:p>
    <w:p w14:paraId="1C1385A1" w14:textId="77777777" w:rsidR="000E61B1" w:rsidRPr="000E61B1" w:rsidRDefault="00364BF3" w:rsidP="000E61B1">
      <w:pPr>
        <w:pStyle w:val="H23G"/>
        <w:spacing w:before="0" w:after="0" w:line="120" w:lineRule="exact"/>
        <w:rPr>
          <w:sz w:val="10"/>
          <w:lang w:val="fr-FR"/>
        </w:rPr>
      </w:pPr>
      <w:r w:rsidRPr="00190491">
        <w:rPr>
          <w:lang w:val="fr-FR"/>
        </w:rPr>
        <w:tab/>
      </w:r>
      <w:r w:rsidRPr="00190491">
        <w:rPr>
          <w:lang w:val="fr-FR"/>
        </w:rPr>
        <w:tab/>
      </w:r>
    </w:p>
    <w:p w14:paraId="79BBE4AF" w14:textId="7552FEF4" w:rsidR="00364BF3" w:rsidRDefault="000E61B1"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1615C">
        <w:rPr>
          <w:lang w:val="fr-FR"/>
        </w:rPr>
        <w:t>La mise en application de la phase répressive de la loi de 1998 sur les MGF</w:t>
      </w:r>
    </w:p>
    <w:p w14:paraId="1C12C09F" w14:textId="76C23D97" w:rsidR="000E61B1" w:rsidRPr="000E61B1" w:rsidRDefault="000E61B1" w:rsidP="000E61B1">
      <w:pPr>
        <w:spacing w:line="120" w:lineRule="exact"/>
        <w:rPr>
          <w:sz w:val="10"/>
          <w:lang w:val="fr-FR"/>
        </w:rPr>
      </w:pPr>
    </w:p>
    <w:p w14:paraId="384119C4" w14:textId="7C613AF0" w:rsidR="00364BF3" w:rsidRDefault="00364BF3" w:rsidP="008A6B29">
      <w:pPr>
        <w:pStyle w:val="SingleTxt"/>
        <w:numPr>
          <w:ilvl w:val="0"/>
          <w:numId w:val="9"/>
        </w:numPr>
        <w:spacing w:line="240" w:lineRule="exact"/>
        <w:rPr>
          <w:lang w:val="fr-FR"/>
        </w:rPr>
      </w:pPr>
      <w:r w:rsidRPr="00190491">
        <w:rPr>
          <w:lang w:val="fr-FR"/>
        </w:rPr>
        <w:t>La loi n⁰ 98-757 du 23 décembre 1998 réprimant les MGF fait l</w:t>
      </w:r>
      <w:r w:rsidR="000C16F5">
        <w:rPr>
          <w:lang w:val="fr-FR"/>
        </w:rPr>
        <w:t>’</w:t>
      </w:r>
      <w:r w:rsidRPr="00190491">
        <w:rPr>
          <w:lang w:val="fr-FR"/>
        </w:rPr>
        <w:t>objet d</w:t>
      </w:r>
      <w:r w:rsidR="000C16F5">
        <w:rPr>
          <w:lang w:val="fr-FR"/>
        </w:rPr>
        <w:t>’</w:t>
      </w:r>
      <w:r w:rsidRPr="00190491">
        <w:rPr>
          <w:lang w:val="fr-FR"/>
        </w:rPr>
        <w:t>application depuis 2012. Des exciseuses et commanditaires de cérémonie d</w:t>
      </w:r>
      <w:r w:rsidR="000C16F5">
        <w:rPr>
          <w:lang w:val="fr-FR"/>
        </w:rPr>
        <w:t>’</w:t>
      </w:r>
      <w:r w:rsidRPr="00190491">
        <w:rPr>
          <w:lang w:val="fr-FR"/>
        </w:rPr>
        <w:t xml:space="preserve">excision ont été condamnés dans diverses juridictions. </w:t>
      </w:r>
    </w:p>
    <w:p w14:paraId="391EF71C" w14:textId="7F4B76D1" w:rsidR="000E61B1" w:rsidRPr="000E61B1" w:rsidRDefault="000E61B1" w:rsidP="000E61B1">
      <w:pPr>
        <w:pStyle w:val="SingleTxt"/>
        <w:tabs>
          <w:tab w:val="clear" w:pos="1742"/>
        </w:tabs>
        <w:spacing w:after="0" w:line="120" w:lineRule="exact"/>
        <w:rPr>
          <w:sz w:val="10"/>
          <w:lang w:val="fr-FR"/>
        </w:rPr>
      </w:pPr>
    </w:p>
    <w:p w14:paraId="0D1A3394" w14:textId="55139749" w:rsidR="000E61B1" w:rsidRPr="000E61B1" w:rsidRDefault="000E61B1" w:rsidP="000E61B1">
      <w:pPr>
        <w:pStyle w:val="SingleTxt"/>
        <w:tabs>
          <w:tab w:val="clear" w:pos="1742"/>
        </w:tabs>
        <w:spacing w:after="0" w:line="120" w:lineRule="exact"/>
        <w:rPr>
          <w:sz w:val="10"/>
          <w:lang w:val="fr-FR"/>
        </w:rPr>
      </w:pPr>
    </w:p>
    <w:p w14:paraId="34864859" w14:textId="24D35F1F" w:rsidR="00364BF3" w:rsidRDefault="00364BF3" w:rsidP="000E61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0491">
        <w:rPr>
          <w:lang w:val="fr-FR"/>
        </w:rPr>
        <w:tab/>
      </w:r>
      <w:r w:rsidRPr="00190491">
        <w:rPr>
          <w:lang w:val="fr-FR"/>
        </w:rPr>
        <w:tab/>
        <w:t>Deuxième partie</w:t>
      </w:r>
      <w:r w:rsidR="008945B3">
        <w:rPr>
          <w:lang w:val="fr-FR"/>
        </w:rPr>
        <w:t> :</w:t>
      </w:r>
      <w:r w:rsidRPr="00190491">
        <w:rPr>
          <w:lang w:val="fr-FR"/>
        </w:rPr>
        <w:t xml:space="preserve"> État de mise en œuvre des</w:t>
      </w:r>
      <w:r w:rsidR="000E61B1">
        <w:rPr>
          <w:lang w:val="fr-FR"/>
        </w:rPr>
        <w:t> </w:t>
      </w:r>
      <w:r w:rsidRPr="00190491">
        <w:rPr>
          <w:lang w:val="fr-FR"/>
        </w:rPr>
        <w:t>recommandations, difficultés, défis et perspectives</w:t>
      </w:r>
    </w:p>
    <w:p w14:paraId="2ADF9F31" w14:textId="4372023A" w:rsidR="000E61B1" w:rsidRPr="000E61B1" w:rsidRDefault="000E61B1" w:rsidP="000E61B1">
      <w:pPr>
        <w:spacing w:line="120" w:lineRule="exact"/>
        <w:rPr>
          <w:sz w:val="10"/>
          <w:lang w:val="fr-FR"/>
        </w:rPr>
      </w:pPr>
    </w:p>
    <w:p w14:paraId="07CC3E8B" w14:textId="07AA639E" w:rsidR="000E61B1" w:rsidRPr="000E61B1" w:rsidRDefault="000E61B1" w:rsidP="000E61B1">
      <w:pPr>
        <w:spacing w:line="120" w:lineRule="exact"/>
        <w:rPr>
          <w:sz w:val="10"/>
          <w:lang w:val="fr-FR"/>
        </w:rPr>
      </w:pPr>
    </w:p>
    <w:p w14:paraId="1E925780" w14:textId="4B4AE81F" w:rsidR="00364BF3" w:rsidRPr="000E61B1" w:rsidRDefault="00364BF3" w:rsidP="008A6B29">
      <w:pPr>
        <w:pStyle w:val="SingleTxt"/>
        <w:numPr>
          <w:ilvl w:val="0"/>
          <w:numId w:val="9"/>
        </w:numPr>
        <w:spacing w:line="240" w:lineRule="exact"/>
        <w:rPr>
          <w:b/>
          <w:bCs/>
          <w:lang w:val="fr-FR"/>
        </w:rPr>
      </w:pPr>
      <w:r w:rsidRPr="000E61B1">
        <w:rPr>
          <w:b/>
          <w:bCs/>
          <w:lang w:val="fr-FR"/>
        </w:rPr>
        <w:t>Le Comité rappelle l</w:t>
      </w:r>
      <w:r w:rsidR="000C16F5" w:rsidRPr="000E61B1">
        <w:rPr>
          <w:b/>
          <w:bCs/>
          <w:lang w:val="fr-FR"/>
        </w:rPr>
        <w:t>’</w:t>
      </w:r>
      <w:r w:rsidRPr="000E61B1">
        <w:rPr>
          <w:b/>
          <w:bCs/>
          <w:lang w:val="fr-FR"/>
        </w:rPr>
        <w:t>obligation de l</w:t>
      </w:r>
      <w:r w:rsidR="000C16F5" w:rsidRPr="000E61B1">
        <w:rPr>
          <w:b/>
          <w:bCs/>
          <w:lang w:val="fr-FR"/>
        </w:rPr>
        <w:t>’</w:t>
      </w:r>
      <w:r w:rsidRPr="000E61B1">
        <w:rPr>
          <w:b/>
          <w:bCs/>
          <w:lang w:val="fr-FR"/>
        </w:rPr>
        <w:t>État partie à mettre en œuvre de façon systématique et continuelle toutes les dispositions de la Convention et estime que les préoccupations et les recommandations figurant dans les présentes observations finales doivent faire l</w:t>
      </w:r>
      <w:r w:rsidR="000C16F5" w:rsidRPr="000E61B1">
        <w:rPr>
          <w:b/>
          <w:bCs/>
          <w:lang w:val="fr-FR"/>
        </w:rPr>
        <w:t>’</w:t>
      </w:r>
      <w:r w:rsidRPr="000E61B1">
        <w:rPr>
          <w:b/>
          <w:bCs/>
          <w:lang w:val="fr-FR"/>
        </w:rPr>
        <w:t>attention prioritaire de l</w:t>
      </w:r>
      <w:r w:rsidR="000C16F5" w:rsidRPr="000E61B1">
        <w:rPr>
          <w:b/>
          <w:bCs/>
          <w:lang w:val="fr-FR"/>
        </w:rPr>
        <w:t>’</w:t>
      </w:r>
      <w:r w:rsidRPr="000E61B1">
        <w:rPr>
          <w:b/>
          <w:bCs/>
          <w:lang w:val="fr-FR"/>
        </w:rPr>
        <w:t>État partie à soumettre les présentes observations finales à tous les ministères concernés, le Parlement et le pouvoir judiciaire, afin d</w:t>
      </w:r>
      <w:r w:rsidR="000C16F5" w:rsidRPr="000E61B1">
        <w:rPr>
          <w:b/>
          <w:bCs/>
          <w:lang w:val="fr-FR"/>
        </w:rPr>
        <w:t>’</w:t>
      </w:r>
      <w:r w:rsidRPr="000E61B1">
        <w:rPr>
          <w:b/>
          <w:bCs/>
          <w:lang w:val="fr-FR"/>
        </w:rPr>
        <w:t>assurer leur application pleine et recommande que l</w:t>
      </w:r>
      <w:r w:rsidR="000C16F5" w:rsidRPr="000E61B1">
        <w:rPr>
          <w:b/>
          <w:bCs/>
          <w:lang w:val="fr-FR"/>
        </w:rPr>
        <w:t>’</w:t>
      </w:r>
      <w:r w:rsidRPr="000E61B1">
        <w:rPr>
          <w:b/>
          <w:bCs/>
          <w:lang w:val="fr-FR"/>
        </w:rPr>
        <w:t xml:space="preserve">État partie diffuse la Convention, en particulier auprès de la société civile (voir </w:t>
      </w:r>
      <w:hyperlink r:id="rId16" w:history="1">
        <w:r w:rsidRPr="007B345A">
          <w:rPr>
            <w:rStyle w:val="Hyperlink"/>
            <w:b/>
            <w:bCs/>
            <w:lang w:val="fr-FR"/>
          </w:rPr>
          <w:t>CEDAW/C/CIV/CO/1-3</w:t>
        </w:r>
      </w:hyperlink>
      <w:r w:rsidRPr="000E61B1">
        <w:rPr>
          <w:b/>
          <w:bCs/>
          <w:lang w:val="fr-FR"/>
        </w:rPr>
        <w:t xml:space="preserve">, </w:t>
      </w:r>
      <w:r w:rsidR="006862B3">
        <w:rPr>
          <w:b/>
          <w:bCs/>
          <w:lang w:val="fr-FR"/>
        </w:rPr>
        <w:t>par. </w:t>
      </w:r>
      <w:r w:rsidRPr="000E61B1">
        <w:rPr>
          <w:b/>
          <w:bCs/>
          <w:lang w:val="fr-FR"/>
        </w:rPr>
        <w:t>12).</w:t>
      </w:r>
    </w:p>
    <w:p w14:paraId="6F3382D1" w14:textId="031BB633" w:rsidR="00364BF3" w:rsidRDefault="00364BF3" w:rsidP="008A6B29">
      <w:pPr>
        <w:pStyle w:val="SingleTxt"/>
        <w:numPr>
          <w:ilvl w:val="0"/>
          <w:numId w:val="9"/>
        </w:numPr>
        <w:spacing w:line="240" w:lineRule="exact"/>
        <w:rPr>
          <w:lang w:val="fr-FR"/>
        </w:rPr>
      </w:pPr>
      <w:r w:rsidRPr="00190491">
        <w:rPr>
          <w:lang w:val="fr-FR"/>
        </w:rPr>
        <w:t>Le 14 octobre 2011, la Côte d</w:t>
      </w:r>
      <w:r w:rsidR="000C16F5">
        <w:rPr>
          <w:lang w:val="fr-FR"/>
        </w:rPr>
        <w:t>’</w:t>
      </w:r>
      <w:r w:rsidRPr="00190491">
        <w:rPr>
          <w:lang w:val="fr-FR"/>
        </w:rPr>
        <w:t>Ivoire présentait devant le comité CEDEF au palais des Nations Unies à Genève son rapport initial, 2</w:t>
      </w:r>
      <w:r w:rsidRPr="00EC7FA7">
        <w:rPr>
          <w:vertAlign w:val="superscript"/>
          <w:lang w:val="fr-FR"/>
        </w:rPr>
        <w:t>ème</w:t>
      </w:r>
      <w:r w:rsidRPr="00190491">
        <w:rPr>
          <w:lang w:val="fr-FR"/>
        </w:rPr>
        <w:t xml:space="preserve"> et 3</w:t>
      </w:r>
      <w:r w:rsidRPr="00EC7FA7">
        <w:rPr>
          <w:vertAlign w:val="superscript"/>
          <w:lang w:val="fr-FR"/>
        </w:rPr>
        <w:t>ème</w:t>
      </w:r>
      <w:r w:rsidRPr="00190491">
        <w:rPr>
          <w:lang w:val="fr-FR"/>
        </w:rPr>
        <w:t xml:space="preserve"> rapports périodiques combinés. Plusieurs recommandations ont été formulées à l</w:t>
      </w:r>
      <w:r w:rsidR="000C16F5">
        <w:rPr>
          <w:lang w:val="fr-FR"/>
        </w:rPr>
        <w:t>’</w:t>
      </w:r>
      <w:r w:rsidRPr="00190491">
        <w:rPr>
          <w:lang w:val="fr-FR"/>
        </w:rPr>
        <w:t>endroit de l</w:t>
      </w:r>
      <w:r w:rsidR="000C16F5">
        <w:rPr>
          <w:lang w:val="fr-FR"/>
        </w:rPr>
        <w:t>’</w:t>
      </w:r>
      <w:r w:rsidR="00C10A78" w:rsidRPr="00190491">
        <w:rPr>
          <w:lang w:val="fr-FR"/>
        </w:rPr>
        <w:t>État</w:t>
      </w:r>
      <w:r w:rsidRPr="00190491">
        <w:rPr>
          <w:lang w:val="fr-FR"/>
        </w:rPr>
        <w:t xml:space="preserve"> ivoirien. Une Feuille de route de mise en œuvre des recommandations de la CEDEF a été élaborée pour faciliter la restitution des recommandations et l</w:t>
      </w:r>
      <w:r w:rsidR="000C16F5">
        <w:rPr>
          <w:lang w:val="fr-FR"/>
        </w:rPr>
        <w:t>’</w:t>
      </w:r>
      <w:r w:rsidRPr="00190491">
        <w:rPr>
          <w:lang w:val="fr-FR"/>
        </w:rPr>
        <w:t>élaboration d</w:t>
      </w:r>
      <w:r w:rsidR="000C16F5">
        <w:rPr>
          <w:lang w:val="fr-FR"/>
        </w:rPr>
        <w:t>’</w:t>
      </w:r>
      <w:r w:rsidRPr="00190491">
        <w:rPr>
          <w:lang w:val="fr-FR"/>
        </w:rPr>
        <w:t>un plan en vue de leur opérationnalisation.</w:t>
      </w:r>
    </w:p>
    <w:p w14:paraId="6614E452" w14:textId="31FABD52" w:rsidR="000E61B1" w:rsidRPr="000E61B1" w:rsidRDefault="000E61B1" w:rsidP="000E61B1">
      <w:pPr>
        <w:pStyle w:val="SingleTxt"/>
        <w:tabs>
          <w:tab w:val="clear" w:pos="1742"/>
        </w:tabs>
        <w:spacing w:after="0" w:line="120" w:lineRule="exact"/>
        <w:rPr>
          <w:sz w:val="10"/>
          <w:lang w:val="fr-FR"/>
        </w:rPr>
      </w:pPr>
    </w:p>
    <w:p w14:paraId="7B3DCD73" w14:textId="57C7086C" w:rsidR="000E61B1" w:rsidRPr="000E61B1" w:rsidRDefault="000E61B1" w:rsidP="000E61B1">
      <w:pPr>
        <w:pStyle w:val="SingleTxt"/>
        <w:tabs>
          <w:tab w:val="clear" w:pos="1742"/>
        </w:tabs>
        <w:spacing w:after="0" w:line="120" w:lineRule="exact"/>
        <w:rPr>
          <w:sz w:val="10"/>
          <w:lang w:val="fr-FR"/>
        </w:rPr>
      </w:pPr>
    </w:p>
    <w:p w14:paraId="262E8A68" w14:textId="23BFFE8C" w:rsidR="00364BF3" w:rsidRDefault="00364BF3" w:rsidP="000E61B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Mise en œuvre des recommandations</w:t>
      </w:r>
    </w:p>
    <w:p w14:paraId="1795001A" w14:textId="65E5327F" w:rsidR="000E61B1" w:rsidRPr="000E61B1" w:rsidRDefault="000E61B1" w:rsidP="000E61B1">
      <w:pPr>
        <w:spacing w:line="120" w:lineRule="exact"/>
        <w:rPr>
          <w:sz w:val="10"/>
          <w:lang w:val="fr-FR"/>
        </w:rPr>
      </w:pPr>
    </w:p>
    <w:p w14:paraId="24CF2C59" w14:textId="479E7DFB" w:rsidR="000E61B1" w:rsidRPr="000E61B1" w:rsidRDefault="000E61B1" w:rsidP="000E61B1">
      <w:pPr>
        <w:spacing w:line="120" w:lineRule="exact"/>
        <w:rPr>
          <w:sz w:val="10"/>
          <w:lang w:val="fr-FR"/>
        </w:rPr>
      </w:pPr>
    </w:p>
    <w:p w14:paraId="628082A2" w14:textId="4C874191" w:rsidR="00364BF3" w:rsidRDefault="00364BF3" w:rsidP="000E6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Assemblée nationale</w:t>
      </w:r>
    </w:p>
    <w:p w14:paraId="7BEB4631" w14:textId="127567B5" w:rsidR="000E61B1" w:rsidRPr="000E61B1" w:rsidRDefault="000E61B1" w:rsidP="000E61B1">
      <w:pPr>
        <w:spacing w:line="120" w:lineRule="exact"/>
        <w:rPr>
          <w:sz w:val="10"/>
          <w:lang w:val="fr-FR"/>
        </w:rPr>
      </w:pPr>
    </w:p>
    <w:p w14:paraId="77206C4C" w14:textId="0E1B860E" w:rsidR="00364BF3" w:rsidRPr="00C80324" w:rsidRDefault="00364BF3" w:rsidP="008A6B29">
      <w:pPr>
        <w:pStyle w:val="SingleTxt"/>
        <w:numPr>
          <w:ilvl w:val="0"/>
          <w:numId w:val="9"/>
        </w:numPr>
        <w:spacing w:line="240" w:lineRule="exact"/>
        <w:rPr>
          <w:b/>
          <w:bCs/>
          <w:lang w:val="fr-FR"/>
        </w:rPr>
      </w:pPr>
      <w:r w:rsidRPr="00C80324">
        <w:rPr>
          <w:b/>
          <w:bCs/>
          <w:lang w:val="fr-FR"/>
        </w:rPr>
        <w:t>Le Comité souligne que la Convention est contraignante pour toutes les branches de l</w:t>
      </w:r>
      <w:r w:rsidR="000C16F5" w:rsidRPr="00C80324">
        <w:rPr>
          <w:b/>
          <w:bCs/>
          <w:lang w:val="fr-FR"/>
        </w:rPr>
        <w:t>’</w:t>
      </w:r>
      <w:r w:rsidRPr="00C80324">
        <w:rPr>
          <w:b/>
          <w:bCs/>
          <w:lang w:val="fr-FR"/>
        </w:rPr>
        <w:t>appareil d</w:t>
      </w:r>
      <w:r w:rsidR="000C16F5" w:rsidRPr="00C80324">
        <w:rPr>
          <w:b/>
          <w:bCs/>
          <w:lang w:val="fr-FR"/>
        </w:rPr>
        <w:t>’</w:t>
      </w:r>
      <w:r w:rsidRPr="00C80324">
        <w:rPr>
          <w:b/>
          <w:bCs/>
          <w:lang w:val="fr-FR"/>
        </w:rPr>
        <w:t>État, et elle invite l</w:t>
      </w:r>
      <w:r w:rsidR="000C16F5" w:rsidRPr="00C80324">
        <w:rPr>
          <w:b/>
          <w:bCs/>
          <w:lang w:val="fr-FR"/>
        </w:rPr>
        <w:t>’</w:t>
      </w:r>
      <w:r w:rsidRPr="00C80324">
        <w:rPr>
          <w:b/>
          <w:bCs/>
          <w:lang w:val="fr-FR"/>
        </w:rPr>
        <w:t>État partie à encourager le Parlement, conformément à ses procédures, le cas échéant, de prendre les mesures nécessaires à l</w:t>
      </w:r>
      <w:r w:rsidR="000C16F5" w:rsidRPr="00C80324">
        <w:rPr>
          <w:b/>
          <w:bCs/>
          <w:lang w:val="fr-FR"/>
        </w:rPr>
        <w:t>’</w:t>
      </w:r>
      <w:r w:rsidRPr="00C80324">
        <w:rPr>
          <w:b/>
          <w:bCs/>
          <w:lang w:val="fr-FR"/>
        </w:rPr>
        <w:t xml:space="preserve">égard de la mise en œuvre des présentes observations finales, et de la visibilité de la Convention (voir </w:t>
      </w:r>
      <w:hyperlink r:id="rId17" w:history="1">
        <w:r w:rsidRPr="007B345A">
          <w:rPr>
            <w:rStyle w:val="Hyperlink"/>
            <w:b/>
            <w:bCs/>
            <w:lang w:val="fr-FR"/>
          </w:rPr>
          <w:t>CEDAW/C/CIV/CO/1-3</w:t>
        </w:r>
      </w:hyperlink>
      <w:r w:rsidRPr="00C80324">
        <w:rPr>
          <w:b/>
          <w:bCs/>
          <w:lang w:val="fr-FR"/>
        </w:rPr>
        <w:t xml:space="preserve">, </w:t>
      </w:r>
      <w:r w:rsidR="006862B3">
        <w:rPr>
          <w:b/>
          <w:bCs/>
          <w:lang w:val="fr-FR"/>
        </w:rPr>
        <w:t>par. </w:t>
      </w:r>
      <w:r w:rsidRPr="00C80324">
        <w:rPr>
          <w:b/>
          <w:bCs/>
          <w:lang w:val="fr-FR"/>
        </w:rPr>
        <w:t>13).</w:t>
      </w:r>
    </w:p>
    <w:p w14:paraId="31E78B95" w14:textId="3BF29CE6" w:rsidR="00364BF3" w:rsidRPr="00190491" w:rsidRDefault="00364BF3" w:rsidP="008A6B29">
      <w:pPr>
        <w:pStyle w:val="SingleTxt"/>
        <w:numPr>
          <w:ilvl w:val="0"/>
          <w:numId w:val="9"/>
        </w:numPr>
        <w:spacing w:line="240" w:lineRule="exact"/>
        <w:rPr>
          <w:lang w:val="fr-FR"/>
        </w:rPr>
      </w:pPr>
      <w:r w:rsidRPr="00190491">
        <w:rPr>
          <w:lang w:val="fr-FR"/>
        </w:rPr>
        <w:t>L</w:t>
      </w:r>
      <w:r w:rsidR="000C16F5">
        <w:rPr>
          <w:lang w:val="fr-FR"/>
        </w:rPr>
        <w:t>’</w:t>
      </w:r>
      <w:r w:rsidRPr="00190491">
        <w:rPr>
          <w:lang w:val="fr-FR"/>
        </w:rPr>
        <w:t>Assemblée Nationale de Côte d</w:t>
      </w:r>
      <w:r w:rsidR="000C16F5">
        <w:rPr>
          <w:lang w:val="fr-FR"/>
        </w:rPr>
        <w:t>’</w:t>
      </w:r>
      <w:r w:rsidRPr="00190491">
        <w:rPr>
          <w:lang w:val="fr-FR"/>
        </w:rPr>
        <w:t>Ivoire (ANCI), à l</w:t>
      </w:r>
      <w:r w:rsidR="000C16F5">
        <w:rPr>
          <w:lang w:val="fr-FR"/>
        </w:rPr>
        <w:t>’</w:t>
      </w:r>
      <w:r w:rsidRPr="00190491">
        <w:rPr>
          <w:lang w:val="fr-FR"/>
        </w:rPr>
        <w:t>instar des autres institutions du pays travaille à améliorer la participation des femmes aux postes de décision. Ainsi, la dernière législature a permis de nommer 3 femmes Vice-Présidentes contre 8 hommes, 2 femmes Secrétaires du bureau contre 10 hommes et 3 femmes Présidentes de Commissions Permanentes contre 3 hommes et la nomination ministérielle d</w:t>
      </w:r>
      <w:r w:rsidR="000C16F5">
        <w:rPr>
          <w:lang w:val="fr-FR"/>
        </w:rPr>
        <w:t>’</w:t>
      </w:r>
      <w:r w:rsidRPr="00190491">
        <w:rPr>
          <w:lang w:val="fr-FR"/>
        </w:rPr>
        <w:t>une présidente de commission. La politique du Chef de l</w:t>
      </w:r>
      <w:r w:rsidR="000C16F5">
        <w:rPr>
          <w:lang w:val="fr-FR"/>
        </w:rPr>
        <w:t>’</w:t>
      </w:r>
      <w:r w:rsidR="00C10A78" w:rsidRPr="00190491">
        <w:rPr>
          <w:lang w:val="fr-FR"/>
        </w:rPr>
        <w:t>État</w:t>
      </w:r>
      <w:r w:rsidRPr="00190491">
        <w:rPr>
          <w:lang w:val="fr-FR"/>
        </w:rPr>
        <w:t xml:space="preserve"> vise à renforcer la participation des femmes aux élections et à augmenter leur représentativité dans la sphère décisionnelle de la prochaine législature.</w:t>
      </w:r>
    </w:p>
    <w:p w14:paraId="1AE2A33B" w14:textId="05E601B7" w:rsidR="00364BF3" w:rsidRPr="00C80324" w:rsidRDefault="00364BF3" w:rsidP="008A6B29">
      <w:pPr>
        <w:pStyle w:val="SingleTxt"/>
        <w:numPr>
          <w:ilvl w:val="0"/>
          <w:numId w:val="9"/>
        </w:numPr>
        <w:spacing w:line="240" w:lineRule="exact"/>
        <w:rPr>
          <w:b/>
          <w:bCs/>
          <w:lang w:val="fr-FR"/>
        </w:rPr>
      </w:pPr>
      <w:r w:rsidRPr="00190491">
        <w:rPr>
          <w:lang w:val="fr-FR"/>
        </w:rPr>
        <w:lastRenderedPageBreak/>
        <w:t>La mise en place d</w:t>
      </w:r>
      <w:r w:rsidR="000C16F5">
        <w:rPr>
          <w:lang w:val="fr-FR"/>
        </w:rPr>
        <w:t>’</w:t>
      </w:r>
      <w:r w:rsidRPr="00190491">
        <w:rPr>
          <w:lang w:val="fr-FR"/>
        </w:rPr>
        <w:t>un Caucus de femmes parlementaires en 2014 a favorisé un cadre d</w:t>
      </w:r>
      <w:r w:rsidR="000C16F5">
        <w:rPr>
          <w:lang w:val="fr-FR"/>
        </w:rPr>
        <w:t>’</w:t>
      </w:r>
      <w:r w:rsidRPr="00190491">
        <w:rPr>
          <w:lang w:val="fr-FR"/>
        </w:rPr>
        <w:t>appui des partenaires techniques et financiers (UIP, ONU-Femmes, UNDP, SUNY/USAID, UNFPA…) aux femmes députés.</w:t>
      </w:r>
    </w:p>
    <w:p w14:paraId="63DC76F6" w14:textId="00052EEC" w:rsidR="00C80324" w:rsidRPr="00C80324" w:rsidRDefault="00C80324" w:rsidP="00C80324">
      <w:pPr>
        <w:pStyle w:val="SingleTxt"/>
        <w:tabs>
          <w:tab w:val="clear" w:pos="1742"/>
        </w:tabs>
        <w:spacing w:after="0" w:line="120" w:lineRule="exact"/>
        <w:rPr>
          <w:b/>
          <w:bCs/>
          <w:sz w:val="10"/>
          <w:lang w:val="fr-FR"/>
        </w:rPr>
      </w:pPr>
    </w:p>
    <w:p w14:paraId="568EDE63" w14:textId="77777777" w:rsidR="00C80324" w:rsidRDefault="00364BF3" w:rsidP="00C80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Application et visibilité de la Convention</w:t>
      </w:r>
    </w:p>
    <w:p w14:paraId="0E2CBE16" w14:textId="77777777" w:rsidR="00C80324" w:rsidRPr="00C80324" w:rsidRDefault="00C80324" w:rsidP="00C80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14:paraId="30C7ADCF" w14:textId="7B28A58D" w:rsidR="00364BF3" w:rsidRPr="00C80324" w:rsidRDefault="00364BF3" w:rsidP="008A6B29">
      <w:pPr>
        <w:pStyle w:val="SingleTxt"/>
        <w:numPr>
          <w:ilvl w:val="0"/>
          <w:numId w:val="9"/>
        </w:numPr>
        <w:spacing w:line="240" w:lineRule="exact"/>
        <w:rPr>
          <w:b/>
          <w:bCs/>
          <w:lang w:val="fr-FR"/>
        </w:rPr>
      </w:pPr>
      <w:r w:rsidRPr="00C80324">
        <w:rPr>
          <w:b/>
          <w:bCs/>
          <w:lang w:val="fr-FR"/>
        </w:rPr>
        <w:t>Le Comité souligne l</w:t>
      </w:r>
      <w:r w:rsidR="000C16F5" w:rsidRPr="00C80324">
        <w:rPr>
          <w:b/>
          <w:bCs/>
          <w:lang w:val="fr-FR"/>
        </w:rPr>
        <w:t>’</w:t>
      </w:r>
      <w:r w:rsidRPr="00C80324">
        <w:rPr>
          <w:b/>
          <w:bCs/>
          <w:lang w:val="fr-FR"/>
        </w:rPr>
        <w:t>importance d</w:t>
      </w:r>
      <w:r w:rsidR="000C16F5" w:rsidRPr="00C80324">
        <w:rPr>
          <w:b/>
          <w:bCs/>
          <w:lang w:val="fr-FR"/>
        </w:rPr>
        <w:t>’</w:t>
      </w:r>
      <w:r w:rsidRPr="00C80324">
        <w:rPr>
          <w:b/>
          <w:bCs/>
          <w:lang w:val="fr-FR"/>
        </w:rPr>
        <w:t>établir un lien entre les restaurations de la règle de droit et de l</w:t>
      </w:r>
      <w:r w:rsidR="000C16F5" w:rsidRPr="00C80324">
        <w:rPr>
          <w:b/>
          <w:bCs/>
          <w:lang w:val="fr-FR"/>
        </w:rPr>
        <w:t>’</w:t>
      </w:r>
      <w:r w:rsidRPr="00C80324">
        <w:rPr>
          <w:b/>
          <w:bCs/>
          <w:lang w:val="fr-FR"/>
        </w:rPr>
        <w:t>intégration de la Convention dans toutes les politiques de reconstruction. Il recommande également que l</w:t>
      </w:r>
      <w:r w:rsidR="000C16F5" w:rsidRPr="00C80324">
        <w:rPr>
          <w:b/>
          <w:bCs/>
          <w:lang w:val="fr-FR"/>
        </w:rPr>
        <w:t>’</w:t>
      </w:r>
      <w:r w:rsidRPr="00C80324">
        <w:rPr>
          <w:b/>
          <w:bCs/>
          <w:lang w:val="fr-FR"/>
        </w:rPr>
        <w:t>État partie applique la Convention dans tous les domaines de la vie et en particulier dans le soutien humanitaire, l</w:t>
      </w:r>
      <w:r w:rsidR="000C16F5" w:rsidRPr="00C80324">
        <w:rPr>
          <w:b/>
          <w:bCs/>
          <w:lang w:val="fr-FR"/>
        </w:rPr>
        <w:t>’</w:t>
      </w:r>
      <w:r w:rsidRPr="00C80324">
        <w:rPr>
          <w:b/>
          <w:bCs/>
          <w:lang w:val="fr-FR"/>
        </w:rPr>
        <w:t>accès à la justice et l</w:t>
      </w:r>
      <w:r w:rsidR="000C16F5" w:rsidRPr="00C80324">
        <w:rPr>
          <w:b/>
          <w:bCs/>
          <w:lang w:val="fr-FR"/>
        </w:rPr>
        <w:t>’</w:t>
      </w:r>
      <w:r w:rsidRPr="00C80324">
        <w:rPr>
          <w:b/>
          <w:bCs/>
          <w:lang w:val="fr-FR"/>
        </w:rPr>
        <w:t>assistance aux victimes de violence pendant la crise post-électorale, et le lien de la mise en œuvre de la Convention avec l</w:t>
      </w:r>
      <w:r w:rsidR="000C16F5" w:rsidRPr="00C80324">
        <w:rPr>
          <w:b/>
          <w:bCs/>
          <w:lang w:val="fr-FR"/>
        </w:rPr>
        <w:t>’</w:t>
      </w:r>
      <w:r w:rsidRPr="00C80324">
        <w:rPr>
          <w:b/>
          <w:bCs/>
          <w:lang w:val="fr-FR"/>
        </w:rPr>
        <w:t>application du Plan d</w:t>
      </w:r>
      <w:r w:rsidR="000C16F5" w:rsidRPr="00C80324">
        <w:rPr>
          <w:b/>
          <w:bCs/>
          <w:lang w:val="fr-FR"/>
        </w:rPr>
        <w:t>’</w:t>
      </w:r>
      <w:r w:rsidRPr="00C80324">
        <w:rPr>
          <w:b/>
          <w:bCs/>
          <w:lang w:val="fr-FR"/>
        </w:rPr>
        <w:t xml:space="preserve">action national sur la résolution 1325 du CSNU (voir </w:t>
      </w:r>
      <w:hyperlink r:id="rId18" w:history="1">
        <w:r w:rsidRPr="007B345A">
          <w:rPr>
            <w:rStyle w:val="Hyperlink"/>
            <w:b/>
            <w:bCs/>
            <w:lang w:val="fr-FR"/>
          </w:rPr>
          <w:t>CEDAW/C/CIV/CO/1-</w:t>
        </w:r>
        <w:r w:rsidRPr="007B345A">
          <w:rPr>
            <w:rStyle w:val="Hyperlink"/>
            <w:lang w:val="fr-FR"/>
          </w:rPr>
          <w:t>3</w:t>
        </w:r>
      </w:hyperlink>
      <w:r w:rsidRPr="00C80324">
        <w:rPr>
          <w:b/>
          <w:bCs/>
          <w:lang w:val="fr-FR"/>
        </w:rPr>
        <w:t xml:space="preserve">, </w:t>
      </w:r>
      <w:r w:rsidR="006862B3">
        <w:rPr>
          <w:b/>
          <w:bCs/>
          <w:lang w:val="fr-FR"/>
        </w:rPr>
        <w:t>par. </w:t>
      </w:r>
      <w:r w:rsidRPr="00C80324">
        <w:rPr>
          <w:b/>
          <w:bCs/>
          <w:lang w:val="fr-FR"/>
        </w:rPr>
        <w:t>15).</w:t>
      </w:r>
    </w:p>
    <w:p w14:paraId="7763A215" w14:textId="0D1E245C" w:rsidR="00364BF3" w:rsidRDefault="00364BF3" w:rsidP="008A6B29">
      <w:pPr>
        <w:pStyle w:val="SingleTxt"/>
        <w:numPr>
          <w:ilvl w:val="0"/>
          <w:numId w:val="9"/>
        </w:numPr>
        <w:spacing w:line="240" w:lineRule="exact"/>
        <w:rPr>
          <w:lang w:val="fr-FR"/>
        </w:rPr>
      </w:pPr>
      <w:r w:rsidRPr="00190491">
        <w:rPr>
          <w:lang w:val="fr-FR"/>
        </w:rPr>
        <w:t>La CEDEF a été vulgarisée par le MPFFPE et par des Organisations de la Société Civile (OSC)</w:t>
      </w:r>
      <w:r>
        <w:rPr>
          <w:lang w:val="fr-FR"/>
        </w:rPr>
        <w:t xml:space="preserve"> </w:t>
      </w:r>
      <w:r w:rsidRPr="00190491">
        <w:rPr>
          <w:lang w:val="fr-FR"/>
        </w:rPr>
        <w:t>telles ONEF. Elle sert de document de référence et d</w:t>
      </w:r>
      <w:r w:rsidR="000C16F5">
        <w:rPr>
          <w:lang w:val="fr-FR"/>
        </w:rPr>
        <w:t>’</w:t>
      </w:r>
      <w:r w:rsidRPr="00190491">
        <w:rPr>
          <w:lang w:val="fr-FR"/>
        </w:rPr>
        <w:t xml:space="preserve">orientation des différentes activités (sensibilisation, formation, élaboration de texte de loi, réponse, ratification de traités…) de promotion et de protection des droits de la femme et de la fille aux acteurs en présence. </w:t>
      </w:r>
    </w:p>
    <w:p w14:paraId="58658A74" w14:textId="00AC3936" w:rsidR="00C80324" w:rsidRPr="00C80324" w:rsidRDefault="00C80324" w:rsidP="00C80324">
      <w:pPr>
        <w:pStyle w:val="SingleTxt"/>
        <w:tabs>
          <w:tab w:val="clear" w:pos="1742"/>
        </w:tabs>
        <w:spacing w:after="0" w:line="120" w:lineRule="exact"/>
        <w:rPr>
          <w:sz w:val="10"/>
          <w:lang w:val="fr-FR"/>
        </w:rPr>
      </w:pPr>
    </w:p>
    <w:p w14:paraId="444DEF32" w14:textId="4C65AB36" w:rsidR="00364BF3" w:rsidRDefault="00364BF3" w:rsidP="00C80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Définition de la discrimination contre les femmes</w:t>
      </w:r>
    </w:p>
    <w:p w14:paraId="7366085C" w14:textId="086A1306" w:rsidR="00C80324" w:rsidRPr="00C80324" w:rsidRDefault="00C80324" w:rsidP="00C80324">
      <w:pPr>
        <w:spacing w:line="120" w:lineRule="exact"/>
        <w:rPr>
          <w:sz w:val="10"/>
          <w:lang w:val="fr-FR"/>
        </w:rPr>
      </w:pPr>
    </w:p>
    <w:p w14:paraId="7CDE3CD5" w14:textId="3E945660" w:rsidR="00364BF3" w:rsidRPr="00C80324" w:rsidRDefault="00364BF3" w:rsidP="008A6B29">
      <w:pPr>
        <w:pStyle w:val="SingleTxt"/>
        <w:numPr>
          <w:ilvl w:val="0"/>
          <w:numId w:val="9"/>
        </w:numPr>
        <w:spacing w:line="240" w:lineRule="exact"/>
        <w:rPr>
          <w:b/>
          <w:bCs/>
          <w:lang w:val="fr-FR"/>
        </w:rPr>
      </w:pPr>
      <w:r w:rsidRPr="00C80324">
        <w:rPr>
          <w:b/>
          <w:bCs/>
          <w:lang w:val="fr-FR"/>
        </w:rPr>
        <w:t>Le Comité recommande que l</w:t>
      </w:r>
      <w:r w:rsidR="000C16F5" w:rsidRPr="00C80324">
        <w:rPr>
          <w:b/>
          <w:bCs/>
          <w:lang w:val="fr-FR"/>
        </w:rPr>
        <w:t>’</w:t>
      </w:r>
      <w:r w:rsidRPr="00C80324">
        <w:rPr>
          <w:b/>
          <w:bCs/>
          <w:lang w:val="fr-FR"/>
        </w:rPr>
        <w:t>État partie adopte des amendements à la Constitution ou à la législation nationale, qui comprennent une nette définition et l</w:t>
      </w:r>
      <w:r w:rsidR="000C16F5" w:rsidRPr="00C80324">
        <w:rPr>
          <w:b/>
          <w:bCs/>
          <w:lang w:val="fr-FR"/>
        </w:rPr>
        <w:t>’</w:t>
      </w:r>
      <w:r w:rsidRPr="00C80324">
        <w:rPr>
          <w:b/>
          <w:bCs/>
          <w:lang w:val="fr-FR"/>
        </w:rPr>
        <w:t>interdiction de toute forme de discrimination contre les femmes, tant directe qu</w:t>
      </w:r>
      <w:r w:rsidR="000C16F5" w:rsidRPr="00C80324">
        <w:rPr>
          <w:b/>
          <w:bCs/>
          <w:lang w:val="fr-FR"/>
        </w:rPr>
        <w:t>’</w:t>
      </w:r>
      <w:r w:rsidRPr="00C80324">
        <w:rPr>
          <w:b/>
          <w:bCs/>
          <w:lang w:val="fr-FR"/>
        </w:rPr>
        <w:t xml:space="preserve">indirecte, conformément aux articles 1 et 2 de la Convention (voir </w:t>
      </w:r>
      <w:hyperlink r:id="rId19" w:history="1">
        <w:r w:rsidRPr="007B345A">
          <w:rPr>
            <w:rStyle w:val="Hyperlink"/>
            <w:b/>
            <w:bCs/>
            <w:lang w:val="fr-FR"/>
          </w:rPr>
          <w:t>CEDAW/C/CIV/CO/1-3</w:t>
        </w:r>
      </w:hyperlink>
      <w:r w:rsidRPr="00C80324">
        <w:rPr>
          <w:b/>
          <w:bCs/>
          <w:lang w:val="fr-FR"/>
        </w:rPr>
        <w:t xml:space="preserve">, </w:t>
      </w:r>
      <w:r w:rsidR="006862B3">
        <w:rPr>
          <w:b/>
          <w:bCs/>
          <w:lang w:val="fr-FR"/>
        </w:rPr>
        <w:t>par. </w:t>
      </w:r>
      <w:r w:rsidRPr="00C80324">
        <w:rPr>
          <w:b/>
          <w:bCs/>
          <w:lang w:val="fr-FR"/>
        </w:rPr>
        <w:t>17).</w:t>
      </w:r>
    </w:p>
    <w:p w14:paraId="74D0B841" w14:textId="05B98B8A" w:rsidR="00364BF3" w:rsidRDefault="00364BF3" w:rsidP="008A6B29">
      <w:pPr>
        <w:pStyle w:val="SingleTxt"/>
        <w:numPr>
          <w:ilvl w:val="0"/>
          <w:numId w:val="9"/>
        </w:numPr>
        <w:spacing w:line="240" w:lineRule="exact"/>
        <w:rPr>
          <w:lang w:val="fr-FR"/>
        </w:rPr>
      </w:pPr>
      <w:r w:rsidRPr="00190491">
        <w:rPr>
          <w:lang w:val="fr-FR"/>
        </w:rPr>
        <w:t>La Nouvelle Constitution de 2016 prend en compte l</w:t>
      </w:r>
      <w:r w:rsidR="000C16F5">
        <w:rPr>
          <w:lang w:val="fr-FR"/>
        </w:rPr>
        <w:t>’</w:t>
      </w:r>
      <w:r w:rsidRPr="00190491">
        <w:rPr>
          <w:lang w:val="fr-FR"/>
        </w:rPr>
        <w:t>élimination de toute forme de discrimination à l</w:t>
      </w:r>
      <w:r w:rsidR="000C16F5">
        <w:rPr>
          <w:lang w:val="fr-FR"/>
        </w:rPr>
        <w:t>’</w:t>
      </w:r>
      <w:r w:rsidRPr="00190491">
        <w:rPr>
          <w:lang w:val="fr-FR"/>
        </w:rPr>
        <w:t>égard de la femme. L</w:t>
      </w:r>
      <w:r w:rsidR="000C16F5">
        <w:rPr>
          <w:lang w:val="fr-FR"/>
        </w:rPr>
        <w:t>’</w:t>
      </w:r>
      <w:r w:rsidRPr="00190491">
        <w:rPr>
          <w:lang w:val="fr-FR"/>
        </w:rPr>
        <w:t>article 4 fixe le principe de l</w:t>
      </w:r>
      <w:r w:rsidR="000C16F5">
        <w:rPr>
          <w:lang w:val="fr-FR"/>
        </w:rPr>
        <w:t>’</w:t>
      </w:r>
      <w:r w:rsidRPr="00190491">
        <w:rPr>
          <w:lang w:val="fr-FR"/>
        </w:rPr>
        <w:t xml:space="preserve">égalité entre tous les nationaux et dresse une liste de motifs de discrimination prohibés. Cette disposition est notée également dans les articles. </w:t>
      </w:r>
    </w:p>
    <w:p w14:paraId="3A2AE3AE" w14:textId="52303D51" w:rsidR="00C80324" w:rsidRPr="00C80324" w:rsidRDefault="00C80324" w:rsidP="00C80324">
      <w:pPr>
        <w:pStyle w:val="SingleTxt"/>
        <w:tabs>
          <w:tab w:val="clear" w:pos="1742"/>
        </w:tabs>
        <w:spacing w:after="0" w:line="120" w:lineRule="exact"/>
        <w:rPr>
          <w:sz w:val="10"/>
          <w:lang w:val="fr-FR"/>
        </w:rPr>
      </w:pPr>
    </w:p>
    <w:p w14:paraId="06397FA4" w14:textId="3825D5D1" w:rsidR="00364BF3" w:rsidRDefault="00364BF3" w:rsidP="00C8032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 xml:space="preserve">Les lois discriminatoires </w:t>
      </w:r>
    </w:p>
    <w:p w14:paraId="1E888EF1" w14:textId="30B386DC" w:rsidR="00C80324" w:rsidRPr="00C80324" w:rsidRDefault="00C80324" w:rsidP="00C80324">
      <w:pPr>
        <w:spacing w:line="120" w:lineRule="exact"/>
        <w:rPr>
          <w:sz w:val="10"/>
          <w:lang w:val="fr-FR"/>
        </w:rPr>
      </w:pPr>
    </w:p>
    <w:p w14:paraId="66E26AF3" w14:textId="088CAC6D" w:rsidR="00364BF3" w:rsidRPr="00C80324" w:rsidRDefault="00364BF3" w:rsidP="008A6B29">
      <w:pPr>
        <w:pStyle w:val="SingleTxt"/>
        <w:numPr>
          <w:ilvl w:val="0"/>
          <w:numId w:val="9"/>
        </w:numPr>
        <w:spacing w:line="240" w:lineRule="exact"/>
        <w:rPr>
          <w:b/>
          <w:bCs/>
          <w:lang w:val="fr-FR"/>
        </w:rPr>
      </w:pPr>
      <w:r w:rsidRPr="00C80324">
        <w:rPr>
          <w:b/>
          <w:bCs/>
          <w:lang w:val="fr-FR"/>
        </w:rPr>
        <w:t>Accorder une attention prioritaire à l</w:t>
      </w:r>
      <w:r w:rsidR="000C16F5" w:rsidRPr="00C80324">
        <w:rPr>
          <w:b/>
          <w:bCs/>
          <w:lang w:val="fr-FR"/>
        </w:rPr>
        <w:t>’</w:t>
      </w:r>
      <w:r w:rsidRPr="00C80324">
        <w:rPr>
          <w:b/>
          <w:bCs/>
          <w:lang w:val="fr-FR"/>
        </w:rPr>
        <w:t>élaboration de nouvelles lois ainsi que l</w:t>
      </w:r>
      <w:r w:rsidR="000C16F5" w:rsidRPr="00C80324">
        <w:rPr>
          <w:b/>
          <w:bCs/>
          <w:lang w:val="fr-FR"/>
        </w:rPr>
        <w:t>’</w:t>
      </w:r>
      <w:r w:rsidRPr="00C80324">
        <w:rPr>
          <w:b/>
          <w:bCs/>
          <w:lang w:val="fr-FR"/>
        </w:rPr>
        <w:t>examen et l</w:t>
      </w:r>
      <w:r w:rsidR="000C16F5" w:rsidRPr="00C80324">
        <w:rPr>
          <w:b/>
          <w:bCs/>
          <w:lang w:val="fr-FR"/>
        </w:rPr>
        <w:t>’</w:t>
      </w:r>
      <w:r w:rsidRPr="00C80324">
        <w:rPr>
          <w:b/>
          <w:bCs/>
          <w:lang w:val="fr-FR"/>
        </w:rPr>
        <w:t>abrogation des dispositions discriminatoires, en coopération avec les organisations compétentes, afin d</w:t>
      </w:r>
      <w:r w:rsidR="000C16F5" w:rsidRPr="00C80324">
        <w:rPr>
          <w:b/>
          <w:bCs/>
          <w:lang w:val="fr-FR"/>
        </w:rPr>
        <w:t>’</w:t>
      </w:r>
      <w:r w:rsidRPr="00C80324">
        <w:rPr>
          <w:b/>
          <w:bCs/>
          <w:lang w:val="fr-FR"/>
        </w:rPr>
        <w:t>atteindre l</w:t>
      </w:r>
      <w:r w:rsidR="000C16F5" w:rsidRPr="00C80324">
        <w:rPr>
          <w:b/>
          <w:bCs/>
          <w:lang w:val="fr-FR"/>
        </w:rPr>
        <w:t>’</w:t>
      </w:r>
      <w:r w:rsidRPr="00C80324">
        <w:rPr>
          <w:b/>
          <w:bCs/>
          <w:lang w:val="fr-FR"/>
        </w:rPr>
        <w:t>égalité de genre et de permettre l</w:t>
      </w:r>
      <w:r w:rsidR="000C16F5" w:rsidRPr="00C80324">
        <w:rPr>
          <w:b/>
          <w:bCs/>
          <w:lang w:val="fr-FR"/>
        </w:rPr>
        <w:t>’</w:t>
      </w:r>
      <w:r w:rsidRPr="00C80324">
        <w:rPr>
          <w:b/>
          <w:bCs/>
          <w:lang w:val="fr-FR"/>
        </w:rPr>
        <w:t>égalité de facto pour les femmes en conformité avec les obligations de l</w:t>
      </w:r>
      <w:r w:rsidR="000C16F5" w:rsidRPr="00C80324">
        <w:rPr>
          <w:b/>
          <w:bCs/>
          <w:lang w:val="fr-FR"/>
        </w:rPr>
        <w:t>’</w:t>
      </w:r>
      <w:r w:rsidRPr="00C80324">
        <w:rPr>
          <w:b/>
          <w:bCs/>
          <w:lang w:val="fr-FR"/>
        </w:rPr>
        <w:t xml:space="preserve">État partie en vertu de la Convention </w:t>
      </w:r>
      <w:r w:rsidR="00D81000">
        <w:rPr>
          <w:b/>
          <w:bCs/>
          <w:lang w:val="fr-FR"/>
        </w:rPr>
        <w:t>[</w:t>
      </w:r>
      <w:r w:rsidRPr="00C80324">
        <w:rPr>
          <w:b/>
          <w:bCs/>
          <w:lang w:val="fr-FR"/>
        </w:rPr>
        <w:t xml:space="preserve">voir </w:t>
      </w:r>
      <w:hyperlink r:id="rId20" w:history="1">
        <w:r w:rsidRPr="007B345A">
          <w:rPr>
            <w:rStyle w:val="Hyperlink"/>
            <w:b/>
            <w:bCs/>
            <w:lang w:val="fr-FR"/>
          </w:rPr>
          <w:t>CEDAW/C/CIV/CO/1-3</w:t>
        </w:r>
      </w:hyperlink>
      <w:r w:rsidRPr="00C80324">
        <w:rPr>
          <w:b/>
          <w:bCs/>
          <w:lang w:val="fr-FR"/>
        </w:rPr>
        <w:t xml:space="preserve">, </w:t>
      </w:r>
      <w:r w:rsidR="006862B3">
        <w:rPr>
          <w:b/>
          <w:bCs/>
          <w:lang w:val="fr-FR"/>
        </w:rPr>
        <w:t>par. </w:t>
      </w:r>
      <w:r w:rsidRPr="00C80324">
        <w:rPr>
          <w:b/>
          <w:bCs/>
          <w:lang w:val="fr-FR"/>
        </w:rPr>
        <w:t>19 a)</w:t>
      </w:r>
      <w:r w:rsidR="00D81000">
        <w:rPr>
          <w:b/>
          <w:bCs/>
          <w:lang w:val="fr-FR"/>
        </w:rPr>
        <w:t>]</w:t>
      </w:r>
      <w:r w:rsidRPr="00C80324">
        <w:rPr>
          <w:b/>
          <w:bCs/>
          <w:lang w:val="fr-FR"/>
        </w:rPr>
        <w:t>.</w:t>
      </w:r>
    </w:p>
    <w:p w14:paraId="172DEB35" w14:textId="5798A4A8" w:rsidR="00364BF3" w:rsidRPr="00190491" w:rsidRDefault="00364BF3" w:rsidP="008A6B29">
      <w:pPr>
        <w:pStyle w:val="SingleTxt"/>
        <w:numPr>
          <w:ilvl w:val="0"/>
          <w:numId w:val="9"/>
        </w:numPr>
        <w:spacing w:line="240" w:lineRule="exact"/>
        <w:rPr>
          <w:bCs/>
          <w:lang w:val="fr-FR"/>
        </w:rPr>
      </w:pPr>
      <w:r w:rsidRPr="00190491">
        <w:rPr>
          <w:bCs/>
          <w:lang w:val="fr-FR"/>
        </w:rPr>
        <w:t xml:space="preserve">En </w:t>
      </w:r>
      <w:r w:rsidRPr="00190491">
        <w:rPr>
          <w:lang w:val="fr-FR"/>
        </w:rPr>
        <w:t>collaboration</w:t>
      </w:r>
      <w:r w:rsidRPr="00190491">
        <w:rPr>
          <w:bCs/>
          <w:lang w:val="fr-FR"/>
        </w:rPr>
        <w:t xml:space="preserve"> avec le MSFFPE, les textes discriminatoires ont été recensés par l</w:t>
      </w:r>
      <w:r w:rsidR="000C16F5">
        <w:rPr>
          <w:bCs/>
          <w:lang w:val="fr-FR"/>
        </w:rPr>
        <w:t>’</w:t>
      </w:r>
      <w:r w:rsidRPr="00190491">
        <w:rPr>
          <w:bCs/>
          <w:lang w:val="fr-FR"/>
        </w:rPr>
        <w:t>Association des Femmes Juristes (AFJCI) et le Réseau des Femmes Africaines Ministres et Parlementaires - Côte d</w:t>
      </w:r>
      <w:r w:rsidR="000C16F5">
        <w:rPr>
          <w:bCs/>
          <w:lang w:val="fr-FR"/>
        </w:rPr>
        <w:t>’</w:t>
      </w:r>
      <w:r w:rsidRPr="00190491">
        <w:rPr>
          <w:bCs/>
          <w:lang w:val="fr-FR"/>
        </w:rPr>
        <w:t>Ivoire, (REFAMPCI)</w:t>
      </w:r>
      <w:r w:rsidRPr="00300E48">
        <w:rPr>
          <w:rStyle w:val="FootnoteReference"/>
          <w:bCs/>
          <w:lang w:val="fr-FR"/>
        </w:rPr>
        <w:footnoteReference w:id="2"/>
      </w:r>
      <w:r w:rsidRPr="00190491">
        <w:rPr>
          <w:bCs/>
          <w:lang w:val="fr-FR"/>
        </w:rPr>
        <w:t>. Les projets de révision du Code de la Famille et des Personnes et du Code Pénal qui intègrent la modification et l</w:t>
      </w:r>
      <w:r w:rsidR="000C16F5">
        <w:rPr>
          <w:bCs/>
          <w:lang w:val="fr-FR"/>
        </w:rPr>
        <w:t>’</w:t>
      </w:r>
      <w:r w:rsidRPr="00190491">
        <w:rPr>
          <w:bCs/>
          <w:lang w:val="fr-FR"/>
        </w:rPr>
        <w:t xml:space="preserve">élimination des textes discriminatoires sont en cours de validation. </w:t>
      </w:r>
    </w:p>
    <w:p w14:paraId="57A51E8E" w14:textId="73CE6975" w:rsidR="00364BF3" w:rsidRPr="00190491" w:rsidRDefault="00364BF3" w:rsidP="008A6B29">
      <w:pPr>
        <w:pStyle w:val="SingleTxt"/>
        <w:numPr>
          <w:ilvl w:val="0"/>
          <w:numId w:val="9"/>
        </w:numPr>
        <w:spacing w:line="240" w:lineRule="exact"/>
        <w:rPr>
          <w:bCs/>
          <w:lang w:val="fr-FR"/>
        </w:rPr>
      </w:pPr>
      <w:r w:rsidRPr="00190491">
        <w:rPr>
          <w:lang w:val="fr-FR"/>
        </w:rPr>
        <w:t>L</w:t>
      </w:r>
      <w:r w:rsidR="000C16F5">
        <w:rPr>
          <w:bCs/>
          <w:lang w:val="fr-FR"/>
        </w:rPr>
        <w:t>’</w:t>
      </w:r>
      <w:r w:rsidRPr="00190491">
        <w:rPr>
          <w:bCs/>
          <w:lang w:val="fr-FR"/>
        </w:rPr>
        <w:t>urgence de rétablir l</w:t>
      </w:r>
      <w:r w:rsidR="000C16F5">
        <w:rPr>
          <w:bCs/>
          <w:lang w:val="fr-FR"/>
        </w:rPr>
        <w:t>’</w:t>
      </w:r>
      <w:r w:rsidRPr="00190491">
        <w:rPr>
          <w:bCs/>
          <w:lang w:val="fr-FR"/>
        </w:rPr>
        <w:t>égalité dans des secteurs clés de la vie sociale et économique a conduit à l</w:t>
      </w:r>
      <w:r w:rsidR="000C16F5">
        <w:rPr>
          <w:bCs/>
          <w:lang w:val="fr-FR"/>
        </w:rPr>
        <w:t>’</w:t>
      </w:r>
      <w:r w:rsidRPr="00190491">
        <w:rPr>
          <w:bCs/>
          <w:lang w:val="fr-FR"/>
        </w:rPr>
        <w:t>abrogation, à la modification ou à l</w:t>
      </w:r>
      <w:r w:rsidR="000C16F5">
        <w:rPr>
          <w:bCs/>
          <w:lang w:val="fr-FR"/>
        </w:rPr>
        <w:t>’</w:t>
      </w:r>
      <w:r w:rsidRPr="00190491">
        <w:rPr>
          <w:bCs/>
          <w:lang w:val="fr-FR"/>
        </w:rPr>
        <w:t>adoption de textes de lois. Ainsi, la loi sur le mariage a été adoptée le 25 janvier 2013 consacrant le principe de la gestion conjointe du ménage par les époux et l</w:t>
      </w:r>
      <w:r w:rsidR="000C16F5">
        <w:rPr>
          <w:bCs/>
          <w:lang w:val="fr-FR"/>
        </w:rPr>
        <w:t>’</w:t>
      </w:r>
      <w:r w:rsidRPr="00190491">
        <w:rPr>
          <w:bCs/>
          <w:lang w:val="fr-FR"/>
        </w:rPr>
        <w:t xml:space="preserve">abandon de la notion de chef de famille. </w:t>
      </w:r>
    </w:p>
    <w:p w14:paraId="7492004E" w14:textId="69729E72" w:rsidR="00364BF3" w:rsidRPr="00190491" w:rsidRDefault="00364BF3" w:rsidP="008A6B29">
      <w:pPr>
        <w:pStyle w:val="SingleTxt"/>
        <w:numPr>
          <w:ilvl w:val="0"/>
          <w:numId w:val="9"/>
        </w:numPr>
        <w:spacing w:line="240" w:lineRule="exact"/>
        <w:rPr>
          <w:lang w:val="fr-FR"/>
        </w:rPr>
      </w:pPr>
      <w:r w:rsidRPr="00190491">
        <w:rPr>
          <w:lang w:val="fr-FR"/>
        </w:rPr>
        <w:t>Aussi</w:t>
      </w:r>
      <w:r w:rsidRPr="00190491">
        <w:rPr>
          <w:bCs/>
          <w:lang w:val="fr-FR"/>
        </w:rPr>
        <w:t xml:space="preserve">, depuis le 20 Juillet 2015, on note une réforme significative dans la législation du travail régissant les personnes du secteur privé notamment la loi </w:t>
      </w:r>
      <w:r w:rsidRPr="00190491">
        <w:rPr>
          <w:bCs/>
          <w:lang w:val="fr-FR"/>
        </w:rPr>
        <w:lastRenderedPageBreak/>
        <w:t>n</w:t>
      </w:r>
      <w:r w:rsidR="004B7322" w:rsidRPr="004B7322">
        <w:rPr>
          <w:bCs/>
          <w:vertAlign w:val="superscript"/>
          <w:lang w:val="fr-FR"/>
        </w:rPr>
        <w:t>o</w:t>
      </w:r>
      <w:r w:rsidR="004B7322">
        <w:rPr>
          <w:bCs/>
          <w:lang w:val="fr-FR"/>
        </w:rPr>
        <w:t> </w:t>
      </w:r>
      <w:r w:rsidRPr="00190491">
        <w:rPr>
          <w:bCs/>
          <w:lang w:val="fr-FR"/>
        </w:rPr>
        <w:t>2015-532 du 20 Juillet 2015 consacrant un chapitre « </w:t>
      </w:r>
      <w:r w:rsidRPr="00B675BB">
        <w:rPr>
          <w:bCs/>
          <w:iCs/>
          <w:lang w:val="fr-FR"/>
        </w:rPr>
        <w:t>au travail des personnes en situation de handicap</w:t>
      </w:r>
      <w:r w:rsidRPr="00190491">
        <w:rPr>
          <w:bCs/>
          <w:i/>
          <w:lang w:val="fr-FR"/>
        </w:rPr>
        <w:t> </w:t>
      </w:r>
      <w:r w:rsidRPr="00752D6E">
        <w:rPr>
          <w:bCs/>
          <w:iCs/>
          <w:lang w:val="fr-FR"/>
        </w:rPr>
        <w:t>»</w:t>
      </w:r>
      <w:r w:rsidRPr="00190491">
        <w:rPr>
          <w:bCs/>
          <w:i/>
          <w:lang w:val="fr-FR"/>
        </w:rPr>
        <w:t xml:space="preserve">. </w:t>
      </w:r>
    </w:p>
    <w:p w14:paraId="20229E8F" w14:textId="717C4381" w:rsidR="00364BF3" w:rsidRPr="00C80324" w:rsidRDefault="00364BF3" w:rsidP="008A6B29">
      <w:pPr>
        <w:pStyle w:val="SingleTxt"/>
        <w:numPr>
          <w:ilvl w:val="0"/>
          <w:numId w:val="9"/>
        </w:numPr>
        <w:spacing w:line="240" w:lineRule="exact"/>
        <w:rPr>
          <w:b/>
          <w:bCs/>
          <w:lang w:val="fr-FR"/>
        </w:rPr>
      </w:pPr>
      <w:r w:rsidRPr="00C80324">
        <w:rPr>
          <w:b/>
          <w:bCs/>
          <w:lang w:val="fr-FR"/>
        </w:rPr>
        <w:t xml:space="preserve">Promulguer, sans délai, une loi globale sur la violence contre les femmes </w:t>
      </w:r>
      <w:r w:rsidR="00D81000">
        <w:rPr>
          <w:b/>
          <w:bCs/>
          <w:lang w:val="fr-FR"/>
        </w:rPr>
        <w:t>[</w:t>
      </w:r>
      <w:r w:rsidRPr="00C80324">
        <w:rPr>
          <w:b/>
          <w:bCs/>
          <w:lang w:val="fr-FR"/>
        </w:rPr>
        <w:t xml:space="preserve">voir </w:t>
      </w:r>
      <w:hyperlink r:id="rId21" w:history="1">
        <w:r w:rsidRPr="007B345A">
          <w:rPr>
            <w:rStyle w:val="Hyperlink"/>
            <w:b/>
            <w:bCs/>
            <w:lang w:val="fr-FR"/>
          </w:rPr>
          <w:t>CEDAW/C/CIV/CO/1-3</w:t>
        </w:r>
      </w:hyperlink>
      <w:r w:rsidRPr="00C80324">
        <w:rPr>
          <w:b/>
          <w:bCs/>
          <w:lang w:val="fr-FR"/>
        </w:rPr>
        <w:t xml:space="preserve">, </w:t>
      </w:r>
      <w:r w:rsidR="006862B3">
        <w:rPr>
          <w:b/>
          <w:bCs/>
          <w:lang w:val="fr-FR"/>
        </w:rPr>
        <w:t>par. </w:t>
      </w:r>
      <w:r w:rsidRPr="00C80324">
        <w:rPr>
          <w:b/>
          <w:bCs/>
          <w:lang w:val="fr-FR"/>
        </w:rPr>
        <w:t>19 b)</w:t>
      </w:r>
      <w:r w:rsidR="00D81000">
        <w:rPr>
          <w:b/>
          <w:bCs/>
          <w:lang w:val="fr-FR"/>
        </w:rPr>
        <w:t>]</w:t>
      </w:r>
      <w:r w:rsidRPr="00C80324">
        <w:rPr>
          <w:b/>
          <w:bCs/>
          <w:lang w:val="fr-FR"/>
        </w:rPr>
        <w:t>.</w:t>
      </w:r>
    </w:p>
    <w:p w14:paraId="6B298EEA" w14:textId="3F0CEA2F" w:rsidR="00364BF3" w:rsidRPr="00190491" w:rsidRDefault="00364BF3" w:rsidP="008A6B29">
      <w:pPr>
        <w:pStyle w:val="SingleTxt"/>
        <w:numPr>
          <w:ilvl w:val="0"/>
          <w:numId w:val="9"/>
        </w:numPr>
        <w:spacing w:line="240" w:lineRule="exact"/>
        <w:rPr>
          <w:lang w:val="fr-FR"/>
        </w:rPr>
      </w:pPr>
      <w:r w:rsidRPr="00190491">
        <w:rPr>
          <w:lang w:val="fr-FR"/>
        </w:rPr>
        <w:t>La Côte d</w:t>
      </w:r>
      <w:r w:rsidR="000C16F5">
        <w:rPr>
          <w:lang w:val="fr-FR"/>
        </w:rPr>
        <w:t>’</w:t>
      </w:r>
      <w:r w:rsidRPr="00190491">
        <w:rPr>
          <w:lang w:val="fr-FR"/>
        </w:rPr>
        <w:t>Ivoire n</w:t>
      </w:r>
      <w:r w:rsidR="000C16F5">
        <w:rPr>
          <w:lang w:val="fr-FR"/>
        </w:rPr>
        <w:t>’</w:t>
      </w:r>
      <w:r w:rsidRPr="00190491">
        <w:rPr>
          <w:lang w:val="fr-FR"/>
        </w:rPr>
        <w:t xml:space="preserve">a pu élaborer une loi spécifique sur les violences contre les femmes comme préconisée dans la SNLVBG adoptée en 2014 néanmoins la réforme du système judiciaire démarrée en 2012 permet de prévenir et de prendre en charge les cas de violence. </w:t>
      </w:r>
    </w:p>
    <w:p w14:paraId="345CA557" w14:textId="7162C2C8" w:rsidR="00364BF3" w:rsidRPr="0079095F" w:rsidRDefault="00364BF3" w:rsidP="008A6B29">
      <w:pPr>
        <w:pStyle w:val="SingleTxt"/>
        <w:numPr>
          <w:ilvl w:val="0"/>
          <w:numId w:val="9"/>
        </w:numPr>
        <w:spacing w:line="240" w:lineRule="exact"/>
        <w:rPr>
          <w:b/>
          <w:bCs/>
          <w:lang w:val="fr-FR"/>
        </w:rPr>
      </w:pPr>
      <w:r w:rsidRPr="0079095F">
        <w:rPr>
          <w:b/>
          <w:bCs/>
          <w:lang w:val="fr-FR"/>
        </w:rPr>
        <w:t>Effectuer un examen complet des dispositions discriminatoires sur le statut des personnes, y compris sur le mariage, le divorce, l</w:t>
      </w:r>
      <w:r w:rsidR="000C16F5" w:rsidRPr="0079095F">
        <w:rPr>
          <w:b/>
          <w:bCs/>
          <w:lang w:val="fr-FR"/>
        </w:rPr>
        <w:t>’</w:t>
      </w:r>
      <w:r w:rsidRPr="0079095F">
        <w:rPr>
          <w:b/>
          <w:bCs/>
          <w:lang w:val="fr-FR"/>
        </w:rPr>
        <w:t>héritage et l</w:t>
      </w:r>
      <w:r w:rsidR="000C16F5" w:rsidRPr="0079095F">
        <w:rPr>
          <w:b/>
          <w:bCs/>
          <w:lang w:val="fr-FR"/>
        </w:rPr>
        <w:t>’</w:t>
      </w:r>
      <w:r w:rsidRPr="0079095F">
        <w:rPr>
          <w:b/>
          <w:bCs/>
          <w:lang w:val="fr-FR"/>
        </w:rPr>
        <w:t>octroi de toutes les prises de décisions aux hommes dans la famille, et de modifier, sans délai, le statut des personnes dans le Code de la famille à l</w:t>
      </w:r>
      <w:r w:rsidR="000C16F5" w:rsidRPr="0079095F">
        <w:rPr>
          <w:b/>
          <w:bCs/>
          <w:lang w:val="fr-FR"/>
        </w:rPr>
        <w:t>’</w:t>
      </w:r>
      <w:r w:rsidRPr="0079095F">
        <w:rPr>
          <w:b/>
          <w:bCs/>
          <w:lang w:val="fr-FR"/>
        </w:rPr>
        <w:t xml:space="preserve">égard de ces questions </w:t>
      </w:r>
      <w:r w:rsidR="00D81000">
        <w:rPr>
          <w:b/>
          <w:bCs/>
          <w:lang w:val="fr-FR"/>
        </w:rPr>
        <w:t>[</w:t>
      </w:r>
      <w:r w:rsidRPr="0079095F">
        <w:rPr>
          <w:b/>
          <w:bCs/>
          <w:lang w:val="fr-FR"/>
        </w:rPr>
        <w:t xml:space="preserve">voir </w:t>
      </w:r>
      <w:hyperlink r:id="rId22" w:history="1">
        <w:r w:rsidRPr="007B345A">
          <w:rPr>
            <w:rStyle w:val="Hyperlink"/>
            <w:b/>
            <w:bCs/>
            <w:lang w:val="fr-FR"/>
          </w:rPr>
          <w:t>CEDAW/C/CIV/CO/1-3</w:t>
        </w:r>
      </w:hyperlink>
      <w:r w:rsidRPr="0079095F">
        <w:rPr>
          <w:b/>
          <w:bCs/>
          <w:lang w:val="fr-FR"/>
        </w:rPr>
        <w:t xml:space="preserve">, </w:t>
      </w:r>
      <w:r w:rsidR="006862B3">
        <w:rPr>
          <w:b/>
          <w:bCs/>
          <w:lang w:val="fr-FR"/>
        </w:rPr>
        <w:t>par. </w:t>
      </w:r>
      <w:r w:rsidRPr="0079095F">
        <w:rPr>
          <w:b/>
          <w:bCs/>
          <w:lang w:val="fr-FR"/>
        </w:rPr>
        <w:t>19 c)</w:t>
      </w:r>
      <w:r w:rsidR="00D81000">
        <w:rPr>
          <w:b/>
          <w:bCs/>
          <w:lang w:val="fr-FR"/>
        </w:rPr>
        <w:t>]</w:t>
      </w:r>
      <w:r w:rsidRPr="0079095F">
        <w:rPr>
          <w:b/>
          <w:bCs/>
          <w:lang w:val="fr-FR"/>
        </w:rPr>
        <w:t>.</w:t>
      </w:r>
    </w:p>
    <w:p w14:paraId="613FB7AC" w14:textId="41181807" w:rsidR="00364BF3" w:rsidRPr="0079095F" w:rsidRDefault="00364BF3" w:rsidP="008A6B29">
      <w:pPr>
        <w:pStyle w:val="SingleTxt"/>
        <w:numPr>
          <w:ilvl w:val="0"/>
          <w:numId w:val="9"/>
        </w:numPr>
        <w:spacing w:line="240" w:lineRule="exact"/>
        <w:rPr>
          <w:b/>
          <w:bCs/>
          <w:lang w:val="fr-FR"/>
        </w:rPr>
      </w:pPr>
      <w:r w:rsidRPr="0079095F">
        <w:rPr>
          <w:b/>
          <w:bCs/>
          <w:lang w:val="fr-FR"/>
        </w:rPr>
        <w:t>Abrogation des dispositions discriminatoires sur la nationalité, impôt sur le revenu, et l</w:t>
      </w:r>
      <w:r w:rsidR="000C16F5" w:rsidRPr="0079095F">
        <w:rPr>
          <w:b/>
          <w:bCs/>
          <w:lang w:val="fr-FR"/>
        </w:rPr>
        <w:t>’</w:t>
      </w:r>
      <w:r w:rsidRPr="0079095F">
        <w:rPr>
          <w:b/>
          <w:bCs/>
          <w:lang w:val="fr-FR"/>
        </w:rPr>
        <w:t xml:space="preserve">emploi, en conformité avec les dispositions pertinentes de la Convention </w:t>
      </w:r>
      <w:r w:rsidR="00D81000">
        <w:rPr>
          <w:b/>
          <w:bCs/>
          <w:lang w:val="fr-FR"/>
        </w:rPr>
        <w:t>[</w:t>
      </w:r>
      <w:r w:rsidRPr="0079095F">
        <w:rPr>
          <w:b/>
          <w:bCs/>
          <w:lang w:val="fr-FR"/>
        </w:rPr>
        <w:t xml:space="preserve">voir </w:t>
      </w:r>
      <w:hyperlink r:id="rId23" w:history="1">
        <w:r w:rsidRPr="007B345A">
          <w:rPr>
            <w:rStyle w:val="Hyperlink"/>
            <w:b/>
            <w:bCs/>
            <w:lang w:val="fr-FR"/>
          </w:rPr>
          <w:t>CEDAW/C/CIV/CO/1-3</w:t>
        </w:r>
      </w:hyperlink>
      <w:r w:rsidRPr="0079095F">
        <w:rPr>
          <w:b/>
          <w:bCs/>
          <w:lang w:val="fr-FR"/>
        </w:rPr>
        <w:t xml:space="preserve">, </w:t>
      </w:r>
      <w:r w:rsidR="006862B3">
        <w:rPr>
          <w:b/>
          <w:bCs/>
          <w:lang w:val="fr-FR"/>
        </w:rPr>
        <w:t>par. </w:t>
      </w:r>
      <w:r w:rsidRPr="0079095F">
        <w:rPr>
          <w:b/>
          <w:bCs/>
          <w:lang w:val="fr-FR"/>
        </w:rPr>
        <w:t>19 d)</w:t>
      </w:r>
      <w:r w:rsidR="00D81000">
        <w:rPr>
          <w:b/>
          <w:bCs/>
          <w:lang w:val="fr-FR"/>
        </w:rPr>
        <w:t>]</w:t>
      </w:r>
      <w:r w:rsidRPr="0079095F">
        <w:rPr>
          <w:b/>
          <w:bCs/>
          <w:lang w:val="fr-FR"/>
        </w:rPr>
        <w:t>.</w:t>
      </w:r>
    </w:p>
    <w:p w14:paraId="64761CBF" w14:textId="07726527" w:rsidR="00364BF3" w:rsidRPr="00190491" w:rsidRDefault="00364BF3" w:rsidP="008A6B29">
      <w:pPr>
        <w:pStyle w:val="SingleTxt"/>
        <w:numPr>
          <w:ilvl w:val="0"/>
          <w:numId w:val="9"/>
        </w:numPr>
        <w:spacing w:line="240" w:lineRule="exact"/>
        <w:rPr>
          <w:lang w:val="fr-FR"/>
        </w:rPr>
      </w:pPr>
      <w:r w:rsidRPr="00190491">
        <w:rPr>
          <w:lang w:val="fr-FR"/>
        </w:rPr>
        <w:t>En conformité avec les dispositions pertinentes de la Convention, des mesures pour l</w:t>
      </w:r>
      <w:r w:rsidR="000C16F5">
        <w:rPr>
          <w:lang w:val="fr-FR"/>
        </w:rPr>
        <w:t>’</w:t>
      </w:r>
      <w:r w:rsidRPr="00190491">
        <w:rPr>
          <w:lang w:val="fr-FR"/>
        </w:rPr>
        <w:t>abrogation des dispositions discriminatoires sur la nationalité, l</w:t>
      </w:r>
      <w:r w:rsidR="000C16F5">
        <w:rPr>
          <w:lang w:val="fr-FR"/>
        </w:rPr>
        <w:t>’</w:t>
      </w:r>
      <w:r w:rsidRPr="00190491">
        <w:rPr>
          <w:lang w:val="fr-FR"/>
        </w:rPr>
        <w:t>impôt sur le revenu et l</w:t>
      </w:r>
      <w:r w:rsidR="000C16F5">
        <w:rPr>
          <w:lang w:val="fr-FR"/>
        </w:rPr>
        <w:t>’</w:t>
      </w:r>
      <w:r w:rsidRPr="00190491">
        <w:rPr>
          <w:lang w:val="fr-FR"/>
        </w:rPr>
        <w:t>emploi ont été prises.</w:t>
      </w:r>
    </w:p>
    <w:p w14:paraId="2239AE5E" w14:textId="1A16257B" w:rsidR="00364BF3" w:rsidRPr="00190491" w:rsidRDefault="00364BF3" w:rsidP="008A6B29">
      <w:pPr>
        <w:pStyle w:val="SingleTxt"/>
        <w:numPr>
          <w:ilvl w:val="0"/>
          <w:numId w:val="9"/>
        </w:numPr>
        <w:spacing w:line="240" w:lineRule="exact"/>
        <w:rPr>
          <w:lang w:val="fr-FR"/>
        </w:rPr>
      </w:pPr>
      <w:r w:rsidRPr="00190491">
        <w:rPr>
          <w:lang w:val="fr-FR"/>
        </w:rPr>
        <w:t>En ce qui concerne la nationalité, on y relève une égalité de traitement entre l</w:t>
      </w:r>
      <w:r w:rsidR="000C16F5">
        <w:rPr>
          <w:lang w:val="fr-FR"/>
        </w:rPr>
        <w:t>’</w:t>
      </w:r>
      <w:r w:rsidRPr="00190491">
        <w:rPr>
          <w:lang w:val="fr-FR"/>
        </w:rPr>
        <w:t>homme et la femme dans l</w:t>
      </w:r>
      <w:r w:rsidR="000C16F5">
        <w:rPr>
          <w:lang w:val="fr-FR"/>
        </w:rPr>
        <w:t>’</w:t>
      </w:r>
      <w:r w:rsidRPr="00190491">
        <w:rPr>
          <w:lang w:val="fr-FR"/>
        </w:rPr>
        <w:t xml:space="preserve">acquisition de la nationalité. </w:t>
      </w:r>
    </w:p>
    <w:p w14:paraId="19E323F8" w14:textId="05365128" w:rsidR="00364BF3" w:rsidRPr="00190491" w:rsidRDefault="00364BF3" w:rsidP="008A6B29">
      <w:pPr>
        <w:pStyle w:val="SingleTxt"/>
        <w:numPr>
          <w:ilvl w:val="0"/>
          <w:numId w:val="9"/>
        </w:numPr>
        <w:spacing w:line="240" w:lineRule="exact"/>
        <w:rPr>
          <w:bCs/>
          <w:i/>
          <w:lang w:val="fr-FR"/>
        </w:rPr>
      </w:pPr>
      <w:r w:rsidRPr="00190491">
        <w:rPr>
          <w:bCs/>
          <w:lang w:val="fr-FR"/>
        </w:rPr>
        <w:t>Au niveau de l</w:t>
      </w:r>
      <w:r w:rsidR="000C16F5">
        <w:rPr>
          <w:bCs/>
          <w:lang w:val="fr-FR"/>
        </w:rPr>
        <w:t>’</w:t>
      </w:r>
      <w:r w:rsidRPr="00190491">
        <w:rPr>
          <w:bCs/>
          <w:lang w:val="fr-FR"/>
        </w:rPr>
        <w:t>emploi,</w:t>
      </w:r>
      <w:r w:rsidRPr="00190491">
        <w:rPr>
          <w:bCs/>
          <w:i/>
          <w:lang w:val="fr-FR"/>
        </w:rPr>
        <w:t xml:space="preserve"> </w:t>
      </w:r>
      <w:r w:rsidRPr="00190491">
        <w:rPr>
          <w:bCs/>
          <w:lang w:val="fr-FR"/>
        </w:rPr>
        <w:t>depuis le 20 Juillet 2015, un chapitre conforme avec les normes du BIT, est consacré « </w:t>
      </w:r>
      <w:r w:rsidRPr="00B675BB">
        <w:rPr>
          <w:bCs/>
          <w:iCs/>
          <w:lang w:val="fr-FR"/>
        </w:rPr>
        <w:t>au travail des personnes en situation de handicap</w:t>
      </w:r>
      <w:r w:rsidRPr="00190491">
        <w:rPr>
          <w:bCs/>
          <w:i/>
          <w:lang w:val="fr-FR"/>
        </w:rPr>
        <w:t> </w:t>
      </w:r>
      <w:r w:rsidRPr="00B675BB">
        <w:rPr>
          <w:bCs/>
          <w:iCs/>
          <w:lang w:val="fr-FR"/>
        </w:rPr>
        <w:t>»</w:t>
      </w:r>
      <w:r w:rsidRPr="00190491">
        <w:rPr>
          <w:bCs/>
          <w:lang w:val="fr-FR"/>
        </w:rPr>
        <w:t xml:space="preserve">. </w:t>
      </w:r>
    </w:p>
    <w:p w14:paraId="39E79013" w14:textId="6B275CC1" w:rsidR="00364BF3" w:rsidRDefault="00364BF3" w:rsidP="008A6B29">
      <w:pPr>
        <w:pStyle w:val="SingleTxt"/>
        <w:numPr>
          <w:ilvl w:val="0"/>
          <w:numId w:val="9"/>
        </w:numPr>
        <w:spacing w:line="240" w:lineRule="exact"/>
        <w:rPr>
          <w:lang w:val="fr-FR"/>
        </w:rPr>
      </w:pPr>
      <w:r w:rsidRPr="00190491">
        <w:rPr>
          <w:lang w:val="fr-FR"/>
        </w:rPr>
        <w:t>Enfin pour l</w:t>
      </w:r>
      <w:r w:rsidR="000C16F5">
        <w:rPr>
          <w:lang w:val="fr-FR"/>
        </w:rPr>
        <w:t>’</w:t>
      </w:r>
      <w:r w:rsidRPr="00190491">
        <w:rPr>
          <w:lang w:val="fr-FR"/>
        </w:rPr>
        <w:t>impôt sur le revenu, la femme salariée bénéficie désormais à égalité avec l</w:t>
      </w:r>
      <w:r w:rsidR="000C16F5">
        <w:rPr>
          <w:lang w:val="fr-FR"/>
        </w:rPr>
        <w:t>’</w:t>
      </w:r>
      <w:r w:rsidRPr="00190491">
        <w:rPr>
          <w:lang w:val="fr-FR"/>
        </w:rPr>
        <w:t>homme des abattements d</w:t>
      </w:r>
      <w:r w:rsidR="000C16F5">
        <w:rPr>
          <w:lang w:val="fr-FR"/>
        </w:rPr>
        <w:t>’</w:t>
      </w:r>
      <w:r w:rsidRPr="00190491">
        <w:rPr>
          <w:lang w:val="fr-FR"/>
        </w:rPr>
        <w:t>impôt sur le revenu.</w:t>
      </w:r>
    </w:p>
    <w:p w14:paraId="601E53D1" w14:textId="32AB908B" w:rsidR="0079095F" w:rsidRPr="0079095F" w:rsidRDefault="0079095F" w:rsidP="0079095F">
      <w:pPr>
        <w:pStyle w:val="SingleTxt"/>
        <w:tabs>
          <w:tab w:val="clear" w:pos="1742"/>
        </w:tabs>
        <w:spacing w:after="0" w:line="120" w:lineRule="exact"/>
        <w:rPr>
          <w:sz w:val="10"/>
          <w:lang w:val="fr-FR"/>
        </w:rPr>
      </w:pPr>
    </w:p>
    <w:p w14:paraId="038EFE79" w14:textId="790C0BFB" w:rsidR="00364BF3" w:rsidRDefault="00364BF3" w:rsidP="007909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 xml:space="preserve">Accès à la justice </w:t>
      </w:r>
    </w:p>
    <w:p w14:paraId="5E349544" w14:textId="5AFCAACC" w:rsidR="0079095F" w:rsidRPr="0079095F" w:rsidRDefault="0079095F" w:rsidP="0079095F">
      <w:pPr>
        <w:spacing w:line="120" w:lineRule="exact"/>
        <w:rPr>
          <w:sz w:val="10"/>
          <w:lang w:val="fr-FR"/>
        </w:rPr>
      </w:pPr>
    </w:p>
    <w:p w14:paraId="1FC52C12" w14:textId="6B090F66" w:rsidR="00364BF3" w:rsidRPr="0079095F" w:rsidRDefault="00364BF3" w:rsidP="008A6B29">
      <w:pPr>
        <w:pStyle w:val="SingleTxt"/>
        <w:numPr>
          <w:ilvl w:val="0"/>
          <w:numId w:val="9"/>
        </w:numPr>
        <w:spacing w:line="240" w:lineRule="exact"/>
        <w:rPr>
          <w:b/>
          <w:bCs/>
          <w:lang w:val="fr-FR"/>
        </w:rPr>
      </w:pPr>
      <w:r w:rsidRPr="0079095F">
        <w:rPr>
          <w:b/>
          <w:bCs/>
          <w:lang w:val="fr-FR"/>
        </w:rPr>
        <w:t>Assurer l</w:t>
      </w:r>
      <w:r w:rsidR="000C16F5" w:rsidRPr="0079095F">
        <w:rPr>
          <w:b/>
          <w:bCs/>
          <w:lang w:val="fr-FR"/>
        </w:rPr>
        <w:t>’</w:t>
      </w:r>
      <w:r w:rsidRPr="0079095F">
        <w:rPr>
          <w:b/>
          <w:bCs/>
          <w:lang w:val="fr-FR"/>
        </w:rPr>
        <w:t xml:space="preserve">accès effectif des femmes aux cours et tribunaux, en particulier les femmes victimes de violence pendant la crise post-électorale </w:t>
      </w:r>
      <w:r w:rsidR="00D81000">
        <w:rPr>
          <w:b/>
          <w:bCs/>
          <w:lang w:val="fr-FR"/>
        </w:rPr>
        <w:t>[</w:t>
      </w:r>
      <w:r w:rsidRPr="0079095F">
        <w:rPr>
          <w:b/>
          <w:bCs/>
          <w:lang w:val="fr-FR"/>
        </w:rPr>
        <w:t xml:space="preserve">voir </w:t>
      </w:r>
      <w:hyperlink r:id="rId24" w:history="1">
        <w:r w:rsidRPr="007B345A">
          <w:rPr>
            <w:rStyle w:val="Hyperlink"/>
            <w:b/>
            <w:bCs/>
            <w:lang w:val="fr-FR"/>
          </w:rPr>
          <w:t>CEDAW/C/CIV/CO/1-3</w:t>
        </w:r>
      </w:hyperlink>
      <w:r w:rsidRPr="0079095F">
        <w:rPr>
          <w:b/>
          <w:bCs/>
          <w:lang w:val="fr-FR"/>
        </w:rPr>
        <w:t xml:space="preserve">, </w:t>
      </w:r>
      <w:r w:rsidR="006862B3">
        <w:rPr>
          <w:b/>
          <w:bCs/>
          <w:lang w:val="fr-FR"/>
        </w:rPr>
        <w:t>par. </w:t>
      </w:r>
      <w:r w:rsidRPr="0079095F">
        <w:rPr>
          <w:b/>
          <w:bCs/>
          <w:lang w:val="fr-FR"/>
        </w:rPr>
        <w:t>21 a)</w:t>
      </w:r>
      <w:r w:rsidR="00D81000">
        <w:rPr>
          <w:b/>
          <w:bCs/>
          <w:lang w:val="fr-FR"/>
        </w:rPr>
        <w:t>]</w:t>
      </w:r>
      <w:r w:rsidRPr="0079095F">
        <w:rPr>
          <w:b/>
          <w:bCs/>
          <w:lang w:val="fr-FR"/>
        </w:rPr>
        <w:t>.</w:t>
      </w:r>
    </w:p>
    <w:p w14:paraId="6A386649" w14:textId="160AA6BA" w:rsidR="00364BF3" w:rsidRPr="00190491" w:rsidRDefault="00364BF3" w:rsidP="008A6B29">
      <w:pPr>
        <w:pStyle w:val="SingleTxt"/>
        <w:numPr>
          <w:ilvl w:val="0"/>
          <w:numId w:val="9"/>
        </w:numPr>
        <w:spacing w:line="240" w:lineRule="exact"/>
        <w:rPr>
          <w:lang w:val="fr-FR"/>
        </w:rPr>
      </w:pPr>
      <w:r w:rsidRPr="00190491">
        <w:rPr>
          <w:bCs/>
          <w:lang w:val="fr-FR"/>
        </w:rPr>
        <w:t>Pour</w:t>
      </w:r>
      <w:r w:rsidRPr="00190491">
        <w:rPr>
          <w:lang w:val="fr-FR"/>
        </w:rPr>
        <w:t xml:space="preserve"> atténuer les souffrances des victimes de la crise post-électorale, l</w:t>
      </w:r>
      <w:r w:rsidR="000C16F5">
        <w:rPr>
          <w:lang w:val="fr-FR"/>
        </w:rPr>
        <w:t>’</w:t>
      </w:r>
      <w:r w:rsidRPr="00190491">
        <w:rPr>
          <w:lang w:val="fr-FR"/>
        </w:rPr>
        <w:t>ONU-Femmes a, en collaboration avec le MSFFE avec l</w:t>
      </w:r>
      <w:r w:rsidR="000C16F5">
        <w:rPr>
          <w:lang w:val="fr-FR"/>
        </w:rPr>
        <w:t>’</w:t>
      </w:r>
      <w:r w:rsidRPr="00190491">
        <w:rPr>
          <w:lang w:val="fr-FR"/>
        </w:rPr>
        <w:t>appui financier de l</w:t>
      </w:r>
      <w:r w:rsidR="000C16F5">
        <w:rPr>
          <w:lang w:val="fr-FR"/>
        </w:rPr>
        <w:t>’</w:t>
      </w:r>
      <w:r w:rsidRPr="00190491">
        <w:rPr>
          <w:lang w:val="fr-FR"/>
        </w:rPr>
        <w:t>Union Européenne, initié le « Projet de restauration des droits des femmes victimes de violences sexuelles durant la période post-électorale » (PRDF).</w:t>
      </w:r>
      <w:r>
        <w:rPr>
          <w:lang w:val="fr-FR"/>
        </w:rPr>
        <w:t xml:space="preserve"> </w:t>
      </w:r>
      <w:r w:rsidRPr="00190491">
        <w:rPr>
          <w:lang w:val="fr-FR"/>
        </w:rPr>
        <w:t xml:space="preserve">Ainsi, Sur </w:t>
      </w:r>
      <w:hyperlink r:id="rId25" w:history="1">
        <w:r w:rsidRPr="007B345A">
          <w:rPr>
            <w:rStyle w:val="Hyperlink"/>
            <w:lang w:val="fr-FR"/>
          </w:rPr>
          <w:t>67/70</w:t>
        </w:r>
      </w:hyperlink>
      <w:r w:rsidRPr="00190491">
        <w:rPr>
          <w:lang w:val="fr-FR"/>
        </w:rPr>
        <w:t xml:space="preserve"> dossiers de justice attendus ont été constitués et transmis à la Commission Spéciale d</w:t>
      </w:r>
      <w:r w:rsidR="000C16F5">
        <w:rPr>
          <w:lang w:val="fr-FR"/>
        </w:rPr>
        <w:t>’</w:t>
      </w:r>
      <w:r w:rsidRPr="00190491">
        <w:rPr>
          <w:lang w:val="fr-FR"/>
        </w:rPr>
        <w:t xml:space="preserve">Enquête (CSE), </w:t>
      </w:r>
      <w:hyperlink r:id="rId26" w:history="1">
        <w:r w:rsidRPr="007B345A">
          <w:rPr>
            <w:rStyle w:val="Hyperlink"/>
            <w:lang w:val="fr-FR"/>
          </w:rPr>
          <w:t>54/67</w:t>
        </w:r>
      </w:hyperlink>
      <w:r w:rsidRPr="00190491">
        <w:rPr>
          <w:lang w:val="fr-FR"/>
        </w:rPr>
        <w:t xml:space="preserve"> femmes plaignantes ont bénéficié d</w:t>
      </w:r>
      <w:r w:rsidR="000C16F5">
        <w:rPr>
          <w:lang w:val="fr-FR"/>
        </w:rPr>
        <w:t>’</w:t>
      </w:r>
      <w:r w:rsidRPr="00190491">
        <w:rPr>
          <w:lang w:val="fr-FR"/>
        </w:rPr>
        <w:t>une expertise médicale et 41 ont suivi en moyenne 4 séances pour la Prise En Charge (PEC) psychologique.</w:t>
      </w:r>
    </w:p>
    <w:p w14:paraId="10B8DDC2" w14:textId="18836CE5" w:rsidR="00364BF3" w:rsidRPr="00190491" w:rsidRDefault="00364BF3" w:rsidP="008A6B29">
      <w:pPr>
        <w:pStyle w:val="SingleTxt"/>
        <w:numPr>
          <w:ilvl w:val="0"/>
          <w:numId w:val="9"/>
        </w:numPr>
        <w:spacing w:line="240" w:lineRule="exact"/>
        <w:rPr>
          <w:bCs/>
          <w:lang w:val="fr-FR"/>
        </w:rPr>
      </w:pPr>
      <w:r w:rsidRPr="00190491">
        <w:rPr>
          <w:bCs/>
          <w:lang w:val="fr-FR"/>
        </w:rPr>
        <w:t>Aussi, l</w:t>
      </w:r>
      <w:r w:rsidR="000C16F5">
        <w:rPr>
          <w:bCs/>
          <w:lang w:val="fr-FR"/>
        </w:rPr>
        <w:t>’</w:t>
      </w:r>
      <w:r w:rsidRPr="00190491">
        <w:rPr>
          <w:bCs/>
          <w:lang w:val="fr-FR"/>
        </w:rPr>
        <w:t>Arrêté numéro 1651/MEME/CAB du 05 juin 2012 portant Charte d</w:t>
      </w:r>
      <w:r w:rsidR="000C16F5">
        <w:rPr>
          <w:bCs/>
          <w:lang w:val="fr-FR"/>
        </w:rPr>
        <w:t>’</w:t>
      </w:r>
      <w:r w:rsidRPr="00190491">
        <w:rPr>
          <w:bCs/>
          <w:lang w:val="fr-FR"/>
        </w:rPr>
        <w:t>accueil dans les services de Police favorise-t-il l</w:t>
      </w:r>
      <w:r w:rsidR="000C16F5">
        <w:rPr>
          <w:bCs/>
          <w:lang w:val="fr-FR"/>
        </w:rPr>
        <w:t>’</w:t>
      </w:r>
      <w:r w:rsidRPr="00190491">
        <w:rPr>
          <w:bCs/>
          <w:lang w:val="fr-FR"/>
        </w:rPr>
        <w:t>accès aux services de la Police et réserve un accueil privilégié aux victimes d</w:t>
      </w:r>
      <w:r w:rsidR="000C16F5">
        <w:rPr>
          <w:bCs/>
          <w:lang w:val="fr-FR"/>
        </w:rPr>
        <w:t>’</w:t>
      </w:r>
      <w:r w:rsidRPr="00190491">
        <w:rPr>
          <w:bCs/>
          <w:lang w:val="fr-FR"/>
        </w:rPr>
        <w:t>infractions pénales liées au genre.</w:t>
      </w:r>
    </w:p>
    <w:p w14:paraId="1F2009C9" w14:textId="5198FC74" w:rsidR="00364BF3" w:rsidRPr="00190491" w:rsidRDefault="00364BF3" w:rsidP="008A6B29">
      <w:pPr>
        <w:pStyle w:val="SingleTxt"/>
        <w:numPr>
          <w:ilvl w:val="0"/>
          <w:numId w:val="9"/>
        </w:numPr>
        <w:spacing w:line="240" w:lineRule="exact"/>
        <w:rPr>
          <w:bCs/>
          <w:lang w:val="fr-FR"/>
        </w:rPr>
      </w:pPr>
      <w:r w:rsidRPr="00190491">
        <w:rPr>
          <w:bCs/>
          <w:lang w:val="fr-FR"/>
        </w:rPr>
        <w:t>Enfin</w:t>
      </w:r>
      <w:r w:rsidRPr="00190491">
        <w:rPr>
          <w:lang w:val="fr-FR"/>
        </w:rPr>
        <w:t xml:space="preserve">, des circulaires du </w:t>
      </w:r>
      <w:r w:rsidRPr="00190491">
        <w:rPr>
          <w:bCs/>
          <w:lang w:val="fr-FR"/>
        </w:rPr>
        <w:t>Ministre de la Justice, des Droits de l</w:t>
      </w:r>
      <w:r w:rsidR="000C16F5">
        <w:rPr>
          <w:bCs/>
          <w:lang w:val="fr-FR"/>
        </w:rPr>
        <w:t>’</w:t>
      </w:r>
      <w:r w:rsidRPr="00190491">
        <w:rPr>
          <w:bCs/>
          <w:lang w:val="fr-FR"/>
        </w:rPr>
        <w:t>Homme et des Libertés Publiques et interministérielle facilitent la réception des plaintes consécutives aux violences basées sur le genre.</w:t>
      </w:r>
    </w:p>
    <w:p w14:paraId="2B24213D" w14:textId="3560F1B2" w:rsidR="00364BF3" w:rsidRPr="0079095F" w:rsidRDefault="00364BF3" w:rsidP="008A6B29">
      <w:pPr>
        <w:pStyle w:val="SingleTxt"/>
        <w:numPr>
          <w:ilvl w:val="0"/>
          <w:numId w:val="9"/>
        </w:numPr>
        <w:spacing w:line="240" w:lineRule="exact"/>
        <w:rPr>
          <w:b/>
          <w:bCs/>
          <w:lang w:val="fr-FR"/>
        </w:rPr>
      </w:pPr>
      <w:r w:rsidRPr="0079095F">
        <w:rPr>
          <w:b/>
          <w:bCs/>
          <w:lang w:val="fr-FR"/>
        </w:rPr>
        <w:t>Élaborer une politique globale visant à renforcer le système judiciaire notamment en améliorant les moyens logistiques et humains et à finaliser, sans délai et avec l</w:t>
      </w:r>
      <w:r w:rsidR="000C16F5" w:rsidRPr="0079095F">
        <w:rPr>
          <w:b/>
          <w:bCs/>
          <w:lang w:val="fr-FR"/>
        </w:rPr>
        <w:t>’</w:t>
      </w:r>
      <w:r w:rsidRPr="0079095F">
        <w:rPr>
          <w:b/>
          <w:bCs/>
          <w:lang w:val="fr-FR"/>
        </w:rPr>
        <w:t xml:space="preserve">aide de la communauté internationale, la réforme du système judiciaire </w:t>
      </w:r>
      <w:r w:rsidR="00D81000">
        <w:rPr>
          <w:b/>
          <w:bCs/>
          <w:lang w:val="fr-FR"/>
        </w:rPr>
        <w:t>[</w:t>
      </w:r>
      <w:r w:rsidRPr="0079095F">
        <w:rPr>
          <w:b/>
          <w:bCs/>
          <w:lang w:val="fr-FR"/>
        </w:rPr>
        <w:t xml:space="preserve">voir </w:t>
      </w:r>
      <w:hyperlink r:id="rId27" w:history="1">
        <w:r w:rsidRPr="007B345A">
          <w:rPr>
            <w:rStyle w:val="Hyperlink"/>
            <w:b/>
            <w:bCs/>
            <w:lang w:val="fr-FR"/>
          </w:rPr>
          <w:t>CEDAW/C/CIV/CO/1-3</w:t>
        </w:r>
      </w:hyperlink>
      <w:r w:rsidRPr="0079095F">
        <w:rPr>
          <w:b/>
          <w:bCs/>
          <w:lang w:val="fr-FR"/>
        </w:rPr>
        <w:t xml:space="preserve">, </w:t>
      </w:r>
      <w:r w:rsidR="006862B3">
        <w:rPr>
          <w:b/>
          <w:bCs/>
          <w:lang w:val="fr-FR"/>
        </w:rPr>
        <w:t>par. </w:t>
      </w:r>
      <w:r w:rsidRPr="0079095F">
        <w:rPr>
          <w:b/>
          <w:bCs/>
          <w:lang w:val="fr-FR"/>
        </w:rPr>
        <w:t>21 b)</w:t>
      </w:r>
      <w:r w:rsidR="00D81000">
        <w:rPr>
          <w:b/>
          <w:bCs/>
          <w:lang w:val="fr-FR"/>
        </w:rPr>
        <w:t>]</w:t>
      </w:r>
      <w:r w:rsidRPr="0079095F">
        <w:rPr>
          <w:b/>
          <w:bCs/>
          <w:lang w:val="fr-FR"/>
        </w:rPr>
        <w:t>.</w:t>
      </w:r>
    </w:p>
    <w:p w14:paraId="241BE400" w14:textId="66F18240" w:rsidR="00364BF3" w:rsidRPr="00190491" w:rsidRDefault="00364BF3" w:rsidP="008A6B29">
      <w:pPr>
        <w:pStyle w:val="SingleTxt"/>
        <w:numPr>
          <w:ilvl w:val="0"/>
          <w:numId w:val="9"/>
        </w:numPr>
        <w:spacing w:line="240" w:lineRule="exact"/>
        <w:rPr>
          <w:lang w:val="fr-FR"/>
        </w:rPr>
      </w:pPr>
      <w:r w:rsidRPr="00190491">
        <w:rPr>
          <w:lang w:val="fr-FR"/>
        </w:rPr>
        <w:lastRenderedPageBreak/>
        <w:t>Avec l</w:t>
      </w:r>
      <w:r w:rsidR="000C16F5">
        <w:rPr>
          <w:lang w:val="fr-FR"/>
        </w:rPr>
        <w:t>’</w:t>
      </w:r>
      <w:r w:rsidRPr="00190491">
        <w:rPr>
          <w:lang w:val="fr-FR"/>
        </w:rPr>
        <w:t>appui de la communauté internationale, Un Document d</w:t>
      </w:r>
      <w:r w:rsidR="000C16F5">
        <w:rPr>
          <w:lang w:val="fr-FR"/>
        </w:rPr>
        <w:t>’</w:t>
      </w:r>
      <w:r w:rsidRPr="00190491">
        <w:rPr>
          <w:lang w:val="fr-FR"/>
        </w:rPr>
        <w:t xml:space="preserve">Orientation de la Politique Sectorielle (DOPS) du </w:t>
      </w:r>
      <w:r w:rsidRPr="00190491">
        <w:rPr>
          <w:bCs/>
          <w:lang w:val="fr-FR"/>
        </w:rPr>
        <w:t>Ministre de la Justice, des Droits de l</w:t>
      </w:r>
      <w:r w:rsidR="000C16F5">
        <w:rPr>
          <w:bCs/>
          <w:lang w:val="fr-FR"/>
        </w:rPr>
        <w:t>’</w:t>
      </w:r>
      <w:r w:rsidRPr="00190491">
        <w:rPr>
          <w:bCs/>
          <w:lang w:val="fr-FR"/>
        </w:rPr>
        <w:t>Homme et des Libertés Publiques</w:t>
      </w:r>
      <w:r w:rsidRPr="00190491">
        <w:rPr>
          <w:lang w:val="fr-FR"/>
        </w:rPr>
        <w:t xml:space="preserve"> a été adopté en vue de rendre le système judiciaire et pénitentiaire ivoirien plus efficace et plus respectueux des droits dans tous les secteurs. Le DOPS est assorti d</w:t>
      </w:r>
      <w:r w:rsidR="000C16F5">
        <w:rPr>
          <w:lang w:val="fr-FR"/>
        </w:rPr>
        <w:t>’</w:t>
      </w:r>
      <w:r w:rsidRPr="00190491">
        <w:rPr>
          <w:lang w:val="fr-FR"/>
        </w:rPr>
        <w:t>un Plan d</w:t>
      </w:r>
      <w:r w:rsidR="000C16F5">
        <w:rPr>
          <w:lang w:val="fr-FR"/>
        </w:rPr>
        <w:t>’</w:t>
      </w:r>
      <w:r w:rsidRPr="00190491">
        <w:rPr>
          <w:lang w:val="fr-FR"/>
        </w:rPr>
        <w:t>Action Pluriannuel (PAPS), est arrimé au PND, et poursuit cinq objectifs majeurs.</w:t>
      </w:r>
    </w:p>
    <w:p w14:paraId="5D068860" w14:textId="55E2CC56" w:rsidR="00364BF3" w:rsidRPr="0079095F" w:rsidRDefault="00364BF3" w:rsidP="008A6B29">
      <w:pPr>
        <w:pStyle w:val="SingleTxt"/>
        <w:numPr>
          <w:ilvl w:val="0"/>
          <w:numId w:val="9"/>
        </w:numPr>
        <w:spacing w:line="240" w:lineRule="exact"/>
        <w:rPr>
          <w:b/>
          <w:bCs/>
          <w:lang w:val="fr-FR"/>
        </w:rPr>
      </w:pPr>
      <w:r w:rsidRPr="0079095F">
        <w:rPr>
          <w:b/>
          <w:bCs/>
          <w:lang w:val="fr-FR"/>
        </w:rPr>
        <w:t>Faciliter l</w:t>
      </w:r>
      <w:r w:rsidR="000C16F5" w:rsidRPr="0079095F">
        <w:rPr>
          <w:b/>
          <w:bCs/>
          <w:lang w:val="fr-FR"/>
        </w:rPr>
        <w:t>’</w:t>
      </w:r>
      <w:r w:rsidRPr="0079095F">
        <w:rPr>
          <w:b/>
          <w:bCs/>
          <w:lang w:val="fr-FR"/>
        </w:rPr>
        <w:t xml:space="preserve">accès des femmes à la justice, y compris en fournissant une aide juridique gratuite aux femmes sans moyens suffisants </w:t>
      </w:r>
      <w:r w:rsidR="00D81000">
        <w:rPr>
          <w:b/>
          <w:bCs/>
          <w:lang w:val="fr-FR"/>
        </w:rPr>
        <w:t>[</w:t>
      </w:r>
      <w:r w:rsidRPr="0079095F">
        <w:rPr>
          <w:b/>
          <w:bCs/>
          <w:lang w:val="fr-FR"/>
        </w:rPr>
        <w:t xml:space="preserve">voir </w:t>
      </w:r>
      <w:hyperlink r:id="rId28" w:history="1">
        <w:r w:rsidRPr="007B345A">
          <w:rPr>
            <w:rStyle w:val="Hyperlink"/>
            <w:b/>
            <w:bCs/>
            <w:lang w:val="fr-FR"/>
          </w:rPr>
          <w:t>CEDAW/C/CIV/CO/1-3</w:t>
        </w:r>
      </w:hyperlink>
      <w:r w:rsidRPr="0079095F">
        <w:rPr>
          <w:b/>
          <w:bCs/>
          <w:lang w:val="fr-FR"/>
        </w:rPr>
        <w:t xml:space="preserve">, </w:t>
      </w:r>
      <w:r w:rsidR="006862B3">
        <w:rPr>
          <w:b/>
          <w:bCs/>
          <w:lang w:val="fr-FR"/>
        </w:rPr>
        <w:t>par. </w:t>
      </w:r>
      <w:r w:rsidRPr="0079095F">
        <w:rPr>
          <w:b/>
          <w:bCs/>
          <w:lang w:val="fr-FR"/>
        </w:rPr>
        <w:t>21 c)</w:t>
      </w:r>
      <w:r w:rsidR="00D81000">
        <w:rPr>
          <w:b/>
          <w:bCs/>
          <w:lang w:val="fr-FR"/>
        </w:rPr>
        <w:t>]</w:t>
      </w:r>
      <w:r w:rsidRPr="0079095F">
        <w:rPr>
          <w:b/>
          <w:bCs/>
          <w:lang w:val="fr-FR"/>
        </w:rPr>
        <w:t>.</w:t>
      </w:r>
    </w:p>
    <w:p w14:paraId="5EAAA370" w14:textId="5F7B86D8" w:rsidR="00364BF3" w:rsidRPr="00190491" w:rsidRDefault="00364BF3" w:rsidP="008A6B29">
      <w:pPr>
        <w:pStyle w:val="SingleTxt"/>
        <w:numPr>
          <w:ilvl w:val="0"/>
          <w:numId w:val="9"/>
        </w:numPr>
        <w:spacing w:line="240" w:lineRule="exact"/>
        <w:rPr>
          <w:lang w:val="fr-FR"/>
        </w:rPr>
      </w:pPr>
      <w:r w:rsidRPr="00190491">
        <w:rPr>
          <w:lang w:val="fr-FR"/>
        </w:rPr>
        <w:t>La Constitution ivoirienne de 2016, en son article 6, dispose que</w:t>
      </w:r>
      <w:r w:rsidR="008945B3">
        <w:rPr>
          <w:lang w:val="fr-FR"/>
        </w:rPr>
        <w:t> :</w:t>
      </w:r>
      <w:r w:rsidRPr="00190491">
        <w:rPr>
          <w:lang w:val="fr-FR"/>
        </w:rPr>
        <w:t xml:space="preserve"> « Toute personne a droit à un libre et égal accès à la Justice ».</w:t>
      </w:r>
    </w:p>
    <w:p w14:paraId="534CF45A" w14:textId="2BC29EB0" w:rsidR="00364BF3" w:rsidRPr="00190491" w:rsidRDefault="00364BF3" w:rsidP="008A6B29">
      <w:pPr>
        <w:pStyle w:val="SingleTxt"/>
        <w:numPr>
          <w:ilvl w:val="0"/>
          <w:numId w:val="9"/>
        </w:numPr>
        <w:spacing w:line="240" w:lineRule="exact"/>
        <w:rPr>
          <w:lang w:val="fr-FR"/>
        </w:rPr>
      </w:pPr>
      <w:r w:rsidRPr="00190491">
        <w:rPr>
          <w:bCs/>
          <w:lang w:val="fr-FR"/>
        </w:rPr>
        <w:t>Ainsi</w:t>
      </w:r>
      <w:r w:rsidRPr="00190491">
        <w:rPr>
          <w:lang w:val="fr-FR"/>
        </w:rPr>
        <w:t>, pour améliorer l</w:t>
      </w:r>
      <w:r w:rsidR="000C16F5">
        <w:rPr>
          <w:lang w:val="fr-FR"/>
        </w:rPr>
        <w:t>’</w:t>
      </w:r>
      <w:r w:rsidRPr="00190491">
        <w:rPr>
          <w:lang w:val="fr-FR"/>
        </w:rPr>
        <w:t xml:space="preserve">accès équitable aux services de la justice, le </w:t>
      </w:r>
      <w:r w:rsidRPr="00190491">
        <w:rPr>
          <w:bCs/>
          <w:lang w:val="fr-FR"/>
        </w:rPr>
        <w:t>MJDHLP</w:t>
      </w:r>
      <w:r w:rsidRPr="00190491">
        <w:rPr>
          <w:lang w:val="fr-FR"/>
        </w:rPr>
        <w:t xml:space="preserve"> avec l</w:t>
      </w:r>
      <w:r w:rsidR="000C16F5">
        <w:rPr>
          <w:lang w:val="fr-FR"/>
        </w:rPr>
        <w:t>’</w:t>
      </w:r>
      <w:r w:rsidRPr="00190491">
        <w:rPr>
          <w:lang w:val="fr-FR"/>
        </w:rPr>
        <w:t>appui de partenaires, ont mis en place des Projets d</w:t>
      </w:r>
      <w:r w:rsidR="000C16F5">
        <w:rPr>
          <w:lang w:val="fr-FR"/>
        </w:rPr>
        <w:t>’</w:t>
      </w:r>
      <w:r w:rsidRPr="00190491">
        <w:rPr>
          <w:lang w:val="fr-FR"/>
        </w:rPr>
        <w:t>appui à l</w:t>
      </w:r>
      <w:r w:rsidR="000C16F5">
        <w:rPr>
          <w:lang w:val="fr-FR"/>
        </w:rPr>
        <w:t>’</w:t>
      </w:r>
      <w:r w:rsidRPr="00190491">
        <w:rPr>
          <w:lang w:val="fr-FR"/>
        </w:rPr>
        <w:t>amélioration de l</w:t>
      </w:r>
      <w:r w:rsidR="000C16F5">
        <w:rPr>
          <w:lang w:val="fr-FR"/>
        </w:rPr>
        <w:t>’</w:t>
      </w:r>
      <w:r w:rsidRPr="00190491">
        <w:rPr>
          <w:lang w:val="fr-FR"/>
        </w:rPr>
        <w:t>accès aux droits et à la justice (PALAJ)</w:t>
      </w:r>
      <w:r w:rsidRPr="00300E48">
        <w:rPr>
          <w:rStyle w:val="FootnoteReference"/>
          <w:lang w:val="fr-FR"/>
        </w:rPr>
        <w:footnoteReference w:id="3"/>
      </w:r>
      <w:r w:rsidRPr="00190491">
        <w:rPr>
          <w:lang w:val="fr-FR"/>
        </w:rPr>
        <w:t xml:space="preserve"> dans les villes de la Cote d</w:t>
      </w:r>
      <w:r w:rsidR="000C16F5">
        <w:rPr>
          <w:lang w:val="fr-FR"/>
        </w:rPr>
        <w:t>’</w:t>
      </w:r>
      <w:r w:rsidRPr="00190491">
        <w:rPr>
          <w:lang w:val="fr-FR"/>
        </w:rPr>
        <w:t>Ivoire.</w:t>
      </w:r>
    </w:p>
    <w:p w14:paraId="4A46F36A" w14:textId="69658E5B" w:rsidR="00364BF3" w:rsidRPr="00190491" w:rsidRDefault="00364BF3" w:rsidP="008A6B29">
      <w:pPr>
        <w:pStyle w:val="SingleTxt"/>
        <w:numPr>
          <w:ilvl w:val="0"/>
          <w:numId w:val="9"/>
        </w:numPr>
        <w:spacing w:line="240" w:lineRule="exact"/>
        <w:rPr>
          <w:bCs/>
          <w:lang w:val="fr-FR"/>
        </w:rPr>
      </w:pPr>
      <w:r w:rsidRPr="00190491">
        <w:rPr>
          <w:bCs/>
          <w:lang w:val="fr-FR"/>
        </w:rPr>
        <w:t>Il</w:t>
      </w:r>
      <w:r w:rsidRPr="00190491">
        <w:rPr>
          <w:lang w:val="fr-FR"/>
        </w:rPr>
        <w:t xml:space="preserve"> est à noter qu</w:t>
      </w:r>
      <w:r w:rsidR="000C16F5">
        <w:rPr>
          <w:lang w:val="fr-FR"/>
        </w:rPr>
        <w:t>’</w:t>
      </w:r>
      <w:r w:rsidRPr="00190491">
        <w:rPr>
          <w:bCs/>
          <w:lang w:val="fr-FR"/>
        </w:rPr>
        <w:t>en vue de faciliter l</w:t>
      </w:r>
      <w:r w:rsidR="000C16F5">
        <w:rPr>
          <w:bCs/>
          <w:lang w:val="fr-FR"/>
        </w:rPr>
        <w:t>’</w:t>
      </w:r>
      <w:r w:rsidRPr="00190491">
        <w:rPr>
          <w:bCs/>
          <w:lang w:val="fr-FR"/>
        </w:rPr>
        <w:t>accès de tous à la justice, une aide légale judiciaire a été instituée dans les années 1970 pour les personnes démunies (appelée « </w:t>
      </w:r>
      <w:r w:rsidRPr="00B675BB">
        <w:rPr>
          <w:bCs/>
          <w:iCs/>
          <w:lang w:val="fr-FR"/>
        </w:rPr>
        <w:t>assistance judiciaire</w:t>
      </w:r>
      <w:r w:rsidRPr="00190491">
        <w:rPr>
          <w:bCs/>
          <w:lang w:val="fr-FR"/>
        </w:rPr>
        <w:t> ».</w:t>
      </w:r>
    </w:p>
    <w:p w14:paraId="1EF517BB" w14:textId="11EE7CAB" w:rsidR="00364BF3" w:rsidRDefault="00364BF3" w:rsidP="008A6B29">
      <w:pPr>
        <w:pStyle w:val="SingleTxt"/>
        <w:numPr>
          <w:ilvl w:val="0"/>
          <w:numId w:val="9"/>
        </w:numPr>
        <w:spacing w:line="240" w:lineRule="exact"/>
        <w:rPr>
          <w:bCs/>
          <w:lang w:val="fr-FR"/>
        </w:rPr>
      </w:pPr>
      <w:r w:rsidRPr="00190491">
        <w:rPr>
          <w:bCs/>
          <w:lang w:val="fr-FR"/>
        </w:rPr>
        <w:t>Le tableau ci-dessous donne une appréciation du nombre de demandes d</w:t>
      </w:r>
      <w:r w:rsidR="000C16F5">
        <w:rPr>
          <w:bCs/>
          <w:lang w:val="fr-FR"/>
        </w:rPr>
        <w:t>’</w:t>
      </w:r>
      <w:r w:rsidRPr="00190491">
        <w:rPr>
          <w:bCs/>
          <w:lang w:val="fr-FR"/>
        </w:rPr>
        <w:t>assistance judiciaire et de leur traitement, sur les trois années.</w:t>
      </w:r>
    </w:p>
    <w:p w14:paraId="053155DC" w14:textId="37E8B779" w:rsidR="0079095F" w:rsidRPr="0079095F" w:rsidRDefault="0079095F" w:rsidP="0079095F">
      <w:pPr>
        <w:pStyle w:val="SingleTxt"/>
        <w:tabs>
          <w:tab w:val="clear" w:pos="1742"/>
        </w:tabs>
        <w:spacing w:after="0" w:line="120" w:lineRule="exact"/>
        <w:rPr>
          <w:bCs/>
          <w:sz w:val="10"/>
          <w:lang w:val="fr-FR"/>
        </w:rPr>
      </w:pPr>
    </w:p>
    <w:p w14:paraId="3B9C1BD4" w14:textId="667B02B7" w:rsidR="00364BF3" w:rsidRDefault="0079095F" w:rsidP="007909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4BF3" w:rsidRPr="0079095F">
        <w:rPr>
          <w:b w:val="0"/>
          <w:bCs/>
          <w:lang w:val="fr-FR"/>
        </w:rPr>
        <w:t>Tableau 1</w:t>
      </w:r>
      <w:r w:rsidR="00364BF3" w:rsidRPr="00190491">
        <w:rPr>
          <w:lang w:val="fr-FR"/>
        </w:rPr>
        <w:t xml:space="preserve"> </w:t>
      </w:r>
      <w:r w:rsidR="00364BF3" w:rsidRPr="00190491">
        <w:rPr>
          <w:lang w:val="fr-FR"/>
        </w:rPr>
        <w:br/>
        <w:t>Demande d</w:t>
      </w:r>
      <w:r w:rsidR="000C16F5">
        <w:rPr>
          <w:lang w:val="fr-FR"/>
        </w:rPr>
        <w:t>’</w:t>
      </w:r>
      <w:r w:rsidR="00364BF3" w:rsidRPr="00190491">
        <w:rPr>
          <w:lang w:val="fr-FR"/>
        </w:rPr>
        <w:t>assistance judiciaire de 2012 à 2014</w:t>
      </w:r>
    </w:p>
    <w:p w14:paraId="18241B85" w14:textId="3FCE1819" w:rsidR="0079095F" w:rsidRPr="0079095F" w:rsidRDefault="0079095F" w:rsidP="0079095F">
      <w:pPr>
        <w:pStyle w:val="SingleTxt"/>
        <w:spacing w:after="0" w:line="120" w:lineRule="exact"/>
        <w:rPr>
          <w:sz w:val="10"/>
          <w:lang w:val="fr-FR"/>
        </w:rPr>
      </w:pPr>
    </w:p>
    <w:p w14:paraId="607F3E56" w14:textId="0F53F794" w:rsidR="0079095F" w:rsidRPr="0079095F" w:rsidRDefault="0079095F" w:rsidP="0079095F">
      <w:pPr>
        <w:pStyle w:val="SingleTxt"/>
        <w:spacing w:after="0"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890"/>
        <w:gridCol w:w="1710"/>
        <w:gridCol w:w="1560"/>
      </w:tblGrid>
      <w:tr w:rsidR="00364BF3" w:rsidRPr="0079095F" w14:paraId="33C1D61A" w14:textId="77777777" w:rsidTr="0079095F">
        <w:trPr>
          <w:tblHeader/>
        </w:trPr>
        <w:tc>
          <w:tcPr>
            <w:tcW w:w="2160" w:type="dxa"/>
            <w:tcBorders>
              <w:top w:val="single" w:sz="4" w:space="0" w:color="auto"/>
              <w:bottom w:val="single" w:sz="12" w:space="0" w:color="auto"/>
            </w:tcBorders>
            <w:shd w:val="clear" w:color="auto" w:fill="auto"/>
            <w:vAlign w:val="bottom"/>
          </w:tcPr>
          <w:p w14:paraId="6EE46503" w14:textId="77777777" w:rsidR="00364BF3" w:rsidRPr="0079095F" w:rsidRDefault="00364BF3" w:rsidP="0079095F">
            <w:pPr>
              <w:spacing w:before="81" w:after="81" w:line="160" w:lineRule="exact"/>
              <w:ind w:right="40"/>
              <w:rPr>
                <w:i/>
                <w:sz w:val="14"/>
                <w:lang w:val="fr-FR"/>
              </w:rPr>
            </w:pPr>
            <w:r w:rsidRPr="0079095F">
              <w:rPr>
                <w:i/>
                <w:sz w:val="14"/>
                <w:lang w:val="fr-FR"/>
              </w:rPr>
              <w:t>Années</w:t>
            </w:r>
          </w:p>
        </w:tc>
        <w:tc>
          <w:tcPr>
            <w:tcW w:w="1890" w:type="dxa"/>
            <w:tcBorders>
              <w:top w:val="single" w:sz="4" w:space="0" w:color="auto"/>
              <w:bottom w:val="single" w:sz="12" w:space="0" w:color="auto"/>
            </w:tcBorders>
            <w:shd w:val="clear" w:color="auto" w:fill="auto"/>
            <w:vAlign w:val="bottom"/>
          </w:tcPr>
          <w:p w14:paraId="4B040B7E" w14:textId="600E24DF" w:rsidR="00364BF3" w:rsidRPr="0079095F" w:rsidRDefault="00364BF3" w:rsidP="0079095F">
            <w:pPr>
              <w:spacing w:before="81" w:after="81" w:line="160" w:lineRule="exact"/>
              <w:ind w:left="448" w:right="43"/>
              <w:jc w:val="right"/>
              <w:rPr>
                <w:i/>
                <w:sz w:val="14"/>
                <w:lang w:val="fr-FR"/>
              </w:rPr>
            </w:pPr>
            <w:r w:rsidRPr="0079095F">
              <w:rPr>
                <w:i/>
                <w:sz w:val="14"/>
                <w:lang w:val="fr-FR"/>
              </w:rPr>
              <w:t>Nombre</w:t>
            </w:r>
            <w:r w:rsidR="0079095F">
              <w:rPr>
                <w:i/>
                <w:sz w:val="14"/>
                <w:lang w:val="fr-FR"/>
              </w:rPr>
              <w:t xml:space="preserve"> </w:t>
            </w:r>
            <w:r w:rsidRPr="0079095F">
              <w:rPr>
                <w:i/>
                <w:sz w:val="14"/>
                <w:lang w:val="fr-FR"/>
              </w:rPr>
              <w:t>de demandes</w:t>
            </w:r>
          </w:p>
        </w:tc>
        <w:tc>
          <w:tcPr>
            <w:tcW w:w="1710" w:type="dxa"/>
            <w:tcBorders>
              <w:top w:val="single" w:sz="4" w:space="0" w:color="auto"/>
              <w:bottom w:val="single" w:sz="12" w:space="0" w:color="auto"/>
            </w:tcBorders>
            <w:shd w:val="clear" w:color="auto" w:fill="auto"/>
            <w:vAlign w:val="bottom"/>
          </w:tcPr>
          <w:p w14:paraId="7539ADB9" w14:textId="77777777" w:rsidR="00364BF3" w:rsidRPr="0079095F" w:rsidRDefault="00364BF3" w:rsidP="0079095F">
            <w:pPr>
              <w:spacing w:before="81" w:after="81" w:line="160" w:lineRule="exact"/>
              <w:ind w:left="144" w:right="43"/>
              <w:jc w:val="right"/>
              <w:rPr>
                <w:i/>
                <w:sz w:val="14"/>
                <w:lang w:val="fr-FR"/>
              </w:rPr>
            </w:pPr>
            <w:r w:rsidRPr="0079095F">
              <w:rPr>
                <w:i/>
                <w:sz w:val="14"/>
                <w:lang w:val="fr-FR"/>
              </w:rPr>
              <w:t xml:space="preserve">Demandes accordées </w:t>
            </w:r>
          </w:p>
        </w:tc>
        <w:tc>
          <w:tcPr>
            <w:tcW w:w="1560" w:type="dxa"/>
            <w:tcBorders>
              <w:top w:val="single" w:sz="4" w:space="0" w:color="auto"/>
              <w:bottom w:val="single" w:sz="12" w:space="0" w:color="auto"/>
            </w:tcBorders>
            <w:shd w:val="clear" w:color="auto" w:fill="auto"/>
            <w:vAlign w:val="bottom"/>
          </w:tcPr>
          <w:p w14:paraId="40CA80F4" w14:textId="77777777" w:rsidR="00364BF3" w:rsidRPr="0079095F" w:rsidRDefault="00364BF3" w:rsidP="0079095F">
            <w:pPr>
              <w:spacing w:before="81" w:after="81" w:line="160" w:lineRule="exact"/>
              <w:ind w:left="144" w:right="43"/>
              <w:jc w:val="right"/>
              <w:rPr>
                <w:i/>
                <w:sz w:val="14"/>
                <w:lang w:val="fr-FR"/>
              </w:rPr>
            </w:pPr>
            <w:r w:rsidRPr="0079095F">
              <w:rPr>
                <w:i/>
                <w:sz w:val="14"/>
                <w:lang w:val="fr-FR"/>
              </w:rPr>
              <w:t>Demandes rejetées</w:t>
            </w:r>
          </w:p>
        </w:tc>
      </w:tr>
      <w:tr w:rsidR="0079095F" w:rsidRPr="0079095F" w14:paraId="779E0C56" w14:textId="77777777" w:rsidTr="0079095F">
        <w:trPr>
          <w:trHeight w:hRule="exact" w:val="115"/>
          <w:tblHeader/>
        </w:trPr>
        <w:tc>
          <w:tcPr>
            <w:tcW w:w="2160" w:type="dxa"/>
            <w:tcBorders>
              <w:top w:val="single" w:sz="12" w:space="0" w:color="auto"/>
            </w:tcBorders>
            <w:shd w:val="clear" w:color="auto" w:fill="auto"/>
            <w:vAlign w:val="bottom"/>
          </w:tcPr>
          <w:p w14:paraId="700814C5" w14:textId="77777777" w:rsidR="0079095F" w:rsidRPr="0079095F" w:rsidRDefault="0079095F" w:rsidP="0079095F">
            <w:pPr>
              <w:spacing w:before="40" w:after="40" w:line="210" w:lineRule="exact"/>
              <w:ind w:right="40"/>
              <w:rPr>
                <w:sz w:val="17"/>
                <w:lang w:val="fr-FR"/>
              </w:rPr>
            </w:pPr>
          </w:p>
        </w:tc>
        <w:tc>
          <w:tcPr>
            <w:tcW w:w="1890" w:type="dxa"/>
            <w:tcBorders>
              <w:top w:val="single" w:sz="12" w:space="0" w:color="auto"/>
            </w:tcBorders>
            <w:shd w:val="clear" w:color="auto" w:fill="auto"/>
            <w:vAlign w:val="bottom"/>
          </w:tcPr>
          <w:p w14:paraId="0111B7CB" w14:textId="77777777" w:rsidR="0079095F" w:rsidRPr="0079095F" w:rsidRDefault="0079095F" w:rsidP="0079095F">
            <w:pPr>
              <w:spacing w:before="40" w:after="40" w:line="210" w:lineRule="exact"/>
              <w:ind w:right="43"/>
              <w:jc w:val="right"/>
              <w:rPr>
                <w:sz w:val="17"/>
                <w:lang w:val="fr-FR"/>
              </w:rPr>
            </w:pPr>
          </w:p>
        </w:tc>
        <w:tc>
          <w:tcPr>
            <w:tcW w:w="1710" w:type="dxa"/>
            <w:tcBorders>
              <w:top w:val="single" w:sz="12" w:space="0" w:color="auto"/>
            </w:tcBorders>
            <w:shd w:val="clear" w:color="auto" w:fill="auto"/>
            <w:vAlign w:val="bottom"/>
          </w:tcPr>
          <w:p w14:paraId="1FC486E5" w14:textId="77777777" w:rsidR="0079095F" w:rsidRPr="0079095F" w:rsidRDefault="0079095F" w:rsidP="0079095F">
            <w:pPr>
              <w:spacing w:before="40" w:after="40" w:line="210" w:lineRule="exact"/>
              <w:ind w:left="144" w:right="43"/>
              <w:jc w:val="right"/>
              <w:rPr>
                <w:sz w:val="17"/>
                <w:lang w:val="fr-FR"/>
              </w:rPr>
            </w:pPr>
          </w:p>
        </w:tc>
        <w:tc>
          <w:tcPr>
            <w:tcW w:w="1560" w:type="dxa"/>
            <w:tcBorders>
              <w:top w:val="single" w:sz="12" w:space="0" w:color="auto"/>
            </w:tcBorders>
            <w:shd w:val="clear" w:color="auto" w:fill="auto"/>
            <w:vAlign w:val="bottom"/>
          </w:tcPr>
          <w:p w14:paraId="5177AFBF" w14:textId="77777777" w:rsidR="0079095F" w:rsidRPr="0079095F" w:rsidRDefault="0079095F" w:rsidP="0079095F">
            <w:pPr>
              <w:spacing w:before="40" w:after="40" w:line="210" w:lineRule="exact"/>
              <w:ind w:left="144" w:right="43"/>
              <w:jc w:val="right"/>
              <w:rPr>
                <w:sz w:val="17"/>
                <w:lang w:val="fr-FR"/>
              </w:rPr>
            </w:pPr>
          </w:p>
        </w:tc>
      </w:tr>
      <w:tr w:rsidR="00364BF3" w:rsidRPr="0079095F" w14:paraId="5E074653" w14:textId="77777777" w:rsidTr="0079095F">
        <w:tc>
          <w:tcPr>
            <w:tcW w:w="2160" w:type="dxa"/>
            <w:shd w:val="clear" w:color="auto" w:fill="auto"/>
            <w:vAlign w:val="bottom"/>
          </w:tcPr>
          <w:p w14:paraId="2E3F6589" w14:textId="77777777" w:rsidR="00364BF3" w:rsidRPr="0079095F" w:rsidRDefault="00364BF3" w:rsidP="0079095F">
            <w:pPr>
              <w:tabs>
                <w:tab w:val="left" w:pos="288"/>
                <w:tab w:val="left" w:pos="576"/>
                <w:tab w:val="left" w:pos="864"/>
                <w:tab w:val="left" w:pos="1152"/>
              </w:tabs>
              <w:spacing w:before="40" w:after="40" w:line="210" w:lineRule="exact"/>
              <w:ind w:right="40"/>
              <w:rPr>
                <w:sz w:val="17"/>
                <w:lang w:val="fr-FR"/>
              </w:rPr>
            </w:pPr>
            <w:r w:rsidRPr="0079095F">
              <w:rPr>
                <w:sz w:val="17"/>
                <w:lang w:val="fr-FR"/>
              </w:rPr>
              <w:t>2012</w:t>
            </w:r>
          </w:p>
        </w:tc>
        <w:tc>
          <w:tcPr>
            <w:tcW w:w="1890" w:type="dxa"/>
            <w:shd w:val="clear" w:color="auto" w:fill="auto"/>
            <w:vAlign w:val="bottom"/>
          </w:tcPr>
          <w:p w14:paraId="5126F430" w14:textId="77777777" w:rsidR="00364BF3" w:rsidRPr="0079095F" w:rsidRDefault="00364BF3" w:rsidP="0079095F">
            <w:pPr>
              <w:tabs>
                <w:tab w:val="left" w:pos="288"/>
                <w:tab w:val="left" w:pos="576"/>
                <w:tab w:val="left" w:pos="864"/>
                <w:tab w:val="left" w:pos="1152"/>
              </w:tabs>
              <w:spacing w:before="40" w:after="40" w:line="210" w:lineRule="exact"/>
              <w:ind w:right="43"/>
              <w:jc w:val="right"/>
              <w:rPr>
                <w:sz w:val="17"/>
                <w:lang w:val="fr-FR"/>
              </w:rPr>
            </w:pPr>
            <w:r w:rsidRPr="0079095F">
              <w:rPr>
                <w:sz w:val="17"/>
                <w:lang w:val="fr-FR"/>
              </w:rPr>
              <w:t>193</w:t>
            </w:r>
          </w:p>
        </w:tc>
        <w:tc>
          <w:tcPr>
            <w:tcW w:w="1710" w:type="dxa"/>
            <w:shd w:val="clear" w:color="auto" w:fill="auto"/>
            <w:vAlign w:val="bottom"/>
          </w:tcPr>
          <w:p w14:paraId="5E72B0D9" w14:textId="26AEB96B" w:rsidR="00364BF3" w:rsidRPr="0079095F" w:rsidRDefault="00364BF3" w:rsidP="0079095F">
            <w:pPr>
              <w:tabs>
                <w:tab w:val="left" w:pos="288"/>
                <w:tab w:val="left" w:pos="576"/>
                <w:tab w:val="left" w:pos="864"/>
                <w:tab w:val="left" w:pos="1152"/>
              </w:tabs>
              <w:spacing w:before="40" w:after="40" w:line="210" w:lineRule="exact"/>
              <w:ind w:left="144" w:right="43"/>
              <w:jc w:val="right"/>
              <w:rPr>
                <w:sz w:val="17"/>
                <w:lang w:val="fr-FR"/>
              </w:rPr>
            </w:pPr>
            <w:r w:rsidRPr="0079095F">
              <w:rPr>
                <w:sz w:val="17"/>
                <w:lang w:val="fr-FR"/>
              </w:rPr>
              <w:t>148 soit 76</w:t>
            </w:r>
            <w:r w:rsidR="0079095F">
              <w:rPr>
                <w:sz w:val="17"/>
                <w:lang w:val="fr-FR"/>
              </w:rPr>
              <w:t>,</w:t>
            </w:r>
            <w:r w:rsidRPr="0079095F">
              <w:rPr>
                <w:sz w:val="17"/>
                <w:lang w:val="fr-FR"/>
              </w:rPr>
              <w:t>68</w:t>
            </w:r>
            <w:r w:rsidR="00B72ED0">
              <w:rPr>
                <w:sz w:val="17"/>
                <w:lang w:val="fr-FR"/>
              </w:rPr>
              <w:t> </w:t>
            </w:r>
            <w:r w:rsidRPr="0079095F">
              <w:rPr>
                <w:sz w:val="17"/>
                <w:lang w:val="fr-FR"/>
              </w:rPr>
              <w:t>%</w:t>
            </w:r>
          </w:p>
        </w:tc>
        <w:tc>
          <w:tcPr>
            <w:tcW w:w="1560" w:type="dxa"/>
            <w:shd w:val="clear" w:color="auto" w:fill="auto"/>
            <w:vAlign w:val="bottom"/>
          </w:tcPr>
          <w:p w14:paraId="70F765BF" w14:textId="441524D0" w:rsidR="00364BF3" w:rsidRPr="0079095F" w:rsidRDefault="00364BF3" w:rsidP="0079095F">
            <w:pPr>
              <w:tabs>
                <w:tab w:val="left" w:pos="288"/>
                <w:tab w:val="left" w:pos="576"/>
                <w:tab w:val="left" w:pos="864"/>
                <w:tab w:val="left" w:pos="1152"/>
              </w:tabs>
              <w:spacing w:before="40" w:after="40" w:line="210" w:lineRule="exact"/>
              <w:ind w:left="144" w:right="43"/>
              <w:jc w:val="right"/>
              <w:rPr>
                <w:sz w:val="17"/>
                <w:lang w:val="fr-FR"/>
              </w:rPr>
            </w:pPr>
            <w:r w:rsidRPr="0079095F">
              <w:rPr>
                <w:sz w:val="17"/>
                <w:lang w:val="fr-FR"/>
              </w:rPr>
              <w:t>45 soit 23</w:t>
            </w:r>
            <w:r w:rsidR="0079095F">
              <w:rPr>
                <w:sz w:val="17"/>
                <w:lang w:val="fr-FR"/>
              </w:rPr>
              <w:t>,</w:t>
            </w:r>
            <w:r w:rsidRPr="0079095F">
              <w:rPr>
                <w:sz w:val="17"/>
                <w:lang w:val="fr-FR"/>
              </w:rPr>
              <w:t>32</w:t>
            </w:r>
            <w:r w:rsidR="00B72ED0">
              <w:rPr>
                <w:sz w:val="17"/>
                <w:lang w:val="fr-FR"/>
              </w:rPr>
              <w:t> </w:t>
            </w:r>
            <w:r w:rsidRPr="0079095F">
              <w:rPr>
                <w:sz w:val="17"/>
                <w:lang w:val="fr-FR"/>
              </w:rPr>
              <w:t>%</w:t>
            </w:r>
          </w:p>
        </w:tc>
      </w:tr>
      <w:tr w:rsidR="00364BF3" w:rsidRPr="0079095F" w14:paraId="357A555B" w14:textId="77777777" w:rsidTr="0079095F">
        <w:tc>
          <w:tcPr>
            <w:tcW w:w="2160" w:type="dxa"/>
            <w:shd w:val="clear" w:color="auto" w:fill="auto"/>
            <w:vAlign w:val="bottom"/>
          </w:tcPr>
          <w:p w14:paraId="5821B465" w14:textId="77777777" w:rsidR="00364BF3" w:rsidRPr="0079095F" w:rsidRDefault="00364BF3" w:rsidP="0079095F">
            <w:pPr>
              <w:tabs>
                <w:tab w:val="left" w:pos="288"/>
                <w:tab w:val="left" w:pos="576"/>
                <w:tab w:val="left" w:pos="864"/>
                <w:tab w:val="left" w:pos="1152"/>
              </w:tabs>
              <w:spacing w:before="40" w:after="40" w:line="210" w:lineRule="exact"/>
              <w:ind w:right="40"/>
              <w:rPr>
                <w:sz w:val="17"/>
                <w:lang w:val="fr-FR"/>
              </w:rPr>
            </w:pPr>
            <w:r w:rsidRPr="0079095F">
              <w:rPr>
                <w:sz w:val="17"/>
                <w:lang w:val="fr-FR"/>
              </w:rPr>
              <w:t>2013</w:t>
            </w:r>
          </w:p>
        </w:tc>
        <w:tc>
          <w:tcPr>
            <w:tcW w:w="1890" w:type="dxa"/>
            <w:shd w:val="clear" w:color="auto" w:fill="auto"/>
            <w:vAlign w:val="bottom"/>
          </w:tcPr>
          <w:p w14:paraId="20126328" w14:textId="77777777" w:rsidR="00364BF3" w:rsidRPr="0079095F" w:rsidRDefault="00364BF3" w:rsidP="0079095F">
            <w:pPr>
              <w:tabs>
                <w:tab w:val="left" w:pos="288"/>
                <w:tab w:val="left" w:pos="576"/>
                <w:tab w:val="left" w:pos="864"/>
                <w:tab w:val="left" w:pos="1152"/>
              </w:tabs>
              <w:spacing w:before="40" w:after="40" w:line="210" w:lineRule="exact"/>
              <w:ind w:right="43"/>
              <w:jc w:val="right"/>
              <w:rPr>
                <w:sz w:val="17"/>
                <w:lang w:val="fr-FR"/>
              </w:rPr>
            </w:pPr>
            <w:r w:rsidRPr="0079095F">
              <w:rPr>
                <w:sz w:val="17"/>
                <w:lang w:val="fr-FR"/>
              </w:rPr>
              <w:t>141</w:t>
            </w:r>
          </w:p>
        </w:tc>
        <w:tc>
          <w:tcPr>
            <w:tcW w:w="1710" w:type="dxa"/>
            <w:shd w:val="clear" w:color="auto" w:fill="auto"/>
            <w:vAlign w:val="bottom"/>
          </w:tcPr>
          <w:p w14:paraId="7C72AE8C" w14:textId="29B1B829" w:rsidR="00364BF3" w:rsidRPr="0079095F" w:rsidRDefault="00364BF3" w:rsidP="0079095F">
            <w:pPr>
              <w:tabs>
                <w:tab w:val="left" w:pos="288"/>
                <w:tab w:val="left" w:pos="576"/>
                <w:tab w:val="left" w:pos="864"/>
                <w:tab w:val="left" w:pos="1152"/>
              </w:tabs>
              <w:spacing w:before="40" w:after="40" w:line="210" w:lineRule="exact"/>
              <w:ind w:left="144" w:right="43"/>
              <w:jc w:val="right"/>
              <w:rPr>
                <w:sz w:val="17"/>
                <w:lang w:val="fr-FR"/>
              </w:rPr>
            </w:pPr>
            <w:r w:rsidRPr="0079095F">
              <w:rPr>
                <w:sz w:val="17"/>
                <w:lang w:val="fr-FR"/>
              </w:rPr>
              <w:t>139 soit 95</w:t>
            </w:r>
            <w:r w:rsidR="0079095F">
              <w:rPr>
                <w:sz w:val="17"/>
                <w:lang w:val="fr-FR"/>
              </w:rPr>
              <w:t>,</w:t>
            </w:r>
            <w:r w:rsidRPr="0079095F">
              <w:rPr>
                <w:sz w:val="17"/>
                <w:lang w:val="fr-FR"/>
              </w:rPr>
              <w:t>58</w:t>
            </w:r>
            <w:r w:rsidR="00B72ED0">
              <w:rPr>
                <w:sz w:val="17"/>
                <w:lang w:val="fr-FR"/>
              </w:rPr>
              <w:t> </w:t>
            </w:r>
            <w:r w:rsidRPr="0079095F">
              <w:rPr>
                <w:sz w:val="17"/>
                <w:lang w:val="fr-FR"/>
              </w:rPr>
              <w:t>%</w:t>
            </w:r>
          </w:p>
        </w:tc>
        <w:tc>
          <w:tcPr>
            <w:tcW w:w="1560" w:type="dxa"/>
            <w:shd w:val="clear" w:color="auto" w:fill="auto"/>
            <w:vAlign w:val="bottom"/>
          </w:tcPr>
          <w:p w14:paraId="569F39D4" w14:textId="1E3F1CDC" w:rsidR="00364BF3" w:rsidRPr="0079095F" w:rsidRDefault="00364BF3" w:rsidP="0079095F">
            <w:pPr>
              <w:tabs>
                <w:tab w:val="left" w:pos="288"/>
                <w:tab w:val="left" w:pos="576"/>
                <w:tab w:val="left" w:pos="864"/>
                <w:tab w:val="left" w:pos="1152"/>
              </w:tabs>
              <w:spacing w:before="40" w:after="40" w:line="210" w:lineRule="exact"/>
              <w:ind w:left="144" w:right="43"/>
              <w:jc w:val="right"/>
              <w:rPr>
                <w:sz w:val="17"/>
                <w:lang w:val="fr-FR"/>
              </w:rPr>
            </w:pPr>
            <w:r w:rsidRPr="0079095F">
              <w:rPr>
                <w:sz w:val="17"/>
                <w:lang w:val="fr-FR"/>
              </w:rPr>
              <w:t>2 soit 4</w:t>
            </w:r>
            <w:r w:rsidR="0079095F">
              <w:rPr>
                <w:sz w:val="17"/>
                <w:lang w:val="fr-FR"/>
              </w:rPr>
              <w:t>,</w:t>
            </w:r>
            <w:r w:rsidRPr="0079095F">
              <w:rPr>
                <w:sz w:val="17"/>
                <w:lang w:val="fr-FR"/>
              </w:rPr>
              <w:t>42</w:t>
            </w:r>
            <w:r w:rsidR="00B72ED0">
              <w:rPr>
                <w:sz w:val="17"/>
                <w:lang w:val="fr-FR"/>
              </w:rPr>
              <w:t> </w:t>
            </w:r>
            <w:r w:rsidRPr="0079095F">
              <w:rPr>
                <w:sz w:val="17"/>
                <w:lang w:val="fr-FR"/>
              </w:rPr>
              <w:t>%</w:t>
            </w:r>
          </w:p>
        </w:tc>
      </w:tr>
      <w:tr w:rsidR="00364BF3" w:rsidRPr="0079095F" w14:paraId="7707A4E0" w14:textId="77777777" w:rsidTr="0079095F">
        <w:tc>
          <w:tcPr>
            <w:tcW w:w="2160" w:type="dxa"/>
            <w:tcBorders>
              <w:bottom w:val="single" w:sz="4" w:space="0" w:color="auto"/>
            </w:tcBorders>
            <w:shd w:val="clear" w:color="auto" w:fill="auto"/>
            <w:vAlign w:val="bottom"/>
          </w:tcPr>
          <w:p w14:paraId="312947A5" w14:textId="02A9CD86" w:rsidR="00364BF3" w:rsidRPr="0079095F" w:rsidRDefault="00364BF3" w:rsidP="0079095F">
            <w:pPr>
              <w:tabs>
                <w:tab w:val="left" w:pos="288"/>
                <w:tab w:val="left" w:pos="576"/>
                <w:tab w:val="left" w:pos="864"/>
                <w:tab w:val="left" w:pos="1152"/>
              </w:tabs>
              <w:spacing w:before="40" w:after="81" w:line="210" w:lineRule="exact"/>
              <w:ind w:right="40"/>
              <w:rPr>
                <w:sz w:val="17"/>
                <w:lang w:val="fr-FR"/>
              </w:rPr>
            </w:pPr>
            <w:r w:rsidRPr="0079095F">
              <w:rPr>
                <w:sz w:val="17"/>
                <w:lang w:val="fr-FR"/>
              </w:rPr>
              <w:t>2014 (du jan à nov 2014)</w:t>
            </w:r>
          </w:p>
        </w:tc>
        <w:tc>
          <w:tcPr>
            <w:tcW w:w="1890" w:type="dxa"/>
            <w:tcBorders>
              <w:bottom w:val="single" w:sz="4" w:space="0" w:color="auto"/>
            </w:tcBorders>
            <w:shd w:val="clear" w:color="auto" w:fill="auto"/>
            <w:vAlign w:val="bottom"/>
          </w:tcPr>
          <w:p w14:paraId="17AE58A4" w14:textId="77777777" w:rsidR="00364BF3" w:rsidRPr="0079095F" w:rsidRDefault="00364BF3" w:rsidP="0079095F">
            <w:pPr>
              <w:tabs>
                <w:tab w:val="left" w:pos="288"/>
                <w:tab w:val="left" w:pos="576"/>
                <w:tab w:val="left" w:pos="864"/>
                <w:tab w:val="left" w:pos="1152"/>
              </w:tabs>
              <w:spacing w:before="40" w:after="81" w:line="210" w:lineRule="exact"/>
              <w:ind w:right="43"/>
              <w:jc w:val="right"/>
              <w:rPr>
                <w:sz w:val="17"/>
                <w:lang w:val="fr-FR"/>
              </w:rPr>
            </w:pPr>
            <w:r w:rsidRPr="0079095F">
              <w:rPr>
                <w:sz w:val="17"/>
                <w:lang w:val="fr-FR"/>
              </w:rPr>
              <w:t>140</w:t>
            </w:r>
          </w:p>
        </w:tc>
        <w:tc>
          <w:tcPr>
            <w:tcW w:w="1710" w:type="dxa"/>
            <w:tcBorders>
              <w:bottom w:val="single" w:sz="4" w:space="0" w:color="auto"/>
            </w:tcBorders>
            <w:shd w:val="clear" w:color="auto" w:fill="auto"/>
            <w:vAlign w:val="bottom"/>
          </w:tcPr>
          <w:p w14:paraId="168B3AF0" w14:textId="6CBC3382" w:rsidR="00364BF3" w:rsidRPr="0079095F" w:rsidRDefault="00364BF3" w:rsidP="0079095F">
            <w:pPr>
              <w:tabs>
                <w:tab w:val="left" w:pos="288"/>
                <w:tab w:val="left" w:pos="576"/>
                <w:tab w:val="left" w:pos="864"/>
                <w:tab w:val="left" w:pos="1152"/>
              </w:tabs>
              <w:spacing w:before="40" w:after="81" w:line="210" w:lineRule="exact"/>
              <w:ind w:left="144" w:right="43"/>
              <w:jc w:val="right"/>
              <w:rPr>
                <w:sz w:val="17"/>
                <w:lang w:val="fr-FR"/>
              </w:rPr>
            </w:pPr>
            <w:r w:rsidRPr="0079095F">
              <w:rPr>
                <w:sz w:val="17"/>
                <w:lang w:val="fr-FR"/>
              </w:rPr>
              <w:t>109 soit 77</w:t>
            </w:r>
            <w:r w:rsidR="0079095F">
              <w:rPr>
                <w:sz w:val="17"/>
                <w:lang w:val="fr-FR"/>
              </w:rPr>
              <w:t>,</w:t>
            </w:r>
            <w:r w:rsidRPr="0079095F">
              <w:rPr>
                <w:sz w:val="17"/>
                <w:lang w:val="fr-FR"/>
              </w:rPr>
              <w:t>85</w:t>
            </w:r>
            <w:r w:rsidR="00B72ED0">
              <w:rPr>
                <w:sz w:val="17"/>
                <w:lang w:val="fr-FR"/>
              </w:rPr>
              <w:t> </w:t>
            </w:r>
            <w:r w:rsidRPr="0079095F">
              <w:rPr>
                <w:sz w:val="17"/>
                <w:lang w:val="fr-FR"/>
              </w:rPr>
              <w:t>%</w:t>
            </w:r>
          </w:p>
        </w:tc>
        <w:tc>
          <w:tcPr>
            <w:tcW w:w="1560" w:type="dxa"/>
            <w:tcBorders>
              <w:bottom w:val="single" w:sz="4" w:space="0" w:color="auto"/>
            </w:tcBorders>
            <w:shd w:val="clear" w:color="auto" w:fill="auto"/>
            <w:vAlign w:val="bottom"/>
          </w:tcPr>
          <w:p w14:paraId="7660B4DE" w14:textId="59771414" w:rsidR="00364BF3" w:rsidRPr="0079095F" w:rsidRDefault="00364BF3" w:rsidP="0079095F">
            <w:pPr>
              <w:tabs>
                <w:tab w:val="left" w:pos="288"/>
                <w:tab w:val="left" w:pos="576"/>
                <w:tab w:val="left" w:pos="864"/>
                <w:tab w:val="left" w:pos="1152"/>
              </w:tabs>
              <w:spacing w:before="40" w:after="81" w:line="210" w:lineRule="exact"/>
              <w:ind w:left="144" w:right="43"/>
              <w:jc w:val="right"/>
              <w:rPr>
                <w:sz w:val="17"/>
                <w:lang w:val="fr-FR"/>
              </w:rPr>
            </w:pPr>
            <w:r w:rsidRPr="0079095F">
              <w:rPr>
                <w:sz w:val="17"/>
                <w:lang w:val="fr-FR"/>
              </w:rPr>
              <w:t>31 soit 22</w:t>
            </w:r>
            <w:r w:rsidR="0079095F">
              <w:rPr>
                <w:sz w:val="17"/>
                <w:lang w:val="fr-FR"/>
              </w:rPr>
              <w:t>,</w:t>
            </w:r>
            <w:r w:rsidRPr="0079095F">
              <w:rPr>
                <w:sz w:val="17"/>
                <w:lang w:val="fr-FR"/>
              </w:rPr>
              <w:t>15</w:t>
            </w:r>
            <w:r w:rsidR="00B72ED0">
              <w:rPr>
                <w:sz w:val="17"/>
                <w:lang w:val="fr-FR"/>
              </w:rPr>
              <w:t> </w:t>
            </w:r>
            <w:r w:rsidRPr="0079095F">
              <w:rPr>
                <w:sz w:val="17"/>
                <w:lang w:val="fr-FR"/>
              </w:rPr>
              <w:t>%</w:t>
            </w:r>
          </w:p>
        </w:tc>
      </w:tr>
      <w:tr w:rsidR="00364BF3" w:rsidRPr="0079095F" w14:paraId="4F47ED9D" w14:textId="77777777" w:rsidTr="0079095F">
        <w:tc>
          <w:tcPr>
            <w:tcW w:w="2160" w:type="dxa"/>
            <w:tcBorders>
              <w:top w:val="single" w:sz="4" w:space="0" w:color="auto"/>
              <w:bottom w:val="single" w:sz="12" w:space="0" w:color="auto"/>
            </w:tcBorders>
            <w:shd w:val="clear" w:color="auto" w:fill="auto"/>
            <w:vAlign w:val="bottom"/>
          </w:tcPr>
          <w:p w14:paraId="7B4D2BDE" w14:textId="16497442" w:rsidR="00364BF3" w:rsidRPr="0079095F" w:rsidRDefault="0079095F" w:rsidP="0079095F">
            <w:pPr>
              <w:tabs>
                <w:tab w:val="left" w:pos="288"/>
                <w:tab w:val="left" w:pos="576"/>
                <w:tab w:val="left" w:pos="864"/>
                <w:tab w:val="left" w:pos="1152"/>
              </w:tabs>
              <w:spacing w:before="81" w:after="81" w:line="210" w:lineRule="exact"/>
              <w:ind w:right="40"/>
              <w:rPr>
                <w:b/>
                <w:sz w:val="17"/>
                <w:lang w:val="fr-FR"/>
              </w:rPr>
            </w:pPr>
            <w:r>
              <w:rPr>
                <w:b/>
                <w:sz w:val="17"/>
                <w:lang w:val="fr-FR"/>
              </w:rPr>
              <w:tab/>
            </w:r>
            <w:r w:rsidR="00364BF3" w:rsidRPr="0079095F">
              <w:rPr>
                <w:b/>
                <w:sz w:val="17"/>
                <w:lang w:val="fr-FR"/>
              </w:rPr>
              <w:t>Total</w:t>
            </w:r>
          </w:p>
        </w:tc>
        <w:tc>
          <w:tcPr>
            <w:tcW w:w="1890" w:type="dxa"/>
            <w:tcBorders>
              <w:top w:val="single" w:sz="4" w:space="0" w:color="auto"/>
              <w:bottom w:val="single" w:sz="12" w:space="0" w:color="auto"/>
            </w:tcBorders>
            <w:shd w:val="clear" w:color="auto" w:fill="auto"/>
            <w:vAlign w:val="bottom"/>
          </w:tcPr>
          <w:p w14:paraId="5A98E5A6" w14:textId="77777777" w:rsidR="00364BF3" w:rsidRPr="0079095F" w:rsidRDefault="00364BF3" w:rsidP="0079095F">
            <w:pPr>
              <w:tabs>
                <w:tab w:val="left" w:pos="288"/>
                <w:tab w:val="left" w:pos="576"/>
                <w:tab w:val="left" w:pos="864"/>
                <w:tab w:val="left" w:pos="1152"/>
              </w:tabs>
              <w:spacing w:before="81" w:after="81" w:line="210" w:lineRule="exact"/>
              <w:ind w:right="43"/>
              <w:jc w:val="right"/>
              <w:rPr>
                <w:b/>
                <w:sz w:val="17"/>
                <w:lang w:val="fr-FR"/>
              </w:rPr>
            </w:pPr>
            <w:r w:rsidRPr="0079095F">
              <w:rPr>
                <w:b/>
                <w:sz w:val="17"/>
                <w:lang w:val="fr-FR"/>
              </w:rPr>
              <w:t>474</w:t>
            </w:r>
          </w:p>
        </w:tc>
        <w:tc>
          <w:tcPr>
            <w:tcW w:w="1710" w:type="dxa"/>
            <w:tcBorders>
              <w:top w:val="single" w:sz="4" w:space="0" w:color="auto"/>
              <w:bottom w:val="single" w:sz="12" w:space="0" w:color="auto"/>
            </w:tcBorders>
            <w:shd w:val="clear" w:color="auto" w:fill="auto"/>
            <w:vAlign w:val="bottom"/>
          </w:tcPr>
          <w:p w14:paraId="36AEF0D7" w14:textId="707E0F41" w:rsidR="00364BF3" w:rsidRPr="0079095F" w:rsidRDefault="00364BF3" w:rsidP="0079095F">
            <w:pPr>
              <w:tabs>
                <w:tab w:val="left" w:pos="288"/>
                <w:tab w:val="left" w:pos="576"/>
                <w:tab w:val="left" w:pos="864"/>
                <w:tab w:val="left" w:pos="1152"/>
              </w:tabs>
              <w:spacing w:before="81" w:after="81" w:line="210" w:lineRule="exact"/>
              <w:ind w:left="144" w:right="43"/>
              <w:jc w:val="right"/>
              <w:rPr>
                <w:b/>
                <w:sz w:val="17"/>
                <w:lang w:val="fr-FR"/>
              </w:rPr>
            </w:pPr>
            <w:r w:rsidRPr="0079095F">
              <w:rPr>
                <w:b/>
                <w:sz w:val="17"/>
                <w:lang w:val="fr-FR"/>
              </w:rPr>
              <w:t>396 soit 83</w:t>
            </w:r>
            <w:r w:rsidR="0079095F">
              <w:rPr>
                <w:b/>
                <w:sz w:val="17"/>
                <w:lang w:val="fr-FR"/>
              </w:rPr>
              <w:t>,</w:t>
            </w:r>
            <w:r w:rsidRPr="0079095F">
              <w:rPr>
                <w:b/>
                <w:sz w:val="17"/>
                <w:lang w:val="fr-FR"/>
              </w:rPr>
              <w:t>54</w:t>
            </w:r>
            <w:r w:rsidR="00B72ED0">
              <w:rPr>
                <w:b/>
                <w:sz w:val="17"/>
                <w:lang w:val="fr-FR"/>
              </w:rPr>
              <w:t> </w:t>
            </w:r>
            <w:r w:rsidRPr="0079095F">
              <w:rPr>
                <w:b/>
                <w:sz w:val="17"/>
                <w:lang w:val="fr-FR"/>
              </w:rPr>
              <w:t>%</w:t>
            </w:r>
          </w:p>
        </w:tc>
        <w:tc>
          <w:tcPr>
            <w:tcW w:w="1560" w:type="dxa"/>
            <w:tcBorders>
              <w:top w:val="single" w:sz="4" w:space="0" w:color="auto"/>
              <w:bottom w:val="single" w:sz="12" w:space="0" w:color="auto"/>
            </w:tcBorders>
            <w:shd w:val="clear" w:color="auto" w:fill="auto"/>
            <w:vAlign w:val="bottom"/>
          </w:tcPr>
          <w:p w14:paraId="705A3248" w14:textId="3E37A118" w:rsidR="00364BF3" w:rsidRPr="0079095F" w:rsidRDefault="00364BF3" w:rsidP="0079095F">
            <w:pPr>
              <w:tabs>
                <w:tab w:val="left" w:pos="288"/>
                <w:tab w:val="left" w:pos="576"/>
                <w:tab w:val="left" w:pos="864"/>
                <w:tab w:val="left" w:pos="1152"/>
              </w:tabs>
              <w:spacing w:before="81" w:after="81" w:line="210" w:lineRule="exact"/>
              <w:ind w:left="144" w:right="43"/>
              <w:jc w:val="right"/>
              <w:rPr>
                <w:b/>
                <w:sz w:val="17"/>
                <w:lang w:val="fr-FR"/>
              </w:rPr>
            </w:pPr>
            <w:r w:rsidRPr="0079095F">
              <w:rPr>
                <w:b/>
                <w:sz w:val="17"/>
                <w:lang w:val="fr-FR"/>
              </w:rPr>
              <w:t>78 soit 16</w:t>
            </w:r>
            <w:r w:rsidR="0079095F">
              <w:rPr>
                <w:b/>
                <w:sz w:val="17"/>
                <w:lang w:val="fr-FR"/>
              </w:rPr>
              <w:t>,</w:t>
            </w:r>
            <w:r w:rsidRPr="0079095F">
              <w:rPr>
                <w:b/>
                <w:sz w:val="17"/>
                <w:lang w:val="fr-FR"/>
              </w:rPr>
              <w:t>46</w:t>
            </w:r>
            <w:r w:rsidR="00B72ED0">
              <w:rPr>
                <w:b/>
                <w:sz w:val="17"/>
                <w:lang w:val="fr-FR"/>
              </w:rPr>
              <w:t> </w:t>
            </w:r>
            <w:r w:rsidRPr="0079095F">
              <w:rPr>
                <w:b/>
                <w:sz w:val="17"/>
                <w:lang w:val="fr-FR"/>
              </w:rPr>
              <w:t>%</w:t>
            </w:r>
          </w:p>
        </w:tc>
      </w:tr>
    </w:tbl>
    <w:p w14:paraId="2E0B14EA" w14:textId="77777777" w:rsidR="0079095F" w:rsidRPr="0079095F" w:rsidRDefault="0079095F" w:rsidP="0079095F">
      <w:pPr>
        <w:pStyle w:val="SingleTxtG"/>
        <w:spacing w:after="0" w:line="120" w:lineRule="exact"/>
        <w:ind w:firstLine="170"/>
        <w:jc w:val="left"/>
        <w:rPr>
          <w:bCs/>
          <w:i/>
          <w:sz w:val="10"/>
          <w:szCs w:val="18"/>
          <w:lang w:val="fr-FR"/>
        </w:rPr>
      </w:pPr>
    </w:p>
    <w:p w14:paraId="15738AD0" w14:textId="54F3F40B" w:rsidR="00364BF3" w:rsidRDefault="00364BF3" w:rsidP="0079095F">
      <w:pPr>
        <w:pStyle w:val="FootnoteText"/>
        <w:tabs>
          <w:tab w:val="right" w:pos="1476"/>
          <w:tab w:val="left" w:pos="1548"/>
          <w:tab w:val="right" w:pos="1836"/>
          <w:tab w:val="left" w:pos="1908"/>
        </w:tabs>
        <w:ind w:left="1548" w:right="1267" w:hanging="288"/>
        <w:rPr>
          <w:lang w:val="fr-FR"/>
        </w:rPr>
      </w:pPr>
      <w:r w:rsidRPr="00190491">
        <w:rPr>
          <w:i/>
          <w:lang w:val="fr-FR"/>
        </w:rPr>
        <w:t>Source</w:t>
      </w:r>
      <w:r w:rsidR="008945B3">
        <w:rPr>
          <w:i/>
          <w:lang w:val="fr-FR"/>
        </w:rPr>
        <w:t> </w:t>
      </w:r>
      <w:r w:rsidR="008945B3" w:rsidRPr="007B345A">
        <w:rPr>
          <w:iCs/>
          <w:lang w:val="fr-FR"/>
        </w:rPr>
        <w:t>:</w:t>
      </w:r>
      <w:r w:rsidRPr="00190491">
        <w:rPr>
          <w:i/>
          <w:lang w:val="fr-FR"/>
        </w:rPr>
        <w:t xml:space="preserve"> </w:t>
      </w:r>
      <w:r w:rsidRPr="00190491">
        <w:rPr>
          <w:lang w:val="fr-FR"/>
        </w:rPr>
        <w:t>Direction des affaires civiles et pénales du Ministère de la Justice.</w:t>
      </w:r>
    </w:p>
    <w:p w14:paraId="5A4961FB" w14:textId="20BED0A3" w:rsidR="0079095F" w:rsidRDefault="0079095F" w:rsidP="0079095F">
      <w:pPr>
        <w:pStyle w:val="FootnoteText"/>
        <w:tabs>
          <w:tab w:val="right" w:pos="1476"/>
          <w:tab w:val="left" w:pos="1548"/>
          <w:tab w:val="right" w:pos="1836"/>
          <w:tab w:val="left" w:pos="1908"/>
        </w:tabs>
        <w:spacing w:line="120" w:lineRule="exact"/>
        <w:ind w:left="1548" w:right="1267" w:hanging="288"/>
        <w:rPr>
          <w:sz w:val="10"/>
          <w:lang w:val="fr-FR"/>
        </w:rPr>
      </w:pPr>
    </w:p>
    <w:p w14:paraId="5356B6D5" w14:textId="77777777" w:rsidR="00752D6E" w:rsidRPr="0079095F" w:rsidRDefault="00752D6E" w:rsidP="0079095F">
      <w:pPr>
        <w:pStyle w:val="FootnoteText"/>
        <w:tabs>
          <w:tab w:val="right" w:pos="1476"/>
          <w:tab w:val="left" w:pos="1548"/>
          <w:tab w:val="right" w:pos="1836"/>
          <w:tab w:val="left" w:pos="1908"/>
        </w:tabs>
        <w:spacing w:line="120" w:lineRule="exact"/>
        <w:ind w:left="1548" w:right="1267" w:hanging="288"/>
        <w:rPr>
          <w:sz w:val="10"/>
          <w:lang w:val="fr-FR"/>
        </w:rPr>
      </w:pPr>
    </w:p>
    <w:p w14:paraId="0CA0FAD3" w14:textId="303F1277" w:rsidR="00364BF3" w:rsidRPr="00190491" w:rsidRDefault="00364BF3" w:rsidP="008A6B29">
      <w:pPr>
        <w:pStyle w:val="SingleTxt"/>
        <w:numPr>
          <w:ilvl w:val="0"/>
          <w:numId w:val="9"/>
        </w:numPr>
        <w:spacing w:line="240" w:lineRule="exact"/>
        <w:rPr>
          <w:lang w:val="fr-FR"/>
        </w:rPr>
      </w:pPr>
      <w:r w:rsidRPr="00190491">
        <w:rPr>
          <w:lang w:val="fr-FR"/>
        </w:rPr>
        <w:t>Le nombre de demandes est relativement faible, au regard de la population vivant en Côte d</w:t>
      </w:r>
      <w:r w:rsidR="000C16F5">
        <w:rPr>
          <w:lang w:val="fr-FR"/>
        </w:rPr>
        <w:t>’</w:t>
      </w:r>
      <w:r w:rsidRPr="00190491">
        <w:rPr>
          <w:lang w:val="fr-FR"/>
        </w:rPr>
        <w:t>Ivoire, du taux de pauvreté et du coût relativement élevé des frais de justice, la centralisation géographique de l</w:t>
      </w:r>
      <w:r w:rsidR="000C16F5">
        <w:rPr>
          <w:lang w:val="fr-FR"/>
        </w:rPr>
        <w:t>’</w:t>
      </w:r>
      <w:r w:rsidRPr="00190491">
        <w:rPr>
          <w:lang w:val="fr-FR"/>
        </w:rPr>
        <w:t>assistance judiciaire et sa méconnaissance par les populations</w:t>
      </w:r>
      <w:r w:rsidR="0079095F">
        <w:rPr>
          <w:lang w:val="fr-FR"/>
        </w:rPr>
        <w:t xml:space="preserve"> </w:t>
      </w:r>
      <w:r w:rsidRPr="00190491">
        <w:rPr>
          <w:lang w:val="fr-FR"/>
        </w:rPr>
        <w:t>susceptibles d</w:t>
      </w:r>
      <w:r w:rsidR="000C16F5">
        <w:rPr>
          <w:lang w:val="fr-FR"/>
        </w:rPr>
        <w:t>’</w:t>
      </w:r>
      <w:r w:rsidRPr="00190491">
        <w:rPr>
          <w:lang w:val="fr-FR"/>
        </w:rPr>
        <w:t>en bénéficier.</w:t>
      </w:r>
    </w:p>
    <w:p w14:paraId="16C3190B" w14:textId="77777777" w:rsidR="00364BF3" w:rsidRPr="00190491" w:rsidRDefault="00364BF3" w:rsidP="008A6B29">
      <w:pPr>
        <w:pStyle w:val="SingleTxt"/>
        <w:numPr>
          <w:ilvl w:val="0"/>
          <w:numId w:val="9"/>
        </w:numPr>
        <w:spacing w:line="240" w:lineRule="exact"/>
        <w:rPr>
          <w:lang w:val="fr-FR"/>
        </w:rPr>
      </w:pPr>
      <w:r w:rsidRPr="00190491">
        <w:rPr>
          <w:lang w:val="fr-FR"/>
        </w:rPr>
        <w:t xml:space="preserve">On déplore toutefois le manque de donnés désagrégés par sexe. </w:t>
      </w:r>
    </w:p>
    <w:p w14:paraId="55A46ACD" w14:textId="5518E9D1" w:rsidR="00364BF3" w:rsidRPr="00190491" w:rsidRDefault="00364BF3" w:rsidP="008A6B29">
      <w:pPr>
        <w:pStyle w:val="SingleTxt"/>
        <w:numPr>
          <w:ilvl w:val="0"/>
          <w:numId w:val="9"/>
        </w:numPr>
        <w:spacing w:line="240" w:lineRule="exact"/>
        <w:rPr>
          <w:lang w:val="fr-FR"/>
        </w:rPr>
      </w:pPr>
      <w:r w:rsidRPr="00190491">
        <w:rPr>
          <w:lang w:val="fr-FR"/>
        </w:rPr>
        <w:t xml:space="preserve">Face à cette situation, le Président de la République sur rapport du Garde des Sceaux a pris </w:t>
      </w:r>
      <w:r w:rsidRPr="00190491">
        <w:rPr>
          <w:i/>
          <w:lang w:val="fr-FR"/>
        </w:rPr>
        <w:t xml:space="preserve">le décret </w:t>
      </w:r>
      <w:r w:rsidRPr="00190491">
        <w:rPr>
          <w:lang w:val="fr-FR"/>
        </w:rPr>
        <w:t>n</w:t>
      </w:r>
      <w:r w:rsidR="004B7322" w:rsidRPr="004B7322">
        <w:rPr>
          <w:vertAlign w:val="superscript"/>
          <w:lang w:val="fr-FR"/>
        </w:rPr>
        <w:t>o</w:t>
      </w:r>
      <w:r w:rsidR="004B7322">
        <w:rPr>
          <w:lang w:val="fr-FR"/>
        </w:rPr>
        <w:t> </w:t>
      </w:r>
      <w:r w:rsidRPr="00190491">
        <w:rPr>
          <w:lang w:val="fr-FR"/>
        </w:rPr>
        <w:t>2016-781 du 12 octobre 2016 fixant les modalités d</w:t>
      </w:r>
      <w:r w:rsidR="000C16F5">
        <w:rPr>
          <w:lang w:val="fr-FR"/>
        </w:rPr>
        <w:t>’</w:t>
      </w:r>
      <w:r w:rsidRPr="00190491">
        <w:rPr>
          <w:lang w:val="fr-FR"/>
        </w:rPr>
        <w:t>application de la loi 72-833 du 21 décembre 1972 portant code de procédure civile, commerciale et administrative relativement à l</w:t>
      </w:r>
      <w:r w:rsidR="000C16F5">
        <w:rPr>
          <w:lang w:val="fr-FR"/>
        </w:rPr>
        <w:t>’</w:t>
      </w:r>
      <w:r w:rsidRPr="00190491">
        <w:rPr>
          <w:lang w:val="fr-FR"/>
        </w:rPr>
        <w:t>assistance judiciaire. Son article 2 stipule que « il est créé, pour la mise en œuvre de l</w:t>
      </w:r>
      <w:r w:rsidR="000C16F5">
        <w:rPr>
          <w:lang w:val="fr-FR"/>
        </w:rPr>
        <w:t>’</w:t>
      </w:r>
      <w:r w:rsidRPr="00190491">
        <w:rPr>
          <w:lang w:val="fr-FR"/>
        </w:rPr>
        <w:t xml:space="preserve">Assistance judiciaire, un Bureau local auprès de chaque juridiction de premier degré et un Bureau central à la chancellerie ». </w:t>
      </w:r>
    </w:p>
    <w:p w14:paraId="1FA20FF8" w14:textId="0C2DFB0E" w:rsidR="00364BF3" w:rsidRPr="00190491" w:rsidRDefault="00364BF3" w:rsidP="008A6B29">
      <w:pPr>
        <w:pStyle w:val="SingleTxt"/>
        <w:numPr>
          <w:ilvl w:val="0"/>
          <w:numId w:val="9"/>
        </w:numPr>
        <w:spacing w:line="240" w:lineRule="exact"/>
        <w:rPr>
          <w:lang w:val="fr-FR"/>
        </w:rPr>
      </w:pPr>
      <w:r w:rsidRPr="00190491">
        <w:rPr>
          <w:lang w:val="fr-FR"/>
        </w:rPr>
        <w:lastRenderedPageBreak/>
        <w:t>Par ailleurs, le décret n</w:t>
      </w:r>
      <w:r w:rsidR="004B7322" w:rsidRPr="004B7322">
        <w:rPr>
          <w:vertAlign w:val="superscript"/>
          <w:lang w:val="fr-FR"/>
        </w:rPr>
        <w:t>o</w:t>
      </w:r>
      <w:r w:rsidR="004B7322">
        <w:rPr>
          <w:lang w:val="fr-FR"/>
        </w:rPr>
        <w:t> </w:t>
      </w:r>
      <w:r w:rsidRPr="00190491">
        <w:rPr>
          <w:lang w:val="fr-FR"/>
        </w:rPr>
        <w:t>2014-259 du 14 mai 2014 portant tarification des émoluments et frais de justice en matière civile, commerciale, administrative et sociale par la modification de l</w:t>
      </w:r>
      <w:r w:rsidR="000C16F5">
        <w:rPr>
          <w:lang w:val="fr-FR"/>
        </w:rPr>
        <w:t>’</w:t>
      </w:r>
      <w:r w:rsidRPr="00190491">
        <w:rPr>
          <w:lang w:val="fr-FR"/>
        </w:rPr>
        <w:t>article 74 du décret n</w:t>
      </w:r>
      <w:r w:rsidR="004B7322" w:rsidRPr="004B7322">
        <w:rPr>
          <w:vertAlign w:val="superscript"/>
          <w:lang w:val="fr-FR"/>
        </w:rPr>
        <w:t>o</w:t>
      </w:r>
      <w:r w:rsidR="004B7322">
        <w:rPr>
          <w:lang w:val="fr-FR"/>
        </w:rPr>
        <w:t> </w:t>
      </w:r>
      <w:r w:rsidRPr="00190491">
        <w:rPr>
          <w:lang w:val="fr-FR"/>
        </w:rPr>
        <w:t>2013-279 du 24 avril 2013 décide des coûts des actes de justice.</w:t>
      </w:r>
    </w:p>
    <w:p w14:paraId="274B5A3D" w14:textId="2C383BDC" w:rsidR="00364BF3" w:rsidRPr="00190491" w:rsidRDefault="00364BF3" w:rsidP="008A6B29">
      <w:pPr>
        <w:pStyle w:val="SingleTxt"/>
        <w:numPr>
          <w:ilvl w:val="0"/>
          <w:numId w:val="9"/>
        </w:numPr>
        <w:spacing w:line="240" w:lineRule="exact"/>
        <w:rPr>
          <w:b/>
          <w:lang w:val="fr-FR"/>
        </w:rPr>
      </w:pPr>
      <w:r w:rsidRPr="00190491">
        <w:rPr>
          <w:b/>
          <w:lang w:val="fr-FR"/>
        </w:rPr>
        <w:t>Fournir une formation systématique aux juges, aux avocats et aux ONG sur l</w:t>
      </w:r>
      <w:r w:rsidR="000C16F5">
        <w:rPr>
          <w:b/>
          <w:lang w:val="fr-FR"/>
        </w:rPr>
        <w:t>’</w:t>
      </w:r>
      <w:r w:rsidRPr="00190491">
        <w:rPr>
          <w:b/>
          <w:lang w:val="fr-FR"/>
        </w:rPr>
        <w:t xml:space="preserve">application de la législation interdisant la discrimination, à la lumière de ses obligations en vertu de la Convention et de son Protocole facultatif </w:t>
      </w:r>
      <w:r w:rsidR="00D81000">
        <w:rPr>
          <w:b/>
          <w:lang w:val="fr-FR"/>
        </w:rPr>
        <w:t>[</w:t>
      </w:r>
      <w:r w:rsidRPr="00190491">
        <w:rPr>
          <w:b/>
          <w:lang w:val="fr-FR"/>
        </w:rPr>
        <w:t xml:space="preserve">voir </w:t>
      </w:r>
      <w:hyperlink r:id="rId29"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21 d)</w:t>
      </w:r>
      <w:r w:rsidR="00D81000">
        <w:rPr>
          <w:b/>
          <w:lang w:val="fr-FR"/>
        </w:rPr>
        <w:t>]</w:t>
      </w:r>
      <w:r w:rsidRPr="00190491">
        <w:rPr>
          <w:b/>
          <w:lang w:val="fr-FR"/>
        </w:rPr>
        <w:t>.</w:t>
      </w:r>
    </w:p>
    <w:p w14:paraId="10D19208" w14:textId="0010AA4B" w:rsidR="00364BF3" w:rsidRPr="00190491" w:rsidRDefault="00364BF3" w:rsidP="008A6B29">
      <w:pPr>
        <w:pStyle w:val="SingleTxt"/>
        <w:numPr>
          <w:ilvl w:val="0"/>
          <w:numId w:val="9"/>
        </w:numPr>
        <w:spacing w:line="240" w:lineRule="exact"/>
        <w:rPr>
          <w:lang w:val="fr-FR"/>
        </w:rPr>
      </w:pPr>
      <w:r w:rsidRPr="00190491">
        <w:rPr>
          <w:lang w:val="fr-FR"/>
        </w:rPr>
        <w:t xml:space="preserve">Depuis 2012, les acteurs de justice sont associés aux ateliers de renforcement de capacité </w:t>
      </w:r>
      <w:r w:rsidRPr="00190491">
        <w:rPr>
          <w:bCs/>
          <w:lang w:val="fr-FR"/>
        </w:rPr>
        <w:t>sur</w:t>
      </w:r>
      <w:r w:rsidRPr="00190491">
        <w:rPr>
          <w:lang w:val="fr-FR"/>
        </w:rPr>
        <w:t xml:space="preserve"> le VBG par le MSFFE, les ASNU, l</w:t>
      </w:r>
      <w:r w:rsidR="000C16F5">
        <w:rPr>
          <w:lang w:val="fr-FR"/>
        </w:rPr>
        <w:t>’</w:t>
      </w:r>
      <w:r w:rsidRPr="00190491">
        <w:rPr>
          <w:lang w:val="fr-FR"/>
        </w:rPr>
        <w:t xml:space="preserve">ONUCI et les OSC. </w:t>
      </w:r>
      <w:r w:rsidR="00C10A78" w:rsidRPr="00190491">
        <w:rPr>
          <w:lang w:val="fr-FR"/>
        </w:rPr>
        <w:t>À</w:t>
      </w:r>
      <w:r w:rsidRPr="00190491">
        <w:rPr>
          <w:lang w:val="fr-FR"/>
        </w:rPr>
        <w:t xml:space="preserve"> ce jour, 200 juges, procureurs, avocats et greffiers ont vu renforcés leurs capacités en VBG. </w:t>
      </w:r>
    </w:p>
    <w:p w14:paraId="52DBF567" w14:textId="7C8D68B5" w:rsidR="00364BF3" w:rsidRPr="00190491" w:rsidRDefault="00364BF3" w:rsidP="008A6B29">
      <w:pPr>
        <w:pStyle w:val="SingleTxt"/>
        <w:numPr>
          <w:ilvl w:val="0"/>
          <w:numId w:val="9"/>
        </w:numPr>
        <w:spacing w:line="240" w:lineRule="exact"/>
        <w:rPr>
          <w:lang w:val="fr-FR"/>
        </w:rPr>
      </w:pPr>
      <w:r w:rsidRPr="00190491">
        <w:rPr>
          <w:lang w:val="fr-FR"/>
        </w:rPr>
        <w:t>D</w:t>
      </w:r>
      <w:r w:rsidR="000C16F5">
        <w:rPr>
          <w:lang w:val="fr-FR"/>
        </w:rPr>
        <w:t>’</w:t>
      </w:r>
      <w:r w:rsidRPr="00190491">
        <w:rPr>
          <w:lang w:val="fr-FR"/>
        </w:rPr>
        <w:t>autres acteurs de la chaîne judiciaire, notamment les forces militaires et paramilitaires bénéficient des formations depuis 2011.</w:t>
      </w:r>
    </w:p>
    <w:p w14:paraId="5B62489B" w14:textId="1A910524" w:rsidR="00364BF3" w:rsidRPr="00190491" w:rsidRDefault="00364BF3" w:rsidP="008A6B29">
      <w:pPr>
        <w:pStyle w:val="SingleTxt"/>
        <w:numPr>
          <w:ilvl w:val="0"/>
          <w:numId w:val="9"/>
        </w:numPr>
        <w:spacing w:line="240" w:lineRule="exact"/>
        <w:rPr>
          <w:b/>
          <w:lang w:val="fr-FR"/>
        </w:rPr>
      </w:pPr>
      <w:r w:rsidRPr="00190491">
        <w:rPr>
          <w:b/>
          <w:lang w:val="fr-FR"/>
        </w:rPr>
        <w:t>Faciliter l</w:t>
      </w:r>
      <w:r w:rsidR="000C16F5">
        <w:rPr>
          <w:b/>
          <w:lang w:val="fr-FR"/>
        </w:rPr>
        <w:t>’</w:t>
      </w:r>
      <w:r w:rsidRPr="00190491">
        <w:rPr>
          <w:b/>
          <w:lang w:val="fr-FR"/>
        </w:rPr>
        <w:t xml:space="preserve">accès des ONG de soutien aux femmes à la justice </w:t>
      </w:r>
      <w:r w:rsidR="00D81000">
        <w:rPr>
          <w:b/>
          <w:lang w:val="fr-FR"/>
        </w:rPr>
        <w:t>[</w:t>
      </w:r>
      <w:r w:rsidRPr="00190491">
        <w:rPr>
          <w:b/>
          <w:lang w:val="fr-FR"/>
        </w:rPr>
        <w:t xml:space="preserve">voir </w:t>
      </w:r>
      <w:hyperlink r:id="rId30"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21 e)</w:t>
      </w:r>
      <w:r w:rsidR="00D81000">
        <w:rPr>
          <w:b/>
          <w:lang w:val="fr-FR"/>
        </w:rPr>
        <w:t>]</w:t>
      </w:r>
      <w:r w:rsidRPr="00190491">
        <w:rPr>
          <w:b/>
          <w:lang w:val="fr-FR"/>
        </w:rPr>
        <w:t>.</w:t>
      </w:r>
    </w:p>
    <w:p w14:paraId="64885A7E" w14:textId="089AAD18" w:rsidR="00364BF3" w:rsidRPr="00190491" w:rsidRDefault="00364BF3" w:rsidP="008A6B29">
      <w:pPr>
        <w:pStyle w:val="SingleTxt"/>
        <w:numPr>
          <w:ilvl w:val="0"/>
          <w:numId w:val="9"/>
        </w:numPr>
        <w:spacing w:line="240" w:lineRule="exact"/>
        <w:rPr>
          <w:lang w:val="fr-FR"/>
        </w:rPr>
      </w:pPr>
      <w:r w:rsidRPr="00190491">
        <w:rPr>
          <w:lang w:val="fr-FR"/>
        </w:rPr>
        <w:t>L</w:t>
      </w:r>
      <w:r w:rsidR="000C16F5">
        <w:rPr>
          <w:lang w:val="fr-FR"/>
        </w:rPr>
        <w:t>’</w:t>
      </w:r>
      <w:r w:rsidRPr="00190491">
        <w:rPr>
          <w:lang w:val="fr-FR"/>
        </w:rPr>
        <w:t>interprétation par les juges des articles 2 et 3 du code de procédure pénale a évolué en faveur des la constitution des ONGs lorsque l</w:t>
      </w:r>
      <w:r w:rsidR="000C16F5">
        <w:rPr>
          <w:lang w:val="fr-FR"/>
        </w:rPr>
        <w:t>’</w:t>
      </w:r>
      <w:r w:rsidRPr="00190491">
        <w:rPr>
          <w:lang w:val="fr-FR"/>
        </w:rPr>
        <w:t>infraction (crime ou délit) porte sur leur objet. Si, l</w:t>
      </w:r>
      <w:r w:rsidR="000C16F5">
        <w:rPr>
          <w:lang w:val="fr-FR"/>
        </w:rPr>
        <w:t>’</w:t>
      </w:r>
      <w:r w:rsidRPr="00190491">
        <w:rPr>
          <w:lang w:val="fr-FR"/>
        </w:rPr>
        <w:t>infraction résulte par exemple d</w:t>
      </w:r>
      <w:r w:rsidR="000C16F5">
        <w:rPr>
          <w:lang w:val="fr-FR"/>
        </w:rPr>
        <w:t>’</w:t>
      </w:r>
      <w:r w:rsidRPr="00190491">
        <w:rPr>
          <w:lang w:val="fr-FR"/>
        </w:rPr>
        <w:t>une violation des droits de l</w:t>
      </w:r>
      <w:r w:rsidR="000C16F5">
        <w:rPr>
          <w:lang w:val="fr-FR"/>
        </w:rPr>
        <w:t>’</w:t>
      </w:r>
      <w:r w:rsidRPr="00190491">
        <w:rPr>
          <w:lang w:val="fr-FR"/>
        </w:rPr>
        <w:t>homme, les ONGs de défense des droits de l</w:t>
      </w:r>
      <w:r w:rsidR="000C16F5">
        <w:rPr>
          <w:lang w:val="fr-FR"/>
        </w:rPr>
        <w:t>’</w:t>
      </w:r>
      <w:r w:rsidRPr="00190491">
        <w:rPr>
          <w:lang w:val="fr-FR"/>
        </w:rPr>
        <w:t>homme sont autorisées à se constituer en partie.</w:t>
      </w:r>
    </w:p>
    <w:p w14:paraId="5E047B19" w14:textId="74564D4E" w:rsidR="00364BF3" w:rsidRDefault="00364BF3" w:rsidP="008A6B29">
      <w:pPr>
        <w:pStyle w:val="SingleTxt"/>
        <w:numPr>
          <w:ilvl w:val="0"/>
          <w:numId w:val="9"/>
        </w:numPr>
        <w:spacing w:line="240" w:lineRule="exact"/>
        <w:rPr>
          <w:lang w:val="fr-FR"/>
        </w:rPr>
      </w:pPr>
      <w:r w:rsidRPr="00190491">
        <w:rPr>
          <w:lang w:val="fr-FR"/>
        </w:rPr>
        <w:t>Avec l</w:t>
      </w:r>
      <w:r w:rsidR="000C16F5">
        <w:rPr>
          <w:lang w:val="fr-FR"/>
        </w:rPr>
        <w:t>’</w:t>
      </w:r>
      <w:r w:rsidRPr="00190491">
        <w:rPr>
          <w:lang w:val="fr-FR"/>
        </w:rPr>
        <w:t>aide des partenaires au développement, l</w:t>
      </w:r>
      <w:r w:rsidR="000C16F5">
        <w:rPr>
          <w:lang w:val="fr-FR"/>
        </w:rPr>
        <w:t>’</w:t>
      </w:r>
      <w:r w:rsidRPr="00190491">
        <w:rPr>
          <w:lang w:val="fr-FR"/>
        </w:rPr>
        <w:t xml:space="preserve">accès à la justice des ONG de soutien aux femmes est facilité. </w:t>
      </w:r>
    </w:p>
    <w:p w14:paraId="2DE0AE2F" w14:textId="6788C61A" w:rsidR="0079095F" w:rsidRPr="0079095F" w:rsidRDefault="0079095F" w:rsidP="0079095F">
      <w:pPr>
        <w:pStyle w:val="SingleTxt"/>
        <w:tabs>
          <w:tab w:val="clear" w:pos="1742"/>
        </w:tabs>
        <w:spacing w:after="0" w:line="120" w:lineRule="exact"/>
        <w:rPr>
          <w:sz w:val="10"/>
          <w:lang w:val="fr-FR"/>
        </w:rPr>
      </w:pPr>
    </w:p>
    <w:p w14:paraId="6CF35A6D" w14:textId="77244E74" w:rsidR="00364BF3" w:rsidRDefault="00364BF3" w:rsidP="007909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Mécanisme national de promotion de la condition de la femme</w:t>
      </w:r>
    </w:p>
    <w:p w14:paraId="46E2B4F9" w14:textId="50337C85" w:rsidR="0079095F" w:rsidRPr="0079095F" w:rsidRDefault="0079095F" w:rsidP="0079095F">
      <w:pPr>
        <w:spacing w:line="120" w:lineRule="exact"/>
        <w:rPr>
          <w:sz w:val="10"/>
          <w:lang w:val="fr-FR"/>
        </w:rPr>
      </w:pPr>
    </w:p>
    <w:p w14:paraId="4EE0FA76" w14:textId="4BD72425" w:rsidR="00364BF3" w:rsidRPr="00AB3DF7" w:rsidRDefault="00364BF3" w:rsidP="008A6B29">
      <w:pPr>
        <w:pStyle w:val="SingleTxt"/>
        <w:numPr>
          <w:ilvl w:val="0"/>
          <w:numId w:val="9"/>
        </w:numPr>
        <w:spacing w:line="240" w:lineRule="exact"/>
        <w:rPr>
          <w:b/>
          <w:bCs/>
          <w:lang w:val="fr-FR"/>
        </w:rPr>
      </w:pPr>
      <w:r w:rsidRPr="00AB3DF7">
        <w:rPr>
          <w:b/>
          <w:bCs/>
          <w:lang w:val="fr-FR"/>
        </w:rPr>
        <w:t>De renforcer le mécanisme national d</w:t>
      </w:r>
      <w:r w:rsidR="000C16F5" w:rsidRPr="00AB3DF7">
        <w:rPr>
          <w:b/>
          <w:bCs/>
          <w:lang w:val="fr-FR"/>
        </w:rPr>
        <w:t>’</w:t>
      </w:r>
      <w:r w:rsidRPr="00AB3DF7">
        <w:rPr>
          <w:b/>
          <w:bCs/>
          <w:lang w:val="fr-FR"/>
        </w:rPr>
        <w:t>autonomisation des femmes aux niveaux national et local et de le doter des ressources humaines, financières et techniques nécessaires pour qu</w:t>
      </w:r>
      <w:r w:rsidR="000C16F5" w:rsidRPr="00AB3DF7">
        <w:rPr>
          <w:b/>
          <w:bCs/>
          <w:lang w:val="fr-FR"/>
        </w:rPr>
        <w:t>’</w:t>
      </w:r>
      <w:r w:rsidRPr="00AB3DF7">
        <w:rPr>
          <w:b/>
          <w:bCs/>
          <w:lang w:val="fr-FR"/>
        </w:rPr>
        <w:t>il puisse s</w:t>
      </w:r>
      <w:r w:rsidR="000C16F5" w:rsidRPr="00AB3DF7">
        <w:rPr>
          <w:b/>
          <w:bCs/>
          <w:lang w:val="fr-FR"/>
        </w:rPr>
        <w:t>’</w:t>
      </w:r>
      <w:r w:rsidRPr="00AB3DF7">
        <w:rPr>
          <w:b/>
          <w:bCs/>
          <w:lang w:val="fr-FR"/>
        </w:rPr>
        <w:t>acquitter efficacement de ses fonctions dans tous les secteurs dans lesquels les femmes doivent accéder à l</w:t>
      </w:r>
      <w:r w:rsidR="000C16F5" w:rsidRPr="00AB3DF7">
        <w:rPr>
          <w:b/>
          <w:bCs/>
          <w:lang w:val="fr-FR"/>
        </w:rPr>
        <w:t>’</w:t>
      </w:r>
      <w:r w:rsidRPr="00AB3DF7">
        <w:rPr>
          <w:b/>
          <w:bCs/>
          <w:lang w:val="fr-FR"/>
        </w:rPr>
        <w:t xml:space="preserve">autonomie, y compris des moyens nécessaires pour intensifier sa coopération avec la société civile </w:t>
      </w:r>
      <w:r w:rsidR="00D81000">
        <w:rPr>
          <w:b/>
          <w:bCs/>
          <w:lang w:val="fr-FR"/>
        </w:rPr>
        <w:t>[</w:t>
      </w:r>
      <w:r w:rsidRPr="007B345A">
        <w:rPr>
          <w:b/>
          <w:bCs/>
          <w:lang w:val="fr-FR"/>
        </w:rPr>
        <w:t xml:space="preserve">voir </w:t>
      </w:r>
      <w:hyperlink r:id="rId31"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23 a)</w:t>
      </w:r>
      <w:r w:rsidR="00D81000">
        <w:rPr>
          <w:b/>
          <w:bCs/>
          <w:lang w:val="fr-FR"/>
        </w:rPr>
        <w:t>]</w:t>
      </w:r>
      <w:r w:rsidRPr="00AB3DF7">
        <w:rPr>
          <w:b/>
          <w:bCs/>
          <w:lang w:val="fr-FR"/>
        </w:rPr>
        <w:t>.</w:t>
      </w:r>
    </w:p>
    <w:p w14:paraId="27F56C3E" w14:textId="714A16CA" w:rsidR="00364BF3" w:rsidRPr="00190491" w:rsidRDefault="00364BF3" w:rsidP="008A6B29">
      <w:pPr>
        <w:pStyle w:val="SingleTxt"/>
        <w:numPr>
          <w:ilvl w:val="0"/>
          <w:numId w:val="9"/>
        </w:numPr>
        <w:spacing w:line="240" w:lineRule="exact"/>
        <w:rPr>
          <w:lang w:val="fr-FR"/>
        </w:rPr>
      </w:pPr>
      <w:r w:rsidRPr="00190491">
        <w:rPr>
          <w:lang w:val="fr-FR"/>
        </w:rPr>
        <w:t>Le MPFFPE s</w:t>
      </w:r>
      <w:r w:rsidR="000C16F5">
        <w:rPr>
          <w:lang w:val="fr-FR"/>
        </w:rPr>
        <w:t>’</w:t>
      </w:r>
      <w:r w:rsidRPr="00190491">
        <w:rPr>
          <w:lang w:val="fr-FR"/>
        </w:rPr>
        <w:t>est doté de 2 nouvelles structures en plus de la Direction de l</w:t>
      </w:r>
      <w:r w:rsidR="000C16F5">
        <w:rPr>
          <w:lang w:val="fr-FR"/>
        </w:rPr>
        <w:t>’</w:t>
      </w:r>
      <w:r w:rsidRPr="00190491">
        <w:rPr>
          <w:lang w:val="fr-FR"/>
        </w:rPr>
        <w:t>Autonomisation de la Femme, pour mieux adresser la question du genre. Ce sont</w:t>
      </w:r>
      <w:r w:rsidR="008945B3">
        <w:rPr>
          <w:lang w:val="fr-FR"/>
        </w:rPr>
        <w:t> :</w:t>
      </w:r>
    </w:p>
    <w:p w14:paraId="0D46452B" w14:textId="49DBF976" w:rsidR="00364BF3" w:rsidRPr="0011615C" w:rsidRDefault="00AB3DF7" w:rsidP="00AB3DF7">
      <w:pPr>
        <w:pStyle w:val="SingleTxt"/>
        <w:tabs>
          <w:tab w:val="right" w:pos="1685"/>
        </w:tabs>
        <w:ind w:left="1742" w:hanging="475"/>
        <w:rPr>
          <w:lang w:val="fr-FR"/>
        </w:rPr>
      </w:pPr>
      <w:r>
        <w:rPr>
          <w:lang w:val="fr-FR"/>
        </w:rPr>
        <w:tab/>
        <w:t>•</w:t>
      </w:r>
      <w:r>
        <w:rPr>
          <w:lang w:val="fr-FR"/>
        </w:rPr>
        <w:tab/>
      </w:r>
      <w:r w:rsidR="00364BF3" w:rsidRPr="0011615C">
        <w:rPr>
          <w:lang w:val="fr-FR"/>
        </w:rPr>
        <w:t>Direction du Genre et de l</w:t>
      </w:r>
      <w:r w:rsidR="000C16F5">
        <w:rPr>
          <w:lang w:val="fr-FR"/>
        </w:rPr>
        <w:t>’</w:t>
      </w:r>
      <w:r w:rsidR="00C10A78" w:rsidRPr="0011615C">
        <w:rPr>
          <w:lang w:val="fr-FR"/>
        </w:rPr>
        <w:t>Équité</w:t>
      </w:r>
      <w:r w:rsidR="00364BF3" w:rsidRPr="0011615C">
        <w:rPr>
          <w:lang w:val="fr-FR"/>
        </w:rPr>
        <w:t xml:space="preserve"> (en remplacement de l</w:t>
      </w:r>
      <w:r w:rsidR="000C16F5">
        <w:rPr>
          <w:lang w:val="fr-FR"/>
        </w:rPr>
        <w:t>’</w:t>
      </w:r>
      <w:r w:rsidR="00364BF3" w:rsidRPr="0011615C">
        <w:rPr>
          <w:lang w:val="fr-FR"/>
        </w:rPr>
        <w:t>ex Direction de la Promotion du Genre et de l</w:t>
      </w:r>
      <w:r w:rsidR="000C16F5">
        <w:rPr>
          <w:lang w:val="fr-FR"/>
        </w:rPr>
        <w:t>’</w:t>
      </w:r>
      <w:r w:rsidR="00C10A78" w:rsidRPr="0011615C">
        <w:rPr>
          <w:lang w:val="fr-FR"/>
        </w:rPr>
        <w:t>Équité</w:t>
      </w:r>
      <w:r w:rsidR="00364BF3" w:rsidRPr="0011615C">
        <w:rPr>
          <w:lang w:val="fr-FR"/>
        </w:rPr>
        <w:t xml:space="preserve"> dissoute en 2014)</w:t>
      </w:r>
      <w:r w:rsidR="00DB4C05">
        <w:rPr>
          <w:lang w:val="fr-FR"/>
        </w:rPr>
        <w:t> ;</w:t>
      </w:r>
    </w:p>
    <w:p w14:paraId="5BD83067" w14:textId="011EB536" w:rsidR="00364BF3" w:rsidRPr="0011615C" w:rsidRDefault="00AB3DF7" w:rsidP="00AB3DF7">
      <w:pPr>
        <w:pStyle w:val="SingleTxt"/>
        <w:tabs>
          <w:tab w:val="right" w:pos="1685"/>
        </w:tabs>
        <w:ind w:left="1742" w:hanging="475"/>
        <w:rPr>
          <w:lang w:val="fr-FR"/>
        </w:rPr>
      </w:pPr>
      <w:r>
        <w:rPr>
          <w:lang w:val="fr-FR"/>
        </w:rPr>
        <w:tab/>
        <w:t>•</w:t>
      </w:r>
      <w:r>
        <w:rPr>
          <w:lang w:val="fr-FR"/>
        </w:rPr>
        <w:tab/>
      </w:r>
      <w:r w:rsidR="00364BF3" w:rsidRPr="0011615C">
        <w:rPr>
          <w:lang w:val="fr-FR"/>
        </w:rPr>
        <w:t>Direction de la Valorisation des Compétences Féminines (DVCF).</w:t>
      </w:r>
    </w:p>
    <w:p w14:paraId="0FC5B896" w14:textId="7565E487" w:rsidR="00364BF3" w:rsidRPr="00190491" w:rsidRDefault="00364BF3" w:rsidP="008A6B29">
      <w:pPr>
        <w:pStyle w:val="SingleTxt"/>
        <w:numPr>
          <w:ilvl w:val="0"/>
          <w:numId w:val="9"/>
        </w:numPr>
        <w:spacing w:line="240" w:lineRule="exact"/>
        <w:rPr>
          <w:lang w:val="fr-FR"/>
        </w:rPr>
      </w:pPr>
      <w:r w:rsidRPr="00190491">
        <w:rPr>
          <w:lang w:val="fr-FR"/>
        </w:rPr>
        <w:t>Le MPFFPE et ses partenaires ont mené des actions multiples et variées pour promouvoir l</w:t>
      </w:r>
      <w:r w:rsidR="000C16F5">
        <w:rPr>
          <w:lang w:val="fr-FR"/>
        </w:rPr>
        <w:t>’</w:t>
      </w:r>
      <w:r w:rsidRPr="00190491">
        <w:rPr>
          <w:lang w:val="fr-FR"/>
        </w:rPr>
        <w:t>égalité entre femmes et hommes dans différents domaines</w:t>
      </w:r>
      <w:r w:rsidR="008945B3">
        <w:rPr>
          <w:lang w:val="fr-FR"/>
        </w:rPr>
        <w:t> :</w:t>
      </w:r>
    </w:p>
    <w:p w14:paraId="2F470BD0" w14:textId="267A5455" w:rsidR="00364BF3" w:rsidRPr="0011615C" w:rsidRDefault="00AB3DF7" w:rsidP="00AB3DF7">
      <w:pPr>
        <w:pStyle w:val="SingleTxt"/>
        <w:tabs>
          <w:tab w:val="right" w:pos="1685"/>
        </w:tabs>
        <w:ind w:left="1742" w:hanging="475"/>
        <w:rPr>
          <w:lang w:val="fr-FR"/>
        </w:rPr>
      </w:pPr>
      <w:r>
        <w:rPr>
          <w:lang w:val="fr-FR"/>
        </w:rPr>
        <w:tab/>
        <w:t>•</w:t>
      </w:r>
      <w:r>
        <w:rPr>
          <w:lang w:val="fr-FR"/>
        </w:rPr>
        <w:tab/>
      </w:r>
      <w:r w:rsidR="00364BF3" w:rsidRPr="0011615C">
        <w:rPr>
          <w:lang w:val="fr-FR"/>
        </w:rPr>
        <w:t>Mutation de la Direction chargée de la gestion du « Fonds Femme et Développement » en Projet de Gestion Novatrice du Fonds National « Femmes et Développement (PGNFFD) »</w:t>
      </w:r>
      <w:r w:rsidR="00DB4C05">
        <w:rPr>
          <w:lang w:val="fr-FR"/>
        </w:rPr>
        <w:t> ;</w:t>
      </w:r>
    </w:p>
    <w:p w14:paraId="539D02AD" w14:textId="744EE44D" w:rsidR="00364BF3" w:rsidRPr="0011615C" w:rsidRDefault="00AB3DF7" w:rsidP="00AB3DF7">
      <w:pPr>
        <w:pStyle w:val="SingleTxt"/>
        <w:tabs>
          <w:tab w:val="right" w:pos="1685"/>
        </w:tabs>
        <w:ind w:left="1742" w:hanging="475"/>
        <w:rPr>
          <w:lang w:val="fr-FR"/>
        </w:rPr>
      </w:pPr>
      <w:r>
        <w:rPr>
          <w:lang w:val="fr-FR"/>
        </w:rPr>
        <w:tab/>
        <w:t>•</w:t>
      </w:r>
      <w:r>
        <w:rPr>
          <w:lang w:val="fr-FR"/>
        </w:rPr>
        <w:tab/>
      </w:r>
      <w:r w:rsidR="00364BF3" w:rsidRPr="0011615C">
        <w:rPr>
          <w:lang w:val="fr-FR"/>
        </w:rPr>
        <w:t>Augmentation du nombre d</w:t>
      </w:r>
      <w:r w:rsidR="000C16F5">
        <w:rPr>
          <w:lang w:val="fr-FR"/>
        </w:rPr>
        <w:t>’</w:t>
      </w:r>
      <w:r w:rsidR="00364BF3" w:rsidRPr="0011615C">
        <w:rPr>
          <w:lang w:val="fr-FR"/>
        </w:rPr>
        <w:t>Institutions de Formation et d</w:t>
      </w:r>
      <w:r w:rsidR="000C16F5">
        <w:rPr>
          <w:lang w:val="fr-FR"/>
        </w:rPr>
        <w:t>’</w:t>
      </w:r>
      <w:r w:rsidR="00C10A78" w:rsidRPr="0011615C">
        <w:rPr>
          <w:lang w:val="fr-FR"/>
        </w:rPr>
        <w:t>Éducation</w:t>
      </w:r>
      <w:r w:rsidR="00364BF3" w:rsidRPr="0011615C">
        <w:rPr>
          <w:lang w:val="fr-FR"/>
        </w:rPr>
        <w:t xml:space="preserve"> de la Femme (IFEF) de 58 en 2011 à 115 en 2016</w:t>
      </w:r>
      <w:r w:rsidR="00DB4C05">
        <w:rPr>
          <w:lang w:val="fr-FR"/>
        </w:rPr>
        <w:t> ;</w:t>
      </w:r>
    </w:p>
    <w:p w14:paraId="497C9810" w14:textId="592D6F1D" w:rsidR="00364BF3" w:rsidRPr="0011615C" w:rsidRDefault="00AB3DF7" w:rsidP="00AB3DF7">
      <w:pPr>
        <w:pStyle w:val="SingleTxt"/>
        <w:tabs>
          <w:tab w:val="right" w:pos="1685"/>
        </w:tabs>
        <w:ind w:left="1742" w:hanging="475"/>
        <w:rPr>
          <w:lang w:val="fr-FR"/>
        </w:rPr>
      </w:pPr>
      <w:r>
        <w:rPr>
          <w:lang w:val="fr-FR"/>
        </w:rPr>
        <w:tab/>
        <w:t>•</w:t>
      </w:r>
      <w:r>
        <w:rPr>
          <w:lang w:val="fr-FR"/>
        </w:rPr>
        <w:tab/>
      </w:r>
      <w:r w:rsidR="00364BF3" w:rsidRPr="0011615C">
        <w:rPr>
          <w:lang w:val="fr-FR"/>
        </w:rPr>
        <w:t>Mise en place du « Fonds d</w:t>
      </w:r>
      <w:r w:rsidR="000C16F5">
        <w:rPr>
          <w:lang w:val="fr-FR"/>
        </w:rPr>
        <w:t>’</w:t>
      </w:r>
      <w:r w:rsidR="00364BF3" w:rsidRPr="0011615C">
        <w:rPr>
          <w:lang w:val="fr-FR"/>
        </w:rPr>
        <w:t>Appui aux Femmes de Côte d</w:t>
      </w:r>
      <w:r w:rsidR="000C16F5">
        <w:rPr>
          <w:lang w:val="fr-FR"/>
        </w:rPr>
        <w:t>’</w:t>
      </w:r>
      <w:r w:rsidR="00364BF3" w:rsidRPr="0011615C">
        <w:rPr>
          <w:lang w:val="fr-FR"/>
        </w:rPr>
        <w:t>Ivoire » (FAFCI), en 2012 par la Première Dame de Côte d</w:t>
      </w:r>
      <w:r w:rsidR="000C16F5">
        <w:rPr>
          <w:lang w:val="fr-FR"/>
        </w:rPr>
        <w:t>’</w:t>
      </w:r>
      <w:r w:rsidR="00364BF3" w:rsidRPr="0011615C">
        <w:rPr>
          <w:lang w:val="fr-FR"/>
        </w:rPr>
        <w:t xml:space="preserve">Ivoire, Mme Dominique OUATTARA. </w:t>
      </w:r>
    </w:p>
    <w:p w14:paraId="4BE28942" w14:textId="2C36DD79" w:rsidR="00364BF3" w:rsidRPr="00190491" w:rsidRDefault="00364BF3" w:rsidP="008A6B29">
      <w:pPr>
        <w:pStyle w:val="SingleTxt"/>
        <w:numPr>
          <w:ilvl w:val="0"/>
          <w:numId w:val="9"/>
        </w:numPr>
        <w:spacing w:line="240" w:lineRule="exact"/>
        <w:rPr>
          <w:lang w:val="fr-FR"/>
        </w:rPr>
      </w:pPr>
      <w:r w:rsidRPr="00190491">
        <w:rPr>
          <w:lang w:val="fr-FR"/>
        </w:rPr>
        <w:t>Doté au démarrage d</w:t>
      </w:r>
      <w:r w:rsidR="000C16F5">
        <w:rPr>
          <w:lang w:val="fr-FR"/>
        </w:rPr>
        <w:t>’</w:t>
      </w:r>
      <w:r w:rsidRPr="00190491">
        <w:rPr>
          <w:lang w:val="fr-FR"/>
        </w:rPr>
        <w:t>un milliard de Francs CFA, le FAFCI s</w:t>
      </w:r>
      <w:r w:rsidR="000C16F5">
        <w:rPr>
          <w:lang w:val="fr-FR"/>
        </w:rPr>
        <w:t>’</w:t>
      </w:r>
      <w:r w:rsidRPr="00190491">
        <w:rPr>
          <w:lang w:val="fr-FR"/>
        </w:rPr>
        <w:t xml:space="preserve">est accru progressivement pour atteindre 8 milliards de Francs CFA en 2016. </w:t>
      </w:r>
    </w:p>
    <w:p w14:paraId="4CB894F3" w14:textId="2602C4CA" w:rsidR="00364BF3" w:rsidRPr="00190491" w:rsidRDefault="00364BF3" w:rsidP="008A6B29">
      <w:pPr>
        <w:pStyle w:val="SingleTxt"/>
        <w:numPr>
          <w:ilvl w:val="0"/>
          <w:numId w:val="9"/>
        </w:numPr>
        <w:spacing w:line="240" w:lineRule="exact"/>
        <w:rPr>
          <w:lang w:val="fr-FR"/>
        </w:rPr>
      </w:pPr>
      <w:r w:rsidRPr="00190491">
        <w:rPr>
          <w:lang w:val="fr-FR"/>
        </w:rPr>
        <w:lastRenderedPageBreak/>
        <w:t>Grace à sa stratégie de la franchise sociale</w:t>
      </w:r>
      <w:r w:rsidRPr="00300E48">
        <w:rPr>
          <w:rStyle w:val="FootnoteReference"/>
          <w:lang w:val="fr-FR"/>
        </w:rPr>
        <w:footnoteReference w:id="4"/>
      </w:r>
      <w:r w:rsidRPr="00190491">
        <w:rPr>
          <w:lang w:val="fr-FR"/>
        </w:rPr>
        <w:t>, L</w:t>
      </w:r>
      <w:r w:rsidR="000C16F5">
        <w:rPr>
          <w:lang w:val="fr-FR"/>
        </w:rPr>
        <w:t>’</w:t>
      </w:r>
      <w:r w:rsidRPr="00190491">
        <w:rPr>
          <w:lang w:val="fr-FR"/>
        </w:rPr>
        <w:t>UNFPA a permis la réalisation de 86 Organisations Communautaires de Base (OCB) de Femmes et des AGR en octroyant des microcrédits aux survivantes de VBG.</w:t>
      </w:r>
    </w:p>
    <w:p w14:paraId="6036FE4D" w14:textId="36C7447D" w:rsidR="00364BF3" w:rsidRPr="0011615C" w:rsidRDefault="00364BF3" w:rsidP="008A6B29">
      <w:pPr>
        <w:pStyle w:val="SingleTxt"/>
        <w:numPr>
          <w:ilvl w:val="0"/>
          <w:numId w:val="9"/>
        </w:numPr>
        <w:spacing w:line="240" w:lineRule="exact"/>
        <w:rPr>
          <w:lang w:val="fr-FR"/>
        </w:rPr>
      </w:pPr>
      <w:r w:rsidRPr="0011615C">
        <w:rPr>
          <w:lang w:val="fr-FR"/>
        </w:rPr>
        <w:t>Le PNUD a aidé à stimuler au sein des populations défavorisées, l</w:t>
      </w:r>
      <w:r w:rsidR="000C16F5">
        <w:rPr>
          <w:lang w:val="fr-FR"/>
        </w:rPr>
        <w:t>’</w:t>
      </w:r>
      <w:r w:rsidRPr="0011615C">
        <w:rPr>
          <w:lang w:val="fr-FR"/>
        </w:rPr>
        <w:t xml:space="preserve">émergence de petites </w:t>
      </w:r>
      <w:r w:rsidRPr="00190491">
        <w:rPr>
          <w:lang w:val="fr-FR"/>
        </w:rPr>
        <w:t>activités</w:t>
      </w:r>
      <w:r w:rsidRPr="0011615C">
        <w:rPr>
          <w:lang w:val="fr-FR"/>
        </w:rPr>
        <w:t xml:space="preserve"> productives et commerciales visant l</w:t>
      </w:r>
      <w:r w:rsidR="000C16F5">
        <w:rPr>
          <w:lang w:val="fr-FR"/>
        </w:rPr>
        <w:t>’</w:t>
      </w:r>
      <w:r w:rsidRPr="0011615C">
        <w:rPr>
          <w:lang w:val="fr-FR"/>
        </w:rPr>
        <w:t>amélioration durable des conditions de travail et d</w:t>
      </w:r>
      <w:r w:rsidR="000C16F5">
        <w:rPr>
          <w:lang w:val="fr-FR"/>
        </w:rPr>
        <w:t>’</w:t>
      </w:r>
      <w:r w:rsidRPr="0011615C">
        <w:rPr>
          <w:lang w:val="fr-FR"/>
        </w:rPr>
        <w:t>existence des femmes en particulier. Elles constituent 80</w:t>
      </w:r>
      <w:r w:rsidR="00DB4C05">
        <w:rPr>
          <w:lang w:val="fr-FR"/>
        </w:rPr>
        <w:t> %</w:t>
      </w:r>
      <w:r w:rsidR="00B72ED0">
        <w:rPr>
          <w:lang w:val="fr-FR"/>
        </w:rPr>
        <w:t> </w:t>
      </w:r>
      <w:r w:rsidRPr="0011615C">
        <w:rPr>
          <w:lang w:val="fr-FR"/>
        </w:rPr>
        <w:t xml:space="preserve">des bénéficiaires directs des interventions. </w:t>
      </w:r>
    </w:p>
    <w:p w14:paraId="38C6A983" w14:textId="503B1497" w:rsidR="00364BF3" w:rsidRPr="0011615C" w:rsidRDefault="00364BF3" w:rsidP="008A6B29">
      <w:pPr>
        <w:pStyle w:val="SingleTxt"/>
        <w:numPr>
          <w:ilvl w:val="0"/>
          <w:numId w:val="9"/>
        </w:numPr>
        <w:spacing w:line="240" w:lineRule="exact"/>
        <w:rPr>
          <w:lang w:val="fr-FR"/>
        </w:rPr>
      </w:pPr>
      <w:r w:rsidRPr="0011615C">
        <w:rPr>
          <w:lang w:val="fr-FR"/>
        </w:rPr>
        <w:t xml:space="preserve">Le </w:t>
      </w:r>
      <w:r w:rsidRPr="00190491">
        <w:rPr>
          <w:lang w:val="fr-FR"/>
        </w:rPr>
        <w:t>PNUD</w:t>
      </w:r>
      <w:r w:rsidRPr="0011615C">
        <w:rPr>
          <w:lang w:val="fr-FR"/>
        </w:rPr>
        <w:t xml:space="preserve"> continue d</w:t>
      </w:r>
      <w:r w:rsidR="000C16F5">
        <w:rPr>
          <w:lang w:val="fr-FR"/>
        </w:rPr>
        <w:t>’</w:t>
      </w:r>
      <w:r w:rsidRPr="0011615C">
        <w:rPr>
          <w:lang w:val="fr-FR"/>
        </w:rPr>
        <w:t>assister le Ministère du Plan et du Développement dans la mise en œuvre du « Programme d</w:t>
      </w:r>
      <w:r w:rsidR="000C16F5">
        <w:rPr>
          <w:lang w:val="fr-FR"/>
        </w:rPr>
        <w:t>’</w:t>
      </w:r>
      <w:r w:rsidRPr="0011615C">
        <w:rPr>
          <w:lang w:val="fr-FR"/>
        </w:rPr>
        <w:t>appui à la Réduction de la Pauvreté et à la réalisation des OMD 2009‐2013 ». Ce programme est bâti autour d</w:t>
      </w:r>
      <w:r w:rsidR="000C16F5">
        <w:rPr>
          <w:lang w:val="fr-FR"/>
        </w:rPr>
        <w:t>’</w:t>
      </w:r>
      <w:r w:rsidRPr="0011615C">
        <w:rPr>
          <w:lang w:val="fr-FR"/>
        </w:rPr>
        <w:t>une démarche sexospécifique et distingue les besoins différenciés des jeunes hommes et des jeunes femmes. Il a permis de prendre en compte plus de 120 groupements d</w:t>
      </w:r>
      <w:r w:rsidR="000C16F5">
        <w:rPr>
          <w:lang w:val="fr-FR"/>
        </w:rPr>
        <w:t>’</w:t>
      </w:r>
      <w:r w:rsidRPr="0011615C">
        <w:rPr>
          <w:lang w:val="fr-FR"/>
        </w:rPr>
        <w:t>environ 5</w:t>
      </w:r>
      <w:r w:rsidR="00752D6E">
        <w:rPr>
          <w:lang w:val="fr-FR"/>
        </w:rPr>
        <w:t xml:space="preserve"> </w:t>
      </w:r>
      <w:r w:rsidRPr="0011615C">
        <w:rPr>
          <w:lang w:val="fr-FR"/>
        </w:rPr>
        <w:t>000 membres dont plus de 85</w:t>
      </w:r>
      <w:r w:rsidR="00DB4C05">
        <w:rPr>
          <w:lang w:val="fr-FR"/>
        </w:rPr>
        <w:t> %</w:t>
      </w:r>
      <w:r w:rsidRPr="0011615C">
        <w:rPr>
          <w:lang w:val="fr-FR"/>
        </w:rPr>
        <w:t xml:space="preserve"> sont des femmes. </w:t>
      </w:r>
    </w:p>
    <w:p w14:paraId="3861E2C1" w14:textId="5B9C9E5F" w:rsidR="00364BF3" w:rsidRPr="00190491" w:rsidRDefault="00364BF3" w:rsidP="008A6B29">
      <w:pPr>
        <w:pStyle w:val="SingleTxt"/>
        <w:numPr>
          <w:ilvl w:val="0"/>
          <w:numId w:val="9"/>
        </w:numPr>
        <w:spacing w:line="240" w:lineRule="exact"/>
        <w:rPr>
          <w:lang w:val="fr-FR"/>
        </w:rPr>
      </w:pPr>
      <w:r w:rsidRPr="00190491">
        <w:rPr>
          <w:lang w:val="fr-FR"/>
        </w:rPr>
        <w:t>L</w:t>
      </w:r>
      <w:r w:rsidR="000C16F5">
        <w:rPr>
          <w:lang w:val="fr-FR"/>
        </w:rPr>
        <w:t>’</w:t>
      </w:r>
      <w:r w:rsidRPr="00190491">
        <w:rPr>
          <w:lang w:val="fr-FR"/>
        </w:rPr>
        <w:t>ONU</w:t>
      </w:r>
      <w:r w:rsidRPr="00190491">
        <w:rPr>
          <w:iCs/>
          <w:lang w:val="fr-FR"/>
        </w:rPr>
        <w:t>-Femmes Côte d</w:t>
      </w:r>
      <w:r w:rsidR="000C16F5">
        <w:rPr>
          <w:iCs/>
          <w:lang w:val="fr-FR"/>
        </w:rPr>
        <w:t>’</w:t>
      </w:r>
      <w:r w:rsidRPr="00190491">
        <w:rPr>
          <w:iCs/>
          <w:lang w:val="fr-FR"/>
        </w:rPr>
        <w:t>Ivoire, depuis début 2016, met en œuvre un projet d</w:t>
      </w:r>
      <w:r w:rsidR="000C16F5">
        <w:rPr>
          <w:iCs/>
          <w:lang w:val="fr-FR"/>
        </w:rPr>
        <w:t>’</w:t>
      </w:r>
      <w:r w:rsidRPr="00190491">
        <w:rPr>
          <w:iCs/>
          <w:lang w:val="fr-FR"/>
        </w:rPr>
        <w:t>autonomisation économique des femmes ainsi que de gestion des conflits. Ce projet vise notamment à développer les chaînes de valeurs du Nord pour inclure les groupements de femmes et ainsi assurer une croissance inclusive tout en renforçant les capacités des femmes</w:t>
      </w:r>
      <w:r w:rsidRPr="00190491">
        <w:rPr>
          <w:lang w:val="fr-FR"/>
        </w:rPr>
        <w:t>.</w:t>
      </w:r>
    </w:p>
    <w:p w14:paraId="1E44C9A0" w14:textId="0F349D55" w:rsidR="00364BF3" w:rsidRPr="00190491" w:rsidRDefault="00364BF3" w:rsidP="008A6B29">
      <w:pPr>
        <w:pStyle w:val="SingleTxt"/>
        <w:numPr>
          <w:ilvl w:val="0"/>
          <w:numId w:val="9"/>
        </w:numPr>
        <w:spacing w:line="240" w:lineRule="exact"/>
        <w:rPr>
          <w:b/>
          <w:lang w:val="fr-FR"/>
        </w:rPr>
      </w:pPr>
      <w:r w:rsidRPr="00190491">
        <w:rPr>
          <w:b/>
          <w:lang w:val="fr-FR"/>
        </w:rPr>
        <w:t>D</w:t>
      </w:r>
      <w:r w:rsidR="000C16F5">
        <w:rPr>
          <w:b/>
          <w:lang w:val="fr-FR"/>
        </w:rPr>
        <w:t>’</w:t>
      </w:r>
      <w:r w:rsidRPr="00190491">
        <w:rPr>
          <w:b/>
          <w:lang w:val="fr-FR"/>
        </w:rPr>
        <w:t>améliorer la participation et la représentation des femmes au sein du mécanisme national d</w:t>
      </w:r>
      <w:r w:rsidR="000C16F5">
        <w:rPr>
          <w:b/>
          <w:lang w:val="fr-FR"/>
        </w:rPr>
        <w:t>’</w:t>
      </w:r>
      <w:r w:rsidRPr="00190491">
        <w:rPr>
          <w:b/>
          <w:lang w:val="fr-FR"/>
        </w:rPr>
        <w:t>autonomisation des femmes pour ce qui est de la prise de décisions et de l</w:t>
      </w:r>
      <w:r w:rsidR="000C16F5">
        <w:rPr>
          <w:b/>
          <w:lang w:val="fr-FR"/>
        </w:rPr>
        <w:t>’</w:t>
      </w:r>
      <w:r w:rsidRPr="00190491">
        <w:rPr>
          <w:b/>
          <w:lang w:val="fr-FR"/>
        </w:rPr>
        <w:t>élaboration et de la mise en œuvre des politiques, et de soutenir et coordonner l</w:t>
      </w:r>
      <w:r w:rsidR="000C16F5">
        <w:rPr>
          <w:b/>
          <w:lang w:val="fr-FR"/>
        </w:rPr>
        <w:t>’</w:t>
      </w:r>
      <w:r w:rsidRPr="00190491">
        <w:rPr>
          <w:b/>
          <w:lang w:val="fr-FR"/>
        </w:rPr>
        <w:t>utilisation effective de cette stratégie lors de l</w:t>
      </w:r>
      <w:r w:rsidR="000C16F5">
        <w:rPr>
          <w:b/>
          <w:lang w:val="fr-FR"/>
        </w:rPr>
        <w:t>’</w:t>
      </w:r>
      <w:r w:rsidRPr="00190491">
        <w:rPr>
          <w:b/>
          <w:lang w:val="fr-FR"/>
        </w:rPr>
        <w:t>élaboration, de l</w:t>
      </w:r>
      <w:r w:rsidR="000C16F5">
        <w:rPr>
          <w:b/>
          <w:lang w:val="fr-FR"/>
        </w:rPr>
        <w:t>’</w:t>
      </w:r>
      <w:r w:rsidRPr="00190491">
        <w:rPr>
          <w:b/>
          <w:lang w:val="fr-FR"/>
        </w:rPr>
        <w:t>application et de l</w:t>
      </w:r>
      <w:r w:rsidR="000C16F5">
        <w:rPr>
          <w:b/>
          <w:lang w:val="fr-FR"/>
        </w:rPr>
        <w:t>’</w:t>
      </w:r>
      <w:r w:rsidRPr="00190491">
        <w:rPr>
          <w:b/>
          <w:lang w:val="fr-FR"/>
        </w:rPr>
        <w:t xml:space="preserve">évaluation de tous les programmes, lois et politiques </w:t>
      </w:r>
      <w:r w:rsidR="00D81000">
        <w:rPr>
          <w:b/>
          <w:lang w:val="fr-FR"/>
        </w:rPr>
        <w:t>[</w:t>
      </w:r>
      <w:r w:rsidRPr="00190491">
        <w:rPr>
          <w:b/>
          <w:lang w:val="fr-FR"/>
        </w:rPr>
        <w:t xml:space="preserve">voir </w:t>
      </w:r>
      <w:hyperlink r:id="rId32"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23 b)</w:t>
      </w:r>
      <w:r w:rsidR="00D81000">
        <w:rPr>
          <w:b/>
          <w:lang w:val="fr-FR"/>
        </w:rPr>
        <w:t>]</w:t>
      </w:r>
      <w:r w:rsidRPr="00190491">
        <w:rPr>
          <w:b/>
          <w:lang w:val="fr-FR"/>
        </w:rPr>
        <w:t>.</w:t>
      </w:r>
    </w:p>
    <w:p w14:paraId="4FF7CBDA" w14:textId="34AD2710" w:rsidR="00364BF3" w:rsidRPr="00190491" w:rsidRDefault="00364BF3" w:rsidP="008A6B29">
      <w:pPr>
        <w:pStyle w:val="SingleTxt"/>
        <w:numPr>
          <w:ilvl w:val="0"/>
          <w:numId w:val="9"/>
        </w:numPr>
        <w:spacing w:line="240" w:lineRule="exact"/>
        <w:rPr>
          <w:lang w:val="fr-FR"/>
        </w:rPr>
      </w:pPr>
      <w:r w:rsidRPr="00190491">
        <w:rPr>
          <w:lang w:val="fr-FR"/>
        </w:rPr>
        <w:t xml:space="preserve">Le </w:t>
      </w:r>
      <w:r w:rsidRPr="00EC7FA7">
        <w:t>MPFFPE a démarré depuis 2012 le processus de l</w:t>
      </w:r>
      <w:r w:rsidR="000C16F5" w:rsidRPr="00EC7FA7">
        <w:t>’</w:t>
      </w:r>
      <w:r w:rsidRPr="00EC7FA7">
        <w:t>institutionnalisation de la budgétisation sensible au Genre par des actions de sensibilisation et de formation des décideurs et planificateurs. Ces actions sont menées en collaboration avec les Cellules Genre des Ministères chargés du Budget, de l</w:t>
      </w:r>
      <w:r w:rsidR="000C16F5" w:rsidRPr="00EC7FA7">
        <w:t>’</w:t>
      </w:r>
      <w:r w:rsidRPr="00EC7FA7">
        <w:t>économie et des finances et des autres ministères techniques</w:t>
      </w:r>
      <w:r w:rsidRPr="00190491">
        <w:rPr>
          <w:lang w:val="fr-FR"/>
        </w:rPr>
        <w:t xml:space="preserve">. </w:t>
      </w:r>
    </w:p>
    <w:p w14:paraId="70544408" w14:textId="7E0D573C" w:rsidR="00364BF3" w:rsidRPr="00190491" w:rsidRDefault="00364BF3" w:rsidP="008A6B29">
      <w:pPr>
        <w:pStyle w:val="SingleTxt"/>
        <w:numPr>
          <w:ilvl w:val="0"/>
          <w:numId w:val="11"/>
        </w:numPr>
        <w:spacing w:line="240" w:lineRule="exact"/>
        <w:rPr>
          <w:lang w:val="fr-FR"/>
        </w:rPr>
      </w:pPr>
      <w:r w:rsidRPr="00190491">
        <w:rPr>
          <w:lang w:val="fr-FR"/>
        </w:rPr>
        <w:t>Par ailleurs, le pays a commencé depuis 2012 dans les ministères techniques à expérimenter le Cadre de Dépense à Moyen Terme (CDMT), conformément aux directives de l</w:t>
      </w:r>
      <w:r w:rsidR="000C16F5">
        <w:rPr>
          <w:lang w:val="fr-FR"/>
        </w:rPr>
        <w:t>’</w:t>
      </w:r>
      <w:r w:rsidRPr="00190491">
        <w:rPr>
          <w:lang w:val="fr-FR"/>
        </w:rPr>
        <w:t>UEMOA.</w:t>
      </w:r>
    </w:p>
    <w:p w14:paraId="6BC2DEF0" w14:textId="34E3845E" w:rsidR="00364BF3" w:rsidRPr="00190491" w:rsidRDefault="00364BF3" w:rsidP="008A6B29">
      <w:pPr>
        <w:pStyle w:val="SingleTxt"/>
        <w:numPr>
          <w:ilvl w:val="0"/>
          <w:numId w:val="11"/>
        </w:numPr>
        <w:spacing w:line="240" w:lineRule="exact"/>
        <w:rPr>
          <w:lang w:val="fr-FR"/>
        </w:rPr>
      </w:pPr>
      <w:r w:rsidRPr="00190491">
        <w:rPr>
          <w:lang w:val="fr-FR"/>
        </w:rPr>
        <w:t>L</w:t>
      </w:r>
      <w:r w:rsidR="000C16F5">
        <w:rPr>
          <w:lang w:val="fr-FR"/>
        </w:rPr>
        <w:t>’</w:t>
      </w:r>
      <w:r w:rsidRPr="00190491">
        <w:rPr>
          <w:lang w:val="fr-FR"/>
        </w:rPr>
        <w:t>élaboration en 2011 du COCOFCI permet aujourd</w:t>
      </w:r>
      <w:r w:rsidR="000C16F5">
        <w:rPr>
          <w:lang w:val="fr-FR"/>
        </w:rPr>
        <w:t>’</w:t>
      </w:r>
      <w:r w:rsidRPr="00190491">
        <w:rPr>
          <w:lang w:val="fr-FR"/>
        </w:rPr>
        <w:t>hui de renforcer la visibilité, des femmes et de disposer d</w:t>
      </w:r>
      <w:r w:rsidR="000C16F5">
        <w:rPr>
          <w:lang w:val="fr-FR"/>
        </w:rPr>
        <w:t>’</w:t>
      </w:r>
      <w:r w:rsidRPr="00190491">
        <w:rPr>
          <w:lang w:val="fr-FR"/>
        </w:rPr>
        <w:t>une base de données actualisées sur les ressources humaines féminines en Côte d</w:t>
      </w:r>
      <w:r w:rsidR="000C16F5">
        <w:rPr>
          <w:lang w:val="fr-FR"/>
        </w:rPr>
        <w:t>’</w:t>
      </w:r>
      <w:r w:rsidRPr="00190491">
        <w:rPr>
          <w:lang w:val="fr-FR"/>
        </w:rPr>
        <w:t>Ivoire.</w:t>
      </w:r>
    </w:p>
    <w:p w14:paraId="2DEF9D17" w14:textId="13CE76C0" w:rsidR="00364BF3" w:rsidRPr="00190491" w:rsidRDefault="00C10A78" w:rsidP="008A6B29">
      <w:pPr>
        <w:pStyle w:val="SingleTxt"/>
        <w:numPr>
          <w:ilvl w:val="0"/>
          <w:numId w:val="11"/>
        </w:numPr>
        <w:spacing w:line="240" w:lineRule="exact"/>
        <w:rPr>
          <w:lang w:val="fr-FR"/>
        </w:rPr>
      </w:pPr>
      <w:r w:rsidRPr="00190491">
        <w:rPr>
          <w:bCs/>
          <w:lang w:val="fr-FR"/>
        </w:rPr>
        <w:t>À</w:t>
      </w:r>
      <w:r w:rsidR="00364BF3" w:rsidRPr="00190491">
        <w:rPr>
          <w:bCs/>
          <w:lang w:val="fr-FR"/>
        </w:rPr>
        <w:t xml:space="preserve"> travers la création d</w:t>
      </w:r>
      <w:r w:rsidR="000C16F5">
        <w:rPr>
          <w:bCs/>
          <w:lang w:val="fr-FR"/>
        </w:rPr>
        <w:t>’</w:t>
      </w:r>
      <w:r w:rsidR="00364BF3" w:rsidRPr="00190491">
        <w:rPr>
          <w:bCs/>
          <w:lang w:val="fr-FR"/>
        </w:rPr>
        <w:t xml:space="preserve">un </w:t>
      </w:r>
      <w:r w:rsidR="00364BF3" w:rsidRPr="00190491">
        <w:rPr>
          <w:lang w:val="fr-FR"/>
        </w:rPr>
        <w:t>Observatoire National de l</w:t>
      </w:r>
      <w:r w:rsidR="000C16F5">
        <w:rPr>
          <w:lang w:val="fr-FR"/>
        </w:rPr>
        <w:t>’</w:t>
      </w:r>
      <w:r w:rsidRPr="00190491">
        <w:rPr>
          <w:lang w:val="fr-FR"/>
        </w:rPr>
        <w:t>Équité</w:t>
      </w:r>
      <w:r w:rsidR="00364BF3" w:rsidRPr="00190491">
        <w:rPr>
          <w:lang w:val="fr-FR"/>
        </w:rPr>
        <w:t xml:space="preserve"> et du Genre (ONEG), l</w:t>
      </w:r>
      <w:r w:rsidR="000C16F5">
        <w:rPr>
          <w:lang w:val="fr-FR"/>
        </w:rPr>
        <w:t>’</w:t>
      </w:r>
      <w:r w:rsidRPr="00190491">
        <w:rPr>
          <w:lang w:val="fr-FR"/>
        </w:rPr>
        <w:t>État</w:t>
      </w:r>
      <w:r w:rsidR="00364BF3" w:rsidRPr="00190491">
        <w:rPr>
          <w:lang w:val="fr-FR"/>
        </w:rPr>
        <w:t xml:space="preserve"> de Côte d</w:t>
      </w:r>
      <w:r w:rsidR="000C16F5">
        <w:rPr>
          <w:lang w:val="fr-FR"/>
        </w:rPr>
        <w:t>’</w:t>
      </w:r>
      <w:r w:rsidR="00364BF3" w:rsidRPr="00190491">
        <w:rPr>
          <w:lang w:val="fr-FR"/>
        </w:rPr>
        <w:t>Ivoire compte développer des outils de mesure de la prise en compte des besoins spécifiques des femmes et de leur représentativité dans les sphères de décision ainsi que dans l</w:t>
      </w:r>
      <w:r w:rsidR="000C16F5">
        <w:rPr>
          <w:lang w:val="fr-FR"/>
        </w:rPr>
        <w:t>’</w:t>
      </w:r>
      <w:r w:rsidR="00364BF3" w:rsidRPr="00190491">
        <w:rPr>
          <w:lang w:val="fr-FR"/>
        </w:rPr>
        <w:t xml:space="preserve">élaboration, la mise en œuvre et le suivi des programmes et politiques. </w:t>
      </w:r>
    </w:p>
    <w:p w14:paraId="5C6A5797" w14:textId="34C05C96" w:rsidR="00364BF3" w:rsidRPr="00190491" w:rsidRDefault="00364BF3" w:rsidP="008A6B29">
      <w:pPr>
        <w:pStyle w:val="SingleTxt"/>
        <w:numPr>
          <w:ilvl w:val="0"/>
          <w:numId w:val="11"/>
        </w:numPr>
        <w:spacing w:line="240" w:lineRule="exact"/>
        <w:rPr>
          <w:lang w:val="fr-FR"/>
        </w:rPr>
      </w:pPr>
      <w:r w:rsidRPr="00190491">
        <w:rPr>
          <w:lang w:val="fr-FR"/>
        </w:rPr>
        <w:lastRenderedPageBreak/>
        <w:t>En outre, la création et le renforcement des Cellules Techniques Genre (CTG) permettent d</w:t>
      </w:r>
      <w:r w:rsidR="000C16F5">
        <w:rPr>
          <w:lang w:val="fr-FR"/>
        </w:rPr>
        <w:t>’</w:t>
      </w:r>
      <w:r w:rsidRPr="00190491">
        <w:rPr>
          <w:lang w:val="fr-FR"/>
        </w:rPr>
        <w:t>intégrer la dimension genre dans tous les ministères et services techniques.</w:t>
      </w:r>
    </w:p>
    <w:p w14:paraId="76AF2CB2" w14:textId="79341E7D" w:rsidR="00364BF3" w:rsidRPr="00190491" w:rsidRDefault="00364BF3" w:rsidP="008A6B29">
      <w:pPr>
        <w:pStyle w:val="SingleTxt"/>
        <w:numPr>
          <w:ilvl w:val="0"/>
          <w:numId w:val="11"/>
        </w:numPr>
        <w:spacing w:line="240" w:lineRule="exact"/>
        <w:rPr>
          <w:lang w:val="fr-FR"/>
        </w:rPr>
      </w:pPr>
      <w:r w:rsidRPr="00190491">
        <w:rPr>
          <w:lang w:val="fr-FR"/>
        </w:rPr>
        <w:t>Dans le cadre de la mesure de l</w:t>
      </w:r>
      <w:r w:rsidR="000C16F5">
        <w:rPr>
          <w:lang w:val="fr-FR"/>
        </w:rPr>
        <w:t>’</w:t>
      </w:r>
      <w:r w:rsidRPr="00190491">
        <w:rPr>
          <w:lang w:val="fr-FR"/>
        </w:rPr>
        <w:t>institutionnalisation du genre dans le dispositif des Ministères de la Côte d</w:t>
      </w:r>
      <w:r w:rsidR="000C16F5">
        <w:rPr>
          <w:lang w:val="fr-FR"/>
        </w:rPr>
        <w:t>’</w:t>
      </w:r>
      <w:r w:rsidRPr="00190491">
        <w:rPr>
          <w:lang w:val="fr-FR"/>
        </w:rPr>
        <w:t>Ivoire, 3 Ministères</w:t>
      </w:r>
      <w:r w:rsidRPr="00300E48">
        <w:rPr>
          <w:rStyle w:val="FootnoteReference"/>
          <w:lang w:val="fr-FR"/>
        </w:rPr>
        <w:footnoteReference w:id="5"/>
      </w:r>
      <w:r w:rsidRPr="00190491">
        <w:rPr>
          <w:lang w:val="fr-FR"/>
        </w:rPr>
        <w:t>ont été identifiés en 2016 pour participer à l</w:t>
      </w:r>
      <w:r w:rsidR="000C16F5">
        <w:rPr>
          <w:lang w:val="fr-FR"/>
        </w:rPr>
        <w:t>’</w:t>
      </w:r>
      <w:r w:rsidRPr="00190491">
        <w:rPr>
          <w:lang w:val="fr-FR"/>
        </w:rPr>
        <w:t>exercice de l</w:t>
      </w:r>
      <w:r w:rsidR="000C16F5">
        <w:rPr>
          <w:lang w:val="fr-FR"/>
        </w:rPr>
        <w:t>’</w:t>
      </w:r>
      <w:r w:rsidRPr="00190491">
        <w:rPr>
          <w:lang w:val="fr-FR"/>
        </w:rPr>
        <w:t>audit genre. Cet exercice permettra aux 4 ministères de disposer d</w:t>
      </w:r>
      <w:r w:rsidR="000C16F5">
        <w:rPr>
          <w:lang w:val="fr-FR"/>
        </w:rPr>
        <w:t>’</w:t>
      </w:r>
      <w:r w:rsidRPr="00190491">
        <w:rPr>
          <w:lang w:val="fr-FR"/>
        </w:rPr>
        <w:t>un diagnostic leur permettant d</w:t>
      </w:r>
      <w:r w:rsidR="000C16F5">
        <w:rPr>
          <w:lang w:val="fr-FR"/>
        </w:rPr>
        <w:t>’</w:t>
      </w:r>
      <w:r w:rsidRPr="00190491">
        <w:rPr>
          <w:lang w:val="fr-FR"/>
        </w:rPr>
        <w:t>identifier les lacunes à combler, d</w:t>
      </w:r>
      <w:r w:rsidR="000C16F5">
        <w:rPr>
          <w:lang w:val="fr-FR"/>
        </w:rPr>
        <w:t>’</w:t>
      </w:r>
      <w:r w:rsidRPr="00190491">
        <w:rPr>
          <w:lang w:val="fr-FR"/>
        </w:rPr>
        <w:t>analyser et de mettre en œuvre des recommandations pour une prise en compte appropriée des considérations de genre, contribuant ainsi à la progression vers l</w:t>
      </w:r>
      <w:r w:rsidR="000C16F5">
        <w:rPr>
          <w:lang w:val="fr-FR"/>
        </w:rPr>
        <w:t>’</w:t>
      </w:r>
      <w:r w:rsidRPr="00190491">
        <w:rPr>
          <w:lang w:val="fr-FR"/>
        </w:rPr>
        <w:t>émergence de la Côte d</w:t>
      </w:r>
      <w:r w:rsidR="000C16F5">
        <w:rPr>
          <w:lang w:val="fr-FR"/>
        </w:rPr>
        <w:t>’</w:t>
      </w:r>
      <w:r w:rsidRPr="00190491">
        <w:rPr>
          <w:lang w:val="fr-FR"/>
        </w:rPr>
        <w:t>Ivoire à l</w:t>
      </w:r>
      <w:r w:rsidR="000C16F5">
        <w:rPr>
          <w:lang w:val="fr-FR"/>
        </w:rPr>
        <w:t>’</w:t>
      </w:r>
      <w:r w:rsidRPr="00190491">
        <w:rPr>
          <w:lang w:val="fr-FR"/>
        </w:rPr>
        <w:t>horizon 2020. Avec l</w:t>
      </w:r>
      <w:r w:rsidR="000C16F5">
        <w:rPr>
          <w:lang w:val="fr-FR"/>
        </w:rPr>
        <w:t>’</w:t>
      </w:r>
      <w:r w:rsidRPr="00190491">
        <w:rPr>
          <w:lang w:val="fr-FR"/>
        </w:rPr>
        <w:t>appui financier et technique de l</w:t>
      </w:r>
      <w:r w:rsidR="000C16F5">
        <w:rPr>
          <w:lang w:val="fr-FR"/>
        </w:rPr>
        <w:t>’</w:t>
      </w:r>
      <w:r w:rsidRPr="00190491">
        <w:rPr>
          <w:lang w:val="fr-FR"/>
        </w:rPr>
        <w:t xml:space="preserve">ONUFEMMES et du BIT, 2 consultants ont été recrutés et le processus suit son cours. </w:t>
      </w:r>
    </w:p>
    <w:p w14:paraId="395297A2" w14:textId="77956A24" w:rsidR="00364BF3" w:rsidRPr="00190491" w:rsidRDefault="00364BF3" w:rsidP="008A6B29">
      <w:pPr>
        <w:pStyle w:val="SingleTxt"/>
        <w:numPr>
          <w:ilvl w:val="0"/>
          <w:numId w:val="11"/>
        </w:numPr>
        <w:spacing w:line="240" w:lineRule="exact"/>
        <w:rPr>
          <w:b/>
          <w:lang w:val="fr-FR"/>
        </w:rPr>
      </w:pPr>
      <w:r w:rsidRPr="00190491">
        <w:rPr>
          <w:b/>
          <w:lang w:val="fr-FR"/>
        </w:rPr>
        <w:t>De promouvoir l</w:t>
      </w:r>
      <w:r w:rsidR="000C16F5">
        <w:rPr>
          <w:b/>
          <w:lang w:val="fr-FR"/>
        </w:rPr>
        <w:t>’</w:t>
      </w:r>
      <w:r w:rsidRPr="00190491">
        <w:rPr>
          <w:b/>
          <w:lang w:val="fr-FR"/>
        </w:rPr>
        <w:t xml:space="preserve">institutionnalisation de la problématique hommes/femmes dans tous les organismes intergouvernementaux </w:t>
      </w:r>
      <w:r w:rsidR="00D81000">
        <w:rPr>
          <w:b/>
          <w:lang w:val="fr-FR"/>
        </w:rPr>
        <w:t>[</w:t>
      </w:r>
      <w:r w:rsidRPr="00190491">
        <w:rPr>
          <w:b/>
          <w:lang w:val="fr-FR"/>
        </w:rPr>
        <w:t xml:space="preserve">voir </w:t>
      </w:r>
      <w:hyperlink r:id="rId33" w:history="1">
        <w:r w:rsidRPr="007B345A">
          <w:rPr>
            <w:rStyle w:val="Hyperlink"/>
            <w:b/>
            <w:lang w:val="fr-FR"/>
          </w:rPr>
          <w:t>CEDAW/C/CIV/CO/1-3</w:t>
        </w:r>
      </w:hyperlink>
      <w:r w:rsidRPr="007B345A">
        <w:rPr>
          <w:b/>
          <w:lang w:val="fr-FR"/>
        </w:rPr>
        <w:t>,</w:t>
      </w:r>
      <w:r w:rsidRPr="00190491">
        <w:rPr>
          <w:b/>
          <w:lang w:val="fr-FR"/>
        </w:rPr>
        <w:t xml:space="preserve"> </w:t>
      </w:r>
      <w:r w:rsidR="006862B3">
        <w:rPr>
          <w:b/>
          <w:lang w:val="fr-FR"/>
        </w:rPr>
        <w:t>par. </w:t>
      </w:r>
      <w:r w:rsidRPr="00190491">
        <w:rPr>
          <w:b/>
          <w:lang w:val="fr-FR"/>
        </w:rPr>
        <w:t>23 c)</w:t>
      </w:r>
      <w:r w:rsidR="00D81000">
        <w:rPr>
          <w:b/>
          <w:lang w:val="fr-FR"/>
        </w:rPr>
        <w:t>]</w:t>
      </w:r>
      <w:r w:rsidRPr="00190491">
        <w:rPr>
          <w:b/>
          <w:lang w:val="fr-FR"/>
        </w:rPr>
        <w:t>.</w:t>
      </w:r>
    </w:p>
    <w:p w14:paraId="308FFC24" w14:textId="31F1B69F" w:rsidR="00364BF3" w:rsidRPr="00190491" w:rsidRDefault="00364BF3" w:rsidP="008A6B29">
      <w:pPr>
        <w:pStyle w:val="SingleTxt"/>
        <w:numPr>
          <w:ilvl w:val="0"/>
          <w:numId w:val="11"/>
        </w:numPr>
        <w:spacing w:line="240" w:lineRule="exact"/>
        <w:rPr>
          <w:lang w:val="fr-FR"/>
        </w:rPr>
      </w:pPr>
      <w:r w:rsidRPr="00190491">
        <w:rPr>
          <w:lang w:val="fr-FR"/>
        </w:rPr>
        <w:t>La Côte d</w:t>
      </w:r>
      <w:r w:rsidR="000C16F5">
        <w:rPr>
          <w:lang w:val="fr-FR"/>
        </w:rPr>
        <w:t>’</w:t>
      </w:r>
      <w:r w:rsidRPr="00190491">
        <w:rPr>
          <w:lang w:val="fr-FR"/>
        </w:rPr>
        <w:t>Ivoire a ratifié plusieurs conventions et participe aux rencontres sous régionales et africaines pour une meilleure coordination des actions de prise en compte des besoins des hommes et des femmes en Afrique. Il s</w:t>
      </w:r>
      <w:r w:rsidR="000C16F5">
        <w:rPr>
          <w:lang w:val="fr-FR"/>
        </w:rPr>
        <w:t>’</w:t>
      </w:r>
      <w:r w:rsidRPr="00190491">
        <w:rPr>
          <w:lang w:val="fr-FR"/>
        </w:rPr>
        <w:t>agit notamment</w:t>
      </w:r>
      <w:r w:rsidR="008945B3">
        <w:rPr>
          <w:lang w:val="fr-FR"/>
        </w:rPr>
        <w:t> :</w:t>
      </w:r>
      <w:r w:rsidRPr="00190491">
        <w:rPr>
          <w:lang w:val="fr-FR"/>
        </w:rPr>
        <w:t xml:space="preserve"> i) la ratification du protocole de MAPUTO (le protocole additionnel à la charte africaine des Droits de l</w:t>
      </w:r>
      <w:r w:rsidR="000C16F5">
        <w:rPr>
          <w:lang w:val="fr-FR"/>
        </w:rPr>
        <w:t>’</w:t>
      </w:r>
      <w:r w:rsidRPr="00190491">
        <w:rPr>
          <w:lang w:val="fr-FR"/>
        </w:rPr>
        <w:t>homme et des peuples relatifs aux droits de la Femme en mars 2012</w:t>
      </w:r>
      <w:r w:rsidR="00DB4C05">
        <w:rPr>
          <w:lang w:val="fr-FR"/>
        </w:rPr>
        <w:t> ;</w:t>
      </w:r>
      <w:r w:rsidRPr="00190491">
        <w:rPr>
          <w:lang w:val="fr-FR"/>
        </w:rPr>
        <w:t xml:space="preserve"> ii) la conférence sous régionale sur les femmes de l</w:t>
      </w:r>
      <w:r w:rsidR="000C16F5">
        <w:rPr>
          <w:lang w:val="fr-FR"/>
        </w:rPr>
        <w:t>’</w:t>
      </w:r>
      <w:r w:rsidRPr="00190491">
        <w:rPr>
          <w:lang w:val="fr-FR"/>
        </w:rPr>
        <w:t>espace CEDEAO Genre</w:t>
      </w:r>
      <w:r w:rsidR="00DB4C05">
        <w:rPr>
          <w:lang w:val="fr-FR"/>
        </w:rPr>
        <w:t> ;</w:t>
      </w:r>
      <w:r w:rsidRPr="00190491">
        <w:rPr>
          <w:lang w:val="fr-FR"/>
        </w:rPr>
        <w:t xml:space="preserve"> iii) la collaboration avec le Centre de la CEDEAO pour le Développement du Genre</w:t>
      </w:r>
      <w:r w:rsidR="00DB4C05">
        <w:rPr>
          <w:lang w:val="fr-FR"/>
        </w:rPr>
        <w:t> ;</w:t>
      </w:r>
      <w:r w:rsidRPr="00190491">
        <w:rPr>
          <w:lang w:val="fr-FR"/>
        </w:rPr>
        <w:t xml:space="preserve"> iv) des conférences ministérielles régionales sur les femmes, Centre de conférences des Nations Unis à Addis-Abeba en </w:t>
      </w:r>
      <w:r w:rsidR="00C10A78" w:rsidRPr="00190491">
        <w:rPr>
          <w:lang w:val="fr-FR"/>
        </w:rPr>
        <w:t>Éthiopie</w:t>
      </w:r>
      <w:r w:rsidRPr="00190491">
        <w:rPr>
          <w:lang w:val="fr-FR"/>
        </w:rPr>
        <w:t> (CEA)</w:t>
      </w:r>
      <w:r w:rsidR="00DB4C05">
        <w:rPr>
          <w:lang w:val="fr-FR"/>
        </w:rPr>
        <w:t> ;</w:t>
      </w:r>
      <w:r w:rsidRPr="00190491">
        <w:rPr>
          <w:lang w:val="fr-FR"/>
        </w:rPr>
        <w:t xml:space="preserve"> v) des conférences des femmes ministres de l</w:t>
      </w:r>
      <w:r w:rsidR="000C16F5">
        <w:rPr>
          <w:lang w:val="fr-FR"/>
        </w:rPr>
        <w:t>’</w:t>
      </w:r>
      <w:r w:rsidRPr="00190491">
        <w:rPr>
          <w:lang w:val="fr-FR"/>
        </w:rPr>
        <w:t>Union Africaine</w:t>
      </w:r>
      <w:r w:rsidR="00DB4C05">
        <w:rPr>
          <w:lang w:val="fr-FR"/>
        </w:rPr>
        <w:t> ;</w:t>
      </w:r>
      <w:r w:rsidRPr="00190491">
        <w:rPr>
          <w:lang w:val="fr-FR"/>
        </w:rPr>
        <w:t xml:space="preserve"> vi) l</w:t>
      </w:r>
      <w:r w:rsidR="000C16F5">
        <w:rPr>
          <w:lang w:val="fr-FR"/>
        </w:rPr>
        <w:t>’</w:t>
      </w:r>
      <w:r w:rsidRPr="00190491">
        <w:rPr>
          <w:lang w:val="fr-FR"/>
        </w:rPr>
        <w:t>IDISA</w:t>
      </w:r>
      <w:r w:rsidR="008945B3">
        <w:rPr>
          <w:lang w:val="fr-FR"/>
        </w:rPr>
        <w:t> :</w:t>
      </w:r>
      <w:r w:rsidRPr="00190491">
        <w:rPr>
          <w:lang w:val="fr-FR"/>
        </w:rPr>
        <w:t xml:space="preserve"> l</w:t>
      </w:r>
      <w:r w:rsidR="000C16F5">
        <w:rPr>
          <w:lang w:val="fr-FR"/>
        </w:rPr>
        <w:t>’</w:t>
      </w:r>
      <w:r w:rsidRPr="00190491">
        <w:rPr>
          <w:lang w:val="fr-FR"/>
        </w:rPr>
        <w:t>Indicateur de développement et des inégalités entre les sexes</w:t>
      </w:r>
      <w:r w:rsidR="00DB4C05">
        <w:rPr>
          <w:lang w:val="fr-FR"/>
        </w:rPr>
        <w:t> ;</w:t>
      </w:r>
      <w:r w:rsidRPr="00190491">
        <w:rPr>
          <w:lang w:val="fr-FR"/>
        </w:rPr>
        <w:t xml:space="preserve"> vii) la collaboration avec l</w:t>
      </w:r>
      <w:r w:rsidR="000C16F5">
        <w:rPr>
          <w:lang w:val="fr-FR"/>
        </w:rPr>
        <w:t>’</w:t>
      </w:r>
      <w:r w:rsidRPr="00190491">
        <w:rPr>
          <w:lang w:val="fr-FR"/>
        </w:rPr>
        <w:t>agence intergouvernementale de la francophonie</w:t>
      </w:r>
      <w:r w:rsidR="00DB4C05">
        <w:rPr>
          <w:lang w:val="fr-FR"/>
        </w:rPr>
        <w:t> ;</w:t>
      </w:r>
      <w:r w:rsidRPr="00190491">
        <w:rPr>
          <w:lang w:val="fr-FR"/>
        </w:rPr>
        <w:t xml:space="preserve"> viii) la Résolution 1325, la Déclaration des Chefs d</w:t>
      </w:r>
      <w:r w:rsidR="000C16F5">
        <w:rPr>
          <w:lang w:val="fr-FR"/>
        </w:rPr>
        <w:t>’</w:t>
      </w:r>
      <w:r w:rsidR="00C10A78" w:rsidRPr="00190491">
        <w:rPr>
          <w:lang w:val="fr-FR"/>
        </w:rPr>
        <w:t>États</w:t>
      </w:r>
      <w:r w:rsidRPr="00190491">
        <w:rPr>
          <w:lang w:val="fr-FR"/>
        </w:rPr>
        <w:t xml:space="preserve"> de l</w:t>
      </w:r>
      <w:r w:rsidR="000C16F5">
        <w:rPr>
          <w:lang w:val="fr-FR"/>
        </w:rPr>
        <w:t>’</w:t>
      </w:r>
      <w:r w:rsidRPr="00190491">
        <w:rPr>
          <w:lang w:val="fr-FR"/>
        </w:rPr>
        <w:t>UA sur l</w:t>
      </w:r>
      <w:r w:rsidR="000C16F5">
        <w:rPr>
          <w:lang w:val="fr-FR"/>
        </w:rPr>
        <w:t>’</w:t>
      </w:r>
      <w:r w:rsidRPr="00190491">
        <w:rPr>
          <w:lang w:val="fr-FR"/>
        </w:rPr>
        <w:t>égalité Homme/Femme. Et iv) l</w:t>
      </w:r>
      <w:r w:rsidR="000C16F5">
        <w:rPr>
          <w:lang w:val="fr-FR"/>
        </w:rPr>
        <w:t>’</w:t>
      </w:r>
      <w:r w:rsidRPr="00190491">
        <w:rPr>
          <w:lang w:val="fr-FR"/>
        </w:rPr>
        <w:t>Académie de l</w:t>
      </w:r>
      <w:r w:rsidR="000C16F5">
        <w:rPr>
          <w:lang w:val="fr-FR"/>
        </w:rPr>
        <w:t>’</w:t>
      </w:r>
      <w:r w:rsidRPr="00190491">
        <w:rPr>
          <w:lang w:val="fr-FR"/>
        </w:rPr>
        <w:t>UA pour le leadership sur le thème</w:t>
      </w:r>
      <w:r w:rsidR="008945B3">
        <w:rPr>
          <w:lang w:val="fr-FR"/>
        </w:rPr>
        <w:t> :</w:t>
      </w:r>
      <w:r w:rsidRPr="00190491">
        <w:rPr>
          <w:lang w:val="fr-FR"/>
        </w:rPr>
        <w:t xml:space="preserve"> la contribution du protocole de MAPUTO relatif aux droits des Femmes dans la transformation des rôles traditionnels des deux sexes en Afrique</w:t>
      </w:r>
      <w:r w:rsidR="008945B3">
        <w:rPr>
          <w:lang w:val="fr-FR"/>
        </w:rPr>
        <w:t> :</w:t>
      </w:r>
      <w:r w:rsidRPr="00190491">
        <w:rPr>
          <w:lang w:val="fr-FR"/>
        </w:rPr>
        <w:t xml:space="preserve"> bilan, possibilités et responsabilités en juillet 2016.</w:t>
      </w:r>
    </w:p>
    <w:p w14:paraId="1EC8C633" w14:textId="052FCD72" w:rsidR="00364BF3" w:rsidRPr="00190491" w:rsidRDefault="00364BF3" w:rsidP="008A6B29">
      <w:pPr>
        <w:pStyle w:val="SingleTxt"/>
        <w:numPr>
          <w:ilvl w:val="0"/>
          <w:numId w:val="11"/>
        </w:numPr>
        <w:spacing w:line="240" w:lineRule="exact"/>
        <w:rPr>
          <w:b/>
          <w:lang w:val="fr-FR"/>
        </w:rPr>
      </w:pPr>
      <w:r w:rsidRPr="00190491">
        <w:rPr>
          <w:b/>
          <w:lang w:val="fr-FR"/>
        </w:rPr>
        <w:t>De renforcer, en collaboration avec d</w:t>
      </w:r>
      <w:r w:rsidR="000C16F5">
        <w:rPr>
          <w:b/>
          <w:lang w:val="fr-FR"/>
        </w:rPr>
        <w:t>’</w:t>
      </w:r>
      <w:r w:rsidRPr="00190491">
        <w:rPr>
          <w:b/>
          <w:lang w:val="fr-FR"/>
        </w:rPr>
        <w:t>autres ministères, ses mécanismes de surveillance de l</w:t>
      </w:r>
      <w:r w:rsidR="000C16F5">
        <w:rPr>
          <w:b/>
          <w:lang w:val="fr-FR"/>
        </w:rPr>
        <w:t>’</w:t>
      </w:r>
      <w:r w:rsidRPr="00190491">
        <w:rPr>
          <w:b/>
          <w:lang w:val="fr-FR"/>
        </w:rPr>
        <w:t>application des lois et plans d</w:t>
      </w:r>
      <w:r w:rsidR="000C16F5">
        <w:rPr>
          <w:b/>
          <w:lang w:val="fr-FR"/>
        </w:rPr>
        <w:t>’</w:t>
      </w:r>
      <w:r w:rsidRPr="00190491">
        <w:rPr>
          <w:b/>
          <w:lang w:val="fr-FR"/>
        </w:rPr>
        <w:t xml:space="preserve">action visant à instaurer une égalité de fait entre les hommes et les femmes </w:t>
      </w:r>
      <w:r w:rsidR="00D81000">
        <w:rPr>
          <w:b/>
          <w:lang w:val="fr-FR"/>
        </w:rPr>
        <w:t>[</w:t>
      </w:r>
      <w:r w:rsidRPr="00190491">
        <w:rPr>
          <w:b/>
          <w:lang w:val="fr-FR"/>
        </w:rPr>
        <w:t xml:space="preserve">voir </w:t>
      </w:r>
      <w:hyperlink r:id="rId34"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23 d)</w:t>
      </w:r>
      <w:r w:rsidR="00D81000">
        <w:rPr>
          <w:b/>
          <w:lang w:val="fr-FR"/>
        </w:rPr>
        <w:t>]</w:t>
      </w:r>
      <w:r w:rsidRPr="00190491">
        <w:rPr>
          <w:b/>
          <w:lang w:val="fr-FR"/>
        </w:rPr>
        <w:t>.</w:t>
      </w:r>
    </w:p>
    <w:p w14:paraId="17685331" w14:textId="0C481495" w:rsidR="00364BF3" w:rsidRPr="00190491" w:rsidRDefault="00364BF3" w:rsidP="008A6B29">
      <w:pPr>
        <w:pStyle w:val="SingleTxt"/>
        <w:numPr>
          <w:ilvl w:val="0"/>
          <w:numId w:val="11"/>
        </w:numPr>
        <w:spacing w:line="240" w:lineRule="exact"/>
        <w:rPr>
          <w:lang w:val="fr-FR"/>
        </w:rPr>
      </w:pPr>
      <w:r w:rsidRPr="00190491">
        <w:rPr>
          <w:lang w:val="fr-FR"/>
        </w:rPr>
        <w:t>Notons 21 cellules genres et points focaux et 4 directions du genre (ANADER, Ministère de l</w:t>
      </w:r>
      <w:r w:rsidR="000C16F5">
        <w:rPr>
          <w:lang w:val="fr-FR"/>
        </w:rPr>
        <w:t>’</w:t>
      </w:r>
      <w:r w:rsidRPr="00190491">
        <w:rPr>
          <w:lang w:val="fr-FR"/>
        </w:rPr>
        <w:t>Enseignement Supérieur, BNEPT et Ministère de la Formation professionnelle et de l</w:t>
      </w:r>
      <w:r w:rsidR="000C16F5">
        <w:rPr>
          <w:lang w:val="fr-FR"/>
        </w:rPr>
        <w:t>’</w:t>
      </w:r>
      <w:r w:rsidRPr="00190491">
        <w:rPr>
          <w:lang w:val="fr-FR"/>
        </w:rPr>
        <w:t>Enseignement technique) qui œuvrent à la prise en compte de la dimension genre dans les différentes structures en 2016.</w:t>
      </w:r>
    </w:p>
    <w:p w14:paraId="184C4F47" w14:textId="73AD4F2C" w:rsidR="00364BF3" w:rsidRPr="00190491" w:rsidRDefault="00364BF3" w:rsidP="008A6B29">
      <w:pPr>
        <w:pStyle w:val="SingleTxt"/>
        <w:numPr>
          <w:ilvl w:val="0"/>
          <w:numId w:val="11"/>
        </w:numPr>
        <w:spacing w:line="240" w:lineRule="exact"/>
        <w:rPr>
          <w:lang w:val="fr-FR"/>
        </w:rPr>
      </w:pPr>
      <w:r w:rsidRPr="00190491">
        <w:rPr>
          <w:lang w:val="fr-FR"/>
        </w:rPr>
        <w:t>Un Caucus des Femmes Parlementaires mis en place depuis mai 2014 avec l</w:t>
      </w:r>
      <w:r w:rsidR="000C16F5">
        <w:rPr>
          <w:lang w:val="fr-FR"/>
        </w:rPr>
        <w:t>’</w:t>
      </w:r>
      <w:r w:rsidRPr="00190491">
        <w:rPr>
          <w:lang w:val="fr-FR"/>
        </w:rPr>
        <w:t xml:space="preserve">appui du MSFFPE vise à impulser la prise en compte du genre dans les 3 fonctions Parlementaires (représentation, contrôle et vote des lois). </w:t>
      </w:r>
    </w:p>
    <w:p w14:paraId="428A0D6A" w14:textId="78232170" w:rsidR="00364BF3" w:rsidRPr="00190491" w:rsidRDefault="00364BF3" w:rsidP="008A6B29">
      <w:pPr>
        <w:pStyle w:val="SingleTxt"/>
        <w:numPr>
          <w:ilvl w:val="0"/>
          <w:numId w:val="11"/>
        </w:numPr>
        <w:spacing w:line="240" w:lineRule="exact"/>
        <w:rPr>
          <w:b/>
          <w:lang w:val="fr-FR"/>
        </w:rPr>
      </w:pPr>
      <w:r w:rsidRPr="00190491">
        <w:rPr>
          <w:b/>
          <w:lang w:val="fr-FR"/>
        </w:rPr>
        <w:t>D</w:t>
      </w:r>
      <w:r w:rsidR="000C16F5">
        <w:rPr>
          <w:b/>
          <w:lang w:val="fr-FR"/>
        </w:rPr>
        <w:t>’</w:t>
      </w:r>
      <w:r w:rsidRPr="00190491">
        <w:rPr>
          <w:b/>
          <w:lang w:val="fr-FR"/>
        </w:rPr>
        <w:t>élaborer un système complet d</w:t>
      </w:r>
      <w:r w:rsidR="000C16F5">
        <w:rPr>
          <w:b/>
          <w:lang w:val="fr-FR"/>
        </w:rPr>
        <w:t>’</w:t>
      </w:r>
      <w:r w:rsidRPr="00190491">
        <w:rPr>
          <w:b/>
          <w:lang w:val="fr-FR"/>
        </w:rPr>
        <w:t>indicateurs relatifs à l</w:t>
      </w:r>
      <w:r w:rsidR="000C16F5">
        <w:rPr>
          <w:b/>
          <w:lang w:val="fr-FR"/>
        </w:rPr>
        <w:t>’</w:t>
      </w:r>
      <w:r w:rsidRPr="00190491">
        <w:rPr>
          <w:b/>
          <w:lang w:val="fr-FR"/>
        </w:rPr>
        <w:t>égalité des sexes pour améliorer la collecte des données ventilées par sexe nécessaires à l</w:t>
      </w:r>
      <w:r w:rsidR="000C16F5">
        <w:rPr>
          <w:b/>
          <w:lang w:val="fr-FR"/>
        </w:rPr>
        <w:t>’</w:t>
      </w:r>
      <w:r w:rsidRPr="00190491">
        <w:rPr>
          <w:b/>
          <w:lang w:val="fr-FR"/>
        </w:rPr>
        <w:t>évaluation des effets et de l</w:t>
      </w:r>
      <w:r w:rsidR="000C16F5">
        <w:rPr>
          <w:b/>
          <w:lang w:val="fr-FR"/>
        </w:rPr>
        <w:t>’</w:t>
      </w:r>
      <w:r w:rsidRPr="00190491">
        <w:rPr>
          <w:b/>
          <w:lang w:val="fr-FR"/>
        </w:rPr>
        <w:t>efficacité des politiques et des programmes visant à institutionnaliser l</w:t>
      </w:r>
      <w:r w:rsidR="000C16F5">
        <w:rPr>
          <w:b/>
          <w:lang w:val="fr-FR"/>
        </w:rPr>
        <w:t>’</w:t>
      </w:r>
      <w:r w:rsidRPr="00190491">
        <w:rPr>
          <w:b/>
          <w:lang w:val="fr-FR"/>
        </w:rPr>
        <w:t xml:space="preserve">égalité des sexes </w:t>
      </w:r>
      <w:r w:rsidR="00D81000">
        <w:rPr>
          <w:b/>
          <w:lang w:val="fr-FR"/>
        </w:rPr>
        <w:t>[</w:t>
      </w:r>
      <w:r w:rsidRPr="00190491">
        <w:rPr>
          <w:b/>
          <w:lang w:val="fr-FR"/>
        </w:rPr>
        <w:t xml:space="preserve">voir </w:t>
      </w:r>
      <w:hyperlink r:id="rId35"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23 e)</w:t>
      </w:r>
      <w:r w:rsidR="00D81000">
        <w:rPr>
          <w:b/>
          <w:lang w:val="fr-FR"/>
        </w:rPr>
        <w:t>]</w:t>
      </w:r>
      <w:r w:rsidRPr="00190491">
        <w:rPr>
          <w:b/>
          <w:lang w:val="fr-FR"/>
        </w:rPr>
        <w:t>.</w:t>
      </w:r>
    </w:p>
    <w:p w14:paraId="4531854E" w14:textId="69D0D94C" w:rsidR="00364BF3" w:rsidRPr="00190491" w:rsidRDefault="00AB3DF7" w:rsidP="00AB3DF7">
      <w:pPr>
        <w:pStyle w:val="SingleTxt"/>
        <w:tabs>
          <w:tab w:val="right" w:pos="1685"/>
        </w:tabs>
        <w:ind w:left="1742" w:hanging="475"/>
        <w:rPr>
          <w:lang w:val="fr-FR"/>
        </w:rPr>
      </w:pPr>
      <w:r>
        <w:rPr>
          <w:lang w:val="fr-FR"/>
        </w:rPr>
        <w:lastRenderedPageBreak/>
        <w:tab/>
        <w:t>•</w:t>
      </w:r>
      <w:r>
        <w:rPr>
          <w:lang w:val="fr-FR"/>
        </w:rPr>
        <w:tab/>
      </w:r>
      <w:r w:rsidR="00364BF3" w:rsidRPr="00AB3DF7">
        <w:t>La création d</w:t>
      </w:r>
      <w:r w:rsidR="000C16F5" w:rsidRPr="00AB3DF7">
        <w:t>’</w:t>
      </w:r>
      <w:r w:rsidR="00364BF3" w:rsidRPr="00AB3DF7">
        <w:t>un Observatoire National de l</w:t>
      </w:r>
      <w:r w:rsidR="000C16F5" w:rsidRPr="00AB3DF7">
        <w:t>’</w:t>
      </w:r>
      <w:r w:rsidR="00C10A78" w:rsidRPr="00AB3DF7">
        <w:t>Équité</w:t>
      </w:r>
      <w:r w:rsidR="00364BF3" w:rsidRPr="00AB3DF7">
        <w:t xml:space="preserve"> et du Genre (ONEG) par le décret n</w:t>
      </w:r>
      <w:r w:rsidR="004B7322" w:rsidRPr="004B7322">
        <w:rPr>
          <w:vertAlign w:val="superscript"/>
        </w:rPr>
        <w:t>o</w:t>
      </w:r>
      <w:r w:rsidR="004B7322">
        <w:t> </w:t>
      </w:r>
      <w:r w:rsidR="00364BF3" w:rsidRPr="00AB3DF7">
        <w:t>842 du 17 décembre 2014 va permettre de suivre, évaluer et formuler</w:t>
      </w:r>
      <w:r w:rsidR="00364BF3" w:rsidRPr="00190491">
        <w:rPr>
          <w:lang w:val="fr-FR"/>
        </w:rPr>
        <w:t xml:space="preserve"> les propositions tendant à promouvoir l</w:t>
      </w:r>
      <w:r w:rsidR="000C16F5">
        <w:rPr>
          <w:lang w:val="fr-FR"/>
        </w:rPr>
        <w:t>’</w:t>
      </w:r>
      <w:r w:rsidR="00364BF3" w:rsidRPr="00190491">
        <w:rPr>
          <w:lang w:val="fr-FR"/>
        </w:rPr>
        <w:t>égalité de genre entre l</w:t>
      </w:r>
      <w:r w:rsidR="000C16F5">
        <w:rPr>
          <w:lang w:val="fr-FR"/>
        </w:rPr>
        <w:t>’</w:t>
      </w:r>
      <w:r w:rsidR="00364BF3" w:rsidRPr="00190491">
        <w:rPr>
          <w:lang w:val="fr-FR"/>
        </w:rPr>
        <w:t>homme et la femme dans les politiques publiques.</w:t>
      </w:r>
    </w:p>
    <w:p w14:paraId="17D3ED76" w14:textId="6B06E5BB" w:rsidR="00364BF3" w:rsidRPr="00190491" w:rsidRDefault="00364BF3" w:rsidP="008A6B29">
      <w:pPr>
        <w:pStyle w:val="SingleTxt"/>
        <w:numPr>
          <w:ilvl w:val="0"/>
          <w:numId w:val="11"/>
        </w:numPr>
        <w:spacing w:line="240" w:lineRule="exact"/>
        <w:rPr>
          <w:lang w:val="fr-FR"/>
        </w:rPr>
      </w:pPr>
      <w:r w:rsidRPr="00190491">
        <w:rPr>
          <w:lang w:val="fr-FR"/>
        </w:rPr>
        <w:t>Par ailleurs, d</w:t>
      </w:r>
      <w:r w:rsidR="000C16F5">
        <w:rPr>
          <w:lang w:val="fr-FR"/>
        </w:rPr>
        <w:t>’</w:t>
      </w:r>
      <w:r w:rsidRPr="00190491">
        <w:rPr>
          <w:lang w:val="fr-FR"/>
        </w:rPr>
        <w:t>autres outils permettent d</w:t>
      </w:r>
      <w:r w:rsidR="000C16F5">
        <w:rPr>
          <w:lang w:val="fr-FR"/>
        </w:rPr>
        <w:t>’</w:t>
      </w:r>
      <w:r w:rsidRPr="00190491">
        <w:rPr>
          <w:lang w:val="fr-FR"/>
        </w:rPr>
        <w:t>avoir des données désagrégées dans divers domaines à savoir</w:t>
      </w:r>
      <w:r w:rsidR="008945B3">
        <w:rPr>
          <w:lang w:val="fr-FR"/>
        </w:rPr>
        <w:t> :</w:t>
      </w:r>
    </w:p>
    <w:p w14:paraId="38497F77" w14:textId="6698F3DE" w:rsidR="00364BF3" w:rsidRPr="00190491" w:rsidRDefault="00AB3DF7" w:rsidP="00AB3DF7">
      <w:pPr>
        <w:pStyle w:val="SingleTxt"/>
        <w:tabs>
          <w:tab w:val="right" w:pos="1685"/>
        </w:tabs>
        <w:ind w:left="1742" w:hanging="475"/>
        <w:rPr>
          <w:lang w:val="fr-FR"/>
        </w:rPr>
      </w:pPr>
      <w:r>
        <w:rPr>
          <w:lang w:val="fr-FR"/>
        </w:rPr>
        <w:tab/>
        <w:t>•</w:t>
      </w:r>
      <w:r>
        <w:rPr>
          <w:lang w:val="fr-FR"/>
        </w:rPr>
        <w:tab/>
      </w:r>
      <w:r w:rsidR="00364BF3" w:rsidRPr="00190491">
        <w:rPr>
          <w:lang w:val="fr-FR"/>
        </w:rPr>
        <w:t>Loi statistique n</w:t>
      </w:r>
      <w:r w:rsidR="004B7322" w:rsidRPr="004B7322">
        <w:rPr>
          <w:vertAlign w:val="superscript"/>
          <w:lang w:val="fr-FR"/>
        </w:rPr>
        <w:t>o</w:t>
      </w:r>
      <w:r w:rsidR="004B7322">
        <w:rPr>
          <w:lang w:val="fr-FR"/>
        </w:rPr>
        <w:t> </w:t>
      </w:r>
      <w:r w:rsidR="00364BF3" w:rsidRPr="00190491">
        <w:rPr>
          <w:lang w:val="fr-FR"/>
        </w:rPr>
        <w:t>2013-537 du 30 juillet 2013 portant organisation du système statistique de Côte d</w:t>
      </w:r>
      <w:r w:rsidR="000C16F5">
        <w:rPr>
          <w:lang w:val="fr-FR"/>
        </w:rPr>
        <w:t>’</w:t>
      </w:r>
      <w:r w:rsidR="00364BF3" w:rsidRPr="00190491">
        <w:rPr>
          <w:lang w:val="fr-FR"/>
        </w:rPr>
        <w:t>Ivoire. Elle abroge la loi n</w:t>
      </w:r>
      <w:r w:rsidR="004B7322" w:rsidRPr="004B7322">
        <w:rPr>
          <w:vertAlign w:val="superscript"/>
          <w:lang w:val="fr-FR"/>
        </w:rPr>
        <w:t>o</w:t>
      </w:r>
      <w:r w:rsidR="004B7322">
        <w:rPr>
          <w:lang w:val="fr-FR"/>
        </w:rPr>
        <w:t> </w:t>
      </w:r>
      <w:r w:rsidR="00364BF3" w:rsidRPr="00190491">
        <w:rPr>
          <w:lang w:val="fr-FR"/>
        </w:rPr>
        <w:t>51-711 du 7 juin 1951</w:t>
      </w:r>
      <w:r w:rsidR="00DB4C05">
        <w:rPr>
          <w:lang w:val="fr-FR"/>
        </w:rPr>
        <w:t> ;</w:t>
      </w:r>
    </w:p>
    <w:p w14:paraId="76ABC986" w14:textId="20E7DB71" w:rsidR="00364BF3" w:rsidRPr="00190491" w:rsidRDefault="00AB3DF7" w:rsidP="00AB3DF7">
      <w:pPr>
        <w:pStyle w:val="SingleTxt"/>
        <w:tabs>
          <w:tab w:val="right" w:pos="1685"/>
        </w:tabs>
        <w:ind w:left="1742" w:hanging="475"/>
        <w:rPr>
          <w:lang w:val="fr-FR"/>
        </w:rPr>
      </w:pPr>
      <w:r>
        <w:rPr>
          <w:lang w:val="fr-FR"/>
        </w:rPr>
        <w:tab/>
        <w:t>•</w:t>
      </w:r>
      <w:r>
        <w:rPr>
          <w:lang w:val="fr-FR"/>
        </w:rPr>
        <w:tab/>
      </w:r>
      <w:r w:rsidR="00364BF3" w:rsidRPr="00190491">
        <w:rPr>
          <w:lang w:val="fr-FR"/>
        </w:rPr>
        <w:t>RGPH 2014</w:t>
      </w:r>
      <w:r w:rsidR="00DB4C05">
        <w:rPr>
          <w:lang w:val="fr-FR"/>
        </w:rPr>
        <w:t> ;</w:t>
      </w:r>
    </w:p>
    <w:p w14:paraId="375F1CF4" w14:textId="42E17742" w:rsidR="00364BF3" w:rsidRPr="00190491" w:rsidRDefault="00AB3DF7" w:rsidP="00AB3DF7">
      <w:pPr>
        <w:pStyle w:val="SingleTxt"/>
        <w:tabs>
          <w:tab w:val="right" w:pos="1685"/>
        </w:tabs>
        <w:ind w:left="1742" w:hanging="475"/>
        <w:rPr>
          <w:lang w:val="fr-FR"/>
        </w:rPr>
      </w:pPr>
      <w:r>
        <w:rPr>
          <w:lang w:val="fr-FR"/>
        </w:rPr>
        <w:tab/>
        <w:t>•</w:t>
      </w:r>
      <w:r>
        <w:rPr>
          <w:lang w:val="fr-FR"/>
        </w:rPr>
        <w:tab/>
      </w:r>
      <w:r w:rsidR="00364BF3" w:rsidRPr="00190491">
        <w:rPr>
          <w:lang w:val="fr-FR"/>
        </w:rPr>
        <w:t>ENV 2015</w:t>
      </w:r>
      <w:r w:rsidR="00DB4C05">
        <w:rPr>
          <w:lang w:val="fr-FR"/>
        </w:rPr>
        <w:t> ;</w:t>
      </w:r>
    </w:p>
    <w:p w14:paraId="56E69F78" w14:textId="32564825" w:rsidR="00364BF3" w:rsidRDefault="00AB3DF7" w:rsidP="00AB3DF7">
      <w:pPr>
        <w:pStyle w:val="SingleTxt"/>
        <w:tabs>
          <w:tab w:val="right" w:pos="1685"/>
        </w:tabs>
        <w:ind w:left="1742" w:hanging="475"/>
        <w:rPr>
          <w:lang w:val="fr-FR"/>
        </w:rPr>
      </w:pPr>
      <w:r>
        <w:rPr>
          <w:lang w:val="fr-FR"/>
        </w:rPr>
        <w:tab/>
        <w:t>•</w:t>
      </w:r>
      <w:r>
        <w:rPr>
          <w:lang w:val="fr-FR"/>
        </w:rPr>
        <w:tab/>
      </w:r>
      <w:r w:rsidR="00364BF3" w:rsidRPr="00190491">
        <w:rPr>
          <w:lang w:val="fr-FR"/>
        </w:rPr>
        <w:t>EDS-MICS 2011-2012.</w:t>
      </w:r>
    </w:p>
    <w:p w14:paraId="331A7AB3" w14:textId="1D962936" w:rsidR="00AB3DF7" w:rsidRPr="00AB3DF7" w:rsidRDefault="00AB3DF7" w:rsidP="00AB3DF7">
      <w:pPr>
        <w:pStyle w:val="SingleTxt"/>
        <w:tabs>
          <w:tab w:val="right" w:pos="1685"/>
        </w:tabs>
        <w:spacing w:after="0" w:line="120" w:lineRule="exact"/>
        <w:ind w:left="1742" w:hanging="475"/>
        <w:rPr>
          <w:sz w:val="10"/>
          <w:lang w:val="fr-FR"/>
        </w:rPr>
      </w:pPr>
    </w:p>
    <w:p w14:paraId="6880AED6" w14:textId="767B16A6" w:rsidR="00364BF3" w:rsidRDefault="00364BF3" w:rsidP="00AB3DF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Mesures temporaires spéciales</w:t>
      </w:r>
    </w:p>
    <w:p w14:paraId="6B20DA3C" w14:textId="4066351F" w:rsidR="00AB3DF7" w:rsidRPr="00AB3DF7" w:rsidRDefault="00AB3DF7" w:rsidP="00AB3DF7">
      <w:pPr>
        <w:spacing w:line="120" w:lineRule="exact"/>
        <w:rPr>
          <w:sz w:val="10"/>
          <w:lang w:val="fr-FR"/>
        </w:rPr>
      </w:pPr>
    </w:p>
    <w:p w14:paraId="2BC02554" w14:textId="4BBA6F69" w:rsidR="00364BF3" w:rsidRPr="00AB3DF7" w:rsidRDefault="00364BF3" w:rsidP="008A6B29">
      <w:pPr>
        <w:pStyle w:val="SingleTxt"/>
        <w:numPr>
          <w:ilvl w:val="0"/>
          <w:numId w:val="11"/>
        </w:numPr>
        <w:spacing w:line="240" w:lineRule="exact"/>
        <w:rPr>
          <w:b/>
          <w:bCs/>
          <w:lang w:val="fr-FR"/>
        </w:rPr>
      </w:pPr>
      <w:r w:rsidRPr="00AB3DF7">
        <w:rPr>
          <w:b/>
          <w:bCs/>
          <w:lang w:val="fr-FR"/>
        </w:rPr>
        <w:t>Adopter et mettre en œuvre sans tarder le projet d</w:t>
      </w:r>
      <w:r w:rsidR="000C16F5" w:rsidRPr="00AB3DF7">
        <w:rPr>
          <w:b/>
          <w:bCs/>
          <w:lang w:val="fr-FR"/>
        </w:rPr>
        <w:t>’</w:t>
      </w:r>
      <w:r w:rsidRPr="00AB3DF7">
        <w:rPr>
          <w:b/>
          <w:bCs/>
          <w:lang w:val="fr-FR"/>
        </w:rPr>
        <w:t>ordonnance prévoyant un quotas 30 pour cent de femmes au Parlement et de s</w:t>
      </w:r>
      <w:r w:rsidR="000C16F5" w:rsidRPr="00AB3DF7">
        <w:rPr>
          <w:b/>
          <w:bCs/>
          <w:lang w:val="fr-FR"/>
        </w:rPr>
        <w:t>’</w:t>
      </w:r>
      <w:r w:rsidRPr="00AB3DF7">
        <w:rPr>
          <w:b/>
          <w:bCs/>
          <w:lang w:val="fr-FR"/>
        </w:rPr>
        <w:t xml:space="preserve">assurer que dans chaque groupe de trois candidats, au moins un candidat est une femme dans les listes des partis politiques électoraux </w:t>
      </w:r>
      <w:r w:rsidR="00D81000">
        <w:rPr>
          <w:b/>
          <w:bCs/>
          <w:lang w:val="fr-FR"/>
        </w:rPr>
        <w:t>[</w:t>
      </w:r>
      <w:r w:rsidRPr="00AB3DF7">
        <w:rPr>
          <w:b/>
          <w:bCs/>
          <w:lang w:val="fr-FR"/>
        </w:rPr>
        <w:t xml:space="preserve">voir </w:t>
      </w:r>
      <w:hyperlink r:id="rId36"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25 a)</w:t>
      </w:r>
      <w:r w:rsidR="00D81000">
        <w:rPr>
          <w:b/>
          <w:bCs/>
          <w:lang w:val="fr-FR"/>
        </w:rPr>
        <w:t>]</w:t>
      </w:r>
      <w:r w:rsidRPr="00AB3DF7">
        <w:rPr>
          <w:b/>
          <w:bCs/>
          <w:lang w:val="fr-FR"/>
        </w:rPr>
        <w:t>.</w:t>
      </w:r>
    </w:p>
    <w:p w14:paraId="0564DC57" w14:textId="7B2CC3CE" w:rsidR="00364BF3" w:rsidRPr="00190491" w:rsidRDefault="00364BF3" w:rsidP="008A6B29">
      <w:pPr>
        <w:pStyle w:val="SingleTxt"/>
        <w:numPr>
          <w:ilvl w:val="0"/>
          <w:numId w:val="11"/>
        </w:numPr>
        <w:spacing w:line="240" w:lineRule="exact"/>
        <w:rPr>
          <w:bCs/>
          <w:iCs/>
          <w:lang w:val="fr-FR"/>
        </w:rPr>
      </w:pPr>
      <w:r w:rsidRPr="00190491">
        <w:rPr>
          <w:bCs/>
          <w:iCs/>
          <w:lang w:val="fr-FR"/>
        </w:rPr>
        <w:t>La nouvelle constitution d</w:t>
      </w:r>
      <w:r w:rsidR="000C16F5">
        <w:rPr>
          <w:bCs/>
          <w:iCs/>
          <w:lang w:val="fr-FR"/>
        </w:rPr>
        <w:t>’</w:t>
      </w:r>
      <w:r w:rsidRPr="00190491">
        <w:rPr>
          <w:bCs/>
          <w:iCs/>
          <w:lang w:val="fr-FR"/>
        </w:rPr>
        <w:t>Octobre 2016 à son article 36 stipule que l</w:t>
      </w:r>
      <w:r w:rsidR="000C16F5">
        <w:rPr>
          <w:bCs/>
          <w:iCs/>
          <w:lang w:val="fr-FR"/>
        </w:rPr>
        <w:t>’</w:t>
      </w:r>
      <w:r w:rsidR="00C10A78" w:rsidRPr="00190491">
        <w:rPr>
          <w:bCs/>
          <w:iCs/>
          <w:lang w:val="fr-FR"/>
        </w:rPr>
        <w:t>État</w:t>
      </w:r>
      <w:r w:rsidRPr="00190491">
        <w:rPr>
          <w:bCs/>
          <w:iCs/>
          <w:lang w:val="fr-FR"/>
        </w:rPr>
        <w:t xml:space="preserve"> œuvre à la promotion des droits politiques de la femme en augmentant ses chances d</w:t>
      </w:r>
      <w:r w:rsidR="000C16F5">
        <w:rPr>
          <w:bCs/>
          <w:iCs/>
          <w:lang w:val="fr-FR"/>
        </w:rPr>
        <w:t>’</w:t>
      </w:r>
      <w:r w:rsidRPr="00190491">
        <w:rPr>
          <w:bCs/>
          <w:iCs/>
          <w:lang w:val="fr-FR"/>
        </w:rPr>
        <w:t>accès à la représentation dans les assemblées élues. Les modalités d</w:t>
      </w:r>
      <w:r w:rsidR="000C16F5">
        <w:rPr>
          <w:bCs/>
          <w:iCs/>
          <w:lang w:val="fr-FR"/>
        </w:rPr>
        <w:t>’</w:t>
      </w:r>
      <w:r w:rsidRPr="00190491">
        <w:rPr>
          <w:bCs/>
          <w:iCs/>
          <w:lang w:val="fr-FR"/>
        </w:rPr>
        <w:t xml:space="preserve">application dudit article doivent être fixées par la loi. </w:t>
      </w:r>
    </w:p>
    <w:p w14:paraId="09659A66" w14:textId="439653C0" w:rsidR="00364BF3" w:rsidRPr="00AB3DF7" w:rsidRDefault="00364BF3" w:rsidP="008A6B29">
      <w:pPr>
        <w:pStyle w:val="SingleTxt"/>
        <w:numPr>
          <w:ilvl w:val="0"/>
          <w:numId w:val="11"/>
        </w:numPr>
        <w:spacing w:line="240" w:lineRule="exact"/>
        <w:rPr>
          <w:b/>
          <w:bCs/>
          <w:lang w:val="fr-FR"/>
        </w:rPr>
      </w:pPr>
      <w:r w:rsidRPr="00AB3DF7">
        <w:rPr>
          <w:b/>
          <w:bCs/>
          <w:lang w:val="fr-FR"/>
        </w:rPr>
        <w:t>S</w:t>
      </w:r>
      <w:r w:rsidR="000C16F5" w:rsidRPr="00AB3DF7">
        <w:rPr>
          <w:b/>
          <w:bCs/>
          <w:lang w:val="fr-FR"/>
        </w:rPr>
        <w:t>’</w:t>
      </w:r>
      <w:r w:rsidRPr="00AB3DF7">
        <w:rPr>
          <w:b/>
          <w:bCs/>
          <w:lang w:val="fr-FR"/>
        </w:rPr>
        <w:t>assurer que le projet d</w:t>
      </w:r>
      <w:r w:rsidR="000C16F5" w:rsidRPr="00AB3DF7">
        <w:rPr>
          <w:b/>
          <w:bCs/>
          <w:lang w:val="fr-FR"/>
        </w:rPr>
        <w:t>’</w:t>
      </w:r>
      <w:r w:rsidRPr="00AB3DF7">
        <w:rPr>
          <w:b/>
          <w:bCs/>
          <w:lang w:val="fr-FR"/>
        </w:rPr>
        <w:t>ordonnance visant à améliorer la représentation des femmes au sein de l</w:t>
      </w:r>
      <w:r w:rsidR="000C16F5" w:rsidRPr="00AB3DF7">
        <w:rPr>
          <w:b/>
          <w:bCs/>
          <w:lang w:val="fr-FR"/>
        </w:rPr>
        <w:t>’</w:t>
      </w:r>
      <w:r w:rsidRPr="00AB3DF7">
        <w:rPr>
          <w:b/>
          <w:bCs/>
          <w:lang w:val="fr-FR"/>
        </w:rPr>
        <w:t xml:space="preserve">administration publique comprend des mesures temporaires spéciales visant à accélérer la participation pleine et égale des femmes dans la vie publique et politique, en particulier à des niveaux élevés de prise de décision et de promulguer cette ordonnance sans délai </w:t>
      </w:r>
      <w:r w:rsidR="00D81000">
        <w:rPr>
          <w:b/>
          <w:bCs/>
          <w:lang w:val="fr-FR"/>
        </w:rPr>
        <w:t>[</w:t>
      </w:r>
      <w:r w:rsidRPr="00AB3DF7">
        <w:rPr>
          <w:b/>
          <w:bCs/>
          <w:lang w:val="fr-FR"/>
        </w:rPr>
        <w:t xml:space="preserve">voir </w:t>
      </w:r>
      <w:hyperlink r:id="rId37"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25 b)</w:t>
      </w:r>
      <w:r w:rsidR="00D81000">
        <w:rPr>
          <w:b/>
          <w:bCs/>
          <w:lang w:val="fr-FR"/>
        </w:rPr>
        <w:t>]</w:t>
      </w:r>
      <w:r w:rsidRPr="00AB3DF7">
        <w:rPr>
          <w:b/>
          <w:bCs/>
          <w:lang w:val="fr-FR"/>
        </w:rPr>
        <w:t>.</w:t>
      </w:r>
    </w:p>
    <w:p w14:paraId="19E0F5A7" w14:textId="4C7BB52E" w:rsidR="00364BF3" w:rsidRPr="00190491" w:rsidRDefault="00364BF3" w:rsidP="008A6B29">
      <w:pPr>
        <w:pStyle w:val="SingleTxt"/>
        <w:numPr>
          <w:ilvl w:val="0"/>
          <w:numId w:val="11"/>
        </w:numPr>
        <w:spacing w:line="240" w:lineRule="exact"/>
        <w:rPr>
          <w:lang w:val="fr-FR"/>
        </w:rPr>
      </w:pPr>
      <w:r w:rsidRPr="00190491">
        <w:rPr>
          <w:lang w:val="fr-FR"/>
        </w:rPr>
        <w:t>La nouvelle constitution d</w:t>
      </w:r>
      <w:r w:rsidR="000C16F5">
        <w:rPr>
          <w:lang w:val="fr-FR"/>
        </w:rPr>
        <w:t>’</w:t>
      </w:r>
      <w:r w:rsidRPr="00190491">
        <w:rPr>
          <w:lang w:val="fr-FR"/>
        </w:rPr>
        <w:t>Octobre 2016 institue la promotion de la parité entre les hommes et les femmes sur le marché de l</w:t>
      </w:r>
      <w:r w:rsidR="000C16F5">
        <w:rPr>
          <w:lang w:val="fr-FR"/>
        </w:rPr>
        <w:t>’</w:t>
      </w:r>
      <w:r w:rsidRPr="00190491">
        <w:rPr>
          <w:lang w:val="fr-FR"/>
        </w:rPr>
        <w:t>emploi. Elle encourage la pleine participation des femmes aux fonctions nominatives tant dans les institutions que dans les administrations publiques. Le terme de « parité entre Hommes et Femmes » est clairement mentionné dans la constitution.</w:t>
      </w:r>
    </w:p>
    <w:p w14:paraId="663CBCCA" w14:textId="359CBA6E" w:rsidR="00364BF3" w:rsidRPr="00AB3DF7" w:rsidRDefault="00364BF3" w:rsidP="008A6B29">
      <w:pPr>
        <w:pStyle w:val="SingleTxt"/>
        <w:numPr>
          <w:ilvl w:val="0"/>
          <w:numId w:val="11"/>
        </w:numPr>
        <w:spacing w:line="240" w:lineRule="exact"/>
        <w:rPr>
          <w:b/>
          <w:bCs/>
          <w:lang w:val="fr-FR"/>
        </w:rPr>
      </w:pPr>
      <w:r w:rsidRPr="00AB3DF7">
        <w:rPr>
          <w:b/>
          <w:bCs/>
          <w:lang w:val="fr-FR"/>
        </w:rPr>
        <w:t>Mettre en œuvre des mesures spéciales temporaires dans d</w:t>
      </w:r>
      <w:r w:rsidR="000C16F5" w:rsidRPr="00AB3DF7">
        <w:rPr>
          <w:b/>
          <w:bCs/>
          <w:lang w:val="fr-FR"/>
        </w:rPr>
        <w:t>’</w:t>
      </w:r>
      <w:r w:rsidRPr="00AB3DF7">
        <w:rPr>
          <w:b/>
          <w:bCs/>
          <w:lang w:val="fr-FR"/>
        </w:rPr>
        <w:t xml:space="preserve">autres domaines couverts par la Convention dans laquelle les femmes sont sous-représentées ou défavorisées </w:t>
      </w:r>
      <w:r w:rsidR="00D81000">
        <w:rPr>
          <w:b/>
          <w:bCs/>
          <w:lang w:val="fr-FR"/>
        </w:rPr>
        <w:t>[</w:t>
      </w:r>
      <w:r w:rsidRPr="00AB3DF7">
        <w:rPr>
          <w:b/>
          <w:bCs/>
          <w:lang w:val="fr-FR"/>
        </w:rPr>
        <w:t xml:space="preserve">voir </w:t>
      </w:r>
      <w:hyperlink r:id="rId38"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25 c)</w:t>
      </w:r>
      <w:r w:rsidR="00D81000">
        <w:rPr>
          <w:b/>
          <w:bCs/>
          <w:lang w:val="fr-FR"/>
        </w:rPr>
        <w:t>]</w:t>
      </w:r>
      <w:r w:rsidRPr="00AB3DF7">
        <w:rPr>
          <w:b/>
          <w:bCs/>
          <w:lang w:val="fr-FR"/>
        </w:rPr>
        <w:t>.</w:t>
      </w:r>
    </w:p>
    <w:p w14:paraId="43238945" w14:textId="42C43347" w:rsidR="00364BF3" w:rsidRPr="00190491" w:rsidRDefault="00364BF3" w:rsidP="008A6B29">
      <w:pPr>
        <w:pStyle w:val="SingleTxt"/>
        <w:numPr>
          <w:ilvl w:val="0"/>
          <w:numId w:val="11"/>
        </w:numPr>
        <w:spacing w:line="240" w:lineRule="exact"/>
        <w:rPr>
          <w:lang w:val="fr-FR"/>
        </w:rPr>
      </w:pPr>
      <w:r w:rsidRPr="00190491">
        <w:rPr>
          <w:lang w:val="fr-FR"/>
        </w:rPr>
        <w:t>Pour garantir le droit à la propriété, le Gouvernement a institué, par Ordonnance n °2013-481 du 02 juillet 2013, la réforme domaniale de l</w:t>
      </w:r>
      <w:r w:rsidR="000C16F5">
        <w:rPr>
          <w:lang w:val="fr-FR"/>
        </w:rPr>
        <w:t>’</w:t>
      </w:r>
      <w:r w:rsidRPr="00190491">
        <w:rPr>
          <w:lang w:val="fr-FR"/>
        </w:rPr>
        <w:t>Arrêté de Concession Définitive (ACD), afin de mettre de l</w:t>
      </w:r>
      <w:r w:rsidR="000C16F5">
        <w:rPr>
          <w:lang w:val="fr-FR"/>
        </w:rPr>
        <w:t>’</w:t>
      </w:r>
      <w:r w:rsidRPr="00190491">
        <w:rPr>
          <w:lang w:val="fr-FR"/>
        </w:rPr>
        <w:t>ordre dans le secteur du foncier urbain. La réforme rassure les populations urbaines et permet de façon égale aux femmes et aux hommes d</w:t>
      </w:r>
      <w:r w:rsidR="000C16F5">
        <w:rPr>
          <w:lang w:val="fr-FR"/>
        </w:rPr>
        <w:t>’</w:t>
      </w:r>
      <w:r w:rsidRPr="00190491">
        <w:rPr>
          <w:lang w:val="fr-FR"/>
        </w:rPr>
        <w:t>être propriétaires.</w:t>
      </w:r>
    </w:p>
    <w:p w14:paraId="4555E785" w14:textId="0BCCACC5" w:rsidR="00364BF3" w:rsidRPr="00AB3DF7" w:rsidRDefault="00364BF3" w:rsidP="008A6B29">
      <w:pPr>
        <w:pStyle w:val="SingleTxt"/>
        <w:numPr>
          <w:ilvl w:val="0"/>
          <w:numId w:val="11"/>
        </w:numPr>
        <w:spacing w:line="240" w:lineRule="exact"/>
        <w:rPr>
          <w:b/>
          <w:bCs/>
          <w:lang w:val="fr-FR"/>
        </w:rPr>
      </w:pPr>
      <w:r w:rsidRPr="00AB3DF7">
        <w:rPr>
          <w:b/>
          <w:bCs/>
          <w:lang w:val="fr-FR"/>
        </w:rPr>
        <w:t>Inclure des informations sur l</w:t>
      </w:r>
      <w:r w:rsidR="000C16F5" w:rsidRPr="00AB3DF7">
        <w:rPr>
          <w:b/>
          <w:bCs/>
          <w:lang w:val="fr-FR"/>
        </w:rPr>
        <w:t>’</w:t>
      </w:r>
      <w:r w:rsidRPr="00AB3DF7">
        <w:rPr>
          <w:b/>
          <w:bCs/>
          <w:lang w:val="fr-FR"/>
        </w:rPr>
        <w:t>utilisation de mesures temporaires spéciales, par rapport aux diverses dispositions de la Convention, et l</w:t>
      </w:r>
      <w:r w:rsidR="000C16F5" w:rsidRPr="00AB3DF7">
        <w:rPr>
          <w:b/>
          <w:bCs/>
          <w:lang w:val="fr-FR"/>
        </w:rPr>
        <w:t>’</w:t>
      </w:r>
      <w:r w:rsidRPr="00AB3DF7">
        <w:rPr>
          <w:b/>
          <w:bCs/>
          <w:lang w:val="fr-FR"/>
        </w:rPr>
        <w:t xml:space="preserve">impact de ces mesures dans son prochain rapport périodique </w:t>
      </w:r>
      <w:r w:rsidR="00D81000">
        <w:rPr>
          <w:b/>
          <w:bCs/>
          <w:lang w:val="fr-FR"/>
        </w:rPr>
        <w:t>[</w:t>
      </w:r>
      <w:r w:rsidRPr="00AB3DF7">
        <w:rPr>
          <w:b/>
          <w:bCs/>
          <w:lang w:val="fr-FR"/>
        </w:rPr>
        <w:t xml:space="preserve">voir </w:t>
      </w:r>
      <w:hyperlink r:id="rId39"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25 d)</w:t>
      </w:r>
      <w:r w:rsidR="00D81000">
        <w:rPr>
          <w:b/>
          <w:bCs/>
          <w:lang w:val="fr-FR"/>
        </w:rPr>
        <w:t>]</w:t>
      </w:r>
      <w:r w:rsidRPr="00AB3DF7">
        <w:rPr>
          <w:b/>
          <w:bCs/>
          <w:lang w:val="fr-FR"/>
        </w:rPr>
        <w:t>.</w:t>
      </w:r>
    </w:p>
    <w:p w14:paraId="0B9FAFCA" w14:textId="27788CA5" w:rsidR="00364BF3" w:rsidRDefault="00364BF3" w:rsidP="008A6B29">
      <w:pPr>
        <w:pStyle w:val="SingleTxt"/>
        <w:numPr>
          <w:ilvl w:val="0"/>
          <w:numId w:val="11"/>
        </w:numPr>
        <w:spacing w:line="240" w:lineRule="exact"/>
        <w:rPr>
          <w:lang w:val="fr-FR"/>
        </w:rPr>
      </w:pPr>
      <w:r w:rsidRPr="00190491">
        <w:rPr>
          <w:lang w:val="fr-FR"/>
        </w:rPr>
        <w:t>Aucune mesure temporaire spéciale n</w:t>
      </w:r>
      <w:r w:rsidR="000C16F5">
        <w:rPr>
          <w:lang w:val="fr-FR"/>
        </w:rPr>
        <w:t>’</w:t>
      </w:r>
      <w:r w:rsidRPr="00190491">
        <w:rPr>
          <w:lang w:val="fr-FR"/>
        </w:rPr>
        <w:t>a été prise au niveau du quota des femmes dans les sphères de prise de décision, néanmoins le Ministère en charge du genre a soumis un projet de loi sur les quotas d</w:t>
      </w:r>
      <w:r w:rsidR="000C16F5">
        <w:rPr>
          <w:lang w:val="fr-FR"/>
        </w:rPr>
        <w:t>’</w:t>
      </w:r>
      <w:r w:rsidRPr="00190491">
        <w:rPr>
          <w:lang w:val="fr-FR"/>
        </w:rPr>
        <w:t>au moins 30</w:t>
      </w:r>
      <w:r w:rsidR="00B72ED0">
        <w:rPr>
          <w:lang w:val="fr-FR"/>
        </w:rPr>
        <w:t> </w:t>
      </w:r>
      <w:r w:rsidRPr="00190491">
        <w:rPr>
          <w:lang w:val="fr-FR"/>
        </w:rPr>
        <w:t xml:space="preserve">% de femmes au poste électif qui </w:t>
      </w:r>
      <w:r w:rsidRPr="00190491">
        <w:rPr>
          <w:lang w:val="fr-FR"/>
        </w:rPr>
        <w:lastRenderedPageBreak/>
        <w:t>a déjà fait l</w:t>
      </w:r>
      <w:r w:rsidR="000C16F5">
        <w:rPr>
          <w:lang w:val="fr-FR"/>
        </w:rPr>
        <w:t>’</w:t>
      </w:r>
      <w:r w:rsidRPr="00190491">
        <w:rPr>
          <w:lang w:val="fr-FR"/>
        </w:rPr>
        <w:t>objet de première lecture au niveau du conseil des Ministres. Cette lecture a émis des amendements qui sont en cours d</w:t>
      </w:r>
      <w:r w:rsidR="000C16F5">
        <w:rPr>
          <w:lang w:val="fr-FR"/>
        </w:rPr>
        <w:t>’</w:t>
      </w:r>
      <w:r w:rsidRPr="00190491">
        <w:rPr>
          <w:lang w:val="fr-FR"/>
        </w:rPr>
        <w:t xml:space="preserve">intégration. </w:t>
      </w:r>
    </w:p>
    <w:p w14:paraId="3EF297DF" w14:textId="3F7E434F" w:rsidR="00AB3DF7" w:rsidRPr="00AB3DF7" w:rsidRDefault="00AB3DF7" w:rsidP="00AB3DF7">
      <w:pPr>
        <w:pStyle w:val="SingleTxt"/>
        <w:tabs>
          <w:tab w:val="clear" w:pos="1742"/>
        </w:tabs>
        <w:spacing w:after="0" w:line="120" w:lineRule="exact"/>
        <w:rPr>
          <w:sz w:val="10"/>
          <w:lang w:val="fr-FR"/>
        </w:rPr>
      </w:pPr>
    </w:p>
    <w:p w14:paraId="08277D07" w14:textId="09BFE321" w:rsidR="00364BF3" w:rsidRDefault="00364BF3" w:rsidP="00AB3DF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 xml:space="preserve">Stéréotypes et pratiques préjudiciables </w:t>
      </w:r>
    </w:p>
    <w:p w14:paraId="21790DEE" w14:textId="75156331" w:rsidR="00AB3DF7" w:rsidRPr="00AB3DF7" w:rsidRDefault="00AB3DF7" w:rsidP="00AB3DF7">
      <w:pPr>
        <w:spacing w:line="120" w:lineRule="exact"/>
        <w:rPr>
          <w:sz w:val="10"/>
          <w:lang w:val="fr-FR"/>
        </w:rPr>
      </w:pPr>
    </w:p>
    <w:p w14:paraId="6DF42233" w14:textId="200281BC" w:rsidR="00364BF3" w:rsidRPr="00AB3DF7" w:rsidRDefault="00364BF3" w:rsidP="008A6B29">
      <w:pPr>
        <w:pStyle w:val="SingleTxt"/>
        <w:numPr>
          <w:ilvl w:val="0"/>
          <w:numId w:val="11"/>
        </w:numPr>
        <w:spacing w:line="240" w:lineRule="exact"/>
        <w:rPr>
          <w:b/>
          <w:bCs/>
          <w:lang w:val="fr-FR"/>
        </w:rPr>
      </w:pPr>
      <w:r w:rsidRPr="00AB3DF7">
        <w:rPr>
          <w:b/>
          <w:bCs/>
          <w:lang w:val="fr-FR"/>
        </w:rPr>
        <w:t xml:space="preserve">Mettre en place, sans tarder, une stratégie globale pour éliminer les </w:t>
      </w:r>
      <w:r w:rsidRPr="00AB3DF7">
        <w:rPr>
          <w:b/>
          <w:bCs/>
          <w:lang w:val="fr-FR"/>
        </w:rPr>
        <w:br/>
        <w:t>pratiques traditionnelles néfastes et les stéréotypes qui sont discriminatoires envers les femmes, en conformité aux articles 2(f) et 5(a) de la Convention. Ces mesures devraient inclure plus d</w:t>
      </w:r>
      <w:r w:rsidR="000C16F5" w:rsidRPr="00AB3DF7">
        <w:rPr>
          <w:b/>
          <w:bCs/>
          <w:lang w:val="fr-FR"/>
        </w:rPr>
        <w:t>’</w:t>
      </w:r>
      <w:r w:rsidRPr="00AB3DF7">
        <w:rPr>
          <w:b/>
          <w:bCs/>
          <w:lang w:val="fr-FR"/>
        </w:rPr>
        <w:t>efforts concertés, en collaboration avec la société civile, d</w:t>
      </w:r>
      <w:r w:rsidR="000C16F5" w:rsidRPr="00AB3DF7">
        <w:rPr>
          <w:b/>
          <w:bCs/>
          <w:lang w:val="fr-FR"/>
        </w:rPr>
        <w:t>’</w:t>
      </w:r>
      <w:r w:rsidRPr="00AB3DF7">
        <w:rPr>
          <w:b/>
          <w:bCs/>
          <w:lang w:val="fr-FR"/>
        </w:rPr>
        <w:t xml:space="preserve">éduquer et de sensibiliser sur ce sujet en ciblant les femmes et les hommes à tous les niveaux de la société, en impliquant le système scolaire, les médias ainsi que des dirigeants communautaires et religieux </w:t>
      </w:r>
      <w:r w:rsidR="00D81000">
        <w:rPr>
          <w:b/>
          <w:bCs/>
          <w:lang w:val="fr-FR"/>
        </w:rPr>
        <w:t>[</w:t>
      </w:r>
      <w:r w:rsidRPr="00AB3DF7">
        <w:rPr>
          <w:b/>
          <w:bCs/>
          <w:lang w:val="fr-FR"/>
        </w:rPr>
        <w:t xml:space="preserve">voir </w:t>
      </w:r>
      <w:hyperlink r:id="rId40"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27 a)</w:t>
      </w:r>
      <w:r w:rsidR="00D81000">
        <w:rPr>
          <w:b/>
          <w:bCs/>
          <w:lang w:val="fr-FR"/>
        </w:rPr>
        <w:t>]</w:t>
      </w:r>
      <w:r w:rsidRPr="00AB3DF7">
        <w:rPr>
          <w:b/>
          <w:bCs/>
          <w:lang w:val="fr-FR"/>
        </w:rPr>
        <w:t>.</w:t>
      </w:r>
    </w:p>
    <w:p w14:paraId="49D0E242" w14:textId="0A860965" w:rsidR="00364BF3" w:rsidRPr="00190491" w:rsidRDefault="00364BF3" w:rsidP="008A6B29">
      <w:pPr>
        <w:pStyle w:val="SingleTxt"/>
        <w:numPr>
          <w:ilvl w:val="0"/>
          <w:numId w:val="11"/>
        </w:numPr>
        <w:spacing w:line="240" w:lineRule="exact"/>
        <w:rPr>
          <w:lang w:val="fr-FR"/>
        </w:rPr>
      </w:pPr>
      <w:r w:rsidRPr="00190491">
        <w:rPr>
          <w:lang w:val="fr-FR"/>
        </w:rPr>
        <w:t>La SNLVBG adoptée en 2014 est renforcée par deux autres documents cadres</w:t>
      </w:r>
      <w:r w:rsidR="008945B3">
        <w:rPr>
          <w:lang w:val="fr-FR"/>
        </w:rPr>
        <w:t> :</w:t>
      </w:r>
      <w:r w:rsidRPr="00190491">
        <w:rPr>
          <w:lang w:val="fr-FR"/>
        </w:rPr>
        <w:t xml:space="preserve"> le Plan accéléré de lutte contre les mariages et grossesses précoces couvrant la période 2013-2015 et le Plan accéléré de lutte contre les grossesses en milieu scolaire (2013-2015).</w:t>
      </w:r>
    </w:p>
    <w:p w14:paraId="6D84CED2" w14:textId="208CBD8A" w:rsidR="00364BF3" w:rsidRPr="00AB3DF7" w:rsidRDefault="00364BF3" w:rsidP="008A6B29">
      <w:pPr>
        <w:pStyle w:val="SingleTxt"/>
        <w:numPr>
          <w:ilvl w:val="0"/>
          <w:numId w:val="11"/>
        </w:numPr>
        <w:spacing w:line="240" w:lineRule="exact"/>
        <w:rPr>
          <w:b/>
          <w:bCs/>
          <w:lang w:val="fr-FR"/>
        </w:rPr>
      </w:pPr>
      <w:r w:rsidRPr="00AB3DF7">
        <w:rPr>
          <w:b/>
          <w:bCs/>
          <w:lang w:val="fr-FR"/>
        </w:rPr>
        <w:t>Agisse sur les pratiques traditionnelles néfastes comme les mutilations génitales féminines, mariages forcés et précoces, le lévirat, le sororat, la polygamie et l</w:t>
      </w:r>
      <w:r w:rsidR="000C16F5" w:rsidRPr="00AB3DF7">
        <w:rPr>
          <w:b/>
          <w:bCs/>
          <w:lang w:val="fr-FR"/>
        </w:rPr>
        <w:t>’</w:t>
      </w:r>
      <w:r w:rsidRPr="00AB3DF7">
        <w:rPr>
          <w:b/>
          <w:bCs/>
          <w:lang w:val="fr-FR"/>
        </w:rPr>
        <w:t>octroi de tous les pouvoirs de décision aux hommes dans la famille, en élargissant l</w:t>
      </w:r>
      <w:r w:rsidR="000C16F5" w:rsidRPr="00AB3DF7">
        <w:rPr>
          <w:b/>
          <w:bCs/>
          <w:lang w:val="fr-FR"/>
        </w:rPr>
        <w:t>’</w:t>
      </w:r>
      <w:r w:rsidRPr="00AB3DF7">
        <w:rPr>
          <w:b/>
          <w:bCs/>
          <w:lang w:val="fr-FR"/>
        </w:rPr>
        <w:t>éducation du public programmes et l</w:t>
      </w:r>
      <w:r w:rsidR="000C16F5" w:rsidRPr="00AB3DF7">
        <w:rPr>
          <w:b/>
          <w:bCs/>
          <w:lang w:val="fr-FR"/>
        </w:rPr>
        <w:t>’</w:t>
      </w:r>
      <w:r w:rsidRPr="00AB3DF7">
        <w:rPr>
          <w:b/>
          <w:bCs/>
          <w:lang w:val="fr-FR"/>
        </w:rPr>
        <w:t xml:space="preserve">application effective des lois interdisant de telles pratiques, en particulier dans les zones rurales </w:t>
      </w:r>
      <w:r w:rsidR="00D81000">
        <w:rPr>
          <w:b/>
          <w:bCs/>
          <w:lang w:val="fr-FR"/>
        </w:rPr>
        <w:t>[</w:t>
      </w:r>
      <w:r w:rsidRPr="00AB3DF7">
        <w:rPr>
          <w:b/>
          <w:bCs/>
          <w:lang w:val="fr-FR"/>
        </w:rPr>
        <w:t xml:space="preserve">voir </w:t>
      </w:r>
      <w:hyperlink r:id="rId41" w:history="1">
        <w:r w:rsidRPr="007B345A">
          <w:rPr>
            <w:rStyle w:val="Hyperlink"/>
            <w:b/>
            <w:bCs/>
            <w:lang w:val="fr-FR"/>
          </w:rPr>
          <w:t>CEDAW/C/CIV/CO/1-3</w:t>
        </w:r>
      </w:hyperlink>
      <w:r w:rsidRPr="00AB3DF7">
        <w:rPr>
          <w:b/>
          <w:bCs/>
          <w:lang w:val="fr-FR"/>
        </w:rPr>
        <w:t xml:space="preserve">, </w:t>
      </w:r>
      <w:r w:rsidR="006862B3">
        <w:rPr>
          <w:b/>
          <w:bCs/>
          <w:lang w:val="fr-FR"/>
        </w:rPr>
        <w:t>par. </w:t>
      </w:r>
      <w:r w:rsidRPr="00AB3DF7">
        <w:rPr>
          <w:b/>
          <w:bCs/>
          <w:lang w:val="fr-FR"/>
        </w:rPr>
        <w:t>27 b)</w:t>
      </w:r>
      <w:r w:rsidR="00D81000">
        <w:rPr>
          <w:b/>
          <w:bCs/>
          <w:lang w:val="fr-FR"/>
        </w:rPr>
        <w:t>]</w:t>
      </w:r>
      <w:r w:rsidRPr="00AB3DF7">
        <w:rPr>
          <w:b/>
          <w:bCs/>
          <w:lang w:val="fr-FR"/>
        </w:rPr>
        <w:t>.</w:t>
      </w:r>
    </w:p>
    <w:p w14:paraId="1AFF4E1F" w14:textId="13137EF7" w:rsidR="00364BF3" w:rsidRPr="0011615C" w:rsidRDefault="00AB3DF7" w:rsidP="00E04D21">
      <w:pPr>
        <w:pStyle w:val="SingleTxt"/>
        <w:tabs>
          <w:tab w:val="right" w:pos="1685"/>
        </w:tabs>
        <w:ind w:left="1742" w:hanging="475"/>
        <w:rPr>
          <w:lang w:val="fr-FR"/>
        </w:rPr>
      </w:pPr>
      <w:r>
        <w:rPr>
          <w:lang w:val="fr-FR"/>
        </w:rPr>
        <w:tab/>
        <w:t>•</w:t>
      </w:r>
      <w:r>
        <w:rPr>
          <w:lang w:val="fr-FR"/>
        </w:rPr>
        <w:tab/>
      </w:r>
      <w:r w:rsidR="00364BF3" w:rsidRPr="0011615C">
        <w:rPr>
          <w:lang w:val="fr-FR"/>
        </w:rPr>
        <w:t>Un Plan accéléré de lutte contre les mariages et grossesses précoces couvrant la période 2013-2015 a été élaboré et mis en œuvre</w:t>
      </w:r>
      <w:r w:rsidR="00DB4C05">
        <w:rPr>
          <w:lang w:val="fr-FR"/>
        </w:rPr>
        <w:t> ;</w:t>
      </w:r>
    </w:p>
    <w:p w14:paraId="4F64AA3E" w14:textId="3C603A69" w:rsidR="00364BF3" w:rsidRPr="0011615C" w:rsidRDefault="00AB3DF7" w:rsidP="00E04D21">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engagement solennel de leaders communautaires et guides religieux dans diverses régions</w:t>
      </w:r>
      <w:r w:rsidR="00DB4C05">
        <w:rPr>
          <w:lang w:val="fr-FR"/>
        </w:rPr>
        <w:t> ;</w:t>
      </w:r>
    </w:p>
    <w:p w14:paraId="63E3E217" w14:textId="0F48AC18" w:rsidR="00364BF3" w:rsidRPr="0011615C" w:rsidRDefault="00AB3DF7" w:rsidP="00E04D21">
      <w:pPr>
        <w:pStyle w:val="SingleTxt"/>
        <w:tabs>
          <w:tab w:val="right" w:pos="1685"/>
        </w:tabs>
        <w:ind w:left="1742" w:hanging="475"/>
        <w:rPr>
          <w:lang w:val="fr-FR"/>
        </w:rPr>
      </w:pPr>
      <w:r>
        <w:rPr>
          <w:lang w:val="fr-FR"/>
        </w:rPr>
        <w:tab/>
        <w:t>•</w:t>
      </w:r>
      <w:r>
        <w:rPr>
          <w:lang w:val="fr-FR"/>
        </w:rPr>
        <w:tab/>
      </w:r>
      <w:r w:rsidR="00364BF3" w:rsidRPr="0011615C">
        <w:rPr>
          <w:lang w:val="fr-FR"/>
        </w:rPr>
        <w:t>Au niveau des mutilations génitales féminines (MGF), la Côte d</w:t>
      </w:r>
      <w:r w:rsidR="000C16F5">
        <w:rPr>
          <w:lang w:val="fr-FR"/>
        </w:rPr>
        <w:t>’</w:t>
      </w:r>
      <w:r w:rsidR="00364BF3" w:rsidRPr="0011615C">
        <w:rPr>
          <w:lang w:val="fr-FR"/>
        </w:rPr>
        <w:t xml:space="preserve">Ivoire a pris de nombreuses mesures de mise en œuvre de la Résolution </w:t>
      </w:r>
      <w:hyperlink r:id="rId42" w:history="1">
        <w:r w:rsidR="00364BF3" w:rsidRPr="007B345A">
          <w:rPr>
            <w:rStyle w:val="Hyperlink"/>
            <w:lang w:val="fr-FR"/>
          </w:rPr>
          <w:t>A/RES/67/146</w:t>
        </w:r>
      </w:hyperlink>
      <w:r w:rsidR="00364BF3" w:rsidRPr="0011615C">
        <w:rPr>
          <w:lang w:val="fr-FR"/>
        </w:rPr>
        <w:t xml:space="preserve"> MGF des Nations Unies sur l</w:t>
      </w:r>
      <w:r w:rsidR="000C16F5">
        <w:rPr>
          <w:lang w:val="fr-FR"/>
        </w:rPr>
        <w:t>’</w:t>
      </w:r>
      <w:r w:rsidR="00364BF3" w:rsidRPr="0011615C">
        <w:rPr>
          <w:lang w:val="fr-FR"/>
        </w:rPr>
        <w:t>intensification de l</w:t>
      </w:r>
      <w:r w:rsidR="000C16F5">
        <w:rPr>
          <w:lang w:val="fr-FR"/>
        </w:rPr>
        <w:t>’</w:t>
      </w:r>
      <w:r w:rsidR="00364BF3" w:rsidRPr="0011615C">
        <w:rPr>
          <w:lang w:val="fr-FR"/>
        </w:rPr>
        <w:t>action mondiale visant à éliminer les MGF</w:t>
      </w:r>
      <w:r w:rsidR="00DB4C05">
        <w:rPr>
          <w:lang w:val="fr-FR"/>
        </w:rPr>
        <w:t> ;</w:t>
      </w:r>
    </w:p>
    <w:p w14:paraId="386576D4" w14:textId="521A948A" w:rsidR="00364BF3" w:rsidRPr="0011615C" w:rsidRDefault="00AB3DF7" w:rsidP="00E04D21">
      <w:pPr>
        <w:pStyle w:val="SingleTxt"/>
        <w:tabs>
          <w:tab w:val="right" w:pos="1685"/>
        </w:tabs>
        <w:ind w:left="1742" w:hanging="475"/>
        <w:rPr>
          <w:lang w:val="fr-FR"/>
        </w:rPr>
      </w:pPr>
      <w:r>
        <w:rPr>
          <w:lang w:val="fr-FR"/>
        </w:rPr>
        <w:tab/>
        <w:t>•</w:t>
      </w:r>
      <w:r>
        <w:rPr>
          <w:lang w:val="fr-FR"/>
        </w:rPr>
        <w:tab/>
      </w:r>
      <w:r w:rsidR="00364BF3" w:rsidRPr="0011615C">
        <w:rPr>
          <w:lang w:val="fr-FR"/>
        </w:rPr>
        <w:t>Une campagne « </w:t>
      </w:r>
      <w:r w:rsidR="00364BF3" w:rsidRPr="00B675BB">
        <w:rPr>
          <w:iCs/>
          <w:lang w:val="fr-FR"/>
        </w:rPr>
        <w:t>Tolérance zéro aux MGF</w:t>
      </w:r>
      <w:r w:rsidR="00364BF3" w:rsidRPr="0011615C">
        <w:rPr>
          <w:lang w:val="fr-FR"/>
        </w:rPr>
        <w:t> » a été lancée en 2013 et des actions visant à renforcer l</w:t>
      </w:r>
      <w:r w:rsidR="000C16F5">
        <w:rPr>
          <w:lang w:val="fr-FR"/>
        </w:rPr>
        <w:t>’</w:t>
      </w:r>
      <w:r w:rsidR="00364BF3" w:rsidRPr="0011615C">
        <w:rPr>
          <w:lang w:val="fr-FR"/>
        </w:rPr>
        <w:t xml:space="preserve">application de la loi </w:t>
      </w:r>
      <w:r w:rsidR="004B7322">
        <w:rPr>
          <w:lang w:val="fr-FR"/>
        </w:rPr>
        <w:t>n</w:t>
      </w:r>
      <w:r w:rsidR="004B7322" w:rsidRPr="004B7322">
        <w:rPr>
          <w:vertAlign w:val="superscript"/>
          <w:lang w:val="fr-FR"/>
        </w:rPr>
        <w:t>o</w:t>
      </w:r>
      <w:r w:rsidR="004B7322">
        <w:rPr>
          <w:lang w:val="fr-FR"/>
        </w:rPr>
        <w:t> </w:t>
      </w:r>
      <w:r w:rsidR="00364BF3" w:rsidRPr="0011615C">
        <w:rPr>
          <w:lang w:val="fr-FR"/>
        </w:rPr>
        <w:t xml:space="preserve">98-757 du 23 décembre 1998 sur les MGF sont initiées en faveur des professionnels de la loi et des autorités préfectorales. </w:t>
      </w:r>
    </w:p>
    <w:p w14:paraId="278C8121" w14:textId="72383767" w:rsidR="00364BF3" w:rsidRPr="00C90742" w:rsidRDefault="00364BF3" w:rsidP="008A6B29">
      <w:pPr>
        <w:pStyle w:val="SingleTxt"/>
        <w:numPr>
          <w:ilvl w:val="0"/>
          <w:numId w:val="11"/>
        </w:numPr>
        <w:spacing w:line="240" w:lineRule="exact"/>
        <w:rPr>
          <w:b/>
          <w:bCs/>
          <w:lang w:val="fr-FR"/>
        </w:rPr>
      </w:pPr>
      <w:r w:rsidRPr="00C90742">
        <w:rPr>
          <w:b/>
          <w:bCs/>
          <w:lang w:val="fr-FR"/>
        </w:rPr>
        <w:t>Procéder à une évaluation de l</w:t>
      </w:r>
      <w:r w:rsidR="000C16F5" w:rsidRPr="00C90742">
        <w:rPr>
          <w:b/>
          <w:bCs/>
          <w:lang w:val="fr-FR"/>
        </w:rPr>
        <w:t>’</w:t>
      </w:r>
      <w:r w:rsidRPr="00C90742">
        <w:rPr>
          <w:b/>
          <w:bCs/>
          <w:lang w:val="fr-FR"/>
        </w:rPr>
        <w:t>impact de ces mesures afin d</w:t>
      </w:r>
      <w:r w:rsidR="000C16F5" w:rsidRPr="00C90742">
        <w:rPr>
          <w:b/>
          <w:bCs/>
          <w:lang w:val="fr-FR"/>
        </w:rPr>
        <w:t>’</w:t>
      </w:r>
      <w:r w:rsidRPr="00C90742">
        <w:rPr>
          <w:b/>
          <w:bCs/>
          <w:lang w:val="fr-FR"/>
        </w:rPr>
        <w:t xml:space="preserve">identifier les lacunes et les améliorer en conséquence </w:t>
      </w:r>
      <w:r w:rsidR="00D81000">
        <w:rPr>
          <w:b/>
          <w:bCs/>
          <w:lang w:val="fr-FR"/>
        </w:rPr>
        <w:t>[</w:t>
      </w:r>
      <w:r w:rsidRPr="00C90742">
        <w:rPr>
          <w:b/>
          <w:bCs/>
          <w:lang w:val="fr-FR"/>
        </w:rPr>
        <w:t xml:space="preserve">voir </w:t>
      </w:r>
      <w:hyperlink r:id="rId43"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27 c)</w:t>
      </w:r>
      <w:r w:rsidR="00D81000">
        <w:rPr>
          <w:b/>
          <w:bCs/>
          <w:lang w:val="fr-FR"/>
        </w:rPr>
        <w:t>]</w:t>
      </w:r>
      <w:r w:rsidRPr="00C90742">
        <w:rPr>
          <w:b/>
          <w:bCs/>
          <w:lang w:val="fr-FR"/>
        </w:rPr>
        <w:t>.</w:t>
      </w:r>
    </w:p>
    <w:p w14:paraId="544287DC" w14:textId="29810B94" w:rsidR="00364BF3" w:rsidRPr="00190491" w:rsidRDefault="00364BF3" w:rsidP="008A6B29">
      <w:pPr>
        <w:pStyle w:val="SingleTxt"/>
        <w:numPr>
          <w:ilvl w:val="0"/>
          <w:numId w:val="11"/>
        </w:numPr>
        <w:spacing w:line="240" w:lineRule="exact"/>
        <w:rPr>
          <w:lang w:val="fr-FR"/>
        </w:rPr>
      </w:pPr>
      <w:r w:rsidRPr="00190491">
        <w:rPr>
          <w:lang w:val="fr-FR"/>
        </w:rPr>
        <w:t>La mise en œuvre de la stratégie VBG a été évaluée en 2015. Un atelier de restitution permettant d</w:t>
      </w:r>
      <w:r w:rsidR="000C16F5">
        <w:rPr>
          <w:lang w:val="fr-FR"/>
        </w:rPr>
        <w:t>’</w:t>
      </w:r>
      <w:r w:rsidRPr="00190491">
        <w:rPr>
          <w:lang w:val="fr-FR"/>
        </w:rPr>
        <w:t xml:space="preserve">apprécier le niveau de mise en œuvre et de prendre de nouvelles mesures de prévention </w:t>
      </w:r>
      <w:r w:rsidRPr="00190491">
        <w:rPr>
          <w:bCs/>
          <w:lang w:val="fr-FR"/>
        </w:rPr>
        <w:t>et de prise en charge holistique</w:t>
      </w:r>
      <w:r w:rsidRPr="00190491">
        <w:rPr>
          <w:lang w:val="fr-FR"/>
        </w:rPr>
        <w:t xml:space="preserve"> des violences.</w:t>
      </w:r>
    </w:p>
    <w:p w14:paraId="1762D798" w14:textId="5B7BFCE0" w:rsidR="00364BF3" w:rsidRDefault="00364BF3" w:rsidP="008A6B29">
      <w:pPr>
        <w:pStyle w:val="SingleTxt"/>
        <w:numPr>
          <w:ilvl w:val="0"/>
          <w:numId w:val="11"/>
        </w:numPr>
        <w:spacing w:line="240" w:lineRule="exact"/>
        <w:rPr>
          <w:lang w:val="fr-FR"/>
        </w:rPr>
      </w:pPr>
      <w:r w:rsidRPr="00190491">
        <w:rPr>
          <w:lang w:val="fr-FR"/>
        </w:rPr>
        <w:t>Une</w:t>
      </w:r>
      <w:r w:rsidRPr="00190491">
        <w:rPr>
          <w:bCs/>
          <w:lang w:val="fr-FR"/>
        </w:rPr>
        <w:t xml:space="preserve"> </w:t>
      </w:r>
      <w:r w:rsidRPr="00190491">
        <w:rPr>
          <w:lang w:val="fr-FR"/>
        </w:rPr>
        <w:t>Enquête TRaC</w:t>
      </w:r>
      <w:r w:rsidRPr="00300E48">
        <w:rPr>
          <w:rStyle w:val="FootnoteReference"/>
          <w:lang w:val="fr-FR"/>
        </w:rPr>
        <w:footnoteReference w:id="6"/>
      </w:r>
      <w:r w:rsidRPr="00190491">
        <w:rPr>
          <w:lang w:val="fr-FR"/>
        </w:rPr>
        <w:t xml:space="preserve"> de base pour le suivi et l</w:t>
      </w:r>
      <w:r w:rsidR="000C16F5">
        <w:rPr>
          <w:lang w:val="fr-FR"/>
        </w:rPr>
        <w:t>’</w:t>
      </w:r>
      <w:r w:rsidRPr="00190491">
        <w:rPr>
          <w:lang w:val="fr-FR"/>
        </w:rPr>
        <w:t>évaluation de l</w:t>
      </w:r>
      <w:r w:rsidR="000C16F5">
        <w:rPr>
          <w:lang w:val="fr-FR"/>
        </w:rPr>
        <w:t>’</w:t>
      </w:r>
      <w:r w:rsidRPr="00190491">
        <w:rPr>
          <w:lang w:val="fr-FR"/>
        </w:rPr>
        <w:t>abandon de la pratique des mutilations génitales féminines (MGF) en Côte d</w:t>
      </w:r>
      <w:r w:rsidR="000C16F5">
        <w:rPr>
          <w:lang w:val="fr-FR"/>
        </w:rPr>
        <w:t>’</w:t>
      </w:r>
      <w:r w:rsidRPr="00190491">
        <w:rPr>
          <w:lang w:val="fr-FR"/>
        </w:rPr>
        <w:t>Ivoire a été menée en 2013 par l</w:t>
      </w:r>
      <w:r w:rsidR="000C16F5">
        <w:rPr>
          <w:lang w:val="fr-FR"/>
        </w:rPr>
        <w:t>’</w:t>
      </w:r>
      <w:r w:rsidRPr="00190491">
        <w:rPr>
          <w:lang w:val="fr-FR"/>
        </w:rPr>
        <w:t>ENSEA et le MSFFE. Les données collectées concerneront le fait de ne pas avoir une fille excisée, l</w:t>
      </w:r>
      <w:r w:rsidR="000C16F5">
        <w:rPr>
          <w:lang w:val="fr-FR"/>
        </w:rPr>
        <w:t>’</w:t>
      </w:r>
      <w:r w:rsidRPr="00190491">
        <w:rPr>
          <w:lang w:val="fr-FR"/>
        </w:rPr>
        <w:t>intention de ne pas faire exciser sa/ses fille(s), les déterminants d</w:t>
      </w:r>
      <w:r w:rsidR="000C16F5">
        <w:rPr>
          <w:lang w:val="fr-FR"/>
        </w:rPr>
        <w:t>’</w:t>
      </w:r>
      <w:r w:rsidRPr="00190491">
        <w:rPr>
          <w:lang w:val="fr-FR"/>
        </w:rPr>
        <w:t xml:space="preserve">Opportunité, de Capacité et de Motivation (OCM) liées à cette </w:t>
      </w:r>
      <w:r w:rsidRPr="00190491">
        <w:rPr>
          <w:lang w:val="fr-FR"/>
        </w:rPr>
        <w:lastRenderedPageBreak/>
        <w:t>pratique au sein de la population. L</w:t>
      </w:r>
      <w:r w:rsidR="000C16F5">
        <w:rPr>
          <w:lang w:val="fr-FR"/>
        </w:rPr>
        <w:t>’</w:t>
      </w:r>
      <w:r w:rsidRPr="00190491">
        <w:rPr>
          <w:lang w:val="fr-FR"/>
        </w:rPr>
        <w:t xml:space="preserve">enquête a montré </w:t>
      </w:r>
      <w:r w:rsidRPr="0011615C">
        <w:rPr>
          <w:lang w:val="fr-FR"/>
        </w:rPr>
        <w:t>quels pourcentages</w:t>
      </w:r>
      <w:r w:rsidRPr="00190491">
        <w:rPr>
          <w:lang w:val="fr-FR"/>
        </w:rPr>
        <w:t xml:space="preserve"> de femmes qui n</w:t>
      </w:r>
      <w:r w:rsidR="000C16F5">
        <w:rPr>
          <w:lang w:val="fr-FR"/>
        </w:rPr>
        <w:t>’</w:t>
      </w:r>
      <w:r w:rsidRPr="00190491">
        <w:rPr>
          <w:lang w:val="fr-FR"/>
        </w:rPr>
        <w:t>ont aucune fille excisée ou celles qui n</w:t>
      </w:r>
      <w:r w:rsidR="000C16F5">
        <w:rPr>
          <w:lang w:val="fr-FR"/>
        </w:rPr>
        <w:t>’</w:t>
      </w:r>
      <w:r w:rsidRPr="00190491">
        <w:rPr>
          <w:lang w:val="fr-FR"/>
        </w:rPr>
        <w:t>ont pas l</w:t>
      </w:r>
      <w:r w:rsidR="000C16F5">
        <w:rPr>
          <w:lang w:val="fr-FR"/>
        </w:rPr>
        <w:t>’</w:t>
      </w:r>
      <w:r w:rsidRPr="00190491">
        <w:rPr>
          <w:lang w:val="fr-FR"/>
        </w:rPr>
        <w:t>intention de faire subir cette pratique à leur fille sont très élevés et excèdent 70</w:t>
      </w:r>
      <w:r w:rsidR="00DB4C05">
        <w:rPr>
          <w:lang w:val="fr-FR"/>
        </w:rPr>
        <w:t> %</w:t>
      </w:r>
      <w:r w:rsidRPr="00190491">
        <w:rPr>
          <w:lang w:val="fr-FR"/>
        </w:rPr>
        <w:t xml:space="preserve"> aussi bien en milieu urbain (93,4</w:t>
      </w:r>
      <w:r w:rsidR="00DB4C05">
        <w:rPr>
          <w:lang w:val="fr-FR"/>
        </w:rPr>
        <w:t> %</w:t>
      </w:r>
      <w:r w:rsidRPr="00190491">
        <w:rPr>
          <w:lang w:val="fr-FR"/>
        </w:rPr>
        <w:t xml:space="preserve"> et 84,5</w:t>
      </w:r>
      <w:r w:rsidR="00DB4C05">
        <w:rPr>
          <w:lang w:val="fr-FR"/>
        </w:rPr>
        <w:t> %</w:t>
      </w:r>
      <w:r w:rsidRPr="00190491">
        <w:rPr>
          <w:lang w:val="fr-FR"/>
        </w:rPr>
        <w:t>) qu</w:t>
      </w:r>
      <w:r w:rsidR="000C16F5">
        <w:rPr>
          <w:lang w:val="fr-FR"/>
        </w:rPr>
        <w:t>’</w:t>
      </w:r>
      <w:r w:rsidRPr="00190491">
        <w:rPr>
          <w:lang w:val="fr-FR"/>
        </w:rPr>
        <w:t>en milieu rural (81,9</w:t>
      </w:r>
      <w:r w:rsidR="00DB4C05">
        <w:rPr>
          <w:lang w:val="fr-FR"/>
        </w:rPr>
        <w:t> %</w:t>
      </w:r>
      <w:r w:rsidRPr="00190491">
        <w:rPr>
          <w:lang w:val="fr-FR"/>
        </w:rPr>
        <w:t xml:space="preserve"> et 71,3</w:t>
      </w:r>
      <w:r w:rsidR="00DB4C05">
        <w:rPr>
          <w:lang w:val="fr-FR"/>
        </w:rPr>
        <w:t> %</w:t>
      </w:r>
      <w:r w:rsidRPr="00190491">
        <w:rPr>
          <w:lang w:val="fr-FR"/>
        </w:rPr>
        <w:t>). Ce résultat traduit sans doute la tendance à abandonner la pratique des MGF au fil du temps.</w:t>
      </w:r>
    </w:p>
    <w:p w14:paraId="6538CE0C" w14:textId="69CC7D86" w:rsidR="00C90742" w:rsidRPr="00C90742" w:rsidRDefault="00C90742" w:rsidP="00C90742">
      <w:pPr>
        <w:pStyle w:val="SingleTxt"/>
        <w:tabs>
          <w:tab w:val="clear" w:pos="1742"/>
        </w:tabs>
        <w:spacing w:after="0" w:line="120" w:lineRule="exact"/>
        <w:rPr>
          <w:sz w:val="10"/>
          <w:lang w:val="fr-FR"/>
        </w:rPr>
      </w:pPr>
    </w:p>
    <w:p w14:paraId="45F59F6F" w14:textId="12810016" w:rsidR="00364BF3" w:rsidRDefault="00364BF3" w:rsidP="00C9074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 xml:space="preserve">La violence contre les femmes </w:t>
      </w:r>
    </w:p>
    <w:p w14:paraId="79ECF859" w14:textId="602EAC25" w:rsidR="00C90742" w:rsidRPr="00C90742" w:rsidRDefault="00C90742" w:rsidP="00C90742">
      <w:pPr>
        <w:spacing w:line="120" w:lineRule="exact"/>
        <w:rPr>
          <w:sz w:val="10"/>
          <w:lang w:val="fr-FR"/>
        </w:rPr>
      </w:pPr>
    </w:p>
    <w:p w14:paraId="7AF24E85" w14:textId="1C89A5CF" w:rsidR="00364BF3" w:rsidRPr="00C90742" w:rsidRDefault="00364BF3" w:rsidP="008A6B29">
      <w:pPr>
        <w:pStyle w:val="SingleTxt"/>
        <w:numPr>
          <w:ilvl w:val="0"/>
          <w:numId w:val="11"/>
        </w:numPr>
        <w:spacing w:line="240" w:lineRule="exact"/>
        <w:rPr>
          <w:b/>
          <w:bCs/>
          <w:lang w:val="fr-FR"/>
        </w:rPr>
      </w:pPr>
      <w:r w:rsidRPr="00C90742">
        <w:rPr>
          <w:b/>
          <w:bCs/>
          <w:lang w:val="fr-FR"/>
        </w:rPr>
        <w:t>Accélérer l</w:t>
      </w:r>
      <w:r w:rsidR="000C16F5" w:rsidRPr="00C90742">
        <w:rPr>
          <w:b/>
          <w:bCs/>
          <w:lang w:val="fr-FR"/>
        </w:rPr>
        <w:t>’</w:t>
      </w:r>
      <w:r w:rsidRPr="00C90742">
        <w:rPr>
          <w:b/>
          <w:bCs/>
          <w:lang w:val="fr-FR"/>
        </w:rPr>
        <w:t>approbation et la mise en œuvre d</w:t>
      </w:r>
      <w:r w:rsidR="000C16F5" w:rsidRPr="00C90742">
        <w:rPr>
          <w:b/>
          <w:bCs/>
          <w:lang w:val="fr-FR"/>
        </w:rPr>
        <w:t>’</w:t>
      </w:r>
      <w:r w:rsidRPr="00C90742">
        <w:rPr>
          <w:b/>
          <w:bCs/>
          <w:lang w:val="fr-FR"/>
        </w:rPr>
        <w:t xml:space="preserve">une stratégie nationale globale et actualisée contre la violence sexiste </w:t>
      </w:r>
      <w:r w:rsidR="00D81000">
        <w:rPr>
          <w:b/>
          <w:bCs/>
          <w:lang w:val="fr-FR"/>
        </w:rPr>
        <w:t>[</w:t>
      </w:r>
      <w:r w:rsidRPr="00C90742">
        <w:rPr>
          <w:b/>
          <w:bCs/>
          <w:lang w:val="fr-FR"/>
        </w:rPr>
        <w:t xml:space="preserve">voir </w:t>
      </w:r>
      <w:hyperlink r:id="rId44"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31 a)</w:t>
      </w:r>
      <w:r w:rsidR="00D81000">
        <w:rPr>
          <w:b/>
          <w:bCs/>
          <w:lang w:val="fr-FR"/>
        </w:rPr>
        <w:t>]</w:t>
      </w:r>
      <w:r w:rsidRPr="00C90742">
        <w:rPr>
          <w:b/>
          <w:bCs/>
          <w:lang w:val="fr-FR"/>
        </w:rPr>
        <w:t>.</w:t>
      </w:r>
    </w:p>
    <w:p w14:paraId="3CBB456B" w14:textId="00AD66B2" w:rsidR="00364BF3" w:rsidRPr="00190491" w:rsidRDefault="00364BF3" w:rsidP="008A6B29">
      <w:pPr>
        <w:pStyle w:val="SingleTxt"/>
        <w:numPr>
          <w:ilvl w:val="0"/>
          <w:numId w:val="11"/>
        </w:numPr>
        <w:spacing w:line="240" w:lineRule="exact"/>
        <w:rPr>
          <w:lang w:val="fr-FR"/>
        </w:rPr>
      </w:pPr>
      <w:r w:rsidRPr="00190491">
        <w:rPr>
          <w:lang w:val="fr-FR"/>
        </w:rPr>
        <w:t>La SNLVBG a été renforcée par un plan d</w:t>
      </w:r>
      <w:r w:rsidR="000C16F5">
        <w:rPr>
          <w:lang w:val="fr-FR"/>
        </w:rPr>
        <w:t>’</w:t>
      </w:r>
      <w:r w:rsidRPr="00190491">
        <w:rPr>
          <w:lang w:val="fr-FR"/>
        </w:rPr>
        <w:t>action opérationnel. L</w:t>
      </w:r>
      <w:r w:rsidR="000C16F5">
        <w:rPr>
          <w:lang w:val="fr-FR"/>
        </w:rPr>
        <w:t>’</w:t>
      </w:r>
      <w:r w:rsidRPr="00190491">
        <w:rPr>
          <w:lang w:val="fr-FR"/>
        </w:rPr>
        <w:t xml:space="preserve">analyse de la SNLVBG fait ressortir un cadre des résultats en adéquation avec les défis et les priorités du Gouvernement en matière de lutte contre les VBG. Cependant, il faudrait réviser le mode de financement pour mettre à disposition des moyens adéquats dans la réponse. </w:t>
      </w:r>
    </w:p>
    <w:p w14:paraId="7762F282" w14:textId="2447502D" w:rsidR="00364BF3" w:rsidRPr="00C90742" w:rsidRDefault="00364BF3" w:rsidP="008A6B29">
      <w:pPr>
        <w:pStyle w:val="SingleTxt"/>
        <w:numPr>
          <w:ilvl w:val="0"/>
          <w:numId w:val="11"/>
        </w:numPr>
        <w:spacing w:line="240" w:lineRule="exact"/>
        <w:rPr>
          <w:b/>
          <w:bCs/>
          <w:lang w:val="fr-FR"/>
        </w:rPr>
      </w:pPr>
      <w:r w:rsidRPr="00C90742">
        <w:rPr>
          <w:b/>
          <w:bCs/>
          <w:lang w:val="fr-FR"/>
        </w:rPr>
        <w:t>Assurer l</w:t>
      </w:r>
      <w:r w:rsidR="000C16F5" w:rsidRPr="00C90742">
        <w:rPr>
          <w:b/>
          <w:bCs/>
          <w:lang w:val="fr-FR"/>
        </w:rPr>
        <w:t>’</w:t>
      </w:r>
      <w:r w:rsidRPr="00C90742">
        <w:rPr>
          <w:b/>
          <w:bCs/>
          <w:lang w:val="fr-FR"/>
        </w:rPr>
        <w:t>accès effectif des femmes aux cours et tribunaux et à renforcer</w:t>
      </w:r>
      <w:r w:rsidR="00C90742">
        <w:rPr>
          <w:b/>
          <w:bCs/>
          <w:lang w:val="fr-FR"/>
        </w:rPr>
        <w:t xml:space="preserve"> </w:t>
      </w:r>
      <w:r w:rsidRPr="00C90742">
        <w:rPr>
          <w:b/>
          <w:bCs/>
          <w:lang w:val="fr-FR"/>
        </w:rPr>
        <w:t>l</w:t>
      </w:r>
      <w:r w:rsidR="000C16F5" w:rsidRPr="00C90742">
        <w:rPr>
          <w:b/>
          <w:bCs/>
          <w:lang w:val="fr-FR"/>
        </w:rPr>
        <w:t>’</w:t>
      </w:r>
      <w:r w:rsidRPr="00C90742">
        <w:rPr>
          <w:b/>
          <w:bCs/>
          <w:lang w:val="fr-FR"/>
        </w:rPr>
        <w:t>assistance aux victimes et leur réhabilitation à travers la mise en place, avec l</w:t>
      </w:r>
      <w:r w:rsidR="000C16F5" w:rsidRPr="00C90742">
        <w:rPr>
          <w:b/>
          <w:bCs/>
          <w:lang w:val="fr-FR"/>
        </w:rPr>
        <w:t>’</w:t>
      </w:r>
      <w:r w:rsidRPr="00C90742">
        <w:rPr>
          <w:b/>
          <w:bCs/>
          <w:lang w:val="fr-FR"/>
        </w:rPr>
        <w:t>aide de la communauté internationale, d</w:t>
      </w:r>
      <w:r w:rsidR="000C16F5" w:rsidRPr="00C90742">
        <w:rPr>
          <w:b/>
          <w:bCs/>
          <w:lang w:val="fr-FR"/>
        </w:rPr>
        <w:t>’</w:t>
      </w:r>
      <w:r w:rsidRPr="00C90742">
        <w:rPr>
          <w:b/>
          <w:bCs/>
          <w:lang w:val="fr-FR"/>
        </w:rPr>
        <w:t xml:space="preserve">un système de soins complets pour les victimes de violence sexuelle y compris les mesures visant à leur fournir un soutien médical et psychologique et de lutter contre la stigmatisation </w:t>
      </w:r>
      <w:r w:rsidR="00D81000">
        <w:rPr>
          <w:b/>
          <w:bCs/>
          <w:lang w:val="fr-FR"/>
        </w:rPr>
        <w:t>[</w:t>
      </w:r>
      <w:r w:rsidRPr="00C90742">
        <w:rPr>
          <w:b/>
          <w:bCs/>
          <w:lang w:val="fr-FR"/>
        </w:rPr>
        <w:t xml:space="preserve">voir </w:t>
      </w:r>
      <w:hyperlink r:id="rId45"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31 b)</w:t>
      </w:r>
      <w:r w:rsidR="00D81000">
        <w:rPr>
          <w:b/>
          <w:bCs/>
          <w:lang w:val="fr-FR"/>
        </w:rPr>
        <w:t>]</w:t>
      </w:r>
      <w:r w:rsidRPr="00C90742">
        <w:rPr>
          <w:b/>
          <w:bCs/>
          <w:lang w:val="fr-FR"/>
        </w:rPr>
        <w:t>.</w:t>
      </w:r>
    </w:p>
    <w:p w14:paraId="29FE60DC" w14:textId="77777777" w:rsidR="00364BF3" w:rsidRPr="00190491" w:rsidRDefault="00364BF3" w:rsidP="008A6B29">
      <w:pPr>
        <w:pStyle w:val="SingleTxt"/>
        <w:numPr>
          <w:ilvl w:val="0"/>
          <w:numId w:val="11"/>
        </w:numPr>
        <w:spacing w:line="240" w:lineRule="exact"/>
        <w:rPr>
          <w:lang w:val="fr-FR"/>
        </w:rPr>
      </w:pPr>
      <w:r w:rsidRPr="00190491">
        <w:rPr>
          <w:lang w:val="fr-FR"/>
        </w:rPr>
        <w:t>Le Projet PRDF (2012 – 2014), a été réalisé sous la supervision du MSFFE. Des experts médicaux et des Avocats ont permis de constituer les dossiers de 67 femmes victimes de violences sexuelles dont les plaintes sont en attente de jugement.</w:t>
      </w:r>
    </w:p>
    <w:p w14:paraId="1ED6A6AD" w14:textId="77777777" w:rsidR="00364BF3" w:rsidRPr="00190491" w:rsidRDefault="00364BF3" w:rsidP="008A6B29">
      <w:pPr>
        <w:pStyle w:val="SingleTxt"/>
        <w:numPr>
          <w:ilvl w:val="0"/>
          <w:numId w:val="11"/>
        </w:numPr>
        <w:spacing w:line="240" w:lineRule="exact"/>
        <w:rPr>
          <w:lang w:val="fr-FR"/>
        </w:rPr>
      </w:pPr>
      <w:r w:rsidRPr="00190491">
        <w:rPr>
          <w:lang w:val="fr-FR"/>
        </w:rPr>
        <w:t>Entre 2011 et 2014, des Procédures Opérationnelles Standards (POS) ont été élaborées et des sessions de formation sur la prise en charge médicale, psychosociale et juridico-judiciaire des VBG ont été conduites auprès de 300 cadres nationaux et des personnels des ONGs.</w:t>
      </w:r>
    </w:p>
    <w:p w14:paraId="2BC4EAA7" w14:textId="22ADE26E" w:rsidR="00364BF3" w:rsidRPr="00190491" w:rsidRDefault="00364BF3" w:rsidP="008A6B29">
      <w:pPr>
        <w:pStyle w:val="SingleTxt"/>
        <w:numPr>
          <w:ilvl w:val="0"/>
          <w:numId w:val="11"/>
        </w:numPr>
        <w:spacing w:line="240" w:lineRule="exact"/>
        <w:rPr>
          <w:lang w:val="fr-FR"/>
        </w:rPr>
      </w:pPr>
      <w:r w:rsidRPr="00190491">
        <w:rPr>
          <w:lang w:val="fr-FR"/>
        </w:rPr>
        <w:t>La prévalence des violences sexuelles en Côte d</w:t>
      </w:r>
      <w:r w:rsidR="000C16F5">
        <w:rPr>
          <w:lang w:val="fr-FR"/>
        </w:rPr>
        <w:t>’</w:t>
      </w:r>
      <w:r w:rsidRPr="00190491">
        <w:rPr>
          <w:lang w:val="fr-FR"/>
        </w:rPr>
        <w:t>Ivoire, les obstacles à l</w:t>
      </w:r>
      <w:r w:rsidR="000C16F5">
        <w:rPr>
          <w:lang w:val="fr-FR"/>
        </w:rPr>
        <w:t>’</w:t>
      </w:r>
      <w:r w:rsidRPr="00190491">
        <w:rPr>
          <w:lang w:val="fr-FR"/>
        </w:rPr>
        <w:t>accès des survivants à la prise en charge holistique et les leçons apprises lors des formations ont montré la nécessité de la vulgarisation d</w:t>
      </w:r>
      <w:r w:rsidR="000C16F5">
        <w:rPr>
          <w:lang w:val="fr-FR"/>
        </w:rPr>
        <w:t>’</w:t>
      </w:r>
      <w:r w:rsidRPr="00190491">
        <w:rPr>
          <w:lang w:val="fr-FR"/>
        </w:rPr>
        <w:t>un protocole de prise en charge clinique du viol dans toutes les formations sanitaires du pays. Pour ce faire, un algorithme de prise en charge clinique du viol adapté aux directives nationales en matière de prévention du VIH et aux directives IASC a été élaboré dans un processus participatif en 2012. C</w:t>
      </w:r>
      <w:r w:rsidR="000C16F5">
        <w:rPr>
          <w:lang w:val="fr-FR"/>
        </w:rPr>
        <w:t>’</w:t>
      </w:r>
      <w:r w:rsidRPr="00190491">
        <w:rPr>
          <w:lang w:val="fr-FR"/>
        </w:rPr>
        <w:t>est un outil de référence pour tout prestataire afin de prodiguer des soins de qualité aux survivant(e)s de viol. Il a été reproduit en 10 000 exemplaires et a fait l</w:t>
      </w:r>
      <w:r w:rsidR="000C16F5">
        <w:rPr>
          <w:lang w:val="fr-FR"/>
        </w:rPr>
        <w:t>’</w:t>
      </w:r>
      <w:r w:rsidRPr="00190491">
        <w:rPr>
          <w:lang w:val="fr-FR"/>
        </w:rPr>
        <w:t xml:space="preserve">objet de renforcement de capacités de plus de 1000 acteurs de santé et de réponse psychosociale. </w:t>
      </w:r>
    </w:p>
    <w:p w14:paraId="3C6ADE29" w14:textId="56DF7A10" w:rsidR="00364BF3" w:rsidRPr="00190491" w:rsidRDefault="00364BF3" w:rsidP="008A6B29">
      <w:pPr>
        <w:pStyle w:val="SingleTxt"/>
        <w:numPr>
          <w:ilvl w:val="0"/>
          <w:numId w:val="11"/>
        </w:numPr>
        <w:spacing w:line="240" w:lineRule="exact"/>
        <w:rPr>
          <w:bCs/>
          <w:lang w:val="fr-FR"/>
        </w:rPr>
      </w:pPr>
      <w:r w:rsidRPr="00190491">
        <w:rPr>
          <w:lang w:val="fr-FR"/>
        </w:rPr>
        <w:t>Un processus de plaidoyer a été aussi mis en place pour la gratuité du certificat médical qui a longtemps constitué un frein à la réponse judiciaire. En plus la circulaire</w:t>
      </w:r>
      <w:r w:rsidRPr="00190491">
        <w:rPr>
          <w:bCs/>
          <w:lang w:val="fr-FR"/>
        </w:rPr>
        <w:t xml:space="preserve"> 016/MJ/MEMIS/MPRD du 04 aout 2016 (mentionnée dans les réformes législatives)</w:t>
      </w:r>
      <w:r w:rsidRPr="00190491">
        <w:rPr>
          <w:lang w:val="fr-FR"/>
        </w:rPr>
        <w:t>, l</w:t>
      </w:r>
      <w:r w:rsidR="000C16F5">
        <w:rPr>
          <w:lang w:val="fr-FR"/>
        </w:rPr>
        <w:t>’</w:t>
      </w:r>
      <w:r w:rsidRPr="00190491">
        <w:rPr>
          <w:lang w:val="fr-FR"/>
        </w:rPr>
        <w:t>aide du Congrès des médecins gynécologues et de l</w:t>
      </w:r>
      <w:r w:rsidR="000C16F5">
        <w:rPr>
          <w:lang w:val="fr-FR"/>
        </w:rPr>
        <w:t>’</w:t>
      </w:r>
      <w:r w:rsidRPr="00190491">
        <w:rPr>
          <w:lang w:val="fr-FR"/>
        </w:rPr>
        <w:t>ordre des médecins a été sollicitée à cet effet. Près de 100 médecins acceptent d</w:t>
      </w:r>
      <w:r w:rsidR="000C16F5">
        <w:rPr>
          <w:lang w:val="fr-FR"/>
        </w:rPr>
        <w:t>’</w:t>
      </w:r>
      <w:r w:rsidRPr="00190491">
        <w:rPr>
          <w:lang w:val="fr-FR"/>
        </w:rPr>
        <w:t>établir gratuitement des certificats médicaux pour des cas de viol.</w:t>
      </w:r>
    </w:p>
    <w:p w14:paraId="6AD9AE66" w14:textId="3CC5FAF3" w:rsidR="00364BF3" w:rsidRPr="00190491" w:rsidRDefault="00364BF3" w:rsidP="008A6B29">
      <w:pPr>
        <w:pStyle w:val="SingleTxt"/>
        <w:numPr>
          <w:ilvl w:val="0"/>
          <w:numId w:val="11"/>
        </w:numPr>
        <w:spacing w:line="240" w:lineRule="exact"/>
        <w:rPr>
          <w:lang w:val="fr-FR"/>
        </w:rPr>
      </w:pPr>
      <w:r w:rsidRPr="00190491">
        <w:rPr>
          <w:lang w:val="fr-FR"/>
        </w:rPr>
        <w:t>Avec l</w:t>
      </w:r>
      <w:r w:rsidR="000C16F5">
        <w:rPr>
          <w:lang w:val="fr-FR"/>
        </w:rPr>
        <w:t>’</w:t>
      </w:r>
      <w:r w:rsidRPr="00190491">
        <w:rPr>
          <w:lang w:val="fr-FR"/>
        </w:rPr>
        <w:t>appui des ASNU, 120 comités d</w:t>
      </w:r>
      <w:r w:rsidR="000C16F5">
        <w:rPr>
          <w:lang w:val="fr-FR"/>
        </w:rPr>
        <w:t>’</w:t>
      </w:r>
      <w:r w:rsidRPr="00190491">
        <w:rPr>
          <w:lang w:val="fr-FR"/>
        </w:rPr>
        <w:t>éveil ont été mis en place et assurent que les cas rapportés soient transmis aux autorités responsables en vue d</w:t>
      </w:r>
      <w:r w:rsidR="000C16F5">
        <w:rPr>
          <w:lang w:val="fr-FR"/>
        </w:rPr>
        <w:t>’</w:t>
      </w:r>
      <w:r w:rsidRPr="00190491">
        <w:rPr>
          <w:lang w:val="fr-FR"/>
        </w:rPr>
        <w:t>une prise en charge autant médicale que juridique. En outre, 5 commissariats ainsi qu</w:t>
      </w:r>
      <w:r w:rsidR="000C16F5">
        <w:rPr>
          <w:lang w:val="fr-FR"/>
        </w:rPr>
        <w:t>’</w:t>
      </w:r>
      <w:r w:rsidRPr="00190491">
        <w:rPr>
          <w:lang w:val="fr-FR"/>
        </w:rPr>
        <w:t>une légion de gendarmerie possèdent à présent une « Unité Genre » qui permet de faciliter le traitement des plaintes des cas de violences faites aux femmes et aux filles. Ces unités ont depuis avril 2014 enregistré et traité 1541 cas de VBG.</w:t>
      </w:r>
    </w:p>
    <w:p w14:paraId="3C046149" w14:textId="50FB0D0E" w:rsidR="00364BF3" w:rsidRPr="00C90742" w:rsidRDefault="00364BF3" w:rsidP="008A6B29">
      <w:pPr>
        <w:pStyle w:val="SingleTxt"/>
        <w:numPr>
          <w:ilvl w:val="0"/>
          <w:numId w:val="11"/>
        </w:numPr>
        <w:spacing w:line="240" w:lineRule="exact"/>
        <w:rPr>
          <w:b/>
          <w:bCs/>
          <w:lang w:val="fr-FR"/>
        </w:rPr>
      </w:pPr>
      <w:r w:rsidRPr="00C90742">
        <w:rPr>
          <w:b/>
          <w:bCs/>
          <w:lang w:val="fr-FR"/>
        </w:rPr>
        <w:lastRenderedPageBreak/>
        <w:t>Modifier, sans délai, le Code criminel et la loi n</w:t>
      </w:r>
      <w:r w:rsidR="00C90742" w:rsidRPr="00C90742">
        <w:rPr>
          <w:b/>
          <w:bCs/>
          <w:vertAlign w:val="superscript"/>
          <w:lang w:val="fr-FR"/>
        </w:rPr>
        <w:t>o</w:t>
      </w:r>
      <w:r w:rsidR="00C90742">
        <w:rPr>
          <w:b/>
          <w:bCs/>
          <w:lang w:val="fr-FR"/>
        </w:rPr>
        <w:t> </w:t>
      </w:r>
      <w:r w:rsidRPr="00C90742">
        <w:rPr>
          <w:b/>
          <w:bCs/>
          <w:lang w:val="fr-FR"/>
        </w:rPr>
        <w:t>98-757 du 23 Décembre 1998 pour introduire une définition du viol couvrant toute agression sexuelle, y compris en l</w:t>
      </w:r>
      <w:r w:rsidR="000C16F5" w:rsidRPr="00C90742">
        <w:rPr>
          <w:b/>
          <w:bCs/>
          <w:lang w:val="fr-FR"/>
        </w:rPr>
        <w:t>’</w:t>
      </w:r>
      <w:r w:rsidRPr="00C90742">
        <w:rPr>
          <w:b/>
          <w:bCs/>
          <w:lang w:val="fr-FR"/>
        </w:rPr>
        <w:t>absence de résistance de la victime, et à criminaliser la violence domestique et le viol conjugal, en conformité avec la Convention générale et la Recommandation n</w:t>
      </w:r>
      <w:r w:rsidR="004B7322" w:rsidRPr="004B7322">
        <w:rPr>
          <w:b/>
          <w:bCs/>
          <w:vertAlign w:val="superscript"/>
          <w:lang w:val="fr-FR"/>
        </w:rPr>
        <w:t>o</w:t>
      </w:r>
      <w:r w:rsidR="004B7322">
        <w:rPr>
          <w:b/>
          <w:bCs/>
          <w:lang w:val="fr-FR"/>
        </w:rPr>
        <w:t> </w:t>
      </w:r>
      <w:r w:rsidRPr="00C90742">
        <w:rPr>
          <w:b/>
          <w:bCs/>
          <w:lang w:val="fr-FR"/>
        </w:rPr>
        <w:t xml:space="preserve">19 du comité sur la violence contre les femmes (1992) </w:t>
      </w:r>
      <w:r w:rsidR="00D81000">
        <w:rPr>
          <w:b/>
          <w:bCs/>
          <w:lang w:val="fr-FR"/>
        </w:rPr>
        <w:t>[</w:t>
      </w:r>
      <w:r w:rsidRPr="00C90742">
        <w:rPr>
          <w:b/>
          <w:bCs/>
          <w:lang w:val="fr-FR"/>
        </w:rPr>
        <w:t xml:space="preserve">voir </w:t>
      </w:r>
      <w:hyperlink r:id="rId46"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31 c)</w:t>
      </w:r>
      <w:r w:rsidR="00D81000">
        <w:rPr>
          <w:b/>
          <w:bCs/>
          <w:lang w:val="fr-FR"/>
        </w:rPr>
        <w:t>]</w:t>
      </w:r>
      <w:r w:rsidRPr="00C90742">
        <w:rPr>
          <w:b/>
          <w:bCs/>
          <w:lang w:val="fr-FR"/>
        </w:rPr>
        <w:t>.</w:t>
      </w:r>
    </w:p>
    <w:p w14:paraId="0F150C75" w14:textId="48993E0A" w:rsidR="00364BF3" w:rsidRPr="00190491" w:rsidRDefault="00364BF3" w:rsidP="008A6B29">
      <w:pPr>
        <w:pStyle w:val="SingleTxt"/>
        <w:numPr>
          <w:ilvl w:val="0"/>
          <w:numId w:val="11"/>
        </w:numPr>
        <w:spacing w:line="240" w:lineRule="exact"/>
        <w:rPr>
          <w:lang w:val="fr-FR"/>
        </w:rPr>
      </w:pPr>
      <w:r w:rsidRPr="00190491">
        <w:rPr>
          <w:lang w:val="fr-FR"/>
        </w:rPr>
        <w:t>Le code pénal et le code de procédure pénale sont en cours de révision et prennent en compte la définition du viol. Bien que le processus de révision du code pénal ne soit pas achevé, les différents acteurs étatiques et non étatiques ont sur la base de l</w:t>
      </w:r>
      <w:r w:rsidR="000C16F5">
        <w:rPr>
          <w:lang w:val="fr-FR"/>
        </w:rPr>
        <w:t>’</w:t>
      </w:r>
      <w:r w:rsidRPr="00190491">
        <w:rPr>
          <w:lang w:val="fr-FR"/>
        </w:rPr>
        <w:t>outil de classification des VBG, élaboré une définition du viol qui est inscrite sur l</w:t>
      </w:r>
      <w:r w:rsidR="000C16F5">
        <w:rPr>
          <w:lang w:val="fr-FR"/>
        </w:rPr>
        <w:t>’</w:t>
      </w:r>
      <w:r w:rsidRPr="00190491">
        <w:rPr>
          <w:lang w:val="fr-FR"/>
        </w:rPr>
        <w:t>algorithme de prise en charge clinique du viol</w:t>
      </w:r>
      <w:r w:rsidRPr="00300E48">
        <w:rPr>
          <w:rStyle w:val="FootnoteReference"/>
          <w:lang w:val="fr-FR"/>
        </w:rPr>
        <w:footnoteReference w:id="7"/>
      </w:r>
      <w:r w:rsidRPr="00190491">
        <w:rPr>
          <w:lang w:val="fr-FR"/>
        </w:rPr>
        <w:t>. Cette définition sert de référence pour la qualification de l</w:t>
      </w:r>
      <w:r w:rsidR="000C16F5">
        <w:rPr>
          <w:lang w:val="fr-FR"/>
        </w:rPr>
        <w:t>’</w:t>
      </w:r>
      <w:r w:rsidRPr="00190491">
        <w:rPr>
          <w:lang w:val="fr-FR"/>
        </w:rPr>
        <w:t xml:space="preserve">infraction par la justice. </w:t>
      </w:r>
      <w:r w:rsidR="00C10A78" w:rsidRPr="00190491">
        <w:rPr>
          <w:lang w:val="fr-FR"/>
        </w:rPr>
        <w:t>À</w:t>
      </w:r>
      <w:r w:rsidRPr="00190491">
        <w:rPr>
          <w:lang w:val="fr-FR"/>
        </w:rPr>
        <w:t xml:space="preserve"> cet effet, plus de 1000 agents de la police, la gendarmerie, l</w:t>
      </w:r>
      <w:r w:rsidR="000C16F5">
        <w:rPr>
          <w:lang w:val="fr-FR"/>
        </w:rPr>
        <w:t>’</w:t>
      </w:r>
      <w:r w:rsidRPr="00190491">
        <w:rPr>
          <w:lang w:val="fr-FR"/>
        </w:rPr>
        <w:t>armée et les acteurs de justice et 2865 ex-combattants ont bénéficié de formation sur la prévention et la prise en charge des cas de viol.</w:t>
      </w:r>
    </w:p>
    <w:p w14:paraId="358B9D4D" w14:textId="7EA4671B" w:rsidR="00364BF3" w:rsidRPr="00C90742" w:rsidRDefault="00364BF3" w:rsidP="008A6B29">
      <w:pPr>
        <w:pStyle w:val="SingleTxt"/>
        <w:numPr>
          <w:ilvl w:val="0"/>
          <w:numId w:val="11"/>
        </w:numPr>
        <w:spacing w:line="240" w:lineRule="exact"/>
        <w:rPr>
          <w:b/>
          <w:bCs/>
          <w:lang w:val="fr-FR"/>
        </w:rPr>
      </w:pPr>
      <w:r w:rsidRPr="00C90742">
        <w:rPr>
          <w:b/>
          <w:bCs/>
          <w:lang w:val="fr-FR"/>
        </w:rPr>
        <w:t>Veiller à l</w:t>
      </w:r>
      <w:r w:rsidR="000C16F5" w:rsidRPr="00C90742">
        <w:rPr>
          <w:b/>
          <w:bCs/>
          <w:lang w:val="fr-FR"/>
        </w:rPr>
        <w:t>’</w:t>
      </w:r>
      <w:r w:rsidRPr="00C90742">
        <w:rPr>
          <w:b/>
          <w:bCs/>
          <w:lang w:val="fr-FR"/>
        </w:rPr>
        <w:t>application effective des dispositions de la loi du 23 Décembre 1998 criminalisant les mutilations génitales féminines, de poursuivre de tels actes et d</w:t>
      </w:r>
      <w:r w:rsidR="000C16F5" w:rsidRPr="00C90742">
        <w:rPr>
          <w:b/>
          <w:bCs/>
          <w:lang w:val="fr-FR"/>
        </w:rPr>
        <w:t>’</w:t>
      </w:r>
      <w:r w:rsidRPr="00C90742">
        <w:rPr>
          <w:b/>
          <w:bCs/>
          <w:lang w:val="fr-FR"/>
        </w:rPr>
        <w:t>imposer des pénalités appropriées aux auteurs …, De tels efforts devraient inclure la conception et la mise en œuvre de campagnes d</w:t>
      </w:r>
      <w:r w:rsidR="000C16F5" w:rsidRPr="00C90742">
        <w:rPr>
          <w:b/>
          <w:bCs/>
          <w:lang w:val="fr-FR"/>
        </w:rPr>
        <w:t>’</w:t>
      </w:r>
      <w:r w:rsidRPr="00C90742">
        <w:rPr>
          <w:b/>
          <w:bCs/>
          <w:lang w:val="fr-FR"/>
        </w:rPr>
        <w:t xml:space="preserve">éducation efficaces pour combattre les pressions traditionnelles et familiales en faveur de cette pratique, en particulier parmi ceux qui sont analphabètes, surtout les parents </w:t>
      </w:r>
      <w:r w:rsidR="00D81000">
        <w:rPr>
          <w:b/>
          <w:bCs/>
          <w:lang w:val="fr-FR"/>
        </w:rPr>
        <w:t>[</w:t>
      </w:r>
      <w:r w:rsidRPr="00C90742">
        <w:rPr>
          <w:b/>
          <w:bCs/>
          <w:lang w:val="fr-FR"/>
        </w:rPr>
        <w:t xml:space="preserve">voir </w:t>
      </w:r>
      <w:hyperlink r:id="rId47"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31 d)</w:t>
      </w:r>
      <w:r w:rsidR="00D81000">
        <w:rPr>
          <w:b/>
          <w:bCs/>
          <w:lang w:val="fr-FR"/>
        </w:rPr>
        <w:t>]</w:t>
      </w:r>
      <w:r w:rsidRPr="00C90742">
        <w:rPr>
          <w:b/>
          <w:bCs/>
          <w:lang w:val="fr-FR"/>
        </w:rPr>
        <w:t>.</w:t>
      </w:r>
    </w:p>
    <w:p w14:paraId="481E60AC" w14:textId="4DAA3E22" w:rsidR="00364BF3" w:rsidRPr="00190491" w:rsidRDefault="00364BF3" w:rsidP="008A6B29">
      <w:pPr>
        <w:pStyle w:val="SingleTxt"/>
        <w:numPr>
          <w:ilvl w:val="0"/>
          <w:numId w:val="11"/>
        </w:numPr>
        <w:spacing w:line="240" w:lineRule="exact"/>
        <w:rPr>
          <w:bCs/>
          <w:lang w:val="fr-FR"/>
        </w:rPr>
      </w:pPr>
      <w:r w:rsidRPr="00190491">
        <w:rPr>
          <w:lang w:val="fr-FR"/>
        </w:rPr>
        <w:t>Depuis janvier 2012, sept (7) condamnations ont été prononcées par les juridictions de Katiola, Danané, Séguéla, Odienné, Bouaké, Tabou et Man suite à l</w:t>
      </w:r>
      <w:r w:rsidR="000C16F5">
        <w:rPr>
          <w:lang w:val="fr-FR"/>
        </w:rPr>
        <w:t>’</w:t>
      </w:r>
      <w:r w:rsidRPr="00190491">
        <w:rPr>
          <w:lang w:val="fr-FR"/>
        </w:rPr>
        <w:t>adoption de la loi n</w:t>
      </w:r>
      <w:r w:rsidR="004B7322" w:rsidRPr="004B7322">
        <w:rPr>
          <w:vertAlign w:val="superscript"/>
          <w:lang w:val="fr-FR"/>
        </w:rPr>
        <w:t>o</w:t>
      </w:r>
      <w:r w:rsidR="004B7322">
        <w:rPr>
          <w:lang w:val="fr-FR"/>
        </w:rPr>
        <w:t> </w:t>
      </w:r>
      <w:r w:rsidRPr="00190491">
        <w:rPr>
          <w:lang w:val="fr-FR"/>
        </w:rPr>
        <w:t>98-757 du 23 décembre 1998 réprimant les MGF.</w:t>
      </w:r>
    </w:p>
    <w:p w14:paraId="506F8E2F" w14:textId="4B890322" w:rsidR="00364BF3" w:rsidRPr="00190491" w:rsidRDefault="00364BF3" w:rsidP="008A6B29">
      <w:pPr>
        <w:pStyle w:val="SingleTxt"/>
        <w:numPr>
          <w:ilvl w:val="0"/>
          <w:numId w:val="11"/>
        </w:numPr>
        <w:spacing w:line="240" w:lineRule="exact"/>
        <w:rPr>
          <w:i/>
          <w:lang w:val="fr-FR"/>
        </w:rPr>
      </w:pPr>
      <w:r w:rsidRPr="00190491">
        <w:rPr>
          <w:lang w:val="fr-FR"/>
        </w:rPr>
        <w:t>Notons que le projet « </w:t>
      </w:r>
      <w:r w:rsidRPr="00B675BB">
        <w:rPr>
          <w:iCs/>
          <w:lang w:val="fr-FR"/>
        </w:rPr>
        <w:t>Assistance et réinsertion sociale des femmes victimes de violence en situation de conflit en Côte d</w:t>
      </w:r>
      <w:r w:rsidR="000C16F5" w:rsidRPr="00B675BB">
        <w:rPr>
          <w:iCs/>
          <w:lang w:val="fr-FR"/>
        </w:rPr>
        <w:t>’</w:t>
      </w:r>
      <w:r w:rsidRPr="00B675BB">
        <w:rPr>
          <w:iCs/>
          <w:lang w:val="fr-FR"/>
        </w:rPr>
        <w:t>Ivoire</w:t>
      </w:r>
      <w:r w:rsidRPr="00190491">
        <w:rPr>
          <w:lang w:val="fr-FR"/>
        </w:rPr>
        <w:t> », a également permis de réaliser un film de sensibilisation sur les VBG destiné aux acteurs de terrain. Ce film intitulé « </w:t>
      </w:r>
      <w:r w:rsidRPr="00B675BB">
        <w:rPr>
          <w:iCs/>
          <w:lang w:val="fr-FR"/>
        </w:rPr>
        <w:t>les défis de Fifi</w:t>
      </w:r>
      <w:r w:rsidRPr="00190491">
        <w:rPr>
          <w:lang w:val="fr-FR"/>
        </w:rPr>
        <w:t xml:space="preserve"> » a été lancé en 2014 à Abidjan. </w:t>
      </w:r>
    </w:p>
    <w:p w14:paraId="62AE89E6" w14:textId="0B4C5907" w:rsidR="00364BF3" w:rsidRPr="00C90742" w:rsidRDefault="00364BF3" w:rsidP="008A6B29">
      <w:pPr>
        <w:pStyle w:val="SingleTxt"/>
        <w:numPr>
          <w:ilvl w:val="0"/>
          <w:numId w:val="11"/>
        </w:numPr>
        <w:spacing w:line="240" w:lineRule="exact"/>
        <w:rPr>
          <w:b/>
          <w:bCs/>
          <w:lang w:val="fr-FR"/>
        </w:rPr>
      </w:pPr>
      <w:r w:rsidRPr="00C90742">
        <w:rPr>
          <w:b/>
          <w:bCs/>
          <w:lang w:val="fr-FR"/>
        </w:rPr>
        <w:t>Envisager d</w:t>
      </w:r>
      <w:r w:rsidR="000C16F5" w:rsidRPr="00C90742">
        <w:rPr>
          <w:b/>
          <w:bCs/>
          <w:lang w:val="fr-FR"/>
        </w:rPr>
        <w:t>’</w:t>
      </w:r>
      <w:r w:rsidRPr="00C90742">
        <w:rPr>
          <w:b/>
          <w:bCs/>
          <w:lang w:val="fr-FR"/>
        </w:rPr>
        <w:t>adopter une loi globale portant sur la violence contre les femmes</w:t>
      </w:r>
      <w:r w:rsidR="00C90742">
        <w:rPr>
          <w:b/>
          <w:bCs/>
          <w:lang w:val="fr-FR"/>
        </w:rPr>
        <w:t xml:space="preserve"> </w:t>
      </w:r>
      <w:r w:rsidRPr="00C90742">
        <w:rPr>
          <w:b/>
          <w:bCs/>
          <w:lang w:val="fr-FR"/>
        </w:rPr>
        <w:t>et fournir des mesures de protection pour les femmes victimes de violence et de renforcer les mesures de soutien telles que les services des refuges, des conseils et de réhabilitation à travers le territoire de l</w:t>
      </w:r>
      <w:r w:rsidR="000C16F5" w:rsidRPr="00C90742">
        <w:rPr>
          <w:b/>
          <w:bCs/>
          <w:lang w:val="fr-FR"/>
        </w:rPr>
        <w:t>’</w:t>
      </w:r>
      <w:r w:rsidRPr="00C90742">
        <w:rPr>
          <w:b/>
          <w:bCs/>
          <w:lang w:val="fr-FR"/>
        </w:rPr>
        <w:t xml:space="preserve">État partie </w:t>
      </w:r>
      <w:r w:rsidR="00D81000">
        <w:rPr>
          <w:b/>
          <w:bCs/>
          <w:lang w:val="fr-FR"/>
        </w:rPr>
        <w:t>[</w:t>
      </w:r>
      <w:r w:rsidRPr="00C90742">
        <w:rPr>
          <w:b/>
          <w:bCs/>
          <w:lang w:val="fr-FR"/>
        </w:rPr>
        <w:t xml:space="preserve">voir </w:t>
      </w:r>
      <w:hyperlink r:id="rId48"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31 e)</w:t>
      </w:r>
      <w:r w:rsidR="00D81000">
        <w:rPr>
          <w:b/>
          <w:bCs/>
          <w:lang w:val="fr-FR"/>
        </w:rPr>
        <w:t>]</w:t>
      </w:r>
      <w:r w:rsidRPr="00C90742">
        <w:rPr>
          <w:b/>
          <w:bCs/>
          <w:lang w:val="fr-FR"/>
        </w:rPr>
        <w:t>.</w:t>
      </w:r>
    </w:p>
    <w:p w14:paraId="5CED1AD0" w14:textId="6C4DD460" w:rsidR="00364BF3" w:rsidRPr="00190491" w:rsidRDefault="00364BF3" w:rsidP="008A6B29">
      <w:pPr>
        <w:pStyle w:val="SingleTxt"/>
        <w:numPr>
          <w:ilvl w:val="0"/>
          <w:numId w:val="11"/>
        </w:numPr>
        <w:spacing w:line="240" w:lineRule="exact"/>
        <w:rPr>
          <w:lang w:val="fr-FR"/>
        </w:rPr>
      </w:pPr>
      <w:r w:rsidRPr="00190491">
        <w:rPr>
          <w:lang w:val="fr-FR"/>
        </w:rPr>
        <w:t>Dans le cadre du suivi des recommandations de l</w:t>
      </w:r>
      <w:r w:rsidR="000C16F5">
        <w:rPr>
          <w:lang w:val="fr-FR"/>
        </w:rPr>
        <w:t>’</w:t>
      </w:r>
      <w:r w:rsidRPr="00190491">
        <w:rPr>
          <w:lang w:val="fr-FR"/>
        </w:rPr>
        <w:t>Examen Périodique Universel, la Coordination Nationale des Acteurs Judiciaires contre les Violences Basées sur le Genre (CONAJUG), SOS Violences Sexuelles et les autres acteurs en présence ont entamé avec l</w:t>
      </w:r>
      <w:r w:rsidR="000C16F5">
        <w:rPr>
          <w:lang w:val="fr-FR"/>
        </w:rPr>
        <w:t>’</w:t>
      </w:r>
      <w:r w:rsidRPr="00190491">
        <w:rPr>
          <w:lang w:val="fr-FR"/>
        </w:rPr>
        <w:t>appui financier de Save The Children un plaidoyer pour la gratuité du certificat médical et par ricochet pour la prise d</w:t>
      </w:r>
      <w:r w:rsidR="000C16F5">
        <w:rPr>
          <w:lang w:val="fr-FR"/>
        </w:rPr>
        <w:t>’</w:t>
      </w:r>
      <w:r w:rsidRPr="00190491">
        <w:rPr>
          <w:lang w:val="fr-FR"/>
        </w:rPr>
        <w:t>une loi globale sur les VBG. Les concertations entre les acteurs non étatiques et le Gouvernement se poursuivent pour la relance du projet de loi sur la question.</w:t>
      </w:r>
    </w:p>
    <w:p w14:paraId="0F2A8ABC" w14:textId="670DC607" w:rsidR="00364BF3" w:rsidRPr="00C90742" w:rsidRDefault="00364BF3" w:rsidP="008A6B29">
      <w:pPr>
        <w:pStyle w:val="SingleTxt"/>
        <w:numPr>
          <w:ilvl w:val="0"/>
          <w:numId w:val="11"/>
        </w:numPr>
        <w:spacing w:line="240" w:lineRule="exact"/>
        <w:rPr>
          <w:b/>
          <w:bCs/>
          <w:lang w:val="fr-FR"/>
        </w:rPr>
      </w:pPr>
      <w:r w:rsidRPr="00C90742">
        <w:rPr>
          <w:b/>
          <w:bCs/>
          <w:lang w:val="fr-FR"/>
        </w:rPr>
        <w:t xml:space="preserve">Recueillir des données ventilées sur le nombre de plaintes, les poursuites, condamnations, et sur les peines infligées aux auteurs de violence sexuelle et sexiste, y compris les mutilations génitales féminines et la violence domestique, et inclure ces données dans son prochain rapport </w:t>
      </w:r>
      <w:r w:rsidR="00D81000">
        <w:rPr>
          <w:b/>
          <w:bCs/>
          <w:lang w:val="fr-FR"/>
        </w:rPr>
        <w:t>[</w:t>
      </w:r>
      <w:r w:rsidRPr="00C90742">
        <w:rPr>
          <w:b/>
          <w:bCs/>
          <w:lang w:val="fr-FR"/>
        </w:rPr>
        <w:t xml:space="preserve">voir </w:t>
      </w:r>
      <w:hyperlink r:id="rId49" w:history="1">
        <w:r w:rsidRPr="007B345A">
          <w:rPr>
            <w:rStyle w:val="Hyperlink"/>
            <w:b/>
            <w:bCs/>
            <w:lang w:val="fr-FR"/>
          </w:rPr>
          <w:t>CEDAW/C/CIV/CO/1-3</w:t>
        </w:r>
      </w:hyperlink>
      <w:r w:rsidRPr="00C90742">
        <w:rPr>
          <w:b/>
          <w:bCs/>
          <w:lang w:val="fr-FR"/>
        </w:rPr>
        <w:t xml:space="preserve">, </w:t>
      </w:r>
      <w:r w:rsidR="006862B3">
        <w:rPr>
          <w:b/>
          <w:bCs/>
          <w:lang w:val="fr-FR"/>
        </w:rPr>
        <w:t>par. </w:t>
      </w:r>
      <w:r w:rsidRPr="00C90742">
        <w:rPr>
          <w:b/>
          <w:bCs/>
          <w:lang w:val="fr-FR"/>
        </w:rPr>
        <w:t>31 f)</w:t>
      </w:r>
      <w:r w:rsidR="00D81000">
        <w:rPr>
          <w:b/>
          <w:bCs/>
          <w:lang w:val="fr-FR"/>
        </w:rPr>
        <w:t>]</w:t>
      </w:r>
      <w:r w:rsidRPr="00C90742">
        <w:rPr>
          <w:b/>
          <w:bCs/>
          <w:lang w:val="fr-FR"/>
        </w:rPr>
        <w:t>.</w:t>
      </w:r>
    </w:p>
    <w:p w14:paraId="6E191AB9" w14:textId="1172DDA5" w:rsidR="00364BF3" w:rsidRDefault="00364BF3" w:rsidP="008A6B29">
      <w:pPr>
        <w:pStyle w:val="SingleTxt"/>
        <w:numPr>
          <w:ilvl w:val="0"/>
          <w:numId w:val="11"/>
        </w:numPr>
        <w:spacing w:line="240" w:lineRule="exact"/>
        <w:rPr>
          <w:lang w:val="fr-FR"/>
        </w:rPr>
      </w:pPr>
      <w:r w:rsidRPr="0011615C">
        <w:rPr>
          <w:lang w:val="fr-FR"/>
        </w:rPr>
        <w:lastRenderedPageBreak/>
        <w:t>Pour améliorer la collecte de données en matière de VBG, l</w:t>
      </w:r>
      <w:r w:rsidR="000C16F5">
        <w:rPr>
          <w:lang w:val="fr-FR"/>
        </w:rPr>
        <w:t>’</w:t>
      </w:r>
      <w:r w:rsidRPr="0011615C">
        <w:rPr>
          <w:lang w:val="fr-FR"/>
        </w:rPr>
        <w:t>ONG IRC avec l</w:t>
      </w:r>
      <w:r w:rsidR="000C16F5">
        <w:rPr>
          <w:lang w:val="fr-FR"/>
        </w:rPr>
        <w:t>’</w:t>
      </w:r>
      <w:r w:rsidRPr="0011615C">
        <w:rPr>
          <w:lang w:val="fr-FR"/>
        </w:rPr>
        <w:t>appui financier des ASNU, a introduit le système de gestion de données sur les VBG dénommé GBVIMS en 2010. La gestion a été faite par le sous-cluster VBG en 2011 et 2012. A la fin de l</w:t>
      </w:r>
      <w:r w:rsidR="000C16F5">
        <w:rPr>
          <w:lang w:val="fr-FR"/>
        </w:rPr>
        <w:t>’</w:t>
      </w:r>
      <w:r w:rsidRPr="0011615C">
        <w:rPr>
          <w:lang w:val="fr-FR"/>
        </w:rPr>
        <w:t>année 2012, le système a connu une « nationalisation ». Un Groupe de travail technique composé du MSFFE, UNFPA et l</w:t>
      </w:r>
      <w:r w:rsidR="000C16F5">
        <w:rPr>
          <w:lang w:val="fr-FR"/>
        </w:rPr>
        <w:t>’</w:t>
      </w:r>
      <w:r w:rsidRPr="0011615C">
        <w:rPr>
          <w:lang w:val="fr-FR"/>
        </w:rPr>
        <w:t>IRC, mis en place avril 2013 a initié la mise en œuvre d</w:t>
      </w:r>
      <w:r w:rsidR="000C16F5">
        <w:rPr>
          <w:lang w:val="fr-FR"/>
        </w:rPr>
        <w:t>’</w:t>
      </w:r>
      <w:r w:rsidRPr="0011615C">
        <w:rPr>
          <w:lang w:val="fr-FR"/>
        </w:rPr>
        <w:t>un projet pilote de déploiement du GBVIMS sur la base des plateformes de lutte contre les VBG qui sont fonctionnelles. Des séances de renforcement de capacités ont été organisées à l</w:t>
      </w:r>
      <w:r w:rsidR="000C16F5">
        <w:rPr>
          <w:lang w:val="fr-FR"/>
        </w:rPr>
        <w:t>’</w:t>
      </w:r>
      <w:r w:rsidRPr="0011615C">
        <w:rPr>
          <w:lang w:val="fr-FR"/>
        </w:rPr>
        <w:t>endroit 06 formateurs nationaux, 20 gestionnaires de données de 20 plateformes pilotes et 16 Directeurs Régionaux du MSFFE à l</w:t>
      </w:r>
      <w:r w:rsidR="000C16F5">
        <w:rPr>
          <w:lang w:val="fr-FR"/>
        </w:rPr>
        <w:t>’</w:t>
      </w:r>
      <w:r w:rsidRPr="0011615C">
        <w:rPr>
          <w:lang w:val="fr-FR"/>
        </w:rPr>
        <w:t>utilisation de l</w:t>
      </w:r>
      <w:r w:rsidR="000C16F5">
        <w:rPr>
          <w:lang w:val="fr-FR"/>
        </w:rPr>
        <w:t>’</w:t>
      </w:r>
      <w:r w:rsidRPr="0011615C">
        <w:rPr>
          <w:lang w:val="fr-FR"/>
        </w:rPr>
        <w:t>application de la base de données.</w:t>
      </w:r>
    </w:p>
    <w:p w14:paraId="7EADB9EF" w14:textId="72680032" w:rsidR="00C90742" w:rsidRPr="00C90742" w:rsidRDefault="00C90742" w:rsidP="00C90742">
      <w:pPr>
        <w:pStyle w:val="SingleTxt"/>
        <w:tabs>
          <w:tab w:val="clear" w:pos="1742"/>
        </w:tabs>
        <w:spacing w:after="0" w:line="120" w:lineRule="exact"/>
        <w:rPr>
          <w:sz w:val="10"/>
          <w:lang w:val="fr-FR"/>
        </w:rPr>
      </w:pPr>
    </w:p>
    <w:p w14:paraId="6017DD00" w14:textId="141D380C" w:rsidR="00364BF3" w:rsidRDefault="00C90742" w:rsidP="00C90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4BF3" w:rsidRPr="00C90742">
        <w:rPr>
          <w:b w:val="0"/>
          <w:bCs/>
          <w:lang w:val="fr-FR"/>
        </w:rPr>
        <w:t>Tableau 2</w:t>
      </w:r>
      <w:r>
        <w:rPr>
          <w:lang w:val="fr-FR"/>
        </w:rPr>
        <w:br/>
      </w:r>
      <w:r w:rsidR="00364BF3" w:rsidRPr="00190491">
        <w:rPr>
          <w:lang w:val="fr-FR"/>
        </w:rPr>
        <w:t>Données VBG de 2010 à 2016</w:t>
      </w:r>
    </w:p>
    <w:p w14:paraId="35ADC9C5" w14:textId="0D727539" w:rsidR="00C90742" w:rsidRPr="00C90742" w:rsidRDefault="00C90742" w:rsidP="00C90742">
      <w:pPr>
        <w:pStyle w:val="SingleTxt"/>
        <w:spacing w:after="0" w:line="120" w:lineRule="exact"/>
        <w:rPr>
          <w:sz w:val="10"/>
          <w:lang w:val="fr-FR"/>
        </w:rPr>
      </w:pPr>
    </w:p>
    <w:p w14:paraId="7B07BA02" w14:textId="5E47C6E2" w:rsidR="00C90742" w:rsidRPr="00C90742" w:rsidRDefault="00C90742" w:rsidP="00C90742">
      <w:pPr>
        <w:pStyle w:val="SingleTxt"/>
        <w:spacing w:after="0" w:line="120" w:lineRule="exact"/>
        <w:rPr>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5"/>
        <w:gridCol w:w="686"/>
        <w:gridCol w:w="686"/>
        <w:gridCol w:w="685"/>
        <w:gridCol w:w="686"/>
        <w:gridCol w:w="686"/>
        <w:gridCol w:w="686"/>
      </w:tblGrid>
      <w:tr w:rsidR="00D32B3F" w:rsidRPr="00A032B6" w14:paraId="43DB3A18" w14:textId="77777777" w:rsidTr="00D32B3F">
        <w:trPr>
          <w:tblHeader/>
        </w:trPr>
        <w:tc>
          <w:tcPr>
            <w:tcW w:w="2520" w:type="dxa"/>
            <w:tcBorders>
              <w:top w:val="single" w:sz="4" w:space="0" w:color="auto"/>
              <w:bottom w:val="single" w:sz="12" w:space="0" w:color="auto"/>
            </w:tcBorders>
            <w:shd w:val="clear" w:color="auto" w:fill="auto"/>
            <w:vAlign w:val="bottom"/>
          </w:tcPr>
          <w:p w14:paraId="0E8627DD" w14:textId="77777777" w:rsidR="00364BF3" w:rsidRPr="00A032B6" w:rsidRDefault="00364BF3" w:rsidP="00A032B6">
            <w:pPr>
              <w:keepNext/>
              <w:keepLines/>
              <w:spacing w:before="81" w:after="81" w:line="160" w:lineRule="exact"/>
              <w:ind w:right="40"/>
              <w:rPr>
                <w:i/>
                <w:sz w:val="14"/>
                <w:lang w:val="fr-FR"/>
              </w:rPr>
            </w:pPr>
            <w:r w:rsidRPr="00A032B6">
              <w:rPr>
                <w:i/>
                <w:sz w:val="14"/>
                <w:lang w:val="fr-FR"/>
              </w:rPr>
              <w:t>Type VBG</w:t>
            </w:r>
          </w:p>
        </w:tc>
        <w:tc>
          <w:tcPr>
            <w:tcW w:w="685" w:type="dxa"/>
            <w:tcBorders>
              <w:top w:val="single" w:sz="4" w:space="0" w:color="auto"/>
              <w:bottom w:val="single" w:sz="12" w:space="0" w:color="auto"/>
            </w:tcBorders>
            <w:shd w:val="clear" w:color="auto" w:fill="auto"/>
            <w:vAlign w:val="bottom"/>
          </w:tcPr>
          <w:p w14:paraId="4BB3FB1D"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2010</w:t>
            </w:r>
          </w:p>
        </w:tc>
        <w:tc>
          <w:tcPr>
            <w:tcW w:w="686" w:type="dxa"/>
            <w:tcBorders>
              <w:top w:val="single" w:sz="4" w:space="0" w:color="auto"/>
              <w:bottom w:val="single" w:sz="12" w:space="0" w:color="auto"/>
            </w:tcBorders>
            <w:shd w:val="clear" w:color="auto" w:fill="auto"/>
            <w:vAlign w:val="bottom"/>
          </w:tcPr>
          <w:p w14:paraId="52B5595B"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2011</w:t>
            </w:r>
          </w:p>
        </w:tc>
        <w:tc>
          <w:tcPr>
            <w:tcW w:w="686" w:type="dxa"/>
            <w:tcBorders>
              <w:top w:val="single" w:sz="4" w:space="0" w:color="auto"/>
              <w:bottom w:val="single" w:sz="12" w:space="0" w:color="auto"/>
            </w:tcBorders>
            <w:shd w:val="clear" w:color="auto" w:fill="auto"/>
            <w:vAlign w:val="bottom"/>
          </w:tcPr>
          <w:p w14:paraId="1231DF63"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2012</w:t>
            </w:r>
          </w:p>
        </w:tc>
        <w:tc>
          <w:tcPr>
            <w:tcW w:w="685" w:type="dxa"/>
            <w:tcBorders>
              <w:top w:val="single" w:sz="4" w:space="0" w:color="auto"/>
              <w:bottom w:val="single" w:sz="12" w:space="0" w:color="auto"/>
            </w:tcBorders>
            <w:shd w:val="clear" w:color="auto" w:fill="auto"/>
            <w:vAlign w:val="bottom"/>
          </w:tcPr>
          <w:p w14:paraId="1E539EF3"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2013</w:t>
            </w:r>
          </w:p>
        </w:tc>
        <w:tc>
          <w:tcPr>
            <w:tcW w:w="686" w:type="dxa"/>
            <w:tcBorders>
              <w:top w:val="single" w:sz="4" w:space="0" w:color="auto"/>
              <w:bottom w:val="single" w:sz="12" w:space="0" w:color="auto"/>
            </w:tcBorders>
            <w:shd w:val="clear" w:color="auto" w:fill="auto"/>
            <w:vAlign w:val="bottom"/>
          </w:tcPr>
          <w:p w14:paraId="09059CC8"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2014</w:t>
            </w:r>
          </w:p>
        </w:tc>
        <w:tc>
          <w:tcPr>
            <w:tcW w:w="686" w:type="dxa"/>
            <w:tcBorders>
              <w:top w:val="single" w:sz="4" w:space="0" w:color="auto"/>
              <w:bottom w:val="single" w:sz="12" w:space="0" w:color="auto"/>
            </w:tcBorders>
            <w:shd w:val="clear" w:color="auto" w:fill="auto"/>
            <w:vAlign w:val="bottom"/>
          </w:tcPr>
          <w:p w14:paraId="375C6997"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2015</w:t>
            </w:r>
          </w:p>
        </w:tc>
        <w:tc>
          <w:tcPr>
            <w:tcW w:w="686" w:type="dxa"/>
            <w:tcBorders>
              <w:top w:val="single" w:sz="4" w:space="0" w:color="auto"/>
              <w:bottom w:val="single" w:sz="12" w:space="0" w:color="auto"/>
            </w:tcBorders>
            <w:shd w:val="clear" w:color="auto" w:fill="auto"/>
            <w:vAlign w:val="bottom"/>
          </w:tcPr>
          <w:p w14:paraId="6F4BA3E3" w14:textId="77777777" w:rsidR="00364BF3" w:rsidRPr="00A032B6" w:rsidRDefault="00364BF3" w:rsidP="00A032B6">
            <w:pPr>
              <w:keepNext/>
              <w:keepLines/>
              <w:spacing w:before="81" w:after="81" w:line="160" w:lineRule="exact"/>
              <w:ind w:left="144" w:right="43"/>
              <w:jc w:val="right"/>
              <w:rPr>
                <w:i/>
                <w:sz w:val="14"/>
                <w:lang w:val="fr-FR"/>
              </w:rPr>
            </w:pPr>
            <w:r w:rsidRPr="00A032B6">
              <w:rPr>
                <w:i/>
                <w:sz w:val="14"/>
                <w:lang w:val="fr-FR"/>
              </w:rPr>
              <w:t>2016</w:t>
            </w:r>
          </w:p>
        </w:tc>
      </w:tr>
      <w:tr w:rsidR="00A032B6" w:rsidRPr="00A032B6" w14:paraId="32C6560A" w14:textId="77777777" w:rsidTr="00E7239B">
        <w:trPr>
          <w:trHeight w:hRule="exact" w:val="115"/>
          <w:tblHeader/>
        </w:trPr>
        <w:tc>
          <w:tcPr>
            <w:tcW w:w="2520" w:type="dxa"/>
            <w:tcBorders>
              <w:top w:val="single" w:sz="12" w:space="0" w:color="auto"/>
            </w:tcBorders>
            <w:shd w:val="clear" w:color="auto" w:fill="auto"/>
            <w:vAlign w:val="bottom"/>
          </w:tcPr>
          <w:p w14:paraId="6080B59F" w14:textId="77777777" w:rsidR="00A032B6" w:rsidRPr="00A032B6" w:rsidRDefault="00A032B6" w:rsidP="00C86739">
            <w:pPr>
              <w:keepNext/>
              <w:keepLines/>
              <w:spacing w:before="40" w:after="81" w:line="210" w:lineRule="exact"/>
              <w:ind w:left="283" w:right="40"/>
              <w:rPr>
                <w:b/>
                <w:sz w:val="17"/>
                <w:lang w:val="fr-FR"/>
              </w:rPr>
            </w:pPr>
          </w:p>
        </w:tc>
        <w:tc>
          <w:tcPr>
            <w:tcW w:w="685" w:type="dxa"/>
            <w:tcBorders>
              <w:top w:val="single" w:sz="12" w:space="0" w:color="auto"/>
            </w:tcBorders>
            <w:shd w:val="clear" w:color="auto" w:fill="auto"/>
            <w:vAlign w:val="bottom"/>
          </w:tcPr>
          <w:p w14:paraId="44C4708D" w14:textId="77777777" w:rsidR="00A032B6" w:rsidRPr="00A032B6" w:rsidRDefault="00A032B6" w:rsidP="00C86739">
            <w:pPr>
              <w:keepNext/>
              <w:keepLines/>
              <w:spacing w:before="40" w:after="81" w:line="210" w:lineRule="exact"/>
              <w:ind w:left="144" w:right="43"/>
              <w:jc w:val="right"/>
              <w:rPr>
                <w:b/>
                <w:sz w:val="17"/>
                <w:lang w:val="fr-FR"/>
              </w:rPr>
            </w:pPr>
          </w:p>
        </w:tc>
        <w:tc>
          <w:tcPr>
            <w:tcW w:w="686" w:type="dxa"/>
            <w:tcBorders>
              <w:top w:val="single" w:sz="12" w:space="0" w:color="auto"/>
            </w:tcBorders>
            <w:shd w:val="clear" w:color="auto" w:fill="auto"/>
            <w:vAlign w:val="bottom"/>
          </w:tcPr>
          <w:p w14:paraId="3F1E9841" w14:textId="77777777" w:rsidR="00A032B6" w:rsidRPr="00A032B6" w:rsidRDefault="00A032B6" w:rsidP="00C86739">
            <w:pPr>
              <w:keepNext/>
              <w:keepLines/>
              <w:spacing w:before="40" w:after="81" w:line="210" w:lineRule="exact"/>
              <w:ind w:left="144" w:right="43"/>
              <w:jc w:val="right"/>
              <w:rPr>
                <w:b/>
                <w:sz w:val="17"/>
                <w:lang w:val="fr-FR"/>
              </w:rPr>
            </w:pPr>
          </w:p>
        </w:tc>
        <w:tc>
          <w:tcPr>
            <w:tcW w:w="686" w:type="dxa"/>
            <w:tcBorders>
              <w:top w:val="single" w:sz="12" w:space="0" w:color="auto"/>
            </w:tcBorders>
            <w:shd w:val="clear" w:color="auto" w:fill="auto"/>
            <w:vAlign w:val="bottom"/>
          </w:tcPr>
          <w:p w14:paraId="13C3D6F3" w14:textId="77777777" w:rsidR="00A032B6" w:rsidRPr="00A032B6" w:rsidRDefault="00A032B6" w:rsidP="00C86739">
            <w:pPr>
              <w:keepNext/>
              <w:keepLines/>
              <w:spacing w:before="40" w:after="81" w:line="210" w:lineRule="exact"/>
              <w:ind w:left="144" w:right="43"/>
              <w:jc w:val="right"/>
              <w:rPr>
                <w:b/>
                <w:sz w:val="17"/>
                <w:lang w:val="fr-FR"/>
              </w:rPr>
            </w:pPr>
          </w:p>
        </w:tc>
        <w:tc>
          <w:tcPr>
            <w:tcW w:w="685" w:type="dxa"/>
            <w:tcBorders>
              <w:top w:val="single" w:sz="12" w:space="0" w:color="auto"/>
            </w:tcBorders>
            <w:shd w:val="clear" w:color="auto" w:fill="auto"/>
            <w:vAlign w:val="bottom"/>
          </w:tcPr>
          <w:p w14:paraId="5B19D9E1" w14:textId="77777777" w:rsidR="00A032B6" w:rsidRPr="00A032B6" w:rsidRDefault="00A032B6" w:rsidP="00C86739">
            <w:pPr>
              <w:keepNext/>
              <w:keepLines/>
              <w:spacing w:before="40" w:after="81" w:line="210" w:lineRule="exact"/>
              <w:ind w:left="144" w:right="43"/>
              <w:jc w:val="right"/>
              <w:rPr>
                <w:b/>
                <w:sz w:val="17"/>
                <w:lang w:val="fr-FR"/>
              </w:rPr>
            </w:pPr>
          </w:p>
        </w:tc>
        <w:tc>
          <w:tcPr>
            <w:tcW w:w="686" w:type="dxa"/>
            <w:tcBorders>
              <w:top w:val="single" w:sz="12" w:space="0" w:color="auto"/>
            </w:tcBorders>
            <w:shd w:val="clear" w:color="auto" w:fill="auto"/>
            <w:vAlign w:val="bottom"/>
          </w:tcPr>
          <w:p w14:paraId="09C87006" w14:textId="77777777" w:rsidR="00A032B6" w:rsidRPr="00A032B6" w:rsidRDefault="00A032B6" w:rsidP="00C86739">
            <w:pPr>
              <w:keepNext/>
              <w:keepLines/>
              <w:spacing w:before="40" w:after="81" w:line="210" w:lineRule="exact"/>
              <w:ind w:left="144" w:right="43"/>
              <w:jc w:val="right"/>
              <w:rPr>
                <w:b/>
                <w:sz w:val="17"/>
                <w:lang w:val="fr-FR"/>
              </w:rPr>
            </w:pPr>
          </w:p>
        </w:tc>
        <w:tc>
          <w:tcPr>
            <w:tcW w:w="686" w:type="dxa"/>
            <w:tcBorders>
              <w:top w:val="single" w:sz="12" w:space="0" w:color="auto"/>
            </w:tcBorders>
            <w:shd w:val="clear" w:color="auto" w:fill="auto"/>
            <w:vAlign w:val="bottom"/>
          </w:tcPr>
          <w:p w14:paraId="697E3D24" w14:textId="77777777" w:rsidR="00A032B6" w:rsidRPr="00A032B6" w:rsidRDefault="00A032B6" w:rsidP="00C86739">
            <w:pPr>
              <w:keepNext/>
              <w:keepLines/>
              <w:spacing w:before="40" w:after="81" w:line="210" w:lineRule="exact"/>
              <w:ind w:left="144" w:right="43"/>
              <w:jc w:val="right"/>
              <w:rPr>
                <w:b/>
                <w:sz w:val="17"/>
                <w:lang w:val="fr-FR"/>
              </w:rPr>
            </w:pPr>
          </w:p>
        </w:tc>
        <w:tc>
          <w:tcPr>
            <w:tcW w:w="686" w:type="dxa"/>
            <w:tcBorders>
              <w:top w:val="single" w:sz="12" w:space="0" w:color="auto"/>
            </w:tcBorders>
            <w:shd w:val="clear" w:color="auto" w:fill="auto"/>
            <w:vAlign w:val="bottom"/>
          </w:tcPr>
          <w:p w14:paraId="2AFC794D" w14:textId="77777777" w:rsidR="00A032B6" w:rsidRPr="00A032B6" w:rsidRDefault="00A032B6" w:rsidP="00C86739">
            <w:pPr>
              <w:keepNext/>
              <w:keepLines/>
              <w:spacing w:before="40" w:after="81" w:line="210" w:lineRule="exact"/>
              <w:ind w:left="144" w:right="43"/>
              <w:jc w:val="right"/>
              <w:rPr>
                <w:b/>
                <w:sz w:val="17"/>
                <w:lang w:val="fr-FR"/>
              </w:rPr>
            </w:pPr>
          </w:p>
        </w:tc>
      </w:tr>
      <w:tr w:rsidR="00D32B3F" w:rsidRPr="00C86739" w14:paraId="1EE304C9" w14:textId="77777777" w:rsidTr="00E7239B">
        <w:tc>
          <w:tcPr>
            <w:tcW w:w="2520" w:type="dxa"/>
            <w:tcBorders>
              <w:bottom w:val="single" w:sz="4" w:space="0" w:color="auto"/>
            </w:tcBorders>
            <w:shd w:val="clear" w:color="auto" w:fill="auto"/>
            <w:vAlign w:val="bottom"/>
          </w:tcPr>
          <w:p w14:paraId="4C5083A9" w14:textId="77777777" w:rsidR="00364BF3" w:rsidRPr="00C86739" w:rsidRDefault="00364BF3" w:rsidP="00C86739">
            <w:pPr>
              <w:keepNext/>
              <w:keepLines/>
              <w:tabs>
                <w:tab w:val="left" w:pos="288"/>
                <w:tab w:val="left" w:pos="576"/>
                <w:tab w:val="left" w:pos="864"/>
                <w:tab w:val="left" w:pos="1152"/>
              </w:tabs>
              <w:spacing w:before="81" w:after="81" w:line="210" w:lineRule="exact"/>
              <w:ind w:left="283" w:right="40"/>
              <w:rPr>
                <w:b/>
                <w:sz w:val="17"/>
                <w:lang w:val="fr-FR"/>
              </w:rPr>
            </w:pPr>
            <w:r w:rsidRPr="00C86739">
              <w:rPr>
                <w:b/>
                <w:sz w:val="17"/>
                <w:lang w:val="fr-FR"/>
              </w:rPr>
              <w:t>Total</w:t>
            </w:r>
          </w:p>
        </w:tc>
        <w:tc>
          <w:tcPr>
            <w:tcW w:w="685" w:type="dxa"/>
            <w:tcBorders>
              <w:bottom w:val="single" w:sz="4" w:space="0" w:color="auto"/>
            </w:tcBorders>
            <w:shd w:val="clear" w:color="auto" w:fill="auto"/>
            <w:vAlign w:val="bottom"/>
          </w:tcPr>
          <w:p w14:paraId="47D7B52C"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711</w:t>
            </w:r>
          </w:p>
        </w:tc>
        <w:tc>
          <w:tcPr>
            <w:tcW w:w="686" w:type="dxa"/>
            <w:tcBorders>
              <w:bottom w:val="single" w:sz="4" w:space="0" w:color="auto"/>
            </w:tcBorders>
            <w:shd w:val="clear" w:color="auto" w:fill="auto"/>
            <w:vAlign w:val="bottom"/>
          </w:tcPr>
          <w:p w14:paraId="394E3D77"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918</w:t>
            </w:r>
          </w:p>
        </w:tc>
        <w:tc>
          <w:tcPr>
            <w:tcW w:w="686" w:type="dxa"/>
            <w:tcBorders>
              <w:bottom w:val="single" w:sz="4" w:space="0" w:color="auto"/>
            </w:tcBorders>
            <w:shd w:val="clear" w:color="auto" w:fill="auto"/>
            <w:vAlign w:val="bottom"/>
          </w:tcPr>
          <w:p w14:paraId="0998C7F7"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2646</w:t>
            </w:r>
          </w:p>
        </w:tc>
        <w:tc>
          <w:tcPr>
            <w:tcW w:w="685" w:type="dxa"/>
            <w:tcBorders>
              <w:bottom w:val="single" w:sz="4" w:space="0" w:color="auto"/>
            </w:tcBorders>
            <w:shd w:val="clear" w:color="auto" w:fill="auto"/>
            <w:vAlign w:val="bottom"/>
          </w:tcPr>
          <w:p w14:paraId="453BF804"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1780</w:t>
            </w:r>
          </w:p>
        </w:tc>
        <w:tc>
          <w:tcPr>
            <w:tcW w:w="686" w:type="dxa"/>
            <w:tcBorders>
              <w:bottom w:val="single" w:sz="4" w:space="0" w:color="auto"/>
            </w:tcBorders>
            <w:shd w:val="clear" w:color="auto" w:fill="auto"/>
            <w:vAlign w:val="bottom"/>
          </w:tcPr>
          <w:p w14:paraId="28A68E84"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582</w:t>
            </w:r>
          </w:p>
        </w:tc>
        <w:tc>
          <w:tcPr>
            <w:tcW w:w="686" w:type="dxa"/>
            <w:tcBorders>
              <w:bottom w:val="single" w:sz="4" w:space="0" w:color="auto"/>
            </w:tcBorders>
            <w:shd w:val="clear" w:color="auto" w:fill="auto"/>
            <w:vAlign w:val="bottom"/>
          </w:tcPr>
          <w:p w14:paraId="18B6285C"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1323</w:t>
            </w:r>
          </w:p>
        </w:tc>
        <w:tc>
          <w:tcPr>
            <w:tcW w:w="686" w:type="dxa"/>
            <w:tcBorders>
              <w:bottom w:val="single" w:sz="4" w:space="0" w:color="auto"/>
            </w:tcBorders>
            <w:shd w:val="clear" w:color="auto" w:fill="auto"/>
            <w:vAlign w:val="bottom"/>
          </w:tcPr>
          <w:p w14:paraId="1F371310" w14:textId="77777777" w:rsidR="00364BF3" w:rsidRPr="00C86739" w:rsidRDefault="00364BF3" w:rsidP="00C86739">
            <w:pPr>
              <w:keepNext/>
              <w:keepLines/>
              <w:tabs>
                <w:tab w:val="left" w:pos="288"/>
                <w:tab w:val="left" w:pos="576"/>
                <w:tab w:val="left" w:pos="864"/>
                <w:tab w:val="left" w:pos="1152"/>
              </w:tabs>
              <w:spacing w:before="81" w:after="81" w:line="210" w:lineRule="exact"/>
              <w:ind w:left="144" w:right="43"/>
              <w:jc w:val="right"/>
              <w:rPr>
                <w:b/>
                <w:sz w:val="17"/>
                <w:lang w:val="fr-FR"/>
              </w:rPr>
            </w:pPr>
            <w:r w:rsidRPr="00C86739">
              <w:rPr>
                <w:b/>
                <w:sz w:val="17"/>
                <w:lang w:val="fr-FR"/>
              </w:rPr>
              <w:t>578</w:t>
            </w:r>
          </w:p>
        </w:tc>
      </w:tr>
      <w:tr w:rsidR="00D32B3F" w:rsidRPr="00A032B6" w14:paraId="27535556" w14:textId="77777777" w:rsidTr="00E7239B">
        <w:tc>
          <w:tcPr>
            <w:tcW w:w="2520" w:type="dxa"/>
            <w:tcBorders>
              <w:top w:val="single" w:sz="4" w:space="0" w:color="auto"/>
            </w:tcBorders>
            <w:shd w:val="clear" w:color="auto" w:fill="auto"/>
            <w:vAlign w:val="bottom"/>
          </w:tcPr>
          <w:p w14:paraId="063B60CD" w14:textId="77777777" w:rsidR="00364BF3" w:rsidRPr="00A032B6" w:rsidRDefault="00364BF3" w:rsidP="00C86739">
            <w:pPr>
              <w:keepNext/>
              <w:keepLines/>
              <w:tabs>
                <w:tab w:val="left" w:pos="288"/>
                <w:tab w:val="left" w:pos="576"/>
                <w:tab w:val="left" w:pos="864"/>
                <w:tab w:val="left" w:pos="1152"/>
              </w:tabs>
              <w:spacing w:before="81" w:after="40" w:line="210" w:lineRule="exact"/>
              <w:ind w:right="40"/>
              <w:rPr>
                <w:sz w:val="17"/>
                <w:lang w:val="fr-FR"/>
              </w:rPr>
            </w:pPr>
            <w:r w:rsidRPr="00A032B6">
              <w:rPr>
                <w:sz w:val="17"/>
                <w:lang w:val="fr-FR"/>
              </w:rPr>
              <w:t>Viol</w:t>
            </w:r>
          </w:p>
        </w:tc>
        <w:tc>
          <w:tcPr>
            <w:tcW w:w="685" w:type="dxa"/>
            <w:tcBorders>
              <w:top w:val="single" w:sz="4" w:space="0" w:color="auto"/>
            </w:tcBorders>
            <w:shd w:val="clear" w:color="auto" w:fill="auto"/>
            <w:vAlign w:val="bottom"/>
          </w:tcPr>
          <w:p w14:paraId="2EFD3A6B"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159</w:t>
            </w:r>
          </w:p>
        </w:tc>
        <w:tc>
          <w:tcPr>
            <w:tcW w:w="686" w:type="dxa"/>
            <w:tcBorders>
              <w:top w:val="single" w:sz="4" w:space="0" w:color="auto"/>
            </w:tcBorders>
            <w:shd w:val="clear" w:color="auto" w:fill="auto"/>
            <w:vAlign w:val="bottom"/>
          </w:tcPr>
          <w:p w14:paraId="43B6D936"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217</w:t>
            </w:r>
          </w:p>
        </w:tc>
        <w:tc>
          <w:tcPr>
            <w:tcW w:w="686" w:type="dxa"/>
            <w:tcBorders>
              <w:top w:val="single" w:sz="4" w:space="0" w:color="auto"/>
            </w:tcBorders>
            <w:shd w:val="clear" w:color="auto" w:fill="auto"/>
            <w:vAlign w:val="bottom"/>
          </w:tcPr>
          <w:p w14:paraId="58B7CB40"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578</w:t>
            </w:r>
          </w:p>
        </w:tc>
        <w:tc>
          <w:tcPr>
            <w:tcW w:w="685" w:type="dxa"/>
            <w:tcBorders>
              <w:top w:val="single" w:sz="4" w:space="0" w:color="auto"/>
            </w:tcBorders>
            <w:shd w:val="clear" w:color="auto" w:fill="auto"/>
            <w:vAlign w:val="bottom"/>
          </w:tcPr>
          <w:p w14:paraId="1DFD3FE7"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497</w:t>
            </w:r>
          </w:p>
        </w:tc>
        <w:tc>
          <w:tcPr>
            <w:tcW w:w="686" w:type="dxa"/>
            <w:tcBorders>
              <w:top w:val="single" w:sz="4" w:space="0" w:color="auto"/>
            </w:tcBorders>
            <w:shd w:val="clear" w:color="auto" w:fill="auto"/>
            <w:vAlign w:val="bottom"/>
          </w:tcPr>
          <w:p w14:paraId="178938BE"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292</w:t>
            </w:r>
          </w:p>
        </w:tc>
        <w:tc>
          <w:tcPr>
            <w:tcW w:w="686" w:type="dxa"/>
            <w:tcBorders>
              <w:top w:val="single" w:sz="4" w:space="0" w:color="auto"/>
            </w:tcBorders>
            <w:shd w:val="clear" w:color="auto" w:fill="auto"/>
            <w:vAlign w:val="bottom"/>
          </w:tcPr>
          <w:p w14:paraId="065290DE"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249</w:t>
            </w:r>
          </w:p>
        </w:tc>
        <w:tc>
          <w:tcPr>
            <w:tcW w:w="686" w:type="dxa"/>
            <w:tcBorders>
              <w:top w:val="single" w:sz="4" w:space="0" w:color="auto"/>
            </w:tcBorders>
            <w:shd w:val="clear" w:color="auto" w:fill="auto"/>
            <w:vAlign w:val="bottom"/>
          </w:tcPr>
          <w:p w14:paraId="288C3ED6" w14:textId="77777777" w:rsidR="00364BF3" w:rsidRPr="00A032B6" w:rsidRDefault="00364BF3" w:rsidP="00C86739">
            <w:pPr>
              <w:keepNext/>
              <w:keepLines/>
              <w:tabs>
                <w:tab w:val="left" w:pos="288"/>
                <w:tab w:val="left" w:pos="576"/>
                <w:tab w:val="left" w:pos="864"/>
                <w:tab w:val="left" w:pos="1152"/>
              </w:tabs>
              <w:spacing w:before="81" w:after="40" w:line="210" w:lineRule="exact"/>
              <w:ind w:left="144" w:right="43"/>
              <w:jc w:val="right"/>
              <w:rPr>
                <w:sz w:val="17"/>
                <w:lang w:val="fr-FR"/>
              </w:rPr>
            </w:pPr>
            <w:r w:rsidRPr="00A032B6">
              <w:rPr>
                <w:sz w:val="17"/>
                <w:lang w:val="fr-FR"/>
              </w:rPr>
              <w:t>159</w:t>
            </w:r>
          </w:p>
        </w:tc>
      </w:tr>
      <w:tr w:rsidR="00D32B3F" w:rsidRPr="00A032B6" w14:paraId="11938E5C" w14:textId="77777777" w:rsidTr="00D32B3F">
        <w:tc>
          <w:tcPr>
            <w:tcW w:w="2520" w:type="dxa"/>
            <w:shd w:val="clear" w:color="auto" w:fill="auto"/>
            <w:vAlign w:val="bottom"/>
          </w:tcPr>
          <w:p w14:paraId="42FD838F" w14:textId="77777777" w:rsidR="00364BF3" w:rsidRPr="00A032B6" w:rsidRDefault="00364BF3" w:rsidP="00A032B6">
            <w:pPr>
              <w:keepNext/>
              <w:keepLines/>
              <w:tabs>
                <w:tab w:val="left" w:pos="288"/>
                <w:tab w:val="left" w:pos="576"/>
                <w:tab w:val="left" w:pos="864"/>
                <w:tab w:val="left" w:pos="1152"/>
              </w:tabs>
              <w:spacing w:before="40" w:after="40" w:line="210" w:lineRule="exact"/>
              <w:ind w:right="40"/>
              <w:rPr>
                <w:sz w:val="17"/>
                <w:lang w:val="fr-FR"/>
              </w:rPr>
            </w:pPr>
            <w:r w:rsidRPr="00A032B6">
              <w:rPr>
                <w:sz w:val="17"/>
                <w:lang w:val="fr-FR"/>
              </w:rPr>
              <w:t>Agression sexuelle</w:t>
            </w:r>
          </w:p>
        </w:tc>
        <w:tc>
          <w:tcPr>
            <w:tcW w:w="685" w:type="dxa"/>
            <w:shd w:val="clear" w:color="auto" w:fill="auto"/>
            <w:vAlign w:val="bottom"/>
          </w:tcPr>
          <w:p w14:paraId="12ACCB16"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22</w:t>
            </w:r>
          </w:p>
        </w:tc>
        <w:tc>
          <w:tcPr>
            <w:tcW w:w="686" w:type="dxa"/>
            <w:shd w:val="clear" w:color="auto" w:fill="auto"/>
            <w:vAlign w:val="bottom"/>
          </w:tcPr>
          <w:p w14:paraId="09F7BF12"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36</w:t>
            </w:r>
          </w:p>
        </w:tc>
        <w:tc>
          <w:tcPr>
            <w:tcW w:w="686" w:type="dxa"/>
            <w:shd w:val="clear" w:color="auto" w:fill="auto"/>
            <w:vAlign w:val="bottom"/>
          </w:tcPr>
          <w:p w14:paraId="0069D23C"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151</w:t>
            </w:r>
          </w:p>
        </w:tc>
        <w:tc>
          <w:tcPr>
            <w:tcW w:w="685" w:type="dxa"/>
            <w:shd w:val="clear" w:color="auto" w:fill="auto"/>
            <w:vAlign w:val="bottom"/>
          </w:tcPr>
          <w:p w14:paraId="76B30037"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52</w:t>
            </w:r>
          </w:p>
        </w:tc>
        <w:tc>
          <w:tcPr>
            <w:tcW w:w="686" w:type="dxa"/>
            <w:shd w:val="clear" w:color="auto" w:fill="auto"/>
            <w:vAlign w:val="bottom"/>
          </w:tcPr>
          <w:p w14:paraId="4C1C3591"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37</w:t>
            </w:r>
          </w:p>
        </w:tc>
        <w:tc>
          <w:tcPr>
            <w:tcW w:w="686" w:type="dxa"/>
            <w:shd w:val="clear" w:color="auto" w:fill="auto"/>
            <w:vAlign w:val="bottom"/>
          </w:tcPr>
          <w:p w14:paraId="713FE001"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93</w:t>
            </w:r>
          </w:p>
        </w:tc>
        <w:tc>
          <w:tcPr>
            <w:tcW w:w="686" w:type="dxa"/>
            <w:shd w:val="clear" w:color="auto" w:fill="auto"/>
            <w:vAlign w:val="bottom"/>
          </w:tcPr>
          <w:p w14:paraId="3A816885"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29</w:t>
            </w:r>
          </w:p>
        </w:tc>
      </w:tr>
      <w:tr w:rsidR="00D32B3F" w:rsidRPr="00A032B6" w14:paraId="3BE063CD" w14:textId="77777777" w:rsidTr="00D32B3F">
        <w:tc>
          <w:tcPr>
            <w:tcW w:w="2520" w:type="dxa"/>
            <w:shd w:val="clear" w:color="auto" w:fill="auto"/>
            <w:vAlign w:val="bottom"/>
          </w:tcPr>
          <w:p w14:paraId="64C9234E" w14:textId="77777777" w:rsidR="00364BF3" w:rsidRPr="00A032B6" w:rsidRDefault="00364BF3" w:rsidP="00A032B6">
            <w:pPr>
              <w:keepNext/>
              <w:keepLines/>
              <w:tabs>
                <w:tab w:val="left" w:pos="288"/>
                <w:tab w:val="left" w:pos="576"/>
                <w:tab w:val="left" w:pos="864"/>
                <w:tab w:val="left" w:pos="1152"/>
              </w:tabs>
              <w:spacing w:before="40" w:after="40" w:line="210" w:lineRule="exact"/>
              <w:ind w:right="40"/>
              <w:rPr>
                <w:sz w:val="17"/>
                <w:lang w:val="fr-FR"/>
              </w:rPr>
            </w:pPr>
            <w:r w:rsidRPr="00A032B6">
              <w:rPr>
                <w:sz w:val="17"/>
                <w:lang w:val="fr-FR"/>
              </w:rPr>
              <w:t>Agression physique</w:t>
            </w:r>
          </w:p>
        </w:tc>
        <w:tc>
          <w:tcPr>
            <w:tcW w:w="685" w:type="dxa"/>
            <w:shd w:val="clear" w:color="auto" w:fill="auto"/>
            <w:vAlign w:val="bottom"/>
          </w:tcPr>
          <w:p w14:paraId="135C56E8"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82</w:t>
            </w:r>
          </w:p>
        </w:tc>
        <w:tc>
          <w:tcPr>
            <w:tcW w:w="686" w:type="dxa"/>
            <w:shd w:val="clear" w:color="auto" w:fill="auto"/>
            <w:vAlign w:val="bottom"/>
          </w:tcPr>
          <w:p w14:paraId="587EC784"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281</w:t>
            </w:r>
          </w:p>
        </w:tc>
        <w:tc>
          <w:tcPr>
            <w:tcW w:w="686" w:type="dxa"/>
            <w:shd w:val="clear" w:color="auto" w:fill="auto"/>
            <w:vAlign w:val="bottom"/>
          </w:tcPr>
          <w:p w14:paraId="12B8E680"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662</w:t>
            </w:r>
          </w:p>
        </w:tc>
        <w:tc>
          <w:tcPr>
            <w:tcW w:w="685" w:type="dxa"/>
            <w:shd w:val="clear" w:color="auto" w:fill="auto"/>
            <w:vAlign w:val="bottom"/>
          </w:tcPr>
          <w:p w14:paraId="5A6F8448"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465</w:t>
            </w:r>
          </w:p>
        </w:tc>
        <w:tc>
          <w:tcPr>
            <w:tcW w:w="686" w:type="dxa"/>
            <w:shd w:val="clear" w:color="auto" w:fill="auto"/>
            <w:vAlign w:val="bottom"/>
          </w:tcPr>
          <w:p w14:paraId="03329873"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136</w:t>
            </w:r>
          </w:p>
        </w:tc>
        <w:tc>
          <w:tcPr>
            <w:tcW w:w="686" w:type="dxa"/>
            <w:shd w:val="clear" w:color="auto" w:fill="auto"/>
            <w:vAlign w:val="bottom"/>
          </w:tcPr>
          <w:p w14:paraId="470F2288"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260</w:t>
            </w:r>
          </w:p>
        </w:tc>
        <w:tc>
          <w:tcPr>
            <w:tcW w:w="686" w:type="dxa"/>
            <w:shd w:val="clear" w:color="auto" w:fill="auto"/>
            <w:vAlign w:val="bottom"/>
          </w:tcPr>
          <w:p w14:paraId="2AACA270"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187</w:t>
            </w:r>
          </w:p>
        </w:tc>
      </w:tr>
      <w:tr w:rsidR="00D32B3F" w:rsidRPr="00A032B6" w14:paraId="5A2F3B85" w14:textId="77777777" w:rsidTr="00D32B3F">
        <w:tc>
          <w:tcPr>
            <w:tcW w:w="2520" w:type="dxa"/>
            <w:shd w:val="clear" w:color="auto" w:fill="auto"/>
            <w:vAlign w:val="bottom"/>
          </w:tcPr>
          <w:p w14:paraId="2A618365" w14:textId="77777777" w:rsidR="00364BF3" w:rsidRPr="00A032B6" w:rsidRDefault="00364BF3" w:rsidP="00A032B6">
            <w:pPr>
              <w:keepNext/>
              <w:keepLines/>
              <w:tabs>
                <w:tab w:val="left" w:pos="288"/>
                <w:tab w:val="left" w:pos="576"/>
                <w:tab w:val="left" w:pos="864"/>
                <w:tab w:val="left" w:pos="1152"/>
              </w:tabs>
              <w:spacing w:before="40" w:after="40" w:line="210" w:lineRule="exact"/>
              <w:ind w:right="40"/>
              <w:rPr>
                <w:sz w:val="17"/>
                <w:lang w:val="fr-FR"/>
              </w:rPr>
            </w:pPr>
            <w:r w:rsidRPr="00A032B6">
              <w:rPr>
                <w:sz w:val="17"/>
                <w:lang w:val="fr-FR"/>
              </w:rPr>
              <w:t>Mariage forcé</w:t>
            </w:r>
          </w:p>
        </w:tc>
        <w:tc>
          <w:tcPr>
            <w:tcW w:w="685" w:type="dxa"/>
            <w:shd w:val="clear" w:color="auto" w:fill="auto"/>
            <w:vAlign w:val="bottom"/>
          </w:tcPr>
          <w:p w14:paraId="79FA7DF3"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ND</w:t>
            </w:r>
          </w:p>
        </w:tc>
        <w:tc>
          <w:tcPr>
            <w:tcW w:w="686" w:type="dxa"/>
            <w:shd w:val="clear" w:color="auto" w:fill="auto"/>
            <w:vAlign w:val="bottom"/>
          </w:tcPr>
          <w:p w14:paraId="19BEBF54"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ND</w:t>
            </w:r>
          </w:p>
        </w:tc>
        <w:tc>
          <w:tcPr>
            <w:tcW w:w="686" w:type="dxa"/>
            <w:shd w:val="clear" w:color="auto" w:fill="auto"/>
            <w:vAlign w:val="bottom"/>
          </w:tcPr>
          <w:p w14:paraId="45BEAA4B"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ND</w:t>
            </w:r>
          </w:p>
        </w:tc>
        <w:tc>
          <w:tcPr>
            <w:tcW w:w="685" w:type="dxa"/>
            <w:shd w:val="clear" w:color="auto" w:fill="auto"/>
            <w:vAlign w:val="bottom"/>
          </w:tcPr>
          <w:p w14:paraId="3E97E29A"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49</w:t>
            </w:r>
          </w:p>
        </w:tc>
        <w:tc>
          <w:tcPr>
            <w:tcW w:w="686" w:type="dxa"/>
            <w:shd w:val="clear" w:color="auto" w:fill="auto"/>
            <w:vAlign w:val="bottom"/>
          </w:tcPr>
          <w:p w14:paraId="63DD023D"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6</w:t>
            </w:r>
          </w:p>
        </w:tc>
        <w:tc>
          <w:tcPr>
            <w:tcW w:w="686" w:type="dxa"/>
            <w:shd w:val="clear" w:color="auto" w:fill="auto"/>
            <w:vAlign w:val="bottom"/>
          </w:tcPr>
          <w:p w14:paraId="30ABC543"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64</w:t>
            </w:r>
          </w:p>
        </w:tc>
        <w:tc>
          <w:tcPr>
            <w:tcW w:w="686" w:type="dxa"/>
            <w:shd w:val="clear" w:color="auto" w:fill="auto"/>
            <w:vAlign w:val="bottom"/>
          </w:tcPr>
          <w:p w14:paraId="48BB72C8"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12</w:t>
            </w:r>
          </w:p>
        </w:tc>
      </w:tr>
      <w:tr w:rsidR="00D32B3F" w:rsidRPr="00A032B6" w14:paraId="30A5E482" w14:textId="77777777" w:rsidTr="00D32B3F">
        <w:tc>
          <w:tcPr>
            <w:tcW w:w="2520" w:type="dxa"/>
            <w:shd w:val="clear" w:color="auto" w:fill="auto"/>
            <w:vAlign w:val="bottom"/>
          </w:tcPr>
          <w:p w14:paraId="610B477D" w14:textId="4C066A5B" w:rsidR="00364BF3" w:rsidRPr="00A032B6" w:rsidRDefault="00364BF3" w:rsidP="00A032B6">
            <w:pPr>
              <w:keepNext/>
              <w:keepLines/>
              <w:tabs>
                <w:tab w:val="left" w:pos="288"/>
                <w:tab w:val="left" w:pos="576"/>
                <w:tab w:val="left" w:pos="864"/>
                <w:tab w:val="left" w:pos="1152"/>
              </w:tabs>
              <w:spacing w:before="40" w:after="40" w:line="210" w:lineRule="exact"/>
              <w:ind w:right="40"/>
              <w:rPr>
                <w:sz w:val="17"/>
                <w:lang w:val="fr-FR"/>
              </w:rPr>
            </w:pPr>
            <w:r w:rsidRPr="00A032B6">
              <w:rPr>
                <w:sz w:val="17"/>
                <w:lang w:val="fr-FR"/>
              </w:rPr>
              <w:t>Déni de ressources, d</w:t>
            </w:r>
            <w:r w:rsidR="000C16F5" w:rsidRPr="00A032B6">
              <w:rPr>
                <w:sz w:val="17"/>
                <w:lang w:val="fr-FR"/>
              </w:rPr>
              <w:t>’</w:t>
            </w:r>
            <w:r w:rsidRPr="00A032B6">
              <w:rPr>
                <w:sz w:val="17"/>
                <w:lang w:val="fr-FR"/>
              </w:rPr>
              <w:t>opportunités ou de services</w:t>
            </w:r>
          </w:p>
        </w:tc>
        <w:tc>
          <w:tcPr>
            <w:tcW w:w="685" w:type="dxa"/>
            <w:shd w:val="clear" w:color="auto" w:fill="auto"/>
            <w:vAlign w:val="bottom"/>
          </w:tcPr>
          <w:p w14:paraId="08C26F04"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204</w:t>
            </w:r>
          </w:p>
        </w:tc>
        <w:tc>
          <w:tcPr>
            <w:tcW w:w="686" w:type="dxa"/>
            <w:shd w:val="clear" w:color="auto" w:fill="auto"/>
            <w:vAlign w:val="bottom"/>
          </w:tcPr>
          <w:p w14:paraId="26298F72"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249</w:t>
            </w:r>
          </w:p>
        </w:tc>
        <w:tc>
          <w:tcPr>
            <w:tcW w:w="686" w:type="dxa"/>
            <w:shd w:val="clear" w:color="auto" w:fill="auto"/>
            <w:vAlign w:val="bottom"/>
          </w:tcPr>
          <w:p w14:paraId="2370DB96"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798</w:t>
            </w:r>
          </w:p>
        </w:tc>
        <w:tc>
          <w:tcPr>
            <w:tcW w:w="685" w:type="dxa"/>
            <w:shd w:val="clear" w:color="auto" w:fill="auto"/>
            <w:vAlign w:val="bottom"/>
          </w:tcPr>
          <w:p w14:paraId="3BA4D4CC"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558</w:t>
            </w:r>
          </w:p>
        </w:tc>
        <w:tc>
          <w:tcPr>
            <w:tcW w:w="686" w:type="dxa"/>
            <w:shd w:val="clear" w:color="auto" w:fill="auto"/>
            <w:vAlign w:val="bottom"/>
          </w:tcPr>
          <w:p w14:paraId="3D845EA4"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83</w:t>
            </w:r>
          </w:p>
        </w:tc>
        <w:tc>
          <w:tcPr>
            <w:tcW w:w="686" w:type="dxa"/>
            <w:shd w:val="clear" w:color="auto" w:fill="auto"/>
            <w:vAlign w:val="bottom"/>
          </w:tcPr>
          <w:p w14:paraId="1A2F8CD3"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443</w:t>
            </w:r>
          </w:p>
        </w:tc>
        <w:tc>
          <w:tcPr>
            <w:tcW w:w="686" w:type="dxa"/>
            <w:shd w:val="clear" w:color="auto" w:fill="auto"/>
            <w:vAlign w:val="bottom"/>
          </w:tcPr>
          <w:p w14:paraId="2D3A4CED"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144</w:t>
            </w:r>
          </w:p>
        </w:tc>
      </w:tr>
      <w:tr w:rsidR="00D32B3F" w:rsidRPr="00A032B6" w14:paraId="0D516EE6" w14:textId="77777777" w:rsidTr="00D32B3F">
        <w:tc>
          <w:tcPr>
            <w:tcW w:w="2520" w:type="dxa"/>
            <w:tcBorders>
              <w:bottom w:val="single" w:sz="12" w:space="0" w:color="auto"/>
            </w:tcBorders>
            <w:shd w:val="clear" w:color="auto" w:fill="auto"/>
            <w:vAlign w:val="bottom"/>
          </w:tcPr>
          <w:p w14:paraId="673C22D8" w14:textId="77777777" w:rsidR="00364BF3" w:rsidRPr="00A032B6" w:rsidRDefault="00364BF3" w:rsidP="00A032B6">
            <w:pPr>
              <w:keepNext/>
              <w:keepLines/>
              <w:tabs>
                <w:tab w:val="left" w:pos="288"/>
                <w:tab w:val="left" w:pos="576"/>
                <w:tab w:val="left" w:pos="864"/>
                <w:tab w:val="left" w:pos="1152"/>
              </w:tabs>
              <w:spacing w:before="40" w:after="40" w:line="210" w:lineRule="exact"/>
              <w:ind w:right="40"/>
              <w:rPr>
                <w:sz w:val="17"/>
                <w:lang w:val="fr-FR"/>
              </w:rPr>
            </w:pPr>
            <w:r w:rsidRPr="00A032B6">
              <w:rPr>
                <w:sz w:val="17"/>
                <w:lang w:val="fr-FR"/>
              </w:rPr>
              <w:t>Violence psychologique/émotionnelle</w:t>
            </w:r>
          </w:p>
        </w:tc>
        <w:tc>
          <w:tcPr>
            <w:tcW w:w="685" w:type="dxa"/>
            <w:tcBorders>
              <w:bottom w:val="single" w:sz="12" w:space="0" w:color="auto"/>
            </w:tcBorders>
            <w:shd w:val="clear" w:color="auto" w:fill="auto"/>
            <w:vAlign w:val="bottom"/>
          </w:tcPr>
          <w:p w14:paraId="0911AD96"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82</w:t>
            </w:r>
          </w:p>
        </w:tc>
        <w:tc>
          <w:tcPr>
            <w:tcW w:w="686" w:type="dxa"/>
            <w:tcBorders>
              <w:bottom w:val="single" w:sz="12" w:space="0" w:color="auto"/>
            </w:tcBorders>
            <w:shd w:val="clear" w:color="auto" w:fill="auto"/>
            <w:vAlign w:val="bottom"/>
          </w:tcPr>
          <w:p w14:paraId="063D034D"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113</w:t>
            </w:r>
          </w:p>
        </w:tc>
        <w:tc>
          <w:tcPr>
            <w:tcW w:w="686" w:type="dxa"/>
            <w:tcBorders>
              <w:bottom w:val="single" w:sz="12" w:space="0" w:color="auto"/>
            </w:tcBorders>
            <w:shd w:val="clear" w:color="auto" w:fill="auto"/>
            <w:vAlign w:val="bottom"/>
          </w:tcPr>
          <w:p w14:paraId="6DB4501A"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422</w:t>
            </w:r>
          </w:p>
        </w:tc>
        <w:tc>
          <w:tcPr>
            <w:tcW w:w="685" w:type="dxa"/>
            <w:tcBorders>
              <w:bottom w:val="single" w:sz="12" w:space="0" w:color="auto"/>
            </w:tcBorders>
            <w:shd w:val="clear" w:color="auto" w:fill="auto"/>
            <w:vAlign w:val="bottom"/>
          </w:tcPr>
          <w:p w14:paraId="3971D8F3"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159</w:t>
            </w:r>
          </w:p>
        </w:tc>
        <w:tc>
          <w:tcPr>
            <w:tcW w:w="686" w:type="dxa"/>
            <w:tcBorders>
              <w:bottom w:val="single" w:sz="12" w:space="0" w:color="auto"/>
            </w:tcBorders>
            <w:shd w:val="clear" w:color="auto" w:fill="auto"/>
            <w:vAlign w:val="bottom"/>
          </w:tcPr>
          <w:p w14:paraId="5F9CC482"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28</w:t>
            </w:r>
          </w:p>
        </w:tc>
        <w:tc>
          <w:tcPr>
            <w:tcW w:w="686" w:type="dxa"/>
            <w:tcBorders>
              <w:bottom w:val="single" w:sz="12" w:space="0" w:color="auto"/>
            </w:tcBorders>
            <w:shd w:val="clear" w:color="auto" w:fill="auto"/>
            <w:vAlign w:val="bottom"/>
          </w:tcPr>
          <w:p w14:paraId="1C2B8E17"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214</w:t>
            </w:r>
          </w:p>
        </w:tc>
        <w:tc>
          <w:tcPr>
            <w:tcW w:w="686" w:type="dxa"/>
            <w:tcBorders>
              <w:bottom w:val="single" w:sz="12" w:space="0" w:color="auto"/>
            </w:tcBorders>
            <w:shd w:val="clear" w:color="auto" w:fill="auto"/>
            <w:vAlign w:val="bottom"/>
          </w:tcPr>
          <w:p w14:paraId="4DF6BA2F" w14:textId="77777777" w:rsidR="00364BF3" w:rsidRPr="00A032B6" w:rsidRDefault="00364BF3" w:rsidP="00A032B6">
            <w:pPr>
              <w:keepNext/>
              <w:keepLines/>
              <w:tabs>
                <w:tab w:val="left" w:pos="288"/>
                <w:tab w:val="left" w:pos="576"/>
                <w:tab w:val="left" w:pos="864"/>
                <w:tab w:val="left" w:pos="1152"/>
              </w:tabs>
              <w:spacing w:before="40" w:after="40" w:line="210" w:lineRule="exact"/>
              <w:ind w:left="144" w:right="43"/>
              <w:jc w:val="right"/>
              <w:rPr>
                <w:sz w:val="17"/>
                <w:lang w:val="fr-FR"/>
              </w:rPr>
            </w:pPr>
            <w:r w:rsidRPr="00A032B6">
              <w:rPr>
                <w:sz w:val="17"/>
                <w:lang w:val="fr-FR"/>
              </w:rPr>
              <w:t>47</w:t>
            </w:r>
          </w:p>
        </w:tc>
      </w:tr>
    </w:tbl>
    <w:p w14:paraId="4AAE1077" w14:textId="77777777" w:rsidR="00C86739" w:rsidRPr="00C86739" w:rsidRDefault="00C86739" w:rsidP="00C86739">
      <w:pPr>
        <w:pStyle w:val="SingleTxtG"/>
        <w:spacing w:after="0" w:line="120" w:lineRule="exact"/>
        <w:ind w:firstLine="170"/>
        <w:jc w:val="left"/>
        <w:rPr>
          <w:bCs/>
          <w:i/>
          <w:sz w:val="10"/>
          <w:szCs w:val="18"/>
          <w:lang w:val="fr-FR"/>
        </w:rPr>
      </w:pPr>
    </w:p>
    <w:p w14:paraId="08182E85" w14:textId="72789E5E" w:rsidR="00364BF3" w:rsidRPr="00190491" w:rsidRDefault="00364BF3" w:rsidP="00C86739">
      <w:pPr>
        <w:pStyle w:val="FootnoteText"/>
        <w:tabs>
          <w:tab w:val="right" w:pos="1476"/>
          <w:tab w:val="left" w:pos="1548"/>
          <w:tab w:val="right" w:pos="1836"/>
          <w:tab w:val="left" w:pos="1908"/>
        </w:tabs>
        <w:ind w:left="1548" w:right="1267" w:hanging="288"/>
        <w:rPr>
          <w:i/>
          <w:lang w:val="fr-FR"/>
        </w:rPr>
      </w:pPr>
      <w:r w:rsidRPr="00190491">
        <w:rPr>
          <w:i/>
          <w:lang w:val="fr-FR"/>
        </w:rPr>
        <w:t>Sources</w:t>
      </w:r>
      <w:r w:rsidR="008945B3">
        <w:rPr>
          <w:i/>
          <w:lang w:val="fr-FR"/>
        </w:rPr>
        <w:t> </w:t>
      </w:r>
      <w:r w:rsidR="008945B3" w:rsidRPr="007B345A">
        <w:rPr>
          <w:iCs/>
          <w:lang w:val="fr-FR"/>
        </w:rPr>
        <w:t>:</w:t>
      </w:r>
      <w:r w:rsidRPr="00190491">
        <w:rPr>
          <w:i/>
          <w:lang w:val="fr-FR"/>
        </w:rPr>
        <w:t xml:space="preserve"> </w:t>
      </w:r>
      <w:r w:rsidRPr="00190491">
        <w:rPr>
          <w:lang w:val="fr-FR"/>
        </w:rPr>
        <w:t>IRC</w:t>
      </w:r>
      <w:r w:rsidR="008945B3">
        <w:rPr>
          <w:lang w:val="fr-FR"/>
        </w:rPr>
        <w:t> :</w:t>
      </w:r>
      <w:r w:rsidRPr="00190491">
        <w:rPr>
          <w:lang w:val="fr-FR"/>
        </w:rPr>
        <w:t xml:space="preserve"> 2010 et 2011 (Janvier à Septembre), 2012 à 2014 (avec l</w:t>
      </w:r>
      <w:r w:rsidR="000C16F5">
        <w:rPr>
          <w:lang w:val="fr-FR"/>
        </w:rPr>
        <w:t>’</w:t>
      </w:r>
      <w:r w:rsidRPr="00190491">
        <w:rPr>
          <w:lang w:val="fr-FR"/>
        </w:rPr>
        <w:t>appui de l</w:t>
      </w:r>
      <w:r w:rsidR="000C16F5">
        <w:rPr>
          <w:lang w:val="fr-FR"/>
        </w:rPr>
        <w:t>’</w:t>
      </w:r>
      <w:r w:rsidRPr="00190491">
        <w:rPr>
          <w:lang w:val="fr-FR"/>
        </w:rPr>
        <w:t>UNFPA dans le cadre de l</w:t>
      </w:r>
      <w:r w:rsidR="000C16F5">
        <w:rPr>
          <w:lang w:val="fr-FR"/>
        </w:rPr>
        <w:t>’</w:t>
      </w:r>
      <w:r w:rsidRPr="00190491">
        <w:rPr>
          <w:lang w:val="fr-FR"/>
        </w:rPr>
        <w:t>implémentation du GBV IMS)m, DPED MPFFPE</w:t>
      </w:r>
      <w:r w:rsidR="008945B3">
        <w:rPr>
          <w:lang w:val="fr-FR"/>
        </w:rPr>
        <w:t> :</w:t>
      </w:r>
      <w:r w:rsidRPr="00190491">
        <w:rPr>
          <w:lang w:val="fr-FR"/>
        </w:rPr>
        <w:t xml:space="preserve"> Données VBG 2015 (données encours de consolidation) and GBVIMS CI</w:t>
      </w:r>
      <w:r w:rsidR="008945B3">
        <w:rPr>
          <w:lang w:val="fr-FR"/>
        </w:rPr>
        <w:t> :</w:t>
      </w:r>
      <w:r w:rsidRPr="00190491">
        <w:rPr>
          <w:lang w:val="fr-FR"/>
        </w:rPr>
        <w:t xml:space="preserve"> Données partielles VBG 2016 encours de traitement (Janvier à Septembre).</w:t>
      </w:r>
    </w:p>
    <w:p w14:paraId="3E9F522C" w14:textId="0893EE54" w:rsidR="00C86739" w:rsidRPr="00C86739" w:rsidRDefault="00C86739" w:rsidP="00C86739">
      <w:pPr>
        <w:pStyle w:val="SingleTxtG"/>
        <w:spacing w:after="0" w:line="120" w:lineRule="exact"/>
        <w:ind w:left="1267"/>
        <w:rPr>
          <w:bCs/>
          <w:sz w:val="10"/>
          <w:lang w:val="fr-FR"/>
        </w:rPr>
      </w:pPr>
    </w:p>
    <w:p w14:paraId="2E2AC550" w14:textId="77777777" w:rsidR="00C86739" w:rsidRPr="00C86739" w:rsidRDefault="00C86739" w:rsidP="00C86739">
      <w:pPr>
        <w:pStyle w:val="SingleTxtG"/>
        <w:spacing w:after="0" w:line="120" w:lineRule="exact"/>
        <w:ind w:left="1267"/>
        <w:rPr>
          <w:bCs/>
          <w:sz w:val="10"/>
          <w:lang w:val="fr-FR"/>
        </w:rPr>
      </w:pPr>
    </w:p>
    <w:p w14:paraId="22BD6A4D" w14:textId="29FCABD9" w:rsidR="00364BF3" w:rsidRPr="00190491" w:rsidRDefault="00364BF3" w:rsidP="008A6B29">
      <w:pPr>
        <w:pStyle w:val="SingleTxt"/>
        <w:numPr>
          <w:ilvl w:val="0"/>
          <w:numId w:val="11"/>
        </w:numPr>
        <w:spacing w:line="240" w:lineRule="exact"/>
        <w:rPr>
          <w:lang w:val="fr-FR"/>
        </w:rPr>
      </w:pPr>
      <w:r w:rsidRPr="00190491">
        <w:rPr>
          <w:lang w:val="fr-FR"/>
        </w:rPr>
        <w:t xml:space="preserve">Par ailleurs, dans le cadre de la résolution </w:t>
      </w:r>
      <w:hyperlink r:id="rId50" w:history="1">
        <w:r w:rsidRPr="007B345A">
          <w:rPr>
            <w:rStyle w:val="Hyperlink"/>
            <w:lang w:val="fr-FR"/>
          </w:rPr>
          <w:t>1960 (2010)</w:t>
        </w:r>
      </w:hyperlink>
      <w:r w:rsidRPr="00300E48">
        <w:rPr>
          <w:rStyle w:val="FootnoteReference"/>
          <w:bCs/>
          <w:lang w:val="fr-FR"/>
        </w:rPr>
        <w:footnoteReference w:id="8"/>
      </w:r>
      <w:r w:rsidRPr="00190491">
        <w:rPr>
          <w:lang w:val="fr-FR"/>
        </w:rPr>
        <w:t>, la Division des Droits de l</w:t>
      </w:r>
      <w:r w:rsidR="000C16F5">
        <w:rPr>
          <w:lang w:val="fr-FR"/>
        </w:rPr>
        <w:t>’</w:t>
      </w:r>
      <w:r w:rsidRPr="00190491">
        <w:rPr>
          <w:lang w:val="fr-FR"/>
        </w:rPr>
        <w:t>Homme de l</w:t>
      </w:r>
      <w:r w:rsidR="000C16F5">
        <w:rPr>
          <w:lang w:val="fr-FR"/>
        </w:rPr>
        <w:t>’</w:t>
      </w:r>
      <w:r w:rsidRPr="00190491">
        <w:rPr>
          <w:lang w:val="fr-FR"/>
        </w:rPr>
        <w:t>ONUCI (DDH) a fait le suivi de la situation des droits de l</w:t>
      </w:r>
      <w:r w:rsidR="000C16F5">
        <w:rPr>
          <w:lang w:val="fr-FR"/>
        </w:rPr>
        <w:t>’</w:t>
      </w:r>
      <w:r w:rsidRPr="00190491">
        <w:rPr>
          <w:lang w:val="fr-FR"/>
        </w:rPr>
        <w:t>homme et a pu documenter 1 129 cas de viol affectant 1 146 victimes à travers tout le territoire ivoirien entre le 1</w:t>
      </w:r>
      <w:r w:rsidRPr="00DB4C05">
        <w:rPr>
          <w:vertAlign w:val="superscript"/>
          <w:lang w:val="fr-FR"/>
        </w:rPr>
        <w:t>er</w:t>
      </w:r>
      <w:r w:rsidR="00DB4C05">
        <w:rPr>
          <w:lang w:val="fr-FR"/>
        </w:rPr>
        <w:t> </w:t>
      </w:r>
      <w:r w:rsidRPr="00190491">
        <w:rPr>
          <w:lang w:val="fr-FR"/>
        </w:rPr>
        <w:t>janvier 2012 et le 31 décembre 2015. On note que</w:t>
      </w:r>
      <w:r w:rsidR="00E95140">
        <w:rPr>
          <w:lang w:val="fr-FR"/>
        </w:rPr>
        <w:t xml:space="preserve"> </w:t>
      </w:r>
      <w:r w:rsidRPr="00190491">
        <w:rPr>
          <w:lang w:val="fr-FR"/>
        </w:rPr>
        <w:t>66</w:t>
      </w:r>
      <w:r w:rsidR="00E95140">
        <w:rPr>
          <w:lang w:val="fr-FR"/>
        </w:rPr>
        <w:t> </w:t>
      </w:r>
      <w:r w:rsidRPr="00190491">
        <w:rPr>
          <w:lang w:val="fr-FR"/>
        </w:rPr>
        <w:t>%</w:t>
      </w:r>
      <w:r w:rsidR="00E95140">
        <w:rPr>
          <w:lang w:val="fr-FR"/>
        </w:rPr>
        <w:t xml:space="preserve"> </w:t>
      </w:r>
      <w:r w:rsidRPr="00190491">
        <w:rPr>
          <w:lang w:val="fr-FR"/>
        </w:rPr>
        <w:t>des victimes étaient des enfants, dont 1</w:t>
      </w:r>
      <w:r w:rsidR="00E95140">
        <w:rPr>
          <w:lang w:val="fr-FR"/>
        </w:rPr>
        <w:t> </w:t>
      </w:r>
      <w:r w:rsidRPr="00190491">
        <w:rPr>
          <w:lang w:val="fr-FR"/>
        </w:rPr>
        <w:t>%de garçon. Près de</w:t>
      </w:r>
      <w:r w:rsidR="00E95140">
        <w:rPr>
          <w:lang w:val="fr-FR"/>
        </w:rPr>
        <w:t xml:space="preserve"> </w:t>
      </w:r>
      <w:r w:rsidRPr="00190491">
        <w:rPr>
          <w:lang w:val="fr-FR"/>
        </w:rPr>
        <w:t>7</w:t>
      </w:r>
      <w:r w:rsidR="00E95140">
        <w:rPr>
          <w:lang w:val="fr-FR"/>
        </w:rPr>
        <w:t> </w:t>
      </w:r>
      <w:r w:rsidRPr="00190491">
        <w:rPr>
          <w:lang w:val="fr-FR"/>
        </w:rPr>
        <w:t>% de l</w:t>
      </w:r>
      <w:r w:rsidR="000C16F5">
        <w:rPr>
          <w:lang w:val="fr-FR"/>
        </w:rPr>
        <w:t>’</w:t>
      </w:r>
      <w:r w:rsidRPr="00190491">
        <w:rPr>
          <w:lang w:val="fr-FR"/>
        </w:rPr>
        <w:t>ensemble des auteurs présumés des cas documentés par la DDH étaient des agents de l</w:t>
      </w:r>
      <w:r w:rsidR="000C16F5">
        <w:rPr>
          <w:lang w:val="fr-FR"/>
        </w:rPr>
        <w:t>’</w:t>
      </w:r>
      <w:r w:rsidR="00C10A78" w:rsidRPr="00190491">
        <w:rPr>
          <w:lang w:val="fr-FR"/>
        </w:rPr>
        <w:t>État</w:t>
      </w:r>
      <w:r w:rsidRPr="00190491">
        <w:rPr>
          <w:lang w:val="fr-FR"/>
        </w:rPr>
        <w:t>, principalement des éléments des Forces républicaines de Côte d</w:t>
      </w:r>
      <w:r w:rsidR="000C16F5">
        <w:rPr>
          <w:lang w:val="fr-FR"/>
        </w:rPr>
        <w:t>’</w:t>
      </w:r>
      <w:r w:rsidRPr="00190491">
        <w:rPr>
          <w:lang w:val="fr-FR"/>
        </w:rPr>
        <w:t>Ivoire (FRCI) et des enseignants.</w:t>
      </w:r>
    </w:p>
    <w:p w14:paraId="57A3D879" w14:textId="435AC692" w:rsidR="00364BF3" w:rsidRPr="00190491" w:rsidRDefault="00364BF3" w:rsidP="008A6B29">
      <w:pPr>
        <w:pStyle w:val="SingleTxt"/>
        <w:numPr>
          <w:ilvl w:val="0"/>
          <w:numId w:val="11"/>
        </w:numPr>
        <w:spacing w:line="240" w:lineRule="exact"/>
        <w:rPr>
          <w:lang w:val="fr-FR"/>
        </w:rPr>
      </w:pPr>
      <w:r w:rsidRPr="00190491">
        <w:rPr>
          <w:lang w:val="fr-FR"/>
        </w:rPr>
        <w:t>En ce qui concerne la répression judiciaire des viols, selon les données collectées par la DDH, des enquêtes ont été initiées et des dossiers ouverts pour 1 021 cas, soit 90</w:t>
      </w:r>
      <w:r w:rsidR="00DB4C05">
        <w:rPr>
          <w:lang w:val="fr-FR"/>
        </w:rPr>
        <w:t> %</w:t>
      </w:r>
      <w:r w:rsidRPr="00190491">
        <w:rPr>
          <w:lang w:val="fr-FR"/>
        </w:rPr>
        <w:t xml:space="preserve"> du nombre total des cas documentés par la DDH. </w:t>
      </w:r>
    </w:p>
    <w:p w14:paraId="43B48541" w14:textId="50FE96AA" w:rsidR="00364BF3" w:rsidRPr="00190491" w:rsidRDefault="00364BF3" w:rsidP="008A6B29">
      <w:pPr>
        <w:pStyle w:val="SingleTxt"/>
        <w:numPr>
          <w:ilvl w:val="0"/>
          <w:numId w:val="11"/>
        </w:numPr>
        <w:spacing w:line="240" w:lineRule="exact"/>
        <w:rPr>
          <w:lang w:val="fr-FR"/>
        </w:rPr>
      </w:pPr>
      <w:r w:rsidRPr="00190491">
        <w:rPr>
          <w:lang w:val="fr-FR"/>
        </w:rPr>
        <w:t>La répression judiciaire des crimes de viol a connu divers obstacles, notamment en raison de l</w:t>
      </w:r>
      <w:r w:rsidR="000C16F5">
        <w:rPr>
          <w:lang w:val="fr-FR"/>
        </w:rPr>
        <w:t>’</w:t>
      </w:r>
      <w:r w:rsidRPr="00190491">
        <w:rPr>
          <w:lang w:val="fr-FR"/>
        </w:rPr>
        <w:t>absence de tenue de sessions par les Cours d</w:t>
      </w:r>
      <w:r w:rsidR="000C16F5">
        <w:rPr>
          <w:lang w:val="fr-FR"/>
        </w:rPr>
        <w:t>’</w:t>
      </w:r>
      <w:r w:rsidRPr="00190491">
        <w:rPr>
          <w:lang w:val="fr-FR"/>
        </w:rPr>
        <w:t xml:space="preserve">assises entre 2001 et 2014 et de la tenue irrégulière de telles sessions depuis 2014. </w:t>
      </w:r>
    </w:p>
    <w:p w14:paraId="7F68ECA5" w14:textId="17D0ADE6" w:rsidR="00364BF3" w:rsidRPr="00190491" w:rsidRDefault="00364BF3" w:rsidP="008A6B29">
      <w:pPr>
        <w:pStyle w:val="SingleTxt"/>
        <w:numPr>
          <w:ilvl w:val="0"/>
          <w:numId w:val="11"/>
        </w:numPr>
        <w:spacing w:line="240" w:lineRule="exact"/>
        <w:rPr>
          <w:lang w:val="fr-FR"/>
        </w:rPr>
      </w:pPr>
      <w:r w:rsidRPr="00190491">
        <w:rPr>
          <w:lang w:val="fr-FR"/>
        </w:rPr>
        <w:t>La DDH a pu constater que plus de 93</w:t>
      </w:r>
      <w:r w:rsidR="00DB4C05">
        <w:rPr>
          <w:lang w:val="fr-FR"/>
        </w:rPr>
        <w:t> %</w:t>
      </w:r>
      <w:r w:rsidRPr="00190491">
        <w:rPr>
          <w:lang w:val="fr-FR"/>
        </w:rPr>
        <w:t xml:space="preserve"> du nombre total des auteurs des viols qu</w:t>
      </w:r>
      <w:r w:rsidR="000C16F5">
        <w:rPr>
          <w:lang w:val="fr-FR"/>
        </w:rPr>
        <w:t>’</w:t>
      </w:r>
      <w:r w:rsidRPr="00190491">
        <w:rPr>
          <w:lang w:val="fr-FR"/>
        </w:rPr>
        <w:t xml:space="preserve">elle a documentés au cours de la période couverte par ce rapport étaient des </w:t>
      </w:r>
      <w:r w:rsidRPr="00190491">
        <w:rPr>
          <w:lang w:val="fr-FR"/>
        </w:rPr>
        <w:lastRenderedPageBreak/>
        <w:t>personnes privées sans fonction au sein de l</w:t>
      </w:r>
      <w:r w:rsidR="000C16F5">
        <w:rPr>
          <w:lang w:val="fr-FR"/>
        </w:rPr>
        <w:t>’</w:t>
      </w:r>
      <w:r w:rsidR="00C10A78" w:rsidRPr="00190491">
        <w:rPr>
          <w:lang w:val="fr-FR"/>
        </w:rPr>
        <w:t>État</w:t>
      </w:r>
      <w:r w:rsidRPr="00190491">
        <w:rPr>
          <w:lang w:val="fr-FR"/>
        </w:rPr>
        <w:t xml:space="preserve"> ivoirien, tandis que près de 7</w:t>
      </w:r>
      <w:r w:rsidR="00B72ED0">
        <w:rPr>
          <w:lang w:val="fr-FR"/>
        </w:rPr>
        <w:t> </w:t>
      </w:r>
      <w:r w:rsidRPr="00190491">
        <w:rPr>
          <w:lang w:val="fr-FR"/>
        </w:rPr>
        <w:t>%</w:t>
      </w:r>
      <w:r w:rsidR="00B72ED0">
        <w:rPr>
          <w:lang w:val="fr-FR"/>
        </w:rPr>
        <w:t> </w:t>
      </w:r>
      <w:r w:rsidRPr="00190491">
        <w:rPr>
          <w:lang w:val="fr-FR"/>
        </w:rPr>
        <w:t>étaient des agents de l</w:t>
      </w:r>
      <w:r w:rsidR="000C16F5">
        <w:rPr>
          <w:lang w:val="fr-FR"/>
        </w:rPr>
        <w:t>’</w:t>
      </w:r>
      <w:r w:rsidR="00C10A78" w:rsidRPr="00190491">
        <w:rPr>
          <w:lang w:val="fr-FR"/>
        </w:rPr>
        <w:t>État</w:t>
      </w:r>
      <w:r w:rsidRPr="00190491">
        <w:rPr>
          <w:lang w:val="fr-FR"/>
        </w:rPr>
        <w:t>. Les auteurs de viols qui n</w:t>
      </w:r>
      <w:r w:rsidR="000C16F5">
        <w:rPr>
          <w:lang w:val="fr-FR"/>
        </w:rPr>
        <w:t>’</w:t>
      </w:r>
      <w:r w:rsidRPr="00190491">
        <w:rPr>
          <w:lang w:val="fr-FR"/>
        </w:rPr>
        <w:t>étaient pas des agents de l</w:t>
      </w:r>
      <w:r w:rsidR="000C16F5">
        <w:rPr>
          <w:lang w:val="fr-FR"/>
        </w:rPr>
        <w:t>’</w:t>
      </w:r>
      <w:r w:rsidR="00C10A78" w:rsidRPr="00190491">
        <w:rPr>
          <w:lang w:val="fr-FR"/>
        </w:rPr>
        <w:t>État</w:t>
      </w:r>
      <w:r w:rsidRPr="00190491">
        <w:rPr>
          <w:lang w:val="fr-FR"/>
        </w:rPr>
        <w:t xml:space="preserve"> étaient pour la plupart inconnus des victimes (60</w:t>
      </w:r>
      <w:r w:rsidR="00DB4C05">
        <w:rPr>
          <w:lang w:val="fr-FR"/>
        </w:rPr>
        <w:t> %</w:t>
      </w:r>
      <w:r w:rsidRPr="00190491">
        <w:rPr>
          <w:lang w:val="fr-FR"/>
        </w:rPr>
        <w:t>), tandis que 30</w:t>
      </w:r>
      <w:r w:rsidR="00DB4C05">
        <w:rPr>
          <w:lang w:val="fr-FR"/>
        </w:rPr>
        <w:t> %</w:t>
      </w:r>
      <w:r w:rsidRPr="00190491">
        <w:rPr>
          <w:lang w:val="fr-FR"/>
        </w:rPr>
        <w:t xml:space="preserve"> étaient des voisins et connaissances et 10</w:t>
      </w:r>
      <w:r w:rsidR="00DB4C05">
        <w:rPr>
          <w:lang w:val="fr-FR"/>
        </w:rPr>
        <w:t> %</w:t>
      </w:r>
      <w:r w:rsidRPr="00190491">
        <w:rPr>
          <w:lang w:val="fr-FR"/>
        </w:rPr>
        <w:t xml:space="preserve"> étaient des membres de leur famille. </w:t>
      </w:r>
    </w:p>
    <w:p w14:paraId="774B7491" w14:textId="7C834D76" w:rsidR="00364BF3" w:rsidRDefault="00364BF3" w:rsidP="008A6B29">
      <w:pPr>
        <w:pStyle w:val="SingleTxt"/>
        <w:numPr>
          <w:ilvl w:val="0"/>
          <w:numId w:val="11"/>
        </w:numPr>
        <w:spacing w:line="240" w:lineRule="exact"/>
        <w:rPr>
          <w:lang w:val="fr-FR"/>
        </w:rPr>
      </w:pPr>
      <w:r w:rsidRPr="00190491">
        <w:rPr>
          <w:lang w:val="fr-FR"/>
        </w:rPr>
        <w:t>En ce qui concerne les agents de l</w:t>
      </w:r>
      <w:r w:rsidR="000C16F5">
        <w:rPr>
          <w:lang w:val="fr-FR"/>
        </w:rPr>
        <w:t>’</w:t>
      </w:r>
      <w:r w:rsidR="00C10A78" w:rsidRPr="00190491">
        <w:rPr>
          <w:lang w:val="fr-FR"/>
        </w:rPr>
        <w:t>État</w:t>
      </w:r>
      <w:r w:rsidRPr="00190491">
        <w:rPr>
          <w:lang w:val="fr-FR"/>
        </w:rPr>
        <w:t xml:space="preserve"> auteurs de viol, 60</w:t>
      </w:r>
      <w:r w:rsidR="00DB4C05">
        <w:rPr>
          <w:lang w:val="fr-FR"/>
        </w:rPr>
        <w:t> %</w:t>
      </w:r>
      <w:r w:rsidRPr="00190491">
        <w:rPr>
          <w:lang w:val="fr-FR"/>
        </w:rPr>
        <w:t xml:space="preserve"> relèvent des forces de défense et de sécurité, principalement des éléments des FRCI (51 éléments), soit 31</w:t>
      </w:r>
      <w:r w:rsidR="00DB4C05">
        <w:rPr>
          <w:lang w:val="fr-FR"/>
        </w:rPr>
        <w:t> %</w:t>
      </w:r>
      <w:r w:rsidRPr="00190491">
        <w:rPr>
          <w:lang w:val="fr-FR"/>
        </w:rPr>
        <w:t xml:space="preserve"> et, dans une moindre mesure, des gendarmes et des policiers (un gendarme, un garde pénitentiaire et 3 policiers). Le nombre d</w:t>
      </w:r>
      <w:r w:rsidR="000C16F5">
        <w:rPr>
          <w:lang w:val="fr-FR"/>
        </w:rPr>
        <w:t>’</w:t>
      </w:r>
      <w:r w:rsidRPr="00190491">
        <w:rPr>
          <w:lang w:val="fr-FR"/>
        </w:rPr>
        <w:t>enfants victimes de viols attribués à des agents de l</w:t>
      </w:r>
      <w:r w:rsidR="000C16F5">
        <w:rPr>
          <w:lang w:val="fr-FR"/>
        </w:rPr>
        <w:t>’</w:t>
      </w:r>
      <w:r w:rsidR="00C10A78" w:rsidRPr="00190491">
        <w:rPr>
          <w:lang w:val="fr-FR"/>
        </w:rPr>
        <w:t>État</w:t>
      </w:r>
      <w:r w:rsidRPr="00190491">
        <w:rPr>
          <w:lang w:val="fr-FR"/>
        </w:rPr>
        <w:t xml:space="preserve"> en uniforme est particulièrement élevé, avec 41 victimes âgées entre 3 et 17 ans, à savoir 5</w:t>
      </w:r>
      <w:r w:rsidR="00DB4C05">
        <w:rPr>
          <w:lang w:val="fr-FR"/>
        </w:rPr>
        <w:t> %</w:t>
      </w:r>
      <w:r w:rsidRPr="00190491">
        <w:rPr>
          <w:lang w:val="fr-FR"/>
        </w:rPr>
        <w:t xml:space="preserve"> du nombre total d</w:t>
      </w:r>
      <w:r w:rsidR="000C16F5">
        <w:rPr>
          <w:lang w:val="fr-FR"/>
        </w:rPr>
        <w:t>’</w:t>
      </w:r>
      <w:r w:rsidRPr="00190491">
        <w:rPr>
          <w:lang w:val="fr-FR"/>
        </w:rPr>
        <w:t>enfants victimes répertoriés par la DDH. Parmi les 40 agents civils de l</w:t>
      </w:r>
      <w:r w:rsidR="000C16F5">
        <w:rPr>
          <w:lang w:val="fr-FR"/>
        </w:rPr>
        <w:t>’</w:t>
      </w:r>
      <w:r w:rsidR="00C10A78" w:rsidRPr="00190491">
        <w:rPr>
          <w:lang w:val="fr-FR"/>
        </w:rPr>
        <w:t>État</w:t>
      </w:r>
      <w:r w:rsidRPr="00190491">
        <w:rPr>
          <w:lang w:val="fr-FR"/>
        </w:rPr>
        <w:t xml:space="preserve"> auteurs de viol répertoriés par la DDH, 32</w:t>
      </w:r>
      <w:r w:rsidR="00EC7FA7">
        <w:rPr>
          <w:lang w:val="fr-FR"/>
        </w:rPr>
        <w:t> </w:t>
      </w:r>
      <w:r w:rsidRPr="00190491">
        <w:rPr>
          <w:lang w:val="fr-FR"/>
        </w:rPr>
        <w:t>étaient des enseignants, soit 2</w:t>
      </w:r>
      <w:r w:rsidR="00DB4C05">
        <w:rPr>
          <w:lang w:val="fr-FR"/>
        </w:rPr>
        <w:t> %</w:t>
      </w:r>
      <w:r w:rsidRPr="00190491">
        <w:rPr>
          <w:lang w:val="fr-FR"/>
        </w:rPr>
        <w:t xml:space="preserve"> du nombre total des auteurs de viol enregistrés. En outre, les données de la justice ivoirienne nous permettent d</w:t>
      </w:r>
      <w:r w:rsidR="000C16F5">
        <w:rPr>
          <w:lang w:val="fr-FR"/>
        </w:rPr>
        <w:t>’</w:t>
      </w:r>
      <w:r w:rsidRPr="00190491">
        <w:rPr>
          <w:lang w:val="fr-FR"/>
        </w:rPr>
        <w:t>apprécier le niveau de suivi des cas.</w:t>
      </w:r>
    </w:p>
    <w:p w14:paraId="78B27EFE" w14:textId="1699E8BB" w:rsidR="00C86739" w:rsidRPr="00C86739" w:rsidRDefault="00C86739" w:rsidP="00C86739">
      <w:pPr>
        <w:pStyle w:val="SingleTxt"/>
        <w:tabs>
          <w:tab w:val="clear" w:pos="1742"/>
        </w:tabs>
        <w:spacing w:after="0" w:line="120" w:lineRule="exact"/>
        <w:rPr>
          <w:sz w:val="10"/>
          <w:lang w:val="fr-FR"/>
        </w:rPr>
      </w:pPr>
    </w:p>
    <w:p w14:paraId="24C3DDFB" w14:textId="5B3408F5" w:rsidR="00364BF3" w:rsidRDefault="00A846B8" w:rsidP="00A846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sidR="00364BF3" w:rsidRPr="00A846B8">
        <w:rPr>
          <w:b w:val="0"/>
          <w:bCs/>
        </w:rPr>
        <w:t>Tableau 3</w:t>
      </w:r>
      <w:r w:rsidR="00364BF3" w:rsidRPr="00C86739">
        <w:t xml:space="preserve"> </w:t>
      </w:r>
      <w:r w:rsidR="00364BF3" w:rsidRPr="00C86739">
        <w:br/>
        <w:t>État des procédures réglées en matière de VBG Janvier 2014-Octobre</w:t>
      </w:r>
      <w:r w:rsidR="00364BF3" w:rsidRPr="00190491">
        <w:rPr>
          <w:lang w:val="fr-FR"/>
        </w:rPr>
        <w:t xml:space="preserve"> 2015</w:t>
      </w:r>
    </w:p>
    <w:p w14:paraId="764892C4" w14:textId="178121EE" w:rsidR="00A846B8" w:rsidRPr="00A846B8" w:rsidRDefault="00A846B8" w:rsidP="00A846B8">
      <w:pPr>
        <w:pStyle w:val="SingleTxt"/>
        <w:spacing w:after="0" w:line="120" w:lineRule="exact"/>
        <w:rPr>
          <w:sz w:val="10"/>
          <w:lang w:val="fr-FR"/>
        </w:rPr>
      </w:pPr>
    </w:p>
    <w:p w14:paraId="4FFF5371" w14:textId="2C1D0403" w:rsidR="00A846B8" w:rsidRPr="00A846B8" w:rsidRDefault="00A846B8" w:rsidP="00A846B8">
      <w:pPr>
        <w:pStyle w:val="SingleTxt"/>
        <w:spacing w:after="0" w:line="120" w:lineRule="exact"/>
        <w:rPr>
          <w:sz w:val="10"/>
          <w:lang w:val="fr-FR"/>
        </w:rPr>
      </w:pPr>
    </w:p>
    <w:tbl>
      <w:tblPr>
        <w:tblStyle w:val="TableGrid"/>
        <w:tblW w:w="8609"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070"/>
        <w:gridCol w:w="1170"/>
        <w:gridCol w:w="630"/>
        <w:gridCol w:w="630"/>
        <w:gridCol w:w="630"/>
        <w:gridCol w:w="720"/>
        <w:gridCol w:w="450"/>
        <w:gridCol w:w="810"/>
        <w:gridCol w:w="9"/>
        <w:gridCol w:w="1130"/>
      </w:tblGrid>
      <w:tr w:rsidR="009E32A2" w:rsidRPr="009E32A2" w14:paraId="3FA18A17" w14:textId="77777777" w:rsidTr="006F0F7B">
        <w:trPr>
          <w:trHeight w:val="319"/>
          <w:tblHeader/>
        </w:trPr>
        <w:tc>
          <w:tcPr>
            <w:tcW w:w="360" w:type="dxa"/>
            <w:tcBorders>
              <w:top w:val="single" w:sz="4" w:space="0" w:color="auto"/>
            </w:tcBorders>
            <w:shd w:val="clear" w:color="auto" w:fill="auto"/>
            <w:vAlign w:val="bottom"/>
          </w:tcPr>
          <w:p w14:paraId="0927B10A" w14:textId="77777777" w:rsidR="00364BF3" w:rsidRPr="009E32A2" w:rsidRDefault="00364BF3" w:rsidP="00240983">
            <w:pPr>
              <w:spacing w:before="80" w:after="80" w:line="160" w:lineRule="atLeast"/>
              <w:ind w:right="40"/>
              <w:rPr>
                <w:i/>
                <w:sz w:val="14"/>
              </w:rPr>
            </w:pPr>
          </w:p>
        </w:tc>
        <w:tc>
          <w:tcPr>
            <w:tcW w:w="2070" w:type="dxa"/>
            <w:tcBorders>
              <w:top w:val="single" w:sz="4" w:space="0" w:color="auto"/>
            </w:tcBorders>
            <w:shd w:val="clear" w:color="auto" w:fill="auto"/>
            <w:vAlign w:val="bottom"/>
          </w:tcPr>
          <w:p w14:paraId="52BF91B7" w14:textId="77777777" w:rsidR="00364BF3" w:rsidRPr="009E32A2" w:rsidRDefault="00364BF3" w:rsidP="00240983">
            <w:pPr>
              <w:spacing w:before="80" w:after="80" w:line="160" w:lineRule="atLeast"/>
              <w:ind w:left="144" w:right="43"/>
              <w:jc w:val="right"/>
              <w:rPr>
                <w:i/>
                <w:sz w:val="14"/>
              </w:rPr>
            </w:pPr>
          </w:p>
        </w:tc>
        <w:tc>
          <w:tcPr>
            <w:tcW w:w="1170" w:type="dxa"/>
            <w:tcBorders>
              <w:top w:val="single" w:sz="4" w:space="0" w:color="auto"/>
            </w:tcBorders>
            <w:shd w:val="clear" w:color="auto" w:fill="auto"/>
            <w:vAlign w:val="bottom"/>
          </w:tcPr>
          <w:p w14:paraId="1A460574" w14:textId="77777777" w:rsidR="00364BF3" w:rsidRPr="009E32A2" w:rsidRDefault="00364BF3" w:rsidP="00240983">
            <w:pPr>
              <w:spacing w:before="80" w:after="80" w:line="160" w:lineRule="atLeast"/>
              <w:ind w:left="144" w:right="43"/>
              <w:jc w:val="right"/>
              <w:rPr>
                <w:i/>
                <w:sz w:val="14"/>
              </w:rPr>
            </w:pPr>
          </w:p>
        </w:tc>
        <w:tc>
          <w:tcPr>
            <w:tcW w:w="3060" w:type="dxa"/>
            <w:gridSpan w:val="5"/>
            <w:tcBorders>
              <w:top w:val="single" w:sz="4" w:space="0" w:color="auto"/>
              <w:bottom w:val="single" w:sz="4" w:space="0" w:color="auto"/>
            </w:tcBorders>
            <w:shd w:val="clear" w:color="auto" w:fill="auto"/>
            <w:vAlign w:val="bottom"/>
          </w:tcPr>
          <w:p w14:paraId="0B4C032B" w14:textId="77777777" w:rsidR="00364BF3" w:rsidRPr="009E32A2" w:rsidRDefault="00364BF3" w:rsidP="00240983">
            <w:pPr>
              <w:spacing w:before="80" w:after="80" w:line="160" w:lineRule="atLeast"/>
              <w:ind w:left="144" w:right="43"/>
              <w:jc w:val="center"/>
              <w:rPr>
                <w:i/>
                <w:sz w:val="14"/>
              </w:rPr>
            </w:pPr>
            <w:r w:rsidRPr="009E32A2">
              <w:rPr>
                <w:i/>
                <w:sz w:val="14"/>
              </w:rPr>
              <w:t>Suites données</w:t>
            </w:r>
          </w:p>
        </w:tc>
        <w:tc>
          <w:tcPr>
            <w:tcW w:w="819" w:type="dxa"/>
            <w:gridSpan w:val="2"/>
            <w:tcBorders>
              <w:top w:val="single" w:sz="4" w:space="0" w:color="auto"/>
            </w:tcBorders>
            <w:shd w:val="clear" w:color="auto" w:fill="auto"/>
            <w:vAlign w:val="bottom"/>
          </w:tcPr>
          <w:p w14:paraId="7E223BCB" w14:textId="77777777" w:rsidR="00364BF3" w:rsidRPr="009E32A2" w:rsidRDefault="00364BF3" w:rsidP="00240983">
            <w:pPr>
              <w:spacing w:before="80" w:after="80" w:line="160" w:lineRule="atLeast"/>
              <w:ind w:left="144" w:right="43"/>
              <w:jc w:val="right"/>
              <w:rPr>
                <w:i/>
                <w:sz w:val="14"/>
              </w:rPr>
            </w:pPr>
          </w:p>
        </w:tc>
        <w:tc>
          <w:tcPr>
            <w:tcW w:w="1130" w:type="dxa"/>
            <w:tcBorders>
              <w:top w:val="single" w:sz="4" w:space="0" w:color="auto"/>
            </w:tcBorders>
            <w:shd w:val="clear" w:color="auto" w:fill="auto"/>
            <w:vAlign w:val="bottom"/>
          </w:tcPr>
          <w:p w14:paraId="025CDD46" w14:textId="77777777" w:rsidR="00364BF3" w:rsidRPr="009E32A2" w:rsidRDefault="00364BF3" w:rsidP="00240983">
            <w:pPr>
              <w:spacing w:before="80" w:after="80" w:line="160" w:lineRule="atLeast"/>
              <w:ind w:left="144" w:right="43"/>
              <w:jc w:val="right"/>
              <w:rPr>
                <w:i/>
                <w:sz w:val="14"/>
              </w:rPr>
            </w:pPr>
          </w:p>
        </w:tc>
      </w:tr>
      <w:tr w:rsidR="006F0F7B" w:rsidRPr="009E32A2" w14:paraId="2517FC5D" w14:textId="77777777" w:rsidTr="006F0F7B">
        <w:trPr>
          <w:trHeight w:val="319"/>
          <w:tblHeader/>
        </w:trPr>
        <w:tc>
          <w:tcPr>
            <w:tcW w:w="360" w:type="dxa"/>
            <w:tcBorders>
              <w:bottom w:val="single" w:sz="12" w:space="0" w:color="auto"/>
            </w:tcBorders>
            <w:shd w:val="clear" w:color="auto" w:fill="auto"/>
            <w:vAlign w:val="bottom"/>
          </w:tcPr>
          <w:p w14:paraId="333B6F06" w14:textId="04C59BCD" w:rsidR="00364BF3" w:rsidRPr="009E32A2" w:rsidRDefault="00364BF3" w:rsidP="00240983">
            <w:pPr>
              <w:spacing w:before="80" w:after="80" w:line="160" w:lineRule="atLeast"/>
              <w:ind w:right="40"/>
              <w:rPr>
                <w:i/>
                <w:sz w:val="14"/>
              </w:rPr>
            </w:pPr>
            <w:r w:rsidRPr="009E32A2">
              <w:rPr>
                <w:i/>
                <w:sz w:val="14"/>
              </w:rPr>
              <w:t>N</w:t>
            </w:r>
            <w:r w:rsidR="00FA79D1" w:rsidRPr="00FA79D1">
              <w:rPr>
                <w:i/>
                <w:sz w:val="14"/>
                <w:vertAlign w:val="superscript"/>
              </w:rPr>
              <w:t>o</w:t>
            </w:r>
          </w:p>
        </w:tc>
        <w:tc>
          <w:tcPr>
            <w:tcW w:w="2070" w:type="dxa"/>
            <w:tcBorders>
              <w:bottom w:val="single" w:sz="12" w:space="0" w:color="auto"/>
            </w:tcBorders>
            <w:shd w:val="clear" w:color="auto" w:fill="auto"/>
            <w:vAlign w:val="bottom"/>
          </w:tcPr>
          <w:p w14:paraId="0A1EFB6B" w14:textId="78ECE15B" w:rsidR="00364BF3" w:rsidRPr="009E32A2" w:rsidRDefault="00364BF3" w:rsidP="00240983">
            <w:pPr>
              <w:spacing w:before="80" w:after="80" w:line="160" w:lineRule="atLeast"/>
              <w:ind w:left="144" w:right="43"/>
              <w:jc w:val="right"/>
              <w:rPr>
                <w:i/>
                <w:sz w:val="14"/>
              </w:rPr>
            </w:pPr>
            <w:r w:rsidRPr="009E32A2">
              <w:rPr>
                <w:i/>
                <w:sz w:val="14"/>
              </w:rPr>
              <w:t>Nature de l</w:t>
            </w:r>
            <w:r w:rsidR="000C16F5" w:rsidRPr="009E32A2">
              <w:rPr>
                <w:i/>
                <w:sz w:val="14"/>
              </w:rPr>
              <w:t>’</w:t>
            </w:r>
            <w:r w:rsidRPr="009E32A2">
              <w:rPr>
                <w:i/>
                <w:sz w:val="14"/>
              </w:rPr>
              <w:t>infraction</w:t>
            </w:r>
          </w:p>
        </w:tc>
        <w:tc>
          <w:tcPr>
            <w:tcW w:w="1170" w:type="dxa"/>
            <w:tcBorders>
              <w:bottom w:val="single" w:sz="12" w:space="0" w:color="auto"/>
            </w:tcBorders>
            <w:shd w:val="clear" w:color="auto" w:fill="auto"/>
            <w:vAlign w:val="bottom"/>
          </w:tcPr>
          <w:p w14:paraId="61A00139" w14:textId="77777777" w:rsidR="00364BF3" w:rsidRPr="009E32A2" w:rsidRDefault="00364BF3" w:rsidP="00240983">
            <w:pPr>
              <w:spacing w:before="80" w:after="80" w:line="160" w:lineRule="atLeast"/>
              <w:ind w:left="144" w:right="43"/>
              <w:jc w:val="right"/>
              <w:rPr>
                <w:i/>
                <w:sz w:val="14"/>
              </w:rPr>
            </w:pPr>
            <w:r w:rsidRPr="009E32A2">
              <w:rPr>
                <w:i/>
                <w:sz w:val="14"/>
              </w:rPr>
              <w:t>Nombre de PV inscrits au RP</w:t>
            </w:r>
          </w:p>
        </w:tc>
        <w:tc>
          <w:tcPr>
            <w:tcW w:w="630" w:type="dxa"/>
            <w:tcBorders>
              <w:bottom w:val="single" w:sz="12" w:space="0" w:color="auto"/>
            </w:tcBorders>
            <w:shd w:val="clear" w:color="auto" w:fill="auto"/>
            <w:vAlign w:val="bottom"/>
          </w:tcPr>
          <w:p w14:paraId="525BE13D" w14:textId="77777777" w:rsidR="00364BF3" w:rsidRPr="009E32A2" w:rsidRDefault="00364BF3" w:rsidP="00240983">
            <w:pPr>
              <w:spacing w:before="80" w:after="80" w:line="160" w:lineRule="atLeast"/>
              <w:ind w:left="144" w:right="43"/>
              <w:jc w:val="right"/>
              <w:rPr>
                <w:i/>
                <w:sz w:val="14"/>
              </w:rPr>
            </w:pPr>
            <w:r w:rsidRPr="009E32A2">
              <w:rPr>
                <w:i/>
                <w:sz w:val="14"/>
              </w:rPr>
              <w:t>CSS</w:t>
            </w:r>
          </w:p>
        </w:tc>
        <w:tc>
          <w:tcPr>
            <w:tcW w:w="630" w:type="dxa"/>
            <w:tcBorders>
              <w:bottom w:val="single" w:sz="12" w:space="0" w:color="auto"/>
            </w:tcBorders>
            <w:shd w:val="clear" w:color="auto" w:fill="auto"/>
            <w:vAlign w:val="bottom"/>
          </w:tcPr>
          <w:p w14:paraId="29DCD2D4" w14:textId="77777777" w:rsidR="00364BF3" w:rsidRPr="009E32A2" w:rsidRDefault="00364BF3" w:rsidP="00240983">
            <w:pPr>
              <w:spacing w:before="80" w:after="80" w:line="160" w:lineRule="atLeast"/>
              <w:ind w:left="144" w:right="43"/>
              <w:jc w:val="right"/>
              <w:rPr>
                <w:i/>
                <w:sz w:val="14"/>
              </w:rPr>
            </w:pPr>
            <w:r w:rsidRPr="009E32A2">
              <w:rPr>
                <w:i/>
                <w:sz w:val="14"/>
              </w:rPr>
              <w:t>FD</w:t>
            </w:r>
          </w:p>
        </w:tc>
        <w:tc>
          <w:tcPr>
            <w:tcW w:w="630" w:type="dxa"/>
            <w:tcBorders>
              <w:bottom w:val="single" w:sz="12" w:space="0" w:color="auto"/>
            </w:tcBorders>
            <w:shd w:val="clear" w:color="auto" w:fill="auto"/>
            <w:vAlign w:val="bottom"/>
          </w:tcPr>
          <w:p w14:paraId="1790D78D" w14:textId="77777777" w:rsidR="00364BF3" w:rsidRPr="009E32A2" w:rsidRDefault="00364BF3" w:rsidP="00240983">
            <w:pPr>
              <w:spacing w:before="80" w:after="80" w:line="160" w:lineRule="atLeast"/>
              <w:ind w:left="144" w:right="43"/>
              <w:jc w:val="right"/>
              <w:rPr>
                <w:i/>
                <w:sz w:val="14"/>
              </w:rPr>
            </w:pPr>
            <w:r w:rsidRPr="009E32A2">
              <w:rPr>
                <w:i/>
                <w:sz w:val="14"/>
              </w:rPr>
              <w:t>Info JI</w:t>
            </w:r>
          </w:p>
        </w:tc>
        <w:tc>
          <w:tcPr>
            <w:tcW w:w="720" w:type="dxa"/>
            <w:tcBorders>
              <w:bottom w:val="single" w:sz="12" w:space="0" w:color="auto"/>
            </w:tcBorders>
            <w:shd w:val="clear" w:color="auto" w:fill="auto"/>
            <w:vAlign w:val="bottom"/>
          </w:tcPr>
          <w:p w14:paraId="2AA9E91B" w14:textId="77777777" w:rsidR="00364BF3" w:rsidRPr="009E32A2" w:rsidRDefault="00364BF3" w:rsidP="00240983">
            <w:pPr>
              <w:spacing w:before="80" w:after="80" w:line="160" w:lineRule="atLeast"/>
              <w:ind w:left="144" w:right="43"/>
              <w:jc w:val="right"/>
              <w:rPr>
                <w:i/>
                <w:sz w:val="14"/>
              </w:rPr>
            </w:pPr>
            <w:r w:rsidRPr="009E32A2">
              <w:rPr>
                <w:i/>
                <w:sz w:val="14"/>
              </w:rPr>
              <w:t>Info JE</w:t>
            </w:r>
          </w:p>
        </w:tc>
        <w:tc>
          <w:tcPr>
            <w:tcW w:w="450" w:type="dxa"/>
            <w:tcBorders>
              <w:bottom w:val="single" w:sz="12" w:space="0" w:color="auto"/>
            </w:tcBorders>
            <w:shd w:val="clear" w:color="auto" w:fill="auto"/>
            <w:vAlign w:val="bottom"/>
          </w:tcPr>
          <w:p w14:paraId="53608314" w14:textId="77777777" w:rsidR="00364BF3" w:rsidRPr="009E32A2" w:rsidRDefault="00364BF3" w:rsidP="00240983">
            <w:pPr>
              <w:spacing w:before="80" w:after="80" w:line="160" w:lineRule="atLeast"/>
              <w:ind w:left="144" w:right="43"/>
              <w:jc w:val="right"/>
              <w:rPr>
                <w:i/>
                <w:sz w:val="14"/>
              </w:rPr>
            </w:pPr>
            <w:r w:rsidRPr="009E32A2">
              <w:rPr>
                <w:i/>
                <w:sz w:val="14"/>
              </w:rPr>
              <w:t>CD</w:t>
            </w:r>
          </w:p>
        </w:tc>
        <w:tc>
          <w:tcPr>
            <w:tcW w:w="810" w:type="dxa"/>
            <w:tcBorders>
              <w:bottom w:val="single" w:sz="12" w:space="0" w:color="auto"/>
            </w:tcBorders>
            <w:shd w:val="clear" w:color="auto" w:fill="auto"/>
            <w:vAlign w:val="bottom"/>
          </w:tcPr>
          <w:p w14:paraId="3891810A" w14:textId="1B4099D1" w:rsidR="00364BF3" w:rsidRPr="009E32A2" w:rsidRDefault="00364BF3" w:rsidP="00240983">
            <w:pPr>
              <w:spacing w:before="80" w:after="80" w:line="160" w:lineRule="atLeast"/>
              <w:ind w:left="144" w:right="43"/>
              <w:jc w:val="right"/>
              <w:rPr>
                <w:i/>
                <w:sz w:val="14"/>
              </w:rPr>
            </w:pPr>
            <w:r w:rsidRPr="009E32A2">
              <w:rPr>
                <w:i/>
                <w:sz w:val="14"/>
              </w:rPr>
              <w:t>Nombres d</w:t>
            </w:r>
            <w:r w:rsidR="000C16F5" w:rsidRPr="009E32A2">
              <w:rPr>
                <w:i/>
                <w:sz w:val="14"/>
              </w:rPr>
              <w:t>’</w:t>
            </w:r>
            <w:r w:rsidRPr="009E32A2">
              <w:rPr>
                <w:i/>
                <w:sz w:val="14"/>
              </w:rPr>
              <w:t>affaires jugées</w:t>
            </w:r>
          </w:p>
        </w:tc>
        <w:tc>
          <w:tcPr>
            <w:tcW w:w="1139" w:type="dxa"/>
            <w:gridSpan w:val="2"/>
            <w:tcBorders>
              <w:bottom w:val="single" w:sz="12" w:space="0" w:color="auto"/>
            </w:tcBorders>
            <w:shd w:val="clear" w:color="auto" w:fill="auto"/>
            <w:vAlign w:val="bottom"/>
          </w:tcPr>
          <w:p w14:paraId="41103041" w14:textId="4173C85B" w:rsidR="00364BF3" w:rsidRPr="009E32A2" w:rsidRDefault="00364BF3" w:rsidP="00240983">
            <w:pPr>
              <w:spacing w:before="80" w:after="80" w:line="160" w:lineRule="atLeast"/>
              <w:ind w:left="144" w:right="43"/>
              <w:jc w:val="right"/>
              <w:rPr>
                <w:i/>
                <w:sz w:val="14"/>
              </w:rPr>
            </w:pPr>
            <w:r w:rsidRPr="009E32A2">
              <w:rPr>
                <w:i/>
                <w:sz w:val="14"/>
              </w:rPr>
              <w:t>Nombres d</w:t>
            </w:r>
            <w:r w:rsidR="000C16F5" w:rsidRPr="009E32A2">
              <w:rPr>
                <w:i/>
                <w:sz w:val="14"/>
              </w:rPr>
              <w:t>’</w:t>
            </w:r>
            <w:r w:rsidRPr="009E32A2">
              <w:rPr>
                <w:i/>
                <w:sz w:val="14"/>
              </w:rPr>
              <w:t>affaires non encore jugées</w:t>
            </w:r>
          </w:p>
        </w:tc>
      </w:tr>
      <w:tr w:rsidR="009E32A2" w:rsidRPr="009E32A2" w14:paraId="164069AF" w14:textId="77777777" w:rsidTr="006F0F7B">
        <w:trPr>
          <w:trHeight w:hRule="exact" w:val="115"/>
          <w:tblHeader/>
        </w:trPr>
        <w:tc>
          <w:tcPr>
            <w:tcW w:w="360" w:type="dxa"/>
            <w:tcBorders>
              <w:top w:val="single" w:sz="12" w:space="0" w:color="auto"/>
            </w:tcBorders>
            <w:shd w:val="clear" w:color="auto" w:fill="auto"/>
            <w:vAlign w:val="bottom"/>
          </w:tcPr>
          <w:p w14:paraId="792893BC" w14:textId="77777777" w:rsidR="009E32A2" w:rsidRPr="009E32A2" w:rsidRDefault="009E32A2" w:rsidP="009E32A2">
            <w:pPr>
              <w:spacing w:before="40" w:after="40" w:line="210" w:lineRule="exact"/>
              <w:ind w:right="40"/>
              <w:rPr>
                <w:sz w:val="17"/>
              </w:rPr>
            </w:pPr>
          </w:p>
        </w:tc>
        <w:tc>
          <w:tcPr>
            <w:tcW w:w="2070" w:type="dxa"/>
            <w:tcBorders>
              <w:top w:val="single" w:sz="12" w:space="0" w:color="auto"/>
            </w:tcBorders>
            <w:shd w:val="clear" w:color="auto" w:fill="auto"/>
            <w:vAlign w:val="bottom"/>
          </w:tcPr>
          <w:p w14:paraId="24B89A18" w14:textId="77777777" w:rsidR="009E32A2" w:rsidRPr="009E32A2" w:rsidRDefault="009E32A2" w:rsidP="009E32A2">
            <w:pPr>
              <w:spacing w:before="40" w:after="40" w:line="210" w:lineRule="exact"/>
              <w:ind w:left="144" w:right="43"/>
              <w:jc w:val="right"/>
              <w:rPr>
                <w:sz w:val="17"/>
              </w:rPr>
            </w:pPr>
          </w:p>
        </w:tc>
        <w:tc>
          <w:tcPr>
            <w:tcW w:w="1170" w:type="dxa"/>
            <w:tcBorders>
              <w:top w:val="single" w:sz="12" w:space="0" w:color="auto"/>
            </w:tcBorders>
            <w:shd w:val="clear" w:color="auto" w:fill="auto"/>
            <w:vAlign w:val="bottom"/>
          </w:tcPr>
          <w:p w14:paraId="58FC5BDD" w14:textId="77777777" w:rsidR="009E32A2" w:rsidRPr="009E32A2" w:rsidRDefault="009E32A2" w:rsidP="009E32A2">
            <w:pPr>
              <w:spacing w:before="40" w:after="40" w:line="210" w:lineRule="exact"/>
              <w:ind w:left="144" w:right="43"/>
              <w:jc w:val="right"/>
              <w:rPr>
                <w:sz w:val="17"/>
              </w:rPr>
            </w:pPr>
          </w:p>
        </w:tc>
        <w:tc>
          <w:tcPr>
            <w:tcW w:w="630" w:type="dxa"/>
            <w:tcBorders>
              <w:top w:val="single" w:sz="12" w:space="0" w:color="auto"/>
            </w:tcBorders>
            <w:shd w:val="clear" w:color="auto" w:fill="auto"/>
            <w:vAlign w:val="bottom"/>
          </w:tcPr>
          <w:p w14:paraId="645D229F" w14:textId="77777777" w:rsidR="009E32A2" w:rsidRPr="009E32A2" w:rsidRDefault="009E32A2" w:rsidP="009E32A2">
            <w:pPr>
              <w:spacing w:before="40" w:after="40" w:line="210" w:lineRule="exact"/>
              <w:ind w:left="144" w:right="43"/>
              <w:jc w:val="right"/>
              <w:rPr>
                <w:sz w:val="17"/>
              </w:rPr>
            </w:pPr>
          </w:p>
        </w:tc>
        <w:tc>
          <w:tcPr>
            <w:tcW w:w="630" w:type="dxa"/>
            <w:tcBorders>
              <w:top w:val="single" w:sz="12" w:space="0" w:color="auto"/>
            </w:tcBorders>
            <w:shd w:val="clear" w:color="auto" w:fill="auto"/>
            <w:vAlign w:val="bottom"/>
          </w:tcPr>
          <w:p w14:paraId="640618D5" w14:textId="77777777" w:rsidR="009E32A2" w:rsidRPr="009E32A2" w:rsidRDefault="009E32A2" w:rsidP="009E32A2">
            <w:pPr>
              <w:spacing w:before="40" w:after="40" w:line="210" w:lineRule="exact"/>
              <w:ind w:left="144" w:right="43"/>
              <w:jc w:val="right"/>
              <w:rPr>
                <w:sz w:val="17"/>
              </w:rPr>
            </w:pPr>
          </w:p>
        </w:tc>
        <w:tc>
          <w:tcPr>
            <w:tcW w:w="630" w:type="dxa"/>
            <w:tcBorders>
              <w:top w:val="single" w:sz="12" w:space="0" w:color="auto"/>
            </w:tcBorders>
            <w:shd w:val="clear" w:color="auto" w:fill="auto"/>
            <w:vAlign w:val="bottom"/>
          </w:tcPr>
          <w:p w14:paraId="58F392DF" w14:textId="77777777" w:rsidR="009E32A2" w:rsidRPr="009E32A2" w:rsidRDefault="009E32A2" w:rsidP="009E32A2">
            <w:pPr>
              <w:spacing w:before="40" w:after="40" w:line="210" w:lineRule="exact"/>
              <w:ind w:left="144" w:right="43"/>
              <w:jc w:val="right"/>
              <w:rPr>
                <w:sz w:val="17"/>
              </w:rPr>
            </w:pPr>
          </w:p>
        </w:tc>
        <w:tc>
          <w:tcPr>
            <w:tcW w:w="720" w:type="dxa"/>
            <w:tcBorders>
              <w:top w:val="single" w:sz="12" w:space="0" w:color="auto"/>
            </w:tcBorders>
            <w:shd w:val="clear" w:color="auto" w:fill="auto"/>
            <w:vAlign w:val="bottom"/>
          </w:tcPr>
          <w:p w14:paraId="135659A5" w14:textId="77777777" w:rsidR="009E32A2" w:rsidRPr="009E32A2" w:rsidRDefault="009E32A2" w:rsidP="009E32A2">
            <w:pPr>
              <w:spacing w:before="40" w:after="40" w:line="210" w:lineRule="exact"/>
              <w:ind w:left="144" w:right="43"/>
              <w:jc w:val="right"/>
              <w:rPr>
                <w:sz w:val="17"/>
              </w:rPr>
            </w:pPr>
          </w:p>
        </w:tc>
        <w:tc>
          <w:tcPr>
            <w:tcW w:w="450" w:type="dxa"/>
            <w:tcBorders>
              <w:top w:val="single" w:sz="12" w:space="0" w:color="auto"/>
            </w:tcBorders>
            <w:shd w:val="clear" w:color="auto" w:fill="auto"/>
            <w:vAlign w:val="bottom"/>
          </w:tcPr>
          <w:p w14:paraId="72B9C03E" w14:textId="77777777" w:rsidR="009E32A2" w:rsidRPr="009E32A2" w:rsidRDefault="009E32A2" w:rsidP="009E32A2">
            <w:pPr>
              <w:spacing w:before="40" w:after="40" w:line="210" w:lineRule="exact"/>
              <w:ind w:left="144" w:right="43"/>
              <w:jc w:val="right"/>
              <w:rPr>
                <w:sz w:val="17"/>
              </w:rPr>
            </w:pPr>
          </w:p>
        </w:tc>
        <w:tc>
          <w:tcPr>
            <w:tcW w:w="810" w:type="dxa"/>
            <w:tcBorders>
              <w:top w:val="single" w:sz="12" w:space="0" w:color="auto"/>
            </w:tcBorders>
            <w:shd w:val="clear" w:color="auto" w:fill="auto"/>
            <w:vAlign w:val="bottom"/>
          </w:tcPr>
          <w:p w14:paraId="5B10F84B" w14:textId="77777777" w:rsidR="009E32A2" w:rsidRPr="009E32A2" w:rsidRDefault="009E32A2" w:rsidP="009E32A2">
            <w:pPr>
              <w:spacing w:before="40" w:after="40" w:line="210" w:lineRule="exact"/>
              <w:ind w:left="144" w:right="43"/>
              <w:jc w:val="right"/>
              <w:rPr>
                <w:sz w:val="17"/>
              </w:rPr>
            </w:pPr>
          </w:p>
        </w:tc>
        <w:tc>
          <w:tcPr>
            <w:tcW w:w="1139" w:type="dxa"/>
            <w:gridSpan w:val="2"/>
            <w:tcBorders>
              <w:top w:val="single" w:sz="12" w:space="0" w:color="auto"/>
            </w:tcBorders>
            <w:shd w:val="clear" w:color="auto" w:fill="auto"/>
            <w:vAlign w:val="bottom"/>
          </w:tcPr>
          <w:p w14:paraId="35123322" w14:textId="77777777" w:rsidR="009E32A2" w:rsidRPr="009E32A2" w:rsidRDefault="009E32A2" w:rsidP="009E32A2">
            <w:pPr>
              <w:spacing w:before="40" w:after="40" w:line="210" w:lineRule="exact"/>
              <w:ind w:left="144" w:right="43"/>
              <w:jc w:val="right"/>
              <w:rPr>
                <w:sz w:val="17"/>
              </w:rPr>
            </w:pPr>
          </w:p>
        </w:tc>
      </w:tr>
      <w:tr w:rsidR="009E32A2" w:rsidRPr="009E32A2" w14:paraId="3088CCA4" w14:textId="77777777" w:rsidTr="006F0F7B">
        <w:tc>
          <w:tcPr>
            <w:tcW w:w="360" w:type="dxa"/>
            <w:shd w:val="clear" w:color="auto" w:fill="auto"/>
            <w:vAlign w:val="bottom"/>
          </w:tcPr>
          <w:p w14:paraId="243951F4" w14:textId="77777777" w:rsidR="00364BF3" w:rsidRPr="009E32A2" w:rsidRDefault="00364BF3" w:rsidP="009E32A2">
            <w:pPr>
              <w:tabs>
                <w:tab w:val="left" w:pos="288"/>
                <w:tab w:val="left" w:pos="576"/>
                <w:tab w:val="left" w:pos="864"/>
                <w:tab w:val="left" w:pos="1152"/>
              </w:tabs>
              <w:spacing w:before="40" w:after="40" w:line="210" w:lineRule="exact"/>
              <w:ind w:right="40"/>
              <w:rPr>
                <w:sz w:val="17"/>
              </w:rPr>
            </w:pPr>
            <w:r w:rsidRPr="009E32A2">
              <w:rPr>
                <w:sz w:val="17"/>
              </w:rPr>
              <w:t>1</w:t>
            </w:r>
          </w:p>
        </w:tc>
        <w:tc>
          <w:tcPr>
            <w:tcW w:w="2070" w:type="dxa"/>
            <w:shd w:val="clear" w:color="auto" w:fill="auto"/>
            <w:vAlign w:val="bottom"/>
          </w:tcPr>
          <w:p w14:paraId="4609D322" w14:textId="77777777" w:rsidR="00364BF3" w:rsidRPr="009E32A2" w:rsidRDefault="00364BF3" w:rsidP="009E32A2">
            <w:pPr>
              <w:tabs>
                <w:tab w:val="left" w:pos="288"/>
                <w:tab w:val="left" w:pos="576"/>
                <w:tab w:val="left" w:pos="864"/>
                <w:tab w:val="left" w:pos="1152"/>
              </w:tabs>
              <w:spacing w:before="40" w:after="40" w:line="210" w:lineRule="exact"/>
              <w:ind w:right="40"/>
              <w:rPr>
                <w:sz w:val="17"/>
              </w:rPr>
            </w:pPr>
            <w:r w:rsidRPr="009E32A2">
              <w:rPr>
                <w:sz w:val="17"/>
              </w:rPr>
              <w:t>Viol</w:t>
            </w:r>
          </w:p>
        </w:tc>
        <w:tc>
          <w:tcPr>
            <w:tcW w:w="1170" w:type="dxa"/>
            <w:shd w:val="clear" w:color="auto" w:fill="auto"/>
            <w:vAlign w:val="bottom"/>
          </w:tcPr>
          <w:p w14:paraId="01F5A2DC"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13</w:t>
            </w:r>
          </w:p>
        </w:tc>
        <w:tc>
          <w:tcPr>
            <w:tcW w:w="630" w:type="dxa"/>
            <w:shd w:val="clear" w:color="auto" w:fill="auto"/>
            <w:vAlign w:val="bottom"/>
          </w:tcPr>
          <w:p w14:paraId="47758DCA"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630" w:type="dxa"/>
            <w:shd w:val="clear" w:color="auto" w:fill="auto"/>
            <w:vAlign w:val="bottom"/>
          </w:tcPr>
          <w:p w14:paraId="03CD5D40"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630" w:type="dxa"/>
            <w:shd w:val="clear" w:color="auto" w:fill="auto"/>
            <w:vAlign w:val="bottom"/>
          </w:tcPr>
          <w:p w14:paraId="787F02B7"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10</w:t>
            </w:r>
          </w:p>
        </w:tc>
        <w:tc>
          <w:tcPr>
            <w:tcW w:w="720" w:type="dxa"/>
            <w:shd w:val="clear" w:color="auto" w:fill="auto"/>
            <w:vAlign w:val="bottom"/>
          </w:tcPr>
          <w:p w14:paraId="3B98159A"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3</w:t>
            </w:r>
          </w:p>
        </w:tc>
        <w:tc>
          <w:tcPr>
            <w:tcW w:w="450" w:type="dxa"/>
            <w:shd w:val="clear" w:color="auto" w:fill="auto"/>
            <w:vAlign w:val="bottom"/>
          </w:tcPr>
          <w:p w14:paraId="548176CE"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810" w:type="dxa"/>
            <w:shd w:val="clear" w:color="auto" w:fill="auto"/>
            <w:vAlign w:val="bottom"/>
          </w:tcPr>
          <w:p w14:paraId="05B7B014"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w:t>
            </w:r>
          </w:p>
        </w:tc>
        <w:tc>
          <w:tcPr>
            <w:tcW w:w="1139" w:type="dxa"/>
            <w:gridSpan w:val="2"/>
            <w:shd w:val="clear" w:color="auto" w:fill="auto"/>
            <w:vAlign w:val="bottom"/>
          </w:tcPr>
          <w:p w14:paraId="72EAB0AD"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12</w:t>
            </w:r>
          </w:p>
        </w:tc>
      </w:tr>
      <w:tr w:rsidR="009E32A2" w:rsidRPr="009E32A2" w14:paraId="0D589CC0" w14:textId="77777777" w:rsidTr="006F0F7B">
        <w:tc>
          <w:tcPr>
            <w:tcW w:w="360" w:type="dxa"/>
            <w:shd w:val="clear" w:color="auto" w:fill="auto"/>
            <w:vAlign w:val="bottom"/>
          </w:tcPr>
          <w:p w14:paraId="0B1F89B8" w14:textId="77777777" w:rsidR="00364BF3" w:rsidRPr="009E32A2" w:rsidRDefault="00364BF3" w:rsidP="009E32A2">
            <w:pPr>
              <w:tabs>
                <w:tab w:val="left" w:pos="288"/>
                <w:tab w:val="left" w:pos="576"/>
                <w:tab w:val="left" w:pos="864"/>
                <w:tab w:val="left" w:pos="1152"/>
              </w:tabs>
              <w:spacing w:before="40" w:after="40" w:line="210" w:lineRule="exact"/>
              <w:ind w:right="40"/>
              <w:rPr>
                <w:sz w:val="17"/>
              </w:rPr>
            </w:pPr>
            <w:r w:rsidRPr="009E32A2">
              <w:rPr>
                <w:sz w:val="17"/>
              </w:rPr>
              <w:t>2</w:t>
            </w:r>
          </w:p>
        </w:tc>
        <w:tc>
          <w:tcPr>
            <w:tcW w:w="2070" w:type="dxa"/>
            <w:shd w:val="clear" w:color="auto" w:fill="auto"/>
            <w:vAlign w:val="bottom"/>
          </w:tcPr>
          <w:p w14:paraId="53F31F06" w14:textId="77777777" w:rsidR="00364BF3" w:rsidRPr="009E32A2" w:rsidRDefault="00364BF3" w:rsidP="009E32A2">
            <w:pPr>
              <w:tabs>
                <w:tab w:val="left" w:pos="288"/>
                <w:tab w:val="left" w:pos="576"/>
                <w:tab w:val="left" w:pos="864"/>
                <w:tab w:val="left" w:pos="1152"/>
              </w:tabs>
              <w:spacing w:before="40" w:after="40" w:line="210" w:lineRule="exact"/>
              <w:ind w:right="40"/>
              <w:rPr>
                <w:sz w:val="17"/>
              </w:rPr>
            </w:pPr>
            <w:r w:rsidRPr="009E32A2">
              <w:rPr>
                <w:sz w:val="17"/>
              </w:rPr>
              <w:t>Attentat à la pudeur</w:t>
            </w:r>
          </w:p>
        </w:tc>
        <w:tc>
          <w:tcPr>
            <w:tcW w:w="1170" w:type="dxa"/>
            <w:shd w:val="clear" w:color="auto" w:fill="auto"/>
            <w:vAlign w:val="bottom"/>
          </w:tcPr>
          <w:p w14:paraId="30FA1873"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21</w:t>
            </w:r>
          </w:p>
        </w:tc>
        <w:tc>
          <w:tcPr>
            <w:tcW w:w="630" w:type="dxa"/>
            <w:shd w:val="clear" w:color="auto" w:fill="auto"/>
            <w:vAlign w:val="bottom"/>
          </w:tcPr>
          <w:p w14:paraId="0588C381"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630" w:type="dxa"/>
            <w:shd w:val="clear" w:color="auto" w:fill="auto"/>
            <w:vAlign w:val="bottom"/>
          </w:tcPr>
          <w:p w14:paraId="6AC0E987"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18</w:t>
            </w:r>
          </w:p>
        </w:tc>
        <w:tc>
          <w:tcPr>
            <w:tcW w:w="630" w:type="dxa"/>
            <w:shd w:val="clear" w:color="auto" w:fill="auto"/>
            <w:vAlign w:val="bottom"/>
          </w:tcPr>
          <w:p w14:paraId="05CBCCB1"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2</w:t>
            </w:r>
          </w:p>
        </w:tc>
        <w:tc>
          <w:tcPr>
            <w:tcW w:w="720" w:type="dxa"/>
            <w:shd w:val="clear" w:color="auto" w:fill="auto"/>
            <w:vAlign w:val="bottom"/>
          </w:tcPr>
          <w:p w14:paraId="7678644F"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450" w:type="dxa"/>
            <w:shd w:val="clear" w:color="auto" w:fill="auto"/>
            <w:vAlign w:val="bottom"/>
          </w:tcPr>
          <w:p w14:paraId="03AD2BE1"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810" w:type="dxa"/>
            <w:shd w:val="clear" w:color="auto" w:fill="auto"/>
            <w:vAlign w:val="bottom"/>
          </w:tcPr>
          <w:p w14:paraId="25790FE9"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19</w:t>
            </w:r>
          </w:p>
        </w:tc>
        <w:tc>
          <w:tcPr>
            <w:tcW w:w="1139" w:type="dxa"/>
            <w:gridSpan w:val="2"/>
            <w:shd w:val="clear" w:color="auto" w:fill="auto"/>
            <w:vAlign w:val="bottom"/>
          </w:tcPr>
          <w:p w14:paraId="306427D3"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2</w:t>
            </w:r>
          </w:p>
        </w:tc>
      </w:tr>
      <w:tr w:rsidR="009E32A2" w:rsidRPr="009E32A2" w14:paraId="52F8596D" w14:textId="77777777" w:rsidTr="00266B42">
        <w:tc>
          <w:tcPr>
            <w:tcW w:w="360" w:type="dxa"/>
            <w:shd w:val="clear" w:color="auto" w:fill="auto"/>
            <w:vAlign w:val="bottom"/>
          </w:tcPr>
          <w:p w14:paraId="1B823616" w14:textId="77777777" w:rsidR="00364BF3" w:rsidRPr="009E32A2" w:rsidRDefault="00364BF3" w:rsidP="009E32A2">
            <w:pPr>
              <w:tabs>
                <w:tab w:val="left" w:pos="288"/>
                <w:tab w:val="left" w:pos="576"/>
                <w:tab w:val="left" w:pos="864"/>
                <w:tab w:val="left" w:pos="1152"/>
              </w:tabs>
              <w:spacing w:before="40" w:after="40" w:line="210" w:lineRule="exact"/>
              <w:ind w:right="40"/>
              <w:rPr>
                <w:sz w:val="17"/>
              </w:rPr>
            </w:pPr>
            <w:r w:rsidRPr="009E32A2">
              <w:rPr>
                <w:sz w:val="17"/>
              </w:rPr>
              <w:t>3</w:t>
            </w:r>
          </w:p>
        </w:tc>
        <w:tc>
          <w:tcPr>
            <w:tcW w:w="2070" w:type="dxa"/>
            <w:shd w:val="clear" w:color="auto" w:fill="auto"/>
            <w:vAlign w:val="bottom"/>
          </w:tcPr>
          <w:p w14:paraId="6D61B6A4" w14:textId="77777777" w:rsidR="00364BF3" w:rsidRPr="009E32A2" w:rsidRDefault="00364BF3" w:rsidP="009E32A2">
            <w:pPr>
              <w:tabs>
                <w:tab w:val="left" w:pos="288"/>
                <w:tab w:val="left" w:pos="576"/>
                <w:tab w:val="left" w:pos="864"/>
                <w:tab w:val="left" w:pos="1152"/>
              </w:tabs>
              <w:spacing w:before="40" w:after="40" w:line="210" w:lineRule="exact"/>
              <w:ind w:right="40"/>
              <w:rPr>
                <w:sz w:val="17"/>
              </w:rPr>
            </w:pPr>
            <w:r w:rsidRPr="009E32A2">
              <w:rPr>
                <w:sz w:val="17"/>
              </w:rPr>
              <w:t>Enlèvement de mineurs</w:t>
            </w:r>
          </w:p>
        </w:tc>
        <w:tc>
          <w:tcPr>
            <w:tcW w:w="1170" w:type="dxa"/>
            <w:shd w:val="clear" w:color="auto" w:fill="auto"/>
            <w:vAlign w:val="bottom"/>
          </w:tcPr>
          <w:p w14:paraId="58A8AAD0"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3</w:t>
            </w:r>
          </w:p>
        </w:tc>
        <w:tc>
          <w:tcPr>
            <w:tcW w:w="630" w:type="dxa"/>
            <w:shd w:val="clear" w:color="auto" w:fill="auto"/>
            <w:vAlign w:val="bottom"/>
          </w:tcPr>
          <w:p w14:paraId="59ADC381"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2</w:t>
            </w:r>
          </w:p>
        </w:tc>
        <w:tc>
          <w:tcPr>
            <w:tcW w:w="630" w:type="dxa"/>
            <w:shd w:val="clear" w:color="auto" w:fill="auto"/>
            <w:vAlign w:val="bottom"/>
          </w:tcPr>
          <w:p w14:paraId="7A3212D0"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w:t>
            </w:r>
          </w:p>
        </w:tc>
        <w:tc>
          <w:tcPr>
            <w:tcW w:w="630" w:type="dxa"/>
            <w:shd w:val="clear" w:color="auto" w:fill="auto"/>
            <w:vAlign w:val="bottom"/>
          </w:tcPr>
          <w:p w14:paraId="6E08A56E"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720" w:type="dxa"/>
            <w:shd w:val="clear" w:color="auto" w:fill="auto"/>
            <w:vAlign w:val="bottom"/>
          </w:tcPr>
          <w:p w14:paraId="5CBF4E24"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450" w:type="dxa"/>
            <w:shd w:val="clear" w:color="auto" w:fill="auto"/>
            <w:vAlign w:val="bottom"/>
          </w:tcPr>
          <w:p w14:paraId="3225AB8C"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c>
          <w:tcPr>
            <w:tcW w:w="810" w:type="dxa"/>
            <w:shd w:val="clear" w:color="auto" w:fill="auto"/>
            <w:vAlign w:val="bottom"/>
          </w:tcPr>
          <w:p w14:paraId="6A32E5FC"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1</w:t>
            </w:r>
          </w:p>
        </w:tc>
        <w:tc>
          <w:tcPr>
            <w:tcW w:w="1139" w:type="dxa"/>
            <w:gridSpan w:val="2"/>
            <w:shd w:val="clear" w:color="auto" w:fill="auto"/>
            <w:vAlign w:val="bottom"/>
          </w:tcPr>
          <w:p w14:paraId="3DADE35E" w14:textId="77777777" w:rsidR="00364BF3" w:rsidRPr="009E32A2" w:rsidRDefault="00364BF3" w:rsidP="009E32A2">
            <w:pPr>
              <w:tabs>
                <w:tab w:val="left" w:pos="288"/>
                <w:tab w:val="left" w:pos="576"/>
                <w:tab w:val="left" w:pos="864"/>
                <w:tab w:val="left" w:pos="1152"/>
              </w:tabs>
              <w:spacing w:before="40" w:after="40" w:line="210" w:lineRule="exact"/>
              <w:ind w:right="40"/>
              <w:jc w:val="right"/>
              <w:rPr>
                <w:sz w:val="17"/>
              </w:rPr>
            </w:pPr>
            <w:r w:rsidRPr="009E32A2">
              <w:rPr>
                <w:sz w:val="17"/>
              </w:rPr>
              <w:t>0</w:t>
            </w:r>
          </w:p>
        </w:tc>
      </w:tr>
      <w:tr w:rsidR="009E32A2" w:rsidRPr="009E32A2" w14:paraId="1E054EAC" w14:textId="77777777" w:rsidTr="00266B42">
        <w:tc>
          <w:tcPr>
            <w:tcW w:w="360" w:type="dxa"/>
            <w:tcBorders>
              <w:bottom w:val="single" w:sz="12" w:space="0" w:color="auto"/>
            </w:tcBorders>
            <w:shd w:val="clear" w:color="auto" w:fill="auto"/>
            <w:vAlign w:val="bottom"/>
          </w:tcPr>
          <w:p w14:paraId="1C8B80FE" w14:textId="77777777" w:rsidR="00364BF3" w:rsidRPr="009E32A2" w:rsidRDefault="00364BF3" w:rsidP="00240983">
            <w:pPr>
              <w:tabs>
                <w:tab w:val="left" w:pos="288"/>
                <w:tab w:val="left" w:pos="576"/>
                <w:tab w:val="left" w:pos="864"/>
                <w:tab w:val="left" w:pos="1152"/>
              </w:tabs>
              <w:spacing w:before="40" w:after="82" w:line="210" w:lineRule="exact"/>
              <w:ind w:right="40"/>
              <w:rPr>
                <w:sz w:val="17"/>
              </w:rPr>
            </w:pPr>
            <w:r w:rsidRPr="009E32A2">
              <w:rPr>
                <w:sz w:val="17"/>
              </w:rPr>
              <w:t>4</w:t>
            </w:r>
          </w:p>
        </w:tc>
        <w:tc>
          <w:tcPr>
            <w:tcW w:w="2070" w:type="dxa"/>
            <w:tcBorders>
              <w:bottom w:val="single" w:sz="12" w:space="0" w:color="auto"/>
            </w:tcBorders>
            <w:shd w:val="clear" w:color="auto" w:fill="auto"/>
            <w:vAlign w:val="bottom"/>
          </w:tcPr>
          <w:p w14:paraId="2EE0544F" w14:textId="77777777" w:rsidR="00364BF3" w:rsidRPr="009E32A2" w:rsidRDefault="00364BF3" w:rsidP="00240983">
            <w:pPr>
              <w:tabs>
                <w:tab w:val="left" w:pos="288"/>
                <w:tab w:val="left" w:pos="576"/>
                <w:tab w:val="left" w:pos="864"/>
                <w:tab w:val="left" w:pos="1152"/>
              </w:tabs>
              <w:spacing w:before="40" w:after="82" w:line="210" w:lineRule="exact"/>
              <w:ind w:right="40"/>
              <w:rPr>
                <w:sz w:val="17"/>
              </w:rPr>
            </w:pPr>
            <w:r w:rsidRPr="009E32A2">
              <w:rPr>
                <w:sz w:val="17"/>
              </w:rPr>
              <w:t>Mariage forcé</w:t>
            </w:r>
          </w:p>
        </w:tc>
        <w:tc>
          <w:tcPr>
            <w:tcW w:w="1170" w:type="dxa"/>
            <w:tcBorders>
              <w:bottom w:val="single" w:sz="12" w:space="0" w:color="auto"/>
            </w:tcBorders>
            <w:shd w:val="clear" w:color="auto" w:fill="auto"/>
            <w:vAlign w:val="bottom"/>
          </w:tcPr>
          <w:p w14:paraId="6F0F31D7"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1</w:t>
            </w:r>
          </w:p>
        </w:tc>
        <w:tc>
          <w:tcPr>
            <w:tcW w:w="630" w:type="dxa"/>
            <w:tcBorders>
              <w:bottom w:val="single" w:sz="12" w:space="0" w:color="auto"/>
            </w:tcBorders>
            <w:shd w:val="clear" w:color="auto" w:fill="auto"/>
            <w:vAlign w:val="bottom"/>
          </w:tcPr>
          <w:p w14:paraId="34F7E876"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0</w:t>
            </w:r>
          </w:p>
        </w:tc>
        <w:tc>
          <w:tcPr>
            <w:tcW w:w="630" w:type="dxa"/>
            <w:tcBorders>
              <w:bottom w:val="single" w:sz="12" w:space="0" w:color="auto"/>
            </w:tcBorders>
            <w:shd w:val="clear" w:color="auto" w:fill="auto"/>
            <w:vAlign w:val="bottom"/>
          </w:tcPr>
          <w:p w14:paraId="259DCB50"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1</w:t>
            </w:r>
          </w:p>
        </w:tc>
        <w:tc>
          <w:tcPr>
            <w:tcW w:w="630" w:type="dxa"/>
            <w:tcBorders>
              <w:bottom w:val="single" w:sz="12" w:space="0" w:color="auto"/>
            </w:tcBorders>
            <w:shd w:val="clear" w:color="auto" w:fill="auto"/>
            <w:vAlign w:val="bottom"/>
          </w:tcPr>
          <w:p w14:paraId="318D8ABD"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0</w:t>
            </w:r>
          </w:p>
        </w:tc>
        <w:tc>
          <w:tcPr>
            <w:tcW w:w="720" w:type="dxa"/>
            <w:tcBorders>
              <w:bottom w:val="single" w:sz="12" w:space="0" w:color="auto"/>
            </w:tcBorders>
            <w:shd w:val="clear" w:color="auto" w:fill="auto"/>
            <w:vAlign w:val="bottom"/>
          </w:tcPr>
          <w:p w14:paraId="1E1043DD"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0</w:t>
            </w:r>
          </w:p>
        </w:tc>
        <w:tc>
          <w:tcPr>
            <w:tcW w:w="450" w:type="dxa"/>
            <w:tcBorders>
              <w:bottom w:val="single" w:sz="12" w:space="0" w:color="auto"/>
            </w:tcBorders>
            <w:shd w:val="clear" w:color="auto" w:fill="auto"/>
            <w:vAlign w:val="bottom"/>
          </w:tcPr>
          <w:p w14:paraId="71082889"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0</w:t>
            </w:r>
          </w:p>
        </w:tc>
        <w:tc>
          <w:tcPr>
            <w:tcW w:w="810" w:type="dxa"/>
            <w:tcBorders>
              <w:bottom w:val="single" w:sz="12" w:space="0" w:color="auto"/>
            </w:tcBorders>
            <w:shd w:val="clear" w:color="auto" w:fill="auto"/>
            <w:vAlign w:val="bottom"/>
          </w:tcPr>
          <w:p w14:paraId="6107F2E6"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1</w:t>
            </w:r>
          </w:p>
        </w:tc>
        <w:tc>
          <w:tcPr>
            <w:tcW w:w="1139" w:type="dxa"/>
            <w:gridSpan w:val="2"/>
            <w:tcBorders>
              <w:bottom w:val="single" w:sz="12" w:space="0" w:color="auto"/>
            </w:tcBorders>
            <w:shd w:val="clear" w:color="auto" w:fill="auto"/>
            <w:vAlign w:val="bottom"/>
          </w:tcPr>
          <w:p w14:paraId="08FE4763" w14:textId="77777777" w:rsidR="00364BF3" w:rsidRPr="009E32A2" w:rsidRDefault="00364BF3" w:rsidP="00240983">
            <w:pPr>
              <w:tabs>
                <w:tab w:val="left" w:pos="288"/>
                <w:tab w:val="left" w:pos="576"/>
                <w:tab w:val="left" w:pos="864"/>
                <w:tab w:val="left" w:pos="1152"/>
              </w:tabs>
              <w:spacing w:before="40" w:after="82" w:line="210" w:lineRule="exact"/>
              <w:ind w:right="40"/>
              <w:jc w:val="right"/>
              <w:rPr>
                <w:sz w:val="17"/>
              </w:rPr>
            </w:pPr>
            <w:r w:rsidRPr="009E32A2">
              <w:rPr>
                <w:sz w:val="17"/>
              </w:rPr>
              <w:t>0</w:t>
            </w:r>
          </w:p>
        </w:tc>
      </w:tr>
    </w:tbl>
    <w:p w14:paraId="4B483E87" w14:textId="77777777" w:rsidR="00C5378D" w:rsidRPr="00C5378D" w:rsidRDefault="00C5378D" w:rsidP="00C5378D">
      <w:pPr>
        <w:pStyle w:val="SingleTxtG"/>
        <w:spacing w:after="0" w:line="120" w:lineRule="exact"/>
        <w:ind w:firstLine="170"/>
        <w:jc w:val="left"/>
        <w:rPr>
          <w:bCs/>
          <w:i/>
          <w:sz w:val="10"/>
          <w:szCs w:val="18"/>
          <w:lang w:val="fr-FR"/>
        </w:rPr>
      </w:pPr>
    </w:p>
    <w:p w14:paraId="4CA7EEAE" w14:textId="46A9905F" w:rsidR="00364BF3" w:rsidRPr="00190491" w:rsidRDefault="00364BF3" w:rsidP="00C5378D">
      <w:pPr>
        <w:pStyle w:val="FootnoteText"/>
        <w:tabs>
          <w:tab w:val="right" w:pos="1476"/>
          <w:tab w:val="left" w:pos="1548"/>
          <w:tab w:val="right" w:pos="1836"/>
          <w:tab w:val="left" w:pos="1908"/>
        </w:tabs>
        <w:ind w:left="1548" w:hanging="288"/>
        <w:rPr>
          <w:i/>
          <w:lang w:val="fr-FR"/>
        </w:rPr>
      </w:pPr>
      <w:r w:rsidRPr="00190491">
        <w:rPr>
          <w:i/>
          <w:lang w:val="fr-FR"/>
        </w:rPr>
        <w:t>Source</w:t>
      </w:r>
      <w:r w:rsidR="008945B3">
        <w:rPr>
          <w:i/>
          <w:lang w:val="fr-FR"/>
        </w:rPr>
        <w:t> </w:t>
      </w:r>
      <w:r w:rsidR="008945B3" w:rsidRPr="007B345A">
        <w:rPr>
          <w:iCs/>
          <w:lang w:val="fr-FR"/>
        </w:rPr>
        <w:t>:</w:t>
      </w:r>
      <w:r w:rsidRPr="00190491">
        <w:rPr>
          <w:i/>
          <w:lang w:val="fr-FR"/>
        </w:rPr>
        <w:t xml:space="preserve"> </w:t>
      </w:r>
      <w:r w:rsidRPr="00190491">
        <w:rPr>
          <w:lang w:val="fr-FR"/>
        </w:rPr>
        <w:t>Rapport périodique sur la CADHP 2016</w:t>
      </w:r>
      <w:r w:rsidRPr="00190491">
        <w:rPr>
          <w:i/>
          <w:lang w:val="fr-FR"/>
        </w:rPr>
        <w:t>.</w:t>
      </w:r>
    </w:p>
    <w:p w14:paraId="452DEFAA" w14:textId="5D31E6C7" w:rsidR="00C5378D" w:rsidRPr="00C5378D" w:rsidRDefault="00C5378D" w:rsidP="00C5378D">
      <w:pPr>
        <w:pStyle w:val="H23G"/>
        <w:spacing w:before="0" w:after="0" w:line="120" w:lineRule="exact"/>
        <w:rPr>
          <w:sz w:val="10"/>
          <w:lang w:val="fr-FR"/>
        </w:rPr>
      </w:pPr>
    </w:p>
    <w:p w14:paraId="37802591" w14:textId="3D960740" w:rsidR="00C5378D" w:rsidRDefault="00C5378D" w:rsidP="00C5378D">
      <w:pPr>
        <w:spacing w:line="120" w:lineRule="exact"/>
        <w:rPr>
          <w:sz w:val="10"/>
          <w:lang w:val="fr-FR"/>
        </w:rPr>
      </w:pPr>
    </w:p>
    <w:p w14:paraId="3FA10348" w14:textId="77777777" w:rsidR="00E95140" w:rsidRPr="00C5378D" w:rsidRDefault="00E95140" w:rsidP="00C5378D">
      <w:pPr>
        <w:spacing w:line="120" w:lineRule="exact"/>
        <w:rPr>
          <w:sz w:val="10"/>
          <w:lang w:val="fr-FR"/>
        </w:rPr>
      </w:pPr>
    </w:p>
    <w:p w14:paraId="617C6D04" w14:textId="1CD64D89" w:rsidR="00364BF3" w:rsidRPr="00C5378D" w:rsidRDefault="00C5378D" w:rsidP="00C5378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0"/>
          <w:lang w:val="fr-FR"/>
        </w:rPr>
      </w:pPr>
      <w:r>
        <w:rPr>
          <w:lang w:val="fr-FR"/>
        </w:rPr>
        <w:tab/>
      </w:r>
      <w:r>
        <w:rPr>
          <w:lang w:val="fr-FR"/>
        </w:rPr>
        <w:tab/>
      </w:r>
      <w:r w:rsidR="00364BF3" w:rsidRPr="00190491">
        <w:rPr>
          <w:lang w:val="fr-FR"/>
        </w:rPr>
        <w:t>La violence contre les femmes dans les conflits et la consolidation de la paix</w:t>
      </w:r>
    </w:p>
    <w:p w14:paraId="64693E0F" w14:textId="19E1287A" w:rsidR="00C5378D" w:rsidRPr="00C5378D" w:rsidRDefault="00C5378D" w:rsidP="00C5378D">
      <w:pPr>
        <w:spacing w:line="120" w:lineRule="exact"/>
        <w:rPr>
          <w:sz w:val="10"/>
          <w:lang w:val="fr-FR"/>
        </w:rPr>
      </w:pPr>
    </w:p>
    <w:p w14:paraId="7D6F0A31" w14:textId="37EA4432" w:rsidR="00364BF3" w:rsidRPr="00C5378D" w:rsidRDefault="00364BF3" w:rsidP="008A6B29">
      <w:pPr>
        <w:pStyle w:val="SingleTxt"/>
        <w:numPr>
          <w:ilvl w:val="0"/>
          <w:numId w:val="11"/>
        </w:numPr>
        <w:spacing w:line="240" w:lineRule="exact"/>
        <w:rPr>
          <w:b/>
          <w:bCs/>
          <w:lang w:val="fr-FR"/>
        </w:rPr>
      </w:pPr>
      <w:r w:rsidRPr="00C5378D">
        <w:rPr>
          <w:b/>
          <w:bCs/>
          <w:lang w:val="fr-FR"/>
        </w:rPr>
        <w:t>S</w:t>
      </w:r>
      <w:r w:rsidR="000C16F5" w:rsidRPr="00C5378D">
        <w:rPr>
          <w:b/>
          <w:bCs/>
          <w:lang w:val="fr-FR"/>
        </w:rPr>
        <w:t>’</w:t>
      </w:r>
      <w:r w:rsidRPr="00C5378D">
        <w:rPr>
          <w:b/>
          <w:bCs/>
          <w:lang w:val="fr-FR"/>
        </w:rPr>
        <w:t xml:space="preserve">assurer que les responsables des violateurs des droits humains des femmes pendant la crise postélectorale soient traduits en justice et que tous les actes de violence sexuelle soient punis </w:t>
      </w:r>
      <w:r w:rsidR="00D81000">
        <w:rPr>
          <w:b/>
          <w:bCs/>
          <w:lang w:val="fr-FR"/>
        </w:rPr>
        <w:t>[</w:t>
      </w:r>
      <w:r w:rsidRPr="00C5378D">
        <w:rPr>
          <w:b/>
          <w:bCs/>
          <w:lang w:val="fr-FR"/>
        </w:rPr>
        <w:t xml:space="preserve">voir </w:t>
      </w:r>
      <w:hyperlink r:id="rId51" w:history="1">
        <w:r w:rsidRPr="007B345A">
          <w:rPr>
            <w:rStyle w:val="Hyperlink"/>
            <w:b/>
            <w:bCs/>
            <w:lang w:val="fr-FR"/>
          </w:rPr>
          <w:t>CEDAW/C/CIV/CO/1-3</w:t>
        </w:r>
      </w:hyperlink>
      <w:r w:rsidRPr="00C5378D">
        <w:rPr>
          <w:b/>
          <w:bCs/>
          <w:lang w:val="fr-FR"/>
        </w:rPr>
        <w:t xml:space="preserve">, </w:t>
      </w:r>
      <w:r w:rsidR="006862B3">
        <w:rPr>
          <w:b/>
          <w:bCs/>
          <w:lang w:val="fr-FR"/>
        </w:rPr>
        <w:t>par. </w:t>
      </w:r>
      <w:r w:rsidRPr="00C5378D">
        <w:rPr>
          <w:b/>
          <w:bCs/>
          <w:lang w:val="fr-FR"/>
        </w:rPr>
        <w:t>29 a)</w:t>
      </w:r>
      <w:r w:rsidR="00D81000">
        <w:rPr>
          <w:b/>
          <w:bCs/>
          <w:lang w:val="fr-FR"/>
        </w:rPr>
        <w:t>]</w:t>
      </w:r>
      <w:r w:rsidRPr="00C5378D">
        <w:rPr>
          <w:b/>
          <w:bCs/>
          <w:lang w:val="fr-FR"/>
        </w:rPr>
        <w:t>.</w:t>
      </w:r>
    </w:p>
    <w:p w14:paraId="27E6EE8A" w14:textId="0E6EB6E0" w:rsidR="00364BF3" w:rsidRPr="00190491" w:rsidRDefault="00364BF3" w:rsidP="008A6B29">
      <w:pPr>
        <w:pStyle w:val="SingleTxt"/>
        <w:numPr>
          <w:ilvl w:val="0"/>
          <w:numId w:val="11"/>
        </w:numPr>
        <w:spacing w:line="240" w:lineRule="exact"/>
        <w:rPr>
          <w:i/>
          <w:lang w:val="fr-FR"/>
        </w:rPr>
      </w:pPr>
      <w:r w:rsidRPr="00190491">
        <w:rPr>
          <w:lang w:val="fr-FR"/>
        </w:rPr>
        <w:t>Deux (2) leaders politiques ivoiriens ont été traduits devant la Cour Pénale Internationale (CPI). Leur procès est en cours et l</w:t>
      </w:r>
      <w:r w:rsidR="000C16F5">
        <w:rPr>
          <w:lang w:val="fr-FR"/>
        </w:rPr>
        <w:t>’</w:t>
      </w:r>
      <w:r w:rsidRPr="00190491">
        <w:rPr>
          <w:lang w:val="fr-FR"/>
        </w:rPr>
        <w:t>une des charges retenues contre eux est les violences sexuelles commis sur les femmes lors de la crise post-électorale. Les responsables de l</w:t>
      </w:r>
      <w:r w:rsidR="000C16F5">
        <w:rPr>
          <w:lang w:val="fr-FR"/>
        </w:rPr>
        <w:t>’</w:t>
      </w:r>
      <w:r w:rsidRPr="00190491">
        <w:rPr>
          <w:lang w:val="fr-FR"/>
        </w:rPr>
        <w:t>armée ivoirienne n</w:t>
      </w:r>
      <w:r w:rsidR="000C16F5">
        <w:rPr>
          <w:lang w:val="fr-FR"/>
        </w:rPr>
        <w:t>’</w:t>
      </w:r>
      <w:r w:rsidRPr="00190491">
        <w:rPr>
          <w:lang w:val="fr-FR"/>
        </w:rPr>
        <w:t>ayant pas réussi à établir une chaine de commandement dans la responsabilisation des auteurs de viol, se sont engagés à la suite d</w:t>
      </w:r>
      <w:r w:rsidR="000C16F5">
        <w:rPr>
          <w:lang w:val="fr-FR"/>
        </w:rPr>
        <w:t>’</w:t>
      </w:r>
      <w:r w:rsidRPr="00190491">
        <w:rPr>
          <w:lang w:val="fr-FR"/>
        </w:rPr>
        <w:t>un processus de renforcement de capacités sur la question du viol en période de conflit avec l</w:t>
      </w:r>
      <w:r w:rsidR="000C16F5">
        <w:rPr>
          <w:lang w:val="fr-FR"/>
        </w:rPr>
        <w:t>’</w:t>
      </w:r>
      <w:r w:rsidRPr="00190491">
        <w:rPr>
          <w:lang w:val="fr-FR"/>
        </w:rPr>
        <w:t xml:space="preserve">appui du Bureau de la Représentante Spéciale du Secrétaire Générale de Nations Unies chargée des Violences Sexuelles en Situation de Conflit (BRSSG-VSC), du Centre International Kofi Annan de formation au Maintien de la Paix (KAIPTC, sigle en anglais) à faire un meilleur suivi de la situation. </w:t>
      </w:r>
    </w:p>
    <w:p w14:paraId="6159FDF8" w14:textId="28659B40" w:rsidR="00364BF3" w:rsidRPr="00C5378D" w:rsidRDefault="00364BF3" w:rsidP="008A6B29">
      <w:pPr>
        <w:pStyle w:val="SingleTxt"/>
        <w:numPr>
          <w:ilvl w:val="0"/>
          <w:numId w:val="11"/>
        </w:numPr>
        <w:spacing w:line="240" w:lineRule="exact"/>
        <w:rPr>
          <w:b/>
          <w:bCs/>
          <w:lang w:val="fr-FR"/>
        </w:rPr>
      </w:pPr>
      <w:r w:rsidRPr="00C5378D">
        <w:rPr>
          <w:b/>
          <w:bCs/>
          <w:lang w:val="fr-FR"/>
        </w:rPr>
        <w:t>Initier une enquête approfondie et complète sur la perpétration de violences sexuelles et abus commis par les forces de défense et de sécurité et leurs alliés (les milices et mercenaires), les Forces Républicaines de Côte d</w:t>
      </w:r>
      <w:r w:rsidR="000C16F5" w:rsidRPr="00C5378D">
        <w:rPr>
          <w:b/>
          <w:bCs/>
          <w:lang w:val="fr-FR"/>
        </w:rPr>
        <w:t>’</w:t>
      </w:r>
      <w:r w:rsidRPr="00C5378D">
        <w:rPr>
          <w:b/>
          <w:bCs/>
          <w:lang w:val="fr-FR"/>
        </w:rPr>
        <w:t>Ivoire (FRCI) et les acteurs privés pendant la crise postélectorale et garantir que des enquêtes seront menées de façon exhaustive, impartiale et transparente, et demande à l</w:t>
      </w:r>
      <w:r w:rsidR="000C16F5" w:rsidRPr="00C5378D">
        <w:rPr>
          <w:b/>
          <w:bCs/>
          <w:lang w:val="fr-FR"/>
        </w:rPr>
        <w:t>’</w:t>
      </w:r>
      <w:r w:rsidRPr="00C5378D">
        <w:rPr>
          <w:b/>
          <w:bCs/>
          <w:lang w:val="fr-FR"/>
        </w:rPr>
        <w:t>ONU pour s</w:t>
      </w:r>
      <w:r w:rsidR="000C16F5" w:rsidRPr="00C5378D">
        <w:rPr>
          <w:b/>
          <w:bCs/>
          <w:lang w:val="fr-FR"/>
        </w:rPr>
        <w:t>’</w:t>
      </w:r>
      <w:r w:rsidRPr="00C5378D">
        <w:rPr>
          <w:b/>
          <w:bCs/>
          <w:lang w:val="fr-FR"/>
        </w:rPr>
        <w:t>assurer que l</w:t>
      </w:r>
      <w:r w:rsidR="000C16F5" w:rsidRPr="00C5378D">
        <w:rPr>
          <w:b/>
          <w:bCs/>
          <w:lang w:val="fr-FR"/>
        </w:rPr>
        <w:t>’</w:t>
      </w:r>
      <w:r w:rsidRPr="00C5378D">
        <w:rPr>
          <w:b/>
          <w:bCs/>
          <w:lang w:val="fr-FR"/>
        </w:rPr>
        <w:t>ONUCI suspectés de commettre l</w:t>
      </w:r>
      <w:r w:rsidR="000C16F5" w:rsidRPr="00C5378D">
        <w:rPr>
          <w:b/>
          <w:bCs/>
          <w:lang w:val="fr-FR"/>
        </w:rPr>
        <w:t>’</w:t>
      </w:r>
      <w:r w:rsidRPr="00C5378D">
        <w:rPr>
          <w:b/>
          <w:bCs/>
          <w:lang w:val="fr-FR"/>
        </w:rPr>
        <w:t>exploitation sexuelle et d</w:t>
      </w:r>
      <w:r w:rsidR="000C16F5" w:rsidRPr="00C5378D">
        <w:rPr>
          <w:b/>
          <w:bCs/>
          <w:lang w:val="fr-FR"/>
        </w:rPr>
        <w:t>’</w:t>
      </w:r>
      <w:r w:rsidRPr="00C5378D">
        <w:rPr>
          <w:b/>
          <w:bCs/>
          <w:lang w:val="fr-FR"/>
        </w:rPr>
        <w:t>abus de retour à l</w:t>
      </w:r>
      <w:r w:rsidR="000C16F5" w:rsidRPr="00C5378D">
        <w:rPr>
          <w:b/>
          <w:bCs/>
          <w:lang w:val="fr-FR"/>
        </w:rPr>
        <w:t>’</w:t>
      </w:r>
      <w:r w:rsidRPr="00C5378D">
        <w:rPr>
          <w:b/>
          <w:bCs/>
          <w:lang w:val="fr-FR"/>
        </w:rPr>
        <w:t>État d</w:t>
      </w:r>
      <w:r w:rsidR="000C16F5" w:rsidRPr="00C5378D">
        <w:rPr>
          <w:b/>
          <w:bCs/>
          <w:lang w:val="fr-FR"/>
        </w:rPr>
        <w:t>’</w:t>
      </w:r>
      <w:r w:rsidRPr="00C5378D">
        <w:rPr>
          <w:b/>
          <w:bCs/>
          <w:lang w:val="fr-FR"/>
        </w:rPr>
        <w:t xml:space="preserve">envoi à une demande de initier une enquête nationale et des poursuites </w:t>
      </w:r>
      <w:r w:rsidR="00D81000">
        <w:rPr>
          <w:b/>
          <w:bCs/>
          <w:lang w:val="fr-FR"/>
        </w:rPr>
        <w:t>[</w:t>
      </w:r>
      <w:r w:rsidRPr="00C5378D">
        <w:rPr>
          <w:b/>
          <w:bCs/>
          <w:lang w:val="fr-FR"/>
        </w:rPr>
        <w:t xml:space="preserve">voir </w:t>
      </w:r>
      <w:hyperlink r:id="rId52" w:history="1">
        <w:r w:rsidRPr="007B345A">
          <w:rPr>
            <w:rStyle w:val="Hyperlink"/>
            <w:b/>
            <w:bCs/>
            <w:lang w:val="fr-FR"/>
          </w:rPr>
          <w:t>CEDAW/C/CIV/CO/1-3</w:t>
        </w:r>
      </w:hyperlink>
      <w:r w:rsidRPr="00C5378D">
        <w:rPr>
          <w:b/>
          <w:bCs/>
          <w:lang w:val="fr-FR"/>
        </w:rPr>
        <w:t xml:space="preserve">, </w:t>
      </w:r>
      <w:r w:rsidR="006862B3">
        <w:rPr>
          <w:b/>
          <w:bCs/>
          <w:lang w:val="fr-FR"/>
        </w:rPr>
        <w:t>par. </w:t>
      </w:r>
      <w:r w:rsidRPr="00C5378D">
        <w:rPr>
          <w:b/>
          <w:bCs/>
          <w:lang w:val="fr-FR"/>
        </w:rPr>
        <w:t>29 b)</w:t>
      </w:r>
      <w:r w:rsidR="00D81000">
        <w:rPr>
          <w:b/>
          <w:bCs/>
          <w:lang w:val="fr-FR"/>
        </w:rPr>
        <w:t>]</w:t>
      </w:r>
      <w:r w:rsidRPr="00C5378D">
        <w:rPr>
          <w:b/>
          <w:bCs/>
          <w:lang w:val="fr-FR"/>
        </w:rPr>
        <w:t>.</w:t>
      </w:r>
    </w:p>
    <w:p w14:paraId="54710B21" w14:textId="004D8473" w:rsidR="00364BF3" w:rsidRPr="00190491" w:rsidRDefault="00364BF3" w:rsidP="008A6B29">
      <w:pPr>
        <w:pStyle w:val="SingleTxt"/>
        <w:numPr>
          <w:ilvl w:val="0"/>
          <w:numId w:val="11"/>
        </w:numPr>
        <w:spacing w:line="240" w:lineRule="exact"/>
        <w:rPr>
          <w:lang w:val="fr-FR"/>
        </w:rPr>
      </w:pPr>
      <w:r w:rsidRPr="00190491">
        <w:rPr>
          <w:lang w:val="fr-FR"/>
        </w:rPr>
        <w:lastRenderedPageBreak/>
        <w:t>Des rapports d</w:t>
      </w:r>
      <w:r w:rsidR="000C16F5">
        <w:rPr>
          <w:lang w:val="fr-FR"/>
        </w:rPr>
        <w:t>’</w:t>
      </w:r>
      <w:r w:rsidRPr="00190491">
        <w:rPr>
          <w:lang w:val="fr-FR"/>
        </w:rPr>
        <w:t>enquêtes des ONG de droits humains telles que l</w:t>
      </w:r>
      <w:r w:rsidR="000C16F5">
        <w:rPr>
          <w:lang w:val="fr-FR"/>
        </w:rPr>
        <w:t>’</w:t>
      </w:r>
      <w:r w:rsidRPr="00190491">
        <w:rPr>
          <w:lang w:val="fr-FR"/>
        </w:rPr>
        <w:t>Action pour la Protection des Droits de l</w:t>
      </w:r>
      <w:r w:rsidR="000C16F5">
        <w:rPr>
          <w:lang w:val="fr-FR"/>
        </w:rPr>
        <w:t>’</w:t>
      </w:r>
      <w:r w:rsidRPr="00190491">
        <w:rPr>
          <w:lang w:val="fr-FR"/>
        </w:rPr>
        <w:t xml:space="preserve">Homme </w:t>
      </w:r>
      <w:r w:rsidRPr="00190491">
        <w:rPr>
          <w:bCs/>
          <w:lang w:val="fr-FR"/>
        </w:rPr>
        <w:t>(</w:t>
      </w:r>
      <w:r w:rsidRPr="00190491">
        <w:rPr>
          <w:lang w:val="fr-FR"/>
        </w:rPr>
        <w:t>APDH) et le Regroupement des Acteurs Ivoiriens des Droits Humains (RAIDH) permettent de présenter des faits recueillis aux moyens de témoignages, d</w:t>
      </w:r>
      <w:r w:rsidR="000C16F5">
        <w:rPr>
          <w:lang w:val="fr-FR"/>
        </w:rPr>
        <w:t>’</w:t>
      </w:r>
      <w:r w:rsidRPr="00190491">
        <w:rPr>
          <w:lang w:val="fr-FR"/>
        </w:rPr>
        <w:t>aveux, de photographies, de constatations, d</w:t>
      </w:r>
      <w:r w:rsidR="000C16F5">
        <w:rPr>
          <w:lang w:val="fr-FR"/>
        </w:rPr>
        <w:t>’</w:t>
      </w:r>
      <w:r w:rsidRPr="00190491">
        <w:rPr>
          <w:lang w:val="fr-FR"/>
        </w:rPr>
        <w:t>enquêtes de terrain et d</w:t>
      </w:r>
      <w:r w:rsidR="000C16F5">
        <w:rPr>
          <w:lang w:val="fr-FR"/>
        </w:rPr>
        <w:t>’</w:t>
      </w:r>
      <w:r w:rsidRPr="00190491">
        <w:rPr>
          <w:lang w:val="fr-FR"/>
        </w:rPr>
        <w:t>analyses. Les informations reçues ont été croisées avec des éléments extérieurs tels que les rapports et communiqués d</w:t>
      </w:r>
      <w:r w:rsidR="000C16F5">
        <w:rPr>
          <w:lang w:val="fr-FR"/>
        </w:rPr>
        <w:t>’</w:t>
      </w:r>
      <w:r w:rsidRPr="00190491">
        <w:rPr>
          <w:lang w:val="fr-FR"/>
        </w:rPr>
        <w:t>ONG internationales dont Amnesty international, Human Rights Watch et la FIDH, ainsi que des rapports partiels d</w:t>
      </w:r>
      <w:r w:rsidR="000C16F5">
        <w:rPr>
          <w:lang w:val="fr-FR"/>
        </w:rPr>
        <w:t>’</w:t>
      </w:r>
      <w:r w:rsidRPr="00190491">
        <w:rPr>
          <w:lang w:val="fr-FR"/>
        </w:rPr>
        <w:t>autres ONG nationales. Ces rapports montrent clairement que toutes les parties au conflit ont commis des crimes au regard du droit international, notamment des crimes de guerre et des crimes contre l</w:t>
      </w:r>
      <w:r w:rsidR="000C16F5">
        <w:rPr>
          <w:lang w:val="fr-FR"/>
        </w:rPr>
        <w:t>’</w:t>
      </w:r>
      <w:r w:rsidRPr="00190491">
        <w:rPr>
          <w:lang w:val="fr-FR"/>
        </w:rPr>
        <w:t>humanité.</w:t>
      </w:r>
    </w:p>
    <w:p w14:paraId="0FC4CA62" w14:textId="4214CC0F" w:rsidR="00364BF3" w:rsidRPr="00190491" w:rsidRDefault="00364BF3" w:rsidP="008A6B29">
      <w:pPr>
        <w:pStyle w:val="SingleTxt"/>
        <w:numPr>
          <w:ilvl w:val="0"/>
          <w:numId w:val="11"/>
        </w:numPr>
        <w:spacing w:line="240" w:lineRule="exact"/>
        <w:rPr>
          <w:lang w:val="fr-FR"/>
        </w:rPr>
      </w:pPr>
      <w:r w:rsidRPr="00190491">
        <w:rPr>
          <w:lang w:val="fr-FR"/>
        </w:rPr>
        <w:t>Des informations tirées de l</w:t>
      </w:r>
      <w:r w:rsidR="000C16F5">
        <w:rPr>
          <w:lang w:val="fr-FR"/>
        </w:rPr>
        <w:t>’</w:t>
      </w:r>
      <w:r w:rsidRPr="00190491">
        <w:rPr>
          <w:lang w:val="fr-FR"/>
        </w:rPr>
        <w:t>action conjointe du Tribunal Militaire d</w:t>
      </w:r>
      <w:r w:rsidR="000C16F5">
        <w:rPr>
          <w:lang w:val="fr-FR"/>
        </w:rPr>
        <w:t>’</w:t>
      </w:r>
      <w:r w:rsidRPr="00190491">
        <w:rPr>
          <w:lang w:val="fr-FR"/>
        </w:rPr>
        <w:t>Abidjan et de la Composante Police de l</w:t>
      </w:r>
      <w:r w:rsidR="000C16F5">
        <w:rPr>
          <w:lang w:val="fr-FR"/>
        </w:rPr>
        <w:t>’</w:t>
      </w:r>
      <w:r w:rsidRPr="00190491">
        <w:rPr>
          <w:lang w:val="fr-FR"/>
        </w:rPr>
        <w:t>ONUCI, il ressort qu</w:t>
      </w:r>
      <w:r w:rsidR="000C16F5">
        <w:rPr>
          <w:lang w:val="fr-FR"/>
        </w:rPr>
        <w:t>’</w:t>
      </w:r>
      <w:r w:rsidRPr="00190491">
        <w:rPr>
          <w:lang w:val="fr-FR"/>
        </w:rPr>
        <w:t>entre 2013 et 2015, 1108 cas de VBG ont été répertoriés.</w:t>
      </w:r>
    </w:p>
    <w:p w14:paraId="0B94B978" w14:textId="65EA077B" w:rsidR="00364BF3" w:rsidRPr="00190491" w:rsidRDefault="00364BF3" w:rsidP="008A6B29">
      <w:pPr>
        <w:pStyle w:val="SingleTxt"/>
        <w:numPr>
          <w:ilvl w:val="0"/>
          <w:numId w:val="11"/>
        </w:numPr>
        <w:spacing w:line="240" w:lineRule="exact"/>
        <w:rPr>
          <w:lang w:val="fr-FR"/>
        </w:rPr>
      </w:pPr>
      <w:r w:rsidRPr="00190491">
        <w:rPr>
          <w:lang w:val="fr-FR"/>
        </w:rPr>
        <w:t>Au niveau du Tribunal Militaire d</w:t>
      </w:r>
      <w:r w:rsidR="000C16F5">
        <w:rPr>
          <w:lang w:val="fr-FR"/>
        </w:rPr>
        <w:t>’</w:t>
      </w:r>
      <w:r w:rsidRPr="00190491">
        <w:rPr>
          <w:lang w:val="fr-FR"/>
        </w:rPr>
        <w:t>Abidjan, ce sont 548 incidents de VBG qui ont été répertoriés quand 325 cas de viols ont été recensés en 2014 en collaboration par la Composante Police de l</w:t>
      </w:r>
      <w:r w:rsidR="000C16F5">
        <w:rPr>
          <w:lang w:val="fr-FR"/>
        </w:rPr>
        <w:t>’</w:t>
      </w:r>
      <w:r w:rsidRPr="00190491">
        <w:rPr>
          <w:lang w:val="fr-FR"/>
        </w:rPr>
        <w:t>ONUCI. De ces incidents, 30 sont imputables au Forces de Défense et de Sécurité et 20 aux FRCI. Les auteurs sont effectivement sanctionnés. Entre 2012 et 2015, on note 6 plaintes reçues, 6 poursuites initiées, 5 jugements rendus et 2 jugements exécutés.</w:t>
      </w:r>
    </w:p>
    <w:p w14:paraId="639BD5FB" w14:textId="61319F2C" w:rsidR="00364BF3" w:rsidRDefault="00364BF3" w:rsidP="008A6B29">
      <w:pPr>
        <w:pStyle w:val="SingleTxt"/>
        <w:numPr>
          <w:ilvl w:val="0"/>
          <w:numId w:val="11"/>
        </w:numPr>
        <w:spacing w:line="240" w:lineRule="exact"/>
        <w:rPr>
          <w:lang w:val="fr-FR"/>
        </w:rPr>
      </w:pPr>
      <w:r w:rsidRPr="00190491">
        <w:rPr>
          <w:lang w:val="fr-FR"/>
        </w:rPr>
        <w:t>Le tableau ci-dessous indique les décisions de justices et les procédures initiées entre 2012 et 2015.</w:t>
      </w:r>
    </w:p>
    <w:p w14:paraId="47B44E99" w14:textId="6FA8FDDE" w:rsidR="00C5378D" w:rsidRPr="00C5378D" w:rsidRDefault="00C5378D" w:rsidP="00C5378D">
      <w:pPr>
        <w:pStyle w:val="SingleTxt"/>
        <w:tabs>
          <w:tab w:val="clear" w:pos="1742"/>
        </w:tabs>
        <w:spacing w:after="0" w:line="120" w:lineRule="exact"/>
        <w:rPr>
          <w:sz w:val="10"/>
          <w:lang w:val="fr-FR"/>
        </w:rPr>
      </w:pPr>
    </w:p>
    <w:p w14:paraId="6C6CF086" w14:textId="52AEF7F4" w:rsidR="00364BF3" w:rsidRDefault="00C5378D" w:rsidP="00C53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435477352"/>
      <w:r>
        <w:rPr>
          <w:lang w:val="fr-FR"/>
        </w:rPr>
        <w:tab/>
      </w:r>
      <w:r>
        <w:rPr>
          <w:lang w:val="fr-FR"/>
        </w:rPr>
        <w:tab/>
      </w:r>
      <w:r w:rsidR="00364BF3" w:rsidRPr="00C5378D">
        <w:rPr>
          <w:b w:val="0"/>
          <w:spacing w:val="4"/>
        </w:rPr>
        <w:t xml:space="preserve">Tableau 4 </w:t>
      </w:r>
      <w:r w:rsidR="00364BF3" w:rsidRPr="00190491">
        <w:rPr>
          <w:lang w:val="fr-FR"/>
        </w:rPr>
        <w:br/>
        <w:t>Décisions de justice de 2012 à 2015</w:t>
      </w:r>
      <w:bookmarkEnd w:id="2"/>
    </w:p>
    <w:p w14:paraId="4EA707F5" w14:textId="46CA2307" w:rsidR="00C5378D" w:rsidRPr="00C5378D" w:rsidRDefault="00C5378D" w:rsidP="00C5378D">
      <w:pPr>
        <w:pStyle w:val="SingleTxt"/>
        <w:spacing w:after="0" w:line="120" w:lineRule="exact"/>
        <w:rPr>
          <w:sz w:val="10"/>
          <w:lang w:val="fr-FR"/>
        </w:rPr>
      </w:pPr>
    </w:p>
    <w:p w14:paraId="53AEA09A" w14:textId="77777777" w:rsidR="00C5378D" w:rsidRPr="00C5378D" w:rsidRDefault="00C5378D" w:rsidP="00C5378D">
      <w:pPr>
        <w:pStyle w:val="SingleTxt"/>
        <w:spacing w:after="0" w:line="120" w:lineRule="exact"/>
        <w:rPr>
          <w:sz w:val="10"/>
          <w:lang w:val="fr-FR"/>
        </w:rPr>
      </w:pPr>
    </w:p>
    <w:tbl>
      <w:tblPr>
        <w:tblStyle w:val="TableGrid"/>
        <w:tblW w:w="8369" w:type="dxa"/>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322"/>
        <w:gridCol w:w="2178"/>
        <w:gridCol w:w="1628"/>
      </w:tblGrid>
      <w:tr w:rsidR="00364BF3" w:rsidRPr="0011615C" w14:paraId="04C4212C" w14:textId="77777777" w:rsidTr="00E95140">
        <w:tc>
          <w:tcPr>
            <w:tcW w:w="2241" w:type="dxa"/>
            <w:tcBorders>
              <w:top w:val="single" w:sz="4" w:space="0" w:color="auto"/>
              <w:bottom w:val="single" w:sz="12" w:space="0" w:color="auto"/>
            </w:tcBorders>
            <w:shd w:val="clear" w:color="auto" w:fill="auto"/>
            <w:vAlign w:val="bottom"/>
          </w:tcPr>
          <w:p w14:paraId="2A542590" w14:textId="77777777" w:rsidR="00364BF3" w:rsidRPr="00FA79D1" w:rsidRDefault="00364BF3" w:rsidP="00FA79D1">
            <w:pPr>
              <w:keepNext/>
              <w:keepLines/>
              <w:spacing w:before="81" w:after="81" w:line="160" w:lineRule="exact"/>
              <w:ind w:right="40"/>
              <w:rPr>
                <w:i/>
                <w:sz w:val="14"/>
                <w:lang w:val="fr-FR"/>
              </w:rPr>
            </w:pPr>
            <w:r w:rsidRPr="00FA79D1">
              <w:rPr>
                <w:i/>
                <w:sz w:val="14"/>
                <w:lang w:val="fr-FR"/>
              </w:rPr>
              <w:t>Grade des prévenus</w:t>
            </w:r>
          </w:p>
        </w:tc>
        <w:tc>
          <w:tcPr>
            <w:tcW w:w="2322" w:type="dxa"/>
            <w:tcBorders>
              <w:top w:val="single" w:sz="4" w:space="0" w:color="auto"/>
              <w:bottom w:val="single" w:sz="12" w:space="0" w:color="auto"/>
            </w:tcBorders>
            <w:shd w:val="clear" w:color="auto" w:fill="auto"/>
            <w:vAlign w:val="bottom"/>
          </w:tcPr>
          <w:p w14:paraId="7931D9E7" w14:textId="77777777" w:rsidR="00364BF3" w:rsidRPr="00FA79D1" w:rsidRDefault="00364BF3" w:rsidP="00FA79D1">
            <w:pPr>
              <w:keepNext/>
              <w:keepLines/>
              <w:spacing w:before="81" w:after="81" w:line="160" w:lineRule="exact"/>
              <w:ind w:left="115" w:right="43"/>
              <w:rPr>
                <w:i/>
                <w:sz w:val="14"/>
                <w:lang w:val="fr-FR"/>
              </w:rPr>
            </w:pPr>
            <w:r w:rsidRPr="00FA79D1">
              <w:rPr>
                <w:i/>
                <w:sz w:val="14"/>
                <w:lang w:val="fr-FR"/>
              </w:rPr>
              <w:t>Infractions poursuivies</w:t>
            </w:r>
          </w:p>
        </w:tc>
        <w:tc>
          <w:tcPr>
            <w:tcW w:w="2178" w:type="dxa"/>
            <w:tcBorders>
              <w:top w:val="single" w:sz="4" w:space="0" w:color="auto"/>
              <w:bottom w:val="single" w:sz="12" w:space="0" w:color="auto"/>
            </w:tcBorders>
            <w:shd w:val="clear" w:color="auto" w:fill="auto"/>
            <w:vAlign w:val="bottom"/>
          </w:tcPr>
          <w:p w14:paraId="088175E5" w14:textId="77777777" w:rsidR="00364BF3" w:rsidRPr="00FA79D1" w:rsidRDefault="00364BF3" w:rsidP="00FA79D1">
            <w:pPr>
              <w:keepNext/>
              <w:keepLines/>
              <w:spacing w:before="81" w:after="81" w:line="160" w:lineRule="exact"/>
              <w:ind w:left="115" w:right="43"/>
              <w:rPr>
                <w:i/>
                <w:sz w:val="14"/>
                <w:lang w:val="fr-FR"/>
              </w:rPr>
            </w:pPr>
            <w:r w:rsidRPr="00FA79D1">
              <w:rPr>
                <w:i/>
                <w:sz w:val="14"/>
                <w:lang w:val="fr-FR"/>
              </w:rPr>
              <w:t>Décisions rendues</w:t>
            </w:r>
          </w:p>
        </w:tc>
        <w:tc>
          <w:tcPr>
            <w:tcW w:w="1628" w:type="dxa"/>
            <w:tcBorders>
              <w:top w:val="single" w:sz="4" w:space="0" w:color="auto"/>
              <w:bottom w:val="single" w:sz="12" w:space="0" w:color="auto"/>
            </w:tcBorders>
            <w:shd w:val="clear" w:color="auto" w:fill="auto"/>
            <w:vAlign w:val="bottom"/>
          </w:tcPr>
          <w:p w14:paraId="69949925" w14:textId="77777777" w:rsidR="00364BF3" w:rsidRPr="00FA79D1" w:rsidRDefault="00364BF3" w:rsidP="00FA79D1">
            <w:pPr>
              <w:keepNext/>
              <w:keepLines/>
              <w:spacing w:before="81" w:after="81" w:line="160" w:lineRule="exact"/>
              <w:ind w:left="115" w:right="43"/>
              <w:rPr>
                <w:i/>
                <w:sz w:val="14"/>
                <w:lang w:val="fr-FR"/>
              </w:rPr>
            </w:pPr>
            <w:r w:rsidRPr="00FA79D1">
              <w:rPr>
                <w:i/>
                <w:sz w:val="14"/>
                <w:lang w:val="fr-FR"/>
              </w:rPr>
              <w:t>Date</w:t>
            </w:r>
          </w:p>
        </w:tc>
      </w:tr>
      <w:tr w:rsidR="00364BF3" w:rsidRPr="0011615C" w14:paraId="5EDC0DF9" w14:textId="77777777" w:rsidTr="00E95140">
        <w:trPr>
          <w:trHeight w:hRule="exact" w:val="113"/>
        </w:trPr>
        <w:tc>
          <w:tcPr>
            <w:tcW w:w="2241" w:type="dxa"/>
            <w:tcBorders>
              <w:top w:val="single" w:sz="12" w:space="0" w:color="auto"/>
            </w:tcBorders>
            <w:shd w:val="clear" w:color="auto" w:fill="auto"/>
            <w:vAlign w:val="bottom"/>
          </w:tcPr>
          <w:p w14:paraId="73394AB5" w14:textId="77777777" w:rsidR="00364BF3" w:rsidRPr="00190491" w:rsidRDefault="00364BF3" w:rsidP="00F21523">
            <w:pPr>
              <w:spacing w:before="80" w:after="80" w:line="200" w:lineRule="exact"/>
              <w:ind w:right="113"/>
              <w:rPr>
                <w:i/>
                <w:sz w:val="16"/>
                <w:lang w:val="fr-FR"/>
              </w:rPr>
            </w:pPr>
          </w:p>
        </w:tc>
        <w:tc>
          <w:tcPr>
            <w:tcW w:w="2322" w:type="dxa"/>
            <w:tcBorders>
              <w:top w:val="single" w:sz="12" w:space="0" w:color="auto"/>
            </w:tcBorders>
            <w:shd w:val="clear" w:color="auto" w:fill="auto"/>
            <w:vAlign w:val="bottom"/>
          </w:tcPr>
          <w:p w14:paraId="77F3E4A8" w14:textId="77777777" w:rsidR="00364BF3" w:rsidRPr="00190491" w:rsidRDefault="00364BF3" w:rsidP="00FA79D1">
            <w:pPr>
              <w:spacing w:before="80" w:after="80" w:line="200" w:lineRule="exact"/>
              <w:ind w:left="115" w:right="43"/>
              <w:rPr>
                <w:i/>
                <w:sz w:val="16"/>
                <w:lang w:val="fr-FR"/>
              </w:rPr>
            </w:pPr>
          </w:p>
        </w:tc>
        <w:tc>
          <w:tcPr>
            <w:tcW w:w="2178" w:type="dxa"/>
            <w:tcBorders>
              <w:top w:val="single" w:sz="12" w:space="0" w:color="auto"/>
            </w:tcBorders>
            <w:shd w:val="clear" w:color="auto" w:fill="auto"/>
            <w:vAlign w:val="bottom"/>
          </w:tcPr>
          <w:p w14:paraId="6297F83E" w14:textId="77777777" w:rsidR="00364BF3" w:rsidRPr="00190491" w:rsidRDefault="00364BF3" w:rsidP="00FA79D1">
            <w:pPr>
              <w:spacing w:before="80" w:after="80" w:line="200" w:lineRule="exact"/>
              <w:ind w:left="115" w:right="43"/>
              <w:rPr>
                <w:i/>
                <w:sz w:val="16"/>
                <w:lang w:val="fr-FR"/>
              </w:rPr>
            </w:pPr>
          </w:p>
        </w:tc>
        <w:tc>
          <w:tcPr>
            <w:tcW w:w="1628" w:type="dxa"/>
            <w:tcBorders>
              <w:top w:val="single" w:sz="12" w:space="0" w:color="auto"/>
            </w:tcBorders>
            <w:shd w:val="clear" w:color="auto" w:fill="auto"/>
            <w:vAlign w:val="bottom"/>
          </w:tcPr>
          <w:p w14:paraId="7B1B3C0F" w14:textId="77777777" w:rsidR="00364BF3" w:rsidRPr="00190491" w:rsidRDefault="00364BF3" w:rsidP="00FA79D1">
            <w:pPr>
              <w:spacing w:before="80" w:after="80" w:line="200" w:lineRule="exact"/>
              <w:ind w:left="115" w:right="43"/>
              <w:rPr>
                <w:i/>
                <w:sz w:val="16"/>
                <w:lang w:val="fr-FR"/>
              </w:rPr>
            </w:pPr>
          </w:p>
        </w:tc>
      </w:tr>
      <w:tr w:rsidR="00364BF3" w:rsidRPr="0011615C" w14:paraId="6BC72B72" w14:textId="77777777" w:rsidTr="00E95140">
        <w:tc>
          <w:tcPr>
            <w:tcW w:w="2241" w:type="dxa"/>
            <w:shd w:val="clear" w:color="auto" w:fill="auto"/>
          </w:tcPr>
          <w:p w14:paraId="3B10F37B"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Sergent/chef de police</w:t>
            </w:r>
          </w:p>
        </w:tc>
        <w:tc>
          <w:tcPr>
            <w:tcW w:w="2322" w:type="dxa"/>
            <w:shd w:val="clear" w:color="auto" w:fill="auto"/>
          </w:tcPr>
          <w:p w14:paraId="1459905A"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Outrage public à la pudeur</w:t>
            </w:r>
          </w:p>
        </w:tc>
        <w:tc>
          <w:tcPr>
            <w:tcW w:w="2178" w:type="dxa"/>
            <w:shd w:val="clear" w:color="auto" w:fill="auto"/>
          </w:tcPr>
          <w:p w14:paraId="4B0377EE"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Non coupables</w:t>
            </w:r>
          </w:p>
        </w:tc>
        <w:tc>
          <w:tcPr>
            <w:tcW w:w="1628" w:type="dxa"/>
            <w:shd w:val="clear" w:color="auto" w:fill="auto"/>
          </w:tcPr>
          <w:p w14:paraId="5F1CB7E1"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12 avril 2012</w:t>
            </w:r>
          </w:p>
        </w:tc>
      </w:tr>
      <w:tr w:rsidR="00364BF3" w:rsidRPr="0011615C" w14:paraId="7DA397E0" w14:textId="77777777" w:rsidTr="00E95140">
        <w:tc>
          <w:tcPr>
            <w:tcW w:w="2241" w:type="dxa"/>
            <w:shd w:val="clear" w:color="auto" w:fill="auto"/>
          </w:tcPr>
          <w:p w14:paraId="52DAA628"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Sergent de police</w:t>
            </w:r>
          </w:p>
        </w:tc>
        <w:tc>
          <w:tcPr>
            <w:tcW w:w="2322" w:type="dxa"/>
            <w:shd w:val="clear" w:color="auto" w:fill="auto"/>
          </w:tcPr>
          <w:p w14:paraId="29251C2F"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Violence et voies de fait</w:t>
            </w:r>
          </w:p>
        </w:tc>
        <w:tc>
          <w:tcPr>
            <w:tcW w:w="2178" w:type="dxa"/>
            <w:shd w:val="clear" w:color="auto" w:fill="auto"/>
          </w:tcPr>
          <w:p w14:paraId="0FB6EDC6"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77CC8F55"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10C7099D" w14:textId="77777777" w:rsidTr="00E95140">
        <w:tc>
          <w:tcPr>
            <w:tcW w:w="2241" w:type="dxa"/>
            <w:shd w:val="clear" w:color="auto" w:fill="auto"/>
          </w:tcPr>
          <w:p w14:paraId="08067114"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Sergent de police</w:t>
            </w:r>
          </w:p>
        </w:tc>
        <w:tc>
          <w:tcPr>
            <w:tcW w:w="2322" w:type="dxa"/>
            <w:shd w:val="clear" w:color="auto" w:fill="auto"/>
          </w:tcPr>
          <w:p w14:paraId="7A2CB3C0"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Viol</w:t>
            </w:r>
          </w:p>
        </w:tc>
        <w:tc>
          <w:tcPr>
            <w:tcW w:w="2178" w:type="dxa"/>
            <w:shd w:val="clear" w:color="auto" w:fill="auto"/>
          </w:tcPr>
          <w:p w14:paraId="1FF8C264"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254630B3"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6D1F8B92" w14:textId="77777777" w:rsidTr="00E95140">
        <w:tc>
          <w:tcPr>
            <w:tcW w:w="2241" w:type="dxa"/>
            <w:shd w:val="clear" w:color="auto" w:fill="auto"/>
          </w:tcPr>
          <w:p w14:paraId="3EC8838F"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Sergent/chef de police</w:t>
            </w:r>
          </w:p>
        </w:tc>
        <w:tc>
          <w:tcPr>
            <w:tcW w:w="2322" w:type="dxa"/>
            <w:shd w:val="clear" w:color="auto" w:fill="auto"/>
          </w:tcPr>
          <w:p w14:paraId="2D6BCF48" w14:textId="77777777" w:rsidR="00364BF3" w:rsidRPr="00FA79D1" w:rsidRDefault="00364BF3" w:rsidP="00266B42">
            <w:pPr>
              <w:pStyle w:val="SingleTxtG"/>
              <w:suppressAutoHyphens w:val="0"/>
              <w:spacing w:before="40" w:after="80"/>
              <w:ind w:left="115" w:right="43"/>
              <w:jc w:val="left"/>
              <w:rPr>
                <w:lang w:val="fr-FR"/>
              </w:rPr>
            </w:pPr>
          </w:p>
        </w:tc>
        <w:tc>
          <w:tcPr>
            <w:tcW w:w="2178" w:type="dxa"/>
            <w:shd w:val="clear" w:color="auto" w:fill="auto"/>
          </w:tcPr>
          <w:p w14:paraId="1BFBB7D4"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22C7FC1C"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283EEB5B" w14:textId="77777777" w:rsidTr="00E95140">
        <w:tc>
          <w:tcPr>
            <w:tcW w:w="2241" w:type="dxa"/>
            <w:shd w:val="clear" w:color="auto" w:fill="auto"/>
          </w:tcPr>
          <w:p w14:paraId="6E3A523A"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Maréchal-des-logis</w:t>
            </w:r>
          </w:p>
        </w:tc>
        <w:tc>
          <w:tcPr>
            <w:tcW w:w="2322" w:type="dxa"/>
            <w:shd w:val="clear" w:color="auto" w:fill="auto"/>
          </w:tcPr>
          <w:p w14:paraId="4E717461" w14:textId="77777777" w:rsidR="00364BF3" w:rsidRPr="00FA79D1" w:rsidRDefault="00364BF3" w:rsidP="00266B42">
            <w:pPr>
              <w:pStyle w:val="SingleTxtG"/>
              <w:suppressAutoHyphens w:val="0"/>
              <w:spacing w:before="40" w:after="80"/>
              <w:ind w:left="115" w:right="43"/>
              <w:jc w:val="left"/>
              <w:rPr>
                <w:lang w:val="fr-FR"/>
              </w:rPr>
            </w:pPr>
          </w:p>
        </w:tc>
        <w:tc>
          <w:tcPr>
            <w:tcW w:w="2178" w:type="dxa"/>
            <w:shd w:val="clear" w:color="auto" w:fill="auto"/>
          </w:tcPr>
          <w:p w14:paraId="718A8A12"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6ADFD6C3"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79DCD026" w14:textId="77777777" w:rsidTr="00E95140">
        <w:tc>
          <w:tcPr>
            <w:tcW w:w="2241" w:type="dxa"/>
            <w:shd w:val="clear" w:color="auto" w:fill="auto"/>
          </w:tcPr>
          <w:p w14:paraId="10D7C6EC"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Soldat de 1</w:t>
            </w:r>
            <w:r w:rsidRPr="00FA79D1">
              <w:rPr>
                <w:vertAlign w:val="superscript"/>
                <w:lang w:val="fr-FR"/>
              </w:rPr>
              <w:t>ere</w:t>
            </w:r>
            <w:r w:rsidRPr="00FA79D1">
              <w:rPr>
                <w:lang w:val="fr-FR"/>
              </w:rPr>
              <w:t xml:space="preserve"> classe</w:t>
            </w:r>
          </w:p>
        </w:tc>
        <w:tc>
          <w:tcPr>
            <w:tcW w:w="2322" w:type="dxa"/>
            <w:shd w:val="clear" w:color="auto" w:fill="auto"/>
          </w:tcPr>
          <w:p w14:paraId="40F6FC70" w14:textId="77777777" w:rsidR="00364BF3" w:rsidRPr="00FA79D1" w:rsidRDefault="00364BF3" w:rsidP="00266B42">
            <w:pPr>
              <w:pStyle w:val="SingleTxtG"/>
              <w:suppressAutoHyphens w:val="0"/>
              <w:spacing w:before="40" w:after="80"/>
              <w:ind w:left="115" w:right="43"/>
              <w:jc w:val="left"/>
              <w:rPr>
                <w:lang w:val="fr-FR"/>
              </w:rPr>
            </w:pPr>
          </w:p>
        </w:tc>
        <w:tc>
          <w:tcPr>
            <w:tcW w:w="2178" w:type="dxa"/>
            <w:shd w:val="clear" w:color="auto" w:fill="auto"/>
          </w:tcPr>
          <w:p w14:paraId="5E3F3113"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394A7E52"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75A83F45" w14:textId="77777777" w:rsidTr="00E95140">
        <w:tc>
          <w:tcPr>
            <w:tcW w:w="2241" w:type="dxa"/>
            <w:shd w:val="clear" w:color="auto" w:fill="auto"/>
          </w:tcPr>
          <w:p w14:paraId="272A4322"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Soldat de 1</w:t>
            </w:r>
            <w:r w:rsidRPr="00FA79D1">
              <w:rPr>
                <w:vertAlign w:val="superscript"/>
                <w:lang w:val="fr-FR"/>
              </w:rPr>
              <w:t>ere</w:t>
            </w:r>
            <w:r w:rsidRPr="00FA79D1">
              <w:rPr>
                <w:lang w:val="fr-FR"/>
              </w:rPr>
              <w:t xml:space="preserve"> classe</w:t>
            </w:r>
          </w:p>
        </w:tc>
        <w:tc>
          <w:tcPr>
            <w:tcW w:w="2322" w:type="dxa"/>
            <w:shd w:val="clear" w:color="auto" w:fill="auto"/>
          </w:tcPr>
          <w:p w14:paraId="1B5E369C"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Viol en réunion sur mineur de 15 ans</w:t>
            </w:r>
          </w:p>
        </w:tc>
        <w:tc>
          <w:tcPr>
            <w:tcW w:w="2178" w:type="dxa"/>
            <w:shd w:val="clear" w:color="auto" w:fill="auto"/>
          </w:tcPr>
          <w:p w14:paraId="0861CE8D"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Prison à vie</w:t>
            </w:r>
          </w:p>
        </w:tc>
        <w:tc>
          <w:tcPr>
            <w:tcW w:w="1628" w:type="dxa"/>
            <w:shd w:val="clear" w:color="auto" w:fill="auto"/>
          </w:tcPr>
          <w:p w14:paraId="2B3D9C77"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19 juillet 2012</w:t>
            </w:r>
          </w:p>
        </w:tc>
      </w:tr>
      <w:tr w:rsidR="00364BF3" w:rsidRPr="0011615C" w14:paraId="7C749652" w14:textId="77777777" w:rsidTr="00E95140">
        <w:tc>
          <w:tcPr>
            <w:tcW w:w="2241" w:type="dxa"/>
            <w:shd w:val="clear" w:color="auto" w:fill="auto"/>
          </w:tcPr>
          <w:p w14:paraId="52902331"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Maréchal-des-logis</w:t>
            </w:r>
          </w:p>
        </w:tc>
        <w:tc>
          <w:tcPr>
            <w:tcW w:w="2322" w:type="dxa"/>
            <w:shd w:val="clear" w:color="auto" w:fill="auto"/>
          </w:tcPr>
          <w:p w14:paraId="7EA2E2A4" w14:textId="77777777" w:rsidR="00364BF3" w:rsidRPr="00FA79D1" w:rsidRDefault="00364BF3" w:rsidP="00266B42">
            <w:pPr>
              <w:pStyle w:val="SingleTxtG"/>
              <w:suppressAutoHyphens w:val="0"/>
              <w:spacing w:before="40" w:after="80"/>
              <w:ind w:left="115" w:right="43"/>
              <w:jc w:val="left"/>
              <w:rPr>
                <w:lang w:val="fr-FR"/>
              </w:rPr>
            </w:pPr>
          </w:p>
        </w:tc>
        <w:tc>
          <w:tcPr>
            <w:tcW w:w="2178" w:type="dxa"/>
            <w:shd w:val="clear" w:color="auto" w:fill="auto"/>
          </w:tcPr>
          <w:p w14:paraId="49DDB799"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59D93289"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203B7441" w14:textId="77777777" w:rsidTr="00E95140">
        <w:tc>
          <w:tcPr>
            <w:tcW w:w="2241" w:type="dxa"/>
            <w:shd w:val="clear" w:color="auto" w:fill="auto"/>
          </w:tcPr>
          <w:p w14:paraId="1FB7BEDA"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Soldat de 1</w:t>
            </w:r>
            <w:r w:rsidRPr="00FA79D1">
              <w:rPr>
                <w:vertAlign w:val="superscript"/>
                <w:lang w:val="fr-FR"/>
              </w:rPr>
              <w:t>ere</w:t>
            </w:r>
            <w:r w:rsidRPr="00FA79D1">
              <w:rPr>
                <w:lang w:val="fr-FR"/>
              </w:rPr>
              <w:t xml:space="preserve"> classe</w:t>
            </w:r>
          </w:p>
        </w:tc>
        <w:tc>
          <w:tcPr>
            <w:tcW w:w="2322" w:type="dxa"/>
            <w:shd w:val="clear" w:color="auto" w:fill="auto"/>
          </w:tcPr>
          <w:p w14:paraId="67217CCC" w14:textId="77777777" w:rsidR="00364BF3" w:rsidRPr="00FA79D1" w:rsidRDefault="00364BF3" w:rsidP="00266B42">
            <w:pPr>
              <w:pStyle w:val="SingleTxtG"/>
              <w:suppressAutoHyphens w:val="0"/>
              <w:spacing w:before="40" w:after="80"/>
              <w:ind w:left="115" w:right="43"/>
              <w:jc w:val="left"/>
              <w:rPr>
                <w:lang w:val="fr-FR"/>
              </w:rPr>
            </w:pPr>
          </w:p>
        </w:tc>
        <w:tc>
          <w:tcPr>
            <w:tcW w:w="2178" w:type="dxa"/>
            <w:shd w:val="clear" w:color="auto" w:fill="auto"/>
          </w:tcPr>
          <w:p w14:paraId="0ABD8284" w14:textId="77777777" w:rsidR="00364BF3" w:rsidRPr="00FA79D1" w:rsidRDefault="00364BF3" w:rsidP="00266B42">
            <w:pPr>
              <w:pStyle w:val="SingleTxtG"/>
              <w:suppressAutoHyphens w:val="0"/>
              <w:spacing w:before="40" w:after="80"/>
              <w:ind w:left="115" w:right="43"/>
              <w:jc w:val="left"/>
              <w:rPr>
                <w:lang w:val="fr-FR"/>
              </w:rPr>
            </w:pPr>
          </w:p>
        </w:tc>
        <w:tc>
          <w:tcPr>
            <w:tcW w:w="1628" w:type="dxa"/>
            <w:shd w:val="clear" w:color="auto" w:fill="auto"/>
          </w:tcPr>
          <w:p w14:paraId="2344C4B7" w14:textId="77777777" w:rsidR="00364BF3" w:rsidRPr="00FA79D1" w:rsidRDefault="00364BF3" w:rsidP="00266B42">
            <w:pPr>
              <w:pStyle w:val="SingleTxtG"/>
              <w:suppressAutoHyphens w:val="0"/>
              <w:spacing w:before="40" w:after="80"/>
              <w:ind w:left="115" w:right="43"/>
              <w:jc w:val="left"/>
              <w:rPr>
                <w:lang w:val="fr-FR"/>
              </w:rPr>
            </w:pPr>
          </w:p>
        </w:tc>
      </w:tr>
      <w:tr w:rsidR="00364BF3" w:rsidRPr="0011615C" w14:paraId="6FA13F7F" w14:textId="77777777" w:rsidTr="00E95140">
        <w:tc>
          <w:tcPr>
            <w:tcW w:w="2241" w:type="dxa"/>
            <w:shd w:val="clear" w:color="auto" w:fill="auto"/>
          </w:tcPr>
          <w:p w14:paraId="23E797F0"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Caporal</w:t>
            </w:r>
          </w:p>
        </w:tc>
        <w:tc>
          <w:tcPr>
            <w:tcW w:w="2322" w:type="dxa"/>
            <w:shd w:val="clear" w:color="auto" w:fill="auto"/>
          </w:tcPr>
          <w:p w14:paraId="06BCA01E"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Viol avec violence</w:t>
            </w:r>
          </w:p>
        </w:tc>
        <w:tc>
          <w:tcPr>
            <w:tcW w:w="2178" w:type="dxa"/>
            <w:shd w:val="clear" w:color="auto" w:fill="auto"/>
          </w:tcPr>
          <w:p w14:paraId="0D574EC8" w14:textId="0B162609" w:rsidR="00364BF3" w:rsidRPr="00FA79D1" w:rsidRDefault="00364BF3" w:rsidP="00266B42">
            <w:pPr>
              <w:pStyle w:val="SingleTxtG"/>
              <w:suppressAutoHyphens w:val="0"/>
              <w:spacing w:before="40" w:after="80"/>
              <w:ind w:left="115" w:right="43"/>
              <w:jc w:val="left"/>
              <w:rPr>
                <w:lang w:val="fr-FR"/>
              </w:rPr>
            </w:pPr>
            <w:r w:rsidRPr="00FA79D1">
              <w:rPr>
                <w:lang w:val="fr-FR"/>
              </w:rPr>
              <w:t>24 mois de détention militaire sans mandat de dépôt</w:t>
            </w:r>
            <w:r w:rsidR="00DB4C05">
              <w:rPr>
                <w:lang w:val="fr-FR"/>
              </w:rPr>
              <w:t> ;</w:t>
            </w:r>
            <w:r w:rsidRPr="00FA79D1">
              <w:rPr>
                <w:lang w:val="fr-FR"/>
              </w:rPr>
              <w:t xml:space="preserve"> 1 million de francs d</w:t>
            </w:r>
            <w:r w:rsidR="000C16F5" w:rsidRPr="00FA79D1">
              <w:rPr>
                <w:lang w:val="fr-FR"/>
              </w:rPr>
              <w:t>’</w:t>
            </w:r>
            <w:r w:rsidRPr="00FA79D1">
              <w:rPr>
                <w:lang w:val="fr-FR"/>
              </w:rPr>
              <w:t>amende</w:t>
            </w:r>
          </w:p>
        </w:tc>
        <w:tc>
          <w:tcPr>
            <w:tcW w:w="1628" w:type="dxa"/>
            <w:shd w:val="clear" w:color="auto" w:fill="auto"/>
          </w:tcPr>
          <w:p w14:paraId="697604C1"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07 juin 2012</w:t>
            </w:r>
          </w:p>
        </w:tc>
      </w:tr>
      <w:tr w:rsidR="00364BF3" w:rsidRPr="0011615C" w14:paraId="619522F8" w14:textId="77777777" w:rsidTr="00E95140">
        <w:tc>
          <w:tcPr>
            <w:tcW w:w="2241" w:type="dxa"/>
            <w:shd w:val="clear" w:color="auto" w:fill="auto"/>
          </w:tcPr>
          <w:p w14:paraId="180DCDBF" w14:textId="77777777" w:rsidR="00364BF3" w:rsidRPr="00FA79D1" w:rsidRDefault="00364BF3" w:rsidP="00266B42">
            <w:pPr>
              <w:pStyle w:val="SingleTxtG"/>
              <w:suppressAutoHyphens w:val="0"/>
              <w:spacing w:before="40" w:after="80"/>
              <w:ind w:left="0" w:right="0"/>
              <w:jc w:val="left"/>
              <w:rPr>
                <w:lang w:val="fr-FR"/>
              </w:rPr>
            </w:pPr>
            <w:r w:rsidRPr="00FA79D1">
              <w:rPr>
                <w:lang w:val="fr-FR"/>
              </w:rPr>
              <w:t>Maréchal-des-logis</w:t>
            </w:r>
          </w:p>
        </w:tc>
        <w:tc>
          <w:tcPr>
            <w:tcW w:w="2322" w:type="dxa"/>
            <w:shd w:val="clear" w:color="auto" w:fill="auto"/>
          </w:tcPr>
          <w:p w14:paraId="649ACD5C"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Viol</w:t>
            </w:r>
          </w:p>
        </w:tc>
        <w:tc>
          <w:tcPr>
            <w:tcW w:w="2178" w:type="dxa"/>
            <w:shd w:val="clear" w:color="auto" w:fill="auto"/>
          </w:tcPr>
          <w:p w14:paraId="21C52C5F"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Tribunal militaire incompétent</w:t>
            </w:r>
          </w:p>
        </w:tc>
        <w:tc>
          <w:tcPr>
            <w:tcW w:w="1628" w:type="dxa"/>
            <w:shd w:val="clear" w:color="auto" w:fill="auto"/>
          </w:tcPr>
          <w:p w14:paraId="24440C35" w14:textId="77777777" w:rsidR="00364BF3" w:rsidRPr="00FA79D1" w:rsidRDefault="00364BF3" w:rsidP="00266B42">
            <w:pPr>
              <w:pStyle w:val="SingleTxtG"/>
              <w:suppressAutoHyphens w:val="0"/>
              <w:spacing w:before="40" w:after="80"/>
              <w:ind w:left="115" w:right="43"/>
              <w:jc w:val="left"/>
              <w:rPr>
                <w:lang w:val="fr-FR"/>
              </w:rPr>
            </w:pPr>
            <w:r w:rsidRPr="00FA79D1">
              <w:rPr>
                <w:lang w:val="fr-FR"/>
              </w:rPr>
              <w:t>07 juin 2012</w:t>
            </w:r>
          </w:p>
        </w:tc>
      </w:tr>
      <w:tr w:rsidR="00364BF3" w:rsidRPr="0011615C" w14:paraId="597E665E" w14:textId="77777777" w:rsidTr="00E95140">
        <w:tc>
          <w:tcPr>
            <w:tcW w:w="2241" w:type="dxa"/>
            <w:tcBorders>
              <w:bottom w:val="single" w:sz="12" w:space="0" w:color="auto"/>
            </w:tcBorders>
            <w:shd w:val="clear" w:color="auto" w:fill="auto"/>
          </w:tcPr>
          <w:p w14:paraId="316B7C81" w14:textId="77777777" w:rsidR="00364BF3" w:rsidRPr="00FA79D1" w:rsidRDefault="00364BF3" w:rsidP="00266B42">
            <w:pPr>
              <w:pStyle w:val="SingleTxtG"/>
              <w:suppressAutoHyphens w:val="0"/>
              <w:spacing w:before="40" w:after="81"/>
              <w:ind w:left="0" w:right="0"/>
              <w:jc w:val="left"/>
              <w:rPr>
                <w:lang w:val="fr-FR"/>
              </w:rPr>
            </w:pPr>
            <w:r w:rsidRPr="00FA79D1">
              <w:rPr>
                <w:lang w:val="fr-FR"/>
              </w:rPr>
              <w:t>Caporal</w:t>
            </w:r>
          </w:p>
        </w:tc>
        <w:tc>
          <w:tcPr>
            <w:tcW w:w="2322" w:type="dxa"/>
            <w:tcBorders>
              <w:bottom w:val="single" w:sz="12" w:space="0" w:color="auto"/>
            </w:tcBorders>
            <w:shd w:val="clear" w:color="auto" w:fill="auto"/>
          </w:tcPr>
          <w:p w14:paraId="039436BC" w14:textId="77777777" w:rsidR="00364BF3" w:rsidRPr="00FA79D1" w:rsidRDefault="00364BF3" w:rsidP="00266B42">
            <w:pPr>
              <w:pStyle w:val="SingleTxtG"/>
              <w:suppressAutoHyphens w:val="0"/>
              <w:spacing w:before="40" w:after="81"/>
              <w:ind w:left="115" w:right="43"/>
              <w:jc w:val="left"/>
              <w:rPr>
                <w:lang w:val="fr-FR"/>
              </w:rPr>
            </w:pPr>
            <w:r w:rsidRPr="00FA79D1">
              <w:rPr>
                <w:lang w:val="fr-FR"/>
              </w:rPr>
              <w:t>Viol</w:t>
            </w:r>
          </w:p>
        </w:tc>
        <w:tc>
          <w:tcPr>
            <w:tcW w:w="2178" w:type="dxa"/>
            <w:tcBorders>
              <w:bottom w:val="single" w:sz="12" w:space="0" w:color="auto"/>
            </w:tcBorders>
            <w:shd w:val="clear" w:color="auto" w:fill="auto"/>
          </w:tcPr>
          <w:p w14:paraId="680483EA" w14:textId="6BD71611" w:rsidR="00364BF3" w:rsidRPr="00FA79D1" w:rsidRDefault="00364BF3" w:rsidP="00266B42">
            <w:pPr>
              <w:pStyle w:val="SingleTxtG"/>
              <w:suppressAutoHyphens w:val="0"/>
              <w:spacing w:before="40" w:after="81"/>
              <w:ind w:left="115" w:right="43"/>
              <w:jc w:val="left"/>
              <w:rPr>
                <w:lang w:val="fr-FR"/>
              </w:rPr>
            </w:pPr>
            <w:r w:rsidRPr="00FA79D1">
              <w:rPr>
                <w:lang w:val="fr-FR"/>
              </w:rPr>
              <w:t>Coupable</w:t>
            </w:r>
            <w:r w:rsidR="00DB4C05">
              <w:rPr>
                <w:lang w:val="fr-FR"/>
              </w:rPr>
              <w:t> ;</w:t>
            </w:r>
            <w:r w:rsidRPr="00FA79D1">
              <w:rPr>
                <w:lang w:val="fr-FR"/>
              </w:rPr>
              <w:t xml:space="preserve"> 5 ans d</w:t>
            </w:r>
            <w:r w:rsidR="000C16F5" w:rsidRPr="00FA79D1">
              <w:rPr>
                <w:lang w:val="fr-FR"/>
              </w:rPr>
              <w:t>’</w:t>
            </w:r>
            <w:r w:rsidRPr="00FA79D1">
              <w:rPr>
                <w:lang w:val="fr-FR"/>
              </w:rPr>
              <w:t>emprisonnement avec mandat de dépôt</w:t>
            </w:r>
          </w:p>
        </w:tc>
        <w:tc>
          <w:tcPr>
            <w:tcW w:w="1628" w:type="dxa"/>
            <w:tcBorders>
              <w:bottom w:val="single" w:sz="12" w:space="0" w:color="auto"/>
            </w:tcBorders>
            <w:shd w:val="clear" w:color="auto" w:fill="auto"/>
          </w:tcPr>
          <w:p w14:paraId="10459C00" w14:textId="77777777" w:rsidR="00364BF3" w:rsidRPr="00FA79D1" w:rsidRDefault="00364BF3" w:rsidP="00266B42">
            <w:pPr>
              <w:pStyle w:val="SingleTxtG"/>
              <w:suppressAutoHyphens w:val="0"/>
              <w:spacing w:before="40" w:after="81"/>
              <w:ind w:left="115" w:right="43"/>
              <w:jc w:val="left"/>
              <w:rPr>
                <w:lang w:val="fr-FR"/>
              </w:rPr>
            </w:pPr>
            <w:r w:rsidRPr="00FA79D1">
              <w:rPr>
                <w:lang w:val="fr-FR"/>
              </w:rPr>
              <w:t>04 décembre 2014</w:t>
            </w:r>
          </w:p>
        </w:tc>
      </w:tr>
    </w:tbl>
    <w:p w14:paraId="5CD7C9CF" w14:textId="77777777" w:rsidR="009D6B62" w:rsidRPr="009D6B62" w:rsidRDefault="009D6B62" w:rsidP="009D6B62">
      <w:pPr>
        <w:pStyle w:val="SingleTxtG"/>
        <w:spacing w:after="0" w:line="120" w:lineRule="exact"/>
        <w:ind w:firstLine="170"/>
        <w:jc w:val="left"/>
        <w:rPr>
          <w:bCs/>
          <w:i/>
          <w:sz w:val="10"/>
          <w:szCs w:val="18"/>
          <w:lang w:val="fr-FR"/>
        </w:rPr>
      </w:pPr>
    </w:p>
    <w:p w14:paraId="612A1118" w14:textId="168FDAE0" w:rsidR="00364BF3" w:rsidRDefault="00364BF3" w:rsidP="009D6B62">
      <w:pPr>
        <w:pStyle w:val="FootnoteText"/>
        <w:tabs>
          <w:tab w:val="right" w:pos="1476"/>
          <w:tab w:val="left" w:pos="1548"/>
          <w:tab w:val="right" w:pos="1836"/>
          <w:tab w:val="left" w:pos="1908"/>
        </w:tabs>
        <w:ind w:left="1548" w:hanging="288"/>
        <w:rPr>
          <w:i/>
          <w:lang w:val="fr-FR"/>
        </w:rPr>
      </w:pPr>
      <w:r w:rsidRPr="00190491">
        <w:rPr>
          <w:i/>
          <w:lang w:val="fr-FR"/>
        </w:rPr>
        <w:t>Source</w:t>
      </w:r>
      <w:r w:rsidR="008945B3">
        <w:rPr>
          <w:i/>
          <w:lang w:val="fr-FR"/>
        </w:rPr>
        <w:t> </w:t>
      </w:r>
      <w:r w:rsidR="008945B3" w:rsidRPr="007B345A">
        <w:rPr>
          <w:iCs/>
          <w:lang w:val="fr-FR"/>
        </w:rPr>
        <w:t>:</w:t>
      </w:r>
      <w:r w:rsidRPr="00190491">
        <w:rPr>
          <w:i/>
          <w:lang w:val="fr-FR"/>
        </w:rPr>
        <w:t xml:space="preserve"> </w:t>
      </w:r>
      <w:r w:rsidRPr="00190491">
        <w:rPr>
          <w:lang w:val="fr-FR"/>
        </w:rPr>
        <w:t>Rapport périodique sur la CADHP 2016</w:t>
      </w:r>
      <w:r w:rsidRPr="00190491">
        <w:rPr>
          <w:i/>
          <w:lang w:val="fr-FR"/>
        </w:rPr>
        <w:t>.</w:t>
      </w:r>
    </w:p>
    <w:p w14:paraId="25DEA39B" w14:textId="0D565A85" w:rsidR="00364BF3" w:rsidRPr="00190491" w:rsidRDefault="00364BF3" w:rsidP="008A6B29">
      <w:pPr>
        <w:pStyle w:val="SingleTxt"/>
        <w:numPr>
          <w:ilvl w:val="0"/>
          <w:numId w:val="10"/>
        </w:numPr>
        <w:spacing w:line="240" w:lineRule="exact"/>
        <w:rPr>
          <w:lang w:val="fr-FR"/>
        </w:rPr>
      </w:pPr>
      <w:r w:rsidRPr="00190491">
        <w:rPr>
          <w:lang w:val="fr-FR"/>
        </w:rPr>
        <w:lastRenderedPageBreak/>
        <w:t>En septembre 2013, avec l</w:t>
      </w:r>
      <w:r w:rsidR="000C16F5">
        <w:rPr>
          <w:lang w:val="fr-FR"/>
        </w:rPr>
        <w:t>’</w:t>
      </w:r>
      <w:r w:rsidRPr="00190491">
        <w:rPr>
          <w:lang w:val="fr-FR"/>
        </w:rPr>
        <w:t>appui du BRSSG-VSC, du KAIPTC et l</w:t>
      </w:r>
      <w:r w:rsidR="000C16F5">
        <w:rPr>
          <w:lang w:val="fr-FR"/>
        </w:rPr>
        <w:t>’</w:t>
      </w:r>
      <w:r w:rsidRPr="00190491">
        <w:rPr>
          <w:lang w:val="fr-FR"/>
        </w:rPr>
        <w:t>UNFPA, un Comité d</w:t>
      </w:r>
      <w:r w:rsidR="000C16F5">
        <w:rPr>
          <w:lang w:val="fr-FR"/>
        </w:rPr>
        <w:t>’</w:t>
      </w:r>
      <w:r w:rsidRPr="00190491">
        <w:rPr>
          <w:lang w:val="fr-FR"/>
        </w:rPr>
        <w:t>Expert Nationaux sur les VSC (Défense et Intérieur) a été créé pour renforcer les capacités de tous les corps des FRCI. En juin 2014, la hiérarchie des FRCI s</w:t>
      </w:r>
      <w:r w:rsidR="000C16F5">
        <w:rPr>
          <w:lang w:val="fr-FR"/>
        </w:rPr>
        <w:t>’</w:t>
      </w:r>
      <w:r w:rsidRPr="00190491">
        <w:rPr>
          <w:lang w:val="fr-FR"/>
        </w:rPr>
        <w:t>est engagée en faveur de l</w:t>
      </w:r>
      <w:r w:rsidR="000C16F5">
        <w:rPr>
          <w:lang w:val="fr-FR"/>
        </w:rPr>
        <w:t>’</w:t>
      </w:r>
      <w:r w:rsidRPr="00190491">
        <w:rPr>
          <w:lang w:val="fr-FR"/>
        </w:rPr>
        <w:t>éradication des violences sexuelles liées au conflit à travers une déclaration au Sommet de Londres. Ainsi, un plan d</w:t>
      </w:r>
      <w:r w:rsidR="000C16F5">
        <w:rPr>
          <w:lang w:val="fr-FR"/>
        </w:rPr>
        <w:t>’</w:t>
      </w:r>
      <w:r w:rsidRPr="00190491">
        <w:rPr>
          <w:lang w:val="fr-FR"/>
        </w:rPr>
        <w:t xml:space="preserve">action a été mis en place pour éradiquer les violences sexuelles en période de conflit. </w:t>
      </w:r>
    </w:p>
    <w:p w14:paraId="69373BA3" w14:textId="773DC45A" w:rsidR="00364BF3" w:rsidRPr="00190491" w:rsidRDefault="00364BF3" w:rsidP="008A6B29">
      <w:pPr>
        <w:pStyle w:val="SingleTxt"/>
        <w:numPr>
          <w:ilvl w:val="0"/>
          <w:numId w:val="10"/>
        </w:numPr>
        <w:spacing w:line="240" w:lineRule="exact"/>
        <w:rPr>
          <w:lang w:val="fr-FR"/>
        </w:rPr>
      </w:pPr>
      <w:r w:rsidRPr="00190491">
        <w:rPr>
          <w:lang w:val="fr-FR"/>
        </w:rPr>
        <w:t>En outre, le Ministère de la Défense, dans une optique de tolérance zéro des violences sexuelles, a pris des mesures disciplinaires, dont la radiation de l</w:t>
      </w:r>
      <w:r w:rsidR="000C16F5">
        <w:rPr>
          <w:lang w:val="fr-FR"/>
        </w:rPr>
        <w:t>’</w:t>
      </w:r>
      <w:r w:rsidRPr="00190491">
        <w:rPr>
          <w:lang w:val="fr-FR"/>
        </w:rPr>
        <w:t>armée d</w:t>
      </w:r>
      <w:r w:rsidR="000C16F5">
        <w:rPr>
          <w:lang w:val="fr-FR"/>
        </w:rPr>
        <w:t>’</w:t>
      </w:r>
      <w:r w:rsidRPr="00190491">
        <w:rPr>
          <w:lang w:val="fr-FR"/>
        </w:rPr>
        <w:t>une vingtaine d</w:t>
      </w:r>
      <w:r w:rsidR="000C16F5">
        <w:rPr>
          <w:lang w:val="fr-FR"/>
        </w:rPr>
        <w:t>’</w:t>
      </w:r>
      <w:r w:rsidRPr="00190491">
        <w:rPr>
          <w:lang w:val="fr-FR"/>
        </w:rPr>
        <w:t>éléments jugés coupables de violences sexuelles en 2014.</w:t>
      </w:r>
    </w:p>
    <w:p w14:paraId="06F7BD40" w14:textId="1A7F966E" w:rsidR="00364BF3" w:rsidRPr="00E95140" w:rsidRDefault="00364BF3" w:rsidP="008A6B29">
      <w:pPr>
        <w:pStyle w:val="SingleTxt"/>
        <w:numPr>
          <w:ilvl w:val="0"/>
          <w:numId w:val="10"/>
        </w:numPr>
        <w:spacing w:line="240" w:lineRule="exact"/>
        <w:rPr>
          <w:lang w:val="fr-FR"/>
        </w:rPr>
      </w:pPr>
      <w:r w:rsidRPr="00E95140">
        <w:rPr>
          <w:lang w:val="fr-FR"/>
        </w:rPr>
        <w:t>Afin de manifester au niveau interne les engagements pris à Londres, le décret n</w:t>
      </w:r>
      <w:r w:rsidR="00E95140" w:rsidRPr="00E95140">
        <w:rPr>
          <w:vertAlign w:val="superscript"/>
          <w:lang w:val="fr-FR"/>
        </w:rPr>
        <w:t>o</w:t>
      </w:r>
      <w:r w:rsidRPr="00E95140">
        <w:rPr>
          <w:lang w:val="fr-FR"/>
        </w:rPr>
        <w:t xml:space="preserve">°2016-373 du 3 juin 2016, portant création, attributions, organisation et fonctionnement du Comité National de Lutte contre les Violences Sexuelles liées aux Conflits (CNLVSC) a été pris. </w:t>
      </w:r>
    </w:p>
    <w:p w14:paraId="6923FC57" w14:textId="6A9B2AF2" w:rsidR="00364BF3" w:rsidRPr="00190491" w:rsidRDefault="00364BF3" w:rsidP="008A6B29">
      <w:pPr>
        <w:pStyle w:val="SingleTxt"/>
        <w:numPr>
          <w:ilvl w:val="0"/>
          <w:numId w:val="10"/>
        </w:numPr>
        <w:spacing w:line="240" w:lineRule="exact"/>
        <w:rPr>
          <w:b/>
          <w:lang w:val="fr-FR"/>
        </w:rPr>
      </w:pPr>
      <w:r w:rsidRPr="00190491">
        <w:rPr>
          <w:b/>
          <w:lang w:val="fr-FR"/>
        </w:rPr>
        <w:t>Prendre des mesures globales pour apporter une aide médicale et psychologique et apporter un soutien aux femmes victimes de crimes sexuels commis pendant la période 2002-2007 et couverts par l</w:t>
      </w:r>
      <w:r w:rsidR="000C16F5">
        <w:rPr>
          <w:b/>
          <w:lang w:val="fr-FR"/>
        </w:rPr>
        <w:t>’</w:t>
      </w:r>
      <w:r w:rsidRPr="00190491">
        <w:rPr>
          <w:b/>
          <w:lang w:val="fr-FR"/>
        </w:rPr>
        <w:t>ordonnance d</w:t>
      </w:r>
      <w:r w:rsidR="000C16F5">
        <w:rPr>
          <w:b/>
          <w:lang w:val="fr-FR"/>
        </w:rPr>
        <w:t>’</w:t>
      </w:r>
      <w:r w:rsidRPr="00190491">
        <w:rPr>
          <w:b/>
          <w:lang w:val="fr-FR"/>
        </w:rPr>
        <w:t xml:space="preserve">amnistie 2007 prévoyant la plupart des crimes commis pendant le conflit, y compris pour des actes systématiques de violence sexuelle </w:t>
      </w:r>
      <w:r w:rsidR="00D81000">
        <w:rPr>
          <w:b/>
          <w:lang w:val="fr-FR"/>
        </w:rPr>
        <w:t>[</w:t>
      </w:r>
      <w:r w:rsidRPr="00190491">
        <w:rPr>
          <w:b/>
          <w:lang w:val="fr-FR"/>
        </w:rPr>
        <w:t xml:space="preserve">voir </w:t>
      </w:r>
      <w:hyperlink r:id="rId53"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29 c)</w:t>
      </w:r>
      <w:r w:rsidR="00D81000">
        <w:rPr>
          <w:b/>
          <w:lang w:val="fr-FR"/>
        </w:rPr>
        <w:t>]</w:t>
      </w:r>
      <w:r w:rsidRPr="00190491">
        <w:rPr>
          <w:b/>
          <w:lang w:val="fr-FR"/>
        </w:rPr>
        <w:t>.</w:t>
      </w:r>
    </w:p>
    <w:p w14:paraId="2494895F" w14:textId="01D3116D" w:rsidR="00364BF3" w:rsidRPr="00190491" w:rsidRDefault="00364BF3" w:rsidP="008A6B29">
      <w:pPr>
        <w:pStyle w:val="SingleTxt"/>
        <w:numPr>
          <w:ilvl w:val="0"/>
          <w:numId w:val="10"/>
        </w:numPr>
        <w:spacing w:line="240" w:lineRule="exact"/>
        <w:rPr>
          <w:lang w:val="fr-FR"/>
        </w:rPr>
      </w:pPr>
      <w:r w:rsidRPr="00190491">
        <w:rPr>
          <w:lang w:val="fr-FR"/>
        </w:rPr>
        <w:t>Le volet « Assistance et Réinsertion Sociale des Femmes Victimes de Violences en Situation de Conflit en Côte d</w:t>
      </w:r>
      <w:r w:rsidR="000C16F5">
        <w:rPr>
          <w:lang w:val="fr-FR"/>
        </w:rPr>
        <w:t>’</w:t>
      </w:r>
      <w:r w:rsidRPr="00190491">
        <w:rPr>
          <w:lang w:val="fr-FR"/>
        </w:rPr>
        <w:t>Ivoire » du Projet d</w:t>
      </w:r>
      <w:r w:rsidR="000C16F5">
        <w:rPr>
          <w:lang w:val="fr-FR"/>
        </w:rPr>
        <w:t>’</w:t>
      </w:r>
      <w:r w:rsidRPr="00190491">
        <w:rPr>
          <w:lang w:val="fr-FR"/>
        </w:rPr>
        <w:t>Appui Institutionnel Multisectoriel à la Sortie de Crise (PAIMSC) a été mis en œuvre de juillet 2008 à novembre 2013 afin de réduire le taux de mortalité maternelle et d</w:t>
      </w:r>
      <w:r w:rsidR="000C16F5">
        <w:rPr>
          <w:lang w:val="fr-FR"/>
        </w:rPr>
        <w:t>’</w:t>
      </w:r>
      <w:r w:rsidRPr="00190491">
        <w:rPr>
          <w:lang w:val="fr-FR"/>
        </w:rPr>
        <w:t>accroître la protection des personnes exposées aux VBG notamment les victimes des crises de 2002 à 2007 et celles de 2010 et 2011. Le projet a couvert 10 départements dans la zone dite Centre-Nord et Ouest (CNO) occupés par les Forces Nouvelles à savoir Bouaké, Dabakala, Danané, Duékoué, Guiglo, Korhogo, Man, Odienné, et Sakassou, ainsi que M</w:t>
      </w:r>
      <w:r w:rsidR="000C16F5">
        <w:rPr>
          <w:lang w:val="fr-FR"/>
        </w:rPr>
        <w:t>’</w:t>
      </w:r>
      <w:r w:rsidRPr="00190491">
        <w:rPr>
          <w:lang w:val="fr-FR"/>
        </w:rPr>
        <w:t xml:space="preserve">Bahiakro un département de la zone républicaine. Plusieurs actions ont été menées afin de promouvoir la Santé de la Reproduction, la prévention des VBG et la prise en charge des survivantes de ces violences. </w:t>
      </w:r>
    </w:p>
    <w:p w14:paraId="7166CD56" w14:textId="4E2F9E11" w:rsidR="00364BF3" w:rsidRPr="00190491" w:rsidRDefault="00364BF3" w:rsidP="008A6B29">
      <w:pPr>
        <w:pStyle w:val="SingleTxt"/>
        <w:numPr>
          <w:ilvl w:val="0"/>
          <w:numId w:val="10"/>
        </w:numPr>
        <w:spacing w:line="240" w:lineRule="exact"/>
        <w:rPr>
          <w:lang w:val="fr-FR"/>
        </w:rPr>
      </w:pPr>
      <w:r w:rsidRPr="00190491">
        <w:rPr>
          <w:lang w:val="fr-FR"/>
        </w:rPr>
        <w:t>Avec un budget de 3 908587 USD, financé par la Banque Africaine de Développement (BAD) et sous la conduite de l</w:t>
      </w:r>
      <w:r w:rsidR="000C16F5">
        <w:rPr>
          <w:lang w:val="fr-FR"/>
        </w:rPr>
        <w:t>’</w:t>
      </w:r>
      <w:r w:rsidRPr="00190491">
        <w:rPr>
          <w:lang w:val="fr-FR"/>
        </w:rPr>
        <w:t>UNFPA, le projet a permis de prendre en charge 399 soit 87</w:t>
      </w:r>
      <w:r w:rsidR="00B72ED0">
        <w:rPr>
          <w:lang w:val="fr-FR"/>
        </w:rPr>
        <w:t> </w:t>
      </w:r>
      <w:r w:rsidRPr="00190491">
        <w:rPr>
          <w:lang w:val="fr-FR"/>
        </w:rPr>
        <w:t xml:space="preserve">% des 457 cas de viol déclarés. </w:t>
      </w:r>
    </w:p>
    <w:p w14:paraId="0FE0558E" w14:textId="1E039D65" w:rsidR="00364BF3" w:rsidRPr="00190491" w:rsidRDefault="00364BF3" w:rsidP="008A6B29">
      <w:pPr>
        <w:pStyle w:val="SingleTxt"/>
        <w:numPr>
          <w:ilvl w:val="0"/>
          <w:numId w:val="10"/>
        </w:numPr>
        <w:spacing w:line="240" w:lineRule="exact"/>
        <w:rPr>
          <w:b/>
          <w:lang w:val="fr-FR"/>
        </w:rPr>
      </w:pPr>
      <w:r w:rsidRPr="00190491">
        <w:rPr>
          <w:b/>
          <w:lang w:val="fr-FR"/>
        </w:rPr>
        <w:t>Veiller à l</w:t>
      </w:r>
      <w:r w:rsidR="000C16F5">
        <w:rPr>
          <w:b/>
          <w:lang w:val="fr-FR"/>
        </w:rPr>
        <w:t>’</w:t>
      </w:r>
      <w:r w:rsidRPr="00190491">
        <w:rPr>
          <w:b/>
          <w:lang w:val="fr-FR"/>
        </w:rPr>
        <w:t>accès à la justice et à l</w:t>
      </w:r>
      <w:r w:rsidR="000C16F5">
        <w:rPr>
          <w:b/>
          <w:lang w:val="fr-FR"/>
        </w:rPr>
        <w:t>’</w:t>
      </w:r>
      <w:r w:rsidRPr="00190491">
        <w:rPr>
          <w:b/>
          <w:lang w:val="fr-FR"/>
        </w:rPr>
        <w:t xml:space="preserve">aide juridique pour toutes les femmes touchées par la violence liée à la crise post-électorale, y compris les femmes victimes de violences sexuelles </w:t>
      </w:r>
      <w:r w:rsidR="00D81000">
        <w:rPr>
          <w:b/>
          <w:lang w:val="fr-FR"/>
        </w:rPr>
        <w:t>[</w:t>
      </w:r>
      <w:r w:rsidRPr="00190491">
        <w:rPr>
          <w:b/>
          <w:lang w:val="fr-FR"/>
        </w:rPr>
        <w:t xml:space="preserve">voir </w:t>
      </w:r>
      <w:hyperlink r:id="rId54"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29 d)</w:t>
      </w:r>
      <w:r w:rsidR="00D81000">
        <w:rPr>
          <w:b/>
          <w:lang w:val="fr-FR"/>
        </w:rPr>
        <w:t>]</w:t>
      </w:r>
      <w:r w:rsidRPr="00190491">
        <w:rPr>
          <w:b/>
          <w:lang w:val="fr-FR"/>
        </w:rPr>
        <w:t>.</w:t>
      </w:r>
    </w:p>
    <w:p w14:paraId="2C3EDF0F" w14:textId="6361422E" w:rsidR="00364BF3" w:rsidRPr="0011615C" w:rsidRDefault="00364BF3" w:rsidP="008A6B29">
      <w:pPr>
        <w:pStyle w:val="SingleTxt"/>
        <w:numPr>
          <w:ilvl w:val="0"/>
          <w:numId w:val="10"/>
        </w:numPr>
        <w:spacing w:line="240" w:lineRule="exact"/>
        <w:rPr>
          <w:lang w:val="fr-FR"/>
        </w:rPr>
      </w:pPr>
      <w:r w:rsidRPr="0011615C">
        <w:rPr>
          <w:lang w:val="fr-FR"/>
        </w:rPr>
        <w:t>Le projet d</w:t>
      </w:r>
      <w:r w:rsidR="000C16F5">
        <w:rPr>
          <w:lang w:val="fr-FR"/>
        </w:rPr>
        <w:t>’</w:t>
      </w:r>
      <w:r w:rsidRPr="0011615C">
        <w:rPr>
          <w:lang w:val="fr-FR"/>
        </w:rPr>
        <w:t xml:space="preserve">Assistance judiciaire gratuite initié par le Ministère de la Justice en </w:t>
      </w:r>
      <w:r w:rsidRPr="00190491">
        <w:rPr>
          <w:lang w:val="fr-FR"/>
        </w:rPr>
        <w:t>collaboration</w:t>
      </w:r>
      <w:r w:rsidRPr="0011615C">
        <w:rPr>
          <w:lang w:val="fr-FR"/>
        </w:rPr>
        <w:t xml:space="preserve"> avec le Barreau ivoirien à travers l</w:t>
      </w:r>
      <w:r w:rsidR="000C16F5">
        <w:rPr>
          <w:lang w:val="fr-FR"/>
        </w:rPr>
        <w:t>’</w:t>
      </w:r>
      <w:r w:rsidRPr="0011615C">
        <w:rPr>
          <w:lang w:val="fr-FR"/>
        </w:rPr>
        <w:t>appui financier de l</w:t>
      </w:r>
      <w:r w:rsidR="000C16F5">
        <w:rPr>
          <w:lang w:val="fr-FR"/>
        </w:rPr>
        <w:t>’</w:t>
      </w:r>
      <w:r w:rsidRPr="0011615C">
        <w:rPr>
          <w:lang w:val="fr-FR"/>
        </w:rPr>
        <w:t>Union Européenne (UE) vise à accorder une assistance juridique et judiciaire gratuitement à plus de 500 personnes démunies. Un accent est mis sur certaines affaires, telles que les cas de viol ou d</w:t>
      </w:r>
      <w:r w:rsidR="000C16F5">
        <w:rPr>
          <w:lang w:val="fr-FR"/>
        </w:rPr>
        <w:t>’</w:t>
      </w:r>
      <w:r w:rsidRPr="0011615C">
        <w:rPr>
          <w:lang w:val="fr-FR"/>
        </w:rPr>
        <w:t>agressions sexuelles.</w:t>
      </w:r>
    </w:p>
    <w:p w14:paraId="03001E51" w14:textId="7835CE58" w:rsidR="00364BF3" w:rsidRPr="0011615C" w:rsidRDefault="00364BF3" w:rsidP="008A6B29">
      <w:pPr>
        <w:pStyle w:val="SingleTxt"/>
        <w:numPr>
          <w:ilvl w:val="0"/>
          <w:numId w:val="10"/>
        </w:numPr>
        <w:spacing w:line="240" w:lineRule="exact"/>
        <w:rPr>
          <w:lang w:val="fr-FR"/>
        </w:rPr>
      </w:pPr>
      <w:r w:rsidRPr="0011615C">
        <w:rPr>
          <w:lang w:val="fr-FR"/>
        </w:rPr>
        <w:t xml:space="preserve">Le </w:t>
      </w:r>
      <w:r w:rsidRPr="00190491">
        <w:rPr>
          <w:lang w:val="fr-FR"/>
        </w:rPr>
        <w:t>Corps</w:t>
      </w:r>
      <w:r w:rsidRPr="0011615C">
        <w:rPr>
          <w:lang w:val="fr-FR"/>
        </w:rPr>
        <w:t xml:space="preserve"> Préfectoral et les Parlementaires ont été formés en 2013 et 2014 sur l</w:t>
      </w:r>
      <w:r w:rsidR="000C16F5">
        <w:rPr>
          <w:lang w:val="fr-FR"/>
        </w:rPr>
        <w:t>’</w:t>
      </w:r>
      <w:r w:rsidRPr="0011615C">
        <w:rPr>
          <w:lang w:val="fr-FR"/>
        </w:rPr>
        <w:t>approche Genre et les VBG, afin d</w:t>
      </w:r>
      <w:r w:rsidR="000C16F5">
        <w:rPr>
          <w:lang w:val="fr-FR"/>
        </w:rPr>
        <w:t>’</w:t>
      </w:r>
      <w:r w:rsidRPr="0011615C">
        <w:rPr>
          <w:lang w:val="fr-FR"/>
        </w:rPr>
        <w:t>être outillés pour veiller au respect de la loi et à la protection des populations.</w:t>
      </w:r>
    </w:p>
    <w:p w14:paraId="3697B110" w14:textId="0D29987E" w:rsidR="00364BF3" w:rsidRPr="0011615C" w:rsidRDefault="00364BF3" w:rsidP="008A6B29">
      <w:pPr>
        <w:pStyle w:val="SingleTxt"/>
        <w:numPr>
          <w:ilvl w:val="0"/>
          <w:numId w:val="10"/>
        </w:numPr>
        <w:spacing w:line="240" w:lineRule="exact"/>
        <w:rPr>
          <w:lang w:val="fr-FR"/>
        </w:rPr>
      </w:pPr>
      <w:r w:rsidRPr="00190491">
        <w:rPr>
          <w:lang w:val="fr-FR"/>
        </w:rPr>
        <w:t>Avec</w:t>
      </w:r>
      <w:r w:rsidRPr="0011615C">
        <w:rPr>
          <w:lang w:val="fr-FR"/>
        </w:rPr>
        <w:t xml:space="preserve"> l</w:t>
      </w:r>
      <w:r w:rsidR="000C16F5">
        <w:rPr>
          <w:lang w:val="fr-FR"/>
        </w:rPr>
        <w:t>’</w:t>
      </w:r>
      <w:r w:rsidRPr="0011615C">
        <w:rPr>
          <w:lang w:val="fr-FR"/>
        </w:rPr>
        <w:t>appui des fonds CERF</w:t>
      </w:r>
      <w:r w:rsidRPr="00300E48">
        <w:rPr>
          <w:rStyle w:val="FootnoteReference"/>
          <w:lang w:val="fr-FR"/>
        </w:rPr>
        <w:footnoteReference w:id="9"/>
      </w:r>
      <w:r w:rsidRPr="0011615C">
        <w:rPr>
          <w:lang w:val="fr-FR"/>
        </w:rPr>
        <w:t xml:space="preserve"> et OFDA, l</w:t>
      </w:r>
      <w:r w:rsidR="000C16F5">
        <w:rPr>
          <w:lang w:val="fr-FR"/>
        </w:rPr>
        <w:t>’</w:t>
      </w:r>
      <w:r w:rsidRPr="0011615C">
        <w:rPr>
          <w:lang w:val="fr-FR"/>
        </w:rPr>
        <w:t>UNFPA</w:t>
      </w:r>
      <w:r w:rsidRPr="00300E48">
        <w:rPr>
          <w:rStyle w:val="FootnoteReference"/>
          <w:lang w:val="fr-FR"/>
        </w:rPr>
        <w:footnoteReference w:id="10"/>
      </w:r>
      <w:r w:rsidRPr="0011615C">
        <w:rPr>
          <w:lang w:val="fr-FR"/>
        </w:rPr>
        <w:t xml:space="preserve"> et ses partenaires de mise en œuvre (OIS-Afrique, ODAFEM, ASAPSU) ont, en2012, aidé à la prise en charge </w:t>
      </w:r>
      <w:r w:rsidRPr="0011615C">
        <w:rPr>
          <w:lang w:val="fr-FR"/>
        </w:rPr>
        <w:lastRenderedPageBreak/>
        <w:t>de 226 survivantes dont 67 victimes de viol et à la mise en place de 5</w:t>
      </w:r>
      <w:r w:rsidR="00817480">
        <w:rPr>
          <w:lang w:val="fr-FR"/>
        </w:rPr>
        <w:t xml:space="preserve"> </w:t>
      </w:r>
      <w:r w:rsidRPr="0011615C">
        <w:rPr>
          <w:lang w:val="fr-FR"/>
        </w:rPr>
        <w:t>Centres d</w:t>
      </w:r>
      <w:r w:rsidR="000C16F5">
        <w:rPr>
          <w:lang w:val="fr-FR"/>
        </w:rPr>
        <w:t>’</w:t>
      </w:r>
      <w:r w:rsidR="00817480" w:rsidRPr="0011615C">
        <w:rPr>
          <w:lang w:val="fr-FR"/>
        </w:rPr>
        <w:t>e</w:t>
      </w:r>
      <w:r w:rsidRPr="0011615C">
        <w:rPr>
          <w:lang w:val="fr-FR"/>
        </w:rPr>
        <w:t>xcellence à Abidjan dans certains quartiers.</w:t>
      </w:r>
    </w:p>
    <w:p w14:paraId="74709006" w14:textId="6058A1E6" w:rsidR="00364BF3" w:rsidRPr="00190491" w:rsidRDefault="00364BF3" w:rsidP="008A6B29">
      <w:pPr>
        <w:pStyle w:val="SingleTxt"/>
        <w:numPr>
          <w:ilvl w:val="0"/>
          <w:numId w:val="10"/>
        </w:numPr>
        <w:spacing w:line="240" w:lineRule="exact"/>
        <w:rPr>
          <w:b/>
          <w:lang w:val="fr-FR"/>
        </w:rPr>
      </w:pPr>
      <w:r w:rsidRPr="00190491">
        <w:rPr>
          <w:b/>
          <w:lang w:val="fr-FR"/>
        </w:rPr>
        <w:t xml:space="preserve">Renforcer les mesures prises pour établir des centres de conseil pour les femmes de répondre à leurs expériences traumatisantes, notamment en matière de violence sexuelle, et assurer un accès adéquat aux services de santé </w:t>
      </w:r>
      <w:r w:rsidR="00D81000">
        <w:rPr>
          <w:b/>
          <w:lang w:val="fr-FR"/>
        </w:rPr>
        <w:t>[</w:t>
      </w:r>
      <w:r w:rsidRPr="00190491">
        <w:rPr>
          <w:b/>
          <w:lang w:val="fr-FR"/>
        </w:rPr>
        <w:t xml:space="preserve">voir </w:t>
      </w:r>
      <w:hyperlink r:id="rId55"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29 e)</w:t>
      </w:r>
      <w:r w:rsidR="00D81000">
        <w:rPr>
          <w:b/>
          <w:lang w:val="fr-FR"/>
        </w:rPr>
        <w:t>]</w:t>
      </w:r>
      <w:r w:rsidRPr="00190491">
        <w:rPr>
          <w:b/>
          <w:lang w:val="fr-FR"/>
        </w:rPr>
        <w:t>.</w:t>
      </w:r>
    </w:p>
    <w:p w14:paraId="1D522587" w14:textId="2493DCCF" w:rsidR="00364BF3" w:rsidRPr="0011615C" w:rsidRDefault="00364BF3" w:rsidP="008A6B29">
      <w:pPr>
        <w:pStyle w:val="SingleTxt"/>
        <w:numPr>
          <w:ilvl w:val="0"/>
          <w:numId w:val="10"/>
        </w:numPr>
        <w:spacing w:line="240" w:lineRule="exact"/>
        <w:rPr>
          <w:lang w:val="fr-FR"/>
        </w:rPr>
      </w:pPr>
      <w:r w:rsidRPr="00190491">
        <w:rPr>
          <w:lang w:val="fr-FR"/>
        </w:rPr>
        <w:t>Dans</w:t>
      </w:r>
      <w:r w:rsidRPr="0011615C">
        <w:rPr>
          <w:lang w:val="fr-FR"/>
        </w:rPr>
        <w:t xml:space="preserve"> ce domaine, un comité National de Lutte contre les Violences Basées sur le Genre a été créé et est opérationnel depuis 2014. De nouvelles plateformes de prise en charge des violences en lien avec les mécanismes de protection de l</w:t>
      </w:r>
      <w:r w:rsidR="000C16F5">
        <w:rPr>
          <w:lang w:val="fr-FR"/>
        </w:rPr>
        <w:t>’</w:t>
      </w:r>
      <w:r w:rsidRPr="0011615C">
        <w:rPr>
          <w:lang w:val="fr-FR"/>
        </w:rPr>
        <w:t xml:space="preserve">enfant à travers le pays ont été créées et les anciennes ont été renforcées. </w:t>
      </w:r>
      <w:r w:rsidR="00C10A78" w:rsidRPr="0011615C">
        <w:rPr>
          <w:lang w:val="fr-FR"/>
        </w:rPr>
        <w:t>À</w:t>
      </w:r>
      <w:r w:rsidRPr="0011615C">
        <w:rPr>
          <w:lang w:val="fr-FR"/>
        </w:rPr>
        <w:t xml:space="preserve"> ce jour, il existe 48 Plateformes à travers le territoire national sous la responsabilité directe des autorités préfectorales et 14 Bureaux d</w:t>
      </w:r>
      <w:r w:rsidR="000C16F5">
        <w:rPr>
          <w:lang w:val="fr-FR"/>
        </w:rPr>
        <w:t>’</w:t>
      </w:r>
      <w:r w:rsidRPr="0011615C">
        <w:rPr>
          <w:lang w:val="fr-FR"/>
        </w:rPr>
        <w:t>écoute ont été ouverts. Ces bureaux sont animés par 238 volontaires (relais communautaires), faisant l</w:t>
      </w:r>
      <w:r w:rsidR="000C16F5">
        <w:rPr>
          <w:lang w:val="fr-FR"/>
        </w:rPr>
        <w:t>’</w:t>
      </w:r>
      <w:r w:rsidRPr="0011615C">
        <w:rPr>
          <w:lang w:val="fr-FR"/>
        </w:rPr>
        <w:t>alerte précoce des violences. Les Plateformes et les bureaux d</w:t>
      </w:r>
      <w:r w:rsidR="000C16F5">
        <w:rPr>
          <w:lang w:val="fr-FR"/>
        </w:rPr>
        <w:t>’</w:t>
      </w:r>
      <w:r w:rsidRPr="0011615C">
        <w:rPr>
          <w:lang w:val="fr-FR"/>
        </w:rPr>
        <w:t>écoute sont au cœur de la prise en charge multisectorielle et de la gestion des cas individuels sur le terrain.</w:t>
      </w:r>
    </w:p>
    <w:p w14:paraId="73765C85" w14:textId="40991C1C" w:rsidR="00364BF3" w:rsidRPr="0011615C" w:rsidRDefault="00364BF3" w:rsidP="008A6B29">
      <w:pPr>
        <w:pStyle w:val="SingleTxt"/>
        <w:numPr>
          <w:ilvl w:val="0"/>
          <w:numId w:val="10"/>
        </w:numPr>
        <w:spacing w:line="240" w:lineRule="exact"/>
        <w:rPr>
          <w:lang w:val="fr-FR"/>
        </w:rPr>
      </w:pPr>
      <w:r w:rsidRPr="0011615C">
        <w:rPr>
          <w:lang w:val="fr-FR"/>
        </w:rPr>
        <w:t xml:space="preserve">En </w:t>
      </w:r>
      <w:r w:rsidRPr="00190491">
        <w:rPr>
          <w:lang w:val="fr-FR"/>
        </w:rPr>
        <w:t>outre</w:t>
      </w:r>
      <w:r w:rsidRPr="0011615C">
        <w:rPr>
          <w:lang w:val="fr-FR"/>
        </w:rPr>
        <w:t>, des centres d</w:t>
      </w:r>
      <w:r w:rsidR="000C16F5">
        <w:rPr>
          <w:lang w:val="fr-FR"/>
        </w:rPr>
        <w:t>’</w:t>
      </w:r>
      <w:r w:rsidRPr="0011615C">
        <w:rPr>
          <w:lang w:val="fr-FR"/>
        </w:rPr>
        <w:t>excellence dits de prise en charge holistique des VBG</w:t>
      </w:r>
      <w:r w:rsidR="00817480">
        <w:rPr>
          <w:lang w:val="fr-FR"/>
        </w:rPr>
        <w:t xml:space="preserve"> </w:t>
      </w:r>
      <w:r w:rsidRPr="0011615C">
        <w:rPr>
          <w:lang w:val="fr-FR"/>
        </w:rPr>
        <w:t>ont été créés (Korhogo, Bouaké, Yopougon, Abobo, Marcory., PAVVIOS à Abidjan, CEFM à Man).</w:t>
      </w:r>
    </w:p>
    <w:p w14:paraId="1EC8482A" w14:textId="65A1D3A4" w:rsidR="00364BF3" w:rsidRPr="0011615C" w:rsidRDefault="00364BF3" w:rsidP="008A6B29">
      <w:pPr>
        <w:pStyle w:val="SingleTxt"/>
        <w:numPr>
          <w:ilvl w:val="0"/>
          <w:numId w:val="10"/>
        </w:numPr>
        <w:spacing w:line="240" w:lineRule="exact"/>
        <w:rPr>
          <w:lang w:val="fr-FR"/>
        </w:rPr>
      </w:pPr>
      <w:r w:rsidRPr="00190491">
        <w:rPr>
          <w:lang w:val="fr-FR"/>
        </w:rPr>
        <w:t>Dans</w:t>
      </w:r>
      <w:r w:rsidRPr="0011615C">
        <w:rPr>
          <w:lang w:val="fr-FR"/>
        </w:rPr>
        <w:t xml:space="preserve"> le cadre du projet PRDF, 5 cases de la paix ont été également mises en place à Abobo, Danané, Duékoué, Man et Yopougon pour l</w:t>
      </w:r>
      <w:r w:rsidR="000C16F5">
        <w:rPr>
          <w:lang w:val="fr-FR"/>
        </w:rPr>
        <w:t>’</w:t>
      </w:r>
      <w:r w:rsidRPr="0011615C">
        <w:rPr>
          <w:lang w:val="fr-FR"/>
        </w:rPr>
        <w:t>écoute et le référencement des femmes victimes de violence.</w:t>
      </w:r>
    </w:p>
    <w:p w14:paraId="048531D4" w14:textId="3161E4C4" w:rsidR="00364BF3" w:rsidRPr="00190491" w:rsidRDefault="00364BF3" w:rsidP="008A6B29">
      <w:pPr>
        <w:pStyle w:val="SingleTxt"/>
        <w:numPr>
          <w:ilvl w:val="0"/>
          <w:numId w:val="10"/>
        </w:numPr>
        <w:spacing w:line="240" w:lineRule="exact"/>
        <w:rPr>
          <w:b/>
          <w:lang w:val="fr-FR"/>
        </w:rPr>
      </w:pPr>
      <w:r w:rsidRPr="00190491">
        <w:rPr>
          <w:b/>
          <w:lang w:val="fr-FR"/>
        </w:rPr>
        <w:t>Assurer la sécurité des femmes déplacées à l</w:t>
      </w:r>
      <w:r w:rsidR="000C16F5">
        <w:rPr>
          <w:b/>
          <w:lang w:val="fr-FR"/>
        </w:rPr>
        <w:t>’</w:t>
      </w:r>
      <w:r w:rsidRPr="00190491">
        <w:rPr>
          <w:b/>
          <w:lang w:val="fr-FR"/>
        </w:rPr>
        <w:t>intérieur et allouer davantage de</w:t>
      </w:r>
      <w:r w:rsidR="00B00B13">
        <w:rPr>
          <w:b/>
          <w:lang w:val="fr-FR"/>
        </w:rPr>
        <w:t xml:space="preserve"> </w:t>
      </w:r>
      <w:r w:rsidRPr="00190491">
        <w:rPr>
          <w:b/>
          <w:lang w:val="fr-FR"/>
        </w:rPr>
        <w:t>ressources pour répondre à leurs besoins, en particulier leur accès aux moyens de subsistance, l</w:t>
      </w:r>
      <w:r w:rsidR="000C16F5">
        <w:rPr>
          <w:b/>
          <w:lang w:val="fr-FR"/>
        </w:rPr>
        <w:t>’</w:t>
      </w:r>
      <w:r w:rsidRPr="00190491">
        <w:rPr>
          <w:b/>
          <w:lang w:val="fr-FR"/>
        </w:rPr>
        <w:t>eau et l</w:t>
      </w:r>
      <w:r w:rsidR="000C16F5">
        <w:rPr>
          <w:b/>
          <w:lang w:val="fr-FR"/>
        </w:rPr>
        <w:t>’</w:t>
      </w:r>
      <w:r w:rsidRPr="00190491">
        <w:rPr>
          <w:b/>
          <w:lang w:val="fr-FR"/>
        </w:rPr>
        <w:t xml:space="preserve">éducation, pour eux-mêmes et leurs enfants </w:t>
      </w:r>
      <w:r w:rsidR="00D81000">
        <w:rPr>
          <w:b/>
          <w:lang w:val="fr-FR"/>
        </w:rPr>
        <w:t>[</w:t>
      </w:r>
      <w:r w:rsidRPr="00190491">
        <w:rPr>
          <w:b/>
          <w:lang w:val="fr-FR"/>
        </w:rPr>
        <w:t xml:space="preserve">voir </w:t>
      </w:r>
      <w:hyperlink r:id="rId56"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29 f)</w:t>
      </w:r>
      <w:r w:rsidR="00D81000">
        <w:rPr>
          <w:b/>
          <w:lang w:val="fr-FR"/>
        </w:rPr>
        <w:t>]</w:t>
      </w:r>
      <w:r w:rsidRPr="00190491">
        <w:rPr>
          <w:b/>
          <w:lang w:val="fr-FR"/>
        </w:rPr>
        <w:t>.</w:t>
      </w:r>
    </w:p>
    <w:p w14:paraId="04D538D5" w14:textId="478B49C2" w:rsidR="00364BF3" w:rsidRPr="00190491" w:rsidRDefault="00364BF3" w:rsidP="008A6B29">
      <w:pPr>
        <w:pStyle w:val="SingleTxt"/>
        <w:numPr>
          <w:ilvl w:val="0"/>
          <w:numId w:val="10"/>
        </w:numPr>
        <w:spacing w:line="240" w:lineRule="exact"/>
        <w:rPr>
          <w:lang w:val="fr-FR"/>
        </w:rPr>
      </w:pPr>
      <w:r w:rsidRPr="00190491">
        <w:rPr>
          <w:lang w:val="fr-FR"/>
        </w:rPr>
        <w:t>Pour renforcer le processus de réconciliation nationale et de prise en charge des victimes entamé par la Commission Dialogue Vérité et Réconciliation (CDVR), la Commission nationale pour la réconciliation et l</w:t>
      </w:r>
      <w:r w:rsidR="000C16F5">
        <w:rPr>
          <w:lang w:val="fr-FR"/>
        </w:rPr>
        <w:t>’</w:t>
      </w:r>
      <w:r w:rsidRPr="00190491">
        <w:rPr>
          <w:lang w:val="fr-FR"/>
        </w:rPr>
        <w:t>indemnisation des victimes (CONARIV) et le Programme national de cohésion sociale (PNCS) Ministère de la Solidarité, de la Cohésion Sociale et de l</w:t>
      </w:r>
      <w:r w:rsidR="000C16F5">
        <w:rPr>
          <w:lang w:val="fr-FR"/>
        </w:rPr>
        <w:t>’</w:t>
      </w:r>
      <w:r w:rsidRPr="00190491">
        <w:rPr>
          <w:lang w:val="fr-FR"/>
        </w:rPr>
        <w:t>Indemnisation des Victimes (MSCSIV) A été créé en janvier 2016.</w:t>
      </w:r>
    </w:p>
    <w:p w14:paraId="02F1FA4E" w14:textId="4BAF927F" w:rsidR="00364BF3" w:rsidRPr="00190491" w:rsidRDefault="00364BF3" w:rsidP="008A6B29">
      <w:pPr>
        <w:pStyle w:val="SingleTxt"/>
        <w:numPr>
          <w:ilvl w:val="0"/>
          <w:numId w:val="10"/>
        </w:numPr>
        <w:spacing w:line="240" w:lineRule="exact"/>
        <w:rPr>
          <w:lang w:val="fr-FR"/>
        </w:rPr>
      </w:pPr>
      <w:r w:rsidRPr="00190491">
        <w:rPr>
          <w:lang w:val="fr-FR"/>
        </w:rPr>
        <w:t>A la suite de ces structures, ce ministère, a en charge la dimension réparatrice à travers l</w:t>
      </w:r>
      <w:r w:rsidR="000C16F5">
        <w:rPr>
          <w:lang w:val="fr-FR"/>
        </w:rPr>
        <w:t>’</w:t>
      </w:r>
      <w:r w:rsidRPr="00190491">
        <w:rPr>
          <w:lang w:val="fr-FR"/>
        </w:rPr>
        <w:t>identification et l</w:t>
      </w:r>
      <w:r w:rsidR="000C16F5">
        <w:rPr>
          <w:lang w:val="fr-FR"/>
        </w:rPr>
        <w:t>’</w:t>
      </w:r>
      <w:r w:rsidRPr="00190491">
        <w:rPr>
          <w:lang w:val="fr-FR"/>
        </w:rPr>
        <w:t xml:space="preserve">indemnisation des victimes. </w:t>
      </w:r>
    </w:p>
    <w:p w14:paraId="181C3B49" w14:textId="01844856" w:rsidR="00364BF3" w:rsidRPr="00190491" w:rsidRDefault="00364BF3" w:rsidP="008A6B29">
      <w:pPr>
        <w:pStyle w:val="SingleTxt"/>
        <w:numPr>
          <w:ilvl w:val="0"/>
          <w:numId w:val="10"/>
        </w:numPr>
        <w:spacing w:line="240" w:lineRule="exact"/>
        <w:rPr>
          <w:lang w:val="fr-FR"/>
        </w:rPr>
      </w:pPr>
      <w:r w:rsidRPr="00190491">
        <w:rPr>
          <w:lang w:val="fr-FR"/>
        </w:rPr>
        <w:t>Pour la phase pilote, ce sont les victimes ayant connu des préjudices physiques qui ont bénéficié des interventions du MSCSIV avec un premier budget de 10</w:t>
      </w:r>
      <w:r w:rsidR="00817480">
        <w:rPr>
          <w:lang w:val="fr-FR"/>
        </w:rPr>
        <w:t> </w:t>
      </w:r>
      <w:r w:rsidRPr="00190491">
        <w:rPr>
          <w:lang w:val="fr-FR"/>
        </w:rPr>
        <w:t>milliards de Francs CFA. La liste des bénéficiaires a été fournie par le MSFFE, le CNE et l</w:t>
      </w:r>
      <w:r w:rsidR="000C16F5">
        <w:rPr>
          <w:lang w:val="fr-FR"/>
        </w:rPr>
        <w:t>’</w:t>
      </w:r>
      <w:r w:rsidRPr="00190491">
        <w:rPr>
          <w:lang w:val="fr-FR"/>
        </w:rPr>
        <w:t>ADDR. Au total, ce sont 4</w:t>
      </w:r>
      <w:r w:rsidR="00817480">
        <w:rPr>
          <w:lang w:val="fr-FR"/>
        </w:rPr>
        <w:t> </w:t>
      </w:r>
      <w:r w:rsidRPr="00190491">
        <w:rPr>
          <w:lang w:val="fr-FR"/>
        </w:rPr>
        <w:t>500 victimes dont 3</w:t>
      </w:r>
      <w:r w:rsidR="00817480">
        <w:rPr>
          <w:lang w:val="fr-FR"/>
        </w:rPr>
        <w:t> </w:t>
      </w:r>
      <w:r w:rsidRPr="00190491">
        <w:rPr>
          <w:lang w:val="fr-FR"/>
        </w:rPr>
        <w:t>500 ayant- droit et 1</w:t>
      </w:r>
      <w:r w:rsidR="00817480">
        <w:rPr>
          <w:lang w:val="fr-FR"/>
        </w:rPr>
        <w:t> </w:t>
      </w:r>
      <w:r w:rsidRPr="00190491">
        <w:rPr>
          <w:lang w:val="fr-FR"/>
        </w:rPr>
        <w:t>000 blessés qui étaient concernés par les activités d</w:t>
      </w:r>
      <w:r w:rsidR="000C16F5">
        <w:rPr>
          <w:lang w:val="fr-FR"/>
        </w:rPr>
        <w:t>’</w:t>
      </w:r>
      <w:r w:rsidRPr="00190491">
        <w:rPr>
          <w:lang w:val="fr-FR"/>
        </w:rPr>
        <w:t>indemnisation.</w:t>
      </w:r>
    </w:p>
    <w:p w14:paraId="0E1B14CD" w14:textId="21977946" w:rsidR="00364BF3" w:rsidRPr="00190491" w:rsidRDefault="00364BF3" w:rsidP="008A6B29">
      <w:pPr>
        <w:pStyle w:val="SingleTxt"/>
        <w:numPr>
          <w:ilvl w:val="0"/>
          <w:numId w:val="10"/>
        </w:numPr>
        <w:spacing w:line="240" w:lineRule="exact"/>
        <w:rPr>
          <w:lang w:val="fr-FR"/>
        </w:rPr>
      </w:pPr>
      <w:r w:rsidRPr="00190491">
        <w:rPr>
          <w:lang w:val="fr-FR"/>
        </w:rPr>
        <w:t>En outre, pour la prise en charge des enfants orphelins, la Côte d</w:t>
      </w:r>
      <w:r w:rsidR="000C16F5">
        <w:rPr>
          <w:lang w:val="fr-FR"/>
        </w:rPr>
        <w:t>’</w:t>
      </w:r>
      <w:r w:rsidRPr="00190491">
        <w:rPr>
          <w:lang w:val="fr-FR"/>
        </w:rPr>
        <w:t>Ivoire a pris la loi 2014-137 du 24 mars 2014 portant statut des pupilles de la nation. Cette loi définit le statut de pupille de la nation et les modalités de leur prise en charge médicale scolaire et universitaire ainsi que de leur insertion socioprofessionnelle.</w:t>
      </w:r>
    </w:p>
    <w:p w14:paraId="3FF9A635" w14:textId="2AE831A5" w:rsidR="00364BF3" w:rsidRDefault="00364BF3" w:rsidP="008A6B29">
      <w:pPr>
        <w:pStyle w:val="SingleTxt"/>
        <w:numPr>
          <w:ilvl w:val="0"/>
          <w:numId w:val="10"/>
        </w:numPr>
        <w:spacing w:line="240" w:lineRule="exact"/>
        <w:rPr>
          <w:b/>
          <w:lang w:val="fr-FR"/>
        </w:rPr>
      </w:pPr>
      <w:r w:rsidRPr="00190491">
        <w:rPr>
          <w:b/>
          <w:lang w:val="fr-FR"/>
        </w:rPr>
        <w:t xml:space="preserve">Mettre en œuvre des droits économiques et sociaux dans la reconstruction post-conflit </w:t>
      </w:r>
      <w:r w:rsidR="00D81000">
        <w:rPr>
          <w:b/>
          <w:lang w:val="fr-FR"/>
        </w:rPr>
        <w:t>[</w:t>
      </w:r>
      <w:r w:rsidRPr="00190491">
        <w:rPr>
          <w:b/>
          <w:lang w:val="fr-FR"/>
        </w:rPr>
        <w:t xml:space="preserve">voir </w:t>
      </w:r>
      <w:hyperlink r:id="rId57"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29 g)</w:t>
      </w:r>
      <w:r w:rsidR="00D81000">
        <w:rPr>
          <w:b/>
          <w:lang w:val="fr-FR"/>
        </w:rPr>
        <w:t>]</w:t>
      </w:r>
      <w:r w:rsidRPr="00190491">
        <w:rPr>
          <w:b/>
          <w:lang w:val="fr-FR"/>
        </w:rPr>
        <w:t>.</w:t>
      </w:r>
    </w:p>
    <w:p w14:paraId="55784787" w14:textId="6AFC6CB2" w:rsidR="00B00B13" w:rsidRPr="00B00B13" w:rsidRDefault="00B00B13" w:rsidP="00B00B13">
      <w:pPr>
        <w:pStyle w:val="SingleTxt"/>
        <w:tabs>
          <w:tab w:val="clear" w:pos="1742"/>
        </w:tabs>
        <w:spacing w:after="0" w:line="120" w:lineRule="exact"/>
        <w:rPr>
          <w:b/>
          <w:sz w:val="10"/>
          <w:lang w:val="fr-FR"/>
        </w:rPr>
      </w:pPr>
    </w:p>
    <w:p w14:paraId="676A1FC2" w14:textId="7AC4D2DA" w:rsidR="00364BF3" w:rsidRDefault="00364BF3" w:rsidP="00B00B13">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Le droit à un travail décent</w:t>
      </w:r>
    </w:p>
    <w:p w14:paraId="6BD9FDB6" w14:textId="2B4E94C6" w:rsidR="00B00B13" w:rsidRPr="00B00B13" w:rsidRDefault="00B00B13" w:rsidP="00B00B13">
      <w:pPr>
        <w:spacing w:line="120" w:lineRule="exact"/>
        <w:rPr>
          <w:sz w:val="10"/>
          <w:lang w:val="fr-FR"/>
        </w:rPr>
      </w:pPr>
    </w:p>
    <w:p w14:paraId="6D5153E1" w14:textId="79CE8305" w:rsidR="00364BF3" w:rsidRPr="00190491" w:rsidRDefault="00364BF3" w:rsidP="008A6B29">
      <w:pPr>
        <w:pStyle w:val="SingleTxt"/>
        <w:numPr>
          <w:ilvl w:val="0"/>
          <w:numId w:val="10"/>
        </w:numPr>
        <w:spacing w:line="240" w:lineRule="exact"/>
        <w:rPr>
          <w:lang w:val="fr-FR"/>
        </w:rPr>
      </w:pPr>
      <w:r w:rsidRPr="00190491">
        <w:rPr>
          <w:lang w:val="fr-FR"/>
        </w:rPr>
        <w:t>Avec le décret n</w:t>
      </w:r>
      <w:r w:rsidR="004B7322" w:rsidRPr="004B7322">
        <w:rPr>
          <w:vertAlign w:val="superscript"/>
          <w:lang w:val="fr-FR"/>
        </w:rPr>
        <w:t>o</w:t>
      </w:r>
      <w:r w:rsidR="004B7322">
        <w:rPr>
          <w:lang w:val="fr-FR"/>
        </w:rPr>
        <w:t> </w:t>
      </w:r>
      <w:r w:rsidRPr="00190491">
        <w:rPr>
          <w:lang w:val="fr-FR"/>
        </w:rPr>
        <w:t xml:space="preserve">2013-791 du 20 </w:t>
      </w:r>
      <w:r w:rsidR="00817480" w:rsidRPr="00190491">
        <w:rPr>
          <w:lang w:val="fr-FR"/>
        </w:rPr>
        <w:t xml:space="preserve">novembre </w:t>
      </w:r>
      <w:r w:rsidRPr="00190491">
        <w:rPr>
          <w:lang w:val="fr-FR"/>
        </w:rPr>
        <w:t>2013 portant revalorisation du Salaire Minimum Interprofessionnel Garanti (SMIG), le salaire minimum en côte d</w:t>
      </w:r>
      <w:r w:rsidR="000C16F5">
        <w:rPr>
          <w:lang w:val="fr-FR"/>
        </w:rPr>
        <w:t>’</w:t>
      </w:r>
      <w:r w:rsidRPr="00190491">
        <w:rPr>
          <w:lang w:val="fr-FR"/>
        </w:rPr>
        <w:t xml:space="preserve">ivoire est passé de 36 607 francs CFA à 60 000 francs CFA. </w:t>
      </w:r>
    </w:p>
    <w:p w14:paraId="640BC8FC" w14:textId="18569783" w:rsidR="00364BF3" w:rsidRPr="00427A94" w:rsidRDefault="00364BF3" w:rsidP="008A6B29">
      <w:pPr>
        <w:pStyle w:val="SingleTxt"/>
        <w:numPr>
          <w:ilvl w:val="0"/>
          <w:numId w:val="10"/>
        </w:numPr>
        <w:spacing w:line="240" w:lineRule="exact"/>
        <w:rPr>
          <w:b/>
          <w:bCs/>
          <w:lang w:val="fr-FR"/>
        </w:rPr>
      </w:pPr>
      <w:r w:rsidRPr="00427A94">
        <w:rPr>
          <w:b/>
          <w:bCs/>
          <w:lang w:val="fr-FR"/>
        </w:rPr>
        <w:lastRenderedPageBreak/>
        <w:t>Veiller à la mise en œuvre efficace du Plan d</w:t>
      </w:r>
      <w:r w:rsidR="000C16F5" w:rsidRPr="00427A94">
        <w:rPr>
          <w:b/>
          <w:bCs/>
          <w:lang w:val="fr-FR"/>
        </w:rPr>
        <w:t>’</w:t>
      </w:r>
      <w:r w:rsidRPr="00427A94">
        <w:rPr>
          <w:b/>
          <w:bCs/>
          <w:lang w:val="fr-FR"/>
        </w:rPr>
        <w:t>action national de la Résolution 1325, en liaison avec la mise en œuvre de la Convention, et s</w:t>
      </w:r>
      <w:r w:rsidR="000C16F5" w:rsidRPr="00427A94">
        <w:rPr>
          <w:b/>
          <w:bCs/>
          <w:lang w:val="fr-FR"/>
        </w:rPr>
        <w:t>’</w:t>
      </w:r>
      <w:r w:rsidRPr="00427A94">
        <w:rPr>
          <w:b/>
          <w:bCs/>
          <w:lang w:val="fr-FR"/>
        </w:rPr>
        <w:t xml:space="preserve">assurer que les victimes de crimes sexuels reçoivent des réparations appropriées et de réadaptation, notamment en mobilisant des financements internationaux à cet effet </w:t>
      </w:r>
      <w:r w:rsidR="00D81000">
        <w:rPr>
          <w:b/>
          <w:bCs/>
          <w:lang w:val="fr-FR"/>
        </w:rPr>
        <w:t>[</w:t>
      </w:r>
      <w:r w:rsidRPr="00427A94">
        <w:rPr>
          <w:b/>
          <w:bCs/>
          <w:lang w:val="fr-FR"/>
        </w:rPr>
        <w:t xml:space="preserve">voir </w:t>
      </w:r>
      <w:hyperlink r:id="rId58" w:history="1">
        <w:r w:rsidRPr="007B345A">
          <w:rPr>
            <w:rStyle w:val="Hyperlink"/>
            <w:b/>
            <w:bCs/>
            <w:lang w:val="fr-FR"/>
          </w:rPr>
          <w:t>CEDAW/C/CIV/CO/1-3</w:t>
        </w:r>
      </w:hyperlink>
      <w:r w:rsidRPr="00427A94">
        <w:rPr>
          <w:b/>
          <w:bCs/>
          <w:lang w:val="fr-FR"/>
        </w:rPr>
        <w:t xml:space="preserve">, </w:t>
      </w:r>
      <w:r w:rsidR="006862B3">
        <w:rPr>
          <w:b/>
          <w:bCs/>
          <w:lang w:val="fr-FR"/>
        </w:rPr>
        <w:t>par. </w:t>
      </w:r>
      <w:r w:rsidRPr="00427A94">
        <w:rPr>
          <w:b/>
          <w:bCs/>
          <w:lang w:val="fr-FR"/>
        </w:rPr>
        <w:t>29 h)</w:t>
      </w:r>
      <w:r w:rsidR="00D81000">
        <w:rPr>
          <w:b/>
          <w:bCs/>
          <w:lang w:val="fr-FR"/>
        </w:rPr>
        <w:t>]</w:t>
      </w:r>
      <w:r w:rsidRPr="00427A94">
        <w:rPr>
          <w:b/>
          <w:bCs/>
          <w:lang w:val="fr-FR"/>
        </w:rPr>
        <w:t>.</w:t>
      </w:r>
    </w:p>
    <w:p w14:paraId="332A5B44" w14:textId="1DBD8A5E" w:rsidR="00364BF3" w:rsidRPr="00190491" w:rsidRDefault="00364BF3" w:rsidP="008A6B29">
      <w:pPr>
        <w:pStyle w:val="SingleTxt"/>
        <w:numPr>
          <w:ilvl w:val="0"/>
          <w:numId w:val="10"/>
        </w:numPr>
        <w:spacing w:line="240" w:lineRule="exact"/>
        <w:rPr>
          <w:lang w:val="fr-FR"/>
        </w:rPr>
      </w:pPr>
      <w:r w:rsidRPr="00190491">
        <w:rPr>
          <w:lang w:val="fr-FR"/>
        </w:rPr>
        <w:t>Le réseau paix et sécurité de l</w:t>
      </w:r>
      <w:r w:rsidR="000C16F5">
        <w:rPr>
          <w:lang w:val="fr-FR"/>
        </w:rPr>
        <w:t>’</w:t>
      </w:r>
      <w:r w:rsidRPr="00190491">
        <w:rPr>
          <w:lang w:val="fr-FR"/>
        </w:rPr>
        <w:t>espace CEDEAO section Côte d</w:t>
      </w:r>
      <w:r w:rsidR="000C16F5">
        <w:rPr>
          <w:lang w:val="fr-FR"/>
        </w:rPr>
        <w:t>’</w:t>
      </w:r>
      <w:r w:rsidRPr="00190491">
        <w:rPr>
          <w:lang w:val="fr-FR"/>
        </w:rPr>
        <w:t>Ivoire a mené des actions en faveur de la résolution 1325. En 2014 il a élaboré des fiches didactiques en collaboration avec l</w:t>
      </w:r>
      <w:r w:rsidR="000C16F5">
        <w:rPr>
          <w:lang w:val="fr-FR"/>
        </w:rPr>
        <w:t>’</w:t>
      </w:r>
      <w:r w:rsidRPr="00190491">
        <w:rPr>
          <w:lang w:val="fr-FR"/>
        </w:rPr>
        <w:t xml:space="preserve">UNOWA sur la 1325 pour une meilleure vulgarisation. Le réseau a conduit un mini atelier de renforcement des capacités des OSC féminines sur la résolution 1325 et 1820 du CSNU et lancé la base de données genre, femme, paix et sécurité le 13 février 2014. </w:t>
      </w:r>
    </w:p>
    <w:p w14:paraId="7AFC12DF" w14:textId="404C8ADA" w:rsidR="00364BF3" w:rsidRPr="00817480" w:rsidRDefault="00364BF3" w:rsidP="008A6B29">
      <w:pPr>
        <w:pStyle w:val="SingleTxt"/>
        <w:numPr>
          <w:ilvl w:val="0"/>
          <w:numId w:val="10"/>
        </w:numPr>
        <w:spacing w:line="240" w:lineRule="exact"/>
        <w:rPr>
          <w:b/>
          <w:bCs/>
          <w:lang w:val="fr-FR"/>
        </w:rPr>
      </w:pPr>
      <w:r w:rsidRPr="00817480">
        <w:rPr>
          <w:b/>
          <w:bCs/>
          <w:lang w:val="fr-FR"/>
        </w:rPr>
        <w:t>Renforcer l</w:t>
      </w:r>
      <w:r w:rsidR="000C16F5" w:rsidRPr="00817480">
        <w:rPr>
          <w:b/>
          <w:bCs/>
          <w:lang w:val="fr-FR"/>
        </w:rPr>
        <w:t>’</w:t>
      </w:r>
      <w:r w:rsidRPr="00817480">
        <w:rPr>
          <w:b/>
          <w:bCs/>
          <w:lang w:val="fr-FR"/>
        </w:rPr>
        <w:t>inclusion et la représentation des femmes au niveau des prises de décision dans les institutions et les mécanismes de construction de la paix, à l</w:t>
      </w:r>
      <w:r w:rsidR="000C16F5" w:rsidRPr="00817480">
        <w:rPr>
          <w:b/>
          <w:bCs/>
          <w:lang w:val="fr-FR"/>
        </w:rPr>
        <w:t>’</w:t>
      </w:r>
      <w:r w:rsidRPr="00817480">
        <w:rPr>
          <w:b/>
          <w:bCs/>
          <w:lang w:val="fr-FR"/>
        </w:rPr>
        <w:t xml:space="preserve">élaboration de politiques et à la mise en œuvre </w:t>
      </w:r>
      <w:r w:rsidR="00D81000">
        <w:rPr>
          <w:b/>
          <w:bCs/>
          <w:lang w:val="fr-FR"/>
        </w:rPr>
        <w:t>[</w:t>
      </w:r>
      <w:r w:rsidRPr="00817480">
        <w:rPr>
          <w:b/>
          <w:bCs/>
          <w:lang w:val="fr-FR"/>
        </w:rPr>
        <w:t xml:space="preserve">voir </w:t>
      </w:r>
      <w:hyperlink r:id="rId59" w:history="1">
        <w:r w:rsidRPr="007B345A">
          <w:rPr>
            <w:rStyle w:val="Hyperlink"/>
            <w:b/>
            <w:bCs/>
            <w:lang w:val="fr-FR"/>
          </w:rPr>
          <w:t>CEDAW/C/CIV/CO/1-3</w:t>
        </w:r>
      </w:hyperlink>
      <w:r w:rsidRPr="00817480">
        <w:rPr>
          <w:b/>
          <w:bCs/>
          <w:lang w:val="fr-FR"/>
        </w:rPr>
        <w:t xml:space="preserve">, </w:t>
      </w:r>
      <w:r w:rsidR="006862B3" w:rsidRPr="00817480">
        <w:rPr>
          <w:b/>
          <w:bCs/>
          <w:lang w:val="fr-FR"/>
        </w:rPr>
        <w:t>par. </w:t>
      </w:r>
      <w:r w:rsidRPr="00817480">
        <w:rPr>
          <w:b/>
          <w:bCs/>
          <w:lang w:val="fr-FR"/>
        </w:rPr>
        <w:t>29 i)</w:t>
      </w:r>
      <w:r w:rsidR="00D81000">
        <w:rPr>
          <w:b/>
          <w:bCs/>
          <w:lang w:val="fr-FR"/>
        </w:rPr>
        <w:t>]</w:t>
      </w:r>
      <w:r w:rsidRPr="00817480">
        <w:rPr>
          <w:b/>
          <w:bCs/>
          <w:lang w:val="fr-FR"/>
        </w:rPr>
        <w:t>.</w:t>
      </w:r>
    </w:p>
    <w:p w14:paraId="336CE6AE" w14:textId="0DA4FDFF" w:rsidR="00364BF3" w:rsidRPr="00190491" w:rsidRDefault="00364BF3" w:rsidP="008A6B29">
      <w:pPr>
        <w:pStyle w:val="SingleTxt"/>
        <w:numPr>
          <w:ilvl w:val="0"/>
          <w:numId w:val="10"/>
        </w:numPr>
        <w:spacing w:line="240" w:lineRule="exact"/>
        <w:rPr>
          <w:bCs/>
          <w:lang w:val="fr-FR"/>
        </w:rPr>
      </w:pPr>
      <w:r w:rsidRPr="00190491">
        <w:rPr>
          <w:lang w:val="fr-FR"/>
        </w:rPr>
        <w:t>La Commission Dialogue Vérité -Réconciliation (CDVR) mise en place pour la réparation des victimes et la réconciliation des habitants de la Côte d</w:t>
      </w:r>
      <w:r w:rsidR="000C16F5">
        <w:rPr>
          <w:lang w:val="fr-FR"/>
        </w:rPr>
        <w:t>’</w:t>
      </w:r>
      <w:r w:rsidRPr="00190491">
        <w:rPr>
          <w:lang w:val="fr-FR"/>
        </w:rPr>
        <w:t>Ivoire comprenait 36,36</w:t>
      </w:r>
      <w:r w:rsidR="00B72ED0">
        <w:rPr>
          <w:lang w:val="fr-FR"/>
        </w:rPr>
        <w:t> </w:t>
      </w:r>
      <w:r w:rsidRPr="00190491">
        <w:rPr>
          <w:lang w:val="fr-FR"/>
        </w:rPr>
        <w:t>% de femmes commissaires. Aussi le ministre en charge de la cohésion sociale et de l</w:t>
      </w:r>
      <w:r w:rsidR="000C16F5">
        <w:rPr>
          <w:lang w:val="fr-FR"/>
        </w:rPr>
        <w:t>’</w:t>
      </w:r>
      <w:r w:rsidRPr="00190491">
        <w:rPr>
          <w:lang w:val="fr-FR"/>
        </w:rPr>
        <w:t xml:space="preserve">indemnisation des victimes est une femme dans le gouvernement actuel. </w:t>
      </w:r>
      <w:r w:rsidRPr="00190491">
        <w:rPr>
          <w:bCs/>
          <w:lang w:val="fr-FR"/>
        </w:rPr>
        <w:t>Les femmes ont fait leur entrée à la Police Nationale de Côte d</w:t>
      </w:r>
      <w:r w:rsidR="000C16F5">
        <w:rPr>
          <w:bCs/>
          <w:lang w:val="fr-FR"/>
        </w:rPr>
        <w:t>’</w:t>
      </w:r>
      <w:r w:rsidRPr="00190491">
        <w:rPr>
          <w:bCs/>
          <w:lang w:val="fr-FR"/>
        </w:rPr>
        <w:t>Ivoire en 1987. Sur un effectif de 457 commissaires il y a 52 commissaires de Police de sexe féminin. Elles occupent 15 des postes de décision sur 237, soit 6</w:t>
      </w:r>
      <w:r w:rsidR="00B72ED0">
        <w:rPr>
          <w:bCs/>
          <w:lang w:val="fr-FR"/>
        </w:rPr>
        <w:t> </w:t>
      </w:r>
      <w:r w:rsidRPr="00190491">
        <w:rPr>
          <w:bCs/>
          <w:lang w:val="fr-FR"/>
        </w:rPr>
        <w:t>%. En 2011 a été nommée la première Directrice d</w:t>
      </w:r>
      <w:r w:rsidR="000C16F5">
        <w:rPr>
          <w:bCs/>
          <w:lang w:val="fr-FR"/>
        </w:rPr>
        <w:t>’</w:t>
      </w:r>
      <w:r w:rsidRPr="00190491">
        <w:rPr>
          <w:bCs/>
          <w:lang w:val="fr-FR"/>
        </w:rPr>
        <w:t xml:space="preserve">Administration à la Police Nationale. En 2012, a été nommée la première femme chef de district. </w:t>
      </w:r>
      <w:r w:rsidR="00C10A78" w:rsidRPr="00190491">
        <w:rPr>
          <w:bCs/>
          <w:lang w:val="fr-FR"/>
        </w:rPr>
        <w:t>À</w:t>
      </w:r>
      <w:r w:rsidRPr="00190491">
        <w:rPr>
          <w:bCs/>
          <w:lang w:val="fr-FR"/>
        </w:rPr>
        <w:t xml:space="preserve"> ce jour il y 02 femmes chefs de district. En 2015 a été nommée la première femme Directrice Générale adjointe. Les femmes occupent donc 6</w:t>
      </w:r>
      <w:r w:rsidR="00B72ED0">
        <w:rPr>
          <w:bCs/>
          <w:lang w:val="fr-FR"/>
        </w:rPr>
        <w:t> </w:t>
      </w:r>
      <w:r w:rsidRPr="00190491">
        <w:rPr>
          <w:bCs/>
          <w:lang w:val="fr-FR"/>
        </w:rPr>
        <w:t>% des Postes de décision.</w:t>
      </w:r>
    </w:p>
    <w:p w14:paraId="73DA69D0" w14:textId="48065110" w:rsidR="00364BF3" w:rsidRPr="0011615C" w:rsidRDefault="00364BF3" w:rsidP="008A6B29">
      <w:pPr>
        <w:pStyle w:val="SingleTxt"/>
        <w:numPr>
          <w:ilvl w:val="0"/>
          <w:numId w:val="10"/>
        </w:numPr>
        <w:spacing w:line="240" w:lineRule="exact"/>
        <w:rPr>
          <w:lang w:val="fr-FR"/>
        </w:rPr>
      </w:pPr>
      <w:r w:rsidRPr="00190491">
        <w:rPr>
          <w:lang w:val="fr-FR"/>
        </w:rPr>
        <w:t>Dans</w:t>
      </w:r>
      <w:r w:rsidRPr="0011615C">
        <w:rPr>
          <w:lang w:val="fr-FR"/>
        </w:rPr>
        <w:t xml:space="preserve"> le cadre du projet </w:t>
      </w:r>
      <w:r w:rsidRPr="00B675BB">
        <w:rPr>
          <w:iCs/>
          <w:lang w:val="fr-FR"/>
        </w:rPr>
        <w:t>«</w:t>
      </w:r>
      <w:r w:rsidRPr="0011615C">
        <w:rPr>
          <w:i/>
          <w:lang w:val="fr-FR"/>
        </w:rPr>
        <w:t> </w:t>
      </w:r>
      <w:r w:rsidRPr="00B675BB">
        <w:rPr>
          <w:iCs/>
          <w:lang w:val="fr-FR"/>
        </w:rPr>
        <w:t>Appui aux Initiatives Communautaires des Femmes en faveur de la Réconciliation et de la Paix en Côte d</w:t>
      </w:r>
      <w:r w:rsidR="000C16F5" w:rsidRPr="00B675BB">
        <w:rPr>
          <w:iCs/>
          <w:lang w:val="fr-FR"/>
        </w:rPr>
        <w:t>’</w:t>
      </w:r>
      <w:r w:rsidRPr="00B675BB">
        <w:rPr>
          <w:iCs/>
          <w:lang w:val="fr-FR"/>
        </w:rPr>
        <w:t>Ivoire</w:t>
      </w:r>
      <w:r w:rsidRPr="0011615C">
        <w:rPr>
          <w:i/>
          <w:lang w:val="fr-FR"/>
        </w:rPr>
        <w:t> </w:t>
      </w:r>
      <w:r w:rsidRPr="00B675BB">
        <w:rPr>
          <w:iCs/>
          <w:lang w:val="fr-FR"/>
        </w:rPr>
        <w:t>»</w:t>
      </w:r>
      <w:r w:rsidRPr="0011615C">
        <w:rPr>
          <w:lang w:val="fr-FR"/>
        </w:rPr>
        <w:t xml:space="preserve"> financé par le PBF en 2014-2015, 06 </w:t>
      </w:r>
      <w:r w:rsidRPr="00B675BB">
        <w:rPr>
          <w:iCs/>
          <w:lang w:val="fr-FR"/>
        </w:rPr>
        <w:t>«</w:t>
      </w:r>
      <w:r w:rsidRPr="0011615C">
        <w:rPr>
          <w:i/>
          <w:lang w:val="fr-FR"/>
        </w:rPr>
        <w:t> </w:t>
      </w:r>
      <w:r w:rsidRPr="00B675BB">
        <w:rPr>
          <w:iCs/>
          <w:lang w:val="fr-FR"/>
        </w:rPr>
        <w:t>Espace Ami des Femmes pour la Paix</w:t>
      </w:r>
      <w:r w:rsidRPr="0011615C">
        <w:rPr>
          <w:i/>
          <w:lang w:val="fr-FR"/>
        </w:rPr>
        <w:t> </w:t>
      </w:r>
      <w:r w:rsidRPr="00B675BB">
        <w:rPr>
          <w:iCs/>
          <w:lang w:val="fr-FR"/>
        </w:rPr>
        <w:t>»</w:t>
      </w:r>
      <w:r w:rsidRPr="0011615C">
        <w:rPr>
          <w:lang w:val="fr-FR"/>
        </w:rPr>
        <w:t xml:space="preserve"> ou « </w:t>
      </w:r>
      <w:r w:rsidRPr="00B675BB">
        <w:rPr>
          <w:iCs/>
          <w:lang w:val="fr-FR"/>
        </w:rPr>
        <w:t>Women Friendly Space</w:t>
      </w:r>
      <w:r w:rsidRPr="0011615C">
        <w:rPr>
          <w:i/>
          <w:lang w:val="fr-FR"/>
        </w:rPr>
        <w:t> </w:t>
      </w:r>
      <w:r w:rsidRPr="00B675BB">
        <w:rPr>
          <w:iCs/>
          <w:lang w:val="fr-FR"/>
        </w:rPr>
        <w:t>»</w:t>
      </w:r>
      <w:r w:rsidRPr="0011615C">
        <w:rPr>
          <w:lang w:val="fr-FR"/>
        </w:rPr>
        <w:t xml:space="preserve"> ont été créés dans les localités de l</w:t>
      </w:r>
      <w:r w:rsidR="000C16F5">
        <w:rPr>
          <w:lang w:val="fr-FR"/>
        </w:rPr>
        <w:t>’</w:t>
      </w:r>
      <w:r w:rsidRPr="0011615C">
        <w:rPr>
          <w:lang w:val="fr-FR"/>
        </w:rPr>
        <w:t>Ouest de la Côte d</w:t>
      </w:r>
      <w:r w:rsidR="000C16F5">
        <w:rPr>
          <w:lang w:val="fr-FR"/>
        </w:rPr>
        <w:t>’</w:t>
      </w:r>
      <w:r w:rsidRPr="0011615C">
        <w:rPr>
          <w:lang w:val="fr-FR"/>
        </w:rPr>
        <w:t xml:space="preserve">Ivoire. </w:t>
      </w:r>
    </w:p>
    <w:p w14:paraId="1D1A5124" w14:textId="487B0666" w:rsidR="00364BF3" w:rsidRPr="00427A94" w:rsidRDefault="00364BF3" w:rsidP="008A6B29">
      <w:pPr>
        <w:pStyle w:val="SingleTxt"/>
        <w:numPr>
          <w:ilvl w:val="0"/>
          <w:numId w:val="10"/>
        </w:numPr>
        <w:spacing w:line="240" w:lineRule="exact"/>
        <w:rPr>
          <w:b/>
          <w:bCs/>
          <w:lang w:val="fr-FR"/>
        </w:rPr>
      </w:pPr>
      <w:r w:rsidRPr="00427A94">
        <w:rPr>
          <w:b/>
          <w:bCs/>
          <w:lang w:val="fr-FR"/>
        </w:rPr>
        <w:t>Faciliter la coopération avec la Cour Pénale Internationale et envisager</w:t>
      </w:r>
      <w:r w:rsidR="00817480">
        <w:rPr>
          <w:b/>
          <w:bCs/>
          <w:lang w:val="fr-FR"/>
        </w:rPr>
        <w:t xml:space="preserve"> </w:t>
      </w:r>
      <w:r w:rsidRPr="00427A94">
        <w:rPr>
          <w:b/>
          <w:bCs/>
          <w:lang w:val="fr-FR"/>
        </w:rPr>
        <w:t xml:space="preserve">ratifier le Statut de Rome de la Cour pénale internationale </w:t>
      </w:r>
      <w:r w:rsidR="00D81000">
        <w:rPr>
          <w:b/>
          <w:bCs/>
          <w:lang w:val="fr-FR"/>
        </w:rPr>
        <w:t>[</w:t>
      </w:r>
      <w:r w:rsidRPr="00427A94">
        <w:rPr>
          <w:b/>
          <w:bCs/>
          <w:lang w:val="fr-FR"/>
        </w:rPr>
        <w:t xml:space="preserve">voir </w:t>
      </w:r>
      <w:hyperlink r:id="rId60" w:history="1">
        <w:r w:rsidRPr="007B345A">
          <w:rPr>
            <w:rStyle w:val="Hyperlink"/>
            <w:b/>
            <w:bCs/>
            <w:lang w:val="fr-FR"/>
          </w:rPr>
          <w:t>CEDAW/C/CIV/CO/1-3</w:t>
        </w:r>
      </w:hyperlink>
      <w:r w:rsidRPr="007B345A">
        <w:rPr>
          <w:b/>
          <w:bCs/>
          <w:lang w:val="fr-FR"/>
        </w:rPr>
        <w:t>,</w:t>
      </w:r>
      <w:r w:rsidRPr="00427A94">
        <w:rPr>
          <w:b/>
          <w:bCs/>
          <w:lang w:val="fr-FR"/>
        </w:rPr>
        <w:t xml:space="preserve"> </w:t>
      </w:r>
      <w:r w:rsidR="006862B3">
        <w:rPr>
          <w:b/>
          <w:bCs/>
          <w:lang w:val="fr-FR"/>
        </w:rPr>
        <w:t>par. </w:t>
      </w:r>
      <w:r w:rsidRPr="00427A94">
        <w:rPr>
          <w:b/>
          <w:bCs/>
          <w:lang w:val="fr-FR"/>
        </w:rPr>
        <w:t>29 j)</w:t>
      </w:r>
      <w:r w:rsidR="00D81000">
        <w:rPr>
          <w:b/>
          <w:bCs/>
          <w:lang w:val="fr-FR"/>
        </w:rPr>
        <w:t>]</w:t>
      </w:r>
      <w:r w:rsidRPr="00427A94">
        <w:rPr>
          <w:b/>
          <w:bCs/>
          <w:lang w:val="fr-FR"/>
        </w:rPr>
        <w:t>.</w:t>
      </w:r>
    </w:p>
    <w:p w14:paraId="15A7A03B" w14:textId="45EF7A30" w:rsidR="00364BF3" w:rsidRDefault="00364BF3" w:rsidP="008A6B29">
      <w:pPr>
        <w:pStyle w:val="SingleTxt"/>
        <w:numPr>
          <w:ilvl w:val="0"/>
          <w:numId w:val="10"/>
        </w:numPr>
        <w:spacing w:line="240" w:lineRule="exact"/>
        <w:rPr>
          <w:lang w:val="fr-FR"/>
        </w:rPr>
      </w:pPr>
      <w:r w:rsidRPr="00190491">
        <w:rPr>
          <w:lang w:val="fr-FR"/>
        </w:rPr>
        <w:t>La Côte d</w:t>
      </w:r>
      <w:r w:rsidR="000C16F5">
        <w:rPr>
          <w:lang w:val="fr-FR"/>
        </w:rPr>
        <w:t>’</w:t>
      </w:r>
      <w:r w:rsidRPr="00190491">
        <w:rPr>
          <w:lang w:val="fr-FR"/>
        </w:rPr>
        <w:t xml:space="preserve">Ivoire a ratifié </w:t>
      </w:r>
      <w:r w:rsidRPr="00190491">
        <w:rPr>
          <w:bCs/>
          <w:lang w:val="fr-FR"/>
        </w:rPr>
        <w:t xml:space="preserve">le Statut de Rome instituant la Cour Pénale Internationale en </w:t>
      </w:r>
      <w:r w:rsidRPr="00190491">
        <w:rPr>
          <w:lang w:val="fr-FR"/>
        </w:rPr>
        <w:t>2013</w:t>
      </w:r>
      <w:r w:rsidRPr="00190491">
        <w:rPr>
          <w:bCs/>
          <w:lang w:val="fr-FR"/>
        </w:rPr>
        <w:t>.</w:t>
      </w:r>
      <w:r w:rsidR="00C10A78">
        <w:rPr>
          <w:bCs/>
          <w:lang w:val="fr-FR"/>
        </w:rPr>
        <w:t xml:space="preserve"> </w:t>
      </w:r>
      <w:r w:rsidR="00C10A78" w:rsidRPr="00190491">
        <w:rPr>
          <w:bCs/>
          <w:lang w:val="fr-FR"/>
        </w:rPr>
        <w:t>À</w:t>
      </w:r>
      <w:r w:rsidRPr="00190491">
        <w:rPr>
          <w:bCs/>
          <w:lang w:val="fr-FR"/>
        </w:rPr>
        <w:t xml:space="preserve"> cet effet, </w:t>
      </w:r>
      <w:r w:rsidRPr="00190491">
        <w:rPr>
          <w:lang w:val="fr-FR"/>
        </w:rPr>
        <w:t>deux leaders ivoiriens ont été traduits devant la CPI et Leur procès est en cours.</w:t>
      </w:r>
    </w:p>
    <w:p w14:paraId="09154A60" w14:textId="28917DFA" w:rsidR="00427A94" w:rsidRPr="00427A94" w:rsidRDefault="00427A94" w:rsidP="00427A94">
      <w:pPr>
        <w:pStyle w:val="SingleTxt"/>
        <w:tabs>
          <w:tab w:val="clear" w:pos="1742"/>
        </w:tabs>
        <w:spacing w:after="0" w:line="120" w:lineRule="exact"/>
        <w:rPr>
          <w:sz w:val="10"/>
          <w:lang w:val="fr-FR"/>
        </w:rPr>
      </w:pPr>
    </w:p>
    <w:p w14:paraId="5ABABC37" w14:textId="3470259D" w:rsidR="00364BF3" w:rsidRDefault="00364BF3" w:rsidP="00427A9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Traite et exploitation de la prostitution</w:t>
      </w:r>
    </w:p>
    <w:p w14:paraId="4D5FC7FC" w14:textId="1564CC4E" w:rsidR="00427A94" w:rsidRPr="00427A94" w:rsidRDefault="00427A94" w:rsidP="00427A94">
      <w:pPr>
        <w:spacing w:line="120" w:lineRule="exact"/>
        <w:rPr>
          <w:sz w:val="10"/>
          <w:lang w:val="fr-FR"/>
        </w:rPr>
      </w:pPr>
    </w:p>
    <w:p w14:paraId="48D38071" w14:textId="5BFA6FB8" w:rsidR="00364BF3" w:rsidRPr="00427A94" w:rsidRDefault="00364BF3" w:rsidP="008A6B29">
      <w:pPr>
        <w:pStyle w:val="SingleTxt"/>
        <w:numPr>
          <w:ilvl w:val="0"/>
          <w:numId w:val="10"/>
        </w:numPr>
        <w:spacing w:line="240" w:lineRule="exact"/>
        <w:rPr>
          <w:b/>
          <w:bCs/>
          <w:lang w:val="fr-FR"/>
        </w:rPr>
      </w:pPr>
      <w:r w:rsidRPr="00427A94">
        <w:rPr>
          <w:b/>
          <w:bCs/>
          <w:lang w:val="fr-FR"/>
        </w:rPr>
        <w:t>Réaliser une étude sur la portée, l</w:t>
      </w:r>
      <w:r w:rsidR="000C16F5" w:rsidRPr="00427A94">
        <w:rPr>
          <w:b/>
          <w:bCs/>
          <w:lang w:val="fr-FR"/>
        </w:rPr>
        <w:t>’</w:t>
      </w:r>
      <w:r w:rsidRPr="00427A94">
        <w:rPr>
          <w:b/>
          <w:bCs/>
          <w:lang w:val="fr-FR"/>
        </w:rPr>
        <w:t>étendue et les causes de la prostitution trafic et forcés, en particulier des femmes, notamment à travers la collecte et l</w:t>
      </w:r>
      <w:r w:rsidR="000C16F5" w:rsidRPr="00427A94">
        <w:rPr>
          <w:b/>
          <w:bCs/>
          <w:lang w:val="fr-FR"/>
        </w:rPr>
        <w:t>’</w:t>
      </w:r>
      <w:r w:rsidRPr="00427A94">
        <w:rPr>
          <w:b/>
          <w:bCs/>
          <w:lang w:val="fr-FR"/>
        </w:rPr>
        <w:t>analyse des données sur la traite et l</w:t>
      </w:r>
      <w:r w:rsidR="000C16F5" w:rsidRPr="00427A94">
        <w:rPr>
          <w:b/>
          <w:bCs/>
          <w:lang w:val="fr-FR"/>
        </w:rPr>
        <w:t>’</w:t>
      </w:r>
      <w:r w:rsidRPr="00427A94">
        <w:rPr>
          <w:b/>
          <w:bCs/>
          <w:lang w:val="fr-FR"/>
        </w:rPr>
        <w:t>exploitation des femmes dans la prostitution, et de fournir des informations sur les résultats de l</w:t>
      </w:r>
      <w:r w:rsidR="000C16F5" w:rsidRPr="00427A94">
        <w:rPr>
          <w:b/>
          <w:bCs/>
          <w:lang w:val="fr-FR"/>
        </w:rPr>
        <w:t>’</w:t>
      </w:r>
      <w:r w:rsidRPr="00427A94">
        <w:rPr>
          <w:b/>
          <w:bCs/>
          <w:lang w:val="fr-FR"/>
        </w:rPr>
        <w:t xml:space="preserve">étude, avec des données désagrégées par sexe dans son prochain rapport périodique </w:t>
      </w:r>
      <w:r w:rsidR="00D81000">
        <w:rPr>
          <w:b/>
          <w:bCs/>
          <w:lang w:val="fr-FR"/>
        </w:rPr>
        <w:t>[</w:t>
      </w:r>
      <w:r w:rsidRPr="00427A94">
        <w:rPr>
          <w:b/>
          <w:bCs/>
          <w:lang w:val="fr-FR"/>
        </w:rPr>
        <w:t xml:space="preserve">voir </w:t>
      </w:r>
      <w:hyperlink r:id="rId61" w:history="1">
        <w:r w:rsidRPr="007B345A">
          <w:rPr>
            <w:rStyle w:val="Hyperlink"/>
            <w:b/>
            <w:bCs/>
            <w:lang w:val="fr-FR"/>
          </w:rPr>
          <w:t>CEDAW/C/CIV/CO/1-3</w:t>
        </w:r>
      </w:hyperlink>
      <w:r w:rsidRPr="00427A94">
        <w:rPr>
          <w:b/>
          <w:bCs/>
          <w:lang w:val="fr-FR"/>
        </w:rPr>
        <w:t xml:space="preserve">, </w:t>
      </w:r>
      <w:r w:rsidR="006862B3">
        <w:rPr>
          <w:b/>
          <w:bCs/>
          <w:lang w:val="fr-FR"/>
        </w:rPr>
        <w:t>par. </w:t>
      </w:r>
      <w:r w:rsidRPr="00427A94">
        <w:rPr>
          <w:b/>
          <w:bCs/>
          <w:lang w:val="fr-FR"/>
        </w:rPr>
        <w:t>33 a)</w:t>
      </w:r>
      <w:r w:rsidR="00D81000">
        <w:rPr>
          <w:b/>
          <w:bCs/>
          <w:lang w:val="fr-FR"/>
        </w:rPr>
        <w:t>]</w:t>
      </w:r>
      <w:r w:rsidRPr="00427A94">
        <w:rPr>
          <w:b/>
          <w:bCs/>
          <w:lang w:val="fr-FR"/>
        </w:rPr>
        <w:t>.</w:t>
      </w:r>
    </w:p>
    <w:p w14:paraId="74F34F8E" w14:textId="1B9EC2DF" w:rsidR="00364BF3" w:rsidRPr="0011615C" w:rsidRDefault="00364BF3" w:rsidP="008A6B29">
      <w:pPr>
        <w:pStyle w:val="SingleTxt"/>
        <w:numPr>
          <w:ilvl w:val="0"/>
          <w:numId w:val="12"/>
        </w:numPr>
        <w:spacing w:line="240" w:lineRule="exact"/>
        <w:rPr>
          <w:lang w:val="fr-FR"/>
        </w:rPr>
      </w:pPr>
      <w:r w:rsidRPr="0011615C">
        <w:rPr>
          <w:lang w:val="fr-FR"/>
        </w:rPr>
        <w:t xml:space="preserve">Une étude a été réalisée par </w:t>
      </w:r>
      <w:r w:rsidRPr="00190491">
        <w:rPr>
          <w:bCs/>
          <w:lang w:val="fr-FR"/>
        </w:rPr>
        <w:t xml:space="preserve">Johns Hopkins Center for Communication </w:t>
      </w:r>
      <w:r w:rsidRPr="0011615C">
        <w:rPr>
          <w:bCs/>
          <w:lang w:val="fr-FR"/>
        </w:rPr>
        <w:t>Programme</w:t>
      </w:r>
      <w:r w:rsidRPr="0011615C">
        <w:rPr>
          <w:lang w:val="fr-FR"/>
        </w:rPr>
        <w:t xml:space="preserve"> (JHU- </w:t>
      </w:r>
      <w:r w:rsidRPr="00190491">
        <w:rPr>
          <w:lang w:val="fr-FR"/>
        </w:rPr>
        <w:t>CCP</w:t>
      </w:r>
      <w:r w:rsidRPr="0011615C">
        <w:rPr>
          <w:lang w:val="fr-FR"/>
        </w:rPr>
        <w:t>) (2012)</w:t>
      </w:r>
      <w:r w:rsidRPr="00300E48">
        <w:rPr>
          <w:rStyle w:val="FootnoteReference"/>
          <w:lang w:val="fr-FR"/>
        </w:rPr>
        <w:footnoteReference w:id="11"/>
      </w:r>
      <w:r w:rsidRPr="0011615C">
        <w:rPr>
          <w:lang w:val="fr-FR"/>
        </w:rPr>
        <w:t xml:space="preserve"> montrant que les filles déscolarisées et non scolarisées, en particulier, vivent dans des conditions de vie difficiles où elles n</w:t>
      </w:r>
      <w:r w:rsidR="000C16F5">
        <w:rPr>
          <w:lang w:val="fr-FR"/>
        </w:rPr>
        <w:t>’</w:t>
      </w:r>
      <w:r w:rsidRPr="0011615C">
        <w:rPr>
          <w:lang w:val="fr-FR"/>
        </w:rPr>
        <w:t xml:space="preserve">arrivent pas à subvenir convenablement à leurs besoins basiques de nourriture, </w:t>
      </w:r>
      <w:r w:rsidRPr="0011615C">
        <w:rPr>
          <w:lang w:val="fr-FR"/>
        </w:rPr>
        <w:lastRenderedPageBreak/>
        <w:t>d</w:t>
      </w:r>
      <w:r w:rsidR="000C16F5">
        <w:rPr>
          <w:lang w:val="fr-FR"/>
        </w:rPr>
        <w:t>’</w:t>
      </w:r>
      <w:r w:rsidRPr="0011615C">
        <w:rPr>
          <w:lang w:val="fr-FR"/>
        </w:rPr>
        <w:t>habillement, de santé, d</w:t>
      </w:r>
      <w:r w:rsidR="000C16F5">
        <w:rPr>
          <w:lang w:val="fr-FR"/>
        </w:rPr>
        <w:t>’</w:t>
      </w:r>
      <w:r w:rsidRPr="0011615C">
        <w:rPr>
          <w:lang w:val="fr-FR"/>
        </w:rPr>
        <w:t>information et de logement et s</w:t>
      </w:r>
      <w:r w:rsidR="000C16F5">
        <w:rPr>
          <w:lang w:val="fr-FR"/>
        </w:rPr>
        <w:t>’</w:t>
      </w:r>
      <w:r w:rsidRPr="0011615C">
        <w:rPr>
          <w:lang w:val="fr-FR"/>
        </w:rPr>
        <w:t xml:space="preserve">exposent pour certaines à la prostitution clandestine ou professionnelle. </w:t>
      </w:r>
    </w:p>
    <w:p w14:paraId="353FF8FE" w14:textId="132DD45B" w:rsidR="00364BF3" w:rsidRPr="0011615C" w:rsidRDefault="00364BF3" w:rsidP="008A6B29">
      <w:pPr>
        <w:pStyle w:val="SingleTxt"/>
        <w:numPr>
          <w:ilvl w:val="0"/>
          <w:numId w:val="12"/>
        </w:numPr>
        <w:spacing w:line="240" w:lineRule="exact"/>
        <w:rPr>
          <w:lang w:val="fr-FR"/>
        </w:rPr>
      </w:pPr>
      <w:r w:rsidRPr="00190491">
        <w:rPr>
          <w:lang w:val="fr-FR"/>
        </w:rPr>
        <w:t>Une</w:t>
      </w:r>
      <w:r w:rsidRPr="0011615C">
        <w:rPr>
          <w:lang w:val="fr-FR"/>
        </w:rPr>
        <w:t xml:space="preserve"> autre étude a été menée par ALLIANCE-CI</w:t>
      </w:r>
      <w:r w:rsidRPr="00300E48">
        <w:rPr>
          <w:rStyle w:val="FootnoteReference"/>
          <w:spacing w:val="-2"/>
          <w:lang w:val="fr-FR"/>
        </w:rPr>
        <w:footnoteReference w:id="12"/>
      </w:r>
      <w:r w:rsidRPr="0011615C">
        <w:rPr>
          <w:lang w:val="fr-FR"/>
        </w:rPr>
        <w:t xml:space="preserve"> à Abidjan en 2015 sur la vulnérabilité socioéconomique des filles exposées à l</w:t>
      </w:r>
      <w:r w:rsidR="000C16F5">
        <w:rPr>
          <w:lang w:val="fr-FR"/>
        </w:rPr>
        <w:t>’</w:t>
      </w:r>
      <w:r w:rsidRPr="0011615C">
        <w:rPr>
          <w:lang w:val="fr-FR"/>
        </w:rPr>
        <w:t>exploitation sexuelle. L</w:t>
      </w:r>
      <w:r w:rsidR="000C16F5">
        <w:rPr>
          <w:lang w:val="fr-FR"/>
        </w:rPr>
        <w:t>’</w:t>
      </w:r>
      <w:r w:rsidRPr="0011615C">
        <w:rPr>
          <w:lang w:val="fr-FR"/>
        </w:rPr>
        <w:t>étude permet de noter que le travail de sexe est pratiqué aussi bien par les filles de 11 ans (0,9</w:t>
      </w:r>
      <w:r w:rsidR="00DB4C05">
        <w:rPr>
          <w:lang w:val="fr-FR"/>
        </w:rPr>
        <w:t> %</w:t>
      </w:r>
      <w:r w:rsidRPr="0011615C">
        <w:rPr>
          <w:lang w:val="fr-FR"/>
        </w:rPr>
        <w:t>) que les filles de 18 ans et plus (38,1</w:t>
      </w:r>
      <w:r w:rsidR="00DB4C05">
        <w:rPr>
          <w:lang w:val="fr-FR"/>
        </w:rPr>
        <w:t> %</w:t>
      </w:r>
      <w:r w:rsidRPr="0011615C">
        <w:rPr>
          <w:lang w:val="fr-FR"/>
        </w:rPr>
        <w:t>) et l</w:t>
      </w:r>
      <w:r w:rsidR="000C16F5">
        <w:rPr>
          <w:lang w:val="fr-FR"/>
        </w:rPr>
        <w:t>’</w:t>
      </w:r>
      <w:r w:rsidRPr="0011615C">
        <w:rPr>
          <w:lang w:val="fr-FR"/>
        </w:rPr>
        <w:t>âge médian est 17 ans. Les revenus des parents de la majorité de ces filles (63</w:t>
      </w:r>
      <w:r w:rsidR="00DB4C05">
        <w:rPr>
          <w:lang w:val="fr-FR"/>
        </w:rPr>
        <w:t> %</w:t>
      </w:r>
      <w:r w:rsidRPr="0011615C">
        <w:rPr>
          <w:lang w:val="fr-FR"/>
        </w:rPr>
        <w:t>) sont très faibles, et 37</w:t>
      </w:r>
      <w:r w:rsidR="00DB4C05">
        <w:rPr>
          <w:lang w:val="fr-FR"/>
        </w:rPr>
        <w:t> %</w:t>
      </w:r>
      <w:r w:rsidRPr="0011615C">
        <w:rPr>
          <w:lang w:val="fr-FR"/>
        </w:rPr>
        <w:t xml:space="preserve"> d</w:t>
      </w:r>
      <w:r w:rsidR="000C16F5">
        <w:rPr>
          <w:lang w:val="fr-FR"/>
        </w:rPr>
        <w:t>’</w:t>
      </w:r>
      <w:r w:rsidRPr="0011615C">
        <w:rPr>
          <w:lang w:val="fr-FR"/>
        </w:rPr>
        <w:t>entre elles sont issues de familles nombreuses. Elles sont majoritairement de nationalité ivoirienne 72</w:t>
      </w:r>
      <w:r w:rsidR="00DB4C05">
        <w:rPr>
          <w:lang w:val="fr-FR"/>
        </w:rPr>
        <w:t> %</w:t>
      </w:r>
      <w:r w:rsidRPr="0011615C">
        <w:rPr>
          <w:lang w:val="fr-FR"/>
        </w:rPr>
        <w:t xml:space="preserve"> contre 28</w:t>
      </w:r>
      <w:r w:rsidR="00DB4C05">
        <w:rPr>
          <w:lang w:val="fr-FR"/>
        </w:rPr>
        <w:t> %</w:t>
      </w:r>
      <w:r w:rsidRPr="0011615C">
        <w:rPr>
          <w:lang w:val="fr-FR"/>
        </w:rPr>
        <w:t xml:space="preserve"> d</w:t>
      </w:r>
      <w:r w:rsidR="000C16F5">
        <w:rPr>
          <w:lang w:val="fr-FR"/>
        </w:rPr>
        <w:t>’</w:t>
      </w:r>
      <w:r w:rsidRPr="0011615C">
        <w:rPr>
          <w:lang w:val="fr-FR"/>
        </w:rPr>
        <w:t>étrangères. Elles se livrent souvent à la consommation d</w:t>
      </w:r>
      <w:r w:rsidR="000C16F5">
        <w:rPr>
          <w:lang w:val="fr-FR"/>
        </w:rPr>
        <w:t>’</w:t>
      </w:r>
      <w:r w:rsidRPr="0011615C">
        <w:rPr>
          <w:lang w:val="fr-FR"/>
        </w:rPr>
        <w:t>alcool (45,5</w:t>
      </w:r>
      <w:r w:rsidR="00DB4C05">
        <w:rPr>
          <w:lang w:val="fr-FR"/>
        </w:rPr>
        <w:t> %</w:t>
      </w:r>
      <w:r w:rsidRPr="0011615C">
        <w:rPr>
          <w:lang w:val="fr-FR"/>
        </w:rPr>
        <w:t>) et à la drogue pour certaines (11,7</w:t>
      </w:r>
      <w:r w:rsidR="00DB4C05">
        <w:rPr>
          <w:lang w:val="fr-FR"/>
        </w:rPr>
        <w:t> %</w:t>
      </w:r>
      <w:r w:rsidRPr="0011615C">
        <w:rPr>
          <w:lang w:val="fr-FR"/>
        </w:rPr>
        <w:t>). L</w:t>
      </w:r>
      <w:r w:rsidR="000C16F5">
        <w:rPr>
          <w:lang w:val="fr-FR"/>
        </w:rPr>
        <w:t>’</w:t>
      </w:r>
      <w:r w:rsidRPr="0011615C">
        <w:rPr>
          <w:lang w:val="fr-FR"/>
        </w:rPr>
        <w:t>entrée de ces filles dans la prostitution est faite de différentes manières. En effet, 46,6</w:t>
      </w:r>
      <w:r w:rsidR="00DB4C05">
        <w:rPr>
          <w:lang w:val="fr-FR"/>
        </w:rPr>
        <w:t> %</w:t>
      </w:r>
      <w:r w:rsidRPr="0011615C">
        <w:rPr>
          <w:lang w:val="fr-FR"/>
        </w:rPr>
        <w:t xml:space="preserve"> y sont rentrés volontairement, 40,7</w:t>
      </w:r>
      <w:r w:rsidR="00DB4C05">
        <w:rPr>
          <w:lang w:val="fr-FR"/>
        </w:rPr>
        <w:t> %</w:t>
      </w:r>
      <w:r w:rsidRPr="0011615C">
        <w:rPr>
          <w:lang w:val="fr-FR"/>
        </w:rPr>
        <w:t xml:space="preserve"> ont été motivés et aussi 5,8</w:t>
      </w:r>
      <w:r w:rsidR="00DB4C05">
        <w:rPr>
          <w:lang w:val="fr-FR"/>
        </w:rPr>
        <w:t> %</w:t>
      </w:r>
      <w:r w:rsidRPr="0011615C">
        <w:rPr>
          <w:lang w:val="fr-FR"/>
        </w:rPr>
        <w:t xml:space="preserve"> de ces filles y sont par obligation. Elles sont souvent sujettes à des violences. Ainsi, 38,6</w:t>
      </w:r>
      <w:r w:rsidR="00B72ED0">
        <w:rPr>
          <w:lang w:val="fr-FR"/>
        </w:rPr>
        <w:t> </w:t>
      </w:r>
      <w:r w:rsidRPr="0011615C">
        <w:rPr>
          <w:lang w:val="fr-FR"/>
        </w:rPr>
        <w:t>% d</w:t>
      </w:r>
      <w:r w:rsidR="000C16F5">
        <w:rPr>
          <w:lang w:val="fr-FR"/>
        </w:rPr>
        <w:t>’</w:t>
      </w:r>
      <w:r w:rsidRPr="0011615C">
        <w:rPr>
          <w:lang w:val="fr-FR"/>
        </w:rPr>
        <w:t>entre elles sont maltraitées et les formes de maltraitances les plus courantes sont</w:t>
      </w:r>
      <w:r w:rsidR="008945B3">
        <w:rPr>
          <w:lang w:val="fr-FR"/>
        </w:rPr>
        <w:t> :</w:t>
      </w:r>
      <w:r w:rsidRPr="0011615C">
        <w:rPr>
          <w:lang w:val="fr-FR"/>
        </w:rPr>
        <w:t xml:space="preserve"> i) Violences physiques (47,4</w:t>
      </w:r>
      <w:r w:rsidR="00DB4C05">
        <w:rPr>
          <w:lang w:val="fr-FR"/>
        </w:rPr>
        <w:t> %</w:t>
      </w:r>
      <w:r w:rsidRPr="0011615C">
        <w:rPr>
          <w:lang w:val="fr-FR"/>
        </w:rPr>
        <w:t>)</w:t>
      </w:r>
      <w:r w:rsidR="00DB4C05">
        <w:rPr>
          <w:lang w:val="fr-FR"/>
        </w:rPr>
        <w:t> ;</w:t>
      </w:r>
      <w:r w:rsidRPr="0011615C">
        <w:rPr>
          <w:lang w:val="fr-FR"/>
        </w:rPr>
        <w:t xml:space="preserve"> ii) Non rémunération (27,4</w:t>
      </w:r>
      <w:r w:rsidR="00DB4C05">
        <w:rPr>
          <w:lang w:val="fr-FR"/>
        </w:rPr>
        <w:t> %</w:t>
      </w:r>
      <w:r w:rsidRPr="0011615C">
        <w:rPr>
          <w:lang w:val="fr-FR"/>
        </w:rPr>
        <w:t>) et iii) Violences sexuelles (18</w:t>
      </w:r>
      <w:r w:rsidR="00DB4C05">
        <w:rPr>
          <w:lang w:val="fr-FR"/>
        </w:rPr>
        <w:t> %</w:t>
      </w:r>
      <w:r w:rsidRPr="0011615C">
        <w:rPr>
          <w:lang w:val="fr-FR"/>
        </w:rPr>
        <w:t>). Les différents agresseurs sont les clients 46,9</w:t>
      </w:r>
      <w:r w:rsidR="00DB4C05">
        <w:rPr>
          <w:lang w:val="fr-FR"/>
        </w:rPr>
        <w:t> %</w:t>
      </w:r>
      <w:r w:rsidRPr="0011615C">
        <w:rPr>
          <w:lang w:val="fr-FR"/>
        </w:rPr>
        <w:t>, ensuite des inconnus 34,5</w:t>
      </w:r>
      <w:r w:rsidR="00DB4C05">
        <w:rPr>
          <w:lang w:val="fr-FR"/>
        </w:rPr>
        <w:t> %</w:t>
      </w:r>
      <w:r w:rsidRPr="0011615C">
        <w:rPr>
          <w:lang w:val="fr-FR"/>
        </w:rPr>
        <w:t xml:space="preserve"> et les forces de l</w:t>
      </w:r>
      <w:r w:rsidR="000C16F5">
        <w:rPr>
          <w:lang w:val="fr-FR"/>
        </w:rPr>
        <w:t>’</w:t>
      </w:r>
      <w:r w:rsidRPr="0011615C">
        <w:rPr>
          <w:lang w:val="fr-FR"/>
        </w:rPr>
        <w:t>ordre 12,4</w:t>
      </w:r>
      <w:r w:rsidR="00DB4C05">
        <w:rPr>
          <w:lang w:val="fr-FR"/>
        </w:rPr>
        <w:t> %</w:t>
      </w:r>
      <w:r w:rsidRPr="0011615C">
        <w:rPr>
          <w:lang w:val="fr-FR"/>
        </w:rPr>
        <w:t>. Dans la moitié des cas d</w:t>
      </w:r>
      <w:r w:rsidR="000C16F5">
        <w:rPr>
          <w:lang w:val="fr-FR"/>
        </w:rPr>
        <w:t>’</w:t>
      </w:r>
      <w:r w:rsidRPr="0011615C">
        <w:rPr>
          <w:lang w:val="fr-FR"/>
        </w:rPr>
        <w:t>agression les Professionnelles de Sexe (PS) n</w:t>
      </w:r>
      <w:r w:rsidR="000C16F5">
        <w:rPr>
          <w:lang w:val="fr-FR"/>
        </w:rPr>
        <w:t>’</w:t>
      </w:r>
      <w:r w:rsidRPr="0011615C">
        <w:rPr>
          <w:lang w:val="fr-FR"/>
        </w:rPr>
        <w:t>ont pas eu de recours, dans 18</w:t>
      </w:r>
      <w:r w:rsidR="00DB4C05">
        <w:rPr>
          <w:lang w:val="fr-FR"/>
        </w:rPr>
        <w:t> %</w:t>
      </w:r>
      <w:r w:rsidRPr="0011615C">
        <w:rPr>
          <w:lang w:val="fr-FR"/>
        </w:rPr>
        <w:t xml:space="preserve"> des cas elles ont eu recours aux protecteurs et 17,7</w:t>
      </w:r>
      <w:r w:rsidR="00DB4C05">
        <w:rPr>
          <w:lang w:val="fr-FR"/>
        </w:rPr>
        <w:t> %</w:t>
      </w:r>
      <w:r w:rsidRPr="0011615C">
        <w:rPr>
          <w:lang w:val="fr-FR"/>
        </w:rPr>
        <w:t xml:space="preserve"> à des amis. Notons que 36,7</w:t>
      </w:r>
      <w:r w:rsidR="00DB4C05">
        <w:rPr>
          <w:lang w:val="fr-FR"/>
        </w:rPr>
        <w:t> %</w:t>
      </w:r>
      <w:r w:rsidRPr="0011615C">
        <w:rPr>
          <w:lang w:val="fr-FR"/>
        </w:rPr>
        <w:t xml:space="preserve"> de ces filles n</w:t>
      </w:r>
      <w:r w:rsidR="000C16F5">
        <w:rPr>
          <w:lang w:val="fr-FR"/>
        </w:rPr>
        <w:t>’</w:t>
      </w:r>
      <w:r w:rsidRPr="0011615C">
        <w:rPr>
          <w:lang w:val="fr-FR"/>
        </w:rPr>
        <w:t>ont jamais fait de test de dépistage du VIH.</w:t>
      </w:r>
    </w:p>
    <w:p w14:paraId="723FEC3B" w14:textId="54A9C4A4" w:rsidR="00364BF3" w:rsidRDefault="00364BF3" w:rsidP="008A6B29">
      <w:pPr>
        <w:pStyle w:val="SingleTxt"/>
        <w:numPr>
          <w:ilvl w:val="0"/>
          <w:numId w:val="12"/>
        </w:numPr>
        <w:spacing w:line="240" w:lineRule="exact"/>
        <w:rPr>
          <w:b/>
          <w:lang w:val="fr-FR"/>
        </w:rPr>
      </w:pPr>
      <w:r w:rsidRPr="00190491">
        <w:rPr>
          <w:b/>
          <w:lang w:val="fr-FR"/>
        </w:rPr>
        <w:t>Adopter une loi globale sur le trafic qui soit pleinement conforme à l</w:t>
      </w:r>
      <w:r w:rsidR="000C16F5">
        <w:rPr>
          <w:b/>
          <w:lang w:val="fr-FR"/>
        </w:rPr>
        <w:t>’</w:t>
      </w:r>
      <w:r w:rsidRPr="00190491">
        <w:rPr>
          <w:b/>
          <w:lang w:val="fr-FR"/>
        </w:rPr>
        <w:t>article 6 de la Convention pour renforcer les mécanismes de l</w:t>
      </w:r>
      <w:r w:rsidR="000C16F5">
        <w:rPr>
          <w:b/>
          <w:lang w:val="fr-FR"/>
        </w:rPr>
        <w:t>’</w:t>
      </w:r>
      <w:r w:rsidRPr="00190491">
        <w:rPr>
          <w:b/>
          <w:lang w:val="fr-FR"/>
        </w:rPr>
        <w:t xml:space="preserve">enquête, de poursuite et la punition des auteurs de traite </w:t>
      </w:r>
      <w:r w:rsidR="00D81000">
        <w:rPr>
          <w:b/>
          <w:lang w:val="fr-FR"/>
        </w:rPr>
        <w:t>[</w:t>
      </w:r>
      <w:r w:rsidRPr="00190491">
        <w:rPr>
          <w:b/>
          <w:lang w:val="fr-FR"/>
        </w:rPr>
        <w:t xml:space="preserve">voir </w:t>
      </w:r>
      <w:hyperlink r:id="rId62"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33 b)</w:t>
      </w:r>
      <w:r w:rsidR="00D81000">
        <w:rPr>
          <w:b/>
          <w:lang w:val="fr-FR"/>
        </w:rPr>
        <w:t>]</w:t>
      </w:r>
      <w:r w:rsidRPr="00190491">
        <w:rPr>
          <w:b/>
          <w:lang w:val="fr-FR"/>
        </w:rPr>
        <w:t>.</w:t>
      </w:r>
    </w:p>
    <w:p w14:paraId="5F020C5C" w14:textId="4DA4245C" w:rsidR="00427A94" w:rsidRPr="00427A94" w:rsidRDefault="00427A94" w:rsidP="00427A94">
      <w:pPr>
        <w:pStyle w:val="SingleTxtG"/>
        <w:spacing w:after="0" w:line="120" w:lineRule="exact"/>
        <w:ind w:left="1267"/>
        <w:rPr>
          <w:b/>
          <w:sz w:val="10"/>
          <w:lang w:val="fr-FR"/>
        </w:rPr>
      </w:pPr>
    </w:p>
    <w:p w14:paraId="195689F9" w14:textId="06CAF403" w:rsidR="00364BF3" w:rsidRDefault="00364BF3" w:rsidP="00427A94">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Au niveau juridique</w:t>
      </w:r>
    </w:p>
    <w:p w14:paraId="32FFB86F" w14:textId="0F0BCEF3" w:rsidR="00427A94" w:rsidRPr="00427A94" w:rsidRDefault="00427A94" w:rsidP="00427A94">
      <w:pPr>
        <w:spacing w:line="120" w:lineRule="exact"/>
        <w:rPr>
          <w:sz w:val="10"/>
          <w:lang w:val="fr-FR"/>
        </w:rPr>
      </w:pPr>
    </w:p>
    <w:p w14:paraId="27F7D6B9" w14:textId="312E2970" w:rsidR="00364BF3" w:rsidRPr="00190491" w:rsidRDefault="00364BF3" w:rsidP="008A6B29">
      <w:pPr>
        <w:pStyle w:val="SingleTxt"/>
        <w:numPr>
          <w:ilvl w:val="0"/>
          <w:numId w:val="13"/>
        </w:numPr>
        <w:spacing w:line="240" w:lineRule="exact"/>
        <w:rPr>
          <w:lang w:val="fr-FR"/>
        </w:rPr>
      </w:pPr>
      <w:r w:rsidRPr="00190491">
        <w:rPr>
          <w:lang w:val="fr-FR"/>
        </w:rPr>
        <w:t>Notons que le processus d</w:t>
      </w:r>
      <w:r w:rsidR="000C16F5">
        <w:rPr>
          <w:lang w:val="fr-FR"/>
        </w:rPr>
        <w:t>’</w:t>
      </w:r>
      <w:r w:rsidRPr="00190491">
        <w:rPr>
          <w:lang w:val="fr-FR"/>
        </w:rPr>
        <w:t>élaboration d</w:t>
      </w:r>
      <w:r w:rsidR="000C16F5">
        <w:rPr>
          <w:lang w:val="fr-FR"/>
        </w:rPr>
        <w:t>’</w:t>
      </w:r>
      <w:r w:rsidRPr="00190491">
        <w:rPr>
          <w:lang w:val="fr-FR"/>
        </w:rPr>
        <w:t>une loi sur la traite des personnes qui a démarré en 2014 a connu une étape très importante. En effet, la loi a été votée le 7</w:t>
      </w:r>
      <w:r w:rsidR="001F4CF3">
        <w:rPr>
          <w:lang w:val="fr-FR"/>
        </w:rPr>
        <w:t> </w:t>
      </w:r>
      <w:r w:rsidRPr="00190491">
        <w:rPr>
          <w:lang w:val="fr-FR"/>
        </w:rPr>
        <w:t>décembre 2016 et est en attente de promulgation. Cette loi répond à une nécessité, celle de «</w:t>
      </w:r>
      <w:r w:rsidR="00B675BB">
        <w:rPr>
          <w:lang w:val="fr-FR"/>
        </w:rPr>
        <w:t> </w:t>
      </w:r>
      <w:r w:rsidRPr="00190491">
        <w:rPr>
          <w:lang w:val="fr-FR"/>
        </w:rPr>
        <w:t>prévenir et de réprimer la traite et l</w:t>
      </w:r>
      <w:r w:rsidR="000C16F5">
        <w:rPr>
          <w:lang w:val="fr-FR"/>
        </w:rPr>
        <w:t>’</w:t>
      </w:r>
      <w:r w:rsidRPr="00190491">
        <w:rPr>
          <w:lang w:val="fr-FR"/>
        </w:rPr>
        <w:t>exploitation des personnes, en particulier, celle des jeunes filles qui prennent des proportions importantes en Côte d</w:t>
      </w:r>
      <w:r w:rsidR="000C16F5">
        <w:rPr>
          <w:lang w:val="fr-FR"/>
        </w:rPr>
        <w:t>’</w:t>
      </w:r>
      <w:r w:rsidRPr="00190491">
        <w:rPr>
          <w:lang w:val="fr-FR"/>
        </w:rPr>
        <w:t>Ivoire</w:t>
      </w:r>
      <w:r w:rsidR="00B675BB">
        <w:rPr>
          <w:lang w:val="fr-FR"/>
        </w:rPr>
        <w:t> </w:t>
      </w:r>
      <w:r w:rsidRPr="00190491">
        <w:rPr>
          <w:lang w:val="fr-FR"/>
        </w:rPr>
        <w:t>». La loi sur la traite définit également les faits qualifiés de traite de la personne à savoir</w:t>
      </w:r>
      <w:r w:rsidR="008945B3">
        <w:rPr>
          <w:lang w:val="fr-FR"/>
        </w:rPr>
        <w:t> :</w:t>
      </w:r>
      <w:r w:rsidRPr="00190491">
        <w:rPr>
          <w:lang w:val="fr-FR"/>
        </w:rPr>
        <w:t xml:space="preserve"> l</w:t>
      </w:r>
      <w:r w:rsidR="000C16F5">
        <w:rPr>
          <w:lang w:val="fr-FR"/>
        </w:rPr>
        <w:t>’</w:t>
      </w:r>
      <w:r w:rsidRPr="00190491">
        <w:rPr>
          <w:lang w:val="fr-FR"/>
        </w:rPr>
        <w:t>exploitation des personnes, le travail forcé, l</w:t>
      </w:r>
      <w:r w:rsidR="000C16F5">
        <w:rPr>
          <w:lang w:val="fr-FR"/>
        </w:rPr>
        <w:t>’</w:t>
      </w:r>
      <w:r w:rsidRPr="00190491">
        <w:rPr>
          <w:lang w:val="fr-FR"/>
        </w:rPr>
        <w:t>exploitation sexuelle, l</w:t>
      </w:r>
      <w:r w:rsidR="000C16F5">
        <w:rPr>
          <w:lang w:val="fr-FR"/>
        </w:rPr>
        <w:t>’</w:t>
      </w:r>
      <w:r w:rsidRPr="00190491">
        <w:rPr>
          <w:lang w:val="fr-FR"/>
        </w:rPr>
        <w:t>exploitation organisée, la mendicité, le trafic illicite de migrants. D</w:t>
      </w:r>
      <w:r w:rsidR="000C16F5">
        <w:rPr>
          <w:lang w:val="fr-FR"/>
        </w:rPr>
        <w:t>’</w:t>
      </w:r>
      <w:r w:rsidRPr="00190491">
        <w:rPr>
          <w:lang w:val="fr-FR"/>
        </w:rPr>
        <w:t>autres instruments permettent de renforcer les mécanismes d</w:t>
      </w:r>
      <w:r w:rsidR="000C16F5">
        <w:rPr>
          <w:lang w:val="fr-FR"/>
        </w:rPr>
        <w:t>’</w:t>
      </w:r>
      <w:r w:rsidRPr="00190491">
        <w:rPr>
          <w:lang w:val="fr-FR"/>
        </w:rPr>
        <w:t>enquête et de poursuite des auteurs de traite. Ce sont</w:t>
      </w:r>
      <w:r w:rsidR="008945B3">
        <w:rPr>
          <w:lang w:val="fr-FR"/>
        </w:rPr>
        <w:t> :</w:t>
      </w:r>
      <w:r w:rsidRPr="00190491">
        <w:rPr>
          <w:lang w:val="fr-FR"/>
        </w:rPr>
        <w:t xml:space="preserve"> </w:t>
      </w:r>
    </w:p>
    <w:p w14:paraId="69F532B3" w14:textId="2E9FCAE3" w:rsidR="00364BF3" w:rsidRPr="00190491" w:rsidRDefault="00427A94" w:rsidP="00427A94">
      <w:pPr>
        <w:pStyle w:val="SingleTxt"/>
        <w:tabs>
          <w:tab w:val="right" w:pos="1685"/>
        </w:tabs>
        <w:ind w:left="1742" w:hanging="475"/>
        <w:rPr>
          <w:lang w:val="fr-FR"/>
        </w:rPr>
      </w:pPr>
      <w:r>
        <w:rPr>
          <w:lang w:val="fr-FR"/>
        </w:rPr>
        <w:tab/>
        <w:t>•</w:t>
      </w:r>
      <w:r>
        <w:rPr>
          <w:lang w:val="fr-FR"/>
        </w:rPr>
        <w:tab/>
      </w:r>
      <w:r w:rsidR="00364BF3" w:rsidRPr="00190491">
        <w:rPr>
          <w:lang w:val="fr-FR"/>
        </w:rPr>
        <w:t>Le décret n</w:t>
      </w:r>
      <w:r w:rsidR="004B7322" w:rsidRPr="004B7322">
        <w:rPr>
          <w:vertAlign w:val="superscript"/>
          <w:lang w:val="fr-FR"/>
        </w:rPr>
        <w:t>o</w:t>
      </w:r>
      <w:r w:rsidR="004B7322">
        <w:rPr>
          <w:lang w:val="fr-FR"/>
        </w:rPr>
        <w:t> </w:t>
      </w:r>
      <w:r w:rsidR="00364BF3" w:rsidRPr="00190491">
        <w:rPr>
          <w:lang w:val="fr-FR"/>
        </w:rPr>
        <w:t>2013-857 du 19 Décembre 2013 instituant le parlement des enfants de Côte d</w:t>
      </w:r>
      <w:r w:rsidR="000C16F5">
        <w:rPr>
          <w:lang w:val="fr-FR"/>
        </w:rPr>
        <w:t>’</w:t>
      </w:r>
      <w:r w:rsidR="00364BF3" w:rsidRPr="00190491">
        <w:rPr>
          <w:lang w:val="fr-FR"/>
        </w:rPr>
        <w:t>Ivoire</w:t>
      </w:r>
      <w:r w:rsidR="00DB4C05">
        <w:rPr>
          <w:lang w:val="fr-FR"/>
        </w:rPr>
        <w:t> ;</w:t>
      </w:r>
      <w:r w:rsidR="00364BF3" w:rsidRPr="00190491">
        <w:rPr>
          <w:lang w:val="fr-FR"/>
        </w:rPr>
        <w:t xml:space="preserve"> cet outil permet aux enfants de comprendre leurs droits et de participer à la prévention des violations</w:t>
      </w:r>
      <w:r w:rsidR="00DB4C05">
        <w:rPr>
          <w:lang w:val="fr-FR"/>
        </w:rPr>
        <w:t> ;</w:t>
      </w:r>
    </w:p>
    <w:p w14:paraId="7EA6DF68" w14:textId="3011A375" w:rsidR="00364BF3" w:rsidRDefault="00427A94" w:rsidP="00427A94">
      <w:pPr>
        <w:pStyle w:val="SingleTxt"/>
        <w:tabs>
          <w:tab w:val="right" w:pos="1685"/>
        </w:tabs>
        <w:ind w:left="1742" w:hanging="475"/>
        <w:rPr>
          <w:lang w:val="fr-FR"/>
        </w:rPr>
      </w:pPr>
      <w:r>
        <w:rPr>
          <w:lang w:val="fr-FR"/>
        </w:rPr>
        <w:tab/>
        <w:t>•</w:t>
      </w:r>
      <w:r>
        <w:rPr>
          <w:lang w:val="fr-FR"/>
        </w:rPr>
        <w:tab/>
      </w:r>
      <w:r w:rsidR="00364BF3" w:rsidRPr="00190491">
        <w:rPr>
          <w:lang w:val="fr-FR"/>
        </w:rPr>
        <w:t>Le décret 2014-290 du 21 Mai 2014 portant modalité d</w:t>
      </w:r>
      <w:r w:rsidR="000C16F5">
        <w:rPr>
          <w:lang w:val="fr-FR"/>
        </w:rPr>
        <w:t>’</w:t>
      </w:r>
      <w:r w:rsidR="00364BF3" w:rsidRPr="00190491">
        <w:rPr>
          <w:lang w:val="fr-FR"/>
        </w:rPr>
        <w:t>application de la loi n</w:t>
      </w:r>
      <w:r w:rsidR="004B7322" w:rsidRPr="004B7322">
        <w:rPr>
          <w:vertAlign w:val="superscript"/>
          <w:lang w:val="fr-FR"/>
        </w:rPr>
        <w:t>o</w:t>
      </w:r>
      <w:r w:rsidR="004B7322">
        <w:rPr>
          <w:lang w:val="fr-FR"/>
        </w:rPr>
        <w:t> </w:t>
      </w:r>
      <w:r w:rsidR="00364BF3" w:rsidRPr="00190491">
        <w:rPr>
          <w:lang w:val="fr-FR"/>
        </w:rPr>
        <w:t>2010-272 portant interdiction de la traite et des pires formes de travail des enfants.</w:t>
      </w:r>
    </w:p>
    <w:p w14:paraId="5D23FD88" w14:textId="7F55636C" w:rsidR="00427A94" w:rsidRPr="00427A94" w:rsidRDefault="00427A94" w:rsidP="00427A94">
      <w:pPr>
        <w:pStyle w:val="SingleTxt"/>
        <w:tabs>
          <w:tab w:val="right" w:pos="1685"/>
        </w:tabs>
        <w:spacing w:after="0" w:line="120" w:lineRule="exact"/>
        <w:ind w:left="1742" w:hanging="475"/>
        <w:rPr>
          <w:sz w:val="10"/>
          <w:lang w:val="fr-FR"/>
        </w:rPr>
      </w:pPr>
    </w:p>
    <w:p w14:paraId="62D58593" w14:textId="32B8E6C6" w:rsidR="00364BF3" w:rsidRDefault="00364BF3" w:rsidP="00427A94">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Au niveau institutionnel</w:t>
      </w:r>
    </w:p>
    <w:p w14:paraId="7A79FFAF" w14:textId="5A9C7040" w:rsidR="00427A94" w:rsidRPr="00427A94" w:rsidRDefault="00427A94" w:rsidP="00427A94">
      <w:pPr>
        <w:spacing w:line="120" w:lineRule="exact"/>
        <w:rPr>
          <w:sz w:val="10"/>
          <w:lang w:val="fr-FR"/>
        </w:rPr>
      </w:pPr>
    </w:p>
    <w:p w14:paraId="34724EB7" w14:textId="64D051E2" w:rsidR="00364BF3" w:rsidRPr="00190491" w:rsidRDefault="00364BF3" w:rsidP="008A6B29">
      <w:pPr>
        <w:pStyle w:val="SingleTxt"/>
        <w:numPr>
          <w:ilvl w:val="0"/>
          <w:numId w:val="13"/>
        </w:numPr>
        <w:spacing w:line="240" w:lineRule="exact"/>
        <w:rPr>
          <w:lang w:val="fr-FR"/>
        </w:rPr>
      </w:pPr>
      <w:r w:rsidRPr="00190491">
        <w:rPr>
          <w:lang w:val="fr-FR"/>
        </w:rPr>
        <w:t>Un document de stratégie nationale sur la traite des personnes et un plan d</w:t>
      </w:r>
      <w:r w:rsidR="000C16F5">
        <w:rPr>
          <w:lang w:val="fr-FR"/>
        </w:rPr>
        <w:t>’</w:t>
      </w:r>
      <w:r w:rsidRPr="00190491">
        <w:rPr>
          <w:lang w:val="fr-FR"/>
        </w:rPr>
        <w:t xml:space="preserve">action sur 5 ans ont été élaborés en 2015. Ces outils viennent en appui au document </w:t>
      </w:r>
      <w:r w:rsidRPr="00190491">
        <w:rPr>
          <w:lang w:val="fr-FR"/>
        </w:rPr>
        <w:lastRenderedPageBreak/>
        <w:t>de Politique Nationale de Protection de l</w:t>
      </w:r>
      <w:r w:rsidR="000C16F5">
        <w:rPr>
          <w:lang w:val="fr-FR"/>
        </w:rPr>
        <w:t>’</w:t>
      </w:r>
      <w:r w:rsidRPr="00190491">
        <w:rPr>
          <w:lang w:val="fr-FR"/>
        </w:rPr>
        <w:t>Enfant (PNPE) pour renforcer les mécanismes de protection des personnes.</w:t>
      </w:r>
    </w:p>
    <w:p w14:paraId="2042950E" w14:textId="587E64A7" w:rsidR="00364BF3" w:rsidRPr="00190491" w:rsidRDefault="00C10A78" w:rsidP="008A6B29">
      <w:pPr>
        <w:pStyle w:val="SingleTxt"/>
        <w:numPr>
          <w:ilvl w:val="0"/>
          <w:numId w:val="13"/>
        </w:numPr>
        <w:spacing w:line="240" w:lineRule="exact"/>
        <w:rPr>
          <w:lang w:val="fr-FR"/>
        </w:rPr>
      </w:pPr>
      <w:r w:rsidRPr="00190491">
        <w:rPr>
          <w:lang w:val="fr-FR"/>
        </w:rPr>
        <w:t>À</w:t>
      </w:r>
      <w:r w:rsidR="00364BF3" w:rsidRPr="00190491">
        <w:rPr>
          <w:lang w:val="fr-FR"/>
        </w:rPr>
        <w:t xml:space="preserve"> cet effet, 2 Comités et un programme ont été créés pour lutter contre la traite, l</w:t>
      </w:r>
      <w:r w:rsidR="000C16F5">
        <w:rPr>
          <w:lang w:val="fr-FR"/>
        </w:rPr>
        <w:t>’</w:t>
      </w:r>
      <w:r w:rsidR="00364BF3" w:rsidRPr="00190491">
        <w:rPr>
          <w:lang w:val="fr-FR"/>
        </w:rPr>
        <w:t>exploitation et le travail des enfants. Ce sont</w:t>
      </w:r>
      <w:r w:rsidR="008945B3">
        <w:rPr>
          <w:lang w:val="fr-FR"/>
        </w:rPr>
        <w:t> :</w:t>
      </w:r>
      <w:r w:rsidR="00364BF3" w:rsidRPr="00190491">
        <w:rPr>
          <w:lang w:val="fr-FR"/>
        </w:rPr>
        <w:t xml:space="preserve"> </w:t>
      </w:r>
    </w:p>
    <w:p w14:paraId="355CF402" w14:textId="18946D5F" w:rsidR="00364BF3" w:rsidRPr="0011615C" w:rsidRDefault="00427A94" w:rsidP="00FE120C">
      <w:pPr>
        <w:pStyle w:val="SingleTxt"/>
        <w:tabs>
          <w:tab w:val="right" w:pos="1685"/>
        </w:tabs>
        <w:ind w:left="1742" w:hanging="475"/>
        <w:rPr>
          <w:lang w:val="fr-FR"/>
        </w:rPr>
      </w:pPr>
      <w:r>
        <w:rPr>
          <w:lang w:val="fr-FR"/>
        </w:rPr>
        <w:tab/>
        <w:t>•</w:t>
      </w:r>
      <w:r>
        <w:rPr>
          <w:lang w:val="fr-FR"/>
        </w:rPr>
        <w:tab/>
      </w:r>
      <w:r w:rsidR="00364BF3" w:rsidRPr="0011615C">
        <w:rPr>
          <w:lang w:val="fr-FR"/>
        </w:rPr>
        <w:t>Le Comité Interministériel de lutte contre la traite, l</w:t>
      </w:r>
      <w:r w:rsidR="000C16F5">
        <w:rPr>
          <w:lang w:val="fr-FR"/>
        </w:rPr>
        <w:t>’</w:t>
      </w:r>
      <w:r w:rsidR="00364BF3" w:rsidRPr="0011615C">
        <w:rPr>
          <w:lang w:val="fr-FR"/>
        </w:rPr>
        <w:t>exploitation et le travail des enfants (CIM)</w:t>
      </w:r>
      <w:r w:rsidR="004B7322">
        <w:rPr>
          <w:lang w:val="fr-FR"/>
        </w:rPr>
        <w:t xml:space="preserve"> </w:t>
      </w:r>
      <w:r w:rsidR="00364BF3" w:rsidRPr="0011615C">
        <w:rPr>
          <w:bCs/>
          <w:lang w:val="fr-FR"/>
        </w:rPr>
        <w:t>par décret n</w:t>
      </w:r>
      <w:r w:rsidR="004B7322" w:rsidRPr="004B7322">
        <w:rPr>
          <w:bCs/>
          <w:vertAlign w:val="superscript"/>
          <w:lang w:val="fr-FR"/>
        </w:rPr>
        <w:t>o</w:t>
      </w:r>
      <w:r w:rsidR="004B7322">
        <w:rPr>
          <w:bCs/>
          <w:lang w:val="fr-FR"/>
        </w:rPr>
        <w:t> </w:t>
      </w:r>
      <w:r w:rsidR="00364BF3" w:rsidRPr="0011615C">
        <w:rPr>
          <w:bCs/>
          <w:lang w:val="fr-FR"/>
        </w:rPr>
        <w:t>2011-365 du 3 novembre 2011</w:t>
      </w:r>
      <w:r w:rsidR="00DB4C05">
        <w:rPr>
          <w:bCs/>
          <w:lang w:val="fr-FR"/>
        </w:rPr>
        <w:t> ;</w:t>
      </w:r>
    </w:p>
    <w:p w14:paraId="4A09B3DD" w14:textId="0893CD56" w:rsidR="00364BF3" w:rsidRPr="0011615C" w:rsidRDefault="00427A94" w:rsidP="00FE120C">
      <w:pPr>
        <w:pStyle w:val="SingleTxt"/>
        <w:tabs>
          <w:tab w:val="right" w:pos="1685"/>
        </w:tabs>
        <w:ind w:left="1742" w:hanging="475"/>
        <w:rPr>
          <w:spacing w:val="-2"/>
          <w:lang w:val="fr-FR"/>
        </w:rPr>
      </w:pPr>
      <w:r>
        <w:rPr>
          <w:lang w:val="fr-FR"/>
        </w:rPr>
        <w:tab/>
        <w:t>•</w:t>
      </w:r>
      <w:r>
        <w:rPr>
          <w:lang w:val="fr-FR"/>
        </w:rPr>
        <w:tab/>
      </w:r>
      <w:r w:rsidR="00364BF3" w:rsidRPr="0011615C">
        <w:rPr>
          <w:spacing w:val="-2"/>
          <w:lang w:val="fr-FR"/>
        </w:rPr>
        <w:t>Le Comité National de Surveillance des actions de lutte contre la traite, l</w:t>
      </w:r>
      <w:r w:rsidR="000C16F5">
        <w:rPr>
          <w:spacing w:val="-2"/>
          <w:lang w:val="fr-FR"/>
        </w:rPr>
        <w:t>’</w:t>
      </w:r>
      <w:r w:rsidR="00364BF3" w:rsidRPr="0011615C">
        <w:rPr>
          <w:spacing w:val="-2"/>
          <w:lang w:val="fr-FR"/>
        </w:rPr>
        <w:t>exploitation et le travail des enfants (CNS)</w:t>
      </w:r>
      <w:r w:rsidR="00364BF3">
        <w:rPr>
          <w:spacing w:val="-2"/>
          <w:lang w:val="fr-FR"/>
        </w:rPr>
        <w:t xml:space="preserve"> </w:t>
      </w:r>
      <w:r w:rsidR="00364BF3" w:rsidRPr="00190491">
        <w:rPr>
          <w:spacing w:val="-2"/>
          <w:lang w:val="fr-FR"/>
        </w:rPr>
        <w:t xml:space="preserve">par </w:t>
      </w:r>
      <w:r w:rsidR="00364BF3" w:rsidRPr="0011615C">
        <w:rPr>
          <w:bCs/>
          <w:spacing w:val="-2"/>
          <w:lang w:val="fr-FR"/>
        </w:rPr>
        <w:t>décret n</w:t>
      </w:r>
      <w:r w:rsidR="004B7322" w:rsidRPr="004B7322">
        <w:rPr>
          <w:bCs/>
          <w:spacing w:val="-2"/>
          <w:vertAlign w:val="superscript"/>
          <w:lang w:val="fr-FR"/>
        </w:rPr>
        <w:t>o</w:t>
      </w:r>
      <w:r w:rsidR="004B7322">
        <w:rPr>
          <w:bCs/>
          <w:spacing w:val="-2"/>
          <w:lang w:val="fr-FR"/>
        </w:rPr>
        <w:t> </w:t>
      </w:r>
      <w:r w:rsidR="00364BF3" w:rsidRPr="0011615C">
        <w:rPr>
          <w:bCs/>
          <w:spacing w:val="-2"/>
          <w:lang w:val="fr-FR"/>
        </w:rPr>
        <w:t>2011-366 du 03 novembre 2011</w:t>
      </w:r>
      <w:r w:rsidR="00DB4C05">
        <w:rPr>
          <w:bCs/>
          <w:spacing w:val="-2"/>
          <w:lang w:val="fr-FR"/>
        </w:rPr>
        <w:t> ;</w:t>
      </w:r>
    </w:p>
    <w:p w14:paraId="7145F588" w14:textId="04A5AD04" w:rsidR="00364BF3" w:rsidRDefault="00427A94" w:rsidP="00FE120C">
      <w:pPr>
        <w:pStyle w:val="SingleTxt"/>
        <w:tabs>
          <w:tab w:val="right" w:pos="1685"/>
        </w:tabs>
        <w:ind w:left="1742" w:hanging="475"/>
        <w:rPr>
          <w:bCs/>
          <w:lang w:val="fr-FR"/>
        </w:rPr>
      </w:pPr>
      <w:r>
        <w:rPr>
          <w:lang w:val="fr-FR"/>
        </w:rPr>
        <w:tab/>
        <w:t>•</w:t>
      </w:r>
      <w:r>
        <w:rPr>
          <w:lang w:val="fr-FR"/>
        </w:rPr>
        <w:tab/>
      </w:r>
      <w:r w:rsidR="00364BF3" w:rsidRPr="0011615C">
        <w:rPr>
          <w:lang w:val="fr-FR"/>
        </w:rPr>
        <w:t xml:space="preserve">Le </w:t>
      </w:r>
      <w:r w:rsidR="00364BF3" w:rsidRPr="0011615C">
        <w:rPr>
          <w:bCs/>
          <w:lang w:val="fr-FR"/>
        </w:rPr>
        <w:t>Programme National d</w:t>
      </w:r>
      <w:r w:rsidR="000C16F5">
        <w:rPr>
          <w:bCs/>
          <w:lang w:val="fr-FR"/>
        </w:rPr>
        <w:t>’</w:t>
      </w:r>
      <w:r w:rsidR="00364BF3" w:rsidRPr="0011615C">
        <w:rPr>
          <w:bCs/>
          <w:lang w:val="fr-FR"/>
        </w:rPr>
        <w:t>Animation Communautaire en Protection de l</w:t>
      </w:r>
      <w:r w:rsidR="000C16F5">
        <w:rPr>
          <w:bCs/>
          <w:lang w:val="fr-FR"/>
        </w:rPr>
        <w:t>’</w:t>
      </w:r>
      <w:r w:rsidR="00364BF3" w:rsidRPr="0011615C">
        <w:rPr>
          <w:bCs/>
          <w:lang w:val="fr-FR"/>
        </w:rPr>
        <w:t>Enfant (PNAC-PE) fondé sur le diagnostic communautaire dans 200 localités sur 500.</w:t>
      </w:r>
    </w:p>
    <w:p w14:paraId="62EB2939" w14:textId="2C0D81ED" w:rsidR="00427A94" w:rsidRPr="00427A94" w:rsidRDefault="00427A94" w:rsidP="00427A94">
      <w:pPr>
        <w:pStyle w:val="SingleTxt"/>
        <w:spacing w:after="0" w:line="120" w:lineRule="exact"/>
        <w:rPr>
          <w:bCs/>
          <w:sz w:val="10"/>
          <w:lang w:val="fr-FR"/>
        </w:rPr>
      </w:pPr>
    </w:p>
    <w:p w14:paraId="23E950DA" w14:textId="4C893ADD" w:rsidR="00364BF3" w:rsidRDefault="00364BF3" w:rsidP="00115FF5">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Au niveau opérationnel</w:t>
      </w:r>
    </w:p>
    <w:p w14:paraId="47A3FCA3" w14:textId="6DCA7FC1" w:rsidR="00115FF5" w:rsidRPr="00115FF5" w:rsidRDefault="00115FF5" w:rsidP="00115FF5">
      <w:pPr>
        <w:spacing w:line="120" w:lineRule="exact"/>
        <w:rPr>
          <w:sz w:val="10"/>
          <w:lang w:val="fr-FR"/>
        </w:rPr>
      </w:pPr>
    </w:p>
    <w:p w14:paraId="48CF8B25" w14:textId="534F552A" w:rsidR="00364BF3" w:rsidRPr="00190491" w:rsidRDefault="00364BF3" w:rsidP="008A6B29">
      <w:pPr>
        <w:pStyle w:val="SingleTxt"/>
        <w:numPr>
          <w:ilvl w:val="0"/>
          <w:numId w:val="13"/>
        </w:numPr>
        <w:spacing w:line="240" w:lineRule="exact"/>
        <w:rPr>
          <w:lang w:val="fr-FR"/>
        </w:rPr>
      </w:pPr>
      <w:r w:rsidRPr="00190491">
        <w:rPr>
          <w:lang w:val="fr-FR"/>
        </w:rPr>
        <w:t>La mise en œuvre du Plan d</w:t>
      </w:r>
      <w:r w:rsidR="000C16F5">
        <w:rPr>
          <w:lang w:val="fr-FR"/>
        </w:rPr>
        <w:t>’</w:t>
      </w:r>
      <w:r w:rsidRPr="00190491">
        <w:rPr>
          <w:lang w:val="fr-FR"/>
        </w:rPr>
        <w:t>Action National 2012-2014 de lutte contre le travail des enfants a permis d</w:t>
      </w:r>
      <w:r w:rsidR="000C16F5">
        <w:rPr>
          <w:lang w:val="fr-FR"/>
        </w:rPr>
        <w:t>’</w:t>
      </w:r>
      <w:r w:rsidRPr="00190491">
        <w:rPr>
          <w:lang w:val="fr-FR"/>
        </w:rPr>
        <w:t>obtenir des résultats satisfaisants dont il convient d</w:t>
      </w:r>
      <w:r w:rsidR="000C16F5">
        <w:rPr>
          <w:lang w:val="fr-FR"/>
        </w:rPr>
        <w:t>’</w:t>
      </w:r>
      <w:r w:rsidRPr="00190491">
        <w:rPr>
          <w:lang w:val="fr-FR"/>
        </w:rPr>
        <w:t>en présenter quelques-uns</w:t>
      </w:r>
      <w:r w:rsidR="008945B3">
        <w:rPr>
          <w:lang w:val="fr-FR"/>
        </w:rPr>
        <w:t> :</w:t>
      </w:r>
    </w:p>
    <w:p w14:paraId="5D19DD03" w14:textId="0E336A95" w:rsidR="00364BF3" w:rsidRPr="0011615C" w:rsidRDefault="00115FF5" w:rsidP="00115FF5">
      <w:pPr>
        <w:pStyle w:val="SingleTxt"/>
        <w:tabs>
          <w:tab w:val="right" w:pos="1685"/>
        </w:tabs>
        <w:ind w:left="1742" w:hanging="475"/>
        <w:rPr>
          <w:lang w:val="fr-FR"/>
        </w:rPr>
      </w:pPr>
      <w:r>
        <w:rPr>
          <w:lang w:val="fr-FR"/>
        </w:rPr>
        <w:tab/>
        <w:t>•</w:t>
      </w:r>
      <w:r>
        <w:rPr>
          <w:lang w:val="fr-FR"/>
        </w:rPr>
        <w:tab/>
      </w:r>
      <w:r w:rsidR="00364BF3" w:rsidRPr="0011615C">
        <w:rPr>
          <w:lang w:val="fr-FR"/>
        </w:rPr>
        <w:t>En matière de prévention du phénomène</w:t>
      </w:r>
      <w:r w:rsidR="008945B3">
        <w:rPr>
          <w:lang w:val="fr-FR"/>
        </w:rPr>
        <w:t> :</w:t>
      </w:r>
      <w:r w:rsidR="00364BF3" w:rsidRPr="0011615C">
        <w:rPr>
          <w:lang w:val="fr-FR"/>
        </w:rPr>
        <w:t xml:space="preserve"> le renforcement du cadre légal et règlementaire par l</w:t>
      </w:r>
      <w:r w:rsidR="000C16F5">
        <w:rPr>
          <w:lang w:val="fr-FR"/>
        </w:rPr>
        <w:t>’</w:t>
      </w:r>
      <w:r w:rsidR="00364BF3" w:rsidRPr="0011615C">
        <w:rPr>
          <w:lang w:val="fr-FR"/>
        </w:rPr>
        <w:t>adoption de plusieurs textes, dont celui interdisant les pires formes du travail des enfants en Côte d</w:t>
      </w:r>
      <w:r w:rsidR="000C16F5">
        <w:rPr>
          <w:lang w:val="fr-FR"/>
        </w:rPr>
        <w:t>’</w:t>
      </w:r>
      <w:r w:rsidR="00364BF3" w:rsidRPr="0011615C">
        <w:rPr>
          <w:lang w:val="fr-FR"/>
        </w:rPr>
        <w:t>Ivoire. Ce texte a permis l</w:t>
      </w:r>
      <w:r w:rsidR="000C16F5">
        <w:rPr>
          <w:lang w:val="fr-FR"/>
        </w:rPr>
        <w:t>’</w:t>
      </w:r>
      <w:r w:rsidR="00364BF3" w:rsidRPr="0011615C">
        <w:rPr>
          <w:lang w:val="fr-FR"/>
        </w:rPr>
        <w:t>arrestation et la condamnation de plusieurs trafiquants d</w:t>
      </w:r>
      <w:r w:rsidR="000C16F5">
        <w:rPr>
          <w:lang w:val="fr-FR"/>
        </w:rPr>
        <w:t>’</w:t>
      </w:r>
      <w:r w:rsidR="00364BF3" w:rsidRPr="0011615C">
        <w:rPr>
          <w:lang w:val="fr-FR"/>
        </w:rPr>
        <w:t>enfants à des peines d</w:t>
      </w:r>
      <w:r w:rsidR="000C16F5">
        <w:rPr>
          <w:lang w:val="fr-FR"/>
        </w:rPr>
        <w:t>’</w:t>
      </w:r>
      <w:r w:rsidR="00364BF3" w:rsidRPr="0011615C">
        <w:rPr>
          <w:lang w:val="fr-FR"/>
        </w:rPr>
        <w:t>emprisonnement fermes</w:t>
      </w:r>
      <w:r w:rsidR="00DB4C05">
        <w:rPr>
          <w:lang w:val="fr-FR"/>
        </w:rPr>
        <w:t> ;</w:t>
      </w:r>
    </w:p>
    <w:p w14:paraId="44409C5F" w14:textId="5EB54C61" w:rsidR="00364BF3" w:rsidRPr="0011615C" w:rsidRDefault="00115FF5" w:rsidP="00115FF5">
      <w:pPr>
        <w:pStyle w:val="SingleTxt"/>
        <w:tabs>
          <w:tab w:val="right" w:pos="1685"/>
        </w:tabs>
        <w:ind w:left="1742" w:hanging="475"/>
        <w:rPr>
          <w:b/>
          <w:bCs/>
          <w:lang w:val="fr-FR"/>
        </w:rPr>
      </w:pPr>
      <w:r>
        <w:rPr>
          <w:lang w:val="fr-FR"/>
        </w:rPr>
        <w:tab/>
        <w:t>•</w:t>
      </w:r>
      <w:r>
        <w:rPr>
          <w:lang w:val="fr-FR"/>
        </w:rPr>
        <w:tab/>
      </w:r>
      <w:r w:rsidR="00364BF3" w:rsidRPr="0011615C">
        <w:rPr>
          <w:lang w:val="fr-FR"/>
        </w:rPr>
        <w:t xml:space="preserve">La mise en place du </w:t>
      </w:r>
      <w:r w:rsidR="00364BF3" w:rsidRPr="0011615C">
        <w:rPr>
          <w:bCs/>
          <w:lang w:val="fr-FR"/>
        </w:rPr>
        <w:t>Système d</w:t>
      </w:r>
      <w:r w:rsidR="000C16F5">
        <w:rPr>
          <w:bCs/>
          <w:lang w:val="fr-FR"/>
        </w:rPr>
        <w:t>’</w:t>
      </w:r>
      <w:r w:rsidR="00364BF3" w:rsidRPr="0011615C">
        <w:rPr>
          <w:bCs/>
          <w:lang w:val="fr-FR"/>
        </w:rPr>
        <w:t>Observation et de Suivi du Travail des Enfants en Côte d</w:t>
      </w:r>
      <w:r w:rsidR="000C16F5">
        <w:rPr>
          <w:bCs/>
          <w:lang w:val="fr-FR"/>
        </w:rPr>
        <w:t>’</w:t>
      </w:r>
      <w:r w:rsidR="00364BF3" w:rsidRPr="0011615C">
        <w:rPr>
          <w:bCs/>
          <w:lang w:val="fr-FR"/>
        </w:rPr>
        <w:t>Ivoire</w:t>
      </w:r>
      <w:r w:rsidR="00364BF3" w:rsidRPr="0011615C">
        <w:rPr>
          <w:lang w:val="fr-FR"/>
        </w:rPr>
        <w:t xml:space="preserve"> (</w:t>
      </w:r>
      <w:r w:rsidR="00364BF3" w:rsidRPr="0011615C">
        <w:rPr>
          <w:bCs/>
          <w:lang w:val="fr-FR"/>
        </w:rPr>
        <w:t>SOSTECI)</w:t>
      </w:r>
      <w:r w:rsidR="00DB4C05">
        <w:rPr>
          <w:bCs/>
          <w:lang w:val="fr-FR"/>
        </w:rPr>
        <w:t> ;</w:t>
      </w:r>
    </w:p>
    <w:p w14:paraId="7DBBD202" w14:textId="718AAD02" w:rsidR="00364BF3" w:rsidRPr="0011615C" w:rsidRDefault="00115FF5" w:rsidP="00115FF5">
      <w:pPr>
        <w:pStyle w:val="SingleTxt"/>
        <w:tabs>
          <w:tab w:val="right" w:pos="1685"/>
        </w:tabs>
        <w:ind w:left="1742" w:hanging="475"/>
        <w:rPr>
          <w:lang w:val="fr-FR"/>
        </w:rPr>
      </w:pPr>
      <w:r>
        <w:rPr>
          <w:lang w:val="fr-FR"/>
        </w:rPr>
        <w:tab/>
        <w:t>•</w:t>
      </w:r>
      <w:r>
        <w:rPr>
          <w:lang w:val="fr-FR"/>
        </w:rPr>
        <w:tab/>
      </w:r>
      <w:r w:rsidR="00364BF3" w:rsidRPr="0011615C">
        <w:rPr>
          <w:lang w:val="fr-FR"/>
        </w:rPr>
        <w:t>Des campagnes de proximité ont été initiées en vue de susciter une prise de conscience nationale pour une adhésion des populations à l</w:t>
      </w:r>
      <w:r w:rsidR="000C16F5">
        <w:rPr>
          <w:lang w:val="fr-FR"/>
        </w:rPr>
        <w:t>’</w:t>
      </w:r>
      <w:r w:rsidR="00364BF3" w:rsidRPr="0011615C">
        <w:rPr>
          <w:lang w:val="fr-FR"/>
        </w:rPr>
        <w:t>effort national de lutte contre les pires formes du travail des enfants</w:t>
      </w:r>
      <w:r w:rsidR="00DB4C05">
        <w:rPr>
          <w:lang w:val="fr-FR"/>
        </w:rPr>
        <w:t> ;</w:t>
      </w:r>
    </w:p>
    <w:p w14:paraId="29748D57" w14:textId="00EE03F9" w:rsidR="00364BF3" w:rsidRPr="0011615C" w:rsidRDefault="00115FF5" w:rsidP="00115FF5">
      <w:pPr>
        <w:pStyle w:val="SingleTxt"/>
        <w:tabs>
          <w:tab w:val="right" w:pos="1685"/>
        </w:tabs>
        <w:ind w:left="1742" w:hanging="475"/>
        <w:rPr>
          <w:bCs/>
          <w:lang w:val="fr-FR"/>
        </w:rPr>
      </w:pPr>
      <w:r>
        <w:rPr>
          <w:lang w:val="fr-FR"/>
        </w:rPr>
        <w:tab/>
        <w:t>•</w:t>
      </w:r>
      <w:r>
        <w:rPr>
          <w:lang w:val="fr-FR"/>
        </w:rPr>
        <w:tab/>
      </w:r>
      <w:r w:rsidR="00364BF3" w:rsidRPr="0011615C">
        <w:rPr>
          <w:bCs/>
          <w:lang w:val="fr-FR"/>
        </w:rPr>
        <w:t>La signature de 06 arrêtés préfectoraux portant création, attribution et fonctionnement des mécanismes régionaux de protection de l</w:t>
      </w:r>
      <w:r w:rsidR="000C16F5">
        <w:rPr>
          <w:bCs/>
          <w:lang w:val="fr-FR"/>
        </w:rPr>
        <w:t>’</w:t>
      </w:r>
      <w:r w:rsidR="00364BF3" w:rsidRPr="0011615C">
        <w:rPr>
          <w:bCs/>
          <w:lang w:val="fr-FR"/>
        </w:rPr>
        <w:t>enfant</w:t>
      </w:r>
      <w:r w:rsidR="00DB4C05">
        <w:rPr>
          <w:bCs/>
          <w:lang w:val="fr-FR"/>
        </w:rPr>
        <w:t> ;</w:t>
      </w:r>
    </w:p>
    <w:p w14:paraId="775F0AC2" w14:textId="19580F54" w:rsidR="00364BF3" w:rsidRPr="0011615C" w:rsidRDefault="00115FF5" w:rsidP="00115FF5">
      <w:pPr>
        <w:pStyle w:val="SingleTxt"/>
        <w:tabs>
          <w:tab w:val="right" w:pos="1685"/>
        </w:tabs>
        <w:ind w:left="1742" w:hanging="475"/>
        <w:rPr>
          <w:bCs/>
          <w:lang w:val="fr-FR"/>
        </w:rPr>
      </w:pPr>
      <w:r>
        <w:rPr>
          <w:lang w:val="fr-FR"/>
        </w:rPr>
        <w:tab/>
        <w:t>•</w:t>
      </w:r>
      <w:r>
        <w:rPr>
          <w:lang w:val="fr-FR"/>
        </w:rPr>
        <w:tab/>
      </w:r>
      <w:r w:rsidR="00364BF3" w:rsidRPr="0011615C">
        <w:rPr>
          <w:bCs/>
          <w:lang w:val="fr-FR"/>
        </w:rPr>
        <w:t>La mise en place des organes de coordination et de suivi de la mise en œuvre de la PNPE 6 plateformes créées dans 6 régions</w:t>
      </w:r>
      <w:r w:rsidR="00DB4C05">
        <w:rPr>
          <w:bCs/>
          <w:lang w:val="fr-FR"/>
        </w:rPr>
        <w:t> ;</w:t>
      </w:r>
    </w:p>
    <w:p w14:paraId="142CB19C" w14:textId="1E9F2C0D" w:rsidR="00364BF3" w:rsidRPr="0011615C" w:rsidRDefault="00115FF5" w:rsidP="00115FF5">
      <w:pPr>
        <w:pStyle w:val="SingleTxt"/>
        <w:tabs>
          <w:tab w:val="right" w:pos="1685"/>
        </w:tabs>
        <w:ind w:left="1742" w:hanging="475"/>
        <w:rPr>
          <w:bCs/>
          <w:lang w:val="fr-FR"/>
        </w:rPr>
      </w:pPr>
      <w:r>
        <w:rPr>
          <w:lang w:val="fr-FR"/>
        </w:rPr>
        <w:tab/>
        <w:t>•</w:t>
      </w:r>
      <w:r>
        <w:rPr>
          <w:lang w:val="fr-FR"/>
        </w:rPr>
        <w:tab/>
      </w:r>
      <w:r w:rsidR="00364BF3" w:rsidRPr="0011615C">
        <w:rPr>
          <w:bCs/>
          <w:lang w:val="fr-FR"/>
        </w:rPr>
        <w:t>La création d</w:t>
      </w:r>
      <w:r w:rsidR="000C16F5">
        <w:rPr>
          <w:bCs/>
          <w:lang w:val="fr-FR"/>
        </w:rPr>
        <w:t>’</w:t>
      </w:r>
      <w:r w:rsidR="00364BF3" w:rsidRPr="0011615C">
        <w:rPr>
          <w:bCs/>
          <w:lang w:val="fr-FR"/>
        </w:rPr>
        <w:t>une ligne verte 116 « </w:t>
      </w:r>
      <w:r w:rsidR="00364BF3" w:rsidRPr="00B675BB">
        <w:rPr>
          <w:bCs/>
          <w:iCs/>
          <w:lang w:val="fr-FR"/>
        </w:rPr>
        <w:t>Allo enfant en détresse</w:t>
      </w:r>
      <w:r w:rsidR="00364BF3" w:rsidRPr="0011615C">
        <w:rPr>
          <w:bCs/>
          <w:lang w:val="fr-FR"/>
        </w:rPr>
        <w:t> » qui a permis d</w:t>
      </w:r>
      <w:r w:rsidR="000C16F5">
        <w:rPr>
          <w:bCs/>
          <w:lang w:val="fr-FR"/>
        </w:rPr>
        <w:t>’</w:t>
      </w:r>
      <w:r w:rsidR="00364BF3" w:rsidRPr="0011615C">
        <w:rPr>
          <w:bCs/>
          <w:lang w:val="fr-FR"/>
        </w:rPr>
        <w:t>enregistrer en 2015, 18655 appels pour des cas divers de maltraitance et abus.</w:t>
      </w:r>
    </w:p>
    <w:p w14:paraId="11A66E57" w14:textId="48091CF5" w:rsidR="00364BF3" w:rsidRPr="00EC7FA7" w:rsidRDefault="00364BF3" w:rsidP="008A6B29">
      <w:pPr>
        <w:pStyle w:val="SingleTxt"/>
        <w:numPr>
          <w:ilvl w:val="0"/>
          <w:numId w:val="13"/>
        </w:numPr>
        <w:spacing w:line="240" w:lineRule="exact"/>
        <w:rPr>
          <w:b/>
          <w:bCs/>
          <w:lang w:val="fr-FR"/>
        </w:rPr>
      </w:pPr>
      <w:r w:rsidRPr="00EC7FA7">
        <w:rPr>
          <w:b/>
          <w:bCs/>
          <w:lang w:val="fr-FR"/>
        </w:rPr>
        <w:t>D</w:t>
      </w:r>
      <w:r w:rsidR="000C16F5" w:rsidRPr="00EC7FA7">
        <w:rPr>
          <w:b/>
          <w:bCs/>
          <w:lang w:val="fr-FR"/>
        </w:rPr>
        <w:t>’</w:t>
      </w:r>
      <w:r w:rsidRPr="00EC7FA7">
        <w:rPr>
          <w:b/>
          <w:bCs/>
          <w:lang w:val="fr-FR"/>
        </w:rPr>
        <w:t>intensifier ses efforts à la coopération internationale, régionale et bilatérale avec le pays d</w:t>
      </w:r>
      <w:r w:rsidR="000C16F5" w:rsidRPr="00EC7FA7">
        <w:rPr>
          <w:b/>
          <w:bCs/>
          <w:lang w:val="fr-FR"/>
        </w:rPr>
        <w:t>’</w:t>
      </w:r>
      <w:r w:rsidRPr="00EC7FA7">
        <w:rPr>
          <w:b/>
          <w:bCs/>
          <w:lang w:val="fr-FR"/>
        </w:rPr>
        <w:t>origine, de transit et de destination afin de prévenir la traite grâce à des informations d</w:t>
      </w:r>
      <w:r w:rsidR="000C16F5" w:rsidRPr="00EC7FA7">
        <w:rPr>
          <w:b/>
          <w:bCs/>
          <w:lang w:val="fr-FR"/>
        </w:rPr>
        <w:t>’</w:t>
      </w:r>
      <w:r w:rsidRPr="00EC7FA7">
        <w:rPr>
          <w:b/>
          <w:bCs/>
          <w:lang w:val="fr-FR"/>
        </w:rPr>
        <w:t>échange et d</w:t>
      </w:r>
      <w:r w:rsidR="000C16F5" w:rsidRPr="00EC7FA7">
        <w:rPr>
          <w:b/>
          <w:bCs/>
          <w:lang w:val="fr-FR"/>
        </w:rPr>
        <w:t>’</w:t>
      </w:r>
      <w:r w:rsidRPr="00EC7FA7">
        <w:rPr>
          <w:b/>
          <w:bCs/>
          <w:lang w:val="fr-FR"/>
        </w:rPr>
        <w:t xml:space="preserve">harmoniser les procédures </w:t>
      </w:r>
      <w:r w:rsidRPr="005838EC">
        <w:rPr>
          <w:b/>
          <w:bCs/>
          <w:spacing w:val="0"/>
          <w:lang w:val="fr-FR"/>
        </w:rPr>
        <w:t xml:space="preserve">juridiques visant à réprimer et punir les trafiquants </w:t>
      </w:r>
      <w:r w:rsidR="00D81000" w:rsidRPr="005838EC">
        <w:rPr>
          <w:b/>
          <w:bCs/>
          <w:spacing w:val="0"/>
          <w:lang w:val="fr-FR"/>
        </w:rPr>
        <w:t>[</w:t>
      </w:r>
      <w:r w:rsidRPr="005838EC">
        <w:rPr>
          <w:b/>
          <w:bCs/>
          <w:spacing w:val="0"/>
          <w:lang w:val="fr-FR"/>
        </w:rPr>
        <w:t xml:space="preserve">voir </w:t>
      </w:r>
      <w:hyperlink r:id="rId63" w:history="1">
        <w:r w:rsidRPr="007B345A">
          <w:rPr>
            <w:rStyle w:val="Hyperlink"/>
            <w:b/>
            <w:bCs/>
            <w:spacing w:val="0"/>
            <w:lang w:val="fr-FR"/>
          </w:rPr>
          <w:t>CEDAW/C/CIV/CO/1-3</w:t>
        </w:r>
      </w:hyperlink>
      <w:r w:rsidRPr="005838EC">
        <w:rPr>
          <w:b/>
          <w:bCs/>
          <w:spacing w:val="0"/>
          <w:lang w:val="fr-FR"/>
        </w:rPr>
        <w:t>,</w:t>
      </w:r>
      <w:r w:rsidRPr="00EC7FA7">
        <w:rPr>
          <w:b/>
          <w:bCs/>
          <w:lang w:val="fr-FR"/>
        </w:rPr>
        <w:t xml:space="preserve"> </w:t>
      </w:r>
      <w:r w:rsidR="006862B3" w:rsidRPr="00EC7FA7">
        <w:rPr>
          <w:b/>
          <w:bCs/>
          <w:lang w:val="fr-FR"/>
        </w:rPr>
        <w:t>par. </w:t>
      </w:r>
      <w:r w:rsidRPr="00EC7FA7">
        <w:rPr>
          <w:b/>
          <w:bCs/>
          <w:lang w:val="fr-FR"/>
        </w:rPr>
        <w:t>33 c)</w:t>
      </w:r>
      <w:r w:rsidR="00D81000" w:rsidRPr="00EC7FA7">
        <w:rPr>
          <w:b/>
          <w:bCs/>
          <w:lang w:val="fr-FR"/>
        </w:rPr>
        <w:t>]</w:t>
      </w:r>
      <w:r w:rsidRPr="00EC7FA7">
        <w:rPr>
          <w:b/>
          <w:bCs/>
          <w:lang w:val="fr-FR"/>
        </w:rPr>
        <w:t>.</w:t>
      </w:r>
    </w:p>
    <w:p w14:paraId="38E3A9B7" w14:textId="27EFD525" w:rsidR="00364BF3" w:rsidRPr="00190491" w:rsidRDefault="00364BF3" w:rsidP="008A6B29">
      <w:pPr>
        <w:pStyle w:val="SingleTxt"/>
        <w:numPr>
          <w:ilvl w:val="0"/>
          <w:numId w:val="13"/>
        </w:numPr>
        <w:spacing w:line="240" w:lineRule="exact"/>
        <w:rPr>
          <w:lang w:val="fr-FR"/>
        </w:rPr>
      </w:pPr>
      <w:r w:rsidRPr="00190491">
        <w:rPr>
          <w:lang w:val="fr-FR"/>
        </w:rPr>
        <w:t>En plus de l</w:t>
      </w:r>
      <w:r w:rsidR="000C16F5">
        <w:rPr>
          <w:lang w:val="fr-FR"/>
        </w:rPr>
        <w:t>’</w:t>
      </w:r>
      <w:r w:rsidRPr="00190491">
        <w:rPr>
          <w:lang w:val="fr-FR"/>
        </w:rPr>
        <w:t>accord de coopération bilatérale Côte d</w:t>
      </w:r>
      <w:r w:rsidR="000C16F5">
        <w:rPr>
          <w:lang w:val="fr-FR"/>
        </w:rPr>
        <w:t>’</w:t>
      </w:r>
      <w:r w:rsidRPr="00190491">
        <w:rPr>
          <w:lang w:val="fr-FR"/>
        </w:rPr>
        <w:t>Ivoire-Mali en matière de lutte contre le trafic transfrontalier des enfants, signé le 1</w:t>
      </w:r>
      <w:r w:rsidRPr="00190491">
        <w:rPr>
          <w:vertAlign w:val="superscript"/>
          <w:lang w:val="fr-FR"/>
        </w:rPr>
        <w:t>er</w:t>
      </w:r>
      <w:r w:rsidR="00DB4C05">
        <w:rPr>
          <w:lang w:val="fr-FR"/>
        </w:rPr>
        <w:t xml:space="preserve"> </w:t>
      </w:r>
      <w:r w:rsidRPr="00190491">
        <w:rPr>
          <w:lang w:val="fr-FR"/>
        </w:rPr>
        <w:t>septembre 2000 et l</w:t>
      </w:r>
      <w:r w:rsidR="000C16F5">
        <w:rPr>
          <w:lang w:val="fr-FR"/>
        </w:rPr>
        <w:t>’</w:t>
      </w:r>
      <w:r w:rsidRPr="00190491">
        <w:rPr>
          <w:lang w:val="fr-FR"/>
        </w:rPr>
        <w:t>accord multilatéral de coopération entre la Côte d</w:t>
      </w:r>
      <w:r w:rsidR="000C16F5">
        <w:rPr>
          <w:lang w:val="fr-FR"/>
        </w:rPr>
        <w:t>’</w:t>
      </w:r>
      <w:r w:rsidRPr="00190491">
        <w:rPr>
          <w:lang w:val="fr-FR"/>
        </w:rPr>
        <w:t>Ivoire et 8 autres pays en matière de lutte contre la traite des enfants signé le 27 juillet 2005, la Côte d</w:t>
      </w:r>
      <w:r w:rsidR="000C16F5">
        <w:rPr>
          <w:lang w:val="fr-FR"/>
        </w:rPr>
        <w:t>’</w:t>
      </w:r>
      <w:r w:rsidRPr="00190491">
        <w:rPr>
          <w:lang w:val="fr-FR"/>
        </w:rPr>
        <w:t>Ivoire a signé avec le Burkina Faso un accord en matière de lutte contre la traite transfrontalière des enfants, le 17 octobre 2013</w:t>
      </w:r>
      <w:r w:rsidR="00DB4C05">
        <w:rPr>
          <w:lang w:val="fr-FR"/>
        </w:rPr>
        <w:t> ;</w:t>
      </w:r>
      <w:r w:rsidRPr="00190491">
        <w:rPr>
          <w:bCs/>
          <w:lang w:val="fr-FR"/>
        </w:rPr>
        <w:t>en plus, une déclaration d</w:t>
      </w:r>
      <w:r w:rsidR="000C16F5">
        <w:rPr>
          <w:bCs/>
          <w:lang w:val="fr-FR"/>
        </w:rPr>
        <w:t>’</w:t>
      </w:r>
      <w:r w:rsidRPr="00190491">
        <w:rPr>
          <w:bCs/>
          <w:lang w:val="fr-FR"/>
        </w:rPr>
        <w:t>engagement commune des Premières Dames de Côte d</w:t>
      </w:r>
      <w:r w:rsidR="000C16F5">
        <w:rPr>
          <w:bCs/>
          <w:lang w:val="fr-FR"/>
        </w:rPr>
        <w:t>’</w:t>
      </w:r>
      <w:r w:rsidRPr="00190491">
        <w:rPr>
          <w:bCs/>
          <w:lang w:val="fr-FR"/>
        </w:rPr>
        <w:t xml:space="preserve">Ivoire et du Ghana, dans le cadre de la lutte contre la Traite transfrontalière et les pires formes de Travail des Enfants a été signée </w:t>
      </w:r>
      <w:r w:rsidRPr="00190491">
        <w:rPr>
          <w:lang w:val="fr-FR"/>
        </w:rPr>
        <w:t>le 13 septembre 2016.</w:t>
      </w:r>
    </w:p>
    <w:p w14:paraId="10F2AE78" w14:textId="67649922" w:rsidR="00364BF3" w:rsidRPr="00190491" w:rsidRDefault="00364BF3" w:rsidP="008A6B29">
      <w:pPr>
        <w:pStyle w:val="SingleTxt"/>
        <w:numPr>
          <w:ilvl w:val="0"/>
          <w:numId w:val="13"/>
        </w:numPr>
        <w:spacing w:line="240" w:lineRule="exact"/>
        <w:rPr>
          <w:lang w:val="fr-FR"/>
        </w:rPr>
      </w:pPr>
      <w:r w:rsidRPr="00EC7FA7">
        <w:rPr>
          <w:b/>
          <w:bCs/>
          <w:lang w:val="fr-FR"/>
        </w:rPr>
        <w:t xml:space="preserve">Ratifier la Convention des Nations Unies contre la criminalité transnationale et le Protocole de Palerme visant à prévenir, réprimer et punir la </w:t>
      </w:r>
      <w:r w:rsidRPr="00EC7FA7">
        <w:rPr>
          <w:b/>
          <w:bCs/>
          <w:lang w:val="fr-FR"/>
        </w:rPr>
        <w:lastRenderedPageBreak/>
        <w:t xml:space="preserve">traite des personnes, surtout des femmes et des enfants </w:t>
      </w:r>
      <w:r w:rsidR="00D81000" w:rsidRPr="00EC7FA7">
        <w:rPr>
          <w:b/>
          <w:bCs/>
          <w:lang w:val="fr-FR"/>
        </w:rPr>
        <w:t>[</w:t>
      </w:r>
      <w:r w:rsidRPr="00EC7FA7">
        <w:rPr>
          <w:b/>
          <w:bCs/>
          <w:lang w:val="fr-FR"/>
        </w:rPr>
        <w:t xml:space="preserve">voir </w:t>
      </w:r>
      <w:hyperlink r:id="rId64" w:history="1">
        <w:r w:rsidRPr="007B345A">
          <w:rPr>
            <w:rStyle w:val="Hyperlink"/>
            <w:b/>
            <w:bCs/>
            <w:lang w:val="fr-FR"/>
          </w:rPr>
          <w:t>CEDAW/C/CIV/CO/1-3</w:t>
        </w:r>
      </w:hyperlink>
      <w:r w:rsidRPr="00EC7FA7">
        <w:rPr>
          <w:b/>
          <w:bCs/>
          <w:lang w:val="fr-FR"/>
        </w:rPr>
        <w:t xml:space="preserve">, </w:t>
      </w:r>
      <w:r w:rsidR="006862B3" w:rsidRPr="00EC7FA7">
        <w:rPr>
          <w:b/>
          <w:bCs/>
          <w:lang w:val="fr-FR"/>
        </w:rPr>
        <w:t>par. </w:t>
      </w:r>
      <w:r w:rsidRPr="00EC7FA7">
        <w:rPr>
          <w:b/>
          <w:bCs/>
          <w:lang w:val="fr-FR"/>
        </w:rPr>
        <w:t>33 d)</w:t>
      </w:r>
      <w:r w:rsidR="00D81000" w:rsidRPr="00EC7FA7">
        <w:rPr>
          <w:b/>
          <w:bCs/>
          <w:lang w:val="fr-FR"/>
        </w:rPr>
        <w:t>]</w:t>
      </w:r>
      <w:r w:rsidRPr="00EC7FA7">
        <w:rPr>
          <w:b/>
          <w:bCs/>
          <w:lang w:val="fr-FR"/>
        </w:rPr>
        <w:t>.</w:t>
      </w:r>
    </w:p>
    <w:p w14:paraId="491BF507" w14:textId="195C63B0" w:rsidR="00364BF3" w:rsidRPr="0011615C" w:rsidRDefault="00364BF3" w:rsidP="008A6B29">
      <w:pPr>
        <w:pStyle w:val="SingleTxt"/>
        <w:numPr>
          <w:ilvl w:val="0"/>
          <w:numId w:val="13"/>
        </w:numPr>
        <w:spacing w:line="240" w:lineRule="exact"/>
        <w:rPr>
          <w:lang w:val="fr-FR"/>
        </w:rPr>
      </w:pPr>
      <w:r w:rsidRPr="0011615C">
        <w:rPr>
          <w:lang w:val="fr-FR"/>
        </w:rPr>
        <w:t xml:space="preserve">La </w:t>
      </w:r>
      <w:r w:rsidRPr="00190491">
        <w:rPr>
          <w:lang w:val="fr-FR"/>
        </w:rPr>
        <w:t>Côte</w:t>
      </w:r>
      <w:r w:rsidRPr="0011615C">
        <w:rPr>
          <w:lang w:val="fr-FR"/>
        </w:rPr>
        <w:t xml:space="preserve"> d</w:t>
      </w:r>
      <w:r w:rsidR="000C16F5">
        <w:rPr>
          <w:lang w:val="fr-FR"/>
        </w:rPr>
        <w:t>’</w:t>
      </w:r>
      <w:r w:rsidRPr="0011615C">
        <w:rPr>
          <w:lang w:val="fr-FR"/>
        </w:rPr>
        <w:t>Ivoire a ratifié 3 protocoles à savoir</w:t>
      </w:r>
      <w:r w:rsidR="008945B3">
        <w:rPr>
          <w:lang w:val="fr-FR"/>
        </w:rPr>
        <w:t> :</w:t>
      </w:r>
      <w:r w:rsidRPr="0011615C">
        <w:rPr>
          <w:lang w:val="fr-FR"/>
        </w:rPr>
        <w:t xml:space="preserve"> i) le protocole additionnel à la Convention des Nations Unies contre la criminalité transnationale organisée, visant à réprimer et à punir la traite des personnes en particulier des femmes et des enfants le 06 décembre 2011</w:t>
      </w:r>
      <w:r w:rsidR="00DB4C05">
        <w:rPr>
          <w:lang w:val="fr-FR"/>
        </w:rPr>
        <w:t> ;</w:t>
      </w:r>
      <w:r w:rsidR="00971A8C">
        <w:rPr>
          <w:lang w:val="fr-FR"/>
        </w:rPr>
        <w:t xml:space="preserve"> </w:t>
      </w:r>
      <w:r w:rsidRPr="0011615C">
        <w:rPr>
          <w:lang w:val="fr-FR"/>
        </w:rPr>
        <w:t>ii) le protocole facultatif à la Convention relative aux droits de l</w:t>
      </w:r>
      <w:r w:rsidR="000C16F5">
        <w:rPr>
          <w:lang w:val="fr-FR"/>
        </w:rPr>
        <w:t>’</w:t>
      </w:r>
      <w:r w:rsidRPr="0011615C">
        <w:rPr>
          <w:lang w:val="fr-FR"/>
        </w:rPr>
        <w:t>enfant, concernant l</w:t>
      </w:r>
      <w:r w:rsidR="000C16F5">
        <w:rPr>
          <w:lang w:val="fr-FR"/>
        </w:rPr>
        <w:t>’</w:t>
      </w:r>
      <w:r w:rsidRPr="0011615C">
        <w:rPr>
          <w:lang w:val="fr-FR"/>
        </w:rPr>
        <w:t>implication d</w:t>
      </w:r>
      <w:r w:rsidR="000C16F5">
        <w:rPr>
          <w:lang w:val="fr-FR"/>
        </w:rPr>
        <w:t>’</w:t>
      </w:r>
      <w:r w:rsidRPr="0011615C">
        <w:rPr>
          <w:lang w:val="fr-FR"/>
        </w:rPr>
        <w:t>enfants dans les conflits armés le 03 Aout 2011 et iii) le protocole facultatif à la convention relative aux droits de l</w:t>
      </w:r>
      <w:r w:rsidR="000C16F5">
        <w:rPr>
          <w:lang w:val="fr-FR"/>
        </w:rPr>
        <w:t>’</w:t>
      </w:r>
      <w:r w:rsidRPr="0011615C">
        <w:rPr>
          <w:lang w:val="fr-FR"/>
        </w:rPr>
        <w:t>enfant, concernant la vente d</w:t>
      </w:r>
      <w:r w:rsidR="000C16F5">
        <w:rPr>
          <w:lang w:val="fr-FR"/>
        </w:rPr>
        <w:t>’</w:t>
      </w:r>
      <w:r w:rsidRPr="0011615C">
        <w:rPr>
          <w:lang w:val="fr-FR"/>
        </w:rPr>
        <w:t>enfants, la prostitution des enfants et la pornographie mettant en scène des enfants le 07 Septembre 2011.</w:t>
      </w:r>
    </w:p>
    <w:p w14:paraId="5093F9AA" w14:textId="0A034BFA" w:rsidR="00364BF3" w:rsidRPr="00190491" w:rsidRDefault="00364BF3" w:rsidP="008A6B29">
      <w:pPr>
        <w:pStyle w:val="SingleTxt"/>
        <w:numPr>
          <w:ilvl w:val="0"/>
          <w:numId w:val="13"/>
        </w:numPr>
        <w:spacing w:line="240" w:lineRule="exact"/>
        <w:rPr>
          <w:lang w:val="fr-FR"/>
        </w:rPr>
      </w:pPr>
      <w:r w:rsidRPr="00190491">
        <w:rPr>
          <w:lang w:val="fr-FR"/>
        </w:rPr>
        <w:t>S</w:t>
      </w:r>
      <w:r w:rsidR="000C16F5">
        <w:rPr>
          <w:lang w:val="fr-FR"/>
        </w:rPr>
        <w:t>’</w:t>
      </w:r>
      <w:r w:rsidRPr="00190491">
        <w:rPr>
          <w:lang w:val="fr-FR"/>
        </w:rPr>
        <w:t>attaquer aux causes profondes de la prostitution des femmes et des filles, y compris la pauvreté, afin d</w:t>
      </w:r>
      <w:r w:rsidR="000C16F5">
        <w:rPr>
          <w:lang w:val="fr-FR"/>
        </w:rPr>
        <w:t>’</w:t>
      </w:r>
      <w:r w:rsidRPr="00190491">
        <w:rPr>
          <w:lang w:val="fr-FR"/>
        </w:rPr>
        <w:t>éliminer la vulnérabilité des femmes et des filles et assurer leur santé sexuelle et les protéger contre l</w:t>
      </w:r>
      <w:r w:rsidR="000C16F5">
        <w:rPr>
          <w:lang w:val="fr-FR"/>
        </w:rPr>
        <w:t>’</w:t>
      </w:r>
      <w:r w:rsidRPr="00190491">
        <w:rPr>
          <w:lang w:val="fr-FR"/>
        </w:rPr>
        <w:t xml:space="preserve">exploitation et la traite et entreprendre des efforts pour la réinsertion des victimes </w:t>
      </w:r>
      <w:r w:rsidR="00D81000">
        <w:rPr>
          <w:lang w:val="fr-FR"/>
        </w:rPr>
        <w:t>[</w:t>
      </w:r>
      <w:r w:rsidRPr="00190491">
        <w:rPr>
          <w:lang w:val="fr-FR"/>
        </w:rPr>
        <w:t xml:space="preserve">voir </w:t>
      </w:r>
      <w:hyperlink r:id="rId65" w:history="1">
        <w:r w:rsidRPr="007B345A">
          <w:rPr>
            <w:rStyle w:val="Hyperlink"/>
            <w:lang w:val="fr-FR"/>
          </w:rPr>
          <w:t>CEDAW/C/CIV/CO/1-3</w:t>
        </w:r>
      </w:hyperlink>
      <w:r w:rsidRPr="00190491">
        <w:rPr>
          <w:lang w:val="fr-FR"/>
        </w:rPr>
        <w:t xml:space="preserve">, </w:t>
      </w:r>
      <w:r w:rsidR="006862B3">
        <w:rPr>
          <w:lang w:val="fr-FR"/>
        </w:rPr>
        <w:t>par. </w:t>
      </w:r>
      <w:r w:rsidRPr="00190491">
        <w:rPr>
          <w:lang w:val="fr-FR"/>
        </w:rPr>
        <w:t>33 e)</w:t>
      </w:r>
      <w:r w:rsidR="00D81000">
        <w:rPr>
          <w:lang w:val="fr-FR"/>
        </w:rPr>
        <w:t>]</w:t>
      </w:r>
      <w:r w:rsidRPr="00190491">
        <w:rPr>
          <w:lang w:val="fr-FR"/>
        </w:rPr>
        <w:t>.</w:t>
      </w:r>
    </w:p>
    <w:p w14:paraId="57DDCCB7" w14:textId="4456D7DB" w:rsidR="00364BF3" w:rsidRPr="00190491" w:rsidRDefault="00364BF3" w:rsidP="008A6B29">
      <w:pPr>
        <w:pStyle w:val="SingleTxt"/>
        <w:numPr>
          <w:ilvl w:val="0"/>
          <w:numId w:val="13"/>
        </w:numPr>
        <w:spacing w:line="240" w:lineRule="exact"/>
        <w:rPr>
          <w:lang w:val="fr-FR"/>
        </w:rPr>
      </w:pPr>
      <w:r w:rsidRPr="00190491">
        <w:rPr>
          <w:lang w:val="fr-FR"/>
        </w:rPr>
        <w:t>Le Ministère de la Salubrité Urbaine et de l</w:t>
      </w:r>
      <w:r w:rsidR="000C16F5">
        <w:rPr>
          <w:lang w:val="fr-FR"/>
        </w:rPr>
        <w:t>’</w:t>
      </w:r>
      <w:r w:rsidRPr="00190491">
        <w:rPr>
          <w:lang w:val="fr-FR"/>
        </w:rPr>
        <w:t xml:space="preserve">Assainissement en collaboration avec Le MPFFPE </w:t>
      </w:r>
      <w:r w:rsidRPr="0011615C">
        <w:rPr>
          <w:lang w:val="fr-FR"/>
        </w:rPr>
        <w:t>a</w:t>
      </w:r>
      <w:r w:rsidRPr="00190491">
        <w:rPr>
          <w:lang w:val="fr-FR"/>
        </w:rPr>
        <w:t xml:space="preserve"> procédé au démantèlement de certains réseaux de prostitution ainsi qu</w:t>
      </w:r>
      <w:r w:rsidR="000C16F5">
        <w:rPr>
          <w:lang w:val="fr-FR"/>
        </w:rPr>
        <w:t>’</w:t>
      </w:r>
      <w:r w:rsidRPr="00190491">
        <w:rPr>
          <w:lang w:val="fr-FR"/>
        </w:rPr>
        <w:t>à la fermeture de certains bars, maquis et boites de nuit en 2012 et en 2016. Cette action mérite d</w:t>
      </w:r>
      <w:r w:rsidR="000C16F5">
        <w:rPr>
          <w:lang w:val="fr-FR"/>
        </w:rPr>
        <w:t>’</w:t>
      </w:r>
      <w:r w:rsidRPr="00190491">
        <w:rPr>
          <w:lang w:val="fr-FR"/>
        </w:rPr>
        <w:t>être encouragée et d</w:t>
      </w:r>
      <w:r w:rsidR="000C16F5">
        <w:rPr>
          <w:lang w:val="fr-FR"/>
        </w:rPr>
        <w:t>’</w:t>
      </w:r>
      <w:r w:rsidRPr="00190491">
        <w:rPr>
          <w:lang w:val="fr-FR"/>
        </w:rPr>
        <w:t xml:space="preserve">être poursuivie dans les autres grandes localités. </w:t>
      </w:r>
    </w:p>
    <w:p w14:paraId="73038023" w14:textId="70B70072" w:rsidR="00364BF3" w:rsidRPr="00190491" w:rsidRDefault="00364BF3" w:rsidP="008A6B29">
      <w:pPr>
        <w:pStyle w:val="SingleTxt"/>
        <w:numPr>
          <w:ilvl w:val="0"/>
          <w:numId w:val="13"/>
        </w:numPr>
        <w:spacing w:line="240" w:lineRule="exact"/>
        <w:rPr>
          <w:lang w:val="fr-FR"/>
        </w:rPr>
      </w:pPr>
      <w:r w:rsidRPr="00190491">
        <w:rPr>
          <w:lang w:val="fr-FR"/>
        </w:rPr>
        <w:t>Par ailleurs, le Gouvernement a engagé depuis 2011, une campagne nationale de lutte contre la traite et l</w:t>
      </w:r>
      <w:r w:rsidR="000C16F5">
        <w:rPr>
          <w:lang w:val="fr-FR"/>
        </w:rPr>
        <w:t>’</w:t>
      </w:r>
      <w:r w:rsidRPr="00190491">
        <w:rPr>
          <w:lang w:val="fr-FR"/>
        </w:rPr>
        <w:t>exploitation sexuelle des enfants à travers le renforcement des mécanismes de protection et de scolarisation.</w:t>
      </w:r>
    </w:p>
    <w:p w14:paraId="6857C1FD" w14:textId="7243CB8B" w:rsidR="00364BF3" w:rsidRPr="00190491" w:rsidRDefault="00115FF5" w:rsidP="00115FF5">
      <w:pPr>
        <w:pStyle w:val="SingleTxt"/>
        <w:tabs>
          <w:tab w:val="right" w:pos="1685"/>
        </w:tabs>
        <w:ind w:left="1742" w:hanging="475"/>
        <w:rPr>
          <w:lang w:val="fr-FR"/>
        </w:rPr>
      </w:pPr>
      <w:r>
        <w:rPr>
          <w:lang w:val="fr-FR"/>
        </w:rPr>
        <w:tab/>
        <w:t>•</w:t>
      </w:r>
      <w:r>
        <w:rPr>
          <w:lang w:val="fr-FR"/>
        </w:rPr>
        <w:tab/>
      </w:r>
      <w:r w:rsidR="00364BF3" w:rsidRPr="00190491">
        <w:rPr>
          <w:lang w:val="fr-FR"/>
        </w:rPr>
        <w:t>La gratuité de l</w:t>
      </w:r>
      <w:r w:rsidR="000C16F5">
        <w:rPr>
          <w:lang w:val="fr-FR"/>
        </w:rPr>
        <w:t>’</w:t>
      </w:r>
      <w:r w:rsidR="00364BF3" w:rsidRPr="00190491">
        <w:rPr>
          <w:lang w:val="fr-FR"/>
        </w:rPr>
        <w:t>enseignement primaire et la facilitation des conditions d</w:t>
      </w:r>
      <w:r w:rsidR="000C16F5">
        <w:rPr>
          <w:lang w:val="fr-FR"/>
        </w:rPr>
        <w:t>’</w:t>
      </w:r>
      <w:r w:rsidR="00364BF3" w:rsidRPr="00190491">
        <w:rPr>
          <w:lang w:val="fr-FR"/>
        </w:rPr>
        <w:t>inscription ont considérablement facilité l</w:t>
      </w:r>
      <w:r w:rsidR="000C16F5">
        <w:rPr>
          <w:lang w:val="fr-FR"/>
        </w:rPr>
        <w:t>’</w:t>
      </w:r>
      <w:r w:rsidR="00364BF3" w:rsidRPr="00190491">
        <w:rPr>
          <w:lang w:val="fr-FR"/>
        </w:rPr>
        <w:t>accès des garçons et des filles à l</w:t>
      </w:r>
      <w:r w:rsidR="000C16F5">
        <w:rPr>
          <w:lang w:val="fr-FR"/>
        </w:rPr>
        <w:t>’</w:t>
      </w:r>
      <w:r w:rsidR="00364BF3" w:rsidRPr="00190491">
        <w:rPr>
          <w:lang w:val="fr-FR"/>
        </w:rPr>
        <w:t>école</w:t>
      </w:r>
      <w:r w:rsidR="00DB4C05">
        <w:rPr>
          <w:lang w:val="fr-FR"/>
        </w:rPr>
        <w:t> ;</w:t>
      </w:r>
    </w:p>
    <w:p w14:paraId="09B9E9BF" w14:textId="358D0591" w:rsidR="00364BF3" w:rsidRPr="00190491" w:rsidRDefault="00115FF5" w:rsidP="00115FF5">
      <w:pPr>
        <w:pStyle w:val="SingleTxt"/>
        <w:tabs>
          <w:tab w:val="right" w:pos="1685"/>
        </w:tabs>
        <w:ind w:left="1742" w:hanging="475"/>
        <w:rPr>
          <w:lang w:val="fr-FR"/>
        </w:rPr>
      </w:pPr>
      <w:r>
        <w:rPr>
          <w:lang w:val="fr-FR"/>
        </w:rPr>
        <w:tab/>
        <w:t>•</w:t>
      </w:r>
      <w:r>
        <w:rPr>
          <w:lang w:val="fr-FR"/>
        </w:rPr>
        <w:tab/>
      </w:r>
      <w:r w:rsidR="00364BF3" w:rsidRPr="00190491">
        <w:rPr>
          <w:lang w:val="fr-FR"/>
        </w:rPr>
        <w:t>La moyenne d</w:t>
      </w:r>
      <w:r w:rsidR="000C16F5">
        <w:rPr>
          <w:lang w:val="fr-FR"/>
        </w:rPr>
        <w:t>’</w:t>
      </w:r>
      <w:r w:rsidR="00364BF3" w:rsidRPr="00190491">
        <w:rPr>
          <w:lang w:val="fr-FR"/>
        </w:rPr>
        <w:t>admission au collège a été revue à la baisse afin de réduire le taux de déperdition à la fin du cycle primaire</w:t>
      </w:r>
      <w:r w:rsidR="00DB4C05">
        <w:rPr>
          <w:lang w:val="fr-FR"/>
        </w:rPr>
        <w:t> ;</w:t>
      </w:r>
    </w:p>
    <w:p w14:paraId="3C48E7E7" w14:textId="56D22522" w:rsidR="00364BF3" w:rsidRPr="00190491" w:rsidRDefault="00115FF5" w:rsidP="00115FF5">
      <w:pPr>
        <w:pStyle w:val="SingleTxt"/>
        <w:tabs>
          <w:tab w:val="right" w:pos="1685"/>
        </w:tabs>
        <w:ind w:left="1742" w:hanging="475"/>
        <w:rPr>
          <w:lang w:val="fr-FR"/>
        </w:rPr>
      </w:pPr>
      <w:r>
        <w:rPr>
          <w:lang w:val="fr-FR"/>
        </w:rPr>
        <w:tab/>
        <w:t>•</w:t>
      </w:r>
      <w:r>
        <w:rPr>
          <w:lang w:val="fr-FR"/>
        </w:rPr>
        <w:tab/>
      </w:r>
      <w:r w:rsidR="00364BF3" w:rsidRPr="00190491">
        <w:rPr>
          <w:lang w:val="fr-FR"/>
        </w:rPr>
        <w:t>La Loi n</w:t>
      </w:r>
      <w:r w:rsidR="004B7322" w:rsidRPr="004B7322">
        <w:rPr>
          <w:vertAlign w:val="superscript"/>
          <w:lang w:val="fr-FR"/>
        </w:rPr>
        <w:t>o</w:t>
      </w:r>
      <w:r w:rsidR="004B7322">
        <w:rPr>
          <w:lang w:val="fr-FR"/>
        </w:rPr>
        <w:t> </w:t>
      </w:r>
      <w:r w:rsidR="00364BF3" w:rsidRPr="00190491">
        <w:rPr>
          <w:lang w:val="fr-FR"/>
        </w:rPr>
        <w:t>2015-635 du 17 septembre 2015 portant modification de la Loi 95</w:t>
      </w:r>
      <w:r w:rsidR="004B7322">
        <w:rPr>
          <w:lang w:val="fr-FR"/>
        </w:rPr>
        <w:noBreakHyphen/>
      </w:r>
      <w:r w:rsidR="00364BF3" w:rsidRPr="00190491">
        <w:rPr>
          <w:lang w:val="fr-FR"/>
        </w:rPr>
        <w:t>696 du 7 septembre 1995 relative à l</w:t>
      </w:r>
      <w:r w:rsidR="000C16F5">
        <w:rPr>
          <w:lang w:val="fr-FR"/>
        </w:rPr>
        <w:t>’</w:t>
      </w:r>
      <w:r w:rsidR="00364BF3" w:rsidRPr="00190491">
        <w:rPr>
          <w:lang w:val="fr-FR"/>
        </w:rPr>
        <w:t>enseignement, et qui instaure l</w:t>
      </w:r>
      <w:r w:rsidR="000C16F5">
        <w:rPr>
          <w:lang w:val="fr-FR"/>
        </w:rPr>
        <w:t>’</w:t>
      </w:r>
      <w:r w:rsidR="00364BF3" w:rsidRPr="00190491">
        <w:rPr>
          <w:lang w:val="fr-FR"/>
        </w:rPr>
        <w:t>école obligatoire pour les enfants âgés de 6 à 16 ans en Côte d</w:t>
      </w:r>
      <w:r w:rsidR="000C16F5">
        <w:rPr>
          <w:lang w:val="fr-FR"/>
        </w:rPr>
        <w:t>’</w:t>
      </w:r>
      <w:r w:rsidR="00364BF3" w:rsidRPr="00190491">
        <w:rPr>
          <w:lang w:val="fr-FR"/>
        </w:rPr>
        <w:t>Ivoire est une mesure qui vient renforcement la volonté des autorités</w:t>
      </w:r>
      <w:r w:rsidR="00DB4C05">
        <w:rPr>
          <w:lang w:val="fr-FR"/>
        </w:rPr>
        <w:t> ;</w:t>
      </w:r>
    </w:p>
    <w:p w14:paraId="53F56681" w14:textId="6FE69777" w:rsidR="00364BF3" w:rsidRPr="00190491" w:rsidRDefault="00115FF5" w:rsidP="00115FF5">
      <w:pPr>
        <w:pStyle w:val="SingleTxt"/>
        <w:tabs>
          <w:tab w:val="right" w:pos="1685"/>
        </w:tabs>
        <w:ind w:left="1742" w:hanging="475"/>
        <w:rPr>
          <w:lang w:val="fr-FR"/>
        </w:rPr>
      </w:pPr>
      <w:r>
        <w:rPr>
          <w:lang w:val="fr-FR"/>
        </w:rPr>
        <w:tab/>
        <w:t>•</w:t>
      </w:r>
      <w:r>
        <w:rPr>
          <w:lang w:val="fr-FR"/>
        </w:rPr>
        <w:tab/>
      </w:r>
      <w:r w:rsidR="00364BF3" w:rsidRPr="00190491">
        <w:rPr>
          <w:lang w:val="fr-FR"/>
        </w:rPr>
        <w:t>L</w:t>
      </w:r>
      <w:r w:rsidR="000C16F5">
        <w:rPr>
          <w:lang w:val="fr-FR"/>
        </w:rPr>
        <w:t>’</w:t>
      </w:r>
      <w:r w:rsidR="00364BF3" w:rsidRPr="00190491">
        <w:rPr>
          <w:lang w:val="fr-FR"/>
        </w:rPr>
        <w:t>inclusion des pupilles de la nation.</w:t>
      </w:r>
    </w:p>
    <w:p w14:paraId="086A37B0" w14:textId="525787C4" w:rsidR="00364BF3" w:rsidRPr="002C42E9" w:rsidRDefault="00364BF3" w:rsidP="008A6B29">
      <w:pPr>
        <w:pStyle w:val="SingleTxt"/>
        <w:numPr>
          <w:ilvl w:val="0"/>
          <w:numId w:val="14"/>
        </w:numPr>
        <w:spacing w:line="240" w:lineRule="exact"/>
        <w:rPr>
          <w:b/>
          <w:bCs/>
          <w:lang w:val="fr-FR"/>
        </w:rPr>
      </w:pPr>
      <w:r w:rsidRPr="002C42E9">
        <w:rPr>
          <w:b/>
          <w:bCs/>
          <w:lang w:val="fr-FR"/>
        </w:rPr>
        <w:t xml:space="preserve">Effectuer une approche globale face à la question de la prostitution, y compris des programmes de sortie pour les femmes et les filles qui souhaitent quitter la prostitution </w:t>
      </w:r>
      <w:r w:rsidR="00D81000" w:rsidRPr="002C42E9">
        <w:rPr>
          <w:b/>
          <w:bCs/>
          <w:lang w:val="fr-FR"/>
        </w:rPr>
        <w:t>[</w:t>
      </w:r>
      <w:r w:rsidRPr="002C42E9">
        <w:rPr>
          <w:b/>
          <w:bCs/>
          <w:lang w:val="fr-FR"/>
        </w:rPr>
        <w:t xml:space="preserve">voir </w:t>
      </w:r>
      <w:hyperlink r:id="rId66" w:history="1">
        <w:r w:rsidRPr="007B345A">
          <w:rPr>
            <w:rStyle w:val="Hyperlink"/>
            <w:b/>
            <w:bCs/>
            <w:lang w:val="fr-FR"/>
          </w:rPr>
          <w:t>CEDAW/C/CIV/CO/1-3</w:t>
        </w:r>
      </w:hyperlink>
      <w:r w:rsidRPr="002C42E9">
        <w:rPr>
          <w:b/>
          <w:bCs/>
          <w:lang w:val="fr-FR"/>
        </w:rPr>
        <w:t xml:space="preserve">, </w:t>
      </w:r>
      <w:r w:rsidR="006862B3" w:rsidRPr="002C42E9">
        <w:rPr>
          <w:b/>
          <w:bCs/>
          <w:lang w:val="fr-FR"/>
        </w:rPr>
        <w:t>par. </w:t>
      </w:r>
      <w:r w:rsidRPr="002C42E9">
        <w:rPr>
          <w:b/>
          <w:bCs/>
          <w:lang w:val="fr-FR"/>
        </w:rPr>
        <w:t>33 f)</w:t>
      </w:r>
      <w:r w:rsidR="00D81000" w:rsidRPr="002C42E9">
        <w:rPr>
          <w:b/>
          <w:bCs/>
          <w:lang w:val="fr-FR"/>
        </w:rPr>
        <w:t>]</w:t>
      </w:r>
      <w:r w:rsidRPr="002C42E9">
        <w:rPr>
          <w:b/>
          <w:bCs/>
          <w:lang w:val="fr-FR"/>
        </w:rPr>
        <w:t>.</w:t>
      </w:r>
    </w:p>
    <w:p w14:paraId="6DE6FFBA" w14:textId="52EB0496" w:rsidR="00364BF3" w:rsidRDefault="00364BF3" w:rsidP="008A6B29">
      <w:pPr>
        <w:pStyle w:val="SingleTxt"/>
        <w:numPr>
          <w:ilvl w:val="0"/>
          <w:numId w:val="14"/>
        </w:numPr>
        <w:spacing w:line="240" w:lineRule="exact"/>
        <w:rPr>
          <w:lang w:val="fr-FR"/>
        </w:rPr>
      </w:pPr>
      <w:r w:rsidRPr="00190491">
        <w:rPr>
          <w:lang w:val="fr-FR"/>
        </w:rPr>
        <w:t>La stratégie de protection des enfants est le premier outil élaboré qui prend en compte tous les cas de vulnérabilité par la Direction de la Protection de l</w:t>
      </w:r>
      <w:r w:rsidR="000C16F5">
        <w:rPr>
          <w:lang w:val="fr-FR"/>
        </w:rPr>
        <w:t>’</w:t>
      </w:r>
      <w:r w:rsidRPr="00190491">
        <w:rPr>
          <w:lang w:val="fr-FR"/>
        </w:rPr>
        <w:t>Enfant après sa mutation en une Direction d</w:t>
      </w:r>
      <w:r w:rsidR="000C16F5">
        <w:rPr>
          <w:lang w:val="fr-FR"/>
        </w:rPr>
        <w:t>’</w:t>
      </w:r>
      <w:r w:rsidRPr="00190491">
        <w:rPr>
          <w:lang w:val="fr-FR"/>
        </w:rPr>
        <w:t>administration centrale du MSFFE. Pour mieux conduire le processus d</w:t>
      </w:r>
      <w:r w:rsidR="000C16F5">
        <w:rPr>
          <w:lang w:val="fr-FR"/>
        </w:rPr>
        <w:t>’</w:t>
      </w:r>
      <w:r w:rsidRPr="00190491">
        <w:rPr>
          <w:lang w:val="fr-FR"/>
        </w:rPr>
        <w:t>élaboration d</w:t>
      </w:r>
      <w:r w:rsidR="000C16F5">
        <w:rPr>
          <w:lang w:val="fr-FR"/>
        </w:rPr>
        <w:t>’</w:t>
      </w:r>
      <w:r w:rsidRPr="00190491">
        <w:rPr>
          <w:lang w:val="fr-FR"/>
        </w:rPr>
        <w:t>une stratégie globale de lutte contre la prostitution, La DPE voudrait se baser sur les résultats de l</w:t>
      </w:r>
      <w:r w:rsidR="000C16F5">
        <w:rPr>
          <w:lang w:val="fr-FR"/>
        </w:rPr>
        <w:t>’</w:t>
      </w:r>
      <w:r w:rsidRPr="00190491">
        <w:rPr>
          <w:lang w:val="fr-FR"/>
        </w:rPr>
        <w:t>étude conduite par l</w:t>
      </w:r>
      <w:r w:rsidR="000C16F5">
        <w:rPr>
          <w:lang w:val="fr-FR"/>
        </w:rPr>
        <w:t>’</w:t>
      </w:r>
      <w:r w:rsidRPr="00190491">
        <w:rPr>
          <w:lang w:val="fr-FR"/>
        </w:rPr>
        <w:t>ECPAT sur l</w:t>
      </w:r>
      <w:r w:rsidR="000C16F5">
        <w:rPr>
          <w:lang w:val="fr-FR"/>
        </w:rPr>
        <w:t>’</w:t>
      </w:r>
      <w:r w:rsidRPr="00190491">
        <w:rPr>
          <w:lang w:val="fr-FR"/>
        </w:rPr>
        <w:t>exploitation sexuelle à des fins commerciales des enfants.</w:t>
      </w:r>
    </w:p>
    <w:p w14:paraId="1D1BCE1A" w14:textId="5FBFB000" w:rsidR="00115FF5" w:rsidRPr="00115FF5" w:rsidRDefault="00115FF5" w:rsidP="00115FF5">
      <w:pPr>
        <w:pStyle w:val="SingleTxtG"/>
        <w:spacing w:after="0" w:line="120" w:lineRule="exact"/>
        <w:ind w:left="1267"/>
        <w:rPr>
          <w:sz w:val="10"/>
          <w:lang w:val="fr-FR"/>
        </w:rPr>
      </w:pPr>
    </w:p>
    <w:p w14:paraId="51ED6387" w14:textId="34A2C998" w:rsidR="00364BF3" w:rsidRDefault="00364BF3" w:rsidP="00115FF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Participation à la vie politique et publique</w:t>
      </w:r>
    </w:p>
    <w:p w14:paraId="641C945F" w14:textId="0D53B56B" w:rsidR="00115FF5" w:rsidRPr="00115FF5" w:rsidRDefault="00115FF5" w:rsidP="00115FF5">
      <w:pPr>
        <w:spacing w:line="120" w:lineRule="exact"/>
        <w:rPr>
          <w:sz w:val="10"/>
          <w:lang w:val="fr-FR"/>
        </w:rPr>
      </w:pPr>
    </w:p>
    <w:p w14:paraId="1B100DAF" w14:textId="6AF50106" w:rsidR="00364BF3" w:rsidRPr="00D06490" w:rsidRDefault="00364BF3" w:rsidP="008A6B29">
      <w:pPr>
        <w:pStyle w:val="SingleTxt"/>
        <w:numPr>
          <w:ilvl w:val="0"/>
          <w:numId w:val="15"/>
        </w:numPr>
        <w:spacing w:line="240" w:lineRule="exact"/>
        <w:rPr>
          <w:b/>
          <w:bCs/>
          <w:lang w:val="fr-FR"/>
        </w:rPr>
      </w:pPr>
      <w:r w:rsidRPr="00D06490">
        <w:rPr>
          <w:b/>
          <w:bCs/>
          <w:lang w:val="fr-FR"/>
        </w:rPr>
        <w:t>Adopter, sans délai, le projet d</w:t>
      </w:r>
      <w:r w:rsidR="000C16F5" w:rsidRPr="00D06490">
        <w:rPr>
          <w:b/>
          <w:bCs/>
          <w:lang w:val="fr-FR"/>
        </w:rPr>
        <w:t>’</w:t>
      </w:r>
      <w:r w:rsidRPr="00D06490">
        <w:rPr>
          <w:b/>
          <w:bCs/>
          <w:lang w:val="fr-FR"/>
        </w:rPr>
        <w:t>ordonnance, qui comprend un quota de 30</w:t>
      </w:r>
      <w:r w:rsidR="00B72ED0" w:rsidRPr="00D06490">
        <w:rPr>
          <w:b/>
          <w:bCs/>
          <w:lang w:val="fr-FR"/>
        </w:rPr>
        <w:t> </w:t>
      </w:r>
      <w:r w:rsidRPr="00D06490">
        <w:rPr>
          <w:b/>
          <w:bCs/>
          <w:lang w:val="fr-FR"/>
        </w:rPr>
        <w:t xml:space="preserve">% pour la représentation des femmes au Parlement </w:t>
      </w:r>
      <w:r w:rsidR="00D81000" w:rsidRPr="00D06490">
        <w:rPr>
          <w:b/>
          <w:bCs/>
          <w:lang w:val="fr-FR"/>
        </w:rPr>
        <w:t>[</w:t>
      </w:r>
      <w:r w:rsidRPr="00D06490">
        <w:rPr>
          <w:b/>
          <w:bCs/>
          <w:lang w:val="fr-FR"/>
        </w:rPr>
        <w:t xml:space="preserve">voir </w:t>
      </w:r>
      <w:hyperlink r:id="rId67" w:history="1">
        <w:r w:rsidRPr="007B345A">
          <w:rPr>
            <w:rStyle w:val="Hyperlink"/>
            <w:b/>
            <w:bCs/>
            <w:lang w:val="fr-FR"/>
          </w:rPr>
          <w:t>CEDAW/C/CIV/CO/1-3</w:t>
        </w:r>
      </w:hyperlink>
      <w:r w:rsidRPr="00D06490">
        <w:rPr>
          <w:b/>
          <w:bCs/>
          <w:lang w:val="fr-FR"/>
        </w:rPr>
        <w:t xml:space="preserve">, </w:t>
      </w:r>
      <w:r w:rsidR="006862B3" w:rsidRPr="00D06490">
        <w:rPr>
          <w:b/>
          <w:bCs/>
          <w:lang w:val="fr-FR"/>
        </w:rPr>
        <w:t>par. </w:t>
      </w:r>
      <w:r w:rsidRPr="00D06490">
        <w:rPr>
          <w:b/>
          <w:bCs/>
          <w:lang w:val="fr-FR"/>
        </w:rPr>
        <w:t>35 a)</w:t>
      </w:r>
      <w:r w:rsidR="00D81000" w:rsidRPr="00D06490">
        <w:rPr>
          <w:b/>
          <w:bCs/>
          <w:lang w:val="fr-FR"/>
        </w:rPr>
        <w:t>]</w:t>
      </w:r>
      <w:r w:rsidRPr="00D06490">
        <w:rPr>
          <w:b/>
          <w:bCs/>
          <w:lang w:val="fr-FR"/>
        </w:rPr>
        <w:t>.</w:t>
      </w:r>
    </w:p>
    <w:p w14:paraId="51E9ABAB" w14:textId="48A7E3D2" w:rsidR="00364BF3" w:rsidRPr="00190491" w:rsidRDefault="00364BF3" w:rsidP="008A6B29">
      <w:pPr>
        <w:pStyle w:val="SingleTxt"/>
        <w:numPr>
          <w:ilvl w:val="0"/>
          <w:numId w:val="15"/>
        </w:numPr>
        <w:spacing w:line="240" w:lineRule="exact"/>
        <w:rPr>
          <w:lang w:val="fr-FR"/>
        </w:rPr>
      </w:pPr>
      <w:r w:rsidRPr="00190491">
        <w:rPr>
          <w:lang w:val="fr-FR"/>
        </w:rPr>
        <w:t>La situation a positivement évolué. Le projet d</w:t>
      </w:r>
      <w:r w:rsidR="000C16F5">
        <w:rPr>
          <w:lang w:val="fr-FR"/>
        </w:rPr>
        <w:t>’</w:t>
      </w:r>
      <w:r w:rsidRPr="00190491">
        <w:rPr>
          <w:lang w:val="fr-FR"/>
        </w:rPr>
        <w:t>ordonnance s</w:t>
      </w:r>
      <w:r w:rsidR="000C16F5">
        <w:rPr>
          <w:lang w:val="fr-FR"/>
        </w:rPr>
        <w:t>’</w:t>
      </w:r>
      <w:r w:rsidRPr="00190491">
        <w:rPr>
          <w:lang w:val="fr-FR"/>
        </w:rPr>
        <w:t>est mué en projet de loi qui a déjà connu une première lecture en Conseils des Ministres.</w:t>
      </w:r>
    </w:p>
    <w:p w14:paraId="0C6BA8B3" w14:textId="70E45B87" w:rsidR="00364BF3" w:rsidRPr="00D06490" w:rsidRDefault="00364BF3" w:rsidP="008A6B29">
      <w:pPr>
        <w:pStyle w:val="SingleTxt"/>
        <w:numPr>
          <w:ilvl w:val="0"/>
          <w:numId w:val="16"/>
        </w:numPr>
        <w:spacing w:line="240" w:lineRule="exact"/>
        <w:rPr>
          <w:b/>
          <w:bCs/>
          <w:lang w:val="fr-FR"/>
        </w:rPr>
      </w:pPr>
      <w:r w:rsidRPr="00D06490">
        <w:rPr>
          <w:b/>
          <w:bCs/>
          <w:lang w:val="fr-FR"/>
        </w:rPr>
        <w:lastRenderedPageBreak/>
        <w:t>Mettre en œuvre des activités de sensibilisation pour l</w:t>
      </w:r>
      <w:r w:rsidR="000C16F5" w:rsidRPr="00D06490">
        <w:rPr>
          <w:b/>
          <w:bCs/>
          <w:lang w:val="fr-FR"/>
        </w:rPr>
        <w:t>’</w:t>
      </w:r>
      <w:r w:rsidRPr="00D06490">
        <w:rPr>
          <w:b/>
          <w:bCs/>
          <w:lang w:val="fr-FR"/>
        </w:rPr>
        <w:t>ensemble de la société au sujet de l</w:t>
      </w:r>
      <w:r w:rsidR="000C16F5" w:rsidRPr="00D06490">
        <w:rPr>
          <w:b/>
          <w:bCs/>
          <w:lang w:val="fr-FR"/>
        </w:rPr>
        <w:t>’</w:t>
      </w:r>
      <w:r w:rsidRPr="00D06490">
        <w:rPr>
          <w:b/>
          <w:bCs/>
          <w:lang w:val="fr-FR"/>
        </w:rPr>
        <w:t xml:space="preserve">importance de la participation des femmes à la prise de décision et développer ciblées formation et des programmes de mentorat sur le leadership et les compétences de négociation pour présenter des candidatures de femmes qui occupent des fonctions publiques </w:t>
      </w:r>
      <w:r w:rsidR="00D81000" w:rsidRPr="00D06490">
        <w:rPr>
          <w:b/>
          <w:bCs/>
          <w:lang w:val="fr-FR"/>
        </w:rPr>
        <w:t>[</w:t>
      </w:r>
      <w:r w:rsidRPr="00D06490">
        <w:rPr>
          <w:b/>
          <w:bCs/>
          <w:lang w:val="fr-FR"/>
        </w:rPr>
        <w:t xml:space="preserve">voir </w:t>
      </w:r>
      <w:hyperlink r:id="rId68" w:history="1">
        <w:r w:rsidRPr="007B345A">
          <w:rPr>
            <w:rStyle w:val="Hyperlink"/>
            <w:b/>
            <w:bCs/>
            <w:lang w:val="fr-FR"/>
          </w:rPr>
          <w:t>CEDAW/C/CIV/CO/1-3</w:t>
        </w:r>
      </w:hyperlink>
      <w:r w:rsidRPr="00D06490">
        <w:rPr>
          <w:b/>
          <w:bCs/>
          <w:lang w:val="fr-FR"/>
        </w:rPr>
        <w:t xml:space="preserve">, </w:t>
      </w:r>
      <w:r w:rsidR="006862B3" w:rsidRPr="00D06490">
        <w:rPr>
          <w:b/>
          <w:bCs/>
          <w:lang w:val="fr-FR"/>
        </w:rPr>
        <w:t>par. </w:t>
      </w:r>
      <w:r w:rsidRPr="00D06490">
        <w:rPr>
          <w:b/>
          <w:bCs/>
          <w:lang w:val="fr-FR"/>
        </w:rPr>
        <w:t>35 b)</w:t>
      </w:r>
      <w:r w:rsidR="00D81000" w:rsidRPr="00D06490">
        <w:rPr>
          <w:b/>
          <w:bCs/>
          <w:lang w:val="fr-FR"/>
        </w:rPr>
        <w:t>]</w:t>
      </w:r>
      <w:r w:rsidRPr="00D06490">
        <w:rPr>
          <w:b/>
          <w:bCs/>
          <w:lang w:val="fr-FR"/>
        </w:rPr>
        <w:t>.</w:t>
      </w:r>
    </w:p>
    <w:p w14:paraId="19338BE2" w14:textId="408BA718" w:rsidR="00364BF3" w:rsidRPr="00190491" w:rsidRDefault="00364BF3" w:rsidP="008A6B29">
      <w:pPr>
        <w:pStyle w:val="SingleTxt"/>
        <w:numPr>
          <w:ilvl w:val="0"/>
          <w:numId w:val="16"/>
        </w:numPr>
        <w:spacing w:line="240" w:lineRule="exact"/>
        <w:rPr>
          <w:lang w:val="fr-FR"/>
        </w:rPr>
      </w:pPr>
      <w:r w:rsidRPr="00190491">
        <w:rPr>
          <w:lang w:val="fr-FR"/>
        </w:rPr>
        <w:t>De façon générale, les partis politiques sont encore loin de l</w:t>
      </w:r>
      <w:r w:rsidR="000C16F5">
        <w:rPr>
          <w:lang w:val="fr-FR"/>
        </w:rPr>
        <w:t>’</w:t>
      </w:r>
      <w:r w:rsidRPr="00190491">
        <w:rPr>
          <w:lang w:val="fr-FR"/>
        </w:rPr>
        <w:t>atteinte des recommandations internationales, notamment celles de Beijing qui propose le quota de 30</w:t>
      </w:r>
      <w:r w:rsidR="00DB4C05">
        <w:rPr>
          <w:lang w:val="fr-FR"/>
        </w:rPr>
        <w:t> %</w:t>
      </w:r>
      <w:r w:rsidR="00B72ED0">
        <w:rPr>
          <w:lang w:val="fr-FR"/>
        </w:rPr>
        <w:t> </w:t>
      </w:r>
      <w:r w:rsidRPr="00190491">
        <w:rPr>
          <w:lang w:val="fr-FR"/>
        </w:rPr>
        <w:t>de taux représentativité féminine dans les sphères de décision et la Déclaration des Chefs d</w:t>
      </w:r>
      <w:r w:rsidR="000C16F5">
        <w:rPr>
          <w:lang w:val="fr-FR"/>
        </w:rPr>
        <w:t>’</w:t>
      </w:r>
      <w:r w:rsidR="00C10A78" w:rsidRPr="00190491">
        <w:rPr>
          <w:lang w:val="fr-FR"/>
        </w:rPr>
        <w:t>État</w:t>
      </w:r>
      <w:r w:rsidRPr="00190491">
        <w:rPr>
          <w:lang w:val="fr-FR"/>
        </w:rPr>
        <w:t xml:space="preserve"> de l</w:t>
      </w:r>
      <w:r w:rsidR="000C16F5">
        <w:rPr>
          <w:lang w:val="fr-FR"/>
        </w:rPr>
        <w:t>’</w:t>
      </w:r>
      <w:r w:rsidRPr="00190491">
        <w:rPr>
          <w:lang w:val="fr-FR"/>
        </w:rPr>
        <w:t>UA sur la parité homme/femmes.</w:t>
      </w:r>
    </w:p>
    <w:p w14:paraId="698A210F" w14:textId="49A22F56" w:rsidR="00364BF3" w:rsidRPr="00190491" w:rsidRDefault="00364BF3" w:rsidP="008A6B29">
      <w:pPr>
        <w:pStyle w:val="SingleTxt"/>
        <w:numPr>
          <w:ilvl w:val="0"/>
          <w:numId w:val="16"/>
        </w:numPr>
        <w:spacing w:line="240" w:lineRule="exact"/>
        <w:rPr>
          <w:lang w:val="fr-FR"/>
        </w:rPr>
      </w:pPr>
      <w:r w:rsidRPr="00190491">
        <w:rPr>
          <w:lang w:val="fr-FR"/>
        </w:rPr>
        <w:t>Toutefois, les femmes commencent à occuper des fonctions de responsabilités dans les partis politiques, les syndicats, les associations d</w:t>
      </w:r>
      <w:r w:rsidR="000C16F5">
        <w:rPr>
          <w:lang w:val="fr-FR"/>
        </w:rPr>
        <w:t>’</w:t>
      </w:r>
      <w:r w:rsidRPr="00190491">
        <w:rPr>
          <w:lang w:val="fr-FR"/>
        </w:rPr>
        <w:t>employeurs et les associations de profession libérale.</w:t>
      </w:r>
    </w:p>
    <w:p w14:paraId="732332FC" w14:textId="28ECCD28" w:rsidR="00364BF3" w:rsidRPr="00D06490" w:rsidRDefault="00364BF3" w:rsidP="008A6B29">
      <w:pPr>
        <w:pStyle w:val="SingleTxt"/>
        <w:numPr>
          <w:ilvl w:val="0"/>
          <w:numId w:val="16"/>
        </w:numPr>
        <w:spacing w:line="240" w:lineRule="exact"/>
        <w:rPr>
          <w:b/>
          <w:bCs/>
          <w:lang w:val="fr-FR"/>
        </w:rPr>
      </w:pPr>
      <w:r w:rsidRPr="00D06490">
        <w:rPr>
          <w:b/>
          <w:bCs/>
          <w:lang w:val="fr-FR"/>
        </w:rPr>
        <w:t>Assurer l</w:t>
      </w:r>
      <w:r w:rsidR="000C16F5" w:rsidRPr="00D06490">
        <w:rPr>
          <w:b/>
          <w:bCs/>
          <w:lang w:val="fr-FR"/>
        </w:rPr>
        <w:t>’</w:t>
      </w:r>
      <w:r w:rsidRPr="00D06490">
        <w:rPr>
          <w:b/>
          <w:bCs/>
          <w:lang w:val="fr-FR"/>
        </w:rPr>
        <w:t xml:space="preserve">accès des femmes à tous les domaines de la vie publique, en particulier la gendarmerie, la police et la magistrature, y compris à des niveaux élevés de prise de décision </w:t>
      </w:r>
      <w:r w:rsidR="00D81000" w:rsidRPr="00D06490">
        <w:rPr>
          <w:b/>
          <w:bCs/>
          <w:lang w:val="fr-FR"/>
        </w:rPr>
        <w:t>[</w:t>
      </w:r>
      <w:r w:rsidRPr="00D06490">
        <w:rPr>
          <w:b/>
          <w:bCs/>
          <w:lang w:val="fr-FR"/>
        </w:rPr>
        <w:t xml:space="preserve">voir </w:t>
      </w:r>
      <w:hyperlink r:id="rId69" w:history="1">
        <w:r w:rsidRPr="007B345A">
          <w:rPr>
            <w:rStyle w:val="Hyperlink"/>
            <w:b/>
            <w:bCs/>
            <w:lang w:val="fr-FR"/>
          </w:rPr>
          <w:t>CEDAW/C/CIV/CO/1-3</w:t>
        </w:r>
      </w:hyperlink>
      <w:r w:rsidRPr="00D06490">
        <w:rPr>
          <w:b/>
          <w:bCs/>
          <w:lang w:val="fr-FR"/>
        </w:rPr>
        <w:t xml:space="preserve">, </w:t>
      </w:r>
      <w:r w:rsidR="006862B3" w:rsidRPr="00D06490">
        <w:rPr>
          <w:b/>
          <w:bCs/>
          <w:lang w:val="fr-FR"/>
        </w:rPr>
        <w:t>par. </w:t>
      </w:r>
      <w:r w:rsidRPr="00D06490">
        <w:rPr>
          <w:b/>
          <w:bCs/>
          <w:lang w:val="fr-FR"/>
        </w:rPr>
        <w:t>35 c)</w:t>
      </w:r>
      <w:r w:rsidR="00D81000" w:rsidRPr="00D06490">
        <w:rPr>
          <w:b/>
          <w:bCs/>
          <w:lang w:val="fr-FR"/>
        </w:rPr>
        <w:t>]</w:t>
      </w:r>
      <w:r w:rsidRPr="00D06490">
        <w:rPr>
          <w:b/>
          <w:bCs/>
          <w:lang w:val="fr-FR"/>
        </w:rPr>
        <w:t>.</w:t>
      </w:r>
    </w:p>
    <w:p w14:paraId="2867D506" w14:textId="07A6E297" w:rsidR="00364BF3" w:rsidRPr="00190491" w:rsidRDefault="00364BF3" w:rsidP="008A6B29">
      <w:pPr>
        <w:pStyle w:val="SingleTxt"/>
        <w:numPr>
          <w:ilvl w:val="0"/>
          <w:numId w:val="16"/>
        </w:numPr>
        <w:spacing w:line="240" w:lineRule="exact"/>
        <w:rPr>
          <w:lang w:val="fr-FR"/>
        </w:rPr>
      </w:pPr>
      <w:r w:rsidRPr="00190491">
        <w:rPr>
          <w:lang w:val="fr-FR"/>
        </w:rPr>
        <w:t>L</w:t>
      </w:r>
      <w:r w:rsidR="000C16F5">
        <w:rPr>
          <w:lang w:val="fr-FR"/>
        </w:rPr>
        <w:t>’</w:t>
      </w:r>
      <w:r w:rsidRPr="00190491">
        <w:rPr>
          <w:lang w:val="fr-FR"/>
        </w:rPr>
        <w:t>État encourage la promotion de la femme aux responsabilités dans les institutions et administrations publiques ainsi qu</w:t>
      </w:r>
      <w:r w:rsidR="000C16F5">
        <w:rPr>
          <w:lang w:val="fr-FR"/>
        </w:rPr>
        <w:t>’</w:t>
      </w:r>
      <w:r w:rsidRPr="00190491">
        <w:rPr>
          <w:lang w:val="fr-FR"/>
        </w:rPr>
        <w:t xml:space="preserve">au niveau des </w:t>
      </w:r>
      <w:r w:rsidRPr="00114AE1">
        <w:rPr>
          <w:lang w:val="fr-FR"/>
        </w:rPr>
        <w:t>entreprises »</w:t>
      </w:r>
      <w:r w:rsidRPr="008378A3">
        <w:rPr>
          <w:lang w:val="fr-FR"/>
        </w:rPr>
        <w:t xml:space="preserve"> </w:t>
      </w:r>
      <w:r w:rsidRPr="00190491">
        <w:rPr>
          <w:lang w:val="fr-FR"/>
        </w:rPr>
        <w:t>(Article</w:t>
      </w:r>
      <w:r w:rsidR="008A6B29">
        <w:rPr>
          <w:lang w:val="fr-FR"/>
        </w:rPr>
        <w:t> </w:t>
      </w:r>
      <w:r w:rsidRPr="00190491">
        <w:rPr>
          <w:lang w:val="fr-FR"/>
        </w:rPr>
        <w:t>37).</w:t>
      </w:r>
    </w:p>
    <w:p w14:paraId="32641B2D" w14:textId="1BFC04B9" w:rsidR="00364BF3" w:rsidRPr="00190491" w:rsidRDefault="00364BF3" w:rsidP="008A6B29">
      <w:pPr>
        <w:pStyle w:val="SingleTxt"/>
        <w:numPr>
          <w:ilvl w:val="0"/>
          <w:numId w:val="16"/>
        </w:numPr>
        <w:spacing w:line="240" w:lineRule="exact"/>
        <w:rPr>
          <w:lang w:val="fr-FR"/>
        </w:rPr>
      </w:pPr>
      <w:r w:rsidRPr="00190491">
        <w:rPr>
          <w:lang w:val="fr-FR"/>
        </w:rPr>
        <w:t>L</w:t>
      </w:r>
      <w:r w:rsidR="000C16F5">
        <w:rPr>
          <w:lang w:val="fr-FR"/>
        </w:rPr>
        <w:t>’</w:t>
      </w:r>
      <w:r w:rsidRPr="00190491">
        <w:rPr>
          <w:lang w:val="fr-FR"/>
        </w:rPr>
        <w:t>organisation du Panel de Haut Niveau à Abidjan du 02 au 04 octobre 2013 a permis d</w:t>
      </w:r>
      <w:r w:rsidR="000C16F5">
        <w:rPr>
          <w:lang w:val="fr-FR"/>
        </w:rPr>
        <w:t>’</w:t>
      </w:r>
      <w:r w:rsidRPr="00190491">
        <w:rPr>
          <w:lang w:val="fr-FR"/>
        </w:rPr>
        <w:t>engager les autorités de la Côte d</w:t>
      </w:r>
      <w:r w:rsidR="000C16F5">
        <w:rPr>
          <w:lang w:val="fr-FR"/>
        </w:rPr>
        <w:t>’</w:t>
      </w:r>
      <w:r w:rsidRPr="00190491">
        <w:rPr>
          <w:lang w:val="fr-FR"/>
        </w:rPr>
        <w:t>Ivoire aux initiatives de promotion de la femme aux sphères de prise de décision et de prendre en compte les besoins critiques de la femme dans des domaines spécifiques.</w:t>
      </w:r>
    </w:p>
    <w:p w14:paraId="45735893" w14:textId="602B0C9F" w:rsidR="00364BF3" w:rsidRPr="00190491" w:rsidRDefault="00364BF3" w:rsidP="008A6B29">
      <w:pPr>
        <w:pStyle w:val="SingleTxt"/>
        <w:numPr>
          <w:ilvl w:val="0"/>
          <w:numId w:val="16"/>
        </w:numPr>
        <w:spacing w:line="240" w:lineRule="exact"/>
        <w:rPr>
          <w:lang w:val="fr-FR"/>
        </w:rPr>
      </w:pPr>
      <w:r w:rsidRPr="00190491">
        <w:rPr>
          <w:lang w:val="fr-FR"/>
        </w:rPr>
        <w:t>Ainsi, depuis la rentrée scolaire 2013-2014, ce sont environ 35 filles qui ont fait leur entrée à l</w:t>
      </w:r>
      <w:r w:rsidR="000C16F5">
        <w:rPr>
          <w:lang w:val="fr-FR"/>
        </w:rPr>
        <w:t>’</w:t>
      </w:r>
      <w:r w:rsidRPr="00190491">
        <w:rPr>
          <w:lang w:val="fr-FR"/>
        </w:rPr>
        <w:t>EMPT. A cette rentrée 2016-2017, l</w:t>
      </w:r>
      <w:r w:rsidR="000C16F5">
        <w:rPr>
          <w:lang w:val="fr-FR"/>
        </w:rPr>
        <w:t>’</w:t>
      </w:r>
      <w:r w:rsidRPr="00190491">
        <w:rPr>
          <w:lang w:val="fr-FR"/>
        </w:rPr>
        <w:t>école totalise 130 filles reparties de la 6</w:t>
      </w:r>
      <w:r w:rsidRPr="00190491">
        <w:rPr>
          <w:vertAlign w:val="superscript"/>
          <w:lang w:val="fr-FR"/>
        </w:rPr>
        <w:t>ème</w:t>
      </w:r>
      <w:r w:rsidRPr="00190491">
        <w:rPr>
          <w:lang w:val="fr-FR"/>
        </w:rPr>
        <w:t xml:space="preserve"> à la 3</w:t>
      </w:r>
      <w:r w:rsidRPr="00190491">
        <w:rPr>
          <w:vertAlign w:val="superscript"/>
          <w:lang w:val="fr-FR"/>
        </w:rPr>
        <w:t>ème</w:t>
      </w:r>
      <w:r w:rsidRPr="00190491">
        <w:rPr>
          <w:lang w:val="fr-FR"/>
        </w:rPr>
        <w:t xml:space="preserve">. </w:t>
      </w:r>
    </w:p>
    <w:p w14:paraId="7519E753" w14:textId="2A4A512B" w:rsidR="00364BF3" w:rsidRPr="00190491" w:rsidRDefault="00364BF3" w:rsidP="008A6B29">
      <w:pPr>
        <w:pStyle w:val="SingleTxt"/>
        <w:numPr>
          <w:ilvl w:val="0"/>
          <w:numId w:val="16"/>
        </w:numPr>
        <w:spacing w:line="240" w:lineRule="exact"/>
        <w:rPr>
          <w:lang w:val="fr-FR"/>
        </w:rPr>
      </w:pPr>
      <w:r w:rsidRPr="00190491">
        <w:rPr>
          <w:lang w:val="fr-FR"/>
        </w:rPr>
        <w:t>Par ailleurs, après leur formation d</w:t>
      </w:r>
      <w:r w:rsidR="000C16F5">
        <w:rPr>
          <w:lang w:val="fr-FR"/>
        </w:rPr>
        <w:t>’</w:t>
      </w:r>
      <w:r w:rsidRPr="00190491">
        <w:rPr>
          <w:lang w:val="fr-FR"/>
        </w:rPr>
        <w:t>officiers militaires à l</w:t>
      </w:r>
      <w:r w:rsidR="000C16F5">
        <w:rPr>
          <w:lang w:val="fr-FR"/>
        </w:rPr>
        <w:t>’</w:t>
      </w:r>
      <w:r w:rsidR="00C10A78" w:rsidRPr="00190491">
        <w:rPr>
          <w:lang w:val="fr-FR"/>
        </w:rPr>
        <w:t>École</w:t>
      </w:r>
      <w:r w:rsidRPr="00190491">
        <w:rPr>
          <w:lang w:val="fr-FR"/>
        </w:rPr>
        <w:t xml:space="preserve"> des Forces Armées (EFA), 4 jeunes femmes ont fait leur formation d</w:t>
      </w:r>
      <w:r w:rsidR="000C16F5">
        <w:rPr>
          <w:lang w:val="fr-FR"/>
        </w:rPr>
        <w:t>’</w:t>
      </w:r>
      <w:r w:rsidRPr="00190491">
        <w:rPr>
          <w:lang w:val="fr-FR"/>
        </w:rPr>
        <w:t xml:space="preserve">application de gendarmerie en 2014. </w:t>
      </w:r>
    </w:p>
    <w:p w14:paraId="7DCC58E1" w14:textId="09A34053" w:rsidR="00364BF3" w:rsidRPr="00190491" w:rsidRDefault="00364BF3" w:rsidP="008A6B29">
      <w:pPr>
        <w:pStyle w:val="SingleTxt"/>
        <w:numPr>
          <w:ilvl w:val="0"/>
          <w:numId w:val="16"/>
        </w:numPr>
        <w:spacing w:line="240" w:lineRule="exact"/>
        <w:rPr>
          <w:lang w:val="fr-FR"/>
        </w:rPr>
      </w:pPr>
      <w:r w:rsidRPr="00190491">
        <w:rPr>
          <w:lang w:val="fr-FR"/>
        </w:rPr>
        <w:t>Au niveau de la justice</w:t>
      </w:r>
      <w:r w:rsidRPr="00300E48">
        <w:rPr>
          <w:rStyle w:val="FootnoteReference"/>
          <w:lang w:val="fr-FR"/>
        </w:rPr>
        <w:footnoteReference w:id="13"/>
      </w:r>
      <w:r w:rsidR="00D3449A">
        <w:rPr>
          <w:lang w:val="fr-FR"/>
        </w:rPr>
        <w:t xml:space="preserve"> </w:t>
      </w:r>
      <w:r w:rsidRPr="00190491">
        <w:rPr>
          <w:lang w:val="fr-FR"/>
        </w:rPr>
        <w:t>comme l</w:t>
      </w:r>
      <w:r w:rsidR="000C16F5">
        <w:rPr>
          <w:lang w:val="fr-FR"/>
        </w:rPr>
        <w:t>’</w:t>
      </w:r>
      <w:r w:rsidRPr="00190491">
        <w:rPr>
          <w:lang w:val="fr-FR"/>
        </w:rPr>
        <w:t>indique le tableau ci-dessous, les femmes constituent 22,50</w:t>
      </w:r>
      <w:r w:rsidR="00DB4C05">
        <w:rPr>
          <w:lang w:val="fr-FR"/>
        </w:rPr>
        <w:t> %</w:t>
      </w:r>
      <w:r w:rsidRPr="00190491">
        <w:rPr>
          <w:lang w:val="fr-FR"/>
        </w:rPr>
        <w:t xml:space="preserve"> du personnel. Elles sont plus représentées chez les notaires (52,11</w:t>
      </w:r>
      <w:r w:rsidR="00DB4C05">
        <w:rPr>
          <w:lang w:val="fr-FR"/>
        </w:rPr>
        <w:t> %</w:t>
      </w:r>
      <w:r w:rsidRPr="00190491">
        <w:rPr>
          <w:lang w:val="fr-FR"/>
        </w:rPr>
        <w:t>) et moins représentées parmi les Agents d</w:t>
      </w:r>
      <w:r w:rsidR="000C16F5">
        <w:rPr>
          <w:lang w:val="fr-FR"/>
        </w:rPr>
        <w:t>’</w:t>
      </w:r>
      <w:r w:rsidRPr="00190491">
        <w:rPr>
          <w:lang w:val="fr-FR"/>
        </w:rPr>
        <w:t>Affaires (6,09</w:t>
      </w:r>
      <w:r w:rsidR="00DB4C05">
        <w:rPr>
          <w:lang w:val="fr-FR"/>
        </w:rPr>
        <w:t> %</w:t>
      </w:r>
      <w:r w:rsidRPr="00190491">
        <w:rPr>
          <w:lang w:val="fr-FR"/>
        </w:rPr>
        <w:t>). Les femmes constituent 26,50</w:t>
      </w:r>
      <w:r w:rsidR="00DB4C05">
        <w:rPr>
          <w:lang w:val="fr-FR"/>
        </w:rPr>
        <w:t> %</w:t>
      </w:r>
      <w:r w:rsidRPr="00190491">
        <w:rPr>
          <w:lang w:val="fr-FR"/>
        </w:rPr>
        <w:t xml:space="preserve"> des magistrats. </w:t>
      </w:r>
    </w:p>
    <w:p w14:paraId="237AA826" w14:textId="6A3AA033" w:rsidR="00364BF3" w:rsidRDefault="00364BF3" w:rsidP="008A6B29">
      <w:pPr>
        <w:pStyle w:val="SingleTxt"/>
        <w:numPr>
          <w:ilvl w:val="0"/>
          <w:numId w:val="16"/>
        </w:numPr>
        <w:spacing w:line="240" w:lineRule="exact"/>
        <w:rPr>
          <w:lang w:val="fr-FR"/>
        </w:rPr>
      </w:pPr>
      <w:r w:rsidRPr="00190491">
        <w:rPr>
          <w:lang w:val="fr-FR"/>
        </w:rPr>
        <w:t>Pour défendre leurs droits ainsi que les droits des femmes en conflit avec la loi, les femmes Magistrats de Côte d</w:t>
      </w:r>
      <w:r w:rsidR="000C16F5">
        <w:rPr>
          <w:lang w:val="fr-FR"/>
        </w:rPr>
        <w:t>’</w:t>
      </w:r>
      <w:r w:rsidRPr="00190491">
        <w:rPr>
          <w:lang w:val="fr-FR"/>
        </w:rPr>
        <w:t>Ivoire se sont constituées en mai 2016 en association dénommée Association des Femmes Magistrats de Côte d</w:t>
      </w:r>
      <w:r w:rsidR="000C16F5">
        <w:rPr>
          <w:lang w:val="fr-FR"/>
        </w:rPr>
        <w:t>’</w:t>
      </w:r>
      <w:r w:rsidRPr="00190491">
        <w:rPr>
          <w:lang w:val="fr-FR"/>
        </w:rPr>
        <w:t>Ivoire (AFEMCI). L</w:t>
      </w:r>
      <w:r w:rsidR="000C16F5">
        <w:rPr>
          <w:lang w:val="fr-FR"/>
        </w:rPr>
        <w:t>’</w:t>
      </w:r>
      <w:r w:rsidRPr="00190491">
        <w:rPr>
          <w:lang w:val="fr-FR"/>
        </w:rPr>
        <w:t>AFEMCI va œuvrer à la promotion des femmes au niveau de la magistrature et surtout au niveau des postes de responsabilité. Pour ce faire, l</w:t>
      </w:r>
      <w:r w:rsidR="000C16F5">
        <w:rPr>
          <w:lang w:val="fr-FR"/>
        </w:rPr>
        <w:t>’</w:t>
      </w:r>
      <w:r w:rsidRPr="00190491">
        <w:rPr>
          <w:lang w:val="fr-FR"/>
        </w:rPr>
        <w:t>AFEMCI va travailler à la promotion d</w:t>
      </w:r>
      <w:r w:rsidR="000C16F5">
        <w:rPr>
          <w:lang w:val="fr-FR"/>
        </w:rPr>
        <w:t>’</w:t>
      </w:r>
      <w:r w:rsidRPr="00190491">
        <w:rPr>
          <w:lang w:val="fr-FR"/>
        </w:rPr>
        <w:t>une image positive des femmes magistrats responsables, à la lutte contre toute forme de discriminations à l</w:t>
      </w:r>
      <w:r w:rsidR="000C16F5">
        <w:rPr>
          <w:lang w:val="fr-FR"/>
        </w:rPr>
        <w:t>’</w:t>
      </w:r>
      <w:r w:rsidRPr="00190491">
        <w:rPr>
          <w:lang w:val="fr-FR"/>
        </w:rPr>
        <w:t>égard de la femme magistrat et à leur formation continue.</w:t>
      </w:r>
    </w:p>
    <w:p w14:paraId="6620AA6E" w14:textId="4573FD9B" w:rsidR="00115FF5" w:rsidRPr="00115FF5" w:rsidRDefault="00115FF5" w:rsidP="00115FF5">
      <w:pPr>
        <w:pStyle w:val="SingleTxtG"/>
        <w:spacing w:after="0" w:line="120" w:lineRule="exact"/>
        <w:ind w:left="1267"/>
        <w:rPr>
          <w:sz w:val="10"/>
          <w:lang w:val="fr-FR"/>
        </w:rPr>
      </w:pPr>
    </w:p>
    <w:p w14:paraId="33918FC0" w14:textId="3977BC16" w:rsidR="00364BF3" w:rsidRDefault="008378A3" w:rsidP="008A6B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Cs/>
          <w:lang w:val="fr-FR"/>
        </w:rPr>
        <w:lastRenderedPageBreak/>
        <w:tab/>
      </w:r>
      <w:r>
        <w:rPr>
          <w:bCs/>
          <w:lang w:val="fr-FR"/>
        </w:rPr>
        <w:tab/>
      </w:r>
      <w:r w:rsidR="00364BF3" w:rsidRPr="008378A3">
        <w:rPr>
          <w:b w:val="0"/>
          <w:lang w:val="fr-FR"/>
        </w:rPr>
        <w:t>Tableau 5</w:t>
      </w:r>
      <w:r w:rsidR="00364BF3" w:rsidRPr="00190491">
        <w:rPr>
          <w:lang w:val="fr-FR"/>
        </w:rPr>
        <w:t xml:space="preserve"> </w:t>
      </w:r>
      <w:r w:rsidR="00364BF3" w:rsidRPr="00190491">
        <w:rPr>
          <w:lang w:val="fr-FR"/>
        </w:rPr>
        <w:br/>
        <w:t>Personnel des corps de métier de justice 2016</w:t>
      </w:r>
    </w:p>
    <w:p w14:paraId="33228D75" w14:textId="0563C08C" w:rsidR="00115FF5" w:rsidRPr="00D854FC" w:rsidRDefault="00115FF5" w:rsidP="008A6B29">
      <w:pPr>
        <w:keepNext/>
        <w:spacing w:line="120" w:lineRule="exact"/>
        <w:rPr>
          <w:sz w:val="10"/>
          <w:lang w:val="fr-FR"/>
        </w:rPr>
      </w:pPr>
    </w:p>
    <w:p w14:paraId="5EDE5B74" w14:textId="77777777" w:rsidR="00D854FC" w:rsidRPr="00115FF5" w:rsidRDefault="00D854FC" w:rsidP="008A6B29">
      <w:pPr>
        <w:keepNext/>
        <w:spacing w:line="120" w:lineRule="exact"/>
        <w:rPr>
          <w:sz w:val="10"/>
          <w:lang w:val="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0"/>
        <w:gridCol w:w="1830"/>
        <w:gridCol w:w="1830"/>
        <w:gridCol w:w="1830"/>
      </w:tblGrid>
      <w:tr w:rsidR="00D854FC" w:rsidRPr="008F567B" w14:paraId="28025219" w14:textId="77777777" w:rsidTr="00BF245D">
        <w:trPr>
          <w:tblHeader/>
        </w:trPr>
        <w:tc>
          <w:tcPr>
            <w:tcW w:w="1830" w:type="dxa"/>
            <w:tcBorders>
              <w:top w:val="single" w:sz="4" w:space="0" w:color="auto"/>
              <w:bottom w:val="single" w:sz="12" w:space="0" w:color="auto"/>
            </w:tcBorders>
            <w:shd w:val="clear" w:color="auto" w:fill="auto"/>
            <w:vAlign w:val="bottom"/>
          </w:tcPr>
          <w:p w14:paraId="2F8BD1FD" w14:textId="77777777" w:rsidR="00D854FC" w:rsidRPr="008F567B" w:rsidRDefault="00D854FC" w:rsidP="008A6B29">
            <w:pPr>
              <w:keepNext/>
              <w:spacing w:before="81" w:after="81" w:line="160" w:lineRule="exact"/>
              <w:ind w:right="40"/>
              <w:rPr>
                <w:i/>
                <w:sz w:val="14"/>
                <w:lang w:val="fr-FR"/>
              </w:rPr>
            </w:pPr>
            <w:r w:rsidRPr="008F567B">
              <w:rPr>
                <w:i/>
                <w:sz w:val="14"/>
                <w:lang w:val="fr-FR"/>
              </w:rPr>
              <w:t>Corporation</w:t>
            </w:r>
          </w:p>
        </w:tc>
        <w:tc>
          <w:tcPr>
            <w:tcW w:w="1830" w:type="dxa"/>
            <w:tcBorders>
              <w:top w:val="single" w:sz="4" w:space="0" w:color="auto"/>
              <w:bottom w:val="single" w:sz="12" w:space="0" w:color="auto"/>
            </w:tcBorders>
            <w:shd w:val="clear" w:color="auto" w:fill="auto"/>
            <w:vAlign w:val="bottom"/>
          </w:tcPr>
          <w:p w14:paraId="22039434" w14:textId="77777777" w:rsidR="00D854FC" w:rsidRPr="008F567B" w:rsidRDefault="00D854FC" w:rsidP="008A6B29">
            <w:pPr>
              <w:keepNext/>
              <w:spacing w:before="81" w:after="81" w:line="160" w:lineRule="exact"/>
              <w:ind w:left="144" w:right="43"/>
              <w:jc w:val="right"/>
              <w:rPr>
                <w:i/>
                <w:sz w:val="14"/>
                <w:lang w:val="fr-FR"/>
              </w:rPr>
            </w:pPr>
            <w:r w:rsidRPr="008F567B">
              <w:rPr>
                <w:i/>
                <w:sz w:val="14"/>
                <w:lang w:val="fr-FR"/>
              </w:rPr>
              <w:t>Total personnel</w:t>
            </w:r>
          </w:p>
        </w:tc>
        <w:tc>
          <w:tcPr>
            <w:tcW w:w="1830" w:type="dxa"/>
            <w:tcBorders>
              <w:top w:val="single" w:sz="4" w:space="0" w:color="auto"/>
              <w:bottom w:val="single" w:sz="12" w:space="0" w:color="auto"/>
            </w:tcBorders>
            <w:shd w:val="clear" w:color="auto" w:fill="auto"/>
            <w:vAlign w:val="bottom"/>
          </w:tcPr>
          <w:p w14:paraId="7E5958B1" w14:textId="77777777" w:rsidR="00D854FC" w:rsidRPr="008F567B" w:rsidRDefault="00D854FC" w:rsidP="008A6B29">
            <w:pPr>
              <w:keepNext/>
              <w:spacing w:before="81" w:after="81" w:line="160" w:lineRule="exact"/>
              <w:ind w:left="144" w:right="43"/>
              <w:jc w:val="right"/>
              <w:rPr>
                <w:i/>
                <w:sz w:val="14"/>
                <w:lang w:val="fr-FR"/>
              </w:rPr>
            </w:pPr>
            <w:r w:rsidRPr="008F567B">
              <w:rPr>
                <w:i/>
                <w:sz w:val="14"/>
                <w:lang w:val="fr-FR"/>
              </w:rPr>
              <w:t>Nombres de femmes</w:t>
            </w:r>
          </w:p>
        </w:tc>
        <w:tc>
          <w:tcPr>
            <w:tcW w:w="1830" w:type="dxa"/>
            <w:tcBorders>
              <w:top w:val="single" w:sz="4" w:space="0" w:color="auto"/>
              <w:bottom w:val="single" w:sz="12" w:space="0" w:color="auto"/>
            </w:tcBorders>
            <w:shd w:val="clear" w:color="auto" w:fill="auto"/>
            <w:vAlign w:val="bottom"/>
          </w:tcPr>
          <w:p w14:paraId="44AC7B48" w14:textId="77777777" w:rsidR="00D854FC" w:rsidRPr="008F567B" w:rsidRDefault="00D854FC" w:rsidP="008A6B29">
            <w:pPr>
              <w:keepNext/>
              <w:spacing w:before="81" w:after="81" w:line="160" w:lineRule="exact"/>
              <w:ind w:left="144" w:right="43"/>
              <w:jc w:val="right"/>
              <w:rPr>
                <w:i/>
                <w:sz w:val="14"/>
                <w:lang w:val="fr-FR"/>
              </w:rPr>
            </w:pPr>
            <w:r w:rsidRPr="008F567B">
              <w:rPr>
                <w:i/>
                <w:sz w:val="14"/>
                <w:lang w:val="fr-FR"/>
              </w:rPr>
              <w:t>Pourcentage</w:t>
            </w:r>
          </w:p>
        </w:tc>
      </w:tr>
      <w:tr w:rsidR="00D854FC" w:rsidRPr="008F567B" w14:paraId="4E435617" w14:textId="77777777" w:rsidTr="00BF245D">
        <w:trPr>
          <w:trHeight w:hRule="exact" w:val="115"/>
          <w:tblHeader/>
        </w:trPr>
        <w:tc>
          <w:tcPr>
            <w:tcW w:w="1830" w:type="dxa"/>
            <w:tcBorders>
              <w:top w:val="single" w:sz="12" w:space="0" w:color="auto"/>
            </w:tcBorders>
            <w:shd w:val="clear" w:color="auto" w:fill="auto"/>
            <w:vAlign w:val="bottom"/>
          </w:tcPr>
          <w:p w14:paraId="7C1453DB" w14:textId="77777777" w:rsidR="00D854FC" w:rsidRPr="008F567B" w:rsidRDefault="00D854FC" w:rsidP="008A6B29">
            <w:pPr>
              <w:keepNext/>
              <w:spacing w:before="40" w:after="40" w:line="210" w:lineRule="exact"/>
              <w:ind w:right="40"/>
              <w:rPr>
                <w:bCs/>
                <w:sz w:val="17"/>
                <w:lang w:val="fr-FR"/>
              </w:rPr>
            </w:pPr>
          </w:p>
        </w:tc>
        <w:tc>
          <w:tcPr>
            <w:tcW w:w="1830" w:type="dxa"/>
            <w:tcBorders>
              <w:top w:val="single" w:sz="12" w:space="0" w:color="auto"/>
            </w:tcBorders>
            <w:shd w:val="clear" w:color="auto" w:fill="auto"/>
            <w:vAlign w:val="bottom"/>
          </w:tcPr>
          <w:p w14:paraId="32E20367" w14:textId="77777777" w:rsidR="00D854FC" w:rsidRPr="008F567B" w:rsidRDefault="00D854FC" w:rsidP="008A6B29">
            <w:pPr>
              <w:keepNext/>
              <w:spacing w:before="40" w:after="40" w:line="210" w:lineRule="exact"/>
              <w:ind w:left="144" w:right="43"/>
              <w:jc w:val="right"/>
              <w:rPr>
                <w:sz w:val="17"/>
                <w:lang w:val="fr-FR"/>
              </w:rPr>
            </w:pPr>
          </w:p>
        </w:tc>
        <w:tc>
          <w:tcPr>
            <w:tcW w:w="1830" w:type="dxa"/>
            <w:tcBorders>
              <w:top w:val="single" w:sz="12" w:space="0" w:color="auto"/>
            </w:tcBorders>
            <w:shd w:val="clear" w:color="auto" w:fill="auto"/>
            <w:vAlign w:val="bottom"/>
          </w:tcPr>
          <w:p w14:paraId="23A95039" w14:textId="77777777" w:rsidR="00D854FC" w:rsidRPr="008F567B" w:rsidRDefault="00D854FC" w:rsidP="008A6B29">
            <w:pPr>
              <w:keepNext/>
              <w:spacing w:before="40" w:after="40" w:line="210" w:lineRule="exact"/>
              <w:ind w:left="144" w:right="43"/>
              <w:jc w:val="right"/>
              <w:rPr>
                <w:sz w:val="17"/>
                <w:lang w:val="fr-FR"/>
              </w:rPr>
            </w:pPr>
          </w:p>
        </w:tc>
        <w:tc>
          <w:tcPr>
            <w:tcW w:w="1830" w:type="dxa"/>
            <w:tcBorders>
              <w:top w:val="single" w:sz="12" w:space="0" w:color="auto"/>
            </w:tcBorders>
            <w:shd w:val="clear" w:color="auto" w:fill="auto"/>
            <w:vAlign w:val="bottom"/>
          </w:tcPr>
          <w:p w14:paraId="31777153" w14:textId="77777777" w:rsidR="00D854FC" w:rsidRPr="008F567B" w:rsidRDefault="00D854FC" w:rsidP="008A6B29">
            <w:pPr>
              <w:keepNext/>
              <w:spacing w:before="40" w:after="40" w:line="210" w:lineRule="exact"/>
              <w:ind w:left="144" w:right="43"/>
              <w:jc w:val="right"/>
              <w:rPr>
                <w:sz w:val="17"/>
                <w:lang w:val="fr-FR"/>
              </w:rPr>
            </w:pPr>
          </w:p>
        </w:tc>
      </w:tr>
      <w:tr w:rsidR="00D854FC" w:rsidRPr="008F567B" w14:paraId="7F6EE359" w14:textId="77777777" w:rsidTr="00BF245D">
        <w:tc>
          <w:tcPr>
            <w:tcW w:w="1830" w:type="dxa"/>
            <w:shd w:val="clear" w:color="auto" w:fill="auto"/>
            <w:vAlign w:val="bottom"/>
          </w:tcPr>
          <w:p w14:paraId="084AA180" w14:textId="77777777" w:rsidR="00D854FC" w:rsidRPr="008F567B" w:rsidRDefault="00D854FC" w:rsidP="008A6B29">
            <w:pPr>
              <w:keepNext/>
              <w:tabs>
                <w:tab w:val="left" w:pos="288"/>
                <w:tab w:val="left" w:pos="576"/>
                <w:tab w:val="left" w:pos="864"/>
                <w:tab w:val="left" w:pos="1152"/>
              </w:tabs>
              <w:spacing w:before="40" w:after="40" w:line="210" w:lineRule="exact"/>
              <w:ind w:right="40"/>
              <w:rPr>
                <w:bCs/>
                <w:sz w:val="17"/>
                <w:lang w:val="fr-FR"/>
              </w:rPr>
            </w:pPr>
            <w:r w:rsidRPr="008F567B">
              <w:rPr>
                <w:bCs/>
                <w:sz w:val="17"/>
                <w:lang w:val="fr-FR"/>
              </w:rPr>
              <w:t>Huissiers</w:t>
            </w:r>
          </w:p>
        </w:tc>
        <w:tc>
          <w:tcPr>
            <w:tcW w:w="1830" w:type="dxa"/>
            <w:shd w:val="clear" w:color="auto" w:fill="auto"/>
            <w:vAlign w:val="bottom"/>
          </w:tcPr>
          <w:p w14:paraId="3222699E" w14:textId="77777777" w:rsidR="00D854FC" w:rsidRPr="008F567B" w:rsidRDefault="00D854FC" w:rsidP="008A6B29">
            <w:pPr>
              <w:keepNext/>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417</w:t>
            </w:r>
          </w:p>
        </w:tc>
        <w:tc>
          <w:tcPr>
            <w:tcW w:w="1830" w:type="dxa"/>
            <w:shd w:val="clear" w:color="auto" w:fill="auto"/>
            <w:vAlign w:val="bottom"/>
          </w:tcPr>
          <w:p w14:paraId="6D3A9C20" w14:textId="77777777" w:rsidR="00D854FC" w:rsidRPr="008F567B" w:rsidRDefault="00D854FC" w:rsidP="008A6B29">
            <w:pPr>
              <w:keepNext/>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48</w:t>
            </w:r>
          </w:p>
        </w:tc>
        <w:tc>
          <w:tcPr>
            <w:tcW w:w="1830" w:type="dxa"/>
            <w:shd w:val="clear" w:color="auto" w:fill="auto"/>
            <w:vAlign w:val="bottom"/>
          </w:tcPr>
          <w:p w14:paraId="7C846DA2" w14:textId="77777777" w:rsidR="00D854FC" w:rsidRPr="008F567B" w:rsidRDefault="00D854FC" w:rsidP="008A6B29">
            <w:pPr>
              <w:keepNext/>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11,51</w:t>
            </w:r>
          </w:p>
        </w:tc>
      </w:tr>
      <w:tr w:rsidR="00D854FC" w:rsidRPr="008F567B" w14:paraId="1690516C" w14:textId="77777777" w:rsidTr="00BF245D">
        <w:tc>
          <w:tcPr>
            <w:tcW w:w="1830" w:type="dxa"/>
            <w:shd w:val="clear" w:color="auto" w:fill="auto"/>
            <w:vAlign w:val="bottom"/>
          </w:tcPr>
          <w:p w14:paraId="5C14C524" w14:textId="77777777" w:rsidR="00D854FC" w:rsidRPr="008F567B" w:rsidRDefault="00D854FC" w:rsidP="008A6B29">
            <w:pPr>
              <w:keepNext/>
              <w:tabs>
                <w:tab w:val="left" w:pos="288"/>
                <w:tab w:val="left" w:pos="576"/>
                <w:tab w:val="left" w:pos="864"/>
                <w:tab w:val="left" w:pos="1152"/>
              </w:tabs>
              <w:spacing w:before="40" w:after="40" w:line="210" w:lineRule="exact"/>
              <w:ind w:right="40"/>
              <w:rPr>
                <w:bCs/>
                <w:sz w:val="17"/>
                <w:lang w:val="fr-FR"/>
              </w:rPr>
            </w:pPr>
            <w:r w:rsidRPr="008F567B">
              <w:rPr>
                <w:bCs/>
                <w:sz w:val="17"/>
                <w:lang w:val="fr-FR"/>
              </w:rPr>
              <w:t>Notaires</w:t>
            </w:r>
          </w:p>
        </w:tc>
        <w:tc>
          <w:tcPr>
            <w:tcW w:w="1830" w:type="dxa"/>
            <w:shd w:val="clear" w:color="auto" w:fill="auto"/>
            <w:vAlign w:val="bottom"/>
          </w:tcPr>
          <w:p w14:paraId="23DBE101" w14:textId="77777777" w:rsidR="00D854FC" w:rsidRPr="008F567B" w:rsidRDefault="00D854FC" w:rsidP="008A6B29">
            <w:pPr>
              <w:keepNext/>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213</w:t>
            </w:r>
          </w:p>
        </w:tc>
        <w:tc>
          <w:tcPr>
            <w:tcW w:w="1830" w:type="dxa"/>
            <w:shd w:val="clear" w:color="auto" w:fill="auto"/>
            <w:vAlign w:val="bottom"/>
          </w:tcPr>
          <w:p w14:paraId="45539E8E" w14:textId="77777777" w:rsidR="00D854FC" w:rsidRPr="008F567B" w:rsidRDefault="00D854FC" w:rsidP="008A6B29">
            <w:pPr>
              <w:keepNext/>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111</w:t>
            </w:r>
          </w:p>
        </w:tc>
        <w:tc>
          <w:tcPr>
            <w:tcW w:w="1830" w:type="dxa"/>
            <w:shd w:val="clear" w:color="auto" w:fill="auto"/>
            <w:vAlign w:val="bottom"/>
          </w:tcPr>
          <w:p w14:paraId="33F69A75" w14:textId="77777777" w:rsidR="00D854FC" w:rsidRPr="008F567B" w:rsidRDefault="00D854FC" w:rsidP="008A6B29">
            <w:pPr>
              <w:keepNext/>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52,11</w:t>
            </w:r>
          </w:p>
        </w:tc>
      </w:tr>
      <w:tr w:rsidR="00D854FC" w:rsidRPr="008F567B" w14:paraId="632958FE" w14:textId="77777777" w:rsidTr="00BF245D">
        <w:tc>
          <w:tcPr>
            <w:tcW w:w="1830" w:type="dxa"/>
            <w:shd w:val="clear" w:color="auto" w:fill="auto"/>
            <w:vAlign w:val="bottom"/>
          </w:tcPr>
          <w:p w14:paraId="39906AAF" w14:textId="77777777" w:rsidR="00D854FC" w:rsidRPr="008F567B" w:rsidRDefault="00D854FC" w:rsidP="00BF245D">
            <w:pPr>
              <w:tabs>
                <w:tab w:val="left" w:pos="288"/>
                <w:tab w:val="left" w:pos="576"/>
                <w:tab w:val="left" w:pos="864"/>
                <w:tab w:val="left" w:pos="1152"/>
              </w:tabs>
              <w:spacing w:before="40" w:after="40" w:line="210" w:lineRule="exact"/>
              <w:ind w:right="40"/>
              <w:rPr>
                <w:bCs/>
                <w:sz w:val="17"/>
                <w:lang w:val="fr-FR"/>
              </w:rPr>
            </w:pPr>
            <w:r w:rsidRPr="008F567B">
              <w:rPr>
                <w:bCs/>
                <w:sz w:val="17"/>
                <w:lang w:val="fr-FR"/>
              </w:rPr>
              <w:t>Avocats</w:t>
            </w:r>
          </w:p>
        </w:tc>
        <w:tc>
          <w:tcPr>
            <w:tcW w:w="1830" w:type="dxa"/>
            <w:shd w:val="clear" w:color="auto" w:fill="auto"/>
            <w:vAlign w:val="bottom"/>
          </w:tcPr>
          <w:p w14:paraId="74599C3B"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513</w:t>
            </w:r>
          </w:p>
        </w:tc>
        <w:tc>
          <w:tcPr>
            <w:tcW w:w="1830" w:type="dxa"/>
            <w:shd w:val="clear" w:color="auto" w:fill="auto"/>
            <w:vAlign w:val="bottom"/>
          </w:tcPr>
          <w:p w14:paraId="2CCB696A"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137</w:t>
            </w:r>
          </w:p>
        </w:tc>
        <w:tc>
          <w:tcPr>
            <w:tcW w:w="1830" w:type="dxa"/>
            <w:shd w:val="clear" w:color="auto" w:fill="auto"/>
            <w:vAlign w:val="bottom"/>
          </w:tcPr>
          <w:p w14:paraId="1297C33B"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26,7</w:t>
            </w:r>
          </w:p>
        </w:tc>
      </w:tr>
      <w:tr w:rsidR="00D854FC" w:rsidRPr="008F567B" w14:paraId="1C679BD9" w14:textId="77777777" w:rsidTr="00BF245D">
        <w:tc>
          <w:tcPr>
            <w:tcW w:w="1830" w:type="dxa"/>
            <w:shd w:val="clear" w:color="auto" w:fill="auto"/>
            <w:vAlign w:val="bottom"/>
          </w:tcPr>
          <w:p w14:paraId="4447E8B5" w14:textId="77777777" w:rsidR="00D854FC" w:rsidRPr="008F567B" w:rsidRDefault="00D854FC" w:rsidP="00BF245D">
            <w:pPr>
              <w:tabs>
                <w:tab w:val="left" w:pos="288"/>
                <w:tab w:val="left" w:pos="576"/>
                <w:tab w:val="left" w:pos="864"/>
                <w:tab w:val="left" w:pos="1152"/>
              </w:tabs>
              <w:spacing w:before="40" w:after="40" w:line="210" w:lineRule="exact"/>
              <w:ind w:right="40"/>
              <w:rPr>
                <w:bCs/>
                <w:sz w:val="17"/>
                <w:lang w:val="fr-FR"/>
              </w:rPr>
            </w:pPr>
            <w:r w:rsidRPr="008F567B">
              <w:rPr>
                <w:bCs/>
                <w:sz w:val="17"/>
                <w:lang w:val="fr-FR"/>
              </w:rPr>
              <w:t>Conseillers juridiques</w:t>
            </w:r>
          </w:p>
        </w:tc>
        <w:tc>
          <w:tcPr>
            <w:tcW w:w="1830" w:type="dxa"/>
            <w:shd w:val="clear" w:color="auto" w:fill="auto"/>
            <w:vAlign w:val="bottom"/>
          </w:tcPr>
          <w:p w14:paraId="15B738D4"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118</w:t>
            </w:r>
          </w:p>
        </w:tc>
        <w:tc>
          <w:tcPr>
            <w:tcW w:w="1830" w:type="dxa"/>
            <w:shd w:val="clear" w:color="auto" w:fill="auto"/>
            <w:vAlign w:val="bottom"/>
          </w:tcPr>
          <w:p w14:paraId="310BE506"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22</w:t>
            </w:r>
          </w:p>
        </w:tc>
        <w:tc>
          <w:tcPr>
            <w:tcW w:w="1830" w:type="dxa"/>
            <w:shd w:val="clear" w:color="auto" w:fill="auto"/>
            <w:vAlign w:val="bottom"/>
          </w:tcPr>
          <w:p w14:paraId="305DE003"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18,64</w:t>
            </w:r>
          </w:p>
        </w:tc>
      </w:tr>
      <w:tr w:rsidR="00D854FC" w:rsidRPr="008F567B" w14:paraId="49063EAC" w14:textId="77777777" w:rsidTr="00BF245D">
        <w:tc>
          <w:tcPr>
            <w:tcW w:w="1830" w:type="dxa"/>
            <w:shd w:val="clear" w:color="auto" w:fill="auto"/>
            <w:vAlign w:val="bottom"/>
          </w:tcPr>
          <w:p w14:paraId="4DD2959E" w14:textId="77777777" w:rsidR="00D854FC" w:rsidRPr="008F567B" w:rsidRDefault="00D854FC" w:rsidP="00BF245D">
            <w:pPr>
              <w:tabs>
                <w:tab w:val="left" w:pos="288"/>
                <w:tab w:val="left" w:pos="576"/>
                <w:tab w:val="left" w:pos="864"/>
                <w:tab w:val="left" w:pos="1152"/>
              </w:tabs>
              <w:spacing w:before="40" w:after="40" w:line="210" w:lineRule="exact"/>
              <w:ind w:right="40"/>
              <w:rPr>
                <w:bCs/>
                <w:sz w:val="17"/>
                <w:lang w:val="fr-FR"/>
              </w:rPr>
            </w:pPr>
            <w:r w:rsidRPr="008F567B">
              <w:rPr>
                <w:bCs/>
                <w:sz w:val="17"/>
                <w:lang w:val="fr-FR"/>
              </w:rPr>
              <w:t>Commissaires-priseurs</w:t>
            </w:r>
          </w:p>
        </w:tc>
        <w:tc>
          <w:tcPr>
            <w:tcW w:w="1830" w:type="dxa"/>
            <w:shd w:val="clear" w:color="auto" w:fill="auto"/>
            <w:vAlign w:val="bottom"/>
          </w:tcPr>
          <w:p w14:paraId="22C2BAAC"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135</w:t>
            </w:r>
          </w:p>
        </w:tc>
        <w:tc>
          <w:tcPr>
            <w:tcW w:w="1830" w:type="dxa"/>
            <w:shd w:val="clear" w:color="auto" w:fill="auto"/>
            <w:vAlign w:val="bottom"/>
          </w:tcPr>
          <w:p w14:paraId="23801E05"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12</w:t>
            </w:r>
          </w:p>
        </w:tc>
        <w:tc>
          <w:tcPr>
            <w:tcW w:w="1830" w:type="dxa"/>
            <w:shd w:val="clear" w:color="auto" w:fill="auto"/>
            <w:vAlign w:val="bottom"/>
          </w:tcPr>
          <w:p w14:paraId="050C6EE0"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8,88</w:t>
            </w:r>
          </w:p>
        </w:tc>
      </w:tr>
      <w:tr w:rsidR="00D854FC" w:rsidRPr="008F567B" w14:paraId="51E3DD0E" w14:textId="77777777" w:rsidTr="00BF245D">
        <w:tc>
          <w:tcPr>
            <w:tcW w:w="1830" w:type="dxa"/>
            <w:shd w:val="clear" w:color="auto" w:fill="auto"/>
            <w:vAlign w:val="bottom"/>
          </w:tcPr>
          <w:p w14:paraId="0F9F2846" w14:textId="77777777" w:rsidR="00D854FC" w:rsidRPr="008F567B" w:rsidRDefault="00D854FC" w:rsidP="00BF245D">
            <w:pPr>
              <w:tabs>
                <w:tab w:val="left" w:pos="288"/>
                <w:tab w:val="left" w:pos="576"/>
                <w:tab w:val="left" w:pos="864"/>
                <w:tab w:val="left" w:pos="1152"/>
              </w:tabs>
              <w:spacing w:before="40" w:after="40" w:line="210" w:lineRule="exact"/>
              <w:ind w:right="40"/>
              <w:rPr>
                <w:bCs/>
                <w:sz w:val="17"/>
                <w:lang w:val="fr-FR"/>
              </w:rPr>
            </w:pPr>
            <w:r w:rsidRPr="008F567B">
              <w:rPr>
                <w:bCs/>
                <w:sz w:val="17"/>
                <w:lang w:val="fr-FR"/>
              </w:rPr>
              <w:t>Magistrat</w:t>
            </w:r>
          </w:p>
        </w:tc>
        <w:tc>
          <w:tcPr>
            <w:tcW w:w="1830" w:type="dxa"/>
            <w:shd w:val="clear" w:color="auto" w:fill="auto"/>
            <w:vAlign w:val="bottom"/>
          </w:tcPr>
          <w:p w14:paraId="67D8CC76"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679</w:t>
            </w:r>
          </w:p>
        </w:tc>
        <w:tc>
          <w:tcPr>
            <w:tcW w:w="1830" w:type="dxa"/>
            <w:shd w:val="clear" w:color="auto" w:fill="auto"/>
            <w:vAlign w:val="bottom"/>
          </w:tcPr>
          <w:p w14:paraId="0328AC34"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180</w:t>
            </w:r>
          </w:p>
        </w:tc>
        <w:tc>
          <w:tcPr>
            <w:tcW w:w="1830" w:type="dxa"/>
            <w:shd w:val="clear" w:color="auto" w:fill="auto"/>
            <w:vAlign w:val="bottom"/>
          </w:tcPr>
          <w:p w14:paraId="4A62F87E"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26,5</w:t>
            </w:r>
          </w:p>
        </w:tc>
      </w:tr>
      <w:tr w:rsidR="00D854FC" w:rsidRPr="008F567B" w14:paraId="439B5DD8" w14:textId="77777777" w:rsidTr="00BF245D">
        <w:tc>
          <w:tcPr>
            <w:tcW w:w="1830" w:type="dxa"/>
            <w:shd w:val="clear" w:color="auto" w:fill="auto"/>
            <w:vAlign w:val="bottom"/>
          </w:tcPr>
          <w:p w14:paraId="2DA4466B" w14:textId="77777777" w:rsidR="00D854FC" w:rsidRPr="008F567B" w:rsidRDefault="00D854FC" w:rsidP="00BF245D">
            <w:pPr>
              <w:tabs>
                <w:tab w:val="left" w:pos="288"/>
                <w:tab w:val="left" w:pos="576"/>
                <w:tab w:val="left" w:pos="864"/>
                <w:tab w:val="left" w:pos="1152"/>
              </w:tabs>
              <w:spacing w:before="40" w:after="40" w:line="210" w:lineRule="exact"/>
              <w:ind w:right="40"/>
              <w:rPr>
                <w:bCs/>
                <w:sz w:val="17"/>
                <w:lang w:val="fr-FR"/>
              </w:rPr>
            </w:pPr>
            <w:r w:rsidRPr="008F567B">
              <w:rPr>
                <w:bCs/>
                <w:sz w:val="17"/>
                <w:lang w:val="fr-FR"/>
              </w:rPr>
              <w:t>Greffiers</w:t>
            </w:r>
          </w:p>
        </w:tc>
        <w:tc>
          <w:tcPr>
            <w:tcW w:w="1830" w:type="dxa"/>
            <w:shd w:val="clear" w:color="auto" w:fill="auto"/>
            <w:vAlign w:val="bottom"/>
          </w:tcPr>
          <w:p w14:paraId="122E32AB" w14:textId="2DD04E8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1</w:t>
            </w:r>
            <w:r>
              <w:rPr>
                <w:sz w:val="17"/>
                <w:lang w:val="fr-FR"/>
              </w:rPr>
              <w:t> </w:t>
            </w:r>
            <w:r w:rsidRPr="008F567B">
              <w:rPr>
                <w:sz w:val="17"/>
                <w:lang w:val="fr-FR"/>
              </w:rPr>
              <w:t>025</w:t>
            </w:r>
          </w:p>
        </w:tc>
        <w:tc>
          <w:tcPr>
            <w:tcW w:w="1830" w:type="dxa"/>
            <w:shd w:val="clear" w:color="auto" w:fill="auto"/>
            <w:vAlign w:val="bottom"/>
          </w:tcPr>
          <w:p w14:paraId="115A7BA7"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230</w:t>
            </w:r>
          </w:p>
        </w:tc>
        <w:tc>
          <w:tcPr>
            <w:tcW w:w="1830" w:type="dxa"/>
            <w:shd w:val="clear" w:color="auto" w:fill="auto"/>
            <w:vAlign w:val="bottom"/>
          </w:tcPr>
          <w:p w14:paraId="57466B9E" w14:textId="77777777" w:rsidR="00D854FC" w:rsidRPr="008F567B" w:rsidRDefault="00D854FC" w:rsidP="00BF245D">
            <w:pPr>
              <w:tabs>
                <w:tab w:val="left" w:pos="288"/>
                <w:tab w:val="left" w:pos="576"/>
                <w:tab w:val="left" w:pos="864"/>
                <w:tab w:val="left" w:pos="1152"/>
              </w:tabs>
              <w:spacing w:before="40" w:after="40" w:line="210" w:lineRule="exact"/>
              <w:ind w:left="144" w:right="43"/>
              <w:jc w:val="right"/>
              <w:rPr>
                <w:sz w:val="17"/>
                <w:lang w:val="fr-FR"/>
              </w:rPr>
            </w:pPr>
            <w:r w:rsidRPr="008F567B">
              <w:rPr>
                <w:sz w:val="17"/>
                <w:lang w:val="fr-FR"/>
              </w:rPr>
              <w:t>22,43</w:t>
            </w:r>
          </w:p>
        </w:tc>
      </w:tr>
      <w:tr w:rsidR="00D854FC" w:rsidRPr="008F567B" w14:paraId="610721F4" w14:textId="77777777" w:rsidTr="00BF245D">
        <w:tc>
          <w:tcPr>
            <w:tcW w:w="1830" w:type="dxa"/>
            <w:tcBorders>
              <w:bottom w:val="single" w:sz="4" w:space="0" w:color="auto"/>
            </w:tcBorders>
            <w:shd w:val="clear" w:color="auto" w:fill="auto"/>
            <w:vAlign w:val="bottom"/>
          </w:tcPr>
          <w:p w14:paraId="3A6C1251" w14:textId="77777777" w:rsidR="00D854FC" w:rsidRPr="008F567B" w:rsidRDefault="00D854FC" w:rsidP="00BF245D">
            <w:pPr>
              <w:tabs>
                <w:tab w:val="left" w:pos="288"/>
                <w:tab w:val="left" w:pos="576"/>
                <w:tab w:val="left" w:pos="864"/>
                <w:tab w:val="left" w:pos="1152"/>
              </w:tabs>
              <w:spacing w:before="40" w:after="81" w:line="210" w:lineRule="exact"/>
              <w:ind w:right="40"/>
              <w:rPr>
                <w:bCs/>
                <w:sz w:val="17"/>
                <w:lang w:val="fr-FR"/>
              </w:rPr>
            </w:pPr>
            <w:r w:rsidRPr="008F567B">
              <w:rPr>
                <w:bCs/>
                <w:sz w:val="17"/>
                <w:lang w:val="fr-FR"/>
              </w:rPr>
              <w:t>Agents d'Affaires</w:t>
            </w:r>
          </w:p>
        </w:tc>
        <w:tc>
          <w:tcPr>
            <w:tcW w:w="1830" w:type="dxa"/>
            <w:tcBorders>
              <w:bottom w:val="single" w:sz="4" w:space="0" w:color="auto"/>
            </w:tcBorders>
            <w:shd w:val="clear" w:color="auto" w:fill="auto"/>
            <w:vAlign w:val="bottom"/>
          </w:tcPr>
          <w:p w14:paraId="5F078803" w14:textId="77777777" w:rsidR="00D854FC" w:rsidRPr="008F567B" w:rsidRDefault="00D854FC" w:rsidP="00BF245D">
            <w:pPr>
              <w:tabs>
                <w:tab w:val="left" w:pos="288"/>
                <w:tab w:val="left" w:pos="576"/>
                <w:tab w:val="left" w:pos="864"/>
                <w:tab w:val="left" w:pos="1152"/>
              </w:tabs>
              <w:spacing w:before="40" w:after="81" w:line="210" w:lineRule="exact"/>
              <w:ind w:left="144" w:right="43"/>
              <w:jc w:val="right"/>
              <w:rPr>
                <w:sz w:val="17"/>
                <w:lang w:val="fr-FR"/>
              </w:rPr>
            </w:pPr>
            <w:r w:rsidRPr="008F567B">
              <w:rPr>
                <w:sz w:val="17"/>
                <w:lang w:val="fr-FR"/>
              </w:rPr>
              <w:t>246</w:t>
            </w:r>
          </w:p>
        </w:tc>
        <w:tc>
          <w:tcPr>
            <w:tcW w:w="1830" w:type="dxa"/>
            <w:tcBorders>
              <w:bottom w:val="single" w:sz="4" w:space="0" w:color="auto"/>
            </w:tcBorders>
            <w:shd w:val="clear" w:color="auto" w:fill="auto"/>
            <w:vAlign w:val="bottom"/>
          </w:tcPr>
          <w:p w14:paraId="3EF9CC15" w14:textId="77777777" w:rsidR="00D854FC" w:rsidRPr="008F567B" w:rsidRDefault="00D854FC" w:rsidP="00BF245D">
            <w:pPr>
              <w:tabs>
                <w:tab w:val="left" w:pos="288"/>
                <w:tab w:val="left" w:pos="576"/>
                <w:tab w:val="left" w:pos="864"/>
                <w:tab w:val="left" w:pos="1152"/>
              </w:tabs>
              <w:spacing w:before="40" w:after="81" w:line="210" w:lineRule="exact"/>
              <w:ind w:left="144" w:right="43"/>
              <w:jc w:val="right"/>
              <w:rPr>
                <w:sz w:val="17"/>
                <w:lang w:val="fr-FR"/>
              </w:rPr>
            </w:pPr>
            <w:r w:rsidRPr="008F567B">
              <w:rPr>
                <w:sz w:val="17"/>
                <w:lang w:val="fr-FR"/>
              </w:rPr>
              <w:t>15</w:t>
            </w:r>
          </w:p>
        </w:tc>
        <w:tc>
          <w:tcPr>
            <w:tcW w:w="1830" w:type="dxa"/>
            <w:tcBorders>
              <w:bottom w:val="single" w:sz="4" w:space="0" w:color="auto"/>
            </w:tcBorders>
            <w:shd w:val="clear" w:color="auto" w:fill="auto"/>
            <w:vAlign w:val="bottom"/>
          </w:tcPr>
          <w:p w14:paraId="1017182D" w14:textId="77777777" w:rsidR="00D854FC" w:rsidRPr="008F567B" w:rsidRDefault="00D854FC" w:rsidP="00BF245D">
            <w:pPr>
              <w:tabs>
                <w:tab w:val="left" w:pos="288"/>
                <w:tab w:val="left" w:pos="576"/>
                <w:tab w:val="left" w:pos="864"/>
                <w:tab w:val="left" w:pos="1152"/>
              </w:tabs>
              <w:spacing w:before="40" w:after="81" w:line="210" w:lineRule="exact"/>
              <w:ind w:left="144" w:right="43"/>
              <w:jc w:val="right"/>
              <w:rPr>
                <w:sz w:val="17"/>
                <w:lang w:val="fr-FR"/>
              </w:rPr>
            </w:pPr>
            <w:r w:rsidRPr="008F567B">
              <w:rPr>
                <w:sz w:val="17"/>
                <w:lang w:val="fr-FR"/>
              </w:rPr>
              <w:t>6,1</w:t>
            </w:r>
          </w:p>
        </w:tc>
      </w:tr>
      <w:tr w:rsidR="00D854FC" w:rsidRPr="008F567B" w14:paraId="422D302B" w14:textId="77777777" w:rsidTr="00BF245D">
        <w:tc>
          <w:tcPr>
            <w:tcW w:w="1830" w:type="dxa"/>
            <w:tcBorders>
              <w:top w:val="single" w:sz="4" w:space="0" w:color="auto"/>
              <w:bottom w:val="single" w:sz="12" w:space="0" w:color="auto"/>
            </w:tcBorders>
            <w:shd w:val="clear" w:color="auto" w:fill="auto"/>
            <w:vAlign w:val="bottom"/>
          </w:tcPr>
          <w:p w14:paraId="69AE82E7" w14:textId="77777777" w:rsidR="00D854FC" w:rsidRPr="008F567B" w:rsidRDefault="00D854FC" w:rsidP="00BF245D">
            <w:pPr>
              <w:tabs>
                <w:tab w:val="left" w:pos="288"/>
                <w:tab w:val="left" w:pos="576"/>
                <w:tab w:val="left" w:pos="864"/>
                <w:tab w:val="left" w:pos="1152"/>
              </w:tabs>
              <w:spacing w:before="81" w:after="81" w:line="210" w:lineRule="exact"/>
              <w:ind w:left="283" w:right="40"/>
              <w:rPr>
                <w:b/>
                <w:bCs/>
                <w:sz w:val="17"/>
                <w:lang w:val="fr-FR"/>
              </w:rPr>
            </w:pPr>
            <w:r w:rsidRPr="008F567B">
              <w:rPr>
                <w:b/>
                <w:bCs/>
                <w:sz w:val="17"/>
                <w:lang w:val="fr-FR"/>
              </w:rPr>
              <w:t>Total</w:t>
            </w:r>
          </w:p>
        </w:tc>
        <w:tc>
          <w:tcPr>
            <w:tcW w:w="1830" w:type="dxa"/>
            <w:tcBorders>
              <w:top w:val="single" w:sz="4" w:space="0" w:color="auto"/>
              <w:bottom w:val="single" w:sz="12" w:space="0" w:color="auto"/>
            </w:tcBorders>
            <w:shd w:val="clear" w:color="auto" w:fill="auto"/>
            <w:vAlign w:val="bottom"/>
          </w:tcPr>
          <w:p w14:paraId="66E0BC05" w14:textId="00365EFF" w:rsidR="00D854FC" w:rsidRPr="008F567B" w:rsidRDefault="00D854FC" w:rsidP="00BF245D">
            <w:pPr>
              <w:tabs>
                <w:tab w:val="left" w:pos="288"/>
                <w:tab w:val="left" w:pos="576"/>
                <w:tab w:val="left" w:pos="864"/>
                <w:tab w:val="left" w:pos="1152"/>
              </w:tabs>
              <w:spacing w:before="81" w:after="81" w:line="210" w:lineRule="exact"/>
              <w:ind w:left="144" w:right="43"/>
              <w:jc w:val="right"/>
              <w:rPr>
                <w:b/>
                <w:bCs/>
                <w:sz w:val="17"/>
                <w:lang w:val="fr-FR"/>
              </w:rPr>
            </w:pPr>
            <w:r w:rsidRPr="008F567B">
              <w:rPr>
                <w:b/>
                <w:bCs/>
                <w:sz w:val="17"/>
                <w:lang w:val="fr-FR"/>
              </w:rPr>
              <w:t>3</w:t>
            </w:r>
            <w:r>
              <w:rPr>
                <w:b/>
                <w:bCs/>
                <w:sz w:val="17"/>
                <w:lang w:val="fr-FR"/>
              </w:rPr>
              <w:t> </w:t>
            </w:r>
            <w:r w:rsidRPr="008F567B">
              <w:rPr>
                <w:b/>
                <w:bCs/>
                <w:sz w:val="17"/>
                <w:lang w:val="fr-FR"/>
              </w:rPr>
              <w:t>346</w:t>
            </w:r>
          </w:p>
        </w:tc>
        <w:tc>
          <w:tcPr>
            <w:tcW w:w="1830" w:type="dxa"/>
            <w:tcBorders>
              <w:top w:val="single" w:sz="4" w:space="0" w:color="auto"/>
              <w:bottom w:val="single" w:sz="12" w:space="0" w:color="auto"/>
            </w:tcBorders>
            <w:shd w:val="clear" w:color="auto" w:fill="auto"/>
            <w:vAlign w:val="bottom"/>
          </w:tcPr>
          <w:p w14:paraId="5699FF6E" w14:textId="77777777" w:rsidR="00D854FC" w:rsidRPr="008F567B" w:rsidRDefault="00D854FC" w:rsidP="00BF245D">
            <w:pPr>
              <w:tabs>
                <w:tab w:val="left" w:pos="288"/>
                <w:tab w:val="left" w:pos="576"/>
                <w:tab w:val="left" w:pos="864"/>
                <w:tab w:val="left" w:pos="1152"/>
              </w:tabs>
              <w:spacing w:before="81" w:after="81" w:line="210" w:lineRule="exact"/>
              <w:ind w:left="144" w:right="43"/>
              <w:jc w:val="right"/>
              <w:rPr>
                <w:b/>
                <w:bCs/>
                <w:sz w:val="17"/>
                <w:lang w:val="fr-FR"/>
              </w:rPr>
            </w:pPr>
            <w:r w:rsidRPr="008F567B">
              <w:rPr>
                <w:b/>
                <w:bCs/>
                <w:sz w:val="17"/>
                <w:lang w:val="fr-FR"/>
              </w:rPr>
              <w:t>755</w:t>
            </w:r>
          </w:p>
        </w:tc>
        <w:tc>
          <w:tcPr>
            <w:tcW w:w="1830" w:type="dxa"/>
            <w:tcBorders>
              <w:top w:val="single" w:sz="4" w:space="0" w:color="auto"/>
              <w:bottom w:val="single" w:sz="12" w:space="0" w:color="auto"/>
            </w:tcBorders>
            <w:shd w:val="clear" w:color="auto" w:fill="auto"/>
            <w:vAlign w:val="bottom"/>
          </w:tcPr>
          <w:p w14:paraId="6CE90336" w14:textId="77777777" w:rsidR="00D854FC" w:rsidRPr="008F567B" w:rsidRDefault="00D854FC" w:rsidP="00BF245D">
            <w:pPr>
              <w:tabs>
                <w:tab w:val="left" w:pos="288"/>
                <w:tab w:val="left" w:pos="576"/>
                <w:tab w:val="left" w:pos="864"/>
                <w:tab w:val="left" w:pos="1152"/>
              </w:tabs>
              <w:spacing w:before="81" w:after="81" w:line="210" w:lineRule="exact"/>
              <w:ind w:left="144" w:right="43"/>
              <w:jc w:val="right"/>
              <w:rPr>
                <w:b/>
                <w:bCs/>
                <w:sz w:val="17"/>
                <w:lang w:val="fr-FR"/>
              </w:rPr>
            </w:pPr>
            <w:r w:rsidRPr="008F567B">
              <w:rPr>
                <w:b/>
                <w:bCs/>
                <w:sz w:val="17"/>
                <w:lang w:val="fr-FR"/>
              </w:rPr>
              <w:t>22,56</w:t>
            </w:r>
          </w:p>
        </w:tc>
      </w:tr>
    </w:tbl>
    <w:p w14:paraId="6FA20C68" w14:textId="77777777" w:rsidR="008A6B29" w:rsidRPr="008A6B29" w:rsidRDefault="008A6B29" w:rsidP="008A6B29">
      <w:pPr>
        <w:pStyle w:val="SingleTxt"/>
        <w:spacing w:after="0" w:line="120" w:lineRule="exact"/>
        <w:rPr>
          <w:sz w:val="10"/>
          <w:lang w:val="fr-FR"/>
        </w:rPr>
      </w:pPr>
    </w:p>
    <w:p w14:paraId="34952B8A" w14:textId="77777777" w:rsidR="008A6B29" w:rsidRPr="008A6B29" w:rsidRDefault="008A6B29" w:rsidP="008A6B29">
      <w:pPr>
        <w:pStyle w:val="SingleTxt"/>
        <w:spacing w:after="0" w:line="120" w:lineRule="exact"/>
        <w:rPr>
          <w:sz w:val="10"/>
          <w:lang w:val="fr-FR"/>
        </w:rPr>
      </w:pPr>
    </w:p>
    <w:p w14:paraId="247D04B3" w14:textId="04B0DF5A" w:rsidR="00364BF3" w:rsidRPr="008A6B29" w:rsidRDefault="00364BF3" w:rsidP="008A6B29">
      <w:pPr>
        <w:pStyle w:val="SingleTxt"/>
        <w:numPr>
          <w:ilvl w:val="0"/>
          <w:numId w:val="17"/>
        </w:numPr>
        <w:spacing w:before="120" w:line="240" w:lineRule="exact"/>
        <w:rPr>
          <w:b/>
          <w:bCs/>
          <w:lang w:val="fr-FR"/>
        </w:rPr>
      </w:pPr>
      <w:r w:rsidRPr="008A6B29">
        <w:rPr>
          <w:b/>
          <w:bCs/>
          <w:lang w:val="fr-FR"/>
        </w:rPr>
        <w:t>Surveiller attentivement l</w:t>
      </w:r>
      <w:r w:rsidR="000C16F5" w:rsidRPr="008A6B29">
        <w:rPr>
          <w:b/>
          <w:bCs/>
          <w:lang w:val="fr-FR"/>
        </w:rPr>
        <w:t>’</w:t>
      </w:r>
      <w:r w:rsidRPr="008A6B29">
        <w:rPr>
          <w:b/>
          <w:bCs/>
          <w:lang w:val="fr-FR"/>
        </w:rPr>
        <w:t xml:space="preserve">efficacité des mesures prises et les résultats obtenus pour assurer une plus grande participation des femmes à la vie politique et publique </w:t>
      </w:r>
      <w:r w:rsidR="00D81000" w:rsidRPr="008A6B29">
        <w:rPr>
          <w:b/>
          <w:bCs/>
          <w:lang w:val="fr-FR"/>
        </w:rPr>
        <w:t>[</w:t>
      </w:r>
      <w:r w:rsidRPr="008A6B29">
        <w:rPr>
          <w:b/>
          <w:bCs/>
          <w:lang w:val="fr-FR"/>
        </w:rPr>
        <w:t xml:space="preserve">voir </w:t>
      </w:r>
      <w:hyperlink r:id="rId70" w:history="1">
        <w:r w:rsidRPr="007B345A">
          <w:rPr>
            <w:rStyle w:val="Hyperlink"/>
            <w:b/>
            <w:bCs/>
            <w:lang w:val="fr-FR"/>
          </w:rPr>
          <w:t>CEDAW/C/CIV/CO/1-3</w:t>
        </w:r>
      </w:hyperlink>
      <w:r w:rsidRPr="008A6B29">
        <w:rPr>
          <w:b/>
          <w:bCs/>
          <w:lang w:val="fr-FR"/>
        </w:rPr>
        <w:t xml:space="preserve">, </w:t>
      </w:r>
      <w:r w:rsidR="006862B3" w:rsidRPr="008A6B29">
        <w:rPr>
          <w:b/>
          <w:bCs/>
          <w:lang w:val="fr-FR"/>
        </w:rPr>
        <w:t>par. </w:t>
      </w:r>
      <w:r w:rsidRPr="008A6B29">
        <w:rPr>
          <w:b/>
          <w:bCs/>
          <w:lang w:val="fr-FR"/>
        </w:rPr>
        <w:t>35 d)</w:t>
      </w:r>
      <w:r w:rsidR="00D81000" w:rsidRPr="008A6B29">
        <w:rPr>
          <w:b/>
          <w:bCs/>
          <w:lang w:val="fr-FR"/>
        </w:rPr>
        <w:t>]</w:t>
      </w:r>
      <w:r w:rsidRPr="008A6B29">
        <w:rPr>
          <w:b/>
          <w:bCs/>
          <w:lang w:val="fr-FR"/>
        </w:rPr>
        <w:t>.</w:t>
      </w:r>
    </w:p>
    <w:p w14:paraId="6A762C68" w14:textId="77777777" w:rsidR="00070EF8" w:rsidRDefault="00364BF3" w:rsidP="008A6B29">
      <w:pPr>
        <w:pStyle w:val="SingleTxt"/>
        <w:numPr>
          <w:ilvl w:val="0"/>
          <w:numId w:val="17"/>
        </w:numPr>
        <w:spacing w:line="240" w:lineRule="exact"/>
        <w:rPr>
          <w:lang w:val="fr-FR"/>
        </w:rPr>
      </w:pPr>
      <w:r w:rsidRPr="00190491">
        <w:rPr>
          <w:lang w:val="fr-FR"/>
        </w:rPr>
        <w:t>La présence des femmes dans les instances de prise de décisions reste faible comme l</w:t>
      </w:r>
      <w:r w:rsidR="000C16F5">
        <w:rPr>
          <w:lang w:val="fr-FR"/>
        </w:rPr>
        <w:t>’</w:t>
      </w:r>
      <w:r w:rsidRPr="00190491">
        <w:rPr>
          <w:lang w:val="fr-FR"/>
        </w:rPr>
        <w:t>indique le graphique qui suit.</w:t>
      </w:r>
    </w:p>
    <w:p w14:paraId="53D4F918" w14:textId="77777777" w:rsidR="00070EF8" w:rsidRPr="00070EF8" w:rsidRDefault="00070EF8" w:rsidP="00070EF8">
      <w:pPr>
        <w:pStyle w:val="SingleTxtG"/>
        <w:spacing w:after="0" w:line="120" w:lineRule="exact"/>
        <w:ind w:left="1267"/>
        <w:rPr>
          <w:sz w:val="10"/>
          <w:lang w:val="fr-FR"/>
        </w:rPr>
      </w:pPr>
    </w:p>
    <w:p w14:paraId="4578ED28" w14:textId="1E07CF3D" w:rsidR="00364BF3" w:rsidRDefault="00070EF8" w:rsidP="00070E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tab/>
      </w:r>
      <w:r>
        <w:tab/>
      </w:r>
      <w:r w:rsidR="00364BF3" w:rsidRPr="00070EF8">
        <w:rPr>
          <w:b w:val="0"/>
          <w:bCs/>
        </w:rPr>
        <w:t>Graphique 1</w:t>
      </w:r>
      <w:r w:rsidR="00364BF3" w:rsidRPr="00190491">
        <w:rPr>
          <w:lang w:val="fr-FR"/>
        </w:rPr>
        <w:t xml:space="preserve"> </w:t>
      </w:r>
      <w:r w:rsidR="00364BF3" w:rsidRPr="00190491">
        <w:rPr>
          <w:lang w:val="fr-FR"/>
        </w:rPr>
        <w:br/>
        <w:t>Représentation des femmes dans la vie publique et politique</w:t>
      </w:r>
    </w:p>
    <w:p w14:paraId="7047C5C6" w14:textId="63FED5EF" w:rsidR="00070EF8" w:rsidRPr="00070EF8" w:rsidRDefault="00070EF8" w:rsidP="00070EF8">
      <w:pPr>
        <w:pStyle w:val="SingleTxt"/>
        <w:spacing w:after="0" w:line="120" w:lineRule="exact"/>
        <w:rPr>
          <w:sz w:val="10"/>
          <w:lang w:val="fr-FR"/>
        </w:rPr>
      </w:pPr>
    </w:p>
    <w:p w14:paraId="066CDE77" w14:textId="43E5A74B" w:rsidR="00070EF8" w:rsidRPr="00070EF8" w:rsidRDefault="00070EF8" w:rsidP="00070EF8">
      <w:pPr>
        <w:pStyle w:val="SingleTxt"/>
        <w:spacing w:after="0" w:line="120" w:lineRule="exact"/>
        <w:rPr>
          <w:sz w:val="10"/>
          <w:lang w:val="fr-FR"/>
        </w:rPr>
      </w:pPr>
    </w:p>
    <w:p w14:paraId="3EC47B82" w14:textId="6B581D97" w:rsidR="0014162E" w:rsidRDefault="00070EF8" w:rsidP="00364BF3">
      <w:pPr>
        <w:pStyle w:val="SingleTxt"/>
        <w:rPr>
          <w:lang w:val="fr-FR"/>
        </w:rPr>
      </w:pPr>
      <w:r w:rsidRPr="00E05B68">
        <w:rPr>
          <w:noProof/>
          <w:lang w:val="fr-FR" w:eastAsia="en-GB"/>
        </w:rPr>
        <w:drawing>
          <wp:inline distT="0" distB="0" distL="0" distR="0" wp14:anchorId="69369E82" wp14:editId="1A109A85">
            <wp:extent cx="5479604" cy="2773937"/>
            <wp:effectExtent l="0" t="0" r="6985" b="7620"/>
            <wp:docPr id="7"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rotWithShape="1">
                    <a:blip r:embed="rId71" cstate="print"/>
                    <a:srcRect t="15831"/>
                    <a:stretch/>
                  </pic:blipFill>
                  <pic:spPr bwMode="auto">
                    <a:xfrm>
                      <a:off x="0" y="0"/>
                      <a:ext cx="5480462" cy="2774371"/>
                    </a:xfrm>
                    <a:prstGeom prst="rect">
                      <a:avLst/>
                    </a:prstGeom>
                    <a:noFill/>
                    <a:ln>
                      <a:noFill/>
                    </a:ln>
                    <a:extLst>
                      <a:ext uri="{53640926-AAD7-44D8-BBD7-CCE9431645EC}">
                        <a14:shadowObscured xmlns:a14="http://schemas.microsoft.com/office/drawing/2010/main"/>
                      </a:ext>
                    </a:extLst>
                  </pic:spPr>
                </pic:pic>
              </a:graphicData>
            </a:graphic>
          </wp:inline>
        </w:drawing>
      </w:r>
    </w:p>
    <w:p w14:paraId="2A8CB1F0" w14:textId="629CC6F4" w:rsidR="00364BF3" w:rsidRPr="00070EF8" w:rsidRDefault="00364BF3" w:rsidP="00070EF8">
      <w:pPr>
        <w:pStyle w:val="SingleTxt"/>
        <w:spacing w:after="0" w:line="120" w:lineRule="exact"/>
        <w:rPr>
          <w:sz w:val="10"/>
          <w:lang w:val="fr-FR"/>
        </w:rPr>
      </w:pPr>
    </w:p>
    <w:p w14:paraId="63D67A2A" w14:textId="392C41EF" w:rsidR="00364BF3" w:rsidRPr="00070EF8" w:rsidRDefault="00364BF3" w:rsidP="00070EF8">
      <w:pPr>
        <w:pStyle w:val="SingleTxt"/>
        <w:spacing w:after="0" w:line="120" w:lineRule="exact"/>
        <w:rPr>
          <w:sz w:val="10"/>
          <w:lang w:val="fr-FR"/>
        </w:rPr>
      </w:pPr>
    </w:p>
    <w:p w14:paraId="5B083AFF" w14:textId="0F7643ED" w:rsidR="00364BF3" w:rsidRDefault="00364BF3" w:rsidP="008A6B29">
      <w:pPr>
        <w:pStyle w:val="SingleTxt"/>
        <w:numPr>
          <w:ilvl w:val="0"/>
          <w:numId w:val="18"/>
        </w:numPr>
        <w:spacing w:line="240" w:lineRule="exact"/>
        <w:rPr>
          <w:lang w:val="fr-FR"/>
        </w:rPr>
      </w:pPr>
      <w:r w:rsidRPr="00190491">
        <w:rPr>
          <w:lang w:val="fr-FR"/>
        </w:rPr>
        <w:t>La situation des femmes en Côte d</w:t>
      </w:r>
      <w:r w:rsidR="000C16F5">
        <w:rPr>
          <w:lang w:val="fr-FR"/>
        </w:rPr>
        <w:t>’</w:t>
      </w:r>
      <w:r w:rsidRPr="00190491">
        <w:rPr>
          <w:lang w:val="fr-FR"/>
        </w:rPr>
        <w:t>Ivoire est marquée par sa sous-représentation aux postes de responsabilité dans l</w:t>
      </w:r>
      <w:r w:rsidR="000C16F5">
        <w:rPr>
          <w:lang w:val="fr-FR"/>
        </w:rPr>
        <w:t>’</w:t>
      </w:r>
      <w:r w:rsidRPr="00190491">
        <w:rPr>
          <w:lang w:val="fr-FR"/>
        </w:rPr>
        <w:t>administration publique et privée. Cette représentation actuelle des femmes n</w:t>
      </w:r>
      <w:r w:rsidR="000C16F5">
        <w:rPr>
          <w:lang w:val="fr-FR"/>
        </w:rPr>
        <w:t>’</w:t>
      </w:r>
      <w:r w:rsidRPr="00190491">
        <w:rPr>
          <w:lang w:val="fr-FR"/>
        </w:rPr>
        <w:t>atteint pas les 30</w:t>
      </w:r>
      <w:r w:rsidR="00B72ED0">
        <w:rPr>
          <w:lang w:val="fr-FR"/>
        </w:rPr>
        <w:t> </w:t>
      </w:r>
      <w:r w:rsidRPr="00190491">
        <w:rPr>
          <w:lang w:val="fr-FR"/>
        </w:rPr>
        <w:t>% pour la plupart postes de décision. Aux postes électifs, les femmes sont très minoritaires, 11,5</w:t>
      </w:r>
      <w:r w:rsidR="00B72ED0">
        <w:rPr>
          <w:lang w:val="fr-FR"/>
        </w:rPr>
        <w:t> </w:t>
      </w:r>
      <w:r w:rsidRPr="00190491">
        <w:rPr>
          <w:lang w:val="fr-FR"/>
        </w:rPr>
        <w:t>% aux dernières élections législatives.</w:t>
      </w:r>
    </w:p>
    <w:p w14:paraId="523FE429" w14:textId="0252F92E" w:rsidR="006257BC" w:rsidRPr="006257BC" w:rsidRDefault="006257BC" w:rsidP="006257BC">
      <w:pPr>
        <w:pStyle w:val="SingleTxtG"/>
        <w:spacing w:after="0" w:line="120" w:lineRule="exact"/>
        <w:ind w:left="1267"/>
        <w:rPr>
          <w:sz w:val="10"/>
          <w:lang w:val="fr-FR"/>
        </w:rPr>
      </w:pPr>
    </w:p>
    <w:p w14:paraId="65CC2745" w14:textId="5D4830BB" w:rsidR="00364BF3" w:rsidRDefault="00364BF3" w:rsidP="008A6B2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lastRenderedPageBreak/>
        <w:tab/>
      </w:r>
      <w:r w:rsidRPr="00190491">
        <w:rPr>
          <w:lang w:val="fr-FR"/>
        </w:rPr>
        <w:tab/>
      </w:r>
      <w:r w:rsidR="00C10A78" w:rsidRPr="00190491">
        <w:rPr>
          <w:lang w:val="fr-FR"/>
        </w:rPr>
        <w:t>Éducation</w:t>
      </w:r>
      <w:r w:rsidRPr="00190491">
        <w:rPr>
          <w:lang w:val="fr-FR"/>
        </w:rPr>
        <w:t xml:space="preserve"> </w:t>
      </w:r>
    </w:p>
    <w:p w14:paraId="70F16E90" w14:textId="5F91FE36" w:rsidR="006257BC" w:rsidRPr="006257BC" w:rsidRDefault="006257BC" w:rsidP="008A6B29">
      <w:pPr>
        <w:keepNext/>
        <w:spacing w:line="120" w:lineRule="exact"/>
        <w:rPr>
          <w:sz w:val="10"/>
          <w:lang w:val="fr-FR"/>
        </w:rPr>
      </w:pPr>
    </w:p>
    <w:p w14:paraId="640B6BB7" w14:textId="219732DF" w:rsidR="00364BF3" w:rsidRPr="006257BC" w:rsidRDefault="00364BF3" w:rsidP="008A6B29">
      <w:pPr>
        <w:pStyle w:val="SingleTxt"/>
        <w:keepNext/>
        <w:numPr>
          <w:ilvl w:val="0"/>
          <w:numId w:val="19"/>
        </w:numPr>
        <w:spacing w:line="240" w:lineRule="exact"/>
        <w:rPr>
          <w:b/>
          <w:bCs/>
          <w:lang w:val="fr-FR"/>
        </w:rPr>
      </w:pPr>
      <w:r w:rsidRPr="006257BC">
        <w:rPr>
          <w:b/>
          <w:bCs/>
          <w:lang w:val="fr-FR"/>
        </w:rPr>
        <w:t>Identifier et mettre en œuvre des mesures pour réduire et prévenir les abandons de scolarité parmi les filles, y compris la sensibilisation des parents, les communautés, les enseignants, les chefs coutumiers et des fonctionnaires sur l</w:t>
      </w:r>
      <w:r w:rsidR="000C16F5" w:rsidRPr="006257BC">
        <w:rPr>
          <w:b/>
          <w:bCs/>
          <w:lang w:val="fr-FR"/>
        </w:rPr>
        <w:t>’</w:t>
      </w:r>
      <w:r w:rsidRPr="006257BC">
        <w:rPr>
          <w:b/>
          <w:bCs/>
          <w:lang w:val="fr-FR"/>
        </w:rPr>
        <w:t>importance de l</w:t>
      </w:r>
      <w:r w:rsidR="000C16F5" w:rsidRPr="006257BC">
        <w:rPr>
          <w:b/>
          <w:bCs/>
          <w:lang w:val="fr-FR"/>
        </w:rPr>
        <w:t>’</w:t>
      </w:r>
      <w:r w:rsidRPr="006257BC">
        <w:rPr>
          <w:b/>
          <w:bCs/>
          <w:lang w:val="fr-FR"/>
        </w:rPr>
        <w:t xml:space="preserve">éducation des femmes et des filles </w:t>
      </w:r>
      <w:r w:rsidR="00D81000">
        <w:rPr>
          <w:b/>
          <w:bCs/>
          <w:lang w:val="fr-FR"/>
        </w:rPr>
        <w:t>[</w:t>
      </w:r>
      <w:r w:rsidRPr="006257BC">
        <w:rPr>
          <w:b/>
          <w:bCs/>
          <w:lang w:val="fr-FR"/>
        </w:rPr>
        <w:t xml:space="preserve">voir </w:t>
      </w:r>
      <w:hyperlink r:id="rId72" w:history="1">
        <w:r w:rsidRPr="007B345A">
          <w:rPr>
            <w:rStyle w:val="Hyperlink"/>
            <w:b/>
            <w:bCs/>
            <w:lang w:val="fr-FR"/>
          </w:rPr>
          <w:t>CEDAW/C/CIV/CO/1-3</w:t>
        </w:r>
      </w:hyperlink>
      <w:r w:rsidRPr="006257BC">
        <w:rPr>
          <w:b/>
          <w:bCs/>
          <w:lang w:val="fr-FR"/>
        </w:rPr>
        <w:t xml:space="preserve">, </w:t>
      </w:r>
      <w:r w:rsidR="006862B3">
        <w:rPr>
          <w:b/>
          <w:bCs/>
          <w:lang w:val="fr-FR"/>
        </w:rPr>
        <w:t>par. </w:t>
      </w:r>
      <w:r w:rsidRPr="006257BC">
        <w:rPr>
          <w:b/>
          <w:bCs/>
          <w:lang w:val="fr-FR"/>
        </w:rPr>
        <w:t>37 a)</w:t>
      </w:r>
      <w:r w:rsidR="00D81000">
        <w:rPr>
          <w:b/>
          <w:bCs/>
          <w:lang w:val="fr-FR"/>
        </w:rPr>
        <w:t>]</w:t>
      </w:r>
      <w:r w:rsidRPr="006257BC">
        <w:rPr>
          <w:b/>
          <w:bCs/>
          <w:lang w:val="fr-FR"/>
        </w:rPr>
        <w:t>.</w:t>
      </w:r>
    </w:p>
    <w:p w14:paraId="253029AB" w14:textId="78E9A536" w:rsidR="00364BF3" w:rsidRPr="00190491" w:rsidRDefault="00364BF3" w:rsidP="008A6B29">
      <w:pPr>
        <w:pStyle w:val="SingleTxt"/>
        <w:numPr>
          <w:ilvl w:val="0"/>
          <w:numId w:val="19"/>
        </w:numPr>
        <w:spacing w:line="240" w:lineRule="exact"/>
        <w:rPr>
          <w:lang w:val="fr-FR"/>
        </w:rPr>
      </w:pPr>
      <w:r w:rsidRPr="00190491">
        <w:rPr>
          <w:lang w:val="fr-FR"/>
        </w:rPr>
        <w:t>Le Plan Stratégique d</w:t>
      </w:r>
      <w:r w:rsidR="000C16F5">
        <w:rPr>
          <w:lang w:val="fr-FR"/>
        </w:rPr>
        <w:t>’</w:t>
      </w:r>
      <w:r w:rsidRPr="00190491">
        <w:rPr>
          <w:lang w:val="fr-FR"/>
        </w:rPr>
        <w:t>Accélération de l</w:t>
      </w:r>
      <w:r w:rsidR="000C16F5">
        <w:rPr>
          <w:lang w:val="fr-FR"/>
        </w:rPr>
        <w:t>’</w:t>
      </w:r>
      <w:r w:rsidR="00C10A78" w:rsidRPr="00190491">
        <w:rPr>
          <w:lang w:val="fr-FR"/>
        </w:rPr>
        <w:t>Éducation</w:t>
      </w:r>
      <w:r w:rsidRPr="00190491">
        <w:rPr>
          <w:lang w:val="fr-FR"/>
        </w:rPr>
        <w:t xml:space="preserve"> des Filles (PSAEF) 2016-2018, intitulé </w:t>
      </w:r>
      <w:r w:rsidR="00B72ED0">
        <w:rPr>
          <w:lang w:val="fr-FR"/>
        </w:rPr>
        <w:t>« </w:t>
      </w:r>
      <w:r w:rsidRPr="00190491">
        <w:rPr>
          <w:bCs/>
          <w:lang w:val="fr-FR"/>
        </w:rPr>
        <w:t>Le défi de l</w:t>
      </w:r>
      <w:r w:rsidR="000C16F5">
        <w:rPr>
          <w:bCs/>
          <w:lang w:val="fr-FR"/>
        </w:rPr>
        <w:t>’</w:t>
      </w:r>
      <w:r w:rsidRPr="00190491">
        <w:rPr>
          <w:bCs/>
          <w:lang w:val="fr-FR"/>
        </w:rPr>
        <w:t xml:space="preserve">école </w:t>
      </w:r>
      <w:r w:rsidRPr="0011615C">
        <w:rPr>
          <w:bCs/>
          <w:lang w:val="fr-FR"/>
        </w:rPr>
        <w:t>obligatoire</w:t>
      </w:r>
      <w:r w:rsidR="008945B3">
        <w:rPr>
          <w:bCs/>
          <w:lang w:val="fr-FR"/>
        </w:rPr>
        <w:t> :</w:t>
      </w:r>
      <w:r w:rsidRPr="00190491">
        <w:rPr>
          <w:bCs/>
          <w:lang w:val="fr-FR"/>
        </w:rPr>
        <w:t xml:space="preserve"> les filles au centre des préoccupations</w:t>
      </w:r>
      <w:r w:rsidR="00B72ED0">
        <w:rPr>
          <w:bCs/>
          <w:lang w:val="fr-FR"/>
        </w:rPr>
        <w:t> »</w:t>
      </w:r>
      <w:r w:rsidRPr="00190491">
        <w:rPr>
          <w:lang w:val="fr-FR"/>
        </w:rPr>
        <w:t xml:space="preserve"> viennent renforcer toutes les actions qui ont été menées depuis 2007 pour le maintien des filles à l</w:t>
      </w:r>
      <w:r w:rsidR="000C16F5">
        <w:rPr>
          <w:lang w:val="fr-FR"/>
        </w:rPr>
        <w:t>’</w:t>
      </w:r>
      <w:r w:rsidRPr="00190491">
        <w:rPr>
          <w:lang w:val="fr-FR"/>
        </w:rPr>
        <w:t xml:space="preserve">école. Six (6) lycées de jeunes filles ont été construits à Man, Bondoukou, Abobo, Odienné, San Pedro et Dimbokro dans le but de compléter ceux déjà opérationnels (2 à Bouaké, 1 à Yopougon, 1 à Bingerville, 1 à Man et 1 à Yamoussoukro). Précisons que les lycées en projet devront avoir chacun un internat. </w:t>
      </w:r>
    </w:p>
    <w:p w14:paraId="43BB44F6" w14:textId="2E4AE186" w:rsidR="00364BF3" w:rsidRPr="00190491" w:rsidRDefault="00364BF3" w:rsidP="008A6B29">
      <w:pPr>
        <w:pStyle w:val="SingleTxt"/>
        <w:numPr>
          <w:ilvl w:val="0"/>
          <w:numId w:val="19"/>
        </w:numPr>
        <w:spacing w:line="240" w:lineRule="exact"/>
        <w:rPr>
          <w:lang w:val="fr-FR"/>
        </w:rPr>
      </w:pPr>
      <w:r w:rsidRPr="00190491">
        <w:rPr>
          <w:lang w:val="fr-FR"/>
        </w:rPr>
        <w:t>Depuis l</w:t>
      </w:r>
      <w:r w:rsidR="000C16F5">
        <w:rPr>
          <w:lang w:val="fr-FR"/>
        </w:rPr>
        <w:t>’</w:t>
      </w:r>
      <w:r w:rsidRPr="00190491">
        <w:rPr>
          <w:lang w:val="fr-FR"/>
        </w:rPr>
        <w:t>initiative des Nations Unies pour l</w:t>
      </w:r>
      <w:r w:rsidR="000C16F5">
        <w:rPr>
          <w:lang w:val="fr-FR"/>
        </w:rPr>
        <w:t>’</w:t>
      </w:r>
      <w:r w:rsidR="00C10A78" w:rsidRPr="00190491">
        <w:rPr>
          <w:lang w:val="fr-FR"/>
        </w:rPr>
        <w:t>Éducation</w:t>
      </w:r>
      <w:r w:rsidRPr="00190491">
        <w:rPr>
          <w:lang w:val="fr-FR"/>
        </w:rPr>
        <w:t xml:space="preserve"> des Filles (UNGEI 2005), des actions de sensibilisation sont menées par le MENET en faveur de l</w:t>
      </w:r>
      <w:r w:rsidR="000C16F5">
        <w:rPr>
          <w:lang w:val="fr-FR"/>
        </w:rPr>
        <w:t>’</w:t>
      </w:r>
      <w:r w:rsidRPr="00190491">
        <w:rPr>
          <w:lang w:val="fr-FR"/>
        </w:rPr>
        <w:t>accès et du maintien des filles à l</w:t>
      </w:r>
      <w:r w:rsidR="000C16F5">
        <w:rPr>
          <w:lang w:val="fr-FR"/>
        </w:rPr>
        <w:t>’</w:t>
      </w:r>
      <w:r w:rsidRPr="00190491">
        <w:rPr>
          <w:lang w:val="fr-FR"/>
        </w:rPr>
        <w:t>école entre autres des comités de veille autour des écoles, l</w:t>
      </w:r>
      <w:r w:rsidR="000C16F5">
        <w:rPr>
          <w:lang w:val="fr-FR"/>
        </w:rPr>
        <w:t>’</w:t>
      </w:r>
      <w:r w:rsidRPr="00190491">
        <w:rPr>
          <w:lang w:val="fr-FR"/>
        </w:rPr>
        <w:t>intégration du genre dans les curricula sur la période 2009‐2012, le concept «</w:t>
      </w:r>
      <w:r w:rsidR="006257BC">
        <w:rPr>
          <w:lang w:val="fr-FR"/>
        </w:rPr>
        <w:t> </w:t>
      </w:r>
      <w:r w:rsidR="00C10A78" w:rsidRPr="00190491">
        <w:rPr>
          <w:lang w:val="fr-FR"/>
        </w:rPr>
        <w:t>École</w:t>
      </w:r>
      <w:r w:rsidRPr="00190491">
        <w:rPr>
          <w:lang w:val="fr-FR"/>
        </w:rPr>
        <w:t>, amie des enfants, amie des filles</w:t>
      </w:r>
      <w:r w:rsidR="006257BC">
        <w:rPr>
          <w:lang w:val="fr-FR"/>
        </w:rPr>
        <w:t> </w:t>
      </w:r>
      <w:r w:rsidRPr="00190491">
        <w:rPr>
          <w:lang w:val="fr-FR"/>
        </w:rPr>
        <w:t xml:space="preserve">». </w:t>
      </w:r>
    </w:p>
    <w:p w14:paraId="025161EB" w14:textId="2F8092AF" w:rsidR="00364BF3" w:rsidRDefault="00364BF3" w:rsidP="008A6B29">
      <w:pPr>
        <w:pStyle w:val="SingleTxt"/>
        <w:numPr>
          <w:ilvl w:val="0"/>
          <w:numId w:val="19"/>
        </w:numPr>
        <w:spacing w:line="240" w:lineRule="exact"/>
        <w:rPr>
          <w:lang w:val="fr-FR"/>
        </w:rPr>
      </w:pPr>
      <w:r w:rsidRPr="00190491">
        <w:rPr>
          <w:lang w:val="fr-FR"/>
        </w:rPr>
        <w:t>Le projet de mobilisation des collectivités déconcentrées et des femmes sur l</w:t>
      </w:r>
      <w:r w:rsidR="000C16F5">
        <w:rPr>
          <w:lang w:val="fr-FR"/>
        </w:rPr>
        <w:t>’</w:t>
      </w:r>
      <w:r w:rsidRPr="00190491">
        <w:rPr>
          <w:lang w:val="fr-FR"/>
        </w:rPr>
        <w:t>éducation des filles entamée en 2009 se poursuit. Des plans de promotion de l</w:t>
      </w:r>
      <w:r w:rsidR="000C16F5">
        <w:rPr>
          <w:lang w:val="fr-FR"/>
        </w:rPr>
        <w:t>’</w:t>
      </w:r>
      <w:r w:rsidRPr="00190491">
        <w:rPr>
          <w:lang w:val="fr-FR"/>
        </w:rPr>
        <w:t>éducation des filles ont été élaborés par vingt (20) collectivités. Des Clubs de Mères d</w:t>
      </w:r>
      <w:r w:rsidR="000C16F5">
        <w:rPr>
          <w:lang w:val="fr-FR"/>
        </w:rPr>
        <w:t>’</w:t>
      </w:r>
      <w:r w:rsidRPr="00190491">
        <w:rPr>
          <w:lang w:val="fr-FR"/>
        </w:rPr>
        <w:t>élèves filles (CMEF) ont été créés dans plus de 15 Directions régionales.</w:t>
      </w:r>
    </w:p>
    <w:p w14:paraId="72881C5D" w14:textId="270454C8" w:rsidR="006257BC" w:rsidRPr="006257BC" w:rsidRDefault="006257BC" w:rsidP="006257BC">
      <w:pPr>
        <w:pStyle w:val="SingleTxt"/>
        <w:tabs>
          <w:tab w:val="clear" w:pos="1742"/>
        </w:tabs>
        <w:spacing w:after="0" w:line="120" w:lineRule="exact"/>
        <w:rPr>
          <w:sz w:val="10"/>
          <w:lang w:val="fr-FR"/>
        </w:rPr>
      </w:pPr>
    </w:p>
    <w:p w14:paraId="072631F7" w14:textId="1C2CFAC4" w:rsidR="00364BF3" w:rsidRDefault="00364BF3" w:rsidP="00541C8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FB60CF">
        <w:rPr>
          <w:b w:val="0"/>
          <w:bCs/>
          <w:lang w:val="fr-FR"/>
        </w:rPr>
        <w:t>Tableau 6</w:t>
      </w:r>
      <w:r w:rsidRPr="00190491">
        <w:rPr>
          <w:lang w:val="fr-FR"/>
        </w:rPr>
        <w:t xml:space="preserve"> </w:t>
      </w:r>
      <w:r w:rsidRPr="00190491">
        <w:rPr>
          <w:lang w:val="fr-FR"/>
        </w:rPr>
        <w:br/>
      </w:r>
      <w:r w:rsidR="00541C88">
        <w:rPr>
          <w:lang w:val="fr-FR"/>
        </w:rPr>
        <w:tab/>
      </w:r>
      <w:r w:rsidRPr="00190491">
        <w:rPr>
          <w:lang w:val="fr-FR"/>
        </w:rPr>
        <w:t>Participation des filles et garçons rentrée 2015-2016</w:t>
      </w:r>
      <w:r w:rsidRPr="00300E48">
        <w:rPr>
          <w:rStyle w:val="FootnoteReference"/>
          <w:b w:val="0"/>
          <w:lang w:val="fr-FR"/>
        </w:rPr>
        <w:footnoteReference w:id="14"/>
      </w:r>
    </w:p>
    <w:p w14:paraId="729F1E88" w14:textId="7FC42AD6" w:rsidR="006257BC" w:rsidRPr="006257BC" w:rsidRDefault="006257BC" w:rsidP="006257BC">
      <w:pPr>
        <w:spacing w:line="120" w:lineRule="exact"/>
        <w:rPr>
          <w:sz w:val="10"/>
          <w:lang w:val="fr-FR"/>
        </w:rPr>
      </w:pPr>
    </w:p>
    <w:p w14:paraId="23AC402A" w14:textId="444FB36F" w:rsidR="006257BC" w:rsidRPr="006257BC" w:rsidRDefault="006257BC" w:rsidP="006257BC">
      <w:pPr>
        <w:spacing w:line="120" w:lineRule="exact"/>
        <w:rPr>
          <w:sz w:val="10"/>
          <w:lang w:val="fr-FR"/>
        </w:rPr>
      </w:pPr>
    </w:p>
    <w:tbl>
      <w:tblPr>
        <w:tblW w:w="9808" w:type="dxa"/>
        <w:tblLayout w:type="fixed"/>
        <w:tblCellMar>
          <w:left w:w="0" w:type="dxa"/>
          <w:right w:w="0" w:type="dxa"/>
        </w:tblCellMar>
        <w:tblLook w:val="0000" w:firstRow="0" w:lastRow="0" w:firstColumn="0" w:lastColumn="0" w:noHBand="0" w:noVBand="0"/>
      </w:tblPr>
      <w:tblGrid>
        <w:gridCol w:w="1584"/>
        <w:gridCol w:w="990"/>
        <w:gridCol w:w="1107"/>
        <w:gridCol w:w="54"/>
        <w:gridCol w:w="1584"/>
        <w:gridCol w:w="1584"/>
        <w:gridCol w:w="54"/>
        <w:gridCol w:w="1411"/>
        <w:gridCol w:w="1440"/>
      </w:tblGrid>
      <w:tr w:rsidR="00B41415" w:rsidRPr="00036FF9" w14:paraId="053ADCF2" w14:textId="77777777" w:rsidTr="00421ACA">
        <w:trPr>
          <w:tblHeader/>
        </w:trPr>
        <w:tc>
          <w:tcPr>
            <w:tcW w:w="1584" w:type="dxa"/>
            <w:vMerge w:val="restart"/>
            <w:tcBorders>
              <w:top w:val="single" w:sz="4" w:space="0" w:color="auto"/>
            </w:tcBorders>
            <w:shd w:val="clear" w:color="auto" w:fill="auto"/>
            <w:vAlign w:val="bottom"/>
          </w:tcPr>
          <w:p w14:paraId="747562DB" w14:textId="77777777" w:rsidR="00B41415" w:rsidRPr="00036FF9" w:rsidRDefault="00B41415" w:rsidP="00E7239B">
            <w:pPr>
              <w:tabs>
                <w:tab w:val="left" w:pos="288"/>
                <w:tab w:val="left" w:pos="576"/>
                <w:tab w:val="left" w:pos="864"/>
                <w:tab w:val="left" w:pos="1152"/>
              </w:tabs>
              <w:suppressAutoHyphens/>
              <w:spacing w:before="81" w:after="81" w:line="160" w:lineRule="exact"/>
              <w:ind w:right="40"/>
              <w:rPr>
                <w:i/>
                <w:sz w:val="14"/>
              </w:rPr>
            </w:pPr>
            <w:r w:rsidRPr="00190491">
              <w:rPr>
                <w:i/>
                <w:sz w:val="16"/>
                <w:lang w:val="fr-FR"/>
              </w:rPr>
              <w:t>Catégorie d</w:t>
            </w:r>
            <w:r>
              <w:rPr>
                <w:i/>
                <w:sz w:val="16"/>
                <w:lang w:val="fr-FR"/>
              </w:rPr>
              <w:t>’</w:t>
            </w:r>
            <w:r w:rsidRPr="00190491">
              <w:rPr>
                <w:i/>
                <w:sz w:val="16"/>
                <w:lang w:val="fr-FR"/>
              </w:rPr>
              <w:t>enseignement</w:t>
            </w:r>
          </w:p>
        </w:tc>
        <w:tc>
          <w:tcPr>
            <w:tcW w:w="990" w:type="dxa"/>
            <w:vMerge w:val="restart"/>
            <w:tcBorders>
              <w:top w:val="single" w:sz="4" w:space="0" w:color="auto"/>
            </w:tcBorders>
            <w:shd w:val="clear" w:color="auto" w:fill="auto"/>
            <w:vAlign w:val="bottom"/>
          </w:tcPr>
          <w:p w14:paraId="565E6817"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r w:rsidRPr="00190491">
              <w:rPr>
                <w:i/>
                <w:sz w:val="16"/>
                <w:lang w:val="fr-FR"/>
              </w:rPr>
              <w:t>Nombre d</w:t>
            </w:r>
            <w:r>
              <w:rPr>
                <w:i/>
                <w:sz w:val="16"/>
                <w:lang w:val="fr-FR"/>
              </w:rPr>
              <w:t>’</w:t>
            </w:r>
            <w:r w:rsidRPr="00190491">
              <w:rPr>
                <w:i/>
                <w:sz w:val="16"/>
                <w:lang w:val="fr-FR"/>
              </w:rPr>
              <w:t>écoles</w:t>
            </w:r>
          </w:p>
        </w:tc>
        <w:tc>
          <w:tcPr>
            <w:tcW w:w="1107" w:type="dxa"/>
            <w:vMerge w:val="restart"/>
            <w:tcBorders>
              <w:top w:val="single" w:sz="4" w:space="0" w:color="auto"/>
            </w:tcBorders>
            <w:shd w:val="clear" w:color="auto" w:fill="auto"/>
            <w:vAlign w:val="bottom"/>
          </w:tcPr>
          <w:p w14:paraId="7ECC0FFF" w14:textId="089FC164"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r w:rsidRPr="00190491">
              <w:rPr>
                <w:i/>
                <w:sz w:val="16"/>
                <w:lang w:val="fr-FR"/>
              </w:rPr>
              <w:t xml:space="preserve">Nombre </w:t>
            </w:r>
            <w:r>
              <w:rPr>
                <w:i/>
                <w:sz w:val="16"/>
                <w:lang w:val="fr-FR"/>
              </w:rPr>
              <w:br/>
            </w:r>
            <w:r w:rsidRPr="00190491">
              <w:rPr>
                <w:i/>
                <w:sz w:val="16"/>
                <w:lang w:val="fr-FR"/>
              </w:rPr>
              <w:t xml:space="preserve">de salles </w:t>
            </w:r>
            <w:r>
              <w:rPr>
                <w:i/>
                <w:sz w:val="16"/>
                <w:lang w:val="fr-FR"/>
              </w:rPr>
              <w:br/>
            </w:r>
            <w:r w:rsidRPr="00190491">
              <w:rPr>
                <w:i/>
                <w:sz w:val="16"/>
                <w:lang w:val="fr-FR"/>
              </w:rPr>
              <w:t>de clas</w:t>
            </w:r>
            <w:r w:rsidR="00C80619">
              <w:rPr>
                <w:i/>
                <w:sz w:val="16"/>
                <w:lang w:val="fr-FR"/>
              </w:rPr>
              <w:t>s</w:t>
            </w:r>
            <w:r w:rsidRPr="00190491">
              <w:rPr>
                <w:i/>
                <w:sz w:val="16"/>
                <w:lang w:val="fr-FR"/>
              </w:rPr>
              <w:t>e</w:t>
            </w:r>
          </w:p>
        </w:tc>
        <w:tc>
          <w:tcPr>
            <w:tcW w:w="54" w:type="dxa"/>
            <w:tcBorders>
              <w:top w:val="single" w:sz="4" w:space="0" w:color="auto"/>
            </w:tcBorders>
          </w:tcPr>
          <w:p w14:paraId="758E9B13" w14:textId="77777777" w:rsidR="00B41415" w:rsidRPr="00190491" w:rsidRDefault="00B41415" w:rsidP="00E7239B">
            <w:pPr>
              <w:tabs>
                <w:tab w:val="left" w:pos="288"/>
                <w:tab w:val="left" w:pos="576"/>
                <w:tab w:val="left" w:pos="864"/>
                <w:tab w:val="left" w:pos="1152"/>
              </w:tabs>
              <w:suppressAutoHyphens/>
              <w:spacing w:before="81" w:after="81" w:line="160" w:lineRule="exact"/>
              <w:ind w:left="144" w:right="43"/>
              <w:jc w:val="right"/>
              <w:rPr>
                <w:i/>
                <w:sz w:val="16"/>
                <w:lang w:val="fr-FR"/>
              </w:rPr>
            </w:pPr>
          </w:p>
        </w:tc>
        <w:tc>
          <w:tcPr>
            <w:tcW w:w="3168" w:type="dxa"/>
            <w:gridSpan w:val="2"/>
            <w:tcBorders>
              <w:top w:val="single" w:sz="4" w:space="0" w:color="auto"/>
              <w:bottom w:val="single" w:sz="4" w:space="0" w:color="auto"/>
            </w:tcBorders>
            <w:shd w:val="clear" w:color="auto" w:fill="auto"/>
            <w:vAlign w:val="bottom"/>
          </w:tcPr>
          <w:p w14:paraId="047AE50B" w14:textId="79F2E263"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center"/>
              <w:rPr>
                <w:i/>
                <w:sz w:val="14"/>
              </w:rPr>
            </w:pPr>
            <w:r w:rsidRPr="00190491">
              <w:rPr>
                <w:i/>
                <w:sz w:val="16"/>
                <w:lang w:val="fr-FR"/>
              </w:rPr>
              <w:t>Nombre d</w:t>
            </w:r>
            <w:r>
              <w:rPr>
                <w:i/>
                <w:sz w:val="16"/>
                <w:lang w:val="fr-FR"/>
              </w:rPr>
              <w:t>’</w:t>
            </w:r>
            <w:r w:rsidRPr="00190491">
              <w:rPr>
                <w:i/>
                <w:sz w:val="16"/>
                <w:lang w:val="fr-FR"/>
              </w:rPr>
              <w:t>élevés</w:t>
            </w:r>
          </w:p>
        </w:tc>
        <w:tc>
          <w:tcPr>
            <w:tcW w:w="54" w:type="dxa"/>
            <w:tcBorders>
              <w:top w:val="single" w:sz="4" w:space="0" w:color="auto"/>
            </w:tcBorders>
          </w:tcPr>
          <w:p w14:paraId="79B18094" w14:textId="77777777" w:rsidR="00B41415" w:rsidRPr="00190491" w:rsidRDefault="00B41415" w:rsidP="00E7239B">
            <w:pPr>
              <w:tabs>
                <w:tab w:val="left" w:pos="288"/>
                <w:tab w:val="left" w:pos="576"/>
                <w:tab w:val="left" w:pos="864"/>
                <w:tab w:val="left" w:pos="1152"/>
              </w:tabs>
              <w:suppressAutoHyphens/>
              <w:spacing w:before="81" w:after="81" w:line="160" w:lineRule="exact"/>
              <w:ind w:left="144" w:right="43"/>
              <w:jc w:val="center"/>
              <w:rPr>
                <w:i/>
                <w:sz w:val="16"/>
                <w:lang w:val="fr-FR"/>
              </w:rPr>
            </w:pPr>
          </w:p>
        </w:tc>
        <w:tc>
          <w:tcPr>
            <w:tcW w:w="2851" w:type="dxa"/>
            <w:gridSpan w:val="2"/>
            <w:tcBorders>
              <w:top w:val="single" w:sz="4" w:space="0" w:color="auto"/>
              <w:bottom w:val="single" w:sz="4" w:space="0" w:color="auto"/>
            </w:tcBorders>
            <w:shd w:val="clear" w:color="auto" w:fill="auto"/>
            <w:vAlign w:val="bottom"/>
          </w:tcPr>
          <w:p w14:paraId="466E0176" w14:textId="07564E53"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center"/>
              <w:rPr>
                <w:i/>
                <w:sz w:val="14"/>
              </w:rPr>
            </w:pPr>
            <w:r w:rsidRPr="00190491">
              <w:rPr>
                <w:i/>
                <w:sz w:val="16"/>
                <w:lang w:val="fr-FR"/>
              </w:rPr>
              <w:t>Nombre d</w:t>
            </w:r>
            <w:r>
              <w:rPr>
                <w:i/>
                <w:sz w:val="16"/>
                <w:lang w:val="fr-FR"/>
              </w:rPr>
              <w:t>’</w:t>
            </w:r>
            <w:r w:rsidRPr="00190491">
              <w:rPr>
                <w:i/>
                <w:sz w:val="16"/>
                <w:lang w:val="fr-FR"/>
              </w:rPr>
              <w:t>enseignants</w:t>
            </w:r>
          </w:p>
        </w:tc>
      </w:tr>
      <w:tr w:rsidR="00B41415" w:rsidRPr="00036FF9" w14:paraId="4437BF37" w14:textId="77777777" w:rsidTr="00421ACA">
        <w:trPr>
          <w:tblHeader/>
        </w:trPr>
        <w:tc>
          <w:tcPr>
            <w:tcW w:w="1584" w:type="dxa"/>
            <w:vMerge/>
            <w:tcBorders>
              <w:bottom w:val="single" w:sz="12" w:space="0" w:color="auto"/>
            </w:tcBorders>
            <w:shd w:val="clear" w:color="auto" w:fill="auto"/>
            <w:vAlign w:val="bottom"/>
          </w:tcPr>
          <w:p w14:paraId="3E3AD18F" w14:textId="77777777" w:rsidR="00B41415" w:rsidRPr="00036FF9" w:rsidRDefault="00B41415" w:rsidP="00E7239B">
            <w:pPr>
              <w:tabs>
                <w:tab w:val="left" w:pos="288"/>
                <w:tab w:val="left" w:pos="576"/>
                <w:tab w:val="left" w:pos="864"/>
                <w:tab w:val="left" w:pos="1152"/>
              </w:tabs>
              <w:suppressAutoHyphens/>
              <w:spacing w:before="81" w:after="81" w:line="160" w:lineRule="exact"/>
              <w:ind w:right="40"/>
              <w:rPr>
                <w:i/>
                <w:sz w:val="14"/>
              </w:rPr>
            </w:pPr>
          </w:p>
        </w:tc>
        <w:tc>
          <w:tcPr>
            <w:tcW w:w="990" w:type="dxa"/>
            <w:vMerge/>
            <w:tcBorders>
              <w:bottom w:val="single" w:sz="12" w:space="0" w:color="auto"/>
            </w:tcBorders>
            <w:shd w:val="clear" w:color="auto" w:fill="auto"/>
            <w:vAlign w:val="bottom"/>
          </w:tcPr>
          <w:p w14:paraId="718623C7"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p>
        </w:tc>
        <w:tc>
          <w:tcPr>
            <w:tcW w:w="1107" w:type="dxa"/>
            <w:vMerge/>
            <w:tcBorders>
              <w:bottom w:val="single" w:sz="12" w:space="0" w:color="auto"/>
            </w:tcBorders>
            <w:shd w:val="clear" w:color="auto" w:fill="auto"/>
            <w:vAlign w:val="bottom"/>
          </w:tcPr>
          <w:p w14:paraId="42177869"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p>
        </w:tc>
        <w:tc>
          <w:tcPr>
            <w:tcW w:w="54" w:type="dxa"/>
            <w:tcBorders>
              <w:bottom w:val="single" w:sz="12" w:space="0" w:color="auto"/>
            </w:tcBorders>
          </w:tcPr>
          <w:p w14:paraId="19733C5F" w14:textId="77777777" w:rsidR="00B41415" w:rsidRPr="00190491" w:rsidRDefault="00B41415" w:rsidP="00E7239B">
            <w:pPr>
              <w:tabs>
                <w:tab w:val="left" w:pos="288"/>
                <w:tab w:val="left" w:pos="576"/>
                <w:tab w:val="left" w:pos="864"/>
                <w:tab w:val="left" w:pos="1152"/>
              </w:tabs>
              <w:suppressAutoHyphens/>
              <w:spacing w:before="81" w:after="81" w:line="160" w:lineRule="exact"/>
              <w:ind w:left="144" w:right="43"/>
              <w:jc w:val="right"/>
              <w:rPr>
                <w:i/>
                <w:sz w:val="16"/>
                <w:lang w:val="fr-FR"/>
              </w:rPr>
            </w:pPr>
          </w:p>
        </w:tc>
        <w:tc>
          <w:tcPr>
            <w:tcW w:w="1584" w:type="dxa"/>
            <w:tcBorders>
              <w:top w:val="single" w:sz="4" w:space="0" w:color="auto"/>
              <w:bottom w:val="single" w:sz="12" w:space="0" w:color="auto"/>
            </w:tcBorders>
            <w:shd w:val="clear" w:color="auto" w:fill="auto"/>
            <w:vAlign w:val="bottom"/>
          </w:tcPr>
          <w:p w14:paraId="74DFD563"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r w:rsidRPr="00190491">
              <w:rPr>
                <w:i/>
                <w:sz w:val="16"/>
                <w:lang w:val="fr-FR"/>
              </w:rPr>
              <w:t>Fille</w:t>
            </w:r>
          </w:p>
        </w:tc>
        <w:tc>
          <w:tcPr>
            <w:tcW w:w="1584" w:type="dxa"/>
            <w:tcBorders>
              <w:top w:val="single" w:sz="4" w:space="0" w:color="auto"/>
              <w:bottom w:val="single" w:sz="12" w:space="0" w:color="auto"/>
            </w:tcBorders>
            <w:shd w:val="clear" w:color="auto" w:fill="auto"/>
            <w:vAlign w:val="bottom"/>
          </w:tcPr>
          <w:p w14:paraId="4A0A1EBE"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r w:rsidRPr="00190491">
              <w:rPr>
                <w:i/>
                <w:sz w:val="16"/>
                <w:lang w:val="fr-FR"/>
              </w:rPr>
              <w:t>Garçon</w:t>
            </w:r>
          </w:p>
        </w:tc>
        <w:tc>
          <w:tcPr>
            <w:tcW w:w="54" w:type="dxa"/>
            <w:tcBorders>
              <w:bottom w:val="single" w:sz="12" w:space="0" w:color="auto"/>
            </w:tcBorders>
          </w:tcPr>
          <w:p w14:paraId="014A2888" w14:textId="77777777" w:rsidR="00B41415" w:rsidRPr="00190491" w:rsidRDefault="00B41415" w:rsidP="00E7239B">
            <w:pPr>
              <w:tabs>
                <w:tab w:val="left" w:pos="288"/>
                <w:tab w:val="left" w:pos="576"/>
                <w:tab w:val="left" w:pos="864"/>
                <w:tab w:val="left" w:pos="1152"/>
              </w:tabs>
              <w:suppressAutoHyphens/>
              <w:spacing w:before="81" w:after="81" w:line="160" w:lineRule="exact"/>
              <w:ind w:left="144" w:right="43"/>
              <w:jc w:val="right"/>
              <w:rPr>
                <w:i/>
                <w:sz w:val="16"/>
                <w:lang w:val="fr-FR"/>
              </w:rPr>
            </w:pPr>
          </w:p>
        </w:tc>
        <w:tc>
          <w:tcPr>
            <w:tcW w:w="1411" w:type="dxa"/>
            <w:tcBorders>
              <w:top w:val="single" w:sz="4" w:space="0" w:color="auto"/>
              <w:bottom w:val="single" w:sz="12" w:space="0" w:color="auto"/>
            </w:tcBorders>
            <w:shd w:val="clear" w:color="auto" w:fill="auto"/>
            <w:vAlign w:val="bottom"/>
          </w:tcPr>
          <w:p w14:paraId="1501A427"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r w:rsidRPr="00190491">
              <w:rPr>
                <w:i/>
                <w:sz w:val="16"/>
                <w:lang w:val="fr-FR"/>
              </w:rPr>
              <w:t>Femme</w:t>
            </w:r>
          </w:p>
        </w:tc>
        <w:tc>
          <w:tcPr>
            <w:tcW w:w="1440" w:type="dxa"/>
            <w:tcBorders>
              <w:top w:val="single" w:sz="4" w:space="0" w:color="auto"/>
              <w:bottom w:val="single" w:sz="12" w:space="0" w:color="auto"/>
            </w:tcBorders>
            <w:shd w:val="clear" w:color="auto" w:fill="auto"/>
            <w:vAlign w:val="bottom"/>
          </w:tcPr>
          <w:p w14:paraId="7B032F3A" w14:textId="77777777" w:rsidR="00B41415" w:rsidRPr="00036FF9" w:rsidRDefault="00B41415" w:rsidP="00E7239B">
            <w:pPr>
              <w:tabs>
                <w:tab w:val="left" w:pos="288"/>
                <w:tab w:val="left" w:pos="576"/>
                <w:tab w:val="left" w:pos="864"/>
                <w:tab w:val="left" w:pos="1152"/>
              </w:tabs>
              <w:suppressAutoHyphens/>
              <w:spacing w:before="81" w:after="81" w:line="160" w:lineRule="exact"/>
              <w:ind w:left="144" w:right="43"/>
              <w:jc w:val="right"/>
              <w:rPr>
                <w:i/>
                <w:sz w:val="14"/>
              </w:rPr>
            </w:pPr>
            <w:r w:rsidRPr="00190491">
              <w:rPr>
                <w:i/>
                <w:sz w:val="16"/>
                <w:lang w:val="fr-FR"/>
              </w:rPr>
              <w:t>Homme</w:t>
            </w:r>
          </w:p>
        </w:tc>
      </w:tr>
      <w:tr w:rsidR="00B41415" w:rsidRPr="00036FF9" w14:paraId="5CE6033D" w14:textId="77777777" w:rsidTr="00421ACA">
        <w:trPr>
          <w:trHeight w:hRule="exact" w:val="115"/>
          <w:tblHeader/>
        </w:trPr>
        <w:tc>
          <w:tcPr>
            <w:tcW w:w="1584" w:type="dxa"/>
            <w:tcBorders>
              <w:top w:val="single" w:sz="12" w:space="0" w:color="auto"/>
            </w:tcBorders>
            <w:shd w:val="clear" w:color="auto" w:fill="auto"/>
            <w:vAlign w:val="bottom"/>
          </w:tcPr>
          <w:p w14:paraId="29AF7BDF" w14:textId="77777777" w:rsidR="00B41415" w:rsidRPr="00036FF9" w:rsidRDefault="00B41415" w:rsidP="00E7239B">
            <w:pPr>
              <w:tabs>
                <w:tab w:val="left" w:pos="288"/>
                <w:tab w:val="left" w:pos="576"/>
                <w:tab w:val="left" w:pos="864"/>
                <w:tab w:val="left" w:pos="1152"/>
              </w:tabs>
              <w:suppressAutoHyphens/>
              <w:spacing w:before="40" w:after="40" w:line="210" w:lineRule="exact"/>
              <w:ind w:right="40"/>
              <w:rPr>
                <w:sz w:val="17"/>
              </w:rPr>
            </w:pPr>
          </w:p>
        </w:tc>
        <w:tc>
          <w:tcPr>
            <w:tcW w:w="990" w:type="dxa"/>
            <w:tcBorders>
              <w:top w:val="single" w:sz="12" w:space="0" w:color="auto"/>
            </w:tcBorders>
            <w:shd w:val="clear" w:color="auto" w:fill="auto"/>
            <w:vAlign w:val="bottom"/>
          </w:tcPr>
          <w:p w14:paraId="4C2FDA26"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107" w:type="dxa"/>
            <w:tcBorders>
              <w:top w:val="single" w:sz="12" w:space="0" w:color="auto"/>
            </w:tcBorders>
            <w:shd w:val="clear" w:color="auto" w:fill="auto"/>
            <w:vAlign w:val="bottom"/>
          </w:tcPr>
          <w:p w14:paraId="62D0D039"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54" w:type="dxa"/>
            <w:tcBorders>
              <w:top w:val="single" w:sz="12" w:space="0" w:color="auto"/>
            </w:tcBorders>
          </w:tcPr>
          <w:p w14:paraId="7FD11489"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584" w:type="dxa"/>
            <w:tcBorders>
              <w:top w:val="single" w:sz="12" w:space="0" w:color="auto"/>
            </w:tcBorders>
            <w:shd w:val="clear" w:color="auto" w:fill="auto"/>
            <w:vAlign w:val="bottom"/>
          </w:tcPr>
          <w:p w14:paraId="130DD950"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584" w:type="dxa"/>
            <w:tcBorders>
              <w:top w:val="single" w:sz="12" w:space="0" w:color="auto"/>
            </w:tcBorders>
            <w:shd w:val="clear" w:color="auto" w:fill="auto"/>
            <w:vAlign w:val="bottom"/>
          </w:tcPr>
          <w:p w14:paraId="15568A30"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54" w:type="dxa"/>
            <w:tcBorders>
              <w:top w:val="single" w:sz="12" w:space="0" w:color="auto"/>
            </w:tcBorders>
          </w:tcPr>
          <w:p w14:paraId="340008CA"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411" w:type="dxa"/>
            <w:tcBorders>
              <w:top w:val="single" w:sz="12" w:space="0" w:color="auto"/>
            </w:tcBorders>
            <w:shd w:val="clear" w:color="auto" w:fill="auto"/>
            <w:vAlign w:val="bottom"/>
          </w:tcPr>
          <w:p w14:paraId="005DED73"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440" w:type="dxa"/>
            <w:tcBorders>
              <w:top w:val="single" w:sz="12" w:space="0" w:color="auto"/>
            </w:tcBorders>
            <w:shd w:val="clear" w:color="auto" w:fill="auto"/>
            <w:vAlign w:val="bottom"/>
          </w:tcPr>
          <w:p w14:paraId="2E6B13DE"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r>
      <w:tr w:rsidR="00B41415" w:rsidRPr="00036FF9" w14:paraId="71943603" w14:textId="77777777" w:rsidTr="00421ACA">
        <w:tc>
          <w:tcPr>
            <w:tcW w:w="1584" w:type="dxa"/>
            <w:shd w:val="clear" w:color="auto" w:fill="auto"/>
            <w:vAlign w:val="bottom"/>
          </w:tcPr>
          <w:p w14:paraId="7F173058" w14:textId="77777777" w:rsidR="00B41415" w:rsidRPr="00036FF9" w:rsidRDefault="00B41415" w:rsidP="00E7239B">
            <w:pPr>
              <w:tabs>
                <w:tab w:val="left" w:pos="288"/>
                <w:tab w:val="left" w:pos="576"/>
                <w:tab w:val="left" w:pos="864"/>
                <w:tab w:val="left" w:pos="1152"/>
              </w:tabs>
              <w:suppressAutoHyphens/>
              <w:spacing w:before="40" w:after="40" w:line="210" w:lineRule="exact"/>
              <w:ind w:right="40"/>
              <w:rPr>
                <w:sz w:val="17"/>
              </w:rPr>
            </w:pPr>
            <w:r w:rsidRPr="00190491">
              <w:rPr>
                <w:sz w:val="18"/>
                <w:lang w:val="fr-FR"/>
              </w:rPr>
              <w:t>Préscolaire</w:t>
            </w:r>
          </w:p>
        </w:tc>
        <w:tc>
          <w:tcPr>
            <w:tcW w:w="990" w:type="dxa"/>
            <w:shd w:val="clear" w:color="auto" w:fill="auto"/>
            <w:vAlign w:val="bottom"/>
          </w:tcPr>
          <w:p w14:paraId="37A6A378"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2 223</w:t>
            </w:r>
          </w:p>
        </w:tc>
        <w:tc>
          <w:tcPr>
            <w:tcW w:w="1107" w:type="dxa"/>
            <w:shd w:val="clear" w:color="auto" w:fill="auto"/>
            <w:vAlign w:val="bottom"/>
          </w:tcPr>
          <w:p w14:paraId="0EDA040B"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5 668</w:t>
            </w:r>
          </w:p>
        </w:tc>
        <w:tc>
          <w:tcPr>
            <w:tcW w:w="54" w:type="dxa"/>
          </w:tcPr>
          <w:p w14:paraId="5CD9DE7B"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584" w:type="dxa"/>
            <w:shd w:val="clear" w:color="auto" w:fill="auto"/>
            <w:vAlign w:val="bottom"/>
          </w:tcPr>
          <w:p w14:paraId="2D38EF46" w14:textId="78A25E74"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80 885 (50</w:t>
            </w:r>
            <w:r w:rsidR="00B72ED0">
              <w:rPr>
                <w:sz w:val="18"/>
                <w:lang w:val="fr-FR"/>
              </w:rPr>
              <w:t> </w:t>
            </w:r>
            <w:r w:rsidRPr="00190491">
              <w:rPr>
                <w:sz w:val="18"/>
                <w:lang w:val="fr-FR"/>
              </w:rPr>
              <w:t>%)</w:t>
            </w:r>
          </w:p>
        </w:tc>
        <w:tc>
          <w:tcPr>
            <w:tcW w:w="1584" w:type="dxa"/>
            <w:shd w:val="clear" w:color="auto" w:fill="auto"/>
            <w:vAlign w:val="bottom"/>
          </w:tcPr>
          <w:p w14:paraId="7C401B0E" w14:textId="4FB39B74"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80 811 (50</w:t>
            </w:r>
            <w:r w:rsidR="00B72ED0">
              <w:rPr>
                <w:sz w:val="18"/>
                <w:lang w:val="fr-FR"/>
              </w:rPr>
              <w:t> </w:t>
            </w:r>
            <w:r w:rsidRPr="00190491">
              <w:rPr>
                <w:sz w:val="18"/>
                <w:lang w:val="fr-FR"/>
              </w:rPr>
              <w:t>%)</w:t>
            </w:r>
          </w:p>
        </w:tc>
        <w:tc>
          <w:tcPr>
            <w:tcW w:w="54" w:type="dxa"/>
          </w:tcPr>
          <w:p w14:paraId="425AE4FE"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411" w:type="dxa"/>
            <w:shd w:val="clear" w:color="auto" w:fill="auto"/>
            <w:vAlign w:val="bottom"/>
          </w:tcPr>
          <w:p w14:paraId="340FB652" w14:textId="09B25B9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6 524 (93</w:t>
            </w:r>
            <w:r w:rsidR="00B72ED0">
              <w:rPr>
                <w:sz w:val="18"/>
                <w:lang w:val="fr-FR"/>
              </w:rPr>
              <w:t> </w:t>
            </w:r>
            <w:r w:rsidRPr="00190491">
              <w:rPr>
                <w:sz w:val="18"/>
                <w:lang w:val="fr-FR"/>
              </w:rPr>
              <w:t>%)</w:t>
            </w:r>
          </w:p>
        </w:tc>
        <w:tc>
          <w:tcPr>
            <w:tcW w:w="1440" w:type="dxa"/>
            <w:shd w:val="clear" w:color="auto" w:fill="auto"/>
            <w:vAlign w:val="bottom"/>
          </w:tcPr>
          <w:p w14:paraId="59D23DA8" w14:textId="3A6A1618"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521 (7</w:t>
            </w:r>
            <w:r w:rsidR="00B72ED0">
              <w:rPr>
                <w:sz w:val="18"/>
                <w:lang w:val="fr-FR"/>
              </w:rPr>
              <w:t> </w:t>
            </w:r>
            <w:r w:rsidRPr="00190491">
              <w:rPr>
                <w:sz w:val="18"/>
                <w:lang w:val="fr-FR"/>
              </w:rPr>
              <w:t>%)</w:t>
            </w:r>
          </w:p>
        </w:tc>
      </w:tr>
      <w:tr w:rsidR="00B41415" w:rsidRPr="00036FF9" w14:paraId="7FB61CCD" w14:textId="77777777" w:rsidTr="00421ACA">
        <w:tc>
          <w:tcPr>
            <w:tcW w:w="1584" w:type="dxa"/>
            <w:shd w:val="clear" w:color="auto" w:fill="auto"/>
            <w:vAlign w:val="bottom"/>
          </w:tcPr>
          <w:p w14:paraId="5DE90514" w14:textId="77777777" w:rsidR="00B41415" w:rsidRPr="00036FF9" w:rsidRDefault="00B41415" w:rsidP="00E7239B">
            <w:pPr>
              <w:tabs>
                <w:tab w:val="left" w:pos="288"/>
                <w:tab w:val="left" w:pos="576"/>
                <w:tab w:val="left" w:pos="864"/>
                <w:tab w:val="left" w:pos="1152"/>
              </w:tabs>
              <w:suppressAutoHyphens/>
              <w:spacing w:before="40" w:after="40" w:line="210" w:lineRule="exact"/>
              <w:ind w:right="40"/>
              <w:rPr>
                <w:sz w:val="17"/>
              </w:rPr>
            </w:pPr>
            <w:r w:rsidRPr="00190491">
              <w:rPr>
                <w:sz w:val="18"/>
                <w:lang w:val="fr-FR"/>
              </w:rPr>
              <w:t>Primaire</w:t>
            </w:r>
          </w:p>
        </w:tc>
        <w:tc>
          <w:tcPr>
            <w:tcW w:w="990" w:type="dxa"/>
            <w:shd w:val="clear" w:color="auto" w:fill="auto"/>
            <w:vAlign w:val="bottom"/>
          </w:tcPr>
          <w:p w14:paraId="4F74B0FF"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15 547</w:t>
            </w:r>
          </w:p>
        </w:tc>
        <w:tc>
          <w:tcPr>
            <w:tcW w:w="1107" w:type="dxa"/>
            <w:shd w:val="clear" w:color="auto" w:fill="auto"/>
            <w:vAlign w:val="bottom"/>
          </w:tcPr>
          <w:p w14:paraId="4AB71395"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84 730</w:t>
            </w:r>
          </w:p>
        </w:tc>
        <w:tc>
          <w:tcPr>
            <w:tcW w:w="54" w:type="dxa"/>
          </w:tcPr>
          <w:p w14:paraId="6C771903"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584" w:type="dxa"/>
            <w:shd w:val="clear" w:color="auto" w:fill="auto"/>
            <w:vAlign w:val="bottom"/>
          </w:tcPr>
          <w:p w14:paraId="300778C9" w14:textId="39AF0D31"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1 705 016 (47</w:t>
            </w:r>
            <w:r w:rsidR="00B72ED0">
              <w:rPr>
                <w:sz w:val="18"/>
                <w:lang w:val="fr-FR"/>
              </w:rPr>
              <w:t> </w:t>
            </w:r>
            <w:r w:rsidRPr="00190491">
              <w:rPr>
                <w:sz w:val="18"/>
                <w:lang w:val="fr-FR"/>
              </w:rPr>
              <w:t>%)</w:t>
            </w:r>
          </w:p>
        </w:tc>
        <w:tc>
          <w:tcPr>
            <w:tcW w:w="1584" w:type="dxa"/>
            <w:shd w:val="clear" w:color="auto" w:fill="auto"/>
            <w:vAlign w:val="bottom"/>
          </w:tcPr>
          <w:p w14:paraId="29B171B1" w14:textId="3C8DBAA8"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1 912 203 (53</w:t>
            </w:r>
            <w:r w:rsidR="00B72ED0">
              <w:rPr>
                <w:sz w:val="18"/>
                <w:lang w:val="fr-FR"/>
              </w:rPr>
              <w:t> </w:t>
            </w:r>
            <w:r w:rsidRPr="00190491">
              <w:rPr>
                <w:sz w:val="18"/>
                <w:lang w:val="fr-FR"/>
              </w:rPr>
              <w:t>%)</w:t>
            </w:r>
          </w:p>
        </w:tc>
        <w:tc>
          <w:tcPr>
            <w:tcW w:w="54" w:type="dxa"/>
          </w:tcPr>
          <w:p w14:paraId="17634F65"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411" w:type="dxa"/>
            <w:shd w:val="clear" w:color="auto" w:fill="auto"/>
            <w:vAlign w:val="bottom"/>
          </w:tcPr>
          <w:p w14:paraId="57E9A317" w14:textId="5500476E"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23 851 (28</w:t>
            </w:r>
            <w:r w:rsidR="00B72ED0">
              <w:rPr>
                <w:sz w:val="18"/>
                <w:lang w:val="fr-FR"/>
              </w:rPr>
              <w:t> </w:t>
            </w:r>
            <w:r w:rsidRPr="00190491">
              <w:rPr>
                <w:sz w:val="18"/>
                <w:lang w:val="fr-FR"/>
              </w:rPr>
              <w:t>%)</w:t>
            </w:r>
          </w:p>
        </w:tc>
        <w:tc>
          <w:tcPr>
            <w:tcW w:w="1440" w:type="dxa"/>
            <w:shd w:val="clear" w:color="auto" w:fill="auto"/>
            <w:vAlign w:val="bottom"/>
          </w:tcPr>
          <w:p w14:paraId="39229B8C" w14:textId="6ADCB21A"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61 258 (72</w:t>
            </w:r>
            <w:r w:rsidR="00B72ED0">
              <w:rPr>
                <w:sz w:val="16"/>
                <w:szCs w:val="20"/>
                <w:lang w:val="fr-FR"/>
              </w:rPr>
              <w:t> </w:t>
            </w:r>
            <w:r w:rsidRPr="00190491">
              <w:rPr>
                <w:sz w:val="18"/>
                <w:lang w:val="fr-FR"/>
              </w:rPr>
              <w:t>%)</w:t>
            </w:r>
          </w:p>
        </w:tc>
      </w:tr>
      <w:tr w:rsidR="00B41415" w:rsidRPr="00036FF9" w14:paraId="63C8A749" w14:textId="77777777" w:rsidTr="00421ACA">
        <w:tc>
          <w:tcPr>
            <w:tcW w:w="1584" w:type="dxa"/>
            <w:shd w:val="clear" w:color="auto" w:fill="auto"/>
            <w:vAlign w:val="bottom"/>
          </w:tcPr>
          <w:p w14:paraId="087BE79A" w14:textId="77777777" w:rsidR="00B41415" w:rsidRPr="00036FF9" w:rsidRDefault="00B41415" w:rsidP="00E7239B">
            <w:pPr>
              <w:tabs>
                <w:tab w:val="left" w:pos="288"/>
                <w:tab w:val="left" w:pos="576"/>
                <w:tab w:val="left" w:pos="864"/>
                <w:tab w:val="left" w:pos="1152"/>
              </w:tabs>
              <w:suppressAutoHyphens/>
              <w:spacing w:before="40" w:after="40" w:line="210" w:lineRule="exact"/>
              <w:ind w:right="40"/>
              <w:rPr>
                <w:sz w:val="17"/>
              </w:rPr>
            </w:pPr>
            <w:r w:rsidRPr="00190491">
              <w:rPr>
                <w:sz w:val="18"/>
                <w:lang w:val="fr-FR"/>
              </w:rPr>
              <w:t>Secondaire général</w:t>
            </w:r>
          </w:p>
        </w:tc>
        <w:tc>
          <w:tcPr>
            <w:tcW w:w="990" w:type="dxa"/>
            <w:shd w:val="clear" w:color="auto" w:fill="auto"/>
            <w:vAlign w:val="bottom"/>
          </w:tcPr>
          <w:p w14:paraId="1470ADA1"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 xml:space="preserve">1 479 </w:t>
            </w:r>
          </w:p>
        </w:tc>
        <w:tc>
          <w:tcPr>
            <w:tcW w:w="1107" w:type="dxa"/>
            <w:shd w:val="clear" w:color="auto" w:fill="auto"/>
            <w:vAlign w:val="bottom"/>
          </w:tcPr>
          <w:p w14:paraId="41C1B32F"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28 357</w:t>
            </w:r>
          </w:p>
        </w:tc>
        <w:tc>
          <w:tcPr>
            <w:tcW w:w="54" w:type="dxa"/>
          </w:tcPr>
          <w:p w14:paraId="3F03E6AB"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584" w:type="dxa"/>
            <w:shd w:val="clear" w:color="auto" w:fill="auto"/>
            <w:vAlign w:val="bottom"/>
          </w:tcPr>
          <w:p w14:paraId="13B50ABC" w14:textId="50ED96F2"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672 145 (41</w:t>
            </w:r>
            <w:r w:rsidR="00B72ED0">
              <w:rPr>
                <w:sz w:val="18"/>
                <w:lang w:val="fr-FR"/>
              </w:rPr>
              <w:t> </w:t>
            </w:r>
            <w:r w:rsidRPr="00190491">
              <w:rPr>
                <w:sz w:val="18"/>
                <w:lang w:val="fr-FR"/>
              </w:rPr>
              <w:t>%)</w:t>
            </w:r>
          </w:p>
        </w:tc>
        <w:tc>
          <w:tcPr>
            <w:tcW w:w="1584" w:type="dxa"/>
            <w:shd w:val="clear" w:color="auto" w:fill="auto"/>
            <w:vAlign w:val="bottom"/>
          </w:tcPr>
          <w:p w14:paraId="23699542" w14:textId="2FB60B6D"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949 729 (59</w:t>
            </w:r>
            <w:r w:rsidR="00B72ED0">
              <w:rPr>
                <w:sz w:val="18"/>
                <w:lang w:val="fr-FR"/>
              </w:rPr>
              <w:t> </w:t>
            </w:r>
            <w:r w:rsidRPr="00190491">
              <w:rPr>
                <w:sz w:val="18"/>
                <w:lang w:val="fr-FR"/>
              </w:rPr>
              <w:t>%)</w:t>
            </w:r>
          </w:p>
        </w:tc>
        <w:tc>
          <w:tcPr>
            <w:tcW w:w="54" w:type="dxa"/>
          </w:tcPr>
          <w:p w14:paraId="248FB8FB"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411" w:type="dxa"/>
            <w:shd w:val="clear" w:color="auto" w:fill="auto"/>
            <w:vAlign w:val="bottom"/>
          </w:tcPr>
          <w:p w14:paraId="38B82AE8" w14:textId="15AC3CFB"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7 645 (14</w:t>
            </w:r>
            <w:r w:rsidR="00B72ED0">
              <w:rPr>
                <w:sz w:val="18"/>
                <w:lang w:val="fr-FR"/>
              </w:rPr>
              <w:t> </w:t>
            </w:r>
            <w:r w:rsidRPr="00190491">
              <w:rPr>
                <w:sz w:val="18"/>
                <w:lang w:val="fr-FR"/>
              </w:rPr>
              <w:t>%)</w:t>
            </w:r>
          </w:p>
        </w:tc>
        <w:tc>
          <w:tcPr>
            <w:tcW w:w="1440" w:type="dxa"/>
            <w:shd w:val="clear" w:color="auto" w:fill="auto"/>
            <w:vAlign w:val="bottom"/>
          </w:tcPr>
          <w:p w14:paraId="0C52E931" w14:textId="455A8E72"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45 892 (86</w:t>
            </w:r>
            <w:r w:rsidR="00B72ED0">
              <w:rPr>
                <w:sz w:val="18"/>
                <w:lang w:val="fr-FR"/>
              </w:rPr>
              <w:t> </w:t>
            </w:r>
            <w:r w:rsidRPr="00190491">
              <w:rPr>
                <w:sz w:val="18"/>
                <w:lang w:val="fr-FR"/>
              </w:rPr>
              <w:t>%)</w:t>
            </w:r>
          </w:p>
        </w:tc>
      </w:tr>
      <w:tr w:rsidR="00B41415" w:rsidRPr="00036FF9" w14:paraId="545D445F" w14:textId="77777777" w:rsidTr="00421ACA">
        <w:tc>
          <w:tcPr>
            <w:tcW w:w="1584" w:type="dxa"/>
            <w:tcBorders>
              <w:bottom w:val="single" w:sz="12" w:space="0" w:color="auto"/>
            </w:tcBorders>
            <w:shd w:val="clear" w:color="auto" w:fill="auto"/>
            <w:vAlign w:val="bottom"/>
          </w:tcPr>
          <w:p w14:paraId="23C674FC" w14:textId="77777777" w:rsidR="00B41415" w:rsidRPr="00036FF9" w:rsidRDefault="00B41415" w:rsidP="00E7239B">
            <w:pPr>
              <w:tabs>
                <w:tab w:val="left" w:pos="288"/>
                <w:tab w:val="left" w:pos="576"/>
                <w:tab w:val="left" w:pos="864"/>
                <w:tab w:val="left" w:pos="1152"/>
              </w:tabs>
              <w:suppressAutoHyphens/>
              <w:spacing w:before="40" w:after="40" w:line="210" w:lineRule="exact"/>
              <w:ind w:right="40"/>
              <w:rPr>
                <w:sz w:val="17"/>
              </w:rPr>
            </w:pPr>
            <w:r w:rsidRPr="00190491">
              <w:rPr>
                <w:sz w:val="18"/>
                <w:lang w:val="fr-FR"/>
              </w:rPr>
              <w:t>Cafop</w:t>
            </w:r>
          </w:p>
        </w:tc>
        <w:tc>
          <w:tcPr>
            <w:tcW w:w="990" w:type="dxa"/>
            <w:tcBorders>
              <w:bottom w:val="single" w:sz="12" w:space="0" w:color="auto"/>
            </w:tcBorders>
            <w:shd w:val="clear" w:color="auto" w:fill="auto"/>
            <w:vAlign w:val="bottom"/>
          </w:tcPr>
          <w:p w14:paraId="0F82BCBE"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16</w:t>
            </w:r>
          </w:p>
        </w:tc>
        <w:tc>
          <w:tcPr>
            <w:tcW w:w="1107" w:type="dxa"/>
            <w:tcBorders>
              <w:bottom w:val="single" w:sz="12" w:space="0" w:color="auto"/>
            </w:tcBorders>
            <w:shd w:val="clear" w:color="auto" w:fill="auto"/>
            <w:vAlign w:val="bottom"/>
          </w:tcPr>
          <w:p w14:paraId="258F8CA8"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170</w:t>
            </w:r>
          </w:p>
        </w:tc>
        <w:tc>
          <w:tcPr>
            <w:tcW w:w="54" w:type="dxa"/>
            <w:tcBorders>
              <w:bottom w:val="single" w:sz="12" w:space="0" w:color="auto"/>
            </w:tcBorders>
          </w:tcPr>
          <w:p w14:paraId="0F13D563" w14:textId="77777777" w:rsidR="00B41415" w:rsidRPr="00190491" w:rsidRDefault="00B41415" w:rsidP="00E7239B">
            <w:pPr>
              <w:tabs>
                <w:tab w:val="left" w:pos="288"/>
                <w:tab w:val="left" w:pos="576"/>
                <w:tab w:val="left" w:pos="864"/>
                <w:tab w:val="left" w:pos="1152"/>
              </w:tabs>
              <w:suppressAutoHyphens/>
              <w:spacing w:before="40" w:after="40" w:line="210" w:lineRule="exact"/>
              <w:ind w:left="144" w:right="43"/>
              <w:jc w:val="right"/>
              <w:rPr>
                <w:sz w:val="18"/>
                <w:lang w:val="fr-FR"/>
              </w:rPr>
            </w:pPr>
          </w:p>
        </w:tc>
        <w:tc>
          <w:tcPr>
            <w:tcW w:w="1584" w:type="dxa"/>
            <w:tcBorders>
              <w:bottom w:val="single" w:sz="12" w:space="0" w:color="auto"/>
            </w:tcBorders>
            <w:shd w:val="clear" w:color="auto" w:fill="auto"/>
            <w:vAlign w:val="bottom"/>
          </w:tcPr>
          <w:p w14:paraId="06EDEDF7" w14:textId="190DCD81"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2 822 (48</w:t>
            </w:r>
            <w:r w:rsidR="00B72ED0">
              <w:rPr>
                <w:sz w:val="18"/>
                <w:lang w:val="fr-FR"/>
              </w:rPr>
              <w:t> </w:t>
            </w:r>
            <w:r w:rsidRPr="00190491">
              <w:rPr>
                <w:sz w:val="18"/>
                <w:lang w:val="fr-FR"/>
              </w:rPr>
              <w:t>%)</w:t>
            </w:r>
          </w:p>
        </w:tc>
        <w:tc>
          <w:tcPr>
            <w:tcW w:w="1584" w:type="dxa"/>
            <w:tcBorders>
              <w:bottom w:val="single" w:sz="12" w:space="0" w:color="auto"/>
            </w:tcBorders>
            <w:shd w:val="clear" w:color="auto" w:fill="auto"/>
            <w:vAlign w:val="bottom"/>
          </w:tcPr>
          <w:p w14:paraId="70CEDCA4" w14:textId="397CEAD6"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r w:rsidRPr="00190491">
              <w:rPr>
                <w:sz w:val="18"/>
                <w:lang w:val="fr-FR"/>
              </w:rPr>
              <w:t>3 064 (52</w:t>
            </w:r>
            <w:r w:rsidR="00B72ED0">
              <w:rPr>
                <w:sz w:val="18"/>
                <w:lang w:val="fr-FR"/>
              </w:rPr>
              <w:t> </w:t>
            </w:r>
            <w:r w:rsidRPr="00190491">
              <w:rPr>
                <w:sz w:val="18"/>
                <w:lang w:val="fr-FR"/>
              </w:rPr>
              <w:t>%)</w:t>
            </w:r>
          </w:p>
        </w:tc>
        <w:tc>
          <w:tcPr>
            <w:tcW w:w="54" w:type="dxa"/>
            <w:tcBorders>
              <w:bottom w:val="single" w:sz="12" w:space="0" w:color="auto"/>
            </w:tcBorders>
          </w:tcPr>
          <w:p w14:paraId="4AF37D75"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411" w:type="dxa"/>
            <w:tcBorders>
              <w:bottom w:val="single" w:sz="12" w:space="0" w:color="auto"/>
            </w:tcBorders>
            <w:shd w:val="clear" w:color="auto" w:fill="auto"/>
            <w:vAlign w:val="bottom"/>
          </w:tcPr>
          <w:p w14:paraId="7A20D155"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c>
          <w:tcPr>
            <w:tcW w:w="1440" w:type="dxa"/>
            <w:tcBorders>
              <w:bottom w:val="single" w:sz="12" w:space="0" w:color="auto"/>
            </w:tcBorders>
            <w:shd w:val="clear" w:color="auto" w:fill="auto"/>
            <w:vAlign w:val="bottom"/>
          </w:tcPr>
          <w:p w14:paraId="580BB64B" w14:textId="77777777" w:rsidR="00B41415" w:rsidRPr="00036FF9" w:rsidRDefault="00B41415" w:rsidP="00E7239B">
            <w:pPr>
              <w:tabs>
                <w:tab w:val="left" w:pos="288"/>
                <w:tab w:val="left" w:pos="576"/>
                <w:tab w:val="left" w:pos="864"/>
                <w:tab w:val="left" w:pos="1152"/>
              </w:tabs>
              <w:suppressAutoHyphens/>
              <w:spacing w:before="40" w:after="40" w:line="210" w:lineRule="exact"/>
              <w:ind w:left="144" w:right="43"/>
              <w:jc w:val="right"/>
              <w:rPr>
                <w:sz w:val="17"/>
              </w:rPr>
            </w:pPr>
          </w:p>
        </w:tc>
      </w:tr>
    </w:tbl>
    <w:p w14:paraId="749D80A4" w14:textId="11FAEC77" w:rsidR="00036FF9" w:rsidRPr="00FB60CF" w:rsidRDefault="00036FF9" w:rsidP="00FB60CF">
      <w:pPr>
        <w:spacing w:line="120" w:lineRule="exact"/>
        <w:rPr>
          <w:sz w:val="10"/>
        </w:rPr>
      </w:pPr>
    </w:p>
    <w:p w14:paraId="624E5BA2" w14:textId="77777777" w:rsidR="00FB60CF" w:rsidRPr="00FB60CF" w:rsidRDefault="00FB60CF" w:rsidP="00FB60CF">
      <w:pPr>
        <w:spacing w:line="120" w:lineRule="exact"/>
        <w:rPr>
          <w:sz w:val="10"/>
        </w:rPr>
      </w:pPr>
    </w:p>
    <w:p w14:paraId="51EA0066" w14:textId="407ED9ED" w:rsidR="00364BF3" w:rsidRPr="00190491" w:rsidRDefault="00364BF3" w:rsidP="008A6B29">
      <w:pPr>
        <w:pStyle w:val="SingleTxt"/>
        <w:numPr>
          <w:ilvl w:val="0"/>
          <w:numId w:val="20"/>
        </w:numPr>
        <w:spacing w:line="240" w:lineRule="exact"/>
        <w:rPr>
          <w:lang w:val="fr-FR"/>
        </w:rPr>
      </w:pPr>
      <w:r w:rsidRPr="00190491">
        <w:rPr>
          <w:lang w:val="fr-FR"/>
        </w:rPr>
        <w:t>Au niveau de la formation professionnelle, diverses mesures ont été prises</w:t>
      </w:r>
      <w:r w:rsidR="008945B3">
        <w:rPr>
          <w:lang w:val="fr-FR"/>
        </w:rPr>
        <w:t> :</w:t>
      </w:r>
      <w:r w:rsidRPr="00190491">
        <w:rPr>
          <w:lang w:val="fr-FR"/>
        </w:rPr>
        <w:t xml:space="preserve"> i)</w:t>
      </w:r>
      <w:r w:rsidR="003B090C">
        <w:rPr>
          <w:lang w:val="fr-FR"/>
        </w:rPr>
        <w:t> </w:t>
      </w:r>
      <w:r w:rsidRPr="00190491">
        <w:rPr>
          <w:lang w:val="fr-FR"/>
        </w:rPr>
        <w:t>un Service dédié au genre avec un budget, un personnel permanent a été créé en 2012</w:t>
      </w:r>
      <w:r w:rsidR="00DB4C05">
        <w:rPr>
          <w:lang w:val="fr-FR"/>
        </w:rPr>
        <w:t> ;</w:t>
      </w:r>
      <w:r w:rsidRPr="00190491">
        <w:rPr>
          <w:lang w:val="fr-FR"/>
        </w:rPr>
        <w:t xml:space="preserve"> ii) une conseillère technique chargée de la promotion du Genre nommée en 2016</w:t>
      </w:r>
      <w:r w:rsidR="00DB4C05">
        <w:rPr>
          <w:lang w:val="fr-FR"/>
        </w:rPr>
        <w:t> ;</w:t>
      </w:r>
      <w:r w:rsidRPr="00190491">
        <w:rPr>
          <w:lang w:val="fr-FR"/>
        </w:rPr>
        <w:t xml:space="preserve"> iii)</w:t>
      </w:r>
      <w:r w:rsidR="003B090C">
        <w:rPr>
          <w:lang w:val="fr-FR"/>
        </w:rPr>
        <w:t> </w:t>
      </w:r>
      <w:r w:rsidRPr="00190491">
        <w:rPr>
          <w:lang w:val="fr-FR"/>
        </w:rPr>
        <w:t>un document de Politique sectoriel Genre pour ce ministère en attente de validation depuis 2016</w:t>
      </w:r>
      <w:r w:rsidR="00DB4C05">
        <w:rPr>
          <w:lang w:val="fr-FR"/>
        </w:rPr>
        <w:t> ;</w:t>
      </w:r>
      <w:r w:rsidRPr="00190491">
        <w:rPr>
          <w:lang w:val="fr-FR"/>
        </w:rPr>
        <w:t xml:space="preserve"> iv) la Journée Promotionnelle du Genre (J.P.G.) institutionnalisée depuis 2015</w:t>
      </w:r>
      <w:r w:rsidR="00DB4C05">
        <w:rPr>
          <w:lang w:val="fr-FR"/>
        </w:rPr>
        <w:t> ;</w:t>
      </w:r>
      <w:r w:rsidRPr="00190491">
        <w:rPr>
          <w:lang w:val="fr-FR"/>
        </w:rPr>
        <w:t xml:space="preserve"> v) la bourse annelle d</w:t>
      </w:r>
      <w:r w:rsidR="000C16F5">
        <w:rPr>
          <w:lang w:val="fr-FR"/>
        </w:rPr>
        <w:t>’</w:t>
      </w:r>
      <w:r w:rsidRPr="00190491">
        <w:rPr>
          <w:lang w:val="fr-FR"/>
        </w:rPr>
        <w:t xml:space="preserve">étude pour les filles des filières industrielles revue </w:t>
      </w:r>
      <w:r w:rsidRPr="00190491">
        <w:rPr>
          <w:bCs/>
          <w:lang w:val="fr-FR"/>
        </w:rPr>
        <w:t>à</w:t>
      </w:r>
      <w:r w:rsidRPr="00190491">
        <w:rPr>
          <w:lang w:val="fr-FR"/>
        </w:rPr>
        <w:t xml:space="preserve"> la hausse de 36 000 FCFA </w:t>
      </w:r>
      <w:r w:rsidRPr="00190491">
        <w:rPr>
          <w:bCs/>
          <w:lang w:val="fr-FR"/>
        </w:rPr>
        <w:t>à</w:t>
      </w:r>
      <w:r w:rsidRPr="00190491">
        <w:rPr>
          <w:lang w:val="fr-FR"/>
        </w:rPr>
        <w:t xml:space="preserve"> 180 000 FCFA</w:t>
      </w:r>
      <w:r w:rsidR="00DB4C05">
        <w:rPr>
          <w:lang w:val="fr-FR"/>
        </w:rPr>
        <w:t> ;</w:t>
      </w:r>
      <w:r w:rsidRPr="00190491">
        <w:rPr>
          <w:lang w:val="fr-FR"/>
        </w:rPr>
        <w:t xml:space="preserve"> vi) existence d</w:t>
      </w:r>
      <w:r w:rsidR="000C16F5">
        <w:rPr>
          <w:lang w:val="fr-FR"/>
        </w:rPr>
        <w:t>’</w:t>
      </w:r>
      <w:r w:rsidRPr="00190491">
        <w:rPr>
          <w:lang w:val="fr-FR"/>
        </w:rPr>
        <w:t>un système de monitoring et un Centre d</w:t>
      </w:r>
      <w:r w:rsidR="000C16F5">
        <w:rPr>
          <w:lang w:val="fr-FR"/>
        </w:rPr>
        <w:t>’</w:t>
      </w:r>
      <w:r w:rsidRPr="00190491">
        <w:rPr>
          <w:lang w:val="fr-FR"/>
        </w:rPr>
        <w:t xml:space="preserve">écoute en direction pour les filières industrielles. </w:t>
      </w:r>
    </w:p>
    <w:p w14:paraId="191E24B2" w14:textId="5415AF9A" w:rsidR="00364BF3" w:rsidRPr="00190491" w:rsidRDefault="00364BF3" w:rsidP="008A6B29">
      <w:pPr>
        <w:pStyle w:val="SingleTxt"/>
        <w:numPr>
          <w:ilvl w:val="0"/>
          <w:numId w:val="20"/>
        </w:numPr>
        <w:spacing w:line="240" w:lineRule="exact"/>
        <w:rPr>
          <w:b/>
          <w:lang w:val="fr-FR"/>
        </w:rPr>
      </w:pPr>
      <w:r w:rsidRPr="00190491">
        <w:rPr>
          <w:b/>
          <w:lang w:val="fr-FR"/>
        </w:rPr>
        <w:t>Appliquer une politique de tolérance zéro à l</w:t>
      </w:r>
      <w:r w:rsidR="000C16F5">
        <w:rPr>
          <w:b/>
          <w:lang w:val="fr-FR"/>
        </w:rPr>
        <w:t>’</w:t>
      </w:r>
      <w:r w:rsidRPr="00190491">
        <w:rPr>
          <w:b/>
          <w:lang w:val="fr-FR"/>
        </w:rPr>
        <w:t>égard de l</w:t>
      </w:r>
      <w:r w:rsidR="000C16F5">
        <w:rPr>
          <w:b/>
          <w:lang w:val="fr-FR"/>
        </w:rPr>
        <w:t>’</w:t>
      </w:r>
      <w:r w:rsidRPr="00190491">
        <w:rPr>
          <w:b/>
          <w:lang w:val="fr-FR"/>
        </w:rPr>
        <w:t xml:space="preserve">abus sexuel et le harcèlement par les enseignants et les tuteurs et que les auteurs soient punis de façon appropriée </w:t>
      </w:r>
      <w:r w:rsidR="00D81000">
        <w:rPr>
          <w:b/>
          <w:lang w:val="fr-FR"/>
        </w:rPr>
        <w:t>[</w:t>
      </w:r>
      <w:r w:rsidRPr="00190491">
        <w:rPr>
          <w:b/>
          <w:lang w:val="fr-FR"/>
        </w:rPr>
        <w:t xml:space="preserve">voir </w:t>
      </w:r>
      <w:hyperlink r:id="rId73"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37 b)</w:t>
      </w:r>
      <w:r w:rsidR="00D81000">
        <w:rPr>
          <w:b/>
          <w:lang w:val="fr-FR"/>
        </w:rPr>
        <w:t>]</w:t>
      </w:r>
      <w:r w:rsidRPr="00190491">
        <w:rPr>
          <w:b/>
          <w:lang w:val="fr-FR"/>
        </w:rPr>
        <w:t>.</w:t>
      </w:r>
    </w:p>
    <w:p w14:paraId="347279C3" w14:textId="30C37CE0" w:rsidR="00364BF3" w:rsidRPr="00190491" w:rsidRDefault="00364BF3" w:rsidP="008A6B29">
      <w:pPr>
        <w:pStyle w:val="SingleTxt"/>
        <w:numPr>
          <w:ilvl w:val="0"/>
          <w:numId w:val="21"/>
        </w:numPr>
        <w:spacing w:line="240" w:lineRule="exact"/>
        <w:rPr>
          <w:lang w:val="fr-FR"/>
        </w:rPr>
      </w:pPr>
      <w:r w:rsidRPr="00190491">
        <w:rPr>
          <w:bCs/>
          <w:lang w:val="fr-FR"/>
        </w:rPr>
        <w:lastRenderedPageBreak/>
        <w:t>Le gouvernement ivoirien a inscrit dans la déontologie du métier de l</w:t>
      </w:r>
      <w:r w:rsidR="000C16F5">
        <w:rPr>
          <w:bCs/>
          <w:lang w:val="fr-FR"/>
        </w:rPr>
        <w:t>’</w:t>
      </w:r>
      <w:r w:rsidRPr="00190491">
        <w:rPr>
          <w:bCs/>
          <w:lang w:val="fr-FR"/>
        </w:rPr>
        <w:t>enseignant ces termes</w:t>
      </w:r>
      <w:r w:rsidRPr="00190491">
        <w:rPr>
          <w:b/>
          <w:bCs/>
          <w:i/>
          <w:lang w:val="fr-FR"/>
        </w:rPr>
        <w:t xml:space="preserve"> </w:t>
      </w:r>
      <w:r w:rsidRPr="00B675BB">
        <w:rPr>
          <w:iCs/>
          <w:lang w:val="fr-FR"/>
        </w:rPr>
        <w:t>«</w:t>
      </w:r>
      <w:r w:rsidRPr="00190491">
        <w:rPr>
          <w:b/>
          <w:bCs/>
          <w:i/>
          <w:lang w:val="fr-FR"/>
        </w:rPr>
        <w:t> </w:t>
      </w:r>
      <w:r w:rsidRPr="00B675BB">
        <w:rPr>
          <w:iCs/>
          <w:lang w:val="fr-FR"/>
        </w:rPr>
        <w:t>Car la déontologie interdit formellement tout rapport sexuel entre l</w:t>
      </w:r>
      <w:r w:rsidR="000C16F5" w:rsidRPr="00B675BB">
        <w:rPr>
          <w:iCs/>
          <w:lang w:val="fr-FR"/>
        </w:rPr>
        <w:t>’</w:t>
      </w:r>
      <w:r w:rsidRPr="00B675BB">
        <w:rPr>
          <w:iCs/>
          <w:lang w:val="fr-FR"/>
        </w:rPr>
        <w:t>enseignant et l</w:t>
      </w:r>
      <w:r w:rsidR="000C16F5" w:rsidRPr="00B675BB">
        <w:rPr>
          <w:iCs/>
          <w:lang w:val="fr-FR"/>
        </w:rPr>
        <w:t>’</w:t>
      </w:r>
      <w:r w:rsidRPr="00B675BB">
        <w:rPr>
          <w:iCs/>
          <w:lang w:val="fr-FR"/>
        </w:rPr>
        <w:t>élève</w:t>
      </w:r>
      <w:r w:rsidRPr="00190491">
        <w:rPr>
          <w:i/>
          <w:lang w:val="fr-FR"/>
        </w:rPr>
        <w:t> </w:t>
      </w:r>
      <w:r w:rsidRPr="00B675BB">
        <w:rPr>
          <w:iCs/>
          <w:lang w:val="fr-FR"/>
        </w:rPr>
        <w:t>»</w:t>
      </w:r>
      <w:r w:rsidRPr="00190491">
        <w:rPr>
          <w:lang w:val="fr-FR"/>
        </w:rPr>
        <w:t xml:space="preserve">. </w:t>
      </w:r>
    </w:p>
    <w:p w14:paraId="26B5F10D" w14:textId="77777777" w:rsidR="00364BF3" w:rsidRPr="00190491" w:rsidRDefault="00364BF3" w:rsidP="008A6B29">
      <w:pPr>
        <w:pStyle w:val="SingleTxt"/>
        <w:numPr>
          <w:ilvl w:val="0"/>
          <w:numId w:val="21"/>
        </w:numPr>
        <w:spacing w:line="240" w:lineRule="exact"/>
        <w:rPr>
          <w:lang w:val="fr-FR"/>
        </w:rPr>
      </w:pPr>
      <w:r w:rsidRPr="00190491">
        <w:rPr>
          <w:lang w:val="fr-FR"/>
        </w:rPr>
        <w:t xml:space="preserve">De nombreux enseignants ont été sanctionnés pour avoir commis des actes de viol, attentat à la pudeur sur des élèves mineures du primaire et du secondaire dans diverses localités. </w:t>
      </w:r>
    </w:p>
    <w:p w14:paraId="2CED56F1" w14:textId="5A991550" w:rsidR="00364BF3" w:rsidRPr="00190491" w:rsidRDefault="00364BF3" w:rsidP="008A6B29">
      <w:pPr>
        <w:pStyle w:val="SingleTxt"/>
        <w:numPr>
          <w:ilvl w:val="0"/>
          <w:numId w:val="21"/>
        </w:numPr>
        <w:spacing w:line="240" w:lineRule="exact"/>
        <w:rPr>
          <w:b/>
          <w:lang w:val="fr-FR"/>
        </w:rPr>
      </w:pPr>
      <w:r w:rsidRPr="00190491">
        <w:rPr>
          <w:b/>
          <w:lang w:val="fr-FR"/>
        </w:rPr>
        <w:t>Continuer à allouer des ressources suffisantes au secteur de l</w:t>
      </w:r>
      <w:r w:rsidR="000C16F5">
        <w:rPr>
          <w:b/>
          <w:lang w:val="fr-FR"/>
        </w:rPr>
        <w:t>’</w:t>
      </w:r>
      <w:r w:rsidRPr="00190491">
        <w:rPr>
          <w:b/>
          <w:lang w:val="fr-FR"/>
        </w:rPr>
        <w:t>éducation et veiller à ce qu</w:t>
      </w:r>
      <w:r w:rsidR="000C16F5">
        <w:rPr>
          <w:b/>
          <w:lang w:val="fr-FR"/>
        </w:rPr>
        <w:t>’</w:t>
      </w:r>
      <w:r w:rsidRPr="00190491">
        <w:rPr>
          <w:b/>
          <w:lang w:val="fr-FR"/>
        </w:rPr>
        <w:t>elles soient utilisées pour améliorer la qualité de la formation des enseignants et dispenser une formation sur les répercussions que les inégalités entre les sexes peuvent avoir sur la scolarisation et l</w:t>
      </w:r>
      <w:r w:rsidR="000C16F5">
        <w:rPr>
          <w:b/>
          <w:lang w:val="fr-FR"/>
        </w:rPr>
        <w:t>’</w:t>
      </w:r>
      <w:r w:rsidRPr="00190491">
        <w:rPr>
          <w:b/>
          <w:lang w:val="fr-FR"/>
        </w:rPr>
        <w:t xml:space="preserve">instruction des filles </w:t>
      </w:r>
      <w:r w:rsidR="00D81000">
        <w:rPr>
          <w:b/>
          <w:lang w:val="fr-FR"/>
        </w:rPr>
        <w:t>[</w:t>
      </w:r>
      <w:r w:rsidRPr="00190491">
        <w:rPr>
          <w:b/>
          <w:lang w:val="fr-FR"/>
        </w:rPr>
        <w:t xml:space="preserve">voir </w:t>
      </w:r>
      <w:hyperlink r:id="rId74"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37</w:t>
      </w:r>
      <w:r w:rsidR="00396E6B">
        <w:rPr>
          <w:b/>
          <w:lang w:val="fr-FR"/>
        </w:rPr>
        <w:t> </w:t>
      </w:r>
      <w:r w:rsidRPr="00190491">
        <w:rPr>
          <w:b/>
          <w:lang w:val="fr-FR"/>
        </w:rPr>
        <w:t>c)</w:t>
      </w:r>
      <w:r w:rsidR="00D81000">
        <w:rPr>
          <w:b/>
          <w:lang w:val="fr-FR"/>
        </w:rPr>
        <w:t>]</w:t>
      </w:r>
      <w:r w:rsidRPr="00190491">
        <w:rPr>
          <w:b/>
          <w:lang w:val="fr-FR"/>
        </w:rPr>
        <w:t>.</w:t>
      </w:r>
    </w:p>
    <w:p w14:paraId="282D1F83" w14:textId="3569D11B" w:rsidR="00364BF3" w:rsidRPr="00190491" w:rsidRDefault="00364BF3" w:rsidP="008A6B29">
      <w:pPr>
        <w:pStyle w:val="SingleTxt"/>
        <w:numPr>
          <w:ilvl w:val="0"/>
          <w:numId w:val="21"/>
        </w:numPr>
        <w:spacing w:line="240" w:lineRule="exact"/>
        <w:rPr>
          <w:lang w:val="fr-FR"/>
        </w:rPr>
      </w:pPr>
      <w:r w:rsidRPr="00190491">
        <w:rPr>
          <w:lang w:val="fr-FR"/>
        </w:rPr>
        <w:t>L</w:t>
      </w:r>
      <w:r w:rsidR="000C16F5">
        <w:rPr>
          <w:lang w:val="fr-FR"/>
        </w:rPr>
        <w:t>’</w:t>
      </w:r>
      <w:r w:rsidR="00C10A78" w:rsidRPr="00190491">
        <w:rPr>
          <w:lang w:val="fr-FR"/>
        </w:rPr>
        <w:t>État</w:t>
      </w:r>
      <w:r w:rsidRPr="00190491">
        <w:rPr>
          <w:lang w:val="fr-FR"/>
        </w:rPr>
        <w:t xml:space="preserve"> de Côte d</w:t>
      </w:r>
      <w:r w:rsidR="000C16F5">
        <w:rPr>
          <w:lang w:val="fr-FR"/>
        </w:rPr>
        <w:t>’</w:t>
      </w:r>
      <w:r w:rsidRPr="00190491">
        <w:rPr>
          <w:lang w:val="fr-FR"/>
        </w:rPr>
        <w:t>ivoire consacre plus de 22</w:t>
      </w:r>
      <w:r w:rsidR="00DB4C05">
        <w:rPr>
          <w:lang w:val="fr-FR"/>
        </w:rPr>
        <w:t> %</w:t>
      </w:r>
      <w:r w:rsidRPr="00190491">
        <w:rPr>
          <w:lang w:val="fr-FR"/>
        </w:rPr>
        <w:t xml:space="preserve"> du budget national au secteur éducation formation. Sur la période 2012‐2014, 31 milliards 450 millions de FCFA ont été mobilisés pour l</w:t>
      </w:r>
      <w:r w:rsidR="000C16F5">
        <w:rPr>
          <w:lang w:val="fr-FR"/>
        </w:rPr>
        <w:t>’</w:t>
      </w:r>
      <w:r w:rsidRPr="00190491">
        <w:rPr>
          <w:lang w:val="fr-FR"/>
        </w:rPr>
        <w:t>éducation de base, 3 milliards 486 millions de FCFA pour l</w:t>
      </w:r>
      <w:r w:rsidR="000C16F5">
        <w:rPr>
          <w:lang w:val="fr-FR"/>
        </w:rPr>
        <w:t>’</w:t>
      </w:r>
      <w:r w:rsidRPr="00190491">
        <w:rPr>
          <w:lang w:val="fr-FR"/>
        </w:rPr>
        <w:t>enseignement secondaire général, 1 milliard 235 millions de FCFA pour l</w:t>
      </w:r>
      <w:r w:rsidR="000C16F5">
        <w:rPr>
          <w:lang w:val="fr-FR"/>
        </w:rPr>
        <w:t>’</w:t>
      </w:r>
      <w:r w:rsidRPr="00190491">
        <w:rPr>
          <w:lang w:val="fr-FR"/>
        </w:rPr>
        <w:t xml:space="preserve">enseignement technique et la formation professionnelle. </w:t>
      </w:r>
    </w:p>
    <w:p w14:paraId="661EB4C3" w14:textId="4C45E4B9" w:rsidR="00364BF3" w:rsidRDefault="00364BF3" w:rsidP="008A6B29">
      <w:pPr>
        <w:pStyle w:val="SingleTxt"/>
        <w:numPr>
          <w:ilvl w:val="0"/>
          <w:numId w:val="21"/>
        </w:numPr>
        <w:spacing w:line="240" w:lineRule="exact"/>
        <w:rPr>
          <w:lang w:val="fr-FR"/>
        </w:rPr>
      </w:pPr>
      <w:r w:rsidRPr="00190491">
        <w:rPr>
          <w:lang w:val="fr-FR"/>
        </w:rPr>
        <w:t xml:space="preserve">Les crédits prévus pour le secteur </w:t>
      </w:r>
      <w:r w:rsidR="00C10A78" w:rsidRPr="00190491">
        <w:rPr>
          <w:bCs/>
          <w:lang w:val="fr-FR"/>
        </w:rPr>
        <w:t>Éducation</w:t>
      </w:r>
      <w:r w:rsidRPr="00190491">
        <w:rPr>
          <w:bCs/>
          <w:lang w:val="fr-FR"/>
        </w:rPr>
        <w:t>-Formation</w:t>
      </w:r>
      <w:r w:rsidRPr="00190491">
        <w:rPr>
          <w:lang w:val="fr-FR"/>
        </w:rPr>
        <w:t xml:space="preserve"> se chiffrent globalement à </w:t>
      </w:r>
      <w:r w:rsidRPr="00190491">
        <w:rPr>
          <w:bCs/>
          <w:lang w:val="fr-FR"/>
        </w:rPr>
        <w:t>1</w:t>
      </w:r>
      <w:r w:rsidR="006C2408">
        <w:rPr>
          <w:bCs/>
          <w:lang w:val="fr-FR"/>
        </w:rPr>
        <w:t> </w:t>
      </w:r>
      <w:r w:rsidRPr="00190491">
        <w:rPr>
          <w:bCs/>
          <w:lang w:val="fr-FR"/>
        </w:rPr>
        <w:t xml:space="preserve">190,9 milliards en 2016 </w:t>
      </w:r>
      <w:r w:rsidRPr="00190491">
        <w:rPr>
          <w:lang w:val="fr-FR"/>
        </w:rPr>
        <w:t>contre 954,8 milliards dans le budget de 2015. Ces crédits couvrent notamment les actions du projet école obligatoire, la construction de 3</w:t>
      </w:r>
      <w:r w:rsidR="006C2408">
        <w:rPr>
          <w:lang w:val="fr-FR"/>
        </w:rPr>
        <w:t> </w:t>
      </w:r>
      <w:r w:rsidRPr="00190491">
        <w:rPr>
          <w:lang w:val="fr-FR"/>
        </w:rPr>
        <w:t>000 classes du primaire, l</w:t>
      </w:r>
      <w:r w:rsidR="000C16F5">
        <w:rPr>
          <w:lang w:val="fr-FR"/>
        </w:rPr>
        <w:t>’</w:t>
      </w:r>
      <w:r w:rsidRPr="00190491">
        <w:rPr>
          <w:lang w:val="fr-FR"/>
        </w:rPr>
        <w:t>acquisition de manuels, de kits scolaires et de mallettes pédagogiques ainsi que la construction, l</w:t>
      </w:r>
      <w:r w:rsidR="000C16F5">
        <w:rPr>
          <w:lang w:val="fr-FR"/>
        </w:rPr>
        <w:t>’</w:t>
      </w:r>
      <w:r w:rsidRPr="00190491">
        <w:rPr>
          <w:lang w:val="fr-FR"/>
        </w:rPr>
        <w:t>équipement et la réhabilitation des infrastructures scolaires, le renforcement des moyens de fonctionnement des structures éducatives, les bourses et les subventions aux écoles privées et à la SOTRA pour le transport des élèves et étudiants.</w:t>
      </w:r>
    </w:p>
    <w:p w14:paraId="16D9BB49" w14:textId="63D4FEC6" w:rsidR="00D4284A" w:rsidRPr="00D4284A" w:rsidRDefault="00D4284A" w:rsidP="00D4284A">
      <w:pPr>
        <w:pStyle w:val="SingleTxtG"/>
        <w:widowControl w:val="0"/>
        <w:spacing w:after="0" w:line="120" w:lineRule="exact"/>
        <w:ind w:left="1267"/>
        <w:rPr>
          <w:sz w:val="10"/>
          <w:lang w:val="fr-FR"/>
        </w:rPr>
      </w:pPr>
    </w:p>
    <w:p w14:paraId="43098451" w14:textId="3FEE555A" w:rsidR="00364BF3" w:rsidRDefault="00364BF3" w:rsidP="00D428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0491">
        <w:rPr>
          <w:lang w:val="fr-FR"/>
        </w:rPr>
        <w:tab/>
      </w:r>
      <w:r w:rsidRPr="00190491">
        <w:rPr>
          <w:lang w:val="fr-FR"/>
        </w:rPr>
        <w:tab/>
      </w:r>
      <w:r w:rsidRPr="00D4284A">
        <w:rPr>
          <w:b w:val="0"/>
          <w:bCs/>
          <w:lang w:val="fr-FR"/>
        </w:rPr>
        <w:t>Tableau 7</w:t>
      </w:r>
      <w:r w:rsidRPr="00190491">
        <w:rPr>
          <w:lang w:val="fr-FR"/>
        </w:rPr>
        <w:t xml:space="preserve"> </w:t>
      </w:r>
      <w:r w:rsidRPr="00190491">
        <w:rPr>
          <w:lang w:val="fr-FR"/>
        </w:rPr>
        <w:br/>
      </w:r>
      <w:r w:rsidR="00C10A78" w:rsidRPr="00190491">
        <w:rPr>
          <w:lang w:val="fr-FR"/>
        </w:rPr>
        <w:t>Évolution</w:t>
      </w:r>
      <w:r w:rsidRPr="00190491">
        <w:rPr>
          <w:lang w:val="fr-FR"/>
        </w:rPr>
        <w:t xml:space="preserve"> des effectifs élèves et du nombre de salles de classe dans les différentes catégories de l</w:t>
      </w:r>
      <w:r w:rsidR="000C16F5">
        <w:rPr>
          <w:lang w:val="fr-FR"/>
        </w:rPr>
        <w:t>’</w:t>
      </w:r>
      <w:r w:rsidRPr="00190491">
        <w:rPr>
          <w:lang w:val="fr-FR"/>
        </w:rPr>
        <w:t>enseignement</w:t>
      </w:r>
      <w:r w:rsidRPr="00300E48">
        <w:rPr>
          <w:rStyle w:val="FootnoteReference"/>
          <w:b w:val="0"/>
          <w:lang w:val="fr-FR"/>
        </w:rPr>
        <w:footnoteReference w:id="15"/>
      </w:r>
    </w:p>
    <w:p w14:paraId="51DF63A4" w14:textId="3D56C968" w:rsidR="00615F36" w:rsidRPr="00C80619" w:rsidRDefault="00615F36" w:rsidP="00C80619">
      <w:pPr>
        <w:pStyle w:val="SingleTxt"/>
        <w:spacing w:after="0" w:line="120" w:lineRule="exact"/>
        <w:rPr>
          <w:sz w:val="10"/>
          <w:lang w:val="fr-FR"/>
        </w:rPr>
      </w:pPr>
    </w:p>
    <w:p w14:paraId="457971FF" w14:textId="60E77FC0" w:rsidR="00C80619" w:rsidRPr="00C80619" w:rsidRDefault="00C80619" w:rsidP="00C80619">
      <w:pPr>
        <w:pStyle w:val="SingleTxt"/>
        <w:spacing w:after="0" w:line="120" w:lineRule="exact"/>
        <w:rPr>
          <w:sz w:val="10"/>
          <w:lang w:val="fr-FR"/>
        </w:rPr>
      </w:pPr>
    </w:p>
    <w:tbl>
      <w:tblPr>
        <w:tblStyle w:val="TableGrid"/>
        <w:tblW w:w="7322"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350"/>
        <w:gridCol w:w="1080"/>
        <w:gridCol w:w="990"/>
        <w:gridCol w:w="990"/>
        <w:gridCol w:w="990"/>
        <w:gridCol w:w="932"/>
      </w:tblGrid>
      <w:tr w:rsidR="00615F36" w:rsidRPr="0033714E" w14:paraId="0C478877" w14:textId="77777777" w:rsidTr="000032B3">
        <w:trPr>
          <w:tblHeader/>
        </w:trPr>
        <w:tc>
          <w:tcPr>
            <w:tcW w:w="990" w:type="dxa"/>
            <w:tcBorders>
              <w:top w:val="single" w:sz="4" w:space="0" w:color="auto"/>
              <w:bottom w:val="single" w:sz="12" w:space="0" w:color="auto"/>
            </w:tcBorders>
            <w:shd w:val="clear" w:color="auto" w:fill="auto"/>
            <w:vAlign w:val="bottom"/>
          </w:tcPr>
          <w:p w14:paraId="3D623547" w14:textId="77777777" w:rsidR="00615F36" w:rsidRPr="0033714E" w:rsidRDefault="00615F36" w:rsidP="00E7239B">
            <w:pPr>
              <w:keepNext/>
              <w:keepLines/>
              <w:spacing w:before="81" w:after="81" w:line="160" w:lineRule="exact"/>
              <w:ind w:right="40"/>
              <w:rPr>
                <w:i/>
                <w:sz w:val="14"/>
                <w:lang w:val="fr-FR"/>
              </w:rPr>
            </w:pPr>
            <w:bookmarkStart w:id="3" w:name="_Hlk520288512"/>
            <w:r w:rsidRPr="0033714E">
              <w:rPr>
                <w:i/>
                <w:sz w:val="14"/>
                <w:lang w:val="fr-FR"/>
              </w:rPr>
              <w:t>Catégorie</w:t>
            </w:r>
          </w:p>
        </w:tc>
        <w:tc>
          <w:tcPr>
            <w:tcW w:w="1350" w:type="dxa"/>
            <w:tcBorders>
              <w:top w:val="single" w:sz="4" w:space="0" w:color="auto"/>
              <w:bottom w:val="single" w:sz="12" w:space="0" w:color="auto"/>
            </w:tcBorders>
            <w:shd w:val="clear" w:color="auto" w:fill="auto"/>
            <w:vAlign w:val="bottom"/>
          </w:tcPr>
          <w:p w14:paraId="7BA2CCA4" w14:textId="77777777" w:rsidR="00615F36" w:rsidRPr="0033714E" w:rsidRDefault="00615F36" w:rsidP="00E7239B">
            <w:pPr>
              <w:keepNext/>
              <w:keepLines/>
              <w:spacing w:before="81" w:after="81" w:line="160" w:lineRule="exact"/>
              <w:ind w:left="144" w:right="43"/>
              <w:jc w:val="right"/>
              <w:rPr>
                <w:i/>
                <w:sz w:val="14"/>
                <w:lang w:val="fr-FR"/>
              </w:rPr>
            </w:pPr>
            <w:r w:rsidRPr="0033714E">
              <w:rPr>
                <w:i/>
                <w:sz w:val="14"/>
                <w:lang w:val="fr-FR"/>
              </w:rPr>
              <w:t>Année scolaire</w:t>
            </w:r>
          </w:p>
        </w:tc>
        <w:tc>
          <w:tcPr>
            <w:tcW w:w="1080" w:type="dxa"/>
            <w:tcBorders>
              <w:top w:val="single" w:sz="4" w:space="0" w:color="auto"/>
              <w:bottom w:val="single" w:sz="12" w:space="0" w:color="auto"/>
            </w:tcBorders>
            <w:shd w:val="clear" w:color="auto" w:fill="auto"/>
            <w:vAlign w:val="bottom"/>
          </w:tcPr>
          <w:p w14:paraId="2F91A657" w14:textId="77777777" w:rsidR="00615F36" w:rsidRPr="0033714E" w:rsidRDefault="00615F36" w:rsidP="00E7239B">
            <w:pPr>
              <w:keepNext/>
              <w:keepLines/>
              <w:spacing w:before="81" w:after="81" w:line="160" w:lineRule="exact"/>
              <w:ind w:left="144" w:right="43"/>
              <w:jc w:val="right"/>
              <w:rPr>
                <w:i/>
                <w:sz w:val="14"/>
                <w:lang w:val="fr-FR"/>
              </w:rPr>
            </w:pPr>
            <w:r w:rsidRPr="0033714E">
              <w:rPr>
                <w:i/>
                <w:sz w:val="14"/>
                <w:lang w:val="fr-FR"/>
              </w:rPr>
              <w:t>2011-2012</w:t>
            </w:r>
          </w:p>
        </w:tc>
        <w:tc>
          <w:tcPr>
            <w:tcW w:w="990" w:type="dxa"/>
            <w:tcBorders>
              <w:top w:val="single" w:sz="4" w:space="0" w:color="auto"/>
              <w:bottom w:val="single" w:sz="12" w:space="0" w:color="auto"/>
            </w:tcBorders>
            <w:shd w:val="clear" w:color="auto" w:fill="auto"/>
            <w:vAlign w:val="bottom"/>
          </w:tcPr>
          <w:p w14:paraId="01A72DB4" w14:textId="77777777" w:rsidR="00615F36" w:rsidRPr="0033714E" w:rsidRDefault="00615F36" w:rsidP="00E7239B">
            <w:pPr>
              <w:keepNext/>
              <w:keepLines/>
              <w:spacing w:before="81" w:after="81" w:line="160" w:lineRule="exact"/>
              <w:ind w:left="144" w:right="43"/>
              <w:jc w:val="right"/>
              <w:rPr>
                <w:i/>
                <w:sz w:val="14"/>
                <w:lang w:val="fr-FR"/>
              </w:rPr>
            </w:pPr>
            <w:r w:rsidRPr="0033714E">
              <w:rPr>
                <w:i/>
                <w:sz w:val="14"/>
                <w:lang w:val="fr-FR"/>
              </w:rPr>
              <w:t>2012-2013</w:t>
            </w:r>
          </w:p>
        </w:tc>
        <w:tc>
          <w:tcPr>
            <w:tcW w:w="990" w:type="dxa"/>
            <w:tcBorders>
              <w:top w:val="single" w:sz="4" w:space="0" w:color="auto"/>
              <w:bottom w:val="single" w:sz="12" w:space="0" w:color="auto"/>
            </w:tcBorders>
            <w:shd w:val="clear" w:color="auto" w:fill="auto"/>
            <w:vAlign w:val="bottom"/>
          </w:tcPr>
          <w:p w14:paraId="0590FA8E" w14:textId="77777777" w:rsidR="00615F36" w:rsidRPr="0033714E" w:rsidRDefault="00615F36" w:rsidP="00E7239B">
            <w:pPr>
              <w:keepNext/>
              <w:keepLines/>
              <w:spacing w:before="81" w:after="81" w:line="160" w:lineRule="exact"/>
              <w:ind w:left="144" w:right="43"/>
              <w:jc w:val="right"/>
              <w:rPr>
                <w:i/>
                <w:sz w:val="14"/>
                <w:lang w:val="fr-FR"/>
              </w:rPr>
            </w:pPr>
            <w:r w:rsidRPr="0033714E">
              <w:rPr>
                <w:i/>
                <w:sz w:val="14"/>
                <w:lang w:val="fr-FR"/>
              </w:rPr>
              <w:t>2013-2014</w:t>
            </w:r>
          </w:p>
        </w:tc>
        <w:tc>
          <w:tcPr>
            <w:tcW w:w="990" w:type="dxa"/>
            <w:tcBorders>
              <w:top w:val="single" w:sz="4" w:space="0" w:color="auto"/>
              <w:bottom w:val="single" w:sz="12" w:space="0" w:color="auto"/>
            </w:tcBorders>
            <w:shd w:val="clear" w:color="auto" w:fill="auto"/>
            <w:vAlign w:val="bottom"/>
          </w:tcPr>
          <w:p w14:paraId="25E8DADA" w14:textId="77777777" w:rsidR="00615F36" w:rsidRPr="0033714E" w:rsidRDefault="00615F36" w:rsidP="00E7239B">
            <w:pPr>
              <w:keepNext/>
              <w:keepLines/>
              <w:spacing w:before="81" w:after="81" w:line="160" w:lineRule="exact"/>
              <w:ind w:left="144" w:right="43"/>
              <w:jc w:val="right"/>
              <w:rPr>
                <w:i/>
                <w:sz w:val="14"/>
                <w:lang w:val="fr-FR"/>
              </w:rPr>
            </w:pPr>
            <w:r w:rsidRPr="0033714E">
              <w:rPr>
                <w:i/>
                <w:sz w:val="14"/>
                <w:lang w:val="fr-FR"/>
              </w:rPr>
              <w:t>2014-2015</w:t>
            </w:r>
          </w:p>
        </w:tc>
        <w:tc>
          <w:tcPr>
            <w:tcW w:w="932" w:type="dxa"/>
            <w:tcBorders>
              <w:top w:val="single" w:sz="4" w:space="0" w:color="auto"/>
              <w:bottom w:val="single" w:sz="12" w:space="0" w:color="auto"/>
            </w:tcBorders>
            <w:shd w:val="clear" w:color="auto" w:fill="auto"/>
            <w:vAlign w:val="bottom"/>
          </w:tcPr>
          <w:p w14:paraId="7120A42F" w14:textId="77777777" w:rsidR="00615F36" w:rsidRPr="0033714E" w:rsidRDefault="00615F36" w:rsidP="00E7239B">
            <w:pPr>
              <w:keepNext/>
              <w:keepLines/>
              <w:spacing w:before="81" w:after="81" w:line="160" w:lineRule="exact"/>
              <w:ind w:left="144" w:right="43"/>
              <w:jc w:val="right"/>
              <w:rPr>
                <w:i/>
                <w:sz w:val="14"/>
                <w:lang w:val="fr-FR"/>
              </w:rPr>
            </w:pPr>
            <w:r w:rsidRPr="0033714E">
              <w:rPr>
                <w:i/>
                <w:sz w:val="14"/>
                <w:lang w:val="fr-FR"/>
              </w:rPr>
              <w:t>2015-2016</w:t>
            </w:r>
          </w:p>
        </w:tc>
      </w:tr>
      <w:tr w:rsidR="00306E53" w:rsidRPr="0033714E" w14:paraId="44410606" w14:textId="77777777" w:rsidTr="000032B3">
        <w:trPr>
          <w:trHeight w:hRule="exact" w:val="115"/>
          <w:tblHeader/>
        </w:trPr>
        <w:tc>
          <w:tcPr>
            <w:tcW w:w="990" w:type="dxa"/>
            <w:tcBorders>
              <w:top w:val="single" w:sz="12" w:space="0" w:color="auto"/>
            </w:tcBorders>
            <w:shd w:val="clear" w:color="auto" w:fill="auto"/>
            <w:vAlign w:val="bottom"/>
          </w:tcPr>
          <w:p w14:paraId="2F4AEFF5" w14:textId="77777777" w:rsidR="00615F36" w:rsidRPr="0033714E" w:rsidRDefault="00615F36" w:rsidP="00E7239B">
            <w:pPr>
              <w:keepNext/>
              <w:keepLines/>
              <w:spacing w:before="40" w:after="40" w:line="210" w:lineRule="exact"/>
              <w:ind w:right="40"/>
              <w:rPr>
                <w:sz w:val="17"/>
                <w:lang w:val="fr-FR"/>
              </w:rPr>
            </w:pPr>
          </w:p>
        </w:tc>
        <w:tc>
          <w:tcPr>
            <w:tcW w:w="1350" w:type="dxa"/>
            <w:tcBorders>
              <w:top w:val="single" w:sz="12" w:space="0" w:color="auto"/>
            </w:tcBorders>
            <w:shd w:val="clear" w:color="auto" w:fill="auto"/>
            <w:vAlign w:val="bottom"/>
          </w:tcPr>
          <w:p w14:paraId="68E462B8" w14:textId="77777777" w:rsidR="00615F36" w:rsidRPr="0033714E" w:rsidRDefault="00615F36" w:rsidP="00E7239B">
            <w:pPr>
              <w:keepNext/>
              <w:keepLines/>
              <w:spacing w:before="40" w:after="40" w:line="210" w:lineRule="exact"/>
              <w:ind w:left="144" w:right="43"/>
              <w:jc w:val="right"/>
              <w:rPr>
                <w:sz w:val="17"/>
                <w:lang w:val="fr-FR"/>
              </w:rPr>
            </w:pPr>
          </w:p>
        </w:tc>
        <w:tc>
          <w:tcPr>
            <w:tcW w:w="1080" w:type="dxa"/>
            <w:tcBorders>
              <w:top w:val="single" w:sz="12" w:space="0" w:color="auto"/>
            </w:tcBorders>
            <w:shd w:val="clear" w:color="auto" w:fill="auto"/>
            <w:vAlign w:val="bottom"/>
          </w:tcPr>
          <w:p w14:paraId="1CAC0915" w14:textId="77777777" w:rsidR="00615F36" w:rsidRPr="0033714E" w:rsidRDefault="00615F36" w:rsidP="00E7239B">
            <w:pPr>
              <w:keepNext/>
              <w:keepLines/>
              <w:spacing w:before="40" w:after="40" w:line="210" w:lineRule="exact"/>
              <w:ind w:left="144" w:right="43"/>
              <w:jc w:val="right"/>
              <w:rPr>
                <w:sz w:val="17"/>
                <w:lang w:val="fr-FR"/>
              </w:rPr>
            </w:pPr>
          </w:p>
        </w:tc>
        <w:tc>
          <w:tcPr>
            <w:tcW w:w="990" w:type="dxa"/>
            <w:tcBorders>
              <w:top w:val="single" w:sz="12" w:space="0" w:color="auto"/>
            </w:tcBorders>
            <w:shd w:val="clear" w:color="auto" w:fill="auto"/>
            <w:vAlign w:val="bottom"/>
          </w:tcPr>
          <w:p w14:paraId="0EE5351C" w14:textId="77777777" w:rsidR="00615F36" w:rsidRPr="0033714E" w:rsidRDefault="00615F36" w:rsidP="00E7239B">
            <w:pPr>
              <w:keepNext/>
              <w:keepLines/>
              <w:spacing w:before="40" w:after="40" w:line="210" w:lineRule="exact"/>
              <w:ind w:left="144" w:right="43"/>
              <w:jc w:val="right"/>
              <w:rPr>
                <w:sz w:val="17"/>
                <w:lang w:val="fr-FR"/>
              </w:rPr>
            </w:pPr>
          </w:p>
        </w:tc>
        <w:tc>
          <w:tcPr>
            <w:tcW w:w="990" w:type="dxa"/>
            <w:tcBorders>
              <w:top w:val="single" w:sz="12" w:space="0" w:color="auto"/>
            </w:tcBorders>
            <w:shd w:val="clear" w:color="auto" w:fill="auto"/>
            <w:vAlign w:val="bottom"/>
          </w:tcPr>
          <w:p w14:paraId="0A333BC8" w14:textId="77777777" w:rsidR="00615F36" w:rsidRPr="0033714E" w:rsidRDefault="00615F36" w:rsidP="00E7239B">
            <w:pPr>
              <w:keepNext/>
              <w:keepLines/>
              <w:spacing w:before="40" w:after="40" w:line="210" w:lineRule="exact"/>
              <w:ind w:left="144" w:right="43"/>
              <w:jc w:val="right"/>
              <w:rPr>
                <w:sz w:val="17"/>
                <w:lang w:val="fr-FR"/>
              </w:rPr>
            </w:pPr>
          </w:p>
        </w:tc>
        <w:tc>
          <w:tcPr>
            <w:tcW w:w="990" w:type="dxa"/>
            <w:tcBorders>
              <w:top w:val="single" w:sz="12" w:space="0" w:color="auto"/>
            </w:tcBorders>
            <w:shd w:val="clear" w:color="auto" w:fill="auto"/>
            <w:vAlign w:val="bottom"/>
          </w:tcPr>
          <w:p w14:paraId="6A891B81" w14:textId="77777777" w:rsidR="00615F36" w:rsidRPr="0033714E" w:rsidRDefault="00615F36" w:rsidP="00E7239B">
            <w:pPr>
              <w:keepNext/>
              <w:keepLines/>
              <w:spacing w:before="40" w:after="40" w:line="210" w:lineRule="exact"/>
              <w:ind w:left="144" w:right="43"/>
              <w:jc w:val="right"/>
              <w:rPr>
                <w:sz w:val="17"/>
                <w:lang w:val="fr-FR"/>
              </w:rPr>
            </w:pPr>
          </w:p>
        </w:tc>
        <w:tc>
          <w:tcPr>
            <w:tcW w:w="932" w:type="dxa"/>
            <w:tcBorders>
              <w:top w:val="single" w:sz="12" w:space="0" w:color="auto"/>
            </w:tcBorders>
            <w:shd w:val="clear" w:color="auto" w:fill="auto"/>
            <w:vAlign w:val="bottom"/>
          </w:tcPr>
          <w:p w14:paraId="28F11861" w14:textId="77777777" w:rsidR="00615F36" w:rsidRPr="0033714E" w:rsidRDefault="00615F36" w:rsidP="00E7239B">
            <w:pPr>
              <w:keepNext/>
              <w:keepLines/>
              <w:spacing w:before="40" w:after="40" w:line="210" w:lineRule="exact"/>
              <w:ind w:left="144" w:right="43"/>
              <w:jc w:val="right"/>
              <w:rPr>
                <w:sz w:val="17"/>
                <w:lang w:val="fr-FR"/>
              </w:rPr>
            </w:pPr>
          </w:p>
        </w:tc>
      </w:tr>
      <w:tr w:rsidR="00615F36" w:rsidRPr="0033714E" w14:paraId="61D16ED0" w14:textId="77777777" w:rsidTr="000032B3">
        <w:tc>
          <w:tcPr>
            <w:tcW w:w="990" w:type="dxa"/>
            <w:vMerge w:val="restart"/>
            <w:shd w:val="clear" w:color="auto" w:fill="auto"/>
          </w:tcPr>
          <w:p w14:paraId="0D90E448" w14:textId="77777777" w:rsidR="00615F36" w:rsidRPr="0033714E" w:rsidRDefault="00615F36" w:rsidP="00615F36">
            <w:pPr>
              <w:keepNext/>
              <w:keepLines/>
              <w:tabs>
                <w:tab w:val="left" w:pos="288"/>
                <w:tab w:val="left" w:pos="576"/>
                <w:tab w:val="left" w:pos="864"/>
                <w:tab w:val="left" w:pos="1152"/>
              </w:tabs>
              <w:spacing w:before="40" w:after="40" w:line="210" w:lineRule="exact"/>
              <w:ind w:right="40"/>
              <w:rPr>
                <w:sz w:val="17"/>
                <w:lang w:val="fr-FR"/>
              </w:rPr>
            </w:pPr>
            <w:r w:rsidRPr="0033714E">
              <w:rPr>
                <w:sz w:val="17"/>
                <w:lang w:val="fr-FR"/>
              </w:rPr>
              <w:t>Préscolaire</w:t>
            </w:r>
          </w:p>
        </w:tc>
        <w:tc>
          <w:tcPr>
            <w:tcW w:w="1350" w:type="dxa"/>
            <w:shd w:val="clear" w:color="auto" w:fill="auto"/>
            <w:vAlign w:val="bottom"/>
          </w:tcPr>
          <w:p w14:paraId="0A92584E" w14:textId="77777777" w:rsidR="00615F36" w:rsidRPr="0033714E" w:rsidRDefault="00615F36" w:rsidP="00E7239B">
            <w:pPr>
              <w:keepNext/>
              <w:keepLines/>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Salle de classe</w:t>
            </w:r>
          </w:p>
        </w:tc>
        <w:tc>
          <w:tcPr>
            <w:tcW w:w="1080" w:type="dxa"/>
            <w:shd w:val="clear" w:color="auto" w:fill="auto"/>
            <w:vAlign w:val="bottom"/>
          </w:tcPr>
          <w:p w14:paraId="2B525A04" w14:textId="77777777" w:rsidR="00615F36" w:rsidRPr="0033714E" w:rsidRDefault="00615F36" w:rsidP="00E7239B">
            <w:pPr>
              <w:keepNext/>
              <w:keepLines/>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3 143</w:t>
            </w:r>
          </w:p>
        </w:tc>
        <w:tc>
          <w:tcPr>
            <w:tcW w:w="990" w:type="dxa"/>
            <w:shd w:val="clear" w:color="auto" w:fill="auto"/>
            <w:vAlign w:val="bottom"/>
          </w:tcPr>
          <w:p w14:paraId="11540F57" w14:textId="77777777" w:rsidR="00615F36" w:rsidRPr="0033714E" w:rsidRDefault="00615F36" w:rsidP="00E7239B">
            <w:pPr>
              <w:keepNext/>
              <w:keepLines/>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3803</w:t>
            </w:r>
          </w:p>
        </w:tc>
        <w:tc>
          <w:tcPr>
            <w:tcW w:w="990" w:type="dxa"/>
            <w:shd w:val="clear" w:color="auto" w:fill="auto"/>
            <w:vAlign w:val="bottom"/>
          </w:tcPr>
          <w:p w14:paraId="60DD45CF" w14:textId="77777777" w:rsidR="00615F36" w:rsidRPr="0033714E" w:rsidRDefault="00615F36" w:rsidP="00E7239B">
            <w:pPr>
              <w:keepNext/>
              <w:keepLines/>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4 308</w:t>
            </w:r>
          </w:p>
        </w:tc>
        <w:tc>
          <w:tcPr>
            <w:tcW w:w="990" w:type="dxa"/>
            <w:shd w:val="clear" w:color="auto" w:fill="auto"/>
            <w:vAlign w:val="bottom"/>
          </w:tcPr>
          <w:p w14:paraId="23CC01CC" w14:textId="77777777" w:rsidR="00615F36" w:rsidRPr="0033714E" w:rsidRDefault="00615F36" w:rsidP="00E7239B">
            <w:pPr>
              <w:keepNext/>
              <w:keepLines/>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 xml:space="preserve">4 584 </w:t>
            </w:r>
          </w:p>
        </w:tc>
        <w:tc>
          <w:tcPr>
            <w:tcW w:w="932" w:type="dxa"/>
            <w:shd w:val="clear" w:color="auto" w:fill="auto"/>
            <w:vAlign w:val="bottom"/>
          </w:tcPr>
          <w:p w14:paraId="646DC2A7" w14:textId="77777777" w:rsidR="00615F36" w:rsidRPr="0033714E" w:rsidRDefault="00615F36" w:rsidP="00E7239B">
            <w:pPr>
              <w:keepNext/>
              <w:keepLines/>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5 668</w:t>
            </w:r>
          </w:p>
        </w:tc>
      </w:tr>
      <w:tr w:rsidR="00615F36" w:rsidRPr="0033714E" w14:paraId="00CA4C84" w14:textId="77777777" w:rsidTr="000032B3">
        <w:tc>
          <w:tcPr>
            <w:tcW w:w="990" w:type="dxa"/>
            <w:vMerge/>
            <w:shd w:val="clear" w:color="auto" w:fill="auto"/>
            <w:vAlign w:val="bottom"/>
          </w:tcPr>
          <w:p w14:paraId="3A94FBDA" w14:textId="77777777" w:rsidR="00615F36" w:rsidRPr="0033714E" w:rsidRDefault="00615F36" w:rsidP="00E7239B">
            <w:pPr>
              <w:tabs>
                <w:tab w:val="left" w:pos="288"/>
                <w:tab w:val="left" w:pos="576"/>
                <w:tab w:val="left" w:pos="864"/>
                <w:tab w:val="left" w:pos="1152"/>
              </w:tabs>
              <w:spacing w:before="40" w:after="40" w:line="210" w:lineRule="exact"/>
              <w:ind w:right="40"/>
              <w:rPr>
                <w:sz w:val="17"/>
                <w:lang w:val="fr-FR"/>
              </w:rPr>
            </w:pPr>
          </w:p>
        </w:tc>
        <w:tc>
          <w:tcPr>
            <w:tcW w:w="1350" w:type="dxa"/>
            <w:shd w:val="clear" w:color="auto" w:fill="auto"/>
            <w:vAlign w:val="bottom"/>
          </w:tcPr>
          <w:p w14:paraId="008EAF51" w14:textId="3CD928D1" w:rsidR="00615F36" w:rsidRPr="0033714E" w:rsidRDefault="00C10A78"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Élèves</w:t>
            </w:r>
          </w:p>
        </w:tc>
        <w:tc>
          <w:tcPr>
            <w:tcW w:w="1080" w:type="dxa"/>
            <w:shd w:val="clear" w:color="auto" w:fill="auto"/>
            <w:vAlign w:val="bottom"/>
          </w:tcPr>
          <w:p w14:paraId="7CE87716"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91 393</w:t>
            </w:r>
          </w:p>
        </w:tc>
        <w:tc>
          <w:tcPr>
            <w:tcW w:w="990" w:type="dxa"/>
            <w:shd w:val="clear" w:color="auto" w:fill="auto"/>
            <w:vAlign w:val="bottom"/>
          </w:tcPr>
          <w:p w14:paraId="7D2D7DD4"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111 384</w:t>
            </w:r>
          </w:p>
        </w:tc>
        <w:tc>
          <w:tcPr>
            <w:tcW w:w="990" w:type="dxa"/>
            <w:shd w:val="clear" w:color="auto" w:fill="auto"/>
            <w:vAlign w:val="bottom"/>
          </w:tcPr>
          <w:p w14:paraId="5541168A"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129 371</w:t>
            </w:r>
          </w:p>
        </w:tc>
        <w:tc>
          <w:tcPr>
            <w:tcW w:w="990" w:type="dxa"/>
            <w:shd w:val="clear" w:color="auto" w:fill="auto"/>
            <w:vAlign w:val="bottom"/>
          </w:tcPr>
          <w:p w14:paraId="3D0A94F5"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144 128</w:t>
            </w:r>
          </w:p>
        </w:tc>
        <w:tc>
          <w:tcPr>
            <w:tcW w:w="932" w:type="dxa"/>
            <w:shd w:val="clear" w:color="auto" w:fill="auto"/>
            <w:vAlign w:val="bottom"/>
          </w:tcPr>
          <w:p w14:paraId="5A015943"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161 699</w:t>
            </w:r>
          </w:p>
        </w:tc>
      </w:tr>
      <w:tr w:rsidR="00615F36" w:rsidRPr="0033714E" w14:paraId="6DECCC43" w14:textId="77777777" w:rsidTr="000032B3">
        <w:tc>
          <w:tcPr>
            <w:tcW w:w="990" w:type="dxa"/>
            <w:vMerge/>
            <w:shd w:val="clear" w:color="auto" w:fill="auto"/>
            <w:vAlign w:val="bottom"/>
          </w:tcPr>
          <w:p w14:paraId="6BE60A04" w14:textId="77777777" w:rsidR="00615F36" w:rsidRPr="0033714E" w:rsidRDefault="00615F36" w:rsidP="00E7239B">
            <w:pPr>
              <w:tabs>
                <w:tab w:val="left" w:pos="288"/>
                <w:tab w:val="left" w:pos="576"/>
                <w:tab w:val="left" w:pos="864"/>
                <w:tab w:val="left" w:pos="1152"/>
              </w:tabs>
              <w:spacing w:before="40" w:after="40" w:line="210" w:lineRule="exact"/>
              <w:ind w:right="40"/>
              <w:rPr>
                <w:sz w:val="17"/>
                <w:lang w:val="fr-FR"/>
              </w:rPr>
            </w:pPr>
          </w:p>
        </w:tc>
        <w:tc>
          <w:tcPr>
            <w:tcW w:w="1350" w:type="dxa"/>
            <w:shd w:val="clear" w:color="auto" w:fill="auto"/>
            <w:vAlign w:val="bottom"/>
          </w:tcPr>
          <w:p w14:paraId="731B1FC8"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Enseignants</w:t>
            </w:r>
          </w:p>
        </w:tc>
        <w:tc>
          <w:tcPr>
            <w:tcW w:w="1080" w:type="dxa"/>
            <w:shd w:val="clear" w:color="auto" w:fill="auto"/>
            <w:vAlign w:val="bottom"/>
          </w:tcPr>
          <w:p w14:paraId="729F296C"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4 941</w:t>
            </w:r>
          </w:p>
        </w:tc>
        <w:tc>
          <w:tcPr>
            <w:tcW w:w="990" w:type="dxa"/>
            <w:shd w:val="clear" w:color="auto" w:fill="auto"/>
            <w:vAlign w:val="bottom"/>
          </w:tcPr>
          <w:p w14:paraId="5F05187B"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 xml:space="preserve">5 378 </w:t>
            </w:r>
          </w:p>
        </w:tc>
        <w:tc>
          <w:tcPr>
            <w:tcW w:w="990" w:type="dxa"/>
            <w:shd w:val="clear" w:color="auto" w:fill="auto"/>
            <w:vAlign w:val="bottom"/>
          </w:tcPr>
          <w:p w14:paraId="61891773"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5 921</w:t>
            </w:r>
          </w:p>
        </w:tc>
        <w:tc>
          <w:tcPr>
            <w:tcW w:w="990" w:type="dxa"/>
            <w:shd w:val="clear" w:color="auto" w:fill="auto"/>
            <w:vAlign w:val="bottom"/>
          </w:tcPr>
          <w:p w14:paraId="63557EC7"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6 524</w:t>
            </w:r>
          </w:p>
        </w:tc>
        <w:tc>
          <w:tcPr>
            <w:tcW w:w="932" w:type="dxa"/>
            <w:shd w:val="clear" w:color="auto" w:fill="auto"/>
            <w:vAlign w:val="bottom"/>
          </w:tcPr>
          <w:p w14:paraId="61ED76A0"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7 045</w:t>
            </w:r>
          </w:p>
        </w:tc>
      </w:tr>
      <w:tr w:rsidR="00615F36" w:rsidRPr="0033714E" w14:paraId="7219B82B" w14:textId="77777777" w:rsidTr="000032B3">
        <w:tc>
          <w:tcPr>
            <w:tcW w:w="990" w:type="dxa"/>
            <w:vMerge w:val="restart"/>
            <w:shd w:val="clear" w:color="auto" w:fill="auto"/>
          </w:tcPr>
          <w:p w14:paraId="30651503" w14:textId="77777777" w:rsidR="00615F36" w:rsidRPr="0033714E" w:rsidRDefault="00615F36" w:rsidP="00615F36">
            <w:pPr>
              <w:tabs>
                <w:tab w:val="left" w:pos="288"/>
                <w:tab w:val="left" w:pos="576"/>
                <w:tab w:val="left" w:pos="864"/>
                <w:tab w:val="left" w:pos="1152"/>
              </w:tabs>
              <w:spacing w:before="40" w:after="40" w:line="210" w:lineRule="exact"/>
              <w:ind w:right="40"/>
              <w:rPr>
                <w:sz w:val="17"/>
                <w:lang w:val="fr-FR"/>
              </w:rPr>
            </w:pPr>
            <w:r w:rsidRPr="0033714E">
              <w:rPr>
                <w:sz w:val="17"/>
                <w:lang w:val="fr-FR"/>
              </w:rPr>
              <w:t>Primaire</w:t>
            </w:r>
          </w:p>
        </w:tc>
        <w:tc>
          <w:tcPr>
            <w:tcW w:w="1350" w:type="dxa"/>
            <w:shd w:val="clear" w:color="auto" w:fill="auto"/>
            <w:vAlign w:val="bottom"/>
          </w:tcPr>
          <w:p w14:paraId="30E3D282"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Salle de classe</w:t>
            </w:r>
          </w:p>
        </w:tc>
        <w:tc>
          <w:tcPr>
            <w:tcW w:w="1080" w:type="dxa"/>
            <w:shd w:val="clear" w:color="auto" w:fill="auto"/>
            <w:vAlign w:val="bottom"/>
          </w:tcPr>
          <w:p w14:paraId="2F0F8478"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68 557</w:t>
            </w:r>
          </w:p>
        </w:tc>
        <w:tc>
          <w:tcPr>
            <w:tcW w:w="990" w:type="dxa"/>
            <w:shd w:val="clear" w:color="auto" w:fill="auto"/>
            <w:vAlign w:val="bottom"/>
          </w:tcPr>
          <w:p w14:paraId="0159AEC3"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70 296</w:t>
            </w:r>
          </w:p>
        </w:tc>
        <w:tc>
          <w:tcPr>
            <w:tcW w:w="990" w:type="dxa"/>
            <w:shd w:val="clear" w:color="auto" w:fill="auto"/>
            <w:vAlign w:val="bottom"/>
          </w:tcPr>
          <w:p w14:paraId="68922709"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74 671</w:t>
            </w:r>
          </w:p>
        </w:tc>
        <w:tc>
          <w:tcPr>
            <w:tcW w:w="990" w:type="dxa"/>
            <w:shd w:val="clear" w:color="auto" w:fill="auto"/>
            <w:vAlign w:val="bottom"/>
          </w:tcPr>
          <w:p w14:paraId="49F066F3"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76 564</w:t>
            </w:r>
          </w:p>
        </w:tc>
        <w:tc>
          <w:tcPr>
            <w:tcW w:w="932" w:type="dxa"/>
            <w:shd w:val="clear" w:color="auto" w:fill="auto"/>
            <w:vAlign w:val="bottom"/>
          </w:tcPr>
          <w:p w14:paraId="26AA660D"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84 730</w:t>
            </w:r>
          </w:p>
        </w:tc>
      </w:tr>
      <w:tr w:rsidR="00615F36" w:rsidRPr="0033714E" w14:paraId="394B7417" w14:textId="77777777" w:rsidTr="000032B3">
        <w:tc>
          <w:tcPr>
            <w:tcW w:w="990" w:type="dxa"/>
            <w:vMerge/>
            <w:shd w:val="clear" w:color="auto" w:fill="auto"/>
            <w:vAlign w:val="bottom"/>
          </w:tcPr>
          <w:p w14:paraId="5FBB3358" w14:textId="77777777" w:rsidR="00615F36" w:rsidRPr="0033714E" w:rsidRDefault="00615F36" w:rsidP="00E7239B">
            <w:pPr>
              <w:tabs>
                <w:tab w:val="left" w:pos="288"/>
                <w:tab w:val="left" w:pos="576"/>
                <w:tab w:val="left" w:pos="864"/>
                <w:tab w:val="left" w:pos="1152"/>
              </w:tabs>
              <w:spacing w:before="40" w:after="40" w:line="210" w:lineRule="exact"/>
              <w:ind w:right="40"/>
              <w:rPr>
                <w:sz w:val="17"/>
                <w:lang w:val="fr-FR"/>
              </w:rPr>
            </w:pPr>
          </w:p>
        </w:tc>
        <w:tc>
          <w:tcPr>
            <w:tcW w:w="1350" w:type="dxa"/>
            <w:shd w:val="clear" w:color="auto" w:fill="auto"/>
            <w:vAlign w:val="bottom"/>
          </w:tcPr>
          <w:p w14:paraId="2BAD9C33" w14:textId="1A56B6F0" w:rsidR="00615F36" w:rsidRPr="0033714E" w:rsidRDefault="00C10A78"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Élèves</w:t>
            </w:r>
          </w:p>
        </w:tc>
        <w:tc>
          <w:tcPr>
            <w:tcW w:w="1080" w:type="dxa"/>
            <w:shd w:val="clear" w:color="auto" w:fill="auto"/>
            <w:vAlign w:val="bottom"/>
          </w:tcPr>
          <w:p w14:paraId="3E4E1337"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2 920 791</w:t>
            </w:r>
          </w:p>
        </w:tc>
        <w:tc>
          <w:tcPr>
            <w:tcW w:w="990" w:type="dxa"/>
            <w:shd w:val="clear" w:color="auto" w:fill="auto"/>
            <w:vAlign w:val="bottom"/>
          </w:tcPr>
          <w:p w14:paraId="5443F1C8"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3 021 417</w:t>
            </w:r>
          </w:p>
        </w:tc>
        <w:tc>
          <w:tcPr>
            <w:tcW w:w="990" w:type="dxa"/>
            <w:shd w:val="clear" w:color="auto" w:fill="auto"/>
            <w:vAlign w:val="bottom"/>
          </w:tcPr>
          <w:p w14:paraId="4D9F6677"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3 176 874</w:t>
            </w:r>
          </w:p>
        </w:tc>
        <w:tc>
          <w:tcPr>
            <w:tcW w:w="990" w:type="dxa"/>
            <w:shd w:val="clear" w:color="auto" w:fill="auto"/>
            <w:vAlign w:val="bottom"/>
          </w:tcPr>
          <w:p w14:paraId="772AB0C7"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3 370 558</w:t>
            </w:r>
          </w:p>
        </w:tc>
        <w:tc>
          <w:tcPr>
            <w:tcW w:w="932" w:type="dxa"/>
            <w:shd w:val="clear" w:color="auto" w:fill="auto"/>
            <w:vAlign w:val="bottom"/>
          </w:tcPr>
          <w:p w14:paraId="3BCCC26C"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3 617 219</w:t>
            </w:r>
          </w:p>
        </w:tc>
      </w:tr>
      <w:tr w:rsidR="00615F36" w:rsidRPr="0033714E" w14:paraId="0327B3D0" w14:textId="77777777" w:rsidTr="000032B3">
        <w:tc>
          <w:tcPr>
            <w:tcW w:w="990" w:type="dxa"/>
            <w:vMerge/>
            <w:shd w:val="clear" w:color="auto" w:fill="auto"/>
            <w:vAlign w:val="bottom"/>
          </w:tcPr>
          <w:p w14:paraId="1EB15B71" w14:textId="77777777" w:rsidR="00615F36" w:rsidRPr="0033714E" w:rsidRDefault="00615F36" w:rsidP="00E7239B">
            <w:pPr>
              <w:tabs>
                <w:tab w:val="left" w:pos="288"/>
                <w:tab w:val="left" w:pos="576"/>
                <w:tab w:val="left" w:pos="864"/>
                <w:tab w:val="left" w:pos="1152"/>
              </w:tabs>
              <w:spacing w:before="40" w:after="40" w:line="210" w:lineRule="exact"/>
              <w:ind w:right="40"/>
              <w:rPr>
                <w:sz w:val="17"/>
                <w:lang w:val="fr-FR"/>
              </w:rPr>
            </w:pPr>
          </w:p>
        </w:tc>
        <w:tc>
          <w:tcPr>
            <w:tcW w:w="1350" w:type="dxa"/>
            <w:shd w:val="clear" w:color="auto" w:fill="auto"/>
            <w:vAlign w:val="bottom"/>
          </w:tcPr>
          <w:p w14:paraId="150DC3AA"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Enseignants</w:t>
            </w:r>
          </w:p>
        </w:tc>
        <w:tc>
          <w:tcPr>
            <w:tcW w:w="1080" w:type="dxa"/>
            <w:shd w:val="clear" w:color="auto" w:fill="auto"/>
            <w:vAlign w:val="bottom"/>
          </w:tcPr>
          <w:p w14:paraId="4C17FA6B"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70 016</w:t>
            </w:r>
          </w:p>
        </w:tc>
        <w:tc>
          <w:tcPr>
            <w:tcW w:w="990" w:type="dxa"/>
            <w:shd w:val="clear" w:color="auto" w:fill="auto"/>
            <w:vAlign w:val="bottom"/>
          </w:tcPr>
          <w:p w14:paraId="4EEEB469"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73 691</w:t>
            </w:r>
          </w:p>
        </w:tc>
        <w:tc>
          <w:tcPr>
            <w:tcW w:w="990" w:type="dxa"/>
            <w:shd w:val="clear" w:color="auto" w:fill="auto"/>
            <w:vAlign w:val="bottom"/>
          </w:tcPr>
          <w:p w14:paraId="368BFC4F"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74 703</w:t>
            </w:r>
          </w:p>
        </w:tc>
        <w:tc>
          <w:tcPr>
            <w:tcW w:w="990" w:type="dxa"/>
            <w:shd w:val="clear" w:color="auto" w:fill="auto"/>
            <w:vAlign w:val="bottom"/>
          </w:tcPr>
          <w:p w14:paraId="335B2636"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80 155</w:t>
            </w:r>
          </w:p>
        </w:tc>
        <w:tc>
          <w:tcPr>
            <w:tcW w:w="932" w:type="dxa"/>
            <w:shd w:val="clear" w:color="auto" w:fill="auto"/>
            <w:vAlign w:val="bottom"/>
          </w:tcPr>
          <w:p w14:paraId="4AD5B258"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85 109</w:t>
            </w:r>
          </w:p>
        </w:tc>
      </w:tr>
      <w:tr w:rsidR="00615F36" w:rsidRPr="0033714E" w14:paraId="3E9C07A6" w14:textId="77777777" w:rsidTr="000032B3">
        <w:tc>
          <w:tcPr>
            <w:tcW w:w="990" w:type="dxa"/>
            <w:vMerge w:val="restart"/>
            <w:shd w:val="clear" w:color="auto" w:fill="auto"/>
          </w:tcPr>
          <w:p w14:paraId="2529DDDF" w14:textId="77777777" w:rsidR="00615F36" w:rsidRPr="0033714E" w:rsidRDefault="00615F36" w:rsidP="00615F36">
            <w:pPr>
              <w:tabs>
                <w:tab w:val="left" w:pos="288"/>
                <w:tab w:val="left" w:pos="576"/>
                <w:tab w:val="left" w:pos="864"/>
                <w:tab w:val="left" w:pos="1152"/>
              </w:tabs>
              <w:spacing w:before="40" w:after="40" w:line="210" w:lineRule="exact"/>
              <w:ind w:right="40"/>
              <w:rPr>
                <w:sz w:val="17"/>
                <w:lang w:val="fr-FR"/>
              </w:rPr>
            </w:pPr>
            <w:r w:rsidRPr="0033714E">
              <w:rPr>
                <w:sz w:val="17"/>
                <w:lang w:val="fr-FR"/>
              </w:rPr>
              <w:t>Secondaire général</w:t>
            </w:r>
          </w:p>
        </w:tc>
        <w:tc>
          <w:tcPr>
            <w:tcW w:w="1350" w:type="dxa"/>
            <w:shd w:val="clear" w:color="auto" w:fill="auto"/>
            <w:vAlign w:val="bottom"/>
          </w:tcPr>
          <w:p w14:paraId="52318D67"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Salle de classe</w:t>
            </w:r>
          </w:p>
        </w:tc>
        <w:tc>
          <w:tcPr>
            <w:tcW w:w="1080" w:type="dxa"/>
            <w:shd w:val="clear" w:color="auto" w:fill="auto"/>
            <w:vAlign w:val="bottom"/>
          </w:tcPr>
          <w:p w14:paraId="520A8DA5"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19 274</w:t>
            </w:r>
          </w:p>
        </w:tc>
        <w:tc>
          <w:tcPr>
            <w:tcW w:w="990" w:type="dxa"/>
            <w:shd w:val="clear" w:color="auto" w:fill="auto"/>
            <w:vAlign w:val="bottom"/>
          </w:tcPr>
          <w:p w14:paraId="79E8DBFD"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20 491</w:t>
            </w:r>
          </w:p>
        </w:tc>
        <w:tc>
          <w:tcPr>
            <w:tcW w:w="990" w:type="dxa"/>
            <w:shd w:val="clear" w:color="auto" w:fill="auto"/>
            <w:vAlign w:val="bottom"/>
          </w:tcPr>
          <w:p w14:paraId="754C6C12"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22 339</w:t>
            </w:r>
          </w:p>
        </w:tc>
        <w:tc>
          <w:tcPr>
            <w:tcW w:w="990" w:type="dxa"/>
            <w:shd w:val="clear" w:color="auto" w:fill="auto"/>
            <w:vAlign w:val="bottom"/>
          </w:tcPr>
          <w:p w14:paraId="0FDAF5CA"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25 709</w:t>
            </w:r>
          </w:p>
        </w:tc>
        <w:tc>
          <w:tcPr>
            <w:tcW w:w="932" w:type="dxa"/>
            <w:shd w:val="clear" w:color="auto" w:fill="auto"/>
            <w:vAlign w:val="bottom"/>
          </w:tcPr>
          <w:p w14:paraId="5E13F49D"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28 357</w:t>
            </w:r>
          </w:p>
        </w:tc>
      </w:tr>
      <w:tr w:rsidR="00615F36" w:rsidRPr="0033714E" w14:paraId="3FC2A24E" w14:textId="77777777" w:rsidTr="000032B3">
        <w:tc>
          <w:tcPr>
            <w:tcW w:w="990" w:type="dxa"/>
            <w:vMerge/>
            <w:shd w:val="clear" w:color="auto" w:fill="auto"/>
            <w:vAlign w:val="bottom"/>
          </w:tcPr>
          <w:p w14:paraId="02DE3244" w14:textId="77777777" w:rsidR="00615F36" w:rsidRPr="0033714E" w:rsidRDefault="00615F36" w:rsidP="00E7239B">
            <w:pPr>
              <w:tabs>
                <w:tab w:val="left" w:pos="288"/>
                <w:tab w:val="left" w:pos="576"/>
                <w:tab w:val="left" w:pos="864"/>
                <w:tab w:val="left" w:pos="1152"/>
              </w:tabs>
              <w:spacing w:before="40" w:after="40" w:line="210" w:lineRule="exact"/>
              <w:ind w:right="40"/>
              <w:rPr>
                <w:sz w:val="17"/>
                <w:lang w:val="fr-FR"/>
              </w:rPr>
            </w:pPr>
          </w:p>
        </w:tc>
        <w:tc>
          <w:tcPr>
            <w:tcW w:w="1350" w:type="dxa"/>
            <w:shd w:val="clear" w:color="auto" w:fill="auto"/>
            <w:vAlign w:val="bottom"/>
          </w:tcPr>
          <w:p w14:paraId="213B0EB5" w14:textId="610D0DA1" w:rsidR="00615F36" w:rsidRPr="0033714E" w:rsidRDefault="00C10A78"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Élèves</w:t>
            </w:r>
          </w:p>
        </w:tc>
        <w:tc>
          <w:tcPr>
            <w:tcW w:w="1080" w:type="dxa"/>
            <w:shd w:val="clear" w:color="auto" w:fill="auto"/>
            <w:vAlign w:val="bottom"/>
          </w:tcPr>
          <w:p w14:paraId="71AFEB7A"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1 132 464</w:t>
            </w:r>
          </w:p>
        </w:tc>
        <w:tc>
          <w:tcPr>
            <w:tcW w:w="990" w:type="dxa"/>
            <w:shd w:val="clear" w:color="auto" w:fill="auto"/>
            <w:vAlign w:val="bottom"/>
          </w:tcPr>
          <w:p w14:paraId="04E9A13C"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1 215 672</w:t>
            </w:r>
          </w:p>
        </w:tc>
        <w:tc>
          <w:tcPr>
            <w:tcW w:w="990" w:type="dxa"/>
            <w:shd w:val="clear" w:color="auto" w:fill="auto"/>
            <w:vAlign w:val="bottom"/>
          </w:tcPr>
          <w:p w14:paraId="11DB1C4B"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1 321 556</w:t>
            </w:r>
          </w:p>
        </w:tc>
        <w:tc>
          <w:tcPr>
            <w:tcW w:w="990" w:type="dxa"/>
            <w:shd w:val="clear" w:color="auto" w:fill="auto"/>
            <w:vAlign w:val="bottom"/>
          </w:tcPr>
          <w:p w14:paraId="1DD92424"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1 479 005</w:t>
            </w:r>
          </w:p>
        </w:tc>
        <w:tc>
          <w:tcPr>
            <w:tcW w:w="932" w:type="dxa"/>
            <w:shd w:val="clear" w:color="auto" w:fill="auto"/>
            <w:vAlign w:val="bottom"/>
          </w:tcPr>
          <w:p w14:paraId="2E4C4A14"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1 621 874</w:t>
            </w:r>
          </w:p>
        </w:tc>
      </w:tr>
      <w:tr w:rsidR="00615F36" w:rsidRPr="0033714E" w14:paraId="14ED8338" w14:textId="77777777" w:rsidTr="000032B3">
        <w:tc>
          <w:tcPr>
            <w:tcW w:w="990" w:type="dxa"/>
            <w:vMerge/>
            <w:tcBorders>
              <w:bottom w:val="single" w:sz="12" w:space="0" w:color="auto"/>
            </w:tcBorders>
            <w:shd w:val="clear" w:color="auto" w:fill="auto"/>
            <w:vAlign w:val="bottom"/>
          </w:tcPr>
          <w:p w14:paraId="28D9574A" w14:textId="77777777" w:rsidR="00615F36" w:rsidRPr="0033714E" w:rsidRDefault="00615F36" w:rsidP="00E7239B">
            <w:pPr>
              <w:tabs>
                <w:tab w:val="left" w:pos="288"/>
                <w:tab w:val="left" w:pos="576"/>
                <w:tab w:val="left" w:pos="864"/>
                <w:tab w:val="left" w:pos="1152"/>
              </w:tabs>
              <w:spacing w:before="40" w:after="40" w:line="210" w:lineRule="exact"/>
              <w:ind w:right="40"/>
              <w:rPr>
                <w:sz w:val="17"/>
                <w:lang w:val="fr-FR"/>
              </w:rPr>
            </w:pPr>
          </w:p>
        </w:tc>
        <w:tc>
          <w:tcPr>
            <w:tcW w:w="1350" w:type="dxa"/>
            <w:tcBorders>
              <w:bottom w:val="single" w:sz="12" w:space="0" w:color="auto"/>
            </w:tcBorders>
            <w:shd w:val="clear" w:color="auto" w:fill="auto"/>
            <w:vAlign w:val="bottom"/>
          </w:tcPr>
          <w:p w14:paraId="34F67A44"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Enseignants</w:t>
            </w:r>
          </w:p>
        </w:tc>
        <w:tc>
          <w:tcPr>
            <w:tcW w:w="1080" w:type="dxa"/>
            <w:tcBorders>
              <w:bottom w:val="single" w:sz="12" w:space="0" w:color="auto"/>
            </w:tcBorders>
            <w:shd w:val="clear" w:color="auto" w:fill="auto"/>
            <w:vAlign w:val="bottom"/>
          </w:tcPr>
          <w:p w14:paraId="6EBD4802"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31 109</w:t>
            </w:r>
          </w:p>
        </w:tc>
        <w:tc>
          <w:tcPr>
            <w:tcW w:w="990" w:type="dxa"/>
            <w:tcBorders>
              <w:bottom w:val="single" w:sz="12" w:space="0" w:color="auto"/>
            </w:tcBorders>
            <w:shd w:val="clear" w:color="auto" w:fill="auto"/>
            <w:vAlign w:val="bottom"/>
          </w:tcPr>
          <w:p w14:paraId="6E80759A"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57 065</w:t>
            </w:r>
          </w:p>
        </w:tc>
        <w:tc>
          <w:tcPr>
            <w:tcW w:w="990" w:type="dxa"/>
            <w:tcBorders>
              <w:bottom w:val="single" w:sz="12" w:space="0" w:color="auto"/>
            </w:tcBorders>
            <w:shd w:val="clear" w:color="auto" w:fill="auto"/>
            <w:vAlign w:val="bottom"/>
          </w:tcPr>
          <w:p w14:paraId="512C7EF8"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49 550</w:t>
            </w:r>
          </w:p>
        </w:tc>
        <w:tc>
          <w:tcPr>
            <w:tcW w:w="990" w:type="dxa"/>
            <w:tcBorders>
              <w:bottom w:val="single" w:sz="12" w:space="0" w:color="auto"/>
            </w:tcBorders>
            <w:shd w:val="clear" w:color="auto" w:fill="auto"/>
            <w:vAlign w:val="bottom"/>
          </w:tcPr>
          <w:p w14:paraId="330FCAD5"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51 192</w:t>
            </w:r>
          </w:p>
        </w:tc>
        <w:tc>
          <w:tcPr>
            <w:tcW w:w="932" w:type="dxa"/>
            <w:tcBorders>
              <w:bottom w:val="single" w:sz="12" w:space="0" w:color="auto"/>
            </w:tcBorders>
            <w:shd w:val="clear" w:color="auto" w:fill="auto"/>
            <w:vAlign w:val="bottom"/>
          </w:tcPr>
          <w:p w14:paraId="7FE525F1" w14:textId="77777777" w:rsidR="00615F36" w:rsidRPr="0033714E" w:rsidRDefault="00615F36" w:rsidP="00E7239B">
            <w:pPr>
              <w:tabs>
                <w:tab w:val="left" w:pos="288"/>
                <w:tab w:val="left" w:pos="576"/>
                <w:tab w:val="left" w:pos="864"/>
                <w:tab w:val="left" w:pos="1152"/>
              </w:tabs>
              <w:spacing w:before="40" w:after="40" w:line="210" w:lineRule="exact"/>
              <w:ind w:left="144" w:right="43"/>
              <w:jc w:val="right"/>
              <w:rPr>
                <w:sz w:val="17"/>
                <w:lang w:val="fr-FR"/>
              </w:rPr>
            </w:pPr>
            <w:r w:rsidRPr="0033714E">
              <w:rPr>
                <w:sz w:val="17"/>
                <w:lang w:val="fr-FR"/>
              </w:rPr>
              <w:t>53 537</w:t>
            </w:r>
          </w:p>
        </w:tc>
      </w:tr>
      <w:bookmarkEnd w:id="3"/>
    </w:tbl>
    <w:p w14:paraId="799E54FC" w14:textId="5151621D" w:rsidR="00D4284A" w:rsidRPr="00D4284A" w:rsidRDefault="00D4284A" w:rsidP="00D4284A">
      <w:pPr>
        <w:pStyle w:val="SingleTxt"/>
        <w:spacing w:after="0" w:line="120" w:lineRule="exact"/>
        <w:rPr>
          <w:sz w:val="10"/>
          <w:lang w:val="fr-FR"/>
        </w:rPr>
      </w:pPr>
    </w:p>
    <w:p w14:paraId="3A2DCAA7" w14:textId="4B0BC8C2" w:rsidR="00D4284A" w:rsidRPr="00D4284A" w:rsidRDefault="00D4284A" w:rsidP="00D4284A">
      <w:pPr>
        <w:pStyle w:val="SingleTxt"/>
        <w:spacing w:after="0" w:line="120" w:lineRule="exact"/>
        <w:rPr>
          <w:sz w:val="10"/>
          <w:lang w:val="fr-FR"/>
        </w:rPr>
      </w:pPr>
    </w:p>
    <w:p w14:paraId="71F14EDC" w14:textId="1ACBCA73" w:rsidR="00364BF3" w:rsidRPr="006C2408" w:rsidRDefault="00364BF3" w:rsidP="006C2408">
      <w:pPr>
        <w:pStyle w:val="SingleTxt"/>
        <w:numPr>
          <w:ilvl w:val="0"/>
          <w:numId w:val="23"/>
        </w:numPr>
        <w:spacing w:line="240" w:lineRule="exact"/>
        <w:rPr>
          <w:b/>
          <w:bCs/>
          <w:lang w:val="fr-FR"/>
        </w:rPr>
      </w:pPr>
      <w:r w:rsidRPr="006C2408">
        <w:rPr>
          <w:b/>
          <w:bCs/>
          <w:lang w:val="fr-FR"/>
        </w:rPr>
        <w:t>Veiller à ce que la procédure d</w:t>
      </w:r>
      <w:r w:rsidR="000C16F5" w:rsidRPr="006C2408">
        <w:rPr>
          <w:b/>
          <w:bCs/>
          <w:lang w:val="fr-FR"/>
        </w:rPr>
        <w:t>’</w:t>
      </w:r>
      <w:r w:rsidRPr="006C2408">
        <w:rPr>
          <w:b/>
          <w:bCs/>
          <w:lang w:val="fr-FR"/>
        </w:rPr>
        <w:t xml:space="preserve">intégration des écoles coraniques dans le système scolaire et la validation des modules et programmes pédagogiques de ces écoles soient menées à leur terme </w:t>
      </w:r>
      <w:r w:rsidR="00D81000" w:rsidRPr="006C2408">
        <w:rPr>
          <w:b/>
          <w:bCs/>
          <w:lang w:val="fr-FR"/>
        </w:rPr>
        <w:t>[</w:t>
      </w:r>
      <w:r w:rsidRPr="006C2408">
        <w:rPr>
          <w:b/>
          <w:bCs/>
          <w:lang w:val="fr-FR"/>
        </w:rPr>
        <w:t xml:space="preserve">voir </w:t>
      </w:r>
      <w:hyperlink r:id="rId75" w:history="1">
        <w:r w:rsidRPr="007B345A">
          <w:rPr>
            <w:rStyle w:val="Hyperlink"/>
            <w:b/>
            <w:bCs/>
            <w:lang w:val="fr-FR"/>
          </w:rPr>
          <w:t>CEDAW/C/CIV/CO/1-3</w:t>
        </w:r>
      </w:hyperlink>
      <w:r w:rsidRPr="006C2408">
        <w:rPr>
          <w:b/>
          <w:bCs/>
          <w:lang w:val="fr-FR"/>
        </w:rPr>
        <w:t xml:space="preserve">, </w:t>
      </w:r>
      <w:r w:rsidR="006862B3" w:rsidRPr="006C2408">
        <w:rPr>
          <w:b/>
          <w:bCs/>
          <w:lang w:val="fr-FR"/>
        </w:rPr>
        <w:t>par. </w:t>
      </w:r>
      <w:r w:rsidRPr="006C2408">
        <w:rPr>
          <w:b/>
          <w:bCs/>
          <w:lang w:val="fr-FR"/>
        </w:rPr>
        <w:t>37 d)</w:t>
      </w:r>
      <w:r w:rsidR="00D81000" w:rsidRPr="006C2408">
        <w:rPr>
          <w:b/>
          <w:bCs/>
          <w:lang w:val="fr-FR"/>
        </w:rPr>
        <w:t>]</w:t>
      </w:r>
      <w:r w:rsidRPr="006C2408">
        <w:rPr>
          <w:b/>
          <w:bCs/>
          <w:lang w:val="fr-FR"/>
        </w:rPr>
        <w:t>.</w:t>
      </w:r>
    </w:p>
    <w:p w14:paraId="516B474E" w14:textId="61AEA0DC" w:rsidR="00364BF3" w:rsidRPr="00190491" w:rsidRDefault="00364BF3" w:rsidP="006C2408">
      <w:pPr>
        <w:pStyle w:val="SingleTxt"/>
        <w:numPr>
          <w:ilvl w:val="0"/>
          <w:numId w:val="23"/>
        </w:numPr>
        <w:spacing w:line="240" w:lineRule="exact"/>
        <w:rPr>
          <w:lang w:val="fr-FR"/>
        </w:rPr>
      </w:pPr>
      <w:r w:rsidRPr="00190491">
        <w:rPr>
          <w:lang w:val="fr-FR"/>
        </w:rPr>
        <w:t>La Commission Nationale d</w:t>
      </w:r>
      <w:r w:rsidR="000C16F5">
        <w:rPr>
          <w:lang w:val="fr-FR"/>
        </w:rPr>
        <w:t>’</w:t>
      </w:r>
      <w:r w:rsidRPr="00190491">
        <w:rPr>
          <w:lang w:val="fr-FR"/>
        </w:rPr>
        <w:t xml:space="preserve">Accompagnement des </w:t>
      </w:r>
      <w:r w:rsidR="00C10A78" w:rsidRPr="00190491">
        <w:rPr>
          <w:lang w:val="fr-FR"/>
        </w:rPr>
        <w:t>Établissement</w:t>
      </w:r>
      <w:r w:rsidRPr="00190491">
        <w:rPr>
          <w:lang w:val="fr-FR"/>
        </w:rPr>
        <w:t xml:space="preserve"> Scolaires Islamiques a permis l</w:t>
      </w:r>
      <w:r w:rsidR="000C16F5">
        <w:rPr>
          <w:lang w:val="fr-FR"/>
        </w:rPr>
        <w:t>’</w:t>
      </w:r>
      <w:r w:rsidRPr="00190491">
        <w:rPr>
          <w:lang w:val="fr-FR"/>
        </w:rPr>
        <w:t xml:space="preserve">intégration de 116 écoles confessionnelles islamiques dans le </w:t>
      </w:r>
      <w:r w:rsidRPr="00190491">
        <w:rPr>
          <w:lang w:val="fr-FR"/>
        </w:rPr>
        <w:lastRenderedPageBreak/>
        <w:t>système éducatif officiel (22 en 2011 et 94 en 2012). De 2011 à 2016, des visites ont été organisées dans 1</w:t>
      </w:r>
      <w:r w:rsidR="00EE1C61">
        <w:rPr>
          <w:lang w:val="fr-FR"/>
        </w:rPr>
        <w:t> </w:t>
      </w:r>
      <w:r w:rsidRPr="00190491">
        <w:rPr>
          <w:lang w:val="fr-FR"/>
        </w:rPr>
        <w:t>080 établissements en vue d</w:t>
      </w:r>
      <w:r w:rsidR="000C16F5">
        <w:rPr>
          <w:lang w:val="fr-FR"/>
        </w:rPr>
        <w:t>’</w:t>
      </w:r>
      <w:r w:rsidRPr="00190491">
        <w:rPr>
          <w:lang w:val="fr-FR"/>
        </w:rPr>
        <w:t>un suivi pour leur intégration.</w:t>
      </w:r>
    </w:p>
    <w:p w14:paraId="1B9B5F11" w14:textId="3E5412D7" w:rsidR="00364BF3" w:rsidRPr="006C2408" w:rsidRDefault="00364BF3" w:rsidP="006C2408">
      <w:pPr>
        <w:pStyle w:val="SingleTxt"/>
        <w:numPr>
          <w:ilvl w:val="0"/>
          <w:numId w:val="23"/>
        </w:numPr>
        <w:spacing w:line="240" w:lineRule="exact"/>
        <w:rPr>
          <w:b/>
          <w:bCs/>
          <w:spacing w:val="-2"/>
          <w:lang w:val="fr-FR"/>
        </w:rPr>
      </w:pPr>
      <w:r w:rsidRPr="006C2408">
        <w:rPr>
          <w:b/>
          <w:bCs/>
          <w:spacing w:val="-2"/>
          <w:lang w:val="fr-FR"/>
        </w:rPr>
        <w:t>Entreprendre une nouvelle révision des manuels scolaires en vue d</w:t>
      </w:r>
      <w:r w:rsidR="000C16F5" w:rsidRPr="006C2408">
        <w:rPr>
          <w:b/>
          <w:bCs/>
          <w:spacing w:val="-2"/>
          <w:lang w:val="fr-FR"/>
        </w:rPr>
        <w:t>’</w:t>
      </w:r>
      <w:r w:rsidRPr="006C2408">
        <w:rPr>
          <w:b/>
          <w:bCs/>
          <w:spacing w:val="-2"/>
          <w:lang w:val="fr-FR"/>
        </w:rPr>
        <w:t>éliminer les stéréotypes sexistes qu</w:t>
      </w:r>
      <w:r w:rsidR="000C16F5" w:rsidRPr="006C2408">
        <w:rPr>
          <w:b/>
          <w:bCs/>
          <w:spacing w:val="-2"/>
          <w:lang w:val="fr-FR"/>
        </w:rPr>
        <w:t>’</w:t>
      </w:r>
      <w:r w:rsidRPr="006C2408">
        <w:rPr>
          <w:b/>
          <w:bCs/>
          <w:spacing w:val="-2"/>
          <w:lang w:val="fr-FR"/>
        </w:rPr>
        <w:t xml:space="preserve">ils contiennent encore </w:t>
      </w:r>
      <w:r w:rsidR="00D81000" w:rsidRPr="006C2408">
        <w:rPr>
          <w:b/>
          <w:bCs/>
          <w:spacing w:val="-2"/>
          <w:lang w:val="fr-FR"/>
        </w:rPr>
        <w:t>[</w:t>
      </w:r>
      <w:r w:rsidRPr="006C2408">
        <w:rPr>
          <w:b/>
          <w:bCs/>
          <w:spacing w:val="-2"/>
          <w:lang w:val="fr-FR"/>
        </w:rPr>
        <w:t xml:space="preserve">voir </w:t>
      </w:r>
      <w:hyperlink r:id="rId76" w:history="1">
        <w:r w:rsidRPr="007B345A">
          <w:rPr>
            <w:rStyle w:val="Hyperlink"/>
            <w:b/>
            <w:bCs/>
            <w:spacing w:val="-2"/>
            <w:lang w:val="fr-FR"/>
          </w:rPr>
          <w:t>CEDAW/C/CIV/CO/1-3</w:t>
        </w:r>
      </w:hyperlink>
      <w:r w:rsidRPr="006C2408">
        <w:rPr>
          <w:b/>
          <w:bCs/>
          <w:spacing w:val="-2"/>
          <w:lang w:val="fr-FR"/>
        </w:rPr>
        <w:t xml:space="preserve">, </w:t>
      </w:r>
      <w:r w:rsidR="006862B3" w:rsidRPr="006C2408">
        <w:rPr>
          <w:b/>
          <w:bCs/>
          <w:spacing w:val="-2"/>
          <w:lang w:val="fr-FR"/>
        </w:rPr>
        <w:t>par. </w:t>
      </w:r>
      <w:r w:rsidRPr="006C2408">
        <w:rPr>
          <w:b/>
          <w:bCs/>
          <w:spacing w:val="-2"/>
          <w:lang w:val="fr-FR"/>
        </w:rPr>
        <w:t>37</w:t>
      </w:r>
      <w:r w:rsidR="006C2408">
        <w:rPr>
          <w:b/>
          <w:bCs/>
          <w:spacing w:val="-2"/>
          <w:lang w:val="fr-FR"/>
        </w:rPr>
        <w:t> </w:t>
      </w:r>
      <w:r w:rsidRPr="006C2408">
        <w:rPr>
          <w:b/>
          <w:bCs/>
          <w:spacing w:val="-2"/>
          <w:lang w:val="fr-FR"/>
        </w:rPr>
        <w:t>e)</w:t>
      </w:r>
      <w:r w:rsidR="00D81000" w:rsidRPr="006C2408">
        <w:rPr>
          <w:b/>
          <w:bCs/>
          <w:spacing w:val="-2"/>
          <w:lang w:val="fr-FR"/>
        </w:rPr>
        <w:t>]</w:t>
      </w:r>
      <w:r w:rsidRPr="006C2408">
        <w:rPr>
          <w:b/>
          <w:bCs/>
          <w:spacing w:val="-2"/>
          <w:lang w:val="fr-FR"/>
        </w:rPr>
        <w:t>.</w:t>
      </w:r>
    </w:p>
    <w:p w14:paraId="329ADFF3" w14:textId="77777777" w:rsidR="00364BF3" w:rsidRPr="00190491" w:rsidRDefault="00364BF3" w:rsidP="006C2408">
      <w:pPr>
        <w:pStyle w:val="SingleTxt"/>
        <w:numPr>
          <w:ilvl w:val="0"/>
          <w:numId w:val="23"/>
        </w:numPr>
        <w:spacing w:line="240" w:lineRule="exact"/>
        <w:rPr>
          <w:lang w:val="fr-FR"/>
        </w:rPr>
      </w:pPr>
      <w:r w:rsidRPr="00190491">
        <w:rPr>
          <w:lang w:val="fr-FR"/>
        </w:rPr>
        <w:t xml:space="preserve">La problématique du genre a été intégrée dans les curricula sur la période 2009‐2012 et les manuels scolaires ont été révisés. </w:t>
      </w:r>
    </w:p>
    <w:p w14:paraId="7A8E3FC5" w14:textId="6E26AFFF" w:rsidR="00364BF3" w:rsidRPr="006C2408" w:rsidRDefault="00364BF3" w:rsidP="006C2408">
      <w:pPr>
        <w:pStyle w:val="SingleTxt"/>
        <w:numPr>
          <w:ilvl w:val="0"/>
          <w:numId w:val="23"/>
        </w:numPr>
        <w:spacing w:line="240" w:lineRule="exact"/>
        <w:rPr>
          <w:b/>
          <w:bCs/>
          <w:lang w:val="fr-FR"/>
        </w:rPr>
      </w:pPr>
      <w:r w:rsidRPr="006C2408">
        <w:rPr>
          <w:b/>
          <w:bCs/>
          <w:lang w:val="fr-FR"/>
        </w:rPr>
        <w:t>Renforcer les programmes d</w:t>
      </w:r>
      <w:r w:rsidR="000C16F5" w:rsidRPr="006C2408">
        <w:rPr>
          <w:b/>
          <w:bCs/>
          <w:lang w:val="fr-FR"/>
        </w:rPr>
        <w:t>’</w:t>
      </w:r>
      <w:r w:rsidRPr="006C2408">
        <w:rPr>
          <w:b/>
          <w:bCs/>
          <w:lang w:val="fr-FR"/>
        </w:rPr>
        <w:t>alphabétisation des adultes, en particulier à l</w:t>
      </w:r>
      <w:r w:rsidR="000C16F5" w:rsidRPr="006C2408">
        <w:rPr>
          <w:b/>
          <w:bCs/>
          <w:lang w:val="fr-FR"/>
        </w:rPr>
        <w:t>’</w:t>
      </w:r>
      <w:r w:rsidRPr="006C2408">
        <w:rPr>
          <w:b/>
          <w:bCs/>
          <w:lang w:val="fr-FR"/>
        </w:rPr>
        <w:t xml:space="preserve">intention des femmes des régions rurales </w:t>
      </w:r>
      <w:r w:rsidR="00D81000" w:rsidRPr="006C2408">
        <w:rPr>
          <w:b/>
          <w:bCs/>
          <w:lang w:val="fr-FR"/>
        </w:rPr>
        <w:t>[</w:t>
      </w:r>
      <w:r w:rsidRPr="006C2408">
        <w:rPr>
          <w:b/>
          <w:bCs/>
          <w:lang w:val="fr-FR"/>
        </w:rPr>
        <w:t xml:space="preserve">voir </w:t>
      </w:r>
      <w:hyperlink r:id="rId77" w:history="1">
        <w:r w:rsidRPr="007B345A">
          <w:rPr>
            <w:rStyle w:val="Hyperlink"/>
            <w:b/>
            <w:bCs/>
            <w:lang w:val="fr-FR"/>
          </w:rPr>
          <w:t>CEDAW/C/CIV/CO/1-3</w:t>
        </w:r>
      </w:hyperlink>
      <w:r w:rsidRPr="006C2408">
        <w:rPr>
          <w:b/>
          <w:bCs/>
          <w:lang w:val="fr-FR"/>
        </w:rPr>
        <w:t xml:space="preserve">, </w:t>
      </w:r>
      <w:r w:rsidR="006862B3" w:rsidRPr="006C2408">
        <w:rPr>
          <w:b/>
          <w:bCs/>
          <w:lang w:val="fr-FR"/>
        </w:rPr>
        <w:t>par. </w:t>
      </w:r>
      <w:r w:rsidRPr="006C2408">
        <w:rPr>
          <w:b/>
          <w:bCs/>
          <w:lang w:val="fr-FR"/>
        </w:rPr>
        <w:t>37</w:t>
      </w:r>
      <w:r w:rsidR="006C2408">
        <w:rPr>
          <w:b/>
          <w:bCs/>
          <w:lang w:val="fr-FR"/>
        </w:rPr>
        <w:t> </w:t>
      </w:r>
      <w:r w:rsidRPr="006C2408">
        <w:rPr>
          <w:b/>
          <w:bCs/>
          <w:lang w:val="fr-FR"/>
        </w:rPr>
        <w:t>f)</w:t>
      </w:r>
      <w:r w:rsidR="00D81000" w:rsidRPr="006C2408">
        <w:rPr>
          <w:b/>
          <w:bCs/>
          <w:lang w:val="fr-FR"/>
        </w:rPr>
        <w:t>]</w:t>
      </w:r>
      <w:r w:rsidRPr="006C2408">
        <w:rPr>
          <w:b/>
          <w:bCs/>
          <w:lang w:val="fr-FR"/>
        </w:rPr>
        <w:t>.</w:t>
      </w:r>
    </w:p>
    <w:p w14:paraId="3E31683F" w14:textId="70B8C915" w:rsidR="00364BF3" w:rsidRDefault="00364BF3" w:rsidP="006C2408">
      <w:pPr>
        <w:pStyle w:val="SingleTxt"/>
        <w:numPr>
          <w:ilvl w:val="0"/>
          <w:numId w:val="23"/>
        </w:numPr>
        <w:spacing w:line="240" w:lineRule="exact"/>
        <w:rPr>
          <w:lang w:val="fr-FR"/>
        </w:rPr>
      </w:pPr>
      <w:r w:rsidRPr="00190491">
        <w:rPr>
          <w:lang w:val="fr-FR"/>
        </w:rPr>
        <w:t>En 2012, l</w:t>
      </w:r>
      <w:r w:rsidR="000C16F5">
        <w:rPr>
          <w:lang w:val="fr-FR"/>
        </w:rPr>
        <w:t>’</w:t>
      </w:r>
      <w:r w:rsidR="00C10A78" w:rsidRPr="00190491">
        <w:rPr>
          <w:lang w:val="fr-FR"/>
        </w:rPr>
        <w:t>État</w:t>
      </w:r>
      <w:r w:rsidRPr="00190491">
        <w:rPr>
          <w:lang w:val="fr-FR"/>
        </w:rPr>
        <w:t xml:space="preserve"> ivoirien a renforcé les capacités opérationnelles du Service Autonome d</w:t>
      </w:r>
      <w:r w:rsidR="000C16F5">
        <w:rPr>
          <w:lang w:val="fr-FR"/>
        </w:rPr>
        <w:t>’</w:t>
      </w:r>
      <w:r w:rsidRPr="00190491">
        <w:rPr>
          <w:lang w:val="fr-FR"/>
        </w:rPr>
        <w:t>Alphabétisation. Le renforcement de la politique d</w:t>
      </w:r>
      <w:r w:rsidR="000C16F5">
        <w:rPr>
          <w:lang w:val="fr-FR"/>
        </w:rPr>
        <w:t>’</w:t>
      </w:r>
      <w:r w:rsidRPr="00190491">
        <w:rPr>
          <w:lang w:val="fr-FR"/>
        </w:rPr>
        <w:t xml:space="preserve">alphabétisation a permis de créer </w:t>
      </w:r>
      <w:r w:rsidRPr="00300E48">
        <w:rPr>
          <w:rStyle w:val="FootnoteReference"/>
          <w:lang w:val="fr-FR"/>
        </w:rPr>
        <w:footnoteReference w:id="16"/>
      </w:r>
      <w:r w:rsidRPr="00190491">
        <w:rPr>
          <w:vertAlign w:val="superscript"/>
          <w:lang w:val="fr-FR"/>
        </w:rPr>
        <w:t xml:space="preserve"> </w:t>
      </w:r>
      <w:r w:rsidRPr="00190491">
        <w:rPr>
          <w:lang w:val="fr-FR"/>
        </w:rPr>
        <w:t>2</w:t>
      </w:r>
      <w:r w:rsidR="00114AE1">
        <w:rPr>
          <w:lang w:val="fr-FR"/>
        </w:rPr>
        <w:t> </w:t>
      </w:r>
      <w:r w:rsidRPr="00190491">
        <w:rPr>
          <w:lang w:val="fr-FR"/>
        </w:rPr>
        <w:t xml:space="preserve">828 Centres avec un effectif de 75 275 apprenants </w:t>
      </w:r>
      <w:r w:rsidRPr="00D81000">
        <w:rPr>
          <w:lang w:val="fr-FR"/>
        </w:rPr>
        <w:t>dont 43</w:t>
      </w:r>
      <w:r w:rsidR="00D81000" w:rsidRPr="00D81000">
        <w:rPr>
          <w:lang w:val="fr-FR"/>
        </w:rPr>
        <w:t> </w:t>
      </w:r>
      <w:r w:rsidRPr="00D81000">
        <w:rPr>
          <w:lang w:val="fr-FR"/>
        </w:rPr>
        <w:t>626 femmes</w:t>
      </w:r>
      <w:r w:rsidRPr="00190491">
        <w:rPr>
          <w:lang w:val="fr-FR"/>
        </w:rPr>
        <w:t xml:space="preserve"> et 31</w:t>
      </w:r>
      <w:r w:rsidR="00114AE1">
        <w:rPr>
          <w:lang w:val="fr-FR"/>
        </w:rPr>
        <w:t> </w:t>
      </w:r>
      <w:r w:rsidRPr="00190491">
        <w:rPr>
          <w:lang w:val="fr-FR"/>
        </w:rPr>
        <w:t>649 hommes avec 4 371 Animateurs. Ces centres offrent plusieurs opportunités de formation notamment la couture, aide-soignante, coiffure.</w:t>
      </w:r>
    </w:p>
    <w:p w14:paraId="013103ED" w14:textId="22167151" w:rsidR="00EE1C61" w:rsidRPr="00EE1C61" w:rsidRDefault="00EE1C61" w:rsidP="00EE1C61">
      <w:pPr>
        <w:pStyle w:val="SingleTxtG"/>
        <w:spacing w:after="0" w:line="120" w:lineRule="exact"/>
        <w:ind w:left="1267"/>
        <w:rPr>
          <w:sz w:val="10"/>
          <w:lang w:val="fr-FR"/>
        </w:rPr>
      </w:pPr>
    </w:p>
    <w:p w14:paraId="08790026" w14:textId="3EE82332" w:rsidR="00364BF3" w:rsidRDefault="00364BF3" w:rsidP="007C6E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0491">
        <w:rPr>
          <w:lang w:val="fr-FR"/>
        </w:rPr>
        <w:tab/>
      </w:r>
      <w:r w:rsidRPr="00190491">
        <w:rPr>
          <w:lang w:val="fr-FR"/>
        </w:rPr>
        <w:tab/>
      </w:r>
      <w:r w:rsidRPr="00EE1C61">
        <w:rPr>
          <w:b w:val="0"/>
          <w:bCs/>
          <w:lang w:val="fr-FR"/>
        </w:rPr>
        <w:t>Tableau 8</w:t>
      </w:r>
      <w:r w:rsidRPr="00190491">
        <w:rPr>
          <w:lang w:val="fr-FR"/>
        </w:rPr>
        <w:t xml:space="preserve"> </w:t>
      </w:r>
      <w:r w:rsidRPr="00190491">
        <w:rPr>
          <w:lang w:val="fr-FR"/>
        </w:rPr>
        <w:br/>
        <w:t>Données par sexe des apprenants et animateurs en alphabétisation 2015</w:t>
      </w:r>
    </w:p>
    <w:p w14:paraId="6A9B1D9D" w14:textId="4344F22B" w:rsidR="00EE1C61" w:rsidRPr="00EE1C61" w:rsidRDefault="00EE1C61" w:rsidP="007C6EA1">
      <w:pPr>
        <w:pStyle w:val="SingleTxt"/>
        <w:keepNext/>
        <w:spacing w:after="0" w:line="120" w:lineRule="exact"/>
        <w:rPr>
          <w:sz w:val="10"/>
          <w:lang w:val="fr-FR"/>
        </w:rPr>
      </w:pPr>
    </w:p>
    <w:p w14:paraId="470B34C9" w14:textId="1D2E353A" w:rsidR="00EE1C61" w:rsidRDefault="00EE1C61" w:rsidP="007C6EA1">
      <w:pPr>
        <w:pStyle w:val="SingleTxt"/>
        <w:keepNext/>
        <w:spacing w:after="0" w:line="120" w:lineRule="exact"/>
        <w:rPr>
          <w:sz w:val="10"/>
          <w:lang w:val="fr-FR"/>
        </w:rPr>
      </w:pPr>
    </w:p>
    <w:tbl>
      <w:tblPr>
        <w:tblStyle w:val="TableGrid"/>
        <w:tblW w:w="8544"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416"/>
        <w:gridCol w:w="20"/>
        <w:gridCol w:w="1417"/>
        <w:gridCol w:w="1418"/>
        <w:gridCol w:w="20"/>
        <w:gridCol w:w="1418"/>
        <w:gridCol w:w="1418"/>
      </w:tblGrid>
      <w:tr w:rsidR="007C6EA1" w:rsidRPr="00893C43" w14:paraId="214D1741" w14:textId="77777777" w:rsidTr="006C2408">
        <w:trPr>
          <w:trHeight w:val="151"/>
          <w:tblHeader/>
        </w:trPr>
        <w:tc>
          <w:tcPr>
            <w:tcW w:w="1417" w:type="dxa"/>
            <w:vMerge w:val="restart"/>
            <w:tcBorders>
              <w:top w:val="single" w:sz="4" w:space="0" w:color="auto"/>
            </w:tcBorders>
            <w:shd w:val="clear" w:color="auto" w:fill="auto"/>
            <w:vAlign w:val="bottom"/>
          </w:tcPr>
          <w:p w14:paraId="0F988EB7" w14:textId="77777777" w:rsidR="007C6EA1" w:rsidRPr="00893C43" w:rsidRDefault="007C6EA1" w:rsidP="007C6EA1">
            <w:pPr>
              <w:keepNext/>
              <w:spacing w:before="81" w:after="81" w:line="160" w:lineRule="exact"/>
              <w:ind w:right="40"/>
              <w:rPr>
                <w:i/>
                <w:sz w:val="14"/>
              </w:rPr>
            </w:pPr>
            <w:bookmarkStart w:id="4" w:name="_Hlk520288984"/>
            <w:r w:rsidRPr="00893C43">
              <w:rPr>
                <w:i/>
                <w:sz w:val="14"/>
              </w:rPr>
              <w:t>Alphabétisation</w:t>
            </w:r>
          </w:p>
        </w:tc>
        <w:tc>
          <w:tcPr>
            <w:tcW w:w="1416" w:type="dxa"/>
            <w:vMerge w:val="restart"/>
            <w:tcBorders>
              <w:top w:val="single" w:sz="4" w:space="0" w:color="auto"/>
            </w:tcBorders>
            <w:shd w:val="clear" w:color="auto" w:fill="auto"/>
            <w:vAlign w:val="bottom"/>
          </w:tcPr>
          <w:p w14:paraId="6AA7BF9F" w14:textId="77777777" w:rsidR="007C6EA1" w:rsidRPr="00893C43" w:rsidRDefault="007C6EA1" w:rsidP="007C6EA1">
            <w:pPr>
              <w:keepNext/>
              <w:spacing w:before="81" w:after="81" w:line="160" w:lineRule="exact"/>
              <w:ind w:left="144" w:right="43"/>
              <w:jc w:val="right"/>
              <w:rPr>
                <w:i/>
                <w:sz w:val="14"/>
              </w:rPr>
            </w:pPr>
            <w:r w:rsidRPr="00893C43">
              <w:rPr>
                <w:i/>
                <w:sz w:val="14"/>
              </w:rPr>
              <w:t>Nombre de centres</w:t>
            </w:r>
          </w:p>
        </w:tc>
        <w:tc>
          <w:tcPr>
            <w:tcW w:w="20" w:type="dxa"/>
            <w:tcBorders>
              <w:top w:val="single" w:sz="4" w:space="0" w:color="auto"/>
            </w:tcBorders>
          </w:tcPr>
          <w:p w14:paraId="406F18FE" w14:textId="77777777" w:rsidR="007C6EA1" w:rsidRPr="00893C43" w:rsidRDefault="007C6EA1" w:rsidP="007C6EA1">
            <w:pPr>
              <w:keepNext/>
              <w:spacing w:before="81" w:after="81" w:line="160" w:lineRule="exact"/>
              <w:ind w:left="144" w:right="43"/>
              <w:jc w:val="right"/>
              <w:rPr>
                <w:i/>
                <w:sz w:val="14"/>
              </w:rPr>
            </w:pPr>
          </w:p>
        </w:tc>
        <w:tc>
          <w:tcPr>
            <w:tcW w:w="2835" w:type="dxa"/>
            <w:gridSpan w:val="2"/>
            <w:tcBorders>
              <w:top w:val="single" w:sz="4" w:space="0" w:color="auto"/>
              <w:bottom w:val="single" w:sz="4" w:space="0" w:color="auto"/>
            </w:tcBorders>
            <w:shd w:val="clear" w:color="auto" w:fill="auto"/>
            <w:vAlign w:val="bottom"/>
          </w:tcPr>
          <w:p w14:paraId="011EA723" w14:textId="77777777" w:rsidR="007C6EA1" w:rsidRPr="00893C43" w:rsidRDefault="007C6EA1" w:rsidP="007C6EA1">
            <w:pPr>
              <w:keepNext/>
              <w:spacing w:before="81" w:after="81" w:line="160" w:lineRule="exact"/>
              <w:ind w:left="144" w:right="43"/>
              <w:jc w:val="center"/>
              <w:rPr>
                <w:i/>
                <w:sz w:val="14"/>
              </w:rPr>
            </w:pPr>
            <w:r w:rsidRPr="00893C43">
              <w:rPr>
                <w:i/>
                <w:sz w:val="14"/>
              </w:rPr>
              <w:t>Nombre apprenants</w:t>
            </w:r>
          </w:p>
        </w:tc>
        <w:tc>
          <w:tcPr>
            <w:tcW w:w="20" w:type="dxa"/>
            <w:tcBorders>
              <w:top w:val="single" w:sz="4" w:space="0" w:color="auto"/>
            </w:tcBorders>
          </w:tcPr>
          <w:p w14:paraId="0FFE9B8C" w14:textId="77777777" w:rsidR="007C6EA1" w:rsidRPr="00893C43" w:rsidRDefault="007C6EA1" w:rsidP="007C6EA1">
            <w:pPr>
              <w:keepNext/>
              <w:spacing w:before="81" w:after="81" w:line="160" w:lineRule="exact"/>
              <w:ind w:left="144" w:right="43"/>
              <w:jc w:val="right"/>
              <w:rPr>
                <w:i/>
                <w:sz w:val="14"/>
              </w:rPr>
            </w:pPr>
          </w:p>
        </w:tc>
        <w:tc>
          <w:tcPr>
            <w:tcW w:w="2836" w:type="dxa"/>
            <w:gridSpan w:val="2"/>
            <w:tcBorders>
              <w:top w:val="single" w:sz="4" w:space="0" w:color="auto"/>
              <w:bottom w:val="single" w:sz="4" w:space="0" w:color="auto"/>
            </w:tcBorders>
            <w:shd w:val="clear" w:color="auto" w:fill="auto"/>
            <w:vAlign w:val="bottom"/>
          </w:tcPr>
          <w:p w14:paraId="35A1F552" w14:textId="77777777" w:rsidR="007C6EA1" w:rsidRPr="00893C43" w:rsidRDefault="007C6EA1" w:rsidP="007C6EA1">
            <w:pPr>
              <w:keepNext/>
              <w:spacing w:before="81" w:after="81" w:line="160" w:lineRule="exact"/>
              <w:ind w:left="144" w:right="43"/>
              <w:jc w:val="center"/>
              <w:rPr>
                <w:i/>
                <w:sz w:val="14"/>
              </w:rPr>
            </w:pPr>
            <w:r w:rsidRPr="00893C43">
              <w:rPr>
                <w:i/>
                <w:sz w:val="14"/>
              </w:rPr>
              <w:t>Nombre animateurs</w:t>
            </w:r>
          </w:p>
        </w:tc>
      </w:tr>
      <w:tr w:rsidR="007C6EA1" w:rsidRPr="00893C43" w14:paraId="7538CFBB" w14:textId="77777777" w:rsidTr="006C2408">
        <w:trPr>
          <w:trHeight w:val="150"/>
          <w:tblHeader/>
        </w:trPr>
        <w:tc>
          <w:tcPr>
            <w:tcW w:w="1417" w:type="dxa"/>
            <w:vMerge/>
            <w:tcBorders>
              <w:bottom w:val="single" w:sz="12" w:space="0" w:color="auto"/>
            </w:tcBorders>
            <w:shd w:val="clear" w:color="auto" w:fill="auto"/>
            <w:vAlign w:val="bottom"/>
          </w:tcPr>
          <w:p w14:paraId="2581ED49" w14:textId="77777777" w:rsidR="007C6EA1" w:rsidRPr="00893C43" w:rsidRDefault="007C6EA1" w:rsidP="00E7239B">
            <w:pPr>
              <w:spacing w:before="81" w:after="81" w:line="160" w:lineRule="exact"/>
              <w:ind w:right="40"/>
              <w:rPr>
                <w:i/>
                <w:sz w:val="14"/>
              </w:rPr>
            </w:pPr>
          </w:p>
        </w:tc>
        <w:tc>
          <w:tcPr>
            <w:tcW w:w="1416" w:type="dxa"/>
            <w:vMerge/>
            <w:tcBorders>
              <w:bottom w:val="single" w:sz="12" w:space="0" w:color="auto"/>
            </w:tcBorders>
            <w:shd w:val="clear" w:color="auto" w:fill="auto"/>
            <w:vAlign w:val="bottom"/>
          </w:tcPr>
          <w:p w14:paraId="0478C6BD" w14:textId="77777777" w:rsidR="007C6EA1" w:rsidRPr="00893C43" w:rsidRDefault="007C6EA1" w:rsidP="00E7239B">
            <w:pPr>
              <w:spacing w:before="81" w:after="81" w:line="160" w:lineRule="exact"/>
              <w:ind w:left="144" w:right="43"/>
              <w:jc w:val="right"/>
              <w:rPr>
                <w:i/>
                <w:sz w:val="14"/>
              </w:rPr>
            </w:pPr>
          </w:p>
        </w:tc>
        <w:tc>
          <w:tcPr>
            <w:tcW w:w="20" w:type="dxa"/>
            <w:tcBorders>
              <w:bottom w:val="single" w:sz="12" w:space="0" w:color="auto"/>
            </w:tcBorders>
          </w:tcPr>
          <w:p w14:paraId="286D037F" w14:textId="77777777" w:rsidR="007C6EA1" w:rsidRPr="00893C43" w:rsidRDefault="007C6EA1" w:rsidP="00E7239B">
            <w:pPr>
              <w:spacing w:before="81" w:after="81" w:line="160" w:lineRule="exact"/>
              <w:ind w:left="144" w:right="43"/>
              <w:jc w:val="right"/>
              <w:rPr>
                <w:i/>
                <w:sz w:val="14"/>
              </w:rPr>
            </w:pPr>
          </w:p>
        </w:tc>
        <w:tc>
          <w:tcPr>
            <w:tcW w:w="1417" w:type="dxa"/>
            <w:tcBorders>
              <w:top w:val="single" w:sz="4" w:space="0" w:color="auto"/>
              <w:bottom w:val="single" w:sz="12" w:space="0" w:color="auto"/>
            </w:tcBorders>
            <w:shd w:val="clear" w:color="auto" w:fill="auto"/>
            <w:vAlign w:val="bottom"/>
          </w:tcPr>
          <w:p w14:paraId="792BF9DF" w14:textId="77777777" w:rsidR="007C6EA1" w:rsidRPr="00893C43" w:rsidRDefault="007C6EA1" w:rsidP="00E7239B">
            <w:pPr>
              <w:spacing w:before="81" w:after="81" w:line="160" w:lineRule="exact"/>
              <w:ind w:left="144" w:right="43"/>
              <w:jc w:val="right"/>
              <w:rPr>
                <w:i/>
                <w:sz w:val="14"/>
              </w:rPr>
            </w:pPr>
            <w:r w:rsidRPr="00893C43">
              <w:rPr>
                <w:i/>
                <w:sz w:val="14"/>
              </w:rPr>
              <w:t>Femme</w:t>
            </w:r>
          </w:p>
        </w:tc>
        <w:tc>
          <w:tcPr>
            <w:tcW w:w="1418" w:type="dxa"/>
            <w:tcBorders>
              <w:top w:val="single" w:sz="4" w:space="0" w:color="auto"/>
              <w:bottom w:val="single" w:sz="12" w:space="0" w:color="auto"/>
            </w:tcBorders>
            <w:shd w:val="clear" w:color="auto" w:fill="auto"/>
            <w:vAlign w:val="bottom"/>
          </w:tcPr>
          <w:p w14:paraId="271DDEF1" w14:textId="77777777" w:rsidR="007C6EA1" w:rsidRPr="00893C43" w:rsidRDefault="007C6EA1" w:rsidP="00E7239B">
            <w:pPr>
              <w:spacing w:before="81" w:after="81" w:line="160" w:lineRule="exact"/>
              <w:ind w:left="144" w:right="43"/>
              <w:jc w:val="right"/>
              <w:rPr>
                <w:i/>
                <w:sz w:val="14"/>
              </w:rPr>
            </w:pPr>
            <w:r w:rsidRPr="00893C43">
              <w:rPr>
                <w:i/>
                <w:sz w:val="14"/>
              </w:rPr>
              <w:t>Homme</w:t>
            </w:r>
          </w:p>
        </w:tc>
        <w:tc>
          <w:tcPr>
            <w:tcW w:w="20" w:type="dxa"/>
            <w:tcBorders>
              <w:bottom w:val="single" w:sz="12" w:space="0" w:color="auto"/>
            </w:tcBorders>
          </w:tcPr>
          <w:p w14:paraId="3FFE9200" w14:textId="77777777" w:rsidR="007C6EA1" w:rsidRPr="00893C43" w:rsidRDefault="007C6EA1" w:rsidP="00E7239B">
            <w:pPr>
              <w:spacing w:before="81" w:after="81" w:line="160" w:lineRule="exact"/>
              <w:ind w:left="144" w:right="43"/>
              <w:jc w:val="right"/>
              <w:rPr>
                <w:i/>
                <w:sz w:val="14"/>
              </w:rPr>
            </w:pPr>
          </w:p>
        </w:tc>
        <w:tc>
          <w:tcPr>
            <w:tcW w:w="1418" w:type="dxa"/>
            <w:tcBorders>
              <w:top w:val="single" w:sz="4" w:space="0" w:color="auto"/>
              <w:bottom w:val="single" w:sz="12" w:space="0" w:color="auto"/>
            </w:tcBorders>
            <w:shd w:val="clear" w:color="auto" w:fill="auto"/>
            <w:vAlign w:val="bottom"/>
          </w:tcPr>
          <w:p w14:paraId="2433EAA9" w14:textId="77777777" w:rsidR="007C6EA1" w:rsidRPr="00893C43" w:rsidRDefault="007C6EA1" w:rsidP="00E7239B">
            <w:pPr>
              <w:spacing w:before="81" w:after="81" w:line="160" w:lineRule="exact"/>
              <w:ind w:left="144" w:right="43"/>
              <w:jc w:val="right"/>
              <w:rPr>
                <w:i/>
                <w:sz w:val="14"/>
              </w:rPr>
            </w:pPr>
            <w:r w:rsidRPr="00893C43">
              <w:rPr>
                <w:i/>
                <w:sz w:val="14"/>
              </w:rPr>
              <w:t>Femme</w:t>
            </w:r>
          </w:p>
        </w:tc>
        <w:tc>
          <w:tcPr>
            <w:tcW w:w="1418" w:type="dxa"/>
            <w:tcBorders>
              <w:top w:val="single" w:sz="4" w:space="0" w:color="auto"/>
              <w:bottom w:val="single" w:sz="12" w:space="0" w:color="auto"/>
            </w:tcBorders>
            <w:shd w:val="clear" w:color="auto" w:fill="auto"/>
            <w:vAlign w:val="bottom"/>
          </w:tcPr>
          <w:p w14:paraId="76BE1501" w14:textId="77777777" w:rsidR="007C6EA1" w:rsidRPr="00893C43" w:rsidRDefault="007C6EA1" w:rsidP="00E7239B">
            <w:pPr>
              <w:spacing w:before="81" w:after="81" w:line="160" w:lineRule="exact"/>
              <w:ind w:left="144" w:right="43"/>
              <w:jc w:val="right"/>
              <w:rPr>
                <w:i/>
                <w:sz w:val="14"/>
              </w:rPr>
            </w:pPr>
            <w:r w:rsidRPr="00893C43">
              <w:rPr>
                <w:i/>
                <w:sz w:val="14"/>
              </w:rPr>
              <w:t>Homme</w:t>
            </w:r>
          </w:p>
        </w:tc>
      </w:tr>
      <w:tr w:rsidR="007C6EA1" w:rsidRPr="00893C43" w14:paraId="4AC32108" w14:textId="77777777" w:rsidTr="006C2408">
        <w:trPr>
          <w:trHeight w:hRule="exact" w:val="115"/>
          <w:tblHeader/>
        </w:trPr>
        <w:tc>
          <w:tcPr>
            <w:tcW w:w="1417" w:type="dxa"/>
            <w:tcBorders>
              <w:top w:val="single" w:sz="12" w:space="0" w:color="auto"/>
            </w:tcBorders>
            <w:shd w:val="clear" w:color="auto" w:fill="auto"/>
            <w:vAlign w:val="bottom"/>
          </w:tcPr>
          <w:p w14:paraId="1F862941" w14:textId="77777777" w:rsidR="007C6EA1" w:rsidRPr="00893C43" w:rsidRDefault="007C6EA1" w:rsidP="00E7239B">
            <w:pPr>
              <w:spacing w:before="40" w:after="40" w:line="210" w:lineRule="exact"/>
              <w:ind w:right="40"/>
              <w:rPr>
                <w:sz w:val="17"/>
              </w:rPr>
            </w:pPr>
          </w:p>
        </w:tc>
        <w:tc>
          <w:tcPr>
            <w:tcW w:w="1416" w:type="dxa"/>
            <w:tcBorders>
              <w:top w:val="single" w:sz="12" w:space="0" w:color="auto"/>
            </w:tcBorders>
            <w:shd w:val="clear" w:color="auto" w:fill="auto"/>
            <w:vAlign w:val="bottom"/>
          </w:tcPr>
          <w:p w14:paraId="78E960E0" w14:textId="77777777" w:rsidR="007C6EA1" w:rsidRPr="00893C43" w:rsidRDefault="007C6EA1" w:rsidP="00E7239B">
            <w:pPr>
              <w:spacing w:before="40" w:after="40" w:line="210" w:lineRule="exact"/>
              <w:ind w:left="144" w:right="43"/>
              <w:jc w:val="right"/>
              <w:rPr>
                <w:sz w:val="17"/>
              </w:rPr>
            </w:pPr>
          </w:p>
        </w:tc>
        <w:tc>
          <w:tcPr>
            <w:tcW w:w="20" w:type="dxa"/>
            <w:tcBorders>
              <w:top w:val="single" w:sz="12" w:space="0" w:color="auto"/>
            </w:tcBorders>
          </w:tcPr>
          <w:p w14:paraId="2C366F68" w14:textId="77777777" w:rsidR="007C6EA1" w:rsidRPr="00893C43" w:rsidRDefault="007C6EA1" w:rsidP="00E7239B">
            <w:pPr>
              <w:spacing w:before="40" w:after="40" w:line="210" w:lineRule="exact"/>
              <w:ind w:left="144" w:right="43"/>
              <w:jc w:val="right"/>
              <w:rPr>
                <w:sz w:val="17"/>
              </w:rPr>
            </w:pPr>
          </w:p>
        </w:tc>
        <w:tc>
          <w:tcPr>
            <w:tcW w:w="1417" w:type="dxa"/>
            <w:tcBorders>
              <w:top w:val="single" w:sz="12" w:space="0" w:color="auto"/>
            </w:tcBorders>
            <w:shd w:val="clear" w:color="auto" w:fill="auto"/>
            <w:vAlign w:val="bottom"/>
          </w:tcPr>
          <w:p w14:paraId="3F5CB057" w14:textId="77777777" w:rsidR="007C6EA1" w:rsidRPr="00893C43" w:rsidRDefault="007C6EA1" w:rsidP="00E7239B">
            <w:pPr>
              <w:spacing w:before="40" w:after="40" w:line="210" w:lineRule="exact"/>
              <w:ind w:left="144" w:right="43"/>
              <w:jc w:val="right"/>
              <w:rPr>
                <w:sz w:val="17"/>
              </w:rPr>
            </w:pPr>
          </w:p>
        </w:tc>
        <w:tc>
          <w:tcPr>
            <w:tcW w:w="1418" w:type="dxa"/>
            <w:tcBorders>
              <w:top w:val="single" w:sz="12" w:space="0" w:color="auto"/>
            </w:tcBorders>
            <w:shd w:val="clear" w:color="auto" w:fill="auto"/>
            <w:vAlign w:val="bottom"/>
          </w:tcPr>
          <w:p w14:paraId="61E5BEFD" w14:textId="77777777" w:rsidR="007C6EA1" w:rsidRPr="00893C43" w:rsidRDefault="007C6EA1" w:rsidP="00E7239B">
            <w:pPr>
              <w:spacing w:before="40" w:after="40" w:line="210" w:lineRule="exact"/>
              <w:ind w:left="144" w:right="43"/>
              <w:jc w:val="right"/>
              <w:rPr>
                <w:sz w:val="17"/>
              </w:rPr>
            </w:pPr>
          </w:p>
        </w:tc>
        <w:tc>
          <w:tcPr>
            <w:tcW w:w="20" w:type="dxa"/>
            <w:tcBorders>
              <w:top w:val="single" w:sz="12" w:space="0" w:color="auto"/>
            </w:tcBorders>
          </w:tcPr>
          <w:p w14:paraId="45DCD164" w14:textId="77777777" w:rsidR="007C6EA1" w:rsidRPr="00893C43" w:rsidRDefault="007C6EA1" w:rsidP="00E7239B">
            <w:pPr>
              <w:spacing w:before="40" w:after="40" w:line="210" w:lineRule="exact"/>
              <w:ind w:left="144" w:right="43"/>
              <w:jc w:val="right"/>
              <w:rPr>
                <w:sz w:val="17"/>
              </w:rPr>
            </w:pPr>
          </w:p>
        </w:tc>
        <w:tc>
          <w:tcPr>
            <w:tcW w:w="1418" w:type="dxa"/>
            <w:tcBorders>
              <w:top w:val="single" w:sz="12" w:space="0" w:color="auto"/>
            </w:tcBorders>
            <w:shd w:val="clear" w:color="auto" w:fill="auto"/>
            <w:vAlign w:val="bottom"/>
          </w:tcPr>
          <w:p w14:paraId="4359CF3B" w14:textId="77777777" w:rsidR="007C6EA1" w:rsidRPr="00893C43" w:rsidRDefault="007C6EA1" w:rsidP="00E7239B">
            <w:pPr>
              <w:spacing w:before="40" w:after="40" w:line="210" w:lineRule="exact"/>
              <w:ind w:left="144" w:right="43"/>
              <w:jc w:val="right"/>
              <w:rPr>
                <w:sz w:val="17"/>
              </w:rPr>
            </w:pPr>
          </w:p>
        </w:tc>
        <w:tc>
          <w:tcPr>
            <w:tcW w:w="1418" w:type="dxa"/>
            <w:tcBorders>
              <w:top w:val="single" w:sz="12" w:space="0" w:color="auto"/>
            </w:tcBorders>
            <w:shd w:val="clear" w:color="auto" w:fill="auto"/>
            <w:vAlign w:val="bottom"/>
          </w:tcPr>
          <w:p w14:paraId="676FE578" w14:textId="77777777" w:rsidR="007C6EA1" w:rsidRPr="00893C43" w:rsidRDefault="007C6EA1" w:rsidP="00E7239B">
            <w:pPr>
              <w:spacing w:before="40" w:after="40" w:line="210" w:lineRule="exact"/>
              <w:ind w:left="144" w:right="43"/>
              <w:jc w:val="right"/>
              <w:rPr>
                <w:sz w:val="17"/>
              </w:rPr>
            </w:pPr>
          </w:p>
        </w:tc>
      </w:tr>
      <w:tr w:rsidR="007C6EA1" w:rsidRPr="00893C43" w14:paraId="05FBEDA6" w14:textId="77777777" w:rsidTr="006C2408">
        <w:tc>
          <w:tcPr>
            <w:tcW w:w="1417" w:type="dxa"/>
            <w:shd w:val="clear" w:color="auto" w:fill="auto"/>
            <w:vAlign w:val="bottom"/>
          </w:tcPr>
          <w:p w14:paraId="3AD71416" w14:textId="77777777" w:rsidR="007C6EA1" w:rsidRPr="00893C43" w:rsidRDefault="007C6EA1" w:rsidP="00E7239B">
            <w:pPr>
              <w:tabs>
                <w:tab w:val="left" w:pos="288"/>
                <w:tab w:val="left" w:pos="576"/>
                <w:tab w:val="left" w:pos="864"/>
                <w:tab w:val="left" w:pos="1152"/>
              </w:tabs>
              <w:spacing w:before="40" w:after="40" w:line="210" w:lineRule="exact"/>
              <w:ind w:right="40"/>
              <w:rPr>
                <w:sz w:val="17"/>
              </w:rPr>
            </w:pPr>
            <w:r w:rsidRPr="00893C43">
              <w:rPr>
                <w:sz w:val="17"/>
              </w:rPr>
              <w:t>Niveau 1</w:t>
            </w:r>
          </w:p>
        </w:tc>
        <w:tc>
          <w:tcPr>
            <w:tcW w:w="1416" w:type="dxa"/>
            <w:shd w:val="clear" w:color="auto" w:fill="auto"/>
            <w:vAlign w:val="bottom"/>
          </w:tcPr>
          <w:p w14:paraId="682A6436"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1 641</w:t>
            </w:r>
          </w:p>
        </w:tc>
        <w:tc>
          <w:tcPr>
            <w:tcW w:w="20" w:type="dxa"/>
          </w:tcPr>
          <w:p w14:paraId="3D534BC0"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p>
        </w:tc>
        <w:tc>
          <w:tcPr>
            <w:tcW w:w="1417" w:type="dxa"/>
            <w:shd w:val="clear" w:color="auto" w:fill="auto"/>
            <w:vAlign w:val="bottom"/>
          </w:tcPr>
          <w:p w14:paraId="3F8DE050" w14:textId="16FCD7A4"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27 828 (58</w:t>
            </w:r>
            <w:r w:rsidR="00B72ED0">
              <w:rPr>
                <w:sz w:val="17"/>
              </w:rPr>
              <w:t> </w:t>
            </w:r>
            <w:r w:rsidRPr="00893C43">
              <w:rPr>
                <w:sz w:val="17"/>
              </w:rPr>
              <w:t>%)</w:t>
            </w:r>
          </w:p>
        </w:tc>
        <w:tc>
          <w:tcPr>
            <w:tcW w:w="1418" w:type="dxa"/>
            <w:shd w:val="clear" w:color="auto" w:fill="auto"/>
            <w:vAlign w:val="bottom"/>
          </w:tcPr>
          <w:p w14:paraId="40E3358E" w14:textId="1084B16C"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20 445 (42</w:t>
            </w:r>
            <w:r w:rsidR="00B72ED0">
              <w:rPr>
                <w:sz w:val="17"/>
              </w:rPr>
              <w:t> </w:t>
            </w:r>
            <w:r w:rsidRPr="00893C43">
              <w:rPr>
                <w:sz w:val="17"/>
              </w:rPr>
              <w:t>%)</w:t>
            </w:r>
          </w:p>
        </w:tc>
        <w:tc>
          <w:tcPr>
            <w:tcW w:w="20" w:type="dxa"/>
          </w:tcPr>
          <w:p w14:paraId="678A4FEA"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p>
        </w:tc>
        <w:tc>
          <w:tcPr>
            <w:tcW w:w="1418" w:type="dxa"/>
            <w:shd w:val="clear" w:color="auto" w:fill="auto"/>
            <w:vAlign w:val="bottom"/>
          </w:tcPr>
          <w:p w14:paraId="4028C137"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377 (15%)</w:t>
            </w:r>
          </w:p>
        </w:tc>
        <w:tc>
          <w:tcPr>
            <w:tcW w:w="1418" w:type="dxa"/>
            <w:shd w:val="clear" w:color="auto" w:fill="auto"/>
            <w:vAlign w:val="bottom"/>
          </w:tcPr>
          <w:p w14:paraId="76892276"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2 063 (85%)</w:t>
            </w:r>
          </w:p>
        </w:tc>
      </w:tr>
      <w:tr w:rsidR="007C6EA1" w:rsidRPr="00893C43" w14:paraId="46F60243" w14:textId="77777777" w:rsidTr="006C2408">
        <w:tc>
          <w:tcPr>
            <w:tcW w:w="1417" w:type="dxa"/>
            <w:shd w:val="clear" w:color="auto" w:fill="auto"/>
            <w:vAlign w:val="bottom"/>
          </w:tcPr>
          <w:p w14:paraId="2CD8B89F" w14:textId="77777777" w:rsidR="007C6EA1" w:rsidRPr="00893C43" w:rsidRDefault="007C6EA1" w:rsidP="00E7239B">
            <w:pPr>
              <w:tabs>
                <w:tab w:val="left" w:pos="288"/>
                <w:tab w:val="left" w:pos="576"/>
                <w:tab w:val="left" w:pos="864"/>
                <w:tab w:val="left" w:pos="1152"/>
              </w:tabs>
              <w:spacing w:before="40" w:after="40" w:line="210" w:lineRule="exact"/>
              <w:ind w:right="40"/>
              <w:rPr>
                <w:sz w:val="17"/>
              </w:rPr>
            </w:pPr>
            <w:r w:rsidRPr="00893C43">
              <w:rPr>
                <w:sz w:val="17"/>
              </w:rPr>
              <w:t>Niveau 2</w:t>
            </w:r>
          </w:p>
        </w:tc>
        <w:tc>
          <w:tcPr>
            <w:tcW w:w="1416" w:type="dxa"/>
            <w:shd w:val="clear" w:color="auto" w:fill="auto"/>
            <w:vAlign w:val="bottom"/>
          </w:tcPr>
          <w:p w14:paraId="112F71E6"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823</w:t>
            </w:r>
          </w:p>
        </w:tc>
        <w:tc>
          <w:tcPr>
            <w:tcW w:w="20" w:type="dxa"/>
          </w:tcPr>
          <w:p w14:paraId="643138A1"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p>
        </w:tc>
        <w:tc>
          <w:tcPr>
            <w:tcW w:w="1417" w:type="dxa"/>
            <w:shd w:val="clear" w:color="auto" w:fill="auto"/>
            <w:vAlign w:val="bottom"/>
          </w:tcPr>
          <w:p w14:paraId="4F565B8B" w14:textId="61399239"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11 601 (59</w:t>
            </w:r>
            <w:r w:rsidR="00B72ED0">
              <w:rPr>
                <w:sz w:val="17"/>
              </w:rPr>
              <w:t> </w:t>
            </w:r>
            <w:r w:rsidRPr="00893C43">
              <w:rPr>
                <w:sz w:val="17"/>
              </w:rPr>
              <w:t>%)</w:t>
            </w:r>
          </w:p>
        </w:tc>
        <w:tc>
          <w:tcPr>
            <w:tcW w:w="1418" w:type="dxa"/>
            <w:shd w:val="clear" w:color="auto" w:fill="auto"/>
            <w:vAlign w:val="bottom"/>
          </w:tcPr>
          <w:p w14:paraId="3F02C248" w14:textId="5E203D40"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7 993 (41</w:t>
            </w:r>
            <w:r w:rsidR="00B72ED0">
              <w:rPr>
                <w:sz w:val="17"/>
              </w:rPr>
              <w:t> </w:t>
            </w:r>
            <w:r w:rsidRPr="00893C43">
              <w:rPr>
                <w:sz w:val="17"/>
              </w:rPr>
              <w:t>%)</w:t>
            </w:r>
          </w:p>
        </w:tc>
        <w:tc>
          <w:tcPr>
            <w:tcW w:w="20" w:type="dxa"/>
          </w:tcPr>
          <w:p w14:paraId="67E41560"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p>
        </w:tc>
        <w:tc>
          <w:tcPr>
            <w:tcW w:w="1418" w:type="dxa"/>
            <w:shd w:val="clear" w:color="auto" w:fill="auto"/>
            <w:vAlign w:val="bottom"/>
          </w:tcPr>
          <w:p w14:paraId="3415002F"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176 (14%)</w:t>
            </w:r>
          </w:p>
        </w:tc>
        <w:tc>
          <w:tcPr>
            <w:tcW w:w="1418" w:type="dxa"/>
            <w:shd w:val="clear" w:color="auto" w:fill="auto"/>
            <w:vAlign w:val="bottom"/>
          </w:tcPr>
          <w:p w14:paraId="24B4CBAA"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1 109 (86%)</w:t>
            </w:r>
          </w:p>
        </w:tc>
      </w:tr>
      <w:tr w:rsidR="007C6EA1" w:rsidRPr="00893C43" w14:paraId="367721D2" w14:textId="77777777" w:rsidTr="006C2408">
        <w:tc>
          <w:tcPr>
            <w:tcW w:w="1417" w:type="dxa"/>
            <w:tcBorders>
              <w:bottom w:val="single" w:sz="4" w:space="0" w:color="auto"/>
            </w:tcBorders>
            <w:shd w:val="clear" w:color="auto" w:fill="auto"/>
            <w:vAlign w:val="bottom"/>
          </w:tcPr>
          <w:p w14:paraId="66C1A572" w14:textId="77777777" w:rsidR="007C6EA1" w:rsidRPr="00893C43" w:rsidRDefault="007C6EA1" w:rsidP="00E7239B">
            <w:pPr>
              <w:tabs>
                <w:tab w:val="left" w:pos="288"/>
                <w:tab w:val="left" w:pos="576"/>
                <w:tab w:val="left" w:pos="864"/>
                <w:tab w:val="left" w:pos="1152"/>
              </w:tabs>
              <w:spacing w:before="40" w:after="40" w:line="210" w:lineRule="exact"/>
              <w:ind w:right="40"/>
              <w:rPr>
                <w:sz w:val="17"/>
              </w:rPr>
            </w:pPr>
            <w:r w:rsidRPr="00893C43">
              <w:rPr>
                <w:sz w:val="17"/>
              </w:rPr>
              <w:t>Post Alpha</w:t>
            </w:r>
          </w:p>
        </w:tc>
        <w:tc>
          <w:tcPr>
            <w:tcW w:w="1416" w:type="dxa"/>
            <w:tcBorders>
              <w:bottom w:val="single" w:sz="4" w:space="0" w:color="auto"/>
            </w:tcBorders>
            <w:shd w:val="clear" w:color="auto" w:fill="auto"/>
            <w:vAlign w:val="bottom"/>
          </w:tcPr>
          <w:p w14:paraId="2DF4EFD7"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355</w:t>
            </w:r>
          </w:p>
        </w:tc>
        <w:tc>
          <w:tcPr>
            <w:tcW w:w="20" w:type="dxa"/>
            <w:tcBorders>
              <w:bottom w:val="single" w:sz="4" w:space="0" w:color="auto"/>
            </w:tcBorders>
          </w:tcPr>
          <w:p w14:paraId="28A1D463"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p>
        </w:tc>
        <w:tc>
          <w:tcPr>
            <w:tcW w:w="1417" w:type="dxa"/>
            <w:tcBorders>
              <w:bottom w:val="single" w:sz="4" w:space="0" w:color="auto"/>
            </w:tcBorders>
            <w:shd w:val="clear" w:color="auto" w:fill="auto"/>
            <w:vAlign w:val="bottom"/>
          </w:tcPr>
          <w:p w14:paraId="635DA62A" w14:textId="3A9FD014"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4 197 (57</w:t>
            </w:r>
            <w:r w:rsidR="00B72ED0">
              <w:rPr>
                <w:sz w:val="17"/>
              </w:rPr>
              <w:t> </w:t>
            </w:r>
            <w:r w:rsidRPr="00893C43">
              <w:rPr>
                <w:sz w:val="17"/>
              </w:rPr>
              <w:t>%)</w:t>
            </w:r>
          </w:p>
        </w:tc>
        <w:tc>
          <w:tcPr>
            <w:tcW w:w="1418" w:type="dxa"/>
            <w:tcBorders>
              <w:bottom w:val="single" w:sz="4" w:space="0" w:color="auto"/>
            </w:tcBorders>
            <w:shd w:val="clear" w:color="auto" w:fill="auto"/>
            <w:vAlign w:val="bottom"/>
          </w:tcPr>
          <w:p w14:paraId="1ABC8F0C" w14:textId="4CCE8458"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3 211 (43</w:t>
            </w:r>
            <w:r w:rsidR="00B72ED0">
              <w:rPr>
                <w:sz w:val="17"/>
              </w:rPr>
              <w:t> </w:t>
            </w:r>
            <w:r w:rsidRPr="00893C43">
              <w:rPr>
                <w:sz w:val="17"/>
              </w:rPr>
              <w:t>%)</w:t>
            </w:r>
          </w:p>
        </w:tc>
        <w:tc>
          <w:tcPr>
            <w:tcW w:w="20" w:type="dxa"/>
            <w:tcBorders>
              <w:bottom w:val="single" w:sz="4" w:space="0" w:color="auto"/>
            </w:tcBorders>
          </w:tcPr>
          <w:p w14:paraId="4EC88784"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p>
        </w:tc>
        <w:tc>
          <w:tcPr>
            <w:tcW w:w="1418" w:type="dxa"/>
            <w:tcBorders>
              <w:bottom w:val="single" w:sz="4" w:space="0" w:color="auto"/>
            </w:tcBorders>
            <w:shd w:val="clear" w:color="auto" w:fill="auto"/>
            <w:vAlign w:val="bottom"/>
          </w:tcPr>
          <w:p w14:paraId="7E03A9B7"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91 (14%)</w:t>
            </w:r>
          </w:p>
        </w:tc>
        <w:tc>
          <w:tcPr>
            <w:tcW w:w="1418" w:type="dxa"/>
            <w:tcBorders>
              <w:bottom w:val="single" w:sz="4" w:space="0" w:color="auto"/>
            </w:tcBorders>
            <w:shd w:val="clear" w:color="auto" w:fill="auto"/>
            <w:vAlign w:val="bottom"/>
          </w:tcPr>
          <w:p w14:paraId="6D92DEB8"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sz w:val="17"/>
              </w:rPr>
            </w:pPr>
            <w:r w:rsidRPr="00893C43">
              <w:rPr>
                <w:sz w:val="17"/>
              </w:rPr>
              <w:t>555 (86%)</w:t>
            </w:r>
          </w:p>
        </w:tc>
      </w:tr>
      <w:tr w:rsidR="007C6EA1" w:rsidRPr="00893C43" w14:paraId="24EB99F5" w14:textId="77777777" w:rsidTr="006C2408">
        <w:tc>
          <w:tcPr>
            <w:tcW w:w="1417" w:type="dxa"/>
            <w:tcBorders>
              <w:top w:val="single" w:sz="4" w:space="0" w:color="auto"/>
              <w:bottom w:val="single" w:sz="4" w:space="0" w:color="auto"/>
            </w:tcBorders>
            <w:shd w:val="clear" w:color="auto" w:fill="auto"/>
            <w:vAlign w:val="bottom"/>
          </w:tcPr>
          <w:p w14:paraId="13593B33" w14:textId="77777777" w:rsidR="007C6EA1" w:rsidRPr="00893C43" w:rsidRDefault="007C6EA1" w:rsidP="007C6EA1">
            <w:pPr>
              <w:tabs>
                <w:tab w:val="left" w:pos="288"/>
                <w:tab w:val="left" w:pos="576"/>
                <w:tab w:val="left" w:pos="864"/>
                <w:tab w:val="left" w:pos="1152"/>
              </w:tabs>
              <w:spacing w:before="82" w:after="82" w:line="210" w:lineRule="exact"/>
              <w:ind w:left="288" w:right="40" w:hanging="288"/>
              <w:rPr>
                <w:b/>
                <w:bCs/>
                <w:sz w:val="17"/>
              </w:rPr>
            </w:pPr>
            <w:r w:rsidRPr="00893C43">
              <w:rPr>
                <w:b/>
                <w:bCs/>
                <w:sz w:val="17"/>
              </w:rPr>
              <w:tab/>
              <w:t>Total</w:t>
            </w:r>
          </w:p>
        </w:tc>
        <w:tc>
          <w:tcPr>
            <w:tcW w:w="1416" w:type="dxa"/>
            <w:tcBorders>
              <w:top w:val="single" w:sz="4" w:space="0" w:color="auto"/>
              <w:bottom w:val="single" w:sz="4" w:space="0" w:color="auto"/>
            </w:tcBorders>
            <w:shd w:val="clear" w:color="auto" w:fill="auto"/>
            <w:vAlign w:val="bottom"/>
          </w:tcPr>
          <w:p w14:paraId="6140D90F" w14:textId="77777777"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r w:rsidRPr="00893C43">
              <w:rPr>
                <w:b/>
                <w:bCs/>
                <w:sz w:val="17"/>
              </w:rPr>
              <w:t>2 828</w:t>
            </w:r>
          </w:p>
        </w:tc>
        <w:tc>
          <w:tcPr>
            <w:tcW w:w="20" w:type="dxa"/>
            <w:tcBorders>
              <w:top w:val="single" w:sz="4" w:space="0" w:color="auto"/>
              <w:bottom w:val="single" w:sz="4" w:space="0" w:color="auto"/>
            </w:tcBorders>
          </w:tcPr>
          <w:p w14:paraId="0FD403DF" w14:textId="77777777"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p>
        </w:tc>
        <w:tc>
          <w:tcPr>
            <w:tcW w:w="1417" w:type="dxa"/>
            <w:tcBorders>
              <w:top w:val="single" w:sz="4" w:space="0" w:color="auto"/>
              <w:bottom w:val="single" w:sz="4" w:space="0" w:color="auto"/>
            </w:tcBorders>
            <w:shd w:val="clear" w:color="auto" w:fill="auto"/>
            <w:vAlign w:val="bottom"/>
          </w:tcPr>
          <w:p w14:paraId="53A5394F" w14:textId="5438F166"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r w:rsidRPr="00893C43">
              <w:rPr>
                <w:b/>
                <w:bCs/>
                <w:sz w:val="17"/>
              </w:rPr>
              <w:t>43 626 (58</w:t>
            </w:r>
            <w:r w:rsidR="00B72ED0">
              <w:rPr>
                <w:b/>
                <w:bCs/>
                <w:sz w:val="17"/>
              </w:rPr>
              <w:t> </w:t>
            </w:r>
            <w:r w:rsidRPr="00893C43">
              <w:rPr>
                <w:b/>
                <w:bCs/>
                <w:sz w:val="17"/>
              </w:rPr>
              <w:t>%)</w:t>
            </w:r>
          </w:p>
        </w:tc>
        <w:tc>
          <w:tcPr>
            <w:tcW w:w="1418" w:type="dxa"/>
            <w:tcBorders>
              <w:top w:val="single" w:sz="4" w:space="0" w:color="auto"/>
              <w:bottom w:val="single" w:sz="4" w:space="0" w:color="auto"/>
            </w:tcBorders>
            <w:shd w:val="clear" w:color="auto" w:fill="auto"/>
            <w:vAlign w:val="bottom"/>
          </w:tcPr>
          <w:p w14:paraId="0494677E" w14:textId="0510B1EC"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r w:rsidRPr="00893C43">
              <w:rPr>
                <w:b/>
                <w:bCs/>
                <w:sz w:val="17"/>
              </w:rPr>
              <w:t>31 649 (42</w:t>
            </w:r>
            <w:r w:rsidR="00B72ED0">
              <w:rPr>
                <w:b/>
                <w:bCs/>
                <w:sz w:val="17"/>
              </w:rPr>
              <w:t> </w:t>
            </w:r>
            <w:r w:rsidRPr="00893C43">
              <w:rPr>
                <w:b/>
                <w:bCs/>
                <w:sz w:val="17"/>
              </w:rPr>
              <w:t>%)</w:t>
            </w:r>
          </w:p>
        </w:tc>
        <w:tc>
          <w:tcPr>
            <w:tcW w:w="20" w:type="dxa"/>
            <w:tcBorders>
              <w:top w:val="single" w:sz="4" w:space="0" w:color="auto"/>
              <w:bottom w:val="single" w:sz="4" w:space="0" w:color="auto"/>
            </w:tcBorders>
          </w:tcPr>
          <w:p w14:paraId="4C52ED71" w14:textId="77777777"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p>
        </w:tc>
        <w:tc>
          <w:tcPr>
            <w:tcW w:w="1418" w:type="dxa"/>
            <w:tcBorders>
              <w:top w:val="single" w:sz="4" w:space="0" w:color="auto"/>
              <w:bottom w:val="single" w:sz="4" w:space="0" w:color="auto"/>
            </w:tcBorders>
            <w:shd w:val="clear" w:color="auto" w:fill="auto"/>
            <w:vAlign w:val="bottom"/>
          </w:tcPr>
          <w:p w14:paraId="246BE962" w14:textId="1B0C21FD"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r w:rsidRPr="00893C43">
              <w:rPr>
                <w:b/>
                <w:bCs/>
                <w:sz w:val="17"/>
              </w:rPr>
              <w:t>644 (15</w:t>
            </w:r>
            <w:r w:rsidR="00B72ED0">
              <w:rPr>
                <w:b/>
                <w:bCs/>
                <w:sz w:val="17"/>
              </w:rPr>
              <w:t> </w:t>
            </w:r>
            <w:r w:rsidRPr="00893C43">
              <w:rPr>
                <w:b/>
                <w:bCs/>
                <w:sz w:val="17"/>
              </w:rPr>
              <w:t>%)</w:t>
            </w:r>
          </w:p>
        </w:tc>
        <w:tc>
          <w:tcPr>
            <w:tcW w:w="1418" w:type="dxa"/>
            <w:tcBorders>
              <w:top w:val="single" w:sz="4" w:space="0" w:color="auto"/>
              <w:bottom w:val="single" w:sz="4" w:space="0" w:color="auto"/>
            </w:tcBorders>
            <w:shd w:val="clear" w:color="auto" w:fill="auto"/>
            <w:vAlign w:val="bottom"/>
          </w:tcPr>
          <w:p w14:paraId="5AE52C91" w14:textId="3D310916" w:rsidR="007C6EA1" w:rsidRPr="00893C43" w:rsidRDefault="007C6EA1" w:rsidP="007C6EA1">
            <w:pPr>
              <w:tabs>
                <w:tab w:val="left" w:pos="288"/>
                <w:tab w:val="left" w:pos="576"/>
                <w:tab w:val="left" w:pos="864"/>
                <w:tab w:val="left" w:pos="1152"/>
              </w:tabs>
              <w:spacing w:before="82" w:after="82" w:line="210" w:lineRule="exact"/>
              <w:ind w:left="144" w:right="43"/>
              <w:jc w:val="right"/>
              <w:rPr>
                <w:b/>
                <w:bCs/>
                <w:sz w:val="17"/>
              </w:rPr>
            </w:pPr>
            <w:r w:rsidRPr="00893C43">
              <w:rPr>
                <w:b/>
                <w:bCs/>
                <w:sz w:val="17"/>
              </w:rPr>
              <w:t>3 727 (85</w:t>
            </w:r>
            <w:r w:rsidR="00B72ED0">
              <w:rPr>
                <w:b/>
                <w:bCs/>
                <w:sz w:val="17"/>
              </w:rPr>
              <w:t> </w:t>
            </w:r>
            <w:r w:rsidRPr="00893C43">
              <w:rPr>
                <w:b/>
                <w:bCs/>
                <w:sz w:val="17"/>
              </w:rPr>
              <w:t>%)</w:t>
            </w:r>
          </w:p>
        </w:tc>
      </w:tr>
      <w:tr w:rsidR="007C6EA1" w:rsidRPr="00893C43" w14:paraId="7133C360" w14:textId="77777777" w:rsidTr="006C2408">
        <w:tc>
          <w:tcPr>
            <w:tcW w:w="1417" w:type="dxa"/>
            <w:tcBorders>
              <w:top w:val="single" w:sz="4" w:space="0" w:color="auto"/>
              <w:bottom w:val="single" w:sz="12" w:space="0" w:color="auto"/>
            </w:tcBorders>
            <w:shd w:val="clear" w:color="auto" w:fill="auto"/>
            <w:vAlign w:val="bottom"/>
          </w:tcPr>
          <w:p w14:paraId="7D7E1954" w14:textId="77777777" w:rsidR="007C6EA1" w:rsidRPr="00893C43" w:rsidRDefault="007C6EA1" w:rsidP="00E7239B">
            <w:pPr>
              <w:tabs>
                <w:tab w:val="left" w:pos="288"/>
                <w:tab w:val="left" w:pos="576"/>
                <w:tab w:val="left" w:pos="864"/>
                <w:tab w:val="left" w:pos="1152"/>
              </w:tabs>
              <w:spacing w:before="40" w:after="40" w:line="210" w:lineRule="exact"/>
              <w:ind w:right="40"/>
              <w:rPr>
                <w:b/>
                <w:bCs/>
                <w:sz w:val="17"/>
              </w:rPr>
            </w:pPr>
          </w:p>
        </w:tc>
        <w:tc>
          <w:tcPr>
            <w:tcW w:w="1416" w:type="dxa"/>
            <w:tcBorders>
              <w:top w:val="single" w:sz="4" w:space="0" w:color="auto"/>
              <w:bottom w:val="single" w:sz="12" w:space="0" w:color="auto"/>
            </w:tcBorders>
            <w:shd w:val="clear" w:color="auto" w:fill="auto"/>
            <w:vAlign w:val="bottom"/>
          </w:tcPr>
          <w:p w14:paraId="699E96BC"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b/>
                <w:bCs/>
                <w:sz w:val="17"/>
              </w:rPr>
            </w:pPr>
          </w:p>
        </w:tc>
        <w:tc>
          <w:tcPr>
            <w:tcW w:w="20" w:type="dxa"/>
            <w:tcBorders>
              <w:top w:val="single" w:sz="4" w:space="0" w:color="auto"/>
              <w:bottom w:val="single" w:sz="12" w:space="0" w:color="auto"/>
            </w:tcBorders>
          </w:tcPr>
          <w:p w14:paraId="0409A7CE"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b/>
                <w:bCs/>
                <w:sz w:val="17"/>
              </w:rPr>
            </w:pPr>
          </w:p>
        </w:tc>
        <w:tc>
          <w:tcPr>
            <w:tcW w:w="2835" w:type="dxa"/>
            <w:gridSpan w:val="2"/>
            <w:tcBorders>
              <w:top w:val="single" w:sz="4" w:space="0" w:color="auto"/>
              <w:bottom w:val="single" w:sz="12" w:space="0" w:color="auto"/>
            </w:tcBorders>
            <w:shd w:val="clear" w:color="auto" w:fill="auto"/>
            <w:vAlign w:val="bottom"/>
          </w:tcPr>
          <w:p w14:paraId="017746D5" w14:textId="77777777" w:rsidR="007C6EA1" w:rsidRPr="00893C43" w:rsidRDefault="007C6EA1" w:rsidP="00E7239B">
            <w:pPr>
              <w:tabs>
                <w:tab w:val="left" w:pos="288"/>
                <w:tab w:val="left" w:pos="576"/>
                <w:tab w:val="left" w:pos="864"/>
                <w:tab w:val="left" w:pos="1152"/>
              </w:tabs>
              <w:spacing w:before="40" w:after="40" w:line="210" w:lineRule="exact"/>
              <w:ind w:left="144" w:right="43"/>
              <w:jc w:val="center"/>
              <w:rPr>
                <w:b/>
                <w:bCs/>
                <w:sz w:val="17"/>
              </w:rPr>
            </w:pPr>
            <w:r w:rsidRPr="00893C43">
              <w:rPr>
                <w:b/>
                <w:bCs/>
                <w:sz w:val="17"/>
              </w:rPr>
              <w:t>75 275</w:t>
            </w:r>
          </w:p>
        </w:tc>
        <w:tc>
          <w:tcPr>
            <w:tcW w:w="20" w:type="dxa"/>
            <w:tcBorders>
              <w:top w:val="single" w:sz="4" w:space="0" w:color="auto"/>
              <w:bottom w:val="single" w:sz="12" w:space="0" w:color="auto"/>
            </w:tcBorders>
          </w:tcPr>
          <w:p w14:paraId="57E5074F" w14:textId="77777777" w:rsidR="007C6EA1" w:rsidRPr="00893C43" w:rsidRDefault="007C6EA1" w:rsidP="00E7239B">
            <w:pPr>
              <w:tabs>
                <w:tab w:val="left" w:pos="288"/>
                <w:tab w:val="left" w:pos="576"/>
                <w:tab w:val="left" w:pos="864"/>
                <w:tab w:val="left" w:pos="1152"/>
              </w:tabs>
              <w:spacing w:before="40" w:after="40" w:line="210" w:lineRule="exact"/>
              <w:ind w:left="144" w:right="43"/>
              <w:jc w:val="right"/>
              <w:rPr>
                <w:b/>
                <w:bCs/>
                <w:sz w:val="17"/>
              </w:rPr>
            </w:pPr>
          </w:p>
        </w:tc>
        <w:tc>
          <w:tcPr>
            <w:tcW w:w="2836" w:type="dxa"/>
            <w:gridSpan w:val="2"/>
            <w:tcBorders>
              <w:top w:val="single" w:sz="4" w:space="0" w:color="auto"/>
              <w:bottom w:val="single" w:sz="12" w:space="0" w:color="auto"/>
            </w:tcBorders>
            <w:shd w:val="clear" w:color="auto" w:fill="auto"/>
            <w:vAlign w:val="bottom"/>
          </w:tcPr>
          <w:p w14:paraId="085648CE" w14:textId="77777777" w:rsidR="007C6EA1" w:rsidRPr="00893C43" w:rsidRDefault="007C6EA1" w:rsidP="00E7239B">
            <w:pPr>
              <w:tabs>
                <w:tab w:val="left" w:pos="288"/>
                <w:tab w:val="left" w:pos="576"/>
                <w:tab w:val="left" w:pos="864"/>
                <w:tab w:val="left" w:pos="1152"/>
              </w:tabs>
              <w:spacing w:before="40" w:after="40" w:line="210" w:lineRule="exact"/>
              <w:ind w:left="144" w:right="43"/>
              <w:jc w:val="center"/>
              <w:rPr>
                <w:b/>
                <w:bCs/>
                <w:sz w:val="17"/>
              </w:rPr>
            </w:pPr>
            <w:r w:rsidRPr="00893C43">
              <w:rPr>
                <w:b/>
                <w:bCs/>
                <w:sz w:val="17"/>
              </w:rPr>
              <w:t>4 371</w:t>
            </w:r>
          </w:p>
        </w:tc>
      </w:tr>
      <w:bookmarkEnd w:id="4"/>
    </w:tbl>
    <w:p w14:paraId="10BCC060" w14:textId="69354534" w:rsidR="007C6EA1" w:rsidRPr="007C6EA1" w:rsidRDefault="007C6EA1" w:rsidP="007C6EA1">
      <w:pPr>
        <w:pStyle w:val="SingleTxt"/>
        <w:spacing w:after="0" w:line="120" w:lineRule="exact"/>
        <w:rPr>
          <w:sz w:val="10"/>
          <w:lang w:val="fr-FR"/>
        </w:rPr>
      </w:pPr>
    </w:p>
    <w:p w14:paraId="3BACC83D" w14:textId="22FFEBED" w:rsidR="007C6EA1" w:rsidRPr="007C6EA1" w:rsidRDefault="007C6EA1" w:rsidP="007C6EA1">
      <w:pPr>
        <w:pStyle w:val="SingleTxt"/>
        <w:spacing w:after="0" w:line="120" w:lineRule="exact"/>
        <w:rPr>
          <w:sz w:val="10"/>
          <w:lang w:val="fr-FR"/>
        </w:rPr>
      </w:pPr>
    </w:p>
    <w:p w14:paraId="02A5E06F" w14:textId="4AEAEF20" w:rsidR="00364BF3" w:rsidRDefault="00364BF3" w:rsidP="006C2408">
      <w:pPr>
        <w:pStyle w:val="SingleTxt"/>
        <w:numPr>
          <w:ilvl w:val="0"/>
          <w:numId w:val="24"/>
        </w:numPr>
        <w:spacing w:line="240" w:lineRule="exact"/>
        <w:rPr>
          <w:lang w:val="fr-FR"/>
        </w:rPr>
      </w:pPr>
      <w:r w:rsidRPr="00190491">
        <w:rPr>
          <w:lang w:val="fr-FR"/>
        </w:rPr>
        <w:t>Au niveau, de l</w:t>
      </w:r>
      <w:r w:rsidR="000C16F5">
        <w:rPr>
          <w:lang w:val="fr-FR"/>
        </w:rPr>
        <w:t>’</w:t>
      </w:r>
      <w:r w:rsidRPr="00190491">
        <w:rPr>
          <w:lang w:val="fr-FR"/>
        </w:rPr>
        <w:t>éducation de base non formelle en faveur des filles, des mesures d</w:t>
      </w:r>
      <w:r w:rsidR="000C16F5">
        <w:rPr>
          <w:lang w:val="fr-FR"/>
        </w:rPr>
        <w:t>’</w:t>
      </w:r>
      <w:r w:rsidRPr="00190491">
        <w:rPr>
          <w:lang w:val="fr-FR"/>
        </w:rPr>
        <w:t>accroissement et de renforcement des Institutions de Formation et d</w:t>
      </w:r>
      <w:r w:rsidR="000C16F5">
        <w:rPr>
          <w:lang w:val="fr-FR"/>
        </w:rPr>
        <w:t>’</w:t>
      </w:r>
      <w:r w:rsidR="00C10A78" w:rsidRPr="00190491">
        <w:rPr>
          <w:lang w:val="fr-FR"/>
        </w:rPr>
        <w:t>Éducation</w:t>
      </w:r>
      <w:r w:rsidRPr="00190491">
        <w:rPr>
          <w:lang w:val="fr-FR"/>
        </w:rPr>
        <w:t xml:space="preserve"> Féminine (IFEF) ont été prises. Ces structures contribuent à l</w:t>
      </w:r>
      <w:r w:rsidR="000C16F5">
        <w:rPr>
          <w:lang w:val="fr-FR"/>
        </w:rPr>
        <w:t>’</w:t>
      </w:r>
      <w:r w:rsidRPr="00190491">
        <w:rPr>
          <w:lang w:val="fr-FR"/>
        </w:rPr>
        <w:t>alphabétisation et à la formation à un emploi générateur de revenu au profit des filles déscolarisées et des femmes. Ainsi, 15.840 ont été alphabétisées de 2011 à 2016 par les enseignantes des IFEFs dans les centres de formation et dans les communautés. Pour améliorer l</w:t>
      </w:r>
      <w:r w:rsidR="000C16F5">
        <w:rPr>
          <w:lang w:val="fr-FR"/>
        </w:rPr>
        <w:t>’</w:t>
      </w:r>
      <w:r w:rsidRPr="00190491">
        <w:rPr>
          <w:lang w:val="fr-FR"/>
        </w:rPr>
        <w:t>intégration des auditrices, un document de politique de réforme des IFEFs est en cours de finalisation.</w:t>
      </w:r>
    </w:p>
    <w:p w14:paraId="6A0FB086" w14:textId="4AEBDEFD" w:rsidR="001B5A87" w:rsidRPr="001B5A87" w:rsidRDefault="001B5A87" w:rsidP="001B5A87">
      <w:pPr>
        <w:pStyle w:val="SingleTxtG"/>
        <w:keepNext/>
        <w:keepLines/>
        <w:spacing w:after="0" w:line="120" w:lineRule="exact"/>
        <w:ind w:left="1267"/>
        <w:rPr>
          <w:sz w:val="10"/>
          <w:lang w:val="fr-FR"/>
        </w:rPr>
      </w:pPr>
    </w:p>
    <w:p w14:paraId="309FB9EC" w14:textId="2996395E" w:rsidR="00364BF3" w:rsidRDefault="00364BF3" w:rsidP="001B5A8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Emploi</w:t>
      </w:r>
    </w:p>
    <w:p w14:paraId="0323A0A5" w14:textId="4B3E1B9D" w:rsidR="001B5A87" w:rsidRPr="001B5A87" w:rsidRDefault="001B5A87" w:rsidP="001B5A87">
      <w:pPr>
        <w:spacing w:line="120" w:lineRule="exact"/>
        <w:rPr>
          <w:sz w:val="10"/>
          <w:lang w:val="fr-FR"/>
        </w:rPr>
      </w:pPr>
    </w:p>
    <w:p w14:paraId="7AAC6408" w14:textId="5C72DB0A" w:rsidR="00364BF3" w:rsidRPr="001B5A87" w:rsidRDefault="00364BF3" w:rsidP="006C2408">
      <w:pPr>
        <w:pStyle w:val="SingleTxt"/>
        <w:numPr>
          <w:ilvl w:val="0"/>
          <w:numId w:val="24"/>
        </w:numPr>
        <w:spacing w:line="240" w:lineRule="exact"/>
        <w:rPr>
          <w:b/>
          <w:bCs/>
          <w:lang w:val="fr-FR"/>
        </w:rPr>
      </w:pPr>
      <w:r w:rsidRPr="001B5A87">
        <w:rPr>
          <w:b/>
          <w:bCs/>
          <w:lang w:val="fr-FR"/>
        </w:rPr>
        <w:t>De protéger les filles et les garçons contre l</w:t>
      </w:r>
      <w:r w:rsidR="000C16F5" w:rsidRPr="001B5A87">
        <w:rPr>
          <w:b/>
          <w:bCs/>
          <w:lang w:val="fr-FR"/>
        </w:rPr>
        <w:t>’</w:t>
      </w:r>
      <w:r w:rsidRPr="001B5A87">
        <w:rPr>
          <w:b/>
          <w:bCs/>
          <w:lang w:val="fr-FR"/>
        </w:rPr>
        <w:t>exploitation par le travail, notamment dans les plantations de cacao et la domesticité, en multipliant les inspections et en infligeant des amendes aux employeurs, conformément à la Convention de l</w:t>
      </w:r>
      <w:r w:rsidR="000C16F5" w:rsidRPr="001B5A87">
        <w:rPr>
          <w:b/>
          <w:bCs/>
          <w:lang w:val="fr-FR"/>
        </w:rPr>
        <w:t>’</w:t>
      </w:r>
      <w:r w:rsidRPr="001B5A87">
        <w:rPr>
          <w:b/>
          <w:bCs/>
          <w:lang w:val="fr-FR"/>
        </w:rPr>
        <w:t>OIT no 182 de 1999 relative aux pires formes de travail des enfants, de réglementer et surveiller les conditions de travail des domestiques, en particulier des jeunes filles, et d</w:t>
      </w:r>
      <w:r w:rsidR="000C16F5" w:rsidRPr="001B5A87">
        <w:rPr>
          <w:b/>
          <w:bCs/>
          <w:lang w:val="fr-FR"/>
        </w:rPr>
        <w:t>’</w:t>
      </w:r>
      <w:r w:rsidRPr="001B5A87">
        <w:rPr>
          <w:b/>
          <w:bCs/>
          <w:lang w:val="fr-FR"/>
        </w:rPr>
        <w:t>envisager de ratifier la Convention de l</w:t>
      </w:r>
      <w:r w:rsidR="000C16F5" w:rsidRPr="001B5A87">
        <w:rPr>
          <w:b/>
          <w:bCs/>
          <w:lang w:val="fr-FR"/>
        </w:rPr>
        <w:t>’</w:t>
      </w:r>
      <w:r w:rsidRPr="001B5A87">
        <w:rPr>
          <w:b/>
          <w:bCs/>
          <w:lang w:val="fr-FR"/>
        </w:rPr>
        <w:t>OIT n</w:t>
      </w:r>
      <w:r w:rsidR="00CE68DE" w:rsidRPr="00CE68DE">
        <w:rPr>
          <w:b/>
          <w:bCs/>
          <w:vertAlign w:val="superscript"/>
          <w:lang w:val="fr-FR"/>
        </w:rPr>
        <w:t>o</w:t>
      </w:r>
      <w:r w:rsidR="00CE68DE">
        <w:rPr>
          <w:b/>
          <w:bCs/>
          <w:lang w:val="fr-FR"/>
        </w:rPr>
        <w:t> </w:t>
      </w:r>
      <w:r w:rsidRPr="001B5A87">
        <w:rPr>
          <w:b/>
          <w:bCs/>
          <w:lang w:val="fr-FR"/>
        </w:rPr>
        <w:t xml:space="preserve">189 de 2011 sur les travailleuses et les travailleurs domestiques </w:t>
      </w:r>
      <w:r w:rsidR="00D81000">
        <w:rPr>
          <w:b/>
          <w:bCs/>
          <w:lang w:val="fr-FR"/>
        </w:rPr>
        <w:t>[</w:t>
      </w:r>
      <w:r w:rsidRPr="001B5A87">
        <w:rPr>
          <w:b/>
          <w:bCs/>
          <w:lang w:val="fr-FR"/>
        </w:rPr>
        <w:t xml:space="preserve">voir </w:t>
      </w:r>
      <w:hyperlink r:id="rId78" w:history="1">
        <w:r w:rsidRPr="007B345A">
          <w:rPr>
            <w:rStyle w:val="Hyperlink"/>
            <w:b/>
            <w:bCs/>
            <w:lang w:val="fr-FR"/>
          </w:rPr>
          <w:t>CEDAW/C/CIV/CO/1-3</w:t>
        </w:r>
      </w:hyperlink>
      <w:r w:rsidRPr="001B5A87">
        <w:rPr>
          <w:b/>
          <w:bCs/>
          <w:lang w:val="fr-FR"/>
        </w:rPr>
        <w:t xml:space="preserve">, </w:t>
      </w:r>
      <w:r w:rsidR="006862B3">
        <w:rPr>
          <w:b/>
          <w:bCs/>
          <w:lang w:val="fr-FR"/>
        </w:rPr>
        <w:t>par. </w:t>
      </w:r>
      <w:r w:rsidRPr="001B5A87">
        <w:rPr>
          <w:b/>
          <w:bCs/>
          <w:lang w:val="fr-FR"/>
        </w:rPr>
        <w:t>39 a)</w:t>
      </w:r>
      <w:r w:rsidR="00D81000">
        <w:rPr>
          <w:b/>
          <w:bCs/>
          <w:lang w:val="fr-FR"/>
        </w:rPr>
        <w:t>]</w:t>
      </w:r>
      <w:r w:rsidRPr="001B5A87">
        <w:rPr>
          <w:b/>
          <w:bCs/>
          <w:lang w:val="fr-FR"/>
        </w:rPr>
        <w:t>.</w:t>
      </w:r>
    </w:p>
    <w:p w14:paraId="42867AD2" w14:textId="1A7B021B" w:rsidR="00364BF3" w:rsidRPr="00190491" w:rsidRDefault="00364BF3" w:rsidP="006C2408">
      <w:pPr>
        <w:pStyle w:val="SingleTxt"/>
        <w:numPr>
          <w:ilvl w:val="0"/>
          <w:numId w:val="24"/>
        </w:numPr>
        <w:spacing w:line="240" w:lineRule="exact"/>
        <w:rPr>
          <w:lang w:val="fr-FR"/>
        </w:rPr>
      </w:pPr>
      <w:r w:rsidRPr="00190491">
        <w:rPr>
          <w:lang w:val="fr-FR"/>
        </w:rPr>
        <w:lastRenderedPageBreak/>
        <w:t>La loi n</w:t>
      </w:r>
      <w:r w:rsidR="004B7322" w:rsidRPr="004B7322">
        <w:rPr>
          <w:vertAlign w:val="superscript"/>
          <w:lang w:val="fr-FR"/>
        </w:rPr>
        <w:t>o</w:t>
      </w:r>
      <w:r w:rsidR="004B7322">
        <w:rPr>
          <w:lang w:val="fr-FR"/>
        </w:rPr>
        <w:t> </w:t>
      </w:r>
      <w:r w:rsidRPr="00190491">
        <w:rPr>
          <w:lang w:val="fr-FR"/>
        </w:rPr>
        <w:t>2010-272 relative à l</w:t>
      </w:r>
      <w:r w:rsidR="000C16F5">
        <w:rPr>
          <w:lang w:val="fr-FR"/>
        </w:rPr>
        <w:t>’</w:t>
      </w:r>
      <w:r w:rsidRPr="00190491">
        <w:rPr>
          <w:lang w:val="fr-FR"/>
        </w:rPr>
        <w:t>interdiction de la traite des enfants et des pires formes de travail des enfants, adoptée en septembre 2010, prévoit des peines d</w:t>
      </w:r>
      <w:r w:rsidR="000C16F5">
        <w:rPr>
          <w:lang w:val="fr-FR"/>
        </w:rPr>
        <w:t>’</w:t>
      </w:r>
      <w:r w:rsidRPr="00190491">
        <w:rPr>
          <w:lang w:val="fr-FR"/>
        </w:rPr>
        <w:t>emprisonnement de 5 à 20 ans et une amende pour contrainte des enfants ou leur offre à des fins de prostitution.</w:t>
      </w:r>
    </w:p>
    <w:p w14:paraId="3C22A421" w14:textId="7F4DBF61" w:rsidR="00364BF3" w:rsidRPr="00190491" w:rsidRDefault="00364BF3" w:rsidP="006C2408">
      <w:pPr>
        <w:pStyle w:val="SingleTxt"/>
        <w:numPr>
          <w:ilvl w:val="0"/>
          <w:numId w:val="24"/>
        </w:numPr>
        <w:spacing w:line="240" w:lineRule="exact"/>
        <w:rPr>
          <w:lang w:val="fr-FR"/>
        </w:rPr>
      </w:pPr>
      <w:r w:rsidRPr="00190491">
        <w:rPr>
          <w:lang w:val="fr-FR"/>
        </w:rPr>
        <w:t>Le Comité National de Surveillance (CNS) et le Comité Interministériel (CIM), créé en 2011, continuent de servir d</w:t>
      </w:r>
      <w:r w:rsidR="000C16F5">
        <w:rPr>
          <w:lang w:val="fr-FR"/>
        </w:rPr>
        <w:t>’</w:t>
      </w:r>
      <w:r w:rsidRPr="00190491">
        <w:rPr>
          <w:lang w:val="fr-FR"/>
        </w:rPr>
        <w:t>organes nationaux de coordination sur les questions de traite des personnes en Côte d</w:t>
      </w:r>
      <w:r w:rsidR="000C16F5">
        <w:rPr>
          <w:lang w:val="fr-FR"/>
        </w:rPr>
        <w:t>’</w:t>
      </w:r>
      <w:r w:rsidRPr="00190491">
        <w:rPr>
          <w:lang w:val="fr-FR"/>
        </w:rPr>
        <w:t>Ivoire. Le Plan National d</w:t>
      </w:r>
      <w:r w:rsidR="000C16F5">
        <w:rPr>
          <w:lang w:val="fr-FR"/>
        </w:rPr>
        <w:t>’</w:t>
      </w:r>
      <w:r w:rsidRPr="00190491">
        <w:rPr>
          <w:lang w:val="fr-FR"/>
        </w:rPr>
        <w:t xml:space="preserve">Action 2012-2014 sur le Travail des enfants et la Traite a été mis en œuvre avec de réels progrès. </w:t>
      </w:r>
    </w:p>
    <w:p w14:paraId="17FF57AA" w14:textId="7DD4A797" w:rsidR="00364BF3" w:rsidRPr="00190491" w:rsidRDefault="00364BF3" w:rsidP="006C2408">
      <w:pPr>
        <w:pStyle w:val="SingleTxt"/>
        <w:numPr>
          <w:ilvl w:val="0"/>
          <w:numId w:val="24"/>
        </w:numPr>
        <w:spacing w:line="240" w:lineRule="exact"/>
        <w:rPr>
          <w:b/>
          <w:lang w:val="fr-FR"/>
        </w:rPr>
      </w:pPr>
      <w:r w:rsidRPr="00190491">
        <w:rPr>
          <w:b/>
          <w:lang w:val="fr-FR"/>
        </w:rPr>
        <w:t xml:space="preserve">De mettre en place des mécanismes de promotion de la femme dans tous les secteurs professionnels </w:t>
      </w:r>
      <w:r w:rsidR="00D81000">
        <w:rPr>
          <w:b/>
          <w:lang w:val="fr-FR"/>
        </w:rPr>
        <w:t>[</w:t>
      </w:r>
      <w:r w:rsidRPr="00190491">
        <w:rPr>
          <w:b/>
          <w:lang w:val="fr-FR"/>
        </w:rPr>
        <w:t xml:space="preserve">voir </w:t>
      </w:r>
      <w:hyperlink r:id="rId79" w:history="1">
        <w:r w:rsidRPr="007B345A">
          <w:rPr>
            <w:rStyle w:val="Hyperlink"/>
            <w:b/>
            <w:bCs/>
            <w:lang w:val="fr-FR"/>
          </w:rPr>
          <w:t>CEDAW/C/CIV/CO/1-</w:t>
        </w:r>
        <w:r w:rsidRPr="007B345A">
          <w:rPr>
            <w:rStyle w:val="Hyperlink"/>
            <w:lang w:val="fr-FR"/>
          </w:rPr>
          <w:t>3</w:t>
        </w:r>
      </w:hyperlink>
      <w:r w:rsidRPr="00190491">
        <w:rPr>
          <w:b/>
          <w:lang w:val="fr-FR"/>
        </w:rPr>
        <w:t xml:space="preserve">, </w:t>
      </w:r>
      <w:r w:rsidR="006862B3">
        <w:rPr>
          <w:b/>
          <w:lang w:val="fr-FR"/>
        </w:rPr>
        <w:t>par. </w:t>
      </w:r>
      <w:r w:rsidRPr="00190491">
        <w:rPr>
          <w:b/>
          <w:lang w:val="fr-FR"/>
        </w:rPr>
        <w:t>39 b)</w:t>
      </w:r>
      <w:r w:rsidR="00D81000">
        <w:rPr>
          <w:b/>
          <w:lang w:val="fr-FR"/>
        </w:rPr>
        <w:t>]</w:t>
      </w:r>
      <w:r w:rsidRPr="00190491">
        <w:rPr>
          <w:b/>
          <w:lang w:val="fr-FR"/>
        </w:rPr>
        <w:t>.</w:t>
      </w:r>
    </w:p>
    <w:p w14:paraId="39D2C7C9" w14:textId="7B2C6B48" w:rsidR="00364BF3" w:rsidRPr="00190491" w:rsidRDefault="00364BF3" w:rsidP="006C2408">
      <w:pPr>
        <w:pStyle w:val="SingleTxt"/>
        <w:numPr>
          <w:ilvl w:val="0"/>
          <w:numId w:val="24"/>
        </w:numPr>
        <w:spacing w:line="240" w:lineRule="exact"/>
        <w:rPr>
          <w:lang w:val="fr-FR"/>
        </w:rPr>
      </w:pPr>
      <w:r w:rsidRPr="00190491">
        <w:rPr>
          <w:lang w:val="fr-FR"/>
        </w:rPr>
        <w:t>L</w:t>
      </w:r>
      <w:r w:rsidR="000C16F5">
        <w:rPr>
          <w:lang w:val="fr-FR"/>
        </w:rPr>
        <w:t>’</w:t>
      </w:r>
      <w:r w:rsidR="00C10A78" w:rsidRPr="00190491">
        <w:rPr>
          <w:lang w:val="fr-FR"/>
        </w:rPr>
        <w:t>État</w:t>
      </w:r>
      <w:r w:rsidRPr="00190491">
        <w:rPr>
          <w:iCs/>
          <w:lang w:val="fr-FR"/>
        </w:rPr>
        <w:t xml:space="preserve"> a élaboré plusieurs politiques et programmes en faveur des femmes. Les plus spécifiques sont</w:t>
      </w:r>
      <w:r w:rsidR="008945B3">
        <w:rPr>
          <w:iCs/>
          <w:lang w:val="fr-FR"/>
        </w:rPr>
        <w:t> :</w:t>
      </w:r>
    </w:p>
    <w:p w14:paraId="6647383E" w14:textId="2CB7A277" w:rsidR="00364BF3" w:rsidRPr="00190491" w:rsidRDefault="00B134CD" w:rsidP="00B134CD">
      <w:pPr>
        <w:pStyle w:val="SingleTxt"/>
        <w:tabs>
          <w:tab w:val="right" w:pos="1685"/>
        </w:tabs>
        <w:ind w:left="1742" w:hanging="475"/>
        <w:rPr>
          <w:lang w:val="fr-FR"/>
        </w:rPr>
      </w:pPr>
      <w:r>
        <w:rPr>
          <w:lang w:val="fr-FR"/>
        </w:rPr>
        <w:tab/>
        <w:t>•</w:t>
      </w:r>
      <w:r>
        <w:rPr>
          <w:lang w:val="fr-FR"/>
        </w:rPr>
        <w:tab/>
      </w:r>
      <w:r w:rsidR="00364BF3" w:rsidRPr="00190491">
        <w:rPr>
          <w:lang w:val="fr-FR"/>
        </w:rPr>
        <w:t>Le Plan National d</w:t>
      </w:r>
      <w:r w:rsidR="000C16F5">
        <w:rPr>
          <w:lang w:val="fr-FR"/>
        </w:rPr>
        <w:t>’</w:t>
      </w:r>
      <w:r w:rsidR="00364BF3" w:rsidRPr="00190491">
        <w:rPr>
          <w:lang w:val="fr-FR"/>
        </w:rPr>
        <w:t>Investissement Agricole (PNIA, 2012‐2015) en faveur des femmes en milieu rural</w:t>
      </w:r>
      <w:r w:rsidR="00DB4C05">
        <w:rPr>
          <w:lang w:val="fr-FR"/>
        </w:rPr>
        <w:t> ;</w:t>
      </w:r>
    </w:p>
    <w:p w14:paraId="554594A3" w14:textId="1807AB41" w:rsidR="00364BF3" w:rsidRPr="00190491" w:rsidRDefault="00B134CD" w:rsidP="00B134CD">
      <w:pPr>
        <w:pStyle w:val="SingleTxt"/>
        <w:tabs>
          <w:tab w:val="right" w:pos="1685"/>
        </w:tabs>
        <w:ind w:left="1742" w:hanging="475"/>
        <w:rPr>
          <w:lang w:val="fr-FR"/>
        </w:rPr>
      </w:pPr>
      <w:r>
        <w:rPr>
          <w:lang w:val="fr-FR"/>
        </w:rPr>
        <w:tab/>
        <w:t>•</w:t>
      </w:r>
      <w:r>
        <w:rPr>
          <w:lang w:val="fr-FR"/>
        </w:rPr>
        <w:tab/>
      </w:r>
      <w:r w:rsidR="00364BF3" w:rsidRPr="00190491">
        <w:rPr>
          <w:lang w:val="fr-FR"/>
        </w:rPr>
        <w:t>Le Plan d</w:t>
      </w:r>
      <w:r w:rsidR="000C16F5">
        <w:rPr>
          <w:lang w:val="fr-FR"/>
        </w:rPr>
        <w:t>’</w:t>
      </w:r>
      <w:r w:rsidR="00364BF3" w:rsidRPr="00190491">
        <w:rPr>
          <w:lang w:val="fr-FR"/>
        </w:rPr>
        <w:t>opérationnalisation de la politique nationale sur l</w:t>
      </w:r>
      <w:r w:rsidR="000C16F5">
        <w:rPr>
          <w:lang w:val="fr-FR"/>
        </w:rPr>
        <w:t>’</w:t>
      </w:r>
      <w:r w:rsidR="00364BF3" w:rsidRPr="00190491">
        <w:rPr>
          <w:lang w:val="fr-FR"/>
        </w:rPr>
        <w:t>égalité des chances, l</w:t>
      </w:r>
      <w:r w:rsidR="000C16F5">
        <w:rPr>
          <w:lang w:val="fr-FR"/>
        </w:rPr>
        <w:t>’</w:t>
      </w:r>
      <w:r w:rsidR="00364BF3" w:rsidRPr="00190491">
        <w:rPr>
          <w:lang w:val="fr-FR"/>
        </w:rPr>
        <w:t>équité et le genre (2014‐2016)</w:t>
      </w:r>
      <w:r w:rsidR="00DB4C05">
        <w:rPr>
          <w:lang w:val="fr-FR"/>
        </w:rPr>
        <w:t> ;</w:t>
      </w:r>
    </w:p>
    <w:p w14:paraId="6964238E" w14:textId="4A12D9B5" w:rsidR="00364BF3" w:rsidRPr="00190491" w:rsidRDefault="00B134CD" w:rsidP="00B134CD">
      <w:pPr>
        <w:pStyle w:val="SingleTxt"/>
        <w:tabs>
          <w:tab w:val="right" w:pos="1685"/>
        </w:tabs>
        <w:ind w:left="1742" w:hanging="475"/>
        <w:rPr>
          <w:lang w:val="fr-FR"/>
        </w:rPr>
      </w:pPr>
      <w:r>
        <w:rPr>
          <w:lang w:val="fr-FR"/>
        </w:rPr>
        <w:tab/>
        <w:t>•</w:t>
      </w:r>
      <w:r>
        <w:rPr>
          <w:lang w:val="fr-FR"/>
        </w:rPr>
        <w:tab/>
      </w:r>
      <w:r w:rsidR="00364BF3" w:rsidRPr="00190491">
        <w:rPr>
          <w:lang w:val="fr-FR"/>
        </w:rPr>
        <w:t>La Stratégie Nationale de Protection Sociale (SNPS, 2013-2016).</w:t>
      </w:r>
    </w:p>
    <w:p w14:paraId="41B4DF78" w14:textId="7575549C" w:rsidR="00364BF3" w:rsidRPr="005A47BA" w:rsidRDefault="00364BF3" w:rsidP="006C2408">
      <w:pPr>
        <w:pStyle w:val="SingleTxt"/>
        <w:numPr>
          <w:ilvl w:val="0"/>
          <w:numId w:val="24"/>
        </w:numPr>
        <w:spacing w:line="240" w:lineRule="exact"/>
        <w:rPr>
          <w:b/>
          <w:bCs/>
          <w:lang w:val="fr-FR"/>
        </w:rPr>
      </w:pPr>
      <w:r w:rsidRPr="005A47BA">
        <w:rPr>
          <w:b/>
          <w:bCs/>
          <w:lang w:val="fr-FR"/>
        </w:rPr>
        <w:t>D</w:t>
      </w:r>
      <w:r w:rsidR="000C16F5" w:rsidRPr="005A47BA">
        <w:rPr>
          <w:b/>
          <w:bCs/>
          <w:lang w:val="fr-FR"/>
        </w:rPr>
        <w:t>’</w:t>
      </w:r>
      <w:r w:rsidRPr="005A47BA">
        <w:rPr>
          <w:b/>
          <w:bCs/>
          <w:lang w:val="fr-FR"/>
        </w:rPr>
        <w:t>améliorer l</w:t>
      </w:r>
      <w:r w:rsidR="000C16F5" w:rsidRPr="005A47BA">
        <w:rPr>
          <w:b/>
          <w:bCs/>
          <w:lang w:val="fr-FR"/>
        </w:rPr>
        <w:t>’</w:t>
      </w:r>
      <w:r w:rsidRPr="005A47BA">
        <w:rPr>
          <w:b/>
          <w:bCs/>
          <w:lang w:val="fr-FR"/>
        </w:rPr>
        <w:t>accès des femmes à la terre ainsi qu</w:t>
      </w:r>
      <w:r w:rsidR="000C16F5" w:rsidRPr="005A47BA">
        <w:rPr>
          <w:b/>
          <w:bCs/>
          <w:lang w:val="fr-FR"/>
        </w:rPr>
        <w:t>’</w:t>
      </w:r>
      <w:r w:rsidRPr="005A47BA">
        <w:rPr>
          <w:b/>
          <w:bCs/>
          <w:lang w:val="fr-FR"/>
        </w:rPr>
        <w:t>à la microfinance et au microcrédit à faible taux d</w:t>
      </w:r>
      <w:r w:rsidR="000C16F5" w:rsidRPr="005A47BA">
        <w:rPr>
          <w:b/>
          <w:bCs/>
          <w:lang w:val="fr-FR"/>
        </w:rPr>
        <w:t>’</w:t>
      </w:r>
      <w:r w:rsidRPr="005A47BA">
        <w:rPr>
          <w:b/>
          <w:bCs/>
          <w:lang w:val="fr-FR"/>
        </w:rPr>
        <w:t>intérêt pour leur permettre d</w:t>
      </w:r>
      <w:r w:rsidR="000C16F5" w:rsidRPr="005A47BA">
        <w:rPr>
          <w:b/>
          <w:bCs/>
          <w:lang w:val="fr-FR"/>
        </w:rPr>
        <w:t>’</w:t>
      </w:r>
      <w:r w:rsidRPr="005A47BA">
        <w:rPr>
          <w:b/>
          <w:bCs/>
          <w:lang w:val="fr-FR"/>
        </w:rPr>
        <w:t xml:space="preserve">entreprendre des activités génératrices de revenus et de créer leur propre entreprise </w:t>
      </w:r>
      <w:r w:rsidR="00D81000">
        <w:rPr>
          <w:b/>
          <w:bCs/>
          <w:lang w:val="fr-FR"/>
        </w:rPr>
        <w:t>[</w:t>
      </w:r>
      <w:r w:rsidRPr="005A47BA">
        <w:rPr>
          <w:b/>
          <w:bCs/>
          <w:lang w:val="fr-FR"/>
        </w:rPr>
        <w:t xml:space="preserve">voir </w:t>
      </w:r>
      <w:hyperlink r:id="rId80" w:history="1">
        <w:r w:rsidRPr="007B345A">
          <w:rPr>
            <w:rStyle w:val="Hyperlink"/>
            <w:b/>
            <w:bCs/>
            <w:lang w:val="fr-FR"/>
          </w:rPr>
          <w:t>CEDAW/C/CIV/CO/1-3</w:t>
        </w:r>
      </w:hyperlink>
      <w:r w:rsidRPr="005A47BA">
        <w:rPr>
          <w:b/>
          <w:bCs/>
          <w:lang w:val="fr-FR"/>
        </w:rPr>
        <w:t xml:space="preserve">, </w:t>
      </w:r>
      <w:r w:rsidR="006862B3">
        <w:rPr>
          <w:b/>
          <w:bCs/>
          <w:lang w:val="fr-FR"/>
        </w:rPr>
        <w:t>par. </w:t>
      </w:r>
      <w:r w:rsidRPr="005A47BA">
        <w:rPr>
          <w:b/>
          <w:bCs/>
          <w:lang w:val="fr-FR"/>
        </w:rPr>
        <w:t>39 c)</w:t>
      </w:r>
      <w:r w:rsidR="00D81000">
        <w:rPr>
          <w:b/>
          <w:bCs/>
          <w:lang w:val="fr-FR"/>
        </w:rPr>
        <w:t>]</w:t>
      </w:r>
      <w:r w:rsidRPr="005A47BA">
        <w:rPr>
          <w:b/>
          <w:bCs/>
          <w:lang w:val="fr-FR"/>
        </w:rPr>
        <w:t>.</w:t>
      </w:r>
    </w:p>
    <w:p w14:paraId="52EDD31D" w14:textId="12570531" w:rsidR="00364BF3" w:rsidRPr="00190491" w:rsidRDefault="00364BF3" w:rsidP="006C2408">
      <w:pPr>
        <w:pStyle w:val="SingleTxt"/>
        <w:numPr>
          <w:ilvl w:val="0"/>
          <w:numId w:val="24"/>
        </w:numPr>
        <w:spacing w:line="240" w:lineRule="exact"/>
        <w:rPr>
          <w:lang w:val="fr-FR"/>
        </w:rPr>
      </w:pPr>
      <w:r w:rsidRPr="00190491">
        <w:rPr>
          <w:lang w:val="fr-FR"/>
        </w:rPr>
        <w:t>L</w:t>
      </w:r>
      <w:r w:rsidR="000C16F5">
        <w:rPr>
          <w:lang w:val="fr-FR"/>
        </w:rPr>
        <w:t>’</w:t>
      </w:r>
      <w:r w:rsidR="00C10A78" w:rsidRPr="00190491">
        <w:rPr>
          <w:lang w:val="fr-FR"/>
        </w:rPr>
        <w:t>État</w:t>
      </w:r>
      <w:r w:rsidRPr="00190491">
        <w:rPr>
          <w:lang w:val="fr-FR"/>
        </w:rPr>
        <w:t xml:space="preserve"> ivoirien a entrepris a rendu favorable la création de plusieurs structures sur le marché de l</w:t>
      </w:r>
      <w:r w:rsidR="000C16F5">
        <w:rPr>
          <w:lang w:val="fr-FR"/>
        </w:rPr>
        <w:t>’</w:t>
      </w:r>
      <w:r w:rsidRPr="00190491">
        <w:rPr>
          <w:lang w:val="fr-FR"/>
        </w:rPr>
        <w:t>emploi.</w:t>
      </w:r>
    </w:p>
    <w:p w14:paraId="08C8D52F" w14:textId="6A7C9935" w:rsidR="00364BF3" w:rsidRPr="00190491" w:rsidRDefault="00364BF3" w:rsidP="006C2408">
      <w:pPr>
        <w:pStyle w:val="SingleTxt"/>
        <w:numPr>
          <w:ilvl w:val="0"/>
          <w:numId w:val="24"/>
        </w:numPr>
        <w:spacing w:line="240" w:lineRule="exact"/>
        <w:rPr>
          <w:lang w:val="fr-FR"/>
        </w:rPr>
      </w:pPr>
      <w:r w:rsidRPr="00190491">
        <w:rPr>
          <w:lang w:val="fr-FR"/>
        </w:rPr>
        <w:t>Dans le cadre de la mise en œuvre du PNIA, des reformes sont en cours en faveur de la femme en milieu rural. Depuis, 2015, la Cellule technique genre du Ministère de l</w:t>
      </w:r>
      <w:r w:rsidR="000C16F5">
        <w:rPr>
          <w:lang w:val="fr-FR"/>
        </w:rPr>
        <w:t>’</w:t>
      </w:r>
      <w:r w:rsidRPr="00190491">
        <w:rPr>
          <w:lang w:val="fr-FR"/>
        </w:rPr>
        <w:t>Agriculture et du Développement rural organise des sessions de formation au profit des directeurs régionaux, Coordonnateurs de projet des sessions de formation sur l</w:t>
      </w:r>
      <w:r w:rsidR="000C16F5">
        <w:rPr>
          <w:lang w:val="fr-FR"/>
        </w:rPr>
        <w:t>’</w:t>
      </w:r>
      <w:r w:rsidRPr="00190491">
        <w:rPr>
          <w:lang w:val="fr-FR"/>
        </w:rPr>
        <w:t xml:space="preserve">approche genre et développement. </w:t>
      </w:r>
    </w:p>
    <w:p w14:paraId="1BA710CB" w14:textId="7FA31B14" w:rsidR="00364BF3" w:rsidRPr="00190491" w:rsidRDefault="00364BF3" w:rsidP="006C2408">
      <w:pPr>
        <w:pStyle w:val="SingleTxt"/>
        <w:numPr>
          <w:ilvl w:val="0"/>
          <w:numId w:val="24"/>
        </w:numPr>
        <w:spacing w:line="240" w:lineRule="exact"/>
        <w:rPr>
          <w:lang w:val="fr-FR"/>
        </w:rPr>
      </w:pPr>
      <w:r w:rsidRPr="00190491">
        <w:rPr>
          <w:lang w:val="fr-FR"/>
        </w:rPr>
        <w:t>D</w:t>
      </w:r>
      <w:r w:rsidR="000C16F5">
        <w:rPr>
          <w:lang w:val="fr-FR"/>
        </w:rPr>
        <w:t>’</w:t>
      </w:r>
      <w:r w:rsidRPr="00190491">
        <w:rPr>
          <w:lang w:val="fr-FR"/>
        </w:rPr>
        <w:t>autres actions ont été entreprises par le Gouvernement</w:t>
      </w:r>
      <w:r w:rsidR="008945B3">
        <w:rPr>
          <w:lang w:val="fr-FR"/>
        </w:rPr>
        <w:t> :</w:t>
      </w:r>
      <w:r w:rsidRPr="00190491">
        <w:rPr>
          <w:lang w:val="fr-FR"/>
        </w:rPr>
        <w:t xml:space="preserve"> </w:t>
      </w:r>
    </w:p>
    <w:p w14:paraId="733BEF5E" w14:textId="1E736D5A"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L</w:t>
      </w:r>
      <w:r w:rsidR="000C16F5">
        <w:rPr>
          <w:lang w:val="fr-FR"/>
        </w:rPr>
        <w:t>’</w:t>
      </w:r>
      <w:r w:rsidR="00364BF3" w:rsidRPr="00190491">
        <w:rPr>
          <w:lang w:val="fr-FR"/>
        </w:rPr>
        <w:t>attribution de 30</w:t>
      </w:r>
      <w:r w:rsidR="00B72ED0">
        <w:rPr>
          <w:lang w:val="fr-FR"/>
        </w:rPr>
        <w:t> </w:t>
      </w:r>
      <w:r w:rsidR="00364BF3" w:rsidRPr="00190491">
        <w:rPr>
          <w:lang w:val="fr-FR"/>
        </w:rPr>
        <w:t>% des terres aménagées aux femmes</w:t>
      </w:r>
      <w:r w:rsidR="00DB4C05">
        <w:rPr>
          <w:lang w:val="fr-FR"/>
        </w:rPr>
        <w:t> ;</w:t>
      </w:r>
    </w:p>
    <w:p w14:paraId="5D5AEF1E" w14:textId="23A3F9CD"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Appui au renforcement de capacités des responsables de coopératives et groupements féminins en matière de gestion administrative et financière</w:t>
      </w:r>
      <w:r w:rsidR="00DB4C05">
        <w:rPr>
          <w:lang w:val="fr-FR"/>
        </w:rPr>
        <w:t> ;</w:t>
      </w:r>
    </w:p>
    <w:p w14:paraId="0494496A" w14:textId="426322CA"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Renforcement de capacités des femmes cadres et membres des organisations de la société civile sur le leadership</w:t>
      </w:r>
      <w:r w:rsidR="00DB4C05">
        <w:rPr>
          <w:lang w:val="fr-FR"/>
        </w:rPr>
        <w:t> ;</w:t>
      </w:r>
    </w:p>
    <w:p w14:paraId="47D1101E" w14:textId="0B74F1F9"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Formation à l</w:t>
      </w:r>
      <w:r w:rsidR="000C16F5">
        <w:rPr>
          <w:lang w:val="fr-FR"/>
        </w:rPr>
        <w:t>’</w:t>
      </w:r>
      <w:r w:rsidR="00364BF3" w:rsidRPr="00190491">
        <w:rPr>
          <w:lang w:val="fr-FR"/>
        </w:rPr>
        <w:t>endroit des femmes rurales sur les techniques de production et de commercialisation des produits vivriers</w:t>
      </w:r>
      <w:r w:rsidR="00DB4C05">
        <w:rPr>
          <w:lang w:val="fr-FR"/>
        </w:rPr>
        <w:t> ;</w:t>
      </w:r>
    </w:p>
    <w:p w14:paraId="3A6439F9" w14:textId="0CE7EE5C"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Manifestation de la reconnaissance de la nation au travail des femmes entrepreneures à travers des décorations et autres cérémonies en leur honneur</w:t>
      </w:r>
      <w:r w:rsidR="00DB4C05">
        <w:rPr>
          <w:lang w:val="fr-FR"/>
        </w:rPr>
        <w:t> ;</w:t>
      </w:r>
    </w:p>
    <w:p w14:paraId="3210CE97" w14:textId="5430CEC1"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Organisation des journées nationales de réflexion sur l</w:t>
      </w:r>
      <w:r w:rsidR="000C16F5">
        <w:rPr>
          <w:lang w:val="fr-FR"/>
        </w:rPr>
        <w:t>’</w:t>
      </w:r>
      <w:r w:rsidR="00364BF3" w:rsidRPr="00190491">
        <w:rPr>
          <w:lang w:val="fr-FR"/>
        </w:rPr>
        <w:t>entrepreneuriat féminin (3 éditions réalisées)</w:t>
      </w:r>
      <w:r w:rsidR="00DB4C05">
        <w:rPr>
          <w:lang w:val="fr-FR"/>
        </w:rPr>
        <w:t> ;</w:t>
      </w:r>
    </w:p>
    <w:p w14:paraId="49D2351F" w14:textId="6E442676" w:rsidR="00364BF3" w:rsidRPr="00190491" w:rsidRDefault="005A47BA" w:rsidP="005A47BA">
      <w:pPr>
        <w:pStyle w:val="SingleTxt"/>
        <w:tabs>
          <w:tab w:val="right" w:pos="1685"/>
        </w:tabs>
        <w:ind w:left="1742" w:hanging="475"/>
        <w:rPr>
          <w:lang w:val="fr-FR"/>
        </w:rPr>
      </w:pPr>
      <w:r>
        <w:rPr>
          <w:lang w:val="fr-FR"/>
        </w:rPr>
        <w:tab/>
        <w:t>•</w:t>
      </w:r>
      <w:r>
        <w:rPr>
          <w:lang w:val="fr-FR"/>
        </w:rPr>
        <w:tab/>
      </w:r>
      <w:r w:rsidR="00364BF3" w:rsidRPr="00190491">
        <w:rPr>
          <w:lang w:val="fr-FR"/>
        </w:rPr>
        <w:t>Subvention des voyages d</w:t>
      </w:r>
      <w:r w:rsidR="000C16F5">
        <w:rPr>
          <w:lang w:val="fr-FR"/>
        </w:rPr>
        <w:t>’</w:t>
      </w:r>
      <w:r w:rsidR="00364BF3" w:rsidRPr="00190491">
        <w:rPr>
          <w:lang w:val="fr-FR"/>
        </w:rPr>
        <w:t>études et de la participation aux foires commerciales dans d</w:t>
      </w:r>
      <w:r w:rsidR="000C16F5">
        <w:rPr>
          <w:lang w:val="fr-FR"/>
        </w:rPr>
        <w:t>’</w:t>
      </w:r>
      <w:r w:rsidR="00364BF3" w:rsidRPr="00190491">
        <w:rPr>
          <w:lang w:val="fr-FR"/>
        </w:rPr>
        <w:t>autres pays.</w:t>
      </w:r>
    </w:p>
    <w:p w14:paraId="204CBDEE" w14:textId="4BC8B401" w:rsidR="00364BF3" w:rsidRPr="00B01C6C" w:rsidRDefault="00364BF3" w:rsidP="006C2408">
      <w:pPr>
        <w:pStyle w:val="SingleTxt"/>
        <w:numPr>
          <w:ilvl w:val="0"/>
          <w:numId w:val="24"/>
        </w:numPr>
        <w:spacing w:line="240" w:lineRule="exact"/>
        <w:rPr>
          <w:b/>
          <w:bCs/>
          <w:lang w:val="fr-FR"/>
        </w:rPr>
      </w:pPr>
      <w:r w:rsidRPr="00B01C6C">
        <w:rPr>
          <w:b/>
          <w:bCs/>
          <w:lang w:val="fr-FR"/>
        </w:rPr>
        <w:t xml:space="preserve">De rassembler des données ventilées par sexe sur la situation des femmes dans le secteur privé et le secteur non structuré, et de prendre des mesures </w:t>
      </w:r>
      <w:r w:rsidRPr="00B01C6C">
        <w:rPr>
          <w:b/>
          <w:bCs/>
          <w:lang w:val="fr-FR"/>
        </w:rPr>
        <w:lastRenderedPageBreak/>
        <w:t xml:space="preserve">efficaces pour surveiller et améliorer les conditions de travail des femmes dans ces secteurs </w:t>
      </w:r>
      <w:r w:rsidR="00D81000">
        <w:rPr>
          <w:b/>
          <w:bCs/>
          <w:lang w:val="fr-FR"/>
        </w:rPr>
        <w:t>[</w:t>
      </w:r>
      <w:r w:rsidRPr="00B01C6C">
        <w:rPr>
          <w:b/>
          <w:bCs/>
          <w:lang w:val="fr-FR"/>
        </w:rPr>
        <w:t xml:space="preserve">voir </w:t>
      </w:r>
      <w:hyperlink r:id="rId81" w:history="1">
        <w:r w:rsidRPr="007B345A">
          <w:rPr>
            <w:rStyle w:val="Hyperlink"/>
            <w:b/>
            <w:bCs/>
            <w:lang w:val="fr-FR"/>
          </w:rPr>
          <w:t>CEDAW/C/CIV/CO/1-3</w:t>
        </w:r>
      </w:hyperlink>
      <w:r w:rsidRPr="00B01C6C">
        <w:rPr>
          <w:b/>
          <w:bCs/>
          <w:lang w:val="fr-FR"/>
        </w:rPr>
        <w:t xml:space="preserve">, </w:t>
      </w:r>
      <w:r w:rsidR="006862B3">
        <w:rPr>
          <w:b/>
          <w:bCs/>
          <w:lang w:val="fr-FR"/>
        </w:rPr>
        <w:t>par. </w:t>
      </w:r>
      <w:r w:rsidRPr="00B01C6C">
        <w:rPr>
          <w:b/>
          <w:bCs/>
          <w:lang w:val="fr-FR"/>
        </w:rPr>
        <w:t>39 d)</w:t>
      </w:r>
      <w:r w:rsidR="00D81000">
        <w:rPr>
          <w:b/>
          <w:bCs/>
          <w:lang w:val="fr-FR"/>
        </w:rPr>
        <w:t>]</w:t>
      </w:r>
      <w:r w:rsidRPr="00B01C6C">
        <w:rPr>
          <w:b/>
          <w:bCs/>
          <w:lang w:val="fr-FR"/>
        </w:rPr>
        <w:t>.</w:t>
      </w:r>
    </w:p>
    <w:p w14:paraId="3B1F1ADE" w14:textId="082FF677" w:rsidR="00364BF3" w:rsidRPr="00190491" w:rsidRDefault="00364BF3" w:rsidP="006C2408">
      <w:pPr>
        <w:pStyle w:val="SingleTxt"/>
        <w:numPr>
          <w:ilvl w:val="0"/>
          <w:numId w:val="24"/>
        </w:numPr>
        <w:spacing w:line="240" w:lineRule="exact"/>
        <w:rPr>
          <w:i/>
          <w:lang w:val="fr-FR"/>
        </w:rPr>
      </w:pPr>
      <w:r w:rsidRPr="00190491">
        <w:rPr>
          <w:bCs/>
          <w:lang w:val="fr-FR"/>
        </w:rPr>
        <w:t xml:space="preserve">Les </w:t>
      </w:r>
      <w:r w:rsidRPr="00190491">
        <w:rPr>
          <w:lang w:val="fr-FR"/>
        </w:rPr>
        <w:t>Enquêtes</w:t>
      </w:r>
      <w:r w:rsidRPr="00190491">
        <w:rPr>
          <w:bCs/>
          <w:lang w:val="fr-FR"/>
        </w:rPr>
        <w:t xml:space="preserve"> Nationales sur la Situation de l</w:t>
      </w:r>
      <w:r w:rsidR="000C16F5">
        <w:rPr>
          <w:bCs/>
          <w:lang w:val="fr-FR"/>
        </w:rPr>
        <w:t>’</w:t>
      </w:r>
      <w:r w:rsidRPr="00190491">
        <w:rPr>
          <w:bCs/>
          <w:lang w:val="fr-FR"/>
        </w:rPr>
        <w:t>Emploi et le Secteur Informel (ENSESI) ont été lancées en février 2016 et sont en cours. Les données ci-dessous sont tirées des enquêtes et rapport d</w:t>
      </w:r>
      <w:r w:rsidR="000C16F5">
        <w:rPr>
          <w:bCs/>
          <w:lang w:val="fr-FR"/>
        </w:rPr>
        <w:t>’</w:t>
      </w:r>
      <w:r w:rsidRPr="00190491">
        <w:rPr>
          <w:bCs/>
          <w:lang w:val="fr-FR"/>
        </w:rPr>
        <w:t>analyse de 2013 et 2014.</w:t>
      </w:r>
    </w:p>
    <w:p w14:paraId="33569476" w14:textId="36640738" w:rsidR="00364BF3" w:rsidRPr="00190491" w:rsidRDefault="00364BF3" w:rsidP="006C2408">
      <w:pPr>
        <w:pStyle w:val="SingleTxt"/>
        <w:numPr>
          <w:ilvl w:val="0"/>
          <w:numId w:val="24"/>
        </w:numPr>
        <w:spacing w:line="240" w:lineRule="exact"/>
        <w:rPr>
          <w:lang w:val="fr-FR"/>
        </w:rPr>
      </w:pPr>
      <w:r w:rsidRPr="00190491">
        <w:rPr>
          <w:lang w:val="fr-FR"/>
        </w:rPr>
        <w:t>La population en âge de travailler</w:t>
      </w:r>
      <w:r w:rsidRPr="00300E48">
        <w:rPr>
          <w:rStyle w:val="FootnoteReference"/>
          <w:lang w:val="fr-FR"/>
        </w:rPr>
        <w:footnoteReference w:id="17"/>
      </w:r>
      <w:r w:rsidRPr="00190491">
        <w:rPr>
          <w:lang w:val="fr-FR"/>
        </w:rPr>
        <w:t xml:space="preserve"> (personne âgée d</w:t>
      </w:r>
      <w:r w:rsidR="000C16F5">
        <w:rPr>
          <w:lang w:val="fr-FR"/>
        </w:rPr>
        <w:t>’</w:t>
      </w:r>
      <w:r w:rsidRPr="00190491">
        <w:rPr>
          <w:lang w:val="fr-FR"/>
        </w:rPr>
        <w:t>au moins 14 ans) représente 62,5</w:t>
      </w:r>
      <w:r w:rsidR="00DB4C05">
        <w:rPr>
          <w:lang w:val="fr-FR"/>
        </w:rPr>
        <w:t> %</w:t>
      </w:r>
      <w:r w:rsidRPr="00190491">
        <w:rPr>
          <w:lang w:val="fr-FR"/>
        </w:rPr>
        <w:t xml:space="preserve"> de la population ivoirienne et 63</w:t>
      </w:r>
      <w:r w:rsidR="00B72ED0">
        <w:rPr>
          <w:lang w:val="fr-FR"/>
        </w:rPr>
        <w:t> </w:t>
      </w:r>
      <w:r w:rsidRPr="00190491">
        <w:rPr>
          <w:lang w:val="fr-FR"/>
        </w:rPr>
        <w:t>% des hommes et 61</w:t>
      </w:r>
      <w:r w:rsidR="00DB4C05">
        <w:rPr>
          <w:lang w:val="fr-FR"/>
        </w:rPr>
        <w:t> %</w:t>
      </w:r>
      <w:r w:rsidRPr="00190491">
        <w:rPr>
          <w:lang w:val="fr-FR"/>
        </w:rPr>
        <w:t xml:space="preserve"> des femmes. Les personnes en emploi sont 7 644 539 dont 57,1</w:t>
      </w:r>
      <w:r w:rsidR="00DB4C05">
        <w:rPr>
          <w:lang w:val="fr-FR"/>
        </w:rPr>
        <w:t> %</w:t>
      </w:r>
      <w:r w:rsidRPr="00190491">
        <w:rPr>
          <w:lang w:val="fr-FR"/>
        </w:rPr>
        <w:t xml:space="preserve"> d</w:t>
      </w:r>
      <w:r w:rsidR="000C16F5">
        <w:rPr>
          <w:lang w:val="fr-FR"/>
        </w:rPr>
        <w:t>’</w:t>
      </w:r>
      <w:r w:rsidRPr="00190491">
        <w:rPr>
          <w:lang w:val="fr-FR"/>
        </w:rPr>
        <w:t>hommes et 42,9</w:t>
      </w:r>
      <w:r w:rsidR="00DB4C05">
        <w:rPr>
          <w:lang w:val="fr-FR"/>
        </w:rPr>
        <w:t> %</w:t>
      </w:r>
      <w:r w:rsidR="00B72ED0">
        <w:rPr>
          <w:lang w:val="fr-FR"/>
        </w:rPr>
        <w:t> </w:t>
      </w:r>
      <w:r w:rsidRPr="00190491">
        <w:rPr>
          <w:lang w:val="fr-FR"/>
        </w:rPr>
        <w:t>de femmes.</w:t>
      </w:r>
    </w:p>
    <w:p w14:paraId="1B8A363B" w14:textId="61DF0845" w:rsidR="00364BF3" w:rsidRPr="00190491" w:rsidRDefault="00364BF3" w:rsidP="006C2408">
      <w:pPr>
        <w:pStyle w:val="SingleTxt"/>
        <w:numPr>
          <w:ilvl w:val="0"/>
          <w:numId w:val="24"/>
        </w:numPr>
        <w:spacing w:line="240" w:lineRule="exact"/>
        <w:rPr>
          <w:lang w:val="fr-FR"/>
        </w:rPr>
      </w:pPr>
      <w:r w:rsidRPr="00190491">
        <w:rPr>
          <w:lang w:val="fr-FR"/>
        </w:rPr>
        <w:t>En 2013</w:t>
      </w:r>
      <w:r w:rsidRPr="00300E48">
        <w:rPr>
          <w:rStyle w:val="FootnoteReference"/>
          <w:lang w:val="fr-FR"/>
        </w:rPr>
        <w:footnoteReference w:id="18"/>
      </w:r>
      <w:r w:rsidRPr="00190491">
        <w:rPr>
          <w:lang w:val="fr-FR"/>
        </w:rPr>
        <w:t>, la Côte d</w:t>
      </w:r>
      <w:r w:rsidR="000C16F5">
        <w:rPr>
          <w:lang w:val="fr-FR"/>
        </w:rPr>
        <w:t>’</w:t>
      </w:r>
      <w:r w:rsidRPr="00190491">
        <w:rPr>
          <w:lang w:val="fr-FR"/>
        </w:rPr>
        <w:t>Ivoire comptait 426 225 chômeurs dont 53,4</w:t>
      </w:r>
      <w:r w:rsidR="00DB4C05">
        <w:rPr>
          <w:lang w:val="fr-FR"/>
        </w:rPr>
        <w:t> %</w:t>
      </w:r>
      <w:r w:rsidRPr="00190491">
        <w:rPr>
          <w:lang w:val="fr-FR"/>
        </w:rPr>
        <w:t xml:space="preserve"> de femmes. La population hors main d</w:t>
      </w:r>
      <w:r w:rsidR="000C16F5">
        <w:rPr>
          <w:lang w:val="fr-FR"/>
        </w:rPr>
        <w:t>’</w:t>
      </w:r>
      <w:r w:rsidRPr="00190491">
        <w:rPr>
          <w:lang w:val="fr-FR"/>
        </w:rPr>
        <w:t>œuvre</w:t>
      </w:r>
      <w:r w:rsidRPr="00300E48">
        <w:rPr>
          <w:rStyle w:val="FootnoteReference"/>
          <w:lang w:val="fr-FR"/>
        </w:rPr>
        <w:footnoteReference w:id="19"/>
      </w:r>
      <w:r w:rsidRPr="00190491">
        <w:rPr>
          <w:lang w:val="fr-FR"/>
        </w:rPr>
        <w:t xml:space="preserve"> qui représente 44,3</w:t>
      </w:r>
      <w:r w:rsidR="00DB4C05">
        <w:rPr>
          <w:lang w:val="fr-FR"/>
        </w:rPr>
        <w:t> %</w:t>
      </w:r>
      <w:r w:rsidRPr="00190491">
        <w:rPr>
          <w:lang w:val="fr-FR"/>
        </w:rPr>
        <w:t xml:space="preserve"> de la population générale en âge de travailler est dominée par les femmes (55,6</w:t>
      </w:r>
      <w:r w:rsidR="00DB4C05">
        <w:rPr>
          <w:lang w:val="fr-FR"/>
        </w:rPr>
        <w:t> %</w:t>
      </w:r>
      <w:r w:rsidRPr="00190491">
        <w:rPr>
          <w:lang w:val="fr-FR"/>
        </w:rPr>
        <w:t>). Au niveau de l</w:t>
      </w:r>
      <w:r w:rsidR="000C16F5">
        <w:rPr>
          <w:lang w:val="fr-FR"/>
        </w:rPr>
        <w:t>’</w:t>
      </w:r>
      <w:r w:rsidRPr="00190491">
        <w:rPr>
          <w:lang w:val="fr-FR"/>
        </w:rPr>
        <w:t>agriculture, on note 48</w:t>
      </w:r>
      <w:r w:rsidR="00DB4C05">
        <w:rPr>
          <w:lang w:val="fr-FR"/>
        </w:rPr>
        <w:t> %</w:t>
      </w:r>
      <w:r w:rsidRPr="00190491">
        <w:rPr>
          <w:lang w:val="fr-FR"/>
        </w:rPr>
        <w:t xml:space="preserve"> d</w:t>
      </w:r>
      <w:r w:rsidR="000C16F5">
        <w:rPr>
          <w:lang w:val="fr-FR"/>
        </w:rPr>
        <w:t>’</w:t>
      </w:r>
      <w:r w:rsidRPr="00190491">
        <w:rPr>
          <w:lang w:val="fr-FR"/>
        </w:rPr>
        <w:t>hommes contre 36,4</w:t>
      </w:r>
      <w:r w:rsidR="00DB4C05">
        <w:rPr>
          <w:lang w:val="fr-FR"/>
        </w:rPr>
        <w:t> %</w:t>
      </w:r>
      <w:r w:rsidRPr="00190491">
        <w:rPr>
          <w:lang w:val="fr-FR"/>
        </w:rPr>
        <w:t xml:space="preserve"> des femmes. En revanche, 23,5</w:t>
      </w:r>
      <w:r w:rsidR="00DB4C05">
        <w:rPr>
          <w:lang w:val="fr-FR"/>
        </w:rPr>
        <w:t> %</w:t>
      </w:r>
      <w:r w:rsidRPr="00190491">
        <w:rPr>
          <w:lang w:val="fr-FR"/>
        </w:rPr>
        <w:t xml:space="preserve"> des femmes de Côte d</w:t>
      </w:r>
      <w:r w:rsidR="000C16F5">
        <w:rPr>
          <w:lang w:val="fr-FR"/>
        </w:rPr>
        <w:t>’</w:t>
      </w:r>
      <w:r w:rsidRPr="00190491">
        <w:rPr>
          <w:lang w:val="fr-FR"/>
        </w:rPr>
        <w:t>Ivoire sont dans le commerce, alors que ce type d</w:t>
      </w:r>
      <w:r w:rsidR="000C16F5">
        <w:rPr>
          <w:lang w:val="fr-FR"/>
        </w:rPr>
        <w:t>’</w:t>
      </w:r>
      <w:r w:rsidRPr="00190491">
        <w:rPr>
          <w:lang w:val="fr-FR"/>
        </w:rPr>
        <w:t>activité occupe que 13,2</w:t>
      </w:r>
      <w:r w:rsidR="00DB4C05">
        <w:rPr>
          <w:lang w:val="fr-FR"/>
        </w:rPr>
        <w:t> %</w:t>
      </w:r>
      <w:r w:rsidRPr="00190491">
        <w:rPr>
          <w:lang w:val="fr-FR"/>
        </w:rPr>
        <w:t xml:space="preserve"> hommes. Le secteur informel non agricole</w:t>
      </w:r>
      <w:r w:rsidRPr="00300E48">
        <w:rPr>
          <w:rStyle w:val="FootnoteReference"/>
          <w:lang w:val="fr-FR"/>
        </w:rPr>
        <w:footnoteReference w:id="20"/>
      </w:r>
      <w:r w:rsidRPr="00190491">
        <w:rPr>
          <w:lang w:val="fr-FR"/>
        </w:rPr>
        <w:t>, compte 3 537 722 emplois et représente 46,3</w:t>
      </w:r>
      <w:r w:rsidR="00DB4C05">
        <w:rPr>
          <w:lang w:val="fr-FR"/>
        </w:rPr>
        <w:t> %</w:t>
      </w:r>
      <w:r w:rsidRPr="00190491">
        <w:rPr>
          <w:lang w:val="fr-FR"/>
        </w:rPr>
        <w:t xml:space="preserve"> des emplois. Ces emplois sont détenus majoritairement par des femmes (56,3</w:t>
      </w:r>
      <w:r w:rsidR="00DB4C05">
        <w:rPr>
          <w:lang w:val="fr-FR"/>
        </w:rPr>
        <w:t> %</w:t>
      </w:r>
      <w:r w:rsidRPr="00190491">
        <w:rPr>
          <w:lang w:val="fr-FR"/>
        </w:rPr>
        <w:t xml:space="preserve">). </w:t>
      </w:r>
    </w:p>
    <w:p w14:paraId="204F343A" w14:textId="0E89B835" w:rsidR="00364BF3" w:rsidRPr="00190491" w:rsidRDefault="00364BF3" w:rsidP="006C2408">
      <w:pPr>
        <w:pStyle w:val="SingleTxt"/>
        <w:numPr>
          <w:ilvl w:val="0"/>
          <w:numId w:val="24"/>
        </w:numPr>
        <w:spacing w:line="240" w:lineRule="exact"/>
        <w:rPr>
          <w:lang w:val="fr-FR"/>
        </w:rPr>
      </w:pPr>
      <w:r w:rsidRPr="00190491">
        <w:rPr>
          <w:lang w:val="fr-FR"/>
        </w:rPr>
        <w:t>Quant aux emplois dans les ménages, ils sont estimés à 176 803, soit 2,3</w:t>
      </w:r>
      <w:r w:rsidR="00DB4C05">
        <w:rPr>
          <w:lang w:val="fr-FR"/>
        </w:rPr>
        <w:t> %</w:t>
      </w:r>
      <w:r w:rsidRPr="00190491">
        <w:rPr>
          <w:lang w:val="fr-FR"/>
        </w:rPr>
        <w:t xml:space="preserve"> des emplois. Ils sont principalement exercés par les femmes et constituent 4,1</w:t>
      </w:r>
      <w:r w:rsidR="00DB4C05">
        <w:rPr>
          <w:lang w:val="fr-FR"/>
        </w:rPr>
        <w:t> %</w:t>
      </w:r>
      <w:r w:rsidRPr="00190491">
        <w:rPr>
          <w:lang w:val="fr-FR"/>
        </w:rPr>
        <w:t xml:space="preserve"> des emplois des femmes de Côte d</w:t>
      </w:r>
      <w:r w:rsidR="000C16F5">
        <w:rPr>
          <w:lang w:val="fr-FR"/>
        </w:rPr>
        <w:t>’</w:t>
      </w:r>
      <w:r w:rsidRPr="00190491">
        <w:rPr>
          <w:lang w:val="fr-FR"/>
        </w:rPr>
        <w:t>Ivoire, 5,3</w:t>
      </w:r>
      <w:r w:rsidR="00DB4C05">
        <w:rPr>
          <w:lang w:val="fr-FR"/>
        </w:rPr>
        <w:t> %</w:t>
      </w:r>
      <w:r w:rsidRPr="00190491">
        <w:rPr>
          <w:lang w:val="fr-FR"/>
        </w:rPr>
        <w:t xml:space="preserve"> des emplois des personnes âgées de 14</w:t>
      </w:r>
      <w:r w:rsidR="00B72ED0">
        <w:rPr>
          <w:lang w:val="fr-FR"/>
        </w:rPr>
        <w:t> </w:t>
      </w:r>
      <w:r w:rsidRPr="00190491">
        <w:rPr>
          <w:lang w:val="fr-FR"/>
        </w:rPr>
        <w:t>à 24 ans et 2,1</w:t>
      </w:r>
      <w:r w:rsidR="00DB4C05">
        <w:rPr>
          <w:lang w:val="fr-FR"/>
        </w:rPr>
        <w:t> %</w:t>
      </w:r>
      <w:r w:rsidRPr="00190491">
        <w:rPr>
          <w:lang w:val="fr-FR"/>
        </w:rPr>
        <w:t xml:space="preserve"> des emplois des personnes âgées de 25 à 35 ans. </w:t>
      </w:r>
    </w:p>
    <w:p w14:paraId="199350CA" w14:textId="1E44D4D7" w:rsidR="00364BF3" w:rsidRPr="00190491" w:rsidRDefault="00364BF3" w:rsidP="006C2408">
      <w:pPr>
        <w:pStyle w:val="SingleTxt"/>
        <w:numPr>
          <w:ilvl w:val="0"/>
          <w:numId w:val="24"/>
        </w:numPr>
        <w:spacing w:line="240" w:lineRule="exact"/>
        <w:rPr>
          <w:lang w:val="fr-FR"/>
        </w:rPr>
      </w:pPr>
      <w:r w:rsidRPr="00190491">
        <w:rPr>
          <w:lang w:val="fr-FR"/>
        </w:rPr>
        <w:t>Au niveau des types d</w:t>
      </w:r>
      <w:r w:rsidR="000C16F5">
        <w:rPr>
          <w:lang w:val="fr-FR"/>
        </w:rPr>
        <w:t>’</w:t>
      </w:r>
      <w:r w:rsidRPr="00190491">
        <w:rPr>
          <w:lang w:val="fr-FR"/>
        </w:rPr>
        <w:t>emploi, les emplois indépendants non agricoles représentent 37</w:t>
      </w:r>
      <w:r w:rsidR="00DB4C05">
        <w:rPr>
          <w:lang w:val="fr-FR"/>
        </w:rPr>
        <w:t> %</w:t>
      </w:r>
      <w:r w:rsidRPr="00190491">
        <w:rPr>
          <w:lang w:val="fr-FR"/>
        </w:rPr>
        <w:t xml:space="preserve"> des emplois exercés en février 2014 tandis que 29,6</w:t>
      </w:r>
      <w:r w:rsidR="00DB4C05">
        <w:rPr>
          <w:lang w:val="fr-FR"/>
        </w:rPr>
        <w:t> %</w:t>
      </w:r>
      <w:r w:rsidRPr="00190491">
        <w:rPr>
          <w:lang w:val="fr-FR"/>
        </w:rPr>
        <w:t xml:space="preserve"> des emplois sont des indépendants agricoles. Au total, près des ¾ de la population en emploi exercent donc des emplois non-salariés (74,6</w:t>
      </w:r>
      <w:r w:rsidR="00DB4C05">
        <w:rPr>
          <w:lang w:val="fr-FR"/>
        </w:rPr>
        <w:t> %</w:t>
      </w:r>
      <w:r w:rsidRPr="00190491">
        <w:rPr>
          <w:lang w:val="fr-FR"/>
        </w:rPr>
        <w:t xml:space="preserve"> en incluant les aides familiaux). Les hommes exercent davantage des emplois indépendants agricoles (35,3</w:t>
      </w:r>
      <w:r w:rsidR="00DB4C05">
        <w:rPr>
          <w:lang w:val="fr-FR"/>
        </w:rPr>
        <w:t> %</w:t>
      </w:r>
      <w:r w:rsidRPr="00190491">
        <w:rPr>
          <w:lang w:val="fr-FR"/>
        </w:rPr>
        <w:t>) alors que les femmes sont plus des indépendants non agricoles (52,6</w:t>
      </w:r>
      <w:r w:rsidR="00DB4C05">
        <w:rPr>
          <w:lang w:val="fr-FR"/>
        </w:rPr>
        <w:t> %</w:t>
      </w:r>
      <w:r w:rsidRPr="00190491">
        <w:rPr>
          <w:lang w:val="fr-FR"/>
        </w:rPr>
        <w:t>). Par ailleurs, seulement 25,4</w:t>
      </w:r>
      <w:r w:rsidR="00DB4C05">
        <w:rPr>
          <w:lang w:val="fr-FR"/>
        </w:rPr>
        <w:t> %</w:t>
      </w:r>
      <w:r w:rsidRPr="00190491">
        <w:rPr>
          <w:lang w:val="fr-FR"/>
        </w:rPr>
        <w:t xml:space="preserve"> des emplois en Côte d</w:t>
      </w:r>
      <w:r w:rsidR="000C16F5">
        <w:rPr>
          <w:lang w:val="fr-FR"/>
        </w:rPr>
        <w:t>’</w:t>
      </w:r>
      <w:r w:rsidRPr="00190491">
        <w:rPr>
          <w:lang w:val="fr-FR"/>
        </w:rPr>
        <w:t>Ivoire sont des emplois salariés. Et, 33,9</w:t>
      </w:r>
      <w:r w:rsidR="00DB4C05">
        <w:rPr>
          <w:lang w:val="fr-FR"/>
        </w:rPr>
        <w:t> %</w:t>
      </w:r>
      <w:r w:rsidRPr="00190491">
        <w:rPr>
          <w:lang w:val="fr-FR"/>
        </w:rPr>
        <w:t xml:space="preserve"> des emplois occupés par les hommes sont salariés contre 13,8</w:t>
      </w:r>
      <w:r w:rsidR="00DB4C05">
        <w:rPr>
          <w:lang w:val="fr-FR"/>
        </w:rPr>
        <w:t> %</w:t>
      </w:r>
      <w:r w:rsidRPr="00190491">
        <w:rPr>
          <w:lang w:val="fr-FR"/>
        </w:rPr>
        <w:t xml:space="preserve"> chez les femmes. </w:t>
      </w:r>
    </w:p>
    <w:p w14:paraId="438F264E" w14:textId="54840951" w:rsidR="00364BF3" w:rsidRPr="00190491" w:rsidRDefault="00364BF3" w:rsidP="006C2408">
      <w:pPr>
        <w:pStyle w:val="SingleTxt"/>
        <w:numPr>
          <w:ilvl w:val="0"/>
          <w:numId w:val="24"/>
        </w:numPr>
        <w:spacing w:line="240" w:lineRule="exact"/>
        <w:rPr>
          <w:lang w:val="fr-FR"/>
        </w:rPr>
      </w:pPr>
      <w:r w:rsidRPr="00190491">
        <w:rPr>
          <w:lang w:val="fr-FR"/>
        </w:rPr>
        <w:t>Notons aussi que les femmes pluriactives sont plus orientées vers les AGR (72,5</w:t>
      </w:r>
      <w:r w:rsidR="00DB4C05">
        <w:rPr>
          <w:lang w:val="fr-FR"/>
        </w:rPr>
        <w:t> %</w:t>
      </w:r>
      <w:r w:rsidRPr="00190491">
        <w:rPr>
          <w:lang w:val="fr-FR"/>
        </w:rPr>
        <w:t>) que vers l</w:t>
      </w:r>
      <w:r w:rsidR="000C16F5">
        <w:rPr>
          <w:lang w:val="fr-FR"/>
        </w:rPr>
        <w:t>’</w:t>
      </w:r>
      <w:r w:rsidRPr="00190491">
        <w:rPr>
          <w:lang w:val="fr-FR"/>
        </w:rPr>
        <w:t>agriculture (27,7</w:t>
      </w:r>
      <w:r w:rsidR="00DB4C05">
        <w:rPr>
          <w:lang w:val="fr-FR"/>
        </w:rPr>
        <w:t> %</w:t>
      </w:r>
      <w:r w:rsidRPr="00190491">
        <w:rPr>
          <w:lang w:val="fr-FR"/>
        </w:rPr>
        <w:t>) contrairement aux hommes qui possèdent aussi bien une AGR (43,2</w:t>
      </w:r>
      <w:r w:rsidR="00DB4C05">
        <w:rPr>
          <w:lang w:val="fr-FR"/>
        </w:rPr>
        <w:t> %</w:t>
      </w:r>
      <w:r w:rsidRPr="00190491">
        <w:rPr>
          <w:lang w:val="fr-FR"/>
        </w:rPr>
        <w:t>) qu</w:t>
      </w:r>
      <w:r w:rsidR="000C16F5">
        <w:rPr>
          <w:lang w:val="fr-FR"/>
        </w:rPr>
        <w:t>’</w:t>
      </w:r>
      <w:r w:rsidRPr="00190491">
        <w:rPr>
          <w:lang w:val="fr-FR"/>
        </w:rPr>
        <w:t>une parcelle agricole (46,2</w:t>
      </w:r>
      <w:r w:rsidR="00DB4C05">
        <w:rPr>
          <w:lang w:val="fr-FR"/>
        </w:rPr>
        <w:t> %</w:t>
      </w:r>
      <w:r w:rsidRPr="00190491">
        <w:rPr>
          <w:lang w:val="fr-FR"/>
        </w:rPr>
        <w:t>).</w:t>
      </w:r>
    </w:p>
    <w:p w14:paraId="65BD5EC4" w14:textId="5AD89ABB" w:rsidR="00364BF3" w:rsidRPr="00190491" w:rsidRDefault="00364BF3" w:rsidP="006C2408">
      <w:pPr>
        <w:pStyle w:val="SingleTxt"/>
        <w:numPr>
          <w:ilvl w:val="0"/>
          <w:numId w:val="24"/>
        </w:numPr>
        <w:spacing w:line="240" w:lineRule="exact"/>
        <w:rPr>
          <w:lang w:val="fr-FR"/>
        </w:rPr>
      </w:pPr>
      <w:r w:rsidRPr="00190491">
        <w:rPr>
          <w:lang w:val="fr-FR"/>
        </w:rPr>
        <w:t>Notons également que, les jeunes de 14-35 ans représentent 58,9</w:t>
      </w:r>
      <w:r w:rsidR="00DB4C05">
        <w:rPr>
          <w:lang w:val="fr-FR"/>
        </w:rPr>
        <w:t> %</w:t>
      </w:r>
      <w:r w:rsidRPr="00190491">
        <w:rPr>
          <w:lang w:val="fr-FR"/>
        </w:rPr>
        <w:t xml:space="preserve"> des actifs occupés dans l</w:t>
      </w:r>
      <w:r w:rsidR="000C16F5">
        <w:rPr>
          <w:lang w:val="fr-FR"/>
        </w:rPr>
        <w:t>’</w:t>
      </w:r>
      <w:r w:rsidRPr="00190491">
        <w:rPr>
          <w:lang w:val="fr-FR"/>
        </w:rPr>
        <w:t>économie informelle tandis que la proportion des femmes y est de 44</w:t>
      </w:r>
      <w:r w:rsidR="00DB4C05">
        <w:rPr>
          <w:lang w:val="fr-FR"/>
        </w:rPr>
        <w:t> %</w:t>
      </w:r>
      <w:r w:rsidRPr="00190491">
        <w:rPr>
          <w:lang w:val="fr-FR"/>
        </w:rPr>
        <w:t>. Il est important de savoir que les emplois domestiques (services aux ménages) sont occupés à 51,6</w:t>
      </w:r>
      <w:r w:rsidR="00DB4C05">
        <w:rPr>
          <w:lang w:val="fr-FR"/>
        </w:rPr>
        <w:t> %</w:t>
      </w:r>
      <w:r w:rsidRPr="00190491">
        <w:rPr>
          <w:lang w:val="fr-FR"/>
        </w:rPr>
        <w:t xml:space="preserve"> par les femmes</w:t>
      </w:r>
      <w:r w:rsidRPr="00300E48">
        <w:rPr>
          <w:rStyle w:val="FootnoteReference"/>
          <w:lang w:val="fr-FR"/>
        </w:rPr>
        <w:footnoteReference w:id="21"/>
      </w:r>
      <w:r w:rsidRPr="00190491">
        <w:rPr>
          <w:lang w:val="fr-FR"/>
        </w:rPr>
        <w:t>.</w:t>
      </w:r>
    </w:p>
    <w:p w14:paraId="2CE97CA4" w14:textId="038E7788" w:rsidR="00364BF3" w:rsidRPr="00190491" w:rsidRDefault="00364BF3" w:rsidP="006C2408">
      <w:pPr>
        <w:pStyle w:val="SingleTxt"/>
        <w:numPr>
          <w:ilvl w:val="0"/>
          <w:numId w:val="24"/>
        </w:numPr>
        <w:spacing w:line="240" w:lineRule="exact"/>
        <w:rPr>
          <w:b/>
          <w:lang w:val="fr-FR"/>
        </w:rPr>
      </w:pPr>
      <w:r w:rsidRPr="00190491">
        <w:rPr>
          <w:b/>
          <w:lang w:val="fr-FR"/>
        </w:rPr>
        <w:lastRenderedPageBreak/>
        <w:t>De mettre en place un cadre réglementaire pour le secteur non structuré afin que les femmes travaillant dans ce secteur bénéficient de la sécurité sociale et d</w:t>
      </w:r>
      <w:r w:rsidR="000C16F5">
        <w:rPr>
          <w:b/>
          <w:lang w:val="fr-FR"/>
        </w:rPr>
        <w:t>’</w:t>
      </w:r>
      <w:r w:rsidRPr="00190491">
        <w:rPr>
          <w:b/>
          <w:lang w:val="fr-FR"/>
        </w:rPr>
        <w:t xml:space="preserve">autres prestations </w:t>
      </w:r>
      <w:r w:rsidR="00D81000">
        <w:rPr>
          <w:b/>
          <w:lang w:val="fr-FR"/>
        </w:rPr>
        <w:t>[</w:t>
      </w:r>
      <w:r w:rsidRPr="00190491">
        <w:rPr>
          <w:b/>
          <w:lang w:val="fr-FR"/>
        </w:rPr>
        <w:t xml:space="preserve">voir </w:t>
      </w:r>
      <w:hyperlink r:id="rId82" w:history="1">
        <w:r w:rsidRPr="007B345A">
          <w:rPr>
            <w:rStyle w:val="Hyperlink"/>
            <w:b/>
            <w:lang w:val="fr-FR"/>
          </w:rPr>
          <w:t>CEDAW/C/CIV/CO/1-3</w:t>
        </w:r>
      </w:hyperlink>
      <w:r w:rsidRPr="00190491">
        <w:rPr>
          <w:b/>
          <w:lang w:val="fr-FR"/>
        </w:rPr>
        <w:t xml:space="preserve">, </w:t>
      </w:r>
      <w:r w:rsidR="006862B3">
        <w:rPr>
          <w:b/>
          <w:lang w:val="fr-FR"/>
        </w:rPr>
        <w:t>par. </w:t>
      </w:r>
      <w:r w:rsidRPr="00190491">
        <w:rPr>
          <w:b/>
          <w:lang w:val="fr-FR"/>
        </w:rPr>
        <w:t>39 e)</w:t>
      </w:r>
      <w:r w:rsidR="00D81000">
        <w:rPr>
          <w:b/>
          <w:lang w:val="fr-FR"/>
        </w:rPr>
        <w:t>]</w:t>
      </w:r>
      <w:r w:rsidRPr="00190491">
        <w:rPr>
          <w:b/>
          <w:lang w:val="fr-FR"/>
        </w:rPr>
        <w:t>.</w:t>
      </w:r>
    </w:p>
    <w:p w14:paraId="145F6796" w14:textId="06F72ABF" w:rsidR="00364BF3" w:rsidRDefault="00364BF3" w:rsidP="006C2408">
      <w:pPr>
        <w:pStyle w:val="SingleTxt"/>
        <w:numPr>
          <w:ilvl w:val="0"/>
          <w:numId w:val="24"/>
        </w:numPr>
        <w:spacing w:line="240" w:lineRule="exact"/>
        <w:rPr>
          <w:lang w:val="fr-FR"/>
        </w:rPr>
      </w:pPr>
      <w:r w:rsidRPr="00190491">
        <w:rPr>
          <w:lang w:val="fr-FR"/>
        </w:rPr>
        <w:t>Une des initiatives de la Stratégie Nationale de Protection Sociale (SNPS 2013‐2016), actuellement en chantier, sera l</w:t>
      </w:r>
      <w:r w:rsidR="000C16F5">
        <w:rPr>
          <w:lang w:val="fr-FR"/>
        </w:rPr>
        <w:t>’</w:t>
      </w:r>
      <w:r w:rsidRPr="00190491">
        <w:rPr>
          <w:lang w:val="fr-FR"/>
        </w:rPr>
        <w:t>établissement d</w:t>
      </w:r>
      <w:r w:rsidR="000C16F5">
        <w:rPr>
          <w:lang w:val="fr-FR"/>
        </w:rPr>
        <w:t>’</w:t>
      </w:r>
      <w:r w:rsidRPr="00190491">
        <w:rPr>
          <w:lang w:val="fr-FR"/>
        </w:rPr>
        <w:t>un régime de retraite pour les travailleurs indépendants. Ce régime, dénommé Régime Social des Travailleurs Indépendants, sera ouvert à tout travailleur non salarié exerçant une activité dans les secteurs économiques allant de l</w:t>
      </w:r>
      <w:r w:rsidR="000C16F5">
        <w:rPr>
          <w:lang w:val="fr-FR"/>
        </w:rPr>
        <w:t>’</w:t>
      </w:r>
      <w:r w:rsidRPr="00190491">
        <w:rPr>
          <w:lang w:val="fr-FR"/>
        </w:rPr>
        <w:t>agriculture familiale aux professions libérales. Ce régime comprendra aussi des indemnités journalières en cas d</w:t>
      </w:r>
      <w:r w:rsidR="000C16F5">
        <w:rPr>
          <w:lang w:val="fr-FR"/>
        </w:rPr>
        <w:t>’</w:t>
      </w:r>
      <w:r w:rsidRPr="00190491">
        <w:rPr>
          <w:lang w:val="fr-FR"/>
        </w:rPr>
        <w:t>incapacité temporaire de travail due à la maladie. L</w:t>
      </w:r>
      <w:r w:rsidR="000C16F5">
        <w:rPr>
          <w:lang w:val="fr-FR"/>
        </w:rPr>
        <w:t>’</w:t>
      </w:r>
      <w:r w:rsidRPr="00190491">
        <w:rPr>
          <w:lang w:val="fr-FR"/>
        </w:rPr>
        <w:t>assurance maladie sera mise en place dans le cadre de la Couverture Maladie Universelle (CMU), à la fois au profit des travailleurs du secteur informel et du secteur formel.</w:t>
      </w:r>
    </w:p>
    <w:p w14:paraId="532F9ED4" w14:textId="2AADA490" w:rsidR="00B01C6C" w:rsidRPr="00B01C6C" w:rsidRDefault="00B01C6C" w:rsidP="00B01C6C">
      <w:pPr>
        <w:pStyle w:val="SingleTxt"/>
        <w:spacing w:after="0" w:line="120" w:lineRule="exact"/>
        <w:rPr>
          <w:sz w:val="10"/>
          <w:lang w:val="fr-FR"/>
        </w:rPr>
      </w:pPr>
    </w:p>
    <w:p w14:paraId="2B15AE53" w14:textId="35565053" w:rsidR="00364BF3" w:rsidRDefault="00364BF3" w:rsidP="00DC705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Santé</w:t>
      </w:r>
    </w:p>
    <w:p w14:paraId="4B5445E9" w14:textId="013F25E6" w:rsidR="00DC705B" w:rsidRPr="00DC705B" w:rsidRDefault="00DC705B" w:rsidP="00DC705B">
      <w:pPr>
        <w:spacing w:line="120" w:lineRule="exact"/>
        <w:rPr>
          <w:sz w:val="10"/>
          <w:lang w:val="fr-FR"/>
        </w:rPr>
      </w:pPr>
    </w:p>
    <w:p w14:paraId="79CD6EE8" w14:textId="2BCE897A" w:rsidR="00364BF3" w:rsidRPr="00DC705B" w:rsidRDefault="00364BF3" w:rsidP="006C2408">
      <w:pPr>
        <w:pStyle w:val="SingleTxt"/>
        <w:numPr>
          <w:ilvl w:val="0"/>
          <w:numId w:val="24"/>
        </w:numPr>
        <w:spacing w:line="240" w:lineRule="exact"/>
        <w:rPr>
          <w:b/>
          <w:bCs/>
          <w:lang w:val="fr-FR"/>
        </w:rPr>
      </w:pPr>
      <w:r w:rsidRPr="00DC705B">
        <w:rPr>
          <w:b/>
          <w:bCs/>
          <w:lang w:val="fr-FR"/>
        </w:rPr>
        <w:t xml:space="preserve">Assurer, le financement à la santé avec le soutien des institutions compétentes appropriées des Nations unies </w:t>
      </w:r>
      <w:r w:rsidR="00D81000">
        <w:rPr>
          <w:b/>
          <w:bCs/>
          <w:lang w:val="fr-FR"/>
        </w:rPr>
        <w:t>[</w:t>
      </w:r>
      <w:r w:rsidRPr="00DC705B">
        <w:rPr>
          <w:b/>
          <w:bCs/>
          <w:lang w:val="fr-FR"/>
        </w:rPr>
        <w:t xml:space="preserve">voir </w:t>
      </w:r>
      <w:hyperlink r:id="rId83" w:history="1">
        <w:r w:rsidRPr="007B345A">
          <w:rPr>
            <w:rStyle w:val="Hyperlink"/>
            <w:b/>
            <w:bCs/>
            <w:lang w:val="fr-FR"/>
          </w:rPr>
          <w:t>CEDAW/C/CIV/CO/1-3</w:t>
        </w:r>
      </w:hyperlink>
      <w:r w:rsidRPr="00DC705B">
        <w:rPr>
          <w:b/>
          <w:bCs/>
          <w:lang w:val="fr-FR"/>
        </w:rPr>
        <w:t xml:space="preserve">, </w:t>
      </w:r>
      <w:r w:rsidR="006862B3">
        <w:rPr>
          <w:b/>
          <w:bCs/>
          <w:lang w:val="fr-FR"/>
        </w:rPr>
        <w:t>par. </w:t>
      </w:r>
      <w:r w:rsidRPr="00DC705B">
        <w:rPr>
          <w:b/>
          <w:bCs/>
          <w:lang w:val="fr-FR"/>
        </w:rPr>
        <w:t>41</w:t>
      </w:r>
      <w:r w:rsidR="00434AEF">
        <w:rPr>
          <w:b/>
          <w:bCs/>
          <w:lang w:val="fr-FR"/>
        </w:rPr>
        <w:t> </w:t>
      </w:r>
      <w:r w:rsidRPr="00DC705B">
        <w:rPr>
          <w:b/>
          <w:bCs/>
          <w:lang w:val="fr-FR"/>
        </w:rPr>
        <w:t>a)</w:t>
      </w:r>
      <w:r w:rsidR="00D81000">
        <w:rPr>
          <w:b/>
          <w:bCs/>
          <w:lang w:val="fr-FR"/>
        </w:rPr>
        <w:t>]</w:t>
      </w:r>
      <w:r w:rsidRPr="00DC705B">
        <w:rPr>
          <w:b/>
          <w:bCs/>
          <w:lang w:val="fr-FR"/>
        </w:rPr>
        <w:t>.</w:t>
      </w:r>
    </w:p>
    <w:p w14:paraId="5924A26E" w14:textId="14AFF12D" w:rsidR="00364BF3" w:rsidRPr="00190491" w:rsidRDefault="00364BF3" w:rsidP="006C2408">
      <w:pPr>
        <w:pStyle w:val="SingleTxt"/>
        <w:numPr>
          <w:ilvl w:val="0"/>
          <w:numId w:val="24"/>
        </w:numPr>
        <w:spacing w:line="240" w:lineRule="exact"/>
        <w:rPr>
          <w:lang w:val="fr-FR"/>
        </w:rPr>
      </w:pPr>
      <w:r w:rsidRPr="00190491">
        <w:rPr>
          <w:lang w:val="fr-FR"/>
        </w:rPr>
        <w:t>Le budget alloué au Ministère de la Santé connait un accroissement remarquable comme le montre le graphique ci-dessous. En effet, de 190 milliards en 2013, il est passé à 245 milliards en 2014 et à 278 milliards en 2015. Ce budget s</w:t>
      </w:r>
      <w:r w:rsidR="000C16F5">
        <w:rPr>
          <w:lang w:val="fr-FR"/>
        </w:rPr>
        <w:t>’</w:t>
      </w:r>
      <w:r w:rsidRPr="00190491">
        <w:rPr>
          <w:lang w:val="fr-FR"/>
        </w:rPr>
        <w:t>élève à 596,31</w:t>
      </w:r>
      <w:r w:rsidR="00114AE1">
        <w:rPr>
          <w:lang w:val="fr-FR"/>
        </w:rPr>
        <w:t> </w:t>
      </w:r>
      <w:r w:rsidRPr="00190491">
        <w:rPr>
          <w:lang w:val="fr-FR"/>
        </w:rPr>
        <w:t>milliards en 2016 représentant environ 5,36</w:t>
      </w:r>
      <w:r w:rsidR="00B72ED0">
        <w:rPr>
          <w:lang w:val="fr-FR"/>
        </w:rPr>
        <w:t> </w:t>
      </w:r>
      <w:r w:rsidRPr="00190491">
        <w:rPr>
          <w:lang w:val="fr-FR"/>
        </w:rPr>
        <w:t>% du budget total de l</w:t>
      </w:r>
      <w:r w:rsidR="000C16F5">
        <w:rPr>
          <w:lang w:val="fr-FR"/>
        </w:rPr>
        <w:t>’</w:t>
      </w:r>
      <w:r w:rsidR="00C10A78" w:rsidRPr="00190491">
        <w:rPr>
          <w:lang w:val="fr-FR"/>
        </w:rPr>
        <w:t>État</w:t>
      </w:r>
      <w:r w:rsidRPr="00190491">
        <w:rPr>
          <w:lang w:val="fr-FR"/>
        </w:rPr>
        <w:t xml:space="preserve"> de Côte d</w:t>
      </w:r>
      <w:r w:rsidR="000C16F5">
        <w:rPr>
          <w:lang w:val="fr-FR"/>
        </w:rPr>
        <w:t>’</w:t>
      </w:r>
      <w:r w:rsidRPr="00190491">
        <w:rPr>
          <w:lang w:val="fr-FR"/>
        </w:rPr>
        <w:t>Ivoire.</w:t>
      </w:r>
    </w:p>
    <w:p w14:paraId="5DD11BE3" w14:textId="506CC6FD" w:rsidR="00364BF3" w:rsidRPr="00DC705B" w:rsidRDefault="00364BF3" w:rsidP="00DC705B">
      <w:pPr>
        <w:pStyle w:val="SingleTxt"/>
        <w:spacing w:after="0" w:line="120" w:lineRule="exact"/>
        <w:rPr>
          <w:sz w:val="10"/>
          <w:lang w:val="fr-FR"/>
        </w:rPr>
      </w:pPr>
    </w:p>
    <w:p w14:paraId="781AB57E" w14:textId="55AA6326" w:rsidR="00DC705B" w:rsidRPr="00DC705B" w:rsidRDefault="00DC705B" w:rsidP="00DC705B">
      <w:pPr>
        <w:pStyle w:val="SingleTxt"/>
        <w:spacing w:after="0" w:line="120" w:lineRule="exact"/>
        <w:rPr>
          <w:sz w:val="10"/>
          <w:lang w:val="fr-FR"/>
        </w:rPr>
      </w:pPr>
    </w:p>
    <w:p w14:paraId="429E8812" w14:textId="4230752A" w:rsidR="00364BF3" w:rsidRDefault="00364BF3" w:rsidP="00364BF3">
      <w:pPr>
        <w:pStyle w:val="SingleTxt"/>
        <w:rPr>
          <w:lang w:val="fr-FR"/>
        </w:rPr>
      </w:pPr>
      <w:r>
        <w:rPr>
          <w:noProof/>
          <w:lang w:val="fr-FR"/>
        </w:rPr>
        <w:drawing>
          <wp:inline distT="0" distB="0" distL="0" distR="0" wp14:anchorId="5503E367" wp14:editId="3B214591">
            <wp:extent cx="4674813" cy="2424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47018" cy="2461802"/>
                    </a:xfrm>
                    <a:prstGeom prst="rect">
                      <a:avLst/>
                    </a:prstGeom>
                    <a:noFill/>
                  </pic:spPr>
                </pic:pic>
              </a:graphicData>
            </a:graphic>
          </wp:inline>
        </w:drawing>
      </w:r>
    </w:p>
    <w:p w14:paraId="2810AE82" w14:textId="5773F32F" w:rsidR="00364BF3" w:rsidRPr="00DC705B" w:rsidRDefault="00364BF3" w:rsidP="00DC705B">
      <w:pPr>
        <w:pStyle w:val="SingleTxt"/>
        <w:spacing w:after="0" w:line="120" w:lineRule="exact"/>
        <w:rPr>
          <w:sz w:val="10"/>
          <w:lang w:val="fr-FR"/>
        </w:rPr>
      </w:pPr>
    </w:p>
    <w:p w14:paraId="16454551" w14:textId="5531C393" w:rsidR="00DC705B" w:rsidRPr="00DC705B" w:rsidRDefault="00DC705B" w:rsidP="00DC705B">
      <w:pPr>
        <w:pStyle w:val="SingleTxt"/>
        <w:spacing w:after="0" w:line="120" w:lineRule="exact"/>
        <w:rPr>
          <w:sz w:val="10"/>
          <w:lang w:val="fr-FR"/>
        </w:rPr>
      </w:pPr>
    </w:p>
    <w:p w14:paraId="6FEC38BF" w14:textId="7C7B54DD" w:rsidR="00364BF3" w:rsidRPr="00752298" w:rsidRDefault="00364BF3" w:rsidP="006C2408">
      <w:pPr>
        <w:pStyle w:val="SingleTxt"/>
        <w:numPr>
          <w:ilvl w:val="0"/>
          <w:numId w:val="24"/>
        </w:numPr>
        <w:spacing w:line="240" w:lineRule="exact"/>
        <w:rPr>
          <w:b/>
          <w:bCs/>
          <w:lang w:val="fr-FR"/>
        </w:rPr>
      </w:pPr>
      <w:r w:rsidRPr="00752298">
        <w:rPr>
          <w:b/>
          <w:bCs/>
          <w:lang w:val="fr-FR"/>
        </w:rPr>
        <w:t>Renforcer les efforts pour réduire, avec le soutien de la communauté internationale l</w:t>
      </w:r>
      <w:r w:rsidR="000C16F5" w:rsidRPr="00752298">
        <w:rPr>
          <w:b/>
          <w:bCs/>
          <w:lang w:val="fr-FR"/>
        </w:rPr>
        <w:t>’</w:t>
      </w:r>
      <w:r w:rsidRPr="00752298">
        <w:rPr>
          <w:b/>
          <w:bCs/>
          <w:lang w:val="fr-FR"/>
        </w:rPr>
        <w:t>incidence de la mortalité maternelle et accroître l</w:t>
      </w:r>
      <w:r w:rsidR="000C16F5" w:rsidRPr="00752298">
        <w:rPr>
          <w:b/>
          <w:bCs/>
          <w:lang w:val="fr-FR"/>
        </w:rPr>
        <w:t>’</w:t>
      </w:r>
      <w:r w:rsidRPr="00752298">
        <w:rPr>
          <w:b/>
          <w:bCs/>
          <w:lang w:val="fr-FR"/>
        </w:rPr>
        <w:t xml:space="preserve">accès des femmes et des filles aux services de santé de base </w:t>
      </w:r>
      <w:r w:rsidR="00D81000">
        <w:rPr>
          <w:b/>
          <w:bCs/>
          <w:lang w:val="fr-FR"/>
        </w:rPr>
        <w:t>[</w:t>
      </w:r>
      <w:r w:rsidRPr="00752298">
        <w:rPr>
          <w:b/>
          <w:bCs/>
          <w:lang w:val="fr-FR"/>
        </w:rPr>
        <w:t xml:space="preserve">voir </w:t>
      </w:r>
      <w:hyperlink r:id="rId85" w:history="1">
        <w:r w:rsidRPr="007B345A">
          <w:rPr>
            <w:rStyle w:val="Hyperlink"/>
            <w:b/>
            <w:bCs/>
            <w:lang w:val="fr-FR"/>
          </w:rPr>
          <w:t>CEDAW/C/CIV/CO/1-3</w:t>
        </w:r>
      </w:hyperlink>
      <w:r w:rsidRPr="00752298">
        <w:rPr>
          <w:b/>
          <w:bCs/>
          <w:lang w:val="fr-FR"/>
        </w:rPr>
        <w:t xml:space="preserve">, </w:t>
      </w:r>
      <w:r w:rsidR="006862B3">
        <w:rPr>
          <w:b/>
          <w:bCs/>
          <w:lang w:val="fr-FR"/>
        </w:rPr>
        <w:t>par. </w:t>
      </w:r>
      <w:r w:rsidRPr="00752298">
        <w:rPr>
          <w:b/>
          <w:bCs/>
          <w:lang w:val="fr-FR"/>
        </w:rPr>
        <w:t>41 b)</w:t>
      </w:r>
      <w:r w:rsidR="00D81000">
        <w:rPr>
          <w:b/>
          <w:bCs/>
          <w:lang w:val="fr-FR"/>
        </w:rPr>
        <w:t>]</w:t>
      </w:r>
      <w:r w:rsidRPr="00752298">
        <w:rPr>
          <w:b/>
          <w:bCs/>
          <w:lang w:val="fr-FR"/>
        </w:rPr>
        <w:t>.</w:t>
      </w:r>
    </w:p>
    <w:p w14:paraId="5449ED2C" w14:textId="607B4482" w:rsidR="00364BF3" w:rsidRPr="00190491" w:rsidRDefault="00364BF3" w:rsidP="006C2408">
      <w:pPr>
        <w:pStyle w:val="SingleTxt"/>
        <w:numPr>
          <w:ilvl w:val="0"/>
          <w:numId w:val="24"/>
        </w:numPr>
        <w:spacing w:line="240" w:lineRule="exact"/>
        <w:rPr>
          <w:lang w:val="fr-FR"/>
        </w:rPr>
      </w:pPr>
      <w:r w:rsidRPr="00190491">
        <w:rPr>
          <w:lang w:val="fr-FR"/>
        </w:rPr>
        <w:t>Le Gouvernement ivoirien a initié avec ses partenaires plusieurs actions. Ainsi dans le domaine de la santé sexuelle et reproductive et de la santé de l</w:t>
      </w:r>
      <w:r w:rsidR="000C16F5">
        <w:rPr>
          <w:lang w:val="fr-FR"/>
        </w:rPr>
        <w:t>’</w:t>
      </w:r>
      <w:r w:rsidRPr="00190491">
        <w:rPr>
          <w:lang w:val="fr-FR"/>
        </w:rPr>
        <w:t>enfant on note</w:t>
      </w:r>
      <w:r w:rsidR="008945B3">
        <w:rPr>
          <w:lang w:val="fr-FR"/>
        </w:rPr>
        <w:t> :</w:t>
      </w:r>
      <w:r w:rsidRPr="00190491">
        <w:rPr>
          <w:lang w:val="fr-FR"/>
        </w:rPr>
        <w:t> i) l</w:t>
      </w:r>
      <w:r w:rsidR="000C16F5">
        <w:rPr>
          <w:lang w:val="fr-FR"/>
        </w:rPr>
        <w:t>’</w:t>
      </w:r>
      <w:r w:rsidRPr="00190491">
        <w:rPr>
          <w:lang w:val="fr-FR"/>
        </w:rPr>
        <w:t>instauration de la politique de la gratuité ciblée depuis 2012 en vue d</w:t>
      </w:r>
      <w:r w:rsidR="000C16F5">
        <w:rPr>
          <w:lang w:val="fr-FR"/>
        </w:rPr>
        <w:t>’</w:t>
      </w:r>
      <w:r w:rsidRPr="00190491">
        <w:rPr>
          <w:lang w:val="fr-FR"/>
        </w:rPr>
        <w:t>améliorer l</w:t>
      </w:r>
      <w:r w:rsidR="000C16F5">
        <w:rPr>
          <w:lang w:val="fr-FR"/>
        </w:rPr>
        <w:t>’</w:t>
      </w:r>
      <w:r w:rsidRPr="00190491">
        <w:rPr>
          <w:lang w:val="fr-FR"/>
        </w:rPr>
        <w:t>accessibilité financière des populations aux structures de santé par la population en général et particulièrement les enfants de 0 à 5 ans</w:t>
      </w:r>
      <w:r w:rsidR="00DB4C05">
        <w:rPr>
          <w:lang w:val="fr-FR"/>
        </w:rPr>
        <w:t> ;</w:t>
      </w:r>
      <w:r w:rsidRPr="00190491">
        <w:rPr>
          <w:lang w:val="fr-FR"/>
        </w:rPr>
        <w:t xml:space="preserve"> ii) l</w:t>
      </w:r>
      <w:r w:rsidR="000C16F5">
        <w:rPr>
          <w:lang w:val="fr-FR"/>
        </w:rPr>
        <w:t>’</w:t>
      </w:r>
      <w:r w:rsidRPr="00190491">
        <w:rPr>
          <w:lang w:val="fr-FR"/>
        </w:rPr>
        <w:t>élaboration et la mise en œuvre du Cadre d</w:t>
      </w:r>
      <w:r w:rsidR="000C16F5">
        <w:rPr>
          <w:lang w:val="fr-FR"/>
        </w:rPr>
        <w:t>’</w:t>
      </w:r>
      <w:r w:rsidRPr="00190491">
        <w:rPr>
          <w:lang w:val="fr-FR"/>
        </w:rPr>
        <w:t>Accélération de l</w:t>
      </w:r>
      <w:r w:rsidR="000C16F5">
        <w:rPr>
          <w:lang w:val="fr-FR"/>
        </w:rPr>
        <w:t>’</w:t>
      </w:r>
      <w:r w:rsidRPr="00190491">
        <w:rPr>
          <w:lang w:val="fr-FR"/>
        </w:rPr>
        <w:t>OMD5 depuis 2012</w:t>
      </w:r>
      <w:r w:rsidR="00DB4C05">
        <w:rPr>
          <w:lang w:val="fr-FR"/>
        </w:rPr>
        <w:t> ;</w:t>
      </w:r>
      <w:r w:rsidRPr="00190491">
        <w:rPr>
          <w:lang w:val="fr-FR"/>
        </w:rPr>
        <w:t xml:space="preserve"> iii) l</w:t>
      </w:r>
      <w:r w:rsidR="000C16F5">
        <w:rPr>
          <w:lang w:val="fr-FR"/>
        </w:rPr>
        <w:t>’</w:t>
      </w:r>
      <w:r w:rsidRPr="00190491">
        <w:rPr>
          <w:lang w:val="fr-FR"/>
        </w:rPr>
        <w:t>élaboration et la mise en œuvre d</w:t>
      </w:r>
      <w:r w:rsidR="000C16F5">
        <w:rPr>
          <w:lang w:val="fr-FR"/>
        </w:rPr>
        <w:t>’</w:t>
      </w:r>
      <w:r w:rsidRPr="00190491">
        <w:rPr>
          <w:lang w:val="fr-FR"/>
        </w:rPr>
        <w:t>interventions à hauts impacts dans le cadre des initiatives MUSKOKA (2011) et H4+Sida (2013)</w:t>
      </w:r>
      <w:r w:rsidR="00DB4C05">
        <w:rPr>
          <w:lang w:val="fr-FR"/>
        </w:rPr>
        <w:t> ;</w:t>
      </w:r>
      <w:r w:rsidRPr="00190491">
        <w:rPr>
          <w:lang w:val="fr-FR"/>
        </w:rPr>
        <w:t xml:space="preserve"> iv) le lancement en 2013 de la CARMMA et sa mise en œuvre dans toutes les régions sanitaires</w:t>
      </w:r>
      <w:r w:rsidR="00DB4C05">
        <w:rPr>
          <w:lang w:val="fr-FR"/>
        </w:rPr>
        <w:t> ;</w:t>
      </w:r>
      <w:r w:rsidRPr="00190491">
        <w:rPr>
          <w:lang w:val="fr-FR"/>
        </w:rPr>
        <w:t xml:space="preserve"> v) l</w:t>
      </w:r>
      <w:r w:rsidR="000C16F5">
        <w:rPr>
          <w:lang w:val="fr-FR"/>
        </w:rPr>
        <w:t>’</w:t>
      </w:r>
      <w:r w:rsidRPr="00190491">
        <w:rPr>
          <w:lang w:val="fr-FR"/>
        </w:rPr>
        <w:t>élaboration et la mise en œuvre du plan national budgétisé de la planification familiale 2015-2020</w:t>
      </w:r>
      <w:r w:rsidR="00DB4C05">
        <w:rPr>
          <w:lang w:val="fr-FR"/>
        </w:rPr>
        <w:t> ;</w:t>
      </w:r>
      <w:r w:rsidRPr="00190491">
        <w:rPr>
          <w:lang w:val="fr-FR"/>
        </w:rPr>
        <w:t xml:space="preserve"> vi)</w:t>
      </w:r>
      <w:r w:rsidR="00114AE1">
        <w:rPr>
          <w:lang w:val="fr-FR"/>
        </w:rPr>
        <w:t> </w:t>
      </w:r>
      <w:r w:rsidRPr="00190491">
        <w:rPr>
          <w:lang w:val="fr-FR"/>
        </w:rPr>
        <w:t>l</w:t>
      </w:r>
      <w:r w:rsidR="000C16F5">
        <w:rPr>
          <w:lang w:val="fr-FR"/>
        </w:rPr>
        <w:t>’</w:t>
      </w:r>
      <w:r w:rsidRPr="00190491">
        <w:rPr>
          <w:lang w:val="fr-FR"/>
        </w:rPr>
        <w:t>Institutionnalisation de la Revue et Riposte aux décès maternels du MSHP</w:t>
      </w:r>
      <w:r w:rsidR="00DB4C05">
        <w:rPr>
          <w:lang w:val="fr-FR"/>
        </w:rPr>
        <w:t> ;</w:t>
      </w:r>
      <w:r w:rsidRPr="00190491">
        <w:rPr>
          <w:lang w:val="fr-FR"/>
        </w:rPr>
        <w:t xml:space="preserve"> vii) la mise en œuvre de projet de lutte contre les fistules obstétricales</w:t>
      </w:r>
      <w:r w:rsidR="00DB4C05">
        <w:rPr>
          <w:lang w:val="fr-FR"/>
        </w:rPr>
        <w:t> ;</w:t>
      </w:r>
      <w:r w:rsidRPr="00190491">
        <w:rPr>
          <w:lang w:val="fr-FR"/>
        </w:rPr>
        <w:t xml:space="preserve"> viii) la </w:t>
      </w:r>
      <w:r w:rsidRPr="00190491">
        <w:rPr>
          <w:lang w:val="fr-FR"/>
        </w:rPr>
        <w:lastRenderedPageBreak/>
        <w:t>création de l</w:t>
      </w:r>
      <w:r w:rsidR="000C16F5">
        <w:rPr>
          <w:lang w:val="fr-FR"/>
        </w:rPr>
        <w:t>’</w:t>
      </w:r>
      <w:r w:rsidRPr="00190491">
        <w:rPr>
          <w:lang w:val="fr-FR"/>
        </w:rPr>
        <w:t>ordre des sages-femmes et maïeuticiens</w:t>
      </w:r>
      <w:r w:rsidR="00DB4C05">
        <w:rPr>
          <w:lang w:val="fr-FR"/>
        </w:rPr>
        <w:t> ;</w:t>
      </w:r>
      <w:r w:rsidRPr="00190491">
        <w:rPr>
          <w:lang w:val="fr-FR"/>
        </w:rPr>
        <w:t xml:space="preserve"> ix) l</w:t>
      </w:r>
      <w:r w:rsidR="000C16F5">
        <w:rPr>
          <w:lang w:val="fr-FR"/>
        </w:rPr>
        <w:t>’</w:t>
      </w:r>
      <w:r w:rsidRPr="00190491">
        <w:rPr>
          <w:lang w:val="fr-FR"/>
        </w:rPr>
        <w:t>appui à la diffusion et l</w:t>
      </w:r>
      <w:r w:rsidR="000C16F5">
        <w:rPr>
          <w:lang w:val="fr-FR"/>
        </w:rPr>
        <w:t>’</w:t>
      </w:r>
      <w:r w:rsidRPr="00190491">
        <w:rPr>
          <w:lang w:val="fr-FR"/>
        </w:rPr>
        <w:t>encadrement du gouvernement pour la soumission de la candidature de la Côte d</w:t>
      </w:r>
      <w:r w:rsidR="000C16F5">
        <w:rPr>
          <w:lang w:val="fr-FR"/>
        </w:rPr>
        <w:t>’</w:t>
      </w:r>
      <w:r w:rsidRPr="00190491">
        <w:rPr>
          <w:lang w:val="fr-FR"/>
        </w:rPr>
        <w:t>Ivoire à la mise en œuvre d</w:t>
      </w:r>
      <w:r w:rsidR="000C16F5">
        <w:rPr>
          <w:lang w:val="fr-FR"/>
        </w:rPr>
        <w:t>’</w:t>
      </w:r>
      <w:r w:rsidRPr="00190491">
        <w:rPr>
          <w:lang w:val="fr-FR"/>
        </w:rPr>
        <w:t xml:space="preserve">un </w:t>
      </w:r>
      <w:r w:rsidRPr="00190491">
        <w:rPr>
          <w:bCs/>
          <w:lang w:val="fr-FR"/>
        </w:rPr>
        <w:t>Master en Sciences Infirmières et Obstétricales en 2016</w:t>
      </w:r>
      <w:r w:rsidR="00DB4C05">
        <w:rPr>
          <w:bCs/>
          <w:lang w:val="fr-FR"/>
        </w:rPr>
        <w:t> ;</w:t>
      </w:r>
      <w:r w:rsidRPr="00190491">
        <w:rPr>
          <w:lang w:val="fr-FR"/>
        </w:rPr>
        <w:t xml:space="preserve"> x) l</w:t>
      </w:r>
      <w:r w:rsidR="000C16F5">
        <w:rPr>
          <w:lang w:val="fr-FR"/>
        </w:rPr>
        <w:t>’</w:t>
      </w:r>
      <w:r w:rsidRPr="00190491">
        <w:rPr>
          <w:lang w:val="fr-FR"/>
        </w:rPr>
        <w:t>adoption d</w:t>
      </w:r>
      <w:r w:rsidR="000C16F5">
        <w:rPr>
          <w:lang w:val="fr-FR"/>
        </w:rPr>
        <w:t>’</w:t>
      </w:r>
      <w:r w:rsidRPr="00190491">
        <w:rPr>
          <w:lang w:val="fr-FR"/>
        </w:rPr>
        <w:t>une loi sur la prévention, la protection et la répression en matière de VIH</w:t>
      </w:r>
      <w:r w:rsidR="00DB4C05">
        <w:rPr>
          <w:lang w:val="fr-FR"/>
        </w:rPr>
        <w:t> ;</w:t>
      </w:r>
      <w:r w:rsidRPr="00190491">
        <w:rPr>
          <w:lang w:val="fr-FR"/>
        </w:rPr>
        <w:t xml:space="preserve"> xi) la création de la Direction des soins infirmiers et maternels</w:t>
      </w:r>
      <w:r w:rsidR="00DB4C05">
        <w:rPr>
          <w:lang w:val="fr-FR"/>
        </w:rPr>
        <w:t> ;</w:t>
      </w:r>
      <w:r w:rsidRPr="00190491">
        <w:rPr>
          <w:lang w:val="fr-FR"/>
        </w:rPr>
        <w:t xml:space="preserve"> xii)</w:t>
      </w:r>
      <w:r w:rsidR="00114AE1">
        <w:rPr>
          <w:lang w:val="fr-FR"/>
        </w:rPr>
        <w:t> </w:t>
      </w:r>
      <w:r w:rsidRPr="00190491">
        <w:rPr>
          <w:lang w:val="fr-FR"/>
        </w:rPr>
        <w:t>le démarrage du processus de mise en place de la Couverture Maladie Universelle et xiii) le Plan Stratégique 2016-2020 de la santé de la mère et de l</w:t>
      </w:r>
      <w:r w:rsidR="000C16F5">
        <w:rPr>
          <w:lang w:val="fr-FR"/>
        </w:rPr>
        <w:t>’</w:t>
      </w:r>
      <w:r w:rsidRPr="00190491">
        <w:rPr>
          <w:lang w:val="fr-FR"/>
        </w:rPr>
        <w:t>enfant en cours de finalisation et qui tient compte des ODD.</w:t>
      </w:r>
    </w:p>
    <w:p w14:paraId="331C9F81" w14:textId="56ED2BFA" w:rsidR="00364BF3" w:rsidRPr="00752298" w:rsidRDefault="00364BF3" w:rsidP="006C2408">
      <w:pPr>
        <w:pStyle w:val="SingleTxt"/>
        <w:numPr>
          <w:ilvl w:val="0"/>
          <w:numId w:val="24"/>
        </w:numPr>
        <w:spacing w:line="240" w:lineRule="exact"/>
        <w:rPr>
          <w:b/>
          <w:bCs/>
          <w:lang w:val="fr-FR"/>
        </w:rPr>
      </w:pPr>
      <w:r w:rsidRPr="00752298">
        <w:rPr>
          <w:b/>
          <w:bCs/>
          <w:lang w:val="fr-FR"/>
        </w:rPr>
        <w:t xml:space="preserve">Intensifier les efforts pour lutter contre la malnutrition et le paludisme </w:t>
      </w:r>
      <w:r w:rsidR="00D81000">
        <w:rPr>
          <w:b/>
          <w:bCs/>
          <w:lang w:val="fr-FR"/>
        </w:rPr>
        <w:t>[</w:t>
      </w:r>
      <w:r w:rsidRPr="00752298">
        <w:rPr>
          <w:b/>
          <w:bCs/>
          <w:lang w:val="fr-FR"/>
        </w:rPr>
        <w:t xml:space="preserve">voir </w:t>
      </w:r>
      <w:hyperlink r:id="rId86" w:history="1">
        <w:r w:rsidRPr="007B345A">
          <w:rPr>
            <w:rStyle w:val="Hyperlink"/>
            <w:b/>
            <w:bCs/>
            <w:lang w:val="fr-FR"/>
          </w:rPr>
          <w:t>CEDAW/C/CIV/CO/1-3</w:t>
        </w:r>
      </w:hyperlink>
      <w:r w:rsidRPr="00752298">
        <w:rPr>
          <w:b/>
          <w:bCs/>
          <w:lang w:val="fr-FR"/>
        </w:rPr>
        <w:t xml:space="preserve">, </w:t>
      </w:r>
      <w:r w:rsidR="006862B3">
        <w:rPr>
          <w:b/>
          <w:bCs/>
          <w:lang w:val="fr-FR"/>
        </w:rPr>
        <w:t>par. </w:t>
      </w:r>
      <w:r w:rsidRPr="00752298">
        <w:rPr>
          <w:b/>
          <w:bCs/>
          <w:lang w:val="fr-FR"/>
        </w:rPr>
        <w:t>41 c)</w:t>
      </w:r>
      <w:r w:rsidR="00D81000">
        <w:rPr>
          <w:b/>
          <w:bCs/>
          <w:lang w:val="fr-FR"/>
        </w:rPr>
        <w:t>]</w:t>
      </w:r>
      <w:r w:rsidRPr="00752298">
        <w:rPr>
          <w:b/>
          <w:bCs/>
          <w:lang w:val="fr-FR"/>
        </w:rPr>
        <w:t>.</w:t>
      </w:r>
    </w:p>
    <w:p w14:paraId="6C1FEEA1" w14:textId="77777777" w:rsidR="00364BF3" w:rsidRPr="00190491" w:rsidRDefault="00364BF3" w:rsidP="006C2408">
      <w:pPr>
        <w:pStyle w:val="SingleTxt"/>
        <w:numPr>
          <w:ilvl w:val="0"/>
          <w:numId w:val="24"/>
        </w:numPr>
        <w:spacing w:line="240" w:lineRule="exact"/>
        <w:rPr>
          <w:lang w:val="fr-FR"/>
        </w:rPr>
      </w:pPr>
      <w:r w:rsidRPr="00190491">
        <w:rPr>
          <w:lang w:val="fr-FR"/>
        </w:rPr>
        <w:t xml:space="preserve">Le Plan Stratégique National de Lutte contre le Paludisme a été révisé sur la période 2012-2015 et est en cours de mise en œuvre. </w:t>
      </w:r>
    </w:p>
    <w:p w14:paraId="20127D5E" w14:textId="2E1FA7C2" w:rsidR="00364BF3" w:rsidRPr="00190491" w:rsidRDefault="00364BF3" w:rsidP="006C2408">
      <w:pPr>
        <w:pStyle w:val="SingleTxt"/>
        <w:numPr>
          <w:ilvl w:val="0"/>
          <w:numId w:val="24"/>
        </w:numPr>
        <w:spacing w:line="240" w:lineRule="exact"/>
        <w:rPr>
          <w:lang w:val="fr-FR"/>
        </w:rPr>
      </w:pPr>
      <w:r w:rsidRPr="00190491">
        <w:rPr>
          <w:lang w:val="fr-FR"/>
        </w:rPr>
        <w:t>Le RASS 2015 relève que l</w:t>
      </w:r>
      <w:r w:rsidR="000C16F5">
        <w:rPr>
          <w:lang w:val="fr-FR"/>
        </w:rPr>
        <w:t>’</w:t>
      </w:r>
      <w:r w:rsidRPr="00190491">
        <w:rPr>
          <w:lang w:val="fr-FR"/>
        </w:rPr>
        <w:t>incidence du paludisme dans la population générale était de 155,5 ‰ et chez les enfants de moins de 5 ans elle est de 291,8</w:t>
      </w:r>
      <w:r w:rsidR="00DB4C05">
        <w:rPr>
          <w:lang w:val="fr-FR"/>
        </w:rPr>
        <w:t> %</w:t>
      </w:r>
      <w:r w:rsidRPr="00190491">
        <w:rPr>
          <w:lang w:val="fr-FR"/>
        </w:rPr>
        <w:t>.</w:t>
      </w:r>
    </w:p>
    <w:p w14:paraId="006041C4" w14:textId="4E291A48" w:rsidR="00364BF3" w:rsidRPr="00190491" w:rsidRDefault="00364BF3" w:rsidP="006C2408">
      <w:pPr>
        <w:pStyle w:val="SingleTxt"/>
        <w:numPr>
          <w:ilvl w:val="0"/>
          <w:numId w:val="24"/>
        </w:numPr>
        <w:spacing w:line="240" w:lineRule="exact"/>
        <w:rPr>
          <w:bCs/>
          <w:lang w:val="fr-FR"/>
        </w:rPr>
      </w:pPr>
      <w:r w:rsidRPr="00190491">
        <w:rPr>
          <w:bCs/>
          <w:lang w:val="fr-FR"/>
        </w:rPr>
        <w:t xml:space="preserve">Au plan de la prise en charge sanitaire, le Gouvernement a renforcé la gratuité des </w:t>
      </w:r>
      <w:r w:rsidRPr="00190491">
        <w:rPr>
          <w:lang w:val="fr-FR"/>
        </w:rPr>
        <w:t>Combinaisons</w:t>
      </w:r>
      <w:r w:rsidRPr="00190491">
        <w:rPr>
          <w:bCs/>
          <w:lang w:val="fr-FR"/>
        </w:rPr>
        <w:t xml:space="preserve"> Thérapeutiques à base d</w:t>
      </w:r>
      <w:r w:rsidR="000C16F5">
        <w:rPr>
          <w:bCs/>
          <w:lang w:val="fr-FR"/>
        </w:rPr>
        <w:t>’</w:t>
      </w:r>
      <w:r w:rsidRPr="00190491">
        <w:rPr>
          <w:bCs/>
          <w:lang w:val="fr-FR"/>
        </w:rPr>
        <w:t xml:space="preserve">Artémisinine (CTA) dans les établissements sanitaires publics. </w:t>
      </w:r>
    </w:p>
    <w:p w14:paraId="07C79BAD" w14:textId="42E98FCC" w:rsidR="00364BF3" w:rsidRPr="00190491" w:rsidRDefault="00364BF3" w:rsidP="006C2408">
      <w:pPr>
        <w:pStyle w:val="SingleTxt"/>
        <w:numPr>
          <w:ilvl w:val="0"/>
          <w:numId w:val="24"/>
        </w:numPr>
        <w:spacing w:line="240" w:lineRule="exact"/>
        <w:rPr>
          <w:lang w:val="fr-FR"/>
        </w:rPr>
      </w:pPr>
      <w:r w:rsidRPr="00190491">
        <w:rPr>
          <w:lang w:val="fr-FR"/>
        </w:rPr>
        <w:t>En vue de renforcer la lutte contre la malnutrition, plusieurs actions ont été menées par l</w:t>
      </w:r>
      <w:r w:rsidR="000C16F5">
        <w:rPr>
          <w:lang w:val="fr-FR"/>
        </w:rPr>
        <w:t>’</w:t>
      </w:r>
      <w:r w:rsidR="00C10A78" w:rsidRPr="00190491">
        <w:rPr>
          <w:lang w:val="fr-FR"/>
        </w:rPr>
        <w:t>État</w:t>
      </w:r>
      <w:r w:rsidRPr="00190491">
        <w:rPr>
          <w:lang w:val="fr-FR"/>
        </w:rPr>
        <w:t xml:space="preserve"> ivoirien. Il s</w:t>
      </w:r>
      <w:r w:rsidR="000C16F5">
        <w:rPr>
          <w:lang w:val="fr-FR"/>
        </w:rPr>
        <w:t>’</w:t>
      </w:r>
      <w:r w:rsidRPr="00190491">
        <w:rPr>
          <w:lang w:val="fr-FR"/>
        </w:rPr>
        <w:t>agit de</w:t>
      </w:r>
      <w:r w:rsidR="008945B3">
        <w:rPr>
          <w:lang w:val="fr-FR"/>
        </w:rPr>
        <w:t> :</w:t>
      </w:r>
      <w:r w:rsidRPr="00190491">
        <w:rPr>
          <w:lang w:val="fr-FR"/>
        </w:rPr>
        <w:t xml:space="preserve"> i) du décret 2013 qui réglemente la commercialisation des substituts du lait maternel, ii) la relance de l</w:t>
      </w:r>
      <w:r w:rsidR="000C16F5">
        <w:rPr>
          <w:lang w:val="fr-FR"/>
        </w:rPr>
        <w:t>’</w:t>
      </w:r>
      <w:r w:rsidRPr="00190491">
        <w:rPr>
          <w:lang w:val="fr-FR"/>
        </w:rPr>
        <w:t xml:space="preserve">initiative </w:t>
      </w:r>
      <w:r w:rsidR="00B72ED0">
        <w:rPr>
          <w:lang w:val="fr-FR"/>
        </w:rPr>
        <w:t>« </w:t>
      </w:r>
      <w:r w:rsidRPr="00190491">
        <w:rPr>
          <w:lang w:val="fr-FR"/>
        </w:rPr>
        <w:t>Hôpitaux Amis des Bébés</w:t>
      </w:r>
      <w:r w:rsidR="00B72ED0">
        <w:rPr>
          <w:lang w:val="fr-FR"/>
        </w:rPr>
        <w:t> »</w:t>
      </w:r>
      <w:r w:rsidRPr="00190491">
        <w:rPr>
          <w:lang w:val="fr-FR"/>
        </w:rPr>
        <w:t xml:space="preserve"> depuis 2013 et l</w:t>
      </w:r>
      <w:r w:rsidR="000C16F5">
        <w:rPr>
          <w:lang w:val="fr-FR"/>
        </w:rPr>
        <w:t>’</w:t>
      </w:r>
      <w:r w:rsidRPr="00190491">
        <w:rPr>
          <w:lang w:val="fr-FR"/>
        </w:rPr>
        <w:t>organisation d</w:t>
      </w:r>
      <w:r w:rsidR="000C16F5">
        <w:rPr>
          <w:lang w:val="fr-FR"/>
        </w:rPr>
        <w:t>’</w:t>
      </w:r>
      <w:r w:rsidRPr="00190491">
        <w:rPr>
          <w:lang w:val="fr-FR"/>
        </w:rPr>
        <w:t>une caravane nationale sur les bonnes pratiques nutritionnelles, iii) la mise en place des programmes d</w:t>
      </w:r>
      <w:r w:rsidR="000C16F5">
        <w:rPr>
          <w:lang w:val="fr-FR"/>
        </w:rPr>
        <w:t>’</w:t>
      </w:r>
      <w:r w:rsidRPr="00190491">
        <w:rPr>
          <w:lang w:val="fr-FR"/>
        </w:rPr>
        <w:t>hydraulique villageoise qui ont permis d</w:t>
      </w:r>
      <w:r w:rsidR="000C16F5">
        <w:rPr>
          <w:lang w:val="fr-FR"/>
        </w:rPr>
        <w:t>’</w:t>
      </w:r>
      <w:r w:rsidRPr="00190491">
        <w:rPr>
          <w:lang w:val="fr-FR"/>
        </w:rPr>
        <w:t>équiper 77</w:t>
      </w:r>
      <w:r w:rsidR="00DB4C05">
        <w:rPr>
          <w:lang w:val="fr-FR"/>
        </w:rPr>
        <w:t> %</w:t>
      </w:r>
      <w:r w:rsidRPr="00190491">
        <w:rPr>
          <w:lang w:val="fr-FR"/>
        </w:rPr>
        <w:t xml:space="preserve"> des localités en pompes villageoises avec l</w:t>
      </w:r>
      <w:r w:rsidR="000C16F5">
        <w:rPr>
          <w:lang w:val="fr-FR"/>
        </w:rPr>
        <w:t>’</w:t>
      </w:r>
      <w:r w:rsidRPr="00190491">
        <w:rPr>
          <w:lang w:val="fr-FR"/>
        </w:rPr>
        <w:t>objectif d</w:t>
      </w:r>
      <w:r w:rsidR="000C16F5">
        <w:rPr>
          <w:lang w:val="fr-FR"/>
        </w:rPr>
        <w:t>’</w:t>
      </w:r>
      <w:r w:rsidRPr="00190491">
        <w:rPr>
          <w:lang w:val="fr-FR"/>
        </w:rPr>
        <w:t>atteindre 100</w:t>
      </w:r>
      <w:r w:rsidR="00DB4C05">
        <w:rPr>
          <w:lang w:val="fr-FR"/>
        </w:rPr>
        <w:t> %</w:t>
      </w:r>
      <w:r w:rsidRPr="00190491">
        <w:rPr>
          <w:lang w:val="fr-FR"/>
        </w:rPr>
        <w:t xml:space="preserve"> de couverture en 2015, iv) l</w:t>
      </w:r>
      <w:r w:rsidR="000C16F5">
        <w:rPr>
          <w:lang w:val="fr-FR"/>
        </w:rPr>
        <w:t>’</w:t>
      </w:r>
      <w:r w:rsidRPr="00190491">
        <w:rPr>
          <w:lang w:val="fr-FR"/>
        </w:rPr>
        <w:t>initiation des projets de relance des filières vivrières, animales et halieutiques visant l</w:t>
      </w:r>
      <w:r w:rsidR="000C16F5">
        <w:rPr>
          <w:lang w:val="fr-FR"/>
        </w:rPr>
        <w:t>’</w:t>
      </w:r>
      <w:r w:rsidRPr="00190491">
        <w:rPr>
          <w:lang w:val="fr-FR"/>
        </w:rPr>
        <w:t>amélioration de la productivité et de la compétitivité des productions afin de couvrir les besoins alimentaires locaux, en particulier pour les produits qui enregistrent des déficits importants à savoir</w:t>
      </w:r>
      <w:r w:rsidR="008945B3">
        <w:rPr>
          <w:lang w:val="fr-FR"/>
        </w:rPr>
        <w:t> :</w:t>
      </w:r>
      <w:r w:rsidRPr="00190491">
        <w:rPr>
          <w:lang w:val="fr-FR"/>
        </w:rPr>
        <w:t xml:space="preserve"> le riz (100</w:t>
      </w:r>
      <w:r w:rsidR="00DB4C05">
        <w:rPr>
          <w:lang w:val="fr-FR"/>
        </w:rPr>
        <w:t> %</w:t>
      </w:r>
      <w:r w:rsidRPr="00190491">
        <w:rPr>
          <w:lang w:val="fr-FR"/>
        </w:rPr>
        <w:t xml:space="preserve"> des besoins en 2016), les fruits et légumes (100</w:t>
      </w:r>
      <w:r w:rsidR="00DB4C05">
        <w:rPr>
          <w:lang w:val="fr-FR"/>
        </w:rPr>
        <w:t> %</w:t>
      </w:r>
      <w:r w:rsidRPr="00190491">
        <w:rPr>
          <w:lang w:val="fr-FR"/>
        </w:rPr>
        <w:t xml:space="preserve"> des besoins en 2020), les viandes et abats (62</w:t>
      </w:r>
      <w:r w:rsidR="00DB4C05">
        <w:rPr>
          <w:lang w:val="fr-FR"/>
        </w:rPr>
        <w:t> %</w:t>
      </w:r>
      <w:r w:rsidRPr="00190491">
        <w:rPr>
          <w:lang w:val="fr-FR"/>
        </w:rPr>
        <w:t xml:space="preserve"> des besoins en 2020), v)</w:t>
      </w:r>
      <w:r w:rsidR="00114AE1">
        <w:rPr>
          <w:lang w:val="fr-FR"/>
        </w:rPr>
        <w:t> </w:t>
      </w:r>
      <w:r w:rsidRPr="00190491">
        <w:rPr>
          <w:lang w:val="fr-FR"/>
        </w:rPr>
        <w:t>l</w:t>
      </w:r>
      <w:r w:rsidR="000C16F5">
        <w:rPr>
          <w:lang w:val="fr-FR"/>
        </w:rPr>
        <w:t>’</w:t>
      </w:r>
      <w:r w:rsidRPr="00190491">
        <w:rPr>
          <w:lang w:val="fr-FR"/>
        </w:rPr>
        <w:t xml:space="preserve">adoption de </w:t>
      </w:r>
      <w:r w:rsidRPr="00190491">
        <w:rPr>
          <w:bCs/>
          <w:lang w:val="fr-FR"/>
        </w:rPr>
        <w:t>la politique de développement des cantines scolaires</w:t>
      </w:r>
      <w:r w:rsidRPr="00190491">
        <w:rPr>
          <w:lang w:val="fr-FR"/>
        </w:rPr>
        <w:t xml:space="preserve"> surtout en milieu rural comme une opportunité pour l</w:t>
      </w:r>
      <w:r w:rsidR="000C16F5">
        <w:rPr>
          <w:lang w:val="fr-FR"/>
        </w:rPr>
        <w:t>’</w:t>
      </w:r>
      <w:r w:rsidRPr="00190491">
        <w:rPr>
          <w:lang w:val="fr-FR"/>
        </w:rPr>
        <w:t>amélioration de l</w:t>
      </w:r>
      <w:r w:rsidR="000C16F5">
        <w:rPr>
          <w:lang w:val="fr-FR"/>
        </w:rPr>
        <w:t>’</w:t>
      </w:r>
      <w:r w:rsidRPr="00190491">
        <w:rPr>
          <w:lang w:val="fr-FR"/>
        </w:rPr>
        <w:t>état nutritionnel des enfants. La couverture des établissements scolaires publics en cantine fonctionnelle était de 43</w:t>
      </w:r>
      <w:r w:rsidR="00DB4C05">
        <w:rPr>
          <w:lang w:val="fr-FR"/>
        </w:rPr>
        <w:t> %</w:t>
      </w:r>
      <w:r w:rsidRPr="00190491">
        <w:rPr>
          <w:lang w:val="fr-FR"/>
        </w:rPr>
        <w:t xml:space="preserve"> en 2014.</w:t>
      </w:r>
    </w:p>
    <w:p w14:paraId="0FABFA6B" w14:textId="7339DFE2" w:rsidR="00364BF3" w:rsidRPr="00752298" w:rsidRDefault="00364BF3" w:rsidP="006C2408">
      <w:pPr>
        <w:pStyle w:val="SingleTxt"/>
        <w:numPr>
          <w:ilvl w:val="0"/>
          <w:numId w:val="24"/>
        </w:numPr>
        <w:spacing w:line="240" w:lineRule="exact"/>
        <w:rPr>
          <w:b/>
          <w:bCs/>
          <w:lang w:val="fr-FR"/>
        </w:rPr>
      </w:pPr>
      <w:r w:rsidRPr="00752298">
        <w:rPr>
          <w:b/>
          <w:bCs/>
          <w:lang w:val="fr-FR"/>
        </w:rPr>
        <w:t>Recueillir des données ventilées sur la prévalence de l</w:t>
      </w:r>
      <w:r w:rsidR="000C16F5" w:rsidRPr="00752298">
        <w:rPr>
          <w:b/>
          <w:bCs/>
          <w:lang w:val="fr-FR"/>
        </w:rPr>
        <w:t>’</w:t>
      </w:r>
      <w:r w:rsidRPr="00752298">
        <w:rPr>
          <w:b/>
          <w:bCs/>
          <w:lang w:val="fr-FR"/>
        </w:rPr>
        <w:t>avortement non médicalisé</w:t>
      </w:r>
      <w:r w:rsidR="00DB4C05">
        <w:rPr>
          <w:b/>
          <w:bCs/>
          <w:lang w:val="fr-FR"/>
        </w:rPr>
        <w:t> ;</w:t>
      </w:r>
      <w:r w:rsidRPr="00752298">
        <w:rPr>
          <w:b/>
          <w:bCs/>
          <w:lang w:val="fr-FR"/>
        </w:rPr>
        <w:t xml:space="preserve"> assurer la fourniture d</w:t>
      </w:r>
      <w:r w:rsidR="000C16F5" w:rsidRPr="00752298">
        <w:rPr>
          <w:b/>
          <w:bCs/>
          <w:lang w:val="fr-FR"/>
        </w:rPr>
        <w:t>’</w:t>
      </w:r>
      <w:r w:rsidRPr="00752298">
        <w:rPr>
          <w:b/>
          <w:bCs/>
          <w:lang w:val="fr-FR"/>
        </w:rPr>
        <w:t>aide médicale qualifiée pour les femmes et les filles qui souffrent de complications de santé dues à l</w:t>
      </w:r>
      <w:r w:rsidR="000C16F5" w:rsidRPr="00752298">
        <w:rPr>
          <w:b/>
          <w:bCs/>
          <w:lang w:val="fr-FR"/>
        </w:rPr>
        <w:t>’</w:t>
      </w:r>
      <w:r w:rsidRPr="00752298">
        <w:rPr>
          <w:b/>
          <w:bCs/>
          <w:lang w:val="fr-FR"/>
        </w:rPr>
        <w:t>avortement et dépénaliser l</w:t>
      </w:r>
      <w:r w:rsidR="000C16F5" w:rsidRPr="00752298">
        <w:rPr>
          <w:b/>
          <w:bCs/>
          <w:lang w:val="fr-FR"/>
        </w:rPr>
        <w:t>’</w:t>
      </w:r>
      <w:r w:rsidRPr="00752298">
        <w:rPr>
          <w:b/>
          <w:bCs/>
          <w:lang w:val="fr-FR"/>
        </w:rPr>
        <w:t>avortement sous certaines conditions particulièrement lorsque la grossesse est nocive pour la vie de la mère et/ou la santé comme dans les cas d</w:t>
      </w:r>
      <w:r w:rsidR="000C16F5" w:rsidRPr="00752298">
        <w:rPr>
          <w:b/>
          <w:bCs/>
          <w:lang w:val="fr-FR"/>
        </w:rPr>
        <w:t>’</w:t>
      </w:r>
      <w:r w:rsidRPr="00752298">
        <w:rPr>
          <w:b/>
          <w:bCs/>
          <w:lang w:val="fr-FR"/>
        </w:rPr>
        <w:t xml:space="preserve">inceste et de viol, et plus particulièrement dans les cas de viols perpétrés dans un contexte de conflit et de post-conflit </w:t>
      </w:r>
      <w:r w:rsidR="00D81000">
        <w:rPr>
          <w:b/>
          <w:bCs/>
          <w:lang w:val="fr-FR"/>
        </w:rPr>
        <w:t>[</w:t>
      </w:r>
      <w:r w:rsidRPr="00752298">
        <w:rPr>
          <w:b/>
          <w:bCs/>
          <w:lang w:val="fr-FR"/>
        </w:rPr>
        <w:t xml:space="preserve">voir </w:t>
      </w:r>
      <w:hyperlink r:id="rId87" w:history="1">
        <w:r w:rsidRPr="007B345A">
          <w:rPr>
            <w:rStyle w:val="Hyperlink"/>
            <w:b/>
            <w:bCs/>
            <w:lang w:val="fr-FR"/>
          </w:rPr>
          <w:t>CEDAW/C/CIV/CO/1-3</w:t>
        </w:r>
      </w:hyperlink>
      <w:r w:rsidRPr="00752298">
        <w:rPr>
          <w:b/>
          <w:bCs/>
          <w:lang w:val="fr-FR"/>
        </w:rPr>
        <w:t xml:space="preserve">, </w:t>
      </w:r>
      <w:r w:rsidR="006862B3">
        <w:rPr>
          <w:b/>
          <w:bCs/>
          <w:lang w:val="fr-FR"/>
        </w:rPr>
        <w:t>par. </w:t>
      </w:r>
      <w:r w:rsidRPr="00752298">
        <w:rPr>
          <w:b/>
          <w:bCs/>
          <w:lang w:val="fr-FR"/>
        </w:rPr>
        <w:t>41 d)</w:t>
      </w:r>
      <w:r w:rsidR="00D81000">
        <w:rPr>
          <w:b/>
          <w:bCs/>
          <w:lang w:val="fr-FR"/>
        </w:rPr>
        <w:t>]</w:t>
      </w:r>
      <w:r w:rsidRPr="00752298">
        <w:rPr>
          <w:b/>
          <w:bCs/>
          <w:lang w:val="fr-FR"/>
        </w:rPr>
        <w:t>.</w:t>
      </w:r>
    </w:p>
    <w:p w14:paraId="53B2900F" w14:textId="376B84B7" w:rsidR="00364BF3" w:rsidRPr="00190491" w:rsidRDefault="00364BF3" w:rsidP="006C2408">
      <w:pPr>
        <w:pStyle w:val="SingleTxt"/>
        <w:numPr>
          <w:ilvl w:val="0"/>
          <w:numId w:val="24"/>
        </w:numPr>
        <w:spacing w:line="240" w:lineRule="exact"/>
        <w:rPr>
          <w:lang w:val="fr-FR"/>
        </w:rPr>
      </w:pPr>
      <w:r w:rsidRPr="00190491">
        <w:rPr>
          <w:lang w:val="fr-FR"/>
        </w:rPr>
        <w:t>Les données relatives à ce sujet sont difficiles d</w:t>
      </w:r>
      <w:r w:rsidR="000C16F5">
        <w:rPr>
          <w:lang w:val="fr-FR"/>
        </w:rPr>
        <w:t>’</w:t>
      </w:r>
      <w:r w:rsidRPr="00190491">
        <w:rPr>
          <w:lang w:val="fr-FR"/>
        </w:rPr>
        <w:t>accès au regard de la loi restrictive pesant sur l</w:t>
      </w:r>
      <w:r w:rsidR="000C16F5">
        <w:rPr>
          <w:lang w:val="fr-FR"/>
        </w:rPr>
        <w:t>’</w:t>
      </w:r>
      <w:r w:rsidRPr="00190491">
        <w:rPr>
          <w:lang w:val="fr-FR"/>
        </w:rPr>
        <w:t>avortement médicalisé. Cependant quelques études réalisées dans le pays révèlent que l</w:t>
      </w:r>
      <w:r w:rsidR="000C16F5">
        <w:rPr>
          <w:lang w:val="fr-FR"/>
        </w:rPr>
        <w:t>’</w:t>
      </w:r>
      <w:r w:rsidRPr="00190491">
        <w:rPr>
          <w:lang w:val="fr-FR"/>
        </w:rPr>
        <w:t>avortement clandestin sévi toujours à l</w:t>
      </w:r>
      <w:r w:rsidR="000C16F5">
        <w:rPr>
          <w:lang w:val="fr-FR"/>
        </w:rPr>
        <w:t>’</w:t>
      </w:r>
      <w:r w:rsidRPr="00190491">
        <w:rPr>
          <w:lang w:val="fr-FR"/>
        </w:rPr>
        <w:t>échelle nationale avec un taux évolutif de 31</w:t>
      </w:r>
      <w:r w:rsidR="00DB4C05">
        <w:rPr>
          <w:lang w:val="fr-FR"/>
        </w:rPr>
        <w:t> %</w:t>
      </w:r>
      <w:r w:rsidRPr="00190491">
        <w:rPr>
          <w:lang w:val="fr-FR"/>
        </w:rPr>
        <w:t xml:space="preserve"> en 1994 puis 41,5</w:t>
      </w:r>
      <w:r w:rsidR="00DB4C05">
        <w:rPr>
          <w:lang w:val="fr-FR"/>
        </w:rPr>
        <w:t> %</w:t>
      </w:r>
      <w:r w:rsidRPr="00190491">
        <w:rPr>
          <w:lang w:val="fr-FR"/>
        </w:rPr>
        <w:t xml:space="preserve"> en 2006 contre 42,5</w:t>
      </w:r>
      <w:r w:rsidR="00DB4C05">
        <w:rPr>
          <w:lang w:val="fr-FR"/>
        </w:rPr>
        <w:t> %</w:t>
      </w:r>
      <w:r w:rsidRPr="00190491">
        <w:rPr>
          <w:lang w:val="fr-FR"/>
        </w:rPr>
        <w:t xml:space="preserve"> en 2012</w:t>
      </w:r>
      <w:r w:rsidRPr="00300E48">
        <w:rPr>
          <w:rStyle w:val="FootnoteReference"/>
          <w:lang w:val="fr-FR"/>
        </w:rPr>
        <w:footnoteReference w:id="22"/>
      </w:r>
      <w:r w:rsidRPr="00190491">
        <w:rPr>
          <w:lang w:val="fr-FR"/>
        </w:rPr>
        <w:t xml:space="preserve">. </w:t>
      </w:r>
    </w:p>
    <w:p w14:paraId="044D7F0F" w14:textId="204C2769" w:rsidR="00364BF3" w:rsidRPr="00190491" w:rsidRDefault="00364BF3" w:rsidP="006C2408">
      <w:pPr>
        <w:pStyle w:val="SingleTxt"/>
        <w:numPr>
          <w:ilvl w:val="0"/>
          <w:numId w:val="24"/>
        </w:numPr>
        <w:spacing w:line="240" w:lineRule="exact"/>
        <w:rPr>
          <w:lang w:val="fr-FR"/>
        </w:rPr>
      </w:pPr>
      <w:r w:rsidRPr="00190491">
        <w:rPr>
          <w:lang w:val="fr-FR"/>
        </w:rPr>
        <w:t>La mise en œuvre de la stratégie de prise en charge des complications de l</w:t>
      </w:r>
      <w:r w:rsidR="000C16F5">
        <w:rPr>
          <w:lang w:val="fr-FR"/>
        </w:rPr>
        <w:t>’</w:t>
      </w:r>
      <w:r w:rsidRPr="00190491">
        <w:rPr>
          <w:lang w:val="fr-FR"/>
        </w:rPr>
        <w:t>avortement clandestin provoqué appelé « Soins Après Avortement » qui fait partie des interventions majeures de lutte contre les décès maternels est en cours.</w:t>
      </w:r>
    </w:p>
    <w:p w14:paraId="2C1017F3" w14:textId="409DB06B" w:rsidR="00364BF3" w:rsidRPr="00752298" w:rsidRDefault="00364BF3" w:rsidP="006C2408">
      <w:pPr>
        <w:pStyle w:val="SingleTxt"/>
        <w:numPr>
          <w:ilvl w:val="0"/>
          <w:numId w:val="24"/>
        </w:numPr>
        <w:spacing w:line="240" w:lineRule="exact"/>
        <w:rPr>
          <w:b/>
          <w:bCs/>
          <w:lang w:val="fr-FR"/>
        </w:rPr>
      </w:pPr>
      <w:r w:rsidRPr="00752298">
        <w:rPr>
          <w:b/>
          <w:bCs/>
          <w:lang w:val="fr-FR"/>
        </w:rPr>
        <w:lastRenderedPageBreak/>
        <w:t>Promouvoir largement l</w:t>
      </w:r>
      <w:r w:rsidR="000C16F5" w:rsidRPr="00752298">
        <w:rPr>
          <w:b/>
          <w:bCs/>
          <w:lang w:val="fr-FR"/>
        </w:rPr>
        <w:t>’</w:t>
      </w:r>
      <w:r w:rsidRPr="00752298">
        <w:rPr>
          <w:b/>
          <w:bCs/>
          <w:lang w:val="fr-FR"/>
        </w:rPr>
        <w:t>éducation sur la santé sexuelle et reproductive et les droits, notamment en procédant à grande échelle à des campagnes de sensibilisation pour la population en général, et en intégrant l</w:t>
      </w:r>
      <w:r w:rsidR="000C16F5" w:rsidRPr="00752298">
        <w:rPr>
          <w:b/>
          <w:bCs/>
          <w:lang w:val="fr-FR"/>
        </w:rPr>
        <w:t>’</w:t>
      </w:r>
      <w:r w:rsidRPr="00752298">
        <w:rPr>
          <w:b/>
          <w:bCs/>
          <w:lang w:val="fr-FR"/>
        </w:rPr>
        <w:t>âge effectif et l</w:t>
      </w:r>
      <w:r w:rsidR="000C16F5" w:rsidRPr="00752298">
        <w:rPr>
          <w:b/>
          <w:bCs/>
          <w:lang w:val="fr-FR"/>
        </w:rPr>
        <w:t>’</w:t>
      </w:r>
      <w:r w:rsidRPr="00752298">
        <w:rPr>
          <w:b/>
          <w:bCs/>
          <w:lang w:val="fr-FR"/>
        </w:rPr>
        <w:t>éducation appropriée sur la santé sexuelle et la santé reproductive et les droits à tous les niveaux scolaires et l</w:t>
      </w:r>
      <w:r w:rsidR="000C16F5" w:rsidRPr="00752298">
        <w:rPr>
          <w:b/>
          <w:bCs/>
          <w:lang w:val="fr-FR"/>
        </w:rPr>
        <w:t>’</w:t>
      </w:r>
      <w:r w:rsidRPr="00752298">
        <w:rPr>
          <w:b/>
          <w:bCs/>
          <w:lang w:val="fr-FR"/>
        </w:rPr>
        <w:t>intégrer dans programmes de l</w:t>
      </w:r>
      <w:r w:rsidR="000C16F5" w:rsidRPr="00752298">
        <w:rPr>
          <w:b/>
          <w:bCs/>
          <w:lang w:val="fr-FR"/>
        </w:rPr>
        <w:t>’</w:t>
      </w:r>
      <w:r w:rsidRPr="00752298">
        <w:rPr>
          <w:b/>
          <w:bCs/>
          <w:lang w:val="fr-FR"/>
        </w:rPr>
        <w:t xml:space="preserve">école </w:t>
      </w:r>
      <w:r w:rsidR="00D81000">
        <w:rPr>
          <w:b/>
          <w:bCs/>
          <w:lang w:val="fr-FR"/>
        </w:rPr>
        <w:t>[</w:t>
      </w:r>
      <w:r w:rsidRPr="00752298">
        <w:rPr>
          <w:b/>
          <w:bCs/>
          <w:lang w:val="fr-FR"/>
        </w:rPr>
        <w:t xml:space="preserve">voir </w:t>
      </w:r>
      <w:hyperlink r:id="rId88" w:history="1">
        <w:r w:rsidRPr="007B345A">
          <w:rPr>
            <w:rStyle w:val="Hyperlink"/>
            <w:b/>
            <w:bCs/>
            <w:lang w:val="fr-FR"/>
          </w:rPr>
          <w:t>CEDAW/C/CIV/CO/1-3</w:t>
        </w:r>
      </w:hyperlink>
      <w:r w:rsidRPr="00752298">
        <w:rPr>
          <w:b/>
          <w:bCs/>
          <w:lang w:val="fr-FR"/>
        </w:rPr>
        <w:t xml:space="preserve">, </w:t>
      </w:r>
      <w:r w:rsidR="006862B3">
        <w:rPr>
          <w:b/>
          <w:bCs/>
          <w:lang w:val="fr-FR"/>
        </w:rPr>
        <w:t>par. </w:t>
      </w:r>
      <w:r w:rsidRPr="00752298">
        <w:rPr>
          <w:b/>
          <w:bCs/>
          <w:lang w:val="fr-FR"/>
        </w:rPr>
        <w:t>41 e)</w:t>
      </w:r>
      <w:r w:rsidR="00D81000">
        <w:rPr>
          <w:b/>
          <w:bCs/>
          <w:lang w:val="fr-FR"/>
        </w:rPr>
        <w:t>]</w:t>
      </w:r>
      <w:r w:rsidRPr="00752298">
        <w:rPr>
          <w:b/>
          <w:bCs/>
          <w:lang w:val="fr-FR"/>
        </w:rPr>
        <w:t>.</w:t>
      </w:r>
    </w:p>
    <w:p w14:paraId="00739348" w14:textId="283D2299" w:rsidR="00364BF3" w:rsidRPr="00190491" w:rsidRDefault="00364BF3" w:rsidP="006C2408">
      <w:pPr>
        <w:pStyle w:val="SingleTxt"/>
        <w:numPr>
          <w:ilvl w:val="0"/>
          <w:numId w:val="24"/>
        </w:numPr>
        <w:spacing w:line="240" w:lineRule="exact"/>
        <w:rPr>
          <w:lang w:val="fr-FR"/>
        </w:rPr>
      </w:pPr>
      <w:r w:rsidRPr="00190491">
        <w:rPr>
          <w:lang w:val="fr-FR"/>
        </w:rPr>
        <w:t>Le Ministère en charge de la Promotion de la Jeunesse mène depuis 2014 en collaboration avec le Ministère en charge de l</w:t>
      </w:r>
      <w:r w:rsidR="000C16F5">
        <w:rPr>
          <w:lang w:val="fr-FR"/>
        </w:rPr>
        <w:t>’</w:t>
      </w:r>
      <w:r w:rsidR="00C10A78" w:rsidRPr="00190491">
        <w:rPr>
          <w:lang w:val="fr-FR"/>
        </w:rPr>
        <w:t>Éducation</w:t>
      </w:r>
      <w:r w:rsidRPr="00190491">
        <w:rPr>
          <w:lang w:val="fr-FR"/>
        </w:rPr>
        <w:t xml:space="preserve"> Nationale des activités de sensibilisation et de prestations sanitaires dans une centaine de départements chaque année. Ces prestations faites en faveur des adolescents et jeunes de 10-24 ans</w:t>
      </w:r>
      <w:r w:rsidR="00DB4C05">
        <w:rPr>
          <w:lang w:val="fr-FR"/>
        </w:rPr>
        <w:t> ;</w:t>
      </w:r>
      <w:r w:rsidRPr="00190491">
        <w:rPr>
          <w:lang w:val="fr-FR"/>
        </w:rPr>
        <w:t xml:space="preserve"> portent sur l</w:t>
      </w:r>
      <w:r w:rsidR="000C16F5">
        <w:rPr>
          <w:lang w:val="fr-FR"/>
        </w:rPr>
        <w:t>’</w:t>
      </w:r>
      <w:r w:rsidRPr="00190491">
        <w:rPr>
          <w:lang w:val="fr-FR"/>
        </w:rPr>
        <w:t xml:space="preserve">éducation sexuelle, la distribution de préservatifs, et le dépistage du VIH. Ainsi 207 235 jeunes ont été sensibilisés dont 84 557 filles en 2014. </w:t>
      </w:r>
    </w:p>
    <w:p w14:paraId="6CE5E800" w14:textId="55B7AE8C" w:rsidR="00364BF3" w:rsidRPr="00752298" w:rsidRDefault="00364BF3" w:rsidP="006C2408">
      <w:pPr>
        <w:pStyle w:val="SingleTxt"/>
        <w:numPr>
          <w:ilvl w:val="0"/>
          <w:numId w:val="24"/>
        </w:numPr>
        <w:spacing w:line="240" w:lineRule="exact"/>
        <w:rPr>
          <w:b/>
          <w:bCs/>
          <w:lang w:val="fr-FR"/>
        </w:rPr>
      </w:pPr>
      <w:r w:rsidRPr="00752298">
        <w:rPr>
          <w:b/>
          <w:bCs/>
          <w:lang w:val="fr-FR"/>
        </w:rPr>
        <w:t>Accélérer l</w:t>
      </w:r>
      <w:r w:rsidR="000C16F5" w:rsidRPr="00752298">
        <w:rPr>
          <w:b/>
          <w:bCs/>
          <w:lang w:val="fr-FR"/>
        </w:rPr>
        <w:t>’</w:t>
      </w:r>
      <w:r w:rsidRPr="00752298">
        <w:rPr>
          <w:b/>
          <w:bCs/>
          <w:lang w:val="fr-FR"/>
        </w:rPr>
        <w:t>adoption du projet de loi sur l</w:t>
      </w:r>
      <w:r w:rsidR="00E36F63">
        <w:rPr>
          <w:b/>
          <w:bCs/>
          <w:lang w:val="fr-FR"/>
        </w:rPr>
        <w:t>es personnes vivant avec le VIH</w:t>
      </w:r>
      <w:r w:rsidRPr="00752298">
        <w:rPr>
          <w:b/>
          <w:bCs/>
          <w:lang w:val="fr-FR"/>
        </w:rPr>
        <w:t>/SIDA et assurer la fourniture à tous les hommes et les femmes vivant avec le VIH/SIDA des antirétroviraux gratuits y compris les femmes enceintes afin de prévenir la transmission mère-enfant et continuer la sensibilisation des mères et des pères vivant avec le VIH/SIDA sur l</w:t>
      </w:r>
      <w:r w:rsidR="000C16F5" w:rsidRPr="00752298">
        <w:rPr>
          <w:b/>
          <w:bCs/>
          <w:lang w:val="fr-FR"/>
        </w:rPr>
        <w:t>’</w:t>
      </w:r>
      <w:r w:rsidRPr="00752298">
        <w:rPr>
          <w:b/>
          <w:bCs/>
          <w:lang w:val="fr-FR"/>
        </w:rPr>
        <w:t xml:space="preserve">importance de prévenir la transmission mère-enfant </w:t>
      </w:r>
      <w:r w:rsidR="00D81000">
        <w:rPr>
          <w:b/>
          <w:bCs/>
          <w:lang w:val="fr-FR"/>
        </w:rPr>
        <w:t>[</w:t>
      </w:r>
      <w:r w:rsidRPr="00752298">
        <w:rPr>
          <w:b/>
          <w:bCs/>
          <w:lang w:val="fr-FR"/>
        </w:rPr>
        <w:t xml:space="preserve">voir </w:t>
      </w:r>
      <w:hyperlink r:id="rId89" w:history="1">
        <w:r w:rsidRPr="007B345A">
          <w:rPr>
            <w:rStyle w:val="Hyperlink"/>
            <w:b/>
            <w:bCs/>
            <w:lang w:val="fr-FR"/>
          </w:rPr>
          <w:t>CEDAW/C/CIV/CO/1-3</w:t>
        </w:r>
      </w:hyperlink>
      <w:r w:rsidRPr="00752298">
        <w:rPr>
          <w:b/>
          <w:bCs/>
          <w:lang w:val="fr-FR"/>
        </w:rPr>
        <w:t xml:space="preserve">, </w:t>
      </w:r>
      <w:r w:rsidR="006862B3">
        <w:rPr>
          <w:b/>
          <w:bCs/>
          <w:lang w:val="fr-FR"/>
        </w:rPr>
        <w:t>par. </w:t>
      </w:r>
      <w:r w:rsidRPr="00752298">
        <w:rPr>
          <w:b/>
          <w:bCs/>
          <w:lang w:val="fr-FR"/>
        </w:rPr>
        <w:t>41 f)</w:t>
      </w:r>
      <w:r w:rsidR="00D81000">
        <w:rPr>
          <w:b/>
          <w:bCs/>
          <w:lang w:val="fr-FR"/>
        </w:rPr>
        <w:t>]</w:t>
      </w:r>
      <w:r w:rsidRPr="00752298">
        <w:rPr>
          <w:b/>
          <w:bCs/>
          <w:lang w:val="fr-FR"/>
        </w:rPr>
        <w:t>.</w:t>
      </w:r>
    </w:p>
    <w:p w14:paraId="4B0246B4" w14:textId="1388A602" w:rsidR="00364BF3" w:rsidRPr="00190491" w:rsidRDefault="00364BF3" w:rsidP="006C2408">
      <w:pPr>
        <w:pStyle w:val="SingleTxt"/>
        <w:numPr>
          <w:ilvl w:val="0"/>
          <w:numId w:val="24"/>
        </w:numPr>
        <w:spacing w:line="240" w:lineRule="exact"/>
        <w:rPr>
          <w:bCs/>
          <w:lang w:val="fr-FR"/>
        </w:rPr>
      </w:pPr>
      <w:r w:rsidRPr="00190491">
        <w:rPr>
          <w:bCs/>
          <w:lang w:val="fr-FR"/>
        </w:rPr>
        <w:t>Au plan juridique, l</w:t>
      </w:r>
      <w:r w:rsidR="000C16F5">
        <w:rPr>
          <w:bCs/>
          <w:lang w:val="fr-FR"/>
        </w:rPr>
        <w:t>’</w:t>
      </w:r>
      <w:r w:rsidRPr="00190491">
        <w:rPr>
          <w:bCs/>
          <w:lang w:val="fr-FR"/>
        </w:rPr>
        <w:t xml:space="preserve">adoption de la loi </w:t>
      </w:r>
      <w:r w:rsidRPr="00114AE1">
        <w:rPr>
          <w:iCs/>
          <w:lang w:val="fr-FR"/>
        </w:rPr>
        <w:t>n</w:t>
      </w:r>
      <w:r w:rsidR="004B7322" w:rsidRPr="004B7322">
        <w:rPr>
          <w:iCs/>
          <w:vertAlign w:val="superscript"/>
          <w:lang w:val="fr-FR"/>
        </w:rPr>
        <w:t>o</w:t>
      </w:r>
      <w:r w:rsidR="004B7322">
        <w:rPr>
          <w:iCs/>
          <w:lang w:val="fr-FR"/>
        </w:rPr>
        <w:t> </w:t>
      </w:r>
      <w:r w:rsidRPr="00190491">
        <w:rPr>
          <w:bCs/>
          <w:lang w:val="fr-FR"/>
        </w:rPr>
        <w:t xml:space="preserve">2014-430 du 14 juillet 2014 portant régime de prévention, de protection et de répression en matière de lutte contre le VIH/SIDA. </w:t>
      </w:r>
    </w:p>
    <w:p w14:paraId="315F52C4" w14:textId="319029DF" w:rsidR="00364BF3" w:rsidRPr="00190491" w:rsidRDefault="00364BF3" w:rsidP="006C2408">
      <w:pPr>
        <w:pStyle w:val="SingleTxt"/>
        <w:numPr>
          <w:ilvl w:val="0"/>
          <w:numId w:val="24"/>
        </w:numPr>
        <w:spacing w:line="240" w:lineRule="exact"/>
        <w:rPr>
          <w:bCs/>
          <w:lang w:val="fr-FR"/>
        </w:rPr>
      </w:pPr>
      <w:r w:rsidRPr="00190491">
        <w:rPr>
          <w:bCs/>
          <w:lang w:val="fr-FR"/>
        </w:rPr>
        <w:t>Au niveau institutionnel, la révision du Plan Stratégique National de Lutte contre l</w:t>
      </w:r>
      <w:r w:rsidR="000C16F5">
        <w:rPr>
          <w:bCs/>
          <w:lang w:val="fr-FR"/>
        </w:rPr>
        <w:t>’</w:t>
      </w:r>
      <w:r w:rsidRPr="00190491">
        <w:rPr>
          <w:bCs/>
          <w:lang w:val="fr-FR"/>
        </w:rPr>
        <w:t>Infection au VIH/ SIDA et les IST (PSN) pour la période dont la mise en œuvre court jusqu</w:t>
      </w:r>
      <w:r w:rsidR="000C16F5">
        <w:rPr>
          <w:bCs/>
          <w:lang w:val="fr-FR"/>
        </w:rPr>
        <w:t>’</w:t>
      </w:r>
      <w:r w:rsidRPr="00190491">
        <w:rPr>
          <w:bCs/>
          <w:lang w:val="fr-FR"/>
        </w:rPr>
        <w:t>en 2015 et la création de la Direction de Coordination du Programme National de Lutte contre le Sida en 2014.</w:t>
      </w:r>
    </w:p>
    <w:p w14:paraId="30F6E7D8" w14:textId="1C5FB046" w:rsidR="00364BF3" w:rsidRDefault="00364BF3" w:rsidP="006C2408">
      <w:pPr>
        <w:pStyle w:val="SingleTxt"/>
        <w:numPr>
          <w:ilvl w:val="0"/>
          <w:numId w:val="24"/>
        </w:numPr>
        <w:spacing w:line="240" w:lineRule="exact"/>
        <w:rPr>
          <w:bCs/>
          <w:lang w:val="fr-FR"/>
        </w:rPr>
      </w:pPr>
      <w:r w:rsidRPr="00190491">
        <w:rPr>
          <w:bCs/>
          <w:lang w:val="fr-FR"/>
        </w:rPr>
        <w:t>La prise en charge porte sur les soins palliatifs, les soins physiques, l</w:t>
      </w:r>
      <w:r w:rsidR="000C16F5">
        <w:rPr>
          <w:bCs/>
          <w:lang w:val="fr-FR"/>
        </w:rPr>
        <w:t>’</w:t>
      </w:r>
      <w:r w:rsidRPr="00190491">
        <w:rPr>
          <w:bCs/>
          <w:lang w:val="fr-FR"/>
        </w:rPr>
        <w:t>appui nutritionnel, spirituel et psychosocial pour tous les malades sans distinction de sexe. La gratuité des antirétroviraux en Côte d</w:t>
      </w:r>
      <w:r w:rsidR="000C16F5">
        <w:rPr>
          <w:bCs/>
          <w:lang w:val="fr-FR"/>
        </w:rPr>
        <w:t>’</w:t>
      </w:r>
      <w:r w:rsidRPr="00190491">
        <w:rPr>
          <w:bCs/>
          <w:lang w:val="fr-FR"/>
        </w:rPr>
        <w:t>Ivoire pour les personnes éligibles est valable aussi bien pour les hommes que les femmes. Pour les femmes enceintes, un bilan pré-thérapeutique initial est systématiquement réalisé et l</w:t>
      </w:r>
      <w:r w:rsidR="000C16F5">
        <w:rPr>
          <w:bCs/>
          <w:lang w:val="fr-FR"/>
        </w:rPr>
        <w:t>’</w:t>
      </w:r>
      <w:r w:rsidRPr="00190491">
        <w:rPr>
          <w:bCs/>
          <w:lang w:val="fr-FR"/>
        </w:rPr>
        <w:t>on note une augmentation des sites de Prévention de la Transmission de la Mère à l</w:t>
      </w:r>
      <w:r w:rsidR="000C16F5">
        <w:rPr>
          <w:bCs/>
          <w:lang w:val="fr-FR"/>
        </w:rPr>
        <w:t>’</w:t>
      </w:r>
      <w:r w:rsidRPr="00190491">
        <w:rPr>
          <w:bCs/>
          <w:lang w:val="fr-FR"/>
        </w:rPr>
        <w:t xml:space="preserve">Enfant (PTME). </w:t>
      </w:r>
    </w:p>
    <w:p w14:paraId="1DFA2A0D" w14:textId="72EC1EC8" w:rsidR="00752298" w:rsidRPr="00752298" w:rsidRDefault="00752298" w:rsidP="00752298">
      <w:pPr>
        <w:pStyle w:val="SingleTxt"/>
        <w:tabs>
          <w:tab w:val="clear" w:pos="1742"/>
        </w:tabs>
        <w:spacing w:after="0" w:line="120" w:lineRule="exact"/>
        <w:rPr>
          <w:bCs/>
          <w:sz w:val="10"/>
          <w:lang w:val="fr-FR"/>
        </w:rPr>
      </w:pPr>
    </w:p>
    <w:p w14:paraId="0B291D9E" w14:textId="52E3C65D" w:rsidR="00364BF3" w:rsidRDefault="00364BF3" w:rsidP="0075229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Mariage et relations familiales</w:t>
      </w:r>
    </w:p>
    <w:p w14:paraId="073DBD3F" w14:textId="208B85B7" w:rsidR="00752298" w:rsidRPr="00752298" w:rsidRDefault="00752298" w:rsidP="00752298">
      <w:pPr>
        <w:spacing w:line="120" w:lineRule="exact"/>
        <w:rPr>
          <w:sz w:val="10"/>
          <w:lang w:val="fr-FR"/>
        </w:rPr>
      </w:pPr>
    </w:p>
    <w:p w14:paraId="4361E933" w14:textId="143AD04B" w:rsidR="00364BF3" w:rsidRPr="00B87A38" w:rsidRDefault="00364BF3" w:rsidP="006C2408">
      <w:pPr>
        <w:pStyle w:val="SingleTxt"/>
        <w:numPr>
          <w:ilvl w:val="0"/>
          <w:numId w:val="24"/>
        </w:numPr>
        <w:spacing w:line="240" w:lineRule="exact"/>
        <w:rPr>
          <w:b/>
          <w:bCs/>
          <w:lang w:val="fr-FR"/>
        </w:rPr>
      </w:pPr>
      <w:r w:rsidRPr="00B87A38">
        <w:rPr>
          <w:b/>
          <w:bCs/>
          <w:lang w:val="fr-FR"/>
        </w:rPr>
        <w:t>Veiller à l</w:t>
      </w:r>
      <w:r w:rsidR="000C16F5" w:rsidRPr="00B87A38">
        <w:rPr>
          <w:b/>
          <w:bCs/>
          <w:lang w:val="fr-FR"/>
        </w:rPr>
        <w:t>’</w:t>
      </w:r>
      <w:r w:rsidRPr="00B87A38">
        <w:rPr>
          <w:b/>
          <w:bCs/>
          <w:lang w:val="fr-FR"/>
        </w:rPr>
        <w:t xml:space="preserve">application effective des dispositions juridiques visant à éliminer la pratique des mariages polygames </w:t>
      </w:r>
      <w:r w:rsidR="00D81000">
        <w:rPr>
          <w:b/>
          <w:bCs/>
          <w:lang w:val="fr-FR"/>
        </w:rPr>
        <w:t>[</w:t>
      </w:r>
      <w:r w:rsidRPr="00B87A38">
        <w:rPr>
          <w:b/>
          <w:bCs/>
          <w:lang w:val="fr-FR"/>
        </w:rPr>
        <w:t xml:space="preserve">voir </w:t>
      </w:r>
      <w:hyperlink r:id="rId90" w:history="1">
        <w:r w:rsidRPr="007B345A">
          <w:rPr>
            <w:rStyle w:val="Hyperlink"/>
            <w:b/>
            <w:bCs/>
            <w:lang w:val="fr-FR"/>
          </w:rPr>
          <w:t>CEDAW/C/CIV/CO/1-3</w:t>
        </w:r>
      </w:hyperlink>
      <w:r w:rsidRPr="00B87A38">
        <w:rPr>
          <w:b/>
          <w:bCs/>
          <w:lang w:val="fr-FR"/>
        </w:rPr>
        <w:t xml:space="preserve">, </w:t>
      </w:r>
      <w:r w:rsidR="006862B3">
        <w:rPr>
          <w:b/>
          <w:bCs/>
          <w:lang w:val="fr-FR"/>
        </w:rPr>
        <w:t>par. </w:t>
      </w:r>
      <w:r w:rsidRPr="00B87A38">
        <w:rPr>
          <w:b/>
          <w:bCs/>
          <w:lang w:val="fr-FR"/>
        </w:rPr>
        <w:t>43 a)</w:t>
      </w:r>
      <w:r w:rsidR="00D81000">
        <w:rPr>
          <w:b/>
          <w:bCs/>
          <w:lang w:val="fr-FR"/>
        </w:rPr>
        <w:t>]</w:t>
      </w:r>
      <w:r w:rsidRPr="00B87A38">
        <w:rPr>
          <w:b/>
          <w:bCs/>
          <w:lang w:val="fr-FR"/>
        </w:rPr>
        <w:t>.</w:t>
      </w:r>
    </w:p>
    <w:p w14:paraId="1E3C2937" w14:textId="6644C206" w:rsidR="00364BF3" w:rsidRPr="00190491" w:rsidRDefault="00364BF3" w:rsidP="006C2408">
      <w:pPr>
        <w:pStyle w:val="SingleTxt"/>
        <w:numPr>
          <w:ilvl w:val="0"/>
          <w:numId w:val="24"/>
        </w:numPr>
        <w:spacing w:line="240" w:lineRule="exact"/>
        <w:rPr>
          <w:lang w:val="fr-FR"/>
        </w:rPr>
      </w:pPr>
      <w:r w:rsidRPr="00190491">
        <w:rPr>
          <w:bCs/>
          <w:lang w:val="fr-FR"/>
        </w:rPr>
        <w:t>L</w:t>
      </w:r>
      <w:r w:rsidR="000C16F5">
        <w:rPr>
          <w:bCs/>
          <w:lang w:val="fr-FR"/>
        </w:rPr>
        <w:t>’</w:t>
      </w:r>
      <w:r w:rsidRPr="00190491">
        <w:rPr>
          <w:bCs/>
          <w:lang w:val="fr-FR"/>
        </w:rPr>
        <w:t>article</w:t>
      </w:r>
      <w:r w:rsidRPr="00190491">
        <w:rPr>
          <w:lang w:val="fr-FR"/>
        </w:rPr>
        <w:t xml:space="preserve"> 4 de la loi sur le mariage dispose que l</w:t>
      </w:r>
      <w:r w:rsidR="000C16F5">
        <w:rPr>
          <w:lang w:val="fr-FR"/>
        </w:rPr>
        <w:t>’</w:t>
      </w:r>
      <w:r w:rsidRPr="00190491">
        <w:rPr>
          <w:lang w:val="fr-FR"/>
        </w:rPr>
        <w:t>homme et la femme majeurs consentent seuls à leur mariage. En outre l</w:t>
      </w:r>
      <w:r w:rsidR="000C16F5">
        <w:rPr>
          <w:lang w:val="fr-FR"/>
        </w:rPr>
        <w:t>’</w:t>
      </w:r>
      <w:r w:rsidRPr="00190491">
        <w:rPr>
          <w:lang w:val="fr-FR"/>
        </w:rPr>
        <w:t>article 20 énonce que</w:t>
      </w:r>
      <w:r w:rsidR="008945B3">
        <w:rPr>
          <w:lang w:val="fr-FR"/>
        </w:rPr>
        <w:t> :</w:t>
      </w:r>
      <w:r w:rsidRPr="00190491">
        <w:rPr>
          <w:lang w:val="fr-FR"/>
        </w:rPr>
        <w:t> «</w:t>
      </w:r>
      <w:r w:rsidR="00B675BB">
        <w:rPr>
          <w:lang w:val="fr-FR"/>
        </w:rPr>
        <w:t> </w:t>
      </w:r>
      <w:r w:rsidRPr="00190491">
        <w:rPr>
          <w:lang w:val="fr-FR"/>
        </w:rPr>
        <w:t>Aucun ministre du culte ne peut procéder aux cérémonies religieuses sans qu</w:t>
      </w:r>
      <w:r w:rsidR="000C16F5">
        <w:rPr>
          <w:lang w:val="fr-FR"/>
        </w:rPr>
        <w:t>’</w:t>
      </w:r>
      <w:r w:rsidRPr="00190491">
        <w:rPr>
          <w:lang w:val="fr-FR"/>
        </w:rPr>
        <w:t>il ait été justifié par la présentation du certificat prévu à l</w:t>
      </w:r>
      <w:r w:rsidR="000C16F5">
        <w:rPr>
          <w:lang w:val="fr-FR"/>
        </w:rPr>
        <w:t>’</w:t>
      </w:r>
      <w:r w:rsidRPr="00190491">
        <w:rPr>
          <w:lang w:val="fr-FR"/>
        </w:rPr>
        <w:t xml:space="preserve">article 28, de la célébration civile » rejetant de ce fait, toute pratique des mariages polygamiques. </w:t>
      </w:r>
    </w:p>
    <w:p w14:paraId="0505D4BD" w14:textId="7BF8234F" w:rsidR="00364BF3" w:rsidRPr="00B87A38" w:rsidRDefault="00364BF3" w:rsidP="006C2408">
      <w:pPr>
        <w:pStyle w:val="SingleTxt"/>
        <w:numPr>
          <w:ilvl w:val="0"/>
          <w:numId w:val="24"/>
        </w:numPr>
        <w:spacing w:line="240" w:lineRule="exact"/>
        <w:rPr>
          <w:b/>
          <w:bCs/>
          <w:lang w:val="fr-FR"/>
        </w:rPr>
      </w:pPr>
      <w:r w:rsidRPr="00B87A38">
        <w:rPr>
          <w:b/>
          <w:bCs/>
          <w:lang w:val="fr-FR"/>
        </w:rPr>
        <w:t>Modifier, sans délai, le code pénal afin d</w:t>
      </w:r>
      <w:r w:rsidR="000C16F5" w:rsidRPr="00B87A38">
        <w:rPr>
          <w:b/>
          <w:bCs/>
          <w:lang w:val="fr-FR"/>
        </w:rPr>
        <w:t>’</w:t>
      </w:r>
      <w:r w:rsidRPr="00B87A38">
        <w:rPr>
          <w:b/>
          <w:bCs/>
          <w:lang w:val="fr-FR"/>
        </w:rPr>
        <w:t>interdire le lévirat et le sororat, ainsi que les pratiques discriminatoires concernant l</w:t>
      </w:r>
      <w:r w:rsidR="000C16F5" w:rsidRPr="00B87A38">
        <w:rPr>
          <w:b/>
          <w:bCs/>
          <w:lang w:val="fr-FR"/>
        </w:rPr>
        <w:t>’</w:t>
      </w:r>
      <w:r w:rsidRPr="00B87A38">
        <w:rPr>
          <w:b/>
          <w:bCs/>
          <w:lang w:val="fr-FR"/>
        </w:rPr>
        <w:t xml:space="preserve">héritage des femmes </w:t>
      </w:r>
      <w:r w:rsidR="00D81000">
        <w:rPr>
          <w:b/>
          <w:bCs/>
          <w:lang w:val="fr-FR"/>
        </w:rPr>
        <w:t>[</w:t>
      </w:r>
      <w:r w:rsidRPr="00B87A38">
        <w:rPr>
          <w:b/>
          <w:bCs/>
          <w:lang w:val="fr-FR"/>
        </w:rPr>
        <w:t xml:space="preserve">voir </w:t>
      </w:r>
      <w:hyperlink r:id="rId91" w:history="1">
        <w:r w:rsidRPr="007B345A">
          <w:rPr>
            <w:rStyle w:val="Hyperlink"/>
            <w:b/>
            <w:bCs/>
            <w:lang w:val="fr-FR"/>
          </w:rPr>
          <w:t>CEDAW/C/CIV/CO/1-3</w:t>
        </w:r>
      </w:hyperlink>
      <w:r w:rsidRPr="00B87A38">
        <w:rPr>
          <w:b/>
          <w:bCs/>
          <w:lang w:val="fr-FR"/>
        </w:rPr>
        <w:t xml:space="preserve">, </w:t>
      </w:r>
      <w:r w:rsidR="006862B3">
        <w:rPr>
          <w:b/>
          <w:bCs/>
          <w:lang w:val="fr-FR"/>
        </w:rPr>
        <w:t>par. </w:t>
      </w:r>
      <w:r w:rsidRPr="00B87A38">
        <w:rPr>
          <w:b/>
          <w:bCs/>
          <w:lang w:val="fr-FR"/>
        </w:rPr>
        <w:t>43 b)</w:t>
      </w:r>
      <w:r w:rsidR="00D81000">
        <w:rPr>
          <w:b/>
          <w:bCs/>
          <w:lang w:val="fr-FR"/>
        </w:rPr>
        <w:t>]</w:t>
      </w:r>
      <w:r w:rsidRPr="00B87A38">
        <w:rPr>
          <w:b/>
          <w:bCs/>
          <w:lang w:val="fr-FR"/>
        </w:rPr>
        <w:t>.</w:t>
      </w:r>
    </w:p>
    <w:p w14:paraId="4BBEFB26" w14:textId="683CC9A7" w:rsidR="00364BF3" w:rsidRPr="00190491" w:rsidRDefault="00364BF3" w:rsidP="006C2408">
      <w:pPr>
        <w:pStyle w:val="SingleTxt"/>
        <w:numPr>
          <w:ilvl w:val="0"/>
          <w:numId w:val="24"/>
        </w:numPr>
        <w:spacing w:line="240" w:lineRule="exact"/>
        <w:rPr>
          <w:lang w:val="fr-FR"/>
        </w:rPr>
      </w:pPr>
      <w:r w:rsidRPr="00190491">
        <w:rPr>
          <w:lang w:val="fr-FR"/>
        </w:rPr>
        <w:t xml:space="preserve">La </w:t>
      </w:r>
      <w:r w:rsidRPr="00190491">
        <w:rPr>
          <w:bCs/>
          <w:lang w:val="fr-FR"/>
        </w:rPr>
        <w:t>révision</w:t>
      </w:r>
      <w:r w:rsidRPr="00190491">
        <w:rPr>
          <w:lang w:val="fr-FR"/>
        </w:rPr>
        <w:t xml:space="preserve"> du code pénal devant inclure l</w:t>
      </w:r>
      <w:r w:rsidR="000C16F5">
        <w:rPr>
          <w:lang w:val="fr-FR"/>
        </w:rPr>
        <w:t>’</w:t>
      </w:r>
      <w:r w:rsidRPr="00190491">
        <w:rPr>
          <w:lang w:val="fr-FR"/>
        </w:rPr>
        <w:t>interdiction du lévirat et du sororat ainsi que les pratiques discriminatoires est toujours en cours. Toutefois, la justice chaque fois qu</w:t>
      </w:r>
      <w:r w:rsidR="000C16F5">
        <w:rPr>
          <w:lang w:val="fr-FR"/>
        </w:rPr>
        <w:t>’</w:t>
      </w:r>
      <w:r w:rsidRPr="00190491">
        <w:rPr>
          <w:lang w:val="fr-FR"/>
        </w:rPr>
        <w:t>elle est saisie tranche en faveur de la femme qui au regard de la loi sur les successions hérite de son conjoint.</w:t>
      </w:r>
    </w:p>
    <w:p w14:paraId="78B5CC40" w14:textId="69D97E6E" w:rsidR="00364BF3" w:rsidRPr="00B87A38" w:rsidRDefault="00364BF3" w:rsidP="006C2408">
      <w:pPr>
        <w:pStyle w:val="SingleTxt"/>
        <w:numPr>
          <w:ilvl w:val="0"/>
          <w:numId w:val="24"/>
        </w:numPr>
        <w:spacing w:line="240" w:lineRule="exact"/>
        <w:rPr>
          <w:b/>
          <w:bCs/>
          <w:lang w:val="fr-FR"/>
        </w:rPr>
      </w:pPr>
      <w:r w:rsidRPr="00B87A38">
        <w:rPr>
          <w:b/>
          <w:bCs/>
          <w:lang w:val="fr-FR"/>
        </w:rPr>
        <w:lastRenderedPageBreak/>
        <w:t>Adopter sans tarder le projet de Code des Personnes et de la Famille et s</w:t>
      </w:r>
      <w:r w:rsidR="000C16F5" w:rsidRPr="00B87A38">
        <w:rPr>
          <w:b/>
          <w:bCs/>
          <w:lang w:val="fr-FR"/>
        </w:rPr>
        <w:t>’</w:t>
      </w:r>
      <w:r w:rsidRPr="00B87A38">
        <w:rPr>
          <w:b/>
          <w:bCs/>
          <w:lang w:val="fr-FR"/>
        </w:rPr>
        <w:t>assurer qu</w:t>
      </w:r>
      <w:r w:rsidR="000C16F5" w:rsidRPr="00B87A38">
        <w:rPr>
          <w:b/>
          <w:bCs/>
          <w:lang w:val="fr-FR"/>
        </w:rPr>
        <w:t>’</w:t>
      </w:r>
      <w:r w:rsidRPr="00B87A38">
        <w:rPr>
          <w:b/>
          <w:bCs/>
          <w:lang w:val="fr-FR"/>
        </w:rPr>
        <w:t xml:space="preserve">il est complet et en conformité avec la Convention </w:t>
      </w:r>
      <w:r w:rsidR="00D81000">
        <w:rPr>
          <w:b/>
          <w:bCs/>
          <w:lang w:val="fr-FR"/>
        </w:rPr>
        <w:t>[</w:t>
      </w:r>
      <w:r w:rsidRPr="00B87A38">
        <w:rPr>
          <w:b/>
          <w:bCs/>
          <w:lang w:val="fr-FR"/>
        </w:rPr>
        <w:t xml:space="preserve">voir </w:t>
      </w:r>
      <w:hyperlink r:id="rId92" w:history="1">
        <w:r w:rsidRPr="007B345A">
          <w:rPr>
            <w:rStyle w:val="Hyperlink"/>
            <w:b/>
            <w:bCs/>
            <w:lang w:val="fr-FR"/>
          </w:rPr>
          <w:t>CEDAW/C/CIV/CO/1-3</w:t>
        </w:r>
      </w:hyperlink>
      <w:r w:rsidRPr="00B87A38">
        <w:rPr>
          <w:b/>
          <w:bCs/>
          <w:lang w:val="fr-FR"/>
        </w:rPr>
        <w:t xml:space="preserve">, </w:t>
      </w:r>
      <w:r w:rsidR="006862B3">
        <w:rPr>
          <w:b/>
          <w:bCs/>
          <w:lang w:val="fr-FR"/>
        </w:rPr>
        <w:t>par. </w:t>
      </w:r>
      <w:r w:rsidRPr="00B87A38">
        <w:rPr>
          <w:b/>
          <w:bCs/>
          <w:lang w:val="fr-FR"/>
        </w:rPr>
        <w:t>43 c)</w:t>
      </w:r>
      <w:r w:rsidR="00D81000">
        <w:rPr>
          <w:b/>
          <w:bCs/>
          <w:lang w:val="fr-FR"/>
        </w:rPr>
        <w:t>]</w:t>
      </w:r>
      <w:r w:rsidRPr="00B87A38">
        <w:rPr>
          <w:b/>
          <w:bCs/>
          <w:lang w:val="fr-FR"/>
        </w:rPr>
        <w:t>.</w:t>
      </w:r>
    </w:p>
    <w:p w14:paraId="71699F38" w14:textId="77777777" w:rsidR="00364BF3" w:rsidRPr="00190491" w:rsidRDefault="00364BF3" w:rsidP="006C2408">
      <w:pPr>
        <w:pStyle w:val="SingleTxt"/>
        <w:numPr>
          <w:ilvl w:val="0"/>
          <w:numId w:val="24"/>
        </w:numPr>
        <w:spacing w:line="240" w:lineRule="exact"/>
        <w:rPr>
          <w:lang w:val="fr-FR"/>
        </w:rPr>
      </w:pPr>
      <w:r w:rsidRPr="00190491">
        <w:rPr>
          <w:lang w:val="fr-FR"/>
        </w:rPr>
        <w:t xml:space="preserve">Le </w:t>
      </w:r>
      <w:r w:rsidRPr="00190491">
        <w:rPr>
          <w:bCs/>
          <w:lang w:val="fr-FR"/>
        </w:rPr>
        <w:t>projet</w:t>
      </w:r>
      <w:r w:rsidRPr="00190491">
        <w:rPr>
          <w:lang w:val="fr-FR"/>
        </w:rPr>
        <w:t xml:space="preserve"> de révision du code des Personnes et de la Famille fait partie du processus de la réforme judiciaire en cours. </w:t>
      </w:r>
    </w:p>
    <w:p w14:paraId="7C0E1DCD" w14:textId="34224063" w:rsidR="00364BF3" w:rsidRPr="00B87A38" w:rsidRDefault="00364BF3" w:rsidP="006C2408">
      <w:pPr>
        <w:pStyle w:val="SingleTxt"/>
        <w:numPr>
          <w:ilvl w:val="0"/>
          <w:numId w:val="24"/>
        </w:numPr>
        <w:spacing w:line="240" w:lineRule="exact"/>
        <w:rPr>
          <w:b/>
          <w:bCs/>
          <w:lang w:val="fr-FR"/>
        </w:rPr>
      </w:pPr>
      <w:r w:rsidRPr="00B87A38">
        <w:rPr>
          <w:b/>
          <w:bCs/>
          <w:lang w:val="fr-FR"/>
        </w:rPr>
        <w:t>Examiner et modifier sans délai les dispositions discriminatoires existantes</w:t>
      </w:r>
      <w:r w:rsidR="00114AE1">
        <w:rPr>
          <w:b/>
          <w:bCs/>
          <w:lang w:val="fr-FR"/>
        </w:rPr>
        <w:t xml:space="preserve"> </w:t>
      </w:r>
      <w:r w:rsidRPr="00B87A38">
        <w:rPr>
          <w:b/>
          <w:bCs/>
          <w:lang w:val="fr-FR"/>
        </w:rPr>
        <w:t>dont la différence de l</w:t>
      </w:r>
      <w:r w:rsidR="000C16F5" w:rsidRPr="00B87A38">
        <w:rPr>
          <w:b/>
          <w:bCs/>
          <w:lang w:val="fr-FR"/>
        </w:rPr>
        <w:t>’</w:t>
      </w:r>
      <w:r w:rsidRPr="00B87A38">
        <w:rPr>
          <w:b/>
          <w:bCs/>
          <w:lang w:val="fr-FR"/>
        </w:rPr>
        <w:t>âge du mariage pour les femmes et les hommes, l</w:t>
      </w:r>
      <w:r w:rsidR="000C16F5" w:rsidRPr="00B87A38">
        <w:rPr>
          <w:b/>
          <w:bCs/>
          <w:lang w:val="fr-FR"/>
        </w:rPr>
        <w:t>’</w:t>
      </w:r>
      <w:r w:rsidRPr="00B87A38">
        <w:rPr>
          <w:b/>
          <w:bCs/>
          <w:lang w:val="fr-FR"/>
        </w:rPr>
        <w:t>octroi de tous les pouvoirs de décision aux hommes, la période d</w:t>
      </w:r>
      <w:r w:rsidR="000C16F5" w:rsidRPr="00B87A38">
        <w:rPr>
          <w:b/>
          <w:bCs/>
          <w:lang w:val="fr-FR"/>
        </w:rPr>
        <w:t>’</w:t>
      </w:r>
      <w:r w:rsidRPr="00B87A38">
        <w:rPr>
          <w:b/>
          <w:bCs/>
          <w:lang w:val="fr-FR"/>
        </w:rPr>
        <w:t>attente pour le remariage des femmes et des différences dans l</w:t>
      </w:r>
      <w:r w:rsidR="000C16F5" w:rsidRPr="00B87A38">
        <w:rPr>
          <w:b/>
          <w:bCs/>
          <w:lang w:val="fr-FR"/>
        </w:rPr>
        <w:t>’</w:t>
      </w:r>
      <w:r w:rsidRPr="00B87A38">
        <w:rPr>
          <w:b/>
          <w:bCs/>
          <w:lang w:val="fr-FR"/>
        </w:rPr>
        <w:t>admissibilité des preuves en cas d</w:t>
      </w:r>
      <w:r w:rsidR="000C16F5" w:rsidRPr="00B87A38">
        <w:rPr>
          <w:b/>
          <w:bCs/>
          <w:lang w:val="fr-FR"/>
        </w:rPr>
        <w:t>’</w:t>
      </w:r>
      <w:r w:rsidRPr="00B87A38">
        <w:rPr>
          <w:b/>
          <w:bCs/>
          <w:lang w:val="fr-FR"/>
        </w:rPr>
        <w:t xml:space="preserve">adultère, de les mettre pleinement conformément aux articles 2 et 16 de la Convention </w:t>
      </w:r>
      <w:r w:rsidR="00D81000">
        <w:rPr>
          <w:b/>
          <w:bCs/>
          <w:lang w:val="fr-FR"/>
        </w:rPr>
        <w:t>[</w:t>
      </w:r>
      <w:r w:rsidRPr="00B87A38">
        <w:rPr>
          <w:b/>
          <w:bCs/>
          <w:lang w:val="fr-FR"/>
        </w:rPr>
        <w:t xml:space="preserve">voir </w:t>
      </w:r>
      <w:hyperlink r:id="rId93" w:history="1">
        <w:r w:rsidRPr="007B345A">
          <w:rPr>
            <w:rStyle w:val="Hyperlink"/>
            <w:b/>
            <w:bCs/>
            <w:lang w:val="fr-FR"/>
          </w:rPr>
          <w:t>CEDAW/C/CIV/CO/1-3</w:t>
        </w:r>
      </w:hyperlink>
      <w:r w:rsidRPr="00B87A38">
        <w:rPr>
          <w:b/>
          <w:bCs/>
          <w:lang w:val="fr-FR"/>
        </w:rPr>
        <w:t xml:space="preserve">, </w:t>
      </w:r>
      <w:r w:rsidR="006862B3">
        <w:rPr>
          <w:b/>
          <w:bCs/>
          <w:lang w:val="fr-FR"/>
        </w:rPr>
        <w:t>par. </w:t>
      </w:r>
      <w:r w:rsidRPr="00B87A38">
        <w:rPr>
          <w:b/>
          <w:bCs/>
          <w:lang w:val="fr-FR"/>
        </w:rPr>
        <w:t>43 d)</w:t>
      </w:r>
      <w:r w:rsidR="00D81000">
        <w:rPr>
          <w:b/>
          <w:bCs/>
          <w:lang w:val="fr-FR"/>
        </w:rPr>
        <w:t>]</w:t>
      </w:r>
      <w:r w:rsidRPr="00B87A38">
        <w:rPr>
          <w:b/>
          <w:bCs/>
          <w:lang w:val="fr-FR"/>
        </w:rPr>
        <w:t>.</w:t>
      </w:r>
    </w:p>
    <w:p w14:paraId="449A486B" w14:textId="6DC8CA20" w:rsidR="00364BF3" w:rsidRPr="00190491" w:rsidRDefault="00364BF3" w:rsidP="006C2408">
      <w:pPr>
        <w:pStyle w:val="SingleTxt"/>
        <w:numPr>
          <w:ilvl w:val="0"/>
          <w:numId w:val="24"/>
        </w:numPr>
        <w:spacing w:line="240" w:lineRule="exact"/>
        <w:rPr>
          <w:lang w:val="fr-FR"/>
        </w:rPr>
      </w:pPr>
      <w:r w:rsidRPr="00190491">
        <w:rPr>
          <w:lang w:val="fr-FR"/>
        </w:rPr>
        <w:t>Les dispositions discriminatoires existantes ont été relevées dans un document portant textes discriminatoires et incluent dans le projet de révision du code des personnes et de la famille. Les dispositions comportant des discriminations ont été corrigées à savoir la différence d</w:t>
      </w:r>
      <w:r w:rsidR="000C16F5">
        <w:rPr>
          <w:lang w:val="fr-FR"/>
        </w:rPr>
        <w:t>’</w:t>
      </w:r>
      <w:r w:rsidRPr="00190491">
        <w:rPr>
          <w:lang w:val="fr-FR"/>
        </w:rPr>
        <w:t>âge du mariage pour les femmes et les hommes, la période d</w:t>
      </w:r>
      <w:r w:rsidR="000C16F5">
        <w:rPr>
          <w:lang w:val="fr-FR"/>
        </w:rPr>
        <w:t>’</w:t>
      </w:r>
      <w:r w:rsidRPr="00190491">
        <w:rPr>
          <w:lang w:val="fr-FR"/>
        </w:rPr>
        <w:t>attente pour le remariage des femmes et des différences dans l</w:t>
      </w:r>
      <w:r w:rsidR="000C16F5">
        <w:rPr>
          <w:lang w:val="fr-FR"/>
        </w:rPr>
        <w:t>’</w:t>
      </w:r>
      <w:r w:rsidRPr="00190491">
        <w:rPr>
          <w:lang w:val="fr-FR"/>
        </w:rPr>
        <w:t>admissibilité des preuves en cas d</w:t>
      </w:r>
      <w:r w:rsidR="000C16F5">
        <w:rPr>
          <w:lang w:val="fr-FR"/>
        </w:rPr>
        <w:t>’</w:t>
      </w:r>
      <w:r w:rsidRPr="00190491">
        <w:rPr>
          <w:lang w:val="fr-FR"/>
        </w:rPr>
        <w:t>adultère.</w:t>
      </w:r>
    </w:p>
    <w:p w14:paraId="6DD90FF4" w14:textId="4B97707E" w:rsidR="00364BF3" w:rsidRDefault="00364BF3" w:rsidP="006C2408">
      <w:pPr>
        <w:pStyle w:val="SingleTxt"/>
        <w:numPr>
          <w:ilvl w:val="0"/>
          <w:numId w:val="24"/>
        </w:numPr>
        <w:spacing w:line="240" w:lineRule="exact"/>
        <w:rPr>
          <w:lang w:val="fr-FR"/>
        </w:rPr>
      </w:pPr>
      <w:r w:rsidRPr="00190491">
        <w:rPr>
          <w:lang w:val="fr-FR"/>
        </w:rPr>
        <w:t>Pour ce qui concerne l</w:t>
      </w:r>
      <w:r w:rsidR="000C16F5">
        <w:rPr>
          <w:lang w:val="fr-FR"/>
        </w:rPr>
        <w:t>’</w:t>
      </w:r>
      <w:r w:rsidRPr="00190491">
        <w:rPr>
          <w:lang w:val="fr-FR"/>
        </w:rPr>
        <w:t xml:space="preserve">octroi des pouvoirs de décision aux hommes, la loi 2013-33 du 13 </w:t>
      </w:r>
      <w:r w:rsidRPr="00190491">
        <w:rPr>
          <w:bCs/>
          <w:lang w:val="fr-FR"/>
        </w:rPr>
        <w:t>janvier</w:t>
      </w:r>
      <w:r w:rsidRPr="00190491">
        <w:rPr>
          <w:lang w:val="fr-FR"/>
        </w:rPr>
        <w:t xml:space="preserve"> 2013 a supprimé cette inégalité en supprimant la notion de chef de famille, en abrogeant l</w:t>
      </w:r>
      <w:r w:rsidR="000C16F5">
        <w:rPr>
          <w:lang w:val="fr-FR"/>
        </w:rPr>
        <w:t>’</w:t>
      </w:r>
      <w:r w:rsidRPr="00190491">
        <w:rPr>
          <w:lang w:val="fr-FR"/>
        </w:rPr>
        <w:t>article 53 et modifiant les articles 58, 59, 60 et 67. Cette nouvelle loi instaurant la cogestion du foyer, met sur un pied d</w:t>
      </w:r>
      <w:r w:rsidR="000C16F5">
        <w:rPr>
          <w:lang w:val="fr-FR"/>
        </w:rPr>
        <w:t>’</w:t>
      </w:r>
      <w:r w:rsidRPr="00190491">
        <w:rPr>
          <w:lang w:val="fr-FR"/>
        </w:rPr>
        <w:t>égalité l</w:t>
      </w:r>
      <w:r w:rsidR="000C16F5">
        <w:rPr>
          <w:lang w:val="fr-FR"/>
        </w:rPr>
        <w:t>’</w:t>
      </w:r>
      <w:r w:rsidRPr="00190491">
        <w:rPr>
          <w:lang w:val="fr-FR"/>
        </w:rPr>
        <w:t>homme et la femme dans le foyer, chacun participant selon ses moyens respectifs.</w:t>
      </w:r>
    </w:p>
    <w:p w14:paraId="0BC3652C" w14:textId="31485725" w:rsidR="0006405F" w:rsidRPr="0006405F" w:rsidRDefault="0006405F" w:rsidP="0006405F">
      <w:pPr>
        <w:pStyle w:val="SingleTxt"/>
        <w:tabs>
          <w:tab w:val="clear" w:pos="1742"/>
        </w:tabs>
        <w:spacing w:after="0" w:line="120" w:lineRule="exact"/>
        <w:rPr>
          <w:sz w:val="10"/>
          <w:lang w:val="fr-FR"/>
        </w:rPr>
      </w:pPr>
    </w:p>
    <w:p w14:paraId="50C2D223" w14:textId="77777777" w:rsidR="0006405F" w:rsidRDefault="00364BF3" w:rsidP="0006405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Institution nationale des droits de l</w:t>
      </w:r>
      <w:r w:rsidR="000C16F5">
        <w:rPr>
          <w:lang w:val="fr-FR"/>
        </w:rPr>
        <w:t>’</w:t>
      </w:r>
      <w:r w:rsidRPr="00190491">
        <w:rPr>
          <w:lang w:val="fr-FR"/>
        </w:rPr>
        <w:t>homme</w:t>
      </w:r>
    </w:p>
    <w:p w14:paraId="12421995" w14:textId="77777777" w:rsidR="0006405F" w:rsidRPr="0006405F" w:rsidRDefault="0006405F" w:rsidP="0006405F">
      <w:pPr>
        <w:pStyle w:val="H23G"/>
        <w:spacing w:before="0" w:after="0" w:line="120" w:lineRule="exact"/>
        <w:rPr>
          <w:sz w:val="10"/>
          <w:lang w:val="fr-FR"/>
        </w:rPr>
      </w:pPr>
    </w:p>
    <w:p w14:paraId="0531481F" w14:textId="5F6C3C37" w:rsidR="00364BF3" w:rsidRPr="00EA20DF" w:rsidRDefault="00364BF3" w:rsidP="006C2408">
      <w:pPr>
        <w:pStyle w:val="SingleTxt"/>
        <w:numPr>
          <w:ilvl w:val="0"/>
          <w:numId w:val="24"/>
        </w:numPr>
        <w:spacing w:line="240" w:lineRule="exact"/>
        <w:rPr>
          <w:b/>
          <w:bCs/>
          <w:lang w:val="fr-FR"/>
        </w:rPr>
      </w:pPr>
      <w:r w:rsidRPr="00EA20DF">
        <w:rPr>
          <w:b/>
          <w:bCs/>
          <w:lang w:val="fr-FR"/>
        </w:rPr>
        <w:t>Garantir que la Commission nationale des droits de l</w:t>
      </w:r>
      <w:r w:rsidR="000C16F5" w:rsidRPr="00EA20DF">
        <w:rPr>
          <w:b/>
          <w:bCs/>
          <w:lang w:val="fr-FR"/>
        </w:rPr>
        <w:t>’</w:t>
      </w:r>
      <w:r w:rsidRPr="00EA20DF">
        <w:rPr>
          <w:b/>
          <w:bCs/>
          <w:lang w:val="fr-FR"/>
        </w:rPr>
        <w:t>homme est en conformité avec les Principes de Paris et est doté de ressources suffisantes, pour un large mandat des droits humains et un mandat spécifique sur l</w:t>
      </w:r>
      <w:r w:rsidR="000C16F5" w:rsidRPr="00EA20DF">
        <w:rPr>
          <w:b/>
          <w:bCs/>
          <w:lang w:val="fr-FR"/>
        </w:rPr>
        <w:t>’</w:t>
      </w:r>
      <w:r w:rsidRPr="00EA20DF">
        <w:rPr>
          <w:b/>
          <w:bCs/>
          <w:lang w:val="fr-FR"/>
        </w:rPr>
        <w:t xml:space="preserve">égalité entre les sexes </w:t>
      </w:r>
      <w:r w:rsidR="00D81000">
        <w:rPr>
          <w:b/>
          <w:bCs/>
          <w:lang w:val="fr-FR"/>
        </w:rPr>
        <w:t>[</w:t>
      </w:r>
      <w:r w:rsidRPr="00EA20DF">
        <w:rPr>
          <w:b/>
          <w:bCs/>
          <w:lang w:val="fr-FR"/>
        </w:rPr>
        <w:t xml:space="preserve">voir </w:t>
      </w:r>
      <w:hyperlink r:id="rId94" w:history="1">
        <w:r w:rsidRPr="007B345A">
          <w:rPr>
            <w:rStyle w:val="Hyperlink"/>
            <w:b/>
            <w:bCs/>
            <w:lang w:val="fr-FR"/>
          </w:rPr>
          <w:t>CEDAW/C/CIV/CO/1-3</w:t>
        </w:r>
      </w:hyperlink>
      <w:r w:rsidRPr="00EA20DF">
        <w:rPr>
          <w:b/>
          <w:bCs/>
          <w:lang w:val="fr-FR"/>
        </w:rPr>
        <w:t xml:space="preserve">, </w:t>
      </w:r>
      <w:r w:rsidR="006862B3">
        <w:rPr>
          <w:b/>
          <w:bCs/>
          <w:lang w:val="fr-FR"/>
        </w:rPr>
        <w:t>par. </w:t>
      </w:r>
      <w:r w:rsidRPr="00EA20DF">
        <w:rPr>
          <w:b/>
          <w:bCs/>
          <w:lang w:val="fr-FR"/>
        </w:rPr>
        <w:t>45 a)</w:t>
      </w:r>
      <w:r w:rsidR="00D81000">
        <w:rPr>
          <w:b/>
          <w:bCs/>
          <w:lang w:val="fr-FR"/>
        </w:rPr>
        <w:t>]</w:t>
      </w:r>
      <w:r w:rsidRPr="00EA20DF">
        <w:rPr>
          <w:b/>
          <w:bCs/>
          <w:lang w:val="fr-FR"/>
        </w:rPr>
        <w:t>.</w:t>
      </w:r>
    </w:p>
    <w:p w14:paraId="4EA88F59" w14:textId="7B3350E0" w:rsidR="00364BF3" w:rsidRPr="00190491" w:rsidRDefault="00364BF3" w:rsidP="006C2408">
      <w:pPr>
        <w:pStyle w:val="SingleTxt"/>
        <w:numPr>
          <w:ilvl w:val="0"/>
          <w:numId w:val="24"/>
        </w:numPr>
        <w:spacing w:line="240" w:lineRule="exact"/>
        <w:rPr>
          <w:lang w:val="fr-FR"/>
        </w:rPr>
      </w:pPr>
      <w:r w:rsidRPr="00190491">
        <w:rPr>
          <w:lang w:val="fr-FR"/>
        </w:rPr>
        <w:t xml:space="preserve">La </w:t>
      </w:r>
      <w:r w:rsidRPr="00EC3375">
        <w:rPr>
          <w:b/>
          <w:lang w:val="fr-FR"/>
        </w:rPr>
        <w:t>Commission</w:t>
      </w:r>
      <w:r w:rsidRPr="00190491">
        <w:rPr>
          <w:lang w:val="fr-FR"/>
        </w:rPr>
        <w:t xml:space="preserve"> nationale des droits de l</w:t>
      </w:r>
      <w:r w:rsidR="000C16F5">
        <w:rPr>
          <w:lang w:val="fr-FR"/>
        </w:rPr>
        <w:t>’</w:t>
      </w:r>
      <w:r w:rsidRPr="00190491">
        <w:rPr>
          <w:lang w:val="fr-FR"/>
        </w:rPr>
        <w:t>homme de Côte d</w:t>
      </w:r>
      <w:r w:rsidR="000C16F5">
        <w:rPr>
          <w:lang w:val="fr-FR"/>
        </w:rPr>
        <w:t>’</w:t>
      </w:r>
      <w:r w:rsidRPr="00190491">
        <w:rPr>
          <w:lang w:val="fr-FR"/>
        </w:rPr>
        <w:t>Ivoire après analyse de son dossier au sous-comité</w:t>
      </w:r>
      <w:r w:rsidRPr="00300E48">
        <w:rPr>
          <w:rStyle w:val="FootnoteReference"/>
          <w:lang w:val="fr-FR"/>
        </w:rPr>
        <w:footnoteReference w:id="23"/>
      </w:r>
      <w:r w:rsidRPr="00190491">
        <w:rPr>
          <w:lang w:val="fr-FR"/>
        </w:rPr>
        <w:t xml:space="preserve"> d</w:t>
      </w:r>
      <w:r w:rsidR="000C16F5">
        <w:rPr>
          <w:lang w:val="fr-FR"/>
        </w:rPr>
        <w:t>’</w:t>
      </w:r>
      <w:r w:rsidRPr="00190491">
        <w:rPr>
          <w:lang w:val="fr-FR"/>
        </w:rPr>
        <w:t>accréditation en mai 2016 est accréditée du statut B avec des recommandations dans le but de se conformer à tout point de vue aux principes de Paris.</w:t>
      </w:r>
    </w:p>
    <w:p w14:paraId="33902B1D" w14:textId="51FD05F9" w:rsidR="00364BF3" w:rsidRPr="00EC3375" w:rsidRDefault="00364BF3" w:rsidP="006C2408">
      <w:pPr>
        <w:pStyle w:val="SingleTxt"/>
        <w:numPr>
          <w:ilvl w:val="0"/>
          <w:numId w:val="24"/>
        </w:numPr>
        <w:spacing w:line="240" w:lineRule="exact"/>
        <w:rPr>
          <w:b/>
          <w:bCs/>
          <w:lang w:val="fr-FR"/>
        </w:rPr>
      </w:pPr>
      <w:r w:rsidRPr="00EC3375">
        <w:rPr>
          <w:b/>
          <w:bCs/>
          <w:lang w:val="fr-FR"/>
        </w:rPr>
        <w:t>S</w:t>
      </w:r>
      <w:r w:rsidR="000C16F5" w:rsidRPr="00EC3375">
        <w:rPr>
          <w:b/>
          <w:bCs/>
          <w:lang w:val="fr-FR"/>
        </w:rPr>
        <w:t>’</w:t>
      </w:r>
      <w:r w:rsidRPr="00EC3375">
        <w:rPr>
          <w:b/>
          <w:bCs/>
          <w:lang w:val="fr-FR"/>
        </w:rPr>
        <w:t>assurer que la composition et les activités de la Commission nationale des</w:t>
      </w:r>
      <w:r w:rsidR="00114AE1">
        <w:rPr>
          <w:b/>
          <w:bCs/>
          <w:lang w:val="fr-FR"/>
        </w:rPr>
        <w:t xml:space="preserve"> </w:t>
      </w:r>
      <w:r w:rsidRPr="00EC3375">
        <w:rPr>
          <w:b/>
          <w:bCs/>
          <w:lang w:val="fr-FR"/>
        </w:rPr>
        <w:t>Commission</w:t>
      </w:r>
      <w:r w:rsidR="00114AE1">
        <w:rPr>
          <w:b/>
          <w:bCs/>
          <w:lang w:val="fr-FR"/>
        </w:rPr>
        <w:t>s</w:t>
      </w:r>
      <w:r w:rsidRPr="00EC3375">
        <w:rPr>
          <w:b/>
          <w:bCs/>
          <w:lang w:val="fr-FR"/>
        </w:rPr>
        <w:t xml:space="preserve"> sont sensibles au genre et tiennent entièrement compte des droits humains des femmes </w:t>
      </w:r>
      <w:r w:rsidR="00D81000">
        <w:rPr>
          <w:b/>
          <w:bCs/>
          <w:lang w:val="fr-FR"/>
        </w:rPr>
        <w:t>[</w:t>
      </w:r>
      <w:r w:rsidRPr="00EC3375">
        <w:rPr>
          <w:b/>
          <w:bCs/>
          <w:lang w:val="fr-FR"/>
        </w:rPr>
        <w:t xml:space="preserve">voir </w:t>
      </w:r>
      <w:hyperlink r:id="rId95" w:history="1">
        <w:r w:rsidRPr="007B345A">
          <w:rPr>
            <w:rStyle w:val="Hyperlink"/>
            <w:b/>
            <w:bCs/>
            <w:lang w:val="fr-FR"/>
          </w:rPr>
          <w:t>CEDAW/C/CIV/CO/1-3</w:t>
        </w:r>
      </w:hyperlink>
      <w:r w:rsidRPr="00EC3375">
        <w:rPr>
          <w:b/>
          <w:bCs/>
          <w:lang w:val="fr-FR"/>
        </w:rPr>
        <w:t xml:space="preserve">, </w:t>
      </w:r>
      <w:r w:rsidR="006862B3">
        <w:rPr>
          <w:b/>
          <w:bCs/>
          <w:lang w:val="fr-FR"/>
        </w:rPr>
        <w:t>par. </w:t>
      </w:r>
      <w:r w:rsidRPr="00EC3375">
        <w:rPr>
          <w:b/>
          <w:bCs/>
          <w:lang w:val="fr-FR"/>
        </w:rPr>
        <w:t>45 b)</w:t>
      </w:r>
      <w:r w:rsidR="00D81000">
        <w:rPr>
          <w:b/>
          <w:bCs/>
          <w:lang w:val="fr-FR"/>
        </w:rPr>
        <w:t>]</w:t>
      </w:r>
      <w:r w:rsidRPr="00EC3375">
        <w:rPr>
          <w:b/>
          <w:bCs/>
          <w:lang w:val="fr-FR"/>
        </w:rPr>
        <w:t>.</w:t>
      </w:r>
    </w:p>
    <w:p w14:paraId="3CD2D2F3" w14:textId="52CFD84D" w:rsidR="00364BF3" w:rsidRPr="00190491" w:rsidRDefault="00364BF3" w:rsidP="006C2408">
      <w:pPr>
        <w:pStyle w:val="SingleTxt"/>
        <w:numPr>
          <w:ilvl w:val="0"/>
          <w:numId w:val="24"/>
        </w:numPr>
        <w:spacing w:line="240" w:lineRule="exact"/>
        <w:rPr>
          <w:bCs/>
          <w:lang w:val="fr-FR"/>
        </w:rPr>
      </w:pPr>
      <w:r w:rsidRPr="00190491">
        <w:rPr>
          <w:bCs/>
          <w:lang w:val="fr-FR"/>
        </w:rPr>
        <w:t xml:space="preserve">La </w:t>
      </w:r>
      <w:r w:rsidRPr="00EC3375">
        <w:rPr>
          <w:b/>
          <w:lang w:val="fr-FR"/>
        </w:rPr>
        <w:t>CEDEF</w:t>
      </w:r>
      <w:r w:rsidRPr="00190491">
        <w:rPr>
          <w:bCs/>
          <w:lang w:val="fr-FR"/>
        </w:rPr>
        <w:t xml:space="preserve"> étant un outil de travail de CNDHCI, elle oriente toutes ses actions de sensibilisation et de protection. Ainsi, la CNDHCI a mené des activités sur l</w:t>
      </w:r>
      <w:r w:rsidR="000C16F5">
        <w:rPr>
          <w:bCs/>
          <w:lang w:val="fr-FR"/>
        </w:rPr>
        <w:t>’</w:t>
      </w:r>
      <w:r w:rsidRPr="00190491">
        <w:rPr>
          <w:bCs/>
          <w:lang w:val="fr-FR"/>
        </w:rPr>
        <w:t>autonomisation la promotion des femmes. Elle a également apporté son appui aux femmes incarcérées à la Maison d</w:t>
      </w:r>
      <w:r w:rsidR="000C16F5">
        <w:rPr>
          <w:bCs/>
          <w:lang w:val="fr-FR"/>
        </w:rPr>
        <w:t>’</w:t>
      </w:r>
      <w:r w:rsidRPr="00190491">
        <w:rPr>
          <w:bCs/>
          <w:lang w:val="fr-FR"/>
        </w:rPr>
        <w:t>Arrêt et de Correction d</w:t>
      </w:r>
      <w:r w:rsidR="000C16F5">
        <w:rPr>
          <w:bCs/>
          <w:lang w:val="fr-FR"/>
        </w:rPr>
        <w:t>’</w:t>
      </w:r>
      <w:r w:rsidRPr="00190491">
        <w:rPr>
          <w:bCs/>
          <w:lang w:val="fr-FR"/>
        </w:rPr>
        <w:t xml:space="preserve">Abidjan (MACA). </w:t>
      </w:r>
    </w:p>
    <w:p w14:paraId="7EF37ED4" w14:textId="70B72DD9" w:rsidR="00364BF3" w:rsidRDefault="00364BF3" w:rsidP="006C2408">
      <w:pPr>
        <w:pStyle w:val="SingleTxt"/>
        <w:numPr>
          <w:ilvl w:val="0"/>
          <w:numId w:val="24"/>
        </w:numPr>
        <w:spacing w:line="240" w:lineRule="exact"/>
        <w:rPr>
          <w:bCs/>
          <w:lang w:val="fr-FR"/>
        </w:rPr>
      </w:pPr>
      <w:r w:rsidRPr="00190491">
        <w:rPr>
          <w:bCs/>
          <w:lang w:val="fr-FR"/>
        </w:rPr>
        <w:t>Par ailleurs, le rapport de la CNDHCI sur les violences faites aux femmes est en cours de finalisation.</w:t>
      </w:r>
    </w:p>
    <w:p w14:paraId="3E66DDCF" w14:textId="5E183973" w:rsidR="00EC3375" w:rsidRPr="00EC3375" w:rsidRDefault="00EC3375" w:rsidP="00EC3375">
      <w:pPr>
        <w:pStyle w:val="SingleTxt"/>
        <w:tabs>
          <w:tab w:val="clear" w:pos="1742"/>
        </w:tabs>
        <w:spacing w:after="0" w:line="120" w:lineRule="exact"/>
        <w:rPr>
          <w:bCs/>
          <w:sz w:val="10"/>
          <w:lang w:val="fr-FR"/>
        </w:rPr>
      </w:pPr>
    </w:p>
    <w:p w14:paraId="5E5580F4" w14:textId="613EC43C" w:rsidR="00364BF3" w:rsidRDefault="00364BF3" w:rsidP="00EC33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Déclaration et Programme d</w:t>
      </w:r>
      <w:r w:rsidR="000C16F5">
        <w:rPr>
          <w:lang w:val="fr-FR"/>
        </w:rPr>
        <w:t>’</w:t>
      </w:r>
      <w:r w:rsidRPr="00190491">
        <w:rPr>
          <w:lang w:val="fr-FR"/>
        </w:rPr>
        <w:t xml:space="preserve">action de Beijing </w:t>
      </w:r>
    </w:p>
    <w:p w14:paraId="3FFB0B1D" w14:textId="3EBF03E4" w:rsidR="00EC3375" w:rsidRPr="00EC3375" w:rsidRDefault="00EC3375" w:rsidP="00EC3375">
      <w:pPr>
        <w:spacing w:line="120" w:lineRule="exact"/>
        <w:rPr>
          <w:sz w:val="10"/>
          <w:lang w:val="fr-FR"/>
        </w:rPr>
      </w:pPr>
    </w:p>
    <w:p w14:paraId="1140E6E3" w14:textId="45A90903" w:rsidR="00364BF3" w:rsidRPr="00EC3375" w:rsidRDefault="00364BF3" w:rsidP="006C2408">
      <w:pPr>
        <w:pStyle w:val="SingleTxt"/>
        <w:numPr>
          <w:ilvl w:val="0"/>
          <w:numId w:val="24"/>
        </w:numPr>
        <w:spacing w:line="240" w:lineRule="exact"/>
        <w:rPr>
          <w:b/>
          <w:bCs/>
          <w:lang w:val="fr-FR"/>
        </w:rPr>
      </w:pPr>
      <w:r w:rsidRPr="00EC3375">
        <w:rPr>
          <w:b/>
          <w:bCs/>
          <w:lang w:val="fr-FR"/>
        </w:rPr>
        <w:t>Le Comité exhorte l</w:t>
      </w:r>
      <w:r w:rsidR="000C16F5" w:rsidRPr="00EC3375">
        <w:rPr>
          <w:b/>
          <w:bCs/>
          <w:lang w:val="fr-FR"/>
        </w:rPr>
        <w:t>’</w:t>
      </w:r>
      <w:r w:rsidRPr="00EC3375">
        <w:rPr>
          <w:b/>
          <w:bCs/>
          <w:lang w:val="fr-FR"/>
        </w:rPr>
        <w:t>État partie, dans l</w:t>
      </w:r>
      <w:r w:rsidR="000C16F5" w:rsidRPr="00EC3375">
        <w:rPr>
          <w:b/>
          <w:bCs/>
          <w:lang w:val="fr-FR"/>
        </w:rPr>
        <w:t>’</w:t>
      </w:r>
      <w:r w:rsidRPr="00EC3375">
        <w:rPr>
          <w:b/>
          <w:bCs/>
          <w:lang w:val="fr-FR"/>
        </w:rPr>
        <w:t>exécution de ses obligations en</w:t>
      </w:r>
      <w:r w:rsidR="00114AE1">
        <w:rPr>
          <w:b/>
          <w:bCs/>
          <w:lang w:val="fr-FR"/>
        </w:rPr>
        <w:t xml:space="preserve"> </w:t>
      </w:r>
      <w:r w:rsidRPr="00EC3375">
        <w:rPr>
          <w:b/>
          <w:bCs/>
          <w:lang w:val="fr-FR"/>
        </w:rPr>
        <w:t>vertu de la Convention, d</w:t>
      </w:r>
      <w:r w:rsidR="000C16F5" w:rsidRPr="00EC3375">
        <w:rPr>
          <w:b/>
          <w:bCs/>
          <w:lang w:val="fr-FR"/>
        </w:rPr>
        <w:t>’</w:t>
      </w:r>
      <w:r w:rsidRPr="00EC3375">
        <w:rPr>
          <w:b/>
          <w:bCs/>
          <w:lang w:val="fr-FR"/>
        </w:rPr>
        <w:t>utiliser pleinement la Déclaration de Beijing et du Programme d</w:t>
      </w:r>
      <w:r w:rsidR="000C16F5" w:rsidRPr="00EC3375">
        <w:rPr>
          <w:b/>
          <w:bCs/>
          <w:lang w:val="fr-FR"/>
        </w:rPr>
        <w:t>’</w:t>
      </w:r>
      <w:r w:rsidRPr="00EC3375">
        <w:rPr>
          <w:b/>
          <w:bCs/>
          <w:lang w:val="fr-FR"/>
        </w:rPr>
        <w:t xml:space="preserve">action, qui renforcent les dispositions de la Convention, et prie </w:t>
      </w:r>
      <w:r w:rsidRPr="00EC3375">
        <w:rPr>
          <w:b/>
          <w:bCs/>
          <w:lang w:val="fr-FR"/>
        </w:rPr>
        <w:lastRenderedPageBreak/>
        <w:t>l</w:t>
      </w:r>
      <w:r w:rsidR="000C16F5" w:rsidRPr="00EC3375">
        <w:rPr>
          <w:b/>
          <w:bCs/>
          <w:lang w:val="fr-FR"/>
        </w:rPr>
        <w:t>’</w:t>
      </w:r>
      <w:r w:rsidRPr="00EC3375">
        <w:rPr>
          <w:b/>
          <w:bCs/>
          <w:lang w:val="fr-FR"/>
        </w:rPr>
        <w:t xml:space="preserve">État partie à inclure des informations dans son prochain rapport périodique (voir </w:t>
      </w:r>
      <w:hyperlink r:id="rId96" w:history="1">
        <w:r w:rsidRPr="007B345A">
          <w:rPr>
            <w:rStyle w:val="Hyperlink"/>
            <w:b/>
            <w:bCs/>
            <w:lang w:val="fr-FR"/>
          </w:rPr>
          <w:t>CEDAW/C/CIV/CO/1-3</w:t>
        </w:r>
      </w:hyperlink>
      <w:r w:rsidRPr="00EC3375">
        <w:rPr>
          <w:b/>
          <w:bCs/>
          <w:lang w:val="fr-FR"/>
        </w:rPr>
        <w:t xml:space="preserve">, </w:t>
      </w:r>
      <w:r w:rsidR="006862B3">
        <w:rPr>
          <w:b/>
          <w:bCs/>
          <w:lang w:val="fr-FR"/>
        </w:rPr>
        <w:t>par. </w:t>
      </w:r>
      <w:r w:rsidRPr="00EC3375">
        <w:rPr>
          <w:b/>
          <w:bCs/>
          <w:lang w:val="fr-FR"/>
        </w:rPr>
        <w:t>46).</w:t>
      </w:r>
    </w:p>
    <w:p w14:paraId="01E64891" w14:textId="7C0C0137" w:rsidR="00364BF3" w:rsidRPr="00190491" w:rsidRDefault="00364BF3" w:rsidP="006C2408">
      <w:pPr>
        <w:pStyle w:val="SingleTxt"/>
        <w:numPr>
          <w:ilvl w:val="0"/>
          <w:numId w:val="24"/>
        </w:numPr>
        <w:spacing w:line="240" w:lineRule="exact"/>
        <w:rPr>
          <w:lang w:val="fr-FR"/>
        </w:rPr>
      </w:pPr>
      <w:r w:rsidRPr="00190491">
        <w:rPr>
          <w:lang w:val="fr-FR"/>
        </w:rPr>
        <w:t xml:space="preserve">La </w:t>
      </w:r>
      <w:r w:rsidRPr="00190491">
        <w:rPr>
          <w:bCs/>
          <w:lang w:val="fr-FR"/>
        </w:rPr>
        <w:t>Côte</w:t>
      </w:r>
      <w:r w:rsidRPr="00190491">
        <w:rPr>
          <w:lang w:val="fr-FR"/>
        </w:rPr>
        <w:t xml:space="preserve"> d</w:t>
      </w:r>
      <w:r w:rsidR="000C16F5">
        <w:rPr>
          <w:lang w:val="fr-FR"/>
        </w:rPr>
        <w:t>’</w:t>
      </w:r>
      <w:r w:rsidRPr="00190491">
        <w:rPr>
          <w:lang w:val="fr-FR"/>
        </w:rPr>
        <w:t>Ivoire a procédé successivement en 2000, 2005, 2010 et 2015 à l</w:t>
      </w:r>
      <w:r w:rsidR="000C16F5">
        <w:rPr>
          <w:lang w:val="fr-FR"/>
        </w:rPr>
        <w:t>’</w:t>
      </w:r>
      <w:r w:rsidRPr="00190491">
        <w:rPr>
          <w:lang w:val="fr-FR"/>
        </w:rPr>
        <w:t>évaluation de la mise en œuvre du Programme d</w:t>
      </w:r>
      <w:r w:rsidR="000C16F5">
        <w:rPr>
          <w:lang w:val="fr-FR"/>
        </w:rPr>
        <w:t>’</w:t>
      </w:r>
      <w:r w:rsidRPr="00190491">
        <w:rPr>
          <w:lang w:val="fr-FR"/>
        </w:rPr>
        <w:t>actions de Beijing, avec l</w:t>
      </w:r>
      <w:r w:rsidR="000C16F5">
        <w:rPr>
          <w:lang w:val="fr-FR"/>
        </w:rPr>
        <w:t>’</w:t>
      </w:r>
      <w:r w:rsidRPr="00190491">
        <w:rPr>
          <w:lang w:val="fr-FR"/>
        </w:rPr>
        <w:t>appui des ASNU. Le dernier rapport produit en 2014 révèle certains points.</w:t>
      </w:r>
    </w:p>
    <w:p w14:paraId="7A7A9BB1" w14:textId="50036FBB" w:rsidR="00364BF3" w:rsidRDefault="00364BF3" w:rsidP="006C2408">
      <w:pPr>
        <w:pStyle w:val="SingleTxt"/>
        <w:numPr>
          <w:ilvl w:val="0"/>
          <w:numId w:val="24"/>
        </w:numPr>
        <w:spacing w:line="240" w:lineRule="exact"/>
        <w:rPr>
          <w:lang w:val="fr-FR"/>
        </w:rPr>
      </w:pPr>
      <w:r w:rsidRPr="00190491">
        <w:rPr>
          <w:lang w:val="fr-FR"/>
        </w:rPr>
        <w:t>Les deux (2) échecs connus dans la réalisation de l</w:t>
      </w:r>
      <w:r w:rsidR="000C16F5">
        <w:rPr>
          <w:lang w:val="fr-FR"/>
        </w:rPr>
        <w:t>’</w:t>
      </w:r>
      <w:r w:rsidRPr="00190491">
        <w:rPr>
          <w:lang w:val="fr-FR"/>
        </w:rPr>
        <w:t>égalité des sexes et de l</w:t>
      </w:r>
      <w:r w:rsidR="000C16F5">
        <w:rPr>
          <w:lang w:val="fr-FR"/>
        </w:rPr>
        <w:t>’</w:t>
      </w:r>
      <w:r w:rsidRPr="00190491">
        <w:rPr>
          <w:lang w:val="fr-FR"/>
        </w:rPr>
        <w:t>autonomisation des femmes sont</w:t>
      </w:r>
      <w:r w:rsidR="008945B3">
        <w:rPr>
          <w:lang w:val="fr-FR"/>
        </w:rPr>
        <w:t> :</w:t>
      </w:r>
      <w:r w:rsidRPr="00190491">
        <w:rPr>
          <w:lang w:val="fr-FR"/>
        </w:rPr>
        <w:t xml:space="preserve"> i) la non amélioration de la représentativité des femmes aux postes décisionnels comme prévu. En effet, la Côte d</w:t>
      </w:r>
      <w:r w:rsidR="000C16F5">
        <w:rPr>
          <w:lang w:val="fr-FR"/>
        </w:rPr>
        <w:t>’</w:t>
      </w:r>
      <w:r w:rsidRPr="00190491">
        <w:rPr>
          <w:lang w:val="fr-FR"/>
        </w:rPr>
        <w:t>Ivoire est loin du quota des 30</w:t>
      </w:r>
      <w:r w:rsidR="00DB4C05">
        <w:rPr>
          <w:lang w:val="fr-FR"/>
        </w:rPr>
        <w:t> %</w:t>
      </w:r>
      <w:r w:rsidRPr="00190491">
        <w:rPr>
          <w:lang w:val="fr-FR"/>
        </w:rPr>
        <w:t xml:space="preserve"> prévus par la Conférence de Beijing et ii) l</w:t>
      </w:r>
      <w:r w:rsidR="000C16F5">
        <w:rPr>
          <w:lang w:val="fr-FR"/>
        </w:rPr>
        <w:t>’</w:t>
      </w:r>
      <w:r w:rsidRPr="00190491">
        <w:rPr>
          <w:lang w:val="fr-FR"/>
        </w:rPr>
        <w:t>absence d</w:t>
      </w:r>
      <w:r w:rsidR="000C16F5">
        <w:rPr>
          <w:lang w:val="fr-FR"/>
        </w:rPr>
        <w:t>’</w:t>
      </w:r>
      <w:r w:rsidRPr="00190491">
        <w:rPr>
          <w:lang w:val="fr-FR"/>
        </w:rPr>
        <w:t>un mécanisme de contrôle citoyen des actions posées par les pouvoirs publics en matière de genre et d</w:t>
      </w:r>
      <w:r w:rsidR="000C16F5">
        <w:rPr>
          <w:lang w:val="fr-FR"/>
        </w:rPr>
        <w:t>’</w:t>
      </w:r>
      <w:r w:rsidRPr="00190491">
        <w:rPr>
          <w:lang w:val="fr-FR"/>
        </w:rPr>
        <w:t>autonomisation des femmes.</w:t>
      </w:r>
    </w:p>
    <w:p w14:paraId="40274547" w14:textId="7FB0DFBB" w:rsidR="00EC3375" w:rsidRPr="00EC3375" w:rsidRDefault="00EC3375" w:rsidP="00EC3375">
      <w:pPr>
        <w:pStyle w:val="SingleTxt"/>
        <w:tabs>
          <w:tab w:val="clear" w:pos="1742"/>
        </w:tabs>
        <w:spacing w:after="0" w:line="120" w:lineRule="exact"/>
        <w:rPr>
          <w:sz w:val="10"/>
          <w:lang w:val="fr-FR"/>
        </w:rPr>
      </w:pPr>
    </w:p>
    <w:p w14:paraId="4CB3DE46" w14:textId="6CF4EAAC" w:rsidR="00364BF3" w:rsidRDefault="00364BF3" w:rsidP="00EC33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 xml:space="preserve">Objectifs du Millénaire pour le développement </w:t>
      </w:r>
    </w:p>
    <w:p w14:paraId="0ADBCB17" w14:textId="04A1121D" w:rsidR="00EC3375" w:rsidRPr="00EC3375" w:rsidRDefault="00EC3375" w:rsidP="00EC3375">
      <w:pPr>
        <w:spacing w:line="120" w:lineRule="exact"/>
        <w:rPr>
          <w:sz w:val="10"/>
          <w:lang w:val="fr-FR"/>
        </w:rPr>
      </w:pPr>
    </w:p>
    <w:p w14:paraId="2B62EF7C" w14:textId="2371A79A" w:rsidR="00364BF3" w:rsidRPr="00EC3375" w:rsidRDefault="00364BF3" w:rsidP="006C2408">
      <w:pPr>
        <w:pStyle w:val="SingleTxt"/>
        <w:numPr>
          <w:ilvl w:val="0"/>
          <w:numId w:val="24"/>
        </w:numPr>
        <w:spacing w:line="240" w:lineRule="exact"/>
        <w:rPr>
          <w:b/>
          <w:bCs/>
          <w:lang w:val="fr-FR"/>
        </w:rPr>
      </w:pPr>
      <w:r w:rsidRPr="00EC3375">
        <w:rPr>
          <w:b/>
          <w:bCs/>
          <w:lang w:val="fr-FR"/>
        </w:rPr>
        <w:t>Le Comité souligne que la mise en œuvre intégrale et effective de la Convention est indispensable pour atteindre les Objectifs du Millénaire pour le développement. Il appelle à une réflexion pour l</w:t>
      </w:r>
      <w:r w:rsidR="000C16F5" w:rsidRPr="00EC3375">
        <w:rPr>
          <w:b/>
          <w:bCs/>
          <w:lang w:val="fr-FR"/>
        </w:rPr>
        <w:t>’</w:t>
      </w:r>
      <w:r w:rsidRPr="00EC3375">
        <w:rPr>
          <w:b/>
          <w:bCs/>
          <w:lang w:val="fr-FR"/>
        </w:rPr>
        <w:t>intégration d</w:t>
      </w:r>
      <w:r w:rsidR="000C16F5" w:rsidRPr="00EC3375">
        <w:rPr>
          <w:b/>
          <w:bCs/>
          <w:lang w:val="fr-FR"/>
        </w:rPr>
        <w:t>’</w:t>
      </w:r>
      <w:r w:rsidRPr="00EC3375">
        <w:rPr>
          <w:b/>
          <w:bCs/>
          <w:lang w:val="fr-FR"/>
        </w:rPr>
        <w:t>une perspective sexospécifique explicite en conformité avec les dispositions de la Convention dans tous les efforts visant à la réalisation des objectifs du Millénaire et prie l</w:t>
      </w:r>
      <w:r w:rsidR="000C16F5" w:rsidRPr="00EC3375">
        <w:rPr>
          <w:b/>
          <w:bCs/>
          <w:lang w:val="fr-FR"/>
        </w:rPr>
        <w:t>’</w:t>
      </w:r>
      <w:r w:rsidRPr="00EC3375">
        <w:rPr>
          <w:b/>
          <w:bCs/>
          <w:lang w:val="fr-FR"/>
        </w:rPr>
        <w:t xml:space="preserve">État partie à inclure des informations dans son prochain rapport périodique (voir </w:t>
      </w:r>
      <w:hyperlink r:id="rId97" w:history="1">
        <w:r w:rsidRPr="007B345A">
          <w:rPr>
            <w:rStyle w:val="Hyperlink"/>
            <w:b/>
            <w:bCs/>
            <w:lang w:val="fr-FR"/>
          </w:rPr>
          <w:t>CEDAW/C/CIV/CO/1-3</w:t>
        </w:r>
      </w:hyperlink>
      <w:r w:rsidRPr="00EC3375">
        <w:rPr>
          <w:b/>
          <w:bCs/>
          <w:lang w:val="fr-FR"/>
        </w:rPr>
        <w:t xml:space="preserve">, </w:t>
      </w:r>
      <w:r w:rsidR="006862B3">
        <w:rPr>
          <w:b/>
          <w:bCs/>
          <w:lang w:val="fr-FR"/>
        </w:rPr>
        <w:t>par. </w:t>
      </w:r>
      <w:r w:rsidRPr="00EC3375">
        <w:rPr>
          <w:b/>
          <w:bCs/>
          <w:lang w:val="fr-FR"/>
        </w:rPr>
        <w:t>47).</w:t>
      </w:r>
    </w:p>
    <w:p w14:paraId="0D8A298A" w14:textId="6FBA854A" w:rsidR="00364BF3" w:rsidRPr="00190491" w:rsidRDefault="00364BF3" w:rsidP="006C2408">
      <w:pPr>
        <w:pStyle w:val="SingleTxt"/>
        <w:numPr>
          <w:ilvl w:val="0"/>
          <w:numId w:val="24"/>
        </w:numPr>
        <w:spacing w:line="240" w:lineRule="exact"/>
        <w:rPr>
          <w:lang w:val="fr-FR"/>
        </w:rPr>
      </w:pPr>
      <w:r w:rsidRPr="00190491">
        <w:rPr>
          <w:lang w:val="fr-FR"/>
        </w:rPr>
        <w:t>L</w:t>
      </w:r>
      <w:r w:rsidR="000C16F5">
        <w:rPr>
          <w:lang w:val="fr-FR"/>
        </w:rPr>
        <w:t>’</w:t>
      </w:r>
      <w:r w:rsidRPr="00190491">
        <w:rPr>
          <w:lang w:val="fr-FR"/>
        </w:rPr>
        <w:t>autonomisation économique des femmes pour l</w:t>
      </w:r>
      <w:r w:rsidR="000C16F5">
        <w:rPr>
          <w:lang w:val="fr-FR"/>
        </w:rPr>
        <w:t>’</w:t>
      </w:r>
      <w:r w:rsidRPr="00190491">
        <w:rPr>
          <w:lang w:val="fr-FR"/>
        </w:rPr>
        <w:t>atteinte des OMD en Côte d</w:t>
      </w:r>
      <w:r w:rsidR="000C16F5">
        <w:rPr>
          <w:lang w:val="fr-FR"/>
        </w:rPr>
        <w:t>’</w:t>
      </w:r>
      <w:r w:rsidRPr="00190491">
        <w:rPr>
          <w:lang w:val="fr-FR"/>
        </w:rPr>
        <w:t>Ivoire a été matérialisée au niveau de l</w:t>
      </w:r>
      <w:r w:rsidR="000C16F5">
        <w:rPr>
          <w:lang w:val="fr-FR"/>
        </w:rPr>
        <w:t>’</w:t>
      </w:r>
      <w:r w:rsidRPr="00190491">
        <w:rPr>
          <w:lang w:val="fr-FR"/>
        </w:rPr>
        <w:t xml:space="preserve">assistance des ASNU à travers le renforcement des capacités techniques et financières des organisations de femmes. </w:t>
      </w:r>
    </w:p>
    <w:p w14:paraId="08683D2C" w14:textId="0FEBD386" w:rsidR="00364BF3" w:rsidRDefault="00364BF3" w:rsidP="006C2408">
      <w:pPr>
        <w:pStyle w:val="SingleTxt"/>
        <w:numPr>
          <w:ilvl w:val="0"/>
          <w:numId w:val="24"/>
        </w:numPr>
        <w:spacing w:line="240" w:lineRule="exact"/>
        <w:rPr>
          <w:lang w:val="fr-FR"/>
        </w:rPr>
      </w:pPr>
      <w:r w:rsidRPr="00190491">
        <w:rPr>
          <w:lang w:val="fr-FR"/>
        </w:rPr>
        <w:t>Dans une approche de protection de l</w:t>
      </w:r>
      <w:r w:rsidR="000C16F5">
        <w:rPr>
          <w:lang w:val="fr-FR"/>
        </w:rPr>
        <w:t>’</w:t>
      </w:r>
      <w:r w:rsidRPr="00190491">
        <w:rPr>
          <w:lang w:val="fr-FR"/>
        </w:rPr>
        <w:t>environnement et de l</w:t>
      </w:r>
      <w:r w:rsidR="000C16F5">
        <w:rPr>
          <w:lang w:val="fr-FR"/>
        </w:rPr>
        <w:t>’</w:t>
      </w:r>
      <w:r w:rsidRPr="00190491">
        <w:rPr>
          <w:lang w:val="fr-FR"/>
        </w:rPr>
        <w:t>amélioration des conditions de vie d</w:t>
      </w:r>
      <w:r w:rsidR="000C16F5">
        <w:rPr>
          <w:lang w:val="fr-FR"/>
        </w:rPr>
        <w:t>’</w:t>
      </w:r>
      <w:r w:rsidRPr="00190491">
        <w:rPr>
          <w:lang w:val="fr-FR"/>
        </w:rPr>
        <w:t>une part et d</w:t>
      </w:r>
      <w:r w:rsidR="000C16F5">
        <w:rPr>
          <w:lang w:val="fr-FR"/>
        </w:rPr>
        <w:t>’</w:t>
      </w:r>
      <w:r w:rsidRPr="00190491">
        <w:rPr>
          <w:lang w:val="fr-FR"/>
        </w:rPr>
        <w:t>autre part de l</w:t>
      </w:r>
      <w:r w:rsidR="000C16F5">
        <w:rPr>
          <w:lang w:val="fr-FR"/>
        </w:rPr>
        <w:t>’</w:t>
      </w:r>
      <w:r w:rsidRPr="00190491">
        <w:rPr>
          <w:lang w:val="fr-FR"/>
        </w:rPr>
        <w:t>implication de la femme à la gestion de l</w:t>
      </w:r>
      <w:r w:rsidR="000C16F5">
        <w:rPr>
          <w:lang w:val="fr-FR"/>
        </w:rPr>
        <w:t>’</w:t>
      </w:r>
      <w:r w:rsidRPr="00190491">
        <w:rPr>
          <w:lang w:val="fr-FR"/>
        </w:rPr>
        <w:t>environnement, des études ont été menées sous l</w:t>
      </w:r>
      <w:r w:rsidR="000C16F5">
        <w:rPr>
          <w:lang w:val="fr-FR"/>
        </w:rPr>
        <w:t>’</w:t>
      </w:r>
      <w:r w:rsidRPr="00190491">
        <w:rPr>
          <w:lang w:val="fr-FR"/>
        </w:rPr>
        <w:t>égide du MPFFPE et du Ministère de l</w:t>
      </w:r>
      <w:r w:rsidR="000C16F5">
        <w:rPr>
          <w:lang w:val="fr-FR"/>
        </w:rPr>
        <w:t>’</w:t>
      </w:r>
      <w:r w:rsidRPr="00190491">
        <w:rPr>
          <w:lang w:val="fr-FR"/>
        </w:rPr>
        <w:t>Environnement et du Développement Durable (MEDD). Il s</w:t>
      </w:r>
      <w:r w:rsidR="000C16F5">
        <w:rPr>
          <w:lang w:val="fr-FR"/>
        </w:rPr>
        <w:t>’</w:t>
      </w:r>
      <w:r w:rsidRPr="00190491">
        <w:rPr>
          <w:lang w:val="fr-FR"/>
        </w:rPr>
        <w:t>agit de</w:t>
      </w:r>
      <w:r w:rsidR="00DB4C05">
        <w:rPr>
          <w:lang w:val="fr-FR"/>
        </w:rPr>
        <w:t> ;</w:t>
      </w:r>
      <w:r w:rsidRPr="00190491">
        <w:rPr>
          <w:lang w:val="fr-FR"/>
        </w:rPr>
        <w:t xml:space="preserve"> i) l</w:t>
      </w:r>
      <w:r w:rsidR="000C16F5">
        <w:rPr>
          <w:lang w:val="fr-FR"/>
        </w:rPr>
        <w:t>’</w:t>
      </w:r>
      <w:r w:rsidR="00C10A78" w:rsidRPr="00190491">
        <w:rPr>
          <w:lang w:val="fr-FR"/>
        </w:rPr>
        <w:t>Étude</w:t>
      </w:r>
      <w:r w:rsidRPr="00190491">
        <w:rPr>
          <w:lang w:val="fr-FR"/>
        </w:rPr>
        <w:t xml:space="preserve"> sur l</w:t>
      </w:r>
      <w:r w:rsidR="000C16F5">
        <w:rPr>
          <w:lang w:val="fr-FR"/>
        </w:rPr>
        <w:t>’</w:t>
      </w:r>
      <w:r w:rsidRPr="00190491">
        <w:rPr>
          <w:lang w:val="fr-FR"/>
        </w:rPr>
        <w:t>intégration de l</w:t>
      </w:r>
      <w:r w:rsidR="000C16F5">
        <w:rPr>
          <w:lang w:val="fr-FR"/>
        </w:rPr>
        <w:t>’</w:t>
      </w:r>
      <w:r w:rsidRPr="00190491">
        <w:rPr>
          <w:lang w:val="fr-FR"/>
        </w:rPr>
        <w:t>approche genre dans le secteur de l</w:t>
      </w:r>
      <w:r w:rsidR="000C16F5">
        <w:rPr>
          <w:lang w:val="fr-FR"/>
        </w:rPr>
        <w:t>’</w:t>
      </w:r>
      <w:r w:rsidRPr="00190491">
        <w:rPr>
          <w:lang w:val="fr-FR"/>
        </w:rPr>
        <w:t>eau en 2015</w:t>
      </w:r>
      <w:r w:rsidR="00DB4C05">
        <w:rPr>
          <w:lang w:val="fr-FR"/>
        </w:rPr>
        <w:t> ;</w:t>
      </w:r>
      <w:r w:rsidRPr="00190491">
        <w:rPr>
          <w:lang w:val="fr-FR"/>
        </w:rPr>
        <w:t xml:space="preserve"> ii) </w:t>
      </w:r>
      <w:r w:rsidR="00C10A78" w:rsidRPr="00190491">
        <w:rPr>
          <w:lang w:val="fr-FR"/>
        </w:rPr>
        <w:t>Énergies</w:t>
      </w:r>
      <w:r w:rsidRPr="00190491">
        <w:rPr>
          <w:lang w:val="fr-FR"/>
        </w:rPr>
        <w:t xml:space="preserve"> propres de cuisson en Côte d</w:t>
      </w:r>
      <w:r w:rsidR="000C16F5">
        <w:rPr>
          <w:lang w:val="fr-FR"/>
        </w:rPr>
        <w:t>’</w:t>
      </w:r>
      <w:r w:rsidRPr="00190491">
        <w:rPr>
          <w:lang w:val="fr-FR"/>
        </w:rPr>
        <w:t>Ivoire-Situation et perspectives en 2015 et iii) </w:t>
      </w:r>
      <w:r w:rsidR="00C10A78" w:rsidRPr="00190491">
        <w:rPr>
          <w:lang w:val="fr-FR"/>
        </w:rPr>
        <w:t>Évaluation</w:t>
      </w:r>
      <w:r w:rsidRPr="00190491">
        <w:rPr>
          <w:lang w:val="fr-FR"/>
        </w:rPr>
        <w:t xml:space="preserve"> de l</w:t>
      </w:r>
      <w:r w:rsidR="000C16F5">
        <w:rPr>
          <w:lang w:val="fr-FR"/>
        </w:rPr>
        <w:t>’</w:t>
      </w:r>
      <w:r w:rsidRPr="00190491">
        <w:rPr>
          <w:lang w:val="fr-FR"/>
        </w:rPr>
        <w:t xml:space="preserve">offre et de la demande en combustibles domestiques et leurs tendances au niveau des zones agro écologiques définies par le REDD+ en 2016. </w:t>
      </w:r>
    </w:p>
    <w:p w14:paraId="444034D2" w14:textId="665510AA" w:rsidR="00EC3375" w:rsidRPr="00EC3375" w:rsidRDefault="00EC3375" w:rsidP="00EC3375">
      <w:pPr>
        <w:pStyle w:val="SingleTxt"/>
        <w:tabs>
          <w:tab w:val="clear" w:pos="1742"/>
        </w:tabs>
        <w:spacing w:after="0" w:line="120" w:lineRule="exact"/>
        <w:rPr>
          <w:sz w:val="10"/>
          <w:lang w:val="fr-FR"/>
        </w:rPr>
      </w:pPr>
    </w:p>
    <w:p w14:paraId="21FF70A4" w14:textId="0BED3ED3" w:rsidR="00364BF3" w:rsidRDefault="00364BF3" w:rsidP="00EC33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Diffusion des observations finales</w:t>
      </w:r>
    </w:p>
    <w:p w14:paraId="278FDEB9" w14:textId="61367FC6" w:rsidR="00EC3375" w:rsidRPr="00EC3375" w:rsidRDefault="00EC3375" w:rsidP="00EC3375">
      <w:pPr>
        <w:spacing w:line="120" w:lineRule="exact"/>
        <w:rPr>
          <w:sz w:val="10"/>
          <w:lang w:val="fr-FR"/>
        </w:rPr>
      </w:pPr>
    </w:p>
    <w:p w14:paraId="5F910B22" w14:textId="17B5F1EB" w:rsidR="00364BF3" w:rsidRPr="00EC3375" w:rsidRDefault="00364BF3" w:rsidP="006C2408">
      <w:pPr>
        <w:pStyle w:val="SingleTxt"/>
        <w:numPr>
          <w:ilvl w:val="0"/>
          <w:numId w:val="24"/>
        </w:numPr>
        <w:spacing w:line="240" w:lineRule="exact"/>
        <w:rPr>
          <w:b/>
          <w:bCs/>
          <w:lang w:val="fr-FR"/>
        </w:rPr>
      </w:pPr>
      <w:r w:rsidRPr="00EC3375">
        <w:rPr>
          <w:b/>
          <w:bCs/>
          <w:lang w:val="fr-FR"/>
        </w:rPr>
        <w:t>Le Comité demande à l</w:t>
      </w:r>
      <w:r w:rsidR="000C16F5" w:rsidRPr="00EC3375">
        <w:rPr>
          <w:b/>
          <w:bCs/>
          <w:lang w:val="fr-FR"/>
        </w:rPr>
        <w:t>’</w:t>
      </w:r>
      <w:r w:rsidRPr="00EC3375">
        <w:rPr>
          <w:b/>
          <w:bCs/>
          <w:lang w:val="fr-FR"/>
        </w:rPr>
        <w:t>État partie de continuer à diffuser largement, en particulier pour les femmes et les organisations de droits humain, les recommandations générales du Comité, la Déclaration de Beijing et le Programme d</w:t>
      </w:r>
      <w:r w:rsidR="000C16F5" w:rsidRPr="00EC3375">
        <w:rPr>
          <w:b/>
          <w:bCs/>
          <w:lang w:val="fr-FR"/>
        </w:rPr>
        <w:t>’</w:t>
      </w:r>
      <w:r w:rsidRPr="00EC3375">
        <w:rPr>
          <w:b/>
          <w:bCs/>
          <w:lang w:val="fr-FR"/>
        </w:rPr>
        <w:t>action et le résultat de la vingt-troisième session extraordinaire de l</w:t>
      </w:r>
      <w:r w:rsidR="000C16F5" w:rsidRPr="00EC3375">
        <w:rPr>
          <w:b/>
          <w:bCs/>
          <w:lang w:val="fr-FR"/>
        </w:rPr>
        <w:t>’</w:t>
      </w:r>
      <w:r w:rsidRPr="00EC3375">
        <w:rPr>
          <w:b/>
          <w:bCs/>
          <w:lang w:val="fr-FR"/>
        </w:rPr>
        <w:t>Assemblée Générale sur le thème «</w:t>
      </w:r>
      <w:r w:rsidR="00B675BB">
        <w:rPr>
          <w:b/>
          <w:bCs/>
          <w:lang w:val="fr-FR"/>
        </w:rPr>
        <w:t> </w:t>
      </w:r>
      <w:r w:rsidRPr="00EC3375">
        <w:rPr>
          <w:b/>
          <w:bCs/>
          <w:lang w:val="fr-FR"/>
        </w:rPr>
        <w:t>Femmes 2000</w:t>
      </w:r>
      <w:r w:rsidR="008945B3">
        <w:rPr>
          <w:b/>
          <w:bCs/>
          <w:lang w:val="fr-FR"/>
        </w:rPr>
        <w:t> :</w:t>
      </w:r>
      <w:r w:rsidRPr="00EC3375">
        <w:rPr>
          <w:b/>
          <w:bCs/>
          <w:lang w:val="fr-FR"/>
        </w:rPr>
        <w:t xml:space="preserve"> égalité entre les sexes, développement et paix pour le XXIe siècle » (voir </w:t>
      </w:r>
      <w:hyperlink r:id="rId98" w:history="1">
        <w:r w:rsidRPr="007B345A">
          <w:rPr>
            <w:rStyle w:val="Hyperlink"/>
            <w:b/>
            <w:bCs/>
            <w:lang w:val="fr-FR"/>
          </w:rPr>
          <w:t>CEDAW/C/CIV/CO/1-3</w:t>
        </w:r>
      </w:hyperlink>
      <w:r w:rsidRPr="00EC3375">
        <w:rPr>
          <w:b/>
          <w:bCs/>
          <w:lang w:val="fr-FR"/>
        </w:rPr>
        <w:t xml:space="preserve">, </w:t>
      </w:r>
      <w:r w:rsidR="006862B3">
        <w:rPr>
          <w:b/>
          <w:bCs/>
          <w:lang w:val="fr-FR"/>
        </w:rPr>
        <w:t>par. </w:t>
      </w:r>
      <w:r w:rsidRPr="00EC3375">
        <w:rPr>
          <w:b/>
          <w:bCs/>
          <w:lang w:val="fr-FR"/>
        </w:rPr>
        <w:t>48).</w:t>
      </w:r>
    </w:p>
    <w:p w14:paraId="5A650319" w14:textId="19B2A97D" w:rsidR="00364BF3" w:rsidRDefault="00364BF3" w:rsidP="006C2408">
      <w:pPr>
        <w:pStyle w:val="SingleTxt"/>
        <w:numPr>
          <w:ilvl w:val="0"/>
          <w:numId w:val="24"/>
        </w:numPr>
        <w:spacing w:line="240" w:lineRule="exact"/>
        <w:rPr>
          <w:lang w:val="fr-FR"/>
        </w:rPr>
      </w:pPr>
      <w:r w:rsidRPr="00190491">
        <w:rPr>
          <w:lang w:val="fr-FR"/>
        </w:rPr>
        <w:t>Le MPFFPE a organisé des émissions télévisées et radiophoniques pour informer les populations sur la CEDEF, la Résolution 1325 et sur le plan d</w:t>
      </w:r>
      <w:r w:rsidR="000C16F5">
        <w:rPr>
          <w:lang w:val="fr-FR"/>
        </w:rPr>
        <w:t>’</w:t>
      </w:r>
      <w:r w:rsidRPr="00190491">
        <w:rPr>
          <w:lang w:val="fr-FR"/>
        </w:rPr>
        <w:t xml:space="preserve">action de Beijing. </w:t>
      </w:r>
    </w:p>
    <w:p w14:paraId="7034B790" w14:textId="3873C4CE" w:rsidR="00364BF3" w:rsidRDefault="00364BF3" w:rsidP="00EC33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Ratification des instruments juridiques</w:t>
      </w:r>
    </w:p>
    <w:p w14:paraId="4C51E8A1" w14:textId="640D3F6E" w:rsidR="00EC3375" w:rsidRPr="00EC3375" w:rsidRDefault="00EC3375" w:rsidP="00EC3375">
      <w:pPr>
        <w:spacing w:line="120" w:lineRule="exact"/>
        <w:rPr>
          <w:sz w:val="10"/>
          <w:lang w:val="fr-FR"/>
        </w:rPr>
      </w:pPr>
    </w:p>
    <w:p w14:paraId="3172F537" w14:textId="06E3D478" w:rsidR="00364BF3" w:rsidRPr="00EC3375" w:rsidRDefault="00364BF3" w:rsidP="006C2408">
      <w:pPr>
        <w:pStyle w:val="SingleTxt"/>
        <w:numPr>
          <w:ilvl w:val="0"/>
          <w:numId w:val="24"/>
        </w:numPr>
        <w:spacing w:line="240" w:lineRule="exact"/>
        <w:rPr>
          <w:b/>
          <w:bCs/>
          <w:lang w:val="fr-FR"/>
        </w:rPr>
      </w:pPr>
      <w:r w:rsidRPr="00EC3375">
        <w:rPr>
          <w:b/>
          <w:bCs/>
          <w:lang w:val="fr-FR"/>
        </w:rPr>
        <w:t>Le Comité encourage donc l</w:t>
      </w:r>
      <w:r w:rsidR="000C16F5" w:rsidRPr="00EC3375">
        <w:rPr>
          <w:b/>
          <w:bCs/>
          <w:lang w:val="fr-FR"/>
        </w:rPr>
        <w:t>’</w:t>
      </w:r>
      <w:r w:rsidRPr="00EC3375">
        <w:rPr>
          <w:b/>
          <w:bCs/>
          <w:lang w:val="fr-FR"/>
        </w:rPr>
        <w:t>État partie à envisager de ratifier les traités auxquels il n</w:t>
      </w:r>
      <w:r w:rsidR="000C16F5" w:rsidRPr="00EC3375">
        <w:rPr>
          <w:b/>
          <w:bCs/>
          <w:lang w:val="fr-FR"/>
        </w:rPr>
        <w:t>’</w:t>
      </w:r>
      <w:r w:rsidRPr="00EC3375">
        <w:rPr>
          <w:b/>
          <w:bCs/>
          <w:lang w:val="fr-FR"/>
        </w:rPr>
        <w:t xml:space="preserve">est pas encore parti, à savoir la Convention internationale sur la protection des droits de tous les travailleurs migrants et des membres de leur famille, la Convention internationale pour la protection de toutes les personnes </w:t>
      </w:r>
      <w:r w:rsidRPr="00EC3375">
        <w:rPr>
          <w:b/>
          <w:bCs/>
          <w:lang w:val="fr-FR"/>
        </w:rPr>
        <w:lastRenderedPageBreak/>
        <w:t xml:space="preserve">contre les disparitions forcées et la Convention sur les droits des personnes handicapée (voir </w:t>
      </w:r>
      <w:hyperlink r:id="rId99" w:history="1">
        <w:r w:rsidRPr="007B345A">
          <w:rPr>
            <w:rStyle w:val="Hyperlink"/>
            <w:b/>
            <w:bCs/>
            <w:lang w:val="fr-FR"/>
          </w:rPr>
          <w:t>CEDAW/C/CIV/CO/1-3</w:t>
        </w:r>
      </w:hyperlink>
      <w:r w:rsidRPr="00EC3375">
        <w:rPr>
          <w:b/>
          <w:bCs/>
          <w:lang w:val="fr-FR"/>
        </w:rPr>
        <w:t xml:space="preserve">, </w:t>
      </w:r>
      <w:r w:rsidR="006862B3">
        <w:rPr>
          <w:b/>
          <w:bCs/>
          <w:lang w:val="fr-FR"/>
        </w:rPr>
        <w:t>par. </w:t>
      </w:r>
      <w:r w:rsidRPr="00EC3375">
        <w:rPr>
          <w:b/>
          <w:bCs/>
          <w:lang w:val="fr-FR"/>
        </w:rPr>
        <w:t>49).</w:t>
      </w:r>
    </w:p>
    <w:p w14:paraId="22361A05" w14:textId="2C2D65D0" w:rsidR="00364BF3" w:rsidRDefault="00364BF3" w:rsidP="006C2408">
      <w:pPr>
        <w:pStyle w:val="SingleTxt"/>
        <w:numPr>
          <w:ilvl w:val="0"/>
          <w:numId w:val="24"/>
        </w:numPr>
        <w:spacing w:line="240" w:lineRule="exact"/>
        <w:rPr>
          <w:lang w:val="fr-FR"/>
        </w:rPr>
      </w:pPr>
      <w:r w:rsidRPr="00190491">
        <w:rPr>
          <w:lang w:val="fr-FR"/>
        </w:rPr>
        <w:t>La Côte d</w:t>
      </w:r>
      <w:r w:rsidR="000C16F5">
        <w:rPr>
          <w:lang w:val="fr-FR"/>
        </w:rPr>
        <w:t>’</w:t>
      </w:r>
      <w:r w:rsidRPr="00190491">
        <w:rPr>
          <w:lang w:val="fr-FR"/>
        </w:rPr>
        <w:t>Ivoire n</w:t>
      </w:r>
      <w:r w:rsidR="000C16F5">
        <w:rPr>
          <w:lang w:val="fr-FR"/>
        </w:rPr>
        <w:t>’</w:t>
      </w:r>
      <w:r w:rsidRPr="00190491">
        <w:rPr>
          <w:lang w:val="fr-FR"/>
        </w:rPr>
        <w:t>a pu réaliser le souhait du comité de voir ratifier les conventions suivantes</w:t>
      </w:r>
      <w:r w:rsidR="008945B3">
        <w:rPr>
          <w:lang w:val="fr-FR"/>
        </w:rPr>
        <w:t> :</w:t>
      </w:r>
      <w:r w:rsidRPr="00190491">
        <w:rPr>
          <w:lang w:val="fr-FR"/>
        </w:rPr>
        <w:t xml:space="preserve"> i) la convention internationale sur la protection des droits de tous les travailleurs migrants et des membres de leur famille</w:t>
      </w:r>
      <w:r w:rsidR="00DB4C05">
        <w:rPr>
          <w:lang w:val="fr-FR"/>
        </w:rPr>
        <w:t> ;</w:t>
      </w:r>
      <w:r w:rsidRPr="00190491">
        <w:rPr>
          <w:lang w:val="fr-FR"/>
        </w:rPr>
        <w:t xml:space="preserve"> et ii) la convention internationale pour la protection de toutes les personnes contre les disparitions forcées.</w:t>
      </w:r>
    </w:p>
    <w:p w14:paraId="3A635351" w14:textId="3D8396EE" w:rsidR="00443275" w:rsidRPr="00443275" w:rsidRDefault="00443275" w:rsidP="00443275">
      <w:pPr>
        <w:pStyle w:val="SingleTxt"/>
        <w:tabs>
          <w:tab w:val="clear" w:pos="1742"/>
        </w:tabs>
        <w:spacing w:after="0" w:line="120" w:lineRule="exact"/>
        <w:rPr>
          <w:sz w:val="10"/>
          <w:lang w:val="fr-FR"/>
        </w:rPr>
      </w:pPr>
    </w:p>
    <w:p w14:paraId="1090FFE5" w14:textId="2FE22CA0" w:rsidR="00364BF3" w:rsidRDefault="00364BF3" w:rsidP="00443275">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1615C">
        <w:rPr>
          <w:lang w:val="fr-FR"/>
        </w:rPr>
        <w:tab/>
      </w:r>
      <w:r w:rsidRPr="0011615C">
        <w:rPr>
          <w:lang w:val="fr-FR"/>
        </w:rPr>
        <w:tab/>
        <w:t>Rapports produits</w:t>
      </w:r>
    </w:p>
    <w:p w14:paraId="12D6BC57" w14:textId="76B2D7FB" w:rsidR="00443275" w:rsidRPr="00443275" w:rsidRDefault="00443275" w:rsidP="00443275">
      <w:pPr>
        <w:spacing w:line="120" w:lineRule="exact"/>
        <w:rPr>
          <w:sz w:val="10"/>
          <w:lang w:val="fr-FR"/>
        </w:rPr>
      </w:pPr>
    </w:p>
    <w:p w14:paraId="25B5B202" w14:textId="66D04334" w:rsidR="00364BF3" w:rsidRPr="00190491" w:rsidRDefault="00364BF3" w:rsidP="006C2408">
      <w:pPr>
        <w:pStyle w:val="SingleTxt"/>
        <w:numPr>
          <w:ilvl w:val="0"/>
          <w:numId w:val="24"/>
        </w:numPr>
        <w:spacing w:line="240" w:lineRule="exact"/>
        <w:rPr>
          <w:lang w:val="fr-FR"/>
        </w:rPr>
      </w:pPr>
      <w:r w:rsidRPr="00190491">
        <w:rPr>
          <w:lang w:val="fr-FR"/>
        </w:rPr>
        <w:t>La Côte d</w:t>
      </w:r>
      <w:r w:rsidR="000C16F5">
        <w:rPr>
          <w:lang w:val="fr-FR"/>
        </w:rPr>
        <w:t>’</w:t>
      </w:r>
      <w:r w:rsidRPr="00190491">
        <w:rPr>
          <w:lang w:val="fr-FR"/>
        </w:rPr>
        <w:t>Ivoire a produit plusieurs rapports relatifs aux instruments juridiques qu</w:t>
      </w:r>
      <w:r w:rsidR="000C16F5">
        <w:rPr>
          <w:lang w:val="fr-FR"/>
        </w:rPr>
        <w:t>’</w:t>
      </w:r>
      <w:r w:rsidRPr="00190491">
        <w:rPr>
          <w:lang w:val="fr-FR"/>
        </w:rPr>
        <w:t>elle a ratifiés. Il s</w:t>
      </w:r>
      <w:r w:rsidR="000C16F5">
        <w:rPr>
          <w:lang w:val="fr-FR"/>
        </w:rPr>
        <w:t>’</w:t>
      </w:r>
      <w:r w:rsidRPr="00190491">
        <w:rPr>
          <w:lang w:val="fr-FR"/>
        </w:rPr>
        <w:t>agit entre autres de</w:t>
      </w:r>
      <w:r w:rsidR="008945B3">
        <w:rPr>
          <w:lang w:val="fr-FR"/>
        </w:rPr>
        <w:t> :</w:t>
      </w:r>
      <w:r w:rsidRPr="00190491">
        <w:rPr>
          <w:lang w:val="fr-FR"/>
        </w:rPr>
        <w:t xml:space="preserve"> i) la CEDEF en octobre 2011</w:t>
      </w:r>
      <w:r w:rsidR="00DB4C05">
        <w:rPr>
          <w:lang w:val="fr-FR"/>
        </w:rPr>
        <w:t> ;</w:t>
      </w:r>
      <w:r w:rsidRPr="00190491">
        <w:rPr>
          <w:lang w:val="fr-FR"/>
        </w:rPr>
        <w:t xml:space="preserve"> ii) la plateforme d</w:t>
      </w:r>
      <w:r w:rsidR="000C16F5">
        <w:rPr>
          <w:lang w:val="fr-FR"/>
        </w:rPr>
        <w:t>’</w:t>
      </w:r>
      <w:r w:rsidRPr="00190491">
        <w:rPr>
          <w:lang w:val="fr-FR"/>
        </w:rPr>
        <w:t>action de Beijing dont le Beijing +20 en 2014,</w:t>
      </w:r>
      <w:r w:rsidR="00DB4C05">
        <w:rPr>
          <w:lang w:val="fr-FR"/>
        </w:rPr>
        <w:t> ;</w:t>
      </w:r>
      <w:r w:rsidRPr="00190491">
        <w:rPr>
          <w:lang w:val="fr-FR"/>
        </w:rPr>
        <w:t xml:space="preserve"> iii) l</w:t>
      </w:r>
      <w:r w:rsidR="000C16F5">
        <w:rPr>
          <w:lang w:val="fr-FR"/>
        </w:rPr>
        <w:t>’</w:t>
      </w:r>
      <w:r w:rsidRPr="00190491">
        <w:rPr>
          <w:lang w:val="fr-FR"/>
        </w:rPr>
        <w:t>Examen périodique Universel dont le deuxième rapport le 29 avril 2014</w:t>
      </w:r>
      <w:r w:rsidR="00DB4C05">
        <w:rPr>
          <w:lang w:val="fr-FR"/>
        </w:rPr>
        <w:t> ;</w:t>
      </w:r>
      <w:r w:rsidRPr="00190491">
        <w:rPr>
          <w:lang w:val="fr-FR"/>
        </w:rPr>
        <w:t xml:space="preserve"> iv) la charte africaine des droits de l</w:t>
      </w:r>
      <w:r w:rsidR="000C16F5">
        <w:rPr>
          <w:lang w:val="fr-FR"/>
        </w:rPr>
        <w:t>’</w:t>
      </w:r>
      <w:r w:rsidRPr="00190491">
        <w:rPr>
          <w:lang w:val="fr-FR"/>
        </w:rPr>
        <w:t>homme et des peuples en octobre 2012 et en 2016</w:t>
      </w:r>
      <w:r w:rsidR="00DB4C05">
        <w:rPr>
          <w:lang w:val="fr-FR"/>
        </w:rPr>
        <w:t> ;</w:t>
      </w:r>
      <w:r w:rsidRPr="00190491">
        <w:rPr>
          <w:lang w:val="fr-FR"/>
        </w:rPr>
        <w:t xml:space="preserve"> v) la Déclaration solennelle des Chefs d</w:t>
      </w:r>
      <w:r w:rsidR="000C16F5">
        <w:rPr>
          <w:lang w:val="fr-FR"/>
        </w:rPr>
        <w:t>’</w:t>
      </w:r>
      <w:r w:rsidR="00C10A78" w:rsidRPr="00190491">
        <w:rPr>
          <w:lang w:val="fr-FR"/>
        </w:rPr>
        <w:t>États</w:t>
      </w:r>
      <w:r w:rsidRPr="00190491">
        <w:rPr>
          <w:lang w:val="fr-FR"/>
        </w:rPr>
        <w:t xml:space="preserve"> et de Gouvernement sur l</w:t>
      </w:r>
      <w:r w:rsidR="000C16F5">
        <w:rPr>
          <w:lang w:val="fr-FR"/>
        </w:rPr>
        <w:t>’</w:t>
      </w:r>
      <w:r w:rsidRPr="00190491">
        <w:rPr>
          <w:lang w:val="fr-FR"/>
        </w:rPr>
        <w:t>égalité entre les hommes et les femmes en Afrique en 2014</w:t>
      </w:r>
      <w:r w:rsidR="00DB4C05">
        <w:rPr>
          <w:lang w:val="fr-FR"/>
        </w:rPr>
        <w:t> ;</w:t>
      </w:r>
      <w:r w:rsidRPr="00190491">
        <w:rPr>
          <w:lang w:val="fr-FR"/>
        </w:rPr>
        <w:t xml:space="preserve"> vi) la Charte Africaine des Droits et du Bien </w:t>
      </w:r>
      <w:r w:rsidR="00C10A78" w:rsidRPr="00190491">
        <w:rPr>
          <w:lang w:val="fr-FR"/>
        </w:rPr>
        <w:t>Être</w:t>
      </w:r>
      <w:r w:rsidRPr="00190491">
        <w:rPr>
          <w:lang w:val="fr-FR"/>
        </w:rPr>
        <w:t xml:space="preserve"> de l</w:t>
      </w:r>
      <w:r w:rsidR="000C16F5">
        <w:rPr>
          <w:lang w:val="fr-FR"/>
        </w:rPr>
        <w:t>’</w:t>
      </w:r>
      <w:r w:rsidRPr="00190491">
        <w:rPr>
          <w:lang w:val="fr-FR"/>
        </w:rPr>
        <w:t xml:space="preserve">Enfant en décembre 2015 et vii) la Convention relative aux Droits des enfants en janvier 2016. </w:t>
      </w:r>
    </w:p>
    <w:p w14:paraId="4696746C" w14:textId="77777777" w:rsidR="00443275" w:rsidRPr="00443275" w:rsidRDefault="00443275" w:rsidP="00443275">
      <w:pPr>
        <w:pStyle w:val="SingleTxt"/>
        <w:spacing w:after="0" w:line="120" w:lineRule="exact"/>
        <w:rPr>
          <w:sz w:val="10"/>
          <w:lang w:val="fr-FR"/>
        </w:rPr>
      </w:pPr>
    </w:p>
    <w:p w14:paraId="3D23ED11" w14:textId="273FAA44" w:rsidR="00443275" w:rsidRDefault="00443275" w:rsidP="004432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64BF3" w:rsidRPr="00190491">
        <w:rPr>
          <w:lang w:val="fr-FR"/>
        </w:rPr>
        <w:t>Suivi des observations finales</w:t>
      </w:r>
    </w:p>
    <w:p w14:paraId="6E0D6D68" w14:textId="77777777" w:rsidR="00443275" w:rsidRPr="00443275" w:rsidRDefault="00443275" w:rsidP="00443275">
      <w:pPr>
        <w:pStyle w:val="H23G"/>
        <w:spacing w:before="0" w:after="0" w:line="120" w:lineRule="exact"/>
        <w:rPr>
          <w:sz w:val="10"/>
          <w:lang w:val="fr-FR"/>
        </w:rPr>
      </w:pPr>
    </w:p>
    <w:p w14:paraId="6FC8860B" w14:textId="07C6B95A" w:rsidR="00364BF3" w:rsidRPr="00443275" w:rsidRDefault="00364BF3" w:rsidP="006C2408">
      <w:pPr>
        <w:pStyle w:val="SingleTxt"/>
        <w:numPr>
          <w:ilvl w:val="0"/>
          <w:numId w:val="24"/>
        </w:numPr>
        <w:spacing w:line="240" w:lineRule="exact"/>
        <w:rPr>
          <w:b/>
          <w:bCs/>
          <w:lang w:val="fr-FR"/>
        </w:rPr>
      </w:pPr>
      <w:r w:rsidRPr="00443275">
        <w:rPr>
          <w:b/>
          <w:bCs/>
          <w:lang w:val="fr-FR"/>
        </w:rPr>
        <w:t>Le Comité prie l</w:t>
      </w:r>
      <w:r w:rsidR="000C16F5" w:rsidRPr="00443275">
        <w:rPr>
          <w:b/>
          <w:bCs/>
          <w:lang w:val="fr-FR"/>
        </w:rPr>
        <w:t>’</w:t>
      </w:r>
      <w:r w:rsidRPr="00443275">
        <w:rPr>
          <w:b/>
          <w:bCs/>
          <w:lang w:val="fr-FR"/>
        </w:rPr>
        <w:t xml:space="preserve">État partie de fournir, dans les deux ans, par écrit des informations sur les mesures prises pour appliquer les recommandations contenues dans les paragraphes 29 et 35 ci-dessus (voir </w:t>
      </w:r>
      <w:hyperlink r:id="rId100" w:history="1">
        <w:r w:rsidRPr="007B345A">
          <w:rPr>
            <w:rStyle w:val="Hyperlink"/>
            <w:b/>
            <w:bCs/>
            <w:lang w:val="fr-FR"/>
          </w:rPr>
          <w:t>CEDAW/C/CIV/CO/1-3</w:t>
        </w:r>
      </w:hyperlink>
      <w:r w:rsidRPr="00443275">
        <w:rPr>
          <w:b/>
          <w:bCs/>
          <w:lang w:val="fr-FR"/>
        </w:rPr>
        <w:t xml:space="preserve">, </w:t>
      </w:r>
      <w:r w:rsidR="006862B3">
        <w:rPr>
          <w:b/>
          <w:bCs/>
          <w:lang w:val="fr-FR"/>
        </w:rPr>
        <w:t>par. </w:t>
      </w:r>
      <w:r w:rsidRPr="00443275">
        <w:rPr>
          <w:b/>
          <w:bCs/>
          <w:lang w:val="fr-FR"/>
        </w:rPr>
        <w:t>50).</w:t>
      </w:r>
    </w:p>
    <w:p w14:paraId="7ACB55EB" w14:textId="70EE2AE9" w:rsidR="00364BF3" w:rsidRDefault="00364BF3" w:rsidP="006C2408">
      <w:pPr>
        <w:pStyle w:val="SingleTxt"/>
        <w:numPr>
          <w:ilvl w:val="0"/>
          <w:numId w:val="24"/>
        </w:numPr>
        <w:spacing w:line="240" w:lineRule="exact"/>
        <w:rPr>
          <w:bCs/>
          <w:lang w:val="fr-FR"/>
        </w:rPr>
      </w:pPr>
      <w:r w:rsidRPr="00190491">
        <w:rPr>
          <w:bCs/>
          <w:lang w:val="fr-FR"/>
        </w:rPr>
        <w:t>La feuille de route élaborée en juillet 2012 par le MSFFE et ses partenaires ainsi que les OSC, a été présentée en décembre 2013 à tous les acteurs afin de servir d</w:t>
      </w:r>
      <w:r w:rsidR="000C16F5">
        <w:rPr>
          <w:bCs/>
          <w:lang w:val="fr-FR"/>
        </w:rPr>
        <w:t>’</w:t>
      </w:r>
      <w:r w:rsidRPr="00190491">
        <w:rPr>
          <w:bCs/>
          <w:lang w:val="fr-FR"/>
        </w:rPr>
        <w:t>orientation pour toute action en faveur de la femme. La mise en œuvre de ses 5 axes a fait l</w:t>
      </w:r>
      <w:r w:rsidR="000C16F5">
        <w:rPr>
          <w:bCs/>
          <w:lang w:val="fr-FR"/>
        </w:rPr>
        <w:t>’</w:t>
      </w:r>
      <w:r w:rsidRPr="00190491">
        <w:rPr>
          <w:bCs/>
          <w:lang w:val="fr-FR"/>
        </w:rPr>
        <w:t>objet d</w:t>
      </w:r>
      <w:r w:rsidR="000C16F5">
        <w:rPr>
          <w:bCs/>
          <w:lang w:val="fr-FR"/>
        </w:rPr>
        <w:t>’</w:t>
      </w:r>
      <w:r w:rsidRPr="00190491">
        <w:rPr>
          <w:bCs/>
          <w:lang w:val="fr-FR"/>
        </w:rPr>
        <w:t>une évaluation au cours d</w:t>
      </w:r>
      <w:r w:rsidR="000C16F5">
        <w:rPr>
          <w:bCs/>
          <w:lang w:val="fr-FR"/>
        </w:rPr>
        <w:t>’</w:t>
      </w:r>
      <w:r w:rsidRPr="00190491">
        <w:rPr>
          <w:bCs/>
          <w:lang w:val="fr-FR"/>
        </w:rPr>
        <w:t xml:space="preserve">une mini-retraite en mars 2014. </w:t>
      </w:r>
    </w:p>
    <w:p w14:paraId="5AE477EF" w14:textId="70711C72" w:rsidR="00443275" w:rsidRPr="00443275" w:rsidRDefault="00443275" w:rsidP="00443275">
      <w:pPr>
        <w:pStyle w:val="SingleTxt"/>
        <w:tabs>
          <w:tab w:val="clear" w:pos="1742"/>
        </w:tabs>
        <w:spacing w:after="0" w:line="120" w:lineRule="exact"/>
        <w:rPr>
          <w:bCs/>
          <w:sz w:val="10"/>
          <w:lang w:val="fr-FR"/>
        </w:rPr>
      </w:pPr>
    </w:p>
    <w:p w14:paraId="65AC175F" w14:textId="4DB2036C" w:rsidR="00364BF3" w:rsidRDefault="00364BF3" w:rsidP="004432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 xml:space="preserve">Assistance technique </w:t>
      </w:r>
    </w:p>
    <w:p w14:paraId="413A36B4" w14:textId="1A5B56E8" w:rsidR="00443275" w:rsidRPr="00443275" w:rsidRDefault="00443275" w:rsidP="00443275">
      <w:pPr>
        <w:spacing w:line="120" w:lineRule="exact"/>
        <w:rPr>
          <w:sz w:val="10"/>
          <w:lang w:val="fr-FR"/>
        </w:rPr>
      </w:pPr>
    </w:p>
    <w:p w14:paraId="16099339" w14:textId="127C0793" w:rsidR="00364BF3" w:rsidRDefault="00364BF3" w:rsidP="006C2408">
      <w:pPr>
        <w:pStyle w:val="SingleTxt"/>
        <w:numPr>
          <w:ilvl w:val="0"/>
          <w:numId w:val="24"/>
        </w:numPr>
        <w:spacing w:line="240" w:lineRule="exact"/>
        <w:rPr>
          <w:b/>
          <w:bCs/>
          <w:lang w:val="fr-FR"/>
        </w:rPr>
      </w:pPr>
      <w:r w:rsidRPr="00443275">
        <w:rPr>
          <w:b/>
          <w:bCs/>
          <w:lang w:val="fr-FR"/>
        </w:rPr>
        <w:t>Le Comité recommande que l</w:t>
      </w:r>
      <w:r w:rsidR="000C16F5" w:rsidRPr="00443275">
        <w:rPr>
          <w:b/>
          <w:bCs/>
          <w:lang w:val="fr-FR"/>
        </w:rPr>
        <w:t>’</w:t>
      </w:r>
      <w:r w:rsidRPr="00443275">
        <w:rPr>
          <w:b/>
          <w:bCs/>
          <w:lang w:val="fr-FR"/>
        </w:rPr>
        <w:t>État partie envisage de demander la coopération</w:t>
      </w:r>
      <w:r w:rsidR="00443275">
        <w:rPr>
          <w:b/>
          <w:bCs/>
          <w:lang w:val="fr-FR"/>
        </w:rPr>
        <w:t xml:space="preserve"> </w:t>
      </w:r>
      <w:r w:rsidRPr="00443275">
        <w:rPr>
          <w:b/>
          <w:bCs/>
          <w:lang w:val="fr-FR"/>
        </w:rPr>
        <w:t>et une assistance technique dans le développement et la mise en œuvre d</w:t>
      </w:r>
      <w:r w:rsidR="000C16F5" w:rsidRPr="00443275">
        <w:rPr>
          <w:b/>
          <w:bCs/>
          <w:lang w:val="fr-FR"/>
        </w:rPr>
        <w:t>’</w:t>
      </w:r>
      <w:r w:rsidRPr="00443275">
        <w:rPr>
          <w:b/>
          <w:bCs/>
          <w:lang w:val="fr-FR"/>
        </w:rPr>
        <w:t xml:space="preserve">une stratégie globale visant à la mise </w:t>
      </w:r>
      <w:r w:rsidR="00F148BC">
        <w:rPr>
          <w:b/>
          <w:bCs/>
          <w:lang w:val="fr-FR"/>
        </w:rPr>
        <w:t>en œuvre des recommandations ci</w:t>
      </w:r>
      <w:r w:rsidR="00F148BC">
        <w:rPr>
          <w:b/>
          <w:bCs/>
          <w:lang w:val="fr-FR"/>
        </w:rPr>
        <w:noBreakHyphen/>
      </w:r>
      <w:r w:rsidRPr="00443275">
        <w:rPr>
          <w:b/>
          <w:bCs/>
          <w:lang w:val="fr-FR"/>
        </w:rPr>
        <w:t xml:space="preserve">dessus et de </w:t>
      </w:r>
      <w:r w:rsidR="00F148BC">
        <w:rPr>
          <w:b/>
          <w:bCs/>
          <w:lang w:val="fr-FR"/>
        </w:rPr>
        <w:t>la Convention dans son ensemble…</w:t>
      </w:r>
      <w:r w:rsidRPr="00443275">
        <w:rPr>
          <w:b/>
          <w:bCs/>
          <w:lang w:val="fr-FR"/>
        </w:rPr>
        <w:t xml:space="preserve"> Le Comité invite également l</w:t>
      </w:r>
      <w:r w:rsidR="000C16F5" w:rsidRPr="00443275">
        <w:rPr>
          <w:b/>
          <w:bCs/>
          <w:lang w:val="fr-FR"/>
        </w:rPr>
        <w:t>’</w:t>
      </w:r>
      <w:r w:rsidRPr="00443275">
        <w:rPr>
          <w:b/>
          <w:bCs/>
          <w:lang w:val="fr-FR"/>
        </w:rPr>
        <w:t xml:space="preserve">État partie à renforcer encore sa coopération avec les institutions spécialisées et programmes du Système des Nations Unies (voir </w:t>
      </w:r>
      <w:hyperlink r:id="rId101" w:history="1">
        <w:r w:rsidRPr="007B345A">
          <w:rPr>
            <w:rStyle w:val="Hyperlink"/>
            <w:b/>
            <w:bCs/>
            <w:lang w:val="fr-FR"/>
          </w:rPr>
          <w:t>CEDAW/C/CIV/CO/1-3</w:t>
        </w:r>
      </w:hyperlink>
      <w:r w:rsidRPr="00443275">
        <w:rPr>
          <w:b/>
          <w:bCs/>
          <w:lang w:val="fr-FR"/>
        </w:rPr>
        <w:t xml:space="preserve">, </w:t>
      </w:r>
      <w:r w:rsidR="006862B3">
        <w:rPr>
          <w:b/>
          <w:bCs/>
          <w:lang w:val="fr-FR"/>
        </w:rPr>
        <w:t>par. </w:t>
      </w:r>
      <w:r w:rsidRPr="00443275">
        <w:rPr>
          <w:b/>
          <w:bCs/>
          <w:lang w:val="fr-FR"/>
        </w:rPr>
        <w:t>51).</w:t>
      </w:r>
    </w:p>
    <w:p w14:paraId="07D8C349" w14:textId="0D0E4995" w:rsidR="00403B65" w:rsidRPr="00403B65" w:rsidRDefault="00403B65" w:rsidP="00403B65">
      <w:pPr>
        <w:pStyle w:val="SingleTxt"/>
        <w:tabs>
          <w:tab w:val="clear" w:pos="1742"/>
        </w:tabs>
        <w:spacing w:after="0" w:line="120" w:lineRule="exact"/>
        <w:rPr>
          <w:b/>
          <w:bCs/>
          <w:sz w:val="10"/>
          <w:lang w:val="fr-FR"/>
        </w:rPr>
      </w:pPr>
    </w:p>
    <w:p w14:paraId="0861A0EA" w14:textId="683109DD" w:rsidR="00364BF3" w:rsidRDefault="00364BF3" w:rsidP="00403B65">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r>
      <w:r w:rsidRPr="00403B65">
        <w:rPr>
          <w:lang w:val="fr-FR"/>
        </w:rPr>
        <w:t>Le Cadre Programmatique</w:t>
      </w:r>
      <w:r w:rsidRPr="00190491">
        <w:rPr>
          <w:lang w:val="fr-FR"/>
        </w:rPr>
        <w:t xml:space="preserve"> Unique/UNDAF du SNU</w:t>
      </w:r>
    </w:p>
    <w:p w14:paraId="3C544A76" w14:textId="6BE5832E" w:rsidR="00403B65" w:rsidRPr="00403B65" w:rsidRDefault="00403B65" w:rsidP="00403B65">
      <w:pPr>
        <w:spacing w:line="120" w:lineRule="exact"/>
        <w:rPr>
          <w:sz w:val="10"/>
          <w:lang w:val="fr-FR"/>
        </w:rPr>
      </w:pPr>
    </w:p>
    <w:p w14:paraId="2466F51F" w14:textId="21565A41" w:rsidR="00364BF3" w:rsidRPr="00190491" w:rsidRDefault="00364BF3" w:rsidP="006C2408">
      <w:pPr>
        <w:pStyle w:val="SingleTxt"/>
        <w:numPr>
          <w:ilvl w:val="0"/>
          <w:numId w:val="24"/>
        </w:numPr>
        <w:spacing w:line="240" w:lineRule="exact"/>
        <w:rPr>
          <w:lang w:val="fr-FR"/>
        </w:rPr>
      </w:pPr>
      <w:r w:rsidRPr="00190491">
        <w:rPr>
          <w:lang w:val="fr-FR"/>
        </w:rPr>
        <w:t>Dans sa collaboration avec l</w:t>
      </w:r>
      <w:r w:rsidR="000C16F5">
        <w:rPr>
          <w:lang w:val="fr-FR"/>
        </w:rPr>
        <w:t>’</w:t>
      </w:r>
      <w:r w:rsidR="00C10A78" w:rsidRPr="00190491">
        <w:rPr>
          <w:lang w:val="fr-FR"/>
        </w:rPr>
        <w:t>État</w:t>
      </w:r>
      <w:r w:rsidRPr="00190491">
        <w:rPr>
          <w:lang w:val="fr-FR"/>
        </w:rPr>
        <w:t xml:space="preserve"> de Côte d</w:t>
      </w:r>
      <w:r w:rsidR="000C16F5">
        <w:rPr>
          <w:lang w:val="fr-FR"/>
        </w:rPr>
        <w:t>’</w:t>
      </w:r>
      <w:r w:rsidRPr="00190491">
        <w:rPr>
          <w:lang w:val="fr-FR"/>
        </w:rPr>
        <w:t>Ivoire, les ASNU ont élaboré un document programmatique unique et stratégique qui oriente l</w:t>
      </w:r>
      <w:r w:rsidR="000C16F5">
        <w:rPr>
          <w:lang w:val="fr-FR"/>
        </w:rPr>
        <w:t>’</w:t>
      </w:r>
      <w:r w:rsidRPr="00190491">
        <w:rPr>
          <w:lang w:val="fr-FR"/>
        </w:rPr>
        <w:t>intervention de toutes les organisations du SNU. La programmation de l</w:t>
      </w:r>
      <w:r w:rsidR="000C16F5">
        <w:rPr>
          <w:lang w:val="fr-FR"/>
        </w:rPr>
        <w:t>’</w:t>
      </w:r>
      <w:r w:rsidRPr="00190491">
        <w:rPr>
          <w:lang w:val="fr-FR"/>
        </w:rPr>
        <w:t>UNDAF 2009-2013 a porté essentiellement sur la stabilisation sécuritaire et la consolidation de la paix.</w:t>
      </w:r>
    </w:p>
    <w:p w14:paraId="1CD65E03" w14:textId="3E021034" w:rsidR="00364BF3" w:rsidRPr="00190491" w:rsidRDefault="00364BF3" w:rsidP="006C2408">
      <w:pPr>
        <w:pStyle w:val="SingleTxt"/>
        <w:numPr>
          <w:ilvl w:val="0"/>
          <w:numId w:val="24"/>
        </w:numPr>
        <w:spacing w:line="240" w:lineRule="exact"/>
        <w:rPr>
          <w:lang w:val="fr-FR"/>
        </w:rPr>
      </w:pPr>
      <w:r w:rsidRPr="00190491">
        <w:rPr>
          <w:lang w:val="fr-FR"/>
        </w:rPr>
        <w:t>La programmation de 2013-2015 alignée sur le PND 2012-2015 a porté sur 3</w:t>
      </w:r>
      <w:r w:rsidR="00114AE1">
        <w:rPr>
          <w:lang w:val="fr-FR"/>
        </w:rPr>
        <w:t> </w:t>
      </w:r>
      <w:r w:rsidRPr="00190491">
        <w:rPr>
          <w:lang w:val="fr-FR"/>
        </w:rPr>
        <w:t>axes principaux à savoir</w:t>
      </w:r>
      <w:r w:rsidR="008945B3">
        <w:rPr>
          <w:lang w:val="fr-FR"/>
        </w:rPr>
        <w:t> :</w:t>
      </w:r>
      <w:r w:rsidRPr="00190491">
        <w:rPr>
          <w:lang w:val="fr-FR"/>
        </w:rPr>
        <w:t xml:space="preserve"> i) la consolidation de la paix et la protection des droits de l</w:t>
      </w:r>
      <w:r w:rsidR="000C16F5">
        <w:rPr>
          <w:lang w:val="fr-FR"/>
        </w:rPr>
        <w:t>’</w:t>
      </w:r>
      <w:r w:rsidRPr="00190491">
        <w:rPr>
          <w:lang w:val="fr-FR"/>
        </w:rPr>
        <w:t>homme et Gouvernance</w:t>
      </w:r>
      <w:r w:rsidR="00DB4C05">
        <w:rPr>
          <w:lang w:val="fr-FR"/>
        </w:rPr>
        <w:t> ;</w:t>
      </w:r>
      <w:r w:rsidRPr="00190491">
        <w:rPr>
          <w:lang w:val="fr-FR"/>
        </w:rPr>
        <w:t xml:space="preserve"> ii) la création d</w:t>
      </w:r>
      <w:r w:rsidR="000C16F5">
        <w:rPr>
          <w:lang w:val="fr-FR"/>
        </w:rPr>
        <w:t>’</w:t>
      </w:r>
      <w:r w:rsidRPr="00190491">
        <w:rPr>
          <w:lang w:val="fr-FR"/>
        </w:rPr>
        <w:t>emplois et l</w:t>
      </w:r>
      <w:r w:rsidR="000C16F5">
        <w:rPr>
          <w:lang w:val="fr-FR"/>
        </w:rPr>
        <w:t>’</w:t>
      </w:r>
      <w:r w:rsidRPr="00190491">
        <w:rPr>
          <w:lang w:val="fr-FR"/>
        </w:rPr>
        <w:t>augmentation des revenus et le développement durable et iii) les services sociaux de base.</w:t>
      </w:r>
    </w:p>
    <w:p w14:paraId="66E151F5" w14:textId="1D47C802" w:rsidR="00364BF3" w:rsidRDefault="00364BF3" w:rsidP="006C2408">
      <w:pPr>
        <w:pStyle w:val="SingleTxt"/>
        <w:numPr>
          <w:ilvl w:val="0"/>
          <w:numId w:val="24"/>
        </w:numPr>
        <w:spacing w:line="240" w:lineRule="exact"/>
        <w:rPr>
          <w:lang w:val="fr-FR"/>
        </w:rPr>
      </w:pPr>
      <w:r w:rsidRPr="00190491">
        <w:rPr>
          <w:lang w:val="fr-FR"/>
        </w:rPr>
        <w:t>La programmation 2017-2020 qui s</w:t>
      </w:r>
      <w:r w:rsidR="000C16F5">
        <w:rPr>
          <w:lang w:val="fr-FR"/>
        </w:rPr>
        <w:t>’</w:t>
      </w:r>
      <w:r w:rsidRPr="00190491">
        <w:rPr>
          <w:lang w:val="fr-FR"/>
        </w:rPr>
        <w:t>aligne sur le PND 2016-2020 est dénommé cadre de programmation unique (CPU). Il est conçu pour renforcer la synergie, la cohérence, l</w:t>
      </w:r>
      <w:r w:rsidR="000C16F5">
        <w:rPr>
          <w:lang w:val="fr-FR"/>
        </w:rPr>
        <w:t>’</w:t>
      </w:r>
      <w:r w:rsidRPr="00190491">
        <w:rPr>
          <w:lang w:val="fr-FR"/>
        </w:rPr>
        <w:t>unité d</w:t>
      </w:r>
      <w:r w:rsidR="000C16F5">
        <w:rPr>
          <w:lang w:val="fr-FR"/>
        </w:rPr>
        <w:t>’</w:t>
      </w:r>
      <w:r w:rsidRPr="00190491">
        <w:rPr>
          <w:lang w:val="fr-FR"/>
        </w:rPr>
        <w:t xml:space="preserve">action et la coordination des activités opérationnelles des Nations </w:t>
      </w:r>
      <w:r w:rsidRPr="00190491">
        <w:rPr>
          <w:lang w:val="fr-FR"/>
        </w:rPr>
        <w:lastRenderedPageBreak/>
        <w:t>Unies en Côte d</w:t>
      </w:r>
      <w:r w:rsidR="000C16F5">
        <w:rPr>
          <w:lang w:val="fr-FR"/>
        </w:rPr>
        <w:t>’</w:t>
      </w:r>
      <w:r w:rsidRPr="00190491">
        <w:rPr>
          <w:lang w:val="fr-FR"/>
        </w:rPr>
        <w:t xml:space="preserve">Ivoire et leur alignement sur les priorités nationales, conformément à la Déclaration de Paris. </w:t>
      </w:r>
    </w:p>
    <w:p w14:paraId="65D0AA39" w14:textId="55440538" w:rsidR="00403B65" w:rsidRPr="00403B65" w:rsidRDefault="00403B65" w:rsidP="00403B65">
      <w:pPr>
        <w:pStyle w:val="SingleTxt"/>
        <w:tabs>
          <w:tab w:val="clear" w:pos="1742"/>
        </w:tabs>
        <w:spacing w:after="0" w:line="120" w:lineRule="exact"/>
        <w:rPr>
          <w:sz w:val="10"/>
          <w:lang w:val="fr-FR"/>
        </w:rPr>
      </w:pPr>
    </w:p>
    <w:p w14:paraId="6D121F09" w14:textId="62BE63C1" w:rsidR="00364BF3" w:rsidRDefault="00364BF3" w:rsidP="00403B65">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Le Groupe Thématique Genre et Développement (GTGD)</w:t>
      </w:r>
    </w:p>
    <w:p w14:paraId="3D05D05D" w14:textId="12138D27" w:rsidR="00403B65" w:rsidRPr="00403B65" w:rsidRDefault="00403B65" w:rsidP="00403B65">
      <w:pPr>
        <w:spacing w:line="120" w:lineRule="exact"/>
        <w:rPr>
          <w:sz w:val="10"/>
          <w:lang w:val="fr-FR"/>
        </w:rPr>
      </w:pPr>
    </w:p>
    <w:p w14:paraId="6B3D7FD9" w14:textId="2B1FE0F4" w:rsidR="00364BF3" w:rsidRPr="00190491" w:rsidRDefault="00364BF3" w:rsidP="006C2408">
      <w:pPr>
        <w:pStyle w:val="SingleTxt"/>
        <w:numPr>
          <w:ilvl w:val="0"/>
          <w:numId w:val="24"/>
        </w:numPr>
        <w:spacing w:line="240" w:lineRule="exact"/>
        <w:rPr>
          <w:lang w:val="fr-FR"/>
        </w:rPr>
      </w:pPr>
      <w:r w:rsidRPr="00190491">
        <w:rPr>
          <w:lang w:val="fr-FR"/>
        </w:rPr>
        <w:t>Le GTGD a été mis en place en 2004 avec pour objectif de favoriser une compréhension commune des actions conjointes et concertées des ASNU en matière de genre. Il est présidé par ONUFEMMES au sein du SNU co-présidé par le MPFFPE. Il interagit avec les ONG Internationales traitant des questions de genre et les cellules sectorielles genre ainsi qu</w:t>
      </w:r>
      <w:r w:rsidR="000C16F5">
        <w:rPr>
          <w:lang w:val="fr-FR"/>
        </w:rPr>
        <w:t>’</w:t>
      </w:r>
      <w:r w:rsidRPr="00190491">
        <w:rPr>
          <w:lang w:val="fr-FR"/>
        </w:rPr>
        <w:t>avec certains Partenaires Techniques et Financiers. Conformément à ses Termes de Références, le GTGD se réuni chaque mois. Il appuie l</w:t>
      </w:r>
      <w:r w:rsidR="000C16F5">
        <w:rPr>
          <w:lang w:val="fr-FR"/>
        </w:rPr>
        <w:t>’</w:t>
      </w:r>
      <w:r w:rsidRPr="00190491">
        <w:rPr>
          <w:lang w:val="fr-FR"/>
        </w:rPr>
        <w:t xml:space="preserve">élaboration, la validation et la mise en œuvre des politiques et des documents cadres </w:t>
      </w:r>
      <w:r w:rsidRPr="0011615C">
        <w:rPr>
          <w:lang w:val="fr-FR"/>
        </w:rPr>
        <w:t>tels</w:t>
      </w:r>
      <w:r w:rsidR="008945B3">
        <w:rPr>
          <w:lang w:val="fr-FR"/>
        </w:rPr>
        <w:t> :</w:t>
      </w:r>
      <w:r w:rsidRPr="00190491">
        <w:rPr>
          <w:lang w:val="fr-FR"/>
        </w:rPr>
        <w:t xml:space="preserve"> le PND, le CPU, la SNLVBG, la Politique Nationale sur l</w:t>
      </w:r>
      <w:r w:rsidR="000C16F5">
        <w:rPr>
          <w:lang w:val="fr-FR"/>
        </w:rPr>
        <w:t>’</w:t>
      </w:r>
      <w:r w:rsidR="00C10A78" w:rsidRPr="00190491">
        <w:rPr>
          <w:lang w:val="fr-FR"/>
        </w:rPr>
        <w:t>Egalite</w:t>
      </w:r>
      <w:r w:rsidRPr="00190491">
        <w:rPr>
          <w:lang w:val="fr-FR"/>
        </w:rPr>
        <w:t xml:space="preserve"> des Chances, l</w:t>
      </w:r>
      <w:r w:rsidR="000C16F5">
        <w:rPr>
          <w:lang w:val="fr-FR"/>
        </w:rPr>
        <w:t>’</w:t>
      </w:r>
      <w:r w:rsidR="00C10A78" w:rsidRPr="00190491">
        <w:rPr>
          <w:lang w:val="fr-FR"/>
        </w:rPr>
        <w:t>Équité</w:t>
      </w:r>
      <w:r w:rsidRPr="00190491">
        <w:rPr>
          <w:lang w:val="fr-FR"/>
        </w:rPr>
        <w:t xml:space="preserve"> et le Genre adoptée en Juin 2009, le Plan National d</w:t>
      </w:r>
      <w:r w:rsidR="000C16F5">
        <w:rPr>
          <w:lang w:val="fr-FR"/>
        </w:rPr>
        <w:t>’</w:t>
      </w:r>
      <w:r w:rsidRPr="00190491">
        <w:rPr>
          <w:lang w:val="fr-FR"/>
        </w:rPr>
        <w:t xml:space="preserve">Action pour la mise en œuvre de la Résolution 1325 du Conseil de Sécurité des Nations Unies etc. </w:t>
      </w:r>
    </w:p>
    <w:p w14:paraId="5069507A" w14:textId="77777777" w:rsidR="0097145B" w:rsidRPr="0097145B" w:rsidRDefault="00364BF3" w:rsidP="00114AE1">
      <w:pPr>
        <w:pStyle w:val="H4G"/>
        <w:keepNext w:val="0"/>
        <w:keepLines w:val="0"/>
        <w:spacing w:before="0" w:after="0" w:line="120" w:lineRule="exact"/>
        <w:rPr>
          <w:sz w:val="10"/>
          <w:lang w:val="fr-FR"/>
        </w:rPr>
      </w:pPr>
      <w:r w:rsidRPr="00190491">
        <w:rPr>
          <w:lang w:val="fr-FR"/>
        </w:rPr>
        <w:tab/>
      </w:r>
      <w:r w:rsidRPr="00190491">
        <w:rPr>
          <w:lang w:val="fr-FR"/>
        </w:rPr>
        <w:tab/>
      </w:r>
    </w:p>
    <w:p w14:paraId="315E911C" w14:textId="4D5861EA" w:rsidR="00364BF3" w:rsidRDefault="0097145B" w:rsidP="00114AE1">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90491">
        <w:rPr>
          <w:lang w:val="fr-FR"/>
        </w:rPr>
        <w:t>Le Gender Score card</w:t>
      </w:r>
    </w:p>
    <w:p w14:paraId="52B13B41" w14:textId="088103D8" w:rsidR="0097145B" w:rsidRPr="0097145B" w:rsidRDefault="0097145B" w:rsidP="00114AE1">
      <w:pPr>
        <w:keepNext/>
        <w:keepLines/>
        <w:spacing w:line="120" w:lineRule="exact"/>
        <w:rPr>
          <w:sz w:val="10"/>
          <w:lang w:val="fr-FR"/>
        </w:rPr>
      </w:pPr>
    </w:p>
    <w:p w14:paraId="13F19A98" w14:textId="33A823CD" w:rsidR="00364BF3" w:rsidRPr="00190491" w:rsidRDefault="00364BF3" w:rsidP="006C2408">
      <w:pPr>
        <w:pStyle w:val="SingleTxt"/>
        <w:numPr>
          <w:ilvl w:val="0"/>
          <w:numId w:val="24"/>
        </w:numPr>
        <w:spacing w:line="240" w:lineRule="exact"/>
        <w:rPr>
          <w:lang w:val="fr-FR"/>
        </w:rPr>
      </w:pPr>
      <w:r w:rsidRPr="00190491">
        <w:rPr>
          <w:lang w:val="fr-FR"/>
        </w:rPr>
        <w:t>Adoptée par le Groupe des Nations Unies sur le Développement (GNUD) en 2008</w:t>
      </w:r>
      <w:r w:rsidRPr="00300E48">
        <w:rPr>
          <w:rStyle w:val="FootnoteReference"/>
          <w:lang w:val="fr-FR"/>
        </w:rPr>
        <w:footnoteReference w:id="24"/>
      </w:r>
      <w:r w:rsidRPr="00190491">
        <w:rPr>
          <w:lang w:val="fr-FR"/>
        </w:rPr>
        <w:t>, le processus de mise en œuvre de la feuille des résultats ou le Gender Score Card a démarré par une mission d</w:t>
      </w:r>
      <w:r w:rsidR="000C16F5">
        <w:rPr>
          <w:lang w:val="fr-FR"/>
        </w:rPr>
        <w:t>’</w:t>
      </w:r>
      <w:r w:rsidRPr="00190491">
        <w:rPr>
          <w:lang w:val="fr-FR"/>
        </w:rPr>
        <w:t>évaluation en mai 2015 avec le lead de l</w:t>
      </w:r>
      <w:r w:rsidR="000C16F5">
        <w:rPr>
          <w:lang w:val="fr-FR"/>
        </w:rPr>
        <w:t>’</w:t>
      </w:r>
      <w:r w:rsidRPr="00190491">
        <w:rPr>
          <w:lang w:val="fr-FR"/>
        </w:rPr>
        <w:t>ONU-Femmes. Cette mission a permis</w:t>
      </w:r>
      <w:r w:rsidR="008945B3">
        <w:rPr>
          <w:lang w:val="fr-FR"/>
        </w:rPr>
        <w:t> :</w:t>
      </w:r>
      <w:r w:rsidRPr="00190491">
        <w:rPr>
          <w:lang w:val="fr-FR"/>
        </w:rPr>
        <w:t xml:space="preserve"> </w:t>
      </w:r>
      <w:r w:rsidRPr="00190491">
        <w:rPr>
          <w:bCs/>
          <w:lang w:val="fr-FR"/>
        </w:rPr>
        <w:t>(i) d</w:t>
      </w:r>
      <w:r w:rsidR="000C16F5">
        <w:rPr>
          <w:bCs/>
          <w:lang w:val="fr-FR"/>
        </w:rPr>
        <w:t>’</w:t>
      </w:r>
      <w:r w:rsidRPr="00190491">
        <w:rPr>
          <w:bCs/>
          <w:lang w:val="fr-FR"/>
        </w:rPr>
        <w:t>identifier les domaines dans lesquels les efforts en matière d</w:t>
      </w:r>
      <w:r w:rsidR="000C16F5">
        <w:rPr>
          <w:bCs/>
          <w:lang w:val="fr-FR"/>
        </w:rPr>
        <w:t>’</w:t>
      </w:r>
      <w:r w:rsidRPr="00190491">
        <w:rPr>
          <w:bCs/>
          <w:lang w:val="fr-FR"/>
        </w:rPr>
        <w:t>intégration des considérations relatives au genre répondent ou non aux normes minimales énoncées dans la feuille de résultats, (ii) de faciliter un dialogue constructif au sein du SNU au sujet de la situation actuelle en matière de soutien à la promotion de l</w:t>
      </w:r>
      <w:r w:rsidR="000C16F5">
        <w:rPr>
          <w:bCs/>
          <w:lang w:val="fr-FR"/>
        </w:rPr>
        <w:t>’</w:t>
      </w:r>
      <w:r w:rsidRPr="00190491">
        <w:rPr>
          <w:bCs/>
          <w:lang w:val="fr-FR"/>
        </w:rPr>
        <w:t>égalité entre les sexes et (iii) à l</w:t>
      </w:r>
      <w:r w:rsidR="000C16F5">
        <w:rPr>
          <w:bCs/>
          <w:lang w:val="fr-FR"/>
        </w:rPr>
        <w:t>’</w:t>
      </w:r>
      <w:r w:rsidRPr="00190491">
        <w:rPr>
          <w:bCs/>
          <w:lang w:val="fr-FR"/>
        </w:rPr>
        <w:t>autonomisation des femmes et des moyens d</w:t>
      </w:r>
      <w:r w:rsidR="000C16F5">
        <w:rPr>
          <w:bCs/>
          <w:lang w:val="fr-FR"/>
        </w:rPr>
        <w:t>’</w:t>
      </w:r>
      <w:r w:rsidRPr="00190491">
        <w:rPr>
          <w:bCs/>
          <w:lang w:val="fr-FR"/>
        </w:rPr>
        <w:t>améliorer l</w:t>
      </w:r>
      <w:r w:rsidR="000C16F5">
        <w:rPr>
          <w:bCs/>
          <w:lang w:val="fr-FR"/>
        </w:rPr>
        <w:t>’</w:t>
      </w:r>
      <w:r w:rsidRPr="00190491">
        <w:rPr>
          <w:bCs/>
          <w:lang w:val="fr-FR"/>
        </w:rPr>
        <w:t>efficacité et la pertinence de ce soutien en lien avec les priorités nationales de développement de la Côte d</w:t>
      </w:r>
      <w:r w:rsidR="000C16F5">
        <w:rPr>
          <w:bCs/>
          <w:lang w:val="fr-FR"/>
        </w:rPr>
        <w:t>’</w:t>
      </w:r>
      <w:r w:rsidRPr="00190491">
        <w:rPr>
          <w:bCs/>
          <w:lang w:val="fr-FR"/>
        </w:rPr>
        <w:t>Ivoire. L</w:t>
      </w:r>
      <w:r w:rsidR="000C16F5">
        <w:rPr>
          <w:bCs/>
          <w:lang w:val="fr-FR"/>
        </w:rPr>
        <w:t>’</w:t>
      </w:r>
      <w:r w:rsidRPr="00190491">
        <w:rPr>
          <w:bCs/>
          <w:lang w:val="fr-FR"/>
        </w:rPr>
        <w:t>audit genre des ministères techniques en cours fait partie du processus de mise en œuvre de la feuille des résultats.</w:t>
      </w:r>
      <w:r w:rsidRPr="00190491">
        <w:rPr>
          <w:lang w:val="fr-FR"/>
        </w:rPr>
        <w:t xml:space="preserve"> </w:t>
      </w:r>
    </w:p>
    <w:p w14:paraId="4F43BF27" w14:textId="25A6AF8C" w:rsidR="0097145B" w:rsidRPr="0097145B" w:rsidRDefault="0097145B" w:rsidP="0097145B">
      <w:pPr>
        <w:pStyle w:val="H1G"/>
        <w:spacing w:before="0" w:after="0" w:line="120" w:lineRule="exact"/>
        <w:rPr>
          <w:sz w:val="10"/>
          <w:lang w:val="fr-FR"/>
        </w:rPr>
      </w:pPr>
    </w:p>
    <w:p w14:paraId="498AC102" w14:textId="77777777" w:rsidR="0097145B" w:rsidRPr="0097145B" w:rsidRDefault="0097145B" w:rsidP="0097145B">
      <w:pPr>
        <w:pStyle w:val="H1G"/>
        <w:spacing w:before="0" w:after="0" w:line="120" w:lineRule="exact"/>
        <w:rPr>
          <w:sz w:val="10"/>
          <w:lang w:val="fr-FR"/>
        </w:rPr>
      </w:pPr>
    </w:p>
    <w:p w14:paraId="36C46E45" w14:textId="1A96C02C" w:rsidR="00364BF3" w:rsidRDefault="0097145B" w:rsidP="0097145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90491">
        <w:rPr>
          <w:lang w:val="fr-FR"/>
        </w:rPr>
        <w:t>Difficultés de mise en œuvre, défis et perspectives</w:t>
      </w:r>
    </w:p>
    <w:p w14:paraId="24570D8F" w14:textId="601F35AF" w:rsidR="0097145B" w:rsidRPr="0097145B" w:rsidRDefault="0097145B" w:rsidP="0097145B">
      <w:pPr>
        <w:spacing w:line="120" w:lineRule="exact"/>
        <w:rPr>
          <w:sz w:val="10"/>
          <w:lang w:val="fr-FR"/>
        </w:rPr>
      </w:pPr>
    </w:p>
    <w:p w14:paraId="285B6F77" w14:textId="5DF938A2" w:rsidR="0097145B" w:rsidRPr="0097145B" w:rsidRDefault="0097145B" w:rsidP="0097145B">
      <w:pPr>
        <w:spacing w:line="120" w:lineRule="exact"/>
        <w:rPr>
          <w:sz w:val="10"/>
          <w:lang w:val="fr-FR"/>
        </w:rPr>
      </w:pPr>
    </w:p>
    <w:p w14:paraId="28C7179F" w14:textId="0CF8B15D" w:rsidR="00364BF3" w:rsidRDefault="00364BF3" w:rsidP="0097145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Difficultés</w:t>
      </w:r>
    </w:p>
    <w:p w14:paraId="3BB8ED1D" w14:textId="1FC39FB6" w:rsidR="0097145B" w:rsidRPr="0097145B" w:rsidRDefault="0097145B" w:rsidP="0097145B">
      <w:pPr>
        <w:spacing w:line="120" w:lineRule="exact"/>
        <w:rPr>
          <w:sz w:val="10"/>
          <w:lang w:val="fr-FR"/>
        </w:rPr>
      </w:pPr>
    </w:p>
    <w:p w14:paraId="78E1FE55" w14:textId="4B19522B"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inexistence de cadre de coordination globale ou de mécanisme chargé de la mise en œuvre des actions de la feuille de route de la CEDEF</w:t>
      </w:r>
      <w:r w:rsidR="00DB4C05">
        <w:rPr>
          <w:lang w:val="fr-FR"/>
        </w:rPr>
        <w:t> ;</w:t>
      </w:r>
    </w:p>
    <w:p w14:paraId="10E6FF57" w14:textId="26D8E895"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insuffisance de la contribution budgétaire nationale</w:t>
      </w:r>
      <w:r w:rsidR="00DB4C05">
        <w:rPr>
          <w:lang w:val="fr-FR"/>
        </w:rPr>
        <w:t> ;</w:t>
      </w:r>
    </w:p>
    <w:p w14:paraId="08DE54D8" w14:textId="66F64E09"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Les pesanteurs socioculturelles</w:t>
      </w:r>
      <w:r w:rsidR="00DB4C05">
        <w:rPr>
          <w:lang w:val="fr-FR"/>
        </w:rPr>
        <w:t> ;</w:t>
      </w:r>
    </w:p>
    <w:p w14:paraId="5469AAB3" w14:textId="7108EC30"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La faiblesse du rapport et l</w:t>
      </w:r>
      <w:r w:rsidR="000C16F5">
        <w:rPr>
          <w:lang w:val="fr-FR"/>
        </w:rPr>
        <w:t>’</w:t>
      </w:r>
      <w:r w:rsidR="00364BF3" w:rsidRPr="0011615C">
        <w:rPr>
          <w:lang w:val="fr-FR"/>
        </w:rPr>
        <w:t>insuffisance de données désagrégées par sexe</w:t>
      </w:r>
      <w:r w:rsidR="00DB4C05">
        <w:rPr>
          <w:lang w:val="fr-FR"/>
        </w:rPr>
        <w:t> ;</w:t>
      </w:r>
    </w:p>
    <w:p w14:paraId="74C672C2" w14:textId="58BCB865"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De 2012 à 2016, la Côte d</w:t>
      </w:r>
      <w:r w:rsidR="000C16F5">
        <w:rPr>
          <w:lang w:val="fr-FR"/>
        </w:rPr>
        <w:t>’</w:t>
      </w:r>
      <w:r w:rsidR="00364BF3" w:rsidRPr="0011615C">
        <w:rPr>
          <w:lang w:val="fr-FR"/>
        </w:rPr>
        <w:t>Ivoire a connu 3 réaménagements du gouvernement et le ministère en charge des questions de la femme s</w:t>
      </w:r>
      <w:r w:rsidR="000C16F5">
        <w:rPr>
          <w:lang w:val="fr-FR"/>
        </w:rPr>
        <w:t>’</w:t>
      </w:r>
      <w:r w:rsidR="00364BF3" w:rsidRPr="0011615C">
        <w:rPr>
          <w:lang w:val="fr-FR"/>
        </w:rPr>
        <w:t>est retrouvé avec 3</w:t>
      </w:r>
      <w:r>
        <w:rPr>
          <w:lang w:val="fr-FR"/>
        </w:rPr>
        <w:t> </w:t>
      </w:r>
      <w:r w:rsidR="00364BF3" w:rsidRPr="0011615C">
        <w:rPr>
          <w:lang w:val="fr-FR"/>
        </w:rPr>
        <w:t>ministres différentes en 5 ans. Chaque ministre a eu besoin de temps pour s</w:t>
      </w:r>
      <w:r w:rsidR="000C16F5">
        <w:rPr>
          <w:lang w:val="fr-FR"/>
        </w:rPr>
        <w:t>’</w:t>
      </w:r>
      <w:r w:rsidR="00364BF3" w:rsidRPr="0011615C">
        <w:rPr>
          <w:lang w:val="fr-FR"/>
        </w:rPr>
        <w:t>approprier le processus en cours. Ce qui a retardé certaines actions comme la mise en œuvre des engagements pris à l</w:t>
      </w:r>
      <w:r w:rsidR="000C16F5">
        <w:rPr>
          <w:lang w:val="fr-FR"/>
        </w:rPr>
        <w:t>’</w:t>
      </w:r>
      <w:r w:rsidR="00364BF3" w:rsidRPr="0011615C">
        <w:rPr>
          <w:lang w:val="fr-FR"/>
        </w:rPr>
        <w:t>international</w:t>
      </w:r>
      <w:r w:rsidR="00DB4C05">
        <w:rPr>
          <w:lang w:val="fr-FR"/>
        </w:rPr>
        <w:t> ;</w:t>
      </w:r>
    </w:p>
    <w:p w14:paraId="7C2D8598" w14:textId="6367BAB3"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La mobilité des agents de la fonction publique a renforcé également le retard dans la compréhension et le traitement des dossiers. C</w:t>
      </w:r>
      <w:r w:rsidR="000C16F5">
        <w:rPr>
          <w:lang w:val="fr-FR"/>
        </w:rPr>
        <w:t>’</w:t>
      </w:r>
      <w:r w:rsidR="00364BF3" w:rsidRPr="0011615C">
        <w:rPr>
          <w:lang w:val="fr-FR"/>
        </w:rPr>
        <w:t>est le cas de plusieurs représentants des cellules genre</w:t>
      </w:r>
      <w:r w:rsidR="00DB4C05">
        <w:rPr>
          <w:lang w:val="fr-FR"/>
        </w:rPr>
        <w:t> ;</w:t>
      </w:r>
    </w:p>
    <w:p w14:paraId="796B01A4" w14:textId="42DCDC94" w:rsidR="00364BF3" w:rsidRPr="0011615C" w:rsidRDefault="0097145B" w:rsidP="0097145B">
      <w:pPr>
        <w:pStyle w:val="SingleTxt"/>
        <w:tabs>
          <w:tab w:val="right" w:pos="1685"/>
        </w:tabs>
        <w:ind w:left="1742" w:hanging="475"/>
        <w:rPr>
          <w:lang w:val="fr-FR"/>
        </w:rPr>
      </w:pPr>
      <w:r>
        <w:rPr>
          <w:lang w:val="fr-FR"/>
        </w:rPr>
        <w:lastRenderedPageBreak/>
        <w:tab/>
        <w:t>•</w:t>
      </w:r>
      <w:r>
        <w:rPr>
          <w:lang w:val="fr-FR"/>
        </w:rPr>
        <w:tab/>
      </w:r>
      <w:r w:rsidR="00364BF3" w:rsidRPr="0011615C">
        <w:rPr>
          <w:lang w:val="fr-FR"/>
        </w:rPr>
        <w:t>La non institutionnalisation de la budgétisation sensible au Genre</w:t>
      </w:r>
      <w:r w:rsidR="00DB4C05">
        <w:rPr>
          <w:lang w:val="fr-FR"/>
        </w:rPr>
        <w:t> ;</w:t>
      </w:r>
    </w:p>
    <w:p w14:paraId="192AE04D" w14:textId="5CE74587"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La faiblesse des mécanismes de financement</w:t>
      </w:r>
      <w:r w:rsidR="00DB4C05">
        <w:rPr>
          <w:lang w:val="fr-FR"/>
        </w:rPr>
        <w:t> ;</w:t>
      </w:r>
    </w:p>
    <w:p w14:paraId="1CEB96DB" w14:textId="39606978"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absence de mesures temporaires spéciales sur le quota de 30</w:t>
      </w:r>
      <w:r w:rsidR="00DB4C05">
        <w:rPr>
          <w:lang w:val="fr-FR"/>
        </w:rPr>
        <w:t> %</w:t>
      </w:r>
      <w:r w:rsidR="00364BF3" w:rsidRPr="0011615C">
        <w:rPr>
          <w:lang w:val="fr-FR"/>
        </w:rPr>
        <w:t xml:space="preserve"> et la diffusion insuffisante des textes de lois</w:t>
      </w:r>
      <w:r w:rsidR="00DB4C05">
        <w:rPr>
          <w:lang w:val="fr-FR"/>
        </w:rPr>
        <w:t> ;</w:t>
      </w:r>
    </w:p>
    <w:p w14:paraId="150721D5" w14:textId="6C967DC5"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w:t>
      </w:r>
      <w:r w:rsidR="000C16F5">
        <w:rPr>
          <w:lang w:val="fr-FR"/>
        </w:rPr>
        <w:t>’</w:t>
      </w:r>
      <w:r w:rsidR="00364BF3" w:rsidRPr="0011615C">
        <w:rPr>
          <w:lang w:val="fr-FR"/>
        </w:rPr>
        <w:t>insuffisance d</w:t>
      </w:r>
      <w:r w:rsidR="000C16F5">
        <w:rPr>
          <w:lang w:val="fr-FR"/>
        </w:rPr>
        <w:t>’</w:t>
      </w:r>
      <w:r w:rsidR="00364BF3" w:rsidRPr="0011615C">
        <w:rPr>
          <w:lang w:val="fr-FR"/>
        </w:rPr>
        <w:t>appropriation de l</w:t>
      </w:r>
      <w:r w:rsidR="000C16F5">
        <w:rPr>
          <w:lang w:val="fr-FR"/>
        </w:rPr>
        <w:t>’</w:t>
      </w:r>
      <w:r w:rsidR="00364BF3" w:rsidRPr="0011615C">
        <w:rPr>
          <w:lang w:val="fr-FR"/>
        </w:rPr>
        <w:t>approche Genre et Développement</w:t>
      </w:r>
      <w:r w:rsidR="00DB4C05">
        <w:rPr>
          <w:lang w:val="fr-FR"/>
        </w:rPr>
        <w:t> ;</w:t>
      </w:r>
    </w:p>
    <w:p w14:paraId="4DA9ACCA" w14:textId="6492FDF0"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La part approximative du budget national qui est consacrée à la réalisation de l</w:t>
      </w:r>
      <w:r w:rsidR="000C16F5">
        <w:rPr>
          <w:lang w:val="fr-FR"/>
        </w:rPr>
        <w:t>’</w:t>
      </w:r>
      <w:r w:rsidR="00364BF3" w:rsidRPr="0011615C">
        <w:rPr>
          <w:lang w:val="fr-FR"/>
        </w:rPr>
        <w:t>égalité des sexes et de l</w:t>
      </w:r>
      <w:r w:rsidR="000C16F5">
        <w:rPr>
          <w:lang w:val="fr-FR"/>
        </w:rPr>
        <w:t>’</w:t>
      </w:r>
      <w:r w:rsidR="00364BF3" w:rsidRPr="0011615C">
        <w:rPr>
          <w:lang w:val="fr-FR"/>
        </w:rPr>
        <w:t>autonomisation des femmes</w:t>
      </w:r>
      <w:r w:rsidR="00DB4C05">
        <w:rPr>
          <w:lang w:val="fr-FR"/>
        </w:rPr>
        <w:t> ;</w:t>
      </w:r>
    </w:p>
    <w:p w14:paraId="01569502" w14:textId="7D3A6B18"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La faiblesse de l</w:t>
      </w:r>
      <w:r w:rsidR="000C16F5">
        <w:rPr>
          <w:lang w:val="fr-FR"/>
        </w:rPr>
        <w:t>’</w:t>
      </w:r>
      <w:r w:rsidR="00364BF3" w:rsidRPr="0011615C">
        <w:rPr>
          <w:lang w:val="fr-FR"/>
        </w:rPr>
        <w:t>encrage institutionnel de la structure en charge des questions de genre dans le gouvernement</w:t>
      </w:r>
      <w:r w:rsidR="00DB4C05">
        <w:rPr>
          <w:lang w:val="fr-FR"/>
        </w:rPr>
        <w:t> ;</w:t>
      </w:r>
    </w:p>
    <w:p w14:paraId="719F161C" w14:textId="7989800D" w:rsidR="00364BF3" w:rsidRPr="0011615C" w:rsidRDefault="0097145B" w:rsidP="0097145B">
      <w:pPr>
        <w:pStyle w:val="SingleTxt"/>
        <w:tabs>
          <w:tab w:val="right" w:pos="1685"/>
        </w:tabs>
        <w:ind w:left="1742" w:hanging="475"/>
        <w:rPr>
          <w:lang w:val="fr-FR"/>
        </w:rPr>
      </w:pPr>
      <w:r>
        <w:rPr>
          <w:lang w:val="fr-FR"/>
        </w:rPr>
        <w:tab/>
        <w:t>•</w:t>
      </w:r>
      <w:r>
        <w:rPr>
          <w:lang w:val="fr-FR"/>
        </w:rPr>
        <w:tab/>
      </w:r>
      <w:r w:rsidR="00364BF3" w:rsidRPr="0011615C">
        <w:rPr>
          <w:lang w:val="fr-FR"/>
        </w:rPr>
        <w:t>Les ressources financières pour adresser les questions de genre et d</w:t>
      </w:r>
      <w:r w:rsidR="000C16F5">
        <w:rPr>
          <w:lang w:val="fr-FR"/>
        </w:rPr>
        <w:t>’</w:t>
      </w:r>
      <w:r w:rsidR="00364BF3" w:rsidRPr="0011615C">
        <w:rPr>
          <w:lang w:val="fr-FR"/>
        </w:rPr>
        <w:t>autonomisation des femmes proviennent de deux sources</w:t>
      </w:r>
      <w:r w:rsidR="008945B3">
        <w:rPr>
          <w:lang w:val="fr-FR"/>
        </w:rPr>
        <w:t> :</w:t>
      </w:r>
      <w:r w:rsidR="00364BF3" w:rsidRPr="0011615C">
        <w:rPr>
          <w:lang w:val="fr-FR"/>
        </w:rPr>
        <w:t xml:space="preserve"> l</w:t>
      </w:r>
      <w:r w:rsidR="000C16F5">
        <w:rPr>
          <w:lang w:val="fr-FR"/>
        </w:rPr>
        <w:t>’</w:t>
      </w:r>
      <w:r w:rsidR="00C10A78" w:rsidRPr="0011615C">
        <w:rPr>
          <w:lang w:val="fr-FR"/>
        </w:rPr>
        <w:t>État</w:t>
      </w:r>
      <w:r w:rsidR="00364BF3" w:rsidRPr="0011615C">
        <w:rPr>
          <w:lang w:val="fr-FR"/>
        </w:rPr>
        <w:t xml:space="preserve"> et les bailleurs de fonds.</w:t>
      </w:r>
    </w:p>
    <w:p w14:paraId="7F202CB3" w14:textId="45282777" w:rsidR="00364BF3" w:rsidRDefault="00364BF3" w:rsidP="006C2408">
      <w:pPr>
        <w:pStyle w:val="SingleTxt"/>
        <w:numPr>
          <w:ilvl w:val="0"/>
          <w:numId w:val="24"/>
        </w:numPr>
        <w:spacing w:line="240" w:lineRule="exact"/>
        <w:rPr>
          <w:lang w:val="fr-FR"/>
        </w:rPr>
      </w:pPr>
      <w:r w:rsidRPr="00190491">
        <w:rPr>
          <w:lang w:val="fr-FR"/>
        </w:rPr>
        <w:t>La part du budget de l</w:t>
      </w:r>
      <w:r w:rsidR="000C16F5">
        <w:rPr>
          <w:lang w:val="fr-FR"/>
        </w:rPr>
        <w:t>’</w:t>
      </w:r>
      <w:r w:rsidR="00C10A78" w:rsidRPr="00190491">
        <w:rPr>
          <w:lang w:val="fr-FR"/>
        </w:rPr>
        <w:t>État</w:t>
      </w:r>
      <w:r w:rsidRPr="00190491">
        <w:rPr>
          <w:lang w:val="fr-FR"/>
        </w:rPr>
        <w:t xml:space="preserve"> consacrée à la réalisation de l</w:t>
      </w:r>
      <w:r w:rsidR="000C16F5">
        <w:rPr>
          <w:lang w:val="fr-FR"/>
        </w:rPr>
        <w:t>’</w:t>
      </w:r>
      <w:r w:rsidRPr="00190491">
        <w:rPr>
          <w:lang w:val="fr-FR"/>
        </w:rPr>
        <w:t>égalité des sexes et l</w:t>
      </w:r>
      <w:r w:rsidR="000C16F5">
        <w:rPr>
          <w:lang w:val="fr-FR"/>
        </w:rPr>
        <w:t>’</w:t>
      </w:r>
      <w:r w:rsidRPr="00190491">
        <w:rPr>
          <w:lang w:val="fr-FR"/>
        </w:rPr>
        <w:t>autonomisation des femmes est en deçà des besoins et n</w:t>
      </w:r>
      <w:r w:rsidR="000C16F5">
        <w:rPr>
          <w:lang w:val="fr-FR"/>
        </w:rPr>
        <w:t>’</w:t>
      </w:r>
      <w:r w:rsidRPr="00190491">
        <w:rPr>
          <w:lang w:val="fr-FR"/>
        </w:rPr>
        <w:t>atteint pas les 10</w:t>
      </w:r>
      <w:r w:rsidR="00DB4C05">
        <w:rPr>
          <w:lang w:val="fr-FR"/>
        </w:rPr>
        <w:t> %</w:t>
      </w:r>
      <w:r w:rsidRPr="00190491">
        <w:rPr>
          <w:lang w:val="fr-FR"/>
        </w:rPr>
        <w:t xml:space="preserve"> du budget national. </w:t>
      </w:r>
    </w:p>
    <w:p w14:paraId="6BE3F780" w14:textId="4F59F2B4" w:rsidR="008945B3" w:rsidRPr="008945B3" w:rsidRDefault="008945B3" w:rsidP="008945B3">
      <w:pPr>
        <w:pStyle w:val="SingleTxt"/>
        <w:tabs>
          <w:tab w:val="clear" w:pos="1742"/>
        </w:tabs>
        <w:spacing w:after="0" w:line="120" w:lineRule="exact"/>
        <w:rPr>
          <w:sz w:val="10"/>
          <w:lang w:val="fr-FR"/>
        </w:rPr>
      </w:pPr>
    </w:p>
    <w:p w14:paraId="105FD66D" w14:textId="24AA1C65" w:rsidR="00364BF3" w:rsidRDefault="00364BF3" w:rsidP="008945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Défis</w:t>
      </w:r>
    </w:p>
    <w:p w14:paraId="2D1018DF" w14:textId="0A0C1469" w:rsidR="008945B3" w:rsidRPr="008945B3" w:rsidRDefault="008945B3" w:rsidP="008945B3">
      <w:pPr>
        <w:spacing w:line="120" w:lineRule="exact"/>
        <w:rPr>
          <w:sz w:val="10"/>
          <w:lang w:val="fr-FR"/>
        </w:rPr>
      </w:pPr>
    </w:p>
    <w:p w14:paraId="47B1CFC4" w14:textId="3BB79500" w:rsidR="00364BF3" w:rsidRPr="00190491" w:rsidRDefault="00364BF3" w:rsidP="006C2408">
      <w:pPr>
        <w:pStyle w:val="SingleTxt"/>
        <w:numPr>
          <w:ilvl w:val="0"/>
          <w:numId w:val="24"/>
        </w:numPr>
        <w:spacing w:line="240" w:lineRule="exact"/>
        <w:rPr>
          <w:lang w:val="fr-FR"/>
        </w:rPr>
      </w:pPr>
      <w:r w:rsidRPr="00190491">
        <w:rPr>
          <w:lang w:val="fr-FR"/>
        </w:rPr>
        <w:t>Les principaux défis de la promotion de la femme et de la fille se présentent comme suit</w:t>
      </w:r>
      <w:r w:rsidR="008945B3">
        <w:rPr>
          <w:lang w:val="fr-FR"/>
        </w:rPr>
        <w:t> :</w:t>
      </w:r>
      <w:r w:rsidRPr="00190491">
        <w:rPr>
          <w:lang w:val="fr-FR"/>
        </w:rPr>
        <w:t xml:space="preserve"> </w:t>
      </w:r>
    </w:p>
    <w:p w14:paraId="0B7C6693" w14:textId="30901FE1"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Faire approprier les 16 articles de la CEDEF au niveau des différents acteurs pour une meilleure prise en compte de la convention dans les exercices quotidiens de chaque structure</w:t>
      </w:r>
      <w:r w:rsidR="00DB4C05">
        <w:rPr>
          <w:lang w:val="fr-FR"/>
        </w:rPr>
        <w:t> ;</w:t>
      </w:r>
    </w:p>
    <w:p w14:paraId="3E77DD1C" w14:textId="09F30DBB"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Adopter le projet de loi sur le quota</w:t>
      </w:r>
      <w:r w:rsidR="00DB4C05">
        <w:rPr>
          <w:lang w:val="fr-FR"/>
        </w:rPr>
        <w:t> ;</w:t>
      </w:r>
    </w:p>
    <w:p w14:paraId="176A4E7F" w14:textId="7875902F"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Engager les populations et les institutions en faveur des changements de mentalité, de comportement et de pratiques indispensables à la réduction des inégalités liées au sexe</w:t>
      </w:r>
      <w:r w:rsidR="00DB4C05">
        <w:rPr>
          <w:lang w:val="fr-FR"/>
        </w:rPr>
        <w:t> ;</w:t>
      </w:r>
    </w:p>
    <w:p w14:paraId="64521103" w14:textId="389CFB9D"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Poursuivre les réformes juridiques sensibles au genre en vue d</w:t>
      </w:r>
      <w:r w:rsidR="000C16F5">
        <w:rPr>
          <w:lang w:val="fr-FR"/>
        </w:rPr>
        <w:t>’</w:t>
      </w:r>
      <w:r w:rsidR="00364BF3" w:rsidRPr="0011615C">
        <w:rPr>
          <w:lang w:val="fr-FR"/>
        </w:rPr>
        <w:t>améliorer le taux de représentativité des femmes dans les instances de prise de décision</w:t>
      </w:r>
      <w:r w:rsidR="00DB4C05">
        <w:rPr>
          <w:lang w:val="fr-FR"/>
        </w:rPr>
        <w:t> ;</w:t>
      </w:r>
    </w:p>
    <w:p w14:paraId="3B6386BE" w14:textId="7C7467B0"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Développer des stratégies pour créer les conditions favorables à la valorisation du potentiel des femmes</w:t>
      </w:r>
      <w:r w:rsidR="00DB4C05">
        <w:rPr>
          <w:lang w:val="fr-FR"/>
        </w:rPr>
        <w:t> ;</w:t>
      </w:r>
    </w:p>
    <w:p w14:paraId="7434FB04" w14:textId="5171B16D"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Promouvoir un modèle de famille responsable et des valeurs familiales et communautaires positives et socialisantes</w:t>
      </w:r>
      <w:r w:rsidR="00DB4C05">
        <w:rPr>
          <w:lang w:val="fr-FR"/>
        </w:rPr>
        <w:t> ;</w:t>
      </w:r>
    </w:p>
    <w:p w14:paraId="2F8EBA0C" w14:textId="3D9C6417"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Promouvoir la Budgétisation Sensible au Genre</w:t>
      </w:r>
      <w:r w:rsidR="00DB4C05">
        <w:rPr>
          <w:lang w:val="fr-FR"/>
        </w:rPr>
        <w:t> ;</w:t>
      </w:r>
    </w:p>
    <w:p w14:paraId="11841FED" w14:textId="4A262F85"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Faire un audit genre de tous les ministères</w:t>
      </w:r>
      <w:r w:rsidR="00DB4C05">
        <w:rPr>
          <w:lang w:val="fr-FR"/>
        </w:rPr>
        <w:t> ;</w:t>
      </w:r>
    </w:p>
    <w:p w14:paraId="14C9781B" w14:textId="4F1CAAE6"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Rendre adéquat les services et intensifier les interventions de protection de la femme et de la jeune fille</w:t>
      </w:r>
      <w:r w:rsidR="00DB4C05">
        <w:rPr>
          <w:lang w:val="fr-FR"/>
        </w:rPr>
        <w:t> ;</w:t>
      </w:r>
    </w:p>
    <w:p w14:paraId="10114F58" w14:textId="41BE4990" w:rsidR="00364BF3"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Développer un meilleur partenariat et meilleure coordination avec le secteur privé, la société civile, les collectivités locales, et les partenaires au développement.</w:t>
      </w:r>
    </w:p>
    <w:p w14:paraId="3C19007D" w14:textId="08D461E9" w:rsidR="00CD5E97" w:rsidRPr="00CD5E97" w:rsidRDefault="00CD5E97" w:rsidP="00CD5E97">
      <w:pPr>
        <w:pStyle w:val="SingleTxt"/>
        <w:tabs>
          <w:tab w:val="right" w:pos="1685"/>
        </w:tabs>
        <w:spacing w:after="0" w:line="120" w:lineRule="exact"/>
        <w:ind w:left="1742" w:hanging="475"/>
        <w:rPr>
          <w:sz w:val="10"/>
          <w:lang w:val="fr-FR"/>
        </w:rPr>
      </w:pPr>
    </w:p>
    <w:p w14:paraId="031DAAE7" w14:textId="10E0AE86" w:rsidR="00364BF3" w:rsidRDefault="00364BF3" w:rsidP="00CD5E9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Perspectives</w:t>
      </w:r>
    </w:p>
    <w:p w14:paraId="1693F594" w14:textId="44E2186A" w:rsidR="00CD5E97" w:rsidRPr="00CD5E97" w:rsidRDefault="00CD5E97" w:rsidP="00CD5E97">
      <w:pPr>
        <w:spacing w:line="120" w:lineRule="exact"/>
        <w:rPr>
          <w:sz w:val="10"/>
          <w:lang w:val="fr-FR"/>
        </w:rPr>
      </w:pPr>
    </w:p>
    <w:p w14:paraId="243221C8" w14:textId="6CDCCB2A" w:rsidR="00364BF3" w:rsidRPr="00190491" w:rsidRDefault="00364BF3" w:rsidP="006C2408">
      <w:pPr>
        <w:pStyle w:val="SingleTxt"/>
        <w:numPr>
          <w:ilvl w:val="0"/>
          <w:numId w:val="24"/>
        </w:numPr>
        <w:spacing w:line="240" w:lineRule="exact"/>
        <w:rPr>
          <w:b/>
          <w:lang w:val="fr-FR"/>
        </w:rPr>
      </w:pPr>
      <w:r w:rsidRPr="00190491">
        <w:rPr>
          <w:lang w:val="fr-FR"/>
        </w:rPr>
        <w:t>Ces perspectives visent à améliorer le suivi de la mise en œuvre des recommandations de CEDEF et des différents instruments ratifiés</w:t>
      </w:r>
      <w:r w:rsidR="008945B3">
        <w:rPr>
          <w:lang w:val="fr-FR"/>
        </w:rPr>
        <w:t> :</w:t>
      </w:r>
    </w:p>
    <w:p w14:paraId="3246C289" w14:textId="1F0AF338" w:rsidR="00364BF3" w:rsidRPr="0011615C" w:rsidRDefault="00CD5E97" w:rsidP="00CD5E97">
      <w:pPr>
        <w:pStyle w:val="SingleTxt"/>
        <w:tabs>
          <w:tab w:val="right" w:pos="1685"/>
        </w:tabs>
        <w:ind w:left="1742" w:hanging="475"/>
        <w:rPr>
          <w:lang w:val="fr-FR"/>
        </w:rPr>
      </w:pPr>
      <w:r>
        <w:rPr>
          <w:lang w:val="fr-FR"/>
        </w:rPr>
        <w:lastRenderedPageBreak/>
        <w:tab/>
        <w:t>•</w:t>
      </w:r>
      <w:r>
        <w:rPr>
          <w:lang w:val="fr-FR"/>
        </w:rPr>
        <w:tab/>
      </w:r>
      <w:r w:rsidR="00364BF3" w:rsidRPr="0011615C">
        <w:rPr>
          <w:lang w:val="fr-FR"/>
        </w:rPr>
        <w:t>Créer et renforcer les mécanismes de suivi et de transposition des instruments internationaux et des stratégies et documents de politiques nationaux</w:t>
      </w:r>
      <w:r w:rsidR="00DB4C05">
        <w:rPr>
          <w:lang w:val="fr-FR"/>
        </w:rPr>
        <w:t> ;</w:t>
      </w:r>
    </w:p>
    <w:p w14:paraId="5FA1DA2F" w14:textId="56844159"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Renforcer les mécanismes d</w:t>
      </w:r>
      <w:r w:rsidR="000C16F5">
        <w:rPr>
          <w:lang w:val="fr-FR"/>
        </w:rPr>
        <w:t>’</w:t>
      </w:r>
      <w:r w:rsidR="00364BF3" w:rsidRPr="0011615C">
        <w:rPr>
          <w:lang w:val="fr-FR"/>
        </w:rPr>
        <w:t>évaluation de la mise en œuvre des feuilles de route et plans d</w:t>
      </w:r>
      <w:r w:rsidR="000C16F5">
        <w:rPr>
          <w:lang w:val="fr-FR"/>
        </w:rPr>
        <w:t>’</w:t>
      </w:r>
      <w:r w:rsidR="00364BF3" w:rsidRPr="0011615C">
        <w:rPr>
          <w:lang w:val="fr-FR"/>
        </w:rPr>
        <w:t>action</w:t>
      </w:r>
      <w:r w:rsidR="00DB4C05">
        <w:rPr>
          <w:lang w:val="fr-FR"/>
        </w:rPr>
        <w:t> ;</w:t>
      </w:r>
    </w:p>
    <w:p w14:paraId="5F3C23CD" w14:textId="66ADA39E"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Établir, par la mise en place d</w:t>
      </w:r>
      <w:r w:rsidR="000C16F5">
        <w:rPr>
          <w:lang w:val="fr-FR"/>
        </w:rPr>
        <w:t>’</w:t>
      </w:r>
      <w:r w:rsidR="00364BF3" w:rsidRPr="0011615C">
        <w:rPr>
          <w:lang w:val="fr-FR"/>
        </w:rPr>
        <w:t>indicateurs, le lien entre les différents instruments internationaux ratifiés pour un meilleur ciblage des actions</w:t>
      </w:r>
      <w:r w:rsidR="00DB4C05">
        <w:rPr>
          <w:lang w:val="fr-FR"/>
        </w:rPr>
        <w:t> ;</w:t>
      </w:r>
    </w:p>
    <w:p w14:paraId="21364A70" w14:textId="50337A48"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Mettre en place des outils de collecte des données statistiques pour l</w:t>
      </w:r>
      <w:r w:rsidR="000C16F5">
        <w:rPr>
          <w:lang w:val="fr-FR"/>
        </w:rPr>
        <w:t>’</w:t>
      </w:r>
      <w:r w:rsidR="00364BF3" w:rsidRPr="0011615C">
        <w:rPr>
          <w:lang w:val="fr-FR"/>
        </w:rPr>
        <w:t>acquisition des données désagrégées par sexe</w:t>
      </w:r>
      <w:r w:rsidR="00DB4C05">
        <w:rPr>
          <w:lang w:val="fr-FR"/>
        </w:rPr>
        <w:t> ;</w:t>
      </w:r>
    </w:p>
    <w:p w14:paraId="3AD271CC" w14:textId="72BD5D39"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Formaliser la création et le renforcement des cellules techniques genre pour l</w:t>
      </w:r>
      <w:r w:rsidR="000C16F5">
        <w:rPr>
          <w:lang w:val="fr-FR"/>
        </w:rPr>
        <w:t>’</w:t>
      </w:r>
      <w:r w:rsidR="00364BF3" w:rsidRPr="0011615C">
        <w:rPr>
          <w:lang w:val="fr-FR"/>
        </w:rPr>
        <w:t>intégration du genre et la planification dans les ministères techniques</w:t>
      </w:r>
      <w:r w:rsidR="00DB4C05">
        <w:rPr>
          <w:lang w:val="fr-FR"/>
        </w:rPr>
        <w:t> ;</w:t>
      </w:r>
    </w:p>
    <w:p w14:paraId="3664610C" w14:textId="6924026D"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Renforcer les capacités de mobilisation des ressources des ASNU et des OSC pour un meilleur accompagnement du MPFFPE</w:t>
      </w:r>
      <w:r w:rsidR="00DB4C05">
        <w:rPr>
          <w:lang w:val="fr-FR"/>
        </w:rPr>
        <w:t> ;</w:t>
      </w:r>
    </w:p>
    <w:p w14:paraId="43EBDD34" w14:textId="6FE92060"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Développer le Partenariat Public Privé pour la promotion de la femme et de la fille</w:t>
      </w:r>
      <w:r w:rsidR="00DB4C05">
        <w:rPr>
          <w:lang w:val="fr-FR"/>
        </w:rPr>
        <w:t> ;</w:t>
      </w:r>
    </w:p>
    <w:p w14:paraId="4A91F78C" w14:textId="54141900"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Faire le plaidoyer pour la mise à disposition de fonds de mise en œuvre des conventions et autres instruments internationaux.</w:t>
      </w:r>
    </w:p>
    <w:p w14:paraId="5948BD82" w14:textId="20696426" w:rsidR="00CD5E97" w:rsidRPr="00CD5E97" w:rsidRDefault="00CD5E97" w:rsidP="00CD5E97">
      <w:pPr>
        <w:pStyle w:val="HChG"/>
        <w:spacing w:before="0" w:after="0" w:line="120" w:lineRule="exact"/>
        <w:rPr>
          <w:sz w:val="10"/>
          <w:lang w:val="fr-FR"/>
        </w:rPr>
      </w:pPr>
    </w:p>
    <w:p w14:paraId="75798E5A" w14:textId="77777777" w:rsidR="00CD5E97" w:rsidRPr="00CD5E97" w:rsidRDefault="00CD5E97" w:rsidP="00CD5E97">
      <w:pPr>
        <w:pStyle w:val="HChG"/>
        <w:spacing w:before="0" w:after="0" w:line="120" w:lineRule="exact"/>
        <w:rPr>
          <w:sz w:val="10"/>
          <w:lang w:val="fr-FR"/>
        </w:rPr>
      </w:pPr>
    </w:p>
    <w:p w14:paraId="5CD27FAA" w14:textId="35F3E35A" w:rsidR="00364BF3" w:rsidRDefault="00CD5E97" w:rsidP="00CD5E9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364BF3" w:rsidRPr="00190491">
        <w:rPr>
          <w:lang w:val="fr-FR"/>
        </w:rPr>
        <w:t>Conclusion</w:t>
      </w:r>
    </w:p>
    <w:p w14:paraId="6865C4D7" w14:textId="60CDB63D" w:rsidR="00CD5E97" w:rsidRPr="00CD5E97" w:rsidRDefault="00CD5E97" w:rsidP="00CD5E97">
      <w:pPr>
        <w:spacing w:line="120" w:lineRule="exact"/>
        <w:rPr>
          <w:sz w:val="10"/>
          <w:lang w:val="fr-FR"/>
        </w:rPr>
      </w:pPr>
    </w:p>
    <w:p w14:paraId="4ED51ACD" w14:textId="3BD89CD1" w:rsidR="00CD5E97" w:rsidRPr="00CD5E97" w:rsidRDefault="00CD5E97" w:rsidP="00CD5E97">
      <w:pPr>
        <w:spacing w:line="120" w:lineRule="exact"/>
        <w:rPr>
          <w:sz w:val="10"/>
          <w:lang w:val="fr-FR"/>
        </w:rPr>
      </w:pPr>
    </w:p>
    <w:p w14:paraId="12787361" w14:textId="62A7E1F2" w:rsidR="00364BF3" w:rsidRPr="00190491" w:rsidRDefault="00364BF3" w:rsidP="006C2408">
      <w:pPr>
        <w:pStyle w:val="SingleTxt"/>
        <w:numPr>
          <w:ilvl w:val="0"/>
          <w:numId w:val="24"/>
        </w:numPr>
        <w:spacing w:line="240" w:lineRule="exact"/>
        <w:rPr>
          <w:lang w:val="fr-FR"/>
        </w:rPr>
      </w:pPr>
      <w:r w:rsidRPr="00190491">
        <w:rPr>
          <w:lang w:val="fr-FR"/>
        </w:rPr>
        <w:t>La CEDEF présente beaucoup d</w:t>
      </w:r>
      <w:r w:rsidR="000C16F5">
        <w:rPr>
          <w:lang w:val="fr-FR"/>
        </w:rPr>
        <w:t>’</w:t>
      </w:r>
      <w:r w:rsidRPr="00190491">
        <w:rPr>
          <w:lang w:val="fr-FR"/>
        </w:rPr>
        <w:t>intérêt pour la Côte d</w:t>
      </w:r>
      <w:r w:rsidR="000C16F5">
        <w:rPr>
          <w:lang w:val="fr-FR"/>
        </w:rPr>
        <w:t>’</w:t>
      </w:r>
      <w:r w:rsidRPr="00190491">
        <w:rPr>
          <w:lang w:val="fr-FR"/>
        </w:rPr>
        <w:t>Ivoire car elle est un cadre stratégique efficace qui permet de lutter contre les discriminations à l</w:t>
      </w:r>
      <w:r w:rsidR="000C16F5">
        <w:rPr>
          <w:lang w:val="fr-FR"/>
        </w:rPr>
        <w:t>’</w:t>
      </w:r>
      <w:r w:rsidRPr="00190491">
        <w:rPr>
          <w:lang w:val="fr-FR"/>
        </w:rPr>
        <w:t>égard des femmes/filles dans tous les secteurs de la vie sociale.</w:t>
      </w:r>
    </w:p>
    <w:p w14:paraId="31EF02D1" w14:textId="0C476F45" w:rsidR="00364BF3" w:rsidRPr="00190491" w:rsidRDefault="00364BF3" w:rsidP="006C2408">
      <w:pPr>
        <w:pStyle w:val="SingleTxt"/>
        <w:numPr>
          <w:ilvl w:val="0"/>
          <w:numId w:val="24"/>
        </w:numPr>
        <w:spacing w:line="240" w:lineRule="exact"/>
        <w:rPr>
          <w:lang w:val="fr-FR"/>
        </w:rPr>
      </w:pPr>
      <w:r w:rsidRPr="00190491">
        <w:rPr>
          <w:lang w:val="fr-FR"/>
        </w:rPr>
        <w:t>Sa mise en œuvre incombe en premier chef au Gouvernement et en particulier au MPFFPE en qualité de leader exécutif des actions en matière de genre, de promotion de la femme et de lutte contre toutes formes de discriminations à l</w:t>
      </w:r>
      <w:r w:rsidR="000C16F5">
        <w:rPr>
          <w:lang w:val="fr-FR"/>
        </w:rPr>
        <w:t>’</w:t>
      </w:r>
      <w:r w:rsidRPr="00190491">
        <w:rPr>
          <w:lang w:val="fr-FR"/>
        </w:rPr>
        <w:t>égard des femmes.</w:t>
      </w:r>
    </w:p>
    <w:p w14:paraId="394BD6B4" w14:textId="65AA414E" w:rsidR="00364BF3" w:rsidRPr="00190491" w:rsidRDefault="00364BF3" w:rsidP="006C2408">
      <w:pPr>
        <w:pStyle w:val="SingleTxt"/>
        <w:numPr>
          <w:ilvl w:val="0"/>
          <w:numId w:val="24"/>
        </w:numPr>
        <w:spacing w:line="240" w:lineRule="exact"/>
        <w:rPr>
          <w:lang w:val="fr-FR"/>
        </w:rPr>
      </w:pPr>
      <w:r w:rsidRPr="00190491">
        <w:rPr>
          <w:lang w:val="fr-FR"/>
        </w:rPr>
        <w:t>Ce quatrième rapport de la Côte d</w:t>
      </w:r>
      <w:r w:rsidR="000C16F5">
        <w:rPr>
          <w:lang w:val="fr-FR"/>
        </w:rPr>
        <w:t>’</w:t>
      </w:r>
      <w:r w:rsidRPr="00190491">
        <w:rPr>
          <w:lang w:val="fr-FR"/>
        </w:rPr>
        <w:t>Ivoire révèle des progrès importants accomplis, les actions concrètes et urgentes réalisées en vue de réduire les situations discriminatoires et de violences à l</w:t>
      </w:r>
      <w:r w:rsidR="000C16F5">
        <w:rPr>
          <w:lang w:val="fr-FR"/>
        </w:rPr>
        <w:t>’</w:t>
      </w:r>
      <w:r w:rsidRPr="00190491">
        <w:rPr>
          <w:lang w:val="fr-FR"/>
        </w:rPr>
        <w:t>égard des femmes conformément aux recommandations du comité CEDEF lors de la présentation du premier rapport combiné.</w:t>
      </w:r>
    </w:p>
    <w:p w14:paraId="2D789BDF" w14:textId="2F458F39" w:rsidR="00364BF3" w:rsidRPr="00190491" w:rsidRDefault="00364BF3" w:rsidP="006C2408">
      <w:pPr>
        <w:pStyle w:val="SingleTxt"/>
        <w:numPr>
          <w:ilvl w:val="0"/>
          <w:numId w:val="24"/>
        </w:numPr>
        <w:spacing w:line="240" w:lineRule="exact"/>
        <w:rPr>
          <w:lang w:val="fr-FR"/>
        </w:rPr>
      </w:pPr>
      <w:r w:rsidRPr="00190491">
        <w:rPr>
          <w:lang w:val="fr-FR"/>
        </w:rPr>
        <w:t>Les résultats obtenus dans la mise en œuvre de ces recommandations sont le fruit de la collaboration et de l</w:t>
      </w:r>
      <w:r w:rsidR="000C16F5">
        <w:rPr>
          <w:lang w:val="fr-FR"/>
        </w:rPr>
        <w:t>’</w:t>
      </w:r>
      <w:r w:rsidRPr="00190491">
        <w:rPr>
          <w:lang w:val="fr-FR"/>
        </w:rPr>
        <w:t>implication effective des différents groupes d</w:t>
      </w:r>
      <w:r w:rsidR="000C16F5">
        <w:rPr>
          <w:lang w:val="fr-FR"/>
        </w:rPr>
        <w:t>’</w:t>
      </w:r>
      <w:r w:rsidRPr="00190491">
        <w:rPr>
          <w:lang w:val="fr-FR"/>
        </w:rPr>
        <w:t>acteurs institutionnels (les pouvoirs publics et privés), les partenaires techniques et financiers, les ONG nationales et internationales et les communautés de base.</w:t>
      </w:r>
    </w:p>
    <w:p w14:paraId="070083BF" w14:textId="15E771A5" w:rsidR="00364BF3" w:rsidRDefault="00364BF3" w:rsidP="006C2408">
      <w:pPr>
        <w:pStyle w:val="SingleTxt"/>
        <w:numPr>
          <w:ilvl w:val="0"/>
          <w:numId w:val="24"/>
        </w:numPr>
        <w:spacing w:line="240" w:lineRule="exact"/>
        <w:rPr>
          <w:lang w:val="fr-FR"/>
        </w:rPr>
      </w:pPr>
      <w:r w:rsidRPr="00190491">
        <w:rPr>
          <w:lang w:val="fr-FR"/>
        </w:rPr>
        <w:t>Ces actions ont permis d</w:t>
      </w:r>
      <w:r w:rsidR="000C16F5">
        <w:rPr>
          <w:lang w:val="fr-FR"/>
        </w:rPr>
        <w:t>’</w:t>
      </w:r>
      <w:r w:rsidRPr="00190491">
        <w:rPr>
          <w:lang w:val="fr-FR"/>
        </w:rPr>
        <w:t>améliorer les conditions de la femme et d</w:t>
      </w:r>
      <w:r w:rsidR="000C16F5">
        <w:rPr>
          <w:lang w:val="fr-FR"/>
        </w:rPr>
        <w:t>’</w:t>
      </w:r>
      <w:r w:rsidRPr="00190491">
        <w:rPr>
          <w:lang w:val="fr-FR"/>
        </w:rPr>
        <w:t>influer positivement les statistiques y afférentes conformément à la vision du Gouvernement ivoirien qui est d</w:t>
      </w:r>
      <w:r w:rsidR="000C16F5">
        <w:rPr>
          <w:lang w:val="fr-FR"/>
        </w:rPr>
        <w:t>’</w:t>
      </w:r>
      <w:r w:rsidRPr="00190491">
        <w:rPr>
          <w:lang w:val="fr-FR"/>
        </w:rPr>
        <w:t>accélérer l</w:t>
      </w:r>
      <w:r w:rsidR="000C16F5">
        <w:rPr>
          <w:lang w:val="fr-FR"/>
        </w:rPr>
        <w:t>’</w:t>
      </w:r>
      <w:r w:rsidRPr="00190491">
        <w:rPr>
          <w:lang w:val="fr-FR"/>
        </w:rPr>
        <w:t>atteinte de l</w:t>
      </w:r>
      <w:r w:rsidR="000C16F5">
        <w:rPr>
          <w:lang w:val="fr-FR"/>
        </w:rPr>
        <w:t>’</w:t>
      </w:r>
      <w:r w:rsidRPr="00190491">
        <w:rPr>
          <w:lang w:val="fr-FR"/>
        </w:rPr>
        <w:t>égalité homme /femme en Côte d</w:t>
      </w:r>
      <w:r w:rsidR="000C16F5">
        <w:rPr>
          <w:lang w:val="fr-FR"/>
        </w:rPr>
        <w:t>’</w:t>
      </w:r>
      <w:r w:rsidRPr="00190491">
        <w:rPr>
          <w:lang w:val="fr-FR"/>
        </w:rPr>
        <w:t xml:space="preserve">Ivoire. </w:t>
      </w:r>
    </w:p>
    <w:p w14:paraId="6AFF76F8" w14:textId="34C423C6" w:rsidR="00CD5E97" w:rsidRPr="00CD5E97" w:rsidRDefault="00CD5E97" w:rsidP="00CD5E97">
      <w:pPr>
        <w:pStyle w:val="SingleTxt"/>
        <w:tabs>
          <w:tab w:val="clear" w:pos="1742"/>
        </w:tabs>
        <w:spacing w:after="0" w:line="120" w:lineRule="exact"/>
        <w:rPr>
          <w:sz w:val="10"/>
          <w:lang w:val="fr-FR"/>
        </w:rPr>
      </w:pPr>
    </w:p>
    <w:p w14:paraId="639D26E3" w14:textId="12610300" w:rsidR="00CD5E97" w:rsidRPr="00CD5E97" w:rsidRDefault="00CD5E97" w:rsidP="00CD5E97">
      <w:pPr>
        <w:pStyle w:val="SingleTxt"/>
        <w:tabs>
          <w:tab w:val="clear" w:pos="1742"/>
        </w:tabs>
        <w:spacing w:after="0" w:line="120" w:lineRule="exact"/>
        <w:rPr>
          <w:sz w:val="10"/>
          <w:lang w:val="fr-FR"/>
        </w:rPr>
      </w:pPr>
    </w:p>
    <w:p w14:paraId="39CADFAC" w14:textId="1ACCDF7F" w:rsidR="00364BF3" w:rsidRDefault="00364BF3" w:rsidP="00F148B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90491">
        <w:rPr>
          <w:lang w:val="fr-FR"/>
        </w:rPr>
        <w:tab/>
      </w:r>
      <w:r w:rsidRPr="00190491">
        <w:rPr>
          <w:lang w:val="fr-FR"/>
        </w:rPr>
        <w:tab/>
        <w:t>Bibliographie</w:t>
      </w:r>
    </w:p>
    <w:p w14:paraId="40A6C236" w14:textId="39BD7AD4" w:rsidR="00CD5E97" w:rsidRPr="00CD5E97" w:rsidRDefault="00CD5E97" w:rsidP="00F148BC">
      <w:pPr>
        <w:keepNext/>
        <w:keepLines/>
        <w:spacing w:line="120" w:lineRule="exact"/>
        <w:rPr>
          <w:sz w:val="10"/>
          <w:lang w:val="fr-FR"/>
        </w:rPr>
      </w:pPr>
    </w:p>
    <w:p w14:paraId="351DE278" w14:textId="473FA331" w:rsidR="00CD5E97" w:rsidRPr="00CD5E97" w:rsidRDefault="00CD5E97" w:rsidP="00F148BC">
      <w:pPr>
        <w:keepNext/>
        <w:keepLines/>
        <w:spacing w:line="120" w:lineRule="exact"/>
        <w:rPr>
          <w:sz w:val="10"/>
          <w:lang w:val="fr-FR"/>
        </w:rPr>
      </w:pPr>
    </w:p>
    <w:p w14:paraId="36F3A68C" w14:textId="22BF3E9B"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 xml:space="preserve">Bilan des prêts octroyés aux femmes de 2007 à 2016, </w:t>
      </w:r>
      <w:r w:rsidR="00364BF3" w:rsidRPr="00190491">
        <w:rPr>
          <w:bCs/>
          <w:lang w:val="fr-FR"/>
        </w:rPr>
        <w:t>07 juillet 2016,</w:t>
      </w:r>
      <w:r w:rsidR="00364BF3" w:rsidRPr="00190491">
        <w:rPr>
          <w:lang w:val="fr-FR"/>
        </w:rPr>
        <w:t xml:space="preserve"> </w:t>
      </w:r>
      <w:r w:rsidR="00364BF3" w:rsidRPr="00190491">
        <w:rPr>
          <w:bCs/>
          <w:lang w:val="fr-FR"/>
        </w:rPr>
        <w:t xml:space="preserve">Projet de gestion novatrice du fonds national « femmes et développement », </w:t>
      </w:r>
      <w:r w:rsidR="00364BF3" w:rsidRPr="00190491">
        <w:rPr>
          <w:lang w:val="fr-FR"/>
        </w:rPr>
        <w:t>Ministère de la promotion de la femme, de la Famille et de la prot</w:t>
      </w:r>
      <w:r w:rsidR="00364BF3" w:rsidRPr="00190491">
        <w:rPr>
          <w:bCs/>
          <w:lang w:val="fr-FR"/>
        </w:rPr>
        <w:t xml:space="preserve">ection </w:t>
      </w:r>
      <w:r w:rsidR="00364BF3" w:rsidRPr="00190491">
        <w:rPr>
          <w:lang w:val="fr-FR"/>
        </w:rPr>
        <w:t>de l</w:t>
      </w:r>
      <w:r w:rsidR="000C16F5">
        <w:rPr>
          <w:lang w:val="fr-FR"/>
        </w:rPr>
        <w:t>’</w:t>
      </w:r>
      <w:r w:rsidR="00364BF3" w:rsidRPr="00190491">
        <w:rPr>
          <w:lang w:val="fr-FR"/>
        </w:rPr>
        <w:t>enfant</w:t>
      </w:r>
      <w:r w:rsidR="009E5AD1">
        <w:rPr>
          <w:lang w:val="fr-FR"/>
        </w:rPr>
        <w:t>.</w:t>
      </w:r>
    </w:p>
    <w:p w14:paraId="3C491344" w14:textId="30D3601A"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bCs/>
          <w:lang w:val="fr-FR"/>
        </w:rPr>
        <w:t>Compte-rendu narratif pour la Côte d</w:t>
      </w:r>
      <w:r w:rsidR="000C16F5">
        <w:rPr>
          <w:bCs/>
          <w:lang w:val="fr-FR"/>
        </w:rPr>
        <w:t>’</w:t>
      </w:r>
      <w:r w:rsidR="00364BF3" w:rsidRPr="00190491">
        <w:rPr>
          <w:bCs/>
          <w:lang w:val="fr-FR"/>
        </w:rPr>
        <w:t>Ivoire contenu dans le Rapport TIP 2013 Côte d</w:t>
      </w:r>
      <w:r w:rsidR="000C16F5">
        <w:rPr>
          <w:bCs/>
          <w:lang w:val="fr-FR"/>
        </w:rPr>
        <w:t>’</w:t>
      </w:r>
      <w:r w:rsidR="00364BF3" w:rsidRPr="00190491">
        <w:rPr>
          <w:bCs/>
          <w:lang w:val="fr-FR"/>
        </w:rPr>
        <w:t>Ivoire Niveau 2</w:t>
      </w:r>
      <w:r w:rsidR="009E5AD1">
        <w:rPr>
          <w:bCs/>
          <w:lang w:val="fr-FR"/>
        </w:rPr>
        <w:t>.</w:t>
      </w:r>
    </w:p>
    <w:p w14:paraId="5A74D957" w14:textId="29F2DB6C" w:rsidR="00364BF3" w:rsidRPr="00190491" w:rsidRDefault="00CD5E97" w:rsidP="00CD5E97">
      <w:pPr>
        <w:pStyle w:val="SingleTxt"/>
        <w:tabs>
          <w:tab w:val="right" w:pos="1685"/>
        </w:tabs>
        <w:ind w:left="1742" w:hanging="475"/>
        <w:rPr>
          <w:lang w:val="fr-FR"/>
        </w:rPr>
      </w:pPr>
      <w:r>
        <w:rPr>
          <w:lang w:val="fr-FR"/>
        </w:rPr>
        <w:lastRenderedPageBreak/>
        <w:tab/>
        <w:t>•</w:t>
      </w:r>
      <w:r>
        <w:rPr>
          <w:lang w:val="fr-FR"/>
        </w:rPr>
        <w:tab/>
      </w:r>
      <w:r w:rsidR="00364BF3" w:rsidRPr="00190491">
        <w:rPr>
          <w:lang w:val="fr-FR"/>
        </w:rPr>
        <w:t>Constitution, Août 2000, République de Côte d</w:t>
      </w:r>
      <w:r w:rsidR="000C16F5">
        <w:rPr>
          <w:lang w:val="fr-FR"/>
        </w:rPr>
        <w:t>’</w:t>
      </w:r>
      <w:r w:rsidR="00364BF3" w:rsidRPr="00190491">
        <w:rPr>
          <w:lang w:val="fr-FR"/>
        </w:rPr>
        <w:t>Ivoire</w:t>
      </w:r>
      <w:r w:rsidR="009E5AD1">
        <w:rPr>
          <w:lang w:val="fr-FR"/>
        </w:rPr>
        <w:t>.</w:t>
      </w:r>
    </w:p>
    <w:p w14:paraId="4FC2BCF1" w14:textId="1A038916"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Constitution, Novembre 2016, République de Côte d</w:t>
      </w:r>
      <w:r w:rsidR="000C16F5">
        <w:rPr>
          <w:lang w:val="fr-FR"/>
        </w:rPr>
        <w:t>’</w:t>
      </w:r>
      <w:r w:rsidR="00364BF3" w:rsidRPr="00190491">
        <w:rPr>
          <w:lang w:val="fr-FR"/>
        </w:rPr>
        <w:t>Ivoire</w:t>
      </w:r>
      <w:r w:rsidR="009E5AD1">
        <w:rPr>
          <w:lang w:val="fr-FR"/>
        </w:rPr>
        <w:t>.</w:t>
      </w:r>
    </w:p>
    <w:p w14:paraId="7CD73753" w14:textId="2D026139"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bCs/>
          <w:lang w:val="fr-FR"/>
        </w:rPr>
        <w:t>Côte d</w:t>
      </w:r>
      <w:r w:rsidR="000C16F5">
        <w:rPr>
          <w:bCs/>
          <w:lang w:val="fr-FR"/>
        </w:rPr>
        <w:t>’</w:t>
      </w:r>
      <w:r w:rsidR="00364BF3" w:rsidRPr="00190491">
        <w:rPr>
          <w:bCs/>
          <w:lang w:val="fr-FR"/>
        </w:rPr>
        <w:t>Ivoire -Rapport de mise en œuvre de la stratégie de réduction de la pauvreté rapport d</w:t>
      </w:r>
      <w:r w:rsidR="000C16F5">
        <w:rPr>
          <w:bCs/>
          <w:lang w:val="fr-FR"/>
        </w:rPr>
        <w:t>’</w:t>
      </w:r>
      <w:r w:rsidR="00364BF3" w:rsidRPr="00190491">
        <w:rPr>
          <w:bCs/>
          <w:lang w:val="fr-FR"/>
        </w:rPr>
        <w:t xml:space="preserve">avancement annuel, </w:t>
      </w:r>
      <w:r w:rsidR="00364BF3" w:rsidRPr="00190491">
        <w:rPr>
          <w:lang w:val="fr-FR"/>
        </w:rPr>
        <w:t xml:space="preserve">Septembre 2012, </w:t>
      </w:r>
      <w:r w:rsidR="00364BF3" w:rsidRPr="00190491">
        <w:rPr>
          <w:bCs/>
          <w:lang w:val="fr-FR"/>
        </w:rPr>
        <w:t xml:space="preserve">Fonds monétaire international 2012, </w:t>
      </w:r>
      <w:r w:rsidR="00364BF3" w:rsidRPr="00190491">
        <w:rPr>
          <w:lang w:val="fr-FR"/>
        </w:rPr>
        <w:t>Rapport du FMI N</w:t>
      </w:r>
      <w:r w:rsidR="00364BF3" w:rsidRPr="009E5AD1">
        <w:rPr>
          <w:vertAlign w:val="superscript"/>
          <w:lang w:val="fr-FR"/>
        </w:rPr>
        <w:t>o</w:t>
      </w:r>
      <w:r w:rsidR="009E5AD1">
        <w:rPr>
          <w:lang w:val="fr-FR"/>
        </w:rPr>
        <w:t> </w:t>
      </w:r>
      <w:hyperlink r:id="rId102" w:history="1">
        <w:r w:rsidR="00364BF3" w:rsidRPr="007B345A">
          <w:rPr>
            <w:rStyle w:val="Hyperlink"/>
            <w:lang w:val="fr-FR"/>
          </w:rPr>
          <w:t>12/183</w:t>
        </w:r>
      </w:hyperlink>
      <w:r w:rsidR="009E5AD1">
        <w:rPr>
          <w:lang w:val="fr-FR"/>
        </w:rPr>
        <w:t>.</w:t>
      </w:r>
    </w:p>
    <w:p w14:paraId="677259D2" w14:textId="683D53B6"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Déclaration solennelle des chefs d</w:t>
      </w:r>
      <w:r w:rsidR="000C16F5">
        <w:rPr>
          <w:lang w:val="fr-FR"/>
        </w:rPr>
        <w:t>’</w:t>
      </w:r>
      <w:r w:rsidR="00364BF3" w:rsidRPr="00190491">
        <w:rPr>
          <w:lang w:val="fr-FR"/>
        </w:rPr>
        <w:t>états et de gouvernement sur l</w:t>
      </w:r>
      <w:r w:rsidR="000C16F5">
        <w:rPr>
          <w:lang w:val="fr-FR"/>
        </w:rPr>
        <w:t>’</w:t>
      </w:r>
      <w:r w:rsidR="00364BF3" w:rsidRPr="00190491">
        <w:rPr>
          <w:lang w:val="fr-FR"/>
        </w:rPr>
        <w:t>Egalite entre les hommes et les femmes en Afrique, rapport national, octobre 2014, Ministère de la Solidarité, de la Famille, de la Femme et de l</w:t>
      </w:r>
      <w:r w:rsidR="000C16F5">
        <w:rPr>
          <w:lang w:val="fr-FR"/>
        </w:rPr>
        <w:t>’</w:t>
      </w:r>
      <w:r w:rsidR="00364BF3" w:rsidRPr="00190491">
        <w:rPr>
          <w:lang w:val="fr-FR"/>
        </w:rPr>
        <w:t>Enfant</w:t>
      </w:r>
      <w:r w:rsidR="009E5AD1">
        <w:rPr>
          <w:lang w:val="fr-FR"/>
        </w:rPr>
        <w:t>.</w:t>
      </w:r>
    </w:p>
    <w:p w14:paraId="28ECB212" w14:textId="14C571FC" w:rsidR="00364BF3" w:rsidRPr="00190491" w:rsidRDefault="00CD5E97" w:rsidP="00CD5E97">
      <w:pPr>
        <w:pStyle w:val="SingleTxt"/>
        <w:tabs>
          <w:tab w:val="right" w:pos="1685"/>
        </w:tabs>
        <w:ind w:left="1742" w:hanging="475"/>
        <w:rPr>
          <w:lang w:val="fr-FR"/>
        </w:rPr>
      </w:pPr>
      <w:r>
        <w:rPr>
          <w:lang w:val="fr-FR"/>
        </w:rPr>
        <w:tab/>
        <w:t>•</w:t>
      </w:r>
      <w:r>
        <w:rPr>
          <w:lang w:val="fr-FR"/>
        </w:rPr>
        <w:tab/>
      </w:r>
      <w:r w:rsidR="00C10A78" w:rsidRPr="00190491">
        <w:rPr>
          <w:lang w:val="fr-FR"/>
        </w:rPr>
        <w:t>Épidémiologie</w:t>
      </w:r>
      <w:r w:rsidR="00364BF3" w:rsidRPr="00190491">
        <w:rPr>
          <w:lang w:val="fr-FR"/>
        </w:rPr>
        <w:t xml:space="preserve"> des avortements provoqués en Côte d</w:t>
      </w:r>
      <w:r w:rsidR="000C16F5">
        <w:rPr>
          <w:lang w:val="fr-FR"/>
        </w:rPr>
        <w:t>’</w:t>
      </w:r>
      <w:r w:rsidR="00364BF3" w:rsidRPr="00190491">
        <w:rPr>
          <w:lang w:val="fr-FR"/>
        </w:rPr>
        <w:t>Ivoire, 2012, Joseph Benié Bi Bro et al, CAIRN</w:t>
      </w:r>
      <w:r w:rsidR="009E5AD1">
        <w:rPr>
          <w:lang w:val="fr-FR"/>
        </w:rPr>
        <w:t>.</w:t>
      </w:r>
    </w:p>
    <w:p w14:paraId="1B781BC8" w14:textId="1D2E2A4F"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Enquête Démographique et de Santé à Indicateurs Multiples 2011-2012 (Institut National de la Statistique)</w:t>
      </w:r>
      <w:r w:rsidR="009E5AD1">
        <w:rPr>
          <w:lang w:val="fr-FR"/>
        </w:rPr>
        <w:t>.</w:t>
      </w:r>
    </w:p>
    <w:p w14:paraId="69CE86D2" w14:textId="39B30B7F"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Feuille de route de la mise en œuvre des recommandations de la CEDEF, 2012-2014, Ministère de la Solidarité, de la Famille, de la Femme et de l</w:t>
      </w:r>
      <w:r w:rsidR="000C16F5">
        <w:rPr>
          <w:lang w:val="fr-FR"/>
        </w:rPr>
        <w:t>’</w:t>
      </w:r>
      <w:r w:rsidR="00364BF3" w:rsidRPr="00190491">
        <w:rPr>
          <w:lang w:val="fr-FR"/>
        </w:rPr>
        <w:t>Enfant</w:t>
      </w:r>
      <w:r w:rsidR="009E5AD1">
        <w:rPr>
          <w:lang w:val="fr-FR"/>
        </w:rPr>
        <w:t>.</w:t>
      </w:r>
    </w:p>
    <w:p w14:paraId="331704DA" w14:textId="58A1B39E"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La Côte d</w:t>
      </w:r>
      <w:r w:rsidR="000C16F5">
        <w:rPr>
          <w:lang w:val="fr-FR"/>
        </w:rPr>
        <w:t>’</w:t>
      </w:r>
      <w:r w:rsidR="00364BF3" w:rsidRPr="00190491">
        <w:rPr>
          <w:lang w:val="fr-FR"/>
        </w:rPr>
        <w:t>Ivoire face aux défis de la réalisation des OMD en santé, Niveau des indicateurs, expériences, progrès obstacles, 9 ans après le sommet du millénaire, 2009, Bamssie et Roger</w:t>
      </w:r>
      <w:r w:rsidR="009E5AD1">
        <w:rPr>
          <w:lang w:val="fr-FR"/>
        </w:rPr>
        <w:t>.</w:t>
      </w:r>
    </w:p>
    <w:p w14:paraId="1521DB84" w14:textId="016FB445" w:rsidR="00364BF3" w:rsidRPr="00190491" w:rsidRDefault="00CD5E97" w:rsidP="00CD5E97">
      <w:pPr>
        <w:pStyle w:val="SingleTxt"/>
        <w:tabs>
          <w:tab w:val="right" w:pos="1685"/>
        </w:tabs>
        <w:ind w:left="1742" w:hanging="475"/>
        <w:rPr>
          <w:b/>
          <w:bCs/>
          <w:lang w:val="fr-FR"/>
        </w:rPr>
      </w:pPr>
      <w:r>
        <w:rPr>
          <w:lang w:val="fr-FR"/>
        </w:rPr>
        <w:tab/>
        <w:t>•</w:t>
      </w:r>
      <w:r>
        <w:rPr>
          <w:lang w:val="fr-FR"/>
        </w:rPr>
        <w:tab/>
      </w:r>
      <w:r w:rsidR="00364BF3" w:rsidRPr="00190491">
        <w:rPr>
          <w:lang w:val="fr-FR"/>
        </w:rPr>
        <w:t>Les échos du Budget, octobre</w:t>
      </w:r>
      <w:r w:rsidR="00D239C1">
        <w:rPr>
          <w:lang w:val="fr-FR"/>
        </w:rPr>
        <w:t>-n</w:t>
      </w:r>
      <w:r w:rsidR="00364BF3" w:rsidRPr="00190491">
        <w:rPr>
          <w:lang w:val="fr-FR"/>
        </w:rPr>
        <w:t xml:space="preserve">ovembre 2015, </w:t>
      </w:r>
      <w:r w:rsidR="00364BF3" w:rsidRPr="00190491">
        <w:rPr>
          <w:bCs/>
          <w:lang w:val="fr-FR"/>
        </w:rPr>
        <w:t>Ministère auprès du premier ministre, charge du budget</w:t>
      </w:r>
      <w:r w:rsidR="009E5AD1">
        <w:rPr>
          <w:bCs/>
          <w:lang w:val="fr-FR"/>
        </w:rPr>
        <w:t>.</w:t>
      </w:r>
    </w:p>
    <w:p w14:paraId="4EEF12E5" w14:textId="009A66CB"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Limitation des naissances parmi les femmes d</w:t>
      </w:r>
      <w:r w:rsidR="000C16F5">
        <w:rPr>
          <w:lang w:val="fr-FR"/>
        </w:rPr>
        <w:t>’</w:t>
      </w:r>
      <w:r w:rsidR="00364BF3" w:rsidRPr="00190491">
        <w:rPr>
          <w:lang w:val="fr-FR"/>
        </w:rPr>
        <w:t>Abidjan, contraception, avortement ou les deux, 2002, Agnès Guillaume et Annabelle Desgrés Du Lou</w:t>
      </w:r>
      <w:r w:rsidR="009E5AD1">
        <w:rPr>
          <w:lang w:val="fr-FR"/>
        </w:rPr>
        <w:t>.</w:t>
      </w:r>
    </w:p>
    <w:p w14:paraId="44B4C105" w14:textId="6B7D23E8" w:rsidR="00364BF3" w:rsidRPr="00190491" w:rsidRDefault="00CD5E97" w:rsidP="00CD5E97">
      <w:pPr>
        <w:pStyle w:val="SingleTxt"/>
        <w:tabs>
          <w:tab w:val="right" w:pos="1685"/>
        </w:tabs>
        <w:ind w:left="1742" w:hanging="475"/>
        <w:rPr>
          <w:bCs/>
          <w:lang w:val="fr-FR"/>
        </w:rPr>
      </w:pPr>
      <w:r>
        <w:rPr>
          <w:lang w:val="fr-FR"/>
        </w:rPr>
        <w:tab/>
        <w:t>•</w:t>
      </w:r>
      <w:r>
        <w:rPr>
          <w:lang w:val="fr-FR"/>
        </w:rPr>
        <w:tab/>
      </w:r>
      <w:r w:rsidR="00364BF3" w:rsidRPr="00190491">
        <w:rPr>
          <w:bCs/>
          <w:lang w:val="fr-FR"/>
        </w:rPr>
        <w:t>Observations finales du Comité pour l</w:t>
      </w:r>
      <w:r w:rsidR="000C16F5">
        <w:rPr>
          <w:bCs/>
          <w:lang w:val="fr-FR"/>
        </w:rPr>
        <w:t>’</w:t>
      </w:r>
      <w:r w:rsidR="00364BF3" w:rsidRPr="00190491">
        <w:rPr>
          <w:bCs/>
          <w:lang w:val="fr-FR"/>
        </w:rPr>
        <w:t>élimination de la discrimination à l</w:t>
      </w:r>
      <w:r w:rsidR="000C16F5">
        <w:rPr>
          <w:bCs/>
          <w:lang w:val="fr-FR"/>
        </w:rPr>
        <w:t>’</w:t>
      </w:r>
      <w:r w:rsidR="00364BF3" w:rsidRPr="00190491">
        <w:rPr>
          <w:bCs/>
          <w:lang w:val="fr-FR"/>
        </w:rPr>
        <w:t>égard des femmes Côte d</w:t>
      </w:r>
      <w:r w:rsidR="000C16F5">
        <w:rPr>
          <w:bCs/>
          <w:lang w:val="fr-FR"/>
        </w:rPr>
        <w:t>’</w:t>
      </w:r>
      <w:r w:rsidR="00364BF3" w:rsidRPr="00190491">
        <w:rPr>
          <w:bCs/>
          <w:lang w:val="fr-FR"/>
        </w:rPr>
        <w:t xml:space="preserve">Ivoire, Cinquantième session </w:t>
      </w:r>
      <w:r w:rsidR="00364BF3" w:rsidRPr="00190491">
        <w:rPr>
          <w:lang w:val="fr-FR"/>
        </w:rPr>
        <w:t>3-21 octobre 2011, le 14</w:t>
      </w:r>
      <w:r w:rsidR="001A0FE8">
        <w:rPr>
          <w:lang w:val="fr-FR"/>
        </w:rPr>
        <w:t> </w:t>
      </w:r>
      <w:r w:rsidR="00364BF3" w:rsidRPr="00190491">
        <w:rPr>
          <w:lang w:val="fr-FR"/>
        </w:rPr>
        <w:t xml:space="preserve">octobre 2011, </w:t>
      </w:r>
      <w:r w:rsidR="00364BF3" w:rsidRPr="00190491">
        <w:rPr>
          <w:bCs/>
          <w:lang w:val="fr-FR"/>
        </w:rPr>
        <w:t>Comité pour l</w:t>
      </w:r>
      <w:r w:rsidR="000C16F5">
        <w:rPr>
          <w:bCs/>
          <w:lang w:val="fr-FR"/>
        </w:rPr>
        <w:t>’</w:t>
      </w:r>
      <w:r w:rsidR="00364BF3" w:rsidRPr="00190491">
        <w:rPr>
          <w:bCs/>
          <w:lang w:val="fr-FR"/>
        </w:rPr>
        <w:t>élimination de la discrimination à l</w:t>
      </w:r>
      <w:r w:rsidR="000C16F5">
        <w:rPr>
          <w:bCs/>
          <w:lang w:val="fr-FR"/>
        </w:rPr>
        <w:t>’</w:t>
      </w:r>
      <w:r w:rsidR="00364BF3" w:rsidRPr="00190491">
        <w:rPr>
          <w:bCs/>
          <w:lang w:val="fr-FR"/>
        </w:rPr>
        <w:t>égard des femmes</w:t>
      </w:r>
      <w:r w:rsidR="009E5AD1">
        <w:rPr>
          <w:bCs/>
          <w:lang w:val="fr-FR"/>
        </w:rPr>
        <w:t>.</w:t>
      </w:r>
    </w:p>
    <w:p w14:paraId="655DB0E2" w14:textId="628D2144" w:rsidR="00364BF3" w:rsidRPr="0011615C" w:rsidRDefault="00CD5E97" w:rsidP="00CD5E97">
      <w:pPr>
        <w:pStyle w:val="SingleTxt"/>
        <w:tabs>
          <w:tab w:val="right" w:pos="1685"/>
        </w:tabs>
        <w:ind w:left="1742" w:hanging="475"/>
        <w:rPr>
          <w:bCs/>
          <w:lang w:val="fr-FR"/>
        </w:rPr>
      </w:pPr>
      <w:r>
        <w:rPr>
          <w:lang w:val="fr-FR"/>
        </w:rPr>
        <w:tab/>
        <w:t>•</w:t>
      </w:r>
      <w:r>
        <w:rPr>
          <w:lang w:val="fr-FR"/>
        </w:rPr>
        <w:tab/>
      </w:r>
      <w:r w:rsidR="00364BF3" w:rsidRPr="0011615C">
        <w:rPr>
          <w:bCs/>
          <w:lang w:val="fr-FR"/>
        </w:rPr>
        <w:t>Note sur l</w:t>
      </w:r>
      <w:r w:rsidR="000C16F5">
        <w:rPr>
          <w:bCs/>
          <w:lang w:val="fr-FR"/>
        </w:rPr>
        <w:t>’</w:t>
      </w:r>
      <w:r w:rsidR="00364BF3" w:rsidRPr="0011615C">
        <w:rPr>
          <w:bCs/>
          <w:lang w:val="fr-FR"/>
        </w:rPr>
        <w:t>environnement des affaires en Côte d</w:t>
      </w:r>
      <w:r w:rsidR="000C16F5">
        <w:rPr>
          <w:bCs/>
          <w:lang w:val="fr-FR"/>
        </w:rPr>
        <w:t>’</w:t>
      </w:r>
      <w:r w:rsidR="00364BF3" w:rsidRPr="0011615C">
        <w:rPr>
          <w:bCs/>
          <w:lang w:val="fr-FR"/>
        </w:rPr>
        <w:t>Ivoire, 2016, Secrétariat technique du groupe consultatif Plan National de Développement 2016-2020</w:t>
      </w:r>
      <w:r w:rsidR="009E5AD1">
        <w:rPr>
          <w:bCs/>
          <w:lang w:val="fr-FR"/>
        </w:rPr>
        <w:t>.</w:t>
      </w:r>
    </w:p>
    <w:p w14:paraId="5657C6A9" w14:textId="0660872E"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Note de synthèse, Lancement officiel en Côte d</w:t>
      </w:r>
      <w:r w:rsidR="000C16F5">
        <w:rPr>
          <w:lang w:val="fr-FR"/>
        </w:rPr>
        <w:t>’</w:t>
      </w:r>
      <w:r w:rsidR="00364BF3" w:rsidRPr="00190491">
        <w:rPr>
          <w:lang w:val="fr-FR"/>
        </w:rPr>
        <w:t>Ivoire de la Campagne contre l</w:t>
      </w:r>
      <w:r w:rsidR="000C16F5">
        <w:rPr>
          <w:lang w:val="fr-FR"/>
        </w:rPr>
        <w:t>’</w:t>
      </w:r>
      <w:r w:rsidR="00364BF3" w:rsidRPr="00190491">
        <w:rPr>
          <w:lang w:val="fr-FR"/>
        </w:rPr>
        <w:t>Accélération de la Mortalité Maternelle en Afrique, 2013</w:t>
      </w:r>
      <w:r w:rsidR="009E5AD1">
        <w:rPr>
          <w:lang w:val="fr-FR"/>
        </w:rPr>
        <w:t>.</w:t>
      </w:r>
    </w:p>
    <w:p w14:paraId="006D2534" w14:textId="66E09D4D"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Rapport final du projet « </w:t>
      </w:r>
      <w:r w:rsidR="00364BF3" w:rsidRPr="00190491">
        <w:rPr>
          <w:bCs/>
          <w:lang w:val="fr-FR"/>
        </w:rPr>
        <w:t>contribution à l</w:t>
      </w:r>
      <w:r w:rsidR="000C16F5">
        <w:rPr>
          <w:bCs/>
          <w:lang w:val="fr-FR"/>
        </w:rPr>
        <w:t>’</w:t>
      </w:r>
      <w:r w:rsidR="00364BF3" w:rsidRPr="00190491">
        <w:rPr>
          <w:bCs/>
          <w:lang w:val="fr-FR"/>
        </w:rPr>
        <w:t>autonomisation économique de 100 groupes ruraux de femmes dans trois départements de l</w:t>
      </w:r>
      <w:r w:rsidR="000C16F5">
        <w:rPr>
          <w:bCs/>
          <w:lang w:val="fr-FR"/>
        </w:rPr>
        <w:t>’</w:t>
      </w:r>
      <w:r w:rsidR="00364BF3" w:rsidRPr="00190491">
        <w:rPr>
          <w:bCs/>
          <w:lang w:val="fr-FR"/>
        </w:rPr>
        <w:t xml:space="preserve">ouest de la </w:t>
      </w:r>
      <w:r w:rsidR="00364BF3" w:rsidRPr="00190491">
        <w:rPr>
          <w:lang w:val="fr-FR"/>
        </w:rPr>
        <w:t>Côte d</w:t>
      </w:r>
      <w:r w:rsidR="000C16F5">
        <w:rPr>
          <w:lang w:val="fr-FR"/>
        </w:rPr>
        <w:t>’</w:t>
      </w:r>
      <w:r w:rsidR="00364BF3" w:rsidRPr="00190491">
        <w:rPr>
          <w:lang w:val="fr-FR"/>
        </w:rPr>
        <w:t>Ivoire</w:t>
      </w:r>
      <w:r w:rsidR="00D239C1">
        <w:rPr>
          <w:lang w:val="fr-FR"/>
        </w:rPr>
        <w:t> </w:t>
      </w:r>
      <w:r w:rsidR="00364BF3" w:rsidRPr="00190491">
        <w:rPr>
          <w:bCs/>
          <w:lang w:val="fr-FR"/>
        </w:rPr>
        <w:t>» 1</w:t>
      </w:r>
      <w:r w:rsidR="00364BF3" w:rsidRPr="00190491">
        <w:rPr>
          <w:bCs/>
          <w:vertAlign w:val="superscript"/>
          <w:lang w:val="fr-FR"/>
        </w:rPr>
        <w:t>er</w:t>
      </w:r>
      <w:r w:rsidR="00364BF3" w:rsidRPr="00190491">
        <w:rPr>
          <w:bCs/>
          <w:lang w:val="fr-FR"/>
        </w:rPr>
        <w:t xml:space="preserve"> avril 2013 – 31 mars 2015,</w:t>
      </w:r>
      <w:r w:rsidR="00364BF3" w:rsidRPr="00190491">
        <w:rPr>
          <w:lang w:val="fr-FR"/>
        </w:rPr>
        <w:t xml:space="preserve"> Organisation Nationale pour l</w:t>
      </w:r>
      <w:r w:rsidR="000C16F5">
        <w:rPr>
          <w:lang w:val="fr-FR"/>
        </w:rPr>
        <w:t>’</w:t>
      </w:r>
      <w:r w:rsidR="00364BF3" w:rsidRPr="00190491">
        <w:rPr>
          <w:lang w:val="fr-FR"/>
        </w:rPr>
        <w:t>Enfant la Femme et la Famille (ONEF)</w:t>
      </w:r>
      <w:r w:rsidR="009E5AD1">
        <w:rPr>
          <w:lang w:val="fr-FR"/>
        </w:rPr>
        <w:t>.</w:t>
      </w:r>
    </w:p>
    <w:p w14:paraId="7638ED44" w14:textId="05F137FA" w:rsidR="00364BF3" w:rsidRPr="00190491" w:rsidRDefault="00CD5E97" w:rsidP="00CD5E97">
      <w:pPr>
        <w:pStyle w:val="SingleTxt"/>
        <w:tabs>
          <w:tab w:val="right" w:pos="1685"/>
        </w:tabs>
        <w:ind w:left="1742" w:hanging="475"/>
        <w:rPr>
          <w:bCs/>
          <w:lang w:val="fr-FR"/>
        </w:rPr>
      </w:pPr>
      <w:r>
        <w:rPr>
          <w:lang w:val="fr-FR"/>
        </w:rPr>
        <w:tab/>
        <w:t>•</w:t>
      </w:r>
      <w:r>
        <w:rPr>
          <w:lang w:val="fr-FR"/>
        </w:rPr>
        <w:tab/>
      </w:r>
      <w:r w:rsidR="00364BF3" w:rsidRPr="00190491">
        <w:rPr>
          <w:lang w:val="fr-FR"/>
        </w:rPr>
        <w:t>Rapport de présentation sur loi de finances portant budget de l</w:t>
      </w:r>
      <w:r w:rsidR="000C16F5">
        <w:rPr>
          <w:lang w:val="fr-FR"/>
        </w:rPr>
        <w:t>’</w:t>
      </w:r>
      <w:r w:rsidR="00C10A78" w:rsidRPr="00190491">
        <w:rPr>
          <w:lang w:val="fr-FR"/>
        </w:rPr>
        <w:t>État</w:t>
      </w:r>
      <w:r w:rsidR="00364BF3" w:rsidRPr="00190491">
        <w:rPr>
          <w:lang w:val="fr-FR"/>
        </w:rPr>
        <w:t xml:space="preserve"> pour l</w:t>
      </w:r>
      <w:r w:rsidR="000C16F5">
        <w:rPr>
          <w:lang w:val="fr-FR"/>
        </w:rPr>
        <w:t>’</w:t>
      </w:r>
      <w:r w:rsidR="00364BF3" w:rsidRPr="00190491">
        <w:rPr>
          <w:lang w:val="fr-FR"/>
        </w:rPr>
        <w:t xml:space="preserve">année 2016, </w:t>
      </w:r>
      <w:r w:rsidR="00364BF3" w:rsidRPr="00190491">
        <w:rPr>
          <w:bCs/>
          <w:lang w:val="fr-FR"/>
        </w:rPr>
        <w:t>2015, Ministère auprès du Premier Ministre, chargé du budget</w:t>
      </w:r>
      <w:r w:rsidR="009E5AD1">
        <w:rPr>
          <w:bCs/>
          <w:lang w:val="fr-FR"/>
        </w:rPr>
        <w:t>.</w:t>
      </w:r>
    </w:p>
    <w:p w14:paraId="00F33E72" w14:textId="17ECD65B"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bCs/>
          <w:lang w:val="fr-FR"/>
        </w:rPr>
        <w:t>Rapport annuel 2014 sur l</w:t>
      </w:r>
      <w:r w:rsidR="000C16F5">
        <w:rPr>
          <w:bCs/>
          <w:lang w:val="fr-FR"/>
        </w:rPr>
        <w:t>’</w:t>
      </w:r>
      <w:r w:rsidR="00364BF3" w:rsidRPr="00190491">
        <w:rPr>
          <w:bCs/>
          <w:lang w:val="fr-FR"/>
        </w:rPr>
        <w:t>état des droits de l</w:t>
      </w:r>
      <w:r w:rsidR="000C16F5">
        <w:rPr>
          <w:bCs/>
          <w:lang w:val="fr-FR"/>
        </w:rPr>
        <w:t>’</w:t>
      </w:r>
      <w:r w:rsidR="00364BF3" w:rsidRPr="00190491">
        <w:rPr>
          <w:bCs/>
          <w:lang w:val="fr-FR"/>
        </w:rPr>
        <w:t xml:space="preserve">homme en </w:t>
      </w:r>
      <w:r w:rsidR="00364BF3" w:rsidRPr="00190491">
        <w:rPr>
          <w:lang w:val="fr-FR"/>
        </w:rPr>
        <w:t>Côte d</w:t>
      </w:r>
      <w:r w:rsidR="000C16F5">
        <w:rPr>
          <w:lang w:val="fr-FR"/>
        </w:rPr>
        <w:t>’</w:t>
      </w:r>
      <w:r w:rsidR="00364BF3" w:rsidRPr="00190491">
        <w:rPr>
          <w:lang w:val="fr-FR"/>
        </w:rPr>
        <w:t>Ivoire</w:t>
      </w:r>
      <w:r w:rsidR="00364BF3" w:rsidRPr="00190491">
        <w:rPr>
          <w:bCs/>
          <w:lang w:val="fr-FR"/>
        </w:rPr>
        <w:t xml:space="preserve">, 2015, </w:t>
      </w:r>
      <w:r w:rsidR="00364BF3" w:rsidRPr="00190491">
        <w:rPr>
          <w:lang w:val="fr-FR"/>
        </w:rPr>
        <w:t>Commission Nationale des Droits de l</w:t>
      </w:r>
      <w:r w:rsidR="000C16F5">
        <w:rPr>
          <w:lang w:val="fr-FR"/>
        </w:rPr>
        <w:t>’</w:t>
      </w:r>
      <w:r w:rsidR="00364BF3" w:rsidRPr="00190491">
        <w:rPr>
          <w:lang w:val="fr-FR"/>
        </w:rPr>
        <w:t>Homme de Côte d</w:t>
      </w:r>
      <w:r w:rsidR="000C16F5">
        <w:rPr>
          <w:lang w:val="fr-FR"/>
        </w:rPr>
        <w:t>’</w:t>
      </w:r>
      <w:r w:rsidR="00364BF3" w:rsidRPr="00190491">
        <w:rPr>
          <w:lang w:val="fr-FR"/>
        </w:rPr>
        <w:t>Ivoire (CNDH-CI)</w:t>
      </w:r>
      <w:r w:rsidR="009E5AD1">
        <w:rPr>
          <w:lang w:val="fr-FR"/>
        </w:rPr>
        <w:t>.</w:t>
      </w:r>
    </w:p>
    <w:p w14:paraId="0EAF5A48" w14:textId="6A3D5D42"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Rapport Autonomisation des femmes rurales</w:t>
      </w:r>
      <w:r w:rsidR="008945B3">
        <w:rPr>
          <w:lang w:val="fr-FR"/>
        </w:rPr>
        <w:t> :</w:t>
      </w:r>
      <w:r w:rsidR="00364BF3" w:rsidRPr="00190491">
        <w:rPr>
          <w:lang w:val="fr-FR"/>
        </w:rPr>
        <w:t xml:space="preserve"> Aperçu des Actions Clés de l</w:t>
      </w:r>
      <w:r w:rsidR="000C16F5">
        <w:rPr>
          <w:lang w:val="fr-FR"/>
        </w:rPr>
        <w:t>’</w:t>
      </w:r>
      <w:r w:rsidR="00364BF3" w:rsidRPr="00190491">
        <w:rPr>
          <w:lang w:val="fr-FR"/>
        </w:rPr>
        <w:t>ANADER Octobre 2016</w:t>
      </w:r>
      <w:r w:rsidR="009E5AD1">
        <w:rPr>
          <w:lang w:val="fr-FR"/>
        </w:rPr>
        <w:t>.</w:t>
      </w:r>
    </w:p>
    <w:p w14:paraId="78273ED7" w14:textId="3B617DF4"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bCs/>
          <w:lang w:val="fr-FR"/>
        </w:rPr>
        <w:t>Rapport de Analyse situationnelle des facteurs de vulnérabilité socioéconomiques des jeunes filles victimes d</w:t>
      </w:r>
      <w:r w:rsidR="000C16F5">
        <w:rPr>
          <w:bCs/>
          <w:lang w:val="fr-FR"/>
        </w:rPr>
        <w:t>’</w:t>
      </w:r>
      <w:r w:rsidR="00364BF3" w:rsidRPr="0011615C">
        <w:rPr>
          <w:bCs/>
          <w:lang w:val="fr-FR"/>
        </w:rPr>
        <w:t>exploitation sexuelle face au VIH/SIDA, de leur accès aux services de santé de la reproduction et au planning familial dans le cadre de la mise en œuvre du Programme du Fonds Mondial VIH Volet communautaire, Alliance-CI, 2015</w:t>
      </w:r>
      <w:r w:rsidR="009E5AD1">
        <w:rPr>
          <w:bCs/>
          <w:lang w:val="fr-FR"/>
        </w:rPr>
        <w:t>.</w:t>
      </w:r>
    </w:p>
    <w:p w14:paraId="14A2BCC6" w14:textId="53C94E62" w:rsidR="00364BF3" w:rsidRPr="00190491" w:rsidRDefault="00CD5E97" w:rsidP="00CD5E97">
      <w:pPr>
        <w:pStyle w:val="SingleTxt"/>
        <w:tabs>
          <w:tab w:val="right" w:pos="1685"/>
        </w:tabs>
        <w:ind w:left="1742" w:hanging="475"/>
        <w:rPr>
          <w:lang w:val="fr-FR"/>
        </w:rPr>
      </w:pPr>
      <w:r>
        <w:rPr>
          <w:lang w:val="fr-FR"/>
        </w:rPr>
        <w:lastRenderedPageBreak/>
        <w:tab/>
        <w:t>•</w:t>
      </w:r>
      <w:r>
        <w:rPr>
          <w:lang w:val="fr-FR"/>
        </w:rPr>
        <w:tab/>
      </w:r>
      <w:r w:rsidR="00364BF3" w:rsidRPr="00190491">
        <w:rPr>
          <w:lang w:val="fr-FR"/>
        </w:rPr>
        <w:t>Rapport de la Côte d</w:t>
      </w:r>
      <w:r w:rsidR="000C16F5">
        <w:rPr>
          <w:lang w:val="fr-FR"/>
        </w:rPr>
        <w:t>’</w:t>
      </w:r>
      <w:r w:rsidR="00364BF3" w:rsidRPr="00190491">
        <w:rPr>
          <w:lang w:val="fr-FR"/>
        </w:rPr>
        <w:t>Ivoire sur la mise en œuvre du programme d</w:t>
      </w:r>
      <w:r w:rsidR="000C16F5">
        <w:rPr>
          <w:lang w:val="fr-FR"/>
        </w:rPr>
        <w:t>’</w:t>
      </w:r>
      <w:r w:rsidR="00364BF3" w:rsidRPr="00190491">
        <w:rPr>
          <w:lang w:val="fr-FR"/>
        </w:rPr>
        <w:t xml:space="preserve">action de Beijing vingt ans après, </w:t>
      </w:r>
      <w:r w:rsidR="00364BF3" w:rsidRPr="00190491">
        <w:rPr>
          <w:iCs/>
          <w:lang w:val="fr-FR"/>
        </w:rPr>
        <w:t xml:space="preserve">Juin 2014, </w:t>
      </w:r>
      <w:r w:rsidR="00364BF3" w:rsidRPr="00190491">
        <w:rPr>
          <w:lang w:val="fr-FR"/>
        </w:rPr>
        <w:t>Ministère de la Solidarité, de la Famille, de la Femme et de l</w:t>
      </w:r>
      <w:r w:rsidR="000C16F5">
        <w:rPr>
          <w:lang w:val="fr-FR"/>
        </w:rPr>
        <w:t>’</w:t>
      </w:r>
      <w:r w:rsidR="00364BF3" w:rsidRPr="00190491">
        <w:rPr>
          <w:lang w:val="fr-FR"/>
        </w:rPr>
        <w:t>Enfant</w:t>
      </w:r>
      <w:r w:rsidR="009E5AD1">
        <w:rPr>
          <w:lang w:val="fr-FR"/>
        </w:rPr>
        <w:t>.</w:t>
      </w:r>
    </w:p>
    <w:p w14:paraId="4230C123" w14:textId="68C4E641"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Rapport de l</w:t>
      </w:r>
      <w:r w:rsidR="000C16F5">
        <w:rPr>
          <w:lang w:val="fr-FR"/>
        </w:rPr>
        <w:t>’</w:t>
      </w:r>
      <w:r w:rsidR="00C10A78" w:rsidRPr="00190491">
        <w:rPr>
          <w:lang w:val="fr-FR"/>
        </w:rPr>
        <w:t>Évaluation</w:t>
      </w:r>
      <w:r w:rsidR="00364BF3" w:rsidRPr="00190491">
        <w:rPr>
          <w:lang w:val="fr-FR"/>
        </w:rPr>
        <w:t xml:space="preserve"> des plateformes de lutte contre les Violences Basées sur le Genre (VBG) décembre 2014</w:t>
      </w:r>
      <w:r w:rsidR="00DB4C05">
        <w:rPr>
          <w:lang w:val="fr-FR"/>
        </w:rPr>
        <w:t> ;</w:t>
      </w:r>
      <w:r w:rsidR="00364BF3" w:rsidRPr="00190491">
        <w:rPr>
          <w:lang w:val="fr-FR"/>
        </w:rPr>
        <w:t xml:space="preserve"> GBADI Kama Brigith (Ministère de la Solidarité, de la Famille, de la Femme et de l</w:t>
      </w:r>
      <w:r w:rsidR="000C16F5">
        <w:rPr>
          <w:lang w:val="fr-FR"/>
        </w:rPr>
        <w:t>’</w:t>
      </w:r>
      <w:r w:rsidR="00364BF3" w:rsidRPr="00190491">
        <w:rPr>
          <w:lang w:val="fr-FR"/>
        </w:rPr>
        <w:t>Enfant, -MSFFE-)</w:t>
      </w:r>
      <w:r w:rsidR="009E5AD1">
        <w:rPr>
          <w:lang w:val="fr-FR"/>
        </w:rPr>
        <w:t>.</w:t>
      </w:r>
    </w:p>
    <w:p w14:paraId="636E20F2" w14:textId="7E18036E"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Rapport périodique de la République de Côte d</w:t>
      </w:r>
      <w:r w:rsidR="000C16F5">
        <w:rPr>
          <w:lang w:val="fr-FR"/>
        </w:rPr>
        <w:t>’</w:t>
      </w:r>
      <w:r w:rsidR="00364BF3" w:rsidRPr="0011615C">
        <w:rPr>
          <w:lang w:val="fr-FR"/>
        </w:rPr>
        <w:t>Ivoire au titre de la Charte Africaine des Droits de l</w:t>
      </w:r>
      <w:r w:rsidR="000C16F5">
        <w:rPr>
          <w:lang w:val="fr-FR"/>
        </w:rPr>
        <w:t>’</w:t>
      </w:r>
      <w:r w:rsidR="00364BF3" w:rsidRPr="0011615C">
        <w:rPr>
          <w:lang w:val="fr-FR"/>
        </w:rPr>
        <w:t>Homme et des Peuples (CADHP) 2012-2015</w:t>
      </w:r>
      <w:r w:rsidR="00056C45">
        <w:rPr>
          <w:lang w:val="fr-FR"/>
        </w:rPr>
        <w:t>.</w:t>
      </w:r>
    </w:p>
    <w:p w14:paraId="12F2DDD3" w14:textId="0B37BEBF"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Rapport final du Projet d</w:t>
      </w:r>
      <w:r w:rsidR="000C16F5">
        <w:rPr>
          <w:lang w:val="fr-FR"/>
        </w:rPr>
        <w:t>’</w:t>
      </w:r>
      <w:r w:rsidR="00364BF3" w:rsidRPr="00190491">
        <w:rPr>
          <w:lang w:val="fr-FR"/>
        </w:rPr>
        <w:t>Appui Institutionnel Multisectoriel à la Sortie de Crise (PAIMSC)</w:t>
      </w:r>
      <w:r w:rsidR="008945B3">
        <w:rPr>
          <w:lang w:val="fr-FR"/>
        </w:rPr>
        <w:t> :</w:t>
      </w:r>
      <w:r w:rsidR="00364BF3" w:rsidRPr="00190491">
        <w:rPr>
          <w:lang w:val="fr-FR"/>
        </w:rPr>
        <w:t xml:space="preserve"> « Assistance et Réinsertion Sociale des Femmes Victimes de Violence en Situation de Conflit en Côte d</w:t>
      </w:r>
      <w:r w:rsidR="000C16F5">
        <w:rPr>
          <w:lang w:val="fr-FR"/>
        </w:rPr>
        <w:t>’</w:t>
      </w:r>
      <w:r w:rsidR="00364BF3" w:rsidRPr="00190491">
        <w:rPr>
          <w:lang w:val="fr-FR"/>
        </w:rPr>
        <w:t>Ivoire »</w:t>
      </w:r>
      <w:r w:rsidR="00056C45">
        <w:rPr>
          <w:lang w:val="fr-FR"/>
        </w:rPr>
        <w:t>.</w:t>
      </w:r>
    </w:p>
    <w:p w14:paraId="0A34AF70" w14:textId="58C4982D"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République de Côte d</w:t>
      </w:r>
      <w:r w:rsidR="000C16F5">
        <w:rPr>
          <w:lang w:val="fr-FR"/>
        </w:rPr>
        <w:t>’</w:t>
      </w:r>
      <w:r w:rsidR="00364BF3" w:rsidRPr="00190491">
        <w:rPr>
          <w:lang w:val="fr-FR"/>
        </w:rPr>
        <w:t>Ivoire Santé, Nutrition et Population, Rapport analytique santé/pauvreté 2010</w:t>
      </w:r>
      <w:r w:rsidR="00056C45">
        <w:rPr>
          <w:lang w:val="fr-FR"/>
        </w:rPr>
        <w:t>.</w:t>
      </w:r>
    </w:p>
    <w:p w14:paraId="223B0F9D" w14:textId="292AA069" w:rsidR="00364BF3" w:rsidRPr="0011615C" w:rsidRDefault="00CD5E97" w:rsidP="00CD5E97">
      <w:pPr>
        <w:pStyle w:val="SingleTxt"/>
        <w:tabs>
          <w:tab w:val="right" w:pos="1685"/>
        </w:tabs>
        <w:ind w:left="1742" w:hanging="475"/>
        <w:rPr>
          <w:lang w:val="fr-FR"/>
        </w:rPr>
      </w:pPr>
      <w:r>
        <w:rPr>
          <w:lang w:val="fr-FR"/>
        </w:rPr>
        <w:tab/>
        <w:t>•</w:t>
      </w:r>
      <w:r>
        <w:rPr>
          <w:lang w:val="fr-FR"/>
        </w:rPr>
        <w:tab/>
      </w:r>
      <w:r w:rsidR="00364BF3" w:rsidRPr="0011615C">
        <w:rPr>
          <w:lang w:val="fr-FR"/>
        </w:rPr>
        <w:t>Rapport Annuel sur la Situation Sanitaire de 2015 du Ministère de la Santé et de l</w:t>
      </w:r>
      <w:r w:rsidR="000C16F5">
        <w:rPr>
          <w:lang w:val="fr-FR"/>
        </w:rPr>
        <w:t>’</w:t>
      </w:r>
      <w:r w:rsidR="00364BF3" w:rsidRPr="0011615C">
        <w:rPr>
          <w:lang w:val="fr-FR"/>
        </w:rPr>
        <w:t xml:space="preserve">Hygiène Publique (Direction de la Prospection, la Planification, </w:t>
      </w:r>
      <w:r w:rsidR="00C10A78" w:rsidRPr="0011615C">
        <w:rPr>
          <w:lang w:val="fr-FR"/>
        </w:rPr>
        <w:t>Évaluation</w:t>
      </w:r>
      <w:r w:rsidR="00364BF3" w:rsidRPr="0011615C">
        <w:rPr>
          <w:lang w:val="fr-FR"/>
        </w:rPr>
        <w:t xml:space="preserve"> et l</w:t>
      </w:r>
      <w:r w:rsidR="000C16F5">
        <w:rPr>
          <w:lang w:val="fr-FR"/>
        </w:rPr>
        <w:t>’</w:t>
      </w:r>
      <w:r w:rsidR="00364BF3" w:rsidRPr="0011615C">
        <w:rPr>
          <w:lang w:val="fr-FR"/>
        </w:rPr>
        <w:t>Information Sanitaire)</w:t>
      </w:r>
      <w:r w:rsidR="00056C45">
        <w:rPr>
          <w:lang w:val="fr-FR"/>
        </w:rPr>
        <w:t>.</w:t>
      </w:r>
    </w:p>
    <w:p w14:paraId="4ED2CF27" w14:textId="59B3CEFE" w:rsidR="00364BF3" w:rsidRPr="00190491" w:rsidRDefault="00CD5E97" w:rsidP="00CD5E97">
      <w:pPr>
        <w:pStyle w:val="SingleTxt"/>
        <w:tabs>
          <w:tab w:val="right" w:pos="1685"/>
        </w:tabs>
        <w:ind w:left="1742" w:hanging="475"/>
        <w:rPr>
          <w:lang w:val="fr-FR"/>
        </w:rPr>
      </w:pPr>
      <w:r>
        <w:rPr>
          <w:lang w:val="fr-FR"/>
        </w:rPr>
        <w:tab/>
        <w:t>•</w:t>
      </w:r>
      <w:r>
        <w:rPr>
          <w:lang w:val="fr-FR"/>
        </w:rPr>
        <w:tab/>
      </w:r>
      <w:r w:rsidR="00364BF3" w:rsidRPr="00190491">
        <w:rPr>
          <w:lang w:val="fr-FR"/>
        </w:rPr>
        <w:t xml:space="preserve">Statistiques scolaires de poche 2014-2015, juin 2015, </w:t>
      </w:r>
      <w:r w:rsidR="00364BF3" w:rsidRPr="00190491">
        <w:rPr>
          <w:bCs/>
          <w:iCs/>
          <w:lang w:val="fr-FR"/>
        </w:rPr>
        <w:t xml:space="preserve">Direction des Stratégies, de la Planification et des Statistiques (DSPS) du </w:t>
      </w:r>
      <w:r w:rsidR="00364BF3" w:rsidRPr="00190491">
        <w:rPr>
          <w:lang w:val="fr-FR"/>
        </w:rPr>
        <w:t>Ministère de l</w:t>
      </w:r>
      <w:r w:rsidR="000C16F5">
        <w:rPr>
          <w:lang w:val="fr-FR"/>
        </w:rPr>
        <w:t>’</w:t>
      </w:r>
      <w:r w:rsidR="00C10A78" w:rsidRPr="00190491">
        <w:rPr>
          <w:lang w:val="fr-FR"/>
        </w:rPr>
        <w:t>Éducation</w:t>
      </w:r>
      <w:r w:rsidR="00364BF3" w:rsidRPr="00190491">
        <w:rPr>
          <w:lang w:val="fr-FR"/>
        </w:rPr>
        <w:t xml:space="preserve"> Nationale et de l</w:t>
      </w:r>
      <w:r w:rsidR="000C16F5">
        <w:rPr>
          <w:lang w:val="fr-FR"/>
        </w:rPr>
        <w:t>’</w:t>
      </w:r>
      <w:r w:rsidR="00364BF3" w:rsidRPr="00190491">
        <w:rPr>
          <w:lang w:val="fr-FR"/>
        </w:rPr>
        <w:t xml:space="preserve">Enseignement Technique </w:t>
      </w:r>
      <w:r w:rsidR="00364BF3" w:rsidRPr="00190491">
        <w:rPr>
          <w:bCs/>
          <w:lang w:val="fr-FR"/>
        </w:rPr>
        <w:t>(MENET)</w:t>
      </w:r>
      <w:r w:rsidR="00364BF3" w:rsidRPr="00190491">
        <w:rPr>
          <w:lang w:val="fr-FR"/>
        </w:rPr>
        <w:t>.</w:t>
      </w:r>
    </w:p>
    <w:bookmarkStart w:id="5" w:name="_GoBack"/>
    <w:bookmarkEnd w:id="5"/>
    <w:p w14:paraId="3727B0A6" w14:textId="11C35A3F" w:rsidR="00364BF3" w:rsidRPr="00364BF3" w:rsidRDefault="00364BF3" w:rsidP="00364BF3">
      <w:pPr>
        <w:pStyle w:val="SingleTxt"/>
        <w:spacing w:after="0" w:line="240" w:lineRule="auto"/>
        <w:rPr>
          <w:lang w:val="fr-FR"/>
        </w:rPr>
      </w:pPr>
      <w:r>
        <w:rPr>
          <w:noProof/>
          <w:w w:val="100"/>
          <w:lang w:val="fr-FR"/>
        </w:rPr>
        <mc:AlternateContent>
          <mc:Choice Requires="wps">
            <w:drawing>
              <wp:anchor distT="0" distB="0" distL="114300" distR="114300" simplePos="0" relativeHeight="251659264" behindDoc="0" locked="0" layoutInCell="1" allowOverlap="1" wp14:anchorId="0E69CDAD" wp14:editId="18372A30">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A6CC7"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64BF3" w:rsidRPr="00364BF3" w:rsidSect="00B5002C">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25T10:04:00Z" w:initials="Start">
    <w:p w14:paraId="23D5ADCD" w14:textId="77777777" w:rsidR="007B345A" w:rsidRPr="00B5002C" w:rsidRDefault="007B345A">
      <w:pPr>
        <w:pStyle w:val="CommentText"/>
        <w:rPr>
          <w:lang w:val="en-US"/>
        </w:rPr>
      </w:pPr>
      <w:r>
        <w:fldChar w:fldCharType="begin"/>
      </w:r>
      <w:r w:rsidRPr="00B5002C">
        <w:rPr>
          <w:rStyle w:val="CommentReference"/>
          <w:lang w:val="en-US"/>
        </w:rPr>
        <w:instrText xml:space="preserve"> </w:instrText>
      </w:r>
      <w:r w:rsidRPr="00B5002C">
        <w:rPr>
          <w:lang w:val="en-US"/>
        </w:rPr>
        <w:instrText>PAGE \# "'Page: '#'</w:instrText>
      </w:r>
      <w:r w:rsidRPr="00B5002C">
        <w:rPr>
          <w:lang w:val="en-US"/>
        </w:rPr>
        <w:br/>
        <w:instrText>'"</w:instrText>
      </w:r>
      <w:r w:rsidRPr="00B5002C">
        <w:rPr>
          <w:rStyle w:val="CommentReference"/>
          <w:lang w:val="en-US"/>
        </w:rPr>
        <w:instrText xml:space="preserve"> </w:instrText>
      </w:r>
      <w:r>
        <w:fldChar w:fldCharType="end"/>
      </w:r>
      <w:r>
        <w:rPr>
          <w:rStyle w:val="CommentReference"/>
        </w:rPr>
        <w:annotationRef/>
      </w:r>
      <w:r w:rsidRPr="00B5002C">
        <w:rPr>
          <w:lang w:val="en-US"/>
        </w:rPr>
        <w:t>&lt;&lt;ODS JOB NO&gt;&gt;N1821958F&lt;&lt;ODS JOB NO&gt;&gt;</w:t>
      </w:r>
    </w:p>
    <w:p w14:paraId="57795AD4" w14:textId="77777777" w:rsidR="007B345A" w:rsidRDefault="007B345A">
      <w:pPr>
        <w:pStyle w:val="CommentText"/>
      </w:pPr>
      <w:r>
        <w:t>&lt;&lt;ODS DOC SYMBOL1&gt;&gt;CEDAW/C/CIV/4&lt;&lt;ODS DOC SYMBOL1&gt;&gt;</w:t>
      </w:r>
    </w:p>
    <w:p w14:paraId="659E4A2F" w14:textId="77777777" w:rsidR="007B345A" w:rsidRDefault="007B345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9E4A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0FE2" w14:textId="77777777" w:rsidR="007B345A" w:rsidRDefault="007B345A" w:rsidP="00101B18">
      <w:pPr>
        <w:spacing w:line="240" w:lineRule="auto"/>
      </w:pPr>
      <w:r>
        <w:separator/>
      </w:r>
    </w:p>
  </w:endnote>
  <w:endnote w:type="continuationSeparator" w:id="0">
    <w:p w14:paraId="13AB823A" w14:textId="77777777" w:rsidR="007B345A" w:rsidRDefault="007B345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345A" w14:paraId="3BD885F9" w14:textId="77777777" w:rsidTr="00637F34">
      <w:tc>
        <w:tcPr>
          <w:tcW w:w="4920" w:type="dxa"/>
          <w:shd w:val="clear" w:color="auto" w:fill="auto"/>
        </w:tcPr>
        <w:p w14:paraId="6538D101" w14:textId="589359FD" w:rsidR="007B345A" w:rsidRPr="00637F34" w:rsidRDefault="007B345A" w:rsidP="00637F3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342C">
            <w:rPr>
              <w:b w:val="0"/>
              <w:w w:val="103"/>
              <w:sz w:val="14"/>
            </w:rPr>
            <w:t>18-11484</w:t>
          </w:r>
          <w:r>
            <w:rPr>
              <w:b w:val="0"/>
              <w:w w:val="103"/>
              <w:sz w:val="14"/>
            </w:rPr>
            <w:fldChar w:fldCharType="end"/>
          </w:r>
        </w:p>
      </w:tc>
      <w:tc>
        <w:tcPr>
          <w:tcW w:w="4920" w:type="dxa"/>
          <w:shd w:val="clear" w:color="auto" w:fill="auto"/>
        </w:tcPr>
        <w:p w14:paraId="4FB708C6" w14:textId="5A290B54" w:rsidR="007B345A" w:rsidRPr="00637F34" w:rsidRDefault="007B345A" w:rsidP="00637F34">
          <w:pPr>
            <w:pStyle w:val="Footer"/>
            <w:rPr>
              <w:w w:val="103"/>
            </w:rPr>
          </w:pPr>
          <w:r>
            <w:rPr>
              <w:w w:val="103"/>
            </w:rPr>
            <w:fldChar w:fldCharType="begin"/>
          </w:r>
          <w:r>
            <w:rPr>
              <w:w w:val="103"/>
            </w:rPr>
            <w:instrText xml:space="preserve"> PAGE  \* Arabic  \* MERGEFORMAT </w:instrText>
          </w:r>
          <w:r>
            <w:rPr>
              <w:w w:val="103"/>
            </w:rPr>
            <w:fldChar w:fldCharType="separate"/>
          </w:r>
          <w:r w:rsidR="00FC342C">
            <w:rPr>
              <w:noProof/>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342C">
            <w:rPr>
              <w:noProof/>
              <w:w w:val="103"/>
            </w:rPr>
            <w:t>47</w:t>
          </w:r>
          <w:r>
            <w:rPr>
              <w:w w:val="103"/>
            </w:rPr>
            <w:fldChar w:fldCharType="end"/>
          </w:r>
        </w:p>
      </w:tc>
    </w:tr>
  </w:tbl>
  <w:p w14:paraId="7C986676" w14:textId="77777777" w:rsidR="007B345A" w:rsidRPr="00637F34" w:rsidRDefault="007B345A" w:rsidP="00637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B345A" w14:paraId="2F458B1C" w14:textId="77777777" w:rsidTr="00637F34">
      <w:tc>
        <w:tcPr>
          <w:tcW w:w="4920" w:type="dxa"/>
          <w:shd w:val="clear" w:color="auto" w:fill="auto"/>
        </w:tcPr>
        <w:p w14:paraId="75D179F0" w14:textId="24524432" w:rsidR="007B345A" w:rsidRPr="00637F34" w:rsidRDefault="007B345A" w:rsidP="00637F3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C342C">
            <w:rPr>
              <w:noProof/>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C342C">
            <w:rPr>
              <w:noProof/>
              <w:w w:val="103"/>
            </w:rPr>
            <w:t>47</w:t>
          </w:r>
          <w:r>
            <w:rPr>
              <w:w w:val="103"/>
            </w:rPr>
            <w:fldChar w:fldCharType="end"/>
          </w:r>
        </w:p>
      </w:tc>
      <w:tc>
        <w:tcPr>
          <w:tcW w:w="4920" w:type="dxa"/>
          <w:shd w:val="clear" w:color="auto" w:fill="auto"/>
        </w:tcPr>
        <w:p w14:paraId="003FEBCB" w14:textId="72677F4C" w:rsidR="007B345A" w:rsidRPr="00637F34" w:rsidRDefault="007B345A" w:rsidP="00637F3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C342C">
            <w:rPr>
              <w:b w:val="0"/>
              <w:w w:val="103"/>
              <w:sz w:val="14"/>
            </w:rPr>
            <w:t>18-11484</w:t>
          </w:r>
          <w:r>
            <w:rPr>
              <w:b w:val="0"/>
              <w:w w:val="103"/>
              <w:sz w:val="14"/>
            </w:rPr>
            <w:fldChar w:fldCharType="end"/>
          </w:r>
        </w:p>
      </w:tc>
    </w:tr>
  </w:tbl>
  <w:p w14:paraId="19F68C24" w14:textId="77777777" w:rsidR="007B345A" w:rsidRPr="00637F34" w:rsidRDefault="007B345A" w:rsidP="00637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9911" w14:textId="77777777" w:rsidR="007B345A" w:rsidRDefault="007B345A">
    <w:pPr>
      <w:pStyle w:val="Footer"/>
    </w:pPr>
    <w:r>
      <w:rPr>
        <w:noProof/>
      </w:rPr>
      <w:drawing>
        <wp:anchor distT="0" distB="0" distL="114300" distR="114300" simplePos="0" relativeHeight="251658240" behindDoc="0" locked="0" layoutInCell="1" allowOverlap="1" wp14:anchorId="569CB23E" wp14:editId="546ECDB1">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CIV/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7B345A" w14:paraId="3F87FCE4" w14:textId="77777777" w:rsidTr="00637F34">
      <w:tc>
        <w:tcPr>
          <w:tcW w:w="3758" w:type="dxa"/>
        </w:tcPr>
        <w:p w14:paraId="2E84D567" w14:textId="0F8042B9" w:rsidR="007B345A" w:rsidRDefault="007B345A" w:rsidP="00637F3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C342C">
            <w:rPr>
              <w:b w:val="0"/>
              <w:sz w:val="20"/>
            </w:rPr>
            <w:t>18-11484 (F)</w:t>
          </w:r>
          <w:r>
            <w:rPr>
              <w:b w:val="0"/>
              <w:sz w:val="20"/>
            </w:rPr>
            <w:fldChar w:fldCharType="end"/>
          </w:r>
          <w:r>
            <w:rPr>
              <w:b w:val="0"/>
              <w:sz w:val="20"/>
            </w:rPr>
            <w:t xml:space="preserve">    130718    250718</w:t>
          </w:r>
        </w:p>
        <w:p w14:paraId="38FB9B0C" w14:textId="142F2F08" w:rsidR="007B345A" w:rsidRPr="00637F34" w:rsidRDefault="007B345A" w:rsidP="00637F3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C342C">
            <w:rPr>
              <w:rFonts w:ascii="Barcode 3 of 9 by request" w:hAnsi="Barcode 3 of 9 by request"/>
              <w:b w:val="0"/>
              <w:spacing w:val="0"/>
              <w:w w:val="100"/>
              <w:sz w:val="24"/>
            </w:rPr>
            <w:t>*1811484*</w:t>
          </w:r>
          <w:r>
            <w:rPr>
              <w:rFonts w:ascii="Barcode 3 of 9 by request" w:hAnsi="Barcode 3 of 9 by request"/>
              <w:b w:val="0"/>
              <w:spacing w:val="0"/>
              <w:w w:val="100"/>
              <w:sz w:val="24"/>
            </w:rPr>
            <w:fldChar w:fldCharType="end"/>
          </w:r>
        </w:p>
      </w:tc>
      <w:tc>
        <w:tcPr>
          <w:tcW w:w="4920" w:type="dxa"/>
        </w:tcPr>
        <w:p w14:paraId="2777F1E7" w14:textId="77777777" w:rsidR="007B345A" w:rsidRDefault="007B345A" w:rsidP="00637F34">
          <w:pPr>
            <w:pStyle w:val="Footer"/>
            <w:spacing w:line="240" w:lineRule="atLeast"/>
            <w:jc w:val="right"/>
            <w:rPr>
              <w:b w:val="0"/>
              <w:sz w:val="20"/>
            </w:rPr>
          </w:pPr>
          <w:r>
            <w:rPr>
              <w:b w:val="0"/>
              <w:noProof/>
              <w:sz w:val="20"/>
            </w:rPr>
            <w:drawing>
              <wp:inline distT="0" distB="0" distL="0" distR="0" wp14:anchorId="39D5CFA0" wp14:editId="5A8AFC2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EFD85BA" w14:textId="77777777" w:rsidR="007B345A" w:rsidRPr="00637F34" w:rsidRDefault="007B345A" w:rsidP="00637F3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E78E" w14:textId="01947ACA" w:rsidR="007B345A" w:rsidRPr="00300E48" w:rsidRDefault="007B345A" w:rsidP="00300E48">
      <w:pPr>
        <w:pStyle w:val="Footer"/>
        <w:spacing w:after="80"/>
        <w:ind w:left="792"/>
        <w:rPr>
          <w:sz w:val="16"/>
        </w:rPr>
      </w:pPr>
      <w:r w:rsidRPr="00300E48">
        <w:rPr>
          <w:sz w:val="16"/>
        </w:rPr>
        <w:t>__________________</w:t>
      </w:r>
    </w:p>
  </w:footnote>
  <w:footnote w:type="continuationSeparator" w:id="0">
    <w:p w14:paraId="0C118EA7" w14:textId="72D4BD12" w:rsidR="007B345A" w:rsidRPr="00300E48" w:rsidRDefault="007B345A" w:rsidP="00300E48">
      <w:pPr>
        <w:pStyle w:val="Footer"/>
        <w:spacing w:after="80"/>
        <w:ind w:left="792"/>
        <w:rPr>
          <w:sz w:val="16"/>
        </w:rPr>
      </w:pPr>
      <w:r w:rsidRPr="00300E48">
        <w:rPr>
          <w:sz w:val="16"/>
        </w:rPr>
        <w:t>__________________</w:t>
      </w:r>
    </w:p>
  </w:footnote>
  <w:footnote w:id="1">
    <w:p w14:paraId="47CD214F" w14:textId="7497C4F7" w:rsidR="007B345A" w:rsidRPr="00572F08" w:rsidRDefault="007B345A" w:rsidP="00300E48">
      <w:pPr>
        <w:pStyle w:val="FootnoteText"/>
        <w:tabs>
          <w:tab w:val="right" w:pos="1195"/>
          <w:tab w:val="left" w:pos="1267"/>
          <w:tab w:val="left" w:pos="1742"/>
          <w:tab w:val="left" w:pos="2218"/>
          <w:tab w:val="left" w:pos="2693"/>
        </w:tabs>
        <w:ind w:left="1267" w:right="1260" w:hanging="432"/>
        <w:rPr>
          <w:szCs w:val="18"/>
        </w:rPr>
      </w:pPr>
      <w:r w:rsidRPr="008E0275">
        <w:rPr>
          <w:rStyle w:val="FootnoteReference"/>
          <w:szCs w:val="18"/>
        </w:rPr>
        <w:tab/>
      </w:r>
      <w:r>
        <w:rPr>
          <w:szCs w:val="18"/>
        </w:rPr>
        <w:t>*</w:t>
      </w:r>
      <w:r w:rsidRPr="008E0275">
        <w:rPr>
          <w:rStyle w:val="FootnoteReference"/>
          <w:szCs w:val="18"/>
        </w:rPr>
        <w:tab/>
      </w:r>
      <w:r w:rsidRPr="008E0275">
        <w:rPr>
          <w:szCs w:val="18"/>
        </w:rPr>
        <w:t>La version originale du présent document n</w:t>
      </w:r>
      <w:r>
        <w:rPr>
          <w:szCs w:val="18"/>
        </w:rPr>
        <w:t>’</w:t>
      </w:r>
      <w:r w:rsidRPr="008E0275">
        <w:rPr>
          <w:szCs w:val="18"/>
        </w:rPr>
        <w:t>a pas été revue par les services d</w:t>
      </w:r>
      <w:r>
        <w:rPr>
          <w:szCs w:val="18"/>
        </w:rPr>
        <w:t>’</w:t>
      </w:r>
      <w:r w:rsidRPr="008E0275">
        <w:rPr>
          <w:szCs w:val="18"/>
        </w:rPr>
        <w:t>édition.</w:t>
      </w:r>
    </w:p>
  </w:footnote>
  <w:footnote w:id="2">
    <w:p w14:paraId="4B2EDFB0" w14:textId="39DEB244" w:rsidR="007B345A" w:rsidRPr="000C77DD"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Notons que ce réseau n</w:t>
      </w:r>
      <w:r>
        <w:t>’</w:t>
      </w:r>
      <w:r w:rsidRPr="00615B2D">
        <w:t>est plus opérationnel à ce jour</w:t>
      </w:r>
      <w:r>
        <w:t>.</w:t>
      </w:r>
    </w:p>
  </w:footnote>
  <w:footnote w:id="3">
    <w:p w14:paraId="604839B4" w14:textId="6420E430" w:rsidR="007B345A" w:rsidRPr="000C77DD"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Le Projet d</w:t>
      </w:r>
      <w:r>
        <w:t>’</w:t>
      </w:r>
      <w:r w:rsidRPr="00615B2D">
        <w:t>appui à l</w:t>
      </w:r>
      <w:r>
        <w:t>’</w:t>
      </w:r>
      <w:r w:rsidRPr="00615B2D">
        <w:t>amélioration de l</w:t>
      </w:r>
      <w:r>
        <w:t>’</w:t>
      </w:r>
      <w:r w:rsidRPr="00615B2D">
        <w:t>accès aux droits et à la justice (PALAJ) a été officiellement lancé en mars 2013 par l</w:t>
      </w:r>
      <w:r>
        <w:t>’</w:t>
      </w:r>
      <w:r w:rsidRPr="00615B2D">
        <w:t>ONUCI, l</w:t>
      </w:r>
      <w:r>
        <w:t>’</w:t>
      </w:r>
      <w:r w:rsidRPr="00615B2D">
        <w:t>Union Européenne, l</w:t>
      </w:r>
      <w:r>
        <w:t>’</w:t>
      </w:r>
      <w:r w:rsidRPr="00615B2D">
        <w:t>UNICEF, le PNUD et l</w:t>
      </w:r>
      <w:r>
        <w:t>’</w:t>
      </w:r>
      <w:r w:rsidRPr="00615B2D">
        <w:t>AFJCI). Il vise au rapprochement entre la justice et les justiciables à travers le renforcement des capacités des individus et groupes vulnérables sur les droits humains.</w:t>
      </w:r>
    </w:p>
  </w:footnote>
  <w:footnote w:id="4">
    <w:p w14:paraId="4DDA9544" w14:textId="28F36503" w:rsidR="007B345A" w:rsidRPr="000C77DD"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0C77DD">
        <w:t>La franchise sociale est caractérisée par des subventions accordées par les gouvernements sur des fonds publics et par les bailleurs de fonds (UNFPA) aux groupes à faibles revenus (groupements des femmes et des jeunes en âge de procréer) afin qu</w:t>
      </w:r>
      <w:r>
        <w:t>’</w:t>
      </w:r>
      <w:r w:rsidRPr="000C77DD">
        <w:t>ils mènent des activités qui puissent générer un revenu financier leur permettant d</w:t>
      </w:r>
      <w:r>
        <w:t>’</w:t>
      </w:r>
      <w:r w:rsidRPr="000C77DD">
        <w:t>assurer les frais d</w:t>
      </w:r>
      <w:r>
        <w:t>’</w:t>
      </w:r>
      <w:r w:rsidRPr="000C77DD">
        <w:t>utilisation des services de santé. Dans le cas présent, l</w:t>
      </w:r>
      <w:r>
        <w:t>’</w:t>
      </w:r>
      <w:r w:rsidRPr="000C77DD">
        <w:t>accent a été mis sur l</w:t>
      </w:r>
      <w:r>
        <w:t>’</w:t>
      </w:r>
      <w:r w:rsidRPr="000C77DD">
        <w:t>accès et l</w:t>
      </w:r>
      <w:r>
        <w:t>’</w:t>
      </w:r>
      <w:r w:rsidRPr="000C77DD">
        <w:t>utilisation des services de santé de la reproduction notamment la PF. Le principe est que les groupes sociaux bénéficiaires de la subvention pendant qu</w:t>
      </w:r>
      <w:r>
        <w:t>’</w:t>
      </w:r>
      <w:r w:rsidRPr="000C77DD">
        <w:t>ils mènent des activités qui leur procurent un revenu financier soient sensibilisés sur la SR-PF et décident librement sans contrainte d</w:t>
      </w:r>
      <w:r>
        <w:t>’</w:t>
      </w:r>
      <w:r w:rsidRPr="000C77DD">
        <w:t>utiliser les services. Par ailleurs, ces groupes mobilisent et sensibilisent leurs pairs au sein de la communauté pour accroitre leurs connaissances sur la SR-PF et favoriser la transformation positive des attitudes et comportements.</w:t>
      </w:r>
    </w:p>
  </w:footnote>
  <w:footnote w:id="5">
    <w:p w14:paraId="559D3A9A" w14:textId="58044E63" w:rsidR="007B345A" w:rsidRPr="000C77DD"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Ministère de la Promotion de la Femme, de la Famille et de la Protection de l</w:t>
      </w:r>
      <w:r>
        <w:t>’</w:t>
      </w:r>
      <w:r w:rsidRPr="00615B2D">
        <w:t>Enfant, Ministre de l</w:t>
      </w:r>
      <w:r>
        <w:t>’</w:t>
      </w:r>
      <w:r w:rsidRPr="00615B2D">
        <w:t>Éducation Nationale et Ministre du Commerce</w:t>
      </w:r>
      <w:r>
        <w:t>.</w:t>
      </w:r>
    </w:p>
  </w:footnote>
  <w:footnote w:id="6">
    <w:p w14:paraId="0BDE0B2D" w14:textId="5D3504DC" w:rsidR="007B345A" w:rsidRPr="000C77DD"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TrackingResultsContinously (TRaC). Il s</w:t>
      </w:r>
      <w:r>
        <w:t>’</w:t>
      </w:r>
      <w:r w:rsidRPr="00615B2D">
        <w:t>agit d</w:t>
      </w:r>
      <w:r>
        <w:t>’</w:t>
      </w:r>
      <w:r w:rsidRPr="00615B2D">
        <w:t>une approche de recherche opérationnelle développée par Population Services International (PSI), une ONG américaine basée à Washington DC, pour faciliter la prise de décision dans le domaine du marketing social des produits de santé afin d</w:t>
      </w:r>
      <w:r>
        <w:t>’</w:t>
      </w:r>
      <w:r w:rsidRPr="00615B2D">
        <w:t>accroître l</w:t>
      </w:r>
      <w:r>
        <w:t>’</w:t>
      </w:r>
      <w:r w:rsidRPr="00615B2D">
        <w:t>impact des interventions sur la santé des populations. Premier passage en Côte d</w:t>
      </w:r>
      <w:r>
        <w:t>’</w:t>
      </w:r>
      <w:r w:rsidRPr="00615B2D">
        <w:t>Ivoire, Rapport 2014</w:t>
      </w:r>
      <w:r>
        <w:t>.</w:t>
      </w:r>
    </w:p>
  </w:footnote>
  <w:footnote w:id="7">
    <w:p w14:paraId="605F8008" w14:textId="22D86F29" w:rsidR="007B345A" w:rsidRPr="000C77DD"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0C77DD">
        <w:t>Le viol est tout acte de pénétration vaginale, anale ou buccale sans consentement (même superficielle), à l</w:t>
      </w:r>
      <w:r>
        <w:t>’</w:t>
      </w:r>
      <w:r w:rsidRPr="000C77DD">
        <w:t>aide du pénis ou d</w:t>
      </w:r>
      <w:r>
        <w:t>’</w:t>
      </w:r>
      <w:r w:rsidRPr="000C77DD">
        <w:t>une autre partie du corps. S</w:t>
      </w:r>
      <w:r>
        <w:t>’</w:t>
      </w:r>
      <w:r w:rsidRPr="000C77DD">
        <w:t>applique également à l</w:t>
      </w:r>
      <w:r>
        <w:t>’</w:t>
      </w:r>
      <w:r w:rsidRPr="000C77DD">
        <w:t>insertion d</w:t>
      </w:r>
      <w:r>
        <w:t>’</w:t>
      </w:r>
      <w:r w:rsidRPr="000C77DD">
        <w:t>un objet dans le vagin ou l</w:t>
      </w:r>
      <w:r>
        <w:t>’</w:t>
      </w:r>
      <w:r w:rsidRPr="000C77DD">
        <w:t>anus.</w:t>
      </w:r>
    </w:p>
  </w:footnote>
  <w:footnote w:id="8">
    <w:p w14:paraId="4ABFA612" w14:textId="77D91023"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L</w:t>
      </w:r>
      <w:r w:rsidRPr="00615B2D">
        <w:t xml:space="preserve">a résolution </w:t>
      </w:r>
      <w:hyperlink r:id="rId1" w:history="1">
        <w:r w:rsidRPr="007B345A">
          <w:rPr>
            <w:rStyle w:val="Hyperlink"/>
          </w:rPr>
          <w:t>1960 (2010)</w:t>
        </w:r>
      </w:hyperlink>
      <w:r w:rsidRPr="00615B2D">
        <w:rPr>
          <w:rStyle w:val="FootnoteReference"/>
        </w:rPr>
        <w:footnoteRef/>
      </w:r>
      <w:r w:rsidRPr="00615B2D">
        <w:t>dans laquelle le Conseil de sécurité a demandé au Secrétaire général de dresser la liste des parties soupçonnées de manière crédible de commettre des violences sexuelles ou d</w:t>
      </w:r>
      <w:r>
        <w:t>’</w:t>
      </w:r>
      <w:r w:rsidRPr="00615B2D">
        <w:t>en être responsables dans les situations inscrites à l</w:t>
      </w:r>
      <w:r>
        <w:t>’</w:t>
      </w:r>
      <w:r w:rsidRPr="00615B2D">
        <w:t>ordre du jour du Conseil et qui demande que soient pris des arrangements en matière de suivi, d</w:t>
      </w:r>
      <w:r>
        <w:t>’</w:t>
      </w:r>
      <w:r w:rsidRPr="00615B2D">
        <w:t>analyse et d</w:t>
      </w:r>
      <w:r>
        <w:t>’</w:t>
      </w:r>
      <w:r w:rsidRPr="00615B2D">
        <w:t>établissement de rapport concernant expressément les violences sexuelles liées aux conflits (MARA)</w:t>
      </w:r>
      <w:r>
        <w:t>.</w:t>
      </w:r>
    </w:p>
  </w:footnote>
  <w:footnote w:id="9">
    <w:p w14:paraId="3552E159" w14:textId="77777777"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rPr>
          <w:lang w:val="en-GB"/>
        </w:rPr>
      </w:pPr>
      <w:r>
        <w:tab/>
      </w:r>
      <w:r>
        <w:rPr>
          <w:rStyle w:val="FootnoteReference"/>
        </w:rPr>
        <w:footnoteRef/>
      </w:r>
      <w:r w:rsidRPr="002F05CB">
        <w:rPr>
          <w:lang w:val="en-GB"/>
        </w:rPr>
        <w:tab/>
      </w:r>
      <w:r w:rsidRPr="00615B2D">
        <w:rPr>
          <w:rFonts w:eastAsia="Calibri"/>
          <w:lang w:val="en-GB"/>
        </w:rPr>
        <w:t>CERF ou Central Emergency Response Fund</w:t>
      </w:r>
      <w:r>
        <w:rPr>
          <w:rFonts w:eastAsia="Calibri"/>
          <w:lang w:val="en-GB"/>
        </w:rPr>
        <w:t>.</w:t>
      </w:r>
    </w:p>
  </w:footnote>
  <w:footnote w:id="10">
    <w:p w14:paraId="479BE0E2" w14:textId="77777777"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rPr>
          <w:lang w:val="en-GB"/>
        </w:rPr>
      </w:pPr>
      <w:r w:rsidRPr="00923F56">
        <w:rPr>
          <w:lang w:val="en-GB"/>
        </w:rPr>
        <w:tab/>
      </w:r>
      <w:r>
        <w:rPr>
          <w:rStyle w:val="FootnoteReference"/>
        </w:rPr>
        <w:footnoteRef/>
      </w:r>
      <w:r w:rsidRPr="002F05CB">
        <w:rPr>
          <w:lang w:val="en-GB"/>
        </w:rPr>
        <w:tab/>
      </w:r>
      <w:r w:rsidRPr="002F05CB">
        <w:rPr>
          <w:rStyle w:val="st1"/>
          <w:lang w:val="en-GB"/>
        </w:rPr>
        <w:t>Office of Foreign Disaster Assistance</w:t>
      </w:r>
      <w:r>
        <w:rPr>
          <w:rStyle w:val="st1"/>
          <w:lang w:val="en-GB"/>
        </w:rPr>
        <w:t>.</w:t>
      </w:r>
    </w:p>
  </w:footnote>
  <w:footnote w:id="11">
    <w:p w14:paraId="420F17DE" w14:textId="58AEC9F1"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rsidRPr="00923F56">
        <w:rPr>
          <w:lang w:val="en-GB"/>
        </w:rPr>
        <w:tab/>
      </w:r>
      <w:r>
        <w:rPr>
          <w:rStyle w:val="FootnoteReference"/>
        </w:rPr>
        <w:footnoteRef/>
      </w:r>
      <w:r>
        <w:tab/>
      </w:r>
      <w:r w:rsidRPr="00615B2D">
        <w:t>Vulnérabilité des jeunes filles face au VIH/sida en Côte d</w:t>
      </w:r>
      <w:r>
        <w:t>’</w:t>
      </w:r>
      <w:r w:rsidRPr="00615B2D">
        <w:t>Ivoire - Une analyse genre</w:t>
      </w:r>
      <w:r>
        <w:t>.</w:t>
      </w:r>
    </w:p>
  </w:footnote>
  <w:footnote w:id="12">
    <w:p w14:paraId="58136A5A" w14:textId="629520FB" w:rsidR="007B345A" w:rsidRPr="002F05CB" w:rsidRDefault="007B345A" w:rsidP="00300E4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615B2D">
        <w:t>« </w:t>
      </w:r>
      <w:r w:rsidRPr="00615B2D">
        <w:rPr>
          <w:rFonts w:eastAsia="Tahoma"/>
        </w:rPr>
        <w:t>Analyse situationnelle des facteurs de vulnérabilité socioéconomiques des jeunes filles victimes d</w:t>
      </w:r>
      <w:r>
        <w:rPr>
          <w:rFonts w:eastAsia="Tahoma"/>
        </w:rPr>
        <w:t>’</w:t>
      </w:r>
      <w:r w:rsidRPr="00615B2D">
        <w:rPr>
          <w:rFonts w:eastAsia="Tahoma"/>
        </w:rPr>
        <w:t>exploitation sexuelle face au VIH/SIDA, de leur accès aux services de santé de la reproduction et au planning familial dans le cadre de la mise en œuvre du Programme du Fonds Mondial VIH Volet communautaire »</w:t>
      </w:r>
      <w:r>
        <w:t>.</w:t>
      </w:r>
    </w:p>
  </w:footnote>
  <w:footnote w:id="13">
    <w:p w14:paraId="7BE3DC34" w14:textId="77777777"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Données du personnel fournies par le cabinet de la justice</w:t>
      </w:r>
      <w:r>
        <w:t>.</w:t>
      </w:r>
    </w:p>
  </w:footnote>
  <w:footnote w:id="14">
    <w:p w14:paraId="6D784261" w14:textId="77777777"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Idem.</w:t>
      </w:r>
    </w:p>
  </w:footnote>
  <w:footnote w:id="15">
    <w:p w14:paraId="39977D13" w14:textId="77777777"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Ibidem. </w:t>
      </w:r>
    </w:p>
  </w:footnote>
  <w:footnote w:id="16">
    <w:p w14:paraId="03A602DF" w14:textId="77777777"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Ibidem. </w:t>
      </w:r>
    </w:p>
  </w:footnote>
  <w:footnote w:id="17">
    <w:p w14:paraId="12C8C4A2" w14:textId="5E4C5E9A" w:rsidR="007B345A" w:rsidRPr="002F05CB"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Rapport descriptif sur la situation de l</w:t>
      </w:r>
      <w:r>
        <w:t>’</w:t>
      </w:r>
      <w:r w:rsidRPr="00615B2D">
        <w:t>emploi 2014</w:t>
      </w:r>
      <w:r>
        <w:t>.</w:t>
      </w:r>
    </w:p>
  </w:footnote>
  <w:footnote w:id="18">
    <w:p w14:paraId="3B2C475B" w14:textId="328243C3"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Situation de l</w:t>
      </w:r>
      <w:r>
        <w:t>’</w:t>
      </w:r>
      <w:r w:rsidRPr="00615B2D">
        <w:t>emploi en Côte d</w:t>
      </w:r>
      <w:r>
        <w:t>’</w:t>
      </w:r>
      <w:r w:rsidRPr="00615B2D">
        <w:t>Ivoire en 2013</w:t>
      </w:r>
      <w:r>
        <w:t>.</w:t>
      </w:r>
    </w:p>
  </w:footnote>
  <w:footnote w:id="19">
    <w:p w14:paraId="2CBA32FE" w14:textId="3FCA7838"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Les personnes hors de la main-d</w:t>
      </w:r>
      <w:r>
        <w:t>’</w:t>
      </w:r>
      <w:r w:rsidRPr="00615B2D">
        <w:t>œuvre sont les personnes en âge de travailler qui ne sont ni en emploi ni au chômage durant la courte période de référence. Elles sont principalement composées (74,8</w:t>
      </w:r>
      <w:r>
        <w:t> </w:t>
      </w:r>
      <w:r w:rsidRPr="00615B2D">
        <w:t>%) de personnes au travail (mais pas en emploi) pour la consommation personnelle (producteurs d</w:t>
      </w:r>
      <w:r>
        <w:t>’</w:t>
      </w:r>
      <w:r w:rsidRPr="00615B2D">
        <w:t>aliments de subsistance, autres travaux de production pour la consommation personnelle). Cette population comprend aussi bien la main d</w:t>
      </w:r>
      <w:r>
        <w:t>’</w:t>
      </w:r>
      <w:r w:rsidRPr="00615B2D">
        <w:t>œuvre potentielle (5,6</w:t>
      </w:r>
      <w:r>
        <w:t> </w:t>
      </w:r>
      <w:r w:rsidRPr="00615B2D">
        <w:t>%) que les autres individus hors main d</w:t>
      </w:r>
      <w:r>
        <w:t>’</w:t>
      </w:r>
      <w:r w:rsidRPr="00615B2D">
        <w:t>œuvre (19,6</w:t>
      </w:r>
      <w:r>
        <w:t> </w:t>
      </w:r>
      <w:r w:rsidRPr="00615B2D">
        <w:t>%).</w:t>
      </w:r>
    </w:p>
  </w:footnote>
  <w:footnote w:id="20">
    <w:p w14:paraId="7E43184E" w14:textId="2E4280C5"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Les emplois indépendants non agricoles sont, dans leur ensemble, informels (99,5</w:t>
      </w:r>
      <w:r>
        <w:t> </w:t>
      </w:r>
      <w:r w:rsidRPr="00615B2D">
        <w:t>%). Quel que soit la caractéristique sociodémographique considérée, l</w:t>
      </w:r>
      <w:r>
        <w:t>’</w:t>
      </w:r>
      <w:r w:rsidRPr="00615B2D">
        <w:t>emploi indépendant non agricole est essentiellement informel</w:t>
      </w:r>
      <w:r>
        <w:t>.</w:t>
      </w:r>
    </w:p>
  </w:footnote>
  <w:footnote w:id="21">
    <w:p w14:paraId="6F0866F6" w14:textId="2B77EC06"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Politiques et dispositifs d</w:t>
      </w:r>
      <w:r>
        <w:t>’</w:t>
      </w:r>
      <w:r w:rsidRPr="00615B2D">
        <w:t>insertion professionnelle et de création d</w:t>
      </w:r>
      <w:r>
        <w:t>’</w:t>
      </w:r>
      <w:r w:rsidRPr="00615B2D">
        <w:t>emploi, Rapport provisoire, Mars</w:t>
      </w:r>
      <w:r>
        <w:t>.</w:t>
      </w:r>
    </w:p>
  </w:footnote>
  <w:footnote w:id="22">
    <w:p w14:paraId="0861F233" w14:textId="13FED749"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Épidémiologie des avortements provoqués en Côte d</w:t>
      </w:r>
      <w:r>
        <w:t>’</w:t>
      </w:r>
      <w:r w:rsidRPr="00615B2D">
        <w:t>Ivoire, 2012, Joseph Benié Bi Bro et al, CAIRN.</w:t>
      </w:r>
    </w:p>
  </w:footnote>
  <w:footnote w:id="23">
    <w:p w14:paraId="309538A3" w14:textId="63FA7395"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Courrier de Réponse du Sous-comité d</w:t>
      </w:r>
      <w:r>
        <w:t>’</w:t>
      </w:r>
      <w:r w:rsidRPr="00615B2D">
        <w:t>accréditation de l</w:t>
      </w:r>
      <w:r>
        <w:t>’</w:t>
      </w:r>
      <w:r w:rsidRPr="00615B2D">
        <w:t>Alliance Globale des Institutions Nationales pour la promotion et la protection des Droits de l</w:t>
      </w:r>
      <w:r>
        <w:t>’</w:t>
      </w:r>
      <w:r w:rsidRPr="00615B2D">
        <w:t>Homme (GANHRI)</w:t>
      </w:r>
      <w:r>
        <w:t>.</w:t>
      </w:r>
    </w:p>
  </w:footnote>
  <w:footnote w:id="24">
    <w:p w14:paraId="67AAA233" w14:textId="77777777" w:rsidR="007B345A" w:rsidRPr="00B22F42" w:rsidRDefault="007B345A" w:rsidP="00300E4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615B2D">
        <w:t>Gender score card, constitue le United Nations System-wide Policy on Gender</w:t>
      </w:r>
      <w:r>
        <w:t xml:space="preserve"> </w:t>
      </w:r>
      <w:r w:rsidRPr="00615B2D">
        <w:t>Equality and the Empowerment of Women- SWAP (2006)</w:t>
      </w:r>
      <w:r>
        <w:t xml:space="preserve"> </w:t>
      </w:r>
      <w:r w:rsidRPr="00615B2D">
        <w:t>et la résolution 1325 du Conseil de sécurité sur les Femmes, la Paix et la Sécurité (2000). Les trois cadres adoptés par le GNUD en vue de rendre des comptes sur le développement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B345A" w14:paraId="4A97FBA2" w14:textId="77777777" w:rsidTr="00637F34">
      <w:trPr>
        <w:trHeight w:hRule="exact" w:val="864"/>
      </w:trPr>
      <w:tc>
        <w:tcPr>
          <w:tcW w:w="4920" w:type="dxa"/>
          <w:shd w:val="clear" w:color="auto" w:fill="auto"/>
          <w:vAlign w:val="bottom"/>
        </w:tcPr>
        <w:p w14:paraId="2DC9ADE0" w14:textId="0144E26F" w:rsidR="007B345A" w:rsidRPr="00637F34" w:rsidRDefault="007B345A" w:rsidP="00637F3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342C">
            <w:rPr>
              <w:b/>
              <w:color w:val="000000"/>
            </w:rPr>
            <w:t>CEDAW/C/CIV/4</w:t>
          </w:r>
          <w:r>
            <w:rPr>
              <w:b/>
              <w:color w:val="000000"/>
            </w:rPr>
            <w:fldChar w:fldCharType="end"/>
          </w:r>
        </w:p>
      </w:tc>
      <w:tc>
        <w:tcPr>
          <w:tcW w:w="4920" w:type="dxa"/>
          <w:shd w:val="clear" w:color="auto" w:fill="auto"/>
          <w:vAlign w:val="bottom"/>
        </w:tcPr>
        <w:p w14:paraId="2D2048DC" w14:textId="77777777" w:rsidR="007B345A" w:rsidRDefault="007B345A" w:rsidP="00637F34">
          <w:pPr>
            <w:pStyle w:val="Header"/>
          </w:pPr>
        </w:p>
      </w:tc>
    </w:tr>
  </w:tbl>
  <w:p w14:paraId="439D5C47" w14:textId="77777777" w:rsidR="007B345A" w:rsidRPr="00637F34" w:rsidRDefault="007B345A" w:rsidP="00637F3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B345A" w14:paraId="5EFFEB31" w14:textId="77777777" w:rsidTr="00637F34">
      <w:trPr>
        <w:trHeight w:hRule="exact" w:val="864"/>
      </w:trPr>
      <w:tc>
        <w:tcPr>
          <w:tcW w:w="4920" w:type="dxa"/>
          <w:shd w:val="clear" w:color="auto" w:fill="auto"/>
          <w:vAlign w:val="bottom"/>
        </w:tcPr>
        <w:p w14:paraId="5872497A" w14:textId="77777777" w:rsidR="007B345A" w:rsidRDefault="007B345A" w:rsidP="00637F34">
          <w:pPr>
            <w:pStyle w:val="Header"/>
          </w:pPr>
        </w:p>
      </w:tc>
      <w:tc>
        <w:tcPr>
          <w:tcW w:w="4920" w:type="dxa"/>
          <w:shd w:val="clear" w:color="auto" w:fill="auto"/>
          <w:vAlign w:val="bottom"/>
        </w:tcPr>
        <w:p w14:paraId="3379B41F" w14:textId="48E20BD1" w:rsidR="007B345A" w:rsidRPr="00637F34" w:rsidRDefault="007B345A" w:rsidP="00637F3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C342C">
            <w:rPr>
              <w:b/>
              <w:color w:val="000000"/>
            </w:rPr>
            <w:t>CEDAW/C/CIV/4</w:t>
          </w:r>
          <w:r>
            <w:rPr>
              <w:b/>
              <w:color w:val="000000"/>
            </w:rPr>
            <w:fldChar w:fldCharType="end"/>
          </w:r>
        </w:p>
      </w:tc>
    </w:tr>
  </w:tbl>
  <w:p w14:paraId="1AEEA027" w14:textId="77777777" w:rsidR="007B345A" w:rsidRPr="00637F34" w:rsidRDefault="007B345A" w:rsidP="00637F3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B345A" w14:paraId="1397E5C9" w14:textId="77777777" w:rsidTr="00637F34">
      <w:trPr>
        <w:trHeight w:hRule="exact" w:val="864"/>
      </w:trPr>
      <w:tc>
        <w:tcPr>
          <w:tcW w:w="1267" w:type="dxa"/>
          <w:tcBorders>
            <w:bottom w:val="single" w:sz="4" w:space="0" w:color="auto"/>
          </w:tcBorders>
          <w:shd w:val="clear" w:color="auto" w:fill="auto"/>
          <w:vAlign w:val="bottom"/>
        </w:tcPr>
        <w:p w14:paraId="7B8E04C1" w14:textId="77777777" w:rsidR="007B345A" w:rsidRDefault="007B345A" w:rsidP="00637F34">
          <w:pPr>
            <w:pStyle w:val="Header"/>
            <w:spacing w:after="120"/>
          </w:pPr>
        </w:p>
      </w:tc>
      <w:tc>
        <w:tcPr>
          <w:tcW w:w="2059" w:type="dxa"/>
          <w:tcBorders>
            <w:bottom w:val="single" w:sz="4" w:space="0" w:color="auto"/>
          </w:tcBorders>
          <w:shd w:val="clear" w:color="auto" w:fill="auto"/>
          <w:vAlign w:val="bottom"/>
        </w:tcPr>
        <w:p w14:paraId="125968B6" w14:textId="77777777" w:rsidR="007B345A" w:rsidRPr="00637F34" w:rsidRDefault="007B345A" w:rsidP="00637F3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B12C6B1" w14:textId="77777777" w:rsidR="007B345A" w:rsidRDefault="007B345A" w:rsidP="00637F34">
          <w:pPr>
            <w:pStyle w:val="Header"/>
            <w:spacing w:after="120"/>
          </w:pPr>
        </w:p>
      </w:tc>
      <w:tc>
        <w:tcPr>
          <w:tcW w:w="6466" w:type="dxa"/>
          <w:gridSpan w:val="3"/>
          <w:tcBorders>
            <w:bottom w:val="single" w:sz="4" w:space="0" w:color="auto"/>
          </w:tcBorders>
          <w:shd w:val="clear" w:color="auto" w:fill="auto"/>
          <w:vAlign w:val="bottom"/>
        </w:tcPr>
        <w:p w14:paraId="6A5D2D18" w14:textId="77777777" w:rsidR="007B345A" w:rsidRPr="00637F34" w:rsidRDefault="007B345A" w:rsidP="00637F34">
          <w:pPr>
            <w:spacing w:after="80" w:line="240" w:lineRule="auto"/>
            <w:jc w:val="right"/>
            <w:rPr>
              <w:position w:val="-4"/>
            </w:rPr>
          </w:pPr>
          <w:r>
            <w:rPr>
              <w:position w:val="-4"/>
              <w:sz w:val="40"/>
            </w:rPr>
            <w:t>CEDAW</w:t>
          </w:r>
          <w:r>
            <w:rPr>
              <w:position w:val="-4"/>
            </w:rPr>
            <w:t>/C/CIV/4</w:t>
          </w:r>
        </w:p>
      </w:tc>
    </w:tr>
    <w:tr w:rsidR="007B345A" w:rsidRPr="00637F34" w14:paraId="38FB9E99" w14:textId="77777777" w:rsidTr="00637F34">
      <w:trPr>
        <w:trHeight w:hRule="exact" w:val="2880"/>
      </w:trPr>
      <w:tc>
        <w:tcPr>
          <w:tcW w:w="1267" w:type="dxa"/>
          <w:tcBorders>
            <w:top w:val="single" w:sz="4" w:space="0" w:color="auto"/>
            <w:bottom w:val="single" w:sz="12" w:space="0" w:color="auto"/>
          </w:tcBorders>
          <w:shd w:val="clear" w:color="auto" w:fill="auto"/>
        </w:tcPr>
        <w:p w14:paraId="4557115B" w14:textId="77777777" w:rsidR="007B345A" w:rsidRPr="00637F34" w:rsidRDefault="007B345A" w:rsidP="00637F34">
          <w:pPr>
            <w:pStyle w:val="Header"/>
            <w:spacing w:before="120" w:line="240" w:lineRule="auto"/>
            <w:ind w:left="-72"/>
            <w:jc w:val="center"/>
          </w:pPr>
          <w:r>
            <w:t xml:space="preserve">  </w:t>
          </w:r>
          <w:r>
            <w:rPr>
              <w:noProof/>
            </w:rPr>
            <w:drawing>
              <wp:inline distT="0" distB="0" distL="0" distR="0" wp14:anchorId="275EFEDD" wp14:editId="026422E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41B8E2" w14:textId="124EDB28" w:rsidR="007B345A" w:rsidRPr="00637F34" w:rsidRDefault="007B345A" w:rsidP="00637F3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4C5E945C" w14:textId="77777777" w:rsidR="007B345A" w:rsidRPr="00B5002C" w:rsidRDefault="007B345A" w:rsidP="00637F34">
          <w:pPr>
            <w:pStyle w:val="Header"/>
            <w:spacing w:before="109"/>
            <w:rPr>
              <w:lang w:val="fr-FR"/>
            </w:rPr>
          </w:pPr>
        </w:p>
      </w:tc>
      <w:tc>
        <w:tcPr>
          <w:tcW w:w="3110" w:type="dxa"/>
          <w:tcBorders>
            <w:top w:val="single" w:sz="4" w:space="0" w:color="auto"/>
            <w:bottom w:val="single" w:sz="12" w:space="0" w:color="auto"/>
          </w:tcBorders>
          <w:shd w:val="clear" w:color="auto" w:fill="auto"/>
        </w:tcPr>
        <w:p w14:paraId="636E7A97" w14:textId="77777777" w:rsidR="007B345A" w:rsidRPr="00B5002C" w:rsidRDefault="007B345A" w:rsidP="00637F34">
          <w:pPr>
            <w:pStyle w:val="Distribution"/>
            <w:rPr>
              <w:color w:val="000000"/>
              <w:lang w:val="fr-FR"/>
            </w:rPr>
          </w:pPr>
          <w:r w:rsidRPr="00B5002C">
            <w:rPr>
              <w:color w:val="000000"/>
              <w:lang w:val="fr-FR"/>
            </w:rPr>
            <w:t>Distr. générale</w:t>
          </w:r>
        </w:p>
        <w:p w14:paraId="2061E5A6" w14:textId="2851B575" w:rsidR="007B345A" w:rsidRPr="00B5002C" w:rsidRDefault="007B345A" w:rsidP="00637F34">
          <w:pPr>
            <w:pStyle w:val="Publication"/>
            <w:rPr>
              <w:color w:val="000000"/>
              <w:lang w:val="fr-FR"/>
            </w:rPr>
          </w:pPr>
          <w:r w:rsidRPr="00B5002C">
            <w:rPr>
              <w:color w:val="000000"/>
              <w:lang w:val="fr-FR"/>
            </w:rPr>
            <w:t>11 juillet 2018</w:t>
          </w:r>
        </w:p>
        <w:p w14:paraId="66B3CF45" w14:textId="45A7D613" w:rsidR="007B345A" w:rsidRPr="00B5002C" w:rsidRDefault="007B345A" w:rsidP="00637F34">
          <w:pPr>
            <w:rPr>
              <w:lang w:val="fr-FR"/>
            </w:rPr>
          </w:pPr>
        </w:p>
        <w:p w14:paraId="07A39F7C" w14:textId="435D902C" w:rsidR="007B345A" w:rsidRPr="00B5002C" w:rsidRDefault="007B345A" w:rsidP="00637F34">
          <w:pPr>
            <w:pStyle w:val="Original"/>
            <w:rPr>
              <w:color w:val="000000"/>
              <w:lang w:val="fr-FR"/>
            </w:rPr>
          </w:pPr>
          <w:r w:rsidRPr="00B5002C">
            <w:rPr>
              <w:color w:val="000000"/>
              <w:lang w:val="fr-FR"/>
            </w:rPr>
            <w:t>Original</w:t>
          </w:r>
          <w:r>
            <w:rPr>
              <w:color w:val="000000"/>
              <w:lang w:val="fr-FR"/>
            </w:rPr>
            <w:t> :</w:t>
          </w:r>
          <w:r w:rsidRPr="00B5002C">
            <w:rPr>
              <w:color w:val="000000"/>
              <w:lang w:val="fr-FR"/>
            </w:rPr>
            <w:t xml:space="preserve"> français</w:t>
          </w:r>
        </w:p>
        <w:p w14:paraId="1B236C3A" w14:textId="32929BC2" w:rsidR="007B345A" w:rsidRPr="00B5002C" w:rsidRDefault="007B345A" w:rsidP="00B5002C">
          <w:pPr>
            <w:rPr>
              <w:lang w:val="fr-FR"/>
            </w:rPr>
          </w:pPr>
          <w:r w:rsidRPr="00B5002C">
            <w:rPr>
              <w:lang w:val="fr-FR"/>
            </w:rPr>
            <w:t>Anglais, espagnol et français seulement</w:t>
          </w:r>
        </w:p>
      </w:tc>
    </w:tr>
  </w:tbl>
  <w:p w14:paraId="28002FE5" w14:textId="77777777" w:rsidR="007B345A" w:rsidRPr="00B5002C" w:rsidRDefault="007B345A" w:rsidP="00637F3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2907"/>
        </w:tabs>
        <w:ind w:left="2907" w:hanging="170"/>
      </w:pPr>
      <w:rPr>
        <w:rFonts w:ascii="Times New Roman" w:hAnsi="Times New Roman" w:cs="Times New Roman" w:hint="default"/>
      </w:rPr>
    </w:lvl>
    <w:lvl w:ilvl="1" w:tplc="040C0003" w:tentative="1">
      <w:start w:val="1"/>
      <w:numFmt w:val="bullet"/>
      <w:lvlText w:val="o"/>
      <w:lvlJc w:val="left"/>
      <w:pPr>
        <w:tabs>
          <w:tab w:val="num" w:pos="2646"/>
        </w:tabs>
        <w:ind w:left="2646" w:hanging="360"/>
      </w:pPr>
      <w:rPr>
        <w:rFonts w:ascii="Courier New" w:hAnsi="Courier New" w:cs="Courier New" w:hint="default"/>
      </w:rPr>
    </w:lvl>
    <w:lvl w:ilvl="2" w:tplc="040C0005" w:tentative="1">
      <w:start w:val="1"/>
      <w:numFmt w:val="bullet"/>
      <w:lvlText w:val=""/>
      <w:lvlJc w:val="left"/>
      <w:pPr>
        <w:tabs>
          <w:tab w:val="num" w:pos="3366"/>
        </w:tabs>
        <w:ind w:left="3366" w:hanging="360"/>
      </w:pPr>
      <w:rPr>
        <w:rFonts w:ascii="Wingdings" w:hAnsi="Wingdings" w:hint="default"/>
      </w:rPr>
    </w:lvl>
    <w:lvl w:ilvl="3" w:tplc="040C0001" w:tentative="1">
      <w:start w:val="1"/>
      <w:numFmt w:val="bullet"/>
      <w:lvlText w:val=""/>
      <w:lvlJc w:val="left"/>
      <w:pPr>
        <w:tabs>
          <w:tab w:val="num" w:pos="4086"/>
        </w:tabs>
        <w:ind w:left="4086" w:hanging="360"/>
      </w:pPr>
      <w:rPr>
        <w:rFonts w:ascii="Symbol" w:hAnsi="Symbol" w:hint="default"/>
      </w:rPr>
    </w:lvl>
    <w:lvl w:ilvl="4" w:tplc="040C0003" w:tentative="1">
      <w:start w:val="1"/>
      <w:numFmt w:val="bullet"/>
      <w:lvlText w:val="o"/>
      <w:lvlJc w:val="left"/>
      <w:pPr>
        <w:tabs>
          <w:tab w:val="num" w:pos="4806"/>
        </w:tabs>
        <w:ind w:left="4806" w:hanging="360"/>
      </w:pPr>
      <w:rPr>
        <w:rFonts w:ascii="Courier New" w:hAnsi="Courier New" w:cs="Courier New" w:hint="default"/>
      </w:rPr>
    </w:lvl>
    <w:lvl w:ilvl="5" w:tplc="040C0005" w:tentative="1">
      <w:start w:val="1"/>
      <w:numFmt w:val="bullet"/>
      <w:lvlText w:val=""/>
      <w:lvlJc w:val="left"/>
      <w:pPr>
        <w:tabs>
          <w:tab w:val="num" w:pos="5526"/>
        </w:tabs>
        <w:ind w:left="5526" w:hanging="360"/>
      </w:pPr>
      <w:rPr>
        <w:rFonts w:ascii="Wingdings" w:hAnsi="Wingdings" w:hint="default"/>
      </w:rPr>
    </w:lvl>
    <w:lvl w:ilvl="6" w:tplc="040C0001" w:tentative="1">
      <w:start w:val="1"/>
      <w:numFmt w:val="bullet"/>
      <w:lvlText w:val=""/>
      <w:lvlJc w:val="left"/>
      <w:pPr>
        <w:tabs>
          <w:tab w:val="num" w:pos="6246"/>
        </w:tabs>
        <w:ind w:left="6246" w:hanging="360"/>
      </w:pPr>
      <w:rPr>
        <w:rFonts w:ascii="Symbol" w:hAnsi="Symbol" w:hint="default"/>
      </w:rPr>
    </w:lvl>
    <w:lvl w:ilvl="7" w:tplc="040C0003" w:tentative="1">
      <w:start w:val="1"/>
      <w:numFmt w:val="bullet"/>
      <w:lvlText w:val="o"/>
      <w:lvlJc w:val="left"/>
      <w:pPr>
        <w:tabs>
          <w:tab w:val="num" w:pos="6966"/>
        </w:tabs>
        <w:ind w:left="6966" w:hanging="360"/>
      </w:pPr>
      <w:rPr>
        <w:rFonts w:ascii="Courier New" w:hAnsi="Courier New" w:cs="Courier New" w:hint="default"/>
      </w:rPr>
    </w:lvl>
    <w:lvl w:ilvl="8" w:tplc="040C0005" w:tentative="1">
      <w:start w:val="1"/>
      <w:numFmt w:val="bullet"/>
      <w:lvlText w:val=""/>
      <w:lvlJc w:val="left"/>
      <w:pPr>
        <w:tabs>
          <w:tab w:val="num" w:pos="7686"/>
        </w:tabs>
        <w:ind w:left="7686" w:hanging="360"/>
      </w:pPr>
      <w:rPr>
        <w:rFonts w:ascii="Wingdings" w:hAnsi="Wingdings" w:hint="default"/>
      </w:rPr>
    </w:lvl>
  </w:abstractNum>
  <w:abstractNum w:abstractNumId="1" w15:restartNumberingAfterBreak="0">
    <w:nsid w:val="04015290"/>
    <w:multiLevelType w:val="hybridMultilevel"/>
    <w:tmpl w:val="30F0DDB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6C67EC0"/>
    <w:multiLevelType w:val="singleLevel"/>
    <w:tmpl w:val="040A3BEA"/>
    <w:lvl w:ilvl="0">
      <w:start w:val="8"/>
      <w:numFmt w:val="decimal"/>
      <w:lvlRestart w:val="0"/>
      <w:lvlText w:val="%1."/>
      <w:lvlJc w:val="left"/>
      <w:pPr>
        <w:tabs>
          <w:tab w:val="num" w:pos="1742"/>
        </w:tabs>
        <w:ind w:left="1267" w:firstLine="0"/>
      </w:pPr>
      <w:rPr>
        <w:w w:val="100"/>
      </w:rPr>
    </w:lvl>
  </w:abstractNum>
  <w:abstractNum w:abstractNumId="3" w15:restartNumberingAfterBreak="0">
    <w:nsid w:val="09E422B2"/>
    <w:multiLevelType w:val="singleLevel"/>
    <w:tmpl w:val="AECC5172"/>
    <w:lvl w:ilvl="0">
      <w:start w:val="126"/>
      <w:numFmt w:val="decimal"/>
      <w:lvlRestart w:val="0"/>
      <w:lvlText w:val="%1."/>
      <w:lvlJc w:val="left"/>
      <w:pPr>
        <w:tabs>
          <w:tab w:val="num" w:pos="1742"/>
        </w:tabs>
        <w:ind w:left="1267" w:firstLine="0"/>
      </w:pPr>
      <w:rPr>
        <w:b w:val="0"/>
        <w:w w:val="100"/>
      </w:rPr>
    </w:lvl>
  </w:abstractNum>
  <w:abstractNum w:abstractNumId="4" w15:restartNumberingAfterBreak="0">
    <w:nsid w:val="0A0757C8"/>
    <w:multiLevelType w:val="singleLevel"/>
    <w:tmpl w:val="5680E082"/>
    <w:lvl w:ilvl="0">
      <w:start w:val="197"/>
      <w:numFmt w:val="decimal"/>
      <w:lvlRestart w:val="0"/>
      <w:lvlText w:val="%1."/>
      <w:lvlJc w:val="left"/>
      <w:pPr>
        <w:tabs>
          <w:tab w:val="num" w:pos="1742"/>
        </w:tabs>
        <w:ind w:left="1267" w:firstLine="0"/>
      </w:pPr>
      <w:rPr>
        <w:b w:val="0"/>
        <w:bCs w:val="0"/>
        <w:w w:val="100"/>
      </w:rPr>
    </w:lvl>
  </w:abstractNum>
  <w:abstractNum w:abstractNumId="5" w15:restartNumberingAfterBreak="0">
    <w:nsid w:val="0C83376F"/>
    <w:multiLevelType w:val="multilevel"/>
    <w:tmpl w:val="7978821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049003B"/>
    <w:multiLevelType w:val="singleLevel"/>
    <w:tmpl w:val="3132BA04"/>
    <w:lvl w:ilvl="0">
      <w:start w:val="173"/>
      <w:numFmt w:val="decimal"/>
      <w:lvlRestart w:val="0"/>
      <w:lvlText w:val="%1."/>
      <w:lvlJc w:val="left"/>
      <w:pPr>
        <w:tabs>
          <w:tab w:val="num" w:pos="1742"/>
        </w:tabs>
        <w:ind w:left="1267" w:firstLine="0"/>
      </w:pPr>
      <w:rPr>
        <w:b w:val="0"/>
        <w:bCs w:val="0"/>
        <w:w w:val="100"/>
      </w:rPr>
    </w:lvl>
  </w:abstractNum>
  <w:abstractNum w:abstractNumId="7" w15:restartNumberingAfterBreak="0">
    <w:nsid w:val="104F5678"/>
    <w:multiLevelType w:val="singleLevel"/>
    <w:tmpl w:val="04242054"/>
    <w:lvl w:ilvl="0">
      <w:start w:val="10"/>
      <w:numFmt w:val="decimal"/>
      <w:lvlRestart w:val="0"/>
      <w:lvlText w:val="%1."/>
      <w:lvlJc w:val="left"/>
      <w:pPr>
        <w:tabs>
          <w:tab w:val="num" w:pos="1742"/>
        </w:tabs>
        <w:ind w:left="1267" w:firstLine="0"/>
      </w:pPr>
      <w:rPr>
        <w:b w:val="0"/>
        <w:bCs w:val="0"/>
        <w:i w:val="0"/>
        <w:iCs/>
        <w:w w:val="100"/>
      </w:rPr>
    </w:lvl>
  </w:abstractNum>
  <w:abstractNum w:abstractNumId="8" w15:restartNumberingAfterBreak="0">
    <w:nsid w:val="12D06B23"/>
    <w:multiLevelType w:val="multilevel"/>
    <w:tmpl w:val="6DA0FA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172F270D"/>
    <w:multiLevelType w:val="hybridMultilevel"/>
    <w:tmpl w:val="E16A24E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F2138"/>
    <w:multiLevelType w:val="singleLevel"/>
    <w:tmpl w:val="3DA42472"/>
    <w:lvl w:ilvl="0">
      <w:start w:val="155"/>
      <w:numFmt w:val="decimal"/>
      <w:lvlRestart w:val="0"/>
      <w:lvlText w:val="%1."/>
      <w:lvlJc w:val="left"/>
      <w:pPr>
        <w:tabs>
          <w:tab w:val="num" w:pos="1742"/>
        </w:tabs>
        <w:ind w:left="1267" w:firstLine="0"/>
      </w:pPr>
      <w:rPr>
        <w:b w:val="0"/>
        <w:bCs w:val="0"/>
        <w:w w:val="100"/>
      </w:rPr>
    </w:lvl>
  </w:abstractNum>
  <w:abstractNum w:abstractNumId="11" w15:restartNumberingAfterBreak="0">
    <w:nsid w:val="1B413B4A"/>
    <w:multiLevelType w:val="singleLevel"/>
    <w:tmpl w:val="5AA2735E"/>
    <w:lvl w:ilvl="0">
      <w:start w:val="190"/>
      <w:numFmt w:val="decimal"/>
      <w:lvlRestart w:val="0"/>
      <w:lvlText w:val="%1."/>
      <w:lvlJc w:val="left"/>
      <w:pPr>
        <w:tabs>
          <w:tab w:val="num" w:pos="1742"/>
        </w:tabs>
        <w:ind w:left="1267" w:firstLine="0"/>
      </w:pPr>
      <w:rPr>
        <w:b w:val="0"/>
        <w:bCs w:val="0"/>
        <w:w w:val="100"/>
      </w:rPr>
    </w:lvl>
  </w:abstractNum>
  <w:abstractNum w:abstractNumId="12" w15:restartNumberingAfterBreak="0">
    <w:nsid w:val="22636204"/>
    <w:multiLevelType w:val="singleLevel"/>
    <w:tmpl w:val="D0D4F16C"/>
    <w:lvl w:ilvl="0">
      <w:start w:val="7"/>
      <w:numFmt w:val="decimal"/>
      <w:lvlRestart w:val="0"/>
      <w:lvlText w:val="%1."/>
      <w:lvlJc w:val="left"/>
      <w:pPr>
        <w:tabs>
          <w:tab w:val="num" w:pos="1742"/>
        </w:tabs>
        <w:ind w:left="1267" w:firstLine="0"/>
      </w:pPr>
      <w:rPr>
        <w:w w:val="100"/>
      </w:rPr>
    </w:lvl>
  </w:abstractNum>
  <w:abstractNum w:abstractNumId="13" w15:restartNumberingAfterBreak="0">
    <w:nsid w:val="22E03640"/>
    <w:multiLevelType w:val="singleLevel"/>
    <w:tmpl w:val="8E6437C8"/>
    <w:lvl w:ilvl="0">
      <w:start w:val="185"/>
      <w:numFmt w:val="decimal"/>
      <w:lvlRestart w:val="0"/>
      <w:lvlText w:val="%1."/>
      <w:lvlJc w:val="left"/>
      <w:pPr>
        <w:tabs>
          <w:tab w:val="num" w:pos="1742"/>
        </w:tabs>
        <w:ind w:left="1267" w:firstLine="0"/>
      </w:pPr>
      <w:rPr>
        <w:w w:val="100"/>
      </w:rPr>
    </w:lvl>
  </w:abstractNum>
  <w:abstractNum w:abstractNumId="14" w15:restartNumberingAfterBreak="0">
    <w:nsid w:val="30EA3D37"/>
    <w:multiLevelType w:val="hybridMultilevel"/>
    <w:tmpl w:val="212008C8"/>
    <w:lvl w:ilvl="0" w:tplc="55565840">
      <w:start w:val="1"/>
      <w:numFmt w:val="decimal"/>
      <w:lvlText w:val="%1."/>
      <w:lvlJc w:val="left"/>
      <w:pPr>
        <w:ind w:left="1134" w:firstLine="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22D76BA"/>
    <w:multiLevelType w:val="singleLevel"/>
    <w:tmpl w:val="A4E69EEA"/>
    <w:lvl w:ilvl="0">
      <w:start w:val="186"/>
      <w:numFmt w:val="decimal"/>
      <w:lvlRestart w:val="0"/>
      <w:lvlText w:val="%1."/>
      <w:lvlJc w:val="left"/>
      <w:pPr>
        <w:tabs>
          <w:tab w:val="num" w:pos="1742"/>
        </w:tabs>
        <w:ind w:left="1267" w:firstLine="0"/>
      </w:pPr>
      <w:rPr>
        <w:b w:val="0"/>
        <w:bCs w:val="0"/>
        <w:w w:val="100"/>
      </w:rPr>
    </w:lvl>
  </w:abstractNum>
  <w:abstractNum w:abstractNumId="16" w15:restartNumberingAfterBreak="0">
    <w:nsid w:val="47B40547"/>
    <w:multiLevelType w:val="hybridMultilevel"/>
    <w:tmpl w:val="4B321B0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C21B1"/>
    <w:multiLevelType w:val="singleLevel"/>
    <w:tmpl w:val="44AE4DF4"/>
    <w:lvl w:ilvl="0">
      <w:start w:val="203"/>
      <w:numFmt w:val="decimal"/>
      <w:lvlRestart w:val="0"/>
      <w:lvlText w:val="%1."/>
      <w:lvlJc w:val="left"/>
      <w:pPr>
        <w:tabs>
          <w:tab w:val="num" w:pos="1742"/>
        </w:tabs>
        <w:ind w:left="1267" w:firstLine="0"/>
      </w:pPr>
      <w:rPr>
        <w:b w:val="0"/>
        <w:bCs w:val="0"/>
        <w:i w:val="0"/>
        <w:iCs/>
        <w:w w:val="100"/>
      </w:rPr>
    </w:lvl>
  </w:abstractNum>
  <w:abstractNum w:abstractNumId="18" w15:restartNumberingAfterBreak="0">
    <w:nsid w:val="53C02C5B"/>
    <w:multiLevelType w:val="singleLevel"/>
    <w:tmpl w:val="04CAFC3E"/>
    <w:lvl w:ilvl="0">
      <w:start w:val="169"/>
      <w:numFmt w:val="decimal"/>
      <w:lvlRestart w:val="0"/>
      <w:lvlText w:val="%1."/>
      <w:lvlJc w:val="left"/>
      <w:pPr>
        <w:tabs>
          <w:tab w:val="num" w:pos="1742"/>
        </w:tabs>
        <w:ind w:left="1267" w:firstLine="0"/>
      </w:pPr>
      <w:rPr>
        <w:b w:val="0"/>
        <w:bCs w:val="0"/>
        <w:w w:val="100"/>
      </w:rPr>
    </w:lvl>
  </w:abstractNum>
  <w:abstractNum w:abstractNumId="19" w15:restartNumberingAfterBreak="0">
    <w:nsid w:val="5A8911E5"/>
    <w:multiLevelType w:val="singleLevel"/>
    <w:tmpl w:val="101EAD8E"/>
    <w:lvl w:ilvl="0">
      <w:start w:val="192"/>
      <w:numFmt w:val="decimal"/>
      <w:lvlRestart w:val="0"/>
      <w:lvlText w:val="%1."/>
      <w:lvlJc w:val="left"/>
      <w:pPr>
        <w:tabs>
          <w:tab w:val="num" w:pos="1742"/>
        </w:tabs>
        <w:ind w:left="1267" w:firstLine="0"/>
      </w:pPr>
      <w:rPr>
        <w:b w:val="0"/>
        <w:bCs w:val="0"/>
        <w:w w:val="100"/>
      </w:rPr>
    </w:lvl>
  </w:abstractNum>
  <w:abstractNum w:abstractNumId="20" w15:restartNumberingAfterBreak="0">
    <w:nsid w:val="5F574460"/>
    <w:multiLevelType w:val="singleLevel"/>
    <w:tmpl w:val="6FF47D60"/>
    <w:lvl w:ilvl="0">
      <w:start w:val="183"/>
      <w:numFmt w:val="decimal"/>
      <w:lvlRestart w:val="0"/>
      <w:lvlText w:val="%1."/>
      <w:lvlJc w:val="left"/>
      <w:pPr>
        <w:tabs>
          <w:tab w:val="num" w:pos="1742"/>
        </w:tabs>
        <w:ind w:left="1267" w:firstLine="0"/>
      </w:pPr>
      <w:rPr>
        <w:b w:val="0"/>
        <w:bCs w:val="0"/>
        <w:w w:val="100"/>
      </w:rPr>
    </w:lvl>
  </w:abstractNum>
  <w:abstractNum w:abstractNumId="21" w15:restartNumberingAfterBreak="0">
    <w:nsid w:val="65AB1F7F"/>
    <w:multiLevelType w:val="singleLevel"/>
    <w:tmpl w:val="B7AA7EA0"/>
    <w:lvl w:ilvl="0">
      <w:start w:val="171"/>
      <w:numFmt w:val="decimal"/>
      <w:lvlRestart w:val="0"/>
      <w:lvlText w:val="%1."/>
      <w:lvlJc w:val="left"/>
      <w:pPr>
        <w:tabs>
          <w:tab w:val="num" w:pos="1742"/>
        </w:tabs>
        <w:ind w:left="1267" w:firstLine="0"/>
      </w:pPr>
      <w:rPr>
        <w:b w:val="0"/>
        <w:bCs w:val="0"/>
        <w:w w:val="100"/>
      </w:rPr>
    </w:lvl>
  </w:abstractNum>
  <w:abstractNum w:abstractNumId="22" w15:restartNumberingAfterBreak="0">
    <w:nsid w:val="6FC075EC"/>
    <w:multiLevelType w:val="singleLevel"/>
    <w:tmpl w:val="1C820212"/>
    <w:lvl w:ilvl="0">
      <w:start w:val="192"/>
      <w:numFmt w:val="decimal"/>
      <w:lvlRestart w:val="0"/>
      <w:lvlText w:val="%1."/>
      <w:lvlJc w:val="left"/>
      <w:pPr>
        <w:tabs>
          <w:tab w:val="num" w:pos="1742"/>
        </w:tabs>
        <w:ind w:left="1267" w:firstLine="0"/>
      </w:pPr>
      <w:rPr>
        <w:w w:val="100"/>
      </w:rPr>
    </w:lvl>
  </w:abstractNum>
  <w:abstractNum w:abstractNumId="23" w15:restartNumberingAfterBreak="0">
    <w:nsid w:val="78EC5727"/>
    <w:multiLevelType w:val="singleLevel"/>
    <w:tmpl w:val="9D569A7E"/>
    <w:lvl w:ilvl="0">
      <w:start w:val="158"/>
      <w:numFmt w:val="decimal"/>
      <w:lvlRestart w:val="0"/>
      <w:lvlText w:val="%1."/>
      <w:lvlJc w:val="left"/>
      <w:pPr>
        <w:tabs>
          <w:tab w:val="num" w:pos="1742"/>
        </w:tabs>
        <w:ind w:left="1267" w:firstLine="0"/>
      </w:pPr>
      <w:rPr>
        <w:b w:val="0"/>
        <w:bCs w:val="0"/>
        <w:w w:val="100"/>
      </w:rPr>
    </w:lvl>
  </w:abstractNum>
  <w:num w:numId="1">
    <w:abstractNumId w:val="9"/>
  </w:num>
  <w:num w:numId="2">
    <w:abstractNumId w:val="16"/>
  </w:num>
  <w:num w:numId="3">
    <w:abstractNumId w:val="1"/>
  </w:num>
  <w:num w:numId="4">
    <w:abstractNumId w:val="8"/>
  </w:num>
  <w:num w:numId="5">
    <w:abstractNumId w:val="0"/>
  </w:num>
  <w:num w:numId="6">
    <w:abstractNumId w:val="14"/>
    <w:lvlOverride w:ilvl="0">
      <w:lvl w:ilvl="0" w:tplc="55565840">
        <w:start w:val="1"/>
        <w:numFmt w:val="decimal"/>
        <w:lvlRestart w:val="0"/>
        <w:lvlText w:val="%1."/>
        <w:lvlJc w:val="left"/>
        <w:pPr>
          <w:tabs>
            <w:tab w:val="num" w:pos="475"/>
          </w:tabs>
          <w:ind w:left="0" w:firstLine="0"/>
        </w:pPr>
        <w:rPr>
          <w:w w:val="100"/>
        </w:rPr>
      </w:lvl>
    </w:lvlOverride>
  </w:num>
  <w:num w:numId="7">
    <w:abstractNumId w:val="12"/>
  </w:num>
  <w:num w:numId="8">
    <w:abstractNumId w:val="2"/>
  </w:num>
  <w:num w:numId="9">
    <w:abstractNumId w:val="7"/>
  </w:num>
  <w:num w:numId="10">
    <w:abstractNumId w:val="3"/>
  </w:num>
  <w:num w:numId="11">
    <w:abstractNumId w:val="7"/>
    <w:lvlOverride w:ilvl="0">
      <w:lvl w:ilvl="0">
        <w:start w:val="20"/>
        <w:numFmt w:val="decimal"/>
        <w:lvlRestart w:val="0"/>
        <w:lvlText w:val="%1."/>
        <w:lvlJc w:val="left"/>
        <w:pPr>
          <w:tabs>
            <w:tab w:val="num" w:pos="1742"/>
          </w:tabs>
          <w:ind w:left="1267" w:firstLine="0"/>
        </w:pPr>
        <w:rPr>
          <w:b w:val="0"/>
          <w:bCs w:val="0"/>
          <w:i w:val="0"/>
          <w:iCs/>
          <w:w w:val="100"/>
        </w:rPr>
      </w:lvl>
    </w:lvlOverride>
  </w:num>
  <w:num w:numId="12">
    <w:abstractNumId w:val="10"/>
  </w:num>
  <w:num w:numId="13">
    <w:abstractNumId w:val="23"/>
  </w:num>
  <w:num w:numId="14">
    <w:abstractNumId w:val="18"/>
  </w:num>
  <w:num w:numId="15">
    <w:abstractNumId w:val="21"/>
  </w:num>
  <w:num w:numId="16">
    <w:abstractNumId w:val="6"/>
  </w:num>
  <w:num w:numId="17">
    <w:abstractNumId w:val="20"/>
  </w:num>
  <w:num w:numId="18">
    <w:abstractNumId w:val="13"/>
  </w:num>
  <w:num w:numId="19">
    <w:abstractNumId w:val="15"/>
  </w:num>
  <w:num w:numId="20">
    <w:abstractNumId w:val="11"/>
  </w:num>
  <w:num w:numId="21">
    <w:abstractNumId w:val="19"/>
  </w:num>
  <w:num w:numId="22">
    <w:abstractNumId w:val="22"/>
  </w:num>
  <w:num w:numId="23">
    <w:abstractNumId w:val="4"/>
  </w:num>
  <w:num w:numId="2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revisionView w:markup="0"/>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484*"/>
    <w:docVar w:name="CreationDt" w:val="25/07/2018 10:04 AM"/>
    <w:docVar w:name="DocCategory" w:val="Doc"/>
    <w:docVar w:name="DocType" w:val="Final"/>
    <w:docVar w:name="DutyStation" w:val="New York"/>
    <w:docVar w:name="FooterJN" w:val="18-11484"/>
    <w:docVar w:name="jobn" w:val="18-11484 (F)"/>
    <w:docVar w:name="jobnDT" w:val="18-11484 (F)   250718"/>
    <w:docVar w:name="jobnDTDT" w:val="18-11484 (F)   250718   250718"/>
    <w:docVar w:name="JobNo" w:val="1811484F"/>
    <w:docVar w:name="JobNo2" w:val="1821958F"/>
    <w:docVar w:name="LocalDrive" w:val="0"/>
    <w:docVar w:name="OandT" w:val="ild"/>
    <w:docVar w:name="sss1" w:val="CEDAW/C/CIV/4"/>
    <w:docVar w:name="sss2" w:val="-"/>
    <w:docVar w:name="Symbol1" w:val="CEDAW/C/CIV/4"/>
    <w:docVar w:name="Symbol2" w:val="-"/>
  </w:docVars>
  <w:rsids>
    <w:rsidRoot w:val="00816A7D"/>
    <w:rsid w:val="00002584"/>
    <w:rsid w:val="000032B3"/>
    <w:rsid w:val="000034E4"/>
    <w:rsid w:val="0000675F"/>
    <w:rsid w:val="000070DE"/>
    <w:rsid w:val="000161FC"/>
    <w:rsid w:val="00022F9A"/>
    <w:rsid w:val="00025C76"/>
    <w:rsid w:val="00027FC8"/>
    <w:rsid w:val="00036FF9"/>
    <w:rsid w:val="000427FD"/>
    <w:rsid w:val="00053983"/>
    <w:rsid w:val="00055159"/>
    <w:rsid w:val="00056C45"/>
    <w:rsid w:val="0006405F"/>
    <w:rsid w:val="00070EF8"/>
    <w:rsid w:val="00071D43"/>
    <w:rsid w:val="0007683E"/>
    <w:rsid w:val="00082144"/>
    <w:rsid w:val="00087E84"/>
    <w:rsid w:val="00091546"/>
    <w:rsid w:val="000B7D0F"/>
    <w:rsid w:val="000C16F5"/>
    <w:rsid w:val="000D3A76"/>
    <w:rsid w:val="000D4CC9"/>
    <w:rsid w:val="000D71DD"/>
    <w:rsid w:val="000E61B1"/>
    <w:rsid w:val="000E6375"/>
    <w:rsid w:val="00101B18"/>
    <w:rsid w:val="00106407"/>
    <w:rsid w:val="00111B7A"/>
    <w:rsid w:val="00114AE1"/>
    <w:rsid w:val="00115FF5"/>
    <w:rsid w:val="00122A56"/>
    <w:rsid w:val="001236DF"/>
    <w:rsid w:val="00125FD6"/>
    <w:rsid w:val="00134FEE"/>
    <w:rsid w:val="0014162E"/>
    <w:rsid w:val="00146C6A"/>
    <w:rsid w:val="00166A0D"/>
    <w:rsid w:val="001A0FE8"/>
    <w:rsid w:val="001A16AF"/>
    <w:rsid w:val="001A4FA0"/>
    <w:rsid w:val="001A7105"/>
    <w:rsid w:val="001B5A87"/>
    <w:rsid w:val="001B606D"/>
    <w:rsid w:val="001E4B50"/>
    <w:rsid w:val="001F4CF3"/>
    <w:rsid w:val="001F5D11"/>
    <w:rsid w:val="00216228"/>
    <w:rsid w:val="0021663E"/>
    <w:rsid w:val="00225D0B"/>
    <w:rsid w:val="00240983"/>
    <w:rsid w:val="002478A0"/>
    <w:rsid w:val="002659E1"/>
    <w:rsid w:val="00266B42"/>
    <w:rsid w:val="00276A54"/>
    <w:rsid w:val="0027713D"/>
    <w:rsid w:val="00280EF6"/>
    <w:rsid w:val="00285FF7"/>
    <w:rsid w:val="0029489F"/>
    <w:rsid w:val="002A5E20"/>
    <w:rsid w:val="002A72D2"/>
    <w:rsid w:val="002C072A"/>
    <w:rsid w:val="002C42E9"/>
    <w:rsid w:val="002C4B1B"/>
    <w:rsid w:val="002C6FE0"/>
    <w:rsid w:val="002F0630"/>
    <w:rsid w:val="002F4432"/>
    <w:rsid w:val="002F65CD"/>
    <w:rsid w:val="00300E48"/>
    <w:rsid w:val="00303790"/>
    <w:rsid w:val="00306E53"/>
    <w:rsid w:val="00364BF3"/>
    <w:rsid w:val="00366D21"/>
    <w:rsid w:val="00376879"/>
    <w:rsid w:val="0038487A"/>
    <w:rsid w:val="00396E6B"/>
    <w:rsid w:val="00397C7F"/>
    <w:rsid w:val="003A5BB9"/>
    <w:rsid w:val="003A675A"/>
    <w:rsid w:val="003B090C"/>
    <w:rsid w:val="003B728E"/>
    <w:rsid w:val="003B7978"/>
    <w:rsid w:val="003D5530"/>
    <w:rsid w:val="003F61E1"/>
    <w:rsid w:val="00403B65"/>
    <w:rsid w:val="00421ACA"/>
    <w:rsid w:val="00427A94"/>
    <w:rsid w:val="004316AB"/>
    <w:rsid w:val="00434AEF"/>
    <w:rsid w:val="004351DE"/>
    <w:rsid w:val="00440C93"/>
    <w:rsid w:val="00443275"/>
    <w:rsid w:val="0045105A"/>
    <w:rsid w:val="00480B84"/>
    <w:rsid w:val="004B37CA"/>
    <w:rsid w:val="004B7322"/>
    <w:rsid w:val="004C1A25"/>
    <w:rsid w:val="004C4312"/>
    <w:rsid w:val="004E5C25"/>
    <w:rsid w:val="00515991"/>
    <w:rsid w:val="005225EC"/>
    <w:rsid w:val="0052262F"/>
    <w:rsid w:val="00525097"/>
    <w:rsid w:val="00527FED"/>
    <w:rsid w:val="00541C88"/>
    <w:rsid w:val="005509B6"/>
    <w:rsid w:val="005565E9"/>
    <w:rsid w:val="005838EC"/>
    <w:rsid w:val="005870E9"/>
    <w:rsid w:val="00597CDE"/>
    <w:rsid w:val="005A47BA"/>
    <w:rsid w:val="005F1F5F"/>
    <w:rsid w:val="00601088"/>
    <w:rsid w:val="0061091D"/>
    <w:rsid w:val="00615F36"/>
    <w:rsid w:val="0061604A"/>
    <w:rsid w:val="006257BC"/>
    <w:rsid w:val="00633196"/>
    <w:rsid w:val="00637F34"/>
    <w:rsid w:val="00660E77"/>
    <w:rsid w:val="00674FA1"/>
    <w:rsid w:val="006862B3"/>
    <w:rsid w:val="00690698"/>
    <w:rsid w:val="006A2FA4"/>
    <w:rsid w:val="006A68C4"/>
    <w:rsid w:val="006C2408"/>
    <w:rsid w:val="006E22CA"/>
    <w:rsid w:val="006E4A4B"/>
    <w:rsid w:val="006F0879"/>
    <w:rsid w:val="006F0F7B"/>
    <w:rsid w:val="0070379A"/>
    <w:rsid w:val="00704787"/>
    <w:rsid w:val="00734FBE"/>
    <w:rsid w:val="007459AE"/>
    <w:rsid w:val="0075157C"/>
    <w:rsid w:val="00752298"/>
    <w:rsid w:val="00752D6E"/>
    <w:rsid w:val="007531A5"/>
    <w:rsid w:val="00771C9E"/>
    <w:rsid w:val="00777FDF"/>
    <w:rsid w:val="00781EDE"/>
    <w:rsid w:val="0079095F"/>
    <w:rsid w:val="007934AF"/>
    <w:rsid w:val="00794414"/>
    <w:rsid w:val="0079697D"/>
    <w:rsid w:val="007A7C8A"/>
    <w:rsid w:val="007B0A8D"/>
    <w:rsid w:val="007B345A"/>
    <w:rsid w:val="007C6EA1"/>
    <w:rsid w:val="00816A7D"/>
    <w:rsid w:val="00817480"/>
    <w:rsid w:val="0082045E"/>
    <w:rsid w:val="00821F22"/>
    <w:rsid w:val="008222A3"/>
    <w:rsid w:val="008378A3"/>
    <w:rsid w:val="00847E3B"/>
    <w:rsid w:val="00865AEB"/>
    <w:rsid w:val="0088028B"/>
    <w:rsid w:val="008945B3"/>
    <w:rsid w:val="008A6B29"/>
    <w:rsid w:val="00934EE2"/>
    <w:rsid w:val="00935932"/>
    <w:rsid w:val="00944E27"/>
    <w:rsid w:val="00947007"/>
    <w:rsid w:val="0097145B"/>
    <w:rsid w:val="00971A8C"/>
    <w:rsid w:val="00993CB7"/>
    <w:rsid w:val="009D0EE3"/>
    <w:rsid w:val="009D6B62"/>
    <w:rsid w:val="009E2E4D"/>
    <w:rsid w:val="009E32A2"/>
    <w:rsid w:val="009E4E81"/>
    <w:rsid w:val="009E5AD1"/>
    <w:rsid w:val="009F71FF"/>
    <w:rsid w:val="00A0269E"/>
    <w:rsid w:val="00A032B6"/>
    <w:rsid w:val="00A05933"/>
    <w:rsid w:val="00A2494D"/>
    <w:rsid w:val="00A30BD1"/>
    <w:rsid w:val="00A50B1B"/>
    <w:rsid w:val="00A51446"/>
    <w:rsid w:val="00A846B8"/>
    <w:rsid w:val="00A91F53"/>
    <w:rsid w:val="00A929A6"/>
    <w:rsid w:val="00AB0B7D"/>
    <w:rsid w:val="00AB0E9A"/>
    <w:rsid w:val="00AB3DF7"/>
    <w:rsid w:val="00AC6F0B"/>
    <w:rsid w:val="00AD5930"/>
    <w:rsid w:val="00AD5F2F"/>
    <w:rsid w:val="00AE21D0"/>
    <w:rsid w:val="00AE32B5"/>
    <w:rsid w:val="00AF7DBA"/>
    <w:rsid w:val="00B00B13"/>
    <w:rsid w:val="00B01C6C"/>
    <w:rsid w:val="00B134CD"/>
    <w:rsid w:val="00B22316"/>
    <w:rsid w:val="00B252C5"/>
    <w:rsid w:val="00B40361"/>
    <w:rsid w:val="00B41415"/>
    <w:rsid w:val="00B5002C"/>
    <w:rsid w:val="00B675BB"/>
    <w:rsid w:val="00B704CC"/>
    <w:rsid w:val="00B72ED0"/>
    <w:rsid w:val="00B858D5"/>
    <w:rsid w:val="00B87A38"/>
    <w:rsid w:val="00B950CF"/>
    <w:rsid w:val="00BA1774"/>
    <w:rsid w:val="00BA7FC0"/>
    <w:rsid w:val="00BC732A"/>
    <w:rsid w:val="00BF245D"/>
    <w:rsid w:val="00BF4E0B"/>
    <w:rsid w:val="00BF7BAB"/>
    <w:rsid w:val="00C10A78"/>
    <w:rsid w:val="00C12BA6"/>
    <w:rsid w:val="00C34674"/>
    <w:rsid w:val="00C53337"/>
    <w:rsid w:val="00C5378D"/>
    <w:rsid w:val="00C57B93"/>
    <w:rsid w:val="00C6479B"/>
    <w:rsid w:val="00C6529F"/>
    <w:rsid w:val="00C7716B"/>
    <w:rsid w:val="00C77559"/>
    <w:rsid w:val="00C80324"/>
    <w:rsid w:val="00C80619"/>
    <w:rsid w:val="00C85B62"/>
    <w:rsid w:val="00C86739"/>
    <w:rsid w:val="00C90742"/>
    <w:rsid w:val="00CA3BDA"/>
    <w:rsid w:val="00CB06FB"/>
    <w:rsid w:val="00CB63C5"/>
    <w:rsid w:val="00CB7779"/>
    <w:rsid w:val="00CD5E97"/>
    <w:rsid w:val="00CE68DE"/>
    <w:rsid w:val="00D06490"/>
    <w:rsid w:val="00D239C1"/>
    <w:rsid w:val="00D30BFF"/>
    <w:rsid w:val="00D30EED"/>
    <w:rsid w:val="00D32B3F"/>
    <w:rsid w:val="00D3449A"/>
    <w:rsid w:val="00D4284A"/>
    <w:rsid w:val="00D81000"/>
    <w:rsid w:val="00D820B5"/>
    <w:rsid w:val="00D83A7F"/>
    <w:rsid w:val="00D854FC"/>
    <w:rsid w:val="00DB09A0"/>
    <w:rsid w:val="00DB4C05"/>
    <w:rsid w:val="00DC705B"/>
    <w:rsid w:val="00DF3328"/>
    <w:rsid w:val="00E01968"/>
    <w:rsid w:val="00E04D21"/>
    <w:rsid w:val="00E17111"/>
    <w:rsid w:val="00E27E5C"/>
    <w:rsid w:val="00E302E8"/>
    <w:rsid w:val="00E343A6"/>
    <w:rsid w:val="00E36F63"/>
    <w:rsid w:val="00E7105F"/>
    <w:rsid w:val="00E7239B"/>
    <w:rsid w:val="00E95140"/>
    <w:rsid w:val="00EA20DF"/>
    <w:rsid w:val="00EC3375"/>
    <w:rsid w:val="00EC33B2"/>
    <w:rsid w:val="00EC7FA7"/>
    <w:rsid w:val="00ED1C41"/>
    <w:rsid w:val="00EE0DBD"/>
    <w:rsid w:val="00EE1C61"/>
    <w:rsid w:val="00EE37EC"/>
    <w:rsid w:val="00EF2DFA"/>
    <w:rsid w:val="00EF5E1B"/>
    <w:rsid w:val="00F148BC"/>
    <w:rsid w:val="00F21523"/>
    <w:rsid w:val="00F21DD7"/>
    <w:rsid w:val="00F5012D"/>
    <w:rsid w:val="00F73093"/>
    <w:rsid w:val="00F91DD6"/>
    <w:rsid w:val="00FA3D05"/>
    <w:rsid w:val="00FA5CC9"/>
    <w:rsid w:val="00FA79D1"/>
    <w:rsid w:val="00FB0A2C"/>
    <w:rsid w:val="00FB60CF"/>
    <w:rsid w:val="00FC342C"/>
    <w:rsid w:val="00FC59F1"/>
    <w:rsid w:val="00FE120C"/>
    <w:rsid w:val="00FE1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91607"/>
  <w15:chartTrackingRefBased/>
  <w15:docId w15:val="{DE21EC5F-1DC4-4988-9BBD-B095A5DD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8C4"/>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Table_G"/>
    <w:basedOn w:val="Normal"/>
    <w:next w:val="Normal"/>
    <w:link w:val="Heading1Char"/>
    <w:uiPriority w:val="9"/>
    <w:qFormat/>
    <w:rsid w:val="006A68C4"/>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68C4"/>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68C4"/>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68C4"/>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68C4"/>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68C4"/>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68C4"/>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68C4"/>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68C4"/>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6A68C4"/>
    <w:pPr>
      <w:keepNext/>
      <w:keepLines/>
      <w:suppressAutoHyphens/>
      <w:spacing w:line="270" w:lineRule="exact"/>
      <w:outlineLvl w:val="0"/>
    </w:pPr>
    <w:rPr>
      <w:b/>
      <w:sz w:val="24"/>
    </w:rPr>
  </w:style>
  <w:style w:type="paragraph" w:customStyle="1" w:styleId="HCH">
    <w:name w:val="_ H _CH"/>
    <w:basedOn w:val="H1"/>
    <w:next w:val="Normal"/>
    <w:qFormat/>
    <w:rsid w:val="006A68C4"/>
    <w:pPr>
      <w:spacing w:line="300" w:lineRule="exact"/>
    </w:pPr>
    <w:rPr>
      <w:spacing w:val="-2"/>
      <w:sz w:val="28"/>
    </w:rPr>
  </w:style>
  <w:style w:type="paragraph" w:customStyle="1" w:styleId="HM">
    <w:name w:val="_ H __M"/>
    <w:basedOn w:val="HCH"/>
    <w:next w:val="Normal"/>
    <w:qFormat/>
    <w:rsid w:val="006A68C4"/>
    <w:pPr>
      <w:spacing w:line="360" w:lineRule="exact"/>
    </w:pPr>
    <w:rPr>
      <w:spacing w:val="-3"/>
      <w:w w:val="99"/>
      <w:sz w:val="34"/>
    </w:rPr>
  </w:style>
  <w:style w:type="paragraph" w:customStyle="1" w:styleId="H23">
    <w:name w:val="_ H_2/3"/>
    <w:basedOn w:val="H1"/>
    <w:next w:val="Normal"/>
    <w:qFormat/>
    <w:rsid w:val="006A68C4"/>
    <w:pPr>
      <w:spacing w:line="240" w:lineRule="exact"/>
      <w:outlineLvl w:val="1"/>
    </w:pPr>
    <w:rPr>
      <w:spacing w:val="2"/>
      <w:sz w:val="20"/>
    </w:rPr>
  </w:style>
  <w:style w:type="paragraph" w:customStyle="1" w:styleId="H4">
    <w:name w:val="_ H_4"/>
    <w:basedOn w:val="Normal"/>
    <w:next w:val="Normal"/>
    <w:qFormat/>
    <w:rsid w:val="006A68C4"/>
    <w:pPr>
      <w:keepNext/>
      <w:keepLines/>
      <w:tabs>
        <w:tab w:val="right" w:pos="360"/>
      </w:tabs>
      <w:suppressAutoHyphens/>
      <w:outlineLvl w:val="3"/>
    </w:pPr>
    <w:rPr>
      <w:i/>
      <w:spacing w:val="3"/>
    </w:rPr>
  </w:style>
  <w:style w:type="paragraph" w:customStyle="1" w:styleId="H56">
    <w:name w:val="_ H_5/6"/>
    <w:basedOn w:val="Normal"/>
    <w:next w:val="SingleTxt"/>
    <w:qFormat/>
    <w:rsid w:val="006A68C4"/>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68C4"/>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68C4"/>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68C4"/>
    <w:pPr>
      <w:spacing w:line="540" w:lineRule="exact"/>
    </w:pPr>
    <w:rPr>
      <w:spacing w:val="-8"/>
      <w:w w:val="96"/>
      <w:sz w:val="57"/>
    </w:rPr>
  </w:style>
  <w:style w:type="paragraph" w:customStyle="1" w:styleId="SS">
    <w:name w:val="__S_S"/>
    <w:basedOn w:val="HCH"/>
    <w:next w:val="Normal"/>
    <w:qFormat/>
    <w:rsid w:val="006A68C4"/>
    <w:pPr>
      <w:ind w:left="1267" w:right="1267"/>
    </w:pPr>
  </w:style>
  <w:style w:type="paragraph" w:customStyle="1" w:styleId="SingleTxt">
    <w:name w:val="__Single Txt"/>
    <w:basedOn w:val="Normal"/>
    <w:qFormat/>
    <w:rsid w:val="006A68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68C4"/>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68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68C4"/>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68C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68C4"/>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68C4"/>
    <w:pPr>
      <w:numPr>
        <w:numId w:val="1"/>
      </w:numPr>
      <w:spacing w:after="120"/>
      <w:ind w:right="1267"/>
      <w:jc w:val="both"/>
    </w:pPr>
  </w:style>
  <w:style w:type="paragraph" w:customStyle="1" w:styleId="Bullet2">
    <w:name w:val="Bullet 2"/>
    <w:basedOn w:val="Normal"/>
    <w:qFormat/>
    <w:rsid w:val="006A68C4"/>
    <w:pPr>
      <w:numPr>
        <w:numId w:val="2"/>
      </w:numPr>
      <w:spacing w:after="120"/>
      <w:ind w:right="1264"/>
      <w:jc w:val="both"/>
    </w:pPr>
  </w:style>
  <w:style w:type="paragraph" w:customStyle="1" w:styleId="Bullet3">
    <w:name w:val="Bullet 3"/>
    <w:basedOn w:val="SingleTxt"/>
    <w:qFormat/>
    <w:rsid w:val="006A68C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68C4"/>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68C4"/>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68C4"/>
    <w:pPr>
      <w:spacing w:line="210" w:lineRule="exact"/>
    </w:pPr>
    <w:rPr>
      <w:sz w:val="17"/>
      <w:szCs w:val="20"/>
    </w:rPr>
  </w:style>
  <w:style w:type="character" w:customStyle="1" w:styleId="EndnoteTextChar">
    <w:name w:val="Endnote Text Char"/>
    <w:link w:val="EndnoteText"/>
    <w:uiPriority w:val="99"/>
    <w:semiHidden/>
    <w:rsid w:val="006A68C4"/>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68C4"/>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68C4"/>
    <w:rPr>
      <w:rFonts w:ascii="Times New Roman" w:eastAsiaTheme="minorHAnsi" w:hAnsi="Times New Roman" w:cs="Times New Roman"/>
      <w:b/>
      <w:spacing w:val="3"/>
      <w:w w:val="105"/>
      <w:sz w:val="17"/>
      <w:lang w:val="en-US" w:eastAsia="en-US"/>
    </w:rPr>
  </w:style>
  <w:style w:type="character" w:styleId="FootnoteReference">
    <w:name w:val="footnote reference"/>
    <w:aliases w:val="4_G"/>
    <w:uiPriority w:val="99"/>
    <w:qFormat/>
    <w:rsid w:val="006A68C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qFormat/>
    <w:rsid w:val="006A68C4"/>
    <w:pPr>
      <w:spacing w:line="210" w:lineRule="exact"/>
    </w:pPr>
    <w:rPr>
      <w:sz w:val="17"/>
      <w:szCs w:val="20"/>
    </w:rPr>
  </w:style>
  <w:style w:type="character" w:customStyle="1" w:styleId="FootnoteTextChar">
    <w:name w:val="Footnote Text Char"/>
    <w:aliases w:val="5_G Char"/>
    <w:link w:val="FootnoteText"/>
    <w:uiPriority w:val="99"/>
    <w:rsid w:val="006A68C4"/>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68C4"/>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68C4"/>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
    <w:rsid w:val="006A68C4"/>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68C4"/>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68C4"/>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68C4"/>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68C4"/>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68C4"/>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68C4"/>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68C4"/>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68C4"/>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68C4"/>
    <w:rPr>
      <w:sz w:val="14"/>
    </w:rPr>
  </w:style>
  <w:style w:type="paragraph" w:styleId="ListParagraph">
    <w:name w:val="List Paragraph"/>
    <w:basedOn w:val="Normal"/>
    <w:uiPriority w:val="34"/>
    <w:rsid w:val="006A68C4"/>
    <w:pPr>
      <w:ind w:left="720"/>
      <w:contextualSpacing/>
    </w:pPr>
  </w:style>
  <w:style w:type="paragraph" w:styleId="NoSpacing">
    <w:name w:val="No Spacing"/>
    <w:uiPriority w:val="1"/>
    <w:rsid w:val="006A68C4"/>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6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68C4"/>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68C4"/>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68C4"/>
    <w:pPr>
      <w:tabs>
        <w:tab w:val="right" w:pos="9965"/>
      </w:tabs>
      <w:spacing w:line="210" w:lineRule="exact"/>
    </w:pPr>
    <w:rPr>
      <w:spacing w:val="5"/>
      <w:w w:val="104"/>
      <w:sz w:val="17"/>
    </w:rPr>
  </w:style>
  <w:style w:type="paragraph" w:customStyle="1" w:styleId="SmallX">
    <w:name w:val="SmallX"/>
    <w:basedOn w:val="Small"/>
    <w:next w:val="Normal"/>
    <w:qFormat/>
    <w:rsid w:val="006A68C4"/>
    <w:pPr>
      <w:spacing w:line="180" w:lineRule="exact"/>
      <w:jc w:val="right"/>
    </w:pPr>
    <w:rPr>
      <w:spacing w:val="6"/>
      <w:w w:val="106"/>
      <w:sz w:val="14"/>
    </w:rPr>
  </w:style>
  <w:style w:type="character" w:styleId="Strong">
    <w:name w:val="Strong"/>
    <w:uiPriority w:val="22"/>
    <w:rsid w:val="006A68C4"/>
    <w:rPr>
      <w:b/>
      <w:bCs/>
    </w:rPr>
  </w:style>
  <w:style w:type="paragraph" w:customStyle="1" w:styleId="Style1">
    <w:name w:val="Style1"/>
    <w:basedOn w:val="Normal"/>
    <w:qFormat/>
    <w:rsid w:val="006A68C4"/>
  </w:style>
  <w:style w:type="paragraph" w:customStyle="1" w:styleId="Style2">
    <w:name w:val="Style2"/>
    <w:basedOn w:val="Normal"/>
    <w:autoRedefine/>
    <w:qFormat/>
    <w:rsid w:val="006A68C4"/>
  </w:style>
  <w:style w:type="paragraph" w:customStyle="1" w:styleId="TitleHCH">
    <w:name w:val="Title_H_CH"/>
    <w:basedOn w:val="H1"/>
    <w:next w:val="Normal"/>
    <w:qFormat/>
    <w:rsid w:val="006A6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68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68C4"/>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637F34"/>
    <w:rPr>
      <w:sz w:val="16"/>
      <w:szCs w:val="16"/>
    </w:rPr>
  </w:style>
  <w:style w:type="paragraph" w:styleId="CommentText">
    <w:name w:val="annotation text"/>
    <w:basedOn w:val="Normal"/>
    <w:link w:val="CommentTextChar"/>
    <w:uiPriority w:val="99"/>
    <w:semiHidden/>
    <w:unhideWhenUsed/>
    <w:rsid w:val="00637F34"/>
    <w:pPr>
      <w:spacing w:line="240" w:lineRule="auto"/>
    </w:pPr>
    <w:rPr>
      <w:szCs w:val="20"/>
    </w:rPr>
  </w:style>
  <w:style w:type="character" w:customStyle="1" w:styleId="CommentTextChar">
    <w:name w:val="Comment Text Char"/>
    <w:basedOn w:val="DefaultParagraphFont"/>
    <w:link w:val="CommentText"/>
    <w:uiPriority w:val="99"/>
    <w:semiHidden/>
    <w:rsid w:val="00637F3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37F34"/>
    <w:rPr>
      <w:b/>
      <w:bCs/>
    </w:rPr>
  </w:style>
  <w:style w:type="character" w:customStyle="1" w:styleId="CommentSubjectChar">
    <w:name w:val="Comment Subject Char"/>
    <w:basedOn w:val="CommentTextChar"/>
    <w:link w:val="CommentSubject"/>
    <w:uiPriority w:val="99"/>
    <w:semiHidden/>
    <w:rsid w:val="00637F34"/>
    <w:rPr>
      <w:rFonts w:ascii="Times New Roman" w:eastAsiaTheme="minorHAnsi" w:hAnsi="Times New Roman" w:cs="Times New Roman"/>
      <w:b/>
      <w:bCs/>
      <w:spacing w:val="4"/>
      <w:w w:val="103"/>
      <w:kern w:val="14"/>
      <w:sz w:val="20"/>
      <w:szCs w:val="20"/>
      <w:lang w:val="fr-CA" w:eastAsia="en-US"/>
    </w:rPr>
  </w:style>
  <w:style w:type="paragraph" w:customStyle="1" w:styleId="SingleTxtG">
    <w:name w:val="_ Single Txt_G"/>
    <w:basedOn w:val="Normal"/>
    <w:qFormat/>
    <w:rsid w:val="00364BF3"/>
    <w:pPr>
      <w:suppressAutoHyphens/>
      <w:spacing w:after="120" w:line="240" w:lineRule="atLeast"/>
      <w:ind w:left="1134" w:right="1134"/>
      <w:jc w:val="both"/>
    </w:pPr>
    <w:rPr>
      <w:rFonts w:eastAsia="Times New Roman"/>
      <w:spacing w:val="0"/>
      <w:w w:val="100"/>
      <w:kern w:val="0"/>
      <w:szCs w:val="20"/>
      <w:lang w:val="fr-CH"/>
    </w:rPr>
  </w:style>
  <w:style w:type="paragraph" w:customStyle="1" w:styleId="HChG">
    <w:name w:val="_ H _Ch_G"/>
    <w:basedOn w:val="Normal"/>
    <w:next w:val="Normal"/>
    <w:qFormat/>
    <w:rsid w:val="00364BF3"/>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fr-CH"/>
    </w:rPr>
  </w:style>
  <w:style w:type="paragraph" w:customStyle="1" w:styleId="H1G">
    <w:name w:val="_ H_1_G"/>
    <w:basedOn w:val="Normal"/>
    <w:next w:val="Normal"/>
    <w:qFormat/>
    <w:rsid w:val="00364BF3"/>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fr-CH"/>
    </w:rPr>
  </w:style>
  <w:style w:type="paragraph" w:customStyle="1" w:styleId="H23G">
    <w:name w:val="_ H_2/3_G"/>
    <w:basedOn w:val="Normal"/>
    <w:next w:val="Normal"/>
    <w:qFormat/>
    <w:rsid w:val="00364BF3"/>
    <w:pPr>
      <w:keepNext/>
      <w:keepLines/>
      <w:tabs>
        <w:tab w:val="right" w:pos="851"/>
      </w:tabs>
      <w:suppressAutoHyphens/>
      <w:spacing w:before="240" w:after="120"/>
      <w:ind w:left="1134" w:right="1134" w:hanging="1134"/>
    </w:pPr>
    <w:rPr>
      <w:rFonts w:eastAsia="Times New Roman"/>
      <w:b/>
      <w:spacing w:val="0"/>
      <w:w w:val="100"/>
      <w:kern w:val="0"/>
      <w:szCs w:val="20"/>
      <w:lang w:val="fr-CH"/>
    </w:rPr>
  </w:style>
  <w:style w:type="paragraph" w:customStyle="1" w:styleId="H4G">
    <w:name w:val="_ H_4_G"/>
    <w:basedOn w:val="Normal"/>
    <w:next w:val="Normal"/>
    <w:qFormat/>
    <w:rsid w:val="00364BF3"/>
    <w:pPr>
      <w:keepNext/>
      <w:keepLines/>
      <w:tabs>
        <w:tab w:val="right" w:pos="851"/>
      </w:tabs>
      <w:suppressAutoHyphens/>
      <w:spacing w:before="240" w:after="120"/>
      <w:ind w:left="1134" w:right="1134" w:hanging="1134"/>
    </w:pPr>
    <w:rPr>
      <w:rFonts w:eastAsia="Times New Roman"/>
      <w:i/>
      <w:spacing w:val="0"/>
      <w:w w:val="100"/>
      <w:kern w:val="0"/>
      <w:szCs w:val="20"/>
      <w:lang w:val="fr-CH"/>
    </w:rPr>
  </w:style>
  <w:style w:type="paragraph" w:customStyle="1" w:styleId="Bullet1G">
    <w:name w:val="_Bullet 1_G"/>
    <w:basedOn w:val="Normal"/>
    <w:qFormat/>
    <w:rsid w:val="00364BF3"/>
    <w:pPr>
      <w:numPr>
        <w:numId w:val="5"/>
      </w:numPr>
      <w:suppressAutoHyphens/>
      <w:spacing w:after="120" w:line="240" w:lineRule="atLeast"/>
      <w:ind w:right="1134"/>
      <w:jc w:val="both"/>
    </w:pPr>
    <w:rPr>
      <w:rFonts w:eastAsia="Times New Roman"/>
      <w:spacing w:val="0"/>
      <w:w w:val="100"/>
      <w:kern w:val="0"/>
      <w:szCs w:val="20"/>
      <w:lang w:val="fr-CH"/>
    </w:rPr>
  </w:style>
  <w:style w:type="table" w:styleId="TableGrid">
    <w:name w:val="Table Grid"/>
    <w:basedOn w:val="TableNormal"/>
    <w:uiPriority w:val="39"/>
    <w:rsid w:val="00364BF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1">
    <w:name w:val="st1"/>
    <w:rsid w:val="00364BF3"/>
  </w:style>
  <w:style w:type="paragraph" w:styleId="Revision">
    <w:name w:val="Revision"/>
    <w:hidden/>
    <w:uiPriority w:val="99"/>
    <w:semiHidden/>
    <w:rsid w:val="007B345A"/>
    <w:pPr>
      <w:spacing w:after="0" w:line="240" w:lineRule="auto"/>
    </w:pPr>
    <w:rPr>
      <w:rFonts w:ascii="Times New Roman" w:eastAsiaTheme="minorHAnsi" w:hAnsi="Times New Roman" w:cs="Times New Roman"/>
      <w:spacing w:val="4"/>
      <w:w w:val="103"/>
      <w:kern w:val="14"/>
      <w:sz w:val="20"/>
      <w:lang w:val="fr-CA" w:eastAsia="en-US"/>
    </w:rPr>
  </w:style>
  <w:style w:type="character" w:styleId="Hyperlink">
    <w:name w:val="Hyperlink"/>
    <w:basedOn w:val="DefaultParagraphFont"/>
    <w:uiPriority w:val="99"/>
    <w:unhideWhenUsed/>
    <w:rsid w:val="007B345A"/>
    <w:rPr>
      <w:color w:val="0000FF" w:themeColor="hyperlink"/>
      <w:u w:val="none"/>
    </w:rPr>
  </w:style>
  <w:style w:type="character" w:styleId="FollowedHyperlink">
    <w:name w:val="FollowedHyperlink"/>
    <w:basedOn w:val="DefaultParagraphFont"/>
    <w:uiPriority w:val="99"/>
    <w:semiHidden/>
    <w:unhideWhenUsed/>
    <w:rsid w:val="007B345A"/>
    <w:rPr>
      <w:color w:val="0000FF"/>
      <w:u w:val="none"/>
    </w:rPr>
  </w:style>
  <w:style w:type="character" w:styleId="UnresolvedMention">
    <w:name w:val="Unresolved Mention"/>
    <w:basedOn w:val="DefaultParagraphFont"/>
    <w:uiPriority w:val="99"/>
    <w:semiHidden/>
    <w:unhideWhenUsed/>
    <w:rsid w:val="007B34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fr/A/RES/54/67" TargetMode="External"/><Relationship Id="rId21" Type="http://schemas.openxmlformats.org/officeDocument/2006/relationships/hyperlink" Target="https://undocs.org/fr/CEDAW/C/CIV/CO/1-3" TargetMode="External"/><Relationship Id="rId42" Type="http://schemas.openxmlformats.org/officeDocument/2006/relationships/hyperlink" Target="https://undocs.org/fr/A/RES/67/146" TargetMode="External"/><Relationship Id="rId47" Type="http://schemas.openxmlformats.org/officeDocument/2006/relationships/hyperlink" Target="https://undocs.org/fr/CEDAW/C/CIV/CO/1-3" TargetMode="External"/><Relationship Id="rId63" Type="http://schemas.openxmlformats.org/officeDocument/2006/relationships/hyperlink" Target="https://undocs.org/fr/CEDAW/C/CIV/CO/1-3" TargetMode="External"/><Relationship Id="rId68" Type="http://schemas.openxmlformats.org/officeDocument/2006/relationships/hyperlink" Target="https://undocs.org/fr/CEDAW/C/CIV/CO/1-3" TargetMode="External"/><Relationship Id="rId84" Type="http://schemas.openxmlformats.org/officeDocument/2006/relationships/image" Target="media/image5.png"/><Relationship Id="rId89" Type="http://schemas.openxmlformats.org/officeDocument/2006/relationships/hyperlink" Target="https://undocs.org/fr/CEDAW/C/CIV/CO/1-3" TargetMode="External"/><Relationship Id="rId7" Type="http://schemas.openxmlformats.org/officeDocument/2006/relationships/endnotes" Target="endnotes.xml"/><Relationship Id="rId71" Type="http://schemas.openxmlformats.org/officeDocument/2006/relationships/image" Target="media/image4.png"/><Relationship Id="rId92" Type="http://schemas.openxmlformats.org/officeDocument/2006/relationships/hyperlink" Target="https://undocs.org/fr/CEDAW/C/CIV/CO/1-3" TargetMode="External"/><Relationship Id="rId2" Type="http://schemas.openxmlformats.org/officeDocument/2006/relationships/numbering" Target="numbering.xml"/><Relationship Id="rId16" Type="http://schemas.openxmlformats.org/officeDocument/2006/relationships/hyperlink" Target="https://undocs.org/fr/CEDAW/C/CIV/CO/1-3" TargetMode="External"/><Relationship Id="rId29" Type="http://schemas.openxmlformats.org/officeDocument/2006/relationships/hyperlink" Target="https://undocs.org/fr/CEDAW/C/CIV/CO/1-3" TargetMode="External"/><Relationship Id="rId11" Type="http://schemas.openxmlformats.org/officeDocument/2006/relationships/footer" Target="footer2.xml"/><Relationship Id="rId24" Type="http://schemas.openxmlformats.org/officeDocument/2006/relationships/hyperlink" Target="https://undocs.org/fr/CEDAW/C/CIV/CO/1-3" TargetMode="External"/><Relationship Id="rId32" Type="http://schemas.openxmlformats.org/officeDocument/2006/relationships/hyperlink" Target="https://undocs.org/fr/CEDAW/C/CIV/CO/1-3" TargetMode="External"/><Relationship Id="rId37" Type="http://schemas.openxmlformats.org/officeDocument/2006/relationships/hyperlink" Target="https://undocs.org/fr/CEDAW/C/CIV/CO/1-3" TargetMode="External"/><Relationship Id="rId40" Type="http://schemas.openxmlformats.org/officeDocument/2006/relationships/hyperlink" Target="https://undocs.org/fr/CEDAW/C/CIV/CO/1-3" TargetMode="External"/><Relationship Id="rId45" Type="http://schemas.openxmlformats.org/officeDocument/2006/relationships/hyperlink" Target="https://undocs.org/fr/CEDAW/C/CIV/CO/1-3" TargetMode="External"/><Relationship Id="rId53" Type="http://schemas.openxmlformats.org/officeDocument/2006/relationships/hyperlink" Target="https://undocs.org/fr/CEDAW/C/CIV/CO/1-3" TargetMode="External"/><Relationship Id="rId58" Type="http://schemas.openxmlformats.org/officeDocument/2006/relationships/hyperlink" Target="https://undocs.org/fr/CEDAW/C/CIV/CO/1-3" TargetMode="External"/><Relationship Id="rId66" Type="http://schemas.openxmlformats.org/officeDocument/2006/relationships/hyperlink" Target="https://undocs.org/fr/CEDAW/C/CIV/CO/1-3" TargetMode="External"/><Relationship Id="rId74" Type="http://schemas.openxmlformats.org/officeDocument/2006/relationships/hyperlink" Target="https://undocs.org/fr/CEDAW/C/CIV/CO/1-3" TargetMode="External"/><Relationship Id="rId79" Type="http://schemas.openxmlformats.org/officeDocument/2006/relationships/hyperlink" Target="https://undocs.org/fr/CEDAW/C/CIV/CO/1-3" TargetMode="External"/><Relationship Id="rId87" Type="http://schemas.openxmlformats.org/officeDocument/2006/relationships/hyperlink" Target="https://undocs.org/fr/CEDAW/C/CIV/CO/1-3" TargetMode="External"/><Relationship Id="rId102" Type="http://schemas.openxmlformats.org/officeDocument/2006/relationships/hyperlink" Target="https://undocs.org/fr/A/RES/12/183" TargetMode="External"/><Relationship Id="rId5" Type="http://schemas.openxmlformats.org/officeDocument/2006/relationships/webSettings" Target="webSettings.xml"/><Relationship Id="rId61" Type="http://schemas.openxmlformats.org/officeDocument/2006/relationships/hyperlink" Target="https://undocs.org/fr/CEDAW/C/CIV/CO/1-3" TargetMode="External"/><Relationship Id="rId82" Type="http://schemas.openxmlformats.org/officeDocument/2006/relationships/hyperlink" Target="https://undocs.org/fr/CEDAW/C/CIV/CO/1-3" TargetMode="External"/><Relationship Id="rId90" Type="http://schemas.openxmlformats.org/officeDocument/2006/relationships/hyperlink" Target="https://undocs.org/fr/CEDAW/C/CIV/CO/1-3" TargetMode="External"/><Relationship Id="rId95" Type="http://schemas.openxmlformats.org/officeDocument/2006/relationships/hyperlink" Target="https://undocs.org/fr/CEDAW/C/CIV/CO/1-3" TargetMode="External"/><Relationship Id="rId19" Type="http://schemas.openxmlformats.org/officeDocument/2006/relationships/hyperlink" Target="https://undocs.org/fr/CEDAW/C/CIV/CO/1-3" TargetMode="External"/><Relationship Id="rId14" Type="http://schemas.openxmlformats.org/officeDocument/2006/relationships/comments" Target="comments.xml"/><Relationship Id="rId22" Type="http://schemas.openxmlformats.org/officeDocument/2006/relationships/hyperlink" Target="https://undocs.org/fr/CEDAW/C/CIV/CO/1-3" TargetMode="External"/><Relationship Id="rId27" Type="http://schemas.openxmlformats.org/officeDocument/2006/relationships/hyperlink" Target="https://undocs.org/fr/CEDAW/C/CIV/CO/1-3" TargetMode="External"/><Relationship Id="rId30" Type="http://schemas.openxmlformats.org/officeDocument/2006/relationships/hyperlink" Target="https://undocs.org/fr/CEDAW/C/CIV/CO/1-3" TargetMode="External"/><Relationship Id="rId35" Type="http://schemas.openxmlformats.org/officeDocument/2006/relationships/hyperlink" Target="https://undocs.org/fr/CEDAW/C/CIV/CO/1-3" TargetMode="External"/><Relationship Id="rId43" Type="http://schemas.openxmlformats.org/officeDocument/2006/relationships/hyperlink" Target="https://undocs.org/fr/CEDAW/C/CIV/CO/1-3" TargetMode="External"/><Relationship Id="rId48" Type="http://schemas.openxmlformats.org/officeDocument/2006/relationships/hyperlink" Target="https://undocs.org/fr/CEDAW/C/CIV/CO/1-3" TargetMode="External"/><Relationship Id="rId56" Type="http://schemas.openxmlformats.org/officeDocument/2006/relationships/hyperlink" Target="https://undocs.org/fr/CEDAW/C/CIV/CO/1-3" TargetMode="External"/><Relationship Id="rId64" Type="http://schemas.openxmlformats.org/officeDocument/2006/relationships/hyperlink" Target="https://undocs.org/fr/CEDAW/C/CIV/CO/1-3" TargetMode="External"/><Relationship Id="rId69" Type="http://schemas.openxmlformats.org/officeDocument/2006/relationships/hyperlink" Target="https://undocs.org/fr/CEDAW/C/CIV/CO/1-3" TargetMode="External"/><Relationship Id="rId77" Type="http://schemas.openxmlformats.org/officeDocument/2006/relationships/hyperlink" Target="https://undocs.org/fr/CEDAW/C/CIV/CO/1-3" TargetMode="External"/><Relationship Id="rId100" Type="http://schemas.openxmlformats.org/officeDocument/2006/relationships/hyperlink" Target="https://undocs.org/fr/CEDAW/C/CIV/CO/1-3" TargetMode="External"/><Relationship Id="rId8" Type="http://schemas.openxmlformats.org/officeDocument/2006/relationships/header" Target="header1.xml"/><Relationship Id="rId51" Type="http://schemas.openxmlformats.org/officeDocument/2006/relationships/hyperlink" Target="https://undocs.org/fr/CEDAW/C/CIV/CO/1-3" TargetMode="External"/><Relationship Id="rId72" Type="http://schemas.openxmlformats.org/officeDocument/2006/relationships/hyperlink" Target="https://undocs.org/fr/CEDAW/C/CIV/CO/1-3" TargetMode="External"/><Relationship Id="rId80" Type="http://schemas.openxmlformats.org/officeDocument/2006/relationships/hyperlink" Target="https://undocs.org/fr/CEDAW/C/CIV/CO/1-3" TargetMode="External"/><Relationship Id="rId85" Type="http://schemas.openxmlformats.org/officeDocument/2006/relationships/hyperlink" Target="https://undocs.org/fr/CEDAW/C/CIV/CO/1-3" TargetMode="External"/><Relationship Id="rId93" Type="http://schemas.openxmlformats.org/officeDocument/2006/relationships/hyperlink" Target="https://undocs.org/fr/CEDAW/C/CIV/CO/1-3" TargetMode="External"/><Relationship Id="rId98" Type="http://schemas.openxmlformats.org/officeDocument/2006/relationships/hyperlink" Target="https://undocs.org/fr/CEDAW/C/CIV/CO/1-3"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fr/CEDAW/C/CIV/CO/1-3" TargetMode="External"/><Relationship Id="rId25" Type="http://schemas.openxmlformats.org/officeDocument/2006/relationships/hyperlink" Target="https://undocs.org/fr/A/RES/67/70" TargetMode="External"/><Relationship Id="rId33" Type="http://schemas.openxmlformats.org/officeDocument/2006/relationships/hyperlink" Target="https://undocs.org/fr/CEDAW/C/CIV/CO/1-3" TargetMode="External"/><Relationship Id="rId38" Type="http://schemas.openxmlformats.org/officeDocument/2006/relationships/hyperlink" Target="https://undocs.org/fr/CEDAW/C/CIV/CO/1-3" TargetMode="External"/><Relationship Id="rId46" Type="http://schemas.openxmlformats.org/officeDocument/2006/relationships/hyperlink" Target="https://undocs.org/fr/CEDAW/C/CIV/CO/1-3" TargetMode="External"/><Relationship Id="rId59" Type="http://schemas.openxmlformats.org/officeDocument/2006/relationships/hyperlink" Target="https://undocs.org/fr/CEDAW/C/CIV/CO/1-3" TargetMode="External"/><Relationship Id="rId67" Type="http://schemas.openxmlformats.org/officeDocument/2006/relationships/hyperlink" Target="https://undocs.org/fr/CEDAW/C/CIV/CO/1-3" TargetMode="External"/><Relationship Id="rId103" Type="http://schemas.openxmlformats.org/officeDocument/2006/relationships/fontTable" Target="fontTable.xml"/><Relationship Id="rId20" Type="http://schemas.openxmlformats.org/officeDocument/2006/relationships/hyperlink" Target="https://undocs.org/fr/CEDAW/C/CIV/CO/1-3" TargetMode="External"/><Relationship Id="rId41" Type="http://schemas.openxmlformats.org/officeDocument/2006/relationships/hyperlink" Target="https://undocs.org/fr/CEDAW/C/CIV/CO/1-3" TargetMode="External"/><Relationship Id="rId54" Type="http://schemas.openxmlformats.org/officeDocument/2006/relationships/hyperlink" Target="https://undocs.org/fr/CEDAW/C/CIV/CO/1-3" TargetMode="External"/><Relationship Id="rId62" Type="http://schemas.openxmlformats.org/officeDocument/2006/relationships/hyperlink" Target="https://undocs.org/fr/CEDAW/C/CIV/CO/1-3" TargetMode="External"/><Relationship Id="rId70" Type="http://schemas.openxmlformats.org/officeDocument/2006/relationships/hyperlink" Target="https://undocs.org/fr/CEDAW/C/CIV/CO/1-3" TargetMode="External"/><Relationship Id="rId75" Type="http://schemas.openxmlformats.org/officeDocument/2006/relationships/hyperlink" Target="https://undocs.org/fr/CEDAW/C/CIV/CO/1-3" TargetMode="External"/><Relationship Id="rId83" Type="http://schemas.openxmlformats.org/officeDocument/2006/relationships/hyperlink" Target="https://undocs.org/fr/CEDAW/C/CIV/CO/1-3" TargetMode="External"/><Relationship Id="rId88" Type="http://schemas.openxmlformats.org/officeDocument/2006/relationships/hyperlink" Target="https://undocs.org/fr/CEDAW/C/CIV/CO/1-3" TargetMode="External"/><Relationship Id="rId91" Type="http://schemas.openxmlformats.org/officeDocument/2006/relationships/hyperlink" Target="https://undocs.org/fr/CEDAW/C/CIV/CO/1-3" TargetMode="External"/><Relationship Id="rId96" Type="http://schemas.openxmlformats.org/officeDocument/2006/relationships/hyperlink" Target="https://undocs.org/fr/CEDAW/C/CIV/CO/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undocs.org/fr/CEDAW/C/CIV/CO/1-3" TargetMode="External"/><Relationship Id="rId28" Type="http://schemas.openxmlformats.org/officeDocument/2006/relationships/hyperlink" Target="https://undocs.org/fr/CEDAW/C/CIV/CO/1-3" TargetMode="External"/><Relationship Id="rId36" Type="http://schemas.openxmlformats.org/officeDocument/2006/relationships/hyperlink" Target="https://undocs.org/fr/CEDAW/C/CIV/CO/1-3" TargetMode="External"/><Relationship Id="rId49" Type="http://schemas.openxmlformats.org/officeDocument/2006/relationships/hyperlink" Target="https://undocs.org/fr/CEDAW/C/CIV/CO/1-3" TargetMode="External"/><Relationship Id="rId57" Type="http://schemas.openxmlformats.org/officeDocument/2006/relationships/hyperlink" Target="https://undocs.org/fr/CEDAW/C/CIV/CO/1-3" TargetMode="External"/><Relationship Id="rId10" Type="http://schemas.openxmlformats.org/officeDocument/2006/relationships/footer" Target="footer1.xml"/><Relationship Id="rId31" Type="http://schemas.openxmlformats.org/officeDocument/2006/relationships/hyperlink" Target="https://undocs.org/fr/CEDAW/C/CIV/CO/1-3" TargetMode="External"/><Relationship Id="rId44" Type="http://schemas.openxmlformats.org/officeDocument/2006/relationships/hyperlink" Target="https://undocs.org/fr/CEDAW/C/CIV/CO/1-3" TargetMode="External"/><Relationship Id="rId52" Type="http://schemas.openxmlformats.org/officeDocument/2006/relationships/hyperlink" Target="https://undocs.org/fr/CEDAW/C/CIV/CO/1-3" TargetMode="External"/><Relationship Id="rId60" Type="http://schemas.openxmlformats.org/officeDocument/2006/relationships/hyperlink" Target="https://undocs.org/fr/CEDAW/C/CIV/CO/1-3" TargetMode="External"/><Relationship Id="rId65" Type="http://schemas.openxmlformats.org/officeDocument/2006/relationships/hyperlink" Target="https://undocs.org/fr/CEDAW/C/CIV/CO/1-3" TargetMode="External"/><Relationship Id="rId73" Type="http://schemas.openxmlformats.org/officeDocument/2006/relationships/hyperlink" Target="https://undocs.org/fr/CEDAW/C/CIV/CO/1-3" TargetMode="External"/><Relationship Id="rId78" Type="http://schemas.openxmlformats.org/officeDocument/2006/relationships/hyperlink" Target="https://undocs.org/fr/CEDAW/C/CIV/CO/1-3" TargetMode="External"/><Relationship Id="rId81" Type="http://schemas.openxmlformats.org/officeDocument/2006/relationships/hyperlink" Target="https://undocs.org/fr/CEDAW/C/CIV/CO/1-3" TargetMode="External"/><Relationship Id="rId86" Type="http://schemas.openxmlformats.org/officeDocument/2006/relationships/hyperlink" Target="https://undocs.org/fr/CEDAW/C/CIV/CO/1-3" TargetMode="External"/><Relationship Id="rId94" Type="http://schemas.openxmlformats.org/officeDocument/2006/relationships/hyperlink" Target="https://undocs.org/fr/CEDAW/C/CIV/CO/1-3" TargetMode="External"/><Relationship Id="rId99" Type="http://schemas.openxmlformats.org/officeDocument/2006/relationships/hyperlink" Target="https://undocs.org/fr/CEDAW/C/CIV/CO/1-3" TargetMode="External"/><Relationship Id="rId101" Type="http://schemas.openxmlformats.org/officeDocument/2006/relationships/hyperlink" Target="https://undocs.org/fr/CEDAW/C/CIV/CO/1-3"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undocs.org/fr/CEDAW/C/CIV/CO/1-3" TargetMode="External"/><Relationship Id="rId39" Type="http://schemas.openxmlformats.org/officeDocument/2006/relationships/hyperlink" Target="https://undocs.org/fr/CEDAW/C/CIV/CO/1-3" TargetMode="External"/><Relationship Id="rId34" Type="http://schemas.openxmlformats.org/officeDocument/2006/relationships/hyperlink" Target="https://undocs.org/fr/CEDAW/C/CIV/CO/1-3" TargetMode="External"/><Relationship Id="rId50" Type="http://schemas.openxmlformats.org/officeDocument/2006/relationships/hyperlink" Target="https://undocs.org/fr/S/RES/1960(2010)" TargetMode="External"/><Relationship Id="rId55" Type="http://schemas.openxmlformats.org/officeDocument/2006/relationships/hyperlink" Target="https://undocs.org/fr/CEDAW/C/CIV/CO/1-3" TargetMode="External"/><Relationship Id="rId76" Type="http://schemas.openxmlformats.org/officeDocument/2006/relationships/hyperlink" Target="https://undocs.org/fr/CEDAW/C/CIV/CO/1-3" TargetMode="External"/><Relationship Id="rId97" Type="http://schemas.openxmlformats.org/officeDocument/2006/relationships/hyperlink" Target="https://undocs.org/fr/CEDAW/C/CIV/CO/1-3" TargetMode="External"/><Relationship Id="rId10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S/RES/1960(20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AAD3-463B-4AE7-AEBE-113AF667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19383</Words>
  <Characters>110489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Dias</dc:creator>
  <cp:keywords/>
  <dc:description/>
  <cp:lastModifiedBy>French Text Processing</cp:lastModifiedBy>
  <cp:revision>3</cp:revision>
  <cp:lastPrinted>2018-07-25T22:00:00Z</cp:lastPrinted>
  <dcterms:created xsi:type="dcterms:W3CDTF">2018-07-25T22:00:00Z</dcterms:created>
  <dcterms:modified xsi:type="dcterms:W3CDTF">2018-07-25T22:00:00Z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1811484F</vt:lpwstr>
  </property>
  <property fmtid="{D5CDD505-2E9C-101B-9397-08002B2CF9AE}" pid="3" name="ODSRefJobNo">
    <vt:lpwstr>1821958F</vt:lpwstr>
  </property>
  <property fmtid="{D5CDD505-2E9C-101B-9397-08002B2CF9AE}" pid="4" name="Symbol1">
    <vt:lpwstr>CEDAW/C/CIV/4</vt:lpwstr>
  </property>
  <property fmtid="{D5CDD505-2E9C-101B-9397-08002B2CF9AE}" pid="5" name="Symbol2">
    <vt:lpwstr/>
  </property>
  <property fmtid="{D5CDD505-2E9C-101B-9397-08002B2CF9AE}" pid="6" name="Translator">
    <vt:lpwstr/>
  </property>
  <property fmtid="{D5CDD505-2E9C-101B-9397-08002B2CF9AE}" pid="7" name="Operator">
    <vt:lpwstr>ild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Quatrième rapport périodique soumis par la Côte d’Ivoire en application de l’article 18 de la Convention, attendu en 2015*_x000d_</vt:lpwstr>
  </property>
</Properties>
</file>