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54" w:rsidRPr="000A02AB" w:rsidRDefault="00F21254" w:rsidP="000A02AB">
      <w:pPr>
        <w:spacing w:line="60" w:lineRule="exact"/>
        <w:rPr>
          <w:color w:val="010000"/>
          <w:sz w:val="6"/>
        </w:rPr>
        <w:sectPr w:rsidR="00F21254" w:rsidRPr="000A02AB" w:rsidSect="00F2125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1898" w:left="1200" w:header="576" w:footer="1030" w:gutter="0"/>
          <w:pgNumType w:start="1"/>
          <w:cols w:space="720"/>
          <w:noEndnote/>
          <w:titlePg/>
          <w:docGrid w:linePitch="360"/>
        </w:sectPr>
      </w:pPr>
      <w:r w:rsidRPr="000A02AB">
        <w:rPr>
          <w:rStyle w:val="CommentReference"/>
        </w:rPr>
        <w:commentReference w:id="0"/>
      </w: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right="1260"/>
      </w:pPr>
      <w:r w:rsidRPr="000A02AB">
        <w:t xml:space="preserve">Комитет по ликвидации дискриминации </w:t>
      </w:r>
      <w:r w:rsidRPr="000A02AB">
        <w:br/>
        <w:t>в отношении женщин</w:t>
      </w: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3614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t>Рассмотрение докладов, представляемых государствами-участн</w:t>
      </w:r>
      <w:r w:rsidR="001C43D8" w:rsidRPr="000A02AB">
        <w:t>иками в соответствии со </w:t>
      </w:r>
      <w:r w:rsidRPr="000A02AB">
        <w:t>статьей 18 Конве</w:t>
      </w:r>
      <w:r w:rsidRPr="000A02AB">
        <w:t>н</w:t>
      </w:r>
      <w:r w:rsidRPr="000A02AB">
        <w:t xml:space="preserve">ции </w:t>
      </w: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t>Шестой периодический доклад государств-участников, подлежащие представлению в 2014 год</w:t>
      </w: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3614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t>Чешская Республика</w:t>
      </w:r>
      <w:r w:rsidRPr="000A02AB">
        <w:rPr>
          <w:rStyle w:val="FootnoteReference"/>
          <w:b w:val="0"/>
          <w:sz w:val="20"/>
        </w:rPr>
        <w:footnoteReference w:customMarkFollows="1" w:id="1"/>
        <w:t>*</w:t>
      </w: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F21254" w:rsidRPr="000A02AB" w:rsidRDefault="00170278" w:rsidP="000A02AB">
      <w:pPr>
        <w:pStyle w:val="SingleTxt"/>
        <w:jc w:val="right"/>
      </w:pPr>
      <w:r w:rsidRPr="000A02AB">
        <w:t>4 ноября 2014 года</w:t>
      </w:r>
    </w:p>
    <w:p w:rsidR="00170278" w:rsidRPr="000A02AB" w:rsidRDefault="00170278" w:rsidP="000A02AB">
      <w:pPr>
        <w:pStyle w:val="HCh"/>
        <w:suppressAutoHyphens w:val="0"/>
        <w:rPr>
          <w:b w:val="0"/>
        </w:rPr>
      </w:pPr>
      <w:r w:rsidRPr="000A02AB">
        <w:br w:type="page"/>
      </w:r>
      <w:r w:rsidRPr="000A02AB">
        <w:rPr>
          <w:b w:val="0"/>
        </w:rPr>
        <w:t>Содержание</w:t>
      </w:r>
    </w:p>
    <w:p w:rsidR="00170278" w:rsidRPr="000A02AB" w:rsidRDefault="00170278" w:rsidP="000A02AB">
      <w:pPr>
        <w:pStyle w:val="SingleTxt"/>
        <w:spacing w:after="0" w:line="120" w:lineRule="exact"/>
        <w:rPr>
          <w:sz w:val="10"/>
        </w:rPr>
      </w:pPr>
    </w:p>
    <w:p w:rsidR="00F9641D" w:rsidRPr="000A02AB" w:rsidRDefault="00F9641D" w:rsidP="000A02AB">
      <w:pPr>
        <w:pStyle w:val="SingleTxt"/>
        <w:spacing w:after="0" w:line="120" w:lineRule="exact"/>
        <w:rPr>
          <w:sz w:val="10"/>
        </w:rPr>
      </w:pPr>
    </w:p>
    <w:tbl>
      <w:tblPr>
        <w:tblW w:w="9837" w:type="dxa"/>
        <w:tblLayout w:type="fixed"/>
        <w:tblCellMar>
          <w:left w:w="0" w:type="dxa"/>
          <w:right w:w="0" w:type="dxa"/>
        </w:tblCellMar>
        <w:tblLook w:val="04A0"/>
      </w:tblPr>
      <w:tblGrid>
        <w:gridCol w:w="1059"/>
        <w:gridCol w:w="7314"/>
        <w:gridCol w:w="994"/>
        <w:gridCol w:w="470"/>
      </w:tblGrid>
      <w:tr w:rsidR="00170278" w:rsidRPr="000A02AB" w:rsidTr="00170278">
        <w:tc>
          <w:tcPr>
            <w:tcW w:w="1059" w:type="dxa"/>
          </w:tcPr>
          <w:p w:rsidR="00170278" w:rsidRPr="000A02AB" w:rsidRDefault="00170278" w:rsidP="000A02AB">
            <w:pPr>
              <w:spacing w:after="120" w:line="240" w:lineRule="auto"/>
              <w:jc w:val="right"/>
              <w:rPr>
                <w:i/>
                <w:sz w:val="14"/>
              </w:rPr>
            </w:pPr>
          </w:p>
        </w:tc>
        <w:tc>
          <w:tcPr>
            <w:tcW w:w="7314" w:type="dxa"/>
          </w:tcPr>
          <w:p w:rsidR="00170278" w:rsidRPr="000A02AB" w:rsidRDefault="00170278" w:rsidP="000A02AB">
            <w:pPr>
              <w:spacing w:after="120" w:line="240" w:lineRule="auto"/>
              <w:rPr>
                <w:i/>
                <w:sz w:val="14"/>
              </w:rPr>
            </w:pPr>
          </w:p>
        </w:tc>
        <w:tc>
          <w:tcPr>
            <w:tcW w:w="994" w:type="dxa"/>
          </w:tcPr>
          <w:p w:rsidR="00170278" w:rsidRPr="000A02AB" w:rsidRDefault="00170278" w:rsidP="000A02AB">
            <w:pPr>
              <w:spacing w:after="120" w:line="240" w:lineRule="auto"/>
              <w:jc w:val="right"/>
              <w:rPr>
                <w:i/>
                <w:sz w:val="14"/>
              </w:rPr>
            </w:pPr>
          </w:p>
        </w:tc>
        <w:tc>
          <w:tcPr>
            <w:tcW w:w="470" w:type="dxa"/>
          </w:tcPr>
          <w:p w:rsidR="00170278" w:rsidRPr="000A02AB" w:rsidRDefault="00170278" w:rsidP="000A02AB">
            <w:pPr>
              <w:spacing w:after="120" w:line="240" w:lineRule="auto"/>
              <w:jc w:val="right"/>
              <w:rPr>
                <w:i/>
                <w:sz w:val="14"/>
              </w:rPr>
            </w:pPr>
            <w:r w:rsidRPr="000A02AB">
              <w:rPr>
                <w:i/>
                <w:sz w:val="14"/>
              </w:rPr>
              <w:t>Стр.</w:t>
            </w:r>
          </w:p>
        </w:tc>
      </w:tr>
      <w:tr w:rsidR="00170278" w:rsidRPr="000A02AB" w:rsidTr="00170278">
        <w:tc>
          <w:tcPr>
            <w:tcW w:w="9367" w:type="dxa"/>
            <w:gridSpan w:val="3"/>
            <w:hideMark/>
          </w:tcPr>
          <w:p w:rsidR="00170278" w:rsidRPr="000A02AB" w:rsidRDefault="00E32F83" w:rsidP="000A02AB">
            <w:pPr>
              <w:tabs>
                <w:tab w:val="right" w:pos="1080"/>
                <w:tab w:val="left" w:pos="1296"/>
                <w:tab w:val="right" w:leader="dot" w:pos="9360"/>
              </w:tabs>
              <w:spacing w:after="120"/>
              <w:ind w:left="1080"/>
            </w:pPr>
            <w:r w:rsidRPr="000A02AB">
              <w:t>Примечание</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4</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right" w:leader="dot" w:pos="9360"/>
              </w:tabs>
              <w:spacing w:after="120"/>
              <w:ind w:left="1080"/>
              <w:rPr>
                <w:spacing w:val="60"/>
                <w:sz w:val="17"/>
              </w:rPr>
            </w:pPr>
            <w:r w:rsidRPr="000A02AB">
              <w:t>Введение</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5</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pacing w:after="120"/>
              <w:ind w:left="1080"/>
              <w:rPr>
                <w:spacing w:val="60"/>
                <w:sz w:val="17"/>
              </w:rPr>
            </w:pPr>
            <w:r w:rsidRPr="000A02AB">
              <w:t>Выполнение отдельных статей Конвенции</w:t>
            </w:r>
            <w:r w:rsidRPr="000A02AB">
              <w:rPr>
                <w:spacing w:val="60"/>
                <w:sz w:val="17"/>
              </w:rPr>
              <w:tab/>
            </w:r>
          </w:p>
        </w:tc>
        <w:tc>
          <w:tcPr>
            <w:tcW w:w="470" w:type="dxa"/>
            <w:vAlign w:val="bottom"/>
          </w:tcPr>
          <w:p w:rsidR="00170278" w:rsidRPr="000A02AB" w:rsidRDefault="00E32F83" w:rsidP="000A02AB">
            <w:pPr>
              <w:spacing w:after="120"/>
              <w:jc w:val="right"/>
            </w:pPr>
            <w:r w:rsidRPr="000A02AB">
              <w:t>6</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pacing w:after="120"/>
              <w:ind w:left="1080"/>
              <w:rPr>
                <w:spacing w:val="60"/>
                <w:sz w:val="17"/>
              </w:rPr>
            </w:pPr>
            <w:r w:rsidRPr="000A02AB">
              <w:t>Статья</w:t>
            </w:r>
            <w:r w:rsidR="00170278" w:rsidRPr="000A02AB">
              <w:t xml:space="preserve"> 1</w:t>
            </w:r>
            <w:r w:rsidRPr="000A02AB">
              <w:br/>
            </w:r>
            <w:r w:rsidRPr="000A02AB">
              <w:tab/>
            </w:r>
            <w:r w:rsidRPr="000A02AB">
              <w:rPr>
                <w:rStyle w:val="Hyperlink"/>
              </w:rPr>
              <w:t>Законодательное определение дискриминации по признаку пола</w:t>
            </w:r>
            <w:r w:rsidRPr="000A02AB">
              <w:rPr>
                <w:rStyle w:val="Hyperlink"/>
                <w:spacing w:val="60"/>
                <w:sz w:val="17"/>
              </w:rPr>
              <w:tab/>
            </w:r>
          </w:p>
        </w:tc>
        <w:tc>
          <w:tcPr>
            <w:tcW w:w="470" w:type="dxa"/>
            <w:vAlign w:val="bottom"/>
          </w:tcPr>
          <w:p w:rsidR="00170278" w:rsidRPr="000A02AB" w:rsidRDefault="00E32F83" w:rsidP="000A02AB">
            <w:pPr>
              <w:spacing w:after="120"/>
              <w:jc w:val="right"/>
            </w:pPr>
            <w:r w:rsidRPr="000A02AB">
              <w:t>6</w:t>
            </w:r>
          </w:p>
        </w:tc>
      </w:tr>
      <w:tr w:rsidR="00170278" w:rsidRPr="000A02AB" w:rsidTr="00E32F83">
        <w:tc>
          <w:tcPr>
            <w:tcW w:w="9367" w:type="dxa"/>
            <w:gridSpan w:val="3"/>
            <w:vAlign w:val="bottom"/>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0A02AB">
              <w:rPr>
                <w:rStyle w:val="Hyperlink"/>
              </w:rPr>
              <w:t>Институциональная основа гендерного равенства</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8</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ind w:left="1080"/>
              <w:rPr>
                <w:spacing w:val="60"/>
                <w:sz w:val="17"/>
              </w:rPr>
            </w:pPr>
            <w:r w:rsidRPr="000A02AB">
              <w:t xml:space="preserve">Статья </w:t>
            </w:r>
            <w:r w:rsidR="00170278" w:rsidRPr="000A02AB">
              <w:t>2</w:t>
            </w:r>
            <w:r w:rsidRPr="000A02AB">
              <w:br/>
            </w:r>
            <w:r w:rsidRPr="000A02AB">
              <w:tab/>
            </w:r>
            <w:r w:rsidRPr="000A02AB">
              <w:rPr>
                <w:rStyle w:val="Hyperlink"/>
              </w:rPr>
              <w:t>Меры по ликвидации дискриминации в отношении женщин</w:t>
            </w:r>
            <w:r w:rsidRPr="000A02AB">
              <w:rPr>
                <w:rStyle w:val="Hyperlink"/>
                <w:spacing w:val="60"/>
                <w:sz w:val="17"/>
              </w:rPr>
              <w:tab/>
            </w:r>
          </w:p>
        </w:tc>
        <w:tc>
          <w:tcPr>
            <w:tcW w:w="470" w:type="dxa"/>
            <w:vAlign w:val="bottom"/>
          </w:tcPr>
          <w:p w:rsidR="00170278" w:rsidRPr="000A02AB" w:rsidRDefault="00E32F83" w:rsidP="000A02AB">
            <w:pPr>
              <w:spacing w:after="120"/>
              <w:jc w:val="right"/>
            </w:pPr>
            <w:r w:rsidRPr="000A02AB">
              <w:t>13</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0A02AB">
              <w:rPr>
                <w:rStyle w:val="Hyperlink"/>
              </w:rPr>
              <w:t>Насилие в отношении женщин</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17</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0A02AB">
              <w:rPr>
                <w:rStyle w:val="Hyperlink"/>
              </w:rPr>
              <w:t>Международное сотрудничество в области развития</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29</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pacing w:after="120"/>
              <w:ind w:left="1080"/>
              <w:rPr>
                <w:spacing w:val="60"/>
                <w:sz w:val="17"/>
              </w:rPr>
            </w:pPr>
            <w:r w:rsidRPr="000A02AB">
              <w:t>Статья</w:t>
            </w:r>
            <w:r w:rsidR="00170278" w:rsidRPr="000A02AB">
              <w:t xml:space="preserve"> 3</w:t>
            </w:r>
            <w:r w:rsidRPr="000A02AB">
              <w:br/>
            </w:r>
            <w:r w:rsidRPr="000A02AB">
              <w:tab/>
            </w:r>
            <w:r w:rsidRPr="000A02AB">
              <w:rPr>
                <w:rStyle w:val="Hyperlink"/>
              </w:rPr>
              <w:t>Обеспечение прав человека и основных свобод</w:t>
            </w:r>
            <w:r w:rsidRPr="000A02AB">
              <w:rPr>
                <w:rStyle w:val="Hyperlink"/>
                <w:spacing w:val="60"/>
                <w:sz w:val="17"/>
              </w:rPr>
              <w:tab/>
            </w:r>
            <w:r w:rsidRPr="000A02AB">
              <w:rPr>
                <w:rStyle w:val="Hyperlink"/>
                <w:spacing w:val="60"/>
                <w:sz w:val="17"/>
              </w:rPr>
              <w:tab/>
            </w:r>
          </w:p>
        </w:tc>
        <w:tc>
          <w:tcPr>
            <w:tcW w:w="470" w:type="dxa"/>
            <w:vAlign w:val="bottom"/>
          </w:tcPr>
          <w:p w:rsidR="00170278" w:rsidRPr="000A02AB" w:rsidRDefault="00E32F83" w:rsidP="000A02AB">
            <w:pPr>
              <w:spacing w:after="120"/>
              <w:jc w:val="right"/>
            </w:pPr>
            <w:r w:rsidRPr="000A02AB">
              <w:t>30</w:t>
            </w:r>
          </w:p>
        </w:tc>
      </w:tr>
      <w:tr w:rsidR="00170278" w:rsidRPr="000A02AB" w:rsidTr="00170278">
        <w:tc>
          <w:tcPr>
            <w:tcW w:w="9367" w:type="dxa"/>
            <w:gridSpan w:val="3"/>
            <w:hideMark/>
          </w:tcPr>
          <w:p w:rsidR="00E32F83" w:rsidRPr="000A02AB" w:rsidRDefault="00E32F83" w:rsidP="000A02AB">
            <w:pPr>
              <w:tabs>
                <w:tab w:val="right" w:pos="1080"/>
                <w:tab w:val="left" w:pos="1296"/>
                <w:tab w:val="left" w:pos="1728"/>
                <w:tab w:val="left" w:pos="2160"/>
                <w:tab w:val="left" w:pos="2592"/>
                <w:tab w:val="left" w:pos="3024"/>
                <w:tab w:val="left" w:pos="3456"/>
                <w:tab w:val="left" w:pos="3888"/>
                <w:tab w:val="right" w:leader="dot" w:pos="9245"/>
              </w:tabs>
              <w:spacing w:after="120"/>
              <w:ind w:left="1080"/>
              <w:rPr>
                <w:spacing w:val="60"/>
                <w:sz w:val="17"/>
              </w:rPr>
            </w:pPr>
            <w:r w:rsidRPr="000A02AB">
              <w:t>Статья</w:t>
            </w:r>
            <w:r w:rsidR="00170278" w:rsidRPr="000A02AB">
              <w:t xml:space="preserve"> 4</w:t>
            </w:r>
            <w:r w:rsidRPr="000A02AB">
              <w:rPr>
                <w:sz w:val="10"/>
              </w:rPr>
              <w:br/>
            </w:r>
            <w:r w:rsidRPr="000A02AB">
              <w:rPr>
                <w:sz w:val="10"/>
              </w:rPr>
              <w:tab/>
            </w:r>
            <w:r w:rsidRPr="000A02AB">
              <w:rPr>
                <w:rStyle w:val="Hyperlink"/>
              </w:rPr>
              <w:t>Временные специальные меры</w:t>
            </w:r>
            <w:r w:rsidRPr="000A02AB">
              <w:rPr>
                <w:rStyle w:val="Hyperlink"/>
                <w:spacing w:val="60"/>
                <w:sz w:val="17"/>
              </w:rPr>
              <w:tab/>
            </w:r>
          </w:p>
        </w:tc>
        <w:tc>
          <w:tcPr>
            <w:tcW w:w="470" w:type="dxa"/>
            <w:vAlign w:val="bottom"/>
          </w:tcPr>
          <w:p w:rsidR="00170278" w:rsidRPr="000A02AB" w:rsidRDefault="00E32F83" w:rsidP="000A02AB">
            <w:pPr>
              <w:spacing w:after="120"/>
              <w:jc w:val="right"/>
            </w:pPr>
            <w:r w:rsidRPr="000A02AB">
              <w:t>31</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pacing w:after="120"/>
              <w:ind w:left="1080"/>
              <w:rPr>
                <w:spacing w:val="60"/>
                <w:sz w:val="17"/>
              </w:rPr>
            </w:pPr>
            <w:r w:rsidRPr="000A02AB">
              <w:t xml:space="preserve">Статья </w:t>
            </w:r>
            <w:r w:rsidR="00170278" w:rsidRPr="000A02AB">
              <w:t>5</w:t>
            </w:r>
            <w:r w:rsidRPr="000A02AB">
              <w:br/>
            </w:r>
            <w:r w:rsidRPr="000A02AB">
              <w:tab/>
            </w:r>
            <w:r w:rsidRPr="000A02AB">
              <w:rPr>
                <w:rStyle w:val="Hyperlink"/>
              </w:rPr>
              <w:t>Меры по изменению социальных и культурных обычаев</w:t>
            </w:r>
            <w:r w:rsidRPr="000A02AB">
              <w:rPr>
                <w:rStyle w:val="Hyperlink"/>
                <w:spacing w:val="60"/>
                <w:sz w:val="17"/>
              </w:rPr>
              <w:tab/>
            </w:r>
          </w:p>
        </w:tc>
        <w:tc>
          <w:tcPr>
            <w:tcW w:w="470" w:type="dxa"/>
            <w:vAlign w:val="bottom"/>
          </w:tcPr>
          <w:p w:rsidR="00170278" w:rsidRPr="000A02AB" w:rsidRDefault="00E32F83" w:rsidP="000A02AB">
            <w:pPr>
              <w:spacing w:after="120"/>
              <w:jc w:val="right"/>
            </w:pPr>
            <w:r w:rsidRPr="000A02AB">
              <w:t>33</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0A02AB">
              <w:rPr>
                <w:rStyle w:val="Hyperlink"/>
              </w:rPr>
              <w:t>Меры по обеспечению правильного понимания материнства как социальной функции и</w:t>
            </w:r>
            <w:r w:rsidR="00A53B06" w:rsidRPr="000A02AB">
              <w:rPr>
                <w:rStyle w:val="Hyperlink"/>
              </w:rPr>
              <w:t> </w:t>
            </w:r>
            <w:r w:rsidRPr="000A02AB">
              <w:rPr>
                <w:rStyle w:val="Hyperlink"/>
              </w:rPr>
              <w:t>признания общей ответственности мужчин и женщин</w:t>
            </w:r>
            <w:r w:rsidR="00170278" w:rsidRPr="000A02AB">
              <w:rPr>
                <w:spacing w:val="60"/>
                <w:sz w:val="17"/>
              </w:rPr>
              <w:tab/>
            </w:r>
          </w:p>
        </w:tc>
        <w:tc>
          <w:tcPr>
            <w:tcW w:w="470" w:type="dxa"/>
            <w:vAlign w:val="bottom"/>
          </w:tcPr>
          <w:p w:rsidR="00170278" w:rsidRPr="000A02AB" w:rsidRDefault="00E32F83" w:rsidP="000A02AB">
            <w:pPr>
              <w:spacing w:after="120"/>
              <w:jc w:val="right"/>
            </w:pPr>
            <w:r w:rsidRPr="000A02AB">
              <w:t>36</w:t>
            </w:r>
          </w:p>
        </w:tc>
      </w:tr>
      <w:tr w:rsidR="00170278" w:rsidRPr="000A02AB" w:rsidTr="00170278">
        <w:tc>
          <w:tcPr>
            <w:tcW w:w="9367" w:type="dxa"/>
            <w:gridSpan w:val="3"/>
            <w:hideMark/>
          </w:tcPr>
          <w:p w:rsidR="00170278" w:rsidRPr="000A02AB" w:rsidRDefault="00E32F83" w:rsidP="000A02AB">
            <w:pPr>
              <w:tabs>
                <w:tab w:val="right" w:pos="1080"/>
                <w:tab w:val="left" w:pos="1296"/>
                <w:tab w:val="left" w:pos="1728"/>
                <w:tab w:val="left" w:pos="2160"/>
                <w:tab w:val="left" w:pos="2592"/>
                <w:tab w:val="left" w:pos="3024"/>
                <w:tab w:val="left" w:pos="3456"/>
                <w:tab w:val="right" w:leader="dot" w:pos="9245"/>
              </w:tabs>
              <w:spacing w:after="120"/>
              <w:ind w:left="1080"/>
              <w:rPr>
                <w:spacing w:val="60"/>
                <w:sz w:val="17"/>
              </w:rPr>
            </w:pPr>
            <w:r w:rsidRPr="000A02AB">
              <w:t>Статья</w:t>
            </w:r>
            <w:r w:rsidR="00170278" w:rsidRPr="000A02AB">
              <w:t xml:space="preserve"> 6</w:t>
            </w:r>
            <w:r w:rsidRPr="000A02AB">
              <w:br/>
            </w:r>
            <w:r w:rsidRPr="000A02AB">
              <w:tab/>
              <w:t>Борьба с торговлей людьми</w:t>
            </w:r>
            <w:r w:rsidRPr="000A02AB">
              <w:rPr>
                <w:spacing w:val="60"/>
                <w:sz w:val="17"/>
              </w:rPr>
              <w:tab/>
            </w:r>
          </w:p>
        </w:tc>
        <w:tc>
          <w:tcPr>
            <w:tcW w:w="470" w:type="dxa"/>
            <w:vAlign w:val="bottom"/>
          </w:tcPr>
          <w:p w:rsidR="00170278" w:rsidRPr="000A02AB" w:rsidRDefault="00E32F83" w:rsidP="000A02AB">
            <w:pPr>
              <w:spacing w:after="120"/>
              <w:jc w:val="right"/>
            </w:pPr>
            <w:r w:rsidRPr="000A02AB">
              <w:t>37</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right" w:leader="dot" w:pos="9360"/>
              </w:tabs>
              <w:spacing w:after="120"/>
              <w:ind w:left="1080"/>
              <w:rPr>
                <w:spacing w:val="60"/>
                <w:sz w:val="17"/>
              </w:rPr>
            </w:pPr>
            <w:r w:rsidRPr="000A02AB">
              <w:t>Проституция</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40</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ind w:left="1080"/>
              <w:rPr>
                <w:spacing w:val="60"/>
                <w:sz w:val="17"/>
              </w:rPr>
            </w:pPr>
            <w:r w:rsidRPr="000A02AB">
              <w:t>Статья</w:t>
            </w:r>
            <w:r w:rsidR="00170278" w:rsidRPr="000A02AB">
              <w:t xml:space="preserve"> 7</w:t>
            </w:r>
            <w:r w:rsidRPr="000A02AB">
              <w:br/>
            </w:r>
            <w:r w:rsidRPr="000A02AB">
              <w:tab/>
            </w:r>
            <w:r w:rsidRPr="000A02AB">
              <w:rPr>
                <w:rStyle w:val="Hyperlink"/>
              </w:rPr>
              <w:t>Участие женщин в политической и общественной жизни</w:t>
            </w:r>
            <w:r w:rsidRPr="000A02AB">
              <w:rPr>
                <w:rStyle w:val="Hyperlink"/>
                <w:spacing w:val="60"/>
                <w:sz w:val="17"/>
              </w:rPr>
              <w:tab/>
            </w:r>
          </w:p>
        </w:tc>
        <w:tc>
          <w:tcPr>
            <w:tcW w:w="470" w:type="dxa"/>
            <w:vAlign w:val="bottom"/>
          </w:tcPr>
          <w:p w:rsidR="00170278" w:rsidRPr="000A02AB" w:rsidRDefault="00583B34" w:rsidP="000A02AB">
            <w:pPr>
              <w:spacing w:after="120"/>
              <w:jc w:val="right"/>
            </w:pPr>
            <w:r w:rsidRPr="000A02AB">
              <w:t>41</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left" w:pos="2592"/>
                <w:tab w:val="left" w:pos="3024"/>
                <w:tab w:val="left" w:pos="3456"/>
                <w:tab w:val="right" w:leader="dot" w:pos="9245"/>
              </w:tabs>
              <w:spacing w:after="120"/>
              <w:ind w:left="1080"/>
              <w:rPr>
                <w:spacing w:val="60"/>
                <w:sz w:val="17"/>
              </w:rPr>
            </w:pPr>
            <w:r w:rsidRPr="000A02AB">
              <w:rPr>
                <w:rStyle w:val="Hyperlink"/>
              </w:rPr>
              <w:t>Выборы в палату депутатов</w:t>
            </w:r>
            <w:r w:rsidRPr="000A02AB">
              <w:rPr>
                <w:rStyle w:val="Hyperlink"/>
                <w:spacing w:val="60"/>
                <w:sz w:val="17"/>
              </w:rPr>
              <w:tab/>
            </w:r>
          </w:p>
        </w:tc>
        <w:tc>
          <w:tcPr>
            <w:tcW w:w="470" w:type="dxa"/>
            <w:vAlign w:val="bottom"/>
          </w:tcPr>
          <w:p w:rsidR="00170278" w:rsidRPr="000A02AB" w:rsidRDefault="00583B34" w:rsidP="000A02AB">
            <w:pPr>
              <w:spacing w:after="120"/>
              <w:jc w:val="right"/>
            </w:pPr>
            <w:r w:rsidRPr="000A02AB">
              <w:t>42</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left" w:pos="2592"/>
                <w:tab w:val="right" w:leader="dot" w:pos="9360"/>
              </w:tabs>
              <w:spacing w:after="120"/>
              <w:ind w:left="1080"/>
              <w:rPr>
                <w:spacing w:val="60"/>
                <w:sz w:val="17"/>
              </w:rPr>
            </w:pPr>
            <w:r w:rsidRPr="000A02AB">
              <w:t>Президентские выборы</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43</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left" w:pos="2592"/>
                <w:tab w:val="right" w:leader="dot" w:pos="9360"/>
              </w:tabs>
              <w:spacing w:after="120"/>
              <w:ind w:left="1080"/>
              <w:rPr>
                <w:spacing w:val="60"/>
                <w:sz w:val="17"/>
              </w:rPr>
            </w:pPr>
            <w:r w:rsidRPr="000A02AB">
              <w:t>Государственное управление</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43</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right" w:leader="dot" w:pos="9360"/>
              </w:tabs>
              <w:spacing w:after="120"/>
              <w:ind w:left="1080"/>
              <w:rPr>
                <w:spacing w:val="60"/>
                <w:sz w:val="17"/>
              </w:rPr>
            </w:pPr>
            <w:r w:rsidRPr="000A02AB">
              <w:t>Судебные органы</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44</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right" w:leader="dot" w:pos="9360"/>
              </w:tabs>
              <w:spacing w:after="120"/>
              <w:ind w:left="1080"/>
              <w:rPr>
                <w:spacing w:val="60"/>
                <w:sz w:val="17"/>
              </w:rPr>
            </w:pPr>
            <w:r w:rsidRPr="000A02AB">
              <w:t>Компании</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44</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right" w:leader="dot" w:pos="9360"/>
              </w:tabs>
              <w:spacing w:after="120"/>
              <w:ind w:left="1080"/>
              <w:rPr>
                <w:spacing w:val="60"/>
                <w:sz w:val="17"/>
              </w:rPr>
            </w:pPr>
            <w:r w:rsidRPr="000A02AB">
              <w:t>Статья</w:t>
            </w:r>
            <w:r w:rsidR="00170278" w:rsidRPr="000A02AB">
              <w:t xml:space="preserve"> 8</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45</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right" w:leader="dot" w:pos="9360"/>
              </w:tabs>
              <w:spacing w:after="120"/>
              <w:ind w:left="1080"/>
              <w:rPr>
                <w:spacing w:val="60"/>
                <w:sz w:val="17"/>
              </w:rPr>
            </w:pPr>
            <w:r w:rsidRPr="000A02AB">
              <w:t>Статья</w:t>
            </w:r>
            <w:r w:rsidR="00170278" w:rsidRPr="000A02AB">
              <w:t xml:space="preserve"> 9</w:t>
            </w:r>
            <w:r w:rsidR="00170278" w:rsidRPr="000A02AB">
              <w:rPr>
                <w:spacing w:val="60"/>
                <w:sz w:val="17"/>
              </w:rPr>
              <w:tab/>
            </w:r>
          </w:p>
        </w:tc>
        <w:tc>
          <w:tcPr>
            <w:tcW w:w="470" w:type="dxa"/>
            <w:vAlign w:val="bottom"/>
          </w:tcPr>
          <w:p w:rsidR="00170278" w:rsidRPr="000A02AB" w:rsidRDefault="00583B34" w:rsidP="000A02AB">
            <w:pPr>
              <w:spacing w:after="120"/>
              <w:jc w:val="right"/>
            </w:pPr>
            <w:r w:rsidRPr="000A02AB">
              <w:t>45</w:t>
            </w:r>
          </w:p>
        </w:tc>
      </w:tr>
      <w:tr w:rsidR="00170278" w:rsidRPr="000A02AB" w:rsidTr="00170278">
        <w:tc>
          <w:tcPr>
            <w:tcW w:w="9367" w:type="dxa"/>
            <w:gridSpan w:val="3"/>
            <w:hideMark/>
          </w:tcPr>
          <w:p w:rsidR="00170278" w:rsidRPr="000A02AB" w:rsidRDefault="00583B34" w:rsidP="000A02AB">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pacing w:after="120"/>
              <w:ind w:left="1080"/>
              <w:rPr>
                <w:spacing w:val="60"/>
                <w:sz w:val="17"/>
              </w:rPr>
            </w:pPr>
            <w:r w:rsidRPr="000A02AB">
              <w:t>Статья</w:t>
            </w:r>
            <w:r w:rsidR="00170278" w:rsidRPr="000A02AB">
              <w:t xml:space="preserve"> 10</w:t>
            </w:r>
            <w:r w:rsidRPr="000A02AB">
              <w:br/>
            </w:r>
            <w:r w:rsidRPr="000A02AB">
              <w:tab/>
            </w:r>
            <w:r w:rsidRPr="000A02AB">
              <w:rPr>
                <w:rStyle w:val="Hyperlink"/>
              </w:rPr>
              <w:t>Гендерное равенство в сфере образования</w:t>
            </w:r>
            <w:r w:rsidRPr="000A02AB">
              <w:rPr>
                <w:rStyle w:val="Hyperlink"/>
                <w:spacing w:val="60"/>
                <w:sz w:val="17"/>
              </w:rPr>
              <w:tab/>
            </w:r>
          </w:p>
        </w:tc>
        <w:tc>
          <w:tcPr>
            <w:tcW w:w="470" w:type="dxa"/>
            <w:vAlign w:val="bottom"/>
          </w:tcPr>
          <w:p w:rsidR="00170278" w:rsidRPr="000A02AB" w:rsidRDefault="00583B34" w:rsidP="000A02AB">
            <w:pPr>
              <w:spacing w:after="120"/>
              <w:jc w:val="right"/>
            </w:pPr>
            <w:r w:rsidRPr="000A02AB">
              <w:t>45</w:t>
            </w:r>
          </w:p>
        </w:tc>
      </w:tr>
      <w:tr w:rsidR="00170278" w:rsidRPr="000A02AB" w:rsidTr="00170278">
        <w:tc>
          <w:tcPr>
            <w:tcW w:w="9367" w:type="dxa"/>
            <w:gridSpan w:val="3"/>
            <w:hideMark/>
          </w:tcPr>
          <w:p w:rsidR="00170278" w:rsidRPr="000A02AB" w:rsidRDefault="007040BA" w:rsidP="000A02AB">
            <w:pPr>
              <w:tabs>
                <w:tab w:val="right" w:pos="1080"/>
                <w:tab w:val="left" w:pos="1296"/>
                <w:tab w:val="left" w:pos="1728"/>
                <w:tab w:val="left" w:pos="2160"/>
                <w:tab w:val="right" w:leader="dot" w:pos="9245"/>
              </w:tabs>
              <w:spacing w:after="120"/>
              <w:ind w:left="1080"/>
              <w:rPr>
                <w:spacing w:val="60"/>
                <w:sz w:val="17"/>
              </w:rPr>
            </w:pPr>
            <w:r w:rsidRPr="000A02AB">
              <w:t>Статья</w:t>
            </w:r>
            <w:r w:rsidR="00170278" w:rsidRPr="000A02AB">
              <w:t xml:space="preserve"> 11</w:t>
            </w:r>
            <w:r w:rsidRPr="000A02AB">
              <w:br/>
            </w:r>
            <w:r w:rsidRPr="000A02AB">
              <w:tab/>
              <w:t>Меры по ликвидации дискриминации в отношении женщин на рынке труда</w:t>
            </w:r>
            <w:r w:rsidRPr="000A02AB">
              <w:rPr>
                <w:spacing w:val="60"/>
                <w:sz w:val="17"/>
              </w:rPr>
              <w:tab/>
            </w:r>
          </w:p>
        </w:tc>
        <w:tc>
          <w:tcPr>
            <w:tcW w:w="470" w:type="dxa"/>
            <w:vAlign w:val="bottom"/>
          </w:tcPr>
          <w:p w:rsidR="00170278" w:rsidRPr="000A02AB" w:rsidRDefault="007040BA" w:rsidP="000A02AB">
            <w:pPr>
              <w:spacing w:after="120"/>
              <w:jc w:val="right"/>
            </w:pPr>
            <w:r w:rsidRPr="000A02AB">
              <w:t>49</w:t>
            </w:r>
          </w:p>
        </w:tc>
      </w:tr>
      <w:tr w:rsidR="00170278" w:rsidRPr="000A02AB" w:rsidTr="00170278">
        <w:tc>
          <w:tcPr>
            <w:tcW w:w="9367" w:type="dxa"/>
            <w:gridSpan w:val="3"/>
            <w:hideMark/>
          </w:tcPr>
          <w:p w:rsidR="00170278" w:rsidRPr="000A02AB" w:rsidRDefault="00593AE6" w:rsidP="000A02AB">
            <w:pPr>
              <w:keepNext/>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pacing w:after="120"/>
              <w:ind w:left="1080"/>
              <w:rPr>
                <w:spacing w:val="60"/>
                <w:sz w:val="17"/>
              </w:rPr>
            </w:pPr>
            <w:r w:rsidRPr="000A02AB">
              <w:t>Статья</w:t>
            </w:r>
            <w:r w:rsidR="00170278" w:rsidRPr="000A02AB">
              <w:t xml:space="preserve"> 12</w:t>
            </w:r>
            <w:r w:rsidRPr="000A02AB">
              <w:br/>
            </w:r>
            <w:r w:rsidRPr="000A02AB">
              <w:tab/>
            </w:r>
            <w:r w:rsidRPr="000A02AB">
              <w:rPr>
                <w:rStyle w:val="Hyperlink"/>
              </w:rPr>
              <w:t>Меры по ликвидации дискриминации в области здравоохранения</w:t>
            </w:r>
            <w:r w:rsidRPr="000A02AB">
              <w:rPr>
                <w:rStyle w:val="Hyperlink"/>
                <w:spacing w:val="60"/>
                <w:sz w:val="17"/>
              </w:rPr>
              <w:tab/>
            </w:r>
          </w:p>
        </w:tc>
        <w:tc>
          <w:tcPr>
            <w:tcW w:w="470" w:type="dxa"/>
            <w:vAlign w:val="bottom"/>
          </w:tcPr>
          <w:p w:rsidR="00170278" w:rsidRPr="000A02AB" w:rsidRDefault="00593AE6" w:rsidP="000A02AB">
            <w:pPr>
              <w:spacing w:after="120"/>
              <w:jc w:val="right"/>
            </w:pPr>
            <w:r w:rsidRPr="000A02AB">
              <w:t>58</w:t>
            </w:r>
          </w:p>
        </w:tc>
      </w:tr>
      <w:tr w:rsidR="00170278" w:rsidRPr="000A02AB" w:rsidTr="00170278">
        <w:tc>
          <w:tcPr>
            <w:tcW w:w="9367" w:type="dxa"/>
            <w:gridSpan w:val="3"/>
            <w:hideMark/>
          </w:tcPr>
          <w:p w:rsidR="00593AE6" w:rsidRPr="000A02AB" w:rsidRDefault="00593AE6" w:rsidP="000A02AB">
            <w:pPr>
              <w:tabs>
                <w:tab w:val="left" w:pos="1296"/>
                <w:tab w:val="right" w:pos="1350"/>
                <w:tab w:val="right" w:leader="dot" w:pos="9245"/>
              </w:tabs>
              <w:ind w:left="1080"/>
            </w:pPr>
            <w:r w:rsidRPr="000A02AB">
              <w:t>Статья 13</w:t>
            </w:r>
          </w:p>
          <w:p w:rsidR="00170278" w:rsidRPr="000A02AB" w:rsidRDefault="00170278" w:rsidP="000A02AB">
            <w:pPr>
              <w:tabs>
                <w:tab w:val="left" w:pos="1296"/>
                <w:tab w:val="right" w:pos="1350"/>
                <w:tab w:val="right" w:leader="dot" w:pos="9245"/>
              </w:tabs>
              <w:spacing w:after="120"/>
              <w:ind w:left="1296" w:hanging="216"/>
              <w:rPr>
                <w:spacing w:val="60"/>
                <w:sz w:val="17"/>
              </w:rPr>
            </w:pPr>
            <w:r w:rsidRPr="000A02AB">
              <w:tab/>
            </w:r>
            <w:r w:rsidR="00593AE6" w:rsidRPr="000A02AB">
              <w:rPr>
                <w:rStyle w:val="Hyperlink"/>
              </w:rPr>
              <w:t>Меры по ликвидации дискриминации в других областях экономической и социальной жизни</w:t>
            </w:r>
            <w:r w:rsidRPr="000A02AB">
              <w:rPr>
                <w:spacing w:val="60"/>
                <w:sz w:val="17"/>
              </w:rPr>
              <w:tab/>
            </w:r>
          </w:p>
        </w:tc>
        <w:tc>
          <w:tcPr>
            <w:tcW w:w="470" w:type="dxa"/>
            <w:vAlign w:val="bottom"/>
          </w:tcPr>
          <w:p w:rsidR="00170278" w:rsidRPr="000A02AB" w:rsidRDefault="00593AE6" w:rsidP="000A02AB">
            <w:pPr>
              <w:spacing w:after="120"/>
              <w:jc w:val="right"/>
            </w:pPr>
            <w:r w:rsidRPr="000A02AB">
              <w:t>62</w:t>
            </w:r>
          </w:p>
        </w:tc>
      </w:tr>
      <w:tr w:rsidR="00170278" w:rsidRPr="000A02AB" w:rsidTr="00170278">
        <w:tc>
          <w:tcPr>
            <w:tcW w:w="9367" w:type="dxa"/>
            <w:gridSpan w:val="3"/>
            <w:hideMark/>
          </w:tcPr>
          <w:p w:rsidR="00593AE6" w:rsidRPr="000A02AB" w:rsidRDefault="00593AE6" w:rsidP="000A02AB">
            <w:pPr>
              <w:tabs>
                <w:tab w:val="right" w:pos="1080"/>
                <w:tab w:val="left" w:pos="1296"/>
                <w:tab w:val="left" w:pos="1728"/>
                <w:tab w:val="right" w:leader="dot" w:pos="9245"/>
              </w:tabs>
              <w:ind w:left="1080"/>
            </w:pPr>
            <w:r w:rsidRPr="000A02AB">
              <w:t>Статья</w:t>
            </w:r>
            <w:r w:rsidR="00170278" w:rsidRPr="000A02AB">
              <w:t xml:space="preserve"> 14</w:t>
            </w:r>
          </w:p>
          <w:p w:rsidR="00170278" w:rsidRPr="000A02AB" w:rsidRDefault="00593AE6" w:rsidP="000A02AB">
            <w:pPr>
              <w:keepNext/>
              <w:tabs>
                <w:tab w:val="right" w:pos="1080"/>
                <w:tab w:val="left" w:pos="1296"/>
                <w:tab w:val="left" w:pos="1728"/>
                <w:tab w:val="right" w:leader="dot" w:pos="9245"/>
              </w:tabs>
              <w:spacing w:after="120"/>
              <w:ind w:left="1296"/>
              <w:rPr>
                <w:spacing w:val="60"/>
                <w:sz w:val="17"/>
              </w:rPr>
            </w:pPr>
            <w:r w:rsidRPr="000A02AB">
              <w:rPr>
                <w:rStyle w:val="Hyperlink"/>
              </w:rPr>
              <w:t>Меры по ликвидации дискриминации в отношении женщин, проживающих в сельской местности</w:t>
            </w:r>
            <w:r w:rsidRPr="000A02AB">
              <w:rPr>
                <w:rStyle w:val="Hyperlink"/>
                <w:spacing w:val="60"/>
                <w:sz w:val="17"/>
              </w:rPr>
              <w:tab/>
            </w:r>
          </w:p>
        </w:tc>
        <w:tc>
          <w:tcPr>
            <w:tcW w:w="470" w:type="dxa"/>
            <w:vAlign w:val="bottom"/>
          </w:tcPr>
          <w:p w:rsidR="00170278" w:rsidRPr="000A02AB" w:rsidRDefault="00593AE6" w:rsidP="000A02AB">
            <w:pPr>
              <w:spacing w:after="120"/>
              <w:jc w:val="right"/>
            </w:pPr>
            <w:r w:rsidRPr="000A02AB">
              <w:t>68</w:t>
            </w:r>
          </w:p>
        </w:tc>
      </w:tr>
      <w:tr w:rsidR="00170278" w:rsidRPr="000A02AB" w:rsidTr="00170278">
        <w:tc>
          <w:tcPr>
            <w:tcW w:w="9367" w:type="dxa"/>
            <w:gridSpan w:val="3"/>
            <w:hideMark/>
          </w:tcPr>
          <w:p w:rsidR="00593AE6" w:rsidRPr="000A02AB" w:rsidRDefault="00593AE6"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ind w:left="1080"/>
            </w:pPr>
            <w:r w:rsidRPr="000A02AB">
              <w:t>Статья</w:t>
            </w:r>
            <w:r w:rsidR="00170278" w:rsidRPr="000A02AB">
              <w:t xml:space="preserve"> 15 </w:t>
            </w:r>
            <w:r w:rsidRPr="000A02AB">
              <w:t>и</w:t>
            </w:r>
            <w:r w:rsidR="00170278" w:rsidRPr="000A02AB">
              <w:t xml:space="preserve"> 16</w:t>
            </w:r>
          </w:p>
          <w:p w:rsidR="00170278" w:rsidRPr="000A02AB" w:rsidRDefault="00593AE6"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ind w:left="1296"/>
              <w:rPr>
                <w:spacing w:val="60"/>
                <w:sz w:val="17"/>
              </w:rPr>
            </w:pPr>
            <w:r w:rsidRPr="000A02AB">
              <w:rPr>
                <w:rStyle w:val="Hyperlink"/>
              </w:rPr>
              <w:t>Содействие в установлении гендерного равенства перед законом и в гражданских д</w:t>
            </w:r>
            <w:r w:rsidRPr="000A02AB">
              <w:rPr>
                <w:rStyle w:val="Hyperlink"/>
              </w:rPr>
              <w:t>е</w:t>
            </w:r>
            <w:r w:rsidRPr="000A02AB">
              <w:rPr>
                <w:rStyle w:val="Hyperlink"/>
              </w:rPr>
              <w:t>лах, семейных отношениях и вопросах, касающихся брака</w:t>
            </w:r>
            <w:r w:rsidRPr="000A02AB">
              <w:rPr>
                <w:rStyle w:val="Hyperlink"/>
                <w:spacing w:val="60"/>
                <w:sz w:val="17"/>
              </w:rPr>
              <w:tab/>
            </w:r>
          </w:p>
        </w:tc>
        <w:tc>
          <w:tcPr>
            <w:tcW w:w="470" w:type="dxa"/>
            <w:vAlign w:val="bottom"/>
          </w:tcPr>
          <w:p w:rsidR="00170278" w:rsidRPr="000A02AB" w:rsidRDefault="00593AE6" w:rsidP="000A02AB">
            <w:pPr>
              <w:spacing w:after="120"/>
              <w:jc w:val="right"/>
            </w:pPr>
            <w:r w:rsidRPr="000A02AB">
              <w:t>70</w:t>
            </w:r>
          </w:p>
        </w:tc>
      </w:tr>
      <w:tr w:rsidR="00170278" w:rsidRPr="000A02AB" w:rsidTr="00170278">
        <w:tc>
          <w:tcPr>
            <w:tcW w:w="9367" w:type="dxa"/>
            <w:gridSpan w:val="3"/>
            <w:hideMark/>
          </w:tcPr>
          <w:p w:rsidR="00170278" w:rsidRPr="000A02AB" w:rsidRDefault="00593AE6" w:rsidP="000A02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pacing w:after="120"/>
              <w:ind w:left="1080"/>
              <w:rPr>
                <w:spacing w:val="60"/>
                <w:sz w:val="17"/>
              </w:rPr>
            </w:pPr>
            <w:r w:rsidRPr="000A02AB">
              <w:t xml:space="preserve">Статья </w:t>
            </w:r>
            <w:r w:rsidR="00170278" w:rsidRPr="000A02AB">
              <w:t>20</w:t>
            </w:r>
            <w:r w:rsidRPr="000A02AB">
              <w:br/>
            </w:r>
            <w:r w:rsidRPr="000A02AB">
              <w:tab/>
            </w:r>
            <w:r w:rsidRPr="000A02AB">
              <w:rPr>
                <w:rStyle w:val="Hyperlink"/>
              </w:rPr>
              <w:t>Заседание Комитета по ликвидации дискриминации в отношении женщин</w:t>
            </w:r>
            <w:r w:rsidRPr="000A02AB">
              <w:rPr>
                <w:rStyle w:val="Hyperlink"/>
                <w:spacing w:val="60"/>
                <w:sz w:val="17"/>
              </w:rPr>
              <w:tab/>
            </w:r>
          </w:p>
        </w:tc>
        <w:tc>
          <w:tcPr>
            <w:tcW w:w="470" w:type="dxa"/>
            <w:vAlign w:val="bottom"/>
          </w:tcPr>
          <w:p w:rsidR="00170278" w:rsidRPr="000A02AB" w:rsidRDefault="00593AE6" w:rsidP="000A02AB">
            <w:pPr>
              <w:spacing w:after="120"/>
              <w:jc w:val="right"/>
            </w:pPr>
            <w:r w:rsidRPr="000A02AB">
              <w:t>71</w:t>
            </w:r>
          </w:p>
        </w:tc>
      </w:tr>
      <w:tr w:rsidR="00170278" w:rsidRPr="000A02AB" w:rsidTr="00170278">
        <w:tc>
          <w:tcPr>
            <w:tcW w:w="9367" w:type="dxa"/>
            <w:gridSpan w:val="3"/>
            <w:hideMark/>
          </w:tcPr>
          <w:p w:rsidR="00170278" w:rsidRPr="000A02AB" w:rsidRDefault="00593AE6" w:rsidP="000A02AB">
            <w:pPr>
              <w:tabs>
                <w:tab w:val="right" w:pos="1080"/>
                <w:tab w:val="left" w:pos="1296"/>
                <w:tab w:val="left" w:pos="1728"/>
                <w:tab w:val="right" w:leader="dot" w:pos="9360"/>
              </w:tabs>
              <w:spacing w:after="120"/>
              <w:ind w:left="1080"/>
              <w:rPr>
                <w:spacing w:val="60"/>
                <w:sz w:val="17"/>
              </w:rPr>
            </w:pPr>
            <w:r w:rsidRPr="000A02AB">
              <w:t>Глоссарий</w:t>
            </w:r>
            <w:r w:rsidR="00170278" w:rsidRPr="000A02AB">
              <w:rPr>
                <w:spacing w:val="60"/>
                <w:sz w:val="17"/>
              </w:rPr>
              <w:tab/>
            </w:r>
          </w:p>
        </w:tc>
        <w:tc>
          <w:tcPr>
            <w:tcW w:w="470" w:type="dxa"/>
            <w:vAlign w:val="bottom"/>
          </w:tcPr>
          <w:p w:rsidR="00170278" w:rsidRPr="000A02AB" w:rsidRDefault="00593AE6" w:rsidP="000A02AB">
            <w:pPr>
              <w:spacing w:after="120"/>
              <w:jc w:val="right"/>
            </w:pPr>
            <w:r w:rsidRPr="000A02AB">
              <w:t>72</w:t>
            </w:r>
          </w:p>
        </w:tc>
      </w:tr>
    </w:tbl>
    <w:p w:rsidR="00170278" w:rsidRPr="000A02AB" w:rsidRDefault="00170278" w:rsidP="000A02AB">
      <w:pPr>
        <w:pStyle w:val="SingleTxt"/>
        <w:rPr>
          <w:szCs w:val="2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br w:type="page"/>
      </w:r>
      <w:r w:rsidRPr="000A02AB">
        <w:tab/>
      </w:r>
      <w:r w:rsidRPr="000A02AB">
        <w:tab/>
      </w:r>
      <w:bookmarkStart w:id="1" w:name="_Toc415654595"/>
      <w:r w:rsidRPr="000A02AB">
        <w:t>Примечание</w:t>
      </w:r>
      <w:bookmarkEnd w:id="1"/>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ab/>
        <w:t>Правительство Чешской Республики утвердило настоящий доклад своим постановлением от 27 октября 2014 года.</w:t>
      </w:r>
    </w:p>
    <w:p w:rsidR="00170278" w:rsidRPr="000A02AB" w:rsidRDefault="00170278" w:rsidP="000A02AB">
      <w:pPr>
        <w:pStyle w:val="SingleTxt"/>
        <w:rPr>
          <w:w w:val="100"/>
        </w:rPr>
      </w:pPr>
      <w:r w:rsidRPr="000A02AB">
        <w:tab/>
        <w:t>Настоящий доклад был подготовлен министром по правам</w:t>
      </w:r>
      <w:r w:rsidR="009B4026" w:rsidRPr="000A02AB">
        <w:t> человек</w:t>
      </w:r>
      <w:r w:rsidRPr="000A02AB">
        <w:t>а, ра</w:t>
      </w:r>
      <w:r w:rsidRPr="000A02AB">
        <w:t>в</w:t>
      </w:r>
      <w:r w:rsidRPr="000A02AB">
        <w:t>ным возможностям и законодательству на основе данных, представленных центральными органами государственной власти Чешской Республики, вы</w:t>
      </w:r>
      <w:r w:rsidRPr="000A02AB">
        <w:t>с</w:t>
      </w:r>
      <w:r w:rsidRPr="000A02AB">
        <w:t xml:space="preserve">шими </w:t>
      </w:r>
      <w:r w:rsidRPr="000A02AB">
        <w:rPr>
          <w:w w:val="100"/>
        </w:rPr>
        <w:t>органами территориального самоуправления, неправительственными н</w:t>
      </w:r>
      <w:r w:rsidRPr="000A02AB">
        <w:rPr>
          <w:w w:val="100"/>
        </w:rPr>
        <w:t>е</w:t>
      </w:r>
      <w:r w:rsidRPr="000A02AB">
        <w:rPr>
          <w:w w:val="100"/>
        </w:rPr>
        <w:t>коммерческими организациями, научным сектором и социальными партнер</w:t>
      </w:r>
      <w:r w:rsidRPr="000A02AB">
        <w:rPr>
          <w:w w:val="100"/>
        </w:rPr>
        <w:t>а</w:t>
      </w:r>
      <w:r w:rsidRPr="000A02AB">
        <w:rPr>
          <w:w w:val="100"/>
        </w:rPr>
        <w:t>ми.</w:t>
      </w:r>
    </w:p>
    <w:p w:rsidR="00170278" w:rsidRPr="000A02AB" w:rsidRDefault="00170278" w:rsidP="000A02AB">
      <w:pPr>
        <w:pStyle w:val="SingleTxt"/>
      </w:pPr>
    </w:p>
    <w:p w:rsidR="00170278" w:rsidRPr="000A02AB" w:rsidRDefault="00170278" w:rsidP="000A02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pacing w:val="0"/>
          <w:w w:val="100"/>
          <w:lang w:eastAsia="ru-RU"/>
        </w:rPr>
        <w:br w:type="page"/>
      </w:r>
      <w:r w:rsidRPr="000A02AB">
        <w:tab/>
      </w:r>
      <w:r w:rsidRPr="000A02AB">
        <w:tab/>
      </w:r>
      <w:bookmarkStart w:id="2" w:name="_Toc415654596"/>
      <w:r w:rsidRPr="000A02AB">
        <w:t>Введение</w:t>
      </w:r>
      <w:bookmarkEnd w:id="2"/>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1.</w:t>
      </w:r>
      <w:r w:rsidRPr="000A02AB">
        <w:tab/>
        <w:t>Конвенция о ликвидации всех форм дискриминации в отношении женщин (в дальнейшем просто "Конвенци</w:t>
      </w:r>
      <w:r w:rsidR="005323A1" w:rsidRPr="000A02AB">
        <w:t>я") была принята в Нью-Йорке 18 </w:t>
      </w:r>
      <w:r w:rsidRPr="000A02AB">
        <w:t>декабря 1979 года и в соответствии с пункто</w:t>
      </w:r>
      <w:r w:rsidR="005323A1" w:rsidRPr="000A02AB">
        <w:t>м 1 статьи 27 вступила в силу 3 </w:t>
      </w:r>
      <w:r w:rsidRPr="000A02AB">
        <w:t>сентября 1981 года.</w:t>
      </w:r>
    </w:p>
    <w:p w:rsidR="00170278" w:rsidRPr="000A02AB" w:rsidRDefault="00170278" w:rsidP="000A02AB">
      <w:pPr>
        <w:pStyle w:val="SingleTxt"/>
      </w:pPr>
      <w:r w:rsidRPr="000A02AB">
        <w:t>2.</w:t>
      </w:r>
      <w:r w:rsidRPr="000A02AB">
        <w:tab/>
        <w:t>Она была подписана от имени Чехословацкой Социалистической Респу</w:t>
      </w:r>
      <w:r w:rsidRPr="000A02AB">
        <w:t>б</w:t>
      </w:r>
      <w:r w:rsidRPr="000A02AB">
        <w:t>лики в Копенгагене 17 июля 1980 года и вступила в силу для Чехословацкой Социалистической Республики 18 марта 1982 год</w:t>
      </w:r>
      <w:r w:rsidR="005323A1" w:rsidRPr="000A02AB">
        <w:t>а в соответствии с пунктом </w:t>
      </w:r>
      <w:r w:rsidRPr="000A02AB">
        <w:t>2 ее статьи 27.</w:t>
      </w:r>
    </w:p>
    <w:p w:rsidR="00170278" w:rsidRPr="000A02AB" w:rsidRDefault="00170278" w:rsidP="000A02AB">
      <w:pPr>
        <w:pStyle w:val="SingleTxt"/>
      </w:pPr>
      <w:r w:rsidRPr="000A02AB">
        <w:t>3.</w:t>
      </w:r>
      <w:r w:rsidRPr="000A02AB">
        <w:tab/>
        <w:t>В 1994 году Чешская Республика представила Комитету по ликвидации дискриминации в отношении женщин (в дальнейшем просто "Комитет") пе</w:t>
      </w:r>
      <w:r w:rsidRPr="000A02AB">
        <w:t>р</w:t>
      </w:r>
      <w:r w:rsidRPr="000A02AB">
        <w:t>воначальный доклад о выполнении Конвенции в период 1993–1994 годов. К</w:t>
      </w:r>
      <w:r w:rsidRPr="000A02AB">
        <w:t>о</w:t>
      </w:r>
      <w:r w:rsidRPr="000A02AB">
        <w:t>митет рассмотрел этот доклад 26–27 января 1998 года. На своем заседании 8 августа 2002 года Комитет рассмотрел второй периодический доклад Че</w:t>
      </w:r>
      <w:r w:rsidRPr="000A02AB">
        <w:t>ш</w:t>
      </w:r>
      <w:r w:rsidRPr="000A02AB">
        <w:t>ской Республики за период с 1 января 1995 года по 30 июня 1999 года. Третий периодический доклад Чешской Республики за период с 1 июля 1999 года по 31 декабря 2003 года был рассмотрен Комитетом 17 августа 2006 года. Об</w:t>
      </w:r>
      <w:r w:rsidRPr="000A02AB">
        <w:t>ъ</w:t>
      </w:r>
      <w:r w:rsidRPr="000A02AB">
        <w:t>единенные четвертый и пятый периодические доклады Чешской Республики за период с 1 января 2004 года по 31 июля 2008 года были рассмотрены Комит</w:t>
      </w:r>
      <w:r w:rsidRPr="000A02AB">
        <w:t>е</w:t>
      </w:r>
      <w:r w:rsidRPr="000A02AB">
        <w:t>том в октябре 2010 года.</w:t>
      </w:r>
    </w:p>
    <w:p w:rsidR="00170278" w:rsidRPr="000A02AB" w:rsidRDefault="00170278" w:rsidP="000A02AB">
      <w:pPr>
        <w:pStyle w:val="SingleTxt"/>
      </w:pPr>
      <w:r w:rsidRPr="000A02AB">
        <w:t>4.</w:t>
      </w:r>
      <w:r w:rsidRPr="000A02AB">
        <w:tab/>
        <w:t>22 октября 2010 года по итогам рассмотрения указанных докладов Ком</w:t>
      </w:r>
      <w:r w:rsidRPr="000A02AB">
        <w:t>и</w:t>
      </w:r>
      <w:r w:rsidRPr="000A02AB">
        <w:t>тет опубликовал заключительные замечания (</w:t>
      </w:r>
      <w:hyperlink r:id="rId14" w:history="1">
        <w:r w:rsidRPr="000A02AB">
          <w:rPr>
            <w:rStyle w:val="Hyperlink"/>
          </w:rPr>
          <w:t>CEDAW/C/CZE/CO/5</w:t>
        </w:r>
      </w:hyperlink>
      <w:r w:rsidRPr="000A02AB">
        <w:t>), в которых призвал Чешскую Республику в числе прочего представить шестой периодич</w:t>
      </w:r>
      <w:r w:rsidRPr="000A02AB">
        <w:t>е</w:t>
      </w:r>
      <w:r w:rsidRPr="000A02AB">
        <w:t>ский доклад в октябре 2014 года. Шестой периодический доклад охватывает период с 1 августа 2008 года по 31 июля 2014 года. Основное внимание в этом докладе уделено описанию важных изменений, произошедших со времени с</w:t>
      </w:r>
      <w:r w:rsidRPr="000A02AB">
        <w:t>о</w:t>
      </w:r>
      <w:r w:rsidRPr="000A02AB">
        <w:t>ставления предыдущего периодического доклада, и решению проблем, по</w:t>
      </w:r>
      <w:r w:rsidRPr="000A02AB">
        <w:t>д</w:t>
      </w:r>
      <w:r w:rsidRPr="000A02AB">
        <w:t>черкнутых Комитетом в его замечаниях.</w:t>
      </w:r>
    </w:p>
    <w:p w:rsidR="00170278" w:rsidRPr="000A02AB" w:rsidRDefault="00170278" w:rsidP="000A02AB">
      <w:pPr>
        <w:pStyle w:val="SingleTxt"/>
      </w:pPr>
      <w:r w:rsidRPr="000A02AB">
        <w:t>5.</w:t>
      </w:r>
      <w:r w:rsidRPr="000A02AB">
        <w:tab/>
        <w:t>В докладе дается описание принятых правовых и иных мер, которые о</w:t>
      </w:r>
      <w:r w:rsidRPr="000A02AB">
        <w:t>т</w:t>
      </w:r>
      <w:r w:rsidRPr="000A02AB">
        <w:t>ражают достигнутые успехи в деле ликвидации дискриминации в отношении женщин, существенные изменения в положении женщин и обеспечении их р</w:t>
      </w:r>
      <w:r w:rsidRPr="000A02AB">
        <w:t>а</w:t>
      </w:r>
      <w:r w:rsidRPr="000A02AB">
        <w:t>венства с мужчинами, а также процедуры, направленные на устранение пр</w:t>
      </w:r>
      <w:r w:rsidRPr="000A02AB">
        <w:t>е</w:t>
      </w:r>
      <w:r w:rsidRPr="000A02AB">
        <w:t>пятствий, которые по-прежнему мешают участию женщин в политической, общественной, экономической и культурной жизни.</w:t>
      </w:r>
    </w:p>
    <w:p w:rsidR="00170278" w:rsidRPr="000A02AB" w:rsidRDefault="00170278" w:rsidP="000A02AB">
      <w:pPr>
        <w:pStyle w:val="SingleTxt"/>
      </w:pPr>
      <w:r w:rsidRPr="000A02AB">
        <w:t>6.</w:t>
      </w:r>
      <w:r w:rsidRPr="000A02AB">
        <w:tab/>
        <w:t>Настоящий доклад подготовлен Отделом по вопросам гендерного раве</w:t>
      </w:r>
      <w:r w:rsidRPr="000A02AB">
        <w:t>н</w:t>
      </w:r>
      <w:r w:rsidRPr="000A02AB">
        <w:t>ства Канцелярии правительства Чешской Республики с использованием мат</w:t>
      </w:r>
      <w:r w:rsidRPr="000A02AB">
        <w:t>е</w:t>
      </w:r>
      <w:r w:rsidRPr="000A02AB">
        <w:t>риалов, предоставленных центральными органами управления, краями, Упо</w:t>
      </w:r>
      <w:r w:rsidRPr="000A02AB">
        <w:t>л</w:t>
      </w:r>
      <w:r w:rsidRPr="000A02AB">
        <w:t>номоченным по правам</w:t>
      </w:r>
      <w:r w:rsidR="009B4026" w:rsidRPr="000A02AB">
        <w:t> человек</w:t>
      </w:r>
      <w:r w:rsidRPr="000A02AB">
        <w:t>а (в дальнейшем просто "УПЧ"), Конституц</w:t>
      </w:r>
      <w:r w:rsidRPr="000A02AB">
        <w:t>и</w:t>
      </w:r>
      <w:r w:rsidRPr="000A02AB">
        <w:t>онным судом, Верховным судом, Верховным административным судом,</w:t>
      </w:r>
      <w:r w:rsidRPr="000A02AB">
        <w:rPr>
          <w:spacing w:val="2"/>
        </w:rPr>
        <w:t xml:space="preserve"> пре</w:t>
      </w:r>
      <w:r w:rsidRPr="000A02AB">
        <w:rPr>
          <w:spacing w:val="2"/>
        </w:rPr>
        <w:t>д</w:t>
      </w:r>
      <w:r w:rsidRPr="000A02AB">
        <w:rPr>
          <w:spacing w:val="2"/>
        </w:rPr>
        <w:t>ставителями ассоциаций работодателей и профсоюзов, научными учреждениями и некоммерческими организациями, выступающими в поддержку равенства женщин и мужчин. Данный доклад также был обсужден Правительственным с</w:t>
      </w:r>
      <w:r w:rsidRPr="000A02AB">
        <w:rPr>
          <w:spacing w:val="2"/>
        </w:rPr>
        <w:t>о</w:t>
      </w:r>
      <w:r w:rsidRPr="000A02AB">
        <w:rPr>
          <w:spacing w:val="2"/>
        </w:rPr>
        <w:t>ветом по вопросу равных возможностей для женщин и мужчин</w:t>
      </w:r>
      <w:r w:rsidRPr="000A02AB">
        <w:t>.</w:t>
      </w:r>
    </w:p>
    <w:p w:rsidR="00170278" w:rsidRPr="000A02AB" w:rsidRDefault="00170278" w:rsidP="000A02AB">
      <w:pPr>
        <w:pStyle w:val="SingleTxt"/>
      </w:pPr>
      <w:r w:rsidRPr="000A02AB">
        <w:t>7.</w:t>
      </w:r>
      <w:r w:rsidRPr="000A02AB">
        <w:tab/>
        <w:t>В чешском варианте доклада используется не только мужской род, как это принято в чешском языке, а оба рода. Это делается с целью устранения ге</w:t>
      </w:r>
      <w:r w:rsidRPr="000A02AB">
        <w:t>н</w:t>
      </w:r>
      <w:r w:rsidRPr="000A02AB">
        <w:t>дерных стереотипов, поскольку ассоциативные тесты доказывают, что обо</w:t>
      </w:r>
      <w:r w:rsidRPr="000A02AB">
        <w:t>б</w:t>
      </w:r>
      <w:r w:rsidRPr="000A02AB">
        <w:t>щающий мужской род связан с представлением о мужчине и способствует формированию стереотипного мировоззрения.</w:t>
      </w:r>
    </w:p>
    <w:p w:rsidR="00170278" w:rsidRPr="000A02AB" w:rsidRDefault="00170278" w:rsidP="000A02AB">
      <w:pPr>
        <w:pStyle w:val="SingleTxt"/>
      </w:pPr>
      <w:r w:rsidRPr="000A02AB">
        <w:t>8.</w:t>
      </w:r>
      <w:r w:rsidRPr="000A02AB">
        <w:tab/>
        <w:t>Автор доклада осведомлен о философских различиях между понятиями "гендерное равенство" и "равенство мужчин и женщин", однако в рамках настоящего доклада эти понятия считаются синонимичными.</w:t>
      </w:r>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0A02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bookmarkStart w:id="3" w:name="_Toc415654597"/>
      <w:r w:rsidRPr="000A02AB">
        <w:t>Выполнение отдельных статей Конвенции</w:t>
      </w:r>
      <w:bookmarkEnd w:id="3"/>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r>
      <w:bookmarkStart w:id="4" w:name="_Toc415654598"/>
      <w:r w:rsidRPr="000A02AB">
        <w:t>Статья 1</w:t>
      </w:r>
      <w:r w:rsidRPr="000A02AB">
        <w:br/>
        <w:t>Законодательное определение дискриминации по признаку пола</w:t>
      </w:r>
      <w:bookmarkEnd w:id="4"/>
    </w:p>
    <w:p w:rsidR="00170278" w:rsidRPr="000A02AB" w:rsidRDefault="00170278"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9.</w:t>
      </w:r>
      <w:r w:rsidRPr="000A02AB">
        <w:tab/>
        <w:t>1 сентября 2009 года вступил в силу Закон № 198/2009 Coll. о равном о</w:t>
      </w:r>
      <w:r w:rsidRPr="000A02AB">
        <w:t>б</w:t>
      </w:r>
      <w:r w:rsidRPr="000A02AB">
        <w:t>ращении, правовых средствах защиты от дискриминации и внесении поправок в отдельные законы (Закон о недопущении дискриминации). Закон о недоп</w:t>
      </w:r>
      <w:r w:rsidRPr="000A02AB">
        <w:t>у</w:t>
      </w:r>
      <w:r w:rsidRPr="000A02AB">
        <w:t>щении дискриминации конкретизирует общий запрет на дискриминацию, сформулированный в Хартии основных прав и свобод</w:t>
      </w:r>
      <w:r w:rsidRPr="000A02AB">
        <w:rPr>
          <w:rStyle w:val="FootnoteReference"/>
        </w:rPr>
        <w:footnoteReference w:id="2"/>
      </w:r>
      <w:r w:rsidRPr="000A02AB">
        <w:t>. В соответствии с р</w:t>
      </w:r>
      <w:r w:rsidRPr="000A02AB">
        <w:t>е</w:t>
      </w:r>
      <w:r w:rsidRPr="000A02AB">
        <w:t>гламентами ЕС Закон о недопущении дискриминации представляет собой ко</w:t>
      </w:r>
      <w:r w:rsidRPr="000A02AB">
        <w:t>м</w:t>
      </w:r>
      <w:r w:rsidRPr="000A02AB">
        <w:t>плексный нормативный акт, регулирующий право на равное обращение. С</w:t>
      </w:r>
      <w:r w:rsidRPr="000A02AB">
        <w:t>о</w:t>
      </w:r>
      <w:r w:rsidRPr="000A02AB">
        <w:t>гласно данному закону домогательство, сексуальное домогательство, преслед</w:t>
      </w:r>
      <w:r w:rsidRPr="000A02AB">
        <w:t>о</w:t>
      </w:r>
      <w:r w:rsidRPr="000A02AB">
        <w:t>вание, распоряжения, касающиеся дискриминационных действий, и подстрек</w:t>
      </w:r>
      <w:r w:rsidRPr="000A02AB">
        <w:t>а</w:t>
      </w:r>
      <w:r w:rsidRPr="000A02AB">
        <w:t>тельство к дискриминации также считаются дискриминацией. Дискриминация по признаку пола также включает дискриминацию по признакам беременн</w:t>
      </w:r>
      <w:r w:rsidRPr="000A02AB">
        <w:t>о</w:t>
      </w:r>
      <w:r w:rsidRPr="000A02AB">
        <w:t>сти, материнства или отцовства и дискриминацию, обусловленную сексуал</w:t>
      </w:r>
      <w:r w:rsidRPr="000A02AB">
        <w:t>ь</w:t>
      </w:r>
      <w:r w:rsidRPr="000A02AB">
        <w:t>ной идентификацией. В соответствии со статьей 4 Конвенции Закон о недоп</w:t>
      </w:r>
      <w:r w:rsidRPr="000A02AB">
        <w:t>у</w:t>
      </w:r>
      <w:r w:rsidRPr="000A02AB">
        <w:t>щении дискриминации предусматривает, что меры по предотвращению или возмещению ущерба, связанного с принадлежностью конкретного лица к гру</w:t>
      </w:r>
      <w:r w:rsidRPr="000A02AB">
        <w:t>п</w:t>
      </w:r>
      <w:r w:rsidRPr="000A02AB">
        <w:t>пе лиц, определяемой на основании одного из признаков дискриминации, и обеспечению такому лицу равного обращения и равных возможностей не м</w:t>
      </w:r>
      <w:r w:rsidRPr="000A02AB">
        <w:t>о</w:t>
      </w:r>
      <w:r w:rsidRPr="000A02AB">
        <w:t>гут считаться проявлениями дискриминации.</w:t>
      </w:r>
    </w:p>
    <w:p w:rsidR="00170278" w:rsidRPr="000A02AB" w:rsidRDefault="00170278" w:rsidP="000A02AB">
      <w:pPr>
        <w:pStyle w:val="SingleTxt"/>
      </w:pPr>
      <w:r w:rsidRPr="000A02AB">
        <w:t>10.</w:t>
      </w:r>
      <w:r w:rsidRPr="000A02AB">
        <w:tab/>
        <w:t>Роль так называемого органа по вопросам равенства согласно соотве</w:t>
      </w:r>
      <w:r w:rsidRPr="000A02AB">
        <w:t>т</w:t>
      </w:r>
      <w:r w:rsidRPr="000A02AB">
        <w:t>ствующим директивам ЕС</w:t>
      </w:r>
      <w:r w:rsidRPr="000A02AB">
        <w:rPr>
          <w:rStyle w:val="FootnoteReference"/>
        </w:rPr>
        <w:footnoteReference w:id="3"/>
      </w:r>
      <w:r w:rsidRPr="000A02AB">
        <w:t xml:space="preserve"> с 1 декабря 2009 года выполняет УПЧ. Лица, сч</w:t>
      </w:r>
      <w:r w:rsidRPr="000A02AB">
        <w:t>и</w:t>
      </w:r>
      <w:r w:rsidRPr="000A02AB">
        <w:t>тающие себя жертвами дискриминации по признаку пола, могут обратиться к УПЧ с индивидуальными жалобами. В случаях, когда их претензии являются обоснованными, они получают методическую помощь в подаче жалоб на ди</w:t>
      </w:r>
      <w:r w:rsidRPr="000A02AB">
        <w:t>с</w:t>
      </w:r>
      <w:r w:rsidRPr="000A02AB">
        <w:t>криминацию</w:t>
      </w:r>
      <w:r w:rsidRPr="000A02AB">
        <w:rPr>
          <w:rStyle w:val="FootnoteReference"/>
        </w:rPr>
        <w:footnoteReference w:id="4"/>
      </w:r>
      <w:r w:rsidRPr="000A02AB">
        <w:t>. В вопросах, касающихся дискриминации, УПЧ обладает расш</w:t>
      </w:r>
      <w:r w:rsidRPr="000A02AB">
        <w:t>и</w:t>
      </w:r>
      <w:r w:rsidRPr="000A02AB">
        <w:t>ренными полномочиями, позволяющими ему расследовать не только действия административных учреждений, но и деятельность частных лиц для обеспеч</w:t>
      </w:r>
      <w:r w:rsidRPr="000A02AB">
        <w:t>е</w:t>
      </w:r>
      <w:r w:rsidRPr="000A02AB">
        <w:t>ния эффективного осуществления права на равное обращение.</w:t>
      </w:r>
    </w:p>
    <w:p w:rsidR="00170278" w:rsidRPr="000A02AB" w:rsidRDefault="00170278" w:rsidP="000A02AB">
      <w:pPr>
        <w:pStyle w:val="SingleTxt"/>
        <w:rPr>
          <w:w w:val="100"/>
        </w:rPr>
      </w:pPr>
      <w:r w:rsidRPr="000A02AB">
        <w:t>11.</w:t>
      </w:r>
      <w:r w:rsidRPr="000A02AB">
        <w:tab/>
        <w:t>Поправка к Закону № 435/2004 о</w:t>
      </w:r>
      <w:r w:rsidR="0065219D" w:rsidRPr="000A02AB">
        <w:t xml:space="preserve"> занятости, вступившая в силу 1 </w:t>
      </w:r>
      <w:r w:rsidRPr="000A02AB">
        <w:t>января 2012 года, изменила содержание §4 в связи с устранением дублирования в З</w:t>
      </w:r>
      <w:r w:rsidRPr="000A02AB">
        <w:t>а</w:t>
      </w:r>
      <w:r w:rsidRPr="000A02AB">
        <w:t>коне о недопущении дискриминации и Законе о занятости. Закон о недопущ</w:t>
      </w:r>
      <w:r w:rsidRPr="000A02AB">
        <w:t>е</w:t>
      </w:r>
      <w:r w:rsidRPr="000A02AB">
        <w:t>нии дискриминации определяет области, в которых дискриминация запрещена, базовые понятия и запрещенные основания для дискриминации и устанавлив</w:t>
      </w:r>
      <w:r w:rsidRPr="000A02AB">
        <w:t>а</w:t>
      </w:r>
      <w:r w:rsidRPr="000A02AB">
        <w:t>ет правовые средства защиты от дискриминации. В связи с этим Закон о зан</w:t>
      </w:r>
      <w:r w:rsidRPr="000A02AB">
        <w:t>я</w:t>
      </w:r>
      <w:r w:rsidRPr="000A02AB">
        <w:t xml:space="preserve">тости </w:t>
      </w:r>
      <w:r w:rsidRPr="000A02AB">
        <w:rPr>
          <w:w w:val="100"/>
        </w:rPr>
        <w:t>лишь устанавливает новое обязательство соблюдать равенство и запр</w:t>
      </w:r>
      <w:r w:rsidRPr="000A02AB">
        <w:rPr>
          <w:w w:val="100"/>
        </w:rPr>
        <w:t>е</w:t>
      </w:r>
      <w:r w:rsidRPr="000A02AB">
        <w:rPr>
          <w:w w:val="100"/>
        </w:rPr>
        <w:t>щает любые формы дискриминации в осуществлении права на трудоустро</w:t>
      </w:r>
      <w:r w:rsidRPr="000A02AB">
        <w:rPr>
          <w:w w:val="100"/>
        </w:rPr>
        <w:t>й</w:t>
      </w:r>
      <w:r w:rsidRPr="000A02AB">
        <w:rPr>
          <w:w w:val="100"/>
        </w:rPr>
        <w:t>ство.</w:t>
      </w:r>
    </w:p>
    <w:p w:rsidR="00170278" w:rsidRPr="000A02AB" w:rsidRDefault="00170278" w:rsidP="000A02AB">
      <w:pPr>
        <w:pStyle w:val="SingleTxt"/>
      </w:pPr>
      <w:r w:rsidRPr="000A02AB">
        <w:t>12.</w:t>
      </w:r>
      <w:r w:rsidRPr="000A02AB">
        <w:tab/>
        <w:t>В 2011 году Европейский суд (в дальнейшем "ЕвС") вынес решение по делу C</w:t>
      </w:r>
      <w:r w:rsidRPr="000A02AB">
        <w:noBreakHyphen/>
        <w:t>236/09 ассоциации "Тест-Аша", в котором содержалась ссылка на Д</w:t>
      </w:r>
      <w:r w:rsidRPr="000A02AB">
        <w:t>и</w:t>
      </w:r>
      <w:r w:rsidRPr="000A02AB">
        <w:t>рективу Совета 2004/113/EC, устанавливающую принцип равного обращения с мужчинами и женщинами в вопросах доступа к товарам и услугам и их пред</w:t>
      </w:r>
      <w:r w:rsidRPr="000A02AB">
        <w:t>о</w:t>
      </w:r>
      <w:r w:rsidRPr="000A02AB">
        <w:t>ставления. Этим решением, вступившим в силу 21 декабря 2012 года, ЕвС упразднил возможность использования пропорциональных различий в разм</w:t>
      </w:r>
      <w:r w:rsidRPr="000A02AB">
        <w:t>е</w:t>
      </w:r>
      <w:r w:rsidRPr="000A02AB">
        <w:t>рах взносов и вознаграждения для застрахованных мужчин и женщин, если о</w:t>
      </w:r>
      <w:r w:rsidRPr="000A02AB">
        <w:t>д</w:t>
      </w:r>
      <w:r w:rsidRPr="000A02AB">
        <w:t>ним из определяющих факторов в оценке риска, опирающейся на значимые и точные актуарные и статистические данные, является половая принадле</w:t>
      </w:r>
      <w:r w:rsidRPr="000A02AB">
        <w:t>ж</w:t>
      </w:r>
      <w:r w:rsidRPr="000A02AB">
        <w:t>ность. После вынесения данного решения был принят Закон № 99/2013 Coll., вносящий поправки в отдельные законы в сфере страхования и пенсионного страхования в связи с отменой исключений из принципа равного обращения в соответствии с законодательством ЕС. Цель данного закона состоит в провед</w:t>
      </w:r>
      <w:r w:rsidRPr="000A02AB">
        <w:t>е</w:t>
      </w:r>
      <w:r w:rsidRPr="000A02AB">
        <w:t>нии в жизнь рассматриваемого решения ЕвС, распространении принципа ра</w:t>
      </w:r>
      <w:r w:rsidRPr="000A02AB">
        <w:t>в</w:t>
      </w:r>
      <w:r w:rsidRPr="000A02AB">
        <w:t>ного обращения с мужчинами и женщинами на страховую отрасль и обеспеч</w:t>
      </w:r>
      <w:r w:rsidRPr="000A02AB">
        <w:t>е</w:t>
      </w:r>
      <w:r w:rsidRPr="000A02AB">
        <w:t>нии соответствия чешского законодательства законодательству ЕС.</w:t>
      </w:r>
    </w:p>
    <w:p w:rsidR="00170278" w:rsidRPr="000A02AB" w:rsidRDefault="00170278" w:rsidP="000A02AB">
      <w:pPr>
        <w:pStyle w:val="SingleTxt"/>
      </w:pPr>
      <w:r w:rsidRPr="000A02AB">
        <w:t>13.</w:t>
      </w:r>
      <w:r w:rsidRPr="000A02AB">
        <w:tab/>
        <w:t>Говоря о применении Конвенции в системе чешских судов можно, в час</w:t>
      </w:r>
      <w:r w:rsidRPr="000A02AB">
        <w:t>т</w:t>
      </w:r>
      <w:r w:rsidRPr="000A02AB">
        <w:t>ности, сослаться на решение Верховного суда п</w:t>
      </w:r>
      <w:r w:rsidR="00711163" w:rsidRPr="000A02AB">
        <w:t>о делу № 30 Cdo 4277/2010 от 13 </w:t>
      </w:r>
      <w:r w:rsidRPr="000A02AB">
        <w:t>декабря 2012 года, в котором указано, что на международном уровне защита от дискриминации регулируется конвенциями, которым обязалась с</w:t>
      </w:r>
      <w:r w:rsidR="00711163" w:rsidRPr="000A02AB">
        <w:t>ледовать Чешская Республика, т. </w:t>
      </w:r>
      <w:r w:rsidRPr="000A02AB">
        <w:t>е. Международной конвенцией о ликвидации всех форм расовой дискриминации, Конвенцией о ликвидации всех форм дискр</w:t>
      </w:r>
      <w:r w:rsidRPr="000A02AB">
        <w:t>и</w:t>
      </w:r>
      <w:r w:rsidRPr="000A02AB">
        <w:t>минации в отношении женщин, Международным пактом о гражданских и п</w:t>
      </w:r>
      <w:r w:rsidRPr="000A02AB">
        <w:t>о</w:t>
      </w:r>
      <w:r w:rsidRPr="000A02AB">
        <w:t>литических правах и Международным пактом об экономических, социальных и культурных правах, а также Конвенцией о правах ребенка. Указанное решение касалось р</w:t>
      </w:r>
      <w:r w:rsidRPr="000A02AB">
        <w:t>а</w:t>
      </w:r>
      <w:r w:rsidRPr="000A02AB">
        <w:t>совой дискриминации.</w:t>
      </w:r>
    </w:p>
    <w:p w:rsidR="00170278" w:rsidRPr="000A02AB" w:rsidRDefault="00170278" w:rsidP="000A02AB">
      <w:pPr>
        <w:pStyle w:val="SingleTxt"/>
      </w:pPr>
      <w:r w:rsidRPr="000A02AB">
        <w:t>14.</w:t>
      </w:r>
      <w:r w:rsidRPr="000A02AB">
        <w:tab/>
        <w:t>В рамках распространения информации о Конвенции и работе Комитета Отдел по вопросам гендерного равенства продолжает размещать общие рек</w:t>
      </w:r>
      <w:r w:rsidRPr="000A02AB">
        <w:t>о</w:t>
      </w:r>
      <w:r w:rsidRPr="000A02AB">
        <w:t>мендации Комитета на веб-сайте секретариата Правительственного совета по вопросу равных возможностей для женщин и мужчин (в дальнейшем имену</w:t>
      </w:r>
      <w:r w:rsidRPr="000A02AB">
        <w:t>е</w:t>
      </w:r>
      <w:r w:rsidRPr="000A02AB">
        <w:t>мого "Совет"). Осуществляемый при поддержке Норвежских фондов проект под названием "Насилие в семье и гендерное насилие/Учет равных возможн</w:t>
      </w:r>
      <w:r w:rsidRPr="000A02AB">
        <w:t>о</w:t>
      </w:r>
      <w:r w:rsidRPr="000A02AB">
        <w:t>стей женщин и мужчин и содействие в обеспечении согласованности трудовой деятельности и частной жизни" (в дальнейшем именуемый "Проект CZ 13"), к реализации которого Отдел по вопросам гендерного равенства приступил в марте 2014 года, в числе прочего предусматривает подготовку публикации, с</w:t>
      </w:r>
      <w:r w:rsidRPr="000A02AB">
        <w:t>о</w:t>
      </w:r>
      <w:r w:rsidRPr="000A02AB">
        <w:t>держащей информацию о Конвенции, мероприятиях Комитета и институци</w:t>
      </w:r>
      <w:r w:rsidRPr="000A02AB">
        <w:t>о</w:t>
      </w:r>
      <w:r w:rsidRPr="000A02AB">
        <w:t>нальной основе для обеспечения гендерного равенства в рамках страны. В</w:t>
      </w:r>
      <w:r w:rsidRPr="000A02AB">
        <w:t>ы</w:t>
      </w:r>
      <w:r w:rsidRPr="000A02AB">
        <w:t>пуск данной публикации в печатной и электронной формах запланирован на 2015 год.</w:t>
      </w:r>
    </w:p>
    <w:p w:rsidR="00711163" w:rsidRPr="000A02AB" w:rsidRDefault="00711163" w:rsidP="000A02AB">
      <w:pPr>
        <w:pStyle w:val="SingleTxt"/>
        <w:spacing w:after="0" w:line="120" w:lineRule="exact"/>
        <w:rPr>
          <w:sz w:val="10"/>
        </w:rPr>
      </w:pPr>
    </w:p>
    <w:p w:rsidR="00711163" w:rsidRPr="000A02AB" w:rsidRDefault="00711163"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bookmarkStart w:id="5" w:name="_Toc415654599"/>
      <w:r w:rsidRPr="000A02AB">
        <w:t>Институциональная основа гендерного равенства</w:t>
      </w:r>
      <w:bookmarkEnd w:id="5"/>
    </w:p>
    <w:p w:rsidR="00711163" w:rsidRPr="000A02AB" w:rsidRDefault="00711163" w:rsidP="000A02AB">
      <w:pPr>
        <w:pStyle w:val="SingleTxt"/>
        <w:spacing w:after="0" w:line="120" w:lineRule="exact"/>
        <w:rPr>
          <w:sz w:val="10"/>
        </w:rPr>
      </w:pPr>
    </w:p>
    <w:p w:rsidR="00711163" w:rsidRPr="000A02AB" w:rsidRDefault="00711163" w:rsidP="000A02AB">
      <w:pPr>
        <w:pStyle w:val="SingleTxt"/>
        <w:spacing w:after="0" w:line="120" w:lineRule="exact"/>
        <w:rPr>
          <w:sz w:val="10"/>
        </w:rPr>
      </w:pPr>
    </w:p>
    <w:p w:rsidR="00170278" w:rsidRPr="000A02AB" w:rsidRDefault="00170278" w:rsidP="000A02AB">
      <w:pPr>
        <w:pStyle w:val="SingleTxt"/>
      </w:pPr>
      <w:r w:rsidRPr="000A02AB">
        <w:t>15.</w:t>
      </w:r>
      <w:r w:rsidRPr="000A02AB">
        <w:tab/>
        <w:t>В своих заключительных замечаниях в адрес Чешской Республики Ком</w:t>
      </w:r>
      <w:r w:rsidRPr="000A02AB">
        <w:t>и</w:t>
      </w:r>
      <w:r w:rsidRPr="000A02AB">
        <w:t>тет предлагает рассмотреть возможность восстановления должности спец</w:t>
      </w:r>
      <w:r w:rsidRPr="000A02AB">
        <w:t>и</w:t>
      </w:r>
      <w:r w:rsidRPr="000A02AB">
        <w:t>ального министра, ответственного за обеспечение гендерного равенства, и укрепления полномочий и ресурсов учреждений, занимающихся вопросами равенства между женщинами и мужчинами. Должность министра по пр</w:t>
      </w:r>
      <w:r w:rsidRPr="000A02AB">
        <w:t>а</w:t>
      </w:r>
      <w:r w:rsidRPr="000A02AB">
        <w:t>вам</w:t>
      </w:r>
      <w:r w:rsidR="009B4026" w:rsidRPr="000A02AB">
        <w:t> человек</w:t>
      </w:r>
      <w:r w:rsidRPr="000A02AB">
        <w:t>а и национальных меньшинств существовала до 29 марта 2010 года. После ухода в отставку министра по правам</w:t>
      </w:r>
      <w:r w:rsidR="009B4026" w:rsidRPr="000A02AB">
        <w:t> человек</w:t>
      </w:r>
      <w:r w:rsidRPr="000A02AB">
        <w:t>а и национал</w:t>
      </w:r>
      <w:r w:rsidRPr="000A02AB">
        <w:t>ь</w:t>
      </w:r>
      <w:r w:rsidRPr="000A02AB">
        <w:t>ных меньшинств в октябре 2010 года вопросы прав</w:t>
      </w:r>
      <w:r w:rsidR="009B4026" w:rsidRPr="000A02AB">
        <w:t> человек</w:t>
      </w:r>
      <w:r w:rsidRPr="000A02AB">
        <w:t>а, включая генде</w:t>
      </w:r>
      <w:r w:rsidRPr="000A02AB">
        <w:t>р</w:t>
      </w:r>
      <w:r w:rsidRPr="000A02AB">
        <w:t>ное равенство, были переданы в ведение Уполномоченного правительства по правам</w:t>
      </w:r>
      <w:r w:rsidR="009B4026" w:rsidRPr="000A02AB">
        <w:t> человек</w:t>
      </w:r>
      <w:r w:rsidRPr="000A02AB">
        <w:t>а. С 1 декабря 2011 года решением вопросов гендерного раве</w:t>
      </w:r>
      <w:r w:rsidRPr="000A02AB">
        <w:t>н</w:t>
      </w:r>
      <w:r w:rsidRPr="000A02AB">
        <w:t>ства, включая деятельность секретариата Совета, занимался министр труда и социальных дел. После назначения нового правительства в январе 2014 года была восстановлена отдельная должность министра по правам</w:t>
      </w:r>
      <w:r w:rsidR="009B4026" w:rsidRPr="000A02AB">
        <w:t> человек</w:t>
      </w:r>
      <w:r w:rsidRPr="000A02AB">
        <w:t>а, ра</w:t>
      </w:r>
      <w:r w:rsidRPr="000A02AB">
        <w:t>в</w:t>
      </w:r>
      <w:r w:rsidRPr="000A02AB">
        <w:t>ным возможностям и законодательству, которую в настоящее время занимает Иржи Динстбир, в связи с чем с 1 июля 2014 года вопросы гендерного раве</w:t>
      </w:r>
      <w:r w:rsidRPr="000A02AB">
        <w:t>н</w:t>
      </w:r>
      <w:r w:rsidRPr="000A02AB">
        <w:t>ства были п</w:t>
      </w:r>
      <w:r w:rsidRPr="000A02AB">
        <w:t>е</w:t>
      </w:r>
      <w:r w:rsidRPr="000A02AB">
        <w:t>реданы под его ответственность.</w:t>
      </w:r>
    </w:p>
    <w:p w:rsidR="00170278" w:rsidRPr="000A02AB" w:rsidRDefault="00170278" w:rsidP="000A02AB">
      <w:pPr>
        <w:pStyle w:val="SingleTxt"/>
      </w:pPr>
      <w:r w:rsidRPr="000A02AB">
        <w:t>16.</w:t>
      </w:r>
      <w:r w:rsidRPr="000A02AB">
        <w:tab/>
        <w:t>Функции консультативного органа правительства по обеспечению раве</w:t>
      </w:r>
      <w:r w:rsidRPr="000A02AB">
        <w:t>н</w:t>
      </w:r>
      <w:r w:rsidRPr="000A02AB">
        <w:t>ства женщин и мужчин исполняет Правительственный совет по вопросу ра</w:t>
      </w:r>
      <w:r w:rsidRPr="000A02AB">
        <w:t>в</w:t>
      </w:r>
      <w:r w:rsidRPr="000A02AB">
        <w:t>ных возможностей для женщин и мужчин. Совет был учрежден в 2001 году; его членами являются представители отдельных министерств, социальных партнеров, научного сектора и гражданского общества, а также специалисты из числа общественности. По крайней мере, в настоящее время в состав Совета входят следующие рабочие органы по конкретным вопросам, касающимся установления гендерного равенства:</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tab/>
        <w:t>•</w:t>
      </w:r>
      <w:r w:rsidR="00711163" w:rsidRPr="000A02AB">
        <w:tab/>
      </w:r>
      <w:r w:rsidRPr="000A02AB">
        <w:t xml:space="preserve">Комитет </w:t>
      </w:r>
      <w:r w:rsidRPr="000A02AB">
        <w:rPr>
          <w:szCs w:val="20"/>
        </w:rPr>
        <w:t xml:space="preserve">по предупреждению насилия в семье и насилия в отношении женщин (учрежден в 2008 году);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 xml:space="preserve">Комитет по обеспечению сбалансированной представленности женщин и мужчин в политике и на руководящих должностях (учрежден в 2009 году);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 xml:space="preserve">Комитет по созданию институциональной основы в целях обеспечения равных возможностей для женщин и мужчин (учрежден в 2009 году);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Комитет по обеспечению согласованности трудовой деятельности и час</w:t>
      </w:r>
      <w:r w:rsidRPr="000A02AB">
        <w:rPr>
          <w:szCs w:val="20"/>
        </w:rPr>
        <w:t>т</w:t>
      </w:r>
      <w:r w:rsidRPr="000A02AB">
        <w:rPr>
          <w:szCs w:val="20"/>
        </w:rPr>
        <w:t xml:space="preserve">ной и семейной жизни (учрежден в 2009 году);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rPr>
          <w:szCs w:val="20"/>
        </w:rPr>
        <w:tab/>
        <w:t>•</w:t>
      </w:r>
      <w:r w:rsidRPr="000A02AB">
        <w:rPr>
          <w:szCs w:val="20"/>
        </w:rPr>
        <w:tab/>
        <w:t>Рабочая груп</w:t>
      </w:r>
      <w:r w:rsidRPr="000A02AB">
        <w:t>па по вопросу о мужчинах и гендерном равенстве (учрежд</w:t>
      </w:r>
      <w:r w:rsidRPr="000A02AB">
        <w:t>е</w:t>
      </w:r>
      <w:r w:rsidRPr="000A02AB">
        <w:t xml:space="preserve">на в 2012 году). </w:t>
      </w:r>
    </w:p>
    <w:p w:rsidR="00170278" w:rsidRPr="000A02AB" w:rsidRDefault="00170278" w:rsidP="000A02AB">
      <w:pPr>
        <w:pStyle w:val="SingleTxt"/>
      </w:pPr>
      <w:r w:rsidRPr="000A02AB">
        <w:t>17.</w:t>
      </w:r>
      <w:r w:rsidRPr="000A02AB">
        <w:tab/>
        <w:t>Положительным результатом в данном контексте может считаться не только успешное создание Совета и различных комитетов и рабочих групп, но и их реальная активность (особенно в последние годы), а также разработка ими ряда инициатив, направленных на обеспечение равенства между женщ</w:t>
      </w:r>
      <w:r w:rsidRPr="000A02AB">
        <w:t>и</w:t>
      </w:r>
      <w:r w:rsidRPr="000A02AB">
        <w:t>нами и мужчинами.</w:t>
      </w:r>
    </w:p>
    <w:p w:rsidR="00170278" w:rsidRPr="000A02AB" w:rsidRDefault="00170278" w:rsidP="000A02AB">
      <w:pPr>
        <w:pStyle w:val="SingleTxt"/>
      </w:pPr>
      <w:r w:rsidRPr="000A02AB">
        <w:t>18.</w:t>
      </w:r>
      <w:r w:rsidRPr="000A02AB">
        <w:tab/>
        <w:t>Как упоминалось выше, в период с 1 декабря 2011 года вопросы генде</w:t>
      </w:r>
      <w:r w:rsidRPr="000A02AB">
        <w:t>р</w:t>
      </w:r>
      <w:r w:rsidRPr="000A02AB">
        <w:t>ного равенства, включая деятельность секретариата Совета, решались под р</w:t>
      </w:r>
      <w:r w:rsidRPr="000A02AB">
        <w:t>у</w:t>
      </w:r>
      <w:r w:rsidRPr="000A02AB">
        <w:t>ководством министра по правам</w:t>
      </w:r>
      <w:r w:rsidR="009B4026" w:rsidRPr="000A02AB">
        <w:t> человек</w:t>
      </w:r>
      <w:r w:rsidRPr="000A02AB">
        <w:t>а (или Уполномоченного правител</w:t>
      </w:r>
      <w:r w:rsidRPr="000A02AB">
        <w:t>ь</w:t>
      </w:r>
      <w:r w:rsidRPr="000A02AB">
        <w:t>ства по правам</w:t>
      </w:r>
      <w:r w:rsidR="009B4026" w:rsidRPr="000A02AB">
        <w:t> человек</w:t>
      </w:r>
      <w:r w:rsidRPr="000A02AB">
        <w:t>а). В дальнейшем (с 1 декабря 2011 год</w:t>
      </w:r>
      <w:r w:rsidR="001C43D8" w:rsidRPr="000A02AB">
        <w:t>а по 30 </w:t>
      </w:r>
      <w:r w:rsidRPr="000A02AB">
        <w:t>июня 2014 года) ответственность за рассмотрение вопросов гендерного равенства, включая деятельность секретариата Совета, была возложена на министра труда и социальных дел. С 1 июля 2014 года эти вопросы вновь находятся в ведении министра по правам</w:t>
      </w:r>
      <w:r w:rsidR="009B4026" w:rsidRPr="000A02AB">
        <w:t> человек</w:t>
      </w:r>
      <w:r w:rsidRPr="000A02AB">
        <w:t>а, равным возможностям и законодательству, кот</w:t>
      </w:r>
      <w:r w:rsidRPr="000A02AB">
        <w:t>о</w:t>
      </w:r>
      <w:r w:rsidRPr="000A02AB">
        <w:t>рый также является председателем Совета, а соответствующая программа де</w:t>
      </w:r>
      <w:r w:rsidRPr="000A02AB">
        <w:t>й</w:t>
      </w:r>
      <w:r w:rsidRPr="000A02AB">
        <w:t>ствий включена в план работы Канцелярии правительства.</w:t>
      </w:r>
    </w:p>
    <w:p w:rsidR="00170278" w:rsidRPr="000A02AB" w:rsidRDefault="00170278" w:rsidP="000A02AB">
      <w:pPr>
        <w:pStyle w:val="SingleTxt"/>
      </w:pPr>
      <w:r w:rsidRPr="000A02AB">
        <w:t>19.</w:t>
      </w:r>
      <w:r w:rsidRPr="000A02AB">
        <w:tab/>
        <w:t>Опираясь на результаты четвертой Всемирной конференции по полож</w:t>
      </w:r>
      <w:r w:rsidRPr="000A02AB">
        <w:t>е</w:t>
      </w:r>
      <w:r w:rsidRPr="000A02AB">
        <w:t>нию женщин, состоявшейся в Пекине в 1995 году, Чешская Республика в 1998 году приняла национальный план действий под названием "Приоритеты и процедуры правительства в деле обеспечения равенства мужчин и женщин</w:t>
      </w:r>
      <w:r w:rsidR="001C43D8" w:rsidRPr="000A02AB">
        <w:t>" (в </w:t>
      </w:r>
      <w:r w:rsidRPr="000A02AB">
        <w:t>дальнейшем именуемый "Приоритеты"). Приоритеты представляют собой основополагающий стратегический документ в области установления генде</w:t>
      </w:r>
      <w:r w:rsidRPr="000A02AB">
        <w:t>р</w:t>
      </w:r>
      <w:r w:rsidRPr="000A02AB">
        <w:t>ного равенства на уровне правительства. Это документ, ежегодно утвержда</w:t>
      </w:r>
      <w:r w:rsidRPr="000A02AB">
        <w:t>е</w:t>
      </w:r>
      <w:r w:rsidRPr="000A02AB">
        <w:t>мый чешским правительством, в состав которого входят доклад об обеспеч</w:t>
      </w:r>
      <w:r w:rsidRPr="000A02AB">
        <w:t>е</w:t>
      </w:r>
      <w:r w:rsidRPr="000A02AB">
        <w:t>нии равенства женщин и мужчин в предыдущем календарном году и перечень задач для отдельных ведомств на следующий календарный год (или более дл</w:t>
      </w:r>
      <w:r w:rsidRPr="000A02AB">
        <w:t>и</w:t>
      </w:r>
      <w:r w:rsidRPr="000A02AB">
        <w:t>тельный период) – так называемые Обновляемые меры. Для успешной реал</w:t>
      </w:r>
      <w:r w:rsidRPr="000A02AB">
        <w:t>и</w:t>
      </w:r>
      <w:r w:rsidRPr="000A02AB">
        <w:t>зации Приоритетов необходимо несколько факторов: наличие достаточного п</w:t>
      </w:r>
      <w:r w:rsidRPr="000A02AB">
        <w:t>о</w:t>
      </w:r>
      <w:r w:rsidRPr="000A02AB">
        <w:t>тенциала у субъектов, отвечающих за их реализацию и мониторинг, актуал</w:t>
      </w:r>
      <w:r w:rsidRPr="000A02AB">
        <w:t>ь</w:t>
      </w:r>
      <w:r w:rsidRPr="000A02AB">
        <w:t>ность и последовательность поставленных задач и, не в последнюю очередь, стремление их выполнить. В своем постановлении № 348 от 15 мая 2013 года правительство Чешской Республики в числе прочего выражает надежду на по</w:t>
      </w:r>
      <w:r w:rsidRPr="000A02AB">
        <w:t>д</w:t>
      </w:r>
      <w:r w:rsidRPr="000A02AB">
        <w:t>готовку среднесрочного стратегического документа по вопросу обеспечения гендерного равенства на территории страны.</w:t>
      </w:r>
    </w:p>
    <w:p w:rsidR="00170278" w:rsidRPr="000A02AB" w:rsidRDefault="00170278" w:rsidP="000A02AB">
      <w:pPr>
        <w:pStyle w:val="SingleTxt"/>
      </w:pPr>
      <w:r w:rsidRPr="000A02AB">
        <w:t>20.</w:t>
      </w:r>
      <w:r w:rsidRPr="000A02AB">
        <w:tab/>
        <w:t>В ноябре 2012 года Отдел по вопросам гендерного равенства приступил к осуществлению проекта "Оптимизация институциональной поддержки в целях обеспечения равных возможностей для женщин и мужчин Чешской Республ</w:t>
      </w:r>
      <w:r w:rsidRPr="000A02AB">
        <w:t>и</w:t>
      </w:r>
      <w:r w:rsidRPr="000A02AB">
        <w:t>ки" (в дальнейшем именуемого "Проект оптимизации"), финансируемого из средств оперативной программы "Людские ресурсы и занятость". Этот проект реализуется с учетом текущей ситуации в области обеспечения гендерного р</w:t>
      </w:r>
      <w:r w:rsidRPr="000A02AB">
        <w:t>а</w:t>
      </w:r>
      <w:r w:rsidRPr="000A02AB">
        <w:t>венства в Чешской Республике, при которой в отличие от ситуации в других странах (прежде всего странах ЕС) сохраняется большое количество проблем, таких как низкая занятость женщин по сравнению с мужчинами, низкая ч</w:t>
      </w:r>
      <w:r w:rsidRPr="000A02AB">
        <w:t>а</w:t>
      </w:r>
      <w:r w:rsidRPr="000A02AB">
        <w:t>стотность применения гибких форм организации труда, наличие серьезных препятствий, не позволяющих матерям возвращаться на рынок труда, знач</w:t>
      </w:r>
      <w:r w:rsidRPr="000A02AB">
        <w:t>и</w:t>
      </w:r>
      <w:r w:rsidRPr="000A02AB">
        <w:t>тельные различия в уровне заработной платы женщин и мужчин (так называ</w:t>
      </w:r>
      <w:r w:rsidRPr="000A02AB">
        <w:t>е</w:t>
      </w:r>
      <w:r w:rsidRPr="000A02AB">
        <w:t>мый гендерный разрыв в оплате труда), низкая представленность женщин на руководящих должностях и многие другие проблемы. Основная цель данного проекта состоит в разработке эффективных инструментов и стратегий обесп</w:t>
      </w:r>
      <w:r w:rsidRPr="000A02AB">
        <w:t>е</w:t>
      </w:r>
      <w:r w:rsidRPr="000A02AB">
        <w:t>чения гендерного равенства на уровне правительства.</w:t>
      </w:r>
    </w:p>
    <w:p w:rsidR="00170278" w:rsidRPr="000A02AB" w:rsidRDefault="00170278" w:rsidP="000A02AB">
      <w:pPr>
        <w:pStyle w:val="SingleTxt"/>
      </w:pPr>
      <w:r w:rsidRPr="000A02AB">
        <w:t>21.</w:t>
      </w:r>
      <w:r w:rsidRPr="000A02AB">
        <w:tab/>
        <w:t>Благодаря осуществлению Проекта оптимизации в 2013 году в Отделе по вопросам гендерного равенства появилось семь новых рабочих мест. Он также способствовал возобновлению мероприятий, масштабы которых ранее прих</w:t>
      </w:r>
      <w:r w:rsidRPr="000A02AB">
        <w:t>о</w:t>
      </w:r>
      <w:r w:rsidRPr="000A02AB">
        <w:t>дилось ограничивать по причине нехватки людских ресурсов; например, мат</w:t>
      </w:r>
      <w:r w:rsidRPr="000A02AB">
        <w:t>е</w:t>
      </w:r>
      <w:r w:rsidRPr="000A02AB">
        <w:t>риалы, в отношении которых могут быть высказаны замечания в процессе их представления правительству, подвергаются более тщательной проверке; обе</w:t>
      </w:r>
      <w:r w:rsidRPr="000A02AB">
        <w:t>с</w:t>
      </w:r>
      <w:r w:rsidRPr="000A02AB">
        <w:t>печиваются большая тесная взаимосвязь мероприятий различных комитетов и рабочих групп и расширение их масштабов; проводятся мероприятия, орие</w:t>
      </w:r>
      <w:r w:rsidRPr="000A02AB">
        <w:t>н</w:t>
      </w:r>
      <w:r w:rsidRPr="000A02AB">
        <w:t>тированные на широкие слои населения или более активное сотрудничество с некоммерческим, научным и деловым секторами и правительственными коо</w:t>
      </w:r>
      <w:r w:rsidRPr="000A02AB">
        <w:t>р</w:t>
      </w:r>
      <w:r w:rsidRPr="000A02AB">
        <w:t>динаторами по вопросу равных возможностей для женщин и мужчин. Полож</w:t>
      </w:r>
      <w:r w:rsidRPr="000A02AB">
        <w:t>и</w:t>
      </w:r>
      <w:r w:rsidRPr="000A02AB">
        <w:t>тельные сдвиги также можно отметить в сфере международного сотруднич</w:t>
      </w:r>
      <w:r w:rsidRPr="000A02AB">
        <w:t>е</w:t>
      </w:r>
      <w:r w:rsidRPr="000A02AB">
        <w:t>ства, поддержания контактов и передачи опыта в деле обеспечения равенства женщин и мужчин, полученного за рубежом. В сотрудничестве с комитетами Совета удалось разработать и представить Совету ряд важных инициатив. Так, в 2013 году переговоры относительно увеличения численности сотрудников департамента по вопросам равного обращения Управления Уполномоченного по правам</w:t>
      </w:r>
      <w:r w:rsidR="009B4026" w:rsidRPr="000A02AB">
        <w:t> человек</w:t>
      </w:r>
      <w:r w:rsidRPr="000A02AB">
        <w:t>а (в дальнейшем именуемого "УУПЧ") проводились на базе инициативы Комитета по созданию институциональной основы в целях обе</w:t>
      </w:r>
      <w:r w:rsidRPr="000A02AB">
        <w:t>с</w:t>
      </w:r>
      <w:r w:rsidRPr="000A02AB">
        <w:t>печения равных возможностей для женщин и мужчин. Одним из важнейших результатов данного проекта также стало создание Стратегии обеспечения ге</w:t>
      </w:r>
      <w:r w:rsidRPr="000A02AB">
        <w:t>н</w:t>
      </w:r>
      <w:r w:rsidRPr="000A02AB">
        <w:t>дерного равенства на период 2014–2020 годов (в дальнейшем просто "Страт</w:t>
      </w:r>
      <w:r w:rsidRPr="000A02AB">
        <w:t>е</w:t>
      </w:r>
      <w:r w:rsidRPr="000A02AB">
        <w:t>гия"). Кроме того, в 2014 году в рамках Проекта оптимизации будет разработ</w:t>
      </w:r>
      <w:r w:rsidRPr="000A02AB">
        <w:t>а</w:t>
      </w:r>
      <w:r w:rsidRPr="000A02AB">
        <w:t>на единая методика для оценки воздействия на обеспечение равенства между женщинами и мужчинами в материалах, представляемых правительству, с ц</w:t>
      </w:r>
      <w:r w:rsidRPr="000A02AB">
        <w:t>е</w:t>
      </w:r>
      <w:r w:rsidRPr="000A02AB">
        <w:t>лью добиться эффективного применения принципа учета гендерного фактора в правительственной политике.</w:t>
      </w:r>
    </w:p>
    <w:p w:rsidR="00170278" w:rsidRPr="000A02AB" w:rsidRDefault="00170278" w:rsidP="000A02AB">
      <w:pPr>
        <w:pStyle w:val="SingleTxt"/>
      </w:pPr>
      <w:r w:rsidRPr="000A02AB">
        <w:t>22.</w:t>
      </w:r>
      <w:r w:rsidRPr="000A02AB">
        <w:tab/>
        <w:t>Стратегия будет служить рамочным документом правительства по вопр</w:t>
      </w:r>
      <w:r w:rsidRPr="000A02AB">
        <w:t>о</w:t>
      </w:r>
      <w:r w:rsidRPr="000A02AB">
        <w:t>су обеспечения равенства между женщинами и мужчинами. Она будет по</w:t>
      </w:r>
      <w:r w:rsidRPr="000A02AB">
        <w:t>д</w:t>
      </w:r>
      <w:r w:rsidRPr="000A02AB">
        <w:t>креплена ежегодно обновляемым документом о приоритетах, прежде всего в аспекте постановки целей, которые должны быть достигнуты в период 2014–2020 годов, посредством определения конкретных задач в Приоритетах и так называемого минимального стандарта, который в большей или меньшей степ</w:t>
      </w:r>
      <w:r w:rsidRPr="000A02AB">
        <w:t>е</w:t>
      </w:r>
      <w:r w:rsidRPr="000A02AB">
        <w:t>ни соблюдается в отдельных ведомствах и должен соблюдаться впредь. Наряду с этим Стратегия обеспечит более широкую основу и дополнит другие страт</w:t>
      </w:r>
      <w:r w:rsidRPr="000A02AB">
        <w:t>е</w:t>
      </w:r>
      <w:r w:rsidRPr="000A02AB">
        <w:t>гические и концептуальные документы правительства, имеющие отношение к гендерной проблематике. Она также будет выступать в качестве принципиал</w:t>
      </w:r>
      <w:r w:rsidRPr="000A02AB">
        <w:t>ь</w:t>
      </w:r>
      <w:r w:rsidRPr="000A02AB">
        <w:t>ной основы будущих планов действий, развивающих некоторые из ее тем, например, Плана действий по обеспечению сбалансированной представленн</w:t>
      </w:r>
      <w:r w:rsidRPr="000A02AB">
        <w:t>о</w:t>
      </w:r>
      <w:r w:rsidRPr="000A02AB">
        <w:t>сти женщин и мужчин на руководящих должностях (см. статью 7) и Плана де</w:t>
      </w:r>
      <w:r w:rsidRPr="000A02AB">
        <w:t>й</w:t>
      </w:r>
      <w:r w:rsidRPr="000A02AB">
        <w:t>ствий по предупреждению насилия в семье и насилия в отношении женщин (см. статью 2). Установление связи конкретных вопросов с межсекторальной стратегией позволит улучшить фактическую ситуацию с решением сложных проблем, таких как множественная дискриминация, которые систематически остаются нерешенными, либо обеспечить более тщательный учет гендерных аспектов в областях, для которых уже существуют стратегические документы (например, в вопросе социальной изоляции). При определении задач и мер разработчики Стратегии также опираются на другие источники, преимущ</w:t>
      </w:r>
      <w:r w:rsidRPr="000A02AB">
        <w:t>е</w:t>
      </w:r>
      <w:r w:rsidRPr="000A02AB">
        <w:t>ственно на результаты национальных статистических обследований, публик</w:t>
      </w:r>
      <w:r w:rsidRPr="000A02AB">
        <w:t>у</w:t>
      </w:r>
      <w:r w:rsidRPr="000A02AB">
        <w:t>емые главным образом ЧСУ, а также на предыдущий Краткий доклад о реал</w:t>
      </w:r>
      <w:r w:rsidRPr="000A02AB">
        <w:t>и</w:t>
      </w:r>
      <w:r w:rsidRPr="000A02AB">
        <w:t>зации приоритетов и процедур обеспечения равных возможностей для женщин и мужчин. Еще одним ценным источником идей для разработки Стратегии я</w:t>
      </w:r>
      <w:r w:rsidRPr="000A02AB">
        <w:t>в</w:t>
      </w:r>
      <w:r w:rsidRPr="000A02AB">
        <w:t>ляются европейские и международные документы в области обеспечения р</w:t>
      </w:r>
      <w:r w:rsidRPr="000A02AB">
        <w:t>а</w:t>
      </w:r>
      <w:r w:rsidRPr="000A02AB">
        <w:t>венства между женщинами и мужчинами (в том числе Конвенция, Общие р</w:t>
      </w:r>
      <w:r w:rsidRPr="000A02AB">
        <w:t>е</w:t>
      </w:r>
      <w:r w:rsidRPr="000A02AB">
        <w:t>комендации Комитета, Пекинская декларация, соответствующие рекомендации Совета Европы и разработанная ЕС Стратегия обеспечения гендерного раве</w:t>
      </w:r>
      <w:r w:rsidRPr="000A02AB">
        <w:t>н</w:t>
      </w:r>
      <w:r w:rsidRPr="000A02AB">
        <w:t>ства на период 2010–2015 годов).</w:t>
      </w:r>
    </w:p>
    <w:p w:rsidR="00170278" w:rsidRPr="000A02AB" w:rsidRDefault="00170278" w:rsidP="000A02AB">
      <w:pPr>
        <w:pStyle w:val="SingleTxt"/>
      </w:pPr>
      <w:r w:rsidRPr="000A02AB">
        <w:t>23.</w:t>
      </w:r>
      <w:r w:rsidRPr="000A02AB">
        <w:tab/>
        <w:t>Фактическому созданию Стратегии предшествовало проведение детал</w:t>
      </w:r>
      <w:r w:rsidRPr="000A02AB">
        <w:t>ь</w:t>
      </w:r>
      <w:r w:rsidRPr="000A02AB">
        <w:t>ного предварительного анализа. В ее разработке принимали участие предст</w:t>
      </w:r>
      <w:r w:rsidRPr="000A02AB">
        <w:t>а</w:t>
      </w:r>
      <w:r w:rsidRPr="000A02AB">
        <w:t>вители некоммерческого, научного и делового секторов, социальные партнеры и члены комитетов и рабочих групп Совета, ведомственные координаторы и координаторы деятельности по обеспечению равных возможностей для же</w:t>
      </w:r>
      <w:r w:rsidRPr="000A02AB">
        <w:t>н</w:t>
      </w:r>
      <w:r w:rsidRPr="000A02AB">
        <w:t>щин и мужчин. В процессе разработки Стратегии была создана экспертная группа, состоящая из специалистов по гендерным вопросам, которая активно сотрудничает с Отделом по вопросам гендерного равенства. Работу по подг</w:t>
      </w:r>
      <w:r w:rsidRPr="000A02AB">
        <w:t>о</w:t>
      </w:r>
      <w:r w:rsidRPr="000A02AB">
        <w:t>товке Стратегии планируется завершить во втором полугодии 2014 года, когда будет проведена международная конференция по ее представлению.</w:t>
      </w:r>
    </w:p>
    <w:p w:rsidR="00170278" w:rsidRPr="000A02AB" w:rsidRDefault="00170278" w:rsidP="000A02AB">
      <w:pPr>
        <w:pStyle w:val="SingleTxt"/>
      </w:pPr>
      <w:r w:rsidRPr="000A02AB">
        <w:t>24.</w:t>
      </w:r>
      <w:r w:rsidRPr="000A02AB">
        <w:tab/>
        <w:t>Комитет призывает Чешскую Республику укреплять полномочия УПЧ. В связи с этим Канцелярия правительства подготовила поправку к Закону №</w:t>
      </w:r>
      <w:r w:rsidR="001C43D8" w:rsidRPr="000A02AB">
        <w:t> </w:t>
      </w:r>
      <w:r w:rsidRPr="000A02AB">
        <w:t>349/1999 Coll. об Уполномоченном по правам</w:t>
      </w:r>
      <w:r w:rsidR="009B4026" w:rsidRPr="000A02AB">
        <w:t> человек</w:t>
      </w:r>
      <w:r w:rsidRPr="000A02AB">
        <w:t>а, в которой предлаг</w:t>
      </w:r>
      <w:r w:rsidRPr="000A02AB">
        <w:t>а</w:t>
      </w:r>
      <w:r w:rsidRPr="000A02AB">
        <w:t>ется расширить полномочия соответствующего надзорного органа за счет предоставления ему права выступать с инициативой о возбуждении разбир</w:t>
      </w:r>
      <w:r w:rsidRPr="000A02AB">
        <w:t>а</w:t>
      </w:r>
      <w:r w:rsidRPr="000A02AB">
        <w:t>тельства в соответствии с Законом о недопущении дискриминации. УПЧ может воспользоваться этим правом в случае, если нарушение права на равное обр</w:t>
      </w:r>
      <w:r w:rsidRPr="000A02AB">
        <w:t>а</w:t>
      </w:r>
      <w:r w:rsidRPr="000A02AB">
        <w:t>щение затрагивает большое или неограниченное число лиц или может создать серьезную угрозу для общественных интересов. На момент подготовки наст</w:t>
      </w:r>
      <w:r w:rsidRPr="000A02AB">
        <w:t>о</w:t>
      </w:r>
      <w:r w:rsidRPr="000A02AB">
        <w:t>ящего доклада законодательный процесс, связанный с принятием данной п</w:t>
      </w:r>
      <w:r w:rsidRPr="000A02AB">
        <w:t>о</w:t>
      </w:r>
      <w:r w:rsidRPr="000A02AB">
        <w:t>правки, находится на начальном этапе. Что касается численности персонала УУПЧ, то проблемами равного обращения занимается департамент по вопр</w:t>
      </w:r>
      <w:r w:rsidRPr="000A02AB">
        <w:t>о</w:t>
      </w:r>
      <w:r w:rsidRPr="000A02AB">
        <w:t>сам равного обращения, в состав которог</w:t>
      </w:r>
      <w:r w:rsidR="001C43D8" w:rsidRPr="000A02AB">
        <w:t>о в отчетный период входили 5</w:t>
      </w:r>
      <w:r w:rsidR="001C43D8" w:rsidRPr="000A02AB">
        <w:noBreakHyphen/>
        <w:t>7 </w:t>
      </w:r>
      <w:r w:rsidRPr="000A02AB">
        <w:t>юристов и с 2011 года 1 социолог, занятый неполный рабочий день. С 1 а</w:t>
      </w:r>
      <w:r w:rsidRPr="000A02AB">
        <w:t>в</w:t>
      </w:r>
      <w:r w:rsidRPr="000A02AB">
        <w:t>густа 2014 года число юристов, работающих в департаменте по вопросам ра</w:t>
      </w:r>
      <w:r w:rsidRPr="000A02AB">
        <w:t>в</w:t>
      </w:r>
      <w:r w:rsidRPr="000A02AB">
        <w:t>ного обращения, увеличилось до 10</w:t>
      </w:r>
      <w:r w:rsidR="009B4026" w:rsidRPr="000A02AB">
        <w:t> человек</w:t>
      </w:r>
      <w:r w:rsidRPr="000A02AB">
        <w:t>. Важными факторами, спосо</w:t>
      </w:r>
      <w:r w:rsidRPr="000A02AB">
        <w:t>б</w:t>
      </w:r>
      <w:r w:rsidRPr="000A02AB">
        <w:t>ствовавшими увеличению численности сотрудников УУПЧ, стали инициатива С</w:t>
      </w:r>
      <w:r w:rsidRPr="000A02AB">
        <w:t>о</w:t>
      </w:r>
      <w:r w:rsidRPr="000A02AB">
        <w:t>вета и давление со стороны гражданского сектора.</w:t>
      </w:r>
    </w:p>
    <w:p w:rsidR="00170278" w:rsidRPr="000A02AB" w:rsidRDefault="00170278" w:rsidP="000A02AB">
      <w:pPr>
        <w:pStyle w:val="SingleTxt"/>
      </w:pPr>
      <w:r w:rsidRPr="000A02AB">
        <w:t>25.</w:t>
      </w:r>
      <w:r w:rsidRPr="000A02AB">
        <w:tab/>
        <w:t>В соответствии с постановлени</w:t>
      </w:r>
      <w:r w:rsidR="001C43D8" w:rsidRPr="000A02AB">
        <w:t>ем правительства № 464 от 20 </w:t>
      </w:r>
      <w:r w:rsidRPr="000A02AB">
        <w:t>апреля 2005 года отдельные министерства учредили должности координаторов де</w:t>
      </w:r>
      <w:r w:rsidRPr="000A02AB">
        <w:t>я</w:t>
      </w:r>
      <w:r w:rsidRPr="000A02AB">
        <w:t>тельности по обеспечению равных возможностей для женщин и мужчин (так называемых координаторов по гендерным вопросам), которые занимаются проблемами гендерного равенства в связи с конкретными обращениями. Рук</w:t>
      </w:r>
      <w:r w:rsidRPr="000A02AB">
        <w:t>о</w:t>
      </w:r>
      <w:r w:rsidRPr="000A02AB">
        <w:t>водствуясь регулярно принимаемыми постановлениями правительства в отн</w:t>
      </w:r>
      <w:r w:rsidRPr="000A02AB">
        <w:t>о</w:t>
      </w:r>
      <w:r w:rsidRPr="000A02AB">
        <w:t>шении Краткого доклада о реализации приоритетов, отдельные ведомства та</w:t>
      </w:r>
      <w:r w:rsidRPr="000A02AB">
        <w:t>к</w:t>
      </w:r>
      <w:r w:rsidRPr="000A02AB">
        <w:t>же создали рабочие группы по вопросу гендерного равенства. Методическая и координационная поддержка деятельности ведомственных координаторов обеспечивается Отделом по вопросам гендерного равенства. Благодаря Прое</w:t>
      </w:r>
      <w:r w:rsidRPr="000A02AB">
        <w:t>к</w:t>
      </w:r>
      <w:r w:rsidRPr="000A02AB">
        <w:t>ту оптимизации с 2013 года регулярно организуются практические семинары, предназначенные для обучения и инструктирования ведомственных координ</w:t>
      </w:r>
      <w:r w:rsidRPr="000A02AB">
        <w:t>а</w:t>
      </w:r>
      <w:r w:rsidRPr="000A02AB">
        <w:t>торов.</w:t>
      </w:r>
    </w:p>
    <w:p w:rsidR="00170278" w:rsidRPr="000A02AB" w:rsidRDefault="00170278" w:rsidP="000A02AB">
      <w:pPr>
        <w:pStyle w:val="SingleTxt"/>
      </w:pPr>
      <w:r w:rsidRPr="000A02AB">
        <w:t>26.</w:t>
      </w:r>
      <w:r w:rsidRPr="000A02AB">
        <w:tab/>
        <w:t>Комитет призывает Чешскую Республику активизировать сотрудничество с гражданским обществом и женскими организациями, политическими парт</w:t>
      </w:r>
      <w:r w:rsidRPr="000A02AB">
        <w:t>и</w:t>
      </w:r>
      <w:r w:rsidRPr="000A02AB">
        <w:t>ями, специалистами и экспертами в сфере образования, частным сектором и средствами массовой информации. Взаимодействие правительства с НПО, з</w:t>
      </w:r>
      <w:r w:rsidRPr="000A02AB">
        <w:t>а</w:t>
      </w:r>
      <w:r w:rsidRPr="000A02AB">
        <w:t>нимающимися вопросами гендерного равенства, представителями социальных партнеров, делового сектора и научных учреждений и другими соответству</w:t>
      </w:r>
      <w:r w:rsidRPr="000A02AB">
        <w:t>ю</w:t>
      </w:r>
      <w:r w:rsidRPr="000A02AB">
        <w:t>щими заинтересованными сторонами является неотъемлемой частью меропр</w:t>
      </w:r>
      <w:r w:rsidRPr="000A02AB">
        <w:t>и</w:t>
      </w:r>
      <w:r w:rsidRPr="000A02AB">
        <w:t>ятий по установлению равенства между женщинами и мужчинами. Неправ</w:t>
      </w:r>
      <w:r w:rsidRPr="000A02AB">
        <w:t>и</w:t>
      </w:r>
      <w:r w:rsidRPr="000A02AB">
        <w:t>тельственные организации играют незаменимую роль в поощрении гендерного равенства и повышении осведомленности в этой области. Правительство пр</w:t>
      </w:r>
      <w:r w:rsidRPr="000A02AB">
        <w:t>и</w:t>
      </w:r>
      <w:r w:rsidRPr="000A02AB">
        <w:t>нимает меры по расширению сотрудничества, в том числе с неправительстве</w:t>
      </w:r>
      <w:r w:rsidRPr="000A02AB">
        <w:t>н</w:t>
      </w:r>
      <w:r w:rsidRPr="000A02AB">
        <w:t>ными организациями, социальными партнерами и другими соответствующими сторонами, включая их представителей в состав Совета, его комитетов и раб</w:t>
      </w:r>
      <w:r w:rsidRPr="000A02AB">
        <w:t>о</w:t>
      </w:r>
      <w:r w:rsidRPr="000A02AB">
        <w:t>чих групп. Политические партии привлекаются к участию в деятельности С</w:t>
      </w:r>
      <w:r w:rsidRPr="000A02AB">
        <w:t>о</w:t>
      </w:r>
      <w:r w:rsidRPr="000A02AB">
        <w:t>вета прежде всего через Комитет Совета по обеспечению сбалансированной представленности женщин и мужчин в политике и на руководящих должн</w:t>
      </w:r>
      <w:r w:rsidRPr="000A02AB">
        <w:t>о</w:t>
      </w:r>
      <w:r w:rsidRPr="000A02AB">
        <w:t>стях, в состав которого всегда входят два представителя (мужчина и женщина) соответствующих политических партий. Еще одной формой сотрудничества является предоставление отдельным министерствам субсидий на цели обесп</w:t>
      </w:r>
      <w:r w:rsidRPr="000A02AB">
        <w:t>е</w:t>
      </w:r>
      <w:r w:rsidRPr="000A02AB">
        <w:t>чения гендерного равенства и предотвращения насилия в семье.</w:t>
      </w:r>
    </w:p>
    <w:p w:rsidR="00170278" w:rsidRPr="000A02AB" w:rsidRDefault="00170278" w:rsidP="000A02AB">
      <w:pPr>
        <w:pStyle w:val="SingleTxt"/>
      </w:pPr>
      <w:r w:rsidRPr="000A02AB">
        <w:t>27.</w:t>
      </w:r>
      <w:r w:rsidRPr="000A02AB">
        <w:tab/>
        <w:t>По инициативе входящего в состав Совета Комитета по созданию инст</w:t>
      </w:r>
      <w:r w:rsidRPr="000A02AB">
        <w:t>и</w:t>
      </w:r>
      <w:r w:rsidRPr="000A02AB">
        <w:t>туциональной основы в целях обеспечения равных возможностей для женщин и мужчин Совет поддержал учреждение отдельной программы грантов для НПО в сфере обеспечения гендерного равенства на 2014 год и последующий период. В соответствии с этой инициативой 31 октября 2013 года МТСД об</w:t>
      </w:r>
      <w:r w:rsidRPr="000A02AB">
        <w:t>ъ</w:t>
      </w:r>
      <w:r w:rsidRPr="000A02AB">
        <w:t>явило о начале процедуры предоставления грантов "Программа грантов в по</w:t>
      </w:r>
      <w:r w:rsidRPr="000A02AB">
        <w:t>д</w:t>
      </w:r>
      <w:r w:rsidRPr="000A02AB">
        <w:t>держку мероприятий, проводимых неправительственными организациями по вопросам равных возможностей для женщин и мужчин в общественных инт</w:t>
      </w:r>
      <w:r w:rsidRPr="000A02AB">
        <w:t>е</w:t>
      </w:r>
      <w:r w:rsidRPr="000A02AB">
        <w:t>ресах" на 2014 год на общую сумму в 5 млн. чешских крон. В 2014 году по</w:t>
      </w:r>
      <w:r w:rsidRPr="000A02AB">
        <w:t>д</w:t>
      </w:r>
      <w:r w:rsidRPr="000A02AB">
        <w:t>держку получили 10 неправительственных организаций, занимающихся обе</w:t>
      </w:r>
      <w:r w:rsidRPr="000A02AB">
        <w:t>с</w:t>
      </w:r>
      <w:r w:rsidRPr="000A02AB">
        <w:t>печением равенства между женщинами и мужчинами. В 2014 году данная пр</w:t>
      </w:r>
      <w:r w:rsidRPr="000A02AB">
        <w:t>о</w:t>
      </w:r>
      <w:r w:rsidRPr="000A02AB">
        <w:t>грамма грантов наряду с планом работы по обеспечению гендерного равенства и секретариатом Совета была передана МТСД в ведение Канцелярии прав</w:t>
      </w:r>
      <w:r w:rsidRPr="000A02AB">
        <w:t>и</w:t>
      </w:r>
      <w:r w:rsidRPr="000A02AB">
        <w:t>тельства; ожидается, что в последующие годы ее осуществление будет пр</w:t>
      </w:r>
      <w:r w:rsidRPr="000A02AB">
        <w:t>о</w:t>
      </w:r>
      <w:r w:rsidRPr="000A02AB">
        <w:t>должено.</w:t>
      </w:r>
    </w:p>
    <w:p w:rsidR="00170278" w:rsidRPr="000A02AB" w:rsidRDefault="00170278" w:rsidP="000A02AB">
      <w:pPr>
        <w:pStyle w:val="SingleTxt"/>
      </w:pPr>
      <w:r w:rsidRPr="000A02AB">
        <w:t>28.</w:t>
      </w:r>
      <w:r w:rsidRPr="000A02AB">
        <w:tab/>
        <w:t>Важную роль в обеспечении гендерного равенства на региональном уровне играют края и муниципалитеты, выступающие в качестве органов местного самоуправления. Города Чешской Республики по-прежнему имеют возможность присоединиться к Европейской хартии равенства женщин и му</w:t>
      </w:r>
      <w:r w:rsidRPr="000A02AB">
        <w:t>ж</w:t>
      </w:r>
      <w:r w:rsidRPr="000A02AB">
        <w:t>чин на местном уровне. На данный момент в Чешской Республике ее подпис</w:t>
      </w:r>
      <w:r w:rsidRPr="000A02AB">
        <w:t>а</w:t>
      </w:r>
      <w:r w:rsidRPr="000A02AB">
        <w:t>ли четыре стороны: деревни Милотице, Станьковице и Залузи и район Прага 18 – Летняны. В настоящее время Ассоциация городов и муниципалитетов Чешской Республики совместно с НПО "Форум 50%" занимается подготовкой проекта в рамках финансируемой Норвежскими фондами программы "Пусть у женщин/мужчин появится шанс", при осуществлении которого в частности, планируется повышать осведомленность и распространять информацию о Ха</w:t>
      </w:r>
      <w:r w:rsidRPr="000A02AB">
        <w:t>р</w:t>
      </w:r>
      <w:r w:rsidRPr="000A02AB">
        <w:t>тии, и пересмотреть процедуру сбора статистических данных о представле</w:t>
      </w:r>
      <w:r w:rsidRPr="000A02AB">
        <w:t>н</w:t>
      </w:r>
      <w:r w:rsidRPr="000A02AB">
        <w:t>ности женщин и мужчин в местной политике. В сотрудничестве с Комитетом Совета по созданию институциональной основы в целях обеспечения равных возможностей для женщин и мужчин будет организована дискуссия по вопросу о создании должности координатора деятельности по обеспечению равных возможностей для женщин и мужчин в местных органах государственного управления.</w:t>
      </w:r>
    </w:p>
    <w:p w:rsidR="001C43D8" w:rsidRPr="000A02AB" w:rsidRDefault="00170278" w:rsidP="000A02AB">
      <w:pPr>
        <w:pStyle w:val="SingleTxt"/>
      </w:pPr>
      <w:r w:rsidRPr="000A02AB">
        <w:t>29.</w:t>
      </w:r>
      <w:r w:rsidRPr="000A02AB">
        <w:tab/>
        <w:t>С 2006 года МВД организует конкурс на лучший административный о</w:t>
      </w:r>
      <w:r w:rsidRPr="000A02AB">
        <w:t>р</w:t>
      </w:r>
      <w:r w:rsidRPr="000A02AB">
        <w:t>ган года "Пятьдесят на пятьдесят: соблюдение принципа равных возможн</w:t>
      </w:r>
      <w:r w:rsidRPr="000A02AB">
        <w:t>о</w:t>
      </w:r>
      <w:r w:rsidRPr="000A02AB">
        <w:t>стей". Его цель состоит в содействии повышению осведомленности правител</w:t>
      </w:r>
      <w:r w:rsidRPr="000A02AB">
        <w:t>ь</w:t>
      </w:r>
      <w:r w:rsidRPr="000A02AB">
        <w:t>стве</w:t>
      </w:r>
      <w:r w:rsidRPr="000A02AB">
        <w:t>н</w:t>
      </w:r>
      <w:r w:rsidRPr="000A02AB">
        <w:t>ных учреждений по данному вопросу и оказании поддержки в реализации стратегий установления гендерного равенства и принципа учета гендерного фактора в работе государственных административных органов страны. В 2014 году этот конкурс проводился в восьмой раз. Края также оказывают с</w:t>
      </w:r>
      <w:r w:rsidRPr="000A02AB">
        <w:t>о</w:t>
      </w:r>
      <w:r w:rsidRPr="000A02AB">
        <w:t>действие в установлении гендерного равенства в рамках отдельных проектов; так, Ка</w:t>
      </w:r>
      <w:r w:rsidRPr="000A02AB">
        <w:t>р</w:t>
      </w:r>
      <w:r w:rsidRPr="000A02AB">
        <w:t>ловарский, Устецкий и Либерецкий края, осуществляя проект "Работая вместе", стремятся повысить возможности трудоустройства и уровень занят</w:t>
      </w:r>
      <w:r w:rsidRPr="000A02AB">
        <w:t>о</w:t>
      </w:r>
      <w:r w:rsidRPr="000A02AB">
        <w:t>сти лиц в возрасте старше 50 лет и опробовать гибкие формы организации тр</w:t>
      </w:r>
      <w:r w:rsidRPr="000A02AB">
        <w:t>у</w:t>
      </w:r>
      <w:r w:rsidRPr="000A02AB">
        <w:t>да, а именно деление рабочего места между несколькими работниками. В о</w:t>
      </w:r>
      <w:r w:rsidRPr="000A02AB">
        <w:t>т</w:t>
      </w:r>
      <w:r w:rsidRPr="000A02AB">
        <w:t>дельных краевых отделениях также были созданы должности координаторов деятельн</w:t>
      </w:r>
      <w:r w:rsidRPr="000A02AB">
        <w:t>о</w:t>
      </w:r>
      <w:r w:rsidRPr="000A02AB">
        <w:t>сти по обеспечению равных возможностей для женщин и мужчин.</w:t>
      </w:r>
    </w:p>
    <w:p w:rsidR="001C43D8" w:rsidRPr="000A02AB" w:rsidRDefault="001C43D8" w:rsidP="000A02AB">
      <w:pPr>
        <w:pStyle w:val="SingleTxt"/>
        <w:spacing w:after="0" w:line="120" w:lineRule="exact"/>
        <w:rPr>
          <w:sz w:val="10"/>
        </w:rPr>
      </w:pPr>
    </w:p>
    <w:p w:rsidR="001C43D8" w:rsidRPr="000A02AB" w:rsidRDefault="001C43D8"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6" w:name="_Toc415654600"/>
      <w:r w:rsidRPr="000A02AB">
        <w:t>Статья 2</w:t>
      </w:r>
      <w:r w:rsidRPr="000A02AB">
        <w:br/>
        <w:t>Меры по ликвидации дискриминации в отношении женщин</w:t>
      </w:r>
      <w:bookmarkEnd w:id="6"/>
    </w:p>
    <w:p w:rsidR="001C43D8" w:rsidRPr="000A02AB" w:rsidRDefault="001C43D8" w:rsidP="000A02AB">
      <w:pPr>
        <w:pStyle w:val="SingleTxt"/>
        <w:spacing w:after="0" w:line="120" w:lineRule="exact"/>
        <w:rPr>
          <w:sz w:val="10"/>
        </w:rPr>
      </w:pPr>
    </w:p>
    <w:p w:rsidR="001C43D8" w:rsidRPr="000A02AB" w:rsidRDefault="001C43D8" w:rsidP="000A02AB">
      <w:pPr>
        <w:pStyle w:val="SingleTxt"/>
        <w:spacing w:after="0" w:line="120" w:lineRule="exact"/>
        <w:rPr>
          <w:sz w:val="10"/>
        </w:rPr>
      </w:pPr>
    </w:p>
    <w:p w:rsidR="00170278" w:rsidRPr="000A02AB" w:rsidRDefault="00170278" w:rsidP="000A02AB">
      <w:pPr>
        <w:pStyle w:val="SingleTxt"/>
      </w:pPr>
      <w:r w:rsidRPr="000A02AB">
        <w:t>30.</w:t>
      </w:r>
      <w:r w:rsidRPr="000A02AB">
        <w:tab/>
        <w:t>Как отмечалось выше, 1 января 2009 года вступил в силу Закон о недоп</w:t>
      </w:r>
      <w:r w:rsidRPr="000A02AB">
        <w:t>у</w:t>
      </w:r>
      <w:r w:rsidRPr="000A02AB">
        <w:t>щении дискриминации, который в числе прочего обеспечивает правовые сре</w:t>
      </w:r>
      <w:r w:rsidRPr="000A02AB">
        <w:t>д</w:t>
      </w:r>
      <w:r w:rsidRPr="000A02AB">
        <w:t>ства защиты от дискриминации и предусматривает, что в случае нарушения прав и обязанностей, вытекающих из права на равное обращение, или дискр</w:t>
      </w:r>
      <w:r w:rsidRPr="000A02AB">
        <w:t>и</w:t>
      </w:r>
      <w:r w:rsidRPr="000A02AB">
        <w:t>минации лицо, затронутое этими действиями, имеет право требовать того, чт</w:t>
      </w:r>
      <w:r w:rsidRPr="000A02AB">
        <w:t>о</w:t>
      </w:r>
      <w:r w:rsidRPr="000A02AB">
        <w:t>бы вторая сторона воздерживалась от дискриминации, а также устранения п</w:t>
      </w:r>
      <w:r w:rsidRPr="000A02AB">
        <w:t>о</w:t>
      </w:r>
      <w:r w:rsidRPr="000A02AB">
        <w:t>следствий дискриминационных действий и предоставления разумного возм</w:t>
      </w:r>
      <w:r w:rsidRPr="000A02AB">
        <w:t>е</w:t>
      </w:r>
      <w:r w:rsidRPr="000A02AB">
        <w:t>щения</w:t>
      </w:r>
      <w:r w:rsidRPr="000A02AB">
        <w:rPr>
          <w:rStyle w:val="FootnoteReference"/>
        </w:rPr>
        <w:footnoteReference w:id="5"/>
      </w:r>
      <w:r w:rsidRPr="000A02AB">
        <w:t>.</w:t>
      </w:r>
      <w:r w:rsidRPr="000A02AB">
        <w:rPr>
          <w:rStyle w:val="a4"/>
        </w:rPr>
        <w:t xml:space="preserve"> </w:t>
      </w:r>
      <w:r w:rsidRPr="000A02AB">
        <w:t>Бремя доказывания в дискриминационных спорах предполагает его разделение, в соответствии с чем жертва дискриминации должна представить суду факты, на основании которых можно сделать вывод о наличии прямой л</w:t>
      </w:r>
      <w:r w:rsidRPr="000A02AB">
        <w:t>и</w:t>
      </w:r>
      <w:r w:rsidRPr="000A02AB">
        <w:t>бо косвенной дискриминации, после чего обвиняемые субъекты должны док</w:t>
      </w:r>
      <w:r w:rsidRPr="000A02AB">
        <w:t>а</w:t>
      </w:r>
      <w:r w:rsidRPr="000A02AB">
        <w:t>зать, что принцип равного обращения не был нарушен</w:t>
      </w:r>
      <w:r w:rsidRPr="000A02AB">
        <w:rPr>
          <w:rStyle w:val="FootnoteReference"/>
        </w:rPr>
        <w:footnoteReference w:id="6"/>
      </w:r>
      <w:r w:rsidRPr="000A02AB">
        <w:rPr>
          <w:rStyle w:val="a4"/>
        </w:rPr>
        <w:t>.</w:t>
      </w:r>
    </w:p>
    <w:p w:rsidR="00170278" w:rsidRPr="000A02AB" w:rsidRDefault="00170278" w:rsidP="000A02AB">
      <w:pPr>
        <w:pStyle w:val="SingleTxt"/>
      </w:pPr>
      <w:r w:rsidRPr="000A02AB">
        <w:t>31.</w:t>
      </w:r>
      <w:r w:rsidRPr="000A02AB">
        <w:tab/>
        <w:t>К числу других средств защиты от дискриминации относятся возмо</w:t>
      </w:r>
      <w:r w:rsidRPr="000A02AB">
        <w:t>ж</w:t>
      </w:r>
      <w:r w:rsidRPr="000A02AB">
        <w:t>ность обращения к соответствующей вышестоящей инстанции или контрол</w:t>
      </w:r>
      <w:r w:rsidRPr="000A02AB">
        <w:t>ь</w:t>
      </w:r>
      <w:r w:rsidRPr="000A02AB">
        <w:t xml:space="preserve">ному органу (например, к Чешской торговой </w:t>
      </w:r>
      <w:r w:rsidR="001C43D8" w:rsidRPr="000A02AB">
        <w:t>инспекции, Инспекции труда и т. </w:t>
      </w:r>
      <w:r w:rsidRPr="000A02AB">
        <w:t>д.) либо поиск способов мирного разрешения конфликта в форме так назыв</w:t>
      </w:r>
      <w:r w:rsidRPr="000A02AB">
        <w:t>а</w:t>
      </w:r>
      <w:r w:rsidRPr="000A02AB">
        <w:t>емого посредничества</w:t>
      </w:r>
      <w:r w:rsidRPr="000A02AB">
        <w:rPr>
          <w:rStyle w:val="FootnoteReference"/>
        </w:rPr>
        <w:footnoteReference w:id="7"/>
      </w:r>
      <w:r w:rsidRPr="000A02AB">
        <w:t>. Важную роль в этой деятельности также играет УПЧ (см. статью 1).</w:t>
      </w:r>
    </w:p>
    <w:p w:rsidR="00170278" w:rsidRPr="000A02AB" w:rsidRDefault="00170278" w:rsidP="000A02AB">
      <w:pPr>
        <w:pStyle w:val="SingleTxt"/>
      </w:pPr>
      <w:r w:rsidRPr="000A02AB">
        <w:t>32.</w:t>
      </w:r>
      <w:r w:rsidRPr="000A02AB">
        <w:tab/>
        <w:t>Опыт УПЧ показывает, что проблема с принятием мер по ликвидации дискриминации в отношении женщин заключается в том, что доля зарегистр</w:t>
      </w:r>
      <w:r w:rsidRPr="000A02AB">
        <w:t>и</w:t>
      </w:r>
      <w:r w:rsidRPr="000A02AB">
        <w:t>рованных и расследованных случаев остается низкой (т. е. соответствующие сведения являются неполными). В своей практике УПЧ сталкивается с нежел</w:t>
      </w:r>
      <w:r w:rsidRPr="000A02AB">
        <w:t>а</w:t>
      </w:r>
      <w:r w:rsidRPr="000A02AB">
        <w:t>нием жертв дискриминации обращаться с жалобами в суд. По мнению УПЧ, это главным образом обусловлено низкой осведомленностью о возможности применения подобной процедуры, общим неверием граждан в справедливость чешского правосудия либо нежеланием или неспособностью нести связанные с этим расходы.</w:t>
      </w:r>
    </w:p>
    <w:p w:rsidR="00170278" w:rsidRPr="000A02AB" w:rsidRDefault="00170278" w:rsidP="000A02AB">
      <w:pPr>
        <w:pStyle w:val="SingleTxt"/>
      </w:pPr>
      <w:r w:rsidRPr="000A02AB">
        <w:t>33.</w:t>
      </w:r>
      <w:r w:rsidRPr="000A02AB">
        <w:tab/>
        <w:t>В период с 1 августа 2008 года по 30 июня 2014 года УПЧ получил в о</w:t>
      </w:r>
      <w:r w:rsidRPr="000A02AB">
        <w:t>б</w:t>
      </w:r>
      <w:r w:rsidRPr="000A02AB">
        <w:t xml:space="preserve">щей сложности 1 161 жалобу на нарушение </w:t>
      </w:r>
      <w:r w:rsidR="001C43D8" w:rsidRPr="000A02AB">
        <w:t>права на равное обращение. В 66 </w:t>
      </w:r>
      <w:r w:rsidRPr="000A02AB">
        <w:t>случаях были установлены факты дискриминации (статистические данные за период до конца 2013 года). 128 жалоб касалось гендерной дискриминации (20</w:t>
      </w:r>
      <w:r w:rsidR="001C43D8" w:rsidRPr="000A02AB">
        <w:t> </w:t>
      </w:r>
      <w:r w:rsidRPr="000A02AB">
        <w:t>в 2010 году, 30 в 2011 году, 42 в 2012 году и 36 в 2013 году). В числе проч</w:t>
      </w:r>
      <w:r w:rsidRPr="000A02AB">
        <w:t>е</w:t>
      </w:r>
      <w:r w:rsidRPr="000A02AB">
        <w:t xml:space="preserve">го УПЧ занимался рассмотрением следующих случаев, связанных с проблемой равного обращения с мужчинами и женщинами: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t>•</w:t>
      </w:r>
      <w:r w:rsidRPr="000A02AB">
        <w:tab/>
        <w:t>дискриминация в оплате труда по признаку пола</w:t>
      </w:r>
      <w:r w:rsidRPr="000A02AB">
        <w:rPr>
          <w:rStyle w:val="a4"/>
        </w:rPr>
        <w:footnoteReference w:id="8"/>
      </w:r>
      <w:r w:rsidRPr="000A02AB">
        <w:rPr>
          <w:rStyle w:val="a4"/>
        </w:rPr>
        <w:t>;</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r>
      <w:r w:rsidR="001C43D8" w:rsidRPr="000A02AB">
        <w:t>•</w:t>
      </w:r>
      <w:r w:rsidR="001C43D8" w:rsidRPr="000A02AB">
        <w:tab/>
      </w:r>
      <w:r w:rsidRPr="000A02AB">
        <w:t xml:space="preserve">предоставление </w:t>
      </w:r>
      <w:r w:rsidRPr="000A02AB">
        <w:rPr>
          <w:szCs w:val="20"/>
        </w:rPr>
        <w:t>грантов</w:t>
      </w:r>
      <w:r w:rsidRPr="000A02AB">
        <w:t xml:space="preserve"> для научных сотрудников с ученой степенью</w:t>
      </w:r>
      <w:r w:rsidRPr="000A02AB">
        <w:rPr>
          <w:rStyle w:val="FootnoteReference"/>
        </w:rPr>
        <w:footnoteReference w:id="9"/>
      </w:r>
      <w:r w:rsidRPr="000A02AB">
        <w:t>;</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t>•</w:t>
      </w:r>
      <w:r w:rsidR="001C43D8" w:rsidRPr="000A02AB">
        <w:tab/>
      </w:r>
      <w:r w:rsidRPr="000A02AB">
        <w:t>отказ от работы по причине рождения ребенка</w:t>
      </w:r>
      <w:r w:rsidRPr="000A02AB">
        <w:rPr>
          <w:rStyle w:val="FootnoteReference"/>
        </w:rPr>
        <w:footnoteReference w:id="10"/>
      </w:r>
      <w:r w:rsidRPr="000A02AB">
        <w:t>;</w:t>
      </w:r>
    </w:p>
    <w:p w:rsidR="00170278" w:rsidRPr="000A02AB" w:rsidRDefault="001C43D8" w:rsidP="000A02AB">
      <w:pPr>
        <w:pStyle w:val="SingleTxt"/>
        <w:tabs>
          <w:tab w:val="clear" w:pos="6538"/>
          <w:tab w:val="clear" w:pos="7013"/>
          <w:tab w:val="clear" w:pos="7488"/>
          <w:tab w:val="clear" w:pos="7978"/>
          <w:tab w:val="clear" w:pos="8453"/>
          <w:tab w:val="right" w:pos="1685"/>
        </w:tabs>
        <w:ind w:left="1742" w:hanging="475"/>
      </w:pPr>
      <w:r w:rsidRPr="000A02AB">
        <w:br w:type="page"/>
      </w:r>
      <w:r w:rsidR="00170278" w:rsidRPr="000A02AB">
        <w:tab/>
        <w:t>•</w:t>
      </w:r>
      <w:r w:rsidRPr="000A02AB">
        <w:tab/>
      </w:r>
      <w:r w:rsidR="00170278" w:rsidRPr="000A02AB">
        <w:t>различия между мужчинами и женщинами в предоставлении пособий, предусмотре</w:t>
      </w:r>
      <w:r w:rsidR="00170278" w:rsidRPr="000A02AB">
        <w:t>н</w:t>
      </w:r>
      <w:r w:rsidR="00170278" w:rsidRPr="000A02AB">
        <w:t>ных пенсионными планами</w:t>
      </w:r>
      <w:r w:rsidR="00170278" w:rsidRPr="000A02AB">
        <w:rPr>
          <w:rStyle w:val="FootnoteReference"/>
        </w:rPr>
        <w:footnoteReference w:id="11"/>
      </w:r>
      <w:r w:rsidR="00170278" w:rsidRPr="000A02AB">
        <w:t>;</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t>•</w:t>
      </w:r>
      <w:r w:rsidRPr="000A02AB">
        <w:tab/>
        <w:t>ex lege неравное обращение в сфере медицинского обслуживания</w:t>
      </w:r>
      <w:r w:rsidRPr="000A02AB">
        <w:rPr>
          <w:rStyle w:val="FootnoteReference"/>
        </w:rPr>
        <w:footnoteReference w:id="12"/>
      </w:r>
      <w:r w:rsidRPr="000A02AB">
        <w:t>.</w:t>
      </w:r>
    </w:p>
    <w:p w:rsidR="00170278" w:rsidRPr="000A02AB" w:rsidRDefault="00170278" w:rsidP="000A02AB">
      <w:pPr>
        <w:pStyle w:val="SingleTxt"/>
      </w:pPr>
      <w:r w:rsidRPr="000A02AB">
        <w:t>34.</w:t>
      </w:r>
      <w:r w:rsidRPr="000A02AB">
        <w:tab/>
        <w:t>Согласно Закону № 251/2005 Coll. об инспекции труда органы, занима</w:t>
      </w:r>
      <w:r w:rsidRPr="000A02AB">
        <w:t>ю</w:t>
      </w:r>
      <w:r w:rsidRPr="000A02AB">
        <w:t>щиеся проверкой условий труда (т. е. Государственная служба инспекции труда и краевые инспекции труда), уполномочены проверять соблюдение работодат</w:t>
      </w:r>
      <w:r w:rsidRPr="000A02AB">
        <w:t>е</w:t>
      </w:r>
      <w:r w:rsidRPr="000A02AB">
        <w:t>лями трудового законодательства (особенно Трудового кодекса и исполнител</w:t>
      </w:r>
      <w:r w:rsidRPr="000A02AB">
        <w:t>ь</w:t>
      </w:r>
      <w:r w:rsidRPr="000A02AB">
        <w:t>ных распоряжений по его применению, а также Закона о занятости наряду с правилами и распоряжениями по его применению с целью гарантировать бе</w:t>
      </w:r>
      <w:r w:rsidRPr="000A02AB">
        <w:t>з</w:t>
      </w:r>
      <w:r w:rsidRPr="000A02AB">
        <w:t>опасность и охрану здоровья рабочих и служащих на рабочем месте). Надзо</w:t>
      </w:r>
      <w:r w:rsidRPr="000A02AB">
        <w:t>р</w:t>
      </w:r>
      <w:r w:rsidRPr="000A02AB">
        <w:t>ная деятельность органов по вопросам труда включает контроль за соблюден</w:t>
      </w:r>
      <w:r w:rsidRPr="000A02AB">
        <w:t>и</w:t>
      </w:r>
      <w:r w:rsidRPr="000A02AB">
        <w:t>ем отдельными работодателями запрета на дискриминацию и неравное обр</w:t>
      </w:r>
      <w:r w:rsidRPr="000A02AB">
        <w:t>а</w:t>
      </w:r>
      <w:r w:rsidRPr="000A02AB">
        <w:t>щение. Проверки всегда осуществляются ex officio, причем некоторые из них проводятся на основании предложений наемных работников или бывших наемных работников.</w:t>
      </w:r>
    </w:p>
    <w:p w:rsidR="00170278" w:rsidRPr="000A02AB" w:rsidRDefault="00170278" w:rsidP="000A02AB">
      <w:pPr>
        <w:pStyle w:val="SingleTxt"/>
        <w:rPr>
          <w:sz w:val="10"/>
        </w:rPr>
      </w:pPr>
      <w:r w:rsidRPr="000A02AB">
        <w:t>35.</w:t>
      </w:r>
      <w:r w:rsidRPr="000A02AB">
        <w:tab/>
        <w:t>Предложения, связанные с неравным обращением и дискриминацией, с</w:t>
      </w:r>
      <w:r w:rsidRPr="000A02AB">
        <w:t>о</w:t>
      </w:r>
      <w:r w:rsidR="001C43D8" w:rsidRPr="000A02AB">
        <w:t>ставляют примерно 3–4</w:t>
      </w:r>
      <w:r w:rsidR="009B4026" w:rsidRPr="000A02AB">
        <w:t> процент</w:t>
      </w:r>
      <w:r w:rsidRPr="000A02AB">
        <w:t>а от общего количества предложений о пров</w:t>
      </w:r>
      <w:r w:rsidRPr="000A02AB">
        <w:t>е</w:t>
      </w:r>
      <w:r w:rsidRPr="000A02AB">
        <w:t>дении инспекции. Данные об изменении количества предложений о провед</w:t>
      </w:r>
      <w:r w:rsidRPr="000A02AB">
        <w:t>е</w:t>
      </w:r>
      <w:r w:rsidRPr="000A02AB">
        <w:t>нии инспекции, полученных органами трудовой инспекции в период с 2008 по 2013 год, представлены в следующей таблице:</w:t>
      </w:r>
    </w:p>
    <w:p w:rsidR="001C43D8" w:rsidRPr="000A02AB" w:rsidRDefault="001C43D8" w:rsidP="000A02AB">
      <w:pPr>
        <w:pStyle w:val="SingleTxt"/>
        <w:spacing w:after="0" w:line="120" w:lineRule="exact"/>
        <w:jc w:val="left"/>
        <w:rPr>
          <w:sz w:val="10"/>
        </w:rPr>
      </w:pPr>
    </w:p>
    <w:p w:rsidR="00170278" w:rsidRPr="000A02AB" w:rsidRDefault="001C43D8"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Таблица 1</w:t>
      </w:r>
    </w:p>
    <w:p w:rsidR="00170278" w:rsidRPr="000A02AB" w:rsidRDefault="001C43D8"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Количество предложений о проведении инспекции, полученных органами трудовой инспекции в 2008–2013 годах</w:t>
      </w:r>
    </w:p>
    <w:p w:rsidR="001C43D8" w:rsidRPr="000A02AB" w:rsidRDefault="001C43D8" w:rsidP="000A02AB">
      <w:pPr>
        <w:pStyle w:val="SingleTxt"/>
        <w:spacing w:after="0" w:line="120" w:lineRule="exact"/>
        <w:jc w:val="left"/>
        <w:rPr>
          <w:b/>
          <w:sz w:val="10"/>
        </w:rPr>
      </w:pPr>
    </w:p>
    <w:tbl>
      <w:tblPr>
        <w:tblW w:w="8607" w:type="dxa"/>
        <w:tblInd w:w="1247" w:type="dxa"/>
        <w:tblLayout w:type="fixed"/>
        <w:tblCellMar>
          <w:left w:w="0" w:type="dxa"/>
          <w:right w:w="0" w:type="dxa"/>
        </w:tblCellMar>
        <w:tblLook w:val="04A0"/>
      </w:tblPr>
      <w:tblGrid>
        <w:gridCol w:w="4716"/>
        <w:gridCol w:w="648"/>
        <w:gridCol w:w="648"/>
        <w:gridCol w:w="648"/>
        <w:gridCol w:w="648"/>
        <w:gridCol w:w="648"/>
        <w:gridCol w:w="651"/>
      </w:tblGrid>
      <w:tr w:rsidR="00170278" w:rsidRPr="000A02AB" w:rsidTr="001C43D8">
        <w:trPr>
          <w:tblHeader/>
        </w:trPr>
        <w:tc>
          <w:tcPr>
            <w:tcW w:w="4716" w:type="dxa"/>
            <w:tcBorders>
              <w:top w:val="single" w:sz="4" w:space="0" w:color="000000"/>
              <w:left w:val="nil"/>
              <w:bottom w:val="single" w:sz="12" w:space="0" w:color="000000"/>
              <w:right w:val="nil"/>
            </w:tcBorders>
            <w:vAlign w:val="bottom"/>
            <w:hideMark/>
          </w:tcPr>
          <w:p w:rsidR="00170278" w:rsidRPr="000A02AB" w:rsidRDefault="00170278" w:rsidP="000A02AB">
            <w:pPr>
              <w:snapToGrid w:val="0"/>
              <w:spacing w:before="81" w:after="81" w:line="160" w:lineRule="exact"/>
              <w:ind w:right="40"/>
              <w:rPr>
                <w:i/>
                <w:spacing w:val="0"/>
                <w:w w:val="100"/>
                <w:sz w:val="14"/>
              </w:rPr>
            </w:pPr>
            <w:r w:rsidRPr="000A02AB">
              <w:rPr>
                <w:i/>
                <w:spacing w:val="0"/>
                <w:w w:val="100"/>
                <w:sz w:val="14"/>
              </w:rPr>
              <w:t>Год</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2008</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651"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1C43D8">
        <w:trPr>
          <w:trHeight w:hRule="exact" w:val="115"/>
          <w:tblHeader/>
        </w:trPr>
        <w:tc>
          <w:tcPr>
            <w:tcW w:w="471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51"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1C43D8">
        <w:tc>
          <w:tcPr>
            <w:tcW w:w="471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 xml:space="preserve">Количество предложений </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5 561</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6 079</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6 192</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5 930</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11 131</w:t>
            </w:r>
          </w:p>
        </w:tc>
        <w:tc>
          <w:tcPr>
            <w:tcW w:w="651"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10 923</w:t>
            </w:r>
          </w:p>
        </w:tc>
      </w:tr>
      <w:tr w:rsidR="00170278" w:rsidRPr="000A02AB" w:rsidTr="001C43D8">
        <w:tc>
          <w:tcPr>
            <w:tcW w:w="4716" w:type="dxa"/>
            <w:vAlign w:val="bottom"/>
            <w:hideMark/>
          </w:tcPr>
          <w:p w:rsidR="001C43D8" w:rsidRPr="000A02AB" w:rsidRDefault="00170278" w:rsidP="000A02AB">
            <w:pPr>
              <w:tabs>
                <w:tab w:val="left" w:pos="288"/>
                <w:tab w:val="left" w:pos="576"/>
                <w:tab w:val="left" w:pos="864"/>
                <w:tab w:val="left" w:pos="1152"/>
              </w:tabs>
              <w:spacing w:before="40" w:line="210" w:lineRule="exact"/>
              <w:ind w:right="40"/>
              <w:rPr>
                <w:spacing w:val="0"/>
                <w:w w:val="100"/>
                <w:sz w:val="17"/>
              </w:rPr>
            </w:pPr>
            <w:r w:rsidRPr="000A02AB">
              <w:rPr>
                <w:spacing w:val="0"/>
                <w:w w:val="100"/>
                <w:sz w:val="17"/>
              </w:rPr>
              <w:t xml:space="preserve">В том числе предложения, обусловленные фактами </w:t>
            </w:r>
          </w:p>
          <w:p w:rsidR="00170278" w:rsidRPr="000A02AB" w:rsidRDefault="00170278" w:rsidP="000A02AB">
            <w:pPr>
              <w:tabs>
                <w:tab w:val="left" w:pos="288"/>
                <w:tab w:val="left" w:pos="576"/>
                <w:tab w:val="left" w:pos="864"/>
                <w:tab w:val="left" w:pos="1152"/>
              </w:tabs>
              <w:spacing w:before="40" w:line="210" w:lineRule="exact"/>
              <w:ind w:right="40"/>
              <w:rPr>
                <w:spacing w:val="0"/>
                <w:w w:val="100"/>
                <w:sz w:val="17"/>
              </w:rPr>
            </w:pPr>
            <w:r w:rsidRPr="000A02AB">
              <w:rPr>
                <w:spacing w:val="0"/>
                <w:w w:val="100"/>
                <w:sz w:val="17"/>
              </w:rPr>
              <w:t>неравного обращения или дискриминации</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191</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203</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226</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244</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371</w:t>
            </w:r>
          </w:p>
        </w:tc>
        <w:tc>
          <w:tcPr>
            <w:tcW w:w="651"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401</w:t>
            </w:r>
          </w:p>
        </w:tc>
      </w:tr>
      <w:tr w:rsidR="00170278" w:rsidRPr="000A02AB" w:rsidTr="001C43D8">
        <w:tc>
          <w:tcPr>
            <w:tcW w:w="471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Количество выявленных случаев неравного обращения</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107</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104</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129</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109</w:t>
            </w:r>
          </w:p>
        </w:tc>
        <w:tc>
          <w:tcPr>
            <w:tcW w:w="6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94</w:t>
            </w:r>
          </w:p>
        </w:tc>
        <w:tc>
          <w:tcPr>
            <w:tcW w:w="651"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162</w:t>
            </w:r>
          </w:p>
        </w:tc>
      </w:tr>
      <w:tr w:rsidR="00170278" w:rsidRPr="000A02AB" w:rsidTr="001C43D8">
        <w:tc>
          <w:tcPr>
            <w:tcW w:w="4716"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0"/>
              <w:rPr>
                <w:spacing w:val="0"/>
                <w:w w:val="100"/>
                <w:sz w:val="17"/>
              </w:rPr>
            </w:pPr>
            <w:r w:rsidRPr="000A02AB">
              <w:rPr>
                <w:spacing w:val="0"/>
                <w:w w:val="100"/>
                <w:sz w:val="17"/>
              </w:rPr>
              <w:t>Количество штрафов</w:t>
            </w:r>
          </w:p>
        </w:tc>
        <w:tc>
          <w:tcPr>
            <w:tcW w:w="648"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sz w:val="17"/>
              </w:rPr>
            </w:pPr>
            <w:r w:rsidRPr="000A02AB">
              <w:rPr>
                <w:spacing w:val="0"/>
                <w:w w:val="100"/>
                <w:sz w:val="17"/>
              </w:rPr>
              <w:t>13</w:t>
            </w:r>
          </w:p>
        </w:tc>
        <w:tc>
          <w:tcPr>
            <w:tcW w:w="648"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sz w:val="17"/>
              </w:rPr>
            </w:pPr>
            <w:r w:rsidRPr="000A02AB">
              <w:rPr>
                <w:spacing w:val="0"/>
                <w:w w:val="100"/>
                <w:sz w:val="17"/>
              </w:rPr>
              <w:t>14</w:t>
            </w:r>
          </w:p>
        </w:tc>
        <w:tc>
          <w:tcPr>
            <w:tcW w:w="648"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sz w:val="17"/>
              </w:rPr>
            </w:pPr>
            <w:r w:rsidRPr="000A02AB">
              <w:rPr>
                <w:spacing w:val="0"/>
                <w:w w:val="100"/>
                <w:sz w:val="17"/>
              </w:rPr>
              <w:t>29</w:t>
            </w:r>
          </w:p>
        </w:tc>
        <w:tc>
          <w:tcPr>
            <w:tcW w:w="648"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sz w:val="17"/>
              </w:rPr>
            </w:pPr>
            <w:r w:rsidRPr="000A02AB">
              <w:rPr>
                <w:spacing w:val="0"/>
                <w:w w:val="100"/>
                <w:sz w:val="17"/>
              </w:rPr>
              <w:t>24</w:t>
            </w:r>
          </w:p>
        </w:tc>
        <w:tc>
          <w:tcPr>
            <w:tcW w:w="648"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sz w:val="17"/>
              </w:rPr>
            </w:pPr>
            <w:r w:rsidRPr="000A02AB">
              <w:rPr>
                <w:spacing w:val="0"/>
                <w:w w:val="100"/>
                <w:sz w:val="17"/>
              </w:rPr>
              <w:t>69</w:t>
            </w:r>
          </w:p>
        </w:tc>
        <w:tc>
          <w:tcPr>
            <w:tcW w:w="651" w:type="dxa"/>
            <w:tcBorders>
              <w:top w:val="nil"/>
              <w:left w:val="nil"/>
              <w:bottom w:val="single" w:sz="4"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81" w:line="210" w:lineRule="exact"/>
              <w:ind w:right="43"/>
              <w:jc w:val="right"/>
              <w:rPr>
                <w:spacing w:val="0"/>
                <w:w w:val="100"/>
              </w:rPr>
            </w:pPr>
            <w:r w:rsidRPr="000A02AB">
              <w:rPr>
                <w:spacing w:val="0"/>
                <w:w w:val="100"/>
                <w:sz w:val="17"/>
              </w:rPr>
              <w:t>75</w:t>
            </w:r>
          </w:p>
        </w:tc>
      </w:tr>
      <w:tr w:rsidR="00170278" w:rsidRPr="000A02AB" w:rsidTr="001C43D8">
        <w:tc>
          <w:tcPr>
            <w:tcW w:w="4716"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0"/>
              <w:rPr>
                <w:b/>
                <w:spacing w:val="0"/>
                <w:w w:val="100"/>
                <w:sz w:val="17"/>
              </w:rPr>
            </w:pPr>
            <w:r w:rsidRPr="000A02AB">
              <w:rPr>
                <w:b/>
                <w:spacing w:val="0"/>
                <w:w w:val="100"/>
                <w:sz w:val="17"/>
              </w:rPr>
              <w:tab/>
              <w:t>Общая сумма штрафов (в тыс. чешских крон)</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b/>
                <w:spacing w:val="0"/>
                <w:w w:val="100"/>
                <w:sz w:val="17"/>
              </w:rPr>
            </w:pPr>
            <w:r w:rsidRPr="000A02AB">
              <w:rPr>
                <w:b/>
                <w:spacing w:val="0"/>
                <w:w w:val="100"/>
                <w:sz w:val="17"/>
              </w:rPr>
              <w:t>367</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b/>
                <w:spacing w:val="0"/>
                <w:w w:val="100"/>
                <w:sz w:val="17"/>
              </w:rPr>
            </w:pPr>
            <w:r w:rsidRPr="000A02AB">
              <w:rPr>
                <w:b/>
                <w:spacing w:val="0"/>
                <w:w w:val="100"/>
                <w:sz w:val="17"/>
              </w:rPr>
              <w:t>811</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b/>
                <w:spacing w:val="0"/>
                <w:w w:val="100"/>
                <w:sz w:val="17"/>
              </w:rPr>
            </w:pPr>
            <w:r w:rsidRPr="000A02AB">
              <w:rPr>
                <w:b/>
                <w:spacing w:val="0"/>
                <w:w w:val="100"/>
                <w:sz w:val="17"/>
              </w:rPr>
              <w:t>779</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b/>
                <w:spacing w:val="0"/>
                <w:w w:val="100"/>
                <w:sz w:val="17"/>
              </w:rPr>
            </w:pPr>
            <w:r w:rsidRPr="000A02AB">
              <w:rPr>
                <w:b/>
                <w:spacing w:val="0"/>
                <w:w w:val="100"/>
                <w:sz w:val="17"/>
              </w:rPr>
              <w:t>780</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b/>
                <w:spacing w:val="0"/>
                <w:w w:val="100"/>
                <w:sz w:val="17"/>
              </w:rPr>
            </w:pPr>
            <w:r w:rsidRPr="000A02AB">
              <w:rPr>
                <w:b/>
                <w:spacing w:val="0"/>
                <w:w w:val="100"/>
                <w:sz w:val="17"/>
              </w:rPr>
              <w:t>2 700</w:t>
            </w:r>
          </w:p>
        </w:tc>
        <w:tc>
          <w:tcPr>
            <w:tcW w:w="651" w:type="dxa"/>
            <w:tcBorders>
              <w:top w:val="single" w:sz="4" w:space="0" w:color="000000"/>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81" w:after="81" w:line="210" w:lineRule="exact"/>
              <w:ind w:right="43"/>
              <w:jc w:val="right"/>
              <w:rPr>
                <w:spacing w:val="0"/>
                <w:w w:val="100"/>
              </w:rPr>
            </w:pPr>
            <w:r w:rsidRPr="000A02AB">
              <w:rPr>
                <w:b/>
                <w:spacing w:val="0"/>
                <w:w w:val="100"/>
                <w:sz w:val="17"/>
              </w:rPr>
              <w:t>2 460</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36.</w:t>
      </w:r>
      <w:r w:rsidRPr="000A02AB">
        <w:tab/>
        <w:t>В большинстве случаев предложения о проведении инспекции касаются не только указанной области, но и ряда сфер трудовой деятельности, а также, в числе прочего, проблем дискриминации и неравного обращения. Изучив док</w:t>
      </w:r>
      <w:r w:rsidRPr="000A02AB">
        <w:t>у</w:t>
      </w:r>
      <w:r w:rsidRPr="000A02AB">
        <w:t>менты Государственной службы инспекции труда, можно установить колич</w:t>
      </w:r>
      <w:r w:rsidRPr="000A02AB">
        <w:t>е</w:t>
      </w:r>
      <w:r w:rsidRPr="000A02AB">
        <w:t>ство предложений, связанных с неравным обращением как единым явлением (т. е. включающим дискриминацию, неравное обращение, запугивание и т. п.). В целом жалобы, касающиеся непосредственно и исключительно дискримин</w:t>
      </w:r>
      <w:r w:rsidRPr="000A02AB">
        <w:t>а</w:t>
      </w:r>
      <w:r w:rsidRPr="000A02AB">
        <w:t>ции, подаются в единичных случаях. Кроме того, необходимо учитывать п</w:t>
      </w:r>
      <w:r w:rsidRPr="000A02AB">
        <w:t>о</w:t>
      </w:r>
      <w:r w:rsidRPr="000A02AB">
        <w:t>грешности, обусловленные ошибочным отнесением того или иного деяния к категории дискриминационных действий, хотя применяемая практика не соо</w:t>
      </w:r>
      <w:r w:rsidRPr="000A02AB">
        <w:t>т</w:t>
      </w:r>
      <w:r w:rsidRPr="000A02AB">
        <w:t>ветствует определяющим элементам данного явления. Приемлемость или обоснованность предложений о проведении инспекции устанавливается пр</w:t>
      </w:r>
      <w:r w:rsidRPr="000A02AB">
        <w:t>и</w:t>
      </w:r>
      <w:r w:rsidRPr="000A02AB">
        <w:t>мерно в четверти случаев. Полученные жалобы на действия работодателей ч</w:t>
      </w:r>
      <w:r w:rsidRPr="000A02AB">
        <w:t>а</w:t>
      </w:r>
      <w:r w:rsidRPr="000A02AB">
        <w:t>ще всего касаются сферы государственного управления (просвещение и де</w:t>
      </w:r>
      <w:r w:rsidRPr="000A02AB">
        <w:t>я</w:t>
      </w:r>
      <w:r w:rsidRPr="000A02AB">
        <w:t>тельность различных органов и социальных служб). В деловом секторе речь идет главным образом о предприятиях розничной торговли, ресторанах и др</w:t>
      </w:r>
      <w:r w:rsidRPr="000A02AB">
        <w:t>у</w:t>
      </w:r>
      <w:r w:rsidRPr="000A02AB">
        <w:t>гих производственных компаниях.</w:t>
      </w:r>
    </w:p>
    <w:p w:rsidR="00170278" w:rsidRPr="000A02AB" w:rsidRDefault="00170278" w:rsidP="000A02AB">
      <w:pPr>
        <w:pStyle w:val="SingleTxt"/>
      </w:pPr>
      <w:r w:rsidRPr="000A02AB">
        <w:t>37.</w:t>
      </w:r>
      <w:r w:rsidRPr="000A02AB">
        <w:tab/>
        <w:t>Органы трудовой инспекции контролируют мероприятия по решению проблем неравного обращения и дискриминации в сфере занятости с 2012 года (до 2012 года эта деятельность осуществлялась бюро труда). В случае если о</w:t>
      </w:r>
      <w:r w:rsidRPr="000A02AB">
        <w:t>р</w:t>
      </w:r>
      <w:r w:rsidRPr="000A02AB">
        <w:t>ган трудовой инспекции устанавливает, что при выборе сотрудника предпочт</w:t>
      </w:r>
      <w:r w:rsidRPr="000A02AB">
        <w:t>е</w:t>
      </w:r>
      <w:r w:rsidRPr="000A02AB">
        <w:t>ние отдается лицам того или иного пола (например, в рекламных объявлениях с предложениями определенной работы), в отношении работодателя обычно применяются соответствующие наказания.</w:t>
      </w:r>
    </w:p>
    <w:p w:rsidR="00170278" w:rsidRPr="000A02AB" w:rsidRDefault="00170278" w:rsidP="000A02AB">
      <w:pPr>
        <w:pStyle w:val="SingleTxt"/>
      </w:pPr>
      <w:r w:rsidRPr="000A02AB">
        <w:t>38.</w:t>
      </w:r>
      <w:r w:rsidRPr="000A02AB">
        <w:tab/>
        <w:t>Учитывая общее количество предложений о проведении инспекции и в</w:t>
      </w:r>
      <w:r w:rsidRPr="000A02AB">
        <w:t>ы</w:t>
      </w:r>
      <w:r w:rsidRPr="000A02AB">
        <w:t>явленных фактов нарушения закона в юрисдикции органов по вопросам труда, в данной сфере отмечается меньше случаев ненадлежащего поведения, однако Государственная инспекция труда и подчиняющиеся ей краевые инспекции труда уделяют повышенное внимание проблеме дискриминации и неравного обращения. Проверки, призванные установить факт равного обращения, уже являются обычной частью деятельности по распределению важных задач в сфере трудовых отношений и условий труда (это обычно не предусматривается в сфере обеспечения безопасности и гигиены труда, поскольку указанная де</w:t>
      </w:r>
      <w:r w:rsidRPr="000A02AB">
        <w:t>я</w:t>
      </w:r>
      <w:r w:rsidRPr="000A02AB">
        <w:t>тельность имеет весьма конкретную направленность). Каждому предложению (касающемуся этой или других областей) уделяется должное внимание.</w:t>
      </w:r>
    </w:p>
    <w:p w:rsidR="00170278" w:rsidRPr="000A02AB" w:rsidRDefault="00170278" w:rsidP="000A02AB">
      <w:pPr>
        <w:pStyle w:val="SingleTxt"/>
      </w:pPr>
      <w:r w:rsidRPr="000A02AB">
        <w:t>39.</w:t>
      </w:r>
      <w:r w:rsidRPr="000A02AB">
        <w:tab/>
        <w:t>Комитет рекомендует Чешской Республике обеспечить оказание беспла</w:t>
      </w:r>
      <w:r w:rsidRPr="000A02AB">
        <w:t>т</w:t>
      </w:r>
      <w:r w:rsidRPr="000A02AB">
        <w:t>ной правовой помощи в связи с делами о прекращении дискриминации. Бе</w:t>
      </w:r>
      <w:r w:rsidRPr="000A02AB">
        <w:t>с</w:t>
      </w:r>
      <w:r w:rsidRPr="000A02AB">
        <w:t>платная правовая помощь должна предоставляться Чешской ассоциацией адв</w:t>
      </w:r>
      <w:r w:rsidRPr="000A02AB">
        <w:t>о</w:t>
      </w:r>
      <w:r w:rsidRPr="000A02AB">
        <w:t>катов, однако на данный момент в стране не существует мотивационного мех</w:t>
      </w:r>
      <w:r w:rsidRPr="000A02AB">
        <w:t>а</w:t>
      </w:r>
      <w:r w:rsidRPr="000A02AB">
        <w:t>низма, который бы побуждал адвокатов к оказанию такой помощи, а также комплексного регулирования его практического применения в ходе судебного процесса. До настоящего времени рекомендации УПЧ по данному вопросу не были учтены. В связи с оказанием бесплатной правовой помощи в числе пр</w:t>
      </w:r>
      <w:r w:rsidRPr="000A02AB">
        <w:t>о</w:t>
      </w:r>
      <w:r w:rsidRPr="000A02AB">
        <w:t>чего можно сослаться на пункты 2 и 3 §18 Закона о профессиональной юрид</w:t>
      </w:r>
      <w:r w:rsidRPr="000A02AB">
        <w:t>и</w:t>
      </w:r>
      <w:r w:rsidRPr="000A02AB">
        <w:t>ческой деятельности, где говорится, что лицо, которое не имеет права на адв</w:t>
      </w:r>
      <w:r w:rsidRPr="000A02AB">
        <w:t>о</w:t>
      </w:r>
      <w:r w:rsidRPr="000A02AB">
        <w:t>ката, назначенного судом, и не может претендовать на оказание юридических услуг согласно данному закону, имеет право на адвоката, назначенного Че</w:t>
      </w:r>
      <w:r w:rsidRPr="000A02AB">
        <w:t>ш</w:t>
      </w:r>
      <w:r w:rsidRPr="000A02AB">
        <w:t>ской ассоциацией адвокатов в соответствии со своевременным обращением этого лица. В своем решении о назначении адвоката Ассоциация также может определить другие условия предоставления юридических услуг, включая об</w:t>
      </w:r>
      <w:r w:rsidRPr="000A02AB">
        <w:t>я</w:t>
      </w:r>
      <w:r w:rsidRPr="000A02AB">
        <w:t>зательство оказывать правовую помощь бесплатно или за сниженную плату, если это является оправданным с точки зрения имущественного положения и состояния доходов заявителя. Данный закон не менялся с 2008 года.</w:t>
      </w:r>
    </w:p>
    <w:p w:rsidR="00170278" w:rsidRPr="000A02AB" w:rsidRDefault="00170278" w:rsidP="000A02AB">
      <w:pPr>
        <w:pStyle w:val="SingleTxt"/>
      </w:pPr>
      <w:r w:rsidRPr="000A02AB">
        <w:t>40.</w:t>
      </w:r>
      <w:r w:rsidRPr="000A02AB">
        <w:tab/>
        <w:t>С 2012 года УПЧ рекомендует палате депутатов обратиться к правител</w:t>
      </w:r>
      <w:r w:rsidRPr="000A02AB">
        <w:t>ь</w:t>
      </w:r>
      <w:r w:rsidRPr="000A02AB">
        <w:t>ству с просьбой принять закон, регулирующий предоставление бесплатной правовой помощи. С этого же времени Уполномоченный взаимодействует с гражданской ассоциацией "Pro Bono Alliance", представляющей интересы и</w:t>
      </w:r>
      <w:r w:rsidRPr="000A02AB">
        <w:t>з</w:t>
      </w:r>
      <w:r w:rsidRPr="000A02AB">
        <w:t>бранных жертв дискриминации в суде на безвозмездной основе. В 2012 году данная ассоциация представляла интересы двух жертв дискриминации по пр</w:t>
      </w:r>
      <w:r w:rsidRPr="000A02AB">
        <w:t>и</w:t>
      </w:r>
      <w:r w:rsidRPr="000A02AB">
        <w:t>знаку инвалидности и одной жертвы дискриминации по признаку возраста. Разбирательства по всем трем делам были успешно завершены; претензии п</w:t>
      </w:r>
      <w:r w:rsidRPr="000A02AB">
        <w:t>о</w:t>
      </w:r>
      <w:r w:rsidRPr="000A02AB">
        <w:t>терпевших были удовлетворены за рамками судебного процесса. В 2013 году ассоциация передала УПЧ еще три дела. Одно из них касалось заявления о дискриминации по признаку пола. Стороны пришли к мирному соглашению. Оставшиеся два дела касались дискриминации по признаку возраста (в итоге было принято решение не подавать иск в суд).</w:t>
      </w:r>
    </w:p>
    <w:p w:rsidR="00170278" w:rsidRPr="000A02AB" w:rsidRDefault="00170278" w:rsidP="000A02AB">
      <w:pPr>
        <w:pStyle w:val="SingleTxt"/>
      </w:pPr>
      <w:r w:rsidRPr="000A02AB">
        <w:t>41.</w:t>
      </w:r>
      <w:r w:rsidRPr="000A02AB">
        <w:tab/>
        <w:t>Важное изменение, призванное укрепить законодательство об оказании бесплатной правовой помощи, должен внести Закон о гарантируемой госуда</w:t>
      </w:r>
      <w:r w:rsidRPr="000A02AB">
        <w:t>р</w:t>
      </w:r>
      <w:r w:rsidRPr="000A02AB">
        <w:t>ством правовой помощи, который согласно Перспективам законодательной д</w:t>
      </w:r>
      <w:r w:rsidRPr="000A02AB">
        <w:t>е</w:t>
      </w:r>
      <w:r w:rsidRPr="000A02AB">
        <w:t>ятельности чешского правительства в 2015–2017 годах должен быть предста</w:t>
      </w:r>
      <w:r w:rsidRPr="000A02AB">
        <w:t>в</w:t>
      </w:r>
      <w:r w:rsidRPr="000A02AB">
        <w:t>лен правительству Министерством юстиции к концу 2015 года. Предполагае</w:t>
      </w:r>
      <w:r w:rsidRPr="000A02AB">
        <w:t>т</w:t>
      </w:r>
      <w:r w:rsidRPr="000A02AB">
        <w:t>ся, что этот закон вступит в силу в декабре 2016 года. Его цель состоит в с</w:t>
      </w:r>
      <w:r w:rsidRPr="000A02AB">
        <w:t>о</w:t>
      </w:r>
      <w:r w:rsidRPr="000A02AB">
        <w:t>здании системы правовой помощи и обеспечении ее оказания физическим и юридическим лицам, которые по причине нуждаемости не могут воспольз</w:t>
      </w:r>
      <w:r w:rsidRPr="000A02AB">
        <w:t>о</w:t>
      </w:r>
      <w:r w:rsidRPr="000A02AB">
        <w:t>ваться юридическими услугами, позволяющими надлежащим образом ос</w:t>
      </w:r>
      <w:r w:rsidRPr="000A02AB">
        <w:t>у</w:t>
      </w:r>
      <w:r w:rsidRPr="000A02AB">
        <w:t>ществлять и защищать свои права.</w:t>
      </w:r>
    </w:p>
    <w:p w:rsidR="001C43D8" w:rsidRPr="000A02AB" w:rsidRDefault="001C43D8" w:rsidP="000A02AB">
      <w:pPr>
        <w:pStyle w:val="SingleTxt"/>
        <w:spacing w:after="0" w:line="120" w:lineRule="exact"/>
        <w:rPr>
          <w:sz w:val="10"/>
        </w:rPr>
      </w:pPr>
    </w:p>
    <w:p w:rsidR="001C43D8" w:rsidRPr="000A02AB" w:rsidRDefault="001C43D8" w:rsidP="000A02AB">
      <w:pPr>
        <w:pStyle w:val="SingleTxt"/>
        <w:spacing w:after="0" w:line="120" w:lineRule="exact"/>
        <w:rPr>
          <w:sz w:val="10"/>
        </w:rPr>
      </w:pPr>
    </w:p>
    <w:p w:rsidR="00170278" w:rsidRPr="000A02AB" w:rsidRDefault="00170278" w:rsidP="000A02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pPr>
      <w:r w:rsidRPr="000A02AB">
        <w:tab/>
      </w:r>
      <w:r w:rsidRPr="000A02AB">
        <w:tab/>
      </w:r>
      <w:bookmarkStart w:id="7" w:name="_Toc415654601"/>
      <w:r w:rsidRPr="000A02AB">
        <w:t>Насилие в отношении женщин</w:t>
      </w:r>
      <w:bookmarkEnd w:id="7"/>
    </w:p>
    <w:p w:rsidR="001C43D8" w:rsidRPr="000A02AB" w:rsidRDefault="001C43D8" w:rsidP="000A02AB">
      <w:pPr>
        <w:pStyle w:val="SingleTxt"/>
        <w:spacing w:after="0" w:line="120" w:lineRule="exact"/>
        <w:rPr>
          <w:sz w:val="10"/>
        </w:rPr>
      </w:pPr>
    </w:p>
    <w:p w:rsidR="001C43D8" w:rsidRPr="000A02AB" w:rsidRDefault="001C43D8" w:rsidP="000A02AB">
      <w:pPr>
        <w:pStyle w:val="SingleTxt"/>
        <w:spacing w:after="0" w:line="120" w:lineRule="exact"/>
        <w:rPr>
          <w:sz w:val="10"/>
        </w:rPr>
      </w:pPr>
    </w:p>
    <w:p w:rsidR="00170278" w:rsidRPr="000A02AB" w:rsidRDefault="00170278" w:rsidP="000A02AB">
      <w:pPr>
        <w:pStyle w:val="SingleTxt"/>
      </w:pPr>
      <w:r w:rsidRPr="000A02AB">
        <w:t>42.</w:t>
      </w:r>
      <w:r w:rsidRPr="000A02AB">
        <w:tab/>
        <w:t>Постановлением правительства № 262 от 13 апреля 2011 года был утве</w:t>
      </w:r>
      <w:r w:rsidRPr="000A02AB">
        <w:t>р</w:t>
      </w:r>
      <w:r w:rsidRPr="000A02AB">
        <w:t>жден Национальный план действий по предупреждению насилия в семье на 2011–2014 годы (в дальнейшем просто "НПД НС"). Проект НПД НС был по</w:t>
      </w:r>
      <w:r w:rsidRPr="000A02AB">
        <w:t>д</w:t>
      </w:r>
      <w:r w:rsidRPr="000A02AB">
        <w:t>готовлен входящим в состав Совета Комитетом по предупреждению насилия в семье и насилия в отношении женщин; его членами являются представители министерств, НПО и других организаций по борьбе с гендерным насилием.</w:t>
      </w:r>
    </w:p>
    <w:p w:rsidR="00170278" w:rsidRPr="000A02AB" w:rsidRDefault="00170278" w:rsidP="000A02AB">
      <w:pPr>
        <w:pStyle w:val="SingleTxt"/>
      </w:pPr>
      <w:r w:rsidRPr="000A02AB">
        <w:t>43.</w:t>
      </w:r>
      <w:r w:rsidRPr="000A02AB">
        <w:tab/>
        <w:t>НПД НС представляет собой ответ на текущую ситуацию в Чешской Ре</w:t>
      </w:r>
      <w:r w:rsidRPr="000A02AB">
        <w:t>с</w:t>
      </w:r>
      <w:r w:rsidRPr="000A02AB">
        <w:t>публике, где по данным Министерства внутренних дел и Министерства юст</w:t>
      </w:r>
      <w:r w:rsidRPr="000A02AB">
        <w:t>и</w:t>
      </w:r>
      <w:r w:rsidRPr="000A02AB">
        <w:t>ции и статистической информации научно-исследовательских центров и соц</w:t>
      </w:r>
      <w:r w:rsidRPr="000A02AB">
        <w:t>и</w:t>
      </w:r>
      <w:r w:rsidRPr="000A02AB">
        <w:t>альных служб насилие в семье по-прежнему является широко распростране</w:t>
      </w:r>
      <w:r w:rsidRPr="000A02AB">
        <w:t>н</w:t>
      </w:r>
      <w:r w:rsidRPr="000A02AB">
        <w:t>ным социальным явлением, требующим серьезного отношения. НПД НС пр</w:t>
      </w:r>
      <w:r w:rsidRPr="000A02AB">
        <w:t>и</w:t>
      </w:r>
      <w:r w:rsidRPr="000A02AB">
        <w:t>зван обеспечить системное и комплексное решение данн</w:t>
      </w:r>
      <w:r w:rsidR="009B4026" w:rsidRPr="000A02AB">
        <w:t>ой проблемы. НПД НС включает 32 </w:t>
      </w:r>
      <w:r w:rsidRPr="000A02AB">
        <w:t>задачи, поставленные отдельными министерствами и другими структурами. Проводимые мероприятия направлены на решение следующих вопросов: поддержка лиц, которые могут стать жертвами насилия в семье; з</w:t>
      </w:r>
      <w:r w:rsidRPr="000A02AB">
        <w:t>а</w:t>
      </w:r>
      <w:r w:rsidRPr="000A02AB">
        <w:t>щита детей, подвергающихся насилию в семье; работа с лицами, склонными к насилию; просвещение и междисциплинарное сотрудничество; общество и насилие в семье; проведение анализа, организация исследований и законод</w:t>
      </w:r>
      <w:r w:rsidRPr="000A02AB">
        <w:t>а</w:t>
      </w:r>
      <w:r w:rsidRPr="000A02AB">
        <w:t>тельство. Органом, отвечающим за координацию деятельности по осуществл</w:t>
      </w:r>
      <w:r w:rsidRPr="000A02AB">
        <w:t>е</w:t>
      </w:r>
      <w:r w:rsidRPr="000A02AB">
        <w:t>нию НПД НС, является МВД, действующее в сотрудничестве с Канцелярией правительства. Правительству Чешской Республики ежегодно представляется Краткий доклад о реализации НПД НС за соответствующий период. Надзор за выполнением каждой задачи осуществляет Совет по предупреждению насилия в семье и насилия в отношении женщин, который представляет свое заключ</w:t>
      </w:r>
      <w:r w:rsidRPr="000A02AB">
        <w:t>е</w:t>
      </w:r>
      <w:r w:rsidRPr="000A02AB">
        <w:t>ние для подготовки кратких докладов и формулирует рекомендации для эффе</w:t>
      </w:r>
      <w:r w:rsidRPr="000A02AB">
        <w:t>к</w:t>
      </w:r>
      <w:r w:rsidRPr="000A02AB">
        <w:t>тивного выполнения поставленных задач.</w:t>
      </w:r>
    </w:p>
    <w:p w:rsidR="00170278" w:rsidRPr="000A02AB" w:rsidRDefault="00170278" w:rsidP="000A02AB">
      <w:pPr>
        <w:pStyle w:val="SingleTxt"/>
      </w:pPr>
      <w:r w:rsidRPr="000A02AB">
        <w:t>44.</w:t>
      </w:r>
      <w:r w:rsidRPr="000A02AB">
        <w:tab/>
        <w:t>Постановлением правительства № 31 от 8 января 2014 года министру по правам</w:t>
      </w:r>
      <w:r w:rsidR="009B4026" w:rsidRPr="000A02AB">
        <w:t> человек</w:t>
      </w:r>
      <w:r w:rsidRPr="000A02AB">
        <w:t>а, равным возможностям и законодательству как председателю Совета и министру внутренних дел было поручено представить правительству к 31 декабря 2014 года план действий по предупреждению насилия в семье и насилия в отношении женщин на 2015–2018 годы. Этот план действий в наст</w:t>
      </w:r>
      <w:r w:rsidRPr="000A02AB">
        <w:t>о</w:t>
      </w:r>
      <w:r w:rsidRPr="000A02AB">
        <w:t>ящее время разрабатывается входящим в состав Совета Комитетом по пред</w:t>
      </w:r>
      <w:r w:rsidRPr="000A02AB">
        <w:t>у</w:t>
      </w:r>
      <w:r w:rsidRPr="000A02AB">
        <w:t xml:space="preserve">преждению насилия в семье и насилия в отношении женщин и в числе прочего должен служить для осуществления </w:t>
      </w:r>
      <w:r w:rsidR="009B4026" w:rsidRPr="000A02AB">
        <w:t>различных положений Конвенции № </w:t>
      </w:r>
      <w:r w:rsidRPr="000A02AB">
        <w:t>210 Совета Европы о предотвращении и борьбе с насилием в отношении женщин и домашним насилием (в дальнейшем "Стамбульская конвенция"). Чешская Ре</w:t>
      </w:r>
      <w:r w:rsidRPr="000A02AB">
        <w:t>с</w:t>
      </w:r>
      <w:r w:rsidRPr="000A02AB">
        <w:t>публика до сих пор не подписала Стамбульскую конвенцию, однако ожидается, что в ближайшее время эта конвенция будет подписана и ратифицирована.</w:t>
      </w:r>
    </w:p>
    <w:p w:rsidR="00170278" w:rsidRPr="000A02AB" w:rsidRDefault="00170278" w:rsidP="000A02AB">
      <w:pPr>
        <w:pStyle w:val="SingleTxt"/>
      </w:pPr>
      <w:r w:rsidRPr="000A02AB">
        <w:t>45.</w:t>
      </w:r>
      <w:r w:rsidRPr="000A02AB">
        <w:tab/>
        <w:t>В отдельные годы эффективного осуществления НПД НС были достигн</w:t>
      </w:r>
      <w:r w:rsidRPr="000A02AB">
        <w:t>у</w:t>
      </w:r>
      <w:r w:rsidRPr="000A02AB">
        <w:t>ты некоторые успехи, связанные с поддержкой деятельности многопрофил</w:t>
      </w:r>
      <w:r w:rsidRPr="000A02AB">
        <w:t>ь</w:t>
      </w:r>
      <w:r w:rsidRPr="000A02AB">
        <w:t>ных групп в рамках центров экстренной помощи:</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tab/>
        <w:t>•</w:t>
      </w:r>
      <w:r w:rsidR="001C43D8" w:rsidRPr="000A02AB">
        <w:tab/>
      </w:r>
      <w:r w:rsidRPr="000A02AB">
        <w:t xml:space="preserve">помощь в обеспечении </w:t>
      </w:r>
      <w:r w:rsidRPr="000A02AB">
        <w:rPr>
          <w:szCs w:val="20"/>
        </w:rPr>
        <w:t>специализации по делам о насилии в семье для о</w:t>
      </w:r>
      <w:r w:rsidRPr="000A02AB">
        <w:rPr>
          <w:szCs w:val="20"/>
        </w:rPr>
        <w:t>т</w:t>
      </w:r>
      <w:r w:rsidRPr="000A02AB">
        <w:rPr>
          <w:szCs w:val="20"/>
        </w:rPr>
        <w:t xml:space="preserve">дельных групп полиции (например, в Брно и Остраве);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001C43D8" w:rsidRPr="000A02AB">
        <w:rPr>
          <w:szCs w:val="20"/>
        </w:rPr>
        <w:tab/>
      </w:r>
      <w:r w:rsidRPr="000A02AB">
        <w:rPr>
          <w:szCs w:val="20"/>
        </w:rPr>
        <w:t>повышение качества подготовки судей и прокуроров при помощи Суде</w:t>
      </w:r>
      <w:r w:rsidRPr="000A02AB">
        <w:rPr>
          <w:szCs w:val="20"/>
        </w:rPr>
        <w:t>б</w:t>
      </w:r>
      <w:r w:rsidRPr="000A02AB">
        <w:rPr>
          <w:szCs w:val="20"/>
        </w:rPr>
        <w:t xml:space="preserve">ной академии;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 xml:space="preserve">запуск пилотных проектов по проведению работы с лицами, склонными к насилию;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организация конференций и семинаров в целях обмена передовой практ</w:t>
      </w:r>
      <w:r w:rsidRPr="000A02AB">
        <w:rPr>
          <w:szCs w:val="20"/>
        </w:rPr>
        <w:t>и</w:t>
      </w:r>
      <w:r w:rsidRPr="000A02AB">
        <w:rPr>
          <w:szCs w:val="20"/>
        </w:rPr>
        <w:t>кой.</w:t>
      </w:r>
    </w:p>
    <w:p w:rsidR="00170278" w:rsidRPr="000A02AB" w:rsidRDefault="00170278" w:rsidP="000A02AB">
      <w:pPr>
        <w:pStyle w:val="SingleTxt"/>
      </w:pPr>
      <w:r w:rsidRPr="000A02AB">
        <w:t>46.</w:t>
      </w:r>
      <w:r w:rsidRPr="000A02AB">
        <w:tab/>
        <w:t>Задачей следующего периода осуществления НПД НС остается прежде всего обеспечение помощи в проведении комплексной работы с семьями, в к</w:t>
      </w:r>
      <w:r w:rsidRPr="000A02AB">
        <w:t>о</w:t>
      </w:r>
      <w:r w:rsidRPr="000A02AB">
        <w:t>торых совершаются акты насилия (включая терапевтические мероприятия для лиц, склонных к насилию), поддержки первичной профилактики в системе школьного образования и доступности специализированных социальных служб для лиц, подвергающихся насилию в семье.</w:t>
      </w:r>
    </w:p>
    <w:p w:rsidR="00170278" w:rsidRPr="000A02AB" w:rsidRDefault="001C43D8" w:rsidP="000A02AB">
      <w:pPr>
        <w:pStyle w:val="SingleTxt"/>
      </w:pPr>
      <w:r w:rsidRPr="000A02AB">
        <w:br w:type="page"/>
      </w:r>
      <w:r w:rsidR="00170278" w:rsidRPr="000A02AB">
        <w:t>47.</w:t>
      </w:r>
      <w:r w:rsidR="00170278" w:rsidRPr="000A02AB">
        <w:tab/>
        <w:t>В контексте оказания помощи жертвам насилия в семье важно применять Закон № 45/2013 Coll. о жертвах преступлений, который вступил в силу 1 авг</w:t>
      </w:r>
      <w:r w:rsidR="00170278" w:rsidRPr="000A02AB">
        <w:t>у</w:t>
      </w:r>
      <w:r w:rsidR="00170278" w:rsidRPr="000A02AB">
        <w:t>ста 2013 года. Закон о жертвах преступлений существенно укрепляет права жертв преступлений, включая жертв насилия в семье и других форм гендерн</w:t>
      </w:r>
      <w:r w:rsidR="00170278" w:rsidRPr="000A02AB">
        <w:t>о</w:t>
      </w:r>
      <w:r w:rsidR="00170278" w:rsidRPr="000A02AB">
        <w:t>го насилия. Этот закон направлен на определение прав жертвы как лица, пол</w:t>
      </w:r>
      <w:r w:rsidR="00170278" w:rsidRPr="000A02AB">
        <w:t>у</w:t>
      </w:r>
      <w:r w:rsidR="00170278" w:rsidRPr="000A02AB">
        <w:t>чающего особую помощь со стороны государства, и процедуры предотвращ</w:t>
      </w:r>
      <w:r w:rsidR="00170278" w:rsidRPr="000A02AB">
        <w:t>е</w:t>
      </w:r>
      <w:r w:rsidR="00170278" w:rsidRPr="000A02AB">
        <w:t>ния повторной виктимизации, регулирование порядка предоставления жертвам государственной финансовой помощи и создание правовой основы для сотру</w:t>
      </w:r>
      <w:r w:rsidR="00170278" w:rsidRPr="000A02AB">
        <w:t>д</w:t>
      </w:r>
      <w:r w:rsidR="00170278" w:rsidRPr="000A02AB">
        <w:t>ничества между государством и организациями по оказанию поддержки п</w:t>
      </w:r>
      <w:r w:rsidR="00170278" w:rsidRPr="000A02AB">
        <w:t>о</w:t>
      </w:r>
      <w:r w:rsidR="00170278" w:rsidRPr="000A02AB">
        <w:t>страдавшим. В Законе о жертвах преступлений конкретизируется понятие ос</w:t>
      </w:r>
      <w:r w:rsidR="00170278" w:rsidRPr="000A02AB">
        <w:t>о</w:t>
      </w:r>
      <w:r w:rsidR="00170278" w:rsidRPr="000A02AB">
        <w:t>бенно уязвимой жертвы, для которой согласно данному закону обеспечивается более высокий уровень защиты. Особенно уязвимы в числе прочих лиц жертвы торговли людьми, жертвы преступлений против человеческого достоинства в сфере половых отношений или преступлений, связанных с насилием либо угрозами его применения, в случае если существует повышенная опасность вторичного нанесения травмы с учетом возраста или пола жертвы. Согласно Закону о жертвах преступлений НПО и другие организации, внесенные в р</w:t>
      </w:r>
      <w:r w:rsidR="00170278" w:rsidRPr="000A02AB">
        <w:t>е</w:t>
      </w:r>
      <w:r w:rsidR="00170278" w:rsidRPr="000A02AB">
        <w:t>естр поставщиков услуг, могут оказывать помощь жертвам преступлений, включая бесплатную помощь специалистов особенно уязвимым жертвам. Сп</w:t>
      </w:r>
      <w:r w:rsidR="00170278" w:rsidRPr="000A02AB">
        <w:t>и</w:t>
      </w:r>
      <w:r w:rsidR="00170278" w:rsidRPr="000A02AB">
        <w:t>сок организаций, оказывающих помощь жертвам преступлений, ведет МВД. Еще одним важным изменением является введение института предварительных мер в уголовном производстве, который обеспечивает дополнительные во</w:t>
      </w:r>
      <w:r w:rsidR="00170278" w:rsidRPr="000A02AB">
        <w:t>з</w:t>
      </w:r>
      <w:r w:rsidR="00170278" w:rsidRPr="000A02AB">
        <w:t>можности для защиты жертв преступлений в ходе уголовного разбирательства.</w:t>
      </w:r>
    </w:p>
    <w:p w:rsidR="00170278" w:rsidRPr="000A02AB" w:rsidRDefault="00170278" w:rsidP="000A02AB">
      <w:pPr>
        <w:pStyle w:val="SingleTxt"/>
        <w:rPr>
          <w:w w:val="100"/>
        </w:rPr>
      </w:pPr>
      <w:r w:rsidRPr="000A02AB">
        <w:t>48.</w:t>
      </w:r>
      <w:r w:rsidRPr="000A02AB">
        <w:tab/>
        <w:t>1 января 2007 года вступил в силу Закон № 135/2006 Coll. о внесении п</w:t>
      </w:r>
      <w:r w:rsidRPr="000A02AB">
        <w:t>о</w:t>
      </w:r>
      <w:r w:rsidRPr="000A02AB">
        <w:t>правок в отдельные законы о защите от насилия в семье. В этом законе в числе прочего определены новые полномочия полиции Чешской Республики в форме института выселения, которое является превентивной мерой по защите лиц, подвергающихся риску насилия в семье, и применяется вне зависимости от любых дополнительных уголовных преступлений лица, склонного к соверш</w:t>
      </w:r>
      <w:r w:rsidRPr="000A02AB">
        <w:t>е</w:t>
      </w:r>
      <w:r w:rsidRPr="000A02AB">
        <w:t>нию насильственных действий. 1 января 2014 год</w:t>
      </w:r>
      <w:r w:rsidR="001C43D8" w:rsidRPr="000A02AB">
        <w:t xml:space="preserve">а вступил в силу Закон </w:t>
      </w:r>
      <w:r w:rsidR="001C43D8" w:rsidRPr="000A02AB">
        <w:rPr>
          <w:w w:val="100"/>
        </w:rPr>
        <w:t>№ </w:t>
      </w:r>
      <w:r w:rsidRPr="000A02AB">
        <w:rPr>
          <w:w w:val="100"/>
        </w:rPr>
        <w:t>292/2013 Coll. о специальном судопроизводстве, обеспечивающий комплек</w:t>
      </w:r>
      <w:r w:rsidRPr="000A02AB">
        <w:rPr>
          <w:w w:val="100"/>
        </w:rPr>
        <w:t>с</w:t>
      </w:r>
      <w:r w:rsidRPr="000A02AB">
        <w:rPr>
          <w:w w:val="100"/>
        </w:rPr>
        <w:t>ное регулирование гражданского производства по делам о насилии в с</w:t>
      </w:r>
      <w:r w:rsidRPr="000A02AB">
        <w:rPr>
          <w:w w:val="100"/>
        </w:rPr>
        <w:t>е</w:t>
      </w:r>
      <w:r w:rsidRPr="000A02AB">
        <w:rPr>
          <w:w w:val="100"/>
        </w:rPr>
        <w:t>мье.</w:t>
      </w:r>
    </w:p>
    <w:p w:rsidR="00170278" w:rsidRPr="000A02AB" w:rsidRDefault="00170278" w:rsidP="000A02AB">
      <w:pPr>
        <w:pStyle w:val="SingleTxt"/>
        <w:rPr>
          <w:sz w:val="10"/>
        </w:rPr>
      </w:pPr>
      <w:r w:rsidRPr="000A02AB">
        <w:t>49.</w:t>
      </w:r>
      <w:r w:rsidRPr="000A02AB">
        <w:tab/>
        <w:t>С 2007 года статистические данные о выселении постоянно отслеживаю</w:t>
      </w:r>
      <w:r w:rsidRPr="000A02AB">
        <w:t>т</w:t>
      </w:r>
      <w:r w:rsidRPr="000A02AB">
        <w:t>ся. В период после введения института выселения в 2007 году (за исключением 2008 года) наблюдается увеличение числа выселенных лиц. В 2011 году было зарегистрировано макс</w:t>
      </w:r>
      <w:r w:rsidR="001C43D8" w:rsidRPr="000A02AB">
        <w:t>имальное число таких лиц (1430</w:t>
      </w:r>
      <w:r w:rsidR="009B4026" w:rsidRPr="000A02AB">
        <w:t> человек</w:t>
      </w:r>
      <w:r w:rsidRPr="000A02AB">
        <w:t>), которое пр</w:t>
      </w:r>
      <w:r w:rsidRPr="000A02AB">
        <w:t>и</w:t>
      </w:r>
      <w:r w:rsidRPr="000A02AB">
        <w:t>мерно на 66</w:t>
      </w:r>
      <w:r w:rsidR="009B4026" w:rsidRPr="000A02AB">
        <w:t> процент</w:t>
      </w:r>
      <w:r w:rsidRPr="000A02AB">
        <w:t>ов превышало показатель за 2007 год</w:t>
      </w:r>
      <w:r w:rsidR="001C43D8" w:rsidRPr="000A02AB">
        <w:t xml:space="preserve"> (862</w:t>
      </w:r>
      <w:r w:rsidR="009B4026" w:rsidRPr="000A02AB">
        <w:t> человек</w:t>
      </w:r>
      <w:r w:rsidRPr="000A02AB">
        <w:t>а). В 2012 году количество случаев выселе</w:t>
      </w:r>
      <w:r w:rsidR="001C43D8" w:rsidRPr="000A02AB">
        <w:t>ния несколько сократилось (до 1</w:t>
      </w:r>
      <w:r w:rsidRPr="000A02AB">
        <w:t>400); ук</w:t>
      </w:r>
      <w:r w:rsidRPr="000A02AB">
        <w:t>а</w:t>
      </w:r>
      <w:r w:rsidRPr="000A02AB">
        <w:t>занная тенденция сохранилась в 2013 году, когда было выселено в общей сложности 1367</w:t>
      </w:r>
      <w:r w:rsidR="009B4026" w:rsidRPr="000A02AB">
        <w:t> человек</w:t>
      </w:r>
      <w:r w:rsidRPr="000A02AB">
        <w:t>. Повторному выселению в 2013 году были подвергн</w:t>
      </w:r>
      <w:r w:rsidRPr="000A02AB">
        <w:t>у</w:t>
      </w:r>
      <w:r w:rsidR="001C43D8" w:rsidRPr="000A02AB">
        <w:t>ты 188</w:t>
      </w:r>
      <w:r w:rsidR="009B4026" w:rsidRPr="000A02AB">
        <w:t> человек</w:t>
      </w:r>
      <w:r w:rsidRPr="000A02AB">
        <w:t>, что соответствует 14</w:t>
      </w:r>
      <w:r w:rsidR="009B4026" w:rsidRPr="000A02AB">
        <w:t> процент</w:t>
      </w:r>
      <w:r w:rsidRPr="000A02AB">
        <w:t>ам всех случаев выселения. О</w:t>
      </w:r>
      <w:r w:rsidRPr="000A02AB">
        <w:t>б</w:t>
      </w:r>
      <w:r w:rsidRPr="000A02AB">
        <w:t>щие сведения о количестве случаев выселения в 2007–2013 годах представл</w:t>
      </w:r>
      <w:r w:rsidRPr="000A02AB">
        <w:t>е</w:t>
      </w:r>
      <w:r w:rsidRPr="000A02AB">
        <w:t>ны в следующей таблице:</w:t>
      </w:r>
    </w:p>
    <w:p w:rsidR="00170278" w:rsidRPr="000A02AB" w:rsidRDefault="001C43D8" w:rsidP="000A02AB">
      <w:pPr>
        <w:pStyle w:val="SingleTxt"/>
        <w:spacing w:after="0"/>
        <w:jc w:val="left"/>
      </w:pPr>
      <w:r w:rsidRPr="000A02AB">
        <w:br w:type="page"/>
      </w:r>
      <w:r w:rsidR="00170278" w:rsidRPr="000A02AB">
        <w:t>Таблица 2</w:t>
      </w:r>
    </w:p>
    <w:p w:rsidR="00170278" w:rsidRPr="000A02AB" w:rsidRDefault="00170278" w:rsidP="000A02AB">
      <w:pPr>
        <w:pStyle w:val="SingleTxt"/>
        <w:jc w:val="left"/>
        <w:rPr>
          <w:sz w:val="10"/>
        </w:rPr>
      </w:pPr>
      <w:r w:rsidRPr="000A02AB">
        <w:rPr>
          <w:b/>
        </w:rPr>
        <w:t>Количество случаев выселения в 2007–2013 годах</w:t>
      </w:r>
      <w:r w:rsidRPr="000A02AB">
        <w:rPr>
          <w:rStyle w:val="FootnoteReference"/>
          <w:bCs/>
        </w:rPr>
        <w:footnoteReference w:id="13"/>
      </w:r>
    </w:p>
    <w:tbl>
      <w:tblPr>
        <w:tblW w:w="0" w:type="auto"/>
        <w:tblInd w:w="1247" w:type="dxa"/>
        <w:tblLayout w:type="fixed"/>
        <w:tblCellMar>
          <w:left w:w="0" w:type="dxa"/>
          <w:right w:w="0" w:type="dxa"/>
        </w:tblCellMar>
        <w:tblLook w:val="04A0"/>
      </w:tblPr>
      <w:tblGrid>
        <w:gridCol w:w="3696"/>
        <w:gridCol w:w="708"/>
        <w:gridCol w:w="696"/>
        <w:gridCol w:w="708"/>
        <w:gridCol w:w="696"/>
        <w:gridCol w:w="696"/>
        <w:gridCol w:w="708"/>
        <w:gridCol w:w="699"/>
      </w:tblGrid>
      <w:tr w:rsidR="00170278" w:rsidRPr="000A02AB" w:rsidTr="00170278">
        <w:trPr>
          <w:tblHeader/>
        </w:trPr>
        <w:tc>
          <w:tcPr>
            <w:tcW w:w="369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0"/>
              <w:rPr>
                <w:i/>
                <w:spacing w:val="0"/>
                <w:w w:val="100"/>
                <w:sz w:val="14"/>
              </w:rPr>
            </w:pPr>
            <w:r w:rsidRPr="000A02AB">
              <w:rPr>
                <w:rFonts w:eastAsia="Times New Roman"/>
                <w:i/>
                <w:sz w:val="14"/>
                <w:szCs w:val="20"/>
              </w:rPr>
              <w:t>Год</w:t>
            </w:r>
          </w:p>
        </w:tc>
        <w:tc>
          <w:tcPr>
            <w:tcW w:w="70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2007</w:t>
            </w:r>
          </w:p>
        </w:tc>
        <w:tc>
          <w:tcPr>
            <w:tcW w:w="69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2008</w:t>
            </w:r>
          </w:p>
        </w:tc>
        <w:tc>
          <w:tcPr>
            <w:tcW w:w="70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69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69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70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699"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170278">
        <w:trPr>
          <w:trHeight w:hRule="exact" w:val="115"/>
          <w:tblHeader/>
        </w:trPr>
        <w:tc>
          <w:tcPr>
            <w:tcW w:w="369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70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9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0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9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9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0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99"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170278">
        <w:tc>
          <w:tcPr>
            <w:tcW w:w="369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выселенных лиц</w:t>
            </w:r>
          </w:p>
        </w:tc>
        <w:tc>
          <w:tcPr>
            <w:tcW w:w="70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862</w:t>
            </w:r>
          </w:p>
        </w:tc>
        <w:tc>
          <w:tcPr>
            <w:tcW w:w="69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679</w:t>
            </w:r>
          </w:p>
        </w:tc>
        <w:tc>
          <w:tcPr>
            <w:tcW w:w="70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789</w:t>
            </w:r>
          </w:p>
        </w:tc>
        <w:tc>
          <w:tcPr>
            <w:tcW w:w="69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1 058</w:t>
            </w:r>
          </w:p>
        </w:tc>
        <w:tc>
          <w:tcPr>
            <w:tcW w:w="69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1 430</w:t>
            </w:r>
          </w:p>
        </w:tc>
        <w:tc>
          <w:tcPr>
            <w:tcW w:w="70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1 400</w:t>
            </w:r>
          </w:p>
        </w:tc>
        <w:tc>
          <w:tcPr>
            <w:tcW w:w="699"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1 367</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50.</w:t>
      </w:r>
      <w:r w:rsidRPr="000A02AB">
        <w:tab/>
        <w:t>В связи с общим количеством случаев выселения в 2013 году чешская п</w:t>
      </w:r>
      <w:r w:rsidRPr="000A02AB">
        <w:t>о</w:t>
      </w:r>
      <w:r w:rsidR="009B4026" w:rsidRPr="000A02AB">
        <w:t>лиция выявила 1</w:t>
      </w:r>
      <w:r w:rsidRPr="000A02AB">
        <w:t>988 уязв</w:t>
      </w:r>
      <w:r w:rsidR="009B4026" w:rsidRPr="000A02AB">
        <w:t>имых лиц, включая 172 мужчин, 1401 </w:t>
      </w:r>
      <w:r w:rsidRPr="000A02AB">
        <w:t>женщину и 415 несовершеннолетних. Чаще всего насилие применялось в условиях бра</w:t>
      </w:r>
      <w:r w:rsidRPr="000A02AB">
        <w:t>ч</w:t>
      </w:r>
      <w:r w:rsidRPr="000A02AB">
        <w:t>ного сожительства (503</w:t>
      </w:r>
      <w:r w:rsidR="009B4026" w:rsidRPr="000A02AB">
        <w:t> </w:t>
      </w:r>
      <w:r w:rsidRPr="000A02AB">
        <w:t>случая) и сожительства партнеров (422</w:t>
      </w:r>
      <w:r w:rsidR="009B4026" w:rsidRPr="000A02AB">
        <w:t> </w:t>
      </w:r>
      <w:r w:rsidRPr="000A02AB">
        <w:t>случая). Наиболее уязвимой возрастной категорией являлись лица в возрасте 27–40</w:t>
      </w:r>
      <w:r w:rsidR="009B4026" w:rsidRPr="000A02AB">
        <w:t> </w:t>
      </w:r>
      <w:r w:rsidRPr="000A02AB">
        <w:t>лет (587</w:t>
      </w:r>
      <w:r w:rsidR="009B4026" w:rsidRPr="000A02AB">
        <w:t> человек</w:t>
      </w:r>
      <w:r w:rsidRPr="000A02AB">
        <w:t>). В контексте случаев выселения насилие угрожало 773</w:t>
      </w:r>
      <w:r w:rsidR="009B4026" w:rsidRPr="000A02AB">
        <w:t> </w:t>
      </w:r>
      <w:r w:rsidRPr="000A02AB">
        <w:t>семьям, включая 1420 несовершеннолетних лиц. В 2013 году вне связи со случаями выселения в центры экстренной помощи</w:t>
      </w:r>
      <w:r w:rsidR="009B4026" w:rsidRPr="000A02AB">
        <w:t xml:space="preserve"> обратились в общей сложности 3</w:t>
      </w:r>
      <w:r w:rsidRPr="000A02AB">
        <w:t>883</w:t>
      </w:r>
      <w:r w:rsidR="009B4026" w:rsidRPr="000A02AB">
        <w:t> человека, в том числе 433 </w:t>
      </w:r>
      <w:r w:rsidRPr="000A02AB">
        <w:t>мужчины, 3</w:t>
      </w:r>
      <w:r w:rsidR="009B4026" w:rsidRPr="000A02AB">
        <w:t>346 женщин и 103 </w:t>
      </w:r>
      <w:r w:rsidRPr="000A02AB">
        <w:t>ребенка. В соо</w:t>
      </w:r>
      <w:r w:rsidRPr="000A02AB">
        <w:t>т</w:t>
      </w:r>
      <w:r w:rsidRPr="000A02AB">
        <w:t>ветствии с установившейся судебной практикой преступление жестокого о</w:t>
      </w:r>
      <w:r w:rsidRPr="000A02AB">
        <w:t>б</w:t>
      </w:r>
      <w:r w:rsidRPr="000A02AB">
        <w:t>ращения с лицом, проживающим в том же домохозяйстве (§199 Закона №</w:t>
      </w:r>
      <w:r w:rsidRPr="000A02AB">
        <w:rPr>
          <w:sz w:val="22"/>
        </w:rPr>
        <w:t> </w:t>
      </w:r>
      <w:r w:rsidRPr="000A02AB">
        <w:t>40/2009 Coll. (Уголовный кодекс)), определяется как дурное обращение с близким</w:t>
      </w:r>
      <w:r w:rsidR="009B4026" w:rsidRPr="000A02AB">
        <w:t> человек</w:t>
      </w:r>
      <w:r w:rsidRPr="000A02AB">
        <w:t>ом или иным лицом, проживающим в том же жилище, что и преступник, для которого характерны достаточно высокая степень грубости и бессердечности и определенное постоянство. Жестокое обращение не всегда имеет последствия для здоровья лиц, которые ему подвергаются, однако с</w:t>
      </w:r>
      <w:r w:rsidRPr="000A02AB">
        <w:t>о</w:t>
      </w:r>
      <w:r w:rsidRPr="000A02AB">
        <w:t>вершаемые действия должны восприниматься соответствующими лицами как острая несправедливость по причине их жестокости, безрассудности или б</w:t>
      </w:r>
      <w:r w:rsidRPr="000A02AB">
        <w:t>о</w:t>
      </w:r>
      <w:r w:rsidRPr="000A02AB">
        <w:t>лезненности</w:t>
      </w:r>
      <w:r w:rsidRPr="000A02AB">
        <w:rPr>
          <w:rStyle w:val="FootnoteReference"/>
        </w:rPr>
        <w:footnoteReference w:id="14"/>
      </w:r>
      <w:r w:rsidRPr="000A02AB">
        <w:t>. Согласно решению Верховного суда от 10 августа 2011 года ж</w:t>
      </w:r>
      <w:r w:rsidRPr="000A02AB">
        <w:t>е</w:t>
      </w:r>
      <w:r w:rsidRPr="000A02AB">
        <w:t>стокое обращение также может иметь форму словесных нападок, которые представляют собой очень грубые и вульгарные оскорбления и оскорбления пострадавшего лица, отличающиеся бессердечностью и жестокостью</w:t>
      </w:r>
      <w:r w:rsidRPr="000A02AB">
        <w:rPr>
          <w:rStyle w:val="FootnoteReference"/>
        </w:rPr>
        <w:footnoteReference w:id="15"/>
      </w:r>
      <w:r w:rsidRPr="000A02AB">
        <w:t>. Ж</w:t>
      </w:r>
      <w:r w:rsidRPr="000A02AB">
        <w:t>е</w:t>
      </w:r>
      <w:r w:rsidRPr="000A02AB">
        <w:t>стокое обращение с лицами, проживающими в том же домохозяйстве, зачастую принимает и другие формы, такие как экономическая эксплуатация и психол</w:t>
      </w:r>
      <w:r w:rsidRPr="000A02AB">
        <w:t>о</w:t>
      </w:r>
      <w:r w:rsidRPr="000A02AB">
        <w:t>гическое насилие. В связи с этим уместно, в частности, отметить решение Верховного суда по делу № 7 Tdo 342/2011 от 30 марта 2011 года, в котором он указывает, что поведение преступника, касающееся жестокого обращения с другим лицом, должно рассматриваться в целом, поэтому даже в том случае, когда речь идет только об отдельных физических нападениях наряду с частым применением психологического принуждения, можно сделать вывод, что пс</w:t>
      </w:r>
      <w:r w:rsidRPr="000A02AB">
        <w:t>и</w:t>
      </w:r>
      <w:r w:rsidRPr="000A02AB">
        <w:t>хологическое насилие, сопровождаемое единичными физическими нападени</w:t>
      </w:r>
      <w:r w:rsidRPr="000A02AB">
        <w:t>я</w:t>
      </w:r>
      <w:r w:rsidRPr="000A02AB">
        <w:t>ми, заставляет</w:t>
      </w:r>
      <w:r w:rsidR="009B4026" w:rsidRPr="000A02AB">
        <w:t> человек</w:t>
      </w:r>
      <w:r w:rsidRPr="000A02AB">
        <w:t>а, который им подвергается, жить в постоянном эмоци</w:t>
      </w:r>
      <w:r w:rsidRPr="000A02AB">
        <w:t>о</w:t>
      </w:r>
      <w:r w:rsidRPr="000A02AB">
        <w:t>нальном стрессе, воспринимая действия преступника как жестокую неспр</w:t>
      </w:r>
      <w:r w:rsidRPr="000A02AB">
        <w:t>а</w:t>
      </w:r>
      <w:r w:rsidRPr="000A02AB">
        <w:t>ведливость. Верховный суд представил ответ в связи с делами, при рассмотр</w:t>
      </w:r>
      <w:r w:rsidRPr="000A02AB">
        <w:t>е</w:t>
      </w:r>
      <w:r w:rsidRPr="000A02AB">
        <w:t>нии которых он также счел жестоким обращением с лицом, проживающим в том же жилище, действия о</w:t>
      </w:r>
      <w:r w:rsidRPr="000A02AB">
        <w:t>б</w:t>
      </w:r>
      <w:r w:rsidRPr="000A02AB">
        <w:t>виняемого, интенсивность которых не может быть преуменьшена задним числом ввиду того, что пострадавшая женщина не д</w:t>
      </w:r>
      <w:r w:rsidRPr="000A02AB">
        <w:t>е</w:t>
      </w:r>
      <w:r w:rsidRPr="000A02AB">
        <w:t>монстрировала третьим л</w:t>
      </w:r>
      <w:r w:rsidRPr="000A02AB">
        <w:t>и</w:t>
      </w:r>
      <w:r w:rsidRPr="000A02AB">
        <w:t>цам внешних признаков неудовлетворенности своим браком, учитывая, что, как правило, лицо, подвергающееся жестокому обращ</w:t>
      </w:r>
      <w:r w:rsidRPr="000A02AB">
        <w:t>е</w:t>
      </w:r>
      <w:r w:rsidRPr="000A02AB">
        <w:t>нию, сначала пытается скрыть и не афишировать этот факт, и поэтому ведет себя так, чтобы третьи лица не догадывались о происходящем.</w:t>
      </w:r>
    </w:p>
    <w:p w:rsidR="00170278" w:rsidRPr="000A02AB" w:rsidRDefault="00170278" w:rsidP="000A02AB">
      <w:pPr>
        <w:pStyle w:val="SingleTxt"/>
      </w:pPr>
      <w:r w:rsidRPr="000A02AB">
        <w:t>51.</w:t>
      </w:r>
      <w:r w:rsidRPr="000A02AB">
        <w:tab/>
        <w:t>В 2013 году полиция Чешской Республики зарегистрировала в общей сложности 572 случая совершения преступлений жестокого обращения с л</w:t>
      </w:r>
      <w:r w:rsidRPr="000A02AB">
        <w:t>и</w:t>
      </w:r>
      <w:r w:rsidRPr="000A02AB">
        <w:t>цом, проживающим в том же домохозяйстве. По сравнению с предыд</w:t>
      </w:r>
      <w:r w:rsidRPr="000A02AB">
        <w:t>у</w:t>
      </w:r>
      <w:r w:rsidRPr="000A02AB">
        <w:t>щим годом соответствующий показатель снизился примерно на 5</w:t>
      </w:r>
      <w:r w:rsidR="009B4026" w:rsidRPr="000A02AB">
        <w:t> процент</w:t>
      </w:r>
      <w:r w:rsidRPr="000A02AB">
        <w:t>ов. В 2013 году уголовному преследованию в связи с данным преступлением были подвергнуты 392</w:t>
      </w:r>
      <w:r w:rsidR="009B4026" w:rsidRPr="000A02AB">
        <w:t> человек</w:t>
      </w:r>
      <w:r w:rsidRPr="000A02AB">
        <w:t>а, включая 14 женщин. В следующей таблице пре</w:t>
      </w:r>
      <w:r w:rsidRPr="000A02AB">
        <w:t>д</w:t>
      </w:r>
      <w:r w:rsidRPr="000A02AB">
        <w:t>ставлены тенденции изменения количества преступлений, состоящих в жест</w:t>
      </w:r>
      <w:r w:rsidRPr="000A02AB">
        <w:t>о</w:t>
      </w:r>
      <w:r w:rsidRPr="000A02AB">
        <w:t>ком обращении с лицом, которое проживает в том же домохозяйстве, за период проведения мониторинга:</w:t>
      </w:r>
    </w:p>
    <w:p w:rsidR="009B4026" w:rsidRPr="000A02AB" w:rsidRDefault="009B4026" w:rsidP="000A02AB">
      <w:pPr>
        <w:pStyle w:val="SingleTxt"/>
        <w:spacing w:after="0" w:line="120" w:lineRule="exact"/>
        <w:jc w:val="left"/>
        <w:rPr>
          <w:sz w:val="10"/>
        </w:rPr>
      </w:pPr>
    </w:p>
    <w:p w:rsidR="00170278" w:rsidRPr="000A02AB" w:rsidRDefault="009B4026"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Таблица 3</w:t>
      </w:r>
    </w:p>
    <w:p w:rsidR="00170278" w:rsidRPr="000A02AB" w:rsidRDefault="009B4026"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Количество преступлений жестокого обращения с лицом, проживающим в том же домохозяйстве, в 2008–2013 годах</w:t>
      </w:r>
      <w:r w:rsidR="00170278" w:rsidRPr="000A02AB">
        <w:rPr>
          <w:rStyle w:val="FootnoteReference"/>
          <w:bCs/>
        </w:rPr>
        <w:footnoteReference w:id="16"/>
      </w:r>
    </w:p>
    <w:p w:rsidR="00170278" w:rsidRPr="000A02AB" w:rsidRDefault="00170278" w:rsidP="000A02AB">
      <w:pPr>
        <w:pStyle w:val="SingleTxt"/>
        <w:spacing w:after="0" w:line="120" w:lineRule="exact"/>
        <w:rPr>
          <w:sz w:val="10"/>
        </w:rPr>
      </w:pPr>
    </w:p>
    <w:tbl>
      <w:tblPr>
        <w:tblW w:w="0" w:type="auto"/>
        <w:tblInd w:w="1247" w:type="dxa"/>
        <w:tblLayout w:type="fixed"/>
        <w:tblCellMar>
          <w:left w:w="0" w:type="dxa"/>
          <w:right w:w="0" w:type="dxa"/>
        </w:tblCellMar>
        <w:tblLook w:val="04A0"/>
      </w:tblPr>
      <w:tblGrid>
        <w:gridCol w:w="3336"/>
        <w:gridCol w:w="876"/>
        <w:gridCol w:w="864"/>
        <w:gridCol w:w="864"/>
        <w:gridCol w:w="864"/>
        <w:gridCol w:w="864"/>
        <w:gridCol w:w="867"/>
      </w:tblGrid>
      <w:tr w:rsidR="00170278" w:rsidRPr="000A02AB" w:rsidTr="00170278">
        <w:trPr>
          <w:tblHeader/>
        </w:trPr>
        <w:tc>
          <w:tcPr>
            <w:tcW w:w="333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0"/>
              <w:rPr>
                <w:i/>
                <w:spacing w:val="0"/>
                <w:w w:val="100"/>
                <w:sz w:val="14"/>
              </w:rPr>
            </w:pPr>
            <w:r w:rsidRPr="000A02AB">
              <w:rPr>
                <w:rFonts w:eastAsia="Times New Roman"/>
                <w:i/>
                <w:sz w:val="14"/>
                <w:szCs w:val="20"/>
              </w:rPr>
              <w:t>Преступление жестокого обращения с лицом, прож</w:t>
            </w:r>
            <w:r w:rsidRPr="000A02AB">
              <w:rPr>
                <w:rFonts w:eastAsia="Times New Roman"/>
                <w:i/>
                <w:sz w:val="14"/>
                <w:szCs w:val="20"/>
              </w:rPr>
              <w:t>и</w:t>
            </w:r>
            <w:r w:rsidRPr="000A02AB">
              <w:rPr>
                <w:rFonts w:eastAsia="Times New Roman"/>
                <w:i/>
                <w:sz w:val="14"/>
                <w:szCs w:val="20"/>
              </w:rPr>
              <w:t>вающим в том же домохозяйстве</w:t>
            </w:r>
          </w:p>
        </w:tc>
        <w:tc>
          <w:tcPr>
            <w:tcW w:w="87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2008</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867"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170278">
        <w:trPr>
          <w:trHeight w:hRule="exact" w:val="115"/>
          <w:tblHeader/>
        </w:trPr>
        <w:tc>
          <w:tcPr>
            <w:tcW w:w="333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87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170278">
        <w:tc>
          <w:tcPr>
            <w:tcW w:w="333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Выявленные случаи</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522</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507</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568</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661</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603</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572</w:t>
            </w:r>
          </w:p>
        </w:tc>
      </w:tr>
      <w:tr w:rsidR="00170278" w:rsidRPr="000A02AB" w:rsidTr="00170278">
        <w:tc>
          <w:tcPr>
            <w:tcW w:w="333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Раскрытые преступления</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425</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410</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477</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534</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494</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445</w:t>
            </w:r>
          </w:p>
        </w:tc>
      </w:tr>
      <w:tr w:rsidR="00170278" w:rsidRPr="000A02AB" w:rsidTr="00170278">
        <w:tc>
          <w:tcPr>
            <w:tcW w:w="333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обвиняемых</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400</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384</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436</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485</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463</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392</w:t>
            </w:r>
          </w:p>
        </w:tc>
      </w:tr>
      <w:tr w:rsidR="00170278" w:rsidRPr="000A02AB" w:rsidTr="00170278">
        <w:tc>
          <w:tcPr>
            <w:tcW w:w="333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 Из них женщин</w:t>
            </w:r>
          </w:p>
        </w:tc>
        <w:tc>
          <w:tcPr>
            <w:tcW w:w="87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18</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16</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18</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13</w:t>
            </w:r>
          </w:p>
        </w:tc>
        <w:tc>
          <w:tcPr>
            <w:tcW w:w="86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14</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52.</w:t>
      </w:r>
      <w:r w:rsidRPr="000A02AB">
        <w:tab/>
        <w:t>В 2013 году число лиц, осужденных за совершение преступления жест</w:t>
      </w:r>
      <w:r w:rsidRPr="000A02AB">
        <w:t>о</w:t>
      </w:r>
      <w:r w:rsidRPr="000A02AB">
        <w:t>кого обращения с лицом, проживающим в том же домохозяйстве, сократилось на 9</w:t>
      </w:r>
      <w:r w:rsidR="009B4026" w:rsidRPr="000A02AB">
        <w:t> процент</w:t>
      </w:r>
      <w:r w:rsidRPr="000A02AB">
        <w:t>ов (до 293</w:t>
      </w:r>
      <w:r w:rsidR="009B4026" w:rsidRPr="000A02AB">
        <w:t> человек</w:t>
      </w:r>
      <w:r w:rsidRPr="000A02AB">
        <w:t>). В общее число лиц, осужденных в 2013 году, вошли 10 женщин (2,9</w:t>
      </w:r>
      <w:r w:rsidR="009B4026" w:rsidRPr="000A02AB">
        <w:t> процент</w:t>
      </w:r>
      <w:r w:rsidRPr="000A02AB">
        <w:t>а всех осужденных). Количество условных наказаний (197) по-прежнему превышает количество приговоров к тюремному заключению (90). Детальные статистические данные о численности осужде</w:t>
      </w:r>
      <w:r w:rsidRPr="000A02AB">
        <w:t>н</w:t>
      </w:r>
      <w:r w:rsidRPr="000A02AB">
        <w:t>ных за преступление жестокого обращения с лицом, проживающим в том же домохозяйстве, представлены в следующей таблице:</w:t>
      </w:r>
    </w:p>
    <w:p w:rsidR="009B4026" w:rsidRPr="000A02AB" w:rsidRDefault="009B4026" w:rsidP="000A02AB">
      <w:pPr>
        <w:pStyle w:val="SingleTxt"/>
        <w:spacing w:after="0" w:line="120" w:lineRule="exact"/>
        <w:jc w:val="left"/>
        <w:rPr>
          <w:sz w:val="10"/>
        </w:rPr>
      </w:pPr>
    </w:p>
    <w:p w:rsidR="00170278" w:rsidRPr="000A02AB" w:rsidRDefault="009B4026"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Таблица 4</w:t>
      </w:r>
    </w:p>
    <w:p w:rsidR="00170278" w:rsidRPr="000A02AB" w:rsidRDefault="009B4026"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Число лиц, законно осужденных за преступление жестокого обращения с лицом, проживающим в том же домохозяйстве, в 2008–2013 годах</w:t>
      </w:r>
      <w:r w:rsidR="00170278" w:rsidRPr="000A02AB">
        <w:rPr>
          <w:rStyle w:val="FootnoteReference"/>
        </w:rPr>
        <w:footnoteReference w:id="17"/>
      </w:r>
    </w:p>
    <w:p w:rsidR="009B4026" w:rsidRPr="000A02AB" w:rsidRDefault="009B4026" w:rsidP="000A02AB">
      <w:pPr>
        <w:pStyle w:val="SingleTxt"/>
        <w:spacing w:after="0" w:line="120" w:lineRule="exact"/>
        <w:rPr>
          <w:sz w:val="10"/>
        </w:rPr>
      </w:pPr>
    </w:p>
    <w:tbl>
      <w:tblPr>
        <w:tblW w:w="8619" w:type="dxa"/>
        <w:tblInd w:w="1247" w:type="dxa"/>
        <w:tblLayout w:type="fixed"/>
        <w:tblCellMar>
          <w:left w:w="0" w:type="dxa"/>
          <w:right w:w="0" w:type="dxa"/>
        </w:tblCellMar>
        <w:tblLook w:val="04A0"/>
      </w:tblPr>
      <w:tblGrid>
        <w:gridCol w:w="3420"/>
        <w:gridCol w:w="876"/>
        <w:gridCol w:w="864"/>
        <w:gridCol w:w="864"/>
        <w:gridCol w:w="864"/>
        <w:gridCol w:w="864"/>
        <w:gridCol w:w="867"/>
      </w:tblGrid>
      <w:tr w:rsidR="00170278" w:rsidRPr="000A02AB" w:rsidTr="009B4026">
        <w:trPr>
          <w:tblHeader/>
        </w:trPr>
        <w:tc>
          <w:tcPr>
            <w:tcW w:w="3420"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0"/>
              <w:rPr>
                <w:i/>
                <w:spacing w:val="0"/>
                <w:w w:val="100"/>
                <w:sz w:val="14"/>
              </w:rPr>
            </w:pPr>
            <w:r w:rsidRPr="000A02AB">
              <w:rPr>
                <w:rFonts w:eastAsia="Times New Roman"/>
                <w:i/>
                <w:sz w:val="14"/>
                <w:szCs w:val="20"/>
              </w:rPr>
              <w:t>Число лиц, законно осужденных за преступление ж</w:t>
            </w:r>
            <w:r w:rsidRPr="000A02AB">
              <w:rPr>
                <w:rFonts w:eastAsia="Times New Roman"/>
                <w:i/>
                <w:sz w:val="14"/>
                <w:szCs w:val="20"/>
              </w:rPr>
              <w:t>е</w:t>
            </w:r>
            <w:r w:rsidRPr="000A02AB">
              <w:rPr>
                <w:rFonts w:eastAsia="Times New Roman"/>
                <w:i/>
                <w:sz w:val="14"/>
                <w:szCs w:val="20"/>
              </w:rPr>
              <w:t xml:space="preserve">стокого обращения с лицом, проживающим </w:t>
            </w:r>
            <w:r w:rsidRPr="000A02AB">
              <w:rPr>
                <w:rFonts w:eastAsia="Times New Roman"/>
                <w:i/>
                <w:sz w:val="14"/>
                <w:szCs w:val="20"/>
              </w:rPr>
              <w:br/>
              <w:t>в том же домохозяйстве</w:t>
            </w:r>
          </w:p>
        </w:tc>
        <w:tc>
          <w:tcPr>
            <w:tcW w:w="87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2008</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867"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9B4026">
        <w:trPr>
          <w:trHeight w:hRule="exact" w:val="115"/>
          <w:tblHeader/>
        </w:trPr>
        <w:tc>
          <w:tcPr>
            <w:tcW w:w="3420"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87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6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9B4026">
        <w:tc>
          <w:tcPr>
            <w:tcW w:w="3420"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осужденных</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281</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238</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271</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283</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321</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293</w:t>
            </w:r>
          </w:p>
        </w:tc>
      </w:tr>
      <w:tr w:rsidR="00170278" w:rsidRPr="000A02AB" w:rsidTr="009B4026">
        <w:tc>
          <w:tcPr>
            <w:tcW w:w="3420"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 Из них женщин</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10</w:t>
            </w:r>
          </w:p>
        </w:tc>
      </w:tr>
      <w:tr w:rsidR="00170278" w:rsidRPr="000A02AB" w:rsidTr="009B4026">
        <w:tc>
          <w:tcPr>
            <w:tcW w:w="3420"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Приговоры к тюремному заключению</w:t>
            </w:r>
          </w:p>
        </w:tc>
        <w:tc>
          <w:tcPr>
            <w:tcW w:w="87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72</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56</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68</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75</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96</w:t>
            </w:r>
          </w:p>
        </w:tc>
        <w:tc>
          <w:tcPr>
            <w:tcW w:w="86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90</w:t>
            </w:r>
          </w:p>
        </w:tc>
      </w:tr>
      <w:tr w:rsidR="00170278" w:rsidRPr="000A02AB" w:rsidTr="009B4026">
        <w:tc>
          <w:tcPr>
            <w:tcW w:w="3420"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Условные наказания</w:t>
            </w:r>
          </w:p>
        </w:tc>
        <w:tc>
          <w:tcPr>
            <w:tcW w:w="87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200</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171</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201</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205</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219</w:t>
            </w:r>
          </w:p>
        </w:tc>
        <w:tc>
          <w:tcPr>
            <w:tcW w:w="86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197</w:t>
            </w:r>
          </w:p>
        </w:tc>
      </w:tr>
    </w:tbl>
    <w:p w:rsidR="0010549D" w:rsidRPr="000A02AB" w:rsidRDefault="0010549D" w:rsidP="000A02AB">
      <w:pPr>
        <w:pStyle w:val="SingleTxt"/>
        <w:spacing w:after="0" w:line="120" w:lineRule="exact"/>
        <w:rPr>
          <w:sz w:val="10"/>
        </w:rPr>
      </w:pPr>
    </w:p>
    <w:p w:rsidR="0010549D" w:rsidRPr="000A02AB" w:rsidRDefault="0010549D" w:rsidP="000A02AB">
      <w:pPr>
        <w:pStyle w:val="SingleTxt"/>
        <w:spacing w:after="0" w:line="120" w:lineRule="exact"/>
        <w:rPr>
          <w:sz w:val="10"/>
        </w:rPr>
      </w:pPr>
    </w:p>
    <w:p w:rsidR="00170278" w:rsidRPr="000A02AB" w:rsidRDefault="00170278" w:rsidP="000A02AB">
      <w:pPr>
        <w:pStyle w:val="SingleTxt"/>
        <w:spacing w:before="120"/>
        <w:rPr>
          <w:spacing w:val="0"/>
          <w:w w:val="100"/>
          <w:szCs w:val="20"/>
        </w:rPr>
      </w:pPr>
      <w:r w:rsidRPr="000A02AB">
        <w:t>53.</w:t>
      </w:r>
      <w:r w:rsidRPr="000A02AB">
        <w:tab/>
        <w:t>Профессиональные обследования, проводимые научными учреждениями и неправительственными организациями, играют ключевую роль в получении статистических данных о распространенности насилия в семье и помогают в</w:t>
      </w:r>
      <w:r w:rsidRPr="000A02AB">
        <w:t>ы</w:t>
      </w:r>
      <w:r w:rsidRPr="000A02AB">
        <w:t>явить подлинные масштабы данной проблемы. В 2012 году консультационный центр по женским проектам "proFem" опубликовал исследование "Экономич</w:t>
      </w:r>
      <w:r w:rsidRPr="000A02AB">
        <w:t>е</w:t>
      </w:r>
      <w:r w:rsidRPr="000A02AB">
        <w:t>ские последствия насилия в семье"</w:t>
      </w:r>
      <w:r w:rsidRPr="000A02AB">
        <w:rPr>
          <w:rStyle w:val="FootnoteReference"/>
        </w:rPr>
        <w:footnoteReference w:id="18"/>
      </w:r>
      <w:r w:rsidRPr="000A02AB">
        <w:t>. В феврале 2012 года в целях его пров</w:t>
      </w:r>
      <w:r w:rsidRPr="000A02AB">
        <w:t>е</w:t>
      </w:r>
      <w:r w:rsidRPr="000A02AB">
        <w:t>дения был организован репрезентативный опрос на основе выборки из 3 тыс. женщин в возрасте 18–65 лет, проживающих в Чешской Республике. Опрос п</w:t>
      </w:r>
      <w:r w:rsidRPr="000A02AB">
        <w:t>о</w:t>
      </w:r>
      <w:r w:rsidRPr="000A02AB">
        <w:t>казал, что 40</w:t>
      </w:r>
      <w:r w:rsidR="009B4026" w:rsidRPr="000A02AB">
        <w:t> процент</w:t>
      </w:r>
      <w:r w:rsidRPr="000A02AB">
        <w:t>ов женщин в той или иной форме сталкивались с насил</w:t>
      </w:r>
      <w:r w:rsidRPr="000A02AB">
        <w:t>и</w:t>
      </w:r>
      <w:r w:rsidRPr="000A02AB">
        <w:t>ем со стороны своего партнера; при этом 11</w:t>
      </w:r>
      <w:r w:rsidR="009B4026" w:rsidRPr="000A02AB">
        <w:t> процент</w:t>
      </w:r>
      <w:r w:rsidRPr="000A02AB">
        <w:t>ов респондентов подве</w:t>
      </w:r>
      <w:r w:rsidRPr="000A02AB">
        <w:t>р</w:t>
      </w:r>
      <w:r w:rsidRPr="000A02AB">
        <w:t>гались насилию в год, предшествовавший проведению опроса. Согласно оце</w:t>
      </w:r>
      <w:r w:rsidRPr="000A02AB">
        <w:t>н</w:t>
      </w:r>
      <w:r w:rsidRPr="000A02AB">
        <w:t>кам в 2010 году общая сумма экономического ущерба, нанесенного насилием в семье, в Чешской Республике составила 1 328 200 тыс. чешских крон (в ходе анализа учитывались расходы на деятельность полиции, прокуроров и судов, разбирательства по делам о нарушении прав, предоставление субсидий на ок</w:t>
      </w:r>
      <w:r w:rsidRPr="000A02AB">
        <w:t>а</w:t>
      </w:r>
      <w:r w:rsidRPr="000A02AB">
        <w:t>зание социальных услуг и услуг здравоохранения, выплату пособий по безр</w:t>
      </w:r>
      <w:r w:rsidRPr="000A02AB">
        <w:t>а</w:t>
      </w:r>
      <w:r w:rsidRPr="000A02AB">
        <w:t>ботице и оплату отпуска по болезни).</w:t>
      </w:r>
    </w:p>
    <w:p w:rsidR="00170278" w:rsidRPr="000A02AB" w:rsidRDefault="00170278" w:rsidP="000A02AB">
      <w:pPr>
        <w:pStyle w:val="SingleTxt"/>
      </w:pPr>
      <w:r w:rsidRPr="000A02AB">
        <w:t>54.</w:t>
      </w:r>
      <w:r w:rsidRPr="000A02AB">
        <w:tab/>
        <w:t>В 2011 году гражданская ассоциац</w:t>
      </w:r>
      <w:r w:rsidR="0010549D" w:rsidRPr="000A02AB">
        <w:t>ия ROSA провела опрос среди 172 </w:t>
      </w:r>
      <w:r w:rsidRPr="000A02AB">
        <w:t>юношей и девушек в возрасте 16–20 лет, обучающихся в старшей средней школе, по поводу наличия у них опыта, связанного с насилием в отношениях между людьми. В результатах опроса отмечается, что в 2011 году практически каждому второму из учащихся было известно о применении насилия в их окружении. 17</w:t>
      </w:r>
      <w:r w:rsidR="009B4026" w:rsidRPr="000A02AB">
        <w:t> процент</w:t>
      </w:r>
      <w:r w:rsidRPr="000A02AB">
        <w:t>ов учащихся заявили, что им доводилось быть свидет</w:t>
      </w:r>
      <w:r w:rsidRPr="000A02AB">
        <w:t>е</w:t>
      </w:r>
      <w:r w:rsidRPr="000A02AB">
        <w:t>лями применения насилия в семье своих родителей</w:t>
      </w:r>
      <w:r w:rsidRPr="000A02AB">
        <w:rPr>
          <w:rStyle w:val="FootnoteReference"/>
        </w:rPr>
        <w:footnoteReference w:id="19"/>
      </w:r>
      <w:r w:rsidRPr="000A02AB">
        <w:t>.</w:t>
      </w:r>
    </w:p>
    <w:p w:rsidR="00170278" w:rsidRPr="000A02AB" w:rsidRDefault="00170278" w:rsidP="000A02AB">
      <w:pPr>
        <w:pStyle w:val="SingleTxt"/>
      </w:pPr>
      <w:r w:rsidRPr="000A02AB">
        <w:t>55.</w:t>
      </w:r>
      <w:r w:rsidRPr="000A02AB">
        <w:tab/>
        <w:t>Помощь для жертв насилия в семье предоставляется главным образом ч</w:t>
      </w:r>
      <w:r w:rsidRPr="000A02AB">
        <w:t>е</w:t>
      </w:r>
      <w:r w:rsidRPr="000A02AB">
        <w:t>рез социальные службы в соответствии с Законом № 108/2006 Coll. о социал</w:t>
      </w:r>
      <w:r w:rsidRPr="000A02AB">
        <w:t>ь</w:t>
      </w:r>
      <w:r w:rsidRPr="000A02AB">
        <w:t>ных службах. По состоянию на 31 декабря 2013 года в реестре поставщиков социальных услуг было зарегистрировано 407 социальных служб, которые ук</w:t>
      </w:r>
      <w:r w:rsidRPr="000A02AB">
        <w:t>а</w:t>
      </w:r>
      <w:r w:rsidRPr="000A02AB">
        <w:t>зывают в качестве одной из своих целевых групп "жертв насилия в семье". В 2013 году МТСД выделило из государственного бюджета субсидии на общую сумму в 230 340 740 чешских крон, призванные обеспечить наличие социал</w:t>
      </w:r>
      <w:r w:rsidRPr="000A02AB">
        <w:t>ь</w:t>
      </w:r>
      <w:r w:rsidRPr="000A02AB">
        <w:t>ных служб, которые включают в перечень своих целевых групп "жертв насилия в семье". Для 34 из этих социальных служб жертвы насилия в семье являются основной целевой группой. МТСД предоставило указанным службам субсидии из государственного бюджета на сумму в 26 009 тыс. чешских крон. В 21 сл</w:t>
      </w:r>
      <w:r w:rsidRPr="000A02AB">
        <w:t>у</w:t>
      </w:r>
      <w:r w:rsidRPr="000A02AB">
        <w:t>чае речь идет о специализированных социальных службах, указывающих не более одной дополнительной целевой группы.</w:t>
      </w:r>
    </w:p>
    <w:p w:rsidR="00170278" w:rsidRPr="000A02AB" w:rsidRDefault="00170278" w:rsidP="000A02AB">
      <w:pPr>
        <w:pStyle w:val="SingleTxt"/>
      </w:pPr>
      <w:r w:rsidRPr="000A02AB">
        <w:t>56.</w:t>
      </w:r>
      <w:r w:rsidRPr="000A02AB">
        <w:tab/>
        <w:t>По состоянию на 31 декабря 2013 года в реестре поставщиков социал</w:t>
      </w:r>
      <w:r w:rsidRPr="000A02AB">
        <w:t>ь</w:t>
      </w:r>
      <w:r w:rsidRPr="000A02AB">
        <w:t>ных услуг было зарегистрировано 17 центров экстренной помощи, которые выступают в качестве социальных служб, специализирующихся на оказании помощи жертвам насилия в семье. Сумма субсидий, выделенных МТСД этим центрам экстренной помощи, представлена в следующей таблице</w:t>
      </w:r>
      <w:r w:rsidRPr="000A02AB">
        <w:rPr>
          <w:rStyle w:val="FootnoteReference"/>
        </w:rPr>
        <w:footnoteReference w:id="20"/>
      </w:r>
      <w:r w:rsidRPr="000A02AB">
        <w:t>:</w:t>
      </w:r>
    </w:p>
    <w:p w:rsidR="00361422" w:rsidRPr="00361422" w:rsidRDefault="00361422" w:rsidP="00361422">
      <w:pPr>
        <w:pStyle w:val="SingleTxt"/>
        <w:spacing w:after="0" w:line="120" w:lineRule="exact"/>
        <w:jc w:val="left"/>
        <w:rPr>
          <w:sz w:val="10"/>
        </w:rPr>
      </w:pPr>
    </w:p>
    <w:p w:rsidR="00170278" w:rsidRPr="000A02AB" w:rsidRDefault="00361422" w:rsidP="0036142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70278" w:rsidRPr="000A02AB">
        <w:t>Таблица 5</w:t>
      </w:r>
    </w:p>
    <w:p w:rsidR="00170278" w:rsidRDefault="00361422" w:rsidP="00361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70278" w:rsidRPr="000A02AB">
        <w:t xml:space="preserve">Сумма субсидий, предоставленных МТСД центрам экстренной помощи </w:t>
      </w:r>
      <w:r w:rsidR="00170278" w:rsidRPr="000A02AB">
        <w:br/>
        <w:t>в 2009–2013 годах</w:t>
      </w:r>
    </w:p>
    <w:p w:rsidR="00361422" w:rsidRPr="00361422" w:rsidRDefault="00361422" w:rsidP="00361422">
      <w:pPr>
        <w:pStyle w:val="SingleTxt"/>
        <w:spacing w:after="0" w:line="120" w:lineRule="exact"/>
        <w:rPr>
          <w:sz w:val="10"/>
        </w:rPr>
      </w:pPr>
    </w:p>
    <w:tbl>
      <w:tblPr>
        <w:tblW w:w="0" w:type="auto"/>
        <w:tblInd w:w="1247" w:type="dxa"/>
        <w:tblLayout w:type="fixed"/>
        <w:tblCellMar>
          <w:left w:w="0" w:type="dxa"/>
          <w:right w:w="0" w:type="dxa"/>
        </w:tblCellMar>
        <w:tblLook w:val="04A0"/>
      </w:tblPr>
      <w:tblGrid>
        <w:gridCol w:w="5206"/>
        <w:gridCol w:w="720"/>
        <w:gridCol w:w="657"/>
        <w:gridCol w:w="657"/>
        <w:gridCol w:w="648"/>
        <w:gridCol w:w="695"/>
      </w:tblGrid>
      <w:tr w:rsidR="00170278" w:rsidRPr="000A02AB" w:rsidTr="0010549D">
        <w:trPr>
          <w:tblHeader/>
        </w:trPr>
        <w:tc>
          <w:tcPr>
            <w:tcW w:w="5206" w:type="dxa"/>
            <w:tcBorders>
              <w:top w:val="single" w:sz="4" w:space="0" w:color="000000"/>
              <w:left w:val="nil"/>
              <w:bottom w:val="single" w:sz="12" w:space="0" w:color="000000"/>
              <w:right w:val="nil"/>
            </w:tcBorders>
            <w:vAlign w:val="bottom"/>
          </w:tcPr>
          <w:p w:rsidR="00170278" w:rsidRPr="000A02AB" w:rsidRDefault="00170278" w:rsidP="000A02AB">
            <w:pPr>
              <w:snapToGrid w:val="0"/>
              <w:spacing w:before="81" w:after="81" w:line="160" w:lineRule="exact"/>
              <w:ind w:right="40"/>
              <w:rPr>
                <w:i/>
                <w:spacing w:val="0"/>
                <w:w w:val="100"/>
                <w:sz w:val="14"/>
              </w:rPr>
            </w:pPr>
          </w:p>
        </w:tc>
        <w:tc>
          <w:tcPr>
            <w:tcW w:w="720"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657"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657"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6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695"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10549D">
        <w:trPr>
          <w:trHeight w:hRule="exact" w:val="115"/>
          <w:tblHeader/>
        </w:trPr>
        <w:tc>
          <w:tcPr>
            <w:tcW w:w="520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720"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5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5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695"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10549D">
        <w:tc>
          <w:tcPr>
            <w:tcW w:w="520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rFonts w:eastAsia="Times New Roman"/>
                <w:sz w:val="17"/>
                <w:szCs w:val="20"/>
              </w:rPr>
              <w:t>Сумма субсидий из государственного бюджета, предоставленных центрам экстренной помощи с целью обеспечить оказание соц</w:t>
            </w:r>
            <w:r w:rsidRPr="000A02AB">
              <w:rPr>
                <w:rFonts w:eastAsia="Times New Roman"/>
                <w:sz w:val="17"/>
                <w:szCs w:val="20"/>
              </w:rPr>
              <w:t>и</w:t>
            </w:r>
            <w:r w:rsidRPr="000A02AB">
              <w:rPr>
                <w:rFonts w:eastAsia="Times New Roman"/>
                <w:sz w:val="17"/>
                <w:szCs w:val="20"/>
              </w:rPr>
              <w:t>альных услуг (в млн. чешских крон)</w:t>
            </w:r>
          </w:p>
        </w:tc>
        <w:tc>
          <w:tcPr>
            <w:tcW w:w="720"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14 424</w:t>
            </w:r>
          </w:p>
        </w:tc>
        <w:tc>
          <w:tcPr>
            <w:tcW w:w="65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4 271</w:t>
            </w:r>
          </w:p>
        </w:tc>
        <w:tc>
          <w:tcPr>
            <w:tcW w:w="65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2 653</w:t>
            </w:r>
          </w:p>
        </w:tc>
        <w:tc>
          <w:tcPr>
            <w:tcW w:w="64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9 041</w:t>
            </w:r>
          </w:p>
        </w:tc>
        <w:tc>
          <w:tcPr>
            <w:tcW w:w="695"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12 075</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57.</w:t>
      </w:r>
      <w:r w:rsidRPr="000A02AB">
        <w:tab/>
        <w:t>В контексте деятельности Европейского социального фонда (в дальне</w:t>
      </w:r>
      <w:r w:rsidRPr="000A02AB">
        <w:t>й</w:t>
      </w:r>
      <w:r w:rsidRPr="000A02AB">
        <w:t>шем просто "ЕСФ") жертвы насилия в семье представляют собой целевую группу в одной из областей оказания поддержки. Проводимые мероприятия включают реализацию проектов, поддерживающих оказание социальных услуг согласно Закону о социальных службах, в рамках которых основное внимание уделяется возвращению соответствующих лиц в общество или на рынок труда, обеспечению их дальнейшего пребывания на рынке труда или предоставлению им доступа к услугам, способствующим возвращению на этот рынок. Наряду с этим были поддержаны проекты, ориентированные на подготовку поставщиков услуг к деятельности в данной области или передачу полученных за рубежом знаний и опыта в сфере оказания прямой помощи и предотвращения насилия в семье. В общей сложности ЕСФ поддержал 39 проектов по проблеме насилия в семье.</w:t>
      </w:r>
    </w:p>
    <w:p w:rsidR="00170278" w:rsidRPr="000A02AB" w:rsidRDefault="00170278" w:rsidP="000A02AB">
      <w:pPr>
        <w:pStyle w:val="SingleTxt"/>
      </w:pPr>
      <w:r w:rsidRPr="000A02AB">
        <w:t>58.</w:t>
      </w:r>
      <w:r w:rsidRPr="000A02AB">
        <w:tab/>
        <w:t>Первоочередная задача программы грантов "Предотвращение социально-патологических явлений", осуществлявшейся МВД в 2013 году, состояла в предотвращении насилия в семье и преступлений в отношении одной из наиболее уязвимых групп – пожилых людей, которые зачастую бывают лиш</w:t>
      </w:r>
      <w:r w:rsidRPr="000A02AB">
        <w:t>е</w:t>
      </w:r>
      <w:r w:rsidRPr="000A02AB">
        <w:t>ны социальных контактов, находятся в изоляции, имеют проблемы со здор</w:t>
      </w:r>
      <w:r w:rsidRPr="000A02AB">
        <w:t>о</w:t>
      </w:r>
      <w:r w:rsidRPr="000A02AB">
        <w:t>вьем и зависят от ухода, в связи с чем им угрожают различные формы насилия. В 2013 году в рамках данной программы грантов было поддержано 6</w:t>
      </w:r>
      <w:r w:rsidR="0010549D" w:rsidRPr="000A02AB">
        <w:t> </w:t>
      </w:r>
      <w:r w:rsidRPr="000A02AB">
        <w:t>проектов некоммерческих организаций, на цели осуществления которых было выделено 1</w:t>
      </w:r>
      <w:r w:rsidR="0010549D" w:rsidRPr="000A02AB">
        <w:t>435 </w:t>
      </w:r>
      <w:r w:rsidRPr="000A02AB">
        <w:t>тыс. чешских крон. В 2012 году данная программа была ориентирована на проведение работы с лицами, склонными к насилию, и обеспечила по</w:t>
      </w:r>
      <w:r w:rsidRPr="000A02AB">
        <w:t>д</w:t>
      </w:r>
      <w:r w:rsidR="00361422">
        <w:t>держку 7 </w:t>
      </w:r>
      <w:r w:rsidRPr="000A02AB">
        <w:t>проектов, осуществлявшихся в этот период, на реализацию которых было выделено в общей сложности 1614 тыс. чешских крон.</w:t>
      </w:r>
    </w:p>
    <w:p w:rsidR="00170278" w:rsidRPr="000A02AB" w:rsidRDefault="0010549D" w:rsidP="000A02AB">
      <w:pPr>
        <w:pStyle w:val="SingleTxt"/>
      </w:pPr>
      <w:r w:rsidRPr="000A02AB">
        <w:br w:type="page"/>
      </w:r>
      <w:r w:rsidR="00170278" w:rsidRPr="000A02AB">
        <w:t>59.</w:t>
      </w:r>
      <w:r w:rsidR="00170278" w:rsidRPr="000A02AB">
        <w:tab/>
        <w:t>Финансирование для проектов неправительственных организаций и др</w:t>
      </w:r>
      <w:r w:rsidR="00170278" w:rsidRPr="000A02AB">
        <w:t>у</w:t>
      </w:r>
      <w:r w:rsidR="00170278" w:rsidRPr="000A02AB">
        <w:t>гих структур, занимающихся проблемой предотвращения насилия в семье, также обеспечивается при помощи программы "Пусть у нас появится шанс", финансируемой Норвежскими фондами. Первый конкурс заявок в рамках да</w:t>
      </w:r>
      <w:r w:rsidR="00170278" w:rsidRPr="000A02AB">
        <w:t>н</w:t>
      </w:r>
      <w:r w:rsidR="00170278" w:rsidRPr="000A02AB">
        <w:t>ной программы был объявлен в первой половине 2014 года. Основное вним</w:t>
      </w:r>
      <w:r w:rsidR="00170278" w:rsidRPr="000A02AB">
        <w:t>а</w:t>
      </w:r>
      <w:r w:rsidR="00170278" w:rsidRPr="000A02AB">
        <w:t>ние при ее осуществлении уделяется насилию в семье и обеспечению раве</w:t>
      </w:r>
      <w:r w:rsidR="00170278" w:rsidRPr="000A02AB">
        <w:t>н</w:t>
      </w:r>
      <w:r w:rsidR="00170278" w:rsidRPr="000A02AB">
        <w:t>ства между женщинами и мужчинами. Общая сумма ассигнований, рассчита</w:t>
      </w:r>
      <w:r w:rsidR="00170278" w:rsidRPr="000A02AB">
        <w:t>н</w:t>
      </w:r>
      <w:r w:rsidR="00170278" w:rsidRPr="000A02AB">
        <w:t>ных на 2014–2016 годы, составляет 154 млн. чешских крон.</w:t>
      </w:r>
    </w:p>
    <w:p w:rsidR="00170278" w:rsidRPr="000A02AB" w:rsidRDefault="00170278" w:rsidP="000A02AB">
      <w:pPr>
        <w:pStyle w:val="SingleTxt"/>
      </w:pPr>
      <w:r w:rsidRPr="000A02AB">
        <w:t>60.</w:t>
      </w:r>
      <w:r w:rsidRPr="000A02AB">
        <w:tab/>
        <w:t>В 2014 году Отдел по вопросам гендерного равенства, действуя при по</w:t>
      </w:r>
      <w:r w:rsidRPr="000A02AB">
        <w:t>д</w:t>
      </w:r>
      <w:r w:rsidRPr="000A02AB">
        <w:t>держке Норвежских фондов, приступил к осуществлению Проекта CZ</w:t>
      </w:r>
      <w:r w:rsidRPr="000A02AB">
        <w:rPr>
          <w:sz w:val="22"/>
        </w:rPr>
        <w:t> </w:t>
      </w:r>
      <w:r w:rsidRPr="000A02AB">
        <w:t>13. О</w:t>
      </w:r>
      <w:r w:rsidRPr="000A02AB">
        <w:t>д</w:t>
      </w:r>
      <w:r w:rsidRPr="000A02AB">
        <w:t>ним из мероприятий, предусмотренных данным проектом, является проведение кампании в средствах массовой информации с целью повышения обществе</w:t>
      </w:r>
      <w:r w:rsidRPr="000A02AB">
        <w:t>н</w:t>
      </w:r>
      <w:r w:rsidRPr="000A02AB">
        <w:t>ной осведомленности о проблемах, связанных с насилием в семье и гендерным насилием. Она должна включать телевизионную кампанию, кампании по ра</w:t>
      </w:r>
      <w:r w:rsidRPr="000A02AB">
        <w:t>з</w:t>
      </w:r>
      <w:r w:rsidRPr="000A02AB">
        <w:t>мещению информации на крупных/малоформатных рекламных щитах, работу с веб-сайтами, кампании в социальных сетях и поддерживающие элементы, т</w:t>
      </w:r>
      <w:r w:rsidRPr="000A02AB">
        <w:t>а</w:t>
      </w:r>
      <w:r w:rsidRPr="000A02AB">
        <w:t>кие как листовки и другие сопутствующие материалы. Указанные материалы должны, в частности, передаваться в поликлиники, родильные дома и избра</w:t>
      </w:r>
      <w:r w:rsidRPr="000A02AB">
        <w:t>н</w:t>
      </w:r>
      <w:r w:rsidRPr="000A02AB">
        <w:t>ные социальные службы. Проведение этой информационно-просветительской кампании начнется в 2015 году.</w:t>
      </w:r>
    </w:p>
    <w:p w:rsidR="00170278" w:rsidRPr="000A02AB" w:rsidRDefault="00170278" w:rsidP="000A02AB">
      <w:pPr>
        <w:pStyle w:val="SingleTxt"/>
      </w:pPr>
      <w:r w:rsidRPr="000A02AB">
        <w:t>61.</w:t>
      </w:r>
      <w:r w:rsidRPr="000A02AB">
        <w:tab/>
        <w:t>Еще одно из запланированных направлений работы по реализации Прое</w:t>
      </w:r>
      <w:r w:rsidRPr="000A02AB">
        <w:t>к</w:t>
      </w:r>
      <w:r w:rsidRPr="000A02AB">
        <w:t>та CZ 13 в сфере предупреждения насилия в семье и гендерного насилия св</w:t>
      </w:r>
      <w:r w:rsidRPr="000A02AB">
        <w:t>я</w:t>
      </w:r>
      <w:r w:rsidRPr="000A02AB">
        <w:t>зано с поддержкой исследований в этой области, обеспечением обмена опытом и передовой практикой посредством проведения профессиональных конфере</w:t>
      </w:r>
      <w:r w:rsidRPr="000A02AB">
        <w:t>н</w:t>
      </w:r>
      <w:r w:rsidRPr="000A02AB">
        <w:t>ций и семинаров и оценкой стратегий предупреждения насилия в семье и ге</w:t>
      </w:r>
      <w:r w:rsidRPr="000A02AB">
        <w:t>н</w:t>
      </w:r>
      <w:r w:rsidRPr="000A02AB">
        <w:t>дерного насилия входящим в состав Совета Комитетом по предупреждению насилия в семье и насилия в отноше</w:t>
      </w:r>
      <w:r w:rsidR="0010549D" w:rsidRPr="000A02AB">
        <w:t>нии женщин. В рамках Проекта CZ </w:t>
      </w:r>
      <w:r w:rsidRPr="000A02AB">
        <w:t>13 Канцелярия правительства установила партнерские отношения с норвежской НПО "Alternativ til Vold" ("Альтернатива насилию"), которая в числе прочего принимает участие в подготовке Плана действий по предупреждению насилия в с</w:t>
      </w:r>
      <w:r w:rsidRPr="000A02AB">
        <w:t>е</w:t>
      </w:r>
      <w:r w:rsidRPr="000A02AB">
        <w:t>мье и насилия в отношении женщин на 2015–2018 годы.</w:t>
      </w:r>
    </w:p>
    <w:p w:rsidR="00170278" w:rsidRPr="000A02AB" w:rsidRDefault="00170278" w:rsidP="000A02AB">
      <w:pPr>
        <w:pStyle w:val="SingleTxt"/>
      </w:pPr>
      <w:r w:rsidRPr="000A02AB">
        <w:t>62.</w:t>
      </w:r>
      <w:r w:rsidRPr="000A02AB">
        <w:tab/>
        <w:t>В 2012 и 2013 годах в рамках Проекта CZ 13 и двустороннего сотрудн</w:t>
      </w:r>
      <w:r w:rsidRPr="000A02AB">
        <w:t>и</w:t>
      </w:r>
      <w:r w:rsidRPr="000A02AB">
        <w:t>чества с НПО "Alternativ til Vold" Отдел по вопросам гендерного равенства совместно с постоянным представительством Чешской Республики при ООН организовал семинар на заседаниях Комиссии ООН по положению женщин. В 2013 году тема семинара, в организации которого также участвовали Структ</w:t>
      </w:r>
      <w:r w:rsidRPr="000A02AB">
        <w:t>у</w:t>
      </w:r>
      <w:r w:rsidRPr="000A02AB">
        <w:t>ра "ООН-женщины", НПО "Alternativ til Vold", Замбия и Перу, была сформул</w:t>
      </w:r>
      <w:r w:rsidRPr="000A02AB">
        <w:t>и</w:t>
      </w:r>
      <w:r w:rsidRPr="000A02AB">
        <w:t>рована следующим образом: "Опыт осуществления планов действий по пред</w:t>
      </w:r>
      <w:r w:rsidRPr="000A02AB">
        <w:t>у</w:t>
      </w:r>
      <w:r w:rsidRPr="000A02AB">
        <w:t>преждению насилия в семье и гендерного насилия". В 2014 году Отдел по в</w:t>
      </w:r>
      <w:r w:rsidRPr="000A02AB">
        <w:t>о</w:t>
      </w:r>
      <w:r w:rsidRPr="000A02AB">
        <w:t>просам гендерного равенства организовал семинар "Насилие в отношении женщин и его влияние на рынок труда", который был представлен министром труда и социальных дел Михаэлой Марксовой. Участие в этом проекте прин</w:t>
      </w:r>
      <w:r w:rsidRPr="000A02AB">
        <w:t>я</w:t>
      </w:r>
      <w:r w:rsidRPr="000A02AB">
        <w:t>ли Словацкая Республика, НПО "Alternativ til Vold" и Чешское женское лобби.</w:t>
      </w:r>
    </w:p>
    <w:p w:rsidR="00170278" w:rsidRPr="000A02AB" w:rsidRDefault="00170278" w:rsidP="000A02AB">
      <w:pPr>
        <w:pStyle w:val="SingleTxt"/>
      </w:pPr>
      <w:r w:rsidRPr="000A02AB">
        <w:t>63.</w:t>
      </w:r>
      <w:r w:rsidRPr="000A02AB">
        <w:tab/>
        <w:t>Что касается обучения и подготовки сотрудников полиции по вопросам насилия в семье, то изучение данной проблемы предусмотрено четырехлетн</w:t>
      </w:r>
      <w:r w:rsidRPr="000A02AB">
        <w:t>и</w:t>
      </w:r>
      <w:r w:rsidRPr="000A02AB">
        <w:t>ми программами обучения в Высшей школе полиции и средней школе полиции в Голешове в рамках следующих курсов: законодательство, борьба с престу</w:t>
      </w:r>
      <w:r w:rsidRPr="000A02AB">
        <w:t>п</w:t>
      </w:r>
      <w:r w:rsidRPr="000A02AB">
        <w:t>ностью, основы гражданства и права, семинарские занятия по обществовед</w:t>
      </w:r>
      <w:r w:rsidRPr="000A02AB">
        <w:t>е</w:t>
      </w:r>
      <w:r w:rsidRPr="000A02AB">
        <w:t>нию, информационно-коммуникационные технологии и безопасность. В сфере высшего образования соответствующие вопросы включены во все программы обучения в рамках отдельных модулей/дисциплин, к числу которых относятся уголовное право, полицейская охрана общественного порядка, борьба с пр</w:t>
      </w:r>
      <w:r w:rsidRPr="000A02AB">
        <w:t>е</w:t>
      </w:r>
      <w:r w:rsidRPr="000A02AB">
        <w:t>ступностью, криминология, психология, культурное многообразие, коммун</w:t>
      </w:r>
      <w:r w:rsidRPr="000A02AB">
        <w:t>и</w:t>
      </w:r>
      <w:r w:rsidRPr="000A02AB">
        <w:t>кация и полицейская этика, административное право, этика, психология для сотрудников дорожной полиции и социология для сотрудников дорожной п</w:t>
      </w:r>
      <w:r w:rsidRPr="000A02AB">
        <w:t>о</w:t>
      </w:r>
      <w:r w:rsidRPr="000A02AB">
        <w:t>лиции. Ключевое значение для обучения полицейских имеет учебный модуль "Насилие в семье" I и II, цель которого заключается в обеспечении знаний и формировании навыков в области практического осуществления решений о выселении из жилища. Этот модуль включает информацию относительно зак</w:t>
      </w:r>
      <w:r w:rsidRPr="000A02AB">
        <w:t>о</w:t>
      </w:r>
      <w:r w:rsidRPr="000A02AB">
        <w:t>нодательства о насилии в семье в правовой системе Чешской Республики, це</w:t>
      </w:r>
      <w:r w:rsidRPr="000A02AB">
        <w:t>н</w:t>
      </w:r>
      <w:r w:rsidRPr="000A02AB">
        <w:t>трах экстренной помощи и их значимости, гражданских ассоциациях, заним</w:t>
      </w:r>
      <w:r w:rsidRPr="000A02AB">
        <w:t>а</w:t>
      </w:r>
      <w:r w:rsidRPr="000A02AB">
        <w:t>ющихся оказанием помощи жертвам насилия в семье, анализа регламентации понятия "выселение" в Законе о полиции, решения о выселении, его основных составляющих и других связанных с ним действий полиции, контроля за в</w:t>
      </w:r>
      <w:r w:rsidRPr="000A02AB">
        <w:t>ы</w:t>
      </w:r>
      <w:r w:rsidRPr="000A02AB">
        <w:t>полнением решения о выселении из общего домохозяйства и мер наказания за нарушение решения о выселении.</w:t>
      </w:r>
    </w:p>
    <w:p w:rsidR="00170278" w:rsidRPr="000A02AB" w:rsidRDefault="00170278" w:rsidP="000A02AB">
      <w:pPr>
        <w:pStyle w:val="SingleTxt"/>
      </w:pPr>
      <w:r w:rsidRPr="000A02AB">
        <w:t>64.</w:t>
      </w:r>
      <w:r w:rsidRPr="000A02AB">
        <w:tab/>
        <w:t>Преподаватели полицейских школ, находящихся в ведении МВД, и с</w:t>
      </w:r>
      <w:r w:rsidRPr="000A02AB">
        <w:t>о</w:t>
      </w:r>
      <w:r w:rsidRPr="000A02AB">
        <w:t>трудники полиции также посещают практикумы, семинары и лекции, напр</w:t>
      </w:r>
      <w:r w:rsidRPr="000A02AB">
        <w:t>и</w:t>
      </w:r>
      <w:r w:rsidRPr="000A02AB">
        <w:t>мер, в рамках обучения на организованных Полицейским президиумом Че</w:t>
      </w:r>
      <w:r w:rsidRPr="000A02AB">
        <w:t>ш</w:t>
      </w:r>
      <w:r w:rsidRPr="000A02AB">
        <w:t>ской Республики курсах подготовки п</w:t>
      </w:r>
      <w:r w:rsidR="0010549D" w:rsidRPr="000A02AB">
        <w:t>реподавателей согласно Закону № </w:t>
      </w:r>
      <w:r w:rsidRPr="000A02AB">
        <w:t>45/2013 Coll. о жертвах преступлений. Подготовка преподавателей полице</w:t>
      </w:r>
      <w:r w:rsidRPr="000A02AB">
        <w:t>й</w:t>
      </w:r>
      <w:r w:rsidRPr="000A02AB">
        <w:t>ских школ и сотрудников полиции осуществляется на базе целого ряда курсов, организованных Полицейской академией, в рамках которых особое внимание уделяется проблемам насилия в семье.</w:t>
      </w:r>
    </w:p>
    <w:p w:rsidR="00170278" w:rsidRPr="000A02AB" w:rsidRDefault="00170278" w:rsidP="000A02AB">
      <w:pPr>
        <w:pStyle w:val="SingleTxt"/>
      </w:pPr>
      <w:r w:rsidRPr="000A02AB">
        <w:t>65.</w:t>
      </w:r>
      <w:r w:rsidRPr="000A02AB">
        <w:tab/>
        <w:t>В 2010–2011 годах Дирекция полиции общественного порядка (в дал</w:t>
      </w:r>
      <w:r w:rsidRPr="000A02AB">
        <w:t>ь</w:t>
      </w:r>
      <w:r w:rsidRPr="000A02AB">
        <w:t>нейшем просто "ДПОП") совместно с департаментом образования полиции особого назначения и Высшей школой полиции в Брно организовала курсы подготовки двух видов. Первые курсы были предназначены для руководителей отдельных отрядов полиции особого назначения и их заместителей, а вторые</w:t>
      </w:r>
      <w:r w:rsidR="0010549D" w:rsidRPr="000A02AB">
        <w:t> </w:t>
      </w:r>
      <w:r w:rsidRPr="000A02AB">
        <w:t>– для сотрудников территориальных управлений полиции особого назначения. В обоих случаях в числе прочих тем затрагивалась проблема насилия в семье (выявление действий, имеющих признаки насилия в семье, оценка угрозы н</w:t>
      </w:r>
      <w:r w:rsidRPr="000A02AB">
        <w:t>о</w:t>
      </w:r>
      <w:r w:rsidRPr="000A02AB">
        <w:t>вого нападения, процедура составления отчетов и обработки сопутствующей документации, судебные отчеты, признаки насилия в семье и т. п.). Курсы по</w:t>
      </w:r>
      <w:r w:rsidRPr="000A02AB">
        <w:t>д</w:t>
      </w:r>
      <w:r w:rsidRPr="000A02AB">
        <w:t>готовки для руководителей и их заместителей также охватывали проблему пр</w:t>
      </w:r>
      <w:r w:rsidRPr="000A02AB">
        <w:t>е</w:t>
      </w:r>
      <w:r w:rsidRPr="000A02AB">
        <w:t>следования (определение данного понятия, оценка опасного преследования) и предоставления краткосрочной защиты. После пилотных испытаний в первом квартале 2011 года курсы обоих видов были поэтапно внедрены в полицейских школах Брно, Голешова и Праги. Полученная информация передается другим сотрудникам полиции в рамках курсов специальной подготовки.</w:t>
      </w:r>
    </w:p>
    <w:p w:rsidR="00170278" w:rsidRPr="000A02AB" w:rsidRDefault="00170278" w:rsidP="000A02AB">
      <w:pPr>
        <w:pStyle w:val="SingleTxt"/>
      </w:pPr>
      <w:r w:rsidRPr="000A02AB">
        <w:t>66.</w:t>
      </w:r>
      <w:r w:rsidRPr="000A02AB">
        <w:tab/>
        <w:t>С 2012 года ДПОП принимала участие в разработке новой концепции б</w:t>
      </w:r>
      <w:r w:rsidRPr="000A02AB">
        <w:t>а</w:t>
      </w:r>
      <w:r w:rsidRPr="000A02AB">
        <w:t>зовой подготовки полицейских, которая в настоящее время является единой для всех новых сотрудников полиции вне зависимости от их служебных фун</w:t>
      </w:r>
      <w:r w:rsidRPr="000A02AB">
        <w:t>к</w:t>
      </w:r>
      <w:r w:rsidRPr="000A02AB">
        <w:t>ций. Одна из целей обучения состоит в развитии способности выявлять пр</w:t>
      </w:r>
      <w:r w:rsidRPr="000A02AB">
        <w:t>и</w:t>
      </w:r>
      <w:r w:rsidRPr="000A02AB">
        <w:t>знаки насилия в семье и применять установленный закон. Окончательный в</w:t>
      </w:r>
      <w:r w:rsidRPr="000A02AB">
        <w:t>а</w:t>
      </w:r>
      <w:r w:rsidRPr="000A02AB">
        <w:t>риант программы подготовки уже утвержден, и с декабря 2013 года подготовка осуществляется в соответствии с этой новой концепцией. Наличие базовых знаний по вышеупомянутым вопросам является необходимым условием успешного разрешения дел, имеющих признаки насилия в семье.</w:t>
      </w:r>
    </w:p>
    <w:p w:rsidR="00170278" w:rsidRPr="000A02AB" w:rsidRDefault="00170278" w:rsidP="000A02AB">
      <w:pPr>
        <w:pStyle w:val="SingleTxt"/>
      </w:pPr>
      <w:r w:rsidRPr="000A02AB">
        <w:t>67.</w:t>
      </w:r>
      <w:r w:rsidRPr="000A02AB">
        <w:tab/>
        <w:t>Обучение социальных работников и работников, занимающихся обесп</w:t>
      </w:r>
      <w:r w:rsidRPr="000A02AB">
        <w:t>е</w:t>
      </w:r>
      <w:r w:rsidRPr="000A02AB">
        <w:t>чением социально-правовой защиты детей (в дальнейшем просто "СПЗД"), по вопросам насилия в семье гарантируется и осуществляется МТСД. Подготовку и проверку наличия специальных знаний и навыков организует МВД с пом</w:t>
      </w:r>
      <w:r w:rsidRPr="000A02AB">
        <w:t>о</w:t>
      </w:r>
      <w:r w:rsidRPr="000A02AB">
        <w:t>щью Института государственного управления. Участие в процессе подготовки и проверке умений и навыков принимают сотрудники органов управления м</w:t>
      </w:r>
      <w:r w:rsidRPr="000A02AB">
        <w:t>у</w:t>
      </w:r>
      <w:r w:rsidRPr="000A02AB">
        <w:t>ниципалитетами с расширенными полномочиями и краевых органов управл</w:t>
      </w:r>
      <w:r w:rsidRPr="000A02AB">
        <w:t>е</w:t>
      </w:r>
      <w:r w:rsidRPr="000A02AB">
        <w:t>ния, которым поручено решение проблем социально-правовой защиты детей. Особая часть подготовки к тестированию умений и навыков предполагает р</w:t>
      </w:r>
      <w:r w:rsidRPr="000A02AB">
        <w:t>а</w:t>
      </w:r>
      <w:r w:rsidRPr="000A02AB">
        <w:t>боту с отдельным учебным блоком "Социально-правовая защита в случае насилия в семье". С 2011 года в тестовые вопросы для устной части экзаменов по проверке умений и навыков также входит отдельный вопрос "Социально-правовая защита детей в ситуациях насилия в семье", а с 2014 года вопросы, касающиеся защиты детей от насилия в семье, также включаются в письме</w:t>
      </w:r>
      <w:r w:rsidRPr="000A02AB">
        <w:t>н</w:t>
      </w:r>
      <w:r w:rsidRPr="000A02AB">
        <w:t>ную часть таких экзаменов.</w:t>
      </w:r>
    </w:p>
    <w:p w:rsidR="00170278" w:rsidRPr="000A02AB" w:rsidRDefault="00170278" w:rsidP="000A02AB">
      <w:pPr>
        <w:pStyle w:val="SingleTxt"/>
      </w:pPr>
      <w:r w:rsidRPr="000A02AB">
        <w:t>68.</w:t>
      </w:r>
      <w:r w:rsidRPr="000A02AB">
        <w:tab/>
        <w:t>В 2010 году МТСД опубликовало комплексный документ "Методическая рекомендация № 3/2010 о процедуре социально-правовой защиты детей в сит</w:t>
      </w:r>
      <w:r w:rsidRPr="000A02AB">
        <w:t>у</w:t>
      </w:r>
      <w:r w:rsidRPr="000A02AB">
        <w:t>ациях насилия в семье", выступающий в качестве основного ориентира и рук</w:t>
      </w:r>
      <w:r w:rsidRPr="000A02AB">
        <w:t>о</w:t>
      </w:r>
      <w:r w:rsidRPr="000A02AB">
        <w:t>водства по осуществлению социально-правовой защиты детей в указанных случаях.</w:t>
      </w:r>
    </w:p>
    <w:p w:rsidR="00170278" w:rsidRPr="000A02AB" w:rsidRDefault="00170278" w:rsidP="000A02AB">
      <w:pPr>
        <w:pStyle w:val="SingleTxt"/>
      </w:pPr>
      <w:r w:rsidRPr="000A02AB">
        <w:t>69.</w:t>
      </w:r>
      <w:r w:rsidRPr="000A02AB">
        <w:tab/>
        <w:t>В аспекте защиты детей от насилия в семье данная методическая рек</w:t>
      </w:r>
      <w:r w:rsidRPr="000A02AB">
        <w:t>о</w:t>
      </w:r>
      <w:r w:rsidRPr="000A02AB">
        <w:t>мендация опирается на ключевую идею о том, что ребенка следует рассматр</w:t>
      </w:r>
      <w:r w:rsidRPr="000A02AB">
        <w:t>и</w:t>
      </w:r>
      <w:r w:rsidRPr="000A02AB">
        <w:t>вать в качестве вторичной жертвы насилия в семье даже в том случае, если сам этот ребенок не присутствует при различных нападениях преступника, сове</w:t>
      </w:r>
      <w:r w:rsidRPr="000A02AB">
        <w:t>р</w:t>
      </w:r>
      <w:r w:rsidRPr="000A02AB">
        <w:t>шающего акты насилия в семье в отношении непосредственных жертв. Поз</w:t>
      </w:r>
      <w:r w:rsidRPr="000A02AB">
        <w:t>и</w:t>
      </w:r>
      <w:r w:rsidRPr="000A02AB">
        <w:t>тивное эмоциональное, интеллектуальное и нравственное развитие ребенка всегда подвергается опасности, если этот ребенок растет в домохозяйстве, где имеют место случаи применения насилия в отношениях между другими чл</w:t>
      </w:r>
      <w:r w:rsidRPr="000A02AB">
        <w:t>е</w:t>
      </w:r>
      <w:r w:rsidRPr="000A02AB">
        <w:t>нами семьи, даже если это происходит не на глазах у ребенка. В соответствии с Законом № 359/1999 Coll. о социально-правовой защите детей насилие в отн</w:t>
      </w:r>
      <w:r w:rsidRPr="000A02AB">
        <w:t>о</w:t>
      </w:r>
      <w:r w:rsidRPr="000A02AB">
        <w:t>шениях между родителями или другими лицами, отвечающими за воспитание ребенка, либо насилие в отношениях между другими лицами всегда создает угрозу для ребенка. Согласно Всемирной организации здравоохранения реб</w:t>
      </w:r>
      <w:r w:rsidRPr="000A02AB">
        <w:t>е</w:t>
      </w:r>
      <w:r w:rsidRPr="000A02AB">
        <w:t>нок, являющийся свидетелем насилия в семье, считается подвергающимся психическому насилию, поэтому государство в соответствии с Конвенцией о правах ребенка обязано принять все необходимые меры для обеспечения э</w:t>
      </w:r>
      <w:r w:rsidRPr="000A02AB">
        <w:t>ф</w:t>
      </w:r>
      <w:r w:rsidRPr="000A02AB">
        <w:t>фективной защиты такого ребенка, которому угрожает опасность.</w:t>
      </w:r>
    </w:p>
    <w:p w:rsidR="00170278" w:rsidRPr="000A02AB" w:rsidRDefault="00170278" w:rsidP="000A02AB">
      <w:pPr>
        <w:pStyle w:val="SingleTxt"/>
      </w:pPr>
      <w:r w:rsidRPr="000A02AB">
        <w:t>70.</w:t>
      </w:r>
      <w:r w:rsidRPr="000A02AB">
        <w:tab/>
        <w:t>В 2010 году МТСД предоставило средства на публикацию информацио</w:t>
      </w:r>
      <w:r w:rsidRPr="000A02AB">
        <w:t>н</w:t>
      </w:r>
      <w:r w:rsidRPr="000A02AB">
        <w:t>ной брошюры организации "proFem" "Ваше право! – Первая правовая помощь женщинам, ставшим жертвами насилия в семье", которая бесплатно распр</w:t>
      </w:r>
      <w:r w:rsidRPr="000A02AB">
        <w:t>о</w:t>
      </w:r>
      <w:r w:rsidRPr="000A02AB">
        <w:t>странялась в целях ее практического использования во всех органах социал</w:t>
      </w:r>
      <w:r w:rsidRPr="000A02AB">
        <w:t>ь</w:t>
      </w:r>
      <w:r w:rsidRPr="000A02AB">
        <w:t>но-правовой защиты детей.</w:t>
      </w:r>
    </w:p>
    <w:p w:rsidR="00170278" w:rsidRPr="000A02AB" w:rsidRDefault="00170278" w:rsidP="000A02AB">
      <w:pPr>
        <w:pStyle w:val="SingleTxt"/>
      </w:pPr>
      <w:r w:rsidRPr="000A02AB">
        <w:t>71.</w:t>
      </w:r>
      <w:r w:rsidRPr="000A02AB">
        <w:tab/>
        <w:t>В 2008 году с целью унификации процедур, применяемых врачами при оказании медицинской помощи жертвам насилия в семье, МЗ опубликовало методический документ "Процедура, соблюдаемая врачами при оказании м</w:t>
      </w:r>
      <w:r w:rsidRPr="000A02AB">
        <w:t>е</w:t>
      </w:r>
      <w:r w:rsidRPr="000A02AB">
        <w:t>дицинской помощи жертвам насилия в семье". Он может применяться даже в тех случаях, когда наличие угрозы насилия в семье только предполагается, а также использоваться другими медицинскими работниками. К этому докуме</w:t>
      </w:r>
      <w:r w:rsidRPr="000A02AB">
        <w:t>н</w:t>
      </w:r>
      <w:r w:rsidRPr="000A02AB">
        <w:t>ту также прилагаются ссылки на сайты соответствующих организаций, пред</w:t>
      </w:r>
      <w:r w:rsidRPr="000A02AB">
        <w:t>о</w:t>
      </w:r>
      <w:r w:rsidRPr="000A02AB">
        <w:t>ставляющих помощь жертвам насилия в семье. В контексте непрерывного о</w:t>
      </w:r>
      <w:r w:rsidRPr="000A02AB">
        <w:t>б</w:t>
      </w:r>
      <w:r w:rsidRPr="000A02AB">
        <w:t>разования медицинского персонала МЗ сертифицировало курс под названием "Оказание технической помощи пациентам, подвергающимся риску насилия в семье: проект для неврачебного персонала".</w:t>
      </w:r>
    </w:p>
    <w:p w:rsidR="00170278" w:rsidRPr="000A02AB" w:rsidRDefault="00170278" w:rsidP="000A02AB">
      <w:pPr>
        <w:pStyle w:val="SingleTxt"/>
      </w:pPr>
      <w:r w:rsidRPr="000A02AB">
        <w:t>72.</w:t>
      </w:r>
      <w:r w:rsidRPr="000A02AB">
        <w:tab/>
        <w:t>Обучение судей и прокуроров по вопросам насилия в семье обеспечив</w:t>
      </w:r>
      <w:r w:rsidRPr="000A02AB">
        <w:t>а</w:t>
      </w:r>
      <w:r w:rsidRPr="000A02AB">
        <w:t>ется Судебной академией. В последние годы оно ориентировано главным обр</w:t>
      </w:r>
      <w:r w:rsidRPr="000A02AB">
        <w:t>а</w:t>
      </w:r>
      <w:r w:rsidRPr="000A02AB">
        <w:t>зом на применение нового Закона № 45/2013 Coll. о жертвах преступлений (включая право на защиту от повторной виктимизации со стороны правопр</w:t>
      </w:r>
      <w:r w:rsidRPr="000A02AB">
        <w:t>и</w:t>
      </w:r>
      <w:r w:rsidRPr="000A02AB">
        <w:t>менительных органов в рамках уголовного производства), временные меры по предотвращению насилия в семье или право жертв в ходе уголовного процесса. Судебная академия также организует специальную подготовку, в рамках кот</w:t>
      </w:r>
      <w:r w:rsidRPr="000A02AB">
        <w:t>о</w:t>
      </w:r>
      <w:r w:rsidRPr="000A02AB">
        <w:t>рой основное внимание уделяется насилию в семье, а именно семинар на тему "Насилие в семье с позиции уголовного права". Наряду с этим осуществляется обучение в области гражданского судопроизводства, в ходе которого рассма</w:t>
      </w:r>
      <w:r w:rsidRPr="000A02AB">
        <w:t>т</w:t>
      </w:r>
      <w:r w:rsidRPr="000A02AB">
        <w:t>риваются положения Закона № 89/2012 Coll. (Гражданский кодекс), касающи</w:t>
      </w:r>
      <w:r w:rsidRPr="000A02AB">
        <w:t>е</w:t>
      </w:r>
      <w:r w:rsidRPr="000A02AB">
        <w:t>ся насилия в семье, и процедуры, предусмотренные Законом № 292/2013 Coll. о специальном судопроизводстве.</w:t>
      </w:r>
    </w:p>
    <w:p w:rsidR="0010549D" w:rsidRPr="000A02AB" w:rsidRDefault="0010549D" w:rsidP="000A02AB">
      <w:pPr>
        <w:pStyle w:val="SingleTxt"/>
        <w:spacing w:after="0" w:line="120" w:lineRule="exact"/>
        <w:rPr>
          <w:sz w:val="10"/>
        </w:rPr>
      </w:pPr>
    </w:p>
    <w:p w:rsidR="0010549D" w:rsidRPr="000A02AB" w:rsidRDefault="0010549D" w:rsidP="000A02AB">
      <w:pPr>
        <w:pStyle w:val="SingleTxt"/>
        <w:spacing w:after="0" w:line="120" w:lineRule="exact"/>
        <w:rPr>
          <w:sz w:val="10"/>
        </w:rPr>
      </w:pPr>
    </w:p>
    <w:p w:rsidR="00170278" w:rsidRPr="000A02AB" w:rsidRDefault="00170278" w:rsidP="000A02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pPr>
      <w:r w:rsidRPr="000A02AB">
        <w:tab/>
      </w:r>
      <w:r w:rsidRPr="000A02AB">
        <w:tab/>
      </w:r>
      <w:bookmarkStart w:id="8" w:name="_Toc415654602"/>
      <w:r w:rsidRPr="000A02AB">
        <w:t>Изнасилование</w:t>
      </w:r>
      <w:bookmarkEnd w:id="8"/>
    </w:p>
    <w:p w:rsidR="0010549D" w:rsidRPr="000A02AB" w:rsidRDefault="0010549D" w:rsidP="000A02AB">
      <w:pPr>
        <w:pStyle w:val="SingleTxt"/>
        <w:spacing w:after="0" w:line="120" w:lineRule="exact"/>
        <w:rPr>
          <w:sz w:val="10"/>
        </w:rPr>
      </w:pPr>
    </w:p>
    <w:p w:rsidR="0010549D" w:rsidRPr="000A02AB" w:rsidRDefault="0010549D" w:rsidP="000A02AB">
      <w:pPr>
        <w:pStyle w:val="SingleTxt"/>
        <w:spacing w:after="0" w:line="120" w:lineRule="exact"/>
        <w:rPr>
          <w:sz w:val="10"/>
        </w:rPr>
      </w:pPr>
    </w:p>
    <w:p w:rsidR="00170278" w:rsidRPr="000A02AB" w:rsidRDefault="00170278" w:rsidP="000A02AB">
      <w:pPr>
        <w:pStyle w:val="SingleTxt"/>
      </w:pPr>
      <w:r w:rsidRPr="000A02AB">
        <w:t>73.</w:t>
      </w:r>
      <w:r w:rsidRPr="000A02AB">
        <w:tab/>
        <w:t>Согласно действующему определению изнасилования, предусмотренному §</w:t>
      </w:r>
      <w:r w:rsidR="0010549D" w:rsidRPr="000A02AB">
        <w:t> </w:t>
      </w:r>
      <w:r w:rsidRPr="000A02AB">
        <w:t>185 Закона № 40/2009 Coll. (Уголовный кодекс), изнасилование представляет собой половое сношение, вступить в которое то или иное лицо было вынужд</w:t>
      </w:r>
      <w:r w:rsidRPr="000A02AB">
        <w:t>е</w:t>
      </w:r>
      <w:r w:rsidRPr="000A02AB">
        <w:t>но по причине насилия, угрозы его применения либо другой серьезной травмы, или ситуацию, когда в целях совершения данного преступления было злонам</w:t>
      </w:r>
      <w:r w:rsidRPr="000A02AB">
        <w:t>е</w:t>
      </w:r>
      <w:r w:rsidRPr="000A02AB">
        <w:t>ренно использовано беззащитное положение этого лица. Данное определение уточняется в прецедентном праве Верховного суда. В этом контексте, в частн</w:t>
      </w:r>
      <w:r w:rsidRPr="000A02AB">
        <w:t>о</w:t>
      </w:r>
      <w:r w:rsidRPr="000A02AB">
        <w:t>сти, можно упомянуть решение Верховного с</w:t>
      </w:r>
      <w:r w:rsidR="0010549D" w:rsidRPr="000A02AB">
        <w:t>уда под регистрационным ном</w:t>
      </w:r>
      <w:r w:rsidR="0010549D" w:rsidRPr="000A02AB">
        <w:t>е</w:t>
      </w:r>
      <w:r w:rsidR="0010549D" w:rsidRPr="000A02AB">
        <w:t>ром </w:t>
      </w:r>
      <w:r w:rsidRPr="000A02AB">
        <w:t>7 Tdo 995/2010 от 1 сентября 2010 года, в котором Верховный суд истолк</w:t>
      </w:r>
      <w:r w:rsidRPr="000A02AB">
        <w:t>о</w:t>
      </w:r>
      <w:r w:rsidRPr="000A02AB">
        <w:t>вал определение преступления изнасилования следующим образом: "Престу</w:t>
      </w:r>
      <w:r w:rsidRPr="000A02AB">
        <w:t>п</w:t>
      </w:r>
      <w:r w:rsidRPr="000A02AB">
        <w:t>ление изнасилования в соответствии с пункт</w:t>
      </w:r>
      <w:r w:rsidR="0010549D" w:rsidRPr="000A02AB">
        <w:t>ом 1 §241 Уголовного кодекса (с </w:t>
      </w:r>
      <w:r w:rsidRPr="000A02AB">
        <w:t>поправками, внесенными 31 декабря 2009 года, и с 1 января 2010 год</w:t>
      </w:r>
      <w:r w:rsidR="0010549D" w:rsidRPr="000A02AB">
        <w:t>а с</w:t>
      </w:r>
      <w:r w:rsidR="0010549D" w:rsidRPr="000A02AB">
        <w:t>о</w:t>
      </w:r>
      <w:r w:rsidR="0010549D" w:rsidRPr="000A02AB">
        <w:t>гласно пункту </w:t>
      </w:r>
      <w:r w:rsidRPr="000A02AB">
        <w:t>1 §185 Уголовного кодекса) могло быть совершено двумя спос</w:t>
      </w:r>
      <w:r w:rsidRPr="000A02AB">
        <w:t>о</w:t>
      </w:r>
      <w:r w:rsidRPr="000A02AB">
        <w:t>бами. Первым вариантом являлся акт, в ходе которого преступник путем нас</w:t>
      </w:r>
      <w:r w:rsidRPr="000A02AB">
        <w:t>и</w:t>
      </w:r>
      <w:r w:rsidRPr="000A02AB">
        <w:t>лия или угрозы его немедленного применения вынудил другое лицо вступить в половое сношение или совершить иное действие аналогичного характера. Вт</w:t>
      </w:r>
      <w:r w:rsidRPr="000A02AB">
        <w:t>о</w:t>
      </w:r>
      <w:r w:rsidRPr="000A02AB">
        <w:t>рым вариантом являлся акт, совершая который преступник злоупотреблял бе</w:t>
      </w:r>
      <w:r w:rsidRPr="000A02AB">
        <w:t>з</w:t>
      </w:r>
      <w:r w:rsidRPr="000A02AB">
        <w:t>защи</w:t>
      </w:r>
      <w:r w:rsidRPr="000A02AB">
        <w:t>т</w:t>
      </w:r>
      <w:r w:rsidRPr="000A02AB">
        <w:t>ностью другого лица с целью вступить в половое сношение с этим лицом или совершить иные действия аналогичного характера. Насилие или угроза его немедленного применения не являлись общей характерной чертой обоих вар</w:t>
      </w:r>
      <w:r w:rsidRPr="000A02AB">
        <w:t>и</w:t>
      </w:r>
      <w:r w:rsidRPr="000A02AB">
        <w:t>антов и имели место лишь в первом из них. При отсутствии признаков насилия или угрозы его немедленного применения во втором варианте совершается злоупотребление беззащитным положением. Последний из указанных вариа</w:t>
      </w:r>
      <w:r w:rsidRPr="000A02AB">
        <w:t>н</w:t>
      </w:r>
      <w:r w:rsidRPr="000A02AB">
        <w:t>тов не предполагает добавления к признакам, перечисленным в первом вариа</w:t>
      </w:r>
      <w:r w:rsidRPr="000A02AB">
        <w:t>н</w:t>
      </w:r>
      <w:r w:rsidRPr="000A02AB">
        <w:t>те, злоупотребления беззащитным положением". Нынешнее определение пр</w:t>
      </w:r>
      <w:r w:rsidRPr="000A02AB">
        <w:t>е</w:t>
      </w:r>
      <w:r w:rsidRPr="000A02AB">
        <w:t>ступления изнасилования в §185 Закона № 40/2009. Coll. (Уголовный кодекс) рассчитано на более широкую сферу охвата и применимо также к случаям п</w:t>
      </w:r>
      <w:r w:rsidRPr="000A02AB">
        <w:t>о</w:t>
      </w:r>
      <w:r w:rsidRPr="000A02AB">
        <w:t>лового сношения, которое не было осуществлено посредством совокупления (коитуса) или каких-либо сопоставимых действий.</w:t>
      </w:r>
    </w:p>
    <w:p w:rsidR="00170278" w:rsidRPr="000A02AB" w:rsidRDefault="00170278" w:rsidP="000A02AB">
      <w:pPr>
        <w:pStyle w:val="SingleTxt"/>
      </w:pPr>
      <w:r w:rsidRPr="000A02AB">
        <w:t>74.</w:t>
      </w:r>
      <w:r w:rsidRPr="000A02AB">
        <w:tab/>
        <w:t>Согласно установившейся практике Верховного суда суть полового сн</w:t>
      </w:r>
      <w:r w:rsidRPr="000A02AB">
        <w:t>о</w:t>
      </w:r>
      <w:r w:rsidRPr="000A02AB">
        <w:t>шения состоит в соединении половых органов мужчины и женщины. При др</w:t>
      </w:r>
      <w:r w:rsidRPr="000A02AB">
        <w:t>у</w:t>
      </w:r>
      <w:r w:rsidRPr="000A02AB">
        <w:t>гих аналогичных формах полового сношения данное понятие применимо к случаям, когда соединения половых органов мужчины и женщины не происх</w:t>
      </w:r>
      <w:r w:rsidRPr="000A02AB">
        <w:t>о</w:t>
      </w:r>
      <w:r w:rsidRPr="000A02AB">
        <w:t>дит. Характер аналогичных форм полового сношения в этих случаях обычно определяется тем обстоятельством, что половой орган одной из контактиру</w:t>
      </w:r>
      <w:r w:rsidRPr="000A02AB">
        <w:t>ю</w:t>
      </w:r>
      <w:r w:rsidRPr="000A02AB">
        <w:t>щих сторон заменяется другой частью тела. Сказанное относится, с одной ст</w:t>
      </w:r>
      <w:r w:rsidRPr="000A02AB">
        <w:t>о</w:t>
      </w:r>
      <w:r w:rsidRPr="000A02AB">
        <w:t>роны, к случаям, когда половые органы помещаются в различные части же</w:t>
      </w:r>
      <w:r w:rsidRPr="000A02AB">
        <w:t>н</w:t>
      </w:r>
      <w:r w:rsidRPr="000A02AB">
        <w:t>ского тела, например в рот, прямую кишку или подмышечную впадину, и, с другой стороны, к случаям, когда женский половой орган находится в контакте не с мужским половым органом, а с другими частями тела (ртом, языком, вставленными внутрь пальцами), или когда преступник помещает какой-либо объект в женский половой орган. В случае полового сношения, при котором задействован половой орган лишь одной из сторон, следует сделать вывод, что такой контакт аналогичен коитусу. Подобием полового сношения также явл</w:t>
      </w:r>
      <w:r w:rsidRPr="000A02AB">
        <w:t>я</w:t>
      </w:r>
      <w:r w:rsidRPr="000A02AB">
        <w:t>ется мастурбация как действия, имитирующие фрикции во время коитуса.</w:t>
      </w:r>
    </w:p>
    <w:p w:rsidR="00170278" w:rsidRPr="000A02AB" w:rsidRDefault="00170278" w:rsidP="000A02AB">
      <w:pPr>
        <w:pStyle w:val="SingleTxt"/>
      </w:pPr>
      <w:r w:rsidRPr="000A02AB">
        <w:t>75.</w:t>
      </w:r>
      <w:r w:rsidRPr="000A02AB">
        <w:tab/>
        <w:t>Как показывают другие решения Верховного суда под регистрационным номером 3 Tdo 929/2011-37 от 24 августа 2011 года, понятие злоупотребления беззащитностью другого лица трактуется в широком смысле и применяется не только к состоянию абсолютной беззащитности. В этом решении Верховный суд в числе прочего отмечает, что состояние беззащитности, упоминаемое в определении изнасилования, "включает не только абсолютную беззащитность, т. е. положение, при котором пострадавшее лицо не может выразить свою волю относительно полового сношения с преступником либо не может оказать ник</w:t>
      </w:r>
      <w:r w:rsidRPr="000A02AB">
        <w:t>а</w:t>
      </w:r>
      <w:r w:rsidRPr="000A02AB">
        <w:t>кого сопротивления, но и ситуацию, при которой эти возможности резко с</w:t>
      </w:r>
      <w:r w:rsidRPr="000A02AB">
        <w:t>о</w:t>
      </w:r>
      <w:r w:rsidRPr="000A02AB">
        <w:t>кращаются (ограничиваются)"</w:t>
      </w:r>
      <w:r w:rsidRPr="000A02AB">
        <w:rPr>
          <w:rStyle w:val="FootnoteReference"/>
        </w:rPr>
        <w:footnoteReference w:id="21"/>
      </w:r>
      <w:r w:rsidRPr="000A02AB">
        <w:t>. В этом отношении практика Верховного суда позволяет сделать вывод, что преступники признаются виновными даже в тех случаях, когда жертва не оказывает активного сопротивления либо не выраж</w:t>
      </w:r>
      <w:r w:rsidRPr="000A02AB">
        <w:t>а</w:t>
      </w:r>
      <w:r w:rsidRPr="000A02AB">
        <w:t>ет явного несогласия с действиями преступника, если имеются надежные док</w:t>
      </w:r>
      <w:r w:rsidRPr="000A02AB">
        <w:t>а</w:t>
      </w:r>
      <w:r w:rsidRPr="000A02AB">
        <w:t>зательства того, что данное лицо не заявило о своем отказе вступать в половое сношение по причине страха или беспокойства по поводу дальнейших де</w:t>
      </w:r>
      <w:r w:rsidRPr="000A02AB">
        <w:t>й</w:t>
      </w:r>
      <w:r w:rsidRPr="000A02AB">
        <w:t>ствий преступника либо по причине того, что данное лицо тем или иным обр</w:t>
      </w:r>
      <w:r w:rsidRPr="000A02AB">
        <w:t>а</w:t>
      </w:r>
      <w:r w:rsidRPr="000A02AB">
        <w:t>зом зависит от преступника. В связи с этим необходимо подчеркивать индив</w:t>
      </w:r>
      <w:r w:rsidRPr="000A02AB">
        <w:t>и</w:t>
      </w:r>
      <w:r w:rsidRPr="000A02AB">
        <w:t>дуальные (уникальные) особенности каждого конкретного случая наряду с проведением тщательной оценки того, каким образом пострадавшая сторона реагирует на нападение.</w:t>
      </w:r>
    </w:p>
    <w:p w:rsidR="0010549D" w:rsidRPr="000A02AB" w:rsidRDefault="0010549D" w:rsidP="000A02AB">
      <w:pPr>
        <w:pStyle w:val="SingleTxt"/>
        <w:spacing w:after="0" w:line="120" w:lineRule="exact"/>
        <w:rPr>
          <w:sz w:val="10"/>
        </w:rPr>
      </w:pPr>
    </w:p>
    <w:p w:rsidR="0010549D" w:rsidRPr="000A02AB" w:rsidRDefault="0010549D" w:rsidP="000A02AB">
      <w:pPr>
        <w:pStyle w:val="SingleTxt"/>
        <w:spacing w:after="0" w:line="120" w:lineRule="exact"/>
        <w:rPr>
          <w:sz w:val="10"/>
        </w:rPr>
      </w:pPr>
    </w:p>
    <w:p w:rsidR="00170278" w:rsidRPr="000A02AB" w:rsidRDefault="0010549D" w:rsidP="000A02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rPr>
          <w:sz w:val="10"/>
        </w:rPr>
      </w:pPr>
      <w:r w:rsidRPr="000A02AB">
        <w:br w:type="page"/>
      </w:r>
      <w:r w:rsidR="00170278" w:rsidRPr="000A02AB">
        <w:tab/>
      </w:r>
      <w:r w:rsidR="00170278" w:rsidRPr="000A02AB">
        <w:tab/>
      </w:r>
      <w:bookmarkStart w:id="9" w:name="_Toc415654603"/>
      <w:r w:rsidR="00170278" w:rsidRPr="000A02AB">
        <w:t>Международное сотрудничество в области развития</w:t>
      </w:r>
      <w:bookmarkEnd w:id="9"/>
      <w:r w:rsidR="00170278" w:rsidRPr="000A02AB">
        <w:t xml:space="preserve"> </w:t>
      </w:r>
    </w:p>
    <w:p w:rsidR="0010549D" w:rsidRPr="000A02AB" w:rsidRDefault="0010549D" w:rsidP="000A02AB">
      <w:pPr>
        <w:pStyle w:val="SingleTxt"/>
        <w:spacing w:after="0" w:line="120" w:lineRule="exact"/>
        <w:rPr>
          <w:sz w:val="10"/>
        </w:rPr>
      </w:pPr>
    </w:p>
    <w:p w:rsidR="0010549D" w:rsidRPr="000A02AB" w:rsidRDefault="0010549D" w:rsidP="000A02AB">
      <w:pPr>
        <w:pStyle w:val="SingleTxt"/>
        <w:spacing w:after="0" w:line="120" w:lineRule="exact"/>
        <w:rPr>
          <w:sz w:val="10"/>
        </w:rPr>
      </w:pPr>
    </w:p>
    <w:p w:rsidR="00170278" w:rsidRPr="000A02AB" w:rsidRDefault="00170278" w:rsidP="000A02AB">
      <w:pPr>
        <w:pStyle w:val="SingleTxt"/>
      </w:pPr>
      <w:r w:rsidRPr="000A02AB">
        <w:t>76.</w:t>
      </w:r>
      <w:r w:rsidRPr="000A02AB">
        <w:tab/>
        <w:t>Принципы гендерного равенства и соблюдения прав</w:t>
      </w:r>
      <w:r w:rsidR="009B4026" w:rsidRPr="000A02AB">
        <w:t> человек</w:t>
      </w:r>
      <w:r w:rsidRPr="000A02AB">
        <w:t>а закреплены в документах о политике, касающейся участия Чешской Республики в межд</w:t>
      </w:r>
      <w:r w:rsidRPr="000A02AB">
        <w:t>у</w:t>
      </w:r>
      <w:r w:rsidRPr="000A02AB">
        <w:t>народном сотрудничестве в области развития, и ее осуществлении в качестве первоочередной задачи деятельности в различных областях. В соответствии с этой первоочередной задачей Чешская Республика старается применять по</w:t>
      </w:r>
      <w:r w:rsidRPr="000A02AB">
        <w:t>д</w:t>
      </w:r>
      <w:r w:rsidRPr="000A02AB">
        <w:t>ход, ориентированный на обеспечение гендерного равенства, при составлении программ и реализации и оценке проектов в области развития, направленных на достижение Целей развития тысячелетия. В число конкретных проектов, к</w:t>
      </w:r>
      <w:r w:rsidRPr="000A02AB">
        <w:t>а</w:t>
      </w:r>
      <w:r w:rsidRPr="000A02AB">
        <w:t>сающихся участия Чехии в международном сотрудничестве в области развития в 2013 году, в частности, входят мероприятия по просвещению женщин и дев</w:t>
      </w:r>
      <w:r w:rsidRPr="000A02AB">
        <w:t>о</w:t>
      </w:r>
      <w:r w:rsidRPr="000A02AB">
        <w:t>чек (Афганистан, Босния и Герцеговина, Сенегал и Судан), проекты в области охраны здоровья и питания беременных женщин и матерей с маленькими детьми и профилактика и лечение характерных для женщин форм рака (Грузия, Замбия, Камбоджа и Центральноафриканская Республика). В рамках проектов, связанных с интеграцией обездоленных лиц в сфере образования и на рынке труда, серьезное внимание также уделяется гендерному аспекту. Кроме того, отдельные проекты ориентированы на жертв насилия в семье (Грузия, Пак</w:t>
      </w:r>
      <w:r w:rsidRPr="000A02AB">
        <w:t>и</w:t>
      </w:r>
      <w:r w:rsidRPr="000A02AB">
        <w:t>стан и Сербия).</w:t>
      </w:r>
    </w:p>
    <w:p w:rsidR="00170278" w:rsidRPr="000A02AB" w:rsidRDefault="00170278" w:rsidP="000A02AB">
      <w:pPr>
        <w:pStyle w:val="SingleTxt"/>
      </w:pPr>
      <w:r w:rsidRPr="000A02AB">
        <w:t>77.</w:t>
      </w:r>
      <w:r w:rsidRPr="000A02AB">
        <w:tab/>
        <w:t>Ниже перечислены документы, в числе прочих принятые под руково</w:t>
      </w:r>
      <w:r w:rsidRPr="000A02AB">
        <w:t>д</w:t>
      </w:r>
      <w:r w:rsidRPr="000A02AB">
        <w:t>ством МИД в период с 2008 по 2014 год, в которых соблюдение принципа р</w:t>
      </w:r>
      <w:r w:rsidRPr="000A02AB">
        <w:t>а</w:t>
      </w:r>
      <w:r w:rsidRPr="000A02AB">
        <w:t>венства мужчин и женщин указано в качестве первоочередной задачи в ра</w:t>
      </w:r>
      <w:r w:rsidRPr="000A02AB">
        <w:t>з</w:t>
      </w:r>
      <w:r w:rsidRPr="000A02AB">
        <w:t xml:space="preserve">личных областях: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tab/>
      </w:r>
      <w:r w:rsidRPr="000A02AB">
        <w:rPr>
          <w:szCs w:val="20"/>
        </w:rPr>
        <w:t>•</w:t>
      </w:r>
      <w:r w:rsidRPr="000A02AB">
        <w:rPr>
          <w:szCs w:val="20"/>
        </w:rPr>
        <w:tab/>
        <w:t>Концепция участия Чешской Республики в международном сотруднич</w:t>
      </w:r>
      <w:r w:rsidRPr="000A02AB">
        <w:rPr>
          <w:szCs w:val="20"/>
        </w:rPr>
        <w:t>е</w:t>
      </w:r>
      <w:r w:rsidRPr="000A02AB">
        <w:rPr>
          <w:szCs w:val="20"/>
        </w:rPr>
        <w:t>стве в области развития на период 2010–2017 годов (включает установл</w:t>
      </w:r>
      <w:r w:rsidRPr="000A02AB">
        <w:rPr>
          <w:szCs w:val="20"/>
        </w:rPr>
        <w:t>е</w:t>
      </w:r>
      <w:r w:rsidRPr="000A02AB">
        <w:rPr>
          <w:szCs w:val="20"/>
        </w:rPr>
        <w:t>ние гендерного равенства и соблюдение основных прав</w:t>
      </w:r>
      <w:r w:rsidR="009853B6" w:rsidRPr="000A02AB">
        <w:rPr>
          <w:szCs w:val="20"/>
        </w:rPr>
        <w:t xml:space="preserve"> </w:t>
      </w:r>
      <w:r w:rsidR="009B4026" w:rsidRPr="000A02AB">
        <w:rPr>
          <w:szCs w:val="20"/>
        </w:rPr>
        <w:t>человек</w:t>
      </w:r>
      <w:r w:rsidRPr="000A02AB">
        <w:rPr>
          <w:szCs w:val="20"/>
        </w:rPr>
        <w:t>а и экон</w:t>
      </w:r>
      <w:r w:rsidRPr="000A02AB">
        <w:rPr>
          <w:szCs w:val="20"/>
        </w:rPr>
        <w:t>о</w:t>
      </w:r>
      <w:r w:rsidRPr="000A02AB">
        <w:rPr>
          <w:szCs w:val="20"/>
        </w:rPr>
        <w:t>мических, социальных и трудовых прав лиц, в интересах которых ос</w:t>
      </w:r>
      <w:r w:rsidRPr="000A02AB">
        <w:rPr>
          <w:szCs w:val="20"/>
        </w:rPr>
        <w:t>у</w:t>
      </w:r>
      <w:r w:rsidRPr="000A02AB">
        <w:rPr>
          <w:szCs w:val="20"/>
        </w:rPr>
        <w:t>ществляются проекты, касающиеся участия Чешской Республики в ме</w:t>
      </w:r>
      <w:r w:rsidRPr="000A02AB">
        <w:rPr>
          <w:szCs w:val="20"/>
        </w:rPr>
        <w:t>ж</w:t>
      </w:r>
      <w:r w:rsidRPr="000A02AB">
        <w:rPr>
          <w:szCs w:val="20"/>
        </w:rPr>
        <w:t xml:space="preserve">дународном сотрудничестве в области развития);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Стратегия Чешской Республики в отношении многостороннего сотрудн</w:t>
      </w:r>
      <w:r w:rsidRPr="000A02AB">
        <w:rPr>
          <w:szCs w:val="20"/>
        </w:rPr>
        <w:t>и</w:t>
      </w:r>
      <w:r w:rsidRPr="000A02AB">
        <w:rPr>
          <w:szCs w:val="20"/>
        </w:rPr>
        <w:t>чества в области развития на период 2013–2017 годов (включает обесп</w:t>
      </w:r>
      <w:r w:rsidRPr="000A02AB">
        <w:rPr>
          <w:szCs w:val="20"/>
        </w:rPr>
        <w:t>е</w:t>
      </w:r>
      <w:r w:rsidRPr="000A02AB">
        <w:rPr>
          <w:szCs w:val="20"/>
        </w:rPr>
        <w:t>чение прав женщин, медицинское</w:t>
      </w:r>
      <w:r w:rsidR="009853B6" w:rsidRPr="000A02AB">
        <w:rPr>
          <w:szCs w:val="20"/>
        </w:rPr>
        <w:t xml:space="preserve"> обслуживание, образование и т. </w:t>
      </w:r>
      <w:r w:rsidRPr="000A02AB">
        <w:rPr>
          <w:szCs w:val="20"/>
        </w:rPr>
        <w:t xml:space="preserve">д.);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Методика проектного цикла двусторонних проектов международного с</w:t>
      </w:r>
      <w:r w:rsidRPr="000A02AB">
        <w:rPr>
          <w:szCs w:val="20"/>
        </w:rPr>
        <w:t>о</w:t>
      </w:r>
      <w:r w:rsidRPr="000A02AB">
        <w:rPr>
          <w:szCs w:val="20"/>
        </w:rPr>
        <w:t>трудничества в области развития Чешской Республики (учет гендерного равенства как принципа деятельности в различных областях);</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Pr="000A02AB">
        <w:rPr>
          <w:szCs w:val="20"/>
        </w:rPr>
        <w:tab/>
        <w:t xml:space="preserve">Национальная стратегия глобального развития образования на период 2011–2015 годов (обеспечение гендерного равенства является одним из вопросов глобального развития образования в Чешской Республике). </w:t>
      </w:r>
    </w:p>
    <w:p w:rsidR="00170278" w:rsidRPr="000A02AB" w:rsidRDefault="00170278" w:rsidP="000A02AB">
      <w:pPr>
        <w:pStyle w:val="SingleTxt"/>
      </w:pPr>
      <w:r w:rsidRPr="000A02AB">
        <w:t>78.</w:t>
      </w:r>
      <w:r w:rsidRPr="000A02AB">
        <w:tab/>
        <w:t>На уровне ЕС Чешская Республика принимала участие в реализации пр</w:t>
      </w:r>
      <w:r w:rsidRPr="000A02AB">
        <w:t>о</w:t>
      </w:r>
      <w:r w:rsidRPr="000A02AB">
        <w:t>граммы действий "План действий ЕС по обеспечению гендерного равенства и расширению прав и возможностей женщин в области развития на 2010–2015 годы". Данная программа действий, осуществление которой ежегодно оценивается ЕС, в числе прочего направлена на последовательное включение принципа равенства женщин и мужчин в повестку дня в области развития и политич</w:t>
      </w:r>
      <w:r w:rsidRPr="000A02AB">
        <w:t>е</w:t>
      </w:r>
      <w:r w:rsidRPr="000A02AB">
        <w:t>ский диалог со странами-партнерами.</w:t>
      </w: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0" w:name="_Toc415654604"/>
      <w:r w:rsidRPr="000A02AB">
        <w:t>Статья 3</w:t>
      </w:r>
      <w:r w:rsidRPr="000A02AB">
        <w:br/>
        <w:t>Обеспечение прав</w:t>
      </w:r>
      <w:r w:rsidR="009B4026" w:rsidRPr="000A02AB">
        <w:t> человек</w:t>
      </w:r>
      <w:r w:rsidRPr="000A02AB">
        <w:t>а и основных свобод</w:t>
      </w:r>
      <w:bookmarkEnd w:id="10"/>
    </w:p>
    <w:p w:rsidR="00135D6E" w:rsidRPr="000A02AB" w:rsidRDefault="00135D6E" w:rsidP="000A02AB">
      <w:pPr>
        <w:pStyle w:val="SingleTxt"/>
        <w:spacing w:after="0" w:line="120" w:lineRule="exact"/>
        <w:rPr>
          <w:sz w:val="10"/>
        </w:rPr>
      </w:pPr>
    </w:p>
    <w:p w:rsidR="00135D6E" w:rsidRPr="000A02AB" w:rsidRDefault="00135D6E" w:rsidP="000A02AB">
      <w:pPr>
        <w:pStyle w:val="SingleTxt"/>
        <w:spacing w:after="0" w:line="120" w:lineRule="exact"/>
        <w:rPr>
          <w:sz w:val="10"/>
        </w:rPr>
      </w:pPr>
    </w:p>
    <w:p w:rsidR="00170278" w:rsidRPr="000A02AB" w:rsidRDefault="00170278" w:rsidP="000A02AB">
      <w:pPr>
        <w:pStyle w:val="SingleTxt"/>
      </w:pPr>
      <w:r w:rsidRPr="000A02AB">
        <w:t>79.</w:t>
      </w:r>
      <w:r w:rsidRPr="000A02AB">
        <w:tab/>
        <w:t>Как уже упоминалось выше, ответственность за решение вопросов ге</w:t>
      </w:r>
      <w:r w:rsidRPr="000A02AB">
        <w:t>н</w:t>
      </w:r>
      <w:r w:rsidRPr="000A02AB">
        <w:t>дерного равенства возложена на министра по правам</w:t>
      </w:r>
      <w:r w:rsidR="009B4026" w:rsidRPr="000A02AB">
        <w:t> человек</w:t>
      </w:r>
      <w:r w:rsidRPr="000A02AB">
        <w:t>а, равным во</w:t>
      </w:r>
      <w:r w:rsidRPr="000A02AB">
        <w:t>з</w:t>
      </w:r>
      <w:r w:rsidRPr="000A02AB">
        <w:t>можностям и законодательству. Отдельная должность министра по пр</w:t>
      </w:r>
      <w:r w:rsidRPr="000A02AB">
        <w:t>а</w:t>
      </w:r>
      <w:r w:rsidRPr="000A02AB">
        <w:t>вам</w:t>
      </w:r>
      <w:r w:rsidR="009B4026" w:rsidRPr="000A02AB">
        <w:t> человек</w:t>
      </w:r>
      <w:r w:rsidRPr="000A02AB">
        <w:t>а была восстановлена в январе 2014 года после назначения нового прав</w:t>
      </w:r>
      <w:r w:rsidRPr="000A02AB">
        <w:t>и</w:t>
      </w:r>
      <w:r w:rsidRPr="000A02AB">
        <w:t>тельства (см. статью 1).</w:t>
      </w:r>
    </w:p>
    <w:p w:rsidR="00170278" w:rsidRPr="000A02AB" w:rsidRDefault="00170278" w:rsidP="000A02AB">
      <w:pPr>
        <w:pStyle w:val="SingleTxt"/>
      </w:pPr>
      <w:r w:rsidRPr="000A02AB">
        <w:t>80.</w:t>
      </w:r>
      <w:r w:rsidRPr="000A02AB">
        <w:tab/>
        <w:t>В качестве консультативного органа правительства по вопросам прав</w:t>
      </w:r>
      <w:r w:rsidR="009B4026" w:rsidRPr="000A02AB">
        <w:t> человек</w:t>
      </w:r>
      <w:r w:rsidRPr="000A02AB">
        <w:t>а выступает Правительственный совет по правам</w:t>
      </w:r>
      <w:r w:rsidR="009B4026" w:rsidRPr="000A02AB">
        <w:t> человек</w:t>
      </w:r>
      <w:r w:rsidRPr="000A02AB">
        <w:t>а, пре</w:t>
      </w:r>
      <w:r w:rsidRPr="000A02AB">
        <w:t>д</w:t>
      </w:r>
      <w:r w:rsidRPr="000A02AB">
        <w:t>седателем которого в настоящее время является министр по правам</w:t>
      </w:r>
      <w:r w:rsidR="009B4026" w:rsidRPr="000A02AB">
        <w:t> человек</w:t>
      </w:r>
      <w:r w:rsidRPr="000A02AB">
        <w:t>а, равным возможностям и законодательству Иржи Динстбир. Правительстве</w:t>
      </w:r>
      <w:r w:rsidRPr="000A02AB">
        <w:t>н</w:t>
      </w:r>
      <w:r w:rsidRPr="000A02AB">
        <w:t>ный совет по правам</w:t>
      </w:r>
      <w:r w:rsidR="009B4026" w:rsidRPr="000A02AB">
        <w:t> человек</w:t>
      </w:r>
      <w:r w:rsidRPr="000A02AB">
        <w:t>а и Правительственный совет по вопросу равных возможностей для женщин и мужчин являются консультативными органами, деятельность которых находится в ведении Канцелярии правительства. В настоящее время секретариаты обоих консультативных органов включены в организационную структуру Секции по правам</w:t>
      </w:r>
      <w:r w:rsidR="009B4026" w:rsidRPr="000A02AB">
        <w:t> человек</w:t>
      </w:r>
      <w:r w:rsidRPr="000A02AB">
        <w:t>а Канцелярии прав</w:t>
      </w:r>
      <w:r w:rsidRPr="000A02AB">
        <w:t>и</w:t>
      </w:r>
      <w:r w:rsidRPr="000A02AB">
        <w:t>тельства (Департамент по правам</w:t>
      </w:r>
      <w:r w:rsidR="009B4026" w:rsidRPr="000A02AB">
        <w:t> человек</w:t>
      </w:r>
      <w:r w:rsidRPr="000A02AB">
        <w:t>а и делам меньшинств), которая обеспечивает тесное сотрудничество и взаимосвязь мероприятий Правител</w:t>
      </w:r>
      <w:r w:rsidRPr="000A02AB">
        <w:t>ь</w:t>
      </w:r>
      <w:r w:rsidRPr="000A02AB">
        <w:t>ственного совета по вопросу равных возможностей для женщин и мужчин и Правительственного совета по пр</w:t>
      </w:r>
      <w:r w:rsidRPr="000A02AB">
        <w:t>а</w:t>
      </w:r>
      <w:r w:rsidRPr="000A02AB">
        <w:t>вам</w:t>
      </w:r>
      <w:r w:rsidR="009B4026" w:rsidRPr="000A02AB">
        <w:t> человек</w:t>
      </w:r>
      <w:r w:rsidRPr="000A02AB">
        <w:t>а.</w:t>
      </w:r>
    </w:p>
    <w:p w:rsidR="00170278" w:rsidRPr="000A02AB" w:rsidRDefault="00170278" w:rsidP="000A02AB">
      <w:pPr>
        <w:pStyle w:val="SingleTxt"/>
      </w:pPr>
      <w:r w:rsidRPr="000A02AB">
        <w:t>81.</w:t>
      </w:r>
      <w:r w:rsidRPr="000A02AB">
        <w:tab/>
        <w:t>Что касается ратификации международных конвенций по пр</w:t>
      </w:r>
      <w:r w:rsidRPr="000A02AB">
        <w:t>а</w:t>
      </w:r>
      <w:r w:rsidRPr="000A02AB">
        <w:t>вам</w:t>
      </w:r>
      <w:r w:rsidR="009B4026" w:rsidRPr="000A02AB">
        <w:t> человек</w:t>
      </w:r>
      <w:r w:rsidRPr="000A02AB">
        <w:t>а, то в рассматриваемый период Чешская Республика ратифицир</w:t>
      </w:r>
      <w:r w:rsidRPr="000A02AB">
        <w:t>о</w:t>
      </w:r>
      <w:r w:rsidRPr="000A02AB">
        <w:t>вала Конвенцию Совета Европы о киберпреступности и Дополнительный пр</w:t>
      </w:r>
      <w:r w:rsidRPr="000A02AB">
        <w:t>о</w:t>
      </w:r>
      <w:r w:rsidRPr="000A02AB">
        <w:t>токол к ней и подписала Конвенцию о защите детей от сексуальной эксплуат</w:t>
      </w:r>
      <w:r w:rsidRPr="000A02AB">
        <w:t>а</w:t>
      </w:r>
      <w:r w:rsidRPr="000A02AB">
        <w:t>ции и сексуального насилия. Впоследствии будут ратифицированы и другие конвенции, такие как Конвенция Совета Европы о противодействии торговле людьми или Стамбульская конвенция. Наряду с этим можно упомянуть Гаа</w:t>
      </w:r>
      <w:r w:rsidRPr="000A02AB">
        <w:t>г</w:t>
      </w:r>
      <w:r w:rsidRPr="000A02AB">
        <w:t>скую конвенцию о международной защите совершеннолетних, которая вступ</w:t>
      </w:r>
      <w:r w:rsidRPr="000A02AB">
        <w:t>и</w:t>
      </w:r>
      <w:r w:rsidRPr="000A02AB">
        <w:t>ла в силу в Чешской Республике 1 августа 2012 года. Данная конвенция вкл</w:t>
      </w:r>
      <w:r w:rsidRPr="000A02AB">
        <w:t>ю</w:t>
      </w:r>
      <w:r w:rsidRPr="000A02AB">
        <w:t>чает нормы международного частного права, определяющие порядок обесп</w:t>
      </w:r>
      <w:r w:rsidRPr="000A02AB">
        <w:t>е</w:t>
      </w:r>
      <w:r w:rsidRPr="000A02AB">
        <w:t>чения международной защиты совершеннолетних лиц с тем или иным ра</w:t>
      </w:r>
      <w:r w:rsidRPr="000A02AB">
        <w:t>с</w:t>
      </w:r>
      <w:r w:rsidRPr="000A02AB">
        <w:t>стройством, которое не позволяет им защищать свои личные или имуществе</w:t>
      </w:r>
      <w:r w:rsidRPr="000A02AB">
        <w:t>н</w:t>
      </w:r>
      <w:r w:rsidRPr="000A02AB">
        <w:t>ные интересы.</w:t>
      </w:r>
    </w:p>
    <w:p w:rsidR="00170278" w:rsidRPr="000A02AB" w:rsidRDefault="00170278" w:rsidP="000A02AB">
      <w:pPr>
        <w:pStyle w:val="SingleTxt"/>
      </w:pPr>
      <w:r w:rsidRPr="000A02AB">
        <w:t>82.</w:t>
      </w:r>
      <w:r w:rsidRPr="000A02AB">
        <w:tab/>
        <w:t>В рассматриваемый период также были ратифицированы следующие международные конвенции в области прав</w:t>
      </w:r>
      <w:r w:rsidR="009B4026" w:rsidRPr="000A02AB">
        <w:t> человек</w:t>
      </w:r>
      <w:r w:rsidRPr="000A02AB">
        <w:t xml:space="preserve">а: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t>•</w:t>
      </w:r>
      <w:r w:rsidR="00135D6E" w:rsidRPr="000A02AB">
        <w:tab/>
      </w:r>
      <w:r w:rsidRPr="000A02AB">
        <w:t>Факультативный протокол к Конвенции о правах ребенка, касающийся торговли детьми, детской проституции и детской порнографии (ратиф</w:t>
      </w:r>
      <w:r w:rsidRPr="000A02AB">
        <w:t>и</w:t>
      </w:r>
      <w:r w:rsidRPr="000A02AB">
        <w:t xml:space="preserve">цирован 26 августа 2013 года);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t>•</w:t>
      </w:r>
      <w:r w:rsidRPr="000A02AB">
        <w:tab/>
        <w:t>Конвенция ООН против транснациональной организованной преступн</w:t>
      </w:r>
      <w:r w:rsidRPr="000A02AB">
        <w:t>о</w:t>
      </w:r>
      <w:r w:rsidRPr="000A02AB">
        <w:t xml:space="preserve">сти (ратифицирована 24 сентября 2013 года);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tab/>
      </w:r>
      <w:r w:rsidR="00135D6E" w:rsidRPr="000A02AB">
        <w:t>•</w:t>
      </w:r>
      <w:r w:rsidRPr="000A02AB">
        <w:tab/>
        <w:t>Протокол о предупреждении и пресечении торговли людьми, особенно женщинами и детьми, и наказании за нее (подписан 10 декабря 2002 года, но до сих пор не ратифицирован; ожидает одобрения ратификации пал</w:t>
      </w:r>
      <w:r w:rsidRPr="000A02AB">
        <w:t>а</w:t>
      </w:r>
      <w:r w:rsidRPr="000A02AB">
        <w:t xml:space="preserve">той депутатов, которое может быть дано в ближайшее время). </w:t>
      </w:r>
    </w:p>
    <w:p w:rsidR="00170278" w:rsidRPr="000A02AB" w:rsidRDefault="00135D6E" w:rsidP="000A02AB">
      <w:pPr>
        <w:pStyle w:val="SingleTxt"/>
      </w:pPr>
      <w:r w:rsidRPr="000A02AB">
        <w:br w:type="page"/>
      </w:r>
      <w:r w:rsidR="00170278" w:rsidRPr="000A02AB">
        <w:t>83.</w:t>
      </w:r>
      <w:r w:rsidR="00170278" w:rsidRPr="000A02AB">
        <w:tab/>
        <w:t>С целью обеспечить всестороннее развитие и расширение прав и возмо</w:t>
      </w:r>
      <w:r w:rsidR="00170278" w:rsidRPr="000A02AB">
        <w:t>ж</w:t>
      </w:r>
      <w:r w:rsidR="00170278" w:rsidRPr="000A02AB">
        <w:t>ностей женщин УПЧ принимает активное участие в мероприятиях, направле</w:t>
      </w:r>
      <w:r w:rsidR="00170278" w:rsidRPr="000A02AB">
        <w:t>н</w:t>
      </w:r>
      <w:r w:rsidR="00170278" w:rsidRPr="000A02AB">
        <w:t>ных на распространение информации и повышение осведомленности о праве на равное обращение. Учитывая, что объем полномочий УПЧ был расширен за счет включения вопросов законодательства о недопущении дискриминации лишь в декабре 2009 года, первоначальные усилия были направлены на ув</w:t>
      </w:r>
      <w:r w:rsidR="00170278" w:rsidRPr="000A02AB">
        <w:t>е</w:t>
      </w:r>
      <w:r w:rsidR="00170278" w:rsidRPr="000A02AB">
        <w:t>домление государственных учреждений, некоммерческих организаций и час</w:t>
      </w:r>
      <w:r w:rsidR="00170278" w:rsidRPr="000A02AB">
        <w:t>т</w:t>
      </w:r>
      <w:r w:rsidR="00170278" w:rsidRPr="000A02AB">
        <w:t>ного сектора о его новых полномочиях. УПЧ организует свою просветител</w:t>
      </w:r>
      <w:r w:rsidR="00170278" w:rsidRPr="000A02AB">
        <w:t>ь</w:t>
      </w:r>
      <w:r w:rsidR="00170278" w:rsidRPr="000A02AB">
        <w:t>скую деятельность в разбивке по сферам дискриминации либо по роду занятий лиц, на которых направлены соответствующие мероприятия, а не по дискр</w:t>
      </w:r>
      <w:r w:rsidR="00170278" w:rsidRPr="000A02AB">
        <w:t>и</w:t>
      </w:r>
      <w:r w:rsidR="00170278" w:rsidRPr="000A02AB">
        <w:t>минационным мотивам. В связи с этим проводимые мероприятия главным о</w:t>
      </w:r>
      <w:r w:rsidR="00170278" w:rsidRPr="000A02AB">
        <w:t>б</w:t>
      </w:r>
      <w:r w:rsidR="00170278" w:rsidRPr="000A02AB">
        <w:t>разом ориентированы на комплексное рассмотрение законодательства о нед</w:t>
      </w:r>
      <w:r w:rsidR="00170278" w:rsidRPr="000A02AB">
        <w:t>о</w:t>
      </w:r>
      <w:r w:rsidR="00170278" w:rsidRPr="000A02AB">
        <w:t>пущении дискриминации, которое может предполагать более детальный анализ дискриминации по признаку пола или дискриминации в отношении женщин.</w:t>
      </w:r>
    </w:p>
    <w:p w:rsidR="00170278" w:rsidRPr="000A02AB" w:rsidRDefault="00170278" w:rsidP="000A02AB">
      <w:pPr>
        <w:pStyle w:val="SingleTxt"/>
      </w:pPr>
      <w:r w:rsidRPr="000A02AB">
        <w:t>84.</w:t>
      </w:r>
      <w:r w:rsidRPr="000A02AB">
        <w:tab/>
        <w:t>Согласно выводам УПЧ одна из постоянно возникающих проблем в сфере обеспечения права на равное обращение с мужчинами и женщинами заключ</w:t>
      </w:r>
      <w:r w:rsidRPr="000A02AB">
        <w:t>а</w:t>
      </w:r>
      <w:r w:rsidRPr="000A02AB">
        <w:t>ется в слабости надзорных органов (например, Государственной инспекции труда). Как правило, эти органы не располагают достаточными материальными и людскими ресурсами для расследования случаев дискриминации; наряду с этим отмечается отсутствие методической помощи и непрерывного обучения, обеспечиваемых центральным правительством. Проект "Вместе к благому управлению", финансируемый европейскими структурными фондами, должен помочь в улучшении сложившейся ситуации. В 2013 году в рамках данного проекта УПЧ организовал совещание за круглым столом "Вместе против ди</w:t>
      </w:r>
      <w:r w:rsidRPr="000A02AB">
        <w:t>с</w:t>
      </w:r>
      <w:r w:rsidRPr="000A02AB">
        <w:t>криминации" для сотрудничающих контрольных органов и отдельных органов центрального правительства. Цель этого совещания заключалась в выявлении случаев дискрим</w:t>
      </w:r>
      <w:r w:rsidRPr="000A02AB">
        <w:t>и</w:t>
      </w:r>
      <w:r w:rsidRPr="000A02AB">
        <w:t>нации и связанных с нею проблем в деятельности указанных учреждений. Аналогичное совещание, целиком посвященное гендерной ди</w:t>
      </w:r>
      <w:r w:rsidRPr="000A02AB">
        <w:t>с</w:t>
      </w:r>
      <w:r w:rsidRPr="000A02AB">
        <w:t>криминации, состоялось в начале 2014 года. Помимо этого УПЧ организовал специализированный семинар "Проверка условий труда и дискриминация в трудовых отношениях", в ходе которого участники в числе прочего проанал</w:t>
      </w:r>
      <w:r w:rsidRPr="000A02AB">
        <w:t>и</w:t>
      </w:r>
      <w:r w:rsidRPr="000A02AB">
        <w:t>зировали конкретный случай гендерной дискриминации. Еще одним важным событием 2013 года стала конференция "Равенство и недопущение дискрим</w:t>
      </w:r>
      <w:r w:rsidRPr="000A02AB">
        <w:t>и</w:t>
      </w:r>
      <w:r w:rsidRPr="000A02AB">
        <w:t>нации в работе УПЧ", проведенная в целях обсуждения действующих норм в отношении права на равное обр</w:t>
      </w:r>
      <w:r w:rsidRPr="000A02AB">
        <w:t>а</w:t>
      </w:r>
      <w:r w:rsidRPr="000A02AB">
        <w:t>щение и установления связи между теорией и практикой. В ходе практического семинара "Дискриминация в доступе к труд</w:t>
      </w:r>
      <w:r w:rsidRPr="000A02AB">
        <w:t>о</w:t>
      </w:r>
      <w:r w:rsidRPr="000A02AB">
        <w:t>устройству и занятости", организованного в рамках данного мероприятия, ст</w:t>
      </w:r>
      <w:r w:rsidRPr="000A02AB">
        <w:t>а</w:t>
      </w:r>
      <w:r w:rsidRPr="000A02AB">
        <w:t>вилась цель оценить положение женщин-матерей на рынке труда. Участники сосредоточили внимание на пр</w:t>
      </w:r>
      <w:r w:rsidRPr="000A02AB">
        <w:t>о</w:t>
      </w:r>
      <w:r w:rsidRPr="000A02AB">
        <w:t>блеме восприятия роли женщин в обществе как пассивных наблюдателей и продолжительности отпуска по уходу за ребенком, который может стать пр</w:t>
      </w:r>
      <w:r w:rsidRPr="000A02AB">
        <w:t>и</w:t>
      </w:r>
      <w:r w:rsidRPr="000A02AB">
        <w:t>чиной неблагоприятного положения на рынке труда.</w:t>
      </w:r>
    </w:p>
    <w:p w:rsidR="00135D6E" w:rsidRPr="000A02AB" w:rsidRDefault="00135D6E" w:rsidP="000A02AB">
      <w:pPr>
        <w:pStyle w:val="SingleTxt"/>
        <w:spacing w:after="0" w:line="120" w:lineRule="exact"/>
        <w:rPr>
          <w:sz w:val="10"/>
        </w:rPr>
      </w:pPr>
    </w:p>
    <w:p w:rsidR="00135D6E" w:rsidRPr="000A02AB" w:rsidRDefault="00135D6E"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1" w:name="_Toc415654605"/>
      <w:r w:rsidRPr="000A02AB">
        <w:t>Статья 4</w:t>
      </w:r>
      <w:r w:rsidRPr="000A02AB">
        <w:br/>
        <w:t>Временные специальные меры</w:t>
      </w:r>
      <w:bookmarkEnd w:id="11"/>
    </w:p>
    <w:p w:rsidR="00135D6E" w:rsidRPr="000A02AB" w:rsidRDefault="00135D6E" w:rsidP="000A02AB">
      <w:pPr>
        <w:pStyle w:val="SingleTxt"/>
        <w:spacing w:after="0" w:line="120" w:lineRule="exact"/>
        <w:rPr>
          <w:sz w:val="10"/>
        </w:rPr>
      </w:pPr>
    </w:p>
    <w:p w:rsidR="00135D6E" w:rsidRPr="000A02AB" w:rsidRDefault="00135D6E" w:rsidP="000A02AB">
      <w:pPr>
        <w:pStyle w:val="SingleTxt"/>
        <w:spacing w:after="0" w:line="120" w:lineRule="exact"/>
        <w:rPr>
          <w:sz w:val="10"/>
        </w:rPr>
      </w:pPr>
    </w:p>
    <w:p w:rsidR="00170278" w:rsidRPr="000A02AB" w:rsidRDefault="00170278" w:rsidP="000A02AB">
      <w:pPr>
        <w:pStyle w:val="SingleTxt"/>
      </w:pPr>
      <w:r w:rsidRPr="000A02AB">
        <w:t>85.</w:t>
      </w:r>
      <w:r w:rsidRPr="000A02AB">
        <w:tab/>
        <w:t>В Законе о недопущении дискриминации указано, что меры, направле</w:t>
      </w:r>
      <w:r w:rsidRPr="000A02AB">
        <w:t>н</w:t>
      </w:r>
      <w:r w:rsidRPr="000A02AB">
        <w:t>ные на недопущение или компенсацию ущерба, который связан с принадле</w:t>
      </w:r>
      <w:r w:rsidRPr="000A02AB">
        <w:t>ж</w:t>
      </w:r>
      <w:r w:rsidRPr="000A02AB">
        <w:t>ностью соответствующего лица к группе лиц, определяемой посредством л</w:t>
      </w:r>
      <w:r w:rsidRPr="000A02AB">
        <w:t>ю</w:t>
      </w:r>
      <w:r w:rsidRPr="000A02AB">
        <w:t>бого из дискриминационных оснований, и обеспечение этому лицу равного о</w:t>
      </w:r>
      <w:r w:rsidRPr="000A02AB">
        <w:t>б</w:t>
      </w:r>
      <w:r w:rsidRPr="000A02AB">
        <w:t>ращения и равных возможностей, не считаются дискриминационными. Из ск</w:t>
      </w:r>
      <w:r w:rsidRPr="000A02AB">
        <w:t>а</w:t>
      </w:r>
      <w:r w:rsidRPr="000A02AB">
        <w:t>занного следует, что Закон о недопущении дискриминации соответствует п</w:t>
      </w:r>
      <w:r w:rsidRPr="000A02AB">
        <w:t>о</w:t>
      </w:r>
      <w:r w:rsidRPr="000A02AB">
        <w:t>ложениям статьи 4 Конвенции (и общей рекомендации № 25 Комитета от 2004 года), регулирующим вопрос о специальных мерах.</w:t>
      </w:r>
    </w:p>
    <w:p w:rsidR="00170278" w:rsidRPr="000A02AB" w:rsidRDefault="00170278" w:rsidP="000A02AB">
      <w:pPr>
        <w:pStyle w:val="SingleTxt"/>
      </w:pPr>
      <w:r w:rsidRPr="000A02AB">
        <w:t>86.</w:t>
      </w:r>
      <w:r w:rsidRPr="000A02AB">
        <w:tab/>
        <w:t>Как показывают данные об измен</w:t>
      </w:r>
      <w:r w:rsidR="003A6779" w:rsidRPr="000A02AB">
        <w:t>ениях, приведенные в приложении </w:t>
      </w:r>
      <w:r w:rsidRPr="000A02AB">
        <w:t>1, уровень представленности женщин в выборных органах Чешской Республики остается довольно низким. Попытки исправления сложившейся ситуации предпринимает входящий в состав Совета Комитет по обеспечению сбаланс</w:t>
      </w:r>
      <w:r w:rsidRPr="000A02AB">
        <w:t>и</w:t>
      </w:r>
      <w:r w:rsidRPr="000A02AB">
        <w:t>рованной представленности женщин и мужчин в политике и на руководящих должностях, предложивший внести в законодательство изменения, согласно которым доля женщин и мужчин в списках кандидатов на выборах в палату д</w:t>
      </w:r>
      <w:r w:rsidRPr="000A02AB">
        <w:t>е</w:t>
      </w:r>
      <w:r w:rsidRPr="000A02AB">
        <w:t>путатов, краевые советы и Пражский городской совет должна будет составлять не менее 30</w:t>
      </w:r>
      <w:r w:rsidR="009B4026" w:rsidRPr="000A02AB">
        <w:t> процент</w:t>
      </w:r>
      <w:r w:rsidRPr="000A02AB">
        <w:t>ов. В 2010 году МВД подготовило на базе данного предл</w:t>
      </w:r>
      <w:r w:rsidRPr="000A02AB">
        <w:t>о</w:t>
      </w:r>
      <w:r w:rsidRPr="000A02AB">
        <w:t>жения поправку к соответствующим законам о выборах. Эта поправка, однако, не была представлена правительству по причине изменений в его составе и н</w:t>
      </w:r>
      <w:r w:rsidRPr="000A02AB">
        <w:t>е</w:t>
      </w:r>
      <w:r w:rsidRPr="000A02AB">
        <w:t>прерывного получения принципиальных замечаний от отдельных министерств.</w:t>
      </w:r>
    </w:p>
    <w:p w:rsidR="00170278" w:rsidRPr="000A02AB" w:rsidRDefault="00170278" w:rsidP="000A02AB">
      <w:pPr>
        <w:pStyle w:val="SingleTxt"/>
      </w:pPr>
      <w:r w:rsidRPr="000A02AB">
        <w:t>87.</w:t>
      </w:r>
      <w:r w:rsidRPr="000A02AB">
        <w:tab/>
        <w:t>Опираясь на план законодательной деятельности правительства Чешской Республики на 2014 год, МВД вновь подготовило проект поправки к законам о выборах. Данное предложение направлено на обеспечение того, чтобы две первые позиции в списке кандидатов занимали представители обоих полов; в случае если такой список включает более двух кандидатов, доля кандидатов каждого пола должна составлять не менее 30</w:t>
      </w:r>
      <w:r w:rsidR="009B4026" w:rsidRPr="000A02AB">
        <w:t> процент</w:t>
      </w:r>
      <w:r w:rsidRPr="000A02AB">
        <w:t>ов при удовлетворении требования, согласно которому в число каждых трех кандидатов, занимающих более низкие позиции в списке, должны входить представители разных полов. В июле 2014 года министр внутренних дел разослал проект поправки к закон</w:t>
      </w:r>
      <w:r w:rsidRPr="000A02AB">
        <w:t>о</w:t>
      </w:r>
      <w:r w:rsidRPr="000A02AB">
        <w:t>дательству о выборах внешним организациям для получения их замечаний. Проект поправки должен быть представлен правительству к концу января 2015 года.</w:t>
      </w:r>
    </w:p>
    <w:p w:rsidR="00170278" w:rsidRPr="000A02AB" w:rsidRDefault="00170278" w:rsidP="000A02AB">
      <w:pPr>
        <w:pStyle w:val="SingleTxt"/>
      </w:pPr>
      <w:r w:rsidRPr="000A02AB">
        <w:t>88.</w:t>
      </w:r>
      <w:r w:rsidRPr="000A02AB">
        <w:tab/>
        <w:t>22 мая 2013 года входящий в состав Совета Комитет по обеспечению сб</w:t>
      </w:r>
      <w:r w:rsidRPr="000A02AB">
        <w:t>а</w:t>
      </w:r>
      <w:r w:rsidRPr="000A02AB">
        <w:t>лансированной представленности женщин и мужчин в политике и на руков</w:t>
      </w:r>
      <w:r w:rsidRPr="000A02AB">
        <w:t>о</w:t>
      </w:r>
      <w:r w:rsidRPr="000A02AB">
        <w:t>дящих должностях совместно с подкомитетом Комитета палаты депутатов по правам</w:t>
      </w:r>
      <w:r w:rsidR="009B4026" w:rsidRPr="000A02AB">
        <w:t> человек</w:t>
      </w:r>
      <w:r w:rsidRPr="000A02AB">
        <w:t>а и НПО "Форум 50%" организовал в рамках семинара в палате депутатов семинар под названием "Квоты как инструмент позитивных де</w:t>
      </w:r>
      <w:r w:rsidRPr="000A02AB">
        <w:t>й</w:t>
      </w:r>
      <w:r w:rsidRPr="000A02AB">
        <w:t>ствий". Данный семинар также предусматривал проведение дискуссии пре</w:t>
      </w:r>
      <w:r w:rsidRPr="000A02AB">
        <w:t>д</w:t>
      </w:r>
      <w:r w:rsidRPr="000A02AB">
        <w:t>ставителей политических партий, посвященной принятым мерам по обеспеч</w:t>
      </w:r>
      <w:r w:rsidRPr="000A02AB">
        <w:t>е</w:t>
      </w:r>
      <w:r w:rsidRPr="000A02AB">
        <w:t>нию сбалансированной представленности женщин и мужчин в политической деятельности. Участие в этой дискуссии приняли представители социал-демократов, христианских демократов, коммунистов, ЛИДЕМ и Партии зел</w:t>
      </w:r>
      <w:r w:rsidRPr="000A02AB">
        <w:t>е</w:t>
      </w:r>
      <w:r w:rsidRPr="000A02AB">
        <w:t>ных, которые обменялись друг с другом информацией об эффективных методах работы их политических партий. Участники пришли к общему мнению в о</w:t>
      </w:r>
      <w:r w:rsidRPr="000A02AB">
        <w:t>т</w:t>
      </w:r>
      <w:r w:rsidRPr="000A02AB">
        <w:t>ношении ряда факторов, имеющих большое значение для повышения пре</w:t>
      </w:r>
      <w:r w:rsidRPr="000A02AB">
        <w:t>д</w:t>
      </w:r>
      <w:r w:rsidRPr="000A02AB">
        <w:t>ставленности женщин в политике; к их числу прежде всего относятся откр</w:t>
      </w:r>
      <w:r w:rsidRPr="000A02AB">
        <w:t>ы</w:t>
      </w:r>
      <w:r w:rsidRPr="000A02AB">
        <w:t>тость политических партий для новых членов женского пола и устранение препятствий, не позволяющих женщинам занимать более высокие партийные должности. Наряду с этим полезную роль могут сыграть меры, направленные на обеспечение согласованности партийной деятельности и частной жизни, и платформы, способствующие созданию сети деловых связей и контактов ме</w:t>
      </w:r>
      <w:r w:rsidRPr="000A02AB">
        <w:t>ж</w:t>
      </w:r>
      <w:r w:rsidRPr="000A02AB">
        <w:t>ду женщинами. Столь же большое значение имеют поощрение участия женщин в деятельности внутрипартийных структур и указание их фамилий в первых строчках списков кандидатов. Важнейшую роль играют средства массовой и</w:t>
      </w:r>
      <w:r w:rsidRPr="000A02AB">
        <w:t>н</w:t>
      </w:r>
      <w:r w:rsidRPr="000A02AB">
        <w:t>формации, которые во многом определяют характер публичной дискуссии и з</w:t>
      </w:r>
      <w:r w:rsidRPr="000A02AB">
        <w:t>а</w:t>
      </w:r>
      <w:r w:rsidRPr="000A02AB">
        <w:t>частую воспроизводят стереотипные представления, касающиеся функций мужчин и женщин.</w:t>
      </w:r>
    </w:p>
    <w:p w:rsidR="00170278" w:rsidRPr="000A02AB" w:rsidRDefault="00170278" w:rsidP="000A02AB">
      <w:pPr>
        <w:pStyle w:val="SingleTxt"/>
      </w:pPr>
      <w:r w:rsidRPr="000A02AB">
        <w:t>89.</w:t>
      </w:r>
      <w:r w:rsidRPr="000A02AB">
        <w:tab/>
        <w:t>Несмотря на низкие показатели сбалансированной представленности женщин и мужчин на руководящих должностях в правительстве (см. прилож</w:t>
      </w:r>
      <w:r w:rsidRPr="000A02AB">
        <w:t>е</w:t>
      </w:r>
      <w:r w:rsidRPr="000A02AB">
        <w:t>ние № 1), в настоящее время большинство министерств не применяет позити</w:t>
      </w:r>
      <w:r w:rsidRPr="000A02AB">
        <w:t>в</w:t>
      </w:r>
      <w:r w:rsidRPr="000A02AB">
        <w:t>ных мер в связи с назначениями на руководящие должности. Исключением в этом отношении является, например, МПТ, которое с 2004 года учитывает принцип позитивных мер в коллективных договорах, где говорится, что при наличии одинаковых предпосылок для выполнения руководящих функций тем или иным кандидатом приоритет отдается кандидату, принадлежащему к нед</w:t>
      </w:r>
      <w:r w:rsidRPr="000A02AB">
        <w:t>о</w:t>
      </w:r>
      <w:r w:rsidRPr="000A02AB">
        <w:t>статочно представленному полу. Этот же принцип сформулирован во внутре</w:t>
      </w:r>
      <w:r w:rsidRPr="000A02AB">
        <w:t>н</w:t>
      </w:r>
      <w:r w:rsidRPr="000A02AB">
        <w:t>нем стандарте МПТ "Принципы отбора и найма сотрудников МПТ".</w:t>
      </w:r>
    </w:p>
    <w:p w:rsidR="00170278" w:rsidRPr="000A02AB" w:rsidRDefault="00170278" w:rsidP="000A02AB">
      <w:pPr>
        <w:pStyle w:val="SingleTxt"/>
      </w:pPr>
      <w:r w:rsidRPr="000A02AB">
        <w:t>90.</w:t>
      </w:r>
      <w:r w:rsidRPr="000A02AB">
        <w:tab/>
        <w:t>Что касается рынка труда, то в целях содействия трудоустройству лиц, испытывающих бóльшие затруднения в этой области, осуществляется активная политика в области занятости. Она предусматривает инструменты, которые п</w:t>
      </w:r>
      <w:r w:rsidRPr="000A02AB">
        <w:t>о</w:t>
      </w:r>
      <w:r w:rsidRPr="000A02AB">
        <w:t>буждают работодателей нанимать лиц, находящихся в неблагоприятном пол</w:t>
      </w:r>
      <w:r w:rsidRPr="000A02AB">
        <w:t>о</w:t>
      </w:r>
      <w:r w:rsidRPr="000A02AB">
        <w:t>жении на рынке труда, где данная категория может включать как мужчин, так и женщин ввиду наличия у них особых характеристик (таких как длительное о</w:t>
      </w:r>
      <w:r w:rsidRPr="000A02AB">
        <w:t>т</w:t>
      </w:r>
      <w:r w:rsidRPr="000A02AB">
        <w:t>сутствие работы и уход за ребенком или другими нуждающимися в нем член</w:t>
      </w:r>
      <w:r w:rsidRPr="000A02AB">
        <w:t>а</w:t>
      </w:r>
      <w:r w:rsidRPr="000A02AB">
        <w:t>ми домохозяйства). К числу конкретных мер относятся финансовые отчисл</w:t>
      </w:r>
      <w:r w:rsidRPr="000A02AB">
        <w:t>е</w:t>
      </w:r>
      <w:r w:rsidRPr="000A02AB">
        <w:t>ния для работодателей, посредством которых государство помогает покрывать расходы на заработную плату лиц, ищущих работу, отчисления на создание н</w:t>
      </w:r>
      <w:r w:rsidRPr="000A02AB">
        <w:t>о</w:t>
      </w:r>
      <w:r w:rsidRPr="000A02AB">
        <w:t>вых рабочих мест для конкретных категорий целевых групп и отчисления на поддержку самостоятельной предпринимательской деятельности или орган</w:t>
      </w:r>
      <w:r w:rsidRPr="000A02AB">
        <w:t>и</w:t>
      </w:r>
      <w:r w:rsidRPr="000A02AB">
        <w:t>зацию курсов переквалификации. В случае если то или иное лицо по любой причине не может найти подходящую работу, оно может быть трудоустроено в рамках реализации активной политики в области занятости. При проведении этой политики повышенное внимание уделяется лицам, обеспечивающим уход за ребенком в возрасте до 15 лет, большинство из которых в настоящее время составляют женщины. Наряду с этим осуществляется ряд проектов, финанс</w:t>
      </w:r>
      <w:r w:rsidRPr="000A02AB">
        <w:t>и</w:t>
      </w:r>
      <w:r w:rsidRPr="000A02AB">
        <w:t>руемых Европейским социальным фондом и направленных на обеспечение с</w:t>
      </w:r>
      <w:r w:rsidRPr="000A02AB">
        <w:t>о</w:t>
      </w:r>
      <w:r w:rsidRPr="000A02AB">
        <w:t>гласованности трудовой деятельности и семейной жизни. Деятельность соц</w:t>
      </w:r>
      <w:r w:rsidRPr="000A02AB">
        <w:t>и</w:t>
      </w:r>
      <w:r w:rsidRPr="000A02AB">
        <w:t>альных партнеров также играет важную роль в обеспечении гендерного раве</w:t>
      </w:r>
      <w:r w:rsidRPr="000A02AB">
        <w:t>н</w:t>
      </w:r>
      <w:r w:rsidRPr="000A02AB">
        <w:t>ства на рынке труда.</w:t>
      </w:r>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2" w:name="_Toc415654606"/>
      <w:r w:rsidRPr="000A02AB">
        <w:t>Статья 5</w:t>
      </w:r>
      <w:r w:rsidRPr="000A02AB">
        <w:br/>
        <w:t>Меры по изменению социальных и культурных обычаев</w:t>
      </w:r>
      <w:bookmarkEnd w:id="12"/>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0A02AB">
      <w:pPr>
        <w:pStyle w:val="SingleTxt"/>
      </w:pPr>
      <w:r w:rsidRPr="000A02AB">
        <w:t>91.</w:t>
      </w:r>
      <w:r w:rsidRPr="000A02AB">
        <w:tab/>
        <w:t>Председательство Чехии в Совете ЕС в 2009 году помогло убедить че</w:t>
      </w:r>
      <w:r w:rsidRPr="000A02AB">
        <w:t>ш</w:t>
      </w:r>
      <w:r w:rsidRPr="000A02AB">
        <w:t>ское общество в необходимости уделять несколько больше внимания вопросу гендерного равенства. Оно также позволило стране выступать в поддержку г</w:t>
      </w:r>
      <w:r w:rsidRPr="000A02AB">
        <w:t>о</w:t>
      </w:r>
      <w:r w:rsidRPr="000A02AB">
        <w:t>раздо более жесткого соблюдения принципа гендерного равенства на междун</w:t>
      </w:r>
      <w:r w:rsidRPr="000A02AB">
        <w:t>а</w:t>
      </w:r>
      <w:r w:rsidRPr="000A02AB">
        <w:t>родных форумах, в связи с чем значительно активизировалась деятельность некоммерческого сектора. В рамках председательства Чехии в мае 2009 года в Праге была проведена Европейская конференция по новым методам преодол</w:t>
      </w:r>
      <w:r w:rsidRPr="000A02AB">
        <w:t>е</w:t>
      </w:r>
      <w:r w:rsidRPr="000A02AB">
        <w:t>ния гендерных стереотипов. На конференции обсуждались инструменты и м</w:t>
      </w:r>
      <w:r w:rsidRPr="000A02AB">
        <w:t>е</w:t>
      </w:r>
      <w:r w:rsidRPr="000A02AB">
        <w:t>тоды преодоления гендерных стереотипов в детской среде, в школах, в сре</w:t>
      </w:r>
      <w:r w:rsidRPr="000A02AB">
        <w:t>д</w:t>
      </w:r>
      <w:r w:rsidRPr="000A02AB">
        <w:t>ствах массовой информации и в процессах принятия решений. В ходе конф</w:t>
      </w:r>
      <w:r w:rsidRPr="000A02AB">
        <w:t>е</w:t>
      </w:r>
      <w:r w:rsidRPr="000A02AB">
        <w:t>ренции государства – члены ЕС представили свою инновационную практику, инструменты и методы, которые могут быть использованы в условиях Европы с целью добиться позитивных изменений в общественном мнении</w:t>
      </w:r>
      <w:r w:rsidRPr="000A02AB">
        <w:rPr>
          <w:rStyle w:val="FootnoteReference"/>
          <w:spacing w:val="2"/>
        </w:rPr>
        <w:footnoteReference w:id="22"/>
      </w:r>
      <w:r w:rsidRPr="000A02AB">
        <w:t>.</w:t>
      </w:r>
    </w:p>
    <w:p w:rsidR="00170278" w:rsidRPr="000A02AB" w:rsidRDefault="00170278" w:rsidP="000A02AB">
      <w:pPr>
        <w:pStyle w:val="SingleTxt"/>
      </w:pPr>
      <w:r w:rsidRPr="000A02AB">
        <w:t>92.</w:t>
      </w:r>
      <w:r w:rsidRPr="000A02AB">
        <w:tab/>
        <w:t>Сферой, которой Чешская Республика не пренебрегает, ведя борьбу с ге</w:t>
      </w:r>
      <w:r w:rsidRPr="000A02AB">
        <w:t>н</w:t>
      </w:r>
      <w:r w:rsidRPr="000A02AB">
        <w:t>дерными стереотипами, является подготовка материалов СМИ, к числу кот</w:t>
      </w:r>
      <w:r w:rsidRPr="000A02AB">
        <w:t>о</w:t>
      </w:r>
      <w:r w:rsidRPr="000A02AB">
        <w:t>рых в первую очередь относятся рекламные объявления. Социальная реклама в Чешской Республике регламентируется Законом № 40/1995 о регулировании рекламы и об изменении и дополнении Закона № 468/1991 Coll. о радио- и т</w:t>
      </w:r>
      <w:r w:rsidRPr="000A02AB">
        <w:t>е</w:t>
      </w:r>
      <w:r w:rsidRPr="000A02AB">
        <w:t>левещании. Этот закон, в частности, запрещает рекламу, которая нарушает нравственные нормы и предполагает дискриминацию по признакам расы, пола или национальности либо ставит под угрозу моральные устои таким образом, который в целом является неприемлемым, унижает человеческое достоинство или содержит элементы порнографии или насилия либо элементы, основанные на страхе. Надзорными органами в сфере государственного регулирования р</w:t>
      </w:r>
      <w:r w:rsidRPr="000A02AB">
        <w:t>е</w:t>
      </w:r>
      <w:r w:rsidRPr="000A02AB">
        <w:t>кламы, в частности являются Совет по радио- и телевещанию, Управление по защите персональных данных и органы, регулирующие коммерческую де</w:t>
      </w:r>
      <w:r w:rsidRPr="000A02AB">
        <w:t>я</w:t>
      </w:r>
      <w:r w:rsidRPr="000A02AB">
        <w:t>тельность на краевом уровне. Самоуправляемым надзорным органом является Совет по рекламе – некоммерческая организация, наделенная полномочиями выносить решения, которые не подлежат принудительному исполнению, п</w:t>
      </w:r>
      <w:r w:rsidRPr="000A02AB">
        <w:t>о</w:t>
      </w:r>
      <w:r w:rsidRPr="000A02AB">
        <w:t>средством подготовки рекомендаций в соответствии с Кодексом рекламной практики, опубликованным Советом по рекламе</w:t>
      </w:r>
      <w:r w:rsidRPr="000A02AB">
        <w:rPr>
          <w:rStyle w:val="FootnoteReference"/>
        </w:rPr>
        <w:footnoteReference w:id="23"/>
      </w:r>
      <w:r w:rsidRPr="000A02AB">
        <w:t>.</w:t>
      </w:r>
    </w:p>
    <w:p w:rsidR="00170278" w:rsidRPr="000A02AB" w:rsidRDefault="00170278" w:rsidP="000A02AB">
      <w:pPr>
        <w:pStyle w:val="SingleTxt"/>
      </w:pPr>
      <w:r w:rsidRPr="000A02AB">
        <w:t>93.</w:t>
      </w:r>
      <w:r w:rsidRPr="000A02AB">
        <w:tab/>
        <w:t>Количество случаев появления сексистских и дискриминационных р</w:t>
      </w:r>
      <w:r w:rsidRPr="000A02AB">
        <w:t>е</w:t>
      </w:r>
      <w:r w:rsidRPr="000A02AB">
        <w:t>кламных объявлений в числе прочего также отслеживается некоторыми непр</w:t>
      </w:r>
      <w:r w:rsidRPr="000A02AB">
        <w:t>а</w:t>
      </w:r>
      <w:r w:rsidRPr="000A02AB">
        <w:t>вительственными организациями. Начиная с 2009 года гражданская ассоци</w:t>
      </w:r>
      <w:r w:rsidRPr="000A02AB">
        <w:t>а</w:t>
      </w:r>
      <w:r w:rsidRPr="000A02AB">
        <w:t>ция NESEHNUTÍ ("Несгибаемые" – Независимое социально-экологическое движение) ежегодно объявляет конкурс "Сексистский поросенок"</w:t>
      </w:r>
      <w:r w:rsidRPr="000A02AB">
        <w:rPr>
          <w:rStyle w:val="FootnoteReference"/>
        </w:rPr>
        <w:footnoteReference w:id="24"/>
      </w:r>
      <w:r w:rsidRPr="000A02AB">
        <w:t>, цель кот</w:t>
      </w:r>
      <w:r w:rsidRPr="000A02AB">
        <w:t>о</w:t>
      </w:r>
      <w:r w:rsidRPr="000A02AB">
        <w:t>рого заключается в выборе самого сексистского объявления года в Чешской Республике. Смысл данного конкурса состоит не в осуждении фирмы-исполнителя, а в указании на то, что сексистская реклама имеет серьезные п</w:t>
      </w:r>
      <w:r w:rsidRPr="000A02AB">
        <w:t>о</w:t>
      </w:r>
      <w:r w:rsidRPr="000A02AB">
        <w:t>следствия, в частности связанные с представлениями юношей и девушек о с</w:t>
      </w:r>
      <w:r w:rsidRPr="000A02AB">
        <w:t>а</w:t>
      </w:r>
      <w:r w:rsidRPr="000A02AB">
        <w:t>мих себе, и может служить причиной терпимости к насилию в отношении женщин или, возможно, расстройств пищевого поведения. Результаты конкурса с каждым годом привлекают все больше внимания. В 2014 году некоммерч</w:t>
      </w:r>
      <w:r w:rsidRPr="000A02AB">
        <w:t>е</w:t>
      </w:r>
      <w:r w:rsidRPr="000A02AB">
        <w:t>ская организация NESEHNUTÍ, которая проводит этот конкурс, получила по</w:t>
      </w:r>
      <w:r w:rsidRPr="000A02AB">
        <w:t>д</w:t>
      </w:r>
      <w:r w:rsidRPr="000A02AB">
        <w:t>держку по линии программы грантов, учрежденной МТСД в целях непосре</w:t>
      </w:r>
      <w:r w:rsidRPr="000A02AB">
        <w:t>д</w:t>
      </w:r>
      <w:r w:rsidRPr="000A02AB">
        <w:t>ственной поддержки деятельности НПО по вопросам гендерного равенства, осуществляемой в общественных интересах (см. пункт 27).</w:t>
      </w:r>
    </w:p>
    <w:p w:rsidR="00170278" w:rsidRPr="000A02AB" w:rsidRDefault="00170278" w:rsidP="000A02AB">
      <w:pPr>
        <w:pStyle w:val="SingleTxt"/>
      </w:pPr>
      <w:r w:rsidRPr="000A02AB">
        <w:t>94.</w:t>
      </w:r>
      <w:r w:rsidRPr="000A02AB">
        <w:tab/>
        <w:t>Еще один вопрос, которым Чешская Республика активно занималась в п</w:t>
      </w:r>
      <w:r w:rsidRPr="000A02AB">
        <w:t>о</w:t>
      </w:r>
      <w:r w:rsidRPr="000A02AB">
        <w:t xml:space="preserve">следние годы, связан с положением женщин в научном секторе. В 2010 году </w:t>
      </w:r>
      <w:r w:rsidRPr="000A02AB">
        <w:rPr>
          <w:spacing w:val="2"/>
        </w:rPr>
        <w:t>Правительственный совет по вопросу равных возможностей для женщин и му</w:t>
      </w:r>
      <w:r w:rsidRPr="000A02AB">
        <w:rPr>
          <w:spacing w:val="2"/>
        </w:rPr>
        <w:t>ж</w:t>
      </w:r>
      <w:r w:rsidRPr="000A02AB">
        <w:rPr>
          <w:spacing w:val="2"/>
        </w:rPr>
        <w:t>чин</w:t>
      </w:r>
      <w:r w:rsidRPr="000A02AB">
        <w:t xml:space="preserve"> уделил этой теме пристальное внимание и, опираясь на рекомендацию входящего в состав Совета Комитета по созданию институциональной основы в целях обеспечения равных возможностей для женщин и мужчин, принял п</w:t>
      </w:r>
      <w:r w:rsidRPr="000A02AB">
        <w:t>о</w:t>
      </w:r>
      <w:r w:rsidRPr="000A02AB">
        <w:t>становление о необходимости учитывать принцип гендерного равенства в сф</w:t>
      </w:r>
      <w:r w:rsidRPr="000A02AB">
        <w:t>е</w:t>
      </w:r>
      <w:r w:rsidRPr="000A02AB">
        <w:t>ре научных исследований и разработок и инновационной деятельности в ра</w:t>
      </w:r>
      <w:r w:rsidRPr="000A02AB">
        <w:t>м</w:t>
      </w:r>
      <w:r w:rsidRPr="000A02AB">
        <w:t>ках программы действий Совета по исследованиям, разработкам и инновациям. Данная рекомендация была учтена в постановлении правительства № 57 от 19 января 2011 года</w:t>
      </w:r>
      <w:r w:rsidRPr="000A02AB">
        <w:rPr>
          <w:rStyle w:val="FootnoteReference"/>
        </w:rPr>
        <w:footnoteReference w:id="25"/>
      </w:r>
      <w:r w:rsidRPr="000A02AB">
        <w:t>.</w:t>
      </w:r>
    </w:p>
    <w:p w:rsidR="00170278" w:rsidRPr="000A02AB" w:rsidRDefault="00170278" w:rsidP="000A02AB">
      <w:pPr>
        <w:pStyle w:val="SingleTxt"/>
      </w:pPr>
      <w:r w:rsidRPr="000A02AB">
        <w:t>95.</w:t>
      </w:r>
      <w:r w:rsidRPr="000A02AB">
        <w:tab/>
        <w:t>С 2001 года в рамках Отделения гендерных и социологических исслед</w:t>
      </w:r>
      <w:r w:rsidRPr="000A02AB">
        <w:t>о</w:t>
      </w:r>
      <w:r w:rsidRPr="000A02AB">
        <w:t>ваний Социологического института АН ЧР действует Национальный контак</w:t>
      </w:r>
      <w:r w:rsidRPr="000A02AB">
        <w:t>т</w:t>
      </w:r>
      <w:r w:rsidRPr="000A02AB">
        <w:t>ный центр "Женщины и наука" (в дальнейшем просто "НКЦ-ЖН"), работа к</w:t>
      </w:r>
      <w:r w:rsidRPr="000A02AB">
        <w:t>о</w:t>
      </w:r>
      <w:r w:rsidRPr="000A02AB">
        <w:t>торого направлена на поощрение гендерного равенства в научно-исследо</w:t>
      </w:r>
      <w:r w:rsidR="00361422">
        <w:t>-</w:t>
      </w:r>
      <w:r w:rsidRPr="000A02AB">
        <w:t>вательской деятельности. В 2010 году НКЦ-ЖН приступил к реализации пр</w:t>
      </w:r>
      <w:r w:rsidRPr="000A02AB">
        <w:t>о</w:t>
      </w:r>
      <w:r w:rsidRPr="000A02AB">
        <w:t>екта наставничества, ориентированного на учащихся средней школы, которые хотели бы получить высшее техническое образование. В 2014 году НКЦ-ЖН начал осуществление программы наставничества для ученых, которые только начинают свою научную карьеру (аспирантов и научных сотрудн</w:t>
      </w:r>
      <w:r w:rsidRPr="000A02AB">
        <w:t>и</w:t>
      </w:r>
      <w:r w:rsidRPr="000A02AB">
        <w:t>ков с ученой степенью), с тем чтобы содействовать продвижению женщин на руководящие должности в научной сфере. Данная программа финансируется по линии EUPRO II.</w:t>
      </w:r>
    </w:p>
    <w:p w:rsidR="00170278" w:rsidRPr="000A02AB" w:rsidRDefault="00170278" w:rsidP="000A02AB">
      <w:pPr>
        <w:pStyle w:val="SingleTxt"/>
      </w:pPr>
      <w:r w:rsidRPr="000A02AB">
        <w:t>96.</w:t>
      </w:r>
      <w:r w:rsidRPr="000A02AB">
        <w:tab/>
        <w:t>В сентябре 2013 года в рамках задач, поставленных Министерством обр</w:t>
      </w:r>
      <w:r w:rsidRPr="000A02AB">
        <w:t>а</w:t>
      </w:r>
      <w:r w:rsidRPr="000A02AB">
        <w:t>зования, был утвержден стратегический документ по вопросам равенства му</w:t>
      </w:r>
      <w:r w:rsidRPr="000A02AB">
        <w:t>ж</w:t>
      </w:r>
      <w:r w:rsidRPr="000A02AB">
        <w:t>чин и женщин "Положение с обеспечением гендерного равенства в Министе</w:t>
      </w:r>
      <w:r w:rsidRPr="000A02AB">
        <w:t>р</w:t>
      </w:r>
      <w:r w:rsidRPr="000A02AB">
        <w:t>стве образования и предлагаемый среднесрочный стратегический план дост</w:t>
      </w:r>
      <w:r w:rsidRPr="000A02AB">
        <w:t>и</w:t>
      </w:r>
      <w:r w:rsidRPr="000A02AB">
        <w:t>жения гендерного равенства", который послужит основной для дальнейшей разработки гендерных вопросов в данном ведомстве. Задача политики в обл</w:t>
      </w:r>
      <w:r w:rsidRPr="000A02AB">
        <w:t>а</w:t>
      </w:r>
      <w:r w:rsidRPr="000A02AB">
        <w:t>сти образования должна, в частности, заключаться в искоренении негативных последствий существования гендерных стереотипов, т. е. в упрощении и обо</w:t>
      </w:r>
      <w:r w:rsidRPr="000A02AB">
        <w:t>б</w:t>
      </w:r>
      <w:r w:rsidRPr="000A02AB">
        <w:t>щении представлений о том, кто такие мужчины и женщины и кем они должны быть.</w:t>
      </w:r>
    </w:p>
    <w:p w:rsidR="00170278" w:rsidRPr="000A02AB" w:rsidRDefault="00170278" w:rsidP="000A02AB">
      <w:pPr>
        <w:pStyle w:val="SingleTxt"/>
      </w:pPr>
      <w:r w:rsidRPr="000A02AB">
        <w:t>97.</w:t>
      </w:r>
      <w:r w:rsidRPr="000A02AB">
        <w:tab/>
        <w:t>Другие ведомства также ведут активную борьбу с гендерными стереот</w:t>
      </w:r>
      <w:r w:rsidRPr="000A02AB">
        <w:t>и</w:t>
      </w:r>
      <w:r w:rsidRPr="000A02AB">
        <w:t>пами. Учреждения государственного управления организуют обучение сотру</w:t>
      </w:r>
      <w:r w:rsidRPr="000A02AB">
        <w:t>д</w:t>
      </w:r>
      <w:r w:rsidRPr="000A02AB">
        <w:t>ников по вопросам гендерного равенства; изучение вопроса о равных правах мужчин и женщин также является частью обязательной первоначальной подг</w:t>
      </w:r>
      <w:r w:rsidRPr="000A02AB">
        <w:t>о</w:t>
      </w:r>
      <w:r w:rsidRPr="000A02AB">
        <w:t>товки сотрудников всех ведомств.</w:t>
      </w:r>
    </w:p>
    <w:p w:rsidR="00170278" w:rsidRPr="000A02AB" w:rsidRDefault="00170278" w:rsidP="000A02AB">
      <w:pPr>
        <w:pStyle w:val="SingleTxt"/>
      </w:pPr>
      <w:r w:rsidRPr="000A02AB">
        <w:t>98.</w:t>
      </w:r>
      <w:r w:rsidRPr="000A02AB">
        <w:tab/>
        <w:t>На практике мероприятия по борьбе с гендерными стереотипами обычно являются частью проектов, посвященных обучению сотрудников по вопросу гендерного равенства, либо проектов, ориентированных на местные партне</w:t>
      </w:r>
      <w:r w:rsidRPr="000A02AB">
        <w:t>р</w:t>
      </w:r>
      <w:r w:rsidRPr="000A02AB">
        <w:t>ства и сетевые организации в области обеспечения равенства между женщин</w:t>
      </w:r>
      <w:r w:rsidRPr="000A02AB">
        <w:t>а</w:t>
      </w:r>
      <w:r w:rsidRPr="000A02AB">
        <w:t>ми и мужчинами или на женщин, занимающихся предпринимательской де</w:t>
      </w:r>
      <w:r w:rsidRPr="000A02AB">
        <w:t>я</w:t>
      </w:r>
      <w:r w:rsidRPr="000A02AB">
        <w:t>тельностью. Например, по данным МТСД в целях 34 проектов, поддержанных ЕСФ в 2008–2013 годах, прямо говорится о ликвидации гендерных стереот</w:t>
      </w:r>
      <w:r w:rsidRPr="000A02AB">
        <w:t>и</w:t>
      </w:r>
      <w:r w:rsidRPr="000A02AB">
        <w:t>пов. В общей сложности ЕСФ поддержал более 300 проектов, способствующих установлению гендерного равенства на рынке труда (гендерное просвещение работодателей и государственной администрации, работа с частными лицами, проекты по привлечению женщин на рынок труда, предусматривающие же</w:t>
      </w:r>
      <w:r w:rsidRPr="000A02AB">
        <w:t>н</w:t>
      </w:r>
      <w:r w:rsidRPr="000A02AB">
        <w:t>ское предпринимательство, поощрение активного отцовства и местные камп</w:t>
      </w:r>
      <w:r w:rsidRPr="000A02AB">
        <w:t>а</w:t>
      </w:r>
      <w:r w:rsidRPr="000A02AB">
        <w:t>нии и стратегии по обеспечению равенства между женщинами и мужчинами).</w:t>
      </w:r>
    </w:p>
    <w:p w:rsidR="00170278" w:rsidRPr="000A02AB" w:rsidRDefault="00170278" w:rsidP="000A02AB">
      <w:pPr>
        <w:pStyle w:val="SingleTxt"/>
      </w:pPr>
      <w:r w:rsidRPr="000A02AB">
        <w:t>99.</w:t>
      </w:r>
      <w:r w:rsidRPr="000A02AB">
        <w:tab/>
        <w:t>В 2014 году с учетом постановления правительства № 361/2007 Coll., в котором оговариваются условия охраны здоровья на рабочем месте, УПЧ пр</w:t>
      </w:r>
      <w:r w:rsidRPr="000A02AB">
        <w:t>о</w:t>
      </w:r>
      <w:r w:rsidRPr="000A02AB">
        <w:t>вел исследование, посвященное женщинам – фельдшерам скорой помощи. Цель данного исследования, оценка которого еще не завершена, в числе проч</w:t>
      </w:r>
      <w:r w:rsidRPr="000A02AB">
        <w:t>е</w:t>
      </w:r>
      <w:r w:rsidRPr="000A02AB">
        <w:t>го состояла в определении того, не является ли положение о предельном весе тяжелых объектов ущемляющим права женщин (и не исключает ли оно же</w:t>
      </w:r>
      <w:r w:rsidRPr="000A02AB">
        <w:t>н</w:t>
      </w:r>
      <w:r w:rsidRPr="000A02AB">
        <w:t xml:space="preserve">щин из числа участников рынка труда). Результаты исследования должны быть обнародованы в начале 2015 года. </w:t>
      </w:r>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0A02AB">
        <w:tab/>
      </w:r>
      <w:r w:rsidRPr="000A02AB">
        <w:tab/>
      </w:r>
      <w:bookmarkStart w:id="13" w:name="_Toc415654607"/>
      <w:r w:rsidRPr="000A02AB">
        <w:t>Меры по обеспечению правильного понимания материнства как социальной функции и признания общей ответственности мужчин и же</w:t>
      </w:r>
      <w:r w:rsidRPr="000A02AB">
        <w:t>н</w:t>
      </w:r>
      <w:r w:rsidRPr="000A02AB">
        <w:t>щин</w:t>
      </w:r>
      <w:bookmarkEnd w:id="13"/>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0A02AB">
      <w:pPr>
        <w:pStyle w:val="SingleTxt"/>
      </w:pPr>
      <w:r w:rsidRPr="000A02AB">
        <w:t>100.</w:t>
      </w:r>
      <w:r w:rsidRPr="000A02AB">
        <w:tab/>
        <w:t>Концепция равенства между женщинами и мужчинами в современном чешском обществе обычно понимается как вопрос, касающийся женщин, а о</w:t>
      </w:r>
      <w:r w:rsidRPr="000A02AB">
        <w:t>т</w:t>
      </w:r>
      <w:r w:rsidRPr="000A02AB">
        <w:t>мена исключений рассматривается с позиций эмансипации, которых приде</w:t>
      </w:r>
      <w:r w:rsidRPr="000A02AB">
        <w:t>р</w:t>
      </w:r>
      <w:r w:rsidRPr="000A02AB">
        <w:t>живаются участники движения в защиту прав женщин. Этот подход был и остается логичным и правомерным в контексте представлений о неравнопра</w:t>
      </w:r>
      <w:r w:rsidRPr="000A02AB">
        <w:t>в</w:t>
      </w:r>
      <w:r w:rsidRPr="000A02AB">
        <w:t>ном положении женщин, сохранявшемся на протяжении длительного времени. Как представляется, в настоящий момент в Чехии и на уровне ЕС ключевое значение имеет концепция гендерного равенства, касающаяся как женщин, так и мужчин и обеспечивающая важные преимущества для обоих полов.</w:t>
      </w:r>
    </w:p>
    <w:p w:rsidR="00170278" w:rsidRPr="000A02AB" w:rsidRDefault="00170278" w:rsidP="000A02AB">
      <w:pPr>
        <w:pStyle w:val="SingleTxt"/>
      </w:pPr>
      <w:r w:rsidRPr="000A02AB">
        <w:t>101.</w:t>
      </w:r>
      <w:r w:rsidRPr="000A02AB">
        <w:tab/>
        <w:t>Законодательство Чешской Республики позволяет взять отпуск по уходу за ребенком любому из родителей</w:t>
      </w:r>
      <w:r w:rsidRPr="000A02AB">
        <w:rPr>
          <w:rStyle w:val="FootnoteReference"/>
        </w:rPr>
        <w:footnoteReference w:id="26"/>
      </w:r>
      <w:r w:rsidRPr="000A02AB">
        <w:t>. По информации Чешского управления с</w:t>
      </w:r>
      <w:r w:rsidRPr="000A02AB">
        <w:t>о</w:t>
      </w:r>
      <w:r w:rsidRPr="000A02AB">
        <w:t>циального обеспечения в 2013 году началась выплата около 74 100 пособий в связи с рождением ребенка, причем примерно в 500 случаях право на получ</w:t>
      </w:r>
      <w:r w:rsidRPr="000A02AB">
        <w:t>е</w:t>
      </w:r>
      <w:r w:rsidRPr="000A02AB">
        <w:t>ние такого пособия было предоставлено мужчинам, которые получают около 0,7</w:t>
      </w:r>
      <w:r w:rsidR="009B4026" w:rsidRPr="000A02AB">
        <w:t> процент</w:t>
      </w:r>
      <w:r w:rsidRPr="000A02AB">
        <w:t>а всех выплат. По предварительным данным МТСД в прошлом году родительские пособия ежемесячно получали примерно 294 700</w:t>
      </w:r>
      <w:r w:rsidR="009B4026" w:rsidRPr="000A02AB">
        <w:t> человек</w:t>
      </w:r>
      <w:r w:rsidRPr="000A02AB">
        <w:t>, из к</w:t>
      </w:r>
      <w:r w:rsidRPr="000A02AB">
        <w:t>о</w:t>
      </w:r>
      <w:r w:rsidRPr="000A02AB">
        <w:t>торых 5 200, т. е. около 1,8</w:t>
      </w:r>
      <w:r w:rsidR="009B4026" w:rsidRPr="000A02AB">
        <w:t> процент</w:t>
      </w:r>
      <w:r w:rsidRPr="000A02AB">
        <w:t>а, являлись мужчинами.</w:t>
      </w:r>
    </w:p>
    <w:p w:rsidR="00170278" w:rsidRPr="000A02AB" w:rsidRDefault="00170278" w:rsidP="000A02AB">
      <w:pPr>
        <w:pStyle w:val="SingleTxt"/>
      </w:pPr>
      <w:r w:rsidRPr="000A02AB">
        <w:t>102.</w:t>
      </w:r>
      <w:r w:rsidRPr="000A02AB">
        <w:tab/>
        <w:t>По решению председателя, опирающемус</w:t>
      </w:r>
      <w:r w:rsidR="003A6779" w:rsidRPr="000A02AB">
        <w:t>я на постановление Совета от 29 </w:t>
      </w:r>
      <w:r w:rsidRPr="000A02AB">
        <w:t>мая 2012 года, Совет учредил рабочую группу "Мужчины и гендерное р</w:t>
      </w:r>
      <w:r w:rsidRPr="000A02AB">
        <w:t>а</w:t>
      </w:r>
      <w:r w:rsidRPr="000A02AB">
        <w:t>венство" (в дальнейшем просто "Рабочая группа"). Рабочая группа выбрала в качестве одной из своих основных тем вопрос о социальных условиях отцо</w:t>
      </w:r>
      <w:r w:rsidRPr="000A02AB">
        <w:t>в</w:t>
      </w:r>
      <w:r w:rsidRPr="000A02AB">
        <w:t>ства в Чешской Республике.</w:t>
      </w:r>
    </w:p>
    <w:p w:rsidR="00170278" w:rsidRPr="000A02AB" w:rsidRDefault="00170278" w:rsidP="000A02AB">
      <w:pPr>
        <w:pStyle w:val="SingleTxt"/>
      </w:pPr>
      <w:r w:rsidRPr="000A02AB">
        <w:t>103.</w:t>
      </w:r>
      <w:r w:rsidRPr="000A02AB">
        <w:tab/>
        <w:t>В 2014 году Рабочая группа завершила подготовку доклада "Социальные условия отцовства в Чешской Республике" (в дальнейшем просто "Доклад"), в котором представлен базовый обзор основных проблем мужчин-отцов в сущ</w:t>
      </w:r>
      <w:r w:rsidRPr="000A02AB">
        <w:t>е</w:t>
      </w:r>
      <w:r w:rsidRPr="000A02AB">
        <w:t>ствующих в стране институциональных и социальных условиях отцовства. В Докладе, представленном на утверждение Совету в августе 2014 года, дан ряд рекомендаций по укреплению активной роли отцов в чешском обществе, включая адресованные МТСД рекомендации приложить активные усилия для сокращения разрыва в оплате труда мужчин и женщин, который является о</w:t>
      </w:r>
      <w:r w:rsidRPr="000A02AB">
        <w:t>д</w:t>
      </w:r>
      <w:r w:rsidRPr="000A02AB">
        <w:t>ной из причин нежелания мужчин оставлять работу в связи с необходимостью круглосуточного ухода за ребенком, и начать дискуссию о порядке определения размеров пособий по беременности и родам с учетом предыдущего уровня д</w:t>
      </w:r>
      <w:r w:rsidRPr="000A02AB">
        <w:t>о</w:t>
      </w:r>
      <w:r w:rsidRPr="000A02AB">
        <w:t>ходов (с определением их максимального размера), а не как единых для всех пособий с фиксированной ставкой; включая рекомендацию поддержать инст</w:t>
      </w:r>
      <w:r w:rsidRPr="000A02AB">
        <w:t>и</w:t>
      </w:r>
      <w:r w:rsidRPr="000A02AB">
        <w:t>тут отпуска в связи с отцовством и ввести так называемую отцовскую квоту</w:t>
      </w:r>
      <w:r w:rsidRPr="000A02AB">
        <w:rPr>
          <w:rStyle w:val="FootnoteReference"/>
        </w:rPr>
        <w:footnoteReference w:id="27"/>
      </w:r>
      <w:r w:rsidRPr="000A02AB">
        <w:t xml:space="preserve"> и рекомендацию в адрес МФ о введении налоговых льгот для родителей, кот</w:t>
      </w:r>
      <w:r w:rsidRPr="000A02AB">
        <w:t>о</w:t>
      </w:r>
      <w:r w:rsidRPr="000A02AB">
        <w:t>рые совместно ухаживают за своими детьми, т. е. по возможности распредел</w:t>
      </w:r>
      <w:r w:rsidRPr="000A02AB">
        <w:t>я</w:t>
      </w:r>
      <w:r w:rsidRPr="000A02AB">
        <w:t>ют между собой отпуск по уходу за ребенком в равных долях.</w:t>
      </w:r>
    </w:p>
    <w:p w:rsidR="00170278" w:rsidRPr="000A02AB" w:rsidRDefault="00170278" w:rsidP="000A02AB">
      <w:pPr>
        <w:pStyle w:val="SingleTxt"/>
      </w:pPr>
      <w:r w:rsidRPr="000A02AB">
        <w:t>104.</w:t>
      </w:r>
      <w:r w:rsidRPr="000A02AB">
        <w:tab/>
        <w:t>Рекомендации соответствуют основным выводам доклада "Социальные условия отцовства в Чешской Республике", в котором отмечается, что то, каким образом мужчины ухаживают за своими детьми, как правило, зависит не тол</w:t>
      </w:r>
      <w:r w:rsidRPr="000A02AB">
        <w:t>ь</w:t>
      </w:r>
      <w:r w:rsidRPr="000A02AB">
        <w:t>ко от их выбора и во многом объясняется социальными условиями и обсто</w:t>
      </w:r>
      <w:r w:rsidRPr="000A02AB">
        <w:t>я</w:t>
      </w:r>
      <w:r w:rsidRPr="000A02AB">
        <w:t>тельствами. По этой причине мужчины менее активно участвуют в обеспеч</w:t>
      </w:r>
      <w:r w:rsidRPr="000A02AB">
        <w:t>е</w:t>
      </w:r>
      <w:r w:rsidRPr="000A02AB">
        <w:t>нии ухода за своими детьми, что становится еще очевиднее после развода, и не могут легко повлиять на данную ситуацию. Рабочая группа, в частности, сочла позитивными изменениями тенденцию, связанную с более активным участием мужчин в обеспечении повседневного ухода за ребенком, рост общественного признания активного отцовства, увеличение пособий по уходу за ребенком, выплачиваемых отцам их работодателями, и т. д.</w:t>
      </w:r>
    </w:p>
    <w:p w:rsidR="00170278" w:rsidRPr="000A02AB" w:rsidRDefault="00170278" w:rsidP="000A02AB">
      <w:pPr>
        <w:pStyle w:val="SingleTxt"/>
      </w:pPr>
      <w:r w:rsidRPr="000A02AB">
        <w:t>105.</w:t>
      </w:r>
      <w:r w:rsidRPr="000A02AB">
        <w:tab/>
        <w:t>Наряду с вышеизложенным в этой области устанавливаются контакты с представителями некоммерческих организаций и обеспечивается их участие в реализуемых проектах и разработке конкретных мер, предусмотренных гос</w:t>
      </w:r>
      <w:r w:rsidRPr="000A02AB">
        <w:t>у</w:t>
      </w:r>
      <w:r w:rsidRPr="000A02AB">
        <w:t>дарственной администрацией. МТСД прилагает усилия по оказанию долг</w:t>
      </w:r>
      <w:r w:rsidRPr="000A02AB">
        <w:t>о</w:t>
      </w:r>
      <w:r w:rsidRPr="000A02AB">
        <w:t>срочной финансовой поддержки некоторым из этих организаций; к их числу относятся Ассоциация здорового родительства APERIO, которая с 2001 года является организацией, обслуживающей людей с детьми, будущих родителей и работодателей, и организация "Лига открытых мужчин", представителями к</w:t>
      </w:r>
      <w:r w:rsidRPr="000A02AB">
        <w:t>о</w:t>
      </w:r>
      <w:r w:rsidRPr="000A02AB">
        <w:t>торой, в частности, являются члены Рабочей группы.</w:t>
      </w:r>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4" w:name="_Toc415654608"/>
      <w:r w:rsidRPr="000A02AB">
        <w:t xml:space="preserve">Статья 6 </w:t>
      </w:r>
      <w:r w:rsidRPr="000A02AB">
        <w:br/>
        <w:t>Борьба с торговлей людьми</w:t>
      </w:r>
      <w:bookmarkEnd w:id="14"/>
    </w:p>
    <w:p w:rsidR="003A6779" w:rsidRPr="000A02AB" w:rsidRDefault="003A6779" w:rsidP="000A02AB">
      <w:pPr>
        <w:pStyle w:val="SingleTxt"/>
        <w:spacing w:after="0" w:line="120" w:lineRule="exact"/>
        <w:rPr>
          <w:sz w:val="10"/>
        </w:rPr>
      </w:pPr>
    </w:p>
    <w:p w:rsidR="003A6779" w:rsidRPr="000A02AB" w:rsidRDefault="003A6779" w:rsidP="000A02AB">
      <w:pPr>
        <w:pStyle w:val="SingleTxt"/>
        <w:spacing w:after="0" w:line="120" w:lineRule="exact"/>
        <w:rPr>
          <w:sz w:val="10"/>
        </w:rPr>
      </w:pPr>
    </w:p>
    <w:p w:rsidR="00170278" w:rsidRPr="000A02AB" w:rsidRDefault="00170278" w:rsidP="000A02AB">
      <w:pPr>
        <w:pStyle w:val="SingleTxt"/>
      </w:pPr>
      <w:r w:rsidRPr="000A02AB">
        <w:t>106.</w:t>
      </w:r>
      <w:r w:rsidRPr="000A02AB">
        <w:tab/>
        <w:t>Чешская Республика по-прежнему является страной происхождения, транзита и назначения в случаях торговли людьми в целях сексуальной экспл</w:t>
      </w:r>
      <w:r w:rsidRPr="000A02AB">
        <w:t>у</w:t>
      </w:r>
      <w:r w:rsidRPr="000A02AB">
        <w:t>атации и эксплуатации труда. В Докладе о торговле людьми за 2013 год отм</w:t>
      </w:r>
      <w:r w:rsidRPr="000A02AB">
        <w:t>е</w:t>
      </w:r>
      <w:r w:rsidRPr="000A02AB">
        <w:t>чается</w:t>
      </w:r>
      <w:r w:rsidRPr="000A02AB">
        <w:rPr>
          <w:rStyle w:val="FootnoteReference"/>
        </w:rPr>
        <w:footnoteReference w:id="28"/>
      </w:r>
      <w:r w:rsidRPr="000A02AB">
        <w:t>, что жертвами сексуальной эксплуатации становятся женщины из Словакии, Болгарии, Молдовы, Нигерии, Филиппин, Румынии, Украины, Вье</w:t>
      </w:r>
      <w:r w:rsidRPr="000A02AB">
        <w:t>т</w:t>
      </w:r>
      <w:r w:rsidRPr="000A02AB">
        <w:t>нама и Чешской Республики. Жертвами эксплуатации труда становятся же</w:t>
      </w:r>
      <w:r w:rsidRPr="000A02AB">
        <w:t>н</w:t>
      </w:r>
      <w:r w:rsidRPr="000A02AB">
        <w:t>щины и мужчины из Болгарии, Филиппин, Польши, Румынии, Словакии, Шри-Ланки, Украины, Вьетнама и Чешской Республики.</w:t>
      </w:r>
    </w:p>
    <w:p w:rsidR="00170278" w:rsidRPr="000A02AB" w:rsidRDefault="00170278" w:rsidP="000A02AB">
      <w:pPr>
        <w:pStyle w:val="SingleTxt"/>
      </w:pPr>
      <w:r w:rsidRPr="000A02AB">
        <w:t>107.</w:t>
      </w:r>
      <w:r w:rsidRPr="000A02AB">
        <w:tab/>
        <w:t>Несмотря на сравнительно небольшое количество уголовных разбир</w:t>
      </w:r>
      <w:r w:rsidRPr="000A02AB">
        <w:t>а</w:t>
      </w:r>
      <w:r w:rsidRPr="000A02AB">
        <w:t>тельств, касающихся торговли людьми, в период проведения мониторинга Ве</w:t>
      </w:r>
      <w:r w:rsidRPr="000A02AB">
        <w:t>р</w:t>
      </w:r>
      <w:r w:rsidRPr="000A02AB">
        <w:t>ховный суд неоднократно рассматривал данное преступление, постоянно а</w:t>
      </w:r>
      <w:r w:rsidRPr="000A02AB">
        <w:t>к</w:t>
      </w:r>
      <w:r w:rsidRPr="000A02AB">
        <w:t>центируя внимание на том обстоятельстве, что оно считается преступлением, наносящим серьезный вред общ</w:t>
      </w:r>
      <w:r w:rsidR="002764D8" w:rsidRPr="000A02AB">
        <w:t>еству. Так, в решении по делу № </w:t>
      </w:r>
      <w:r w:rsidRPr="000A02AB">
        <w:t>4</w:t>
      </w:r>
      <w:r w:rsidR="002764D8" w:rsidRPr="000A02AB">
        <w:t> </w:t>
      </w:r>
      <w:r w:rsidRPr="000A02AB">
        <w:t>Tdo 366/2010 от 14 мая 2013 года он отметил, что при определении выгоды от с</w:t>
      </w:r>
      <w:r w:rsidRPr="000A02AB">
        <w:t>о</w:t>
      </w:r>
      <w:r w:rsidRPr="000A02AB">
        <w:t>вершения серьезного и крупномасштабного преступления торговли людьми с</w:t>
      </w:r>
      <w:r w:rsidRPr="000A02AB">
        <w:t>о</w:t>
      </w:r>
      <w:r w:rsidRPr="000A02AB">
        <w:t>гласно пункту 3</w:t>
      </w:r>
      <w:r w:rsidR="002764D8" w:rsidRPr="000A02AB">
        <w:t>(</w:t>
      </w:r>
      <w:r w:rsidRPr="000A02AB">
        <w:t>c) §168 и, соответственно, пункту 4</w:t>
      </w:r>
      <w:r w:rsidR="002764D8" w:rsidRPr="000A02AB">
        <w:t>(</w:t>
      </w:r>
      <w:r w:rsidRPr="000A02AB">
        <w:t>b) §168 Уголовного коде</w:t>
      </w:r>
      <w:r w:rsidRPr="000A02AB">
        <w:t>к</w:t>
      </w:r>
      <w:r w:rsidRPr="000A02AB">
        <w:t>са должна приниматься во внимание чистая прибыль, полученная преступн</w:t>
      </w:r>
      <w:r w:rsidRPr="000A02AB">
        <w:t>и</w:t>
      </w:r>
      <w:r w:rsidRPr="000A02AB">
        <w:t>ком в результате этой преступной деятельности, без учета расходов, связанных с совершением данного преступления. Кроме того, преступник не мог пол</w:t>
      </w:r>
      <w:r w:rsidRPr="000A02AB">
        <w:t>у</w:t>
      </w:r>
      <w:r w:rsidRPr="000A02AB">
        <w:t>чить значительную или крупную выгоду, поскольку состав указанного пр</w:t>
      </w:r>
      <w:r w:rsidRPr="000A02AB">
        <w:t>е</w:t>
      </w:r>
      <w:r w:rsidRPr="000A02AB">
        <w:t>ступления предполагает наличие у преступника так называемого конкретного умысла. В решении по делу № 5 Tdo 160/2012 от 28 марта 2012 года Верхо</w:t>
      </w:r>
      <w:r w:rsidRPr="000A02AB">
        <w:t>в</w:t>
      </w:r>
      <w:r w:rsidRPr="000A02AB">
        <w:t>ный суд четко разграничил навязывание соответствующих услуг и торговлю людьми, подчеркнув, что согласно пунктам 2 и 3 §168 Уголовного кодекса пр</w:t>
      </w:r>
      <w:r w:rsidRPr="000A02AB">
        <w:t>е</w:t>
      </w:r>
      <w:r w:rsidRPr="000A02AB">
        <w:t>ступление торговли людьми всегда совершается против воли пострадавшего лица.</w:t>
      </w:r>
    </w:p>
    <w:p w:rsidR="00170278" w:rsidRPr="000A02AB" w:rsidRDefault="00170278" w:rsidP="000A02AB">
      <w:pPr>
        <w:pStyle w:val="SingleTxt"/>
      </w:pPr>
      <w:r w:rsidRPr="000A02AB">
        <w:t>108.</w:t>
      </w:r>
      <w:r w:rsidRPr="000A02AB">
        <w:tab/>
        <w:t>В 2013 году полиция Чешской Республики зарегистрировала 18 престу</w:t>
      </w:r>
      <w:r w:rsidRPr="000A02AB">
        <w:t>п</w:t>
      </w:r>
      <w:r w:rsidRPr="000A02AB">
        <w:t>лений торговли людьми, 11 из которых были раскрыты. В 2013 году обвинения в связи с указанными преступлениями были выдвинуты против 26</w:t>
      </w:r>
      <w:r w:rsidR="009B4026" w:rsidRPr="000A02AB">
        <w:t> человек</w:t>
      </w:r>
      <w:r w:rsidRPr="000A02AB">
        <w:t xml:space="preserve"> (включая 6 женщин). Пять</w:t>
      </w:r>
      <w:r w:rsidR="009B4026" w:rsidRPr="000A02AB">
        <w:t> человек</w:t>
      </w:r>
      <w:r w:rsidRPr="000A02AB">
        <w:t xml:space="preserve"> были осуждены; четырем из них было назначено наказание в виде лишения свободы на срок от 1 года до 5 лет, а еще одному – на срок от 5 до 15 лет. Изменения количества преступлений торговли людьми в предшествующий период представлены в следующей таблице:</w:t>
      </w:r>
    </w:p>
    <w:p w:rsidR="002764D8" w:rsidRPr="000A02AB" w:rsidRDefault="002764D8" w:rsidP="000A02AB">
      <w:pPr>
        <w:pStyle w:val="SingleTxt"/>
        <w:keepNext/>
        <w:spacing w:after="0" w:line="120" w:lineRule="exact"/>
        <w:jc w:val="left"/>
        <w:rPr>
          <w:sz w:val="10"/>
        </w:rPr>
      </w:pPr>
    </w:p>
    <w:p w:rsidR="00170278" w:rsidRPr="000A02AB" w:rsidRDefault="002764D8"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Таблица 6</w:t>
      </w:r>
    </w:p>
    <w:p w:rsidR="00170278" w:rsidRPr="000A02AB" w:rsidRDefault="002764D8"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 xml:space="preserve">Количество выявленных/раскрытых преступлений торговли людьми </w:t>
      </w:r>
      <w:r w:rsidR="00170278" w:rsidRPr="000A02AB">
        <w:br/>
        <w:t>в 2008–2013 годах</w:t>
      </w:r>
    </w:p>
    <w:p w:rsidR="002764D8" w:rsidRPr="000A02AB" w:rsidRDefault="002764D8" w:rsidP="000A02AB">
      <w:pPr>
        <w:pStyle w:val="SingleTxt"/>
        <w:spacing w:after="0" w:line="120" w:lineRule="exact"/>
        <w:rPr>
          <w:sz w:val="10"/>
        </w:rPr>
      </w:pPr>
    </w:p>
    <w:tbl>
      <w:tblPr>
        <w:tblW w:w="8610" w:type="dxa"/>
        <w:tblInd w:w="1247" w:type="dxa"/>
        <w:tblLayout w:type="fixed"/>
        <w:tblCellMar>
          <w:left w:w="0" w:type="dxa"/>
          <w:right w:w="0" w:type="dxa"/>
        </w:tblCellMar>
        <w:tblLook w:val="04A0"/>
      </w:tblPr>
      <w:tblGrid>
        <w:gridCol w:w="4032"/>
        <w:gridCol w:w="768"/>
        <w:gridCol w:w="756"/>
        <w:gridCol w:w="768"/>
        <w:gridCol w:w="756"/>
        <w:gridCol w:w="768"/>
        <w:gridCol w:w="762"/>
      </w:tblGrid>
      <w:tr w:rsidR="00170278" w:rsidRPr="000A02AB" w:rsidTr="002764D8">
        <w:trPr>
          <w:tblHeader/>
        </w:trPr>
        <w:tc>
          <w:tcPr>
            <w:tcW w:w="4032"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0"/>
              <w:rPr>
                <w:i/>
                <w:spacing w:val="0"/>
                <w:w w:val="100"/>
                <w:sz w:val="14"/>
              </w:rPr>
            </w:pPr>
            <w:r w:rsidRPr="000A02AB">
              <w:rPr>
                <w:i/>
                <w:sz w:val="14"/>
                <w:szCs w:val="20"/>
              </w:rPr>
              <w:t>Количество выявленных полицией случаев торговли людьми</w:t>
            </w:r>
            <w:r w:rsidRPr="000A02AB">
              <w:rPr>
                <w:rStyle w:val="FootnoteReference"/>
                <w:spacing w:val="0"/>
                <w:w w:val="100"/>
                <w:sz w:val="14"/>
              </w:rPr>
              <w:footnoteReference w:id="29"/>
            </w:r>
          </w:p>
        </w:tc>
        <w:tc>
          <w:tcPr>
            <w:tcW w:w="76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2008</w:t>
            </w:r>
          </w:p>
        </w:tc>
        <w:tc>
          <w:tcPr>
            <w:tcW w:w="75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2009</w:t>
            </w:r>
          </w:p>
        </w:tc>
        <w:tc>
          <w:tcPr>
            <w:tcW w:w="76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2010</w:t>
            </w:r>
          </w:p>
        </w:tc>
        <w:tc>
          <w:tcPr>
            <w:tcW w:w="75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2011</w:t>
            </w:r>
          </w:p>
        </w:tc>
        <w:tc>
          <w:tcPr>
            <w:tcW w:w="76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2012</w:t>
            </w:r>
          </w:p>
        </w:tc>
        <w:tc>
          <w:tcPr>
            <w:tcW w:w="762"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2013</w:t>
            </w:r>
          </w:p>
        </w:tc>
      </w:tr>
      <w:tr w:rsidR="00170278" w:rsidRPr="000A02AB" w:rsidTr="002764D8">
        <w:trPr>
          <w:trHeight w:hRule="exact" w:val="115"/>
          <w:tblHeader/>
        </w:trPr>
        <w:tc>
          <w:tcPr>
            <w:tcW w:w="4032"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76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5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6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5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6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62"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2764D8">
        <w:tc>
          <w:tcPr>
            <w:tcW w:w="403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Выявлено</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29</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10</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24</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19</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24</w:t>
            </w:r>
          </w:p>
        </w:tc>
        <w:tc>
          <w:tcPr>
            <w:tcW w:w="76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18</w:t>
            </w:r>
          </w:p>
        </w:tc>
      </w:tr>
      <w:tr w:rsidR="00170278" w:rsidRPr="000A02AB" w:rsidTr="002764D8">
        <w:tc>
          <w:tcPr>
            <w:tcW w:w="403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Раскрыто</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13</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w:t>
            </w:r>
          </w:p>
        </w:tc>
        <w:tc>
          <w:tcPr>
            <w:tcW w:w="76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18</w:t>
            </w:r>
          </w:p>
        </w:tc>
        <w:tc>
          <w:tcPr>
            <w:tcW w:w="76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11</w:t>
            </w:r>
          </w:p>
        </w:tc>
      </w:tr>
      <w:tr w:rsidR="00170278" w:rsidRPr="000A02AB" w:rsidTr="002764D8">
        <w:tc>
          <w:tcPr>
            <w:tcW w:w="4032"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лиц, в отношении которых ведется следствие и судебное преследование</w:t>
            </w:r>
          </w:p>
        </w:tc>
        <w:tc>
          <w:tcPr>
            <w:tcW w:w="76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22</w:t>
            </w:r>
          </w:p>
        </w:tc>
        <w:tc>
          <w:tcPr>
            <w:tcW w:w="75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32</w:t>
            </w:r>
          </w:p>
        </w:tc>
        <w:tc>
          <w:tcPr>
            <w:tcW w:w="76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35</w:t>
            </w:r>
          </w:p>
        </w:tc>
        <w:tc>
          <w:tcPr>
            <w:tcW w:w="75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29</w:t>
            </w:r>
          </w:p>
        </w:tc>
        <w:tc>
          <w:tcPr>
            <w:tcW w:w="76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22</w:t>
            </w:r>
          </w:p>
        </w:tc>
        <w:tc>
          <w:tcPr>
            <w:tcW w:w="762"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25</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109.</w:t>
      </w:r>
      <w:r w:rsidRPr="000A02AB">
        <w:tab/>
        <w:t>18 апреля 2012 года правительство утвердило Национальную стратегию по противодействию торговле людьми в Чешской Республике на период 2012–2015 годов. Предлагаемые меры согласуются с задачами Стратегии по борьбе с организованной преступностью на период 2011–2014 годов, Стратегии чешск</w:t>
      </w:r>
      <w:r w:rsidRPr="000A02AB">
        <w:t>о</w:t>
      </w:r>
      <w:r w:rsidRPr="000A02AB">
        <w:t>го правительства по борьбе с коррупцией на период 2011–2012 годов и Дире</w:t>
      </w:r>
      <w:r w:rsidRPr="000A02AB">
        <w:t>к</w:t>
      </w:r>
      <w:r w:rsidRPr="000A02AB">
        <w:t>тивы Европейского парламента и Совета о предупреждении и пресечении то</w:t>
      </w:r>
      <w:r w:rsidRPr="000A02AB">
        <w:t>р</w:t>
      </w:r>
      <w:r w:rsidRPr="000A02AB">
        <w:t>говли людьми и защите ее жер</w:t>
      </w:r>
      <w:r w:rsidR="002764D8" w:rsidRPr="000A02AB">
        <w:t>тв, отменяющей Рамочное реш</w:t>
      </w:r>
      <w:r w:rsidR="002764D8" w:rsidRPr="000A02AB">
        <w:t>е</w:t>
      </w:r>
      <w:r w:rsidR="002764D8" w:rsidRPr="000A02AB">
        <w:t>ние </w:t>
      </w:r>
      <w:r w:rsidRPr="000A02AB">
        <w:t>2002/629/SVV (EU/36/2011).</w:t>
      </w:r>
    </w:p>
    <w:p w:rsidR="00170278" w:rsidRPr="000A02AB" w:rsidRDefault="00170278" w:rsidP="000A02AB">
      <w:pPr>
        <w:pStyle w:val="SingleTxt"/>
      </w:pPr>
      <w:r w:rsidRPr="000A02AB">
        <w:t>110.</w:t>
      </w:r>
      <w:r w:rsidRPr="000A02AB">
        <w:tab/>
        <w:t>В рамках расширения деятельности по профилактике преступлений на национальном уровне Министерство внутренних дел продолжает осущест</w:t>
      </w:r>
      <w:r w:rsidRPr="000A02AB">
        <w:t>в</w:t>
      </w:r>
      <w:r w:rsidRPr="000A02AB">
        <w:t>лять проект "Поддержка и защита жертв торговли людьми". Данная программа предназначена для иностранцев, подвергающихся эксплуатации в Чешской Республике, и чешских граждан, эксплуатируемых за рубежом или внутри страны. Ее цель заключается в предоставлении вероятным жертвам торговли людьми надлежащей защиты и поддержки на основе индивидуальной оценки риска. В 2013 году в эту программу были включены 23 возможных жертвы то</w:t>
      </w:r>
      <w:r w:rsidRPr="000A02AB">
        <w:t>р</w:t>
      </w:r>
      <w:r w:rsidRPr="000A02AB">
        <w:t>говли людьми из Румынии, Словацкой Республики и Чешской Республики. С начала реализации данной программы в 2003 году в нее были включены 143</w:t>
      </w:r>
      <w:r w:rsidR="009B4026" w:rsidRPr="000A02AB">
        <w:t> человек</w:t>
      </w:r>
      <w:r w:rsidRPr="000A02AB">
        <w:t>а, пострадавших от торговли людьми.</w:t>
      </w:r>
    </w:p>
    <w:p w:rsidR="00170278" w:rsidRPr="000A02AB" w:rsidRDefault="00170278" w:rsidP="000A02AB">
      <w:pPr>
        <w:pStyle w:val="SingleTxt"/>
      </w:pPr>
      <w:r w:rsidRPr="000A02AB">
        <w:t>111.</w:t>
      </w:r>
      <w:r w:rsidRPr="000A02AB">
        <w:tab/>
        <w:t>Наряду с этим в структуре МВД была создана Межведомственная коо</w:t>
      </w:r>
      <w:r w:rsidRPr="000A02AB">
        <w:t>р</w:t>
      </w:r>
      <w:r w:rsidRPr="000A02AB">
        <w:t>динационная группа по борьбе с торговлей людьми, учрежденная на основе постановления правительства № 1006 от 20 августа 2008 года. МВД ежегодно публикует Доклад о ситуации в области торговли людьми в Чешской Респу</w:t>
      </w:r>
      <w:r w:rsidRPr="000A02AB">
        <w:t>б</w:t>
      </w:r>
      <w:r w:rsidRPr="000A02AB">
        <w:t>лике за прошедший год. В июне 2012 года в Праге состоялся международный семинар "Борьба с торговлей людьми в целях эксплуатации труда: проверки рабочих мест, выявление пострадавших и проведение расследований", орган</w:t>
      </w:r>
      <w:r w:rsidRPr="000A02AB">
        <w:t>и</w:t>
      </w:r>
      <w:r w:rsidRPr="000A02AB">
        <w:t>зованный Министерством внутренних дел и Международным центром по ра</w:t>
      </w:r>
      <w:r w:rsidRPr="000A02AB">
        <w:t>з</w:t>
      </w:r>
      <w:r w:rsidRPr="000A02AB">
        <w:t>работке политики в области миграции при поддержке Министерства иностра</w:t>
      </w:r>
      <w:r w:rsidRPr="000A02AB">
        <w:t>н</w:t>
      </w:r>
      <w:r w:rsidRPr="000A02AB">
        <w:t>ных дел Нидерландов.</w:t>
      </w:r>
    </w:p>
    <w:p w:rsidR="00170278" w:rsidRPr="000A02AB" w:rsidRDefault="00170278" w:rsidP="000A02AB">
      <w:pPr>
        <w:pStyle w:val="SingleTxt"/>
        <w:rPr>
          <w:sz w:val="10"/>
        </w:rPr>
      </w:pPr>
      <w:r w:rsidRPr="000A02AB">
        <w:t>112.</w:t>
      </w:r>
      <w:r w:rsidRPr="000A02AB">
        <w:tab/>
        <w:t>В апреле 2013 года организация "Ла Страда" совместно с Министерством внутренних дел провела международную конференцию по проблеме торговли людьми. Ее участники уделили основное внимание эксплуатации труда. В ходе конференции было отмечено, что одним из основных препятствий для привл</w:t>
      </w:r>
      <w:r w:rsidRPr="000A02AB">
        <w:t>е</w:t>
      </w:r>
      <w:r w:rsidRPr="000A02AB">
        <w:t>чения к ответственности за торговлю людьми в целях эксплуатации труда я</w:t>
      </w:r>
      <w:r w:rsidRPr="000A02AB">
        <w:t>в</w:t>
      </w:r>
      <w:r w:rsidRPr="000A02AB">
        <w:t>ляется нечеткое толкование понятий принудительного труда и других форм эксплуатации. В сентябре 2013 года был организован практикум "Роль про</w:t>
      </w:r>
      <w:r w:rsidRPr="000A02AB">
        <w:t>ф</w:t>
      </w:r>
      <w:r w:rsidRPr="000A02AB">
        <w:t>союзов в решении проблемы торговли людьми", в котором приняли участие представители НПО, профсоюзов, инспекций труда, Министерства внутренних дел и чешской полиции. В декабре 2013 года организация "Ла Страда" начала кампанию по борьбе с торговлей людьми и эксплуатацией труда. В числе пр</w:t>
      </w:r>
      <w:r w:rsidRPr="000A02AB">
        <w:t>о</w:t>
      </w:r>
      <w:r w:rsidRPr="000A02AB">
        <w:t>чего данная кампания предусматривает демонстрацию короткого видеоролика, предназначенного для туристов, которые приезжают в Прагу с целью получ</w:t>
      </w:r>
      <w:r w:rsidRPr="000A02AB">
        <w:t>е</w:t>
      </w:r>
      <w:r w:rsidRPr="000A02AB">
        <w:t>ния сексуальных услуг. Туристам предлагается связаться с организацией "Ла Страда" при возникновении у них подозрений относительно сексуальной эк</w:t>
      </w:r>
      <w:r w:rsidRPr="000A02AB">
        <w:t>с</w:t>
      </w:r>
      <w:r w:rsidRPr="000A02AB">
        <w:t xml:space="preserve">плуатации. </w:t>
      </w:r>
    </w:p>
    <w:p w:rsidR="00170278" w:rsidRPr="000A02AB" w:rsidRDefault="002764D8" w:rsidP="000A02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pPr>
      <w:r w:rsidRPr="000A02AB">
        <w:rPr>
          <w:sz w:val="10"/>
        </w:rPr>
        <w:br w:type="page"/>
      </w:r>
      <w:r w:rsidR="00170278" w:rsidRPr="000A02AB">
        <w:rPr>
          <w:sz w:val="10"/>
        </w:rPr>
        <w:tab/>
      </w:r>
      <w:r w:rsidR="00170278" w:rsidRPr="000A02AB">
        <w:rPr>
          <w:sz w:val="10"/>
        </w:rPr>
        <w:tab/>
      </w:r>
      <w:bookmarkStart w:id="15" w:name="_Toc415654609"/>
      <w:r w:rsidR="00170278" w:rsidRPr="000A02AB">
        <w:t>Проституция</w:t>
      </w:r>
      <w:bookmarkEnd w:id="15"/>
    </w:p>
    <w:p w:rsidR="002764D8" w:rsidRPr="000A02AB" w:rsidRDefault="002764D8" w:rsidP="000A02AB">
      <w:pPr>
        <w:pStyle w:val="SingleTxt"/>
        <w:spacing w:after="0" w:line="120" w:lineRule="exact"/>
        <w:rPr>
          <w:sz w:val="10"/>
        </w:rPr>
      </w:pPr>
    </w:p>
    <w:p w:rsidR="002764D8" w:rsidRPr="000A02AB" w:rsidRDefault="002764D8" w:rsidP="000A02AB">
      <w:pPr>
        <w:pStyle w:val="SingleTxt"/>
        <w:spacing w:after="0" w:line="120" w:lineRule="exact"/>
        <w:rPr>
          <w:sz w:val="10"/>
        </w:rPr>
      </w:pPr>
    </w:p>
    <w:p w:rsidR="00170278" w:rsidRPr="000A02AB" w:rsidRDefault="00170278" w:rsidP="000A02AB">
      <w:pPr>
        <w:pStyle w:val="SingleTxt"/>
      </w:pPr>
      <w:r w:rsidRPr="000A02AB">
        <w:t>113.</w:t>
      </w:r>
      <w:r w:rsidRPr="000A02AB">
        <w:tab/>
        <w:t>Актуальной темой в Чешской Республике является вопрос о необходим</w:t>
      </w:r>
      <w:r w:rsidRPr="000A02AB">
        <w:t>о</w:t>
      </w:r>
      <w:r w:rsidRPr="000A02AB">
        <w:t>сти и порядке дальнейших действий в связи с явлением проституции. В 2013 году магистрат Праги продолжил заниматься подготовкой закона о рег</w:t>
      </w:r>
      <w:r w:rsidRPr="000A02AB">
        <w:t>у</w:t>
      </w:r>
      <w:r w:rsidRPr="000A02AB">
        <w:t>лировании проституции, опирающегося на законодательную инициативу 2005 года. Данный закон направлен на сокращение рисков, связанных с пр</w:t>
      </w:r>
      <w:r w:rsidRPr="000A02AB">
        <w:t>о</w:t>
      </w:r>
      <w:r w:rsidRPr="000A02AB">
        <w:t>ституцией, таких как серьезный риск для здоровья и безопасности (заболев</w:t>
      </w:r>
      <w:r w:rsidRPr="000A02AB">
        <w:t>а</w:t>
      </w:r>
      <w:r w:rsidRPr="000A02AB">
        <w:t>ния, ограбление, торговля наркотиками и азартные игры) и нарушение общ</w:t>
      </w:r>
      <w:r w:rsidRPr="000A02AB">
        <w:t>е</w:t>
      </w:r>
      <w:r w:rsidRPr="000A02AB">
        <w:t>ственного порядка. 30 января 2014 года городской совет представил палате д</w:t>
      </w:r>
      <w:r w:rsidRPr="000A02AB">
        <w:t>е</w:t>
      </w:r>
      <w:r w:rsidRPr="000A02AB">
        <w:t>путатов законопроект о регулировании проституции и внесении поправок в о</w:t>
      </w:r>
      <w:r w:rsidRPr="000A02AB">
        <w:t>т</w:t>
      </w:r>
      <w:r w:rsidRPr="000A02AB">
        <w:t>дельные законы (в дальнейшем "Закон о регулировании проституции").</w:t>
      </w:r>
    </w:p>
    <w:p w:rsidR="00170278" w:rsidRPr="000A02AB" w:rsidRDefault="00170278" w:rsidP="000A02AB">
      <w:pPr>
        <w:pStyle w:val="SingleTxt"/>
      </w:pPr>
      <w:r w:rsidRPr="000A02AB">
        <w:t>114.</w:t>
      </w:r>
      <w:r w:rsidRPr="000A02AB">
        <w:tab/>
        <w:t>На своем заседании, состоявшемся 26 февраля 2014 года, правительство обсудило законопроект о регулировании проституции и по результатам его изучения дало ему негативную оценку. В своем отрицательном заключении чешское правительство также отметило весьма существенные расхождения во мнениях по ряду технических вопросов, связанных с возможными способами регулирования проституции, которые проявлялись в ходе прошлых дискуссий специалистов и в рамках парламента при обсуждении предыдущих нормати</w:t>
      </w:r>
      <w:r w:rsidRPr="000A02AB">
        <w:t>в</w:t>
      </w:r>
      <w:r w:rsidRPr="000A02AB">
        <w:t>ных предложений. Учитывая чрезвычайно обостренное внимание общества к данной проблеме чешское правительство считает, что представлению любого предложения относительно комплексного законодательства о регулировании проституции должно предшествовать проведение широкой политической, о</w:t>
      </w:r>
      <w:r w:rsidRPr="000A02AB">
        <w:t>б</w:t>
      </w:r>
      <w:r w:rsidRPr="000A02AB">
        <w:t>щественной и профессиональной дискуссии о необходимости в решении этой проблемы для общества и государственном подходе к регулированию прост</w:t>
      </w:r>
      <w:r w:rsidRPr="000A02AB">
        <w:t>и</w:t>
      </w:r>
      <w:r w:rsidRPr="000A02AB">
        <w:t>туции. Сложившаяся ситуация требует гораздо более широкого охвата и анал</w:t>
      </w:r>
      <w:r w:rsidRPr="000A02AB">
        <w:t>и</w:t>
      </w:r>
      <w:r w:rsidRPr="000A02AB">
        <w:t>за мнений организаций, таких как организации, занимающиеся охраной общ</w:t>
      </w:r>
      <w:r w:rsidRPr="000A02AB">
        <w:t>е</w:t>
      </w:r>
      <w:r w:rsidRPr="000A02AB">
        <w:t>ственного порядка и вопросами здравоохранения и социального обеспечения, а также мнений городов и муниципалитетов. В рамках этой дискуссии также следует рассмотреть воздействие предлагаемых норм на личную неприкосн</w:t>
      </w:r>
      <w:r w:rsidRPr="000A02AB">
        <w:t>о</w:t>
      </w:r>
      <w:r w:rsidRPr="000A02AB">
        <w:t>венность лиц, занимающихся проституцией, и вопросы их безопасности, ге</w:t>
      </w:r>
      <w:r w:rsidRPr="000A02AB">
        <w:t>н</w:t>
      </w:r>
      <w:r w:rsidRPr="000A02AB">
        <w:t>дерного равенства, социальных последствий предлагаемых изменений для т</w:t>
      </w:r>
      <w:r w:rsidRPr="000A02AB">
        <w:t>а</w:t>
      </w:r>
      <w:r w:rsidRPr="000A02AB">
        <w:t>ких лиц и их защиты, включая консультации по вопросам права и медицины и социально-психологическое консультирование. 18 июня 2014 года в палате д</w:t>
      </w:r>
      <w:r w:rsidRPr="000A02AB">
        <w:t>е</w:t>
      </w:r>
      <w:r w:rsidRPr="000A02AB">
        <w:t>путатов состоялось первое чтение законопроекта о регулировании простит</w:t>
      </w:r>
      <w:r w:rsidRPr="000A02AB">
        <w:t>у</w:t>
      </w:r>
      <w:r w:rsidRPr="000A02AB">
        <w:t>ции, после чего данное предложение было передано в Комитет по петициям.</w:t>
      </w:r>
    </w:p>
    <w:p w:rsidR="00170278" w:rsidRPr="000A02AB" w:rsidRDefault="00170278" w:rsidP="000A02AB">
      <w:pPr>
        <w:pStyle w:val="SingleTxt"/>
        <w:rPr>
          <w:sz w:val="10"/>
        </w:rPr>
      </w:pPr>
      <w:r w:rsidRPr="000A02AB">
        <w:t>115.</w:t>
      </w:r>
      <w:r w:rsidRPr="000A02AB">
        <w:tab/>
        <w:t>Мы осознаем необходимость мониторинга любых изменений в процессе дальнейшей работы над Законом о регулировании проституции, поскольку в отдельных случаях нормативное регулирование может оказывать серьезное негативное воздействие на лиц, оказывающих сексуальные услуги, которое усугубляет их социальную изоляцию и отверженность. Это особенно справе</w:t>
      </w:r>
      <w:r w:rsidRPr="000A02AB">
        <w:t>д</w:t>
      </w:r>
      <w:r w:rsidRPr="000A02AB">
        <w:t>ливо для лиц, подвергающихся множественной дискриминации, таких как женщины рома и женщины-мигранты. Те или иные формы стигматизации пр</w:t>
      </w:r>
      <w:r w:rsidRPr="000A02AB">
        <w:t>о</w:t>
      </w:r>
      <w:r w:rsidRPr="000A02AB">
        <w:t>ституции, которые до сих пор существуют в чешском обществе, также могут вынуждать лиц, занимающихся проституцией, отказаться от намерения соо</w:t>
      </w:r>
      <w:r w:rsidRPr="000A02AB">
        <w:t>б</w:t>
      </w:r>
      <w:r w:rsidRPr="000A02AB">
        <w:t>щить о своем положении или связаться с государственными органами в случ</w:t>
      </w:r>
      <w:r w:rsidRPr="000A02AB">
        <w:t>а</w:t>
      </w:r>
      <w:r w:rsidRPr="000A02AB">
        <w:t>ях эксплуатации, насилия и т. д. Некоммерческий сектор также негативным о</w:t>
      </w:r>
      <w:r w:rsidRPr="000A02AB">
        <w:t>б</w:t>
      </w:r>
      <w:r w:rsidRPr="000A02AB">
        <w:t xml:space="preserve">разом оценивает законопроект о регулировании проституции в его нынешнем виде. </w:t>
      </w: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6" w:name="_Toc415654610"/>
      <w:r w:rsidRPr="000A02AB">
        <w:t>Статья 7</w:t>
      </w:r>
      <w:r w:rsidRPr="000A02AB">
        <w:br/>
        <w:t>Участие женщин в политической и общественной жизни</w:t>
      </w:r>
      <w:bookmarkEnd w:id="16"/>
    </w:p>
    <w:p w:rsidR="006B388E" w:rsidRPr="000A02AB" w:rsidRDefault="006B388E" w:rsidP="000A02AB">
      <w:pPr>
        <w:pStyle w:val="SingleTxt"/>
        <w:spacing w:after="0" w:line="120" w:lineRule="exact"/>
        <w:rPr>
          <w:sz w:val="10"/>
        </w:rPr>
      </w:pPr>
    </w:p>
    <w:p w:rsidR="006B388E" w:rsidRPr="000A02AB" w:rsidRDefault="006B388E" w:rsidP="000A02AB">
      <w:pPr>
        <w:pStyle w:val="SingleTxt"/>
        <w:spacing w:after="0" w:line="120" w:lineRule="exact"/>
        <w:rPr>
          <w:sz w:val="10"/>
        </w:rPr>
      </w:pPr>
    </w:p>
    <w:p w:rsidR="00170278" w:rsidRPr="000A02AB" w:rsidRDefault="00170278" w:rsidP="000A02AB">
      <w:pPr>
        <w:pStyle w:val="SingleTxt"/>
      </w:pPr>
      <w:r w:rsidRPr="000A02AB">
        <w:t>116.</w:t>
      </w:r>
      <w:r w:rsidRPr="000A02AB">
        <w:tab/>
        <w:t>Как уже упоминалось выше, представленность женщин в политике и на руководящих должностях остается довольно низкой. В целях содействия сб</w:t>
      </w:r>
      <w:r w:rsidRPr="000A02AB">
        <w:t>а</w:t>
      </w:r>
      <w:r w:rsidRPr="000A02AB">
        <w:t>лансированной представленности женщин и мужчин на руководящих должн</w:t>
      </w:r>
      <w:r w:rsidRPr="000A02AB">
        <w:t>о</w:t>
      </w:r>
      <w:r w:rsidRPr="000A02AB">
        <w:t>стях в правительстве в ежегодно принимаемые Приоритеты в числе прочего постоянно включается задача по обеспечению сбалансированной представле</w:t>
      </w:r>
      <w:r w:rsidRPr="000A02AB">
        <w:t>н</w:t>
      </w:r>
      <w:r w:rsidRPr="000A02AB">
        <w:t>ности женщин и мужчин на руководящих должностях в государственных орг</w:t>
      </w:r>
      <w:r w:rsidRPr="000A02AB">
        <w:t>а</w:t>
      </w:r>
      <w:r w:rsidRPr="000A02AB">
        <w:t>нах и компаниях, большей частью акций которых владеет государство.</w:t>
      </w:r>
    </w:p>
    <w:p w:rsidR="00170278" w:rsidRPr="000A02AB" w:rsidRDefault="00170278" w:rsidP="000A02AB">
      <w:pPr>
        <w:pStyle w:val="SingleTxt"/>
      </w:pPr>
      <w:r w:rsidRPr="000A02AB">
        <w:t>117.</w:t>
      </w:r>
      <w:r w:rsidRPr="000A02AB">
        <w:tab/>
        <w:t>В конце 2013 года Отдел по вопросам гендерного равенства приступил к реализации проекта "Подготовка Плана действий по обеспечению сбалансир</w:t>
      </w:r>
      <w:r w:rsidRPr="000A02AB">
        <w:t>о</w:t>
      </w:r>
      <w:r w:rsidRPr="000A02AB">
        <w:t>ванной представленности женщин и мужчин на руководящих должностях и других сопутствующих мер", который финансируется из средств программы "ПРОГРЕСС" Европейской комиссии. Главная цель данного проекта состоит в подготовке плана действий, способствующих сбалансированной представле</w:t>
      </w:r>
      <w:r w:rsidRPr="000A02AB">
        <w:t>н</w:t>
      </w:r>
      <w:r w:rsidRPr="000A02AB">
        <w:t>ности женщин и мужчин в политике и на руководящих должностях (в дал</w:t>
      </w:r>
      <w:r w:rsidRPr="000A02AB">
        <w:t>ь</w:t>
      </w:r>
      <w:r w:rsidRPr="000A02AB">
        <w:t>нейшем "План действий по обеспечению сбалансированной представленн</w:t>
      </w:r>
      <w:r w:rsidRPr="000A02AB">
        <w:t>о</w:t>
      </w:r>
      <w:r w:rsidRPr="000A02AB">
        <w:t>сти"), который будет включать набор инструментов и процедур, создающих условия для сбалансированной представленности женщин и мужчин на рук</w:t>
      </w:r>
      <w:r w:rsidRPr="000A02AB">
        <w:t>о</w:t>
      </w:r>
      <w:r w:rsidRPr="000A02AB">
        <w:t>водящих должностях в Чешской Республике. Проект предусматривает пров</w:t>
      </w:r>
      <w:r w:rsidRPr="000A02AB">
        <w:t>е</w:t>
      </w:r>
      <w:r w:rsidRPr="000A02AB">
        <w:t>дение нескольких практических семинаров по данному вопросу с участием чешских и зарубежных экспертов, а также ряда конференций и анализа тек</w:t>
      </w:r>
      <w:r w:rsidRPr="000A02AB">
        <w:t>у</w:t>
      </w:r>
      <w:r w:rsidRPr="000A02AB">
        <w:t>щего положения учреждений по уходу за детьми дошкольного возраста. Он также должен обеспечить более глубокое обсуждение вопроса о сбалансир</w:t>
      </w:r>
      <w:r w:rsidRPr="000A02AB">
        <w:t>о</w:t>
      </w:r>
      <w:r w:rsidRPr="000A02AB">
        <w:t>ванной представленности женщин и мужчин на руководящих должностях в среде специалистов и в средствах массовой информации, создание комплексн</w:t>
      </w:r>
      <w:r w:rsidRPr="000A02AB">
        <w:t>о</w:t>
      </w:r>
      <w:r w:rsidRPr="000A02AB">
        <w:t>го плана улучшения ситуации в этой области и связанное с этим повышение согласованности трудовой деятельности и семейной жизни; впоследствии ит</w:t>
      </w:r>
      <w:r w:rsidRPr="000A02AB">
        <w:t>о</w:t>
      </w:r>
      <w:r w:rsidRPr="000A02AB">
        <w:t>говый План действий по обеспечению сбалансированной представленности будет представлен правительству. Данный проект будет реализован к марту 2015 года; на его осуществление будет</w:t>
      </w:r>
      <w:r w:rsidR="006B388E" w:rsidRPr="000A02AB">
        <w:t xml:space="preserve"> выделено в общей сложности 128 </w:t>
      </w:r>
      <w:r w:rsidRPr="000A02AB">
        <w:t>635</w:t>
      </w:r>
      <w:r w:rsidR="006B388E" w:rsidRPr="000A02AB">
        <w:t> </w:t>
      </w:r>
      <w:r w:rsidRPr="000A02AB">
        <w:t xml:space="preserve">евро. </w:t>
      </w:r>
    </w:p>
    <w:p w:rsidR="00170278" w:rsidRPr="000A02AB" w:rsidRDefault="00170278" w:rsidP="000A02AB">
      <w:pPr>
        <w:pStyle w:val="SingleTxt"/>
      </w:pPr>
      <w:r w:rsidRPr="000A02AB">
        <w:t>118.</w:t>
      </w:r>
      <w:r w:rsidRPr="000A02AB">
        <w:tab/>
        <w:t>В 2013 году входящий в состав Совета Комитет по обеспечению сбала</w:t>
      </w:r>
      <w:r w:rsidRPr="000A02AB">
        <w:t>н</w:t>
      </w:r>
      <w:r w:rsidRPr="000A02AB">
        <w:t>сированной представленности женщин и мужчин в политике и на руководящих должностях совместно с Советом утвердил инициативу по принятию "Страт</w:t>
      </w:r>
      <w:r w:rsidRPr="000A02AB">
        <w:t>е</w:t>
      </w:r>
      <w:r w:rsidRPr="000A02AB">
        <w:t>гии+1" как меры по устранению препятствий и созданию условий для равной представленности женщин и мужчин на руководящих должностях в системе государственного управления. Цель данной инициативы заключается в том, чтобы правительство поручило министерствам и другим центральным органам государственного управления принять и поддерживать в рамках своей орган</w:t>
      </w:r>
      <w:r w:rsidRPr="000A02AB">
        <w:t>и</w:t>
      </w:r>
      <w:r w:rsidRPr="000A02AB">
        <w:t>зационной структуры и организационной структуры компаний, в которых они владеют контрольным пакетом акций, стратегию, согласно которой в конце каждого календарного года число руководителей недостаточно представленн</w:t>
      </w:r>
      <w:r w:rsidRPr="000A02AB">
        <w:t>о</w:t>
      </w:r>
      <w:r w:rsidRPr="000A02AB">
        <w:t>го пола на том или ином уровне управления будет увеличиваться на одн</w:t>
      </w:r>
      <w:r w:rsidRPr="000A02AB">
        <w:t>о</w:t>
      </w:r>
      <w:r w:rsidRPr="000A02AB">
        <w:t>го</w:t>
      </w:r>
      <w:r w:rsidR="009B4026" w:rsidRPr="000A02AB">
        <w:t> человек</w:t>
      </w:r>
      <w:r w:rsidRPr="000A02AB">
        <w:t>а, до тех пор пока доля женщин и доля мужчин не достигнут 40</w:t>
      </w:r>
      <w:r w:rsidR="009B4026" w:rsidRPr="000A02AB">
        <w:t> процент</w:t>
      </w:r>
      <w:r w:rsidRPr="000A02AB">
        <w:t>ов. Министерства и другие центральные органы государственного управления также должны ежегодно информировать правительство о принятых мерах и реализации "Стратегии+1", проводя оценку скорректированных мер. Результатом применения данной стратегии должно стать создание более разн</w:t>
      </w:r>
      <w:r w:rsidRPr="000A02AB">
        <w:t>о</w:t>
      </w:r>
      <w:r w:rsidRPr="000A02AB">
        <w:t>родного и эффективно функционирующего правительства, которое способного надлежащим образом удовлетворять потребности всех граждан. В настоящее время Отдел по вопросам гендерного равенства готовится представить прав</w:t>
      </w:r>
      <w:r w:rsidRPr="000A02AB">
        <w:t>и</w:t>
      </w:r>
      <w:r w:rsidRPr="000A02AB">
        <w:t>тельству предложение по "Стратегии+1".</w:t>
      </w:r>
    </w:p>
    <w:p w:rsidR="006B388E" w:rsidRPr="000A02AB" w:rsidRDefault="006B388E" w:rsidP="000A02AB">
      <w:pPr>
        <w:pStyle w:val="SingleTxt"/>
        <w:spacing w:after="0" w:line="120" w:lineRule="exact"/>
        <w:rPr>
          <w:sz w:val="10"/>
        </w:rPr>
      </w:pPr>
    </w:p>
    <w:p w:rsidR="006B388E" w:rsidRPr="000A02AB" w:rsidRDefault="006B388E" w:rsidP="000A02AB">
      <w:pPr>
        <w:pStyle w:val="SingleTxt"/>
        <w:spacing w:after="0" w:line="120" w:lineRule="exact"/>
        <w:rPr>
          <w:sz w:val="10"/>
        </w:rPr>
      </w:pPr>
    </w:p>
    <w:p w:rsidR="00170278" w:rsidRPr="000A02AB" w:rsidRDefault="00170278" w:rsidP="000A02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rPr>
          <w:sz w:val="10"/>
        </w:rPr>
      </w:pPr>
      <w:r w:rsidRPr="000A02AB">
        <w:rPr>
          <w:sz w:val="10"/>
        </w:rPr>
        <w:tab/>
      </w:r>
      <w:r w:rsidRPr="000A02AB">
        <w:rPr>
          <w:sz w:val="10"/>
        </w:rPr>
        <w:tab/>
      </w:r>
      <w:bookmarkStart w:id="17" w:name="_Toc415654611"/>
      <w:r w:rsidRPr="000A02AB">
        <w:t>Выборы в палату депутатов</w:t>
      </w:r>
      <w:bookmarkEnd w:id="17"/>
    </w:p>
    <w:p w:rsidR="006B388E" w:rsidRPr="000A02AB" w:rsidRDefault="006B388E" w:rsidP="000A02AB">
      <w:pPr>
        <w:pStyle w:val="SingleTxt"/>
        <w:spacing w:after="0" w:line="120" w:lineRule="exact"/>
        <w:rPr>
          <w:sz w:val="10"/>
        </w:rPr>
      </w:pPr>
    </w:p>
    <w:p w:rsidR="006B388E" w:rsidRPr="000A02AB" w:rsidRDefault="006B388E" w:rsidP="000A02AB">
      <w:pPr>
        <w:pStyle w:val="SingleTxt"/>
        <w:spacing w:after="0" w:line="120" w:lineRule="exact"/>
        <w:rPr>
          <w:sz w:val="10"/>
        </w:rPr>
      </w:pPr>
    </w:p>
    <w:p w:rsidR="00170278" w:rsidRPr="000A02AB" w:rsidRDefault="00170278" w:rsidP="000A02AB">
      <w:pPr>
        <w:pStyle w:val="SingleTxt"/>
      </w:pPr>
      <w:r w:rsidRPr="000A02AB">
        <w:t>119.</w:t>
      </w:r>
      <w:r w:rsidRPr="000A02AB">
        <w:tab/>
        <w:t>Что касается представленности женщин в списках кандидатов, то по сравнению с предыдущими годами проведения выборов в 2013 году, когда доля женщин в избирательных списках составила всего 26,9</w:t>
      </w:r>
      <w:r w:rsidR="009B4026" w:rsidRPr="000A02AB">
        <w:t> процент</w:t>
      </w:r>
      <w:r w:rsidRPr="000A02AB">
        <w:t>а, соответств</w:t>
      </w:r>
      <w:r w:rsidRPr="000A02AB">
        <w:t>у</w:t>
      </w:r>
      <w:r w:rsidRPr="000A02AB">
        <w:t>ющий показатель несколько снизился. Анализ НПО "Форум 50%" показывает, что, исходя из общего числа кандидатов (24</w:t>
      </w:r>
      <w:r w:rsidR="009B4026" w:rsidRPr="000A02AB">
        <w:t> человек</w:t>
      </w:r>
      <w:r w:rsidRPr="000A02AB">
        <w:t>а) доля кандидатов-женщин была наибольшей в партии "Суверенитет – Партия здравого смысла" (66,5</w:t>
      </w:r>
      <w:r w:rsidR="009B4026" w:rsidRPr="000A02AB">
        <w:t> процент</w:t>
      </w:r>
      <w:r w:rsidRPr="000A02AB">
        <w:t>а). В противоположность этому от Демократической партии рома, которая участвовала в выборах только в двух краях, не было выдвинуто ни о</w:t>
      </w:r>
      <w:r w:rsidRPr="000A02AB">
        <w:t>д</w:t>
      </w:r>
      <w:r w:rsidRPr="000A02AB">
        <w:t>ной кандидатуры женского пола. Среди партий, участвующих во всенародных выборах, самая низкая доля женщин – 12</w:t>
      </w:r>
      <w:r w:rsidR="009B4026" w:rsidRPr="000A02AB">
        <w:t> процент</w:t>
      </w:r>
      <w:r w:rsidRPr="000A02AB">
        <w:t>ов – была зафиксирована для Партии свободы. Наиболее сбалансированными с точки зрения представленн</w:t>
      </w:r>
      <w:r w:rsidRPr="000A02AB">
        <w:t>о</w:t>
      </w:r>
      <w:r w:rsidRPr="000A02AB">
        <w:t>сти женщин и мужчин были списки кандидатов Движения за перемены, в ма</w:t>
      </w:r>
      <w:r w:rsidRPr="000A02AB">
        <w:t>с</w:t>
      </w:r>
      <w:r w:rsidRPr="000A02AB">
        <w:t>штабах страны включавшие 48,8</w:t>
      </w:r>
      <w:r w:rsidR="009B4026" w:rsidRPr="000A02AB">
        <w:t> процент</w:t>
      </w:r>
      <w:r w:rsidRPr="000A02AB">
        <w:t>а кандидатов-женщин и 51,2</w:t>
      </w:r>
      <w:r w:rsidR="009B4026" w:rsidRPr="000A02AB">
        <w:t> процент</w:t>
      </w:r>
      <w:r w:rsidRPr="000A02AB">
        <w:t>а кандидатов-мужчин. Это движение также стало единственной структурой, в</w:t>
      </w:r>
      <w:r w:rsidRPr="000A02AB">
        <w:t>ы</w:t>
      </w:r>
      <w:r w:rsidRPr="000A02AB">
        <w:t>двинувшей 7 женщин в качестве главных кандидатов, т. е. женщины возглавл</w:t>
      </w:r>
      <w:r w:rsidRPr="000A02AB">
        <w:t>я</w:t>
      </w:r>
      <w:r w:rsidRPr="000A02AB">
        <w:t>ли списки кандидатов ровно в половине краев.</w:t>
      </w:r>
    </w:p>
    <w:p w:rsidR="00170278" w:rsidRPr="000A02AB" w:rsidRDefault="00170278" w:rsidP="000A02AB">
      <w:pPr>
        <w:pStyle w:val="SingleTxt"/>
      </w:pPr>
      <w:r w:rsidRPr="000A02AB">
        <w:t>120.</w:t>
      </w:r>
      <w:r w:rsidRPr="000A02AB">
        <w:tab/>
        <w:t>Три партии, которые были представлены в палате депутатов до провед</w:t>
      </w:r>
      <w:r w:rsidRPr="000A02AB">
        <w:t>е</w:t>
      </w:r>
      <w:r w:rsidRPr="000A02AB">
        <w:t>ния выборов, включили в списки кандидатов меньшее число женщин, нежели в ходе предыдущих выборов. Наиболее значительное сокращение данного пок</w:t>
      </w:r>
      <w:r w:rsidRPr="000A02AB">
        <w:t>а</w:t>
      </w:r>
      <w:r w:rsidRPr="000A02AB">
        <w:t>зателя было отмечено в партии ТОП 09, выдвинувшей 18</w:t>
      </w:r>
      <w:r w:rsidR="009B4026" w:rsidRPr="000A02AB">
        <w:t> процент</w:t>
      </w:r>
      <w:r w:rsidRPr="000A02AB">
        <w:t>ов кандид</w:t>
      </w:r>
      <w:r w:rsidRPr="000A02AB">
        <w:t>а</w:t>
      </w:r>
      <w:r w:rsidRPr="000A02AB">
        <w:t>тов-женщин, что примерно на 6</w:t>
      </w:r>
      <w:r w:rsidR="009B4026" w:rsidRPr="000A02AB">
        <w:t> процент</w:t>
      </w:r>
      <w:r w:rsidRPr="000A02AB">
        <w:t>ных пунктов меньше, чем на пред</w:t>
      </w:r>
      <w:r w:rsidRPr="000A02AB">
        <w:t>ы</w:t>
      </w:r>
      <w:r w:rsidRPr="000A02AB">
        <w:t>дущих выборах. Снижение представленности женщин очевидно при изучении списков кандидатов в целом (с 24 до 17</w:t>
      </w:r>
      <w:r w:rsidR="009B4026" w:rsidRPr="000A02AB">
        <w:t> процент</w:t>
      </w:r>
      <w:r w:rsidRPr="000A02AB">
        <w:t>ов среди первых пяти и с 24 до 22</w:t>
      </w:r>
      <w:r w:rsidR="009B4026" w:rsidRPr="000A02AB">
        <w:t> процент</w:t>
      </w:r>
      <w:r w:rsidRPr="000A02AB">
        <w:t>ов среди первых десяти кандидатов). Даже Коммунистическая па</w:t>
      </w:r>
      <w:r w:rsidRPr="000A02AB">
        <w:t>р</w:t>
      </w:r>
      <w:r w:rsidRPr="000A02AB">
        <w:t>тия выдвинула меньше кандидатов женского пола (28</w:t>
      </w:r>
      <w:r w:rsidR="009B4026" w:rsidRPr="000A02AB">
        <w:t> процент</w:t>
      </w:r>
      <w:r w:rsidRPr="000A02AB">
        <w:t>ов по сравнению с 30</w:t>
      </w:r>
      <w:r w:rsidR="009B4026" w:rsidRPr="000A02AB">
        <w:t> процент</w:t>
      </w:r>
      <w:r w:rsidRPr="000A02AB">
        <w:t>ами); среди социал-демократов их доля снизилась с 25 до 24,5</w:t>
      </w:r>
      <w:r w:rsidR="006B388E" w:rsidRPr="000A02AB">
        <w:t> </w:t>
      </w:r>
      <w:r w:rsidR="009B4026" w:rsidRPr="000A02AB">
        <w:t>процент</w:t>
      </w:r>
      <w:r w:rsidRPr="000A02AB">
        <w:t>а.</w:t>
      </w:r>
    </w:p>
    <w:p w:rsidR="00170278" w:rsidRPr="000A02AB" w:rsidRDefault="00170278" w:rsidP="000A02AB">
      <w:pPr>
        <w:pStyle w:val="SingleTxt"/>
      </w:pPr>
      <w:r w:rsidRPr="000A02AB">
        <w:t>121.</w:t>
      </w:r>
      <w:r w:rsidRPr="000A02AB">
        <w:tab/>
        <w:t>В 2013 году на выборах в палату депутатов членами парламента были и</w:t>
      </w:r>
      <w:r w:rsidRPr="000A02AB">
        <w:t>з</w:t>
      </w:r>
      <w:r w:rsidRPr="000A02AB">
        <w:t>браны 39 женщин. Представленность женщин в палате депутатов по сравн</w:t>
      </w:r>
      <w:r w:rsidRPr="000A02AB">
        <w:t>е</w:t>
      </w:r>
      <w:r w:rsidRPr="000A02AB">
        <w:t>нию с предыдущим периодом снизилась с 22 до 19,5</w:t>
      </w:r>
      <w:r w:rsidR="009B4026" w:rsidRPr="000A02AB">
        <w:t> процент</w:t>
      </w:r>
      <w:r w:rsidRPr="000A02AB">
        <w:t>а. Анализ, пров</w:t>
      </w:r>
      <w:r w:rsidRPr="000A02AB">
        <w:t>е</w:t>
      </w:r>
      <w:r w:rsidRPr="000A02AB">
        <w:t>денный НПО "Форум 50%", также показывает, что уменьшению представле</w:t>
      </w:r>
      <w:r w:rsidRPr="000A02AB">
        <w:t>н</w:t>
      </w:r>
      <w:r w:rsidRPr="000A02AB">
        <w:t>ности женщин в палате депутатов способствовало то обстоятельство, что три партии, которые были представлены в палате депутатов в предшествующий период и смогли преодолеть 5</w:t>
      </w:r>
      <w:r w:rsidRPr="000A02AB">
        <w:noBreakHyphen/>
        <w:t>процентный барьер, включили в списки канд</w:t>
      </w:r>
      <w:r w:rsidRPr="000A02AB">
        <w:t>и</w:t>
      </w:r>
      <w:r w:rsidRPr="000A02AB">
        <w:t>датов меньше женщин, чем в ходе предыдущих выборов</w:t>
      </w:r>
      <w:r w:rsidRPr="000A02AB">
        <w:rPr>
          <w:rStyle w:val="FootnoteReference"/>
        </w:rPr>
        <w:footnoteReference w:id="30"/>
      </w:r>
      <w:r w:rsidRPr="000A02AB">
        <w:t>. Кроме того, этот анализ показал, что надлежащий баланс численности мужчин и женщин обе</w:t>
      </w:r>
      <w:r w:rsidRPr="000A02AB">
        <w:t>с</w:t>
      </w:r>
      <w:r w:rsidRPr="000A02AB">
        <w:t>печивался только в списках кандидатов Партии зеленых и Движения за пер</w:t>
      </w:r>
      <w:r w:rsidRPr="000A02AB">
        <w:t>е</w:t>
      </w:r>
      <w:r w:rsidRPr="000A02AB">
        <w:t>мены</w:t>
      </w:r>
      <w:r w:rsidRPr="000A02AB">
        <w:rPr>
          <w:rStyle w:val="FootnoteReference"/>
        </w:rPr>
        <w:footnoteReference w:id="31"/>
      </w:r>
      <w:r w:rsidRPr="000A02AB">
        <w:t>. Доля женщин в нижней палате парламента Чешской Республики по-прежнему не достигает среднего показателя для ЕС, который в 2013 году с</w:t>
      </w:r>
      <w:r w:rsidRPr="000A02AB">
        <w:t>о</w:t>
      </w:r>
      <w:r w:rsidRPr="000A02AB">
        <w:t>ставлял 27</w:t>
      </w:r>
      <w:r w:rsidR="009B4026" w:rsidRPr="000A02AB">
        <w:t> процент</w:t>
      </w:r>
      <w:r w:rsidRPr="000A02AB">
        <w:t>ов</w:t>
      </w:r>
      <w:r w:rsidRPr="000A02AB">
        <w:rPr>
          <w:rStyle w:val="FootnoteReference"/>
        </w:rPr>
        <w:footnoteReference w:id="32"/>
      </w:r>
      <w:r w:rsidRPr="000A02AB">
        <w:t>.</w:t>
      </w:r>
    </w:p>
    <w:p w:rsidR="00C86AF8" w:rsidRPr="000A02AB" w:rsidRDefault="00C86AF8" w:rsidP="000A02AB">
      <w:pPr>
        <w:pStyle w:val="SingleTxt"/>
        <w:spacing w:after="0" w:line="120" w:lineRule="exact"/>
        <w:rPr>
          <w:sz w:val="10"/>
        </w:rPr>
      </w:pPr>
    </w:p>
    <w:p w:rsidR="00C86AF8" w:rsidRPr="000A02AB" w:rsidRDefault="00C86AF8"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bookmarkStart w:id="18" w:name="_Toc415654612"/>
      <w:r w:rsidRPr="000A02AB">
        <w:t>Президентские выборы</w:t>
      </w:r>
      <w:bookmarkEnd w:id="18"/>
    </w:p>
    <w:p w:rsidR="00C86AF8" w:rsidRPr="000A02AB" w:rsidRDefault="00C86AF8" w:rsidP="000A02AB">
      <w:pPr>
        <w:pStyle w:val="SingleTxt"/>
        <w:spacing w:after="0" w:line="120" w:lineRule="exact"/>
        <w:rPr>
          <w:sz w:val="10"/>
        </w:rPr>
      </w:pPr>
    </w:p>
    <w:p w:rsidR="00C86AF8" w:rsidRPr="000A02AB" w:rsidRDefault="00C86AF8" w:rsidP="000A02AB">
      <w:pPr>
        <w:pStyle w:val="SingleTxt"/>
        <w:spacing w:after="0" w:line="120" w:lineRule="exact"/>
        <w:rPr>
          <w:sz w:val="10"/>
        </w:rPr>
      </w:pPr>
    </w:p>
    <w:p w:rsidR="00170278" w:rsidRPr="000A02AB" w:rsidRDefault="00170278" w:rsidP="000A02AB">
      <w:pPr>
        <w:pStyle w:val="SingleTxt"/>
      </w:pPr>
      <w:r w:rsidRPr="000A02AB">
        <w:t>122.</w:t>
      </w:r>
      <w:r w:rsidRPr="000A02AB">
        <w:tab/>
        <w:t>Первые прямые президентские выборы в Чешской Республике состоялись в 2013 году. В первом туре президентских выборов приняли участие 9 кандид</w:t>
      </w:r>
      <w:r w:rsidRPr="000A02AB">
        <w:t>а</w:t>
      </w:r>
      <w:r w:rsidRPr="000A02AB">
        <w:t>тов</w:t>
      </w:r>
      <w:r w:rsidRPr="000A02AB">
        <w:rPr>
          <w:rStyle w:val="FootnoteReference"/>
        </w:rPr>
        <w:footnoteReference w:id="33"/>
      </w:r>
      <w:r w:rsidRPr="000A02AB">
        <w:t xml:space="preserve"> – 3 женщины и 6 мужчин, т. е. доля женщин составила около 33</w:t>
      </w:r>
      <w:r w:rsidR="00C86AF8" w:rsidRPr="000A02AB">
        <w:t xml:space="preserve"> </w:t>
      </w:r>
      <w:r w:rsidR="009B4026" w:rsidRPr="000A02AB">
        <w:t>проце</w:t>
      </w:r>
      <w:r w:rsidR="009B4026" w:rsidRPr="000A02AB">
        <w:t>н</w:t>
      </w:r>
      <w:r w:rsidR="009B4026" w:rsidRPr="000A02AB">
        <w:t>т</w:t>
      </w:r>
      <w:r w:rsidRPr="000A02AB">
        <w:t>ов. Во второй тур вышли только два кандидата мужского пола – М</w:t>
      </w:r>
      <w:r w:rsidRPr="000A02AB">
        <w:t>и</w:t>
      </w:r>
      <w:r w:rsidRPr="000A02AB">
        <w:t>лош Земан (впоследствии избранный президентом) и Карел Шварценберг. Несмотря на довольно небольшое число кандидатов-женщин, положительным р</w:t>
      </w:r>
      <w:r w:rsidRPr="000A02AB">
        <w:t>е</w:t>
      </w:r>
      <w:r w:rsidRPr="000A02AB">
        <w:t>зультатом можно считать то обстоятельство, что президентские выборы послужили пов</w:t>
      </w:r>
      <w:r w:rsidRPr="000A02AB">
        <w:t>о</w:t>
      </w:r>
      <w:r w:rsidRPr="000A02AB">
        <w:t>дом к началу общественной дискуссии и обсуждения в СМИ возможности и</w:t>
      </w:r>
      <w:r w:rsidRPr="000A02AB">
        <w:t>з</w:t>
      </w:r>
      <w:r w:rsidRPr="000A02AB">
        <w:t>брания женщины на пост президента Чешской Республики и пре</w:t>
      </w:r>
      <w:r w:rsidRPr="000A02AB">
        <w:t>д</w:t>
      </w:r>
      <w:r w:rsidRPr="000A02AB">
        <w:t>ставленности женщин в политике в целом.</w:t>
      </w:r>
    </w:p>
    <w:p w:rsidR="00C86AF8" w:rsidRPr="000A02AB" w:rsidRDefault="00C86AF8" w:rsidP="000A02AB">
      <w:pPr>
        <w:pStyle w:val="SingleTxt"/>
        <w:spacing w:after="0" w:line="120" w:lineRule="exact"/>
        <w:rPr>
          <w:sz w:val="10"/>
        </w:rPr>
      </w:pPr>
    </w:p>
    <w:p w:rsidR="00C86AF8" w:rsidRPr="000A02AB" w:rsidRDefault="00C86AF8"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19" w:name="_Toc415654613"/>
      <w:r w:rsidRPr="000A02AB">
        <w:t>Государственное управление</w:t>
      </w:r>
      <w:bookmarkEnd w:id="19"/>
    </w:p>
    <w:p w:rsidR="00C86AF8" w:rsidRPr="000A02AB" w:rsidRDefault="00C86AF8" w:rsidP="000A02AB">
      <w:pPr>
        <w:pStyle w:val="SingleTxt"/>
        <w:spacing w:after="0" w:line="120" w:lineRule="exact"/>
        <w:rPr>
          <w:sz w:val="10"/>
        </w:rPr>
      </w:pPr>
    </w:p>
    <w:p w:rsidR="00C86AF8" w:rsidRPr="000A02AB" w:rsidRDefault="00C86AF8" w:rsidP="000A02AB">
      <w:pPr>
        <w:pStyle w:val="SingleTxt"/>
        <w:spacing w:after="0" w:line="120" w:lineRule="exact"/>
        <w:rPr>
          <w:sz w:val="10"/>
        </w:rPr>
      </w:pPr>
    </w:p>
    <w:p w:rsidR="00170278" w:rsidRPr="000A02AB" w:rsidRDefault="00170278" w:rsidP="000A02AB">
      <w:pPr>
        <w:pStyle w:val="SingleTxt"/>
      </w:pPr>
      <w:r w:rsidRPr="000A02AB">
        <w:t>123.</w:t>
      </w:r>
      <w:r w:rsidRPr="000A02AB">
        <w:tab/>
        <w:t>В 2013 году показатели представленности женщин на руководящих дол</w:t>
      </w:r>
      <w:r w:rsidRPr="000A02AB">
        <w:t>ж</w:t>
      </w:r>
      <w:r w:rsidRPr="000A02AB">
        <w:t>ностях в системе государственного управления не претерпели существенных изменений, в связи с чем в отдельных секторах по-прежнему отмечалась ярко выраженная вертикальная сегрегация по признаку пола. В этом году в сформ</w:t>
      </w:r>
      <w:r w:rsidRPr="000A02AB">
        <w:t>и</w:t>
      </w:r>
      <w:r w:rsidRPr="000A02AB">
        <w:t>рованное премьер-министром Петром Нечасом правительство из 16</w:t>
      </w:r>
      <w:r w:rsidR="004C1B7F" w:rsidRPr="000A02AB">
        <w:t> </w:t>
      </w:r>
      <w:r w:rsidRPr="000A02AB">
        <w:t>членов входили только 3 женщины, составлявшие 18,8</w:t>
      </w:r>
      <w:r w:rsidR="009B4026" w:rsidRPr="000A02AB">
        <w:t> процент</w:t>
      </w:r>
      <w:r w:rsidRPr="000A02AB">
        <w:t>а членов кабинета. П</w:t>
      </w:r>
      <w:r w:rsidRPr="000A02AB">
        <w:t>о</w:t>
      </w:r>
      <w:r w:rsidRPr="000A02AB">
        <w:t>сле выхода в отставку премьер-министра Петра Нечаса</w:t>
      </w:r>
      <w:r w:rsidRPr="000A02AB">
        <w:rPr>
          <w:spacing w:val="2"/>
        </w:rPr>
        <w:t xml:space="preserve"> в июне 2013 года пр</w:t>
      </w:r>
      <w:r w:rsidRPr="000A02AB">
        <w:rPr>
          <w:spacing w:val="2"/>
        </w:rPr>
        <w:t>е</w:t>
      </w:r>
      <w:r w:rsidRPr="000A02AB">
        <w:rPr>
          <w:spacing w:val="2"/>
        </w:rPr>
        <w:t>зидент Чешской Республики поручил Иржи Русноку создать новый кабинет, в число 15 членов которого вошла только одна женщина, что соответствовало п</w:t>
      </w:r>
      <w:r w:rsidRPr="000A02AB">
        <w:rPr>
          <w:spacing w:val="2"/>
        </w:rPr>
        <w:t>о</w:t>
      </w:r>
      <w:r w:rsidRPr="000A02AB">
        <w:rPr>
          <w:spacing w:val="2"/>
        </w:rPr>
        <w:t>казателю в 6,7</w:t>
      </w:r>
      <w:r w:rsidR="009B4026" w:rsidRPr="000A02AB">
        <w:rPr>
          <w:spacing w:val="2"/>
        </w:rPr>
        <w:t> процент</w:t>
      </w:r>
      <w:r w:rsidRPr="000A02AB">
        <w:rPr>
          <w:spacing w:val="2"/>
        </w:rPr>
        <w:t xml:space="preserve">а. </w:t>
      </w:r>
      <w:r w:rsidRPr="000A02AB">
        <w:t>В настоящее время в состав чешского правительства входят 3 женщины-министра, возглавляющие работу МТСД, МЮ и МРР, что соответствует 17,6</w:t>
      </w:r>
      <w:r w:rsidR="009B4026" w:rsidRPr="000A02AB">
        <w:t> процент</w:t>
      </w:r>
      <w:r w:rsidRPr="000A02AB">
        <w:t>а членов кабинета.</w:t>
      </w:r>
    </w:p>
    <w:p w:rsidR="00170278" w:rsidRPr="000A02AB" w:rsidRDefault="00170278" w:rsidP="000A02AB">
      <w:pPr>
        <w:pStyle w:val="SingleTxt"/>
      </w:pPr>
      <w:r w:rsidRPr="000A02AB">
        <w:t>124.</w:t>
      </w:r>
      <w:r w:rsidRPr="000A02AB">
        <w:tab/>
        <w:t>К концу декабря 2013 года женщины занимали 13 из 92, т. е. 14,1</w:t>
      </w:r>
      <w:r w:rsidR="004C1B7F" w:rsidRPr="000A02AB">
        <w:t xml:space="preserve"> </w:t>
      </w:r>
      <w:r w:rsidR="009B4026" w:rsidRPr="000A02AB">
        <w:t>проце</w:t>
      </w:r>
      <w:r w:rsidR="009B4026" w:rsidRPr="000A02AB">
        <w:t>н</w:t>
      </w:r>
      <w:r w:rsidR="009B4026" w:rsidRPr="000A02AB">
        <w:t>т</w:t>
      </w:r>
      <w:r w:rsidRPr="000A02AB">
        <w:t>а должностей заместителя министра. В 2013 году, так же как и годом ранее, при перемещении вниз по иерархической лестнице руководящих должностей в системе государственного управления относительные показатели представле</w:t>
      </w:r>
      <w:r w:rsidRPr="000A02AB">
        <w:t>н</w:t>
      </w:r>
      <w:r w:rsidRPr="000A02AB">
        <w:t>ности женщин возрастали: на уровне директоров женщинами являлись 147 из 434</w:t>
      </w:r>
      <w:r w:rsidR="009B4026" w:rsidRPr="000A02AB">
        <w:t> человек</w:t>
      </w:r>
      <w:r w:rsidRPr="000A02AB">
        <w:t>, т. е. 33,9</w:t>
      </w:r>
      <w:r w:rsidR="009B4026" w:rsidRPr="000A02AB">
        <w:t> процент</w:t>
      </w:r>
      <w:r w:rsidRPr="000A02AB">
        <w:t>а, а на уровне глав департа</w:t>
      </w:r>
      <w:r w:rsidR="004C1B7F" w:rsidRPr="000A02AB">
        <w:t>ментов – 445 из 1</w:t>
      </w:r>
      <w:r w:rsidRPr="000A02AB">
        <w:t>052</w:t>
      </w:r>
      <w:r w:rsidR="009B4026" w:rsidRPr="000A02AB">
        <w:t> человек</w:t>
      </w:r>
      <w:r w:rsidRPr="000A02AB">
        <w:t>, т. е. 42,3</w:t>
      </w:r>
      <w:r w:rsidR="009B4026" w:rsidRPr="000A02AB">
        <w:t> процент</w:t>
      </w:r>
      <w:r w:rsidRPr="000A02AB">
        <w:t>а руководителей. Представленность женщин на руководящих должностях в отдельных министерствах по сравнению с пред</w:t>
      </w:r>
      <w:r w:rsidRPr="000A02AB">
        <w:t>ы</w:t>
      </w:r>
      <w:r w:rsidRPr="000A02AB">
        <w:t>дущим годом увеличилась на несколько</w:t>
      </w:r>
      <w:r w:rsidR="009B4026" w:rsidRPr="000A02AB">
        <w:t> процент</w:t>
      </w:r>
      <w:r w:rsidRPr="000A02AB">
        <w:t>ов на каждом из вышеупом</w:t>
      </w:r>
      <w:r w:rsidRPr="000A02AB">
        <w:t>я</w:t>
      </w:r>
      <w:r w:rsidRPr="000A02AB">
        <w:t>нутых уровней. В приложении 1 приведены данные о представленности же</w:t>
      </w:r>
      <w:r w:rsidRPr="000A02AB">
        <w:t>н</w:t>
      </w:r>
      <w:r w:rsidRPr="000A02AB">
        <w:t>щин и мужчин на отдельных должностях в департаментах различных мин</w:t>
      </w:r>
      <w:r w:rsidRPr="000A02AB">
        <w:t>и</w:t>
      </w:r>
      <w:r w:rsidRPr="000A02AB">
        <w:t>стерств.</w:t>
      </w:r>
    </w:p>
    <w:p w:rsidR="004C1B7F" w:rsidRPr="000A02AB" w:rsidRDefault="004C1B7F" w:rsidP="000A02AB">
      <w:pPr>
        <w:pStyle w:val="SingleTxt"/>
        <w:spacing w:after="0" w:line="120" w:lineRule="exact"/>
        <w:rPr>
          <w:sz w:val="10"/>
        </w:rPr>
      </w:pPr>
    </w:p>
    <w:p w:rsidR="004C1B7F" w:rsidRPr="000A02AB" w:rsidRDefault="004C1B7F"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z w:val="10"/>
        </w:rPr>
        <w:tab/>
      </w:r>
      <w:r w:rsidRPr="000A02AB">
        <w:rPr>
          <w:sz w:val="10"/>
        </w:rPr>
        <w:tab/>
      </w:r>
      <w:bookmarkStart w:id="20" w:name="_Toc415654614"/>
      <w:r w:rsidRPr="000A02AB">
        <w:t>Судебные органы</w:t>
      </w:r>
      <w:bookmarkEnd w:id="20"/>
    </w:p>
    <w:p w:rsidR="004C1B7F" w:rsidRPr="000A02AB" w:rsidRDefault="004C1B7F" w:rsidP="000A02AB">
      <w:pPr>
        <w:pStyle w:val="SingleTxt"/>
        <w:spacing w:after="0" w:line="120" w:lineRule="exact"/>
        <w:rPr>
          <w:sz w:val="10"/>
        </w:rPr>
      </w:pPr>
    </w:p>
    <w:p w:rsidR="004C1B7F" w:rsidRPr="000A02AB" w:rsidRDefault="004C1B7F" w:rsidP="000A02AB">
      <w:pPr>
        <w:pStyle w:val="SingleTxt"/>
        <w:spacing w:after="0" w:line="120" w:lineRule="exact"/>
        <w:rPr>
          <w:sz w:val="10"/>
        </w:rPr>
      </w:pPr>
    </w:p>
    <w:p w:rsidR="00170278" w:rsidRPr="000A02AB" w:rsidRDefault="00170278" w:rsidP="000A02AB">
      <w:pPr>
        <w:pStyle w:val="SingleTxt"/>
      </w:pPr>
      <w:r w:rsidRPr="000A02AB">
        <w:t>125.</w:t>
      </w:r>
      <w:r w:rsidRPr="000A02AB">
        <w:tab/>
        <w:t>Общая доля судей-женщин в судах всех уровней составляет 61</w:t>
      </w:r>
      <w:r w:rsidR="009B4026" w:rsidRPr="000A02AB">
        <w:t> процент</w:t>
      </w:r>
      <w:r w:rsidRPr="000A02AB">
        <w:t>. Общая доля судей женского пола на руководящих должностях в судах всех уровней достигает всего 46</w:t>
      </w:r>
      <w:r w:rsidR="009B4026" w:rsidRPr="000A02AB">
        <w:t> процент</w:t>
      </w:r>
      <w:r w:rsidRPr="000A02AB">
        <w:t>ов. Женщины составляют большинство с</w:t>
      </w:r>
      <w:r w:rsidRPr="000A02AB">
        <w:t>у</w:t>
      </w:r>
      <w:r w:rsidRPr="000A02AB">
        <w:t>дей, однако в чешской судебной системе постоянно отмечается выраженная вертикальная сегрегация по признаку пола.</w:t>
      </w:r>
    </w:p>
    <w:p w:rsidR="00170278" w:rsidRPr="000A02AB" w:rsidRDefault="00170278" w:rsidP="000A02AB">
      <w:pPr>
        <w:pStyle w:val="SingleTxt"/>
      </w:pPr>
      <w:r w:rsidRPr="000A02AB">
        <w:t>126.</w:t>
      </w:r>
      <w:r w:rsidRPr="000A02AB">
        <w:tab/>
        <w:t>Наиболее высокий показатель представленности женщин зафиксирован для районных судов (65</w:t>
      </w:r>
      <w:r w:rsidR="009B4026" w:rsidRPr="000A02AB">
        <w:t> процент</w:t>
      </w:r>
      <w:r w:rsidRPr="000A02AB">
        <w:t>ов); в краевых судах уровень их представле</w:t>
      </w:r>
      <w:r w:rsidRPr="000A02AB">
        <w:t>н</w:t>
      </w:r>
      <w:r w:rsidRPr="000A02AB">
        <w:t>ности снижается до 58</w:t>
      </w:r>
      <w:r w:rsidR="009B4026" w:rsidRPr="000A02AB">
        <w:t> процент</w:t>
      </w:r>
      <w:r w:rsidRPr="000A02AB">
        <w:t>ов, а в высоких судах – до 47</w:t>
      </w:r>
      <w:r w:rsidR="009B4026" w:rsidRPr="000A02AB">
        <w:t> процент</w:t>
      </w:r>
      <w:r w:rsidRPr="000A02AB">
        <w:t>ов. На уровне Верховного суда женщины составляют лишь 23</w:t>
      </w:r>
      <w:r w:rsidR="009B4026" w:rsidRPr="000A02AB">
        <w:t> процент</w:t>
      </w:r>
      <w:r w:rsidRPr="000A02AB">
        <w:t>а судей, а на уровне Верховного административного суда – 43</w:t>
      </w:r>
      <w:r w:rsidR="009B4026" w:rsidRPr="000A02AB">
        <w:t> процент</w:t>
      </w:r>
      <w:r w:rsidRPr="000A02AB">
        <w:t xml:space="preserve">а. </w:t>
      </w:r>
    </w:p>
    <w:p w:rsidR="00170278" w:rsidRPr="000A02AB" w:rsidRDefault="00170278" w:rsidP="000A02AB">
      <w:pPr>
        <w:pStyle w:val="SingleTxt"/>
      </w:pPr>
      <w:r w:rsidRPr="000A02AB">
        <w:t>127.</w:t>
      </w:r>
      <w:r w:rsidRPr="000A02AB">
        <w:tab/>
        <w:t>В 2013 году женщинами являлись 53</w:t>
      </w:r>
      <w:r w:rsidR="009B4026" w:rsidRPr="000A02AB">
        <w:t> процент</w:t>
      </w:r>
      <w:r w:rsidRPr="000A02AB">
        <w:t>а из 1238</w:t>
      </w:r>
      <w:r w:rsidR="0017373D" w:rsidRPr="000A02AB">
        <w:t> </w:t>
      </w:r>
      <w:r w:rsidRPr="000A02AB">
        <w:t>прокуроров. В долгосрочной перспективе число прокуроров-мужчин соответствует числу прокуроров женского пола, в связи с чем представленность мужчин и женщин можно считать равной. Общая доля женщин, занимающих руководящие дол</w:t>
      </w:r>
      <w:r w:rsidRPr="000A02AB">
        <w:t>ж</w:t>
      </w:r>
      <w:r w:rsidRPr="000A02AB">
        <w:t>ности на всех уровнях государственного обвинения, составляет 50</w:t>
      </w:r>
      <w:r w:rsidR="0017373D" w:rsidRPr="000A02AB">
        <w:t xml:space="preserve"> </w:t>
      </w:r>
      <w:r w:rsidR="009B4026" w:rsidRPr="000A02AB">
        <w:t>проце</w:t>
      </w:r>
      <w:r w:rsidR="009B4026" w:rsidRPr="000A02AB">
        <w:t>н</w:t>
      </w:r>
      <w:r w:rsidR="009B4026" w:rsidRPr="000A02AB">
        <w:t>т</w:t>
      </w:r>
      <w:r w:rsidRPr="000A02AB">
        <w:t>ов</w:t>
      </w:r>
      <w:r w:rsidRPr="000A02AB">
        <w:rPr>
          <w:rStyle w:val="FootnoteReference"/>
        </w:rPr>
        <w:footnoteReference w:id="34"/>
      </w:r>
      <w:r w:rsidRPr="000A02AB">
        <w:t>.</w:t>
      </w:r>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tab/>
      </w:r>
      <w:r w:rsidRPr="000A02AB">
        <w:tab/>
      </w:r>
      <w:bookmarkStart w:id="21" w:name="_Toc415654615"/>
      <w:r w:rsidRPr="000A02AB">
        <w:t>Компании</w:t>
      </w:r>
      <w:bookmarkEnd w:id="21"/>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SingleTxt"/>
      </w:pPr>
      <w:r w:rsidRPr="000A02AB">
        <w:t>128.</w:t>
      </w:r>
      <w:r w:rsidRPr="000A02AB">
        <w:tab/>
        <w:t>В 2012 году особое внимание вопросу обеспечения сбалансированной представленности женщин и мужчин в руководстве компаний уделяла Евр</w:t>
      </w:r>
      <w:r w:rsidRPr="000A02AB">
        <w:t>о</w:t>
      </w:r>
      <w:r w:rsidRPr="000A02AB">
        <w:t>пейская комиссия, разработавшая проект директивы Европейского парламента и Совета об улучшении гендерного баланса среди членов совета директ</w:t>
      </w:r>
      <w:r w:rsidRPr="000A02AB">
        <w:t>о</w:t>
      </w:r>
      <w:r w:rsidRPr="000A02AB">
        <w:t>ров/членов правления без исполнительных полномочий в компаниях, зарег</w:t>
      </w:r>
      <w:r w:rsidRPr="000A02AB">
        <w:t>и</w:t>
      </w:r>
      <w:r w:rsidRPr="000A02AB">
        <w:t xml:space="preserve">стрированных на фондовых биржах, и сопутствующих мерах </w:t>
      </w:r>
      <w:r w:rsidRPr="000A02AB">
        <w:rPr>
          <w:spacing w:val="2"/>
        </w:rPr>
        <w:t>(в дальнейшем именуемого "предложение в отношении директивы о гендерном балансе"). При обсуждении данного предложения в 2013 году чешское правительство дало ему негативную оценку. В 2013 году входящий в состав Совета Комитет по обесп</w:t>
      </w:r>
      <w:r w:rsidRPr="000A02AB">
        <w:rPr>
          <w:spacing w:val="2"/>
        </w:rPr>
        <w:t>е</w:t>
      </w:r>
      <w:r w:rsidRPr="000A02AB">
        <w:rPr>
          <w:spacing w:val="2"/>
        </w:rPr>
        <w:t>чению сбалансированной представленности женщин и мужчин в политике и на руководящих должностях принял постановление, в котором призвал чешское правительство пересмотреть свою нынешнюю позицию по данному предлож</w:t>
      </w:r>
      <w:r w:rsidRPr="000A02AB">
        <w:rPr>
          <w:spacing w:val="2"/>
        </w:rPr>
        <w:t>е</w:t>
      </w:r>
      <w:r w:rsidRPr="000A02AB">
        <w:rPr>
          <w:spacing w:val="2"/>
        </w:rPr>
        <w:t>нию. 26 августа 2014 года аналогичное постановление было принято Советом. По данным Европейской комиссии в деле обеспечения сбалансированной пре</w:t>
      </w:r>
      <w:r w:rsidRPr="000A02AB">
        <w:rPr>
          <w:spacing w:val="2"/>
        </w:rPr>
        <w:t>д</w:t>
      </w:r>
      <w:r w:rsidRPr="000A02AB">
        <w:rPr>
          <w:spacing w:val="2"/>
        </w:rPr>
        <w:t>ставленности женщин и мужчин в руководстве корпораций и представленности женщин в административных и наблюдательных советах крупнейших чешских компаний, зарегистрированных на фондовой бирже, достигнуты некоторые п</w:t>
      </w:r>
      <w:r w:rsidRPr="000A02AB">
        <w:rPr>
          <w:spacing w:val="2"/>
        </w:rPr>
        <w:t>о</w:t>
      </w:r>
      <w:r w:rsidRPr="000A02AB">
        <w:rPr>
          <w:spacing w:val="2"/>
        </w:rPr>
        <w:t>зитивные результаты (в период с 2010 по 2013 год соответствующий показатель увеличился на 6,2</w:t>
      </w:r>
      <w:r w:rsidR="009B4026" w:rsidRPr="000A02AB">
        <w:rPr>
          <w:spacing w:val="2"/>
        </w:rPr>
        <w:t> процент</w:t>
      </w:r>
      <w:r w:rsidRPr="000A02AB">
        <w:rPr>
          <w:spacing w:val="2"/>
        </w:rPr>
        <w:t>ных пункта и в настоящее время составляет 1</w:t>
      </w:r>
      <w:r w:rsidRPr="000A02AB">
        <w:t>8,4</w:t>
      </w:r>
      <w:r w:rsidR="009B4026" w:rsidRPr="000A02AB">
        <w:t> процент</w:t>
      </w:r>
      <w:r w:rsidRPr="000A02AB">
        <w:t>а), однако уровень их представленности все еще не может сч</w:t>
      </w:r>
      <w:r w:rsidRPr="000A02AB">
        <w:t>и</w:t>
      </w:r>
      <w:r w:rsidRPr="000A02AB">
        <w:t>таться уд</w:t>
      </w:r>
      <w:r w:rsidRPr="000A02AB">
        <w:t>о</w:t>
      </w:r>
      <w:r w:rsidRPr="000A02AB">
        <w:t>влетворительным.</w:t>
      </w:r>
    </w:p>
    <w:p w:rsidR="00170278" w:rsidRPr="000A02AB" w:rsidRDefault="00170278" w:rsidP="000A02AB">
      <w:pPr>
        <w:pStyle w:val="SingleTxt"/>
      </w:pPr>
      <w:r w:rsidRPr="000A02AB">
        <w:t>129.</w:t>
      </w:r>
      <w:r w:rsidRPr="000A02AB">
        <w:tab/>
        <w:t>Несмотря на то что женщины составляют большинство выпускников ун</w:t>
      </w:r>
      <w:r w:rsidRPr="000A02AB">
        <w:t>и</w:t>
      </w:r>
      <w:r w:rsidRPr="000A02AB">
        <w:t>верситетов, в том числе среди специалистов экономического профиля, они до сих пор в значительной мере недопредставлены в руководстве компаний. С</w:t>
      </w:r>
      <w:r w:rsidRPr="000A02AB">
        <w:t>о</w:t>
      </w:r>
      <w:r w:rsidRPr="000A02AB">
        <w:t>гласно многим показателям и методикам представленность женщин на руков</w:t>
      </w:r>
      <w:r w:rsidRPr="000A02AB">
        <w:t>о</w:t>
      </w:r>
      <w:r w:rsidRPr="000A02AB">
        <w:t xml:space="preserve">дящих должностях в Чешской Республике в </w:t>
      </w:r>
      <w:r w:rsidR="0017373D" w:rsidRPr="000A02AB">
        <w:t>настоящее время составляет от 7 </w:t>
      </w:r>
      <w:r w:rsidRPr="000A02AB">
        <w:t>до 17</w:t>
      </w:r>
      <w:r w:rsidR="009B4026" w:rsidRPr="000A02AB">
        <w:t> процент</w:t>
      </w:r>
      <w:r w:rsidRPr="000A02AB">
        <w:t>ов. В апреле 2012 года компания "McKinsey &amp; Company" подг</w:t>
      </w:r>
      <w:r w:rsidRPr="000A02AB">
        <w:t>о</w:t>
      </w:r>
      <w:r w:rsidRPr="000A02AB">
        <w:t>товила исследование на тему "Использование всего потенциала женщин в че</w:t>
      </w:r>
      <w:r w:rsidRPr="000A02AB">
        <w:t>ш</w:t>
      </w:r>
      <w:r w:rsidRPr="000A02AB">
        <w:t>ской экономике"</w:t>
      </w:r>
      <w:r w:rsidRPr="000A02AB">
        <w:rPr>
          <w:rStyle w:val="FootnoteReference"/>
        </w:rPr>
        <w:footnoteReference w:id="35"/>
      </w:r>
      <w:r w:rsidRPr="000A02AB">
        <w:t>, по данным которого доля женщин в высшем руководстве компаний составляет всего 17</w:t>
      </w:r>
      <w:r w:rsidR="009B4026" w:rsidRPr="000A02AB">
        <w:t> процент</w:t>
      </w:r>
      <w:r w:rsidRPr="000A02AB">
        <w:t>ов.</w:t>
      </w:r>
    </w:p>
    <w:p w:rsidR="00170278" w:rsidRPr="000A02AB" w:rsidRDefault="00170278" w:rsidP="000A02AB">
      <w:pPr>
        <w:pStyle w:val="SingleTxt"/>
      </w:pPr>
      <w:r w:rsidRPr="000A02AB">
        <w:t>130.</w:t>
      </w:r>
      <w:r w:rsidRPr="000A02AB">
        <w:tab/>
        <w:t>26 апреля 2013 года МТСД совместно с платформой "Бизнес для общ</w:t>
      </w:r>
      <w:r w:rsidRPr="000A02AB">
        <w:t>е</w:t>
      </w:r>
      <w:r w:rsidRPr="000A02AB">
        <w:t>ства</w:t>
      </w:r>
      <w:r w:rsidRPr="000A02AB">
        <w:rPr>
          <w:rStyle w:val="FootnoteReference"/>
        </w:rPr>
        <w:footnoteReference w:id="36"/>
      </w:r>
      <w:r w:rsidRPr="000A02AB">
        <w:t xml:space="preserve"> организовало заседание за круглым столом, посвященное повышению представленности женщин на руководящих должностях в деловом секторе, участниками которого стали представители руководства действующих в стране крупных компаний. В ходе заседания была проведена дискуссия по вопросу о представленности женщин в руководстве компаний Чешской Республики в св</w:t>
      </w:r>
      <w:r w:rsidRPr="000A02AB">
        <w:t>я</w:t>
      </w:r>
      <w:r w:rsidRPr="000A02AB">
        <w:t>зи с предложением в отношении директивы о гендерном балансе.</w:t>
      </w:r>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z w:val="10"/>
        </w:rPr>
        <w:tab/>
      </w:r>
      <w:r w:rsidRPr="000A02AB">
        <w:rPr>
          <w:sz w:val="10"/>
        </w:rPr>
        <w:tab/>
      </w:r>
      <w:bookmarkStart w:id="22" w:name="_Toc415654616"/>
      <w:r w:rsidRPr="000A02AB">
        <w:t>Статья 8</w:t>
      </w:r>
      <w:bookmarkEnd w:id="22"/>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SingleTxt"/>
      </w:pPr>
      <w:r w:rsidRPr="000A02AB">
        <w:t>За отчетный период никаких изменений не произошло.</w:t>
      </w:r>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z w:val="10"/>
        </w:rPr>
        <w:tab/>
      </w:r>
      <w:r w:rsidRPr="000A02AB">
        <w:rPr>
          <w:sz w:val="10"/>
        </w:rPr>
        <w:tab/>
      </w:r>
      <w:bookmarkStart w:id="23" w:name="_Toc415654617"/>
      <w:r w:rsidRPr="000A02AB">
        <w:t>Статья 9</w:t>
      </w:r>
      <w:bookmarkEnd w:id="23"/>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SingleTxt"/>
      </w:pPr>
      <w:r w:rsidRPr="000A02AB">
        <w:t>За отчетный период никаких изменений не произошло.</w:t>
      </w:r>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24" w:name="_Toc415654618"/>
      <w:r w:rsidRPr="000A02AB">
        <w:t>Статья 10</w:t>
      </w:r>
      <w:r w:rsidRPr="000A02AB">
        <w:br/>
        <w:t>Гендерное равенство в сфере образования</w:t>
      </w:r>
      <w:bookmarkEnd w:id="24"/>
    </w:p>
    <w:p w:rsidR="0017373D" w:rsidRPr="000A02AB" w:rsidRDefault="0017373D" w:rsidP="000A02AB">
      <w:pPr>
        <w:pStyle w:val="SingleTxt"/>
        <w:spacing w:after="0" w:line="120" w:lineRule="exact"/>
        <w:rPr>
          <w:sz w:val="10"/>
        </w:rPr>
      </w:pPr>
    </w:p>
    <w:p w:rsidR="0017373D" w:rsidRPr="000A02AB" w:rsidRDefault="0017373D" w:rsidP="000A02AB">
      <w:pPr>
        <w:pStyle w:val="SingleTxt"/>
        <w:spacing w:after="0" w:line="120" w:lineRule="exact"/>
        <w:rPr>
          <w:sz w:val="10"/>
        </w:rPr>
      </w:pPr>
    </w:p>
    <w:p w:rsidR="00170278" w:rsidRPr="000A02AB" w:rsidRDefault="00170278" w:rsidP="000A02AB">
      <w:pPr>
        <w:pStyle w:val="SingleTxt"/>
      </w:pPr>
      <w:r w:rsidRPr="000A02AB">
        <w:t>131.</w:t>
      </w:r>
      <w:r w:rsidRPr="000A02AB">
        <w:tab/>
        <w:t>Чешская Республика не проводит политику дискриминации по признаку пола или иным причинам в вопросах охвата системой образования, включая курсы, посещаемые в рамках непрерывного образования. В стране не примен</w:t>
      </w:r>
      <w:r w:rsidRPr="000A02AB">
        <w:t>я</w:t>
      </w:r>
      <w:r w:rsidRPr="000A02AB">
        <w:t>ется раздельная форма обучения мальчиков и девочек. Содержание учебников утверждается на основе правил проведения обзорных оценок, предусматрив</w:t>
      </w:r>
      <w:r w:rsidRPr="000A02AB">
        <w:t>а</w:t>
      </w:r>
      <w:r w:rsidRPr="000A02AB">
        <w:t>ющих учет гендерно-сбалансированного подхода при подготовке учебников. Выясняется, что положение женщин с точки зрения уровня образования стан</w:t>
      </w:r>
      <w:r w:rsidRPr="000A02AB">
        <w:t>о</w:t>
      </w:r>
      <w:r w:rsidRPr="000A02AB">
        <w:t>вится все лучше не только по сравнению с ситуацией, имевшей место в пр</w:t>
      </w:r>
      <w:r w:rsidRPr="000A02AB">
        <w:t>о</w:t>
      </w:r>
      <w:r w:rsidRPr="000A02AB">
        <w:t>шлом, и что в настоящее время они получают более высокое образование, нежели мужчины. На каждой ступени чешской системы образования отмечае</w:t>
      </w:r>
      <w:r w:rsidRPr="000A02AB">
        <w:t>т</w:t>
      </w:r>
      <w:r w:rsidRPr="000A02AB">
        <w:t>ся довольно ярко выраженная вертикальная и горизонтальная сегрегация по признаку пола. Наиболее заметная гендерная сегрегация преподавателей сущ</w:t>
      </w:r>
      <w:r w:rsidRPr="000A02AB">
        <w:t>е</w:t>
      </w:r>
      <w:r w:rsidRPr="000A02AB">
        <w:t>ствует в учреждениях дошкольного образования, где подавляющее больши</w:t>
      </w:r>
      <w:r w:rsidRPr="000A02AB">
        <w:t>н</w:t>
      </w:r>
      <w:r w:rsidRPr="000A02AB">
        <w:t>ство воспитателей детских садов составляют женщины. В 2011/2012 уче</w:t>
      </w:r>
      <w:r w:rsidRPr="000A02AB">
        <w:t>б</w:t>
      </w:r>
      <w:r w:rsidRPr="000A02AB">
        <w:t>ном году доля женщин среди всех воспитателей детских садов достигала 99,65</w:t>
      </w:r>
      <w:r w:rsidR="009B4026" w:rsidRPr="000A02AB">
        <w:t> процент</w:t>
      </w:r>
      <w:r w:rsidRPr="000A02AB">
        <w:t>а. В этом учебном году воспитателями детских садов на услов</w:t>
      </w:r>
      <w:r w:rsidRPr="000A02AB">
        <w:t>и</w:t>
      </w:r>
      <w:r w:rsidRPr="000A02AB">
        <w:t>ях полной занятости работали только 92 мужчины и 26 780 женщин. Анал</w:t>
      </w:r>
      <w:r w:rsidRPr="000A02AB">
        <w:t>о</w:t>
      </w:r>
      <w:r w:rsidRPr="000A02AB">
        <w:t>гичным образом, женщины составляют 84</w:t>
      </w:r>
      <w:r w:rsidR="009B4026" w:rsidRPr="000A02AB">
        <w:t> процент</w:t>
      </w:r>
      <w:r w:rsidRPr="000A02AB">
        <w:t>а от общего числа препод</w:t>
      </w:r>
      <w:r w:rsidRPr="000A02AB">
        <w:t>а</w:t>
      </w:r>
      <w:r w:rsidRPr="000A02AB">
        <w:t>вателей начальных школ (см. прилагаемую к докладу таблицу 1). Наряду с ни</w:t>
      </w:r>
      <w:r w:rsidRPr="000A02AB">
        <w:t>з</w:t>
      </w:r>
      <w:r w:rsidRPr="000A02AB">
        <w:t>кой оплатой труда и низким социальным престижем указанной деятельности свою роль играют гендерные стереотипы, в числе прочего касающиеся прие</w:t>
      </w:r>
      <w:r w:rsidRPr="000A02AB">
        <w:t>м</w:t>
      </w:r>
      <w:r w:rsidRPr="000A02AB">
        <w:t>лемости для мужчин профессии учителя.</w:t>
      </w:r>
    </w:p>
    <w:p w:rsidR="00170278" w:rsidRPr="000A02AB" w:rsidRDefault="00170278" w:rsidP="000A02AB">
      <w:pPr>
        <w:pStyle w:val="SingleTxt"/>
      </w:pPr>
      <w:r w:rsidRPr="000A02AB">
        <w:t>132.</w:t>
      </w:r>
      <w:r w:rsidRPr="000A02AB">
        <w:tab/>
        <w:t>Несмотря на высокую степень феминизации образования в Чехии, му</w:t>
      </w:r>
      <w:r w:rsidRPr="000A02AB">
        <w:t>ж</w:t>
      </w:r>
      <w:r w:rsidRPr="000A02AB">
        <w:t>чины чаще женщин (в аспекте представленности в составе преподавателей) з</w:t>
      </w:r>
      <w:r w:rsidRPr="000A02AB">
        <w:t>а</w:t>
      </w:r>
      <w:r w:rsidRPr="000A02AB">
        <w:t>нимали руководящие должности. Представленность мужчин среди преподав</w:t>
      </w:r>
      <w:r w:rsidRPr="000A02AB">
        <w:t>а</w:t>
      </w:r>
      <w:r w:rsidRPr="000A02AB">
        <w:t>телей начальных классов составляет 14,9</w:t>
      </w:r>
      <w:r w:rsidR="009B4026" w:rsidRPr="000A02AB">
        <w:t> процент</w:t>
      </w:r>
      <w:r w:rsidRPr="000A02AB">
        <w:t>а, однако их представле</w:t>
      </w:r>
      <w:r w:rsidRPr="000A02AB">
        <w:t>н</w:t>
      </w:r>
      <w:r w:rsidRPr="000A02AB">
        <w:t>ность среди руководителей на той же ступени образования достигает 35</w:t>
      </w:r>
      <w:r w:rsidR="0017373D" w:rsidRPr="000A02AB">
        <w:t xml:space="preserve"> </w:t>
      </w:r>
      <w:r w:rsidR="009B4026" w:rsidRPr="000A02AB">
        <w:t>пр</w:t>
      </w:r>
      <w:r w:rsidR="009B4026" w:rsidRPr="000A02AB">
        <w:t>о</w:t>
      </w:r>
      <w:r w:rsidR="009B4026" w:rsidRPr="000A02AB">
        <w:t>цент</w:t>
      </w:r>
      <w:r w:rsidRPr="000A02AB">
        <w:t>ов. Аналогичным образом, большинство руководителей (58,1</w:t>
      </w:r>
      <w:r w:rsidR="009B4026" w:rsidRPr="000A02AB">
        <w:t> процент</w:t>
      </w:r>
      <w:r w:rsidRPr="000A02AB">
        <w:t>а) на уровне средней школы являются мужчинами, в то время как их представле</w:t>
      </w:r>
      <w:r w:rsidRPr="000A02AB">
        <w:t>н</w:t>
      </w:r>
      <w:r w:rsidRPr="000A02AB">
        <w:t>ность среди преподавателей на данной ступени образования составляет всего лишь 35,3</w:t>
      </w:r>
      <w:r w:rsidR="009B4026" w:rsidRPr="000A02AB">
        <w:t> процент</w:t>
      </w:r>
      <w:r w:rsidRPr="000A02AB">
        <w:t>а.</w:t>
      </w:r>
    </w:p>
    <w:p w:rsidR="00170278" w:rsidRPr="000A02AB" w:rsidRDefault="00170278" w:rsidP="000A02AB">
      <w:pPr>
        <w:pStyle w:val="SingleTxt"/>
      </w:pPr>
      <w:r w:rsidRPr="000A02AB">
        <w:t>133. Среди учащихся также сохраняется выраженная горизонтальная сегрег</w:t>
      </w:r>
      <w:r w:rsidRPr="000A02AB">
        <w:t>а</w:t>
      </w:r>
      <w:r w:rsidRPr="000A02AB">
        <w:t>ция по признаку пола. В 2012/2013 учебном году в средних школах с выпус</w:t>
      </w:r>
      <w:r w:rsidRPr="000A02AB">
        <w:t>к</w:t>
      </w:r>
      <w:r w:rsidRPr="000A02AB">
        <w:t>ным экзаменом по техническим дисциплинам учились 9 504 девочек, что соо</w:t>
      </w:r>
      <w:r w:rsidRPr="000A02AB">
        <w:t>т</w:t>
      </w:r>
      <w:r w:rsidRPr="000A02AB">
        <w:t>ветствует 15,3</w:t>
      </w:r>
      <w:r w:rsidR="009B4026" w:rsidRPr="000A02AB">
        <w:t> процент</w:t>
      </w:r>
      <w:r w:rsidRPr="000A02AB">
        <w:t>а от общего числа учащихся средних школ технического профиля. В этом же учебном году в средних школах с выпускными экзамен</w:t>
      </w:r>
      <w:r w:rsidRPr="000A02AB">
        <w:t>а</w:t>
      </w:r>
      <w:r w:rsidRPr="000A02AB">
        <w:t>ми, ориентированными на изучение общественных наук, училась 87 521 дево</w:t>
      </w:r>
      <w:r w:rsidRPr="000A02AB">
        <w:t>ч</w:t>
      </w:r>
      <w:r w:rsidRPr="000A02AB">
        <w:t>ка, т. е. доля девочек среди всех лиц, изучавших указанные предметы, соста</w:t>
      </w:r>
      <w:r w:rsidRPr="000A02AB">
        <w:t>в</w:t>
      </w:r>
      <w:r w:rsidRPr="000A02AB">
        <w:t>ляла 68,3</w:t>
      </w:r>
      <w:r w:rsidR="009B4026" w:rsidRPr="000A02AB">
        <w:t> процент</w:t>
      </w:r>
      <w:r w:rsidRPr="000A02AB">
        <w:t>а. Аналогичный уровень гендерной сегрегации отмечается в университетах. Среди студентов технических университетов гораздо больше мужчин (72</w:t>
      </w:r>
      <w:r w:rsidR="009B4026" w:rsidRPr="000A02AB">
        <w:t> процент</w:t>
      </w:r>
      <w:r w:rsidRPr="000A02AB">
        <w:t>а), в то время как женщины составляют большинство ст</w:t>
      </w:r>
      <w:r w:rsidRPr="000A02AB">
        <w:t>у</w:t>
      </w:r>
      <w:r w:rsidRPr="000A02AB">
        <w:t>дентов, изучающих гуманитарные и общественные науки (66</w:t>
      </w:r>
      <w:r w:rsidR="009B4026" w:rsidRPr="000A02AB">
        <w:t> процент</w:t>
      </w:r>
      <w:r w:rsidRPr="000A02AB">
        <w:t>ов) и экономику (61</w:t>
      </w:r>
      <w:r w:rsidR="009B4026" w:rsidRPr="000A02AB">
        <w:t> процент</w:t>
      </w:r>
      <w:r w:rsidRPr="000A02AB">
        <w:t>). Наиболее заметна гендерная сегрегация в сфере пед</w:t>
      </w:r>
      <w:r w:rsidRPr="000A02AB">
        <w:t>а</w:t>
      </w:r>
      <w:r w:rsidRPr="000A02AB">
        <w:t>гогических наук, где доля студенток достигает 80</w:t>
      </w:r>
      <w:r w:rsidR="009B4026" w:rsidRPr="000A02AB">
        <w:t> процент</w:t>
      </w:r>
      <w:r w:rsidRPr="000A02AB">
        <w:t>ов</w:t>
      </w:r>
      <w:r w:rsidRPr="000A02AB">
        <w:rPr>
          <w:rStyle w:val="FootnoteReference"/>
        </w:rPr>
        <w:footnoteReference w:id="37"/>
      </w:r>
      <w:r w:rsidRPr="000A02AB">
        <w:t>.</w:t>
      </w:r>
    </w:p>
    <w:p w:rsidR="00170278" w:rsidRPr="000A02AB" w:rsidRDefault="00170278" w:rsidP="000A02AB">
      <w:pPr>
        <w:pStyle w:val="SingleTxt"/>
      </w:pPr>
      <w:r w:rsidRPr="000A02AB">
        <w:t>134.</w:t>
      </w:r>
      <w:r w:rsidRPr="000A02AB">
        <w:tab/>
        <w:t>Как уже упоминалось выше, представленность женщин на всех ступенях высшего образования в Чешской Республике неуклонно возрастает. В 2011 году женщины составляли 60,2</w:t>
      </w:r>
      <w:r w:rsidR="009B4026" w:rsidRPr="000A02AB">
        <w:t> процент</w:t>
      </w:r>
      <w:r w:rsidRPr="000A02AB">
        <w:t>а от общего числа магистрантов и 40,6</w:t>
      </w:r>
      <w:r w:rsidR="009B4026" w:rsidRPr="000A02AB">
        <w:t> процент</w:t>
      </w:r>
      <w:r w:rsidRPr="000A02AB">
        <w:t>а от общего числа лиц, обучающихся в докторантуре. Тем не м</w:t>
      </w:r>
      <w:r w:rsidRPr="000A02AB">
        <w:t>е</w:t>
      </w:r>
      <w:r w:rsidRPr="000A02AB">
        <w:t>нее наличие большой и постоянно увеличивающейся доли образованных же</w:t>
      </w:r>
      <w:r w:rsidRPr="000A02AB">
        <w:t>н</w:t>
      </w:r>
      <w:r w:rsidRPr="000A02AB">
        <w:t>щин в последнее десятилетие не привело к увеличению представленности женщин в сфере научных исследований. В период с 2001 по 2011 год доля женщин, обучающихся в магистратуре по специальности "Машиностроение", возросла на 10,7</w:t>
      </w:r>
      <w:r w:rsidR="009B4026" w:rsidRPr="000A02AB">
        <w:t> процент</w:t>
      </w:r>
      <w:r w:rsidRPr="000A02AB">
        <w:t>ных пункта (до 31,8</w:t>
      </w:r>
      <w:r w:rsidR="009B4026" w:rsidRPr="000A02AB">
        <w:t> процент</w:t>
      </w:r>
      <w:r w:rsidRPr="000A02AB">
        <w:t>а), а доля женщин, об</w:t>
      </w:r>
      <w:r w:rsidRPr="000A02AB">
        <w:t>у</w:t>
      </w:r>
      <w:r w:rsidRPr="000A02AB">
        <w:t>чающихся в докторантуре, увеличилась на 4,1</w:t>
      </w:r>
      <w:r w:rsidR="009B4026" w:rsidRPr="000A02AB">
        <w:t> процент</w:t>
      </w:r>
      <w:r w:rsidRPr="000A02AB">
        <w:t>ных пункта (до 25,7</w:t>
      </w:r>
      <w:r w:rsidR="009B4026" w:rsidRPr="000A02AB">
        <w:t> процент</w:t>
      </w:r>
      <w:r w:rsidRPr="000A02AB">
        <w:t>а), однако представленность женщин среди исследователей в этой области с 2001 года снизилась на 3,7</w:t>
      </w:r>
      <w:r w:rsidR="009B4026" w:rsidRPr="000A02AB">
        <w:t> процент</w:t>
      </w:r>
      <w:r w:rsidRPr="000A02AB">
        <w:t>ных пункта (до 13,1</w:t>
      </w:r>
      <w:r w:rsidR="009B4026" w:rsidRPr="000A02AB">
        <w:t> процент</w:t>
      </w:r>
      <w:r w:rsidRPr="000A02AB">
        <w:t>а). Не считая увеличения доли женщин в сфере медицинских наук, где их пре</w:t>
      </w:r>
      <w:r w:rsidRPr="000A02AB">
        <w:t>д</w:t>
      </w:r>
      <w:r w:rsidRPr="000A02AB">
        <w:t>ставленность среди ученых является наиболее высокой и составляет 50,2</w:t>
      </w:r>
      <w:r w:rsidR="009B4026" w:rsidRPr="000A02AB">
        <w:t> процент</w:t>
      </w:r>
      <w:r w:rsidRPr="000A02AB">
        <w:t>а, соответствующий показатель в других областях не меняется или сокращае</w:t>
      </w:r>
      <w:r w:rsidRPr="000A02AB">
        <w:t>т</w:t>
      </w:r>
      <w:r w:rsidRPr="000A02AB">
        <w:t>ся</w:t>
      </w:r>
      <w:r w:rsidRPr="000A02AB">
        <w:rPr>
          <w:rStyle w:val="FootnoteReference"/>
          <w:spacing w:val="2"/>
        </w:rPr>
        <w:footnoteReference w:id="38"/>
      </w:r>
      <w:r w:rsidRPr="000A02AB">
        <w:t>.</w:t>
      </w:r>
    </w:p>
    <w:p w:rsidR="00170278" w:rsidRPr="000A02AB" w:rsidRDefault="00170278" w:rsidP="000A02AB">
      <w:pPr>
        <w:pStyle w:val="SingleTxt"/>
      </w:pPr>
      <w:r w:rsidRPr="000A02AB">
        <w:t>135.</w:t>
      </w:r>
      <w:r w:rsidRPr="000A02AB">
        <w:tab/>
        <w:t>Доля женщин среди профессоров и доцентов практически не увеличив</w:t>
      </w:r>
      <w:r w:rsidRPr="000A02AB">
        <w:t>а</w:t>
      </w:r>
      <w:r w:rsidRPr="000A02AB">
        <w:t>ется. В 2011 году женщинами являлись 14,2</w:t>
      </w:r>
      <w:r w:rsidR="009B4026" w:rsidRPr="000A02AB">
        <w:t> процент</w:t>
      </w:r>
      <w:r w:rsidRPr="000A02AB">
        <w:t>а профессоров (т. е. их д</w:t>
      </w:r>
      <w:r w:rsidRPr="000A02AB">
        <w:t>о</w:t>
      </w:r>
      <w:r w:rsidRPr="000A02AB">
        <w:t>ля по сравнению с 2001 годом возросла на 5,5</w:t>
      </w:r>
      <w:r w:rsidR="009B4026" w:rsidRPr="000A02AB">
        <w:t> процент</w:t>
      </w:r>
      <w:r w:rsidRPr="000A02AB">
        <w:t>ных пункта) и 24,2</w:t>
      </w:r>
      <w:r w:rsidR="0017373D" w:rsidRPr="000A02AB">
        <w:t xml:space="preserve"> </w:t>
      </w:r>
      <w:r w:rsidR="009B4026" w:rsidRPr="000A02AB">
        <w:t>пр</w:t>
      </w:r>
      <w:r w:rsidR="009B4026" w:rsidRPr="000A02AB">
        <w:t>о</w:t>
      </w:r>
      <w:r w:rsidR="009B4026" w:rsidRPr="000A02AB">
        <w:t>цент</w:t>
      </w:r>
      <w:r w:rsidRPr="000A02AB">
        <w:t>а доцентов (увеличение на 3</w:t>
      </w:r>
      <w:r w:rsidR="009B4026" w:rsidRPr="000A02AB">
        <w:t> процент</w:t>
      </w:r>
      <w:r w:rsidRPr="000A02AB">
        <w:t>ных пункта). Еще одним примером может служить недостаточная представленность женщин в руководстве гос</w:t>
      </w:r>
      <w:r w:rsidRPr="000A02AB">
        <w:t>у</w:t>
      </w:r>
      <w:r w:rsidRPr="000A02AB">
        <w:t>дарственных и общественных университетов: женщинами являются лишь 4,2</w:t>
      </w:r>
      <w:r w:rsidR="009B4026" w:rsidRPr="000A02AB">
        <w:t> процент</w:t>
      </w:r>
      <w:r w:rsidRPr="000A02AB">
        <w:t>а ректоров, 14,2</w:t>
      </w:r>
      <w:r w:rsidR="009B4026" w:rsidRPr="000A02AB">
        <w:t> процент</w:t>
      </w:r>
      <w:r w:rsidRPr="000A02AB">
        <w:t>а членов Ученого совета и 26,3</w:t>
      </w:r>
      <w:r w:rsidR="009B4026" w:rsidRPr="000A02AB">
        <w:t> процент</w:t>
      </w:r>
      <w:r w:rsidRPr="000A02AB">
        <w:t>а членов академических сенатов</w:t>
      </w:r>
      <w:r w:rsidRPr="000A02AB">
        <w:rPr>
          <w:rStyle w:val="FootnoteReference"/>
        </w:rPr>
        <w:footnoteReference w:id="39"/>
      </w:r>
      <w:r w:rsidRPr="000A02AB">
        <w:t>.</w:t>
      </w:r>
    </w:p>
    <w:p w:rsidR="00170278" w:rsidRPr="000A02AB" w:rsidRDefault="00170278" w:rsidP="000A02AB">
      <w:pPr>
        <w:pStyle w:val="SingleTxt"/>
      </w:pPr>
      <w:r w:rsidRPr="000A02AB">
        <w:t>136.</w:t>
      </w:r>
      <w:r w:rsidRPr="000A02AB">
        <w:tab/>
        <w:t>В 2008–2015 годах Министерство образования поддерживает проект С</w:t>
      </w:r>
      <w:r w:rsidRPr="000A02AB">
        <w:t>о</w:t>
      </w:r>
      <w:r w:rsidRPr="000A02AB">
        <w:t>циологического института Академии наук «Национальный контактный центр "Женщины и наука"» (в дальнейшем "НКЦ-ЖН"). Деятельность НКЦ-ЖН направлена на поощрение гендерного равенства в чешской научной среде, определение недискриминационных правил предоставления грантов, увелич</w:t>
      </w:r>
      <w:r w:rsidRPr="000A02AB">
        <w:t>е</w:t>
      </w:r>
      <w:r w:rsidRPr="000A02AB">
        <w:t>ние численности женщин в научной сфере и на руководящих должностях и п</w:t>
      </w:r>
      <w:r w:rsidRPr="000A02AB">
        <w:t>о</w:t>
      </w:r>
      <w:r w:rsidRPr="000A02AB">
        <w:t>вышение значимости женщин-ученых. В частности, с этой целью НКЦ-ЖН совместно с Министерством образования с 2009 года ежегодно объявляет о присуждении премии имени Милады Пауловой женщинам, добившимся успеха в научных исследованиях. Наряду с этим НКЦ-ЖН организует программу наставничества, направленную на привлечение девочек в университеты для получения образования в области естественных и технических наук.</w:t>
      </w:r>
    </w:p>
    <w:p w:rsidR="00170278" w:rsidRPr="000A02AB" w:rsidRDefault="00170278" w:rsidP="000A02AB">
      <w:pPr>
        <w:pStyle w:val="SingleTxt"/>
      </w:pPr>
      <w:r w:rsidRPr="000A02AB">
        <w:t>137.</w:t>
      </w:r>
      <w:r w:rsidRPr="000A02AB">
        <w:tab/>
        <w:t>В 2013 году было опубликовано периодическое издание НКЦ-ЖН "Же</w:t>
      </w:r>
      <w:r w:rsidRPr="000A02AB">
        <w:t>н</w:t>
      </w:r>
      <w:r w:rsidRPr="000A02AB">
        <w:t>щины в чешской науке: отчет о результатах мониторинга за 2012 год" (в дал</w:t>
      </w:r>
      <w:r w:rsidRPr="000A02AB">
        <w:t>ь</w:t>
      </w:r>
      <w:r w:rsidRPr="000A02AB">
        <w:t>нейшем просто "отчет о результатах мониторинга"). В числе прочего в нем п</w:t>
      </w:r>
      <w:r w:rsidRPr="000A02AB">
        <w:t>о</w:t>
      </w:r>
      <w:r w:rsidRPr="000A02AB">
        <w:t>казано, что в 2012 году доля женщин среди научных работников была ниже с</w:t>
      </w:r>
      <w:r w:rsidRPr="000A02AB">
        <w:t>о</w:t>
      </w:r>
      <w:r w:rsidRPr="000A02AB">
        <w:t>ответствующих показателей за период с 2001 года: женщины составляли всего лишь 27,4</w:t>
      </w:r>
      <w:r w:rsidR="009B4026" w:rsidRPr="000A02AB">
        <w:t> процент</w:t>
      </w:r>
      <w:r w:rsidRPr="000A02AB">
        <w:t>а чешских ученых</w:t>
      </w:r>
      <w:r w:rsidRPr="000A02AB">
        <w:rPr>
          <w:rStyle w:val="FootnoteReference"/>
        </w:rPr>
        <w:footnoteReference w:id="40"/>
      </w:r>
      <w:r w:rsidRPr="000A02AB">
        <w:t>. Таким образом, в то время как доля женщин среди студентов университетов постепенно возрастает, превышая д</w:t>
      </w:r>
      <w:r w:rsidRPr="000A02AB">
        <w:t>о</w:t>
      </w:r>
      <w:r w:rsidRPr="000A02AB">
        <w:t>лю мужчин, представленность женщин в науке снижается. Согласно отчету о результатах мониторинга в стране отмечается существенная нехватка женщин на руководящих должностях в сфере научных исследований и высшего образ</w:t>
      </w:r>
      <w:r w:rsidRPr="000A02AB">
        <w:t>о</w:t>
      </w:r>
      <w:r w:rsidRPr="000A02AB">
        <w:t>вания и среди профессоров и доцентов. В 2012 году доля женщин достигала всего лишь 14,3</w:t>
      </w:r>
      <w:r w:rsidR="009B4026" w:rsidRPr="000A02AB">
        <w:t> процент</w:t>
      </w:r>
      <w:r w:rsidRPr="000A02AB">
        <w:t>а в руководящих органах ведущих научно-исследо</w:t>
      </w:r>
      <w:r w:rsidR="00865EBF" w:rsidRPr="000A02AB">
        <w:softHyphen/>
      </w:r>
      <w:r w:rsidRPr="000A02AB">
        <w:t>вательских институтов и учреждений, отвечающих за проведение научной п</w:t>
      </w:r>
      <w:r w:rsidRPr="000A02AB">
        <w:t>о</w:t>
      </w:r>
      <w:r w:rsidRPr="000A02AB">
        <w:t>литики, 14,9</w:t>
      </w:r>
      <w:r w:rsidR="009B4026" w:rsidRPr="000A02AB">
        <w:t> процент</w:t>
      </w:r>
      <w:r w:rsidRPr="000A02AB">
        <w:t>а среди профессоров университетов и 25,7</w:t>
      </w:r>
      <w:r w:rsidR="00865EBF" w:rsidRPr="000A02AB">
        <w:t xml:space="preserve"> </w:t>
      </w:r>
      <w:r w:rsidR="009B4026" w:rsidRPr="000A02AB">
        <w:t>процент</w:t>
      </w:r>
      <w:r w:rsidRPr="000A02AB">
        <w:t>а среди доцентов.</w:t>
      </w:r>
    </w:p>
    <w:p w:rsidR="00170278" w:rsidRPr="000A02AB" w:rsidRDefault="00170278" w:rsidP="000A02AB">
      <w:pPr>
        <w:pStyle w:val="SingleTxt"/>
        <w:rPr>
          <w:w w:val="100"/>
        </w:rPr>
      </w:pPr>
      <w:r w:rsidRPr="000A02AB">
        <w:t>138.</w:t>
      </w:r>
      <w:r w:rsidRPr="000A02AB">
        <w:tab/>
        <w:t>В связи с вышеизложенным в сентябре 2013 года при содействии Мин</w:t>
      </w:r>
      <w:r w:rsidRPr="000A02AB">
        <w:t>и</w:t>
      </w:r>
      <w:r w:rsidRPr="000A02AB">
        <w:t>стерства образования была утверждена среднесрочная концепция обеспечения гендерного равенства, в числе прочего направленная на достижение следу</w:t>
      </w:r>
      <w:r w:rsidRPr="000A02AB">
        <w:t>ю</w:t>
      </w:r>
      <w:r w:rsidRPr="000A02AB">
        <w:t>щих целей: создание правовых и политических условий для обеспечения ге</w:t>
      </w:r>
      <w:r w:rsidRPr="000A02AB">
        <w:t>н</w:t>
      </w:r>
      <w:r w:rsidRPr="000A02AB">
        <w:t xml:space="preserve">дерного равенства в сфере научно-исследовательской деятельности, содействие гендерному равенству в связи с построением профессиональной карьеры в </w:t>
      </w:r>
      <w:r w:rsidRPr="000A02AB">
        <w:rPr>
          <w:w w:val="100"/>
        </w:rPr>
        <w:t>этой области, достижение по крайней мере 40-процентной представленности лиц обоего пола на руководящих должностях и учет концепций равенства женщин и мужчин в процессе развития научных знаний и внедрения новых идей.</w:t>
      </w:r>
    </w:p>
    <w:p w:rsidR="00170278" w:rsidRPr="000A02AB" w:rsidRDefault="00170278" w:rsidP="000A02AB">
      <w:pPr>
        <w:pStyle w:val="SingleTxt"/>
        <w:spacing w:after="0"/>
      </w:pPr>
      <w:r w:rsidRPr="000A02AB">
        <w:t>139.</w:t>
      </w:r>
      <w:r w:rsidRPr="000A02AB">
        <w:tab/>
        <w:t>С обеспечением гендерного равенства в сфере научной деятельности те</w:t>
      </w:r>
      <w:r w:rsidRPr="000A02AB">
        <w:t>с</w:t>
      </w:r>
      <w:r w:rsidRPr="000A02AB">
        <w:t>но связано определение правил Агентства по субсидиям Чешской Республики (в дальнейшем именуемого "АСЧР"), касающихся предоставления финансовой поддержки из государственных фондов на цели осуществления научно-исследовательских проектов. В 2013 году УПЧ рассмотрел ходатайство НКЦ-ЖН, в котором оспаривались дискриминационные правила приостановления работы над субсидируемым проектом лиц, защитивших докторскую диссерт</w:t>
      </w:r>
      <w:r w:rsidRPr="000A02AB">
        <w:t>а</w:t>
      </w:r>
      <w:r w:rsidRPr="000A02AB">
        <w:t>цию (см. пункт 33). В числе прочего НКЦ-ЖН отметил то обстоятельство, что гранты для научных сотрудников с ученой степенью предоставляются только один раз. В случае беременности женщины-исследователя, получившей грант, и связанного с этим невыполнения намеченной работы эта женщина лишается возможности снова участвовать в конкурсе. НКЦ-ЖН также отметил жесткий свод правил, касающихся приостановления работы над субсидируемыми пр</w:t>
      </w:r>
      <w:r w:rsidRPr="000A02AB">
        <w:t>о</w:t>
      </w:r>
      <w:r w:rsidRPr="000A02AB">
        <w:t>ектами, согласно которому соответствующие ходатайства могут быть поданы не позднее двух установленных дат (1 января и 1 июня календарного года). Данное условие не является благоприятным для матери (или обоих родителей), поскольку дату начала отпуска по беременности и родам (или отпуска по уходу за ребенком) невозможно определить заранее, в связи с чем возникают ситу</w:t>
      </w:r>
      <w:r w:rsidRPr="000A02AB">
        <w:t>а</w:t>
      </w:r>
      <w:r w:rsidRPr="000A02AB">
        <w:t>ции, когда необходимо приостановить работу над субсидируемым проектом до начала отпуска по беременности и родам или уходу за ребенком. Это, в частн</w:t>
      </w:r>
      <w:r w:rsidRPr="000A02AB">
        <w:t>о</w:t>
      </w:r>
      <w:r w:rsidRPr="000A02AB">
        <w:t>сти, приводит к сокращению пособий по беременности и родам для лиц, зан</w:t>
      </w:r>
      <w:r w:rsidRPr="000A02AB">
        <w:t>и</w:t>
      </w:r>
      <w:r w:rsidRPr="000A02AB">
        <w:t>мающихся решением научных проблем. В своем заключении УПЧ в числе пр</w:t>
      </w:r>
      <w:r w:rsidRPr="000A02AB">
        <w:t>о</w:t>
      </w:r>
      <w:r w:rsidRPr="000A02AB">
        <w:t>чего отметил, что если внешне нейтральный свод правил, касающихся пр</w:t>
      </w:r>
      <w:r w:rsidRPr="000A02AB">
        <w:t>и</w:t>
      </w:r>
      <w:r w:rsidRPr="000A02AB">
        <w:t>остановления работы по субсидируемым проектам научных исследований п</w:t>
      </w:r>
      <w:r w:rsidRPr="000A02AB">
        <w:t>о</w:t>
      </w:r>
      <w:r w:rsidRPr="000A02AB">
        <w:t>сле защиты докторской диссертации, может ущемлять права того или иного лица по причине исполнения им родительских функций, то по сути речь идет о косвенной дискриминации. В связи с этим УПЧ, исходя из возможности ко</w:t>
      </w:r>
      <w:r w:rsidRPr="000A02AB">
        <w:t>с</w:t>
      </w:r>
      <w:r w:rsidRPr="000A02AB">
        <w:t>венной дискриминации по признаку пола, рекомендовал АСЧР изменить пр</w:t>
      </w:r>
      <w:r w:rsidRPr="000A02AB">
        <w:t>а</w:t>
      </w:r>
      <w:r w:rsidRPr="000A02AB">
        <w:t>вила приостановления работы по субсидируемым проектам научных исслед</w:t>
      </w:r>
      <w:r w:rsidRPr="000A02AB">
        <w:t>о</w:t>
      </w:r>
      <w:r w:rsidRPr="000A02AB">
        <w:t>ваний после защиты докторской диссертации по причине беременности и в</w:t>
      </w:r>
      <w:r w:rsidRPr="000A02AB">
        <w:t>ы</w:t>
      </w:r>
      <w:r w:rsidRPr="000A02AB">
        <w:t>полнения родительских функций</w:t>
      </w:r>
      <w:r w:rsidRPr="000A02AB">
        <w:rPr>
          <w:rStyle w:val="FootnoteReference"/>
        </w:rPr>
        <w:footnoteReference w:id="41"/>
      </w:r>
      <w:r w:rsidRPr="000A02AB">
        <w:t>. Данная рекомендация должна быть учтена АСЧР в его дальнейшей деятельности.</w:t>
      </w:r>
    </w:p>
    <w:p w:rsidR="00170278" w:rsidRPr="000A02AB" w:rsidRDefault="00170278" w:rsidP="000A02AB">
      <w:pPr>
        <w:pStyle w:val="SingleTxt"/>
      </w:pPr>
      <w:r w:rsidRPr="000A02AB">
        <w:t>140.</w:t>
      </w:r>
      <w:r w:rsidRPr="000A02AB">
        <w:tab/>
        <w:t>С целью побудить девочек к изучению информационных технологий ф</w:t>
      </w:r>
      <w:r w:rsidRPr="000A02AB">
        <w:t>а</w:t>
      </w:r>
      <w:r w:rsidRPr="000A02AB">
        <w:t>культет информационных технологий (ФИТ) Технического университета в Брно в шестой раз организовал ежегодную летнюю школу под лозунгом "Д</w:t>
      </w:r>
      <w:r w:rsidRPr="000A02AB">
        <w:t>е</w:t>
      </w:r>
      <w:r w:rsidRPr="000A02AB">
        <w:t>вушкам идет ФИТ". Часть занятий в рамках летней школы была посвящена б</w:t>
      </w:r>
      <w:r w:rsidRPr="000A02AB">
        <w:t>е</w:t>
      </w:r>
      <w:r w:rsidRPr="000A02AB">
        <w:t>седе с несколькими женщинами, связавшими свою профессиональную де</w:t>
      </w:r>
      <w:r w:rsidRPr="000A02AB">
        <w:t>я</w:t>
      </w:r>
      <w:r w:rsidRPr="000A02AB">
        <w:t>тельность с информационными технологиями. Участвовавшие в них девушки смогли обсудить методы успешной работы в сфере ИТ, результаты, которые могут быть достигнуты в этой области, и способы совмещения связанной с ИТ профессиональной деятельности с частной и семейной жизнью.</w:t>
      </w:r>
    </w:p>
    <w:p w:rsidR="00FE2E5E" w:rsidRPr="000A02AB" w:rsidRDefault="00FE2E5E" w:rsidP="000A02AB">
      <w:pPr>
        <w:pStyle w:val="SingleTxt"/>
        <w:spacing w:after="0" w:line="120" w:lineRule="exact"/>
        <w:rPr>
          <w:sz w:val="10"/>
        </w:rPr>
      </w:pPr>
    </w:p>
    <w:p w:rsidR="00FE2E5E" w:rsidRPr="000A02AB" w:rsidRDefault="00FE2E5E" w:rsidP="000A02AB">
      <w:pPr>
        <w:pStyle w:val="SingleTxt"/>
        <w:spacing w:after="0" w:line="120" w:lineRule="exact"/>
        <w:rPr>
          <w:sz w:val="10"/>
        </w:rPr>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rPr>
          <w:sz w:val="10"/>
        </w:rPr>
        <w:tab/>
      </w:r>
      <w:r w:rsidRPr="000A02AB">
        <w:rPr>
          <w:sz w:val="10"/>
        </w:rPr>
        <w:tab/>
      </w:r>
      <w:bookmarkStart w:id="25" w:name="_Toc415654619"/>
      <w:r w:rsidRPr="000A02AB">
        <w:t>Статья 11</w:t>
      </w:r>
      <w:r w:rsidRPr="000A02AB">
        <w:br/>
        <w:t>Меры по ликвидации дискриминации в отношении женщин на рынке труда</w:t>
      </w:r>
      <w:bookmarkEnd w:id="25"/>
    </w:p>
    <w:p w:rsidR="00FE2E5E" w:rsidRPr="000A02AB" w:rsidRDefault="00FE2E5E" w:rsidP="000A02AB">
      <w:pPr>
        <w:pStyle w:val="SingleTxt"/>
        <w:spacing w:after="0" w:line="120" w:lineRule="exact"/>
        <w:rPr>
          <w:sz w:val="10"/>
        </w:rPr>
      </w:pPr>
    </w:p>
    <w:p w:rsidR="00FE2E5E" w:rsidRPr="000A02AB" w:rsidRDefault="00FE2E5E" w:rsidP="000A02AB">
      <w:pPr>
        <w:pStyle w:val="SingleTxt"/>
        <w:spacing w:after="0" w:line="120" w:lineRule="exact"/>
        <w:rPr>
          <w:sz w:val="10"/>
        </w:rPr>
      </w:pPr>
    </w:p>
    <w:p w:rsidR="00170278" w:rsidRPr="000A02AB" w:rsidRDefault="00170278" w:rsidP="000A02AB">
      <w:pPr>
        <w:pStyle w:val="SingleTxt"/>
      </w:pPr>
      <w:r w:rsidRPr="000A02AB">
        <w:t>141.</w:t>
      </w:r>
      <w:r w:rsidRPr="000A02AB">
        <w:tab/>
        <w:t>Активная политика в области занятости обеспечивает поддержку части</w:t>
      </w:r>
      <w:r w:rsidRPr="000A02AB">
        <w:t>ч</w:t>
      </w:r>
      <w:r w:rsidRPr="000A02AB">
        <w:t>ной занятости при помощи инструмента "Общественно-полезные работы". При использовании данного инструмента работодателям возмещаются расходы на заработную плату. В случае приема на работу лиц, желающих работать на условиях частичной занятости, работодатель получает дополнительные выпл</w:t>
      </w:r>
      <w:r w:rsidRPr="000A02AB">
        <w:t>а</w:t>
      </w:r>
      <w:r w:rsidRPr="000A02AB">
        <w:t>ты в сравнении с ситуацией найма работника на полную ставку. Работодатели были проинформированы о наличии такой возможности через Бюро труда ЧР (БТ ЧР). В период с марта 2013 года по конец июня 2014 года работу на усл</w:t>
      </w:r>
      <w:r w:rsidRPr="000A02AB">
        <w:t>о</w:t>
      </w:r>
      <w:r w:rsidRPr="000A02AB">
        <w:t xml:space="preserve">виях частичной занятости в рамках </w:t>
      </w:r>
      <w:r w:rsidR="00FE2E5E" w:rsidRPr="000A02AB">
        <w:t>применения этой меры получили 4</w:t>
      </w:r>
      <w:r w:rsidRPr="000A02AB">
        <w:t>300</w:t>
      </w:r>
      <w:r w:rsidR="009B4026" w:rsidRPr="000A02AB">
        <w:t> человек</w:t>
      </w:r>
      <w:r w:rsidRPr="000A02AB">
        <w:t>.</w:t>
      </w:r>
    </w:p>
    <w:p w:rsidR="00170278" w:rsidRPr="000A02AB" w:rsidRDefault="00170278" w:rsidP="000A02AB">
      <w:pPr>
        <w:pStyle w:val="SingleTxt"/>
      </w:pPr>
      <w:r w:rsidRPr="000A02AB">
        <w:t>142.</w:t>
      </w:r>
      <w:r w:rsidRPr="000A02AB">
        <w:tab/>
        <w:t>Под руководством ЕСФ разрабатывается еще одна оперативная программа на период 2014–2020 годов ("Оперативная программа в области занятости"), которая также главным образом ориентирована на установление гендерного равенства. Отдел по вопросам гендерного равенства проводит активную работу по распространению информации о данной программе среди различных в</w:t>
      </w:r>
      <w:r w:rsidRPr="000A02AB">
        <w:t>е</w:t>
      </w:r>
      <w:r w:rsidRPr="000A02AB">
        <w:t>домств с целью добиться максимально эффективного использования ресурсов в интересах оптимизации институциональной основы для установления раве</w:t>
      </w:r>
      <w:r w:rsidRPr="000A02AB">
        <w:t>н</w:t>
      </w:r>
      <w:r w:rsidRPr="000A02AB">
        <w:t>ства между женщинами и мужчинами.</w:t>
      </w:r>
    </w:p>
    <w:p w:rsidR="00170278" w:rsidRPr="000A02AB" w:rsidRDefault="00170278" w:rsidP="000A02AB">
      <w:pPr>
        <w:pStyle w:val="SingleTxt"/>
      </w:pPr>
      <w:r w:rsidRPr="000A02AB">
        <w:t>143.</w:t>
      </w:r>
      <w:r w:rsidRPr="000A02AB">
        <w:tab/>
        <w:t>Обеспечению согласованности трудовой деятельности и семейной жизни также была посвящена проводившаяся МТСД кампания "Проверка согласова</w:t>
      </w:r>
      <w:r w:rsidRPr="000A02AB">
        <w:t>н</w:t>
      </w:r>
      <w:r w:rsidRPr="000A02AB">
        <w:t>ности семейных потребностей и условий труда". Этот проект был реализован в 2011–2014 годах с участием восьми компаний, трех представителей госуда</w:t>
      </w:r>
      <w:r w:rsidRPr="000A02AB">
        <w:t>р</w:t>
      </w:r>
      <w:r w:rsidRPr="000A02AB">
        <w:t>ственной администрации, трех некоммерческих и одной донорской организ</w:t>
      </w:r>
      <w:r w:rsidRPr="000A02AB">
        <w:t>а</w:t>
      </w:r>
      <w:r w:rsidRPr="000A02AB">
        <w:t>ции. Главная цель данной проверки заключалась в развитии и совершенствов</w:t>
      </w:r>
      <w:r w:rsidRPr="000A02AB">
        <w:t>а</w:t>
      </w:r>
      <w:r w:rsidRPr="000A02AB">
        <w:t>нии культуры, ориентированной на поддержку семей, и организации диску</w:t>
      </w:r>
      <w:r w:rsidRPr="000A02AB">
        <w:t>с</w:t>
      </w:r>
      <w:r w:rsidRPr="000A02AB">
        <w:t>сий, результатом которых должна была стать разработка мер, способствующих гармонизации семейной жизни и карьеры. Ее проведение позволило повысить мотивацию сотрудников и защитить экономические интересы соответству</w:t>
      </w:r>
      <w:r w:rsidRPr="000A02AB">
        <w:t>ю</w:t>
      </w:r>
      <w:r w:rsidRPr="000A02AB">
        <w:t>щих компаний/организаций. В целях обеспечения согласованности трудовой деятельности и семейной жизни предпринимаются усилия по созданию стим</w:t>
      </w:r>
      <w:r w:rsidRPr="000A02AB">
        <w:t>у</w:t>
      </w:r>
      <w:r w:rsidRPr="000A02AB">
        <w:t>лов, побуждающих работодателей более активно предлагать различные виды мер. Наряду с этим важно поддерживать социальный диалог и переговоры между предпринимателями и профсоюзами, которые способствуют обеспеч</w:t>
      </w:r>
      <w:r w:rsidRPr="000A02AB">
        <w:t>е</w:t>
      </w:r>
      <w:r w:rsidRPr="000A02AB">
        <w:t>нию гендерного равенства на рынке труда.</w:t>
      </w:r>
    </w:p>
    <w:p w:rsidR="00170278" w:rsidRPr="000A02AB" w:rsidRDefault="00170278" w:rsidP="000A02AB">
      <w:pPr>
        <w:pStyle w:val="SingleTxt"/>
      </w:pPr>
      <w:r w:rsidRPr="000A02AB">
        <w:t>144.</w:t>
      </w:r>
      <w:r w:rsidRPr="000A02AB">
        <w:tab/>
        <w:t>Надзор за соблюдением права на равное обращение, включая право на равную оплату за равный труд или труд равной ценности, осуществляют орг</w:t>
      </w:r>
      <w:r w:rsidRPr="000A02AB">
        <w:t>а</w:t>
      </w:r>
      <w:r w:rsidRPr="000A02AB">
        <w:t>ны трудовой инспекции. Более подробную информацию о количестве проверок и штрафах см. в пункте 34.</w:t>
      </w:r>
    </w:p>
    <w:p w:rsidR="00170278" w:rsidRPr="000A02AB" w:rsidRDefault="00170278" w:rsidP="000A02AB">
      <w:pPr>
        <w:pStyle w:val="SingleTxt"/>
      </w:pPr>
      <w:r w:rsidRPr="000A02AB">
        <w:t>145.</w:t>
      </w:r>
      <w:r w:rsidRPr="000A02AB">
        <w:tab/>
        <w:t>По данным Евростата в 2011 году гендерный разрыв в оплате труда в Чешской Республике составил 21,6</w:t>
      </w:r>
      <w:r w:rsidR="009B4026" w:rsidRPr="000A02AB">
        <w:t> процент</w:t>
      </w:r>
      <w:r w:rsidRPr="000A02AB">
        <w:t>а. По сравнению с предыдущей оценкой в 2010 году, когда соответствующий показатель был равен 25,5</w:t>
      </w:r>
      <w:r w:rsidR="00FE2E5E" w:rsidRPr="000A02AB">
        <w:t xml:space="preserve"> </w:t>
      </w:r>
      <w:r w:rsidR="009B4026" w:rsidRPr="000A02AB">
        <w:t>пр</w:t>
      </w:r>
      <w:r w:rsidR="009B4026" w:rsidRPr="000A02AB">
        <w:t>о</w:t>
      </w:r>
      <w:r w:rsidR="009B4026" w:rsidRPr="000A02AB">
        <w:t>цент</w:t>
      </w:r>
      <w:r w:rsidRPr="000A02AB">
        <w:t>а, разрыв в оплате труда сократился на 3,9</w:t>
      </w:r>
      <w:r w:rsidR="009B4026" w:rsidRPr="000A02AB">
        <w:t> процент</w:t>
      </w:r>
      <w:r w:rsidRPr="000A02AB">
        <w:t>ных пункта. В ЕС сре</w:t>
      </w:r>
      <w:r w:rsidRPr="000A02AB">
        <w:t>д</w:t>
      </w:r>
      <w:r w:rsidRPr="000A02AB">
        <w:t>ний гендерный разрыв в оплате труда по-прежнему находится на более низком уровне, составляя 16,2</w:t>
      </w:r>
      <w:r w:rsidR="009B4026" w:rsidRPr="000A02AB">
        <w:t> процент</w:t>
      </w:r>
      <w:r w:rsidRPr="000A02AB">
        <w:t>а. Тем не менее по сравнению с предыдущим периодом Чешская Республика переместилась со второго на четвертое место после Эстонии, Австрии и Германии по величине разрыва в оплате труда ме</w:t>
      </w:r>
      <w:r w:rsidRPr="000A02AB">
        <w:t>ж</w:t>
      </w:r>
      <w:r w:rsidRPr="000A02AB">
        <w:t>ду женщинами и мужчинами</w:t>
      </w:r>
      <w:r w:rsidRPr="000A02AB">
        <w:rPr>
          <w:rStyle w:val="FootnoteReference"/>
        </w:rPr>
        <w:footnoteReference w:id="42"/>
      </w:r>
      <w:r w:rsidRPr="000A02AB">
        <w:t>.</w:t>
      </w:r>
    </w:p>
    <w:p w:rsidR="00170278" w:rsidRPr="000A02AB" w:rsidRDefault="00170278" w:rsidP="000A02AB">
      <w:pPr>
        <w:pStyle w:val="SingleTxt"/>
      </w:pPr>
      <w:r w:rsidRPr="000A02AB">
        <w:t>146.</w:t>
      </w:r>
      <w:r w:rsidRPr="000A02AB">
        <w:tab/>
        <w:t>2014 год стал пятым годом проведения международного мероприятия "День равной оплаты труда", которое в Чешской Республике, по аналогии с другими странами, было организовано НПО "Женщины-предприниматели и женщины-специалисты Праги". Посетители данного мероприятия могут пр</w:t>
      </w:r>
      <w:r w:rsidRPr="000A02AB">
        <w:t>и</w:t>
      </w:r>
      <w:r w:rsidRPr="000A02AB">
        <w:t>нять участие в конференциях, встретиться с женщинами, добившимися успеха в качестве руководителей и предпринимателей в различных областях, и во</w:t>
      </w:r>
      <w:r w:rsidRPr="000A02AB">
        <w:t>с</w:t>
      </w:r>
      <w:r w:rsidRPr="000A02AB">
        <w:t>пользоваться так называемыми программами наставничества. В прошлом году данное мероприятие проводилось при финансовой поддержке МТСД.</w:t>
      </w:r>
    </w:p>
    <w:p w:rsidR="00170278" w:rsidRPr="000A02AB" w:rsidRDefault="00170278" w:rsidP="000A02AB">
      <w:pPr>
        <w:pStyle w:val="SingleTxt"/>
      </w:pPr>
      <w:r w:rsidRPr="000A02AB">
        <w:t>147.</w:t>
      </w:r>
      <w:r w:rsidRPr="000A02AB">
        <w:tab/>
        <w:t>Наряду с этим продолжаются мероприятия, осуществляемые в некомме</w:t>
      </w:r>
      <w:r w:rsidRPr="000A02AB">
        <w:t>р</w:t>
      </w:r>
      <w:r w:rsidRPr="000A02AB">
        <w:t>ческом секторе. Примером может служить деятельность некоммерческой орг</w:t>
      </w:r>
      <w:r w:rsidRPr="000A02AB">
        <w:t>а</w:t>
      </w:r>
      <w:r w:rsidRPr="000A02AB">
        <w:t>низации "Гендерные исследования", которая в 2014 году также получала по</w:t>
      </w:r>
      <w:r w:rsidRPr="000A02AB">
        <w:t>д</w:t>
      </w:r>
      <w:r w:rsidRPr="000A02AB">
        <w:t>держку по линии программы грантов, созданной МТСД с целью непосре</w:t>
      </w:r>
      <w:r w:rsidRPr="000A02AB">
        <w:t>д</w:t>
      </w:r>
      <w:r w:rsidRPr="000A02AB">
        <w:t>ственной поддержки мероприятий, проводимых НПО по вопросам гендерного равенства в общественных интересах (пункт 27). Данная организация в числе прочего выполняет функции информационного центра по вопросам дискрим</w:t>
      </w:r>
      <w:r w:rsidRPr="000A02AB">
        <w:t>и</w:t>
      </w:r>
      <w:r w:rsidRPr="000A02AB">
        <w:t>нации на рынке труда и проводит целый комплекс мероприятий, ориентир</w:t>
      </w:r>
      <w:r w:rsidRPr="000A02AB">
        <w:t>о</w:t>
      </w:r>
      <w:r w:rsidRPr="000A02AB">
        <w:t>ванных на широкую общественность.</w:t>
      </w:r>
    </w:p>
    <w:p w:rsidR="00170278" w:rsidRPr="000A02AB" w:rsidRDefault="00170278" w:rsidP="000A02AB">
      <w:pPr>
        <w:pStyle w:val="SingleTxt"/>
      </w:pPr>
      <w:r w:rsidRPr="000A02AB">
        <w:t>148.</w:t>
      </w:r>
      <w:r w:rsidRPr="000A02AB">
        <w:tab/>
        <w:t>Социальные партнеры также проводят большую работу по ликвидации гендерной дискриминации и обеспечению равенства между мужчинами и женщинами. В этой связи можно, в частности, упомянуть деятельность Ком</w:t>
      </w:r>
      <w:r w:rsidRPr="000A02AB">
        <w:t>и</w:t>
      </w:r>
      <w:r w:rsidRPr="000A02AB">
        <w:t>тета по вопросам равных возможностей Чешско-моравской конфедерации профсоюзов, который в 2013 году опубликовал новый вариант пропагандис</w:t>
      </w:r>
      <w:r w:rsidRPr="000A02AB">
        <w:t>т</w:t>
      </w:r>
      <w:r w:rsidRPr="000A02AB">
        <w:t>ской листовки, призванной побудить рабочих и служащих сообщать о дискр</w:t>
      </w:r>
      <w:r w:rsidRPr="000A02AB">
        <w:t>и</w:t>
      </w:r>
      <w:r w:rsidRPr="000A02AB">
        <w:t>минации на рабочем месте и выступать против подобной практики.</w:t>
      </w:r>
    </w:p>
    <w:p w:rsidR="00170278" w:rsidRPr="000A02AB" w:rsidRDefault="00170278" w:rsidP="000A02AB">
      <w:pPr>
        <w:pStyle w:val="SingleTxt"/>
      </w:pPr>
      <w:r w:rsidRPr="000A02AB">
        <w:t>149.</w:t>
      </w:r>
      <w:r w:rsidRPr="000A02AB">
        <w:tab/>
        <w:t>ЧСУ проводит свое Обследование рабочей силы с 1992 года. Важным критерием для обеспечения согласованности трудовой деятельности и частной и семейной жизни являются данные о продолжительности рабочей недели. В среднем она составляет 40,8 часа. Как правило, мужчины работают по 42,3 ч</w:t>
      </w:r>
      <w:r w:rsidRPr="000A02AB">
        <w:t>а</w:t>
      </w:r>
      <w:r w:rsidRPr="000A02AB">
        <w:t>са в неделю (43,0 часа при полной занятости и 21,2 часа при частичной занят</w:t>
      </w:r>
      <w:r w:rsidRPr="000A02AB">
        <w:t>о</w:t>
      </w:r>
      <w:r w:rsidRPr="000A02AB">
        <w:t xml:space="preserve">сти), в то время как женщины работают по 38,8 </w:t>
      </w:r>
      <w:r w:rsidR="00FE2E5E" w:rsidRPr="000A02AB">
        <w:t>часа в неделю (40,7 часа и 21,3 </w:t>
      </w:r>
      <w:r w:rsidRPr="000A02AB">
        <w:t>часа)</w:t>
      </w:r>
      <w:r w:rsidRPr="000A02AB">
        <w:rPr>
          <w:rStyle w:val="FootnoteReference"/>
        </w:rPr>
        <w:footnoteReference w:id="43"/>
      </w:r>
      <w:r w:rsidRPr="000A02AB">
        <w:t>. Согласно тому же обследованию 70,4</w:t>
      </w:r>
      <w:r w:rsidR="009B4026" w:rsidRPr="000A02AB">
        <w:t> процент</w:t>
      </w:r>
      <w:r w:rsidRPr="000A02AB">
        <w:t>а частично занятых лиц составляют женщины. Большинство женщин и мужчин работают на усл</w:t>
      </w:r>
      <w:r w:rsidRPr="000A02AB">
        <w:t>о</w:t>
      </w:r>
      <w:r w:rsidRPr="000A02AB">
        <w:t>виях частичной занятости, будучи в возрасте от 30 до 44 лет. Сектором, в кот</w:t>
      </w:r>
      <w:r w:rsidRPr="000A02AB">
        <w:t>о</w:t>
      </w:r>
      <w:r w:rsidRPr="000A02AB">
        <w:t>ром большинство людей работают в режиме неполного рабочего времени, я</w:t>
      </w:r>
      <w:r w:rsidRPr="000A02AB">
        <w:t>в</w:t>
      </w:r>
      <w:r w:rsidRPr="000A02AB">
        <w:t>ляется оптовая и розничная торговля, ремонт автомобилей, обслуживание и сбыт. Эти области одинаковы для мужчин и женщин.</w:t>
      </w:r>
    </w:p>
    <w:p w:rsidR="00170278" w:rsidRPr="000A02AB" w:rsidRDefault="00170278" w:rsidP="000A02AB">
      <w:pPr>
        <w:pStyle w:val="SingleTxt"/>
      </w:pPr>
      <w:r w:rsidRPr="000A02AB">
        <w:t>150.</w:t>
      </w:r>
      <w:r w:rsidRPr="000A02AB">
        <w:tab/>
        <w:t>Трудовой кодекс предусматривает возможность ведения переговоров между работодателем и работником в отношении целого ряда гибких форм труда, таких как укороченный рабочий день и другие соответствующие формы организации рабочего времени; гибкий рабочий график; полное или частичное выполнение работы на дому (работа из дома); дистанционная работа (диста</w:t>
      </w:r>
      <w:r w:rsidRPr="000A02AB">
        <w:t>н</w:t>
      </w:r>
      <w:r w:rsidRPr="000A02AB">
        <w:t>ционное сотрудничество, телеработа); соглашения о выполнении работ, не подпадающих под действие трудового договора, т. е. соглашение о выполнении работ и соглашение об оказании услуг; учет отработанного времени или дел</w:t>
      </w:r>
      <w:r w:rsidRPr="000A02AB">
        <w:t>е</w:t>
      </w:r>
      <w:r w:rsidRPr="000A02AB">
        <w:t>ние рабочего места между несколькими работниками.</w:t>
      </w:r>
    </w:p>
    <w:p w:rsidR="00170278" w:rsidRPr="000A02AB" w:rsidRDefault="00170278" w:rsidP="000A02AB">
      <w:pPr>
        <w:pStyle w:val="SingleTxt"/>
      </w:pPr>
      <w:r w:rsidRPr="000A02AB">
        <w:t>151.</w:t>
      </w:r>
      <w:r w:rsidRPr="000A02AB">
        <w:tab/>
        <w:t>В целом формы частичной занятости используются в Чешской Республ</w:t>
      </w:r>
      <w:r w:rsidRPr="000A02AB">
        <w:t>и</w:t>
      </w:r>
      <w:r w:rsidRPr="000A02AB">
        <w:t>ке не так часто, как в других странах ЕС, однако не следует забывать, что р</w:t>
      </w:r>
      <w:r w:rsidRPr="000A02AB">
        <w:t>а</w:t>
      </w:r>
      <w:r w:rsidRPr="000A02AB">
        <w:t>бота в течение неполного рабочего дня – не единственный вариант гибких форм трудовой деятельности. Выводы зарубежных специалистов свидетел</w:t>
      </w:r>
      <w:r w:rsidRPr="000A02AB">
        <w:t>ь</w:t>
      </w:r>
      <w:r w:rsidRPr="000A02AB">
        <w:t>ствуют о том, что высокий уровень частичной занятости оказывает негативное влияние на разрыв в оплате труда между женщинами и мужчинами. В связи с этим необходимо сосредоточить усилия на общей поддержке мероприятий по созданию более гибких условий наряду с обеспечением стабильности рынка труда, а не только на поддержке частичной занятости.</w:t>
      </w:r>
    </w:p>
    <w:p w:rsidR="00170278" w:rsidRPr="000A02AB" w:rsidRDefault="00170278" w:rsidP="000A02AB">
      <w:pPr>
        <w:pStyle w:val="SingleTxt"/>
      </w:pPr>
      <w:r w:rsidRPr="000A02AB">
        <w:t>152.</w:t>
      </w:r>
      <w:r w:rsidRPr="000A02AB">
        <w:tab/>
        <w:t>Внедрение гибких форм трудовой деятельности представляет собой ста</w:t>
      </w:r>
      <w:r w:rsidRPr="000A02AB">
        <w:t>н</w:t>
      </w:r>
      <w:r w:rsidRPr="000A02AB">
        <w:t>дартное мероприятие, поддерживаемое в рамках проектов, которые финанс</w:t>
      </w:r>
      <w:r w:rsidRPr="000A02AB">
        <w:t>и</w:t>
      </w:r>
      <w:r w:rsidRPr="000A02AB">
        <w:t>рует ЕСФ. В числе прочего поддерживаются внедрение гибких форм организ</w:t>
      </w:r>
      <w:r w:rsidRPr="000A02AB">
        <w:t>а</w:t>
      </w:r>
      <w:r w:rsidRPr="000A02AB">
        <w:t>ции труда и проверка их эффективности на практике, а также развитие просв</w:t>
      </w:r>
      <w:r w:rsidRPr="000A02AB">
        <w:t>е</w:t>
      </w:r>
      <w:r w:rsidRPr="000A02AB">
        <w:t>тительской деятельности и повышение мотивации работодателей в связи с в</w:t>
      </w:r>
      <w:r w:rsidRPr="000A02AB">
        <w:t>о</w:t>
      </w:r>
      <w:r w:rsidRPr="000A02AB">
        <w:t>просами гендерного равенства и согласованности трудовой деятельности и с</w:t>
      </w:r>
      <w:r w:rsidRPr="000A02AB">
        <w:t>е</w:t>
      </w:r>
      <w:r w:rsidRPr="000A02AB">
        <w:t>мейной жизни в условиях повышения осведомленности о значимости мер, принимаемых с целью добиться их гармоничного сочетания, и важности ги</w:t>
      </w:r>
      <w:r w:rsidRPr="000A02AB">
        <w:t>б</w:t>
      </w:r>
      <w:r w:rsidRPr="000A02AB">
        <w:t>ких форм организации труда.</w:t>
      </w:r>
    </w:p>
    <w:p w:rsidR="00170278" w:rsidRPr="000A02AB" w:rsidRDefault="00170278" w:rsidP="000A02AB">
      <w:pPr>
        <w:pStyle w:val="SingleTxt"/>
      </w:pPr>
      <w:r w:rsidRPr="000A02AB">
        <w:t>153.</w:t>
      </w:r>
      <w:r w:rsidRPr="000A02AB">
        <w:tab/>
        <w:t>ЧСУ также отслеживает уровень экономической активности женщин, проживающих в сельской местности. Например, в 2012 году экономическая а</w:t>
      </w:r>
      <w:r w:rsidRPr="000A02AB">
        <w:t>к</w:t>
      </w:r>
      <w:r w:rsidRPr="000A02AB">
        <w:t>тивность женщин в сельских районах была ниже экономической активности мужчин (42,4</w:t>
      </w:r>
      <w:r w:rsidR="009B4026" w:rsidRPr="000A02AB">
        <w:t> процент</w:t>
      </w:r>
      <w:r w:rsidRPr="000A02AB">
        <w:t>а против 56,9</w:t>
      </w:r>
      <w:r w:rsidR="009B4026" w:rsidRPr="000A02AB">
        <w:t> процент</w:t>
      </w:r>
      <w:r w:rsidRPr="000A02AB">
        <w:t>а), в то время как уровень женской безработицы в сельской местности превышал соответствующий показатель для мужчин (8,8</w:t>
      </w:r>
      <w:r w:rsidR="009B4026" w:rsidRPr="000A02AB">
        <w:t> процент</w:t>
      </w:r>
      <w:r w:rsidRPr="000A02AB">
        <w:t>а против 5,9</w:t>
      </w:r>
      <w:r w:rsidR="009B4026" w:rsidRPr="000A02AB">
        <w:t> процент</w:t>
      </w:r>
      <w:r w:rsidRPr="000A02AB">
        <w:t>а)</w:t>
      </w:r>
      <w:r w:rsidRPr="000A02AB">
        <w:rPr>
          <w:rStyle w:val="FootnoteReference"/>
        </w:rPr>
        <w:footnoteReference w:id="44"/>
      </w:r>
      <w:r w:rsidRPr="000A02AB">
        <w:t>. Это можно объяснить тем обст</w:t>
      </w:r>
      <w:r w:rsidRPr="000A02AB">
        <w:t>о</w:t>
      </w:r>
      <w:r w:rsidRPr="000A02AB">
        <w:t>ятельством, что в местах с ограниченными возможностями трудоустройства финансово обеспечить свою семью обычно пытаются мужчины, которые ввиду особенностей отдельных секторов (промышленного и сельскохозяйственного производства) имеют больше шансов найти работу. Более подробную инфо</w:t>
      </w:r>
      <w:r w:rsidRPr="000A02AB">
        <w:t>р</w:t>
      </w:r>
      <w:r w:rsidRPr="000A02AB">
        <w:t xml:space="preserve">мацию о женщинах, проживающих в сельской местности, см. в статье 14. </w:t>
      </w:r>
    </w:p>
    <w:p w:rsidR="00170278" w:rsidRPr="000A02AB" w:rsidRDefault="00170278" w:rsidP="000A02AB">
      <w:pPr>
        <w:pStyle w:val="SingleTxt"/>
        <w:rPr>
          <w:sz w:val="10"/>
        </w:rPr>
      </w:pPr>
      <w:r w:rsidRPr="000A02AB">
        <w:t xml:space="preserve">154. </w:t>
      </w:r>
      <w:r w:rsidRPr="000A02AB">
        <w:tab/>
        <w:t>Вероятность подвергнуться множественной дискриминации является в</w:t>
      </w:r>
      <w:r w:rsidRPr="000A02AB">
        <w:t>ы</w:t>
      </w:r>
      <w:r w:rsidRPr="000A02AB">
        <w:t>сокой для женщин рома и женщин-иностранок, проживающих в Чешской Ре</w:t>
      </w:r>
      <w:r w:rsidRPr="000A02AB">
        <w:t>с</w:t>
      </w:r>
      <w:r w:rsidRPr="000A02AB">
        <w:t>публике. Согласно статистическим оценкам правительства, женщины соста</w:t>
      </w:r>
      <w:r w:rsidRPr="000A02AB">
        <w:t>в</w:t>
      </w:r>
      <w:r w:rsidRPr="000A02AB">
        <w:t>ляли 52,2</w:t>
      </w:r>
      <w:r w:rsidR="009B4026" w:rsidRPr="000A02AB">
        <w:t> процент</w:t>
      </w:r>
      <w:r w:rsidRPr="000A02AB">
        <w:t>а (24 979</w:t>
      </w:r>
      <w:r w:rsidR="009B4026" w:rsidRPr="000A02AB">
        <w:t> человек</w:t>
      </w:r>
      <w:r w:rsidRPr="000A02AB">
        <w:t>) от общего числа рома, подавших заявл</w:t>
      </w:r>
      <w:r w:rsidRPr="000A02AB">
        <w:t>е</w:t>
      </w:r>
      <w:r w:rsidRPr="000A02AB">
        <w:t>ния о приеме на работу. Обзор участия женщин рома в деятельности, связа</w:t>
      </w:r>
      <w:r w:rsidRPr="000A02AB">
        <w:t>н</w:t>
      </w:r>
      <w:r w:rsidRPr="000A02AB">
        <w:t>ной с применением инструментов и мер активной политики в области занят</w:t>
      </w:r>
      <w:r w:rsidRPr="000A02AB">
        <w:t>о</w:t>
      </w:r>
      <w:r w:rsidRPr="000A02AB">
        <w:t>сти, представлен в следующей таблице:</w:t>
      </w:r>
    </w:p>
    <w:p w:rsidR="00FE2E5E" w:rsidRPr="000A02AB" w:rsidRDefault="00FE2E5E" w:rsidP="000A02AB">
      <w:pPr>
        <w:pStyle w:val="SingleTxt"/>
        <w:spacing w:after="0" w:line="120" w:lineRule="exact"/>
        <w:jc w:val="left"/>
        <w:rPr>
          <w:sz w:val="10"/>
        </w:rPr>
      </w:pPr>
    </w:p>
    <w:p w:rsidR="00170278" w:rsidRPr="000A02AB" w:rsidRDefault="00FE2E5E"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Таблица 7</w:t>
      </w:r>
    </w:p>
    <w:p w:rsidR="00170278" w:rsidRPr="000A02AB" w:rsidRDefault="00FE2E5E"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Pr="000A02AB">
        <w:tab/>
      </w:r>
      <w:r w:rsidR="00170278" w:rsidRPr="000A02AB">
        <w:t>Примерное число женщин и мужчин рома, охваченных активной политикой в области занятости в 2012 году</w:t>
      </w:r>
    </w:p>
    <w:p w:rsidR="00FE2E5E" w:rsidRPr="000A02AB" w:rsidRDefault="00FE2E5E" w:rsidP="000A02AB">
      <w:pPr>
        <w:pStyle w:val="SingleTxt"/>
        <w:spacing w:after="0" w:line="120" w:lineRule="exact"/>
        <w:rPr>
          <w:sz w:val="10"/>
        </w:rPr>
      </w:pPr>
    </w:p>
    <w:tbl>
      <w:tblPr>
        <w:tblW w:w="0" w:type="auto"/>
        <w:jc w:val="right"/>
        <w:tblInd w:w="1020" w:type="dxa"/>
        <w:tblLayout w:type="fixed"/>
        <w:tblCellMar>
          <w:left w:w="0" w:type="dxa"/>
          <w:right w:w="0" w:type="dxa"/>
        </w:tblCellMar>
        <w:tblLook w:val="04A0"/>
      </w:tblPr>
      <w:tblGrid>
        <w:gridCol w:w="2817"/>
        <w:gridCol w:w="864"/>
        <w:gridCol w:w="972"/>
        <w:gridCol w:w="1026"/>
        <w:gridCol w:w="1008"/>
        <w:gridCol w:w="927"/>
        <w:gridCol w:w="948"/>
      </w:tblGrid>
      <w:tr w:rsidR="00170278" w:rsidRPr="000A02AB" w:rsidTr="00FE2E5E">
        <w:trPr>
          <w:tblHeader/>
          <w:jc w:val="right"/>
        </w:trPr>
        <w:tc>
          <w:tcPr>
            <w:tcW w:w="2817" w:type="dxa"/>
            <w:tcBorders>
              <w:top w:val="single" w:sz="4" w:space="0" w:color="000000"/>
              <w:left w:val="nil"/>
              <w:bottom w:val="single" w:sz="12" w:space="0" w:color="000000"/>
              <w:right w:val="nil"/>
            </w:tcBorders>
            <w:vAlign w:val="bottom"/>
          </w:tcPr>
          <w:p w:rsidR="00170278" w:rsidRPr="000A02AB" w:rsidRDefault="00170278" w:rsidP="000A02AB">
            <w:pPr>
              <w:snapToGrid w:val="0"/>
              <w:spacing w:before="81" w:after="81" w:line="160" w:lineRule="exact"/>
              <w:ind w:right="40"/>
              <w:rPr>
                <w:i/>
                <w:spacing w:val="0"/>
                <w:w w:val="100"/>
                <w:sz w:val="14"/>
              </w:rPr>
            </w:pPr>
          </w:p>
        </w:tc>
        <w:tc>
          <w:tcPr>
            <w:tcW w:w="864"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Переквал</w:t>
            </w:r>
            <w:r w:rsidRPr="000A02AB">
              <w:rPr>
                <w:i/>
                <w:spacing w:val="0"/>
                <w:w w:val="100"/>
                <w:sz w:val="14"/>
              </w:rPr>
              <w:t>и</w:t>
            </w:r>
            <w:r w:rsidRPr="000A02AB">
              <w:rPr>
                <w:i/>
                <w:spacing w:val="0"/>
                <w:w w:val="100"/>
                <w:sz w:val="14"/>
              </w:rPr>
              <w:t>фик</w:t>
            </w:r>
            <w:r w:rsidRPr="000A02AB">
              <w:rPr>
                <w:i/>
                <w:spacing w:val="0"/>
                <w:w w:val="100"/>
                <w:sz w:val="14"/>
              </w:rPr>
              <w:t>а</w:t>
            </w:r>
            <w:r w:rsidRPr="000A02AB">
              <w:rPr>
                <w:i/>
                <w:spacing w:val="0"/>
                <w:w w:val="100"/>
                <w:sz w:val="14"/>
              </w:rPr>
              <w:t>ция</w:t>
            </w:r>
          </w:p>
        </w:tc>
        <w:tc>
          <w:tcPr>
            <w:tcW w:w="972"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Общ</w:t>
            </w:r>
            <w:r w:rsidRPr="000A02AB">
              <w:rPr>
                <w:i/>
                <w:spacing w:val="0"/>
                <w:w w:val="100"/>
                <w:sz w:val="14"/>
              </w:rPr>
              <w:t>е</w:t>
            </w:r>
            <w:r w:rsidRPr="000A02AB">
              <w:rPr>
                <w:i/>
                <w:spacing w:val="0"/>
                <w:w w:val="100"/>
                <w:sz w:val="14"/>
              </w:rPr>
              <w:t>ственно-полезная р</w:t>
            </w:r>
            <w:r w:rsidRPr="000A02AB">
              <w:rPr>
                <w:i/>
                <w:spacing w:val="0"/>
                <w:w w:val="100"/>
                <w:sz w:val="14"/>
              </w:rPr>
              <w:t>а</w:t>
            </w:r>
            <w:r w:rsidRPr="000A02AB">
              <w:rPr>
                <w:i/>
                <w:spacing w:val="0"/>
                <w:w w:val="100"/>
                <w:sz w:val="14"/>
              </w:rPr>
              <w:t>бота</w:t>
            </w:r>
          </w:p>
        </w:tc>
        <w:tc>
          <w:tcPr>
            <w:tcW w:w="1026"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 xml:space="preserve">Социально </w:t>
            </w:r>
            <w:r w:rsidR="00FE2E5E" w:rsidRPr="000A02AB">
              <w:rPr>
                <w:i/>
                <w:spacing w:val="0"/>
                <w:w w:val="100"/>
                <w:sz w:val="14"/>
              </w:rPr>
              <w:br/>
            </w:r>
            <w:r w:rsidRPr="000A02AB">
              <w:rPr>
                <w:i/>
                <w:spacing w:val="0"/>
                <w:w w:val="100"/>
                <w:sz w:val="14"/>
              </w:rPr>
              <w:t xml:space="preserve">значимые </w:t>
            </w:r>
            <w:r w:rsidR="00FE2E5E" w:rsidRPr="000A02AB">
              <w:rPr>
                <w:i/>
                <w:spacing w:val="0"/>
                <w:w w:val="100"/>
                <w:sz w:val="14"/>
              </w:rPr>
              <w:br/>
            </w:r>
            <w:r w:rsidRPr="000A02AB">
              <w:rPr>
                <w:i/>
                <w:spacing w:val="0"/>
                <w:w w:val="100"/>
                <w:sz w:val="14"/>
              </w:rPr>
              <w:t>виды р</w:t>
            </w:r>
            <w:r w:rsidRPr="000A02AB">
              <w:rPr>
                <w:i/>
                <w:spacing w:val="0"/>
                <w:w w:val="100"/>
                <w:sz w:val="14"/>
              </w:rPr>
              <w:t>а</w:t>
            </w:r>
            <w:r w:rsidRPr="000A02AB">
              <w:rPr>
                <w:i/>
                <w:spacing w:val="0"/>
                <w:w w:val="100"/>
                <w:sz w:val="14"/>
              </w:rPr>
              <w:t>боты</w:t>
            </w:r>
          </w:p>
        </w:tc>
        <w:tc>
          <w:tcPr>
            <w:tcW w:w="100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Программы консульти</w:t>
            </w:r>
            <w:r w:rsidR="00FE2E5E" w:rsidRPr="000A02AB">
              <w:rPr>
                <w:i/>
                <w:spacing w:val="0"/>
                <w:w w:val="100"/>
                <w:sz w:val="14"/>
              </w:rPr>
              <w:t>-</w:t>
            </w:r>
            <w:r w:rsidRPr="000A02AB">
              <w:rPr>
                <w:i/>
                <w:spacing w:val="0"/>
                <w:w w:val="100"/>
                <w:sz w:val="14"/>
              </w:rPr>
              <w:t>ров</w:t>
            </w:r>
            <w:r w:rsidRPr="000A02AB">
              <w:rPr>
                <w:i/>
                <w:spacing w:val="0"/>
                <w:w w:val="100"/>
                <w:sz w:val="14"/>
              </w:rPr>
              <w:t>а</w:t>
            </w:r>
            <w:r w:rsidRPr="000A02AB">
              <w:rPr>
                <w:i/>
                <w:spacing w:val="0"/>
                <w:w w:val="100"/>
                <w:sz w:val="14"/>
              </w:rPr>
              <w:t>ния</w:t>
            </w:r>
          </w:p>
        </w:tc>
        <w:tc>
          <w:tcPr>
            <w:tcW w:w="927"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i/>
                <w:spacing w:val="0"/>
                <w:w w:val="100"/>
                <w:sz w:val="14"/>
              </w:rPr>
            </w:pPr>
            <w:r w:rsidRPr="000A02AB">
              <w:rPr>
                <w:i/>
                <w:spacing w:val="0"/>
                <w:w w:val="100"/>
                <w:sz w:val="14"/>
              </w:rPr>
              <w:t>Другие и</w:t>
            </w:r>
            <w:r w:rsidRPr="000A02AB">
              <w:rPr>
                <w:i/>
                <w:spacing w:val="0"/>
                <w:w w:val="100"/>
                <w:sz w:val="14"/>
              </w:rPr>
              <w:t>н</w:t>
            </w:r>
            <w:r w:rsidRPr="000A02AB">
              <w:rPr>
                <w:i/>
                <w:spacing w:val="0"/>
                <w:w w:val="100"/>
                <w:sz w:val="14"/>
              </w:rPr>
              <w:t>струме</w:t>
            </w:r>
            <w:r w:rsidRPr="000A02AB">
              <w:rPr>
                <w:i/>
                <w:spacing w:val="0"/>
                <w:w w:val="100"/>
                <w:sz w:val="14"/>
              </w:rPr>
              <w:t>н</w:t>
            </w:r>
            <w:r w:rsidRPr="000A02AB">
              <w:rPr>
                <w:i/>
                <w:spacing w:val="0"/>
                <w:w w:val="100"/>
                <w:sz w:val="14"/>
              </w:rPr>
              <w:t xml:space="preserve">ты </w:t>
            </w:r>
          </w:p>
        </w:tc>
        <w:tc>
          <w:tcPr>
            <w:tcW w:w="948" w:type="dxa"/>
            <w:tcBorders>
              <w:top w:val="single" w:sz="4" w:space="0" w:color="000000"/>
              <w:left w:val="nil"/>
              <w:bottom w:val="single" w:sz="12" w:space="0" w:color="000000"/>
              <w:right w:val="nil"/>
            </w:tcBorders>
            <w:vAlign w:val="bottom"/>
            <w:hideMark/>
          </w:tcPr>
          <w:p w:rsidR="00170278" w:rsidRPr="000A02AB" w:rsidRDefault="00170278" w:rsidP="000A02AB">
            <w:pPr>
              <w:spacing w:before="81" w:after="81" w:line="160" w:lineRule="exact"/>
              <w:ind w:right="43"/>
              <w:jc w:val="right"/>
              <w:rPr>
                <w:spacing w:val="0"/>
                <w:w w:val="100"/>
              </w:rPr>
            </w:pPr>
            <w:r w:rsidRPr="000A02AB">
              <w:rPr>
                <w:i/>
                <w:spacing w:val="0"/>
                <w:w w:val="100"/>
                <w:sz w:val="14"/>
              </w:rPr>
              <w:t>Индивидуал</w:t>
            </w:r>
            <w:r w:rsidRPr="000A02AB">
              <w:rPr>
                <w:i/>
                <w:spacing w:val="0"/>
                <w:w w:val="100"/>
                <w:sz w:val="14"/>
              </w:rPr>
              <w:t>ь</w:t>
            </w:r>
            <w:r w:rsidRPr="000A02AB">
              <w:rPr>
                <w:i/>
                <w:spacing w:val="0"/>
                <w:w w:val="100"/>
                <w:sz w:val="14"/>
              </w:rPr>
              <w:t>ные планы действий</w:t>
            </w:r>
          </w:p>
        </w:tc>
      </w:tr>
      <w:tr w:rsidR="00170278" w:rsidRPr="000A02AB" w:rsidTr="00FE2E5E">
        <w:trPr>
          <w:trHeight w:hRule="exact" w:val="115"/>
          <w:tblHeader/>
          <w:jc w:val="right"/>
        </w:trPr>
        <w:tc>
          <w:tcPr>
            <w:tcW w:w="281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86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972"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02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00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92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94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FE2E5E">
        <w:trPr>
          <w:jc w:val="right"/>
        </w:trPr>
        <w:tc>
          <w:tcPr>
            <w:tcW w:w="28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рома, подавших заявления</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643</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1 643</w:t>
            </w:r>
          </w:p>
        </w:tc>
        <w:tc>
          <w:tcPr>
            <w:tcW w:w="102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233</w:t>
            </w:r>
          </w:p>
        </w:tc>
        <w:tc>
          <w:tcPr>
            <w:tcW w:w="100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2 096</w:t>
            </w:r>
          </w:p>
        </w:tc>
        <w:tc>
          <w:tcPr>
            <w:tcW w:w="92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628</w:t>
            </w:r>
          </w:p>
        </w:tc>
        <w:tc>
          <w:tcPr>
            <w:tcW w:w="9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16 985</w:t>
            </w:r>
          </w:p>
        </w:tc>
      </w:tr>
      <w:tr w:rsidR="00170278" w:rsidRPr="000A02AB" w:rsidTr="00FE2E5E">
        <w:trPr>
          <w:jc w:val="right"/>
        </w:trPr>
        <w:tc>
          <w:tcPr>
            <w:tcW w:w="28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Из них женщин</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265</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598</w:t>
            </w:r>
          </w:p>
        </w:tc>
        <w:tc>
          <w:tcPr>
            <w:tcW w:w="102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97</w:t>
            </w:r>
          </w:p>
        </w:tc>
        <w:tc>
          <w:tcPr>
            <w:tcW w:w="100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908</w:t>
            </w:r>
          </w:p>
        </w:tc>
        <w:tc>
          <w:tcPr>
            <w:tcW w:w="92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276</w:t>
            </w:r>
          </w:p>
        </w:tc>
        <w:tc>
          <w:tcPr>
            <w:tcW w:w="9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8 364</w:t>
            </w:r>
          </w:p>
        </w:tc>
      </w:tr>
      <w:tr w:rsidR="00170278" w:rsidRPr="000A02AB" w:rsidTr="00FE2E5E">
        <w:trPr>
          <w:jc w:val="right"/>
        </w:trPr>
        <w:tc>
          <w:tcPr>
            <w:tcW w:w="2817" w:type="dxa"/>
            <w:vAlign w:val="bottom"/>
            <w:hideMark/>
          </w:tcPr>
          <w:p w:rsidR="00170278" w:rsidRPr="000A02AB" w:rsidRDefault="00170278" w:rsidP="000A02AB">
            <w:pPr>
              <w:tabs>
                <w:tab w:val="left" w:pos="288"/>
                <w:tab w:val="left" w:pos="576"/>
                <w:tab w:val="left" w:pos="864"/>
                <w:tab w:val="left" w:pos="1152"/>
              </w:tabs>
              <w:spacing w:line="210" w:lineRule="exact"/>
              <w:ind w:right="40"/>
              <w:rPr>
                <w:spacing w:val="0"/>
                <w:w w:val="100"/>
                <w:sz w:val="17"/>
              </w:rPr>
            </w:pPr>
            <w:r w:rsidRPr="000A02AB">
              <w:rPr>
                <w:spacing w:val="0"/>
                <w:w w:val="100"/>
                <w:sz w:val="17"/>
              </w:rPr>
              <w:t>Доля среди лиц, охваченных а</w:t>
            </w:r>
            <w:r w:rsidRPr="000A02AB">
              <w:rPr>
                <w:spacing w:val="0"/>
                <w:w w:val="100"/>
                <w:sz w:val="17"/>
              </w:rPr>
              <w:t>к</w:t>
            </w:r>
            <w:r w:rsidRPr="000A02AB">
              <w:rPr>
                <w:spacing w:val="0"/>
                <w:w w:val="100"/>
                <w:sz w:val="17"/>
              </w:rPr>
              <w:t>тивной политикой в области занятости (в</w:t>
            </w:r>
            <w:r w:rsidR="009B4026" w:rsidRPr="000A02AB">
              <w:rPr>
                <w:spacing w:val="0"/>
                <w:w w:val="100"/>
                <w:sz w:val="17"/>
              </w:rPr>
              <w:t> процент</w:t>
            </w:r>
            <w:r w:rsidRPr="000A02AB">
              <w:rPr>
                <w:spacing w:val="0"/>
                <w:w w:val="100"/>
                <w:sz w:val="17"/>
              </w:rPr>
              <w:t>ах)</w:t>
            </w:r>
          </w:p>
        </w:tc>
        <w:tc>
          <w:tcPr>
            <w:tcW w:w="86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23,14</w:t>
            </w:r>
          </w:p>
        </w:tc>
        <w:tc>
          <w:tcPr>
            <w:tcW w:w="102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3,28</w:t>
            </w:r>
          </w:p>
        </w:tc>
        <w:tc>
          <w:tcPr>
            <w:tcW w:w="100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29,52</w:t>
            </w:r>
          </w:p>
        </w:tc>
        <w:tc>
          <w:tcPr>
            <w:tcW w:w="92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8,84</w:t>
            </w:r>
          </w:p>
        </w:tc>
        <w:tc>
          <w:tcPr>
            <w:tcW w:w="94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w:t>
            </w:r>
          </w:p>
        </w:tc>
      </w:tr>
      <w:tr w:rsidR="00170278" w:rsidRPr="000A02AB" w:rsidTr="00FE2E5E">
        <w:trPr>
          <w:jc w:val="right"/>
        </w:trPr>
        <w:tc>
          <w:tcPr>
            <w:tcW w:w="281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Доля от общего числа зарегистрир</w:t>
            </w:r>
            <w:r w:rsidRPr="000A02AB">
              <w:rPr>
                <w:spacing w:val="0"/>
                <w:w w:val="100"/>
                <w:sz w:val="17"/>
              </w:rPr>
              <w:t>о</w:t>
            </w:r>
            <w:r w:rsidRPr="000A02AB">
              <w:rPr>
                <w:spacing w:val="0"/>
                <w:w w:val="100"/>
                <w:sz w:val="17"/>
              </w:rPr>
              <w:t>ванных лиц (в</w:t>
            </w:r>
            <w:r w:rsidR="009B4026" w:rsidRPr="000A02AB">
              <w:rPr>
                <w:spacing w:val="0"/>
                <w:w w:val="100"/>
                <w:sz w:val="17"/>
              </w:rPr>
              <w:t> процент</w:t>
            </w:r>
            <w:r w:rsidRPr="000A02AB">
              <w:rPr>
                <w:spacing w:val="0"/>
                <w:w w:val="100"/>
                <w:sz w:val="17"/>
              </w:rPr>
              <w:t>ах)</w:t>
            </w:r>
          </w:p>
        </w:tc>
        <w:tc>
          <w:tcPr>
            <w:tcW w:w="86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1,34</w:t>
            </w:r>
          </w:p>
        </w:tc>
        <w:tc>
          <w:tcPr>
            <w:tcW w:w="972"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3,43</w:t>
            </w:r>
          </w:p>
        </w:tc>
        <w:tc>
          <w:tcPr>
            <w:tcW w:w="102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0,48</w:t>
            </w:r>
          </w:p>
        </w:tc>
        <w:tc>
          <w:tcPr>
            <w:tcW w:w="100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4,37</w:t>
            </w:r>
          </w:p>
        </w:tc>
        <w:tc>
          <w:tcPr>
            <w:tcW w:w="92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1,31</w:t>
            </w:r>
          </w:p>
        </w:tc>
        <w:tc>
          <w:tcPr>
            <w:tcW w:w="94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35,45</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tbl>
      <w:tblPr>
        <w:tblW w:w="0" w:type="auto"/>
        <w:jc w:val="right"/>
        <w:tblInd w:w="1020" w:type="dxa"/>
        <w:tblLayout w:type="fixed"/>
        <w:tblCellMar>
          <w:left w:w="0" w:type="dxa"/>
          <w:right w:w="0" w:type="dxa"/>
        </w:tblCellMar>
        <w:tblLook w:val="04A0"/>
      </w:tblPr>
      <w:tblGrid>
        <w:gridCol w:w="4239"/>
        <w:gridCol w:w="783"/>
        <w:gridCol w:w="729"/>
        <w:gridCol w:w="756"/>
        <w:gridCol w:w="1017"/>
        <w:gridCol w:w="1038"/>
      </w:tblGrid>
      <w:tr w:rsidR="00170278" w:rsidRPr="000A02AB" w:rsidTr="00FE2E5E">
        <w:trPr>
          <w:tblHeader/>
          <w:jc w:val="right"/>
        </w:trPr>
        <w:tc>
          <w:tcPr>
            <w:tcW w:w="4239" w:type="dxa"/>
            <w:tcBorders>
              <w:top w:val="single" w:sz="4" w:space="0" w:color="000000"/>
              <w:left w:val="nil"/>
              <w:bottom w:val="single" w:sz="12" w:space="0" w:color="000000"/>
              <w:right w:val="nil"/>
            </w:tcBorders>
            <w:vAlign w:val="bottom"/>
          </w:tcPr>
          <w:p w:rsidR="00170278" w:rsidRPr="000A02AB" w:rsidRDefault="00170278" w:rsidP="000A02AB">
            <w:pPr>
              <w:snapToGrid w:val="0"/>
              <w:spacing w:before="80" w:after="80" w:line="240" w:lineRule="auto"/>
              <w:ind w:right="40"/>
              <w:rPr>
                <w:i/>
                <w:spacing w:val="0"/>
                <w:w w:val="100"/>
                <w:sz w:val="14"/>
              </w:rPr>
            </w:pPr>
          </w:p>
        </w:tc>
        <w:tc>
          <w:tcPr>
            <w:tcW w:w="783" w:type="dxa"/>
            <w:tcBorders>
              <w:top w:val="single" w:sz="4" w:space="0" w:color="000000"/>
              <w:left w:val="nil"/>
              <w:bottom w:val="single" w:sz="12" w:space="0" w:color="000000"/>
              <w:right w:val="nil"/>
            </w:tcBorders>
            <w:vAlign w:val="bottom"/>
            <w:hideMark/>
          </w:tcPr>
          <w:p w:rsidR="00170278" w:rsidRPr="000A02AB" w:rsidRDefault="00170278" w:rsidP="000A02AB">
            <w:pPr>
              <w:spacing w:before="80" w:after="80" w:line="240" w:lineRule="auto"/>
              <w:ind w:right="43"/>
              <w:jc w:val="right"/>
              <w:rPr>
                <w:i/>
                <w:spacing w:val="0"/>
                <w:w w:val="100"/>
                <w:sz w:val="14"/>
              </w:rPr>
            </w:pPr>
            <w:r w:rsidRPr="000A02AB">
              <w:rPr>
                <w:i/>
                <w:spacing w:val="0"/>
                <w:w w:val="100"/>
                <w:sz w:val="14"/>
              </w:rPr>
              <w:t>Всего</w:t>
            </w:r>
          </w:p>
        </w:tc>
        <w:tc>
          <w:tcPr>
            <w:tcW w:w="729" w:type="dxa"/>
            <w:tcBorders>
              <w:top w:val="single" w:sz="4" w:space="0" w:color="000000"/>
              <w:left w:val="nil"/>
              <w:bottom w:val="single" w:sz="12" w:space="0" w:color="000000"/>
              <w:right w:val="nil"/>
            </w:tcBorders>
            <w:vAlign w:val="bottom"/>
            <w:hideMark/>
          </w:tcPr>
          <w:p w:rsidR="00170278" w:rsidRPr="000A02AB" w:rsidRDefault="00170278" w:rsidP="000A02AB">
            <w:pPr>
              <w:spacing w:before="80" w:after="80" w:line="240" w:lineRule="auto"/>
              <w:ind w:right="43"/>
              <w:jc w:val="right"/>
              <w:rPr>
                <w:i/>
                <w:spacing w:val="0"/>
                <w:w w:val="100"/>
                <w:sz w:val="14"/>
              </w:rPr>
            </w:pPr>
            <w:r w:rsidRPr="000A02AB">
              <w:rPr>
                <w:i/>
                <w:spacing w:val="0"/>
                <w:w w:val="100"/>
                <w:sz w:val="14"/>
              </w:rPr>
              <w:t>Мужчины</w:t>
            </w:r>
          </w:p>
        </w:tc>
        <w:tc>
          <w:tcPr>
            <w:tcW w:w="756" w:type="dxa"/>
            <w:tcBorders>
              <w:top w:val="single" w:sz="4" w:space="0" w:color="000000"/>
              <w:left w:val="nil"/>
              <w:bottom w:val="single" w:sz="12" w:space="0" w:color="000000"/>
              <w:right w:val="nil"/>
            </w:tcBorders>
            <w:vAlign w:val="bottom"/>
            <w:hideMark/>
          </w:tcPr>
          <w:p w:rsidR="00170278" w:rsidRPr="000A02AB" w:rsidRDefault="00170278" w:rsidP="000A02AB">
            <w:pPr>
              <w:spacing w:before="80" w:after="80" w:line="240" w:lineRule="auto"/>
              <w:ind w:right="43"/>
              <w:jc w:val="right"/>
              <w:rPr>
                <w:i/>
                <w:spacing w:val="0"/>
                <w:w w:val="100"/>
                <w:sz w:val="14"/>
              </w:rPr>
            </w:pPr>
            <w:r w:rsidRPr="000A02AB">
              <w:rPr>
                <w:i/>
                <w:spacing w:val="0"/>
                <w:w w:val="100"/>
                <w:sz w:val="14"/>
              </w:rPr>
              <w:t>Женщины</w:t>
            </w:r>
          </w:p>
        </w:tc>
        <w:tc>
          <w:tcPr>
            <w:tcW w:w="1017" w:type="dxa"/>
            <w:tcBorders>
              <w:top w:val="single" w:sz="4" w:space="0" w:color="000000"/>
              <w:left w:val="nil"/>
              <w:bottom w:val="single" w:sz="12" w:space="0" w:color="000000"/>
              <w:right w:val="nil"/>
            </w:tcBorders>
            <w:vAlign w:val="bottom"/>
            <w:hideMark/>
          </w:tcPr>
          <w:p w:rsidR="00170278" w:rsidRPr="000A02AB" w:rsidRDefault="00170278" w:rsidP="000A02AB">
            <w:pPr>
              <w:spacing w:before="80" w:after="80" w:line="240" w:lineRule="auto"/>
              <w:ind w:right="43"/>
              <w:jc w:val="right"/>
              <w:rPr>
                <w:i/>
                <w:spacing w:val="0"/>
                <w:w w:val="100"/>
                <w:sz w:val="14"/>
              </w:rPr>
            </w:pPr>
            <w:r w:rsidRPr="000A02AB">
              <w:rPr>
                <w:i/>
                <w:spacing w:val="0"/>
                <w:w w:val="100"/>
                <w:sz w:val="14"/>
              </w:rPr>
              <w:t xml:space="preserve">Мужчины </w:t>
            </w:r>
            <w:r w:rsidRPr="000A02AB">
              <w:rPr>
                <w:i/>
                <w:spacing w:val="0"/>
                <w:w w:val="100"/>
                <w:sz w:val="14"/>
              </w:rPr>
              <w:br/>
              <w:t>(в</w:t>
            </w:r>
            <w:r w:rsidR="009B4026" w:rsidRPr="000A02AB">
              <w:rPr>
                <w:i/>
                <w:spacing w:val="0"/>
                <w:w w:val="100"/>
                <w:sz w:val="14"/>
              </w:rPr>
              <w:t> процент</w:t>
            </w:r>
            <w:r w:rsidRPr="000A02AB">
              <w:rPr>
                <w:i/>
                <w:spacing w:val="0"/>
                <w:w w:val="100"/>
                <w:sz w:val="14"/>
              </w:rPr>
              <w:t>ах)</w:t>
            </w:r>
          </w:p>
        </w:tc>
        <w:tc>
          <w:tcPr>
            <w:tcW w:w="1038" w:type="dxa"/>
            <w:tcBorders>
              <w:top w:val="single" w:sz="4" w:space="0" w:color="000000"/>
              <w:left w:val="nil"/>
              <w:bottom w:val="single" w:sz="12" w:space="0" w:color="000000"/>
              <w:right w:val="nil"/>
            </w:tcBorders>
            <w:vAlign w:val="bottom"/>
            <w:hideMark/>
          </w:tcPr>
          <w:p w:rsidR="00170278" w:rsidRPr="000A02AB" w:rsidRDefault="00170278" w:rsidP="000A02AB">
            <w:pPr>
              <w:spacing w:before="80" w:after="80" w:line="240" w:lineRule="auto"/>
              <w:ind w:right="43"/>
              <w:jc w:val="right"/>
              <w:rPr>
                <w:spacing w:val="0"/>
                <w:w w:val="100"/>
              </w:rPr>
            </w:pPr>
            <w:r w:rsidRPr="000A02AB">
              <w:rPr>
                <w:i/>
                <w:spacing w:val="0"/>
                <w:w w:val="100"/>
                <w:sz w:val="14"/>
              </w:rPr>
              <w:t xml:space="preserve">Женщины </w:t>
            </w:r>
            <w:r w:rsidRPr="000A02AB">
              <w:rPr>
                <w:i/>
                <w:spacing w:val="0"/>
                <w:w w:val="100"/>
                <w:sz w:val="14"/>
              </w:rPr>
              <w:br/>
              <w:t>(в</w:t>
            </w:r>
            <w:r w:rsidR="009B4026" w:rsidRPr="000A02AB">
              <w:rPr>
                <w:i/>
                <w:spacing w:val="0"/>
                <w:w w:val="100"/>
                <w:sz w:val="14"/>
              </w:rPr>
              <w:t> процент</w:t>
            </w:r>
            <w:r w:rsidRPr="000A02AB">
              <w:rPr>
                <w:i/>
                <w:spacing w:val="0"/>
                <w:w w:val="100"/>
                <w:sz w:val="14"/>
              </w:rPr>
              <w:t>ах)</w:t>
            </w:r>
          </w:p>
        </w:tc>
      </w:tr>
      <w:tr w:rsidR="00170278" w:rsidRPr="000A02AB" w:rsidTr="00FE2E5E">
        <w:trPr>
          <w:trHeight w:hRule="exact" w:val="115"/>
          <w:tblHeader/>
          <w:jc w:val="right"/>
        </w:trPr>
        <w:tc>
          <w:tcPr>
            <w:tcW w:w="4239"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783"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29"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756"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017"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038"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зарегистрированных рома, подавших соотве</w:t>
            </w:r>
            <w:r w:rsidRPr="000A02AB">
              <w:rPr>
                <w:spacing w:val="0"/>
                <w:w w:val="100"/>
                <w:sz w:val="17"/>
              </w:rPr>
              <w:t>т</w:t>
            </w:r>
            <w:r w:rsidRPr="000A02AB">
              <w:rPr>
                <w:spacing w:val="0"/>
                <w:w w:val="100"/>
                <w:sz w:val="17"/>
              </w:rPr>
              <w:t>ствующие заявления</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47 854</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22 875</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24 979</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47,8</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52,2</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Количество завершенных индивидуальных планов де</w:t>
            </w:r>
            <w:r w:rsidRPr="000A02AB">
              <w:rPr>
                <w:spacing w:val="0"/>
                <w:w w:val="100"/>
                <w:sz w:val="17"/>
              </w:rPr>
              <w:t>й</w:t>
            </w:r>
            <w:r w:rsidRPr="000A02AB">
              <w:rPr>
                <w:spacing w:val="0"/>
                <w:w w:val="100"/>
                <w:sz w:val="17"/>
              </w:rPr>
              <w:t>ствий</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16 985</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8 621</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8 364</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50,8</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49,2</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участников, выполняющих общ</w:t>
            </w:r>
            <w:r w:rsidRPr="000A02AB">
              <w:rPr>
                <w:spacing w:val="0"/>
                <w:w w:val="100"/>
                <w:sz w:val="17"/>
              </w:rPr>
              <w:t>е</w:t>
            </w:r>
            <w:r w:rsidRPr="000A02AB">
              <w:rPr>
                <w:spacing w:val="0"/>
                <w:w w:val="100"/>
                <w:sz w:val="17"/>
              </w:rPr>
              <w:t>ственно-полезную работу</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1 643</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1 045</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598</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63,6</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36,4</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лиц, выполняющих социально знач</w:t>
            </w:r>
            <w:r w:rsidRPr="000A02AB">
              <w:rPr>
                <w:spacing w:val="0"/>
                <w:w w:val="100"/>
                <w:sz w:val="17"/>
              </w:rPr>
              <w:t>и</w:t>
            </w:r>
            <w:r w:rsidRPr="000A02AB">
              <w:rPr>
                <w:spacing w:val="0"/>
                <w:w w:val="100"/>
                <w:sz w:val="17"/>
              </w:rPr>
              <w:t>мую работу</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233</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136</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97</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58,4</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41,6</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участников курсов переквалификации</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643</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378</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265</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58,8</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41,2</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участников, в отношении которых применяются другие инструменты активной политики в области зан</w:t>
            </w:r>
            <w:r w:rsidRPr="000A02AB">
              <w:rPr>
                <w:spacing w:val="0"/>
                <w:w w:val="100"/>
                <w:sz w:val="17"/>
              </w:rPr>
              <w:t>я</w:t>
            </w:r>
            <w:r w:rsidRPr="000A02AB">
              <w:rPr>
                <w:spacing w:val="0"/>
                <w:w w:val="100"/>
                <w:sz w:val="17"/>
              </w:rPr>
              <w:t>тости</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628</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352</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276</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56</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44</w:t>
            </w:r>
          </w:p>
        </w:tc>
      </w:tr>
      <w:tr w:rsidR="00170278" w:rsidRPr="000A02AB" w:rsidTr="00FE2E5E">
        <w:trPr>
          <w:jc w:val="right"/>
        </w:trPr>
        <w:tc>
          <w:tcPr>
            <w:tcW w:w="423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участников программ консультиров</w:t>
            </w:r>
            <w:r w:rsidRPr="000A02AB">
              <w:rPr>
                <w:spacing w:val="0"/>
                <w:w w:val="100"/>
                <w:sz w:val="17"/>
              </w:rPr>
              <w:t>а</w:t>
            </w:r>
            <w:r w:rsidRPr="000A02AB">
              <w:rPr>
                <w:spacing w:val="0"/>
                <w:w w:val="100"/>
                <w:sz w:val="17"/>
              </w:rPr>
              <w:t>ния</w:t>
            </w:r>
          </w:p>
        </w:tc>
        <w:tc>
          <w:tcPr>
            <w:tcW w:w="783"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2 096</w:t>
            </w:r>
          </w:p>
        </w:tc>
        <w:tc>
          <w:tcPr>
            <w:tcW w:w="729"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1 188</w:t>
            </w:r>
          </w:p>
        </w:tc>
        <w:tc>
          <w:tcPr>
            <w:tcW w:w="756"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908</w:t>
            </w:r>
          </w:p>
        </w:tc>
        <w:tc>
          <w:tcPr>
            <w:tcW w:w="1017"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56,7</w:t>
            </w:r>
          </w:p>
        </w:tc>
        <w:tc>
          <w:tcPr>
            <w:tcW w:w="1038"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43,3</w:t>
            </w:r>
          </w:p>
        </w:tc>
      </w:tr>
      <w:tr w:rsidR="00170278" w:rsidRPr="000A02AB" w:rsidTr="00FE2E5E">
        <w:trPr>
          <w:jc w:val="right"/>
        </w:trPr>
        <w:tc>
          <w:tcPr>
            <w:tcW w:w="4239"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Число участников индивидуальных проектов на краевом уровне</w:t>
            </w:r>
          </w:p>
        </w:tc>
        <w:tc>
          <w:tcPr>
            <w:tcW w:w="783"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1 460</w:t>
            </w:r>
          </w:p>
        </w:tc>
        <w:tc>
          <w:tcPr>
            <w:tcW w:w="729"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838</w:t>
            </w:r>
          </w:p>
        </w:tc>
        <w:tc>
          <w:tcPr>
            <w:tcW w:w="756"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622</w:t>
            </w:r>
          </w:p>
        </w:tc>
        <w:tc>
          <w:tcPr>
            <w:tcW w:w="1017"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57,4</w:t>
            </w:r>
          </w:p>
        </w:tc>
        <w:tc>
          <w:tcPr>
            <w:tcW w:w="1038"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42,6</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FE2E5E"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br w:type="page"/>
      </w:r>
      <w:r w:rsidRPr="000A02AB">
        <w:tab/>
      </w:r>
      <w:r w:rsidRPr="000A02AB">
        <w:tab/>
      </w:r>
      <w:r w:rsidR="00170278" w:rsidRPr="000A02AB">
        <w:t>Доля добившихся успеха кандидатов из числа рома в отдельных сегментах рынка труда</w:t>
      </w:r>
    </w:p>
    <w:p w:rsidR="00FE2E5E" w:rsidRPr="000A02AB" w:rsidRDefault="00FE2E5E" w:rsidP="000A02AB">
      <w:pPr>
        <w:pStyle w:val="SingleTxt"/>
        <w:spacing w:after="0" w:line="120" w:lineRule="exact"/>
        <w:rPr>
          <w:sz w:val="10"/>
        </w:rPr>
      </w:pPr>
    </w:p>
    <w:tbl>
      <w:tblPr>
        <w:tblW w:w="0" w:type="auto"/>
        <w:tblInd w:w="1247" w:type="dxa"/>
        <w:tblLayout w:type="fixed"/>
        <w:tblCellMar>
          <w:left w:w="0" w:type="dxa"/>
          <w:right w:w="0" w:type="dxa"/>
        </w:tblCellMar>
        <w:tblLook w:val="04A0"/>
      </w:tblPr>
      <w:tblGrid>
        <w:gridCol w:w="2254"/>
        <w:gridCol w:w="1370"/>
        <w:gridCol w:w="972"/>
        <w:gridCol w:w="108"/>
        <w:gridCol w:w="960"/>
        <w:gridCol w:w="804"/>
        <w:gridCol w:w="108"/>
        <w:gridCol w:w="1020"/>
        <w:gridCol w:w="972"/>
      </w:tblGrid>
      <w:tr w:rsidR="00170278" w:rsidRPr="000A02AB" w:rsidTr="00FE2E5E">
        <w:trPr>
          <w:tblHeader/>
        </w:trPr>
        <w:tc>
          <w:tcPr>
            <w:tcW w:w="2254" w:type="dxa"/>
            <w:tcBorders>
              <w:top w:val="single" w:sz="4" w:space="0" w:color="000000"/>
              <w:left w:val="nil"/>
              <w:bottom w:val="nil"/>
              <w:right w:val="nil"/>
            </w:tcBorders>
            <w:vAlign w:val="bottom"/>
          </w:tcPr>
          <w:p w:rsidR="00170278" w:rsidRPr="000A02AB" w:rsidRDefault="00170278" w:rsidP="000A02AB">
            <w:pPr>
              <w:snapToGrid w:val="0"/>
              <w:spacing w:before="80" w:after="80" w:line="240" w:lineRule="auto"/>
              <w:ind w:right="40"/>
              <w:rPr>
                <w:i/>
                <w:spacing w:val="0"/>
                <w:w w:val="100"/>
                <w:sz w:val="14"/>
              </w:rPr>
            </w:pPr>
          </w:p>
        </w:tc>
        <w:tc>
          <w:tcPr>
            <w:tcW w:w="2342" w:type="dxa"/>
            <w:gridSpan w:val="2"/>
            <w:tcBorders>
              <w:top w:val="single" w:sz="4" w:space="0" w:color="000000"/>
              <w:left w:val="nil"/>
              <w:bottom w:val="single" w:sz="4" w:space="0" w:color="000000"/>
              <w:right w:val="nil"/>
            </w:tcBorders>
            <w:vAlign w:val="bottom"/>
            <w:hideMark/>
          </w:tcPr>
          <w:p w:rsidR="00170278" w:rsidRPr="000A02AB" w:rsidRDefault="00170278" w:rsidP="000A02AB">
            <w:pPr>
              <w:spacing w:before="80" w:after="80" w:line="240" w:lineRule="auto"/>
              <w:jc w:val="center"/>
              <w:rPr>
                <w:i/>
                <w:spacing w:val="0"/>
                <w:w w:val="100"/>
                <w:sz w:val="14"/>
                <w:szCs w:val="14"/>
              </w:rPr>
            </w:pPr>
            <w:r w:rsidRPr="000A02AB">
              <w:rPr>
                <w:i/>
                <w:spacing w:val="0"/>
                <w:w w:val="100"/>
                <w:sz w:val="14"/>
                <w:szCs w:val="14"/>
              </w:rPr>
              <w:t>Доля от общего числа кандид</w:t>
            </w:r>
            <w:r w:rsidRPr="000A02AB">
              <w:rPr>
                <w:i/>
                <w:spacing w:val="0"/>
                <w:w w:val="100"/>
                <w:sz w:val="14"/>
                <w:szCs w:val="14"/>
              </w:rPr>
              <w:t>а</w:t>
            </w:r>
            <w:r w:rsidRPr="000A02AB">
              <w:rPr>
                <w:i/>
                <w:spacing w:val="0"/>
                <w:w w:val="100"/>
                <w:sz w:val="14"/>
                <w:szCs w:val="14"/>
              </w:rPr>
              <w:t>тов</w:t>
            </w:r>
          </w:p>
        </w:tc>
        <w:tc>
          <w:tcPr>
            <w:tcW w:w="108" w:type="dxa"/>
            <w:tcBorders>
              <w:top w:val="single" w:sz="4" w:space="0" w:color="000000"/>
              <w:left w:val="nil"/>
              <w:bottom w:val="nil"/>
              <w:right w:val="nil"/>
            </w:tcBorders>
            <w:vAlign w:val="bottom"/>
          </w:tcPr>
          <w:p w:rsidR="00170278" w:rsidRPr="000A02AB" w:rsidRDefault="00170278" w:rsidP="000A02AB">
            <w:pPr>
              <w:spacing w:before="80" w:after="80" w:line="240" w:lineRule="auto"/>
              <w:jc w:val="right"/>
              <w:rPr>
                <w:i/>
                <w:spacing w:val="0"/>
                <w:w w:val="100"/>
                <w:sz w:val="14"/>
                <w:szCs w:val="14"/>
              </w:rPr>
            </w:pPr>
          </w:p>
        </w:tc>
        <w:tc>
          <w:tcPr>
            <w:tcW w:w="1764" w:type="dxa"/>
            <w:gridSpan w:val="2"/>
            <w:tcBorders>
              <w:top w:val="single" w:sz="4" w:space="0" w:color="000000"/>
              <w:left w:val="nil"/>
              <w:bottom w:val="nil"/>
              <w:right w:val="nil"/>
            </w:tcBorders>
            <w:vAlign w:val="bottom"/>
            <w:hideMark/>
          </w:tcPr>
          <w:p w:rsidR="00170278" w:rsidRPr="000A02AB" w:rsidRDefault="00170278" w:rsidP="000A02AB">
            <w:pPr>
              <w:spacing w:before="80" w:after="80" w:line="240" w:lineRule="auto"/>
              <w:jc w:val="center"/>
              <w:rPr>
                <w:i/>
                <w:spacing w:val="0"/>
                <w:w w:val="100"/>
                <w:sz w:val="14"/>
                <w:szCs w:val="14"/>
              </w:rPr>
            </w:pPr>
            <w:r w:rsidRPr="000A02AB">
              <w:rPr>
                <w:i/>
                <w:spacing w:val="0"/>
                <w:w w:val="100"/>
                <w:sz w:val="14"/>
                <w:szCs w:val="14"/>
              </w:rPr>
              <w:t>Первичный рынок труда</w:t>
            </w:r>
          </w:p>
        </w:tc>
        <w:tc>
          <w:tcPr>
            <w:tcW w:w="108" w:type="dxa"/>
            <w:tcBorders>
              <w:top w:val="single" w:sz="4" w:space="0" w:color="000000"/>
              <w:left w:val="nil"/>
              <w:bottom w:val="nil"/>
              <w:right w:val="nil"/>
            </w:tcBorders>
            <w:vAlign w:val="bottom"/>
          </w:tcPr>
          <w:p w:rsidR="00170278" w:rsidRPr="000A02AB" w:rsidRDefault="00170278" w:rsidP="000A02AB">
            <w:pPr>
              <w:spacing w:before="80" w:after="80" w:line="240" w:lineRule="auto"/>
              <w:jc w:val="center"/>
              <w:rPr>
                <w:i/>
                <w:spacing w:val="0"/>
                <w:w w:val="100"/>
                <w:sz w:val="14"/>
                <w:szCs w:val="14"/>
              </w:rPr>
            </w:pPr>
          </w:p>
        </w:tc>
        <w:tc>
          <w:tcPr>
            <w:tcW w:w="1992" w:type="dxa"/>
            <w:gridSpan w:val="2"/>
            <w:tcBorders>
              <w:top w:val="single" w:sz="4" w:space="0" w:color="000000"/>
              <w:left w:val="nil"/>
              <w:bottom w:val="nil"/>
              <w:right w:val="nil"/>
            </w:tcBorders>
            <w:vAlign w:val="bottom"/>
            <w:hideMark/>
          </w:tcPr>
          <w:p w:rsidR="00170278" w:rsidRPr="000A02AB" w:rsidRDefault="00170278" w:rsidP="000A02AB">
            <w:pPr>
              <w:spacing w:before="80" w:after="80" w:line="240" w:lineRule="auto"/>
              <w:jc w:val="center"/>
              <w:rPr>
                <w:i/>
                <w:spacing w:val="0"/>
                <w:w w:val="100"/>
                <w:sz w:val="14"/>
                <w:szCs w:val="14"/>
              </w:rPr>
            </w:pPr>
            <w:r w:rsidRPr="000A02AB">
              <w:rPr>
                <w:i/>
                <w:spacing w:val="0"/>
                <w:w w:val="100"/>
                <w:sz w:val="14"/>
                <w:szCs w:val="14"/>
              </w:rPr>
              <w:t>Вторичный рынок труда</w:t>
            </w:r>
          </w:p>
        </w:tc>
      </w:tr>
      <w:tr w:rsidR="00170278" w:rsidRPr="000A02AB" w:rsidTr="00FE2E5E">
        <w:trPr>
          <w:trHeight w:hRule="exact" w:val="115"/>
          <w:tblHeader/>
        </w:trPr>
        <w:tc>
          <w:tcPr>
            <w:tcW w:w="225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0"/>
              <w:rPr>
                <w:i/>
                <w:spacing w:val="0"/>
                <w:w w:val="100"/>
                <w:sz w:val="17"/>
              </w:rPr>
            </w:pPr>
          </w:p>
        </w:tc>
        <w:tc>
          <w:tcPr>
            <w:tcW w:w="1370"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972"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068" w:type="dxa"/>
            <w:gridSpan w:val="2"/>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804"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1128" w:type="dxa"/>
            <w:gridSpan w:val="2"/>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c>
          <w:tcPr>
            <w:tcW w:w="972" w:type="dxa"/>
            <w:tcBorders>
              <w:top w:val="single" w:sz="12" w:space="0" w:color="000000"/>
              <w:left w:val="nil"/>
              <w:bottom w:val="nil"/>
              <w:right w:val="nil"/>
            </w:tcBorders>
            <w:vAlign w:val="bottom"/>
          </w:tcPr>
          <w:p w:rsidR="00170278" w:rsidRPr="000A02AB" w:rsidRDefault="00170278" w:rsidP="000A02AB">
            <w:pPr>
              <w:snapToGrid w:val="0"/>
              <w:spacing w:before="40" w:after="40" w:line="210" w:lineRule="exact"/>
              <w:ind w:right="43"/>
              <w:jc w:val="right"/>
              <w:rPr>
                <w:spacing w:val="0"/>
                <w:w w:val="100"/>
                <w:sz w:val="17"/>
              </w:rPr>
            </w:pPr>
          </w:p>
        </w:tc>
      </w:tr>
      <w:tr w:rsidR="00170278" w:rsidRPr="000A02AB" w:rsidTr="00FE2E5E">
        <w:trPr>
          <w:tblHeader/>
        </w:trPr>
        <w:tc>
          <w:tcPr>
            <w:tcW w:w="225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Всего</w:t>
            </w:r>
          </w:p>
        </w:tc>
        <w:tc>
          <w:tcPr>
            <w:tcW w:w="1370"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11,4%</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5 468</w:t>
            </w:r>
          </w:p>
        </w:tc>
        <w:tc>
          <w:tcPr>
            <w:tcW w:w="1068" w:type="dxa"/>
            <w:gridSpan w:val="2"/>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57,7%</w:t>
            </w:r>
          </w:p>
        </w:tc>
        <w:tc>
          <w:tcPr>
            <w:tcW w:w="80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3 143</w:t>
            </w:r>
          </w:p>
        </w:tc>
        <w:tc>
          <w:tcPr>
            <w:tcW w:w="1128" w:type="dxa"/>
            <w:gridSpan w:val="2"/>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42,3%</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2 325</w:t>
            </w:r>
          </w:p>
        </w:tc>
      </w:tr>
      <w:tr w:rsidR="00170278" w:rsidRPr="000A02AB" w:rsidTr="00FE2E5E">
        <w:tc>
          <w:tcPr>
            <w:tcW w:w="225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Мужчины</w:t>
            </w:r>
          </w:p>
        </w:tc>
        <w:tc>
          <w:tcPr>
            <w:tcW w:w="1370"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64,8%</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3 544</w:t>
            </w:r>
          </w:p>
        </w:tc>
        <w:tc>
          <w:tcPr>
            <w:tcW w:w="1068" w:type="dxa"/>
            <w:gridSpan w:val="2"/>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65,6%</w:t>
            </w:r>
          </w:p>
        </w:tc>
        <w:tc>
          <w:tcPr>
            <w:tcW w:w="804"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2 063</w:t>
            </w:r>
          </w:p>
        </w:tc>
        <w:tc>
          <w:tcPr>
            <w:tcW w:w="1128" w:type="dxa"/>
            <w:gridSpan w:val="2"/>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63,7%</w:t>
            </w:r>
          </w:p>
        </w:tc>
        <w:tc>
          <w:tcPr>
            <w:tcW w:w="972" w:type="dxa"/>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1 481</w:t>
            </w:r>
          </w:p>
        </w:tc>
      </w:tr>
      <w:tr w:rsidR="00170278" w:rsidRPr="000A02AB" w:rsidTr="00FE2E5E">
        <w:tc>
          <w:tcPr>
            <w:tcW w:w="225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0"/>
              <w:rPr>
                <w:spacing w:val="0"/>
                <w:w w:val="100"/>
                <w:sz w:val="17"/>
              </w:rPr>
            </w:pPr>
            <w:r w:rsidRPr="000A02AB">
              <w:rPr>
                <w:spacing w:val="0"/>
                <w:w w:val="100"/>
                <w:sz w:val="17"/>
              </w:rPr>
              <w:t>Женщины</w:t>
            </w:r>
          </w:p>
        </w:tc>
        <w:tc>
          <w:tcPr>
            <w:tcW w:w="1370"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35,2%</w:t>
            </w:r>
          </w:p>
        </w:tc>
        <w:tc>
          <w:tcPr>
            <w:tcW w:w="972"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1 924</w:t>
            </w:r>
          </w:p>
        </w:tc>
        <w:tc>
          <w:tcPr>
            <w:tcW w:w="1068" w:type="dxa"/>
            <w:gridSpan w:val="2"/>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34,4%</w:t>
            </w:r>
          </w:p>
        </w:tc>
        <w:tc>
          <w:tcPr>
            <w:tcW w:w="804"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1 080</w:t>
            </w:r>
          </w:p>
        </w:tc>
        <w:tc>
          <w:tcPr>
            <w:tcW w:w="1128" w:type="dxa"/>
            <w:gridSpan w:val="2"/>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sz w:val="17"/>
              </w:rPr>
            </w:pPr>
            <w:r w:rsidRPr="000A02AB">
              <w:rPr>
                <w:spacing w:val="0"/>
                <w:w w:val="100"/>
                <w:sz w:val="17"/>
              </w:rPr>
              <w:t>36,3%</w:t>
            </w:r>
          </w:p>
        </w:tc>
        <w:tc>
          <w:tcPr>
            <w:tcW w:w="972" w:type="dxa"/>
            <w:tcBorders>
              <w:top w:val="nil"/>
              <w:left w:val="nil"/>
              <w:bottom w:val="single" w:sz="12" w:space="0" w:color="000000"/>
              <w:right w:val="nil"/>
            </w:tcBorders>
            <w:vAlign w:val="bottom"/>
            <w:hideMark/>
          </w:tcPr>
          <w:p w:rsidR="00170278" w:rsidRPr="000A02AB" w:rsidRDefault="00170278" w:rsidP="000A02AB">
            <w:pPr>
              <w:tabs>
                <w:tab w:val="left" w:pos="288"/>
                <w:tab w:val="left" w:pos="576"/>
                <w:tab w:val="left" w:pos="864"/>
                <w:tab w:val="left" w:pos="1152"/>
              </w:tabs>
              <w:spacing w:before="40" w:after="40" w:line="210" w:lineRule="exact"/>
              <w:ind w:right="43"/>
              <w:jc w:val="right"/>
              <w:rPr>
                <w:spacing w:val="0"/>
                <w:w w:val="100"/>
              </w:rPr>
            </w:pPr>
            <w:r w:rsidRPr="000A02AB">
              <w:rPr>
                <w:spacing w:val="0"/>
                <w:w w:val="100"/>
                <w:sz w:val="17"/>
              </w:rPr>
              <w:t>844</w:t>
            </w:r>
          </w:p>
        </w:tc>
      </w:tr>
    </w:tbl>
    <w:p w:rsidR="00FE2E5E" w:rsidRPr="000A02AB" w:rsidRDefault="00FE2E5E" w:rsidP="000A02AB">
      <w:pPr>
        <w:pStyle w:val="SingleTxt"/>
        <w:spacing w:after="0" w:line="120" w:lineRule="exact"/>
        <w:rPr>
          <w:i/>
          <w:sz w:val="10"/>
          <w:szCs w:val="16"/>
        </w:rPr>
      </w:pPr>
    </w:p>
    <w:p w:rsidR="00170278" w:rsidRPr="000A02AB" w:rsidRDefault="00170278" w:rsidP="000A02AB">
      <w:pPr>
        <w:pStyle w:val="FootnoteText"/>
        <w:tabs>
          <w:tab w:val="right" w:pos="1476"/>
          <w:tab w:val="left" w:pos="1548"/>
          <w:tab w:val="right" w:pos="1836"/>
          <w:tab w:val="left" w:pos="1908"/>
        </w:tabs>
        <w:suppressAutoHyphens w:val="0"/>
        <w:ind w:left="1548" w:hanging="288"/>
      </w:pPr>
      <w:r w:rsidRPr="000A02AB">
        <w:rPr>
          <w:i/>
        </w:rPr>
        <w:t>Источник</w:t>
      </w:r>
      <w:r w:rsidRPr="000A02AB">
        <w:t>: Канцелярия правительства, канцелярия Совета по делам рома.</w:t>
      </w:r>
    </w:p>
    <w:p w:rsidR="00FE2E5E" w:rsidRPr="000A02AB" w:rsidRDefault="00FE2E5E" w:rsidP="000A02AB">
      <w:pPr>
        <w:pStyle w:val="SingleTxt"/>
        <w:spacing w:after="0" w:line="120" w:lineRule="exact"/>
        <w:rPr>
          <w:sz w:val="10"/>
          <w:szCs w:val="16"/>
        </w:rPr>
      </w:pPr>
    </w:p>
    <w:p w:rsidR="00FE2E5E" w:rsidRPr="000A02AB" w:rsidRDefault="00FE2E5E" w:rsidP="000A02AB">
      <w:pPr>
        <w:pStyle w:val="SingleTxt"/>
        <w:spacing w:after="0" w:line="120" w:lineRule="exact"/>
        <w:rPr>
          <w:spacing w:val="0"/>
          <w:w w:val="100"/>
          <w:sz w:val="10"/>
          <w:szCs w:val="16"/>
        </w:rPr>
      </w:pPr>
    </w:p>
    <w:p w:rsidR="00170278" w:rsidRPr="000A02AB" w:rsidRDefault="00170278" w:rsidP="000A02AB">
      <w:pPr>
        <w:pStyle w:val="SingleTxt"/>
        <w:rPr>
          <w:szCs w:val="20"/>
        </w:rPr>
      </w:pPr>
      <w:r w:rsidRPr="000A02AB">
        <w:t>155.</w:t>
      </w:r>
      <w:r w:rsidRPr="000A02AB">
        <w:tab/>
        <w:t>Проблема трудоустройства женщин из числа рома и женщин-мигрантов тесно связана с проблемой деятельности бюро по трудоустройству. Согласно Докладу о торговле людьми (2013 год)</w:t>
      </w:r>
      <w:r w:rsidRPr="000A02AB">
        <w:rPr>
          <w:rStyle w:val="FootnoteReference"/>
        </w:rPr>
        <w:footnoteReference w:id="45"/>
      </w:r>
      <w:r w:rsidRPr="000A02AB">
        <w:t>, который ежегодно публикуется пр</w:t>
      </w:r>
      <w:r w:rsidRPr="000A02AB">
        <w:t>а</w:t>
      </w:r>
      <w:r w:rsidRPr="000A02AB">
        <w:t>вительством Соединенных Штатов и представляет собой важный дипломат</w:t>
      </w:r>
      <w:r w:rsidRPr="000A02AB">
        <w:t>и</w:t>
      </w:r>
      <w:r w:rsidRPr="000A02AB">
        <w:t>ческий инструмент, предназначенный для вовлечения других правительств в борьбу с торговлей людьми, бюро по трудоустройству являются главным и</w:t>
      </w:r>
      <w:r w:rsidRPr="000A02AB">
        <w:t>с</w:t>
      </w:r>
      <w:r w:rsidRPr="000A02AB">
        <w:t>точником торговли людьми, осуществляемой в рамках страны. В докладе также утверждается, что правительство Чешской Республики полностью соблюдает минимальные стандарты по ликвидации торговли людьми. В нем с особым удовлетворением отмечаются принятие новых законов и постановлений, кас</w:t>
      </w:r>
      <w:r w:rsidRPr="000A02AB">
        <w:t>а</w:t>
      </w:r>
      <w:r w:rsidRPr="000A02AB">
        <w:t>ющихся торговли людьми, правительственное регулирование работы бюро по трудоустройству, введение уголовной ответственности для юридических лиц и увеличение объема финансирования, выделяемого НПО, которые предоста</w:t>
      </w:r>
      <w:r w:rsidRPr="000A02AB">
        <w:t>в</w:t>
      </w:r>
      <w:r w:rsidRPr="000A02AB">
        <w:t xml:space="preserve">ляют социальные услуги жертвам торговли людьми. </w:t>
      </w:r>
    </w:p>
    <w:p w:rsidR="00170278" w:rsidRPr="000A02AB" w:rsidRDefault="00170278" w:rsidP="000A02AB">
      <w:pPr>
        <w:pStyle w:val="SingleTxt"/>
      </w:pPr>
      <w:r w:rsidRPr="000A02AB">
        <w:t>156.</w:t>
      </w:r>
      <w:r w:rsidRPr="000A02AB">
        <w:tab/>
        <w:t>В настоящее время решением основных вопросов миграции и интеграции иностранцев занимается Министерство внутренних дел (с июля 2008 года в</w:t>
      </w:r>
      <w:r w:rsidRPr="000A02AB">
        <w:t>о</w:t>
      </w:r>
      <w:r w:rsidRPr="000A02AB">
        <w:t>просы, связанные с координацией политики интеграции иностранцев, котор</w:t>
      </w:r>
      <w:r w:rsidRPr="000A02AB">
        <w:t>ы</w:t>
      </w:r>
      <w:r w:rsidRPr="000A02AB">
        <w:t>ми занималось МВД, по решению правительства были переданы в ведение МТСД) при активном участии многих неправительственных организаций, предоставляющих информацию и, в рамках своих программ подготовки, ко</w:t>
      </w:r>
      <w:r w:rsidRPr="000A02AB">
        <w:t>н</w:t>
      </w:r>
      <w:r w:rsidRPr="000A02AB">
        <w:t>кретные инструменты для обеспечения успешной интеграции.</w:t>
      </w:r>
    </w:p>
    <w:p w:rsidR="00170278" w:rsidRPr="000A02AB" w:rsidRDefault="00170278" w:rsidP="000A02AB">
      <w:pPr>
        <w:pStyle w:val="SingleTxt"/>
      </w:pPr>
      <w:r w:rsidRPr="000A02AB">
        <w:t>157.</w:t>
      </w:r>
      <w:r w:rsidRPr="000A02AB">
        <w:tab/>
        <w:t xml:space="preserve">В 2000 году по аналогии с концептуальным документом </w:t>
      </w:r>
      <w:r w:rsidRPr="000A02AB">
        <w:rPr>
          <w:spacing w:val="2"/>
        </w:rPr>
        <w:t>"</w:t>
      </w:r>
      <w:r w:rsidRPr="000A02AB">
        <w:t>Приоритеты и процедуры правительства в деле обеспечения равных возможностей для же</w:t>
      </w:r>
      <w:r w:rsidRPr="000A02AB">
        <w:t>н</w:t>
      </w:r>
      <w:r w:rsidRPr="000A02AB">
        <w:t>щин и мужчин</w:t>
      </w:r>
      <w:r w:rsidRPr="000A02AB">
        <w:rPr>
          <w:spacing w:val="2"/>
        </w:rPr>
        <w:t xml:space="preserve">" была принята </w:t>
      </w:r>
      <w:r w:rsidRPr="000A02AB">
        <w:t>"Концепция интеграции иностранцев" (в дал</w:t>
      </w:r>
      <w:r w:rsidRPr="000A02AB">
        <w:t>ь</w:t>
      </w:r>
      <w:r w:rsidRPr="000A02AB">
        <w:t>нейшем просто "Концепция"), которая была разработана МВД и со времени своего создания также предполагала участие в проводимых мероприятиях др</w:t>
      </w:r>
      <w:r w:rsidRPr="000A02AB">
        <w:t>у</w:t>
      </w:r>
      <w:r w:rsidRPr="000A02AB">
        <w:t>гих ведомств и партнеров, прежде всего из некоммерческого сектора. Данная концепция отражает тот факт, что интеграция иностранцев является сложным вопросом, затрагивающим множество областей. В 2011 году чешское прав</w:t>
      </w:r>
      <w:r w:rsidRPr="000A02AB">
        <w:t>и</w:t>
      </w:r>
      <w:r w:rsidRPr="000A02AB">
        <w:t>тельство приняло обновленный документ "Концепция интеграции иностра</w:t>
      </w:r>
      <w:r w:rsidRPr="000A02AB">
        <w:t>н</w:t>
      </w:r>
      <w:r w:rsidRPr="000A02AB">
        <w:t>цев: жить вместе". Доклады о практической реализации Концепции ежегодно представляются правительству Чешской Республики, которое ежегодно утве</w:t>
      </w:r>
      <w:r w:rsidRPr="000A02AB">
        <w:t>р</w:t>
      </w:r>
      <w:r w:rsidRPr="000A02AB">
        <w:t>ждает новую процедуру ее реализации на следующий год. Программа действий по решению проблем миграции также связана с Национальной стратегией по противодействию торговле людьми в Чешской Республике на период 2012–2015 годов.</w:t>
      </w:r>
    </w:p>
    <w:p w:rsidR="00170278" w:rsidRPr="000A02AB" w:rsidRDefault="00170278" w:rsidP="000A02AB">
      <w:pPr>
        <w:pStyle w:val="SingleTxt"/>
      </w:pPr>
      <w:r w:rsidRPr="000A02AB">
        <w:t>158.</w:t>
      </w:r>
      <w:r w:rsidRPr="000A02AB">
        <w:tab/>
        <w:t>В 2012–2014 годах входящий в состав Совета Комитет по созданию и</w:t>
      </w:r>
      <w:r w:rsidRPr="000A02AB">
        <w:t>н</w:t>
      </w:r>
      <w:r w:rsidRPr="000A02AB">
        <w:t>ституциональной основы в целях обеспечения равных возможностей для же</w:t>
      </w:r>
      <w:r w:rsidRPr="000A02AB">
        <w:t>н</w:t>
      </w:r>
      <w:r w:rsidRPr="000A02AB">
        <w:t>щин и мужчин, Правительственный совет по правам</w:t>
      </w:r>
      <w:r w:rsidR="009B4026" w:rsidRPr="000A02AB">
        <w:t> человек</w:t>
      </w:r>
      <w:r w:rsidRPr="000A02AB">
        <w:t>а, УПЧ и НПО уделяли основное внимание вопросу медицинского страхования мигрантов, проживающих в Чешской Республике. При нынешней системе страхования наиболее серьезная проблема, с которой сталкиваются мигранты, на законных основаниях находящиеся на территории Чешской Республики дольше 90 дней, состоит в исключении определенных групп из системы государственного м</w:t>
      </w:r>
      <w:r w:rsidRPr="000A02AB">
        <w:t>е</w:t>
      </w:r>
      <w:r w:rsidRPr="000A02AB">
        <w:t>дицинского страхования. Соответствующие лица получают помощь по линии коммерческого страхования, которое, однако, обеспечивает менее благоприя</w:t>
      </w:r>
      <w:r w:rsidRPr="000A02AB">
        <w:t>т</w:t>
      </w:r>
      <w:r w:rsidRPr="000A02AB">
        <w:t>ные условия, нежели государственное медицинское страхование. Женщины-мигранты находятся в более ущемленном положении, нежели мужчины, пре</w:t>
      </w:r>
      <w:r w:rsidRPr="000A02AB">
        <w:t>ж</w:t>
      </w:r>
      <w:r w:rsidRPr="000A02AB">
        <w:t>де всего в том, что касается акушерско-гинекологической помощи. 7 октября 2013 года Правительственный совет по правам</w:t>
      </w:r>
      <w:r w:rsidR="009B4026" w:rsidRPr="000A02AB">
        <w:t> человек</w:t>
      </w:r>
      <w:r w:rsidRPr="000A02AB">
        <w:t>а принял постановление по данному вопросу, в котором содержался адресованный его председателю призыв внести на рассмотрение правительства предложение о включении уя</w:t>
      </w:r>
      <w:r w:rsidRPr="000A02AB">
        <w:t>з</w:t>
      </w:r>
      <w:r w:rsidRPr="000A02AB">
        <w:t>вимых групп мигрантов в систему государственного медицинского страхов</w:t>
      </w:r>
      <w:r w:rsidRPr="000A02AB">
        <w:t>а</w:t>
      </w:r>
      <w:r w:rsidRPr="000A02AB">
        <w:t>ния в кратчайшие возможные сроки.</w:t>
      </w:r>
    </w:p>
    <w:p w:rsidR="00170278" w:rsidRPr="000A02AB" w:rsidRDefault="00170278" w:rsidP="000A02AB">
      <w:pPr>
        <w:pStyle w:val="SingleTxt"/>
      </w:pPr>
      <w:r w:rsidRPr="000A02AB">
        <w:t xml:space="preserve">159. </w:t>
      </w:r>
      <w:r w:rsidRPr="000A02AB">
        <w:tab/>
        <w:t>26 июня 2014 года группа депутатов представила палате депутатов зак</w:t>
      </w:r>
      <w:r w:rsidRPr="000A02AB">
        <w:t>о</w:t>
      </w:r>
      <w:r w:rsidRPr="000A02AB">
        <w:t>нопроект о частном медицинском страховании для иностранцев, находящихся в Чешской Республике, который обязывает иностранцев, проживающих в Че</w:t>
      </w:r>
      <w:r w:rsidRPr="000A02AB">
        <w:t>ш</w:t>
      </w:r>
      <w:r w:rsidRPr="000A02AB">
        <w:t>ской Республике, пользоваться этой формой страхования. Некоммерческий сектор, УПЧ</w:t>
      </w:r>
      <w:r w:rsidRPr="000A02AB">
        <w:rPr>
          <w:rStyle w:val="FootnoteReference"/>
        </w:rPr>
        <w:footnoteReference w:id="46"/>
      </w:r>
      <w:r w:rsidRPr="000A02AB">
        <w:t xml:space="preserve"> и некоторые государственные органы критически оценивают это предложение в его нынешнем варианте. 21 июля 2014 года правительство в</w:t>
      </w:r>
      <w:r w:rsidRPr="000A02AB">
        <w:t>ы</w:t>
      </w:r>
      <w:r w:rsidRPr="000A02AB">
        <w:t>разило несогласие с данным предложением, в частности, по причине того, что оно не согласуется с законодательством ЕС и создает впечатление о нарушении баланса прав и обязанностей страховщика и застрахованного лица в интересах страховых компаний. Наряду с этим в своем заключении правительство отм</w:t>
      </w:r>
      <w:r w:rsidRPr="000A02AB">
        <w:t>е</w:t>
      </w:r>
      <w:r w:rsidRPr="000A02AB">
        <w:t>тило, что представленный законопроект не соответствует планируемой ко</w:t>
      </w:r>
      <w:r w:rsidRPr="000A02AB">
        <w:t>н</w:t>
      </w:r>
      <w:r w:rsidRPr="000A02AB">
        <w:t>цепции страхования здоровья иностранцев в Чешской Республике, поскольку данная концепция предусматривает покрытие медицинского обслуживания за счет государственного или частного медицинского страхования либо, в ряде случаев, прямую оплату услуг государством. В своем заключении оно также поручило министру здравоохранения, министру внутренних дел, министру ф</w:t>
      </w:r>
      <w:r w:rsidRPr="000A02AB">
        <w:t>и</w:t>
      </w:r>
      <w:r w:rsidRPr="000A02AB">
        <w:t>нансов и первому вице-премьеру по экономике подготовить и к 31</w:t>
      </w:r>
      <w:r w:rsidR="004E0B55" w:rsidRPr="000A02AB">
        <w:t> </w:t>
      </w:r>
      <w:r w:rsidRPr="000A02AB">
        <w:t>августа 2014 года представить правительству анализ вопроса о страховании здоровья иностранцев. Проект закона о частном медицинском страховании для ин</w:t>
      </w:r>
      <w:r w:rsidRPr="000A02AB">
        <w:t>о</w:t>
      </w:r>
      <w:r w:rsidRPr="000A02AB">
        <w:t>странцев, находящихся в Чешской Республике, был отозван заявителем в пе</w:t>
      </w:r>
      <w:r w:rsidRPr="000A02AB">
        <w:t>р</w:t>
      </w:r>
      <w:r w:rsidRPr="000A02AB">
        <w:t xml:space="preserve">вом чтении в палате депутатов. </w:t>
      </w:r>
    </w:p>
    <w:p w:rsidR="00170278" w:rsidRPr="000A02AB" w:rsidRDefault="00170278" w:rsidP="000A02AB">
      <w:pPr>
        <w:pStyle w:val="SingleTxt"/>
      </w:pPr>
      <w:r w:rsidRPr="000A02AB">
        <w:t>160.</w:t>
      </w:r>
      <w:r w:rsidRPr="000A02AB">
        <w:tab/>
        <w:t>В период с 2007 по 2013 год ЕСФ поддержал в общей сложности 35 пр</w:t>
      </w:r>
      <w:r w:rsidRPr="000A02AB">
        <w:t>о</w:t>
      </w:r>
      <w:r w:rsidRPr="000A02AB">
        <w:t>ектов, касающихся иммигрантов и беженцев, предоставив сумму в 195</w:t>
      </w:r>
      <w:r w:rsidR="004E0B55" w:rsidRPr="000A02AB">
        <w:t> 943 876 </w:t>
      </w:r>
      <w:r w:rsidRPr="000A02AB">
        <w:t>чешских крон для организации работы в двух приоритетных направлениях: социальная интеграция и международное сотрудничество. О</w:t>
      </w:r>
      <w:r w:rsidRPr="000A02AB">
        <w:t>с</w:t>
      </w:r>
      <w:r w:rsidRPr="000A02AB">
        <w:t>новное внимание в рамках большинства проектов уделяется проведению ко</w:t>
      </w:r>
      <w:r w:rsidRPr="000A02AB">
        <w:t>н</w:t>
      </w:r>
      <w:r w:rsidRPr="000A02AB">
        <w:t>сультаций, особенно консультированию по вопросам занятости и права, преп</w:t>
      </w:r>
      <w:r w:rsidRPr="000A02AB">
        <w:t>о</w:t>
      </w:r>
      <w:r w:rsidRPr="000A02AB">
        <w:t>даванию чешского языка, организации просветительских мероприятий, с</w:t>
      </w:r>
      <w:r w:rsidRPr="000A02AB">
        <w:t>о</w:t>
      </w:r>
      <w:r w:rsidRPr="000A02AB">
        <w:t>трудничеству неко</w:t>
      </w:r>
      <w:r w:rsidRPr="000A02AB">
        <w:t>м</w:t>
      </w:r>
      <w:r w:rsidRPr="000A02AB">
        <w:t>мерческих организаций и муниципалитетов и т. д.</w:t>
      </w:r>
    </w:p>
    <w:p w:rsidR="00170278" w:rsidRPr="000A02AB" w:rsidRDefault="00170278" w:rsidP="000A02AB">
      <w:pPr>
        <w:pStyle w:val="SingleTxt"/>
      </w:pPr>
      <w:r w:rsidRPr="000A02AB">
        <w:t>161.</w:t>
      </w:r>
      <w:r w:rsidRPr="000A02AB">
        <w:tab/>
        <w:t>Большинство проектов в основном ориентировано на целевую группу м</w:t>
      </w:r>
      <w:r w:rsidRPr="000A02AB">
        <w:t>и</w:t>
      </w:r>
      <w:r w:rsidRPr="000A02AB">
        <w:t>грантов (без дифференциации по полу). Особый акцент на положении группы женщин-мигрантов делается в проекте "Равные шансы на пороге чешских д</w:t>
      </w:r>
      <w:r w:rsidRPr="000A02AB">
        <w:t>о</w:t>
      </w:r>
      <w:r w:rsidRPr="000A02AB">
        <w:t>мохозяйств", в рамках которого в центре внимания находятся женщины-иностранки, работающие в чешских домохозяйствах Центральной Богемии (Среднечешского края) – края, выбранного для реализации пилотного проекта. Основой данного проекта служат мероприятия по обеспечению женщинам-иностранкам равных прав и возможностей на рынке труда и в обществе. Пр</w:t>
      </w:r>
      <w:r w:rsidRPr="000A02AB">
        <w:t>о</w:t>
      </w:r>
      <w:r w:rsidRPr="000A02AB">
        <w:t>ект также предусматривает проведение общественной кампании и оказание профессиональной помощи отдельным женщинам-иностранкам посредством предоставления бесплатных консультаций по юридическим и социальным в</w:t>
      </w:r>
      <w:r w:rsidRPr="000A02AB">
        <w:t>о</w:t>
      </w:r>
      <w:r w:rsidRPr="000A02AB">
        <w:t>просам.</w:t>
      </w:r>
    </w:p>
    <w:p w:rsidR="00170278" w:rsidRPr="000A02AB" w:rsidRDefault="00170278" w:rsidP="000A02AB">
      <w:pPr>
        <w:pStyle w:val="SingleTxt"/>
      </w:pPr>
      <w:r w:rsidRPr="000A02AB">
        <w:t>162.</w:t>
      </w:r>
      <w:r w:rsidRPr="000A02AB">
        <w:tab/>
        <w:t>Еще одним примером проекта, ориентированного на мигрантов, является проект "Иностранные работники на рынке труда", направленный на провед</w:t>
      </w:r>
      <w:r w:rsidRPr="000A02AB">
        <w:t>е</w:t>
      </w:r>
      <w:r w:rsidRPr="000A02AB">
        <w:t>ние открытых общественных дискуссий и рассмотрение прежде не обсужда</w:t>
      </w:r>
      <w:r w:rsidRPr="000A02AB">
        <w:t>в</w:t>
      </w:r>
      <w:r w:rsidRPr="000A02AB">
        <w:t>шихся тем охраны труда иностранцев (несчастные случаи на производстве, профессиональные заболевания), а также на обеспечение равных прав ин</w:t>
      </w:r>
      <w:r w:rsidRPr="000A02AB">
        <w:t>о</w:t>
      </w:r>
      <w:r w:rsidRPr="000A02AB">
        <w:t>странцев на рынке труда посредством развития международного сотруднич</w:t>
      </w:r>
      <w:r w:rsidRPr="000A02AB">
        <w:t>е</w:t>
      </w:r>
      <w:r w:rsidRPr="000A02AB">
        <w:t>ства в этой области на базе тематических сетей. Особое внимание будет уд</w:t>
      </w:r>
      <w:r w:rsidRPr="000A02AB">
        <w:t>е</w:t>
      </w:r>
      <w:r w:rsidRPr="000A02AB">
        <w:t>ляться находящимся на рынке труда женщинам-иностранкам, поскольку, с</w:t>
      </w:r>
      <w:r w:rsidRPr="000A02AB">
        <w:t>о</w:t>
      </w:r>
      <w:r w:rsidRPr="000A02AB">
        <w:t>гласно опыту заявителей, они находятся в худшем положении, нежели пр</w:t>
      </w:r>
      <w:r w:rsidRPr="000A02AB">
        <w:t>и</w:t>
      </w:r>
      <w:r w:rsidRPr="000A02AB">
        <w:t>бывшие из-за рубежа мужчины.</w:t>
      </w:r>
    </w:p>
    <w:p w:rsidR="00170278" w:rsidRPr="000A02AB" w:rsidRDefault="00170278" w:rsidP="000A02AB">
      <w:pPr>
        <w:pStyle w:val="SingleTxt"/>
      </w:pPr>
      <w:r w:rsidRPr="000A02AB">
        <w:t>163.</w:t>
      </w:r>
      <w:r w:rsidRPr="000A02AB">
        <w:tab/>
        <w:t>Проект "Прекратить насилие в семье в отношении лиц из других этнич</w:t>
      </w:r>
      <w:r w:rsidRPr="000A02AB">
        <w:t>е</w:t>
      </w:r>
      <w:r w:rsidRPr="000A02AB">
        <w:t>ских групп: внедрение новых методов и приемов в рамках сотрудничества с ЕС" направлен на создание методики работы с иностранцами, проживающими в Чешской Республике, и их детьми, а также с лицами, которым угрожает насилие в семье. Цель данного проекта заключается во внедрении этой мет</w:t>
      </w:r>
      <w:r w:rsidRPr="000A02AB">
        <w:t>о</w:t>
      </w:r>
      <w:r w:rsidRPr="000A02AB">
        <w:t>дики в систему работы с уязвимыми лицами и оказания конкретной психол</w:t>
      </w:r>
      <w:r w:rsidRPr="000A02AB">
        <w:t>о</w:t>
      </w:r>
      <w:r w:rsidRPr="000A02AB">
        <w:t>гической, социальной и правовой помощи лицам из целевой группы.</w:t>
      </w:r>
    </w:p>
    <w:p w:rsidR="00170278" w:rsidRPr="000A02AB" w:rsidRDefault="00170278" w:rsidP="000A02AB">
      <w:pPr>
        <w:pStyle w:val="SingleTxt"/>
      </w:pPr>
      <w:r w:rsidRPr="000A02AB">
        <w:t>164.</w:t>
      </w:r>
      <w:r w:rsidRPr="000A02AB">
        <w:tab/>
        <w:t>В последние годы в сфере обеспечения согласованности трудовой де</w:t>
      </w:r>
      <w:r w:rsidRPr="000A02AB">
        <w:t>я</w:t>
      </w:r>
      <w:r w:rsidRPr="000A02AB">
        <w:t>тельности и частной и семейной жизни ведется дискуссия по вопросу об уходе за детьми дошкольного возраста. По данным Министерства образования с 2005/2006 учебного года количество отклоненных заявлений о приеме ребенка в детский сад постоянно возрастает. Это может указывать на неудовлетвор</w:t>
      </w:r>
      <w:r w:rsidRPr="000A02AB">
        <w:t>и</w:t>
      </w:r>
      <w:r w:rsidRPr="000A02AB">
        <w:t>тельное положение в данной области, однако существует риск неверной инте</w:t>
      </w:r>
      <w:r w:rsidRPr="000A02AB">
        <w:t>р</w:t>
      </w:r>
      <w:r w:rsidRPr="000A02AB">
        <w:t>претации имеющихся сведений, поскольку законный представитель может п</w:t>
      </w:r>
      <w:r w:rsidRPr="000A02AB">
        <w:t>о</w:t>
      </w:r>
      <w:r w:rsidRPr="000A02AB">
        <w:t>дать более одного заявления на каждого ребенка, в связи с чем дублирование заявлений получает все большее распространение.</w:t>
      </w:r>
    </w:p>
    <w:p w:rsidR="00170278" w:rsidRPr="000A02AB" w:rsidRDefault="00170278" w:rsidP="000A02AB">
      <w:pPr>
        <w:pStyle w:val="SingleTxt"/>
      </w:pPr>
      <w:r w:rsidRPr="000A02AB">
        <w:t>165.</w:t>
      </w:r>
      <w:r w:rsidRPr="000A02AB">
        <w:tab/>
        <w:t>В своем постановлении № 607 от 22 августа 2012 года правительство одобрило проект закона о предоставлении услуг по уходу за детьми в детской группе и внесении поправок в связанные с этим законы; 23 сентября 2014 года соответствующее предложение было утверждено палатой депутатов. Детские группы должны обеспечить альтернативное решение проблемы ухода за дет</w:t>
      </w:r>
      <w:r w:rsidRPr="000A02AB">
        <w:t>ь</w:t>
      </w:r>
      <w:r w:rsidRPr="000A02AB">
        <w:t>ми. Посредством внесения поправки в Закон о подоходном налоге этот закон</w:t>
      </w:r>
      <w:r w:rsidRPr="000A02AB">
        <w:t>о</w:t>
      </w:r>
      <w:r w:rsidRPr="000A02AB">
        <w:t>проект также корректирует меры в области налогообложения, ориентирова</w:t>
      </w:r>
      <w:r w:rsidRPr="000A02AB">
        <w:t>н</w:t>
      </w:r>
      <w:r w:rsidRPr="000A02AB">
        <w:t>ные на защиту интересов семьи, что предполагает введение возможности в</w:t>
      </w:r>
      <w:r w:rsidRPr="000A02AB">
        <w:t>ы</w:t>
      </w:r>
      <w:r w:rsidRPr="000A02AB">
        <w:t>чета из суммы налога расходов работодателей, связанных с обеспечением услуг по уходу за детьми для их работников, и налоговых вычетов из доходов родителей, которые пользуются услугами по уходу за детьми в связи с выходом или возвращением на рынок труда.</w:t>
      </w:r>
    </w:p>
    <w:p w:rsidR="00170278" w:rsidRPr="000A02AB" w:rsidRDefault="00170278" w:rsidP="000A02AB">
      <w:pPr>
        <w:pStyle w:val="SingleTxt"/>
      </w:pPr>
      <w:r w:rsidRPr="000A02AB">
        <w:t>166.</w:t>
      </w:r>
      <w:r w:rsidRPr="000A02AB">
        <w:tab/>
        <w:t>В 2014 году при нескольких министерствах (МТСД, Министерстве обор</w:t>
      </w:r>
      <w:r w:rsidRPr="000A02AB">
        <w:t>о</w:t>
      </w:r>
      <w:r w:rsidRPr="000A02AB">
        <w:t>ны (МО), МПТ, МИД и МФ) действовали детские группы или какие-либо др</w:t>
      </w:r>
      <w:r w:rsidRPr="000A02AB">
        <w:t>у</w:t>
      </w:r>
      <w:r w:rsidRPr="000A02AB">
        <w:t xml:space="preserve">гие учреждения по уходу за детьми. Некоторые другие ведомства также начали подготовку к созданию учреждений по уходу за детьми своих сотрудников. </w:t>
      </w:r>
    </w:p>
    <w:p w:rsidR="00170278" w:rsidRPr="000A02AB" w:rsidRDefault="00170278" w:rsidP="000A02AB">
      <w:pPr>
        <w:pStyle w:val="SingleTxt"/>
      </w:pPr>
      <w:r w:rsidRPr="000A02AB">
        <w:t>167.</w:t>
      </w:r>
      <w:r w:rsidRPr="000A02AB">
        <w:tab/>
        <w:t>Еще одно очень важное изменение в связи с поправкой, внесенной в З</w:t>
      </w:r>
      <w:r w:rsidRPr="000A02AB">
        <w:t>а</w:t>
      </w:r>
      <w:r w:rsidRPr="000A02AB">
        <w:t>кон о государственной социальной поддержке в 2011 году</w:t>
      </w:r>
      <w:r w:rsidRPr="000A02AB">
        <w:rPr>
          <w:rStyle w:val="FootnoteReference"/>
        </w:rPr>
        <w:footnoteReference w:id="47"/>
      </w:r>
      <w:r w:rsidRPr="000A02AB">
        <w:t>, заключается в том, что дети, достигшие двухлетнего возраста, могут посещать ясли, детские сады или другие аналогичные учреждения без каких-либо временных огран</w:t>
      </w:r>
      <w:r w:rsidRPr="000A02AB">
        <w:t>и</w:t>
      </w:r>
      <w:r w:rsidRPr="000A02AB">
        <w:t>чений, а их родители не утрачивают право на получение родительского пос</w:t>
      </w:r>
      <w:r w:rsidRPr="000A02AB">
        <w:t>о</w:t>
      </w:r>
      <w:r w:rsidRPr="000A02AB">
        <w:t>бия (до внесения указанной поправки дети младше трех лет могли находиться в детских учреждениях не более пяти дней в месяц). Наряду с этим было изм</w:t>
      </w:r>
      <w:r w:rsidRPr="000A02AB">
        <w:t>е</w:t>
      </w:r>
      <w:r w:rsidRPr="000A02AB">
        <w:t>нено положение, касающееся детей в возрасте младше двух лет; теперь они могут находиться в яслях, детских садах или других аналогичных учреждениях до 46 часов в течение календарного месяца, однако их родители не утрачивают право на родительское пособие. По сути данное изменение состоит во введ</w:t>
      </w:r>
      <w:r w:rsidRPr="000A02AB">
        <w:t>е</w:t>
      </w:r>
      <w:r w:rsidRPr="000A02AB">
        <w:t>нии так называемой системы учета времени, которое родители детей в возрасте младше двух лет могут использовать в течение месяца по своему усмотрению. Обсуждение вопроса о внедрении такого учета было начато входящим в состав Совета Комитетом по обеспечению согласованности трудовой деятельности и частной и семейной жизни в 2010 году.</w:t>
      </w:r>
    </w:p>
    <w:p w:rsidR="00170278" w:rsidRPr="000A02AB" w:rsidRDefault="00170278" w:rsidP="000A02AB">
      <w:pPr>
        <w:pStyle w:val="SingleTxt"/>
      </w:pPr>
      <w:r w:rsidRPr="000A02AB">
        <w:t>168.</w:t>
      </w:r>
      <w:r w:rsidRPr="000A02AB">
        <w:tab/>
        <w:t>В июле 2014 года Министерство образования учредило фонд, предназн</w:t>
      </w:r>
      <w:r w:rsidRPr="000A02AB">
        <w:t>а</w:t>
      </w:r>
      <w:r w:rsidRPr="000A02AB">
        <w:t>ченный для оказания поддержки в наращивании потенциала детских садов и начальных школ. Главная задача наращивания потенциала краевой системы образования состоит в создании системы долгосрочной поддержки, предоста</w:t>
      </w:r>
      <w:r w:rsidRPr="000A02AB">
        <w:t>в</w:t>
      </w:r>
      <w:r w:rsidRPr="000A02AB">
        <w:t>ляемой с учетом демографических тенденций и потребностей рынка труда. Начало осуществления программы, финансируемой из средств Министерства образования, тесно связано с управлением деятельностью по наращиванию п</w:t>
      </w:r>
      <w:r w:rsidRPr="000A02AB">
        <w:t>о</w:t>
      </w:r>
      <w:r w:rsidRPr="000A02AB">
        <w:t>тенциала краевых образовательных программ на базе других разделов госуда</w:t>
      </w:r>
      <w:r w:rsidRPr="000A02AB">
        <w:t>р</w:t>
      </w:r>
      <w:r w:rsidRPr="000A02AB">
        <w:t>ственного бюджета и будущих оперативных программ, финансируемых стру</w:t>
      </w:r>
      <w:r w:rsidRPr="000A02AB">
        <w:t>к</w:t>
      </w:r>
      <w:r w:rsidRPr="000A02AB">
        <w:t>турными фондами ЕС.</w:t>
      </w:r>
    </w:p>
    <w:p w:rsidR="00731774" w:rsidRPr="000A02AB" w:rsidRDefault="00170278" w:rsidP="000A02AB">
      <w:pPr>
        <w:pStyle w:val="SingleTxt"/>
      </w:pPr>
      <w:r w:rsidRPr="000A02AB">
        <w:t>169.</w:t>
      </w:r>
      <w:r w:rsidRPr="000A02AB">
        <w:tab/>
        <w:t>В рамках проекта "Подготовка Плана действий по обеспечению сбала</w:t>
      </w:r>
      <w:r w:rsidRPr="000A02AB">
        <w:t>н</w:t>
      </w:r>
      <w:r w:rsidRPr="000A02AB">
        <w:t>сированной представленности женщин и мужчин на руководящих должностях и других сопутствующих мер" программы "ПРОГРЕСС" Европейского соо</w:t>
      </w:r>
      <w:r w:rsidRPr="000A02AB">
        <w:t>б</w:t>
      </w:r>
      <w:r w:rsidRPr="000A02AB">
        <w:t>щества, финансируемой из источников в ЕС (см. также пункт 117), должен быть разработан план действий, часть которого будет ориентирована на комп</w:t>
      </w:r>
      <w:r w:rsidRPr="000A02AB">
        <w:t>а</w:t>
      </w:r>
      <w:r w:rsidRPr="000A02AB">
        <w:t>нии и рынок труда в целом. В соответствующем разделе данного плана будут представлены инструменты и рекомендации, предназначенные главным обр</w:t>
      </w:r>
      <w:r w:rsidRPr="000A02AB">
        <w:t>а</w:t>
      </w:r>
      <w:r w:rsidRPr="000A02AB">
        <w:t>зом для ликвидации вертикальной сегрегации по признаку пола на рынке тр</w:t>
      </w:r>
      <w:r w:rsidRPr="000A02AB">
        <w:t>у</w:t>
      </w:r>
      <w:r w:rsidRPr="000A02AB">
        <w:t>да; в результате применения некоторых из этих инструментов также должна быть устранена горизонтальная сегрегация по признаку пола. В плане де</w:t>
      </w:r>
      <w:r w:rsidRPr="000A02AB">
        <w:t>й</w:t>
      </w:r>
      <w:r w:rsidRPr="000A02AB">
        <w:t>ствий, в частности, должны быть предложены инструменты, создающие у р</w:t>
      </w:r>
      <w:r w:rsidRPr="000A02AB">
        <w:t>а</w:t>
      </w:r>
      <w:r w:rsidRPr="000A02AB">
        <w:t>ботодателей позитивную мотивацию к применению принципов разнообразия (в законодательной и иных сферах), сформулированы рекомендации по учрежд</w:t>
      </w:r>
      <w:r w:rsidRPr="000A02AB">
        <w:t>е</w:t>
      </w:r>
      <w:r w:rsidRPr="000A02AB">
        <w:t>нию институциональных механизмов для обеспечения условий, позволяющих повысить представленность женщин на рынке труда (также касающиеся зак</w:t>
      </w:r>
      <w:r w:rsidRPr="000A02AB">
        <w:t>о</w:t>
      </w:r>
      <w:r w:rsidRPr="000A02AB">
        <w:t>нодательной и иных сфер), и указаны способы создания социальных условий для ликвидации культурных факторов, определяющих положение в руково</w:t>
      </w:r>
      <w:r w:rsidRPr="000A02AB">
        <w:t>д</w:t>
      </w:r>
      <w:r w:rsidRPr="000A02AB">
        <w:t>стве компаний. Ожидается, что в 2015 году работа над планом действий будет завершена.</w:t>
      </w:r>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0A02AB">
        <w:tab/>
      </w:r>
      <w:r w:rsidRPr="000A02AB">
        <w:tab/>
      </w:r>
      <w:bookmarkStart w:id="26" w:name="_Toc415654620"/>
      <w:r w:rsidRPr="000A02AB">
        <w:t>Меры по предотвращению дискриминации в отношении женщин по причине замужества или материнства</w:t>
      </w:r>
      <w:bookmarkEnd w:id="26"/>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0A02AB">
      <w:pPr>
        <w:pStyle w:val="SingleTxt"/>
      </w:pPr>
      <w:r w:rsidRPr="000A02AB">
        <w:t>170.</w:t>
      </w:r>
      <w:r w:rsidRPr="000A02AB">
        <w:tab/>
        <w:t>Поправка, внесенная в Трудовой кодекс Законом № 365/2011 Coll. (вст</w:t>
      </w:r>
      <w:r w:rsidRPr="000A02AB">
        <w:t>у</w:t>
      </w:r>
      <w:r w:rsidRPr="000A02AB">
        <w:t>пившим в силу 1 января 2012 года), стала еще одним позитивным изменением, в соответствии с которым работник не утрачивает право на неиспользованные дни отпуска в случае выхода в отпуск по беременности и родам или отпуск по болезни. Если отпуск не может быть израсходован, работодатель в соотве</w:t>
      </w:r>
      <w:r w:rsidRPr="000A02AB">
        <w:t>т</w:t>
      </w:r>
      <w:r w:rsidRPr="000A02AB">
        <w:t>ствии с пунктом 2 §218 Трудового кодекса должен предоставить работнику о</w:t>
      </w:r>
      <w:r w:rsidRPr="000A02AB">
        <w:t>т</w:t>
      </w:r>
      <w:r w:rsidRPr="000A02AB">
        <w:t>пуск, который должен быть использован до конца следующего календарн</w:t>
      </w:r>
      <w:r w:rsidRPr="000A02AB">
        <w:t>о</w:t>
      </w:r>
      <w:r w:rsidRPr="000A02AB">
        <w:t>го года. Если же этот отпуск не может быть использован в следующем кале</w:t>
      </w:r>
      <w:r w:rsidRPr="000A02AB">
        <w:t>н</w:t>
      </w:r>
      <w:r w:rsidRPr="000A02AB">
        <w:t>дарном году по причине признания работника временно нетрудоспособным либо по причине отпуска по беременности и родам или уходу за ребенком, р</w:t>
      </w:r>
      <w:r w:rsidRPr="000A02AB">
        <w:t>а</w:t>
      </w:r>
      <w:r w:rsidRPr="000A02AB">
        <w:t>ботодатель в соответствии с положениями пункта 4 §218 Трудового кодекса должен определить период использования дней отпуска после исчезновения указанных препятствий к началу трудовой деятельности. Это дало возмо</w:t>
      </w:r>
      <w:r w:rsidRPr="000A02AB">
        <w:t>ж</w:t>
      </w:r>
      <w:r w:rsidRPr="000A02AB">
        <w:t>ность расширить круг ситуаций, которые предусматривают предоставление о</w:t>
      </w:r>
      <w:r w:rsidRPr="000A02AB">
        <w:t>т</w:t>
      </w:r>
      <w:r w:rsidRPr="000A02AB">
        <w:t>пуска после исчезновения препятствий, не позволявших работнику вернуться к трудовой деятельности. До 31 декабря 2011 года это было возможно только в отношении отпуска по уходу за ребенком.</w:t>
      </w:r>
    </w:p>
    <w:p w:rsidR="00170278" w:rsidRPr="000A02AB" w:rsidRDefault="00170278" w:rsidP="000A02AB">
      <w:pPr>
        <w:pStyle w:val="SingleTxt"/>
      </w:pPr>
      <w:r w:rsidRPr="000A02AB">
        <w:t>171.</w:t>
      </w:r>
      <w:r w:rsidRPr="000A02AB">
        <w:tab/>
        <w:t>Данная поправка устранила необоснованные различия в процессе разр</w:t>
      </w:r>
      <w:r w:rsidRPr="000A02AB">
        <w:t>е</w:t>
      </w:r>
      <w:r w:rsidRPr="000A02AB">
        <w:t>шения ситуаций, когда препятствием к получению отпуска являлся, с одной стороны, отпуск по уходу за ребенком (взятый работником-женщиной после отпуска по беременности и родам либо работником-мужчиной в любое время после рождения ребенка и до достижения им трехлетнего возраста) и, с другой стороны, отпуск по беременности и родам, который создавал невыгодные условия для находящихся в нем женщин. В случае если работник-мужчина не использовал дни отпуска по причине пребывания в отпуске по уходу за ребе</w:t>
      </w:r>
      <w:r w:rsidRPr="000A02AB">
        <w:t>н</w:t>
      </w:r>
      <w:r w:rsidRPr="000A02AB">
        <w:t>ком в период, в течение которого работник-женщина имеет право на получение отпуска по беременности и родам, право на дни отпуска не утрачивалось; если же дни отпуска не были использованы работником-женщиной по причине в</w:t>
      </w:r>
      <w:r w:rsidRPr="000A02AB">
        <w:t>ы</w:t>
      </w:r>
      <w:r w:rsidRPr="000A02AB">
        <w:t>хода в отпуск по беременности и родам, эта женщина лишалась права на о</w:t>
      </w:r>
      <w:r w:rsidRPr="000A02AB">
        <w:t>т</w:t>
      </w:r>
      <w:r w:rsidRPr="000A02AB">
        <w:t>пуск. Аналогичным образом право на отпуск утрачивалось в случаях долг</w:t>
      </w:r>
      <w:r w:rsidRPr="000A02AB">
        <w:t>о</w:t>
      </w:r>
      <w:r w:rsidRPr="000A02AB">
        <w:t>временной нетрудоспособности работников, которым не удалось использовать дни отпуска</w:t>
      </w:r>
      <w:r w:rsidRPr="000A02AB">
        <w:rPr>
          <w:rStyle w:val="FootnoteReference"/>
        </w:rPr>
        <w:footnoteReference w:id="48"/>
      </w:r>
      <w:r w:rsidRPr="000A02AB">
        <w:t>.</w:t>
      </w:r>
    </w:p>
    <w:p w:rsidR="00170278" w:rsidRPr="000A02AB" w:rsidRDefault="00170278" w:rsidP="000A02AB">
      <w:pPr>
        <w:pStyle w:val="SingleTxt"/>
      </w:pPr>
      <w:r w:rsidRPr="000A02AB">
        <w:t>172.</w:t>
      </w:r>
      <w:r w:rsidRPr="000A02AB">
        <w:tab/>
        <w:t>Что касается гибких форм организации труда, то в принятом в 2014 году решении Верховного суда намечена тенденция, которая до сих пор является довольно редкой для судебной практики, однако носит позитивный характер. Верховный суд рассмотрел дело женщины, работодатель которой позволил ей работать неполный рабочий день (по причине ухода за ребенком), однако л</w:t>
      </w:r>
      <w:r w:rsidRPr="000A02AB">
        <w:t>и</w:t>
      </w:r>
      <w:r w:rsidRPr="000A02AB">
        <w:t>шил ее этой возможности после выхода на пенсию ее коллег. Женщина отказ</w:t>
      </w:r>
      <w:r w:rsidRPr="000A02AB">
        <w:t>а</w:t>
      </w:r>
      <w:r w:rsidRPr="000A02AB">
        <w:t>лась работать на условиях полной занятости и была уволена. Согласно реш</w:t>
      </w:r>
      <w:r w:rsidRPr="000A02AB">
        <w:t>е</w:t>
      </w:r>
      <w:r w:rsidRPr="000A02AB">
        <w:t>нию Верховного суда от 9 июля 2014 года эта женщина имеет право на сокр</w:t>
      </w:r>
      <w:r w:rsidRPr="000A02AB">
        <w:t>а</w:t>
      </w:r>
      <w:r w:rsidRPr="000A02AB">
        <w:t>щенный рабочий день или другую соответствующую форму организации раб</w:t>
      </w:r>
      <w:r w:rsidRPr="000A02AB">
        <w:t>о</w:t>
      </w:r>
      <w:r w:rsidRPr="000A02AB">
        <w:t>чего времени, которое она может отстаивать в суде, если работодатель не уд</w:t>
      </w:r>
      <w:r w:rsidRPr="000A02AB">
        <w:t>о</w:t>
      </w:r>
      <w:r w:rsidRPr="000A02AB">
        <w:t>влетворит ее просьбу на добровольной основе. В случае отказа работодателя удовлетворить эту просьбу или отмены им решения о предоставлении возмо</w:t>
      </w:r>
      <w:r w:rsidRPr="000A02AB">
        <w:t>ж</w:t>
      </w:r>
      <w:r w:rsidRPr="000A02AB">
        <w:t>ности работать в режиме неполного рабочего времени работодатель должен представить суду веские причины производственного характера, которые этому препятствуют</w:t>
      </w:r>
      <w:r w:rsidRPr="000A02AB">
        <w:rPr>
          <w:rStyle w:val="FootnoteReference"/>
        </w:rPr>
        <w:footnoteReference w:id="49"/>
      </w:r>
      <w:r w:rsidRPr="000A02AB">
        <w:t>. Значимость решения, принятого Верховным судом, заключ</w:t>
      </w:r>
      <w:r w:rsidRPr="000A02AB">
        <w:t>а</w:t>
      </w:r>
      <w:r w:rsidRPr="000A02AB">
        <w:t>ется главным образом в предотвращении ситуаций, когда работодатель автом</w:t>
      </w:r>
      <w:r w:rsidRPr="000A02AB">
        <w:t>а</w:t>
      </w:r>
      <w:r w:rsidRPr="000A02AB">
        <w:t>тически отклоняет законное требование работника, ухаживающего за ребенком в возрасте младше 15 лет, о подходящей ему/ей организации рабочего времени, ссылаясь на причины производственного характера даже без проведения оце</w:t>
      </w:r>
      <w:r w:rsidRPr="000A02AB">
        <w:t>н</w:t>
      </w:r>
      <w:r w:rsidRPr="000A02AB">
        <w:t>ки этих причин.</w:t>
      </w:r>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0A02AB">
        <w:rPr>
          <w:sz w:val="10"/>
        </w:rPr>
        <w:tab/>
      </w:r>
      <w:r w:rsidRPr="000A02AB">
        <w:rPr>
          <w:sz w:val="10"/>
        </w:rPr>
        <w:tab/>
      </w:r>
      <w:bookmarkStart w:id="27" w:name="_Toc415654621"/>
      <w:r w:rsidRPr="000A02AB">
        <w:t>Статья 12</w:t>
      </w:r>
      <w:r w:rsidRPr="000A02AB">
        <w:br/>
        <w:t>Меры по ликвидации дискриминации в области здравоохранения</w:t>
      </w:r>
      <w:bookmarkEnd w:id="27"/>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0A02AB">
      <w:pPr>
        <w:pStyle w:val="SingleTxt"/>
      </w:pPr>
      <w:r w:rsidRPr="000A02AB">
        <w:t>173.</w:t>
      </w:r>
      <w:r w:rsidRPr="000A02AB">
        <w:tab/>
        <w:t>1 апреля 2012 года вступил в силу Закон № 372/2011 Coll. о медицинских услугах и условиях предоставления таких услуг, который регулирует самые разнообразные аспекты прав пациентов. В этом законе учтены потребности, проистекающие из Конвенции о защите прав и достоинства</w:t>
      </w:r>
      <w:r w:rsidR="009B4026" w:rsidRPr="000A02AB">
        <w:t> человек</w:t>
      </w:r>
      <w:r w:rsidRPr="000A02AB">
        <w:t>а в связи с применением достижений биологии и медицины. Медицинские услуги могут быть оказаны пациентам только с их свободного согласия, основанного на п</w:t>
      </w:r>
      <w:r w:rsidRPr="000A02AB">
        <w:t>о</w:t>
      </w:r>
      <w:r w:rsidRPr="000A02AB">
        <w:t>лученной информации. Случаи, в которых такие услуги могут быть предоста</w:t>
      </w:r>
      <w:r w:rsidRPr="000A02AB">
        <w:t>в</w:t>
      </w:r>
      <w:r w:rsidRPr="000A02AB">
        <w:t>лены в отсутствие согласия соответствующих лиц, весьма малочисленны и определены законом. В законе указан метод предоставления пациенту инфо</w:t>
      </w:r>
      <w:r w:rsidRPr="000A02AB">
        <w:t>р</w:t>
      </w:r>
      <w:r w:rsidRPr="000A02AB">
        <w:t>мации о его заболевании и предлагаемых медицинских услугах и определены объем предоставляемой информации, условия получения согласия и возмо</w:t>
      </w:r>
      <w:r w:rsidRPr="000A02AB">
        <w:t>ж</w:t>
      </w:r>
      <w:r w:rsidRPr="000A02AB">
        <w:t>ность отказа от оказания медицинских услуг. В системе медицинского обсл</w:t>
      </w:r>
      <w:r w:rsidRPr="000A02AB">
        <w:t>у</w:t>
      </w:r>
      <w:r w:rsidRPr="000A02AB">
        <w:t>живания соответствующие услуги предоставляются без учета половой прина</w:t>
      </w:r>
      <w:r w:rsidRPr="000A02AB">
        <w:t>д</w:t>
      </w:r>
      <w:r w:rsidRPr="000A02AB">
        <w:t>лежности, особенно в тех случаях, когда та или иная проблема со здоровьем не является характерной для одного из полов. Что касается лечения женщин, то первоочередное внимание в Чешской Республике уделяется поддержке проф</w:t>
      </w:r>
      <w:r w:rsidRPr="000A02AB">
        <w:t>и</w:t>
      </w:r>
      <w:r w:rsidRPr="000A02AB">
        <w:t>лактической деятельности (см. ниже). Все медицинские организации должны обеспечить наличие в своих учреждениях системы внутреннего контроля кач</w:t>
      </w:r>
      <w:r w:rsidRPr="000A02AB">
        <w:t>е</w:t>
      </w:r>
      <w:r w:rsidRPr="000A02AB">
        <w:t>ства и безопасности и надлежащий объем обязательной подготовки медици</w:t>
      </w:r>
      <w:r w:rsidRPr="000A02AB">
        <w:t>н</w:t>
      </w:r>
      <w:r w:rsidRPr="000A02AB">
        <w:t>ского персонала, соответствующей его квалификации.</w:t>
      </w:r>
    </w:p>
    <w:p w:rsidR="00170278" w:rsidRPr="000A02AB" w:rsidRDefault="00731774" w:rsidP="000A02AB">
      <w:pPr>
        <w:pStyle w:val="SingleTxt"/>
      </w:pPr>
      <w:r w:rsidRPr="000A02AB">
        <w:br w:type="page"/>
      </w:r>
      <w:r w:rsidR="00170278" w:rsidRPr="000A02AB">
        <w:t>174.</w:t>
      </w:r>
      <w:r w:rsidR="00170278" w:rsidRPr="000A02AB">
        <w:tab/>
        <w:t>Актуальной темой в области охраны здоровья женщин в Чешской Респу</w:t>
      </w:r>
      <w:r w:rsidR="00170278" w:rsidRPr="000A02AB">
        <w:t>б</w:t>
      </w:r>
      <w:r w:rsidR="00170278" w:rsidRPr="000A02AB">
        <w:t>лике является оказание помощи в связи с рождением ребенка. Чешское ак</w:t>
      </w:r>
      <w:r w:rsidR="00170278" w:rsidRPr="000A02AB">
        <w:t>у</w:t>
      </w:r>
      <w:r w:rsidR="00170278" w:rsidRPr="000A02AB">
        <w:t>шерско-гинек</w:t>
      </w:r>
      <w:r w:rsidRPr="000A02AB">
        <w:t>ологическое общество имени Я.Э. </w:t>
      </w:r>
      <w:r w:rsidR="00170278" w:rsidRPr="000A02AB">
        <w:t>Пуркине опубликовало н</w:t>
      </w:r>
      <w:r w:rsidR="00170278" w:rsidRPr="000A02AB">
        <w:t>е</w:t>
      </w:r>
      <w:r w:rsidR="00170278" w:rsidRPr="000A02AB">
        <w:t>сколько руководств по оказанию помощи женщинам в период беременности и родов (например, принципы амбулаторного наблюдения при физиологическом течении беременности, преждевременный разрыв плодных оболочек, перен</w:t>
      </w:r>
      <w:r w:rsidR="00170278" w:rsidRPr="000A02AB">
        <w:t>о</w:t>
      </w:r>
      <w:r w:rsidR="00170278" w:rsidRPr="000A02AB">
        <w:t>шенная беременность, принципы охраны матери</w:t>
      </w:r>
      <w:r w:rsidRPr="000A02AB">
        <w:t>нства в Чешской Республике и т. </w:t>
      </w:r>
      <w:r w:rsidR="00170278" w:rsidRPr="000A02AB">
        <w:t>д.). Чешская Республика имеет давние традиции оказания профилактической помощи, ориентированной на женщин, беременных женщин и матерей. Еж</w:t>
      </w:r>
      <w:r w:rsidR="00170278" w:rsidRPr="000A02AB">
        <w:t>е</w:t>
      </w:r>
      <w:r w:rsidR="00170278" w:rsidRPr="000A02AB">
        <w:t>годные профилактические осмотры, в ходе которых осуществляется скрининг рака шейки матки, оплачиваются из средств медицинского страхования по д</w:t>
      </w:r>
      <w:r w:rsidR="00170278" w:rsidRPr="000A02AB">
        <w:t>о</w:t>
      </w:r>
      <w:r w:rsidR="00170278" w:rsidRPr="000A02AB">
        <w:t>стижении девушками 15-летнего возраста. Наряду с этим женщины в возрасте 45</w:t>
      </w:r>
      <w:r w:rsidRPr="000A02AB">
        <w:t> </w:t>
      </w:r>
      <w:r w:rsidR="00170278" w:rsidRPr="000A02AB">
        <w:t>лет и старше один раз в два года проходят скрининг на предмет выявления рака груди (также оплачиваемый из страховых отчислений); с 55 лет также проводится скрининг рака ободочной и прямой кишки. С 2014 года соотве</w:t>
      </w:r>
      <w:r w:rsidR="00170278" w:rsidRPr="000A02AB">
        <w:t>т</w:t>
      </w:r>
      <w:r w:rsidR="00170278" w:rsidRPr="000A02AB">
        <w:t>ствующие учреждения совместно с медицинскими страховыми компаниями напрямую приглашают женщин пройти это обследование.</w:t>
      </w:r>
    </w:p>
    <w:p w:rsidR="00170278" w:rsidRPr="000A02AB" w:rsidRDefault="00170278" w:rsidP="000A02AB">
      <w:pPr>
        <w:pStyle w:val="SingleTxt"/>
      </w:pPr>
      <w:r w:rsidRPr="000A02AB">
        <w:t>175.</w:t>
      </w:r>
      <w:r w:rsidRPr="000A02AB">
        <w:tab/>
        <w:t>В ряде аспектов ухода за новорожденными Чешская Республика достигла более высоких результатов, нежели другие страны мира. По данным Всеми</w:t>
      </w:r>
      <w:r w:rsidRPr="000A02AB">
        <w:t>р</w:t>
      </w:r>
      <w:r w:rsidRPr="000A02AB">
        <w:t>ной организации здравоохранения уровень перинатальной детской смертности в Чешской Республике гораздо ниже, чем в большинстве стан Европейского союза, и по соответствующим показателям Чешская Республика занимает одно из первых мест среди стран Европы и мира. Ведение беременности и помощь в перинатальный период, включая акушерс</w:t>
      </w:r>
      <w:r w:rsidR="00731774" w:rsidRPr="000A02AB">
        <w:t>кий уход в условиях больницы (в </w:t>
      </w:r>
      <w:r w:rsidRPr="000A02AB">
        <w:t>акушерско-гинекологических стационарах), также полностью покрываются государственным медицинским страхованием. Расходы на амбулаторное наблюдение покрываются в полном объеме с момента выявления беременн</w:t>
      </w:r>
      <w:r w:rsidRPr="000A02AB">
        <w:t>о</w:t>
      </w:r>
      <w:r w:rsidRPr="000A02AB">
        <w:t>сти. Если женщина отдает предпочтение этой форме помощи, то она наблюд</w:t>
      </w:r>
      <w:r w:rsidRPr="000A02AB">
        <w:t>а</w:t>
      </w:r>
      <w:r w:rsidRPr="000A02AB">
        <w:t>ется у гинеколога в женской консультации в течение всей беременности. В х</w:t>
      </w:r>
      <w:r w:rsidRPr="000A02AB">
        <w:t>о</w:t>
      </w:r>
      <w:r w:rsidRPr="000A02AB">
        <w:t>де первого осмотра в женской консультации врач, руководствуясь сведениями из амбул</w:t>
      </w:r>
      <w:r w:rsidRPr="000A02AB">
        <w:t>а</w:t>
      </w:r>
      <w:r w:rsidRPr="000A02AB">
        <w:t>торной карты и актуальными клиническими данными, делает вывод о степени потенциального риска; от этой оценки зависят последующее наблюд</w:t>
      </w:r>
      <w:r w:rsidRPr="000A02AB">
        <w:t>е</w:t>
      </w:r>
      <w:r w:rsidRPr="000A02AB">
        <w:t>ние и частота проведения исследований. В среднем в период беременности женщина посещ</w:t>
      </w:r>
      <w:r w:rsidR="00731774" w:rsidRPr="000A02AB">
        <w:t>ает женскую консультацию 10–11 </w:t>
      </w:r>
      <w:r w:rsidRPr="000A02AB">
        <w:t>раз; начиная с 36</w:t>
      </w:r>
      <w:r w:rsidR="00731774" w:rsidRPr="000A02AB">
        <w:t> </w:t>
      </w:r>
      <w:r w:rsidRPr="000A02AB">
        <w:t>недели женщина посещает выбранное ею родовспомогательное учреждение. Роды в Чешской Республике принимаются только в тех местах, которые отвечают установленным законом требованиям к материально-техническому обеспеч</w:t>
      </w:r>
      <w:r w:rsidRPr="000A02AB">
        <w:t>е</w:t>
      </w:r>
      <w:r w:rsidRPr="000A02AB">
        <w:t>нию и персоналу. Таким образом матери и ребенку гарантируются право на наивысший достижимый уровень здоровья и другие права, большинство из к</w:t>
      </w:r>
      <w:r w:rsidRPr="000A02AB">
        <w:t>о</w:t>
      </w:r>
      <w:r w:rsidRPr="000A02AB">
        <w:t xml:space="preserve">торых вытекает из Конвенции о правах ребенка. </w:t>
      </w:r>
    </w:p>
    <w:p w:rsidR="00170278" w:rsidRPr="000A02AB" w:rsidRDefault="00170278" w:rsidP="000A02AB">
      <w:pPr>
        <w:pStyle w:val="SingleTxt"/>
        <w:rPr>
          <w:w w:val="100"/>
        </w:rPr>
      </w:pPr>
      <w:r w:rsidRPr="000A02AB">
        <w:t>176.</w:t>
      </w:r>
      <w:r w:rsidRPr="000A02AB">
        <w:tab/>
        <w:t>1 сентября 2010 года вступил в силу указ № 221/2010 Coll. "Требования к материально-техническому оснащению медицинских учреждений". В 2012</w:t>
      </w:r>
      <w:r w:rsidR="00731774" w:rsidRPr="000A02AB">
        <w:t xml:space="preserve"> </w:t>
      </w:r>
      <w:r w:rsidRPr="000A02AB">
        <w:t>г</w:t>
      </w:r>
      <w:r w:rsidRPr="000A02AB">
        <w:t>о</w:t>
      </w:r>
      <w:r w:rsidRPr="000A02AB">
        <w:t>ду это постановление было заменено указом № 92/2012 Coll. "Минимальные требования к материально-техническому оснащению медицинских учреждений и контактных центров по уходу на дому". В обоих постановлениях в числе прочего оговариваются оснащение рабочего места акушерки, не предназначе</w:t>
      </w:r>
      <w:r w:rsidRPr="000A02AB">
        <w:t>н</w:t>
      </w:r>
      <w:r w:rsidRPr="000A02AB">
        <w:t>ного для принятия родов (без требований, касающихся дорогостоящего обор</w:t>
      </w:r>
      <w:r w:rsidRPr="000A02AB">
        <w:t>у</w:t>
      </w:r>
      <w:r w:rsidRPr="000A02AB">
        <w:t>дования), и оснащение места принятия физиологических родов. Необходимое оборудование указывается в целях обеспечения максимально безопасных усл</w:t>
      </w:r>
      <w:r w:rsidRPr="000A02AB">
        <w:t>о</w:t>
      </w:r>
      <w:r w:rsidRPr="000A02AB">
        <w:t>вий для матерей и новорожденных. С 1 января 2014 года помощь акушерки, ведущей физиологические роды в больничных условиях, и медицинское о</w:t>
      </w:r>
      <w:r w:rsidRPr="000A02AB">
        <w:t>б</w:t>
      </w:r>
      <w:r w:rsidRPr="000A02AB">
        <w:t>служивание в предродовой период можно оплачивать из средств медицинского страхования. Роды, которые ведет акушерка, как и любые другие роды, прин</w:t>
      </w:r>
      <w:r w:rsidRPr="000A02AB">
        <w:t>и</w:t>
      </w:r>
      <w:r w:rsidRPr="000A02AB">
        <w:t xml:space="preserve">маются только в учреждениях, специально предназначенных для этой цели, т. е. в надлежащим образом оборудованных больницах. Врач вызывается на роды только в случае непредвиденных осложнений. Это решение рассчитано на </w:t>
      </w:r>
      <w:r w:rsidRPr="000A02AB">
        <w:rPr>
          <w:w w:val="100"/>
        </w:rPr>
        <w:t>б</w:t>
      </w:r>
      <w:r w:rsidRPr="000A02AB">
        <w:rPr>
          <w:w w:val="100"/>
        </w:rPr>
        <w:t>е</w:t>
      </w:r>
      <w:r w:rsidRPr="000A02AB">
        <w:rPr>
          <w:w w:val="100"/>
        </w:rPr>
        <w:t>ременных женщин, которые по причинам личного характера не желают, чтобы роды проходили в присутствии врача. В то же время роженице и новорожденн</w:t>
      </w:r>
      <w:r w:rsidRPr="000A02AB">
        <w:rPr>
          <w:w w:val="100"/>
        </w:rPr>
        <w:t>о</w:t>
      </w:r>
      <w:r w:rsidRPr="000A02AB">
        <w:rPr>
          <w:w w:val="100"/>
        </w:rPr>
        <w:t>му при необходимости может быть оказана неотложная медицинская п</w:t>
      </w:r>
      <w:r w:rsidRPr="000A02AB">
        <w:rPr>
          <w:w w:val="100"/>
        </w:rPr>
        <w:t>о</w:t>
      </w:r>
      <w:r w:rsidRPr="000A02AB">
        <w:rPr>
          <w:w w:val="100"/>
        </w:rPr>
        <w:t>мощь.</w:t>
      </w:r>
    </w:p>
    <w:p w:rsidR="00170278" w:rsidRPr="000A02AB" w:rsidRDefault="00170278" w:rsidP="000A02AB">
      <w:pPr>
        <w:pStyle w:val="SingleTxt"/>
      </w:pPr>
      <w:r w:rsidRPr="000A02AB">
        <w:t>177.</w:t>
      </w:r>
      <w:r w:rsidRPr="000A02AB">
        <w:tab/>
        <w:t>Кроме того, женщины и мужчины могут посещать курсы дородовой по</w:t>
      </w:r>
      <w:r w:rsidRPr="000A02AB">
        <w:t>д</w:t>
      </w:r>
      <w:r w:rsidRPr="000A02AB">
        <w:t>готовки, на которых партнер будущей матери также может получить соотве</w:t>
      </w:r>
      <w:r w:rsidRPr="000A02AB">
        <w:t>т</w:t>
      </w:r>
      <w:r w:rsidRPr="000A02AB">
        <w:t>ствующую информацию; участники таких курсов имеют возможность посмо</w:t>
      </w:r>
      <w:r w:rsidRPr="000A02AB">
        <w:t>т</w:t>
      </w:r>
      <w:r w:rsidRPr="000A02AB">
        <w:t>реть, как выглядят родильные палаты, и ознакомиться с видеоматериалами о родах. С недавних пор женщины также могут получать информацию на веб-сайтах, где представлены общие и конкретные сведения, а также данные о м</w:t>
      </w:r>
      <w:r w:rsidRPr="000A02AB">
        <w:t>е</w:t>
      </w:r>
      <w:r w:rsidRPr="000A02AB">
        <w:t>дицинских учреждениях. Каждая женщина, руководствуясь полученной и</w:t>
      </w:r>
      <w:r w:rsidRPr="000A02AB">
        <w:t>н</w:t>
      </w:r>
      <w:r w:rsidRPr="000A02AB">
        <w:t>формацией, может самостоятельно решить, какое учреждение она будет пос</w:t>
      </w:r>
      <w:r w:rsidRPr="000A02AB">
        <w:t>е</w:t>
      </w:r>
      <w:r w:rsidRPr="000A02AB">
        <w:t>щать до родов и где она будет рожать ребенка.</w:t>
      </w:r>
    </w:p>
    <w:p w:rsidR="00170278" w:rsidRPr="000A02AB" w:rsidRDefault="00170278" w:rsidP="000A02AB">
      <w:pPr>
        <w:pStyle w:val="SingleTxt"/>
        <w:rPr>
          <w:w w:val="100"/>
        </w:rPr>
      </w:pPr>
      <w:r w:rsidRPr="000A02AB">
        <w:t>178.</w:t>
      </w:r>
      <w:r w:rsidRPr="000A02AB">
        <w:tab/>
        <w:t>В 2009 году УПЧ уделил более пристальное внимание деятельности нег</w:t>
      </w:r>
      <w:r w:rsidRPr="000A02AB">
        <w:t>о</w:t>
      </w:r>
      <w:r w:rsidRPr="000A02AB">
        <w:t>сударственных учреждений здравоохранения, в которых возможно проведение родов с помощью акушерок. В ходе собственного расследования УПЧ устан</w:t>
      </w:r>
      <w:r w:rsidRPr="000A02AB">
        <w:t>о</w:t>
      </w:r>
      <w:r w:rsidRPr="000A02AB">
        <w:t>вил, что занимающиеся вопросами регистрации административные органы применяют разные подходы к заявителям, желающим пройти регистрацию, и в ряде случаев требуют выполнения не предусмотренных законом условий</w:t>
      </w:r>
      <w:r w:rsidRPr="000A02AB">
        <w:rPr>
          <w:rStyle w:val="FootnoteReference"/>
        </w:rPr>
        <w:footnoteReference w:id="50"/>
      </w:r>
      <w:r w:rsidRPr="000A02AB">
        <w:t>. В связи с вышеизложенным УПЧ уведомил Министерство здравоохранения о необходимости принять имплементирующее законодательство, в котором были бы четко определены фактические требования к техническому оснащению и персоналу частных медицинских учреждений такого рода</w:t>
      </w:r>
      <w:r w:rsidRPr="000A02AB">
        <w:rPr>
          <w:rStyle w:val="FootnoteReference"/>
        </w:rPr>
        <w:footnoteReference w:id="51"/>
      </w:r>
      <w:r w:rsidRPr="000A02AB">
        <w:t>. Соответствующий указ "Требования к материально-техническому оснащению медицинских учр</w:t>
      </w:r>
      <w:r w:rsidRPr="000A02AB">
        <w:t>е</w:t>
      </w:r>
      <w:r w:rsidRPr="000A02AB">
        <w:t>ждений" был принят в 2010 году, а в 2012 году указом "Минимальные требов</w:t>
      </w:r>
      <w:r w:rsidRPr="000A02AB">
        <w:t>а</w:t>
      </w:r>
      <w:r w:rsidRPr="000A02AB">
        <w:t xml:space="preserve">ния </w:t>
      </w:r>
      <w:r w:rsidRPr="000A02AB">
        <w:rPr>
          <w:w w:val="100"/>
        </w:rPr>
        <w:t>к материально-техническому оснащению медицинских учреждений и ко</w:t>
      </w:r>
      <w:r w:rsidRPr="000A02AB">
        <w:rPr>
          <w:w w:val="100"/>
        </w:rPr>
        <w:t>н</w:t>
      </w:r>
      <w:r w:rsidRPr="000A02AB">
        <w:rPr>
          <w:w w:val="100"/>
        </w:rPr>
        <w:t>тактных центров по уходу на дому" в него были внесены необходимые попра</w:t>
      </w:r>
      <w:r w:rsidRPr="000A02AB">
        <w:rPr>
          <w:w w:val="100"/>
        </w:rPr>
        <w:t>в</w:t>
      </w:r>
      <w:r w:rsidRPr="000A02AB">
        <w:rPr>
          <w:w w:val="100"/>
        </w:rPr>
        <w:t>ки.</w:t>
      </w:r>
    </w:p>
    <w:p w:rsidR="00170278" w:rsidRPr="000A02AB" w:rsidRDefault="00170278" w:rsidP="000A02AB">
      <w:pPr>
        <w:pStyle w:val="SingleTxt"/>
      </w:pPr>
      <w:r w:rsidRPr="000A02AB">
        <w:t>179.</w:t>
      </w:r>
      <w:r w:rsidRPr="000A02AB">
        <w:tab/>
        <w:t>Женщины, рожающие в Чешской Республике, могут покинуть соотве</w:t>
      </w:r>
      <w:r w:rsidRPr="000A02AB">
        <w:t>т</w:t>
      </w:r>
      <w:r w:rsidRPr="000A02AB">
        <w:t>ствующее учреждение спустя несколько часов после родов или до истечения рекомендуемых 72 часов</w:t>
      </w:r>
      <w:r w:rsidRPr="000A02AB">
        <w:rPr>
          <w:rStyle w:val="FootnoteReference"/>
        </w:rPr>
        <w:footnoteReference w:id="52"/>
      </w:r>
      <w:r w:rsidRPr="000A02AB">
        <w:t>. Для этого они должны подписать документ об о</w:t>
      </w:r>
      <w:r w:rsidRPr="000A02AB">
        <w:t>т</w:t>
      </w:r>
      <w:r w:rsidRPr="000A02AB">
        <w:t>казе от дальнейшей госпитализации. В 2013 году в целях повышения инфо</w:t>
      </w:r>
      <w:r w:rsidRPr="000A02AB">
        <w:t>р</w:t>
      </w:r>
      <w:r w:rsidRPr="000A02AB">
        <w:t>мированности общества о наличии такой возможности Министерство здрав</w:t>
      </w:r>
      <w:r w:rsidRPr="000A02AB">
        <w:t>о</w:t>
      </w:r>
      <w:r w:rsidRPr="000A02AB">
        <w:t>охранения опубликовало специальное методическое руководство, в котором указывалось, каким образом должны действовать лица, желающие выйти из больницы до истечения рекомендуемых 72 часов</w:t>
      </w:r>
      <w:r w:rsidRPr="000A02AB">
        <w:rPr>
          <w:rStyle w:val="FootnoteReference"/>
        </w:rPr>
        <w:footnoteReference w:id="53"/>
      </w:r>
      <w:r w:rsidRPr="000A02AB">
        <w:t>.</w:t>
      </w:r>
    </w:p>
    <w:p w:rsidR="00170278" w:rsidRPr="000A02AB" w:rsidRDefault="00170278" w:rsidP="000A02AB">
      <w:pPr>
        <w:pStyle w:val="SingleTxt"/>
      </w:pPr>
      <w:r w:rsidRPr="000A02AB">
        <w:t>180.</w:t>
      </w:r>
      <w:r w:rsidRPr="000A02AB">
        <w:tab/>
        <w:t>12 сентября 2013 года состоялось заседание Совета, на котором Совет в числе прочего поручил правлению учредить новую рабочую группу для реш</w:t>
      </w:r>
      <w:r w:rsidRPr="000A02AB">
        <w:t>е</w:t>
      </w:r>
      <w:r w:rsidRPr="000A02AB">
        <w:t>ния вопроса гендерного равенства в аспектах, связанных с акушерской де</w:t>
      </w:r>
      <w:r w:rsidRPr="000A02AB">
        <w:t>я</w:t>
      </w:r>
      <w:r w:rsidRPr="000A02AB">
        <w:t>тельностью. Эта рабочая группа должна уделять первоочередное внимание с</w:t>
      </w:r>
      <w:r w:rsidRPr="000A02AB">
        <w:t>и</w:t>
      </w:r>
      <w:r w:rsidRPr="000A02AB">
        <w:t>туации в акушерстве Чехии, руководствуясь комплексным подходом, с тем чт</w:t>
      </w:r>
      <w:r w:rsidRPr="000A02AB">
        <w:t>о</w:t>
      </w:r>
      <w:r w:rsidRPr="000A02AB">
        <w:t>бы родители могли свободно выбирать метод, условия и место родов или фо</w:t>
      </w:r>
      <w:r w:rsidRPr="000A02AB">
        <w:t>р</w:t>
      </w:r>
      <w:r w:rsidRPr="000A02AB">
        <w:t>му ведения беременности, акушерской помощи и ухода в период после рожд</w:t>
      </w:r>
      <w:r w:rsidRPr="000A02AB">
        <w:t>е</w:t>
      </w:r>
      <w:r w:rsidRPr="000A02AB">
        <w:t>ния ребенка. В связи с проведением выборов в палату депутатов, назначением нового правительства и последовавшей за этим передачей секретариата Совета соответствующие мероприятия по созданию данной рабочей группы еще не з</w:t>
      </w:r>
      <w:r w:rsidRPr="000A02AB">
        <w:t>а</w:t>
      </w:r>
      <w:r w:rsidRPr="000A02AB">
        <w:t>вершены, однако она будет сформирована в течение осени 2014 года.</w:t>
      </w:r>
    </w:p>
    <w:p w:rsidR="00170278" w:rsidRPr="000A02AB" w:rsidRDefault="00170278" w:rsidP="000A02AB">
      <w:pPr>
        <w:pStyle w:val="SingleTxt"/>
        <w:rPr>
          <w:w w:val="100"/>
        </w:rPr>
      </w:pPr>
      <w:r w:rsidRPr="000A02AB">
        <w:t>181.</w:t>
      </w:r>
      <w:r w:rsidRPr="000A02AB">
        <w:tab/>
        <w:t>В связи с рекомендациями 34 и 35 Комитета относительно незаконной стерилизации Правительственный совет по правам</w:t>
      </w:r>
      <w:r w:rsidR="009B4026" w:rsidRPr="000A02AB">
        <w:t> человек</w:t>
      </w:r>
      <w:r w:rsidRPr="000A02AB">
        <w:t>а на своем засед</w:t>
      </w:r>
      <w:r w:rsidRPr="000A02AB">
        <w:t>а</w:t>
      </w:r>
      <w:r w:rsidRPr="000A02AB">
        <w:t>нии, состоявшемся 9 мая 2011 года, обсудил инициативу Комитета против п</w:t>
      </w:r>
      <w:r w:rsidRPr="000A02AB">
        <w:t>ы</w:t>
      </w:r>
      <w:r w:rsidRPr="000A02AB">
        <w:t>ток и других бесчеловечных, жестоких или унижающих достоинство видов о</w:t>
      </w:r>
      <w:r w:rsidRPr="000A02AB">
        <w:t>б</w:t>
      </w:r>
      <w:r w:rsidRPr="000A02AB">
        <w:t>ращения и наказания, касавшуюся случаев незаконной стерилизации женщин в Чешской Республике. На своем заседании в феврале 2012 года Правител</w:t>
      </w:r>
      <w:r w:rsidRPr="000A02AB">
        <w:t>ь</w:t>
      </w:r>
      <w:r w:rsidRPr="000A02AB">
        <w:t>ственный совет по правам</w:t>
      </w:r>
      <w:r w:rsidR="009B4026" w:rsidRPr="000A02AB">
        <w:t> человек</w:t>
      </w:r>
      <w:r w:rsidRPr="000A02AB">
        <w:t>а утвердил адресованную правительству р</w:t>
      </w:r>
      <w:r w:rsidRPr="000A02AB">
        <w:t>е</w:t>
      </w:r>
      <w:r w:rsidRPr="000A02AB">
        <w:t>комендацию о предоставлении компенсации всем женщинам, которые были подвергнуты стерилизации в нарушение закона. По мнению Правительстве</w:t>
      </w:r>
      <w:r w:rsidRPr="000A02AB">
        <w:t>н</w:t>
      </w:r>
      <w:r w:rsidRPr="000A02AB">
        <w:t>ного совета по правам</w:t>
      </w:r>
      <w:r w:rsidR="009B4026" w:rsidRPr="000A02AB">
        <w:t> человек</w:t>
      </w:r>
      <w:r w:rsidRPr="000A02AB">
        <w:t>а это касается женщин, которые подверглись стерилизации в период с 1972 по 1991 год и согласно положениям действова</w:t>
      </w:r>
      <w:r w:rsidRPr="000A02AB">
        <w:t>в</w:t>
      </w:r>
      <w:r w:rsidRPr="000A02AB">
        <w:t>шего в то время закона имели право на денежную компенсацию. Совет также рекомендовал возместить ущерб тем женщинам, которые не имели обоснова</w:t>
      </w:r>
      <w:r w:rsidRPr="000A02AB">
        <w:t>н</w:t>
      </w:r>
      <w:r w:rsidRPr="000A02AB">
        <w:t xml:space="preserve">ной </w:t>
      </w:r>
      <w:r w:rsidRPr="000A02AB">
        <w:rPr>
          <w:w w:val="100"/>
        </w:rPr>
        <w:t>возможности требовать компенсации с использованием законных средств в связи с истечением трехлетнего срока для предъявления иска о защите личн</w:t>
      </w:r>
      <w:r w:rsidRPr="000A02AB">
        <w:rPr>
          <w:w w:val="100"/>
        </w:rPr>
        <w:t>о</w:t>
      </w:r>
      <w:r w:rsidRPr="000A02AB">
        <w:rPr>
          <w:w w:val="100"/>
        </w:rPr>
        <w:t>сти.</w:t>
      </w:r>
    </w:p>
    <w:p w:rsidR="00170278" w:rsidRPr="000A02AB" w:rsidRDefault="00170278" w:rsidP="000A02AB">
      <w:pPr>
        <w:pStyle w:val="SingleTxt"/>
      </w:pPr>
      <w:r w:rsidRPr="000A02AB">
        <w:t>182.</w:t>
      </w:r>
      <w:r w:rsidRPr="000A02AB">
        <w:tab/>
        <w:t>Чешская Республика уже высказала свои замечания в связи с рекоменд</w:t>
      </w:r>
      <w:r w:rsidRPr="000A02AB">
        <w:t>а</w:t>
      </w:r>
      <w:r w:rsidRPr="000A02AB">
        <w:t>циями Комитета относительно незаконной стерилизации в представленном Комитету письменном сообщении, охватывающем период с 1 ноября 2010 года по 30 июня 2012 года. На данный момент можно сказать, что 2 июля 2014 года состоялось первое заседание новой межведомственной рабочей группы по в</w:t>
      </w:r>
      <w:r w:rsidRPr="000A02AB">
        <w:t>о</w:t>
      </w:r>
      <w:r w:rsidRPr="000A02AB">
        <w:t>просу незаконной стерилизации, которая занимается подготовкой законод</w:t>
      </w:r>
      <w:r w:rsidRPr="000A02AB">
        <w:t>а</w:t>
      </w:r>
      <w:r w:rsidRPr="000A02AB">
        <w:t>тельного предложения о предоставлении компенсации лицам, подвергшимся стерилизации в отсутствие законных оснований. Соответствующий законопр</w:t>
      </w:r>
      <w:r w:rsidRPr="000A02AB">
        <w:t>о</w:t>
      </w:r>
      <w:r w:rsidRPr="000A02AB">
        <w:t>ект должен быть представлен правительству к концу 2014 года. В нем пред</w:t>
      </w:r>
      <w:r w:rsidRPr="000A02AB">
        <w:t>у</w:t>
      </w:r>
      <w:r w:rsidRPr="000A02AB">
        <w:t>смотрено комплексное возмещение ущерба, нанесенного жертвам принуд</w:t>
      </w:r>
      <w:r w:rsidRPr="000A02AB">
        <w:t>и</w:t>
      </w:r>
      <w:r w:rsidRPr="000A02AB">
        <w:t>тельной стерилизации, и удовлетворение их требований государством. В связи с этим пострадавшим больше не придется обращаться в суд с гражданским и</w:t>
      </w:r>
      <w:r w:rsidRPr="000A02AB">
        <w:t>с</w:t>
      </w:r>
      <w:r w:rsidRPr="000A02AB">
        <w:t>ком против медицинского учреждения, в котором была проведена принуд</w:t>
      </w:r>
      <w:r w:rsidRPr="000A02AB">
        <w:t>и</w:t>
      </w:r>
      <w:r w:rsidRPr="000A02AB">
        <w:t>тельная стерилизация. В рамках механизма возмещения ущерба заявителям б</w:t>
      </w:r>
      <w:r w:rsidRPr="000A02AB">
        <w:t>у</w:t>
      </w:r>
      <w:r w:rsidRPr="000A02AB">
        <w:t>дет предоставлена необходимая информация и рекомендации относительно осуществления их прав.</w:t>
      </w:r>
    </w:p>
    <w:p w:rsidR="00170278" w:rsidRPr="000A02AB" w:rsidRDefault="00170278" w:rsidP="000A02AB">
      <w:pPr>
        <w:pStyle w:val="SingleTxt"/>
      </w:pPr>
      <w:r w:rsidRPr="000A02AB">
        <w:t>183.</w:t>
      </w:r>
      <w:r w:rsidRPr="000A02AB">
        <w:tab/>
        <w:t>В настоящее время чешские суды в отдельных случаях предоставляют бесплатную правовую помощь. При отсутствии необходимых средств нужд</w:t>
      </w:r>
      <w:r w:rsidRPr="000A02AB">
        <w:t>а</w:t>
      </w:r>
      <w:r w:rsidRPr="000A02AB">
        <w:t>ющиеся участники судебных разбирательств могут ходатайствовать о беспла</w:t>
      </w:r>
      <w:r w:rsidRPr="000A02AB">
        <w:t>т</w:t>
      </w:r>
      <w:r w:rsidRPr="000A02AB">
        <w:t>ном назначении представителя по гражданскому делу или представителя п</w:t>
      </w:r>
      <w:r w:rsidRPr="000A02AB">
        <w:t>о</w:t>
      </w:r>
      <w:r w:rsidRPr="000A02AB">
        <w:t>страдавшей стороны по уголовному делу из числа адвокатов, услуги которых оплачиваются государством, а также просить об освобождении от уплаты с</w:t>
      </w:r>
      <w:r w:rsidRPr="000A02AB">
        <w:t>у</w:t>
      </w:r>
      <w:r w:rsidRPr="000A02AB">
        <w:t>дебных пошлин. Помимо НПО помощь по общеправовым вопросам предоста</w:t>
      </w:r>
      <w:r w:rsidRPr="000A02AB">
        <w:t>в</w:t>
      </w:r>
      <w:r w:rsidRPr="000A02AB">
        <w:t>ляет Чешская ассоциация адвокатов. Наряду с этим действующее правител</w:t>
      </w:r>
      <w:r w:rsidRPr="000A02AB">
        <w:t>ь</w:t>
      </w:r>
      <w:r w:rsidRPr="000A02AB">
        <w:t>ство разрабатывает новую комплексную систему правовой помощи, предоста</w:t>
      </w:r>
      <w:r w:rsidRPr="000A02AB">
        <w:t>в</w:t>
      </w:r>
      <w:r w:rsidRPr="000A02AB">
        <w:t>ляемой государством, которая должна обеспечить доступ к правовой помощи не только в ходе судебных или административных разбирательств, но и в ра</w:t>
      </w:r>
      <w:r w:rsidRPr="000A02AB">
        <w:t>м</w:t>
      </w:r>
      <w:r w:rsidRPr="000A02AB">
        <w:t>ках консультаций по общеправовым вопросам до начала тяжбы, с тем чтобы каждый</w:t>
      </w:r>
      <w:r w:rsidR="009B4026" w:rsidRPr="000A02AB">
        <w:t> человек</w:t>
      </w:r>
      <w:r w:rsidRPr="000A02AB">
        <w:t xml:space="preserve"> мог решить свои проблемы мирным путем. Такая система должна быть представлена правительству к концу 2015 года.</w:t>
      </w:r>
    </w:p>
    <w:p w:rsidR="00170278" w:rsidRPr="000A02AB" w:rsidRDefault="00170278" w:rsidP="000A02AB">
      <w:pPr>
        <w:pStyle w:val="SingleTxt"/>
      </w:pPr>
      <w:r w:rsidRPr="000A02AB">
        <w:t>184.</w:t>
      </w:r>
      <w:r w:rsidRPr="000A02AB">
        <w:tab/>
        <w:t>Положение, в деталях определяющее порядок получения информирова</w:t>
      </w:r>
      <w:r w:rsidRPr="000A02AB">
        <w:t>н</w:t>
      </w:r>
      <w:r w:rsidRPr="000A02AB">
        <w:t>ного согласия пациента на проведение стерилизации, включая недельный (в случае стерилизации по состоянию здоровья) или двухнедельный интервал (в случае стерилизации по иным причинам) между информированием о данной процедуре и предоставлением согласия, уже включено в Закон № 373/2011 Coll. о специальных медицинских услугах. Этот закон является одним из зак</w:t>
      </w:r>
      <w:r w:rsidRPr="000A02AB">
        <w:t>о</w:t>
      </w:r>
      <w:r w:rsidRPr="000A02AB">
        <w:t>нов, значительно расширяющих права пациентов, и в числе прочего акцент</w:t>
      </w:r>
      <w:r w:rsidRPr="000A02AB">
        <w:t>и</w:t>
      </w:r>
      <w:r w:rsidRPr="000A02AB">
        <w:t>рует внимание на защите прав несовершеннолетних пациентов, пациентов, лишенных дееспособности, и пациентов с ограниченной дееспособностью, к</w:t>
      </w:r>
      <w:r w:rsidRPr="000A02AB">
        <w:t>о</w:t>
      </w:r>
      <w:r w:rsidRPr="000A02AB">
        <w:t>торые признаются неспособными оценить оказание медицинских услуг или их последствия и дать согласие на их оказание</w:t>
      </w:r>
      <w:r w:rsidRPr="000A02AB">
        <w:rPr>
          <w:rStyle w:val="FootnoteReference"/>
        </w:rPr>
        <w:footnoteReference w:id="54"/>
      </w:r>
      <w:r w:rsidRPr="000A02AB">
        <w:t>.</w:t>
      </w:r>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r>
      <w:bookmarkStart w:id="28" w:name="_Toc415654622"/>
      <w:r w:rsidRPr="000A02AB">
        <w:t>Статья 13</w:t>
      </w:r>
      <w:r w:rsidRPr="000A02AB">
        <w:br/>
        <w:t>Меры по ликвидации дискриминации в других областях экономической и социальной жизни</w:t>
      </w:r>
      <w:bookmarkEnd w:id="28"/>
    </w:p>
    <w:p w:rsidR="00731774" w:rsidRPr="000A02AB" w:rsidRDefault="00731774" w:rsidP="000A02AB">
      <w:pPr>
        <w:pStyle w:val="SingleTxt"/>
        <w:spacing w:after="0" w:line="120" w:lineRule="exact"/>
        <w:rPr>
          <w:sz w:val="10"/>
        </w:rPr>
      </w:pPr>
    </w:p>
    <w:p w:rsidR="00731774" w:rsidRPr="000A02AB" w:rsidRDefault="00731774" w:rsidP="000A02AB">
      <w:pPr>
        <w:pStyle w:val="SingleTxt"/>
        <w:spacing w:after="0" w:line="120" w:lineRule="exact"/>
        <w:rPr>
          <w:sz w:val="10"/>
        </w:rPr>
      </w:pPr>
    </w:p>
    <w:p w:rsidR="00170278" w:rsidRPr="000A02AB" w:rsidRDefault="00170278" w:rsidP="000A02AB">
      <w:pPr>
        <w:pStyle w:val="SingleTxt"/>
      </w:pPr>
      <w:r w:rsidRPr="000A02AB">
        <w:t>185.</w:t>
      </w:r>
      <w:r w:rsidRPr="000A02AB">
        <w:tab/>
        <w:t>В 2013 году доля жителей Чешской Республики, рискующих оказаться в нищете по причине низкого уровня доходов, составляла 8,6</w:t>
      </w:r>
      <w:r w:rsidR="009B4026" w:rsidRPr="000A02AB">
        <w:t> процент</w:t>
      </w:r>
      <w:r w:rsidRPr="000A02AB">
        <w:t>а, снизи</w:t>
      </w:r>
      <w:r w:rsidRPr="000A02AB">
        <w:t>в</w:t>
      </w:r>
      <w:r w:rsidRPr="000A02AB">
        <w:t>шись по сравнению с 2012 годом, когда этот показатель достигал 9,6</w:t>
      </w:r>
      <w:r w:rsidR="009B4026" w:rsidRPr="000A02AB">
        <w:t> процент</w:t>
      </w:r>
      <w:r w:rsidRPr="000A02AB">
        <w:t>а. В долгосрочной перспективе показатель риска нищеты в Чешской Республике является самым низким среди всех стран ЕС. Система социального страхов</w:t>
      </w:r>
      <w:r w:rsidRPr="000A02AB">
        <w:t>а</w:t>
      </w:r>
      <w:r w:rsidRPr="000A02AB">
        <w:t>ния, основанная на финансовых взносах граждан, включает страхование на случай болезни и пенсионное страхование. По линии страхования на случай болезни выплачиваются четыре вида пособий: пособия по болезни, пособия по беременности и родам, пособия на цели обеспечения ухода и компенсационная надбавка в связи с беременностью и материнством. В случае их соответствия установленным законом условиям все застрахованные лица (наемные работн</w:t>
      </w:r>
      <w:r w:rsidRPr="000A02AB">
        <w:t>и</w:t>
      </w:r>
      <w:r w:rsidRPr="000A02AB">
        <w:t>ки, которые страхуются в обязательном порядке, и лица, пользующиеся добр</w:t>
      </w:r>
      <w:r w:rsidRPr="000A02AB">
        <w:t>о</w:t>
      </w:r>
      <w:r w:rsidRPr="000A02AB">
        <w:t>вольным страхованием, в том числе самостоятельно занятые лица) имеют пр</w:t>
      </w:r>
      <w:r w:rsidRPr="000A02AB">
        <w:t>а</w:t>
      </w:r>
      <w:r w:rsidRPr="000A02AB">
        <w:t>во на пособия согласно единому законодательству без каких-либо различий по полу, возрасту или этнической принадлежности. Правом на получение пос</w:t>
      </w:r>
      <w:r w:rsidRPr="000A02AB">
        <w:t>о</w:t>
      </w:r>
      <w:r w:rsidRPr="000A02AB">
        <w:t>бий, предназначенных для обеспечения ухода, не обладают только самосто</w:t>
      </w:r>
      <w:r w:rsidRPr="000A02AB">
        <w:t>я</w:t>
      </w:r>
      <w:r w:rsidRPr="000A02AB">
        <w:t>тельно занятые лица.</w:t>
      </w:r>
    </w:p>
    <w:p w:rsidR="00170278" w:rsidRPr="000A02AB" w:rsidRDefault="00170278" w:rsidP="000A02AB">
      <w:pPr>
        <w:pStyle w:val="SingleTxt"/>
      </w:pPr>
      <w:r w:rsidRPr="000A02AB">
        <w:t>186.</w:t>
      </w:r>
      <w:r w:rsidRPr="000A02AB">
        <w:tab/>
        <w:t>Система пенсионного страхования обеспечивает выплату пенсий по во</w:t>
      </w:r>
      <w:r w:rsidRPr="000A02AB">
        <w:t>з</w:t>
      </w:r>
      <w:r w:rsidRPr="000A02AB">
        <w:t>расту, инвалидности и в связи с потерей кормильца. Пенсионные пособия предоставляются всем застрахованным лицам, т. е. наемным работникам и с</w:t>
      </w:r>
      <w:r w:rsidRPr="000A02AB">
        <w:t>а</w:t>
      </w:r>
      <w:r w:rsidRPr="000A02AB">
        <w:t>мостоятельно занятым лицам, при выполнении предусмотренных законом условий (минимальный срок страхования и, если речь идет о пенсиях по во</w:t>
      </w:r>
      <w:r w:rsidRPr="000A02AB">
        <w:t>з</w:t>
      </w:r>
      <w:r w:rsidRPr="000A02AB">
        <w:t>расту, достижение пенсионного возраста). С 1996 года пенсионный возраст п</w:t>
      </w:r>
      <w:r w:rsidRPr="000A02AB">
        <w:t>о</w:t>
      </w:r>
      <w:r w:rsidRPr="000A02AB">
        <w:t>степенно увеличивается, однако мужчины по-прежнему выходят на пенсию позже, чем женщины (дополнительное снижение пенсионного возраста для женщин зависит от числа выращенных ими детей). В 2011 году был принят еще один нормативный акт</w:t>
      </w:r>
      <w:r w:rsidRPr="000A02AB">
        <w:rPr>
          <w:rStyle w:val="FootnoteReference"/>
        </w:rPr>
        <w:footnoteReference w:id="55"/>
      </w:r>
      <w:r w:rsidRPr="000A02AB">
        <w:t>, согласно которому в 2042 году возраст выхода на пенсию для мужчин и женщин будет равен 66 годам и 8 месяцам.</w:t>
      </w:r>
    </w:p>
    <w:p w:rsidR="00170278" w:rsidRPr="000A02AB" w:rsidRDefault="00170278" w:rsidP="000A02AB">
      <w:pPr>
        <w:pStyle w:val="SingleTxt"/>
      </w:pPr>
      <w:r w:rsidRPr="000A02AB">
        <w:t>187.</w:t>
      </w:r>
      <w:r w:rsidRPr="000A02AB">
        <w:tab/>
        <w:t>Размер пособия определяется с учетом снижения дохода, из которого был вычтен страховой взнос, и периода страхования. Наряду с периодом страхов</w:t>
      </w:r>
      <w:r w:rsidRPr="000A02AB">
        <w:t>а</w:t>
      </w:r>
      <w:r w:rsidRPr="000A02AB">
        <w:t>ния, в течение которого уплачивались страховые взносы, учитываются зам</w:t>
      </w:r>
      <w:r w:rsidRPr="000A02AB">
        <w:t>е</w:t>
      </w:r>
      <w:r w:rsidRPr="000A02AB">
        <w:t>няющие его периоды (полностью или на 80</w:t>
      </w:r>
      <w:r w:rsidR="009B4026" w:rsidRPr="000A02AB">
        <w:t> процент</w:t>
      </w:r>
      <w:r w:rsidRPr="000A02AB">
        <w:t>ов). К числу таких пери</w:t>
      </w:r>
      <w:r w:rsidRPr="000A02AB">
        <w:t>о</w:t>
      </w:r>
      <w:r w:rsidRPr="000A02AB">
        <w:t>дов в первую очередь относятся периоды ухода за членами семьи, воинской службы в рядах вооруженных сил и ухода за ребенком в возрасте младше ч</w:t>
      </w:r>
      <w:r w:rsidRPr="000A02AB">
        <w:t>е</w:t>
      </w:r>
      <w:r w:rsidRPr="000A02AB">
        <w:t>тырех лет. Период ухода за ребенком, не достигшим четырех лет, учитывается полностью исходя из средней заработной платы за весь период страхования. Данная система является единой для всех застрахованных лиц без каких-либо различий по полу, возрасту, этнической принадлежности и т. д. и не пред</w:t>
      </w:r>
      <w:r w:rsidRPr="000A02AB">
        <w:t>у</w:t>
      </w:r>
      <w:r w:rsidRPr="000A02AB">
        <w:t>сматривает исключений.</w:t>
      </w:r>
    </w:p>
    <w:p w:rsidR="00170278" w:rsidRPr="000A02AB" w:rsidRDefault="00170278" w:rsidP="000A02AB">
      <w:pPr>
        <w:pStyle w:val="SingleTxt"/>
      </w:pPr>
      <w:r w:rsidRPr="000A02AB">
        <w:t>188.</w:t>
      </w:r>
      <w:r w:rsidRPr="000A02AB">
        <w:tab/>
        <w:t>Страховые пособия (пособие по болезни и пенсии) не ориентированы на конкретные группы населения (например, группы, выделяемые по признакам проживания в сельских/городских районах, этническому происхождению, с</w:t>
      </w:r>
      <w:r w:rsidRPr="000A02AB">
        <w:t>о</w:t>
      </w:r>
      <w:r w:rsidRPr="000A02AB">
        <w:t>стоянию здоровья и наличию инвалидности и степени обнищания с акцентом на положении женщин рома, женщин-мигрантов и женщин с ограниченными возможностями) и поэтому не отслеживаются в требуемой разбивке. Вопрос об определенных группах населения (таких как лица с низким уровнем доходов, инвалиды, семьи с детьми и т. д.) решается с помощью нестраховых пособий.</w:t>
      </w:r>
    </w:p>
    <w:p w:rsidR="00170278" w:rsidRPr="000A02AB" w:rsidRDefault="00170278" w:rsidP="000A02AB">
      <w:pPr>
        <w:pStyle w:val="SingleTxt"/>
      </w:pPr>
      <w:r w:rsidRPr="000A02AB">
        <w:t>189.</w:t>
      </w:r>
      <w:r w:rsidRPr="000A02AB">
        <w:tab/>
        <w:t>По состоянию на 1 июля 2010 года пособия на цели обеспечения ухода получали 300 358 жителей страны. 38</w:t>
      </w:r>
      <w:r w:rsidR="009B4026" w:rsidRPr="000A02AB">
        <w:t> процент</w:t>
      </w:r>
      <w:r w:rsidRPr="000A02AB">
        <w:t>ов от общего числа получателей пособий с</w:t>
      </w:r>
      <w:r w:rsidR="00731774" w:rsidRPr="000A02AB">
        <w:t>оставляли лица с зависимостью I </w:t>
      </w:r>
      <w:r w:rsidRPr="000A02AB">
        <w:t>степени (слабая зависимость), 30</w:t>
      </w:r>
      <w:r w:rsidR="00731774" w:rsidRPr="000A02AB">
        <w:t> </w:t>
      </w:r>
      <w:r w:rsidR="009B4026" w:rsidRPr="000A02AB">
        <w:t>процент</w:t>
      </w:r>
      <w:r w:rsidR="00731774" w:rsidRPr="000A02AB">
        <w:t>ов – лица с зависимостью II </w:t>
      </w:r>
      <w:r w:rsidRPr="000A02AB">
        <w:t>степени (умеренная зависимость), 20</w:t>
      </w:r>
      <w:r w:rsidR="00731774" w:rsidRPr="000A02AB">
        <w:t> </w:t>
      </w:r>
      <w:r w:rsidR="009B4026" w:rsidRPr="000A02AB">
        <w:t>процент</w:t>
      </w:r>
      <w:r w:rsidR="00731774" w:rsidRPr="000A02AB">
        <w:t>ов – лица с зависимостью III </w:t>
      </w:r>
      <w:r w:rsidRPr="000A02AB">
        <w:t>степени (сильная зависимость) и 12</w:t>
      </w:r>
      <w:r w:rsidR="009B4026" w:rsidRPr="000A02AB">
        <w:t> процент</w:t>
      </w:r>
      <w:r w:rsidRPr="000A02AB">
        <w:t>ов – лица с зависимостью IV</w:t>
      </w:r>
      <w:r w:rsidR="00731774" w:rsidRPr="000A02AB">
        <w:t> </w:t>
      </w:r>
      <w:r w:rsidRPr="000A02AB">
        <w:t>степени (полная зависимость). В период с 2008 по 2010 год отмечается незначительное (менее чем на 5</w:t>
      </w:r>
      <w:r w:rsidR="009B4026" w:rsidRPr="000A02AB">
        <w:t> процент</w:t>
      </w:r>
      <w:r w:rsidRPr="000A02AB">
        <w:t>ов) общее увеличение числа получателей таких пособий. Уменьш</w:t>
      </w:r>
      <w:r w:rsidRPr="000A02AB">
        <w:t>е</w:t>
      </w:r>
      <w:r w:rsidRPr="000A02AB">
        <w:t>ние числа получателей было зафиксировано только в группе лиц с зависим</w:t>
      </w:r>
      <w:r w:rsidRPr="000A02AB">
        <w:t>о</w:t>
      </w:r>
      <w:r w:rsidRPr="000A02AB">
        <w:t>стью I степени; в остальных группах число получателей возросло, причем ма</w:t>
      </w:r>
      <w:r w:rsidRPr="000A02AB">
        <w:t>к</w:t>
      </w:r>
      <w:r w:rsidRPr="000A02AB">
        <w:t>симальное увеличение было зарегистрировано</w:t>
      </w:r>
      <w:r w:rsidR="00731774" w:rsidRPr="000A02AB">
        <w:t xml:space="preserve"> в группе лиц с зависимостью IV </w:t>
      </w:r>
      <w:r w:rsidRPr="000A02AB">
        <w:t>степени (18</w:t>
      </w:r>
      <w:r w:rsidR="009B4026" w:rsidRPr="000A02AB">
        <w:t> процент</w:t>
      </w:r>
      <w:r w:rsidRPr="000A02AB">
        <w:t>ов). В 2010 году в общее число получателей пособий на цели обеспечения ухода (300 358</w:t>
      </w:r>
      <w:r w:rsidR="009B4026" w:rsidRPr="000A02AB">
        <w:t> человек</w:t>
      </w:r>
      <w:r w:rsidR="00731774" w:rsidRPr="000A02AB">
        <w:t>) входили 194 456 </w:t>
      </w:r>
      <w:r w:rsidRPr="000A02AB">
        <w:t>женщин (65</w:t>
      </w:r>
      <w:r w:rsidR="009B4026" w:rsidRPr="000A02AB">
        <w:t> процент</w:t>
      </w:r>
      <w:r w:rsidRPr="000A02AB">
        <w:t>ов) и 210 167</w:t>
      </w:r>
      <w:r w:rsidR="009B4026" w:rsidRPr="000A02AB">
        <w:t> человек</w:t>
      </w:r>
      <w:r w:rsidRPr="000A02AB">
        <w:t xml:space="preserve"> в возрасте 65 лет и старше (70</w:t>
      </w:r>
      <w:r w:rsidR="009B4026" w:rsidRPr="000A02AB">
        <w:t> процент</w:t>
      </w:r>
      <w:r w:rsidRPr="000A02AB">
        <w:t>ов). Большинство получателей этих пособий – 38</w:t>
      </w:r>
      <w:r w:rsidR="009B4026" w:rsidRPr="000A02AB">
        <w:t> процент</w:t>
      </w:r>
      <w:r w:rsidRPr="000A02AB">
        <w:t>ов – составляли лица в возрасте 80–89 лет (свыше 113 тыс.</w:t>
      </w:r>
      <w:r w:rsidR="009B4026" w:rsidRPr="000A02AB">
        <w:t> человек</w:t>
      </w:r>
      <w:r w:rsidRPr="000A02AB">
        <w:t>). Расходы на выплату социальных пособий за 2012 год представлены в таблице 9; пособия по линии социального обеспечения, выплачивавшиеся в 2012 году в каждом крае, перечислены в та</w:t>
      </w:r>
      <w:r w:rsidRPr="000A02AB">
        <w:t>б</w:t>
      </w:r>
      <w:r w:rsidRPr="000A02AB">
        <w:t>лице 8.</w:t>
      </w:r>
    </w:p>
    <w:p w:rsidR="00170278" w:rsidRPr="000A02AB" w:rsidRDefault="00731774" w:rsidP="000A02AB">
      <w:pPr>
        <w:pStyle w:val="H56"/>
        <w:tabs>
          <w:tab w:val="right" w:pos="360"/>
          <w:tab w:val="left" w:pos="475"/>
          <w:tab w:val="left" w:pos="965"/>
          <w:tab w:val="left" w:pos="1440"/>
          <w:tab w:val="left" w:pos="1915"/>
          <w:tab w:val="left" w:pos="2405"/>
          <w:tab w:val="left" w:pos="2880"/>
          <w:tab w:val="left" w:pos="3355"/>
        </w:tabs>
        <w:suppressAutoHyphens w:val="0"/>
        <w:ind w:left="475" w:hanging="475"/>
      </w:pPr>
      <w:r w:rsidRPr="000A02AB">
        <w:tab/>
      </w:r>
      <w:r w:rsidRPr="000A02AB">
        <w:tab/>
      </w:r>
      <w:r w:rsidR="00170278" w:rsidRPr="000A02AB">
        <w:t>Таблица 8</w:t>
      </w:r>
    </w:p>
    <w:p w:rsidR="00170278" w:rsidRPr="000A02AB" w:rsidRDefault="00731774" w:rsidP="000A02AB">
      <w:pPr>
        <w:pStyle w:val="H23"/>
        <w:tabs>
          <w:tab w:val="right" w:pos="360"/>
          <w:tab w:val="left" w:pos="475"/>
          <w:tab w:val="left" w:pos="965"/>
          <w:tab w:val="left" w:pos="1440"/>
          <w:tab w:val="left" w:pos="1915"/>
          <w:tab w:val="left" w:pos="2405"/>
          <w:tab w:val="left" w:pos="2880"/>
          <w:tab w:val="left" w:pos="3355"/>
        </w:tabs>
        <w:suppressAutoHyphens w:val="0"/>
        <w:ind w:left="475" w:hanging="475"/>
      </w:pPr>
      <w:r w:rsidRPr="000A02AB">
        <w:tab/>
      </w:r>
      <w:r w:rsidRPr="000A02AB">
        <w:tab/>
      </w:r>
      <w:r w:rsidR="00170278" w:rsidRPr="000A02AB">
        <w:t>Государственная социальная поддержка на краевом уровне в 2012 году</w:t>
      </w:r>
    </w:p>
    <w:p w:rsidR="00731774" w:rsidRPr="000A02AB" w:rsidRDefault="00731774" w:rsidP="000A02AB">
      <w:pPr>
        <w:pStyle w:val="SingleTxt"/>
        <w:spacing w:after="0" w:line="120" w:lineRule="exact"/>
        <w:rPr>
          <w:sz w:val="10"/>
        </w:rPr>
      </w:pPr>
    </w:p>
    <w:tbl>
      <w:tblPr>
        <w:tblW w:w="9828" w:type="dxa"/>
        <w:tblInd w:w="18" w:type="dxa"/>
        <w:tblLayout w:type="fixed"/>
        <w:tblCellMar>
          <w:left w:w="0" w:type="dxa"/>
          <w:right w:w="0" w:type="dxa"/>
        </w:tblCellMar>
        <w:tblLook w:val="04A0"/>
      </w:tblPr>
      <w:tblGrid>
        <w:gridCol w:w="1458"/>
        <w:gridCol w:w="756"/>
        <w:gridCol w:w="684"/>
        <w:gridCol w:w="711"/>
        <w:gridCol w:w="765"/>
        <w:gridCol w:w="891"/>
        <w:gridCol w:w="123"/>
        <w:gridCol w:w="669"/>
        <w:gridCol w:w="183"/>
        <w:gridCol w:w="690"/>
        <w:gridCol w:w="102"/>
        <w:gridCol w:w="792"/>
        <w:gridCol w:w="624"/>
        <w:gridCol w:w="624"/>
        <w:gridCol w:w="756"/>
      </w:tblGrid>
      <w:tr w:rsidR="00170278" w:rsidRPr="000A02AB" w:rsidTr="00600225">
        <w:trPr>
          <w:tblHeader/>
        </w:trPr>
        <w:tc>
          <w:tcPr>
            <w:tcW w:w="9828" w:type="dxa"/>
            <w:gridSpan w:val="15"/>
            <w:tcBorders>
              <w:top w:val="single" w:sz="4" w:space="0" w:color="000000"/>
              <w:left w:val="nil"/>
              <w:bottom w:val="single" w:sz="12" w:space="0" w:color="000000"/>
              <w:right w:val="nil"/>
            </w:tcBorders>
            <w:vAlign w:val="bottom"/>
            <w:hideMark/>
          </w:tcPr>
          <w:p w:rsidR="00170278" w:rsidRPr="000A02AB" w:rsidRDefault="00170278" w:rsidP="000A02AB">
            <w:pPr>
              <w:pStyle w:val="SingleTxt"/>
              <w:spacing w:before="81" w:after="81" w:line="160" w:lineRule="exact"/>
              <w:ind w:left="0" w:right="43"/>
              <w:jc w:val="left"/>
              <w:rPr>
                <w:w w:val="100"/>
              </w:rPr>
            </w:pPr>
            <w:r w:rsidRPr="000A02AB">
              <w:rPr>
                <w:i/>
                <w:sz w:val="14"/>
              </w:rPr>
              <w:t>Дополнительные пособия (в млн. чешских крон) в краях Чешской Республики в 2012 году*</w:t>
            </w:r>
          </w:p>
        </w:tc>
      </w:tr>
      <w:tr w:rsidR="00A3468D" w:rsidRPr="000A02AB" w:rsidTr="00A3468D">
        <w:trPr>
          <w:trHeight w:hRule="exact" w:val="115"/>
          <w:tblHeader/>
        </w:trPr>
        <w:tc>
          <w:tcPr>
            <w:tcW w:w="1458"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0"/>
              <w:jc w:val="left"/>
              <w:rPr>
                <w:i/>
                <w:w w:val="100"/>
                <w:sz w:val="17"/>
              </w:rPr>
            </w:pPr>
          </w:p>
        </w:tc>
        <w:tc>
          <w:tcPr>
            <w:tcW w:w="756"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84"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11"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65"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1014"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852"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92"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92"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24"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24"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56"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r>
      <w:tr w:rsidR="00A3468D" w:rsidRPr="000A02AB" w:rsidTr="00A3468D">
        <w:tc>
          <w:tcPr>
            <w:tcW w:w="1458" w:type="dxa"/>
            <w:vMerge w:val="restart"/>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0"/>
              <w:jc w:val="left"/>
              <w:rPr>
                <w:i/>
                <w:w w:val="100"/>
                <w:sz w:val="14"/>
                <w:szCs w:val="14"/>
              </w:rPr>
            </w:pPr>
            <w:r w:rsidRPr="000A02AB">
              <w:rPr>
                <w:i/>
                <w:w w:val="100"/>
                <w:sz w:val="14"/>
                <w:szCs w:val="14"/>
              </w:rPr>
              <w:t>Территориальная единица – край (п</w:t>
            </w:r>
            <w:r w:rsidRPr="000A02AB">
              <w:rPr>
                <w:i/>
                <w:w w:val="100"/>
                <w:sz w:val="14"/>
                <w:szCs w:val="14"/>
              </w:rPr>
              <w:t>о</w:t>
            </w:r>
            <w:r w:rsidRPr="000A02AB">
              <w:rPr>
                <w:i/>
                <w:w w:val="100"/>
                <w:sz w:val="14"/>
                <w:szCs w:val="14"/>
              </w:rPr>
              <w:t>стоянное место ж</w:t>
            </w:r>
            <w:r w:rsidRPr="000A02AB">
              <w:rPr>
                <w:i/>
                <w:w w:val="100"/>
                <w:sz w:val="14"/>
                <w:szCs w:val="14"/>
              </w:rPr>
              <w:t>и</w:t>
            </w:r>
            <w:r w:rsidRPr="000A02AB">
              <w:rPr>
                <w:i/>
                <w:w w:val="100"/>
                <w:sz w:val="14"/>
                <w:szCs w:val="14"/>
              </w:rPr>
              <w:t>тельства получат</w:t>
            </w:r>
            <w:r w:rsidRPr="000A02AB">
              <w:rPr>
                <w:i/>
                <w:w w:val="100"/>
                <w:sz w:val="14"/>
                <w:szCs w:val="14"/>
              </w:rPr>
              <w:t>е</w:t>
            </w:r>
            <w:r w:rsidRPr="000A02AB">
              <w:rPr>
                <w:i/>
                <w:w w:val="100"/>
                <w:sz w:val="14"/>
                <w:szCs w:val="14"/>
              </w:rPr>
              <w:t>ля)</w:t>
            </w:r>
          </w:p>
        </w:tc>
        <w:tc>
          <w:tcPr>
            <w:tcW w:w="756"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684"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711"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765"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3450" w:type="dxa"/>
            <w:gridSpan w:val="7"/>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center"/>
              <w:rPr>
                <w:i/>
                <w:w w:val="100"/>
                <w:sz w:val="14"/>
                <w:szCs w:val="14"/>
              </w:rPr>
            </w:pPr>
            <w:r w:rsidRPr="000A02AB">
              <w:rPr>
                <w:i/>
                <w:w w:val="100"/>
                <w:sz w:val="14"/>
                <w:szCs w:val="14"/>
              </w:rPr>
              <w:t>Воспитание приемного ребенка: пособия</w:t>
            </w:r>
          </w:p>
        </w:tc>
        <w:tc>
          <w:tcPr>
            <w:tcW w:w="624"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624"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756" w:type="dxa"/>
            <w:vMerge w:val="restart"/>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w w:val="100"/>
              </w:rPr>
            </w:pPr>
            <w:r w:rsidRPr="000A02AB">
              <w:rPr>
                <w:i/>
                <w:sz w:val="14"/>
                <w:szCs w:val="14"/>
              </w:rPr>
              <w:t>Социаль</w:t>
            </w:r>
            <w:r w:rsidR="00600225" w:rsidRPr="000A02AB">
              <w:rPr>
                <w:i/>
                <w:sz w:val="14"/>
                <w:szCs w:val="14"/>
              </w:rPr>
              <w:t>-</w:t>
            </w:r>
            <w:r w:rsidRPr="000A02AB">
              <w:rPr>
                <w:i/>
                <w:sz w:val="14"/>
                <w:szCs w:val="14"/>
              </w:rPr>
              <w:t>ная д</w:t>
            </w:r>
            <w:r w:rsidRPr="000A02AB">
              <w:rPr>
                <w:i/>
                <w:sz w:val="14"/>
                <w:szCs w:val="14"/>
              </w:rPr>
              <w:t>о</w:t>
            </w:r>
            <w:r w:rsidRPr="000A02AB">
              <w:rPr>
                <w:i/>
                <w:sz w:val="14"/>
                <w:szCs w:val="14"/>
              </w:rPr>
              <w:t>плата</w:t>
            </w:r>
            <w:r w:rsidRPr="000A02AB">
              <w:rPr>
                <w:sz w:val="14"/>
                <w:szCs w:val="14"/>
              </w:rPr>
              <w:t>**</w:t>
            </w:r>
          </w:p>
        </w:tc>
      </w:tr>
      <w:tr w:rsidR="00A3468D" w:rsidRPr="000A02AB" w:rsidTr="00A3468D">
        <w:tc>
          <w:tcPr>
            <w:tcW w:w="1458" w:type="dxa"/>
            <w:vMerge/>
            <w:vAlign w:val="center"/>
            <w:hideMark/>
          </w:tcPr>
          <w:p w:rsidR="00170278" w:rsidRPr="000A02AB" w:rsidRDefault="00170278" w:rsidP="000A02AB">
            <w:pPr>
              <w:spacing w:line="240" w:lineRule="auto"/>
              <w:rPr>
                <w:i/>
                <w:spacing w:val="0"/>
                <w:w w:val="100"/>
                <w:sz w:val="14"/>
                <w:szCs w:val="14"/>
              </w:rPr>
            </w:pPr>
          </w:p>
        </w:tc>
        <w:tc>
          <w:tcPr>
            <w:tcW w:w="756"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Всего</w:t>
            </w:r>
          </w:p>
        </w:tc>
        <w:tc>
          <w:tcPr>
            <w:tcW w:w="68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Пособие на ре</w:t>
            </w:r>
            <w:r w:rsidR="00600225" w:rsidRPr="000A02AB">
              <w:rPr>
                <w:i/>
                <w:w w:val="100"/>
                <w:sz w:val="14"/>
                <w:szCs w:val="14"/>
              </w:rPr>
              <w:t>-</w:t>
            </w:r>
            <w:r w:rsidRPr="000A02AB">
              <w:rPr>
                <w:i/>
                <w:w w:val="100"/>
                <w:sz w:val="14"/>
                <w:szCs w:val="14"/>
              </w:rPr>
              <w:t>бе</w:t>
            </w:r>
            <w:r w:rsidRPr="000A02AB">
              <w:rPr>
                <w:i/>
                <w:w w:val="100"/>
                <w:sz w:val="14"/>
                <w:szCs w:val="14"/>
              </w:rPr>
              <w:t>н</w:t>
            </w:r>
            <w:r w:rsidRPr="000A02AB">
              <w:rPr>
                <w:i/>
                <w:w w:val="100"/>
                <w:sz w:val="14"/>
                <w:szCs w:val="14"/>
              </w:rPr>
              <w:t>ка</w:t>
            </w:r>
          </w:p>
        </w:tc>
        <w:tc>
          <w:tcPr>
            <w:tcW w:w="711"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Жилищ</w:t>
            </w:r>
            <w:r w:rsidR="00600225" w:rsidRPr="000A02AB">
              <w:rPr>
                <w:i/>
                <w:w w:val="100"/>
                <w:sz w:val="14"/>
                <w:szCs w:val="14"/>
              </w:rPr>
              <w:t>-</w:t>
            </w:r>
            <w:r w:rsidRPr="000A02AB">
              <w:rPr>
                <w:i/>
                <w:w w:val="100"/>
                <w:sz w:val="14"/>
                <w:szCs w:val="14"/>
              </w:rPr>
              <w:t>ное пос</w:t>
            </w:r>
            <w:r w:rsidRPr="000A02AB">
              <w:rPr>
                <w:i/>
                <w:w w:val="100"/>
                <w:sz w:val="14"/>
                <w:szCs w:val="14"/>
              </w:rPr>
              <w:t>о</w:t>
            </w:r>
            <w:r w:rsidRPr="000A02AB">
              <w:rPr>
                <w:i/>
                <w:w w:val="100"/>
                <w:sz w:val="14"/>
                <w:szCs w:val="14"/>
              </w:rPr>
              <w:t>бие</w:t>
            </w:r>
          </w:p>
        </w:tc>
        <w:tc>
          <w:tcPr>
            <w:tcW w:w="765"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Роди</w:t>
            </w:r>
            <w:r w:rsidR="00600225" w:rsidRPr="000A02AB">
              <w:rPr>
                <w:i/>
                <w:w w:val="100"/>
                <w:sz w:val="14"/>
                <w:szCs w:val="14"/>
              </w:rPr>
              <w:t>-</w:t>
            </w:r>
            <w:r w:rsidRPr="000A02AB">
              <w:rPr>
                <w:i/>
                <w:w w:val="100"/>
                <w:sz w:val="14"/>
                <w:szCs w:val="14"/>
              </w:rPr>
              <w:t>тельское пос</w:t>
            </w:r>
            <w:r w:rsidRPr="000A02AB">
              <w:rPr>
                <w:i/>
                <w:w w:val="100"/>
                <w:sz w:val="14"/>
                <w:szCs w:val="14"/>
              </w:rPr>
              <w:t>о</w:t>
            </w:r>
            <w:r w:rsidRPr="000A02AB">
              <w:rPr>
                <w:i/>
                <w:w w:val="100"/>
                <w:sz w:val="14"/>
                <w:szCs w:val="14"/>
              </w:rPr>
              <w:t>бие</w:t>
            </w:r>
          </w:p>
        </w:tc>
        <w:tc>
          <w:tcPr>
            <w:tcW w:w="891" w:type="dxa"/>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 xml:space="preserve">Пособие </w:t>
            </w:r>
            <w:r w:rsidR="00600225" w:rsidRPr="000A02AB">
              <w:rPr>
                <w:i/>
                <w:w w:val="100"/>
                <w:sz w:val="14"/>
                <w:szCs w:val="14"/>
              </w:rPr>
              <w:br/>
            </w:r>
            <w:r w:rsidRPr="000A02AB">
              <w:rPr>
                <w:i/>
                <w:w w:val="100"/>
                <w:sz w:val="14"/>
                <w:szCs w:val="14"/>
              </w:rPr>
              <w:t>для удовл</w:t>
            </w:r>
            <w:r w:rsidRPr="000A02AB">
              <w:rPr>
                <w:i/>
                <w:w w:val="100"/>
                <w:sz w:val="14"/>
                <w:szCs w:val="14"/>
              </w:rPr>
              <w:t>е</w:t>
            </w:r>
            <w:r w:rsidRPr="000A02AB">
              <w:rPr>
                <w:i/>
                <w:w w:val="100"/>
                <w:sz w:val="14"/>
                <w:szCs w:val="14"/>
              </w:rPr>
              <w:t>творения потребн</w:t>
            </w:r>
            <w:r w:rsidRPr="000A02AB">
              <w:rPr>
                <w:i/>
                <w:w w:val="100"/>
                <w:sz w:val="14"/>
                <w:szCs w:val="14"/>
              </w:rPr>
              <w:t>о</w:t>
            </w:r>
            <w:r w:rsidRPr="000A02AB">
              <w:rPr>
                <w:i/>
                <w:w w:val="100"/>
                <w:sz w:val="14"/>
                <w:szCs w:val="14"/>
              </w:rPr>
              <w:t>с</w:t>
            </w:r>
            <w:r w:rsidR="00A3468D" w:rsidRPr="000A02AB">
              <w:rPr>
                <w:i/>
                <w:w w:val="100"/>
                <w:sz w:val="14"/>
                <w:szCs w:val="14"/>
              </w:rPr>
              <w:t>-</w:t>
            </w:r>
            <w:r w:rsidRPr="000A02AB">
              <w:rPr>
                <w:i/>
                <w:w w:val="100"/>
                <w:sz w:val="14"/>
                <w:szCs w:val="14"/>
              </w:rPr>
              <w:t xml:space="preserve">тей ребенка </w:t>
            </w:r>
          </w:p>
        </w:tc>
        <w:tc>
          <w:tcPr>
            <w:tcW w:w="792" w:type="dxa"/>
            <w:gridSpan w:val="2"/>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Компенс</w:t>
            </w:r>
            <w:r w:rsidRPr="000A02AB">
              <w:rPr>
                <w:i/>
                <w:w w:val="100"/>
                <w:sz w:val="14"/>
                <w:szCs w:val="14"/>
              </w:rPr>
              <w:t>а</w:t>
            </w:r>
            <w:r w:rsidRPr="000A02AB">
              <w:rPr>
                <w:i/>
                <w:w w:val="100"/>
                <w:sz w:val="14"/>
                <w:szCs w:val="14"/>
              </w:rPr>
              <w:t>ция для приемного р</w:t>
            </w:r>
            <w:r w:rsidRPr="000A02AB">
              <w:rPr>
                <w:i/>
                <w:w w:val="100"/>
                <w:sz w:val="14"/>
                <w:szCs w:val="14"/>
              </w:rPr>
              <w:t>о</w:t>
            </w:r>
            <w:r w:rsidRPr="000A02AB">
              <w:rPr>
                <w:i/>
                <w:w w:val="100"/>
                <w:sz w:val="14"/>
                <w:szCs w:val="14"/>
              </w:rPr>
              <w:t>дителя</w:t>
            </w:r>
          </w:p>
        </w:tc>
        <w:tc>
          <w:tcPr>
            <w:tcW w:w="873" w:type="dxa"/>
            <w:gridSpan w:val="2"/>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Пособие за принятие р</w:t>
            </w:r>
            <w:r w:rsidRPr="000A02AB">
              <w:rPr>
                <w:i/>
                <w:w w:val="100"/>
                <w:sz w:val="14"/>
                <w:szCs w:val="14"/>
              </w:rPr>
              <w:t>е</w:t>
            </w:r>
            <w:r w:rsidRPr="000A02AB">
              <w:rPr>
                <w:i/>
                <w:w w:val="100"/>
                <w:sz w:val="14"/>
                <w:szCs w:val="14"/>
              </w:rPr>
              <w:t>бенка на воспит</w:t>
            </w:r>
            <w:r w:rsidRPr="000A02AB">
              <w:rPr>
                <w:i/>
                <w:w w:val="100"/>
                <w:sz w:val="14"/>
                <w:szCs w:val="14"/>
              </w:rPr>
              <w:t>а</w:t>
            </w:r>
            <w:r w:rsidRPr="000A02AB">
              <w:rPr>
                <w:i/>
                <w:w w:val="100"/>
                <w:sz w:val="14"/>
                <w:szCs w:val="14"/>
              </w:rPr>
              <w:t>ние</w:t>
            </w:r>
          </w:p>
        </w:tc>
        <w:tc>
          <w:tcPr>
            <w:tcW w:w="894" w:type="dxa"/>
            <w:gridSpan w:val="2"/>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Дотация на приобрет</w:t>
            </w:r>
            <w:r w:rsidRPr="000A02AB">
              <w:rPr>
                <w:i/>
                <w:w w:val="100"/>
                <w:sz w:val="14"/>
                <w:szCs w:val="14"/>
              </w:rPr>
              <w:t>е</w:t>
            </w:r>
            <w:r w:rsidRPr="000A02AB">
              <w:rPr>
                <w:i/>
                <w:w w:val="100"/>
                <w:sz w:val="14"/>
                <w:szCs w:val="14"/>
              </w:rPr>
              <w:t>ние транс-</w:t>
            </w:r>
            <w:r w:rsidRPr="000A02AB">
              <w:rPr>
                <w:i/>
                <w:w w:val="100"/>
                <w:sz w:val="14"/>
                <w:szCs w:val="14"/>
              </w:rPr>
              <w:br/>
              <w:t xml:space="preserve">портного средства </w:t>
            </w:r>
          </w:p>
        </w:tc>
        <w:tc>
          <w:tcPr>
            <w:tcW w:w="62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w w:val="100"/>
                <w:sz w:val="14"/>
                <w:szCs w:val="14"/>
              </w:rPr>
              <w:t>Пособие при рож-</w:t>
            </w:r>
            <w:r w:rsidRPr="000A02AB">
              <w:rPr>
                <w:i/>
                <w:w w:val="100"/>
                <w:sz w:val="14"/>
                <w:szCs w:val="14"/>
              </w:rPr>
              <w:br/>
              <w:t>дении ребенка</w:t>
            </w:r>
          </w:p>
        </w:tc>
        <w:tc>
          <w:tcPr>
            <w:tcW w:w="62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w w:val="100"/>
              </w:rPr>
            </w:pPr>
            <w:r w:rsidRPr="000A02AB">
              <w:rPr>
                <w:i/>
                <w:w w:val="100"/>
                <w:sz w:val="14"/>
                <w:szCs w:val="14"/>
              </w:rPr>
              <w:t>Пох</w:t>
            </w:r>
            <w:r w:rsidRPr="000A02AB">
              <w:rPr>
                <w:i/>
                <w:w w:val="100"/>
                <w:sz w:val="14"/>
                <w:szCs w:val="14"/>
              </w:rPr>
              <w:t>о</w:t>
            </w:r>
            <w:r w:rsidRPr="000A02AB">
              <w:rPr>
                <w:i/>
                <w:w w:val="100"/>
                <w:sz w:val="14"/>
                <w:szCs w:val="14"/>
              </w:rPr>
              <w:t>ронное пособие</w:t>
            </w:r>
          </w:p>
        </w:tc>
        <w:tc>
          <w:tcPr>
            <w:tcW w:w="756" w:type="dxa"/>
            <w:vMerge/>
            <w:vAlign w:val="center"/>
            <w:hideMark/>
          </w:tcPr>
          <w:p w:rsidR="00170278" w:rsidRPr="000A02AB" w:rsidRDefault="00170278" w:rsidP="000A02AB">
            <w:pPr>
              <w:spacing w:line="240" w:lineRule="auto"/>
              <w:rPr>
                <w:spacing w:val="0"/>
                <w:w w:val="100"/>
              </w:rPr>
            </w:pPr>
          </w:p>
        </w:tc>
      </w:tr>
      <w:tr w:rsidR="00A3468D" w:rsidRPr="000A02AB" w:rsidTr="00A3468D">
        <w:tc>
          <w:tcPr>
            <w:tcW w:w="1458"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Прага</w:t>
            </w:r>
          </w:p>
        </w:tc>
        <w:tc>
          <w:tcPr>
            <w:tcW w:w="756"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4 120,80</w:t>
            </w:r>
          </w:p>
        </w:tc>
        <w:tc>
          <w:tcPr>
            <w:tcW w:w="684"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158,6</w:t>
            </w:r>
          </w:p>
        </w:tc>
        <w:tc>
          <w:tcPr>
            <w:tcW w:w="711"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740,8</w:t>
            </w:r>
          </w:p>
        </w:tc>
        <w:tc>
          <w:tcPr>
            <w:tcW w:w="765"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3 117,20</w:t>
            </w:r>
          </w:p>
        </w:tc>
        <w:tc>
          <w:tcPr>
            <w:tcW w:w="891"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47,9</w:t>
            </w:r>
          </w:p>
        </w:tc>
        <w:tc>
          <w:tcPr>
            <w:tcW w:w="792"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39,4</w:t>
            </w:r>
          </w:p>
        </w:tc>
        <w:tc>
          <w:tcPr>
            <w:tcW w:w="873"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1,3</w:t>
            </w:r>
          </w:p>
        </w:tc>
        <w:tc>
          <w:tcPr>
            <w:tcW w:w="894"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0,1</w:t>
            </w:r>
          </w:p>
        </w:tc>
        <w:tc>
          <w:tcPr>
            <w:tcW w:w="624"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11,8</w:t>
            </w:r>
          </w:p>
        </w:tc>
        <w:tc>
          <w:tcPr>
            <w:tcW w:w="624"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1,2</w:t>
            </w:r>
          </w:p>
        </w:tc>
        <w:tc>
          <w:tcPr>
            <w:tcW w:w="756"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2,5</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Среднечешский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4 170,30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316,4</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315,5</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3 397</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62,3</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54,9</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1,7</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0,3</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16,5</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1,5</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4,2</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Южночешский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2 028,30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206,9</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244,7</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1 489,80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37,5</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35,1</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0,8</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0,6</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8,6</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3,2</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Пльзенский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1 700,70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142,7</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161,5</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1 318,50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34,7</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32,4</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1,1</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0,1</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6,8</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0,7</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2,1</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Карловарский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1 085,10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128,4</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234,1</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664,8</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27,6</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21</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0,5</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0,4</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2,1</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Устецкий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3 244,70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371,3</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824,7</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1 913,10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57,9</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51,2</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1,7</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17,1</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1,3</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6,4</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Либерецкий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1 584,80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154,1</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288,9</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1 075,90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29,3</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24,9</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0,7</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0,3</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7,1</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0,6</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3,1</w:t>
            </w:r>
          </w:p>
        </w:tc>
      </w:tr>
      <w:tr w:rsidR="00A3468D" w:rsidRPr="000A02AB" w:rsidTr="00A3468D">
        <w:tc>
          <w:tcPr>
            <w:tcW w:w="1458" w:type="dxa"/>
            <w:vAlign w:val="bottom"/>
            <w:hideMark/>
          </w:tcPr>
          <w:p w:rsidR="00170278" w:rsidRPr="000A02AB" w:rsidRDefault="00A3468D"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Краловеградец</w:t>
            </w:r>
            <w:r w:rsidR="00170278" w:rsidRPr="000A02AB">
              <w:rPr>
                <w:w w:val="100"/>
                <w:sz w:val="16"/>
                <w:szCs w:val="16"/>
              </w:rPr>
              <w:t>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1 779,90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176,3</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229,5</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1 305,60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30,2</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26,4</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0,5</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7,2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0,8</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3,1</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Пардубицкий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1 682,90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179,3</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201,6</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1 225,80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32,3</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31,7</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0,6</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7,1</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0,9</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3,3</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Высочина</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1 570,90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183,4</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161,5</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1 163,40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27,6</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25</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0,4</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6,2</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0,7</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2,3</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Южномора</w:t>
            </w:r>
            <w:r w:rsidRPr="000A02AB">
              <w:rPr>
                <w:w w:val="100"/>
                <w:sz w:val="16"/>
                <w:szCs w:val="16"/>
              </w:rPr>
              <w:t>в</w:t>
            </w:r>
            <w:r w:rsidRPr="000A02AB">
              <w:rPr>
                <w:w w:val="100"/>
                <w:sz w:val="16"/>
                <w:szCs w:val="16"/>
              </w:rPr>
              <w:t>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3 954,10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375,7</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622,1</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2 821,10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59,2</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53,5</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1,3</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0,3</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14,4</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1,4</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5,2</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Оломоуцкий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2 136,30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239,5</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333,5</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1 465,20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43,6</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39,3</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0,7</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0,1</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9,5</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0,8</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4,1</w:t>
            </w:r>
          </w:p>
        </w:tc>
      </w:tr>
      <w:tr w:rsidR="00A3468D" w:rsidRPr="000A02AB" w:rsidTr="00A3468D">
        <w:tc>
          <w:tcPr>
            <w:tcW w:w="14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Злинский</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1 789,10</w:t>
            </w:r>
          </w:p>
        </w:tc>
        <w:tc>
          <w:tcPr>
            <w:tcW w:w="68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198,2</w:t>
            </w:r>
          </w:p>
        </w:tc>
        <w:tc>
          <w:tcPr>
            <w:tcW w:w="71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219,2</w:t>
            </w:r>
          </w:p>
        </w:tc>
        <w:tc>
          <w:tcPr>
            <w:tcW w:w="765"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1 296,10</w:t>
            </w:r>
          </w:p>
        </w:tc>
        <w:tc>
          <w:tcPr>
            <w:tcW w:w="89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34,8</w:t>
            </w:r>
          </w:p>
        </w:tc>
        <w:tc>
          <w:tcPr>
            <w:tcW w:w="792"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30,4</w:t>
            </w:r>
          </w:p>
        </w:tc>
        <w:tc>
          <w:tcPr>
            <w:tcW w:w="87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0,8</w:t>
            </w:r>
          </w:p>
        </w:tc>
        <w:tc>
          <w:tcPr>
            <w:tcW w:w="894"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6</w:t>
            </w:r>
          </w:p>
        </w:tc>
        <w:tc>
          <w:tcPr>
            <w:tcW w:w="624"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0,8</w:t>
            </w:r>
          </w:p>
        </w:tc>
        <w:tc>
          <w:tcPr>
            <w:tcW w:w="756"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sz w:val="16"/>
                <w:szCs w:val="16"/>
              </w:rPr>
              <w:t>2,8</w:t>
            </w:r>
          </w:p>
        </w:tc>
      </w:tr>
      <w:tr w:rsidR="00A3468D" w:rsidRPr="000A02AB" w:rsidTr="00A3468D">
        <w:tc>
          <w:tcPr>
            <w:tcW w:w="1458" w:type="dxa"/>
            <w:tcBorders>
              <w:top w:val="nil"/>
              <w:left w:val="nil"/>
              <w:bottom w:val="single" w:sz="4" w:space="0" w:color="000000"/>
              <w:right w:val="nil"/>
            </w:tcBorders>
            <w:vAlign w:val="bottom"/>
            <w:hideMark/>
          </w:tcPr>
          <w:p w:rsidR="00170278" w:rsidRPr="000A02AB" w:rsidRDefault="00A3468D" w:rsidP="000A02AB">
            <w:pPr>
              <w:pStyle w:val="SingleTxt"/>
              <w:tabs>
                <w:tab w:val="left" w:pos="288"/>
                <w:tab w:val="left" w:pos="576"/>
                <w:tab w:val="left" w:pos="864"/>
                <w:tab w:val="left" w:pos="1152"/>
              </w:tabs>
              <w:spacing w:before="40" w:after="81" w:line="210" w:lineRule="exact"/>
              <w:ind w:left="0" w:right="40"/>
              <w:jc w:val="left"/>
              <w:rPr>
                <w:w w:val="100"/>
                <w:sz w:val="16"/>
                <w:szCs w:val="16"/>
              </w:rPr>
            </w:pPr>
            <w:r w:rsidRPr="000A02AB">
              <w:rPr>
                <w:w w:val="100"/>
                <w:sz w:val="16"/>
                <w:szCs w:val="16"/>
              </w:rPr>
              <w:t>Моравскосиле</w:t>
            </w:r>
            <w:r w:rsidRPr="000A02AB">
              <w:rPr>
                <w:w w:val="100"/>
                <w:sz w:val="16"/>
                <w:szCs w:val="16"/>
              </w:rPr>
              <w:t>з</w:t>
            </w:r>
            <w:r w:rsidR="00170278" w:rsidRPr="000A02AB">
              <w:rPr>
                <w:w w:val="100"/>
                <w:sz w:val="16"/>
                <w:szCs w:val="16"/>
              </w:rPr>
              <w:t>ский</w:t>
            </w:r>
          </w:p>
        </w:tc>
        <w:tc>
          <w:tcPr>
            <w:tcW w:w="756"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4 695,20</w:t>
            </w:r>
          </w:p>
        </w:tc>
        <w:tc>
          <w:tcPr>
            <w:tcW w:w="68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511,4</w:t>
            </w:r>
          </w:p>
        </w:tc>
        <w:tc>
          <w:tcPr>
            <w:tcW w:w="711"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1 168,20</w:t>
            </w:r>
          </w:p>
        </w:tc>
        <w:tc>
          <w:tcPr>
            <w:tcW w:w="765"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2 778,20</w:t>
            </w:r>
          </w:p>
        </w:tc>
        <w:tc>
          <w:tcPr>
            <w:tcW w:w="891"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111</w:t>
            </w:r>
          </w:p>
        </w:tc>
        <w:tc>
          <w:tcPr>
            <w:tcW w:w="792" w:type="dxa"/>
            <w:gridSpan w:val="2"/>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93</w:t>
            </w:r>
          </w:p>
        </w:tc>
        <w:tc>
          <w:tcPr>
            <w:tcW w:w="873" w:type="dxa"/>
            <w:gridSpan w:val="2"/>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2,7</w:t>
            </w:r>
          </w:p>
        </w:tc>
        <w:tc>
          <w:tcPr>
            <w:tcW w:w="894" w:type="dxa"/>
            <w:gridSpan w:val="2"/>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1,1</w:t>
            </w:r>
          </w:p>
        </w:tc>
        <w:tc>
          <w:tcPr>
            <w:tcW w:w="62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19,9</w:t>
            </w:r>
          </w:p>
        </w:tc>
        <w:tc>
          <w:tcPr>
            <w:tcW w:w="624"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2,3</w:t>
            </w:r>
          </w:p>
        </w:tc>
        <w:tc>
          <w:tcPr>
            <w:tcW w:w="756"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81" w:line="210" w:lineRule="exact"/>
              <w:ind w:left="0" w:right="43"/>
              <w:jc w:val="right"/>
              <w:rPr>
                <w:w w:val="100"/>
                <w:sz w:val="16"/>
                <w:szCs w:val="16"/>
              </w:rPr>
            </w:pPr>
            <w:r w:rsidRPr="000A02AB">
              <w:rPr>
                <w:sz w:val="16"/>
                <w:szCs w:val="16"/>
              </w:rPr>
              <w:t>7,3</w:t>
            </w:r>
          </w:p>
        </w:tc>
      </w:tr>
      <w:tr w:rsidR="00A3468D" w:rsidRPr="000A02AB" w:rsidTr="00A3468D">
        <w:tc>
          <w:tcPr>
            <w:tcW w:w="1458"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88"/>
                <w:tab w:val="left" w:pos="576"/>
                <w:tab w:val="left" w:pos="864"/>
                <w:tab w:val="left" w:pos="1152"/>
              </w:tabs>
              <w:spacing w:before="81" w:after="81" w:line="210" w:lineRule="exact"/>
              <w:ind w:left="0" w:right="40"/>
              <w:jc w:val="left"/>
              <w:rPr>
                <w:b/>
                <w:w w:val="100"/>
                <w:sz w:val="16"/>
                <w:szCs w:val="16"/>
              </w:rPr>
            </w:pPr>
            <w:r w:rsidRPr="000A02AB">
              <w:rPr>
                <w:b/>
                <w:w w:val="100"/>
                <w:sz w:val="16"/>
                <w:szCs w:val="16"/>
              </w:rPr>
              <w:tab/>
            </w:r>
            <w:r w:rsidRPr="000A02AB">
              <w:rPr>
                <w:rFonts w:eastAsia="Times New Roman"/>
                <w:b/>
                <w:sz w:val="16"/>
                <w:szCs w:val="16"/>
              </w:rPr>
              <w:t>Всего</w:t>
            </w:r>
            <w:r w:rsidRPr="000A02AB">
              <w:rPr>
                <w:b/>
                <w:w w:val="100"/>
                <w:sz w:val="16"/>
                <w:szCs w:val="16"/>
              </w:rPr>
              <w:t xml:space="preserve"> в ЧР</w:t>
            </w:r>
          </w:p>
        </w:tc>
        <w:tc>
          <w:tcPr>
            <w:tcW w:w="756"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35 542,80</w:t>
            </w:r>
          </w:p>
        </w:tc>
        <w:tc>
          <w:tcPr>
            <w:tcW w:w="684"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3 342,40</w:t>
            </w:r>
          </w:p>
        </w:tc>
        <w:tc>
          <w:tcPr>
            <w:tcW w:w="711"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5 745,70</w:t>
            </w:r>
          </w:p>
        </w:tc>
        <w:tc>
          <w:tcPr>
            <w:tcW w:w="765"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25 031,70</w:t>
            </w:r>
          </w:p>
        </w:tc>
        <w:tc>
          <w:tcPr>
            <w:tcW w:w="891"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635,9</w:t>
            </w:r>
          </w:p>
        </w:tc>
        <w:tc>
          <w:tcPr>
            <w:tcW w:w="792" w:type="dxa"/>
            <w:gridSpan w:val="2"/>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558,1</w:t>
            </w:r>
          </w:p>
        </w:tc>
        <w:tc>
          <w:tcPr>
            <w:tcW w:w="873" w:type="dxa"/>
            <w:gridSpan w:val="2"/>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14,9</w:t>
            </w:r>
          </w:p>
        </w:tc>
        <w:tc>
          <w:tcPr>
            <w:tcW w:w="894" w:type="dxa"/>
            <w:gridSpan w:val="2"/>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3,8</w:t>
            </w:r>
          </w:p>
        </w:tc>
        <w:tc>
          <w:tcPr>
            <w:tcW w:w="624"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144,1</w:t>
            </w:r>
          </w:p>
        </w:tc>
        <w:tc>
          <w:tcPr>
            <w:tcW w:w="624"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b/>
                <w:w w:val="100"/>
                <w:sz w:val="16"/>
                <w:szCs w:val="16"/>
              </w:rPr>
            </w:pPr>
            <w:r w:rsidRPr="000A02AB">
              <w:rPr>
                <w:b/>
                <w:w w:val="100"/>
                <w:sz w:val="16"/>
                <w:szCs w:val="16"/>
              </w:rPr>
              <w:t>14,5</w:t>
            </w:r>
          </w:p>
        </w:tc>
        <w:tc>
          <w:tcPr>
            <w:tcW w:w="756" w:type="dxa"/>
            <w:tcBorders>
              <w:top w:val="single" w:sz="4" w:space="0" w:color="000000"/>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81" w:after="81" w:line="210" w:lineRule="exact"/>
              <w:ind w:left="0" w:right="43"/>
              <w:jc w:val="right"/>
              <w:rPr>
                <w:w w:val="100"/>
                <w:sz w:val="16"/>
                <w:szCs w:val="16"/>
              </w:rPr>
            </w:pPr>
            <w:r w:rsidRPr="000A02AB">
              <w:rPr>
                <w:b/>
                <w:w w:val="100"/>
                <w:sz w:val="16"/>
                <w:szCs w:val="16"/>
              </w:rPr>
              <w:t>51,9</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H56"/>
        <w:tabs>
          <w:tab w:val="right" w:pos="360"/>
          <w:tab w:val="left" w:pos="475"/>
          <w:tab w:val="left" w:pos="965"/>
          <w:tab w:val="left" w:pos="1440"/>
          <w:tab w:val="left" w:pos="1915"/>
          <w:tab w:val="left" w:pos="2405"/>
          <w:tab w:val="left" w:pos="2880"/>
          <w:tab w:val="left" w:pos="3355"/>
        </w:tabs>
        <w:suppressAutoHyphens w:val="0"/>
        <w:ind w:left="475" w:hanging="475"/>
      </w:pPr>
      <w:r w:rsidRPr="000A02AB">
        <w:t>Таблица 9</w:t>
      </w:r>
    </w:p>
    <w:p w:rsidR="00170278" w:rsidRPr="000A02AB" w:rsidRDefault="00170278" w:rsidP="000A02AB">
      <w:pPr>
        <w:pStyle w:val="H23"/>
        <w:tabs>
          <w:tab w:val="right" w:pos="360"/>
          <w:tab w:val="left" w:pos="475"/>
          <w:tab w:val="left" w:pos="965"/>
          <w:tab w:val="left" w:pos="1440"/>
          <w:tab w:val="left" w:pos="1915"/>
          <w:tab w:val="left" w:pos="2405"/>
          <w:tab w:val="left" w:pos="2880"/>
          <w:tab w:val="left" w:pos="3355"/>
        </w:tabs>
        <w:suppressAutoHyphens w:val="0"/>
        <w:ind w:left="475" w:hanging="475"/>
      </w:pPr>
      <w:r w:rsidRPr="000A02AB">
        <w:t>Государственная социальная поддержка в 2012 году</w:t>
      </w:r>
    </w:p>
    <w:p w:rsidR="008A3A25" w:rsidRPr="000A02AB" w:rsidRDefault="008A3A25" w:rsidP="000A02AB">
      <w:pPr>
        <w:pStyle w:val="DualTxt"/>
        <w:spacing w:after="0" w:line="120" w:lineRule="exact"/>
        <w:rPr>
          <w:sz w:val="10"/>
        </w:rPr>
      </w:pPr>
    </w:p>
    <w:tbl>
      <w:tblPr>
        <w:tblW w:w="9841" w:type="dxa"/>
        <w:tblInd w:w="9" w:type="dxa"/>
        <w:tblLayout w:type="fixed"/>
        <w:tblCellMar>
          <w:left w:w="0" w:type="dxa"/>
          <w:right w:w="0" w:type="dxa"/>
        </w:tblCellMar>
        <w:tblLook w:val="04A0"/>
      </w:tblPr>
      <w:tblGrid>
        <w:gridCol w:w="1251"/>
        <w:gridCol w:w="810"/>
        <w:gridCol w:w="603"/>
        <w:gridCol w:w="207"/>
        <w:gridCol w:w="525"/>
        <w:gridCol w:w="258"/>
        <w:gridCol w:w="783"/>
        <w:gridCol w:w="63"/>
        <w:gridCol w:w="918"/>
        <w:gridCol w:w="315"/>
        <w:gridCol w:w="333"/>
        <w:gridCol w:w="117"/>
        <w:gridCol w:w="789"/>
        <w:gridCol w:w="858"/>
        <w:gridCol w:w="630"/>
        <w:gridCol w:w="621"/>
        <w:gridCol w:w="760"/>
      </w:tblGrid>
      <w:tr w:rsidR="008A3A25" w:rsidRPr="000A02AB" w:rsidTr="002F2012">
        <w:trPr>
          <w:tblHeader/>
        </w:trPr>
        <w:tc>
          <w:tcPr>
            <w:tcW w:w="9841" w:type="dxa"/>
            <w:gridSpan w:val="17"/>
            <w:tcBorders>
              <w:top w:val="single" w:sz="4" w:space="0" w:color="000000"/>
              <w:left w:val="nil"/>
              <w:bottom w:val="single" w:sz="12" w:space="0" w:color="000000"/>
              <w:right w:val="nil"/>
            </w:tcBorders>
            <w:vAlign w:val="bottom"/>
            <w:hideMark/>
          </w:tcPr>
          <w:p w:rsidR="008A3A25" w:rsidRPr="000A02AB" w:rsidRDefault="008A3A25" w:rsidP="000A02AB">
            <w:pPr>
              <w:pStyle w:val="SingleTxt"/>
              <w:snapToGrid w:val="0"/>
              <w:spacing w:before="81" w:after="81" w:line="160" w:lineRule="exact"/>
              <w:ind w:left="0" w:right="43"/>
              <w:jc w:val="left"/>
              <w:rPr>
                <w:i/>
                <w:w w:val="100"/>
                <w:sz w:val="14"/>
              </w:rPr>
            </w:pPr>
            <w:r w:rsidRPr="000A02AB">
              <w:rPr>
                <w:i/>
                <w:sz w:val="14"/>
              </w:rPr>
              <w:t>Средний размер дополнительных пособий в Чешской Республике в 2012 году*</w:t>
            </w:r>
          </w:p>
        </w:tc>
      </w:tr>
      <w:tr w:rsidR="008A3A25" w:rsidRPr="000A02AB" w:rsidTr="008A3A25">
        <w:trPr>
          <w:trHeight w:hRule="exact" w:val="115"/>
          <w:tblHeader/>
        </w:trPr>
        <w:tc>
          <w:tcPr>
            <w:tcW w:w="1251"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0"/>
              <w:jc w:val="left"/>
              <w:rPr>
                <w:i/>
                <w:w w:val="100"/>
                <w:sz w:val="17"/>
              </w:rPr>
            </w:pPr>
          </w:p>
        </w:tc>
        <w:tc>
          <w:tcPr>
            <w:tcW w:w="810"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03"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32"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1041"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1296" w:type="dxa"/>
            <w:gridSpan w:val="3"/>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333"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906" w:type="dxa"/>
            <w:gridSpan w:val="2"/>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858"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30"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621"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c>
          <w:tcPr>
            <w:tcW w:w="760" w:type="dxa"/>
            <w:tcBorders>
              <w:top w:val="single" w:sz="12" w:space="0" w:color="000000"/>
              <w:left w:val="nil"/>
              <w:bottom w:val="nil"/>
              <w:right w:val="nil"/>
            </w:tcBorders>
            <w:vAlign w:val="bottom"/>
          </w:tcPr>
          <w:p w:rsidR="00170278" w:rsidRPr="000A02AB" w:rsidRDefault="00170278" w:rsidP="000A02AB">
            <w:pPr>
              <w:pStyle w:val="SingleTxt"/>
              <w:snapToGrid w:val="0"/>
              <w:spacing w:before="40" w:after="40" w:line="210" w:lineRule="exact"/>
              <w:ind w:left="0" w:right="43"/>
              <w:jc w:val="right"/>
              <w:rPr>
                <w:w w:val="100"/>
                <w:sz w:val="17"/>
              </w:rPr>
            </w:pPr>
          </w:p>
        </w:tc>
      </w:tr>
      <w:tr w:rsidR="00170278" w:rsidRPr="000A02AB" w:rsidTr="008A3A25">
        <w:trPr>
          <w:tblHeader/>
        </w:trPr>
        <w:tc>
          <w:tcPr>
            <w:tcW w:w="1251"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0"/>
              <w:jc w:val="left"/>
              <w:rPr>
                <w:i/>
                <w:w w:val="100"/>
                <w:sz w:val="14"/>
                <w:szCs w:val="14"/>
              </w:rPr>
            </w:pPr>
          </w:p>
        </w:tc>
        <w:tc>
          <w:tcPr>
            <w:tcW w:w="810"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2376" w:type="dxa"/>
            <w:gridSpan w:val="5"/>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center"/>
              <w:rPr>
                <w:i/>
                <w:w w:val="100"/>
                <w:sz w:val="14"/>
                <w:szCs w:val="14"/>
              </w:rPr>
            </w:pPr>
            <w:r w:rsidRPr="000A02AB">
              <w:rPr>
                <w:i/>
                <w:sz w:val="14"/>
                <w:szCs w:val="14"/>
              </w:rPr>
              <w:t>Из них</w:t>
            </w:r>
          </w:p>
        </w:tc>
        <w:tc>
          <w:tcPr>
            <w:tcW w:w="3393" w:type="dxa"/>
            <w:gridSpan w:val="7"/>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center"/>
              <w:rPr>
                <w:i/>
                <w:w w:val="100"/>
                <w:sz w:val="14"/>
                <w:szCs w:val="14"/>
              </w:rPr>
            </w:pPr>
            <w:r w:rsidRPr="000A02AB">
              <w:rPr>
                <w:i/>
                <w:sz w:val="14"/>
                <w:szCs w:val="14"/>
              </w:rPr>
              <w:t>Воспитание приемного ребенка: пособия</w:t>
            </w:r>
          </w:p>
        </w:tc>
        <w:tc>
          <w:tcPr>
            <w:tcW w:w="630"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621"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760" w:type="dxa"/>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r>
      <w:tr w:rsidR="008A3A25" w:rsidRPr="000A02AB" w:rsidTr="008A3A25">
        <w:trPr>
          <w:tblHeader/>
        </w:trPr>
        <w:tc>
          <w:tcPr>
            <w:tcW w:w="1251"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0"/>
              <w:jc w:val="left"/>
              <w:rPr>
                <w:i/>
                <w:w w:val="100"/>
                <w:sz w:val="14"/>
                <w:szCs w:val="14"/>
              </w:rPr>
            </w:pPr>
            <w:r w:rsidRPr="000A02AB">
              <w:rPr>
                <w:i/>
                <w:sz w:val="14"/>
                <w:szCs w:val="14"/>
              </w:rPr>
              <w:t>Дополнител</w:t>
            </w:r>
            <w:r w:rsidRPr="000A02AB">
              <w:rPr>
                <w:i/>
                <w:sz w:val="14"/>
                <w:szCs w:val="14"/>
              </w:rPr>
              <w:t>ь</w:t>
            </w:r>
            <w:r w:rsidRPr="000A02AB">
              <w:rPr>
                <w:i/>
                <w:sz w:val="14"/>
                <w:szCs w:val="14"/>
              </w:rPr>
              <w:t>ные пособия</w:t>
            </w:r>
          </w:p>
        </w:tc>
        <w:tc>
          <w:tcPr>
            <w:tcW w:w="810"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Всего</w:t>
            </w:r>
          </w:p>
        </w:tc>
        <w:tc>
          <w:tcPr>
            <w:tcW w:w="810" w:type="dxa"/>
            <w:gridSpan w:val="2"/>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 xml:space="preserve">Пособие </w:t>
            </w:r>
            <w:r w:rsidR="008A3A25" w:rsidRPr="000A02AB">
              <w:rPr>
                <w:i/>
                <w:sz w:val="14"/>
                <w:szCs w:val="14"/>
              </w:rPr>
              <w:br/>
            </w:r>
            <w:r w:rsidRPr="000A02AB">
              <w:rPr>
                <w:i/>
                <w:sz w:val="14"/>
                <w:szCs w:val="14"/>
              </w:rPr>
              <w:t>на ребе</w:t>
            </w:r>
            <w:r w:rsidRPr="000A02AB">
              <w:rPr>
                <w:i/>
                <w:sz w:val="14"/>
                <w:szCs w:val="14"/>
              </w:rPr>
              <w:t>н</w:t>
            </w:r>
            <w:r w:rsidRPr="000A02AB">
              <w:rPr>
                <w:i/>
                <w:sz w:val="14"/>
                <w:szCs w:val="14"/>
              </w:rPr>
              <w:t>ка</w:t>
            </w:r>
          </w:p>
        </w:tc>
        <w:tc>
          <w:tcPr>
            <w:tcW w:w="783" w:type="dxa"/>
            <w:gridSpan w:val="2"/>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Жилищное пос</w:t>
            </w:r>
            <w:r w:rsidRPr="000A02AB">
              <w:rPr>
                <w:i/>
                <w:sz w:val="14"/>
                <w:szCs w:val="14"/>
              </w:rPr>
              <w:t>о</w:t>
            </w:r>
            <w:r w:rsidRPr="000A02AB">
              <w:rPr>
                <w:i/>
                <w:sz w:val="14"/>
                <w:szCs w:val="14"/>
              </w:rPr>
              <w:t>бие</w:t>
            </w:r>
          </w:p>
        </w:tc>
        <w:tc>
          <w:tcPr>
            <w:tcW w:w="783" w:type="dxa"/>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Родитель-ское пос</w:t>
            </w:r>
            <w:r w:rsidRPr="000A02AB">
              <w:rPr>
                <w:i/>
                <w:sz w:val="14"/>
                <w:szCs w:val="14"/>
              </w:rPr>
              <w:t>о</w:t>
            </w:r>
            <w:r w:rsidRPr="000A02AB">
              <w:rPr>
                <w:i/>
                <w:sz w:val="14"/>
                <w:szCs w:val="14"/>
              </w:rPr>
              <w:t>бие</w:t>
            </w:r>
          </w:p>
        </w:tc>
        <w:tc>
          <w:tcPr>
            <w:tcW w:w="63" w:type="dxa"/>
            <w:tcBorders>
              <w:top w:val="nil"/>
              <w:left w:val="nil"/>
              <w:bottom w:val="single" w:sz="4" w:space="0" w:color="000000"/>
              <w:right w:val="nil"/>
            </w:tcBorders>
            <w:vAlign w:val="bottom"/>
          </w:tcPr>
          <w:p w:rsidR="00170278" w:rsidRPr="000A02AB" w:rsidRDefault="00170278" w:rsidP="000A02AB">
            <w:pPr>
              <w:pStyle w:val="SingleTxt"/>
              <w:tabs>
                <w:tab w:val="left" w:pos="288"/>
                <w:tab w:val="left" w:pos="576"/>
                <w:tab w:val="left" w:pos="864"/>
                <w:tab w:val="left" w:pos="1152"/>
              </w:tabs>
              <w:snapToGrid w:val="0"/>
              <w:spacing w:before="40" w:after="40" w:line="160" w:lineRule="exact"/>
              <w:ind w:left="0" w:right="43"/>
              <w:jc w:val="right"/>
              <w:rPr>
                <w:i/>
                <w:w w:val="100"/>
                <w:sz w:val="14"/>
                <w:szCs w:val="14"/>
              </w:rPr>
            </w:pPr>
          </w:p>
        </w:tc>
        <w:tc>
          <w:tcPr>
            <w:tcW w:w="918" w:type="dxa"/>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Пособие для удовлетв</w:t>
            </w:r>
            <w:r w:rsidRPr="000A02AB">
              <w:rPr>
                <w:i/>
                <w:sz w:val="14"/>
                <w:szCs w:val="14"/>
              </w:rPr>
              <w:t>о</w:t>
            </w:r>
            <w:r w:rsidRPr="000A02AB">
              <w:rPr>
                <w:i/>
                <w:sz w:val="14"/>
                <w:szCs w:val="14"/>
              </w:rPr>
              <w:t>рения п</w:t>
            </w:r>
            <w:r w:rsidRPr="000A02AB">
              <w:rPr>
                <w:i/>
                <w:sz w:val="14"/>
                <w:szCs w:val="14"/>
              </w:rPr>
              <w:t>о</w:t>
            </w:r>
            <w:r w:rsidRPr="000A02AB">
              <w:rPr>
                <w:i/>
                <w:sz w:val="14"/>
                <w:szCs w:val="14"/>
              </w:rPr>
              <w:t>требн</w:t>
            </w:r>
            <w:r w:rsidRPr="000A02AB">
              <w:rPr>
                <w:i/>
                <w:sz w:val="14"/>
                <w:szCs w:val="14"/>
              </w:rPr>
              <w:t>о</w:t>
            </w:r>
            <w:r w:rsidRPr="000A02AB">
              <w:rPr>
                <w:i/>
                <w:sz w:val="14"/>
                <w:szCs w:val="14"/>
              </w:rPr>
              <w:t>стей р</w:t>
            </w:r>
            <w:r w:rsidRPr="000A02AB">
              <w:rPr>
                <w:i/>
                <w:sz w:val="14"/>
                <w:szCs w:val="14"/>
              </w:rPr>
              <w:t>е</w:t>
            </w:r>
            <w:r w:rsidRPr="000A02AB">
              <w:rPr>
                <w:i/>
                <w:sz w:val="14"/>
                <w:szCs w:val="14"/>
              </w:rPr>
              <w:t xml:space="preserve">бенка </w:t>
            </w:r>
          </w:p>
        </w:tc>
        <w:tc>
          <w:tcPr>
            <w:tcW w:w="765" w:type="dxa"/>
            <w:gridSpan w:val="3"/>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Компен</w:t>
            </w:r>
            <w:r w:rsidR="008A3A25" w:rsidRPr="000A02AB">
              <w:rPr>
                <w:i/>
                <w:sz w:val="14"/>
                <w:szCs w:val="14"/>
              </w:rPr>
              <w:t>-</w:t>
            </w:r>
            <w:r w:rsidRPr="000A02AB">
              <w:rPr>
                <w:i/>
                <w:sz w:val="14"/>
                <w:szCs w:val="14"/>
              </w:rPr>
              <w:t>с</w:t>
            </w:r>
            <w:r w:rsidRPr="000A02AB">
              <w:rPr>
                <w:i/>
                <w:sz w:val="14"/>
                <w:szCs w:val="14"/>
              </w:rPr>
              <w:t>а</w:t>
            </w:r>
            <w:r w:rsidRPr="000A02AB">
              <w:rPr>
                <w:i/>
                <w:sz w:val="14"/>
                <w:szCs w:val="14"/>
              </w:rPr>
              <w:t>ция для пр</w:t>
            </w:r>
            <w:r w:rsidRPr="000A02AB">
              <w:rPr>
                <w:i/>
                <w:sz w:val="14"/>
                <w:szCs w:val="14"/>
              </w:rPr>
              <w:t>и</w:t>
            </w:r>
            <w:r w:rsidRPr="000A02AB">
              <w:rPr>
                <w:i/>
                <w:sz w:val="14"/>
                <w:szCs w:val="14"/>
              </w:rPr>
              <w:t>емного родит</w:t>
            </w:r>
            <w:r w:rsidRPr="000A02AB">
              <w:rPr>
                <w:i/>
                <w:sz w:val="14"/>
                <w:szCs w:val="14"/>
              </w:rPr>
              <w:t>е</w:t>
            </w:r>
            <w:r w:rsidRPr="000A02AB">
              <w:rPr>
                <w:i/>
                <w:sz w:val="14"/>
                <w:szCs w:val="14"/>
              </w:rPr>
              <w:t>ля</w:t>
            </w:r>
          </w:p>
        </w:tc>
        <w:tc>
          <w:tcPr>
            <w:tcW w:w="789" w:type="dxa"/>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 xml:space="preserve">Пособие за принятие ребенка </w:t>
            </w:r>
            <w:r w:rsidR="008A3A25" w:rsidRPr="000A02AB">
              <w:rPr>
                <w:i/>
                <w:sz w:val="14"/>
                <w:szCs w:val="14"/>
              </w:rPr>
              <w:br/>
            </w:r>
            <w:r w:rsidRPr="000A02AB">
              <w:rPr>
                <w:i/>
                <w:sz w:val="14"/>
                <w:szCs w:val="14"/>
              </w:rPr>
              <w:t>на восп</w:t>
            </w:r>
            <w:r w:rsidRPr="000A02AB">
              <w:rPr>
                <w:i/>
                <w:sz w:val="14"/>
                <w:szCs w:val="14"/>
              </w:rPr>
              <w:t>и</w:t>
            </w:r>
            <w:r w:rsidRPr="000A02AB">
              <w:rPr>
                <w:i/>
                <w:sz w:val="14"/>
                <w:szCs w:val="14"/>
              </w:rPr>
              <w:t>тание</w:t>
            </w:r>
          </w:p>
        </w:tc>
        <w:tc>
          <w:tcPr>
            <w:tcW w:w="858" w:type="dxa"/>
            <w:tcBorders>
              <w:top w:val="single" w:sz="4" w:space="0" w:color="000000"/>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Дотация на прио</w:t>
            </w:r>
            <w:r w:rsidRPr="000A02AB">
              <w:rPr>
                <w:i/>
                <w:sz w:val="14"/>
                <w:szCs w:val="14"/>
              </w:rPr>
              <w:t>б</w:t>
            </w:r>
            <w:r w:rsidRPr="000A02AB">
              <w:rPr>
                <w:i/>
                <w:sz w:val="14"/>
                <w:szCs w:val="14"/>
              </w:rPr>
              <w:t>рете-ние транс-</w:t>
            </w:r>
            <w:r w:rsidRPr="000A02AB">
              <w:rPr>
                <w:i/>
                <w:sz w:val="14"/>
                <w:szCs w:val="14"/>
              </w:rPr>
              <w:br/>
              <w:t xml:space="preserve">портного средства </w:t>
            </w:r>
          </w:p>
        </w:tc>
        <w:tc>
          <w:tcPr>
            <w:tcW w:w="630"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Пособие при рож-</w:t>
            </w:r>
            <w:r w:rsidRPr="000A02AB">
              <w:rPr>
                <w:i/>
                <w:sz w:val="14"/>
                <w:szCs w:val="14"/>
              </w:rPr>
              <w:br/>
              <w:t>дении р</w:t>
            </w:r>
            <w:r w:rsidRPr="000A02AB">
              <w:rPr>
                <w:i/>
                <w:sz w:val="14"/>
                <w:szCs w:val="14"/>
              </w:rPr>
              <w:t>е</w:t>
            </w:r>
            <w:r w:rsidRPr="000A02AB">
              <w:rPr>
                <w:i/>
                <w:sz w:val="14"/>
                <w:szCs w:val="14"/>
              </w:rPr>
              <w:t>бенка</w:t>
            </w:r>
          </w:p>
        </w:tc>
        <w:tc>
          <w:tcPr>
            <w:tcW w:w="621"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i/>
                <w:w w:val="100"/>
                <w:sz w:val="14"/>
                <w:szCs w:val="14"/>
              </w:rPr>
            </w:pPr>
            <w:r w:rsidRPr="000A02AB">
              <w:rPr>
                <w:i/>
                <w:sz w:val="14"/>
                <w:szCs w:val="14"/>
              </w:rPr>
              <w:t>Пох</w:t>
            </w:r>
            <w:r w:rsidRPr="000A02AB">
              <w:rPr>
                <w:i/>
                <w:sz w:val="14"/>
                <w:szCs w:val="14"/>
              </w:rPr>
              <w:t>о</w:t>
            </w:r>
            <w:r w:rsidRPr="000A02AB">
              <w:rPr>
                <w:i/>
                <w:sz w:val="14"/>
                <w:szCs w:val="14"/>
              </w:rPr>
              <w:t>рон-ное пос</w:t>
            </w:r>
            <w:r w:rsidRPr="000A02AB">
              <w:rPr>
                <w:i/>
                <w:sz w:val="14"/>
                <w:szCs w:val="14"/>
              </w:rPr>
              <w:t>о</w:t>
            </w:r>
            <w:r w:rsidRPr="000A02AB">
              <w:rPr>
                <w:i/>
                <w:sz w:val="14"/>
                <w:szCs w:val="14"/>
              </w:rPr>
              <w:t>бие</w:t>
            </w:r>
          </w:p>
        </w:tc>
        <w:tc>
          <w:tcPr>
            <w:tcW w:w="760" w:type="dxa"/>
            <w:tcBorders>
              <w:top w:val="nil"/>
              <w:left w:val="nil"/>
              <w:bottom w:val="single" w:sz="4"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160" w:lineRule="exact"/>
              <w:ind w:left="0" w:right="43"/>
              <w:jc w:val="right"/>
              <w:rPr>
                <w:w w:val="100"/>
              </w:rPr>
            </w:pPr>
            <w:r w:rsidRPr="000A02AB">
              <w:rPr>
                <w:i/>
                <w:sz w:val="14"/>
                <w:szCs w:val="14"/>
              </w:rPr>
              <w:t>Социал</w:t>
            </w:r>
            <w:r w:rsidRPr="000A02AB">
              <w:rPr>
                <w:i/>
                <w:sz w:val="14"/>
                <w:szCs w:val="14"/>
              </w:rPr>
              <w:t>ь</w:t>
            </w:r>
            <w:r w:rsidRPr="000A02AB">
              <w:rPr>
                <w:i/>
                <w:sz w:val="14"/>
                <w:szCs w:val="14"/>
              </w:rPr>
              <w:t>ная д</w:t>
            </w:r>
            <w:r w:rsidRPr="000A02AB">
              <w:rPr>
                <w:i/>
                <w:sz w:val="14"/>
                <w:szCs w:val="14"/>
              </w:rPr>
              <w:t>о</w:t>
            </w:r>
            <w:r w:rsidRPr="000A02AB">
              <w:rPr>
                <w:i/>
                <w:sz w:val="14"/>
                <w:szCs w:val="14"/>
              </w:rPr>
              <w:t>плата***</w:t>
            </w:r>
          </w:p>
        </w:tc>
      </w:tr>
      <w:tr w:rsidR="008A3A25" w:rsidRPr="000A02AB" w:rsidTr="008A3A25">
        <w:trPr>
          <w:tblHeader/>
        </w:trPr>
        <w:tc>
          <w:tcPr>
            <w:tcW w:w="1251" w:type="dxa"/>
            <w:tcBorders>
              <w:top w:val="single" w:sz="4" w:space="0" w:color="000000"/>
              <w:left w:val="nil"/>
              <w:bottom w:val="nil"/>
              <w:right w:val="nil"/>
            </w:tcBorders>
            <w:vAlign w:val="bottom"/>
          </w:tcPr>
          <w:p w:rsidR="00170278" w:rsidRPr="000A02AB" w:rsidRDefault="00170278" w:rsidP="000A02AB">
            <w:pPr>
              <w:pStyle w:val="SingleTxt"/>
              <w:tabs>
                <w:tab w:val="left" w:pos="288"/>
                <w:tab w:val="left" w:pos="576"/>
                <w:tab w:val="left" w:pos="864"/>
                <w:tab w:val="left" w:pos="1152"/>
              </w:tabs>
              <w:snapToGrid w:val="0"/>
              <w:spacing w:after="0" w:line="240" w:lineRule="auto"/>
              <w:ind w:left="0" w:right="40"/>
              <w:jc w:val="left"/>
              <w:rPr>
                <w:i/>
                <w:w w:val="100"/>
                <w:sz w:val="17"/>
                <w:szCs w:val="14"/>
              </w:rPr>
            </w:pPr>
          </w:p>
        </w:tc>
        <w:tc>
          <w:tcPr>
            <w:tcW w:w="810"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1</w:t>
            </w:r>
          </w:p>
        </w:tc>
        <w:tc>
          <w:tcPr>
            <w:tcW w:w="810"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2</w:t>
            </w:r>
          </w:p>
        </w:tc>
        <w:tc>
          <w:tcPr>
            <w:tcW w:w="783"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4</w:t>
            </w:r>
          </w:p>
        </w:tc>
        <w:tc>
          <w:tcPr>
            <w:tcW w:w="783"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5</w:t>
            </w:r>
          </w:p>
        </w:tc>
        <w:tc>
          <w:tcPr>
            <w:tcW w:w="981" w:type="dxa"/>
            <w:gridSpan w:val="2"/>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6</w:t>
            </w:r>
          </w:p>
        </w:tc>
        <w:tc>
          <w:tcPr>
            <w:tcW w:w="765" w:type="dxa"/>
            <w:gridSpan w:val="3"/>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7</w:t>
            </w:r>
          </w:p>
        </w:tc>
        <w:tc>
          <w:tcPr>
            <w:tcW w:w="789"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8</w:t>
            </w:r>
          </w:p>
        </w:tc>
        <w:tc>
          <w:tcPr>
            <w:tcW w:w="858"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9</w:t>
            </w:r>
          </w:p>
        </w:tc>
        <w:tc>
          <w:tcPr>
            <w:tcW w:w="630"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10</w:t>
            </w:r>
          </w:p>
        </w:tc>
        <w:tc>
          <w:tcPr>
            <w:tcW w:w="621"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sz w:val="17"/>
              </w:rPr>
            </w:pPr>
            <w:r w:rsidRPr="000A02AB">
              <w:rPr>
                <w:sz w:val="17"/>
              </w:rPr>
              <w:t>11</w:t>
            </w:r>
          </w:p>
        </w:tc>
        <w:tc>
          <w:tcPr>
            <w:tcW w:w="760" w:type="dxa"/>
            <w:tcBorders>
              <w:top w:val="single" w:sz="4" w:space="0" w:color="000000"/>
              <w:left w:val="nil"/>
              <w:bottom w:val="nil"/>
              <w:right w:val="nil"/>
            </w:tcBorders>
            <w:vAlign w:val="bottom"/>
            <w:hideMark/>
          </w:tcPr>
          <w:p w:rsidR="00170278" w:rsidRPr="000A02AB" w:rsidRDefault="00170278" w:rsidP="000A02AB">
            <w:pPr>
              <w:pStyle w:val="SingleTxt"/>
              <w:tabs>
                <w:tab w:val="left" w:pos="288"/>
                <w:tab w:val="left" w:pos="576"/>
                <w:tab w:val="left" w:pos="864"/>
                <w:tab w:val="left" w:pos="1152"/>
              </w:tabs>
              <w:spacing w:after="0" w:line="240" w:lineRule="auto"/>
              <w:ind w:left="0" w:right="43"/>
              <w:jc w:val="right"/>
              <w:rPr>
                <w:w w:val="100"/>
              </w:rPr>
            </w:pPr>
            <w:r w:rsidRPr="000A02AB">
              <w:rPr>
                <w:sz w:val="17"/>
              </w:rPr>
              <w:t>3</w:t>
            </w:r>
          </w:p>
        </w:tc>
      </w:tr>
      <w:tr w:rsidR="008A3A25" w:rsidRPr="000A02AB" w:rsidTr="008A3A25">
        <w:tc>
          <w:tcPr>
            <w:tcW w:w="125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Средний ра</w:t>
            </w:r>
            <w:r w:rsidRPr="000A02AB">
              <w:rPr>
                <w:w w:val="100"/>
                <w:sz w:val="16"/>
                <w:szCs w:val="16"/>
              </w:rPr>
              <w:t>з</w:t>
            </w:r>
            <w:r w:rsidRPr="000A02AB">
              <w:rPr>
                <w:w w:val="100"/>
                <w:sz w:val="16"/>
                <w:szCs w:val="16"/>
              </w:rPr>
              <w:t>мер пособия (в</w:t>
            </w:r>
            <w:r w:rsidR="008A3A25" w:rsidRPr="000A02AB">
              <w:rPr>
                <w:w w:val="100"/>
                <w:sz w:val="16"/>
                <w:szCs w:val="16"/>
              </w:rPr>
              <w:t xml:space="preserve"> </w:t>
            </w:r>
            <w:r w:rsidRPr="000A02AB">
              <w:rPr>
                <w:w w:val="100"/>
                <w:sz w:val="16"/>
                <w:szCs w:val="16"/>
              </w:rPr>
              <w:t>че</w:t>
            </w:r>
            <w:r w:rsidRPr="000A02AB">
              <w:rPr>
                <w:w w:val="100"/>
                <w:sz w:val="16"/>
                <w:szCs w:val="16"/>
              </w:rPr>
              <w:t>ш</w:t>
            </w:r>
            <w:r w:rsidRPr="000A02AB">
              <w:rPr>
                <w:w w:val="100"/>
                <w:sz w:val="16"/>
                <w:szCs w:val="16"/>
              </w:rPr>
              <w:t>ских кр</w:t>
            </w:r>
            <w:r w:rsidRPr="000A02AB">
              <w:rPr>
                <w:w w:val="100"/>
                <w:sz w:val="16"/>
                <w:szCs w:val="16"/>
              </w:rPr>
              <w:t>о</w:t>
            </w:r>
            <w:r w:rsidRPr="000A02AB">
              <w:rPr>
                <w:w w:val="100"/>
                <w:sz w:val="16"/>
                <w:szCs w:val="16"/>
              </w:rPr>
              <w:t>нах)</w:t>
            </w:r>
          </w:p>
        </w:tc>
        <w:tc>
          <w:tcPr>
            <w:tcW w:w="810"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w:t>
            </w:r>
          </w:p>
        </w:tc>
        <w:tc>
          <w:tcPr>
            <w:tcW w:w="810" w:type="dxa"/>
            <w:gridSpan w:val="2"/>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 xml:space="preserve">600 </w:t>
            </w:r>
          </w:p>
        </w:tc>
        <w:tc>
          <w:tcPr>
            <w:tcW w:w="783" w:type="dxa"/>
            <w:gridSpan w:val="2"/>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2 945</w:t>
            </w:r>
          </w:p>
        </w:tc>
        <w:tc>
          <w:tcPr>
            <w:tcW w:w="783"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6 765</w:t>
            </w:r>
          </w:p>
        </w:tc>
        <w:tc>
          <w:tcPr>
            <w:tcW w:w="981" w:type="dxa"/>
            <w:gridSpan w:val="2"/>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4 772</w:t>
            </w:r>
          </w:p>
        </w:tc>
        <w:tc>
          <w:tcPr>
            <w:tcW w:w="765" w:type="dxa"/>
            <w:gridSpan w:val="3"/>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5 187</w:t>
            </w:r>
          </w:p>
        </w:tc>
        <w:tc>
          <w:tcPr>
            <w:tcW w:w="789"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3 652</w:t>
            </w:r>
          </w:p>
        </w:tc>
        <w:tc>
          <w:tcPr>
            <w:tcW w:w="858"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60 540</w:t>
            </w:r>
          </w:p>
        </w:tc>
        <w:tc>
          <w:tcPr>
            <w:tcW w:w="630"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13 062</w:t>
            </w:r>
          </w:p>
        </w:tc>
        <w:tc>
          <w:tcPr>
            <w:tcW w:w="621"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4 979</w:t>
            </w:r>
          </w:p>
        </w:tc>
        <w:tc>
          <w:tcPr>
            <w:tcW w:w="760" w:type="dxa"/>
            <w:vAlign w:val="bottom"/>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3 095</w:t>
            </w:r>
          </w:p>
        </w:tc>
      </w:tr>
      <w:tr w:rsidR="008A3A25" w:rsidRPr="000A02AB" w:rsidTr="008A3A25">
        <w:tc>
          <w:tcPr>
            <w:tcW w:w="1251" w:type="dxa"/>
            <w:vAlign w:val="bottom"/>
            <w:hideMark/>
          </w:tcPr>
          <w:p w:rsidR="00170278" w:rsidRPr="000A02AB" w:rsidRDefault="00170278" w:rsidP="000A02AB">
            <w:pPr>
              <w:pStyle w:val="SingleTxt"/>
              <w:keepNext/>
              <w:tabs>
                <w:tab w:val="left" w:pos="288"/>
                <w:tab w:val="left" w:pos="576"/>
                <w:tab w:val="left" w:pos="864"/>
                <w:tab w:val="left" w:pos="1152"/>
              </w:tabs>
              <w:spacing w:before="40" w:after="40" w:line="210" w:lineRule="exact"/>
              <w:ind w:left="0" w:right="43"/>
              <w:jc w:val="left"/>
              <w:rPr>
                <w:w w:val="100"/>
                <w:sz w:val="16"/>
                <w:szCs w:val="16"/>
              </w:rPr>
            </w:pPr>
            <w:r w:rsidRPr="000A02AB">
              <w:rPr>
                <w:w w:val="100"/>
                <w:sz w:val="16"/>
                <w:szCs w:val="16"/>
              </w:rPr>
              <w:t>Всего в ЧР/ко</w:t>
            </w:r>
            <w:r w:rsidR="008A3A25" w:rsidRPr="000A02AB">
              <w:rPr>
                <w:w w:val="100"/>
                <w:sz w:val="16"/>
                <w:szCs w:val="16"/>
              </w:rPr>
              <w:t>-</w:t>
            </w:r>
            <w:r w:rsidRPr="000A02AB">
              <w:rPr>
                <w:w w:val="100"/>
                <w:sz w:val="16"/>
                <w:szCs w:val="16"/>
              </w:rPr>
              <w:t>личество пос</w:t>
            </w:r>
            <w:r w:rsidRPr="000A02AB">
              <w:rPr>
                <w:w w:val="100"/>
                <w:sz w:val="16"/>
                <w:szCs w:val="16"/>
              </w:rPr>
              <w:t>о</w:t>
            </w:r>
            <w:r w:rsidRPr="000A02AB">
              <w:rPr>
                <w:w w:val="100"/>
                <w:sz w:val="16"/>
                <w:szCs w:val="16"/>
              </w:rPr>
              <w:t>бий**</w:t>
            </w:r>
          </w:p>
        </w:tc>
        <w:tc>
          <w:tcPr>
            <w:tcW w:w="81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11 494 094</w:t>
            </w:r>
          </w:p>
        </w:tc>
        <w:tc>
          <w:tcPr>
            <w:tcW w:w="810"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5 570 195</w:t>
            </w:r>
          </w:p>
        </w:tc>
        <w:tc>
          <w:tcPr>
            <w:tcW w:w="78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1 950 174</w:t>
            </w:r>
          </w:p>
        </w:tc>
        <w:tc>
          <w:tcPr>
            <w:tcW w:w="783"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3 700 352</w:t>
            </w:r>
          </w:p>
        </w:tc>
        <w:tc>
          <w:tcPr>
            <w:tcW w:w="981"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133 274</w:t>
            </w:r>
          </w:p>
        </w:tc>
        <w:tc>
          <w:tcPr>
            <w:tcW w:w="765" w:type="dxa"/>
            <w:gridSpan w:val="3"/>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107 600</w:t>
            </w:r>
          </w:p>
        </w:tc>
        <w:tc>
          <w:tcPr>
            <w:tcW w:w="789"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1 718</w:t>
            </w:r>
          </w:p>
        </w:tc>
        <w:tc>
          <w:tcPr>
            <w:tcW w:w="8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62</w:t>
            </w:r>
          </w:p>
        </w:tc>
        <w:tc>
          <w:tcPr>
            <w:tcW w:w="63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11 030</w:t>
            </w:r>
          </w:p>
        </w:tc>
        <w:tc>
          <w:tcPr>
            <w:tcW w:w="62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2 905</w:t>
            </w:r>
          </w:p>
        </w:tc>
        <w:tc>
          <w:tcPr>
            <w:tcW w:w="76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16 784</w:t>
            </w:r>
          </w:p>
        </w:tc>
      </w:tr>
      <w:tr w:rsidR="008A3A25" w:rsidRPr="000A02AB" w:rsidTr="008A3A25">
        <w:tc>
          <w:tcPr>
            <w:tcW w:w="125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Всего в ЧР/ суммы в млн. чешских крон</w:t>
            </w:r>
          </w:p>
        </w:tc>
        <w:tc>
          <w:tcPr>
            <w:tcW w:w="81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35 542,80</w:t>
            </w:r>
          </w:p>
        </w:tc>
        <w:tc>
          <w:tcPr>
            <w:tcW w:w="810"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3 342,30</w:t>
            </w:r>
          </w:p>
        </w:tc>
        <w:tc>
          <w:tcPr>
            <w:tcW w:w="78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5 745,70</w:t>
            </w:r>
          </w:p>
        </w:tc>
        <w:tc>
          <w:tcPr>
            <w:tcW w:w="783"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25 031,60</w:t>
            </w:r>
          </w:p>
        </w:tc>
        <w:tc>
          <w:tcPr>
            <w:tcW w:w="981"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635,9</w:t>
            </w:r>
          </w:p>
        </w:tc>
        <w:tc>
          <w:tcPr>
            <w:tcW w:w="765" w:type="dxa"/>
            <w:gridSpan w:val="3"/>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558,1</w:t>
            </w:r>
          </w:p>
        </w:tc>
        <w:tc>
          <w:tcPr>
            <w:tcW w:w="789"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shd w:val="clear" w:color="auto" w:fill="FFFF00"/>
              </w:rPr>
            </w:pPr>
            <w:r w:rsidRPr="000A02AB">
              <w:rPr>
                <w:w w:val="100"/>
                <w:sz w:val="16"/>
                <w:szCs w:val="16"/>
              </w:rPr>
              <w:t>14,9</w:t>
            </w:r>
          </w:p>
        </w:tc>
        <w:tc>
          <w:tcPr>
            <w:tcW w:w="858" w:type="dxa"/>
            <w:vAlign w:val="bottom"/>
            <w:hideMark/>
          </w:tcPr>
          <w:p w:rsidR="00170278" w:rsidRPr="000A02AB" w:rsidRDefault="00170278" w:rsidP="000A02AB">
            <w:pPr>
              <w:spacing w:before="40" w:after="40" w:line="210" w:lineRule="exact"/>
              <w:jc w:val="right"/>
              <w:rPr>
                <w:spacing w:val="0"/>
                <w:w w:val="100"/>
                <w:sz w:val="16"/>
                <w:szCs w:val="16"/>
              </w:rPr>
            </w:pPr>
            <w:r w:rsidRPr="000A02AB">
              <w:rPr>
                <w:spacing w:val="0"/>
                <w:w w:val="100"/>
                <w:sz w:val="16"/>
                <w:szCs w:val="16"/>
              </w:rPr>
              <w:t>3,8</w:t>
            </w:r>
          </w:p>
        </w:tc>
        <w:tc>
          <w:tcPr>
            <w:tcW w:w="63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144,1</w:t>
            </w:r>
          </w:p>
        </w:tc>
        <w:tc>
          <w:tcPr>
            <w:tcW w:w="62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14,5</w:t>
            </w:r>
          </w:p>
        </w:tc>
        <w:tc>
          <w:tcPr>
            <w:tcW w:w="76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51,9</w:t>
            </w:r>
          </w:p>
        </w:tc>
      </w:tr>
      <w:tr w:rsidR="008A3A25" w:rsidRPr="000A02AB" w:rsidTr="008A3A25">
        <w:tc>
          <w:tcPr>
            <w:tcW w:w="125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Процент от о</w:t>
            </w:r>
            <w:r w:rsidRPr="000A02AB">
              <w:rPr>
                <w:w w:val="100"/>
                <w:sz w:val="16"/>
                <w:szCs w:val="16"/>
              </w:rPr>
              <w:t>б</w:t>
            </w:r>
            <w:r w:rsidRPr="000A02AB">
              <w:rPr>
                <w:w w:val="100"/>
                <w:sz w:val="16"/>
                <w:szCs w:val="16"/>
              </w:rPr>
              <w:t>щего кол</w:t>
            </w:r>
            <w:r w:rsidRPr="000A02AB">
              <w:rPr>
                <w:w w:val="100"/>
                <w:sz w:val="16"/>
                <w:szCs w:val="16"/>
              </w:rPr>
              <w:t>и</w:t>
            </w:r>
            <w:r w:rsidRPr="000A02AB">
              <w:rPr>
                <w:w w:val="100"/>
                <w:sz w:val="16"/>
                <w:szCs w:val="16"/>
              </w:rPr>
              <w:t>чества пос</w:t>
            </w:r>
            <w:r w:rsidRPr="000A02AB">
              <w:rPr>
                <w:w w:val="100"/>
                <w:sz w:val="16"/>
                <w:szCs w:val="16"/>
              </w:rPr>
              <w:t>о</w:t>
            </w:r>
            <w:r w:rsidRPr="000A02AB">
              <w:rPr>
                <w:w w:val="100"/>
                <w:sz w:val="16"/>
                <w:szCs w:val="16"/>
              </w:rPr>
              <w:t>бий</w:t>
            </w:r>
          </w:p>
        </w:tc>
        <w:tc>
          <w:tcPr>
            <w:tcW w:w="81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100</w:t>
            </w:r>
          </w:p>
        </w:tc>
        <w:tc>
          <w:tcPr>
            <w:tcW w:w="810"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48,5</w:t>
            </w:r>
          </w:p>
        </w:tc>
        <w:tc>
          <w:tcPr>
            <w:tcW w:w="783"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17</w:t>
            </w:r>
          </w:p>
        </w:tc>
        <w:tc>
          <w:tcPr>
            <w:tcW w:w="783"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32,2</w:t>
            </w:r>
          </w:p>
        </w:tc>
        <w:tc>
          <w:tcPr>
            <w:tcW w:w="981" w:type="dxa"/>
            <w:gridSpan w:val="2"/>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1,2</w:t>
            </w:r>
          </w:p>
        </w:tc>
        <w:tc>
          <w:tcPr>
            <w:tcW w:w="765" w:type="dxa"/>
            <w:gridSpan w:val="3"/>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0,9</w:t>
            </w:r>
          </w:p>
        </w:tc>
        <w:tc>
          <w:tcPr>
            <w:tcW w:w="789"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858"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63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0,1</w:t>
            </w:r>
          </w:p>
        </w:tc>
        <w:tc>
          <w:tcPr>
            <w:tcW w:w="621"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760" w:type="dxa"/>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0,1</w:t>
            </w:r>
          </w:p>
        </w:tc>
      </w:tr>
      <w:tr w:rsidR="008A3A25" w:rsidRPr="000A02AB" w:rsidTr="008A3A25">
        <w:trPr>
          <w:trHeight w:val="547"/>
        </w:trPr>
        <w:tc>
          <w:tcPr>
            <w:tcW w:w="1251"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0"/>
              <w:jc w:val="left"/>
              <w:rPr>
                <w:w w:val="100"/>
                <w:sz w:val="16"/>
                <w:szCs w:val="16"/>
              </w:rPr>
            </w:pPr>
            <w:r w:rsidRPr="000A02AB">
              <w:rPr>
                <w:w w:val="100"/>
                <w:sz w:val="16"/>
                <w:szCs w:val="16"/>
              </w:rPr>
              <w:t>Процент от о</w:t>
            </w:r>
            <w:r w:rsidRPr="000A02AB">
              <w:rPr>
                <w:w w:val="100"/>
                <w:sz w:val="16"/>
                <w:szCs w:val="16"/>
              </w:rPr>
              <w:t>б</w:t>
            </w:r>
            <w:r w:rsidRPr="000A02AB">
              <w:rPr>
                <w:w w:val="100"/>
                <w:sz w:val="16"/>
                <w:szCs w:val="16"/>
              </w:rPr>
              <w:t>щей су</w:t>
            </w:r>
            <w:r w:rsidRPr="000A02AB">
              <w:rPr>
                <w:w w:val="100"/>
                <w:sz w:val="16"/>
                <w:szCs w:val="16"/>
              </w:rPr>
              <w:t>м</w:t>
            </w:r>
            <w:r w:rsidRPr="000A02AB">
              <w:rPr>
                <w:w w:val="100"/>
                <w:sz w:val="16"/>
                <w:szCs w:val="16"/>
              </w:rPr>
              <w:t>мы</w:t>
            </w:r>
          </w:p>
        </w:tc>
        <w:tc>
          <w:tcPr>
            <w:tcW w:w="810"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100</w:t>
            </w:r>
          </w:p>
        </w:tc>
        <w:tc>
          <w:tcPr>
            <w:tcW w:w="810" w:type="dxa"/>
            <w:gridSpan w:val="2"/>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9,4</w:t>
            </w:r>
          </w:p>
        </w:tc>
        <w:tc>
          <w:tcPr>
            <w:tcW w:w="783" w:type="dxa"/>
            <w:gridSpan w:val="2"/>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16,2</w:t>
            </w:r>
          </w:p>
        </w:tc>
        <w:tc>
          <w:tcPr>
            <w:tcW w:w="783"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70,4</w:t>
            </w:r>
          </w:p>
        </w:tc>
        <w:tc>
          <w:tcPr>
            <w:tcW w:w="981" w:type="dxa"/>
            <w:gridSpan w:val="2"/>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1,8</w:t>
            </w:r>
          </w:p>
        </w:tc>
        <w:tc>
          <w:tcPr>
            <w:tcW w:w="765" w:type="dxa"/>
            <w:gridSpan w:val="3"/>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1,6</w:t>
            </w:r>
          </w:p>
        </w:tc>
        <w:tc>
          <w:tcPr>
            <w:tcW w:w="789"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858"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630"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0,4</w:t>
            </w:r>
          </w:p>
        </w:tc>
        <w:tc>
          <w:tcPr>
            <w:tcW w:w="621"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w:t>
            </w:r>
          </w:p>
        </w:tc>
        <w:tc>
          <w:tcPr>
            <w:tcW w:w="760" w:type="dxa"/>
            <w:tcBorders>
              <w:top w:val="nil"/>
              <w:left w:val="nil"/>
              <w:bottom w:val="single" w:sz="12" w:space="0" w:color="000000"/>
              <w:right w:val="nil"/>
            </w:tcBorders>
            <w:vAlign w:val="bottom"/>
            <w:hideMark/>
          </w:tcPr>
          <w:p w:rsidR="00170278" w:rsidRPr="000A02AB" w:rsidRDefault="00170278" w:rsidP="000A02AB">
            <w:pPr>
              <w:pStyle w:val="SingleTxt"/>
              <w:tabs>
                <w:tab w:val="left" w:pos="288"/>
                <w:tab w:val="left" w:pos="576"/>
                <w:tab w:val="left" w:pos="864"/>
                <w:tab w:val="left" w:pos="1152"/>
              </w:tabs>
              <w:spacing w:before="40" w:after="40" w:line="210" w:lineRule="exact"/>
              <w:ind w:left="0" w:right="43"/>
              <w:jc w:val="right"/>
              <w:rPr>
                <w:w w:val="100"/>
                <w:sz w:val="16"/>
                <w:szCs w:val="16"/>
              </w:rPr>
            </w:pPr>
            <w:r w:rsidRPr="000A02AB">
              <w:rPr>
                <w:w w:val="100"/>
                <w:sz w:val="16"/>
                <w:szCs w:val="16"/>
              </w:rPr>
              <w:t>0,2</w:t>
            </w:r>
          </w:p>
        </w:tc>
      </w:tr>
    </w:tbl>
    <w:p w:rsidR="00170278" w:rsidRPr="000A02AB" w:rsidRDefault="00170278" w:rsidP="000A02AB">
      <w:pPr>
        <w:pStyle w:val="SingleTxt"/>
        <w:spacing w:after="0" w:line="120" w:lineRule="exact"/>
        <w:rPr>
          <w:spacing w:val="0"/>
          <w:w w:val="100"/>
          <w:sz w:val="10"/>
          <w:szCs w:val="20"/>
        </w:rPr>
      </w:pPr>
    </w:p>
    <w:p w:rsidR="00170278" w:rsidRPr="000A02AB" w:rsidRDefault="003D158B" w:rsidP="000A02AB">
      <w:pPr>
        <w:pStyle w:val="FootnoteText"/>
        <w:tabs>
          <w:tab w:val="right" w:pos="216"/>
          <w:tab w:val="left" w:pos="288"/>
          <w:tab w:val="right" w:pos="576"/>
          <w:tab w:val="left" w:pos="648"/>
        </w:tabs>
        <w:suppressAutoHyphens w:val="0"/>
        <w:ind w:left="288" w:hanging="288"/>
        <w:rPr>
          <w:w w:val="100"/>
        </w:rPr>
      </w:pPr>
      <w:r w:rsidRPr="000A02AB">
        <w:rPr>
          <w:w w:val="100"/>
        </w:rPr>
        <w:tab/>
      </w:r>
      <w:r w:rsidR="00170278" w:rsidRPr="000A02AB">
        <w:rPr>
          <w:w w:val="100"/>
        </w:rPr>
        <w:t>*</w:t>
      </w:r>
      <w:r w:rsidR="00170278" w:rsidRPr="000A02AB">
        <w:rPr>
          <w:w w:val="100"/>
        </w:rPr>
        <w:tab/>
        <w:t>Данные публикаций о состоянии счетов Чешского национального банка, касающиеся предоставления пособий (включая выплаченные пособия, дополнительные платежи, переплаты и компенсации).</w:t>
      </w:r>
    </w:p>
    <w:p w:rsidR="00170278" w:rsidRPr="000A02AB" w:rsidRDefault="003D158B" w:rsidP="000A02AB">
      <w:pPr>
        <w:pStyle w:val="FootnoteText"/>
        <w:tabs>
          <w:tab w:val="right" w:pos="216"/>
          <w:tab w:val="left" w:pos="288"/>
          <w:tab w:val="right" w:pos="576"/>
          <w:tab w:val="left" w:pos="648"/>
        </w:tabs>
        <w:suppressAutoHyphens w:val="0"/>
        <w:ind w:left="288" w:hanging="288"/>
        <w:rPr>
          <w:w w:val="100"/>
        </w:rPr>
      </w:pPr>
      <w:r w:rsidRPr="000A02AB">
        <w:rPr>
          <w:w w:val="100"/>
        </w:rPr>
        <w:tab/>
      </w:r>
      <w:r w:rsidR="00170278" w:rsidRPr="000A02AB">
        <w:rPr>
          <w:w w:val="100"/>
        </w:rPr>
        <w:t>**</w:t>
      </w:r>
      <w:r w:rsidR="00170278" w:rsidRPr="000A02AB">
        <w:rPr>
          <w:w w:val="100"/>
        </w:rPr>
        <w:tab/>
        <w:t>Количество пособий (количество пособий, дополнительных платежей, переплат и компенсаций).</w:t>
      </w:r>
    </w:p>
    <w:p w:rsidR="00170278" w:rsidRPr="000A02AB" w:rsidRDefault="003D158B" w:rsidP="000A02AB">
      <w:pPr>
        <w:pStyle w:val="FootnoteText"/>
        <w:tabs>
          <w:tab w:val="right" w:pos="216"/>
          <w:tab w:val="left" w:pos="288"/>
          <w:tab w:val="right" w:pos="576"/>
          <w:tab w:val="left" w:pos="648"/>
        </w:tabs>
        <w:suppressAutoHyphens w:val="0"/>
        <w:ind w:left="288" w:hanging="288"/>
        <w:rPr>
          <w:i/>
          <w:w w:val="100"/>
        </w:rPr>
      </w:pPr>
      <w:r w:rsidRPr="000A02AB">
        <w:rPr>
          <w:w w:val="100"/>
        </w:rPr>
        <w:tab/>
      </w:r>
      <w:r w:rsidR="00170278" w:rsidRPr="000A02AB">
        <w:rPr>
          <w:w w:val="100"/>
        </w:rPr>
        <w:t>***</w:t>
      </w:r>
      <w:r w:rsidR="00170278" w:rsidRPr="000A02AB">
        <w:rPr>
          <w:w w:val="100"/>
        </w:rPr>
        <w:tab/>
        <w:t>Упразднена с 2012 года; указаны доплаты за предыдущий год.</w:t>
      </w:r>
    </w:p>
    <w:p w:rsidR="00170278" w:rsidRPr="000A02AB" w:rsidRDefault="00170278" w:rsidP="000A02AB">
      <w:pPr>
        <w:pStyle w:val="FootnoteText"/>
        <w:tabs>
          <w:tab w:val="right" w:pos="216"/>
          <w:tab w:val="left" w:pos="288"/>
          <w:tab w:val="right" w:pos="576"/>
          <w:tab w:val="left" w:pos="648"/>
        </w:tabs>
        <w:suppressAutoHyphens w:val="0"/>
        <w:ind w:left="288" w:hanging="288"/>
        <w:rPr>
          <w:w w:val="100"/>
        </w:rPr>
      </w:pPr>
      <w:r w:rsidRPr="000A02AB">
        <w:rPr>
          <w:i/>
          <w:w w:val="100"/>
        </w:rPr>
        <w:t>Источник</w:t>
      </w:r>
      <w:r w:rsidRPr="000A02AB">
        <w:rPr>
          <w:w w:val="100"/>
        </w:rPr>
        <w:t>: ЧСУ.</w:t>
      </w:r>
    </w:p>
    <w:p w:rsidR="00170278" w:rsidRPr="000A02AB" w:rsidRDefault="00170278" w:rsidP="000A02AB">
      <w:pPr>
        <w:pStyle w:val="SingleTxt"/>
        <w:spacing w:after="0" w:line="120" w:lineRule="exact"/>
        <w:rPr>
          <w:spacing w:val="0"/>
          <w:w w:val="100"/>
          <w:sz w:val="10"/>
          <w:szCs w:val="20"/>
        </w:rPr>
      </w:pPr>
    </w:p>
    <w:p w:rsidR="00170278" w:rsidRPr="000A02AB" w:rsidRDefault="00170278" w:rsidP="000A02AB">
      <w:pPr>
        <w:pStyle w:val="SingleTxt"/>
        <w:spacing w:after="0" w:line="120" w:lineRule="exact"/>
        <w:rPr>
          <w:sz w:val="10"/>
        </w:rPr>
      </w:pPr>
    </w:p>
    <w:p w:rsidR="00170278" w:rsidRPr="000A02AB" w:rsidRDefault="00170278" w:rsidP="000A02AB">
      <w:pPr>
        <w:pStyle w:val="SingleTxt"/>
      </w:pPr>
      <w:r w:rsidRPr="000A02AB">
        <w:t>190.</w:t>
      </w:r>
      <w:r w:rsidRPr="000A02AB">
        <w:tab/>
        <w:t>В последние годы все больше внимания уделяется гендерным аспектам бездомности. Так, в некоммерческом секторе осуществляются проекты, направленные на привлечение внимания к такому явлению, как бездомные женщины. Например, некоммерческая организация "Как дома"</w:t>
      </w:r>
      <w:r w:rsidRPr="000A02AB">
        <w:rPr>
          <w:rStyle w:val="FootnoteReference"/>
        </w:rPr>
        <w:footnoteReference w:id="56"/>
      </w:r>
      <w:r w:rsidRPr="000A02AB">
        <w:t xml:space="preserve"> в своей работе исходит из идеи о том, что данное явление обычно носит скрытый характер, в связи с чем до настоящего времени ему уделялось меньше внимания. Исслед</w:t>
      </w:r>
      <w:r w:rsidRPr="000A02AB">
        <w:t>о</w:t>
      </w:r>
      <w:r w:rsidRPr="000A02AB">
        <w:t>вание, проведенное этой организацией, показало, что стратегии выживания, риски и явления, сопутствующие ситуации, когда женщины лишаются крова, имеют гендерную специфику. Проблема бездомности женщин также заслуж</w:t>
      </w:r>
      <w:r w:rsidRPr="000A02AB">
        <w:t>и</w:t>
      </w:r>
      <w:r w:rsidRPr="000A02AB">
        <w:t>вает внимания ввиду того, что она связана с феминизацией нищеты</w:t>
      </w:r>
      <w:r w:rsidRPr="000A02AB">
        <w:rPr>
          <w:rStyle w:val="FootnoteReference"/>
        </w:rPr>
        <w:footnoteReference w:id="57"/>
      </w:r>
      <w:r w:rsidRPr="000A02AB">
        <w:t>.</w:t>
      </w:r>
    </w:p>
    <w:p w:rsidR="00170278" w:rsidRPr="000A02AB" w:rsidRDefault="00170278" w:rsidP="000A02AB">
      <w:pPr>
        <w:pStyle w:val="SingleTxt"/>
      </w:pPr>
      <w:r w:rsidRPr="000A02AB">
        <w:t>191.</w:t>
      </w:r>
      <w:r w:rsidRPr="000A02AB">
        <w:tab/>
        <w:t>Учитывая высокий уровень безработицы в сельских районах, необходимо обеспечивать доступность для местного населения качественных госуда</w:t>
      </w:r>
      <w:r w:rsidRPr="000A02AB">
        <w:t>р</w:t>
      </w:r>
      <w:r w:rsidRPr="000A02AB">
        <w:t>ственных услуг (прежде всего в сфере поддержки занятости). В 2014 году МТСД разработало "Концепцию предотвращения и решения проблемы бе</w:t>
      </w:r>
      <w:r w:rsidRPr="000A02AB">
        <w:t>з</w:t>
      </w:r>
      <w:r w:rsidRPr="000A02AB">
        <w:t>домности в Чешской Республике до 2020 года" (в дальнейшем просто "Ко</w:t>
      </w:r>
      <w:r w:rsidRPr="000A02AB">
        <w:t>н</w:t>
      </w:r>
      <w:r w:rsidRPr="000A02AB">
        <w:t>цепция"), которая должна способствовать достижению целей в области борьбы с нищетой в соответствии с обязательствами Чешской Республики, взятыми в рамках Национальных программ реформ (в дальнейшем именуемых "НПР"). Конкретная задача НПР, касающаяся проблемы бездомности, состоит в обесп</w:t>
      </w:r>
      <w:r w:rsidRPr="000A02AB">
        <w:t>е</w:t>
      </w:r>
      <w:r w:rsidRPr="000A02AB">
        <w:t>чении того, чтобы к 2020 году число лиц, которым угрожают нищета, матер</w:t>
      </w:r>
      <w:r w:rsidRPr="000A02AB">
        <w:t>и</w:t>
      </w:r>
      <w:r w:rsidRPr="000A02AB">
        <w:t>альные лишения или безработица всех членов домохозяйства, не превышало аналогичных показателей за 2008 год. Параллельно с этим ЧР будет прилагать усилия по сокращению числа таких лиц приблизительно на 30 тыс.</w:t>
      </w:r>
      <w:r w:rsidR="009B4026" w:rsidRPr="000A02AB">
        <w:t> человек</w:t>
      </w:r>
      <w:r w:rsidRPr="000A02AB">
        <w:t>. Концепция отвечает потребностям ЧР и требованиям ЕС относительно укре</w:t>
      </w:r>
      <w:r w:rsidRPr="000A02AB">
        <w:t>п</w:t>
      </w:r>
      <w:r w:rsidRPr="000A02AB">
        <w:t>ления социальных служб, ориентированных на самые неблагополучные группы населения. При ее подготовке также учитывалось письменное заявление Евр</w:t>
      </w:r>
      <w:r w:rsidRPr="000A02AB">
        <w:t>о</w:t>
      </w:r>
      <w:r w:rsidRPr="000A02AB">
        <w:t>пейского парламента "Стратегия ЕС по реше</w:t>
      </w:r>
      <w:r w:rsidR="00F83944" w:rsidRPr="000A02AB">
        <w:t>нию проблемы бездомности" от 16 </w:t>
      </w:r>
      <w:r w:rsidRPr="000A02AB">
        <w:t>декабря 2010 года.</w:t>
      </w:r>
    </w:p>
    <w:p w:rsidR="00170278" w:rsidRPr="000A02AB" w:rsidRDefault="00170278" w:rsidP="000A02AB">
      <w:pPr>
        <w:pStyle w:val="SingleTxt"/>
      </w:pPr>
      <w:r w:rsidRPr="000A02AB">
        <w:t>192.</w:t>
      </w:r>
      <w:r w:rsidRPr="000A02AB">
        <w:tab/>
        <w:t>Если исходить из информации, содержащейся в Концепции, то по данным экспертов в Чешской Республике насчитывается около 30</w:t>
      </w:r>
      <w:r w:rsidR="00F83944" w:rsidRPr="000A02AB">
        <w:t> </w:t>
      </w:r>
      <w:r w:rsidRPr="000A02AB">
        <w:t>тыс. бездомных. В последней переписи, проведенной в 2011 году, участвовала лишь часть бе</w:t>
      </w:r>
      <w:r w:rsidRPr="000A02AB">
        <w:t>з</w:t>
      </w:r>
      <w:r w:rsidRPr="000A02AB">
        <w:t>домного населения, а именно 11</w:t>
      </w:r>
      <w:r w:rsidR="00F83944" w:rsidRPr="000A02AB">
        <w:t> </w:t>
      </w:r>
      <w:r w:rsidRPr="000A02AB">
        <w:t>496</w:t>
      </w:r>
      <w:r w:rsidR="009B4026" w:rsidRPr="000A02AB">
        <w:t> человек</w:t>
      </w:r>
      <w:r w:rsidRPr="000A02AB">
        <w:t>. По данным ЧСУ женщины с</w:t>
      </w:r>
      <w:r w:rsidRPr="000A02AB">
        <w:t>о</w:t>
      </w:r>
      <w:r w:rsidRPr="000A02AB">
        <w:t>ставляли 21,5</w:t>
      </w:r>
      <w:r w:rsidR="009B4026" w:rsidRPr="000A02AB">
        <w:t> процент</w:t>
      </w:r>
      <w:r w:rsidRPr="000A02AB">
        <w:t>а от указанного выше общего числа бездомных</w:t>
      </w:r>
      <w:r w:rsidRPr="000A02AB">
        <w:rPr>
          <w:rStyle w:val="FootnoteReference"/>
        </w:rPr>
        <w:footnoteReference w:id="58"/>
      </w:r>
      <w:r w:rsidRPr="000A02AB">
        <w:t>.</w:t>
      </w:r>
    </w:p>
    <w:p w:rsidR="00170278" w:rsidRPr="000A02AB" w:rsidRDefault="00170278" w:rsidP="000A02AB">
      <w:pPr>
        <w:pStyle w:val="SingleTxt"/>
      </w:pPr>
      <w:r w:rsidRPr="000A02AB">
        <w:t>193.</w:t>
      </w:r>
      <w:r w:rsidRPr="000A02AB">
        <w:tab/>
        <w:t>Помимо уже упомянутой Концепции разрабатывается концепция соц</w:t>
      </w:r>
      <w:r w:rsidRPr="000A02AB">
        <w:t>и</w:t>
      </w:r>
      <w:r w:rsidRPr="000A02AB">
        <w:t>ального жилья, в соответствии с которой будет принят закон о социальном ж</w:t>
      </w:r>
      <w:r w:rsidRPr="000A02AB">
        <w:t>и</w:t>
      </w:r>
      <w:r w:rsidRPr="000A02AB">
        <w:t>лье. Одним из базовых принципов является предоставление жилья (т. е. во</w:t>
      </w:r>
      <w:r w:rsidRPr="000A02AB">
        <w:t>з</w:t>
      </w:r>
      <w:r w:rsidRPr="000A02AB">
        <w:t>можности жить в квартире, а не в общежитии, где женщины особенно подве</w:t>
      </w:r>
      <w:r w:rsidRPr="000A02AB">
        <w:t>р</w:t>
      </w:r>
      <w:r w:rsidRPr="000A02AB">
        <w:t>жены угрозам, связанным с лишением права на частную жизнь, низким уро</w:t>
      </w:r>
      <w:r w:rsidRPr="000A02AB">
        <w:t>в</w:t>
      </w:r>
      <w:r w:rsidRPr="000A02AB">
        <w:t>нем безопасности, стигматизацией и т. д.). Ввиду того, что 93</w:t>
      </w:r>
      <w:r w:rsidR="009B4026" w:rsidRPr="000A02AB">
        <w:t> процент</w:t>
      </w:r>
      <w:r w:rsidRPr="000A02AB">
        <w:t>а детей, проживающих в Чешской Республике, вверены заботам матерей, часть из кот</w:t>
      </w:r>
      <w:r w:rsidRPr="000A02AB">
        <w:t>о</w:t>
      </w:r>
      <w:r w:rsidRPr="000A02AB">
        <w:t>рых может зависеть от наличия социального жилья, предоставление жилых помещений является важной мерой по обеспечению достойной жизни для ряда одиноких матерей.</w:t>
      </w:r>
    </w:p>
    <w:p w:rsidR="00170278" w:rsidRPr="000A02AB" w:rsidRDefault="00170278" w:rsidP="000A02AB">
      <w:pPr>
        <w:pStyle w:val="SingleTxt"/>
      </w:pPr>
      <w:r w:rsidRPr="000A02AB">
        <w:t>194.</w:t>
      </w:r>
      <w:r w:rsidRPr="000A02AB">
        <w:tab/>
        <w:t>Предварительные результаты обследования СДУЖ ЕС 2011 года ("Стат</w:t>
      </w:r>
      <w:r w:rsidRPr="000A02AB">
        <w:t>и</w:t>
      </w:r>
      <w:r w:rsidRPr="000A02AB">
        <w:t>стика доходов и условий жизни в Европейском союзе"</w:t>
      </w:r>
      <w:r w:rsidRPr="000A02AB">
        <w:rPr>
          <w:rStyle w:val="FootnoteReference"/>
        </w:rPr>
        <w:footnoteReference w:id="59"/>
      </w:r>
      <w:r w:rsidRPr="000A02AB">
        <w:t>), которое отражает п</w:t>
      </w:r>
      <w:r w:rsidRPr="000A02AB">
        <w:t>о</w:t>
      </w:r>
      <w:r w:rsidRPr="000A02AB">
        <w:t>ложение домохозяйств в 2010 году и весной 2011 года, свидетельствуют об увеличении степени риска оказаться в нищете, связанной с низким уровнем доходов, за предыдущий год. По предварительным данным в Чешской Респу</w:t>
      </w:r>
      <w:r w:rsidRPr="000A02AB">
        <w:t>б</w:t>
      </w:r>
      <w:r w:rsidRPr="000A02AB">
        <w:t>лике оказаться в нищете по причине низких доходов рискуют 1008</w:t>
      </w:r>
      <w:r w:rsidR="00F83944" w:rsidRPr="000A02AB">
        <w:t> </w:t>
      </w:r>
      <w:r w:rsidRPr="000A02AB">
        <w:t>тыс.</w:t>
      </w:r>
      <w:r w:rsidR="00F83944" w:rsidRPr="000A02AB">
        <w:t xml:space="preserve"> </w:t>
      </w:r>
      <w:r w:rsidR="009B4026" w:rsidRPr="000A02AB">
        <w:t>чел</w:t>
      </w:r>
      <w:r w:rsidR="009B4026" w:rsidRPr="000A02AB">
        <w:t>о</w:t>
      </w:r>
      <w:r w:rsidR="009B4026" w:rsidRPr="000A02AB">
        <w:t>век</w:t>
      </w:r>
      <w:r w:rsidRPr="000A02AB">
        <w:t xml:space="preserve"> (т. е. 9,7</w:t>
      </w:r>
      <w:r w:rsidR="009B4026" w:rsidRPr="000A02AB">
        <w:t> процент</w:t>
      </w:r>
      <w:r w:rsidRPr="000A02AB">
        <w:t>а всех жителей страны), что превышает прошлогодний п</w:t>
      </w:r>
      <w:r w:rsidRPr="000A02AB">
        <w:t>о</w:t>
      </w:r>
      <w:r w:rsidRPr="000A02AB">
        <w:t>казатель на 71 тыс.</w:t>
      </w:r>
      <w:r w:rsidR="009B4026" w:rsidRPr="000A02AB">
        <w:t> человек</w:t>
      </w:r>
      <w:r w:rsidRPr="000A02AB">
        <w:t>. Нищета в большей степени угрожает женщинам (10,4</w:t>
      </w:r>
      <w:r w:rsidR="009B4026" w:rsidRPr="000A02AB">
        <w:t> процент</w:t>
      </w:r>
      <w:r w:rsidRPr="000A02AB">
        <w:t>а от общего числа женщин), нежели мужчинам (8,9</w:t>
      </w:r>
      <w:r w:rsidR="009B4026" w:rsidRPr="000A02AB">
        <w:t> процент</w:t>
      </w:r>
      <w:r w:rsidRPr="000A02AB">
        <w:t>а от общего числа мужчин). Большинство лиц, рискующих оказаться в нищете, проживают в семьях с одним родителем (34,7</w:t>
      </w:r>
      <w:r w:rsidR="009B4026" w:rsidRPr="000A02AB">
        <w:t> процент</w:t>
      </w:r>
      <w:r w:rsidRPr="000A02AB">
        <w:t>а) и прежде всего в бе</w:t>
      </w:r>
      <w:r w:rsidRPr="000A02AB">
        <w:t>з</w:t>
      </w:r>
      <w:r w:rsidRPr="000A02AB">
        <w:t>работных домохозяйствах (45,7</w:t>
      </w:r>
      <w:r w:rsidR="009B4026" w:rsidRPr="000A02AB">
        <w:t> процент</w:t>
      </w:r>
      <w:r w:rsidRPr="000A02AB">
        <w:t>а), где их число ув</w:t>
      </w:r>
      <w:r w:rsidRPr="000A02AB">
        <w:t>е</w:t>
      </w:r>
      <w:r w:rsidRPr="000A02AB">
        <w:t>личилось более чем на 5</w:t>
      </w:r>
      <w:r w:rsidR="009B4026" w:rsidRPr="000A02AB">
        <w:t> процент</w:t>
      </w:r>
      <w:r w:rsidRPr="000A02AB">
        <w:t>ов по причине роста долгосрочной безраб</w:t>
      </w:r>
      <w:r w:rsidRPr="000A02AB">
        <w:t>о</w:t>
      </w:r>
      <w:r w:rsidRPr="000A02AB">
        <w:t>тицы. Изменение риска нищеты, связанной с низким уровнем доходов, в период с 2007 по 2011 год наряду с чертой бедности отражено на диаграмме 1. Отмечавшаяся ранее те</w:t>
      </w:r>
      <w:r w:rsidRPr="000A02AB">
        <w:t>н</w:t>
      </w:r>
      <w:r w:rsidRPr="000A02AB">
        <w:t>денция к сокращению данного показателя изменилась в 2010 году из-за сниж</w:t>
      </w:r>
      <w:r w:rsidRPr="000A02AB">
        <w:t>е</w:t>
      </w:r>
      <w:r w:rsidRPr="000A02AB">
        <w:t>ния доходов домохозяйств, начавшегося в 2009 году в связи с последствиями глобального экономического кризиса. В 2012 году н</w:t>
      </w:r>
      <w:r w:rsidRPr="000A02AB">
        <w:t>и</w:t>
      </w:r>
      <w:r w:rsidRPr="000A02AB">
        <w:t>щета, связанная с низким уровнем доходов, угрожала 9,6</w:t>
      </w:r>
      <w:r w:rsidR="009B4026" w:rsidRPr="000A02AB">
        <w:t> процент</w:t>
      </w:r>
      <w:r w:rsidRPr="000A02AB">
        <w:t>а населения (990 300 лицам); таким о</w:t>
      </w:r>
      <w:r w:rsidRPr="000A02AB">
        <w:t>б</w:t>
      </w:r>
      <w:r w:rsidRPr="000A02AB">
        <w:t>разом, доля населения, рискующего оказаться в н</w:t>
      </w:r>
      <w:r w:rsidRPr="000A02AB">
        <w:t>и</w:t>
      </w:r>
      <w:r w:rsidRPr="000A02AB">
        <w:t>щете, сократилась.</w:t>
      </w:r>
    </w:p>
    <w:p w:rsidR="00170278" w:rsidRPr="000A02AB" w:rsidRDefault="00170278" w:rsidP="000A02AB">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pPr>
      <w:r w:rsidRPr="000A02AB">
        <w:rPr>
          <w:rFonts w:ascii="Liberation Serif" w:eastAsia="SimSun" w:hAnsi="Liberation Serif" w:cs="Mangal"/>
          <w:spacing w:val="2"/>
          <w:w w:val="100"/>
          <w:kern w:val="2"/>
          <w:szCs w:val="24"/>
          <w:lang w:eastAsia="zh-CN" w:bidi="hi-IN"/>
        </w:rPr>
        <w:br w:type="page"/>
      </w:r>
      <w:r w:rsidR="00F83944" w:rsidRPr="000A02AB">
        <w:rPr>
          <w:rFonts w:ascii="Liberation Serif" w:eastAsia="SimSun" w:hAnsi="Liberation Serif" w:cs="Mangal"/>
          <w:spacing w:val="2"/>
          <w:w w:val="100"/>
          <w:kern w:val="2"/>
          <w:szCs w:val="24"/>
          <w:lang w:eastAsia="zh-CN" w:bidi="hi-IN"/>
        </w:rPr>
        <w:tab/>
      </w:r>
      <w:r w:rsidRPr="000A02AB">
        <w:tab/>
        <w:t>Диаграмма 1</w:t>
      </w:r>
    </w:p>
    <w:p w:rsidR="00170278" w:rsidRPr="000A02AB" w:rsidRDefault="00F83944"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tab/>
      </w:r>
      <w:r w:rsidR="00170278" w:rsidRPr="000A02AB">
        <w:tab/>
        <w:t>Изменение риска нищеты по уровню доходов в 2007–2011 годах</w:t>
      </w:r>
    </w:p>
    <w:p w:rsidR="00F83944" w:rsidRPr="000A02AB" w:rsidRDefault="00F83944" w:rsidP="000A02AB">
      <w:pPr>
        <w:pStyle w:val="SingleTxt"/>
        <w:spacing w:after="0" w:line="120" w:lineRule="exact"/>
        <w:rPr>
          <w:sz w:val="10"/>
        </w:rPr>
      </w:pPr>
    </w:p>
    <w:p w:rsidR="00170278" w:rsidRPr="000A02AB" w:rsidRDefault="00170278" w:rsidP="000A02AB">
      <w:pPr>
        <w:pStyle w:val="SingleTxt"/>
        <w:spacing w:after="0" w:line="120" w:lineRule="exact"/>
        <w:rPr>
          <w:sz w:val="10"/>
        </w:rPr>
      </w:pPr>
      <w:r w:rsidRPr="000A02AB">
        <w:pict>
          <v:group id="_x0000_s1027" style="position:absolute;left:0;text-align:left;margin-left:63.15pt;margin-top:2.85pt;width:332.35pt;height:174.55pt;z-index:1" coordorigin="2459,2278" coordsize="6647,3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59;top:2278;width:6647;height:3491;mso-wrap-distance-left:9.05pt;mso-wrap-distance-right:9.05pt" filled="t">
              <v:fill color2="black"/>
              <v:imagedata r:id="rId15" o:title=""/>
            </v:shape>
            <v:group id="_x0000_s1029" style="position:absolute;left:4110;top:2360;width:4470;height:310" coordorigin="4110,2360" coordsize="4470,310">
              <v:shapetype id="_x0000_t202" coordsize="21600,21600" o:spt="202" path="m,l,21600r21600,l21600,xe">
                <v:stroke joinstyle="miter"/>
                <v:path gradientshapeok="t" o:connecttype="rect"/>
              </v:shapetype>
              <v:shape id="_x0000_s1030" type="#_x0000_t202" style="position:absolute;left:4110;top:2360;width:1560;height:310" stroked="f">
                <v:textbox inset="0,0,0,0">
                  <w:txbxContent>
                    <w:p w:rsidR="00170278" w:rsidRPr="00F83944" w:rsidRDefault="00170278" w:rsidP="00170278">
                      <w:pPr>
                        <w:spacing w:line="240" w:lineRule="auto"/>
                        <w:rPr>
                          <w:spacing w:val="0"/>
                          <w:w w:val="100"/>
                          <w:sz w:val="14"/>
                          <w:szCs w:val="14"/>
                        </w:rPr>
                      </w:pPr>
                      <w:r w:rsidRPr="00F83944">
                        <w:rPr>
                          <w:b/>
                          <w:bCs/>
                          <w:spacing w:val="0"/>
                          <w:w w:val="100"/>
                          <w:sz w:val="14"/>
                          <w:szCs w:val="14"/>
                        </w:rPr>
                        <w:t>Доля малоимущего на</w:t>
                      </w:r>
                      <w:r w:rsidR="00F83944">
                        <w:rPr>
                          <w:b/>
                          <w:bCs/>
                          <w:spacing w:val="0"/>
                          <w:w w:val="100"/>
                          <w:sz w:val="14"/>
                          <w:szCs w:val="14"/>
                        </w:rPr>
                        <w:t>-</w:t>
                      </w:r>
                      <w:r w:rsidRPr="00F83944">
                        <w:rPr>
                          <w:b/>
                          <w:bCs/>
                          <w:spacing w:val="0"/>
                          <w:w w:val="100"/>
                          <w:sz w:val="14"/>
                          <w:szCs w:val="14"/>
                        </w:rPr>
                        <w:t>сел</w:t>
                      </w:r>
                      <w:r w:rsidRPr="00F83944">
                        <w:rPr>
                          <w:b/>
                          <w:bCs/>
                          <w:spacing w:val="0"/>
                          <w:w w:val="100"/>
                          <w:sz w:val="14"/>
                          <w:szCs w:val="14"/>
                        </w:rPr>
                        <w:t>е</w:t>
                      </w:r>
                      <w:r w:rsidRPr="00F83944">
                        <w:rPr>
                          <w:b/>
                          <w:bCs/>
                          <w:spacing w:val="0"/>
                          <w:w w:val="100"/>
                          <w:sz w:val="14"/>
                          <w:szCs w:val="14"/>
                        </w:rPr>
                        <w:t>ния (в процентах)</w:t>
                      </w:r>
                    </w:p>
                  </w:txbxContent>
                </v:textbox>
              </v:shape>
              <v:shape id="_x0000_s1031" type="#_x0000_t202" style="position:absolute;left:6070;top:2380;width:2510;height:230" stroked="f">
                <v:textbox inset="0,0,0,0">
                  <w:txbxContent>
                    <w:p w:rsidR="00170278" w:rsidRPr="00F83944" w:rsidRDefault="00170278" w:rsidP="00170278">
                      <w:pPr>
                        <w:spacing w:before="40" w:line="240" w:lineRule="auto"/>
                        <w:rPr>
                          <w:spacing w:val="0"/>
                          <w:w w:val="100"/>
                          <w:sz w:val="14"/>
                          <w:szCs w:val="14"/>
                        </w:rPr>
                      </w:pPr>
                      <w:r w:rsidRPr="00F83944">
                        <w:rPr>
                          <w:b/>
                          <w:bCs/>
                          <w:spacing w:val="0"/>
                          <w:w w:val="100"/>
                          <w:sz w:val="14"/>
                          <w:szCs w:val="14"/>
                        </w:rPr>
                        <w:t>Черта бедности (в тыс. чешских крон)</w:t>
                      </w:r>
                    </w:p>
                  </w:txbxContent>
                </v:textbox>
              </v:shape>
            </v:group>
          </v:group>
        </w:pict>
      </w: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F83944" w:rsidRPr="000A02AB" w:rsidRDefault="00F83944"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170278" w:rsidRPr="000A02AB" w:rsidRDefault="00170278" w:rsidP="000A02AB">
      <w:pPr>
        <w:pStyle w:val="SingleTxt"/>
      </w:pPr>
      <w:r w:rsidRPr="000A02AB">
        <w:t>195.</w:t>
      </w:r>
      <w:r w:rsidRPr="000A02AB">
        <w:tab/>
        <w:t>Тем не менее ЧР принимает определенные меры по решению данной пр</w:t>
      </w:r>
      <w:r w:rsidRPr="000A02AB">
        <w:t>о</w:t>
      </w:r>
      <w:r w:rsidRPr="000A02AB">
        <w:t>блемы: своим постановлением № 24 от 8 января 2014 года правительство утвердило национальный рамочный документ по вопросам социальной инт</w:t>
      </w:r>
      <w:r w:rsidRPr="000A02AB">
        <w:t>е</w:t>
      </w:r>
      <w:r w:rsidRPr="000A02AB">
        <w:t>грации и борьбы с нищетой "Стратегия социальной интеграции на 2014–2020 годы", который охватывает основные сферы, представляющие интерес с позиции обеспечения социальной интеграции изолированных лиц либо лиц, которым угрожает социальная изоляция. Назначение Стратегии социальной интеграции на 2014–2020 годы состоит в содействии достижению национал</w:t>
      </w:r>
      <w:r w:rsidRPr="000A02AB">
        <w:t>ь</w:t>
      </w:r>
      <w:r w:rsidRPr="000A02AB">
        <w:t>ных целей в области сокращения масштабов нищеты и социальной изоляции, установленных Национальной программой реформ, которая основана на стр</w:t>
      </w:r>
      <w:r w:rsidRPr="000A02AB">
        <w:t>а</w:t>
      </w:r>
      <w:r w:rsidRPr="000A02AB">
        <w:t>тегии "Европа 2020".</w:t>
      </w:r>
    </w:p>
    <w:p w:rsidR="00170278" w:rsidRPr="000A02AB" w:rsidRDefault="00170278" w:rsidP="000A02AB">
      <w:pPr>
        <w:pStyle w:val="SingleTxt"/>
      </w:pPr>
      <w:r w:rsidRPr="000A02AB">
        <w:t>196.</w:t>
      </w:r>
      <w:r w:rsidRPr="000A02AB">
        <w:tab/>
        <w:t>Что касается сочетания дискриминации по признаку пола и дискримин</w:t>
      </w:r>
      <w:r w:rsidRPr="000A02AB">
        <w:t>а</w:t>
      </w:r>
      <w:r w:rsidRPr="000A02AB">
        <w:t>ции по признаку этнической принадлежности, то отдельные стратегии соц</w:t>
      </w:r>
      <w:r w:rsidRPr="000A02AB">
        <w:t>и</w:t>
      </w:r>
      <w:r w:rsidRPr="000A02AB">
        <w:t>альной работы, применяемые в Чешской Республике, не опираются на этнич</w:t>
      </w:r>
      <w:r w:rsidRPr="000A02AB">
        <w:t>е</w:t>
      </w:r>
      <w:r w:rsidRPr="000A02AB">
        <w:t>ские принципы, т. е. не решают проблемы рома как этнического меньшинства, а значит (за некоторыми исключениями, касающимися формы оценок – см. пункт 154), не предусматривают получения четкой статистики в отношении конкретной национальности или этнической группы. Базовый обзор положения в Чешской Республике, связанного с возможностью множественной дискрим</w:t>
      </w:r>
      <w:r w:rsidRPr="000A02AB">
        <w:t>и</w:t>
      </w:r>
      <w:r w:rsidRPr="000A02AB">
        <w:t>нации (данные о поле, возрасте, месте проживания и образовании), предста</w:t>
      </w:r>
      <w:r w:rsidRPr="000A02AB">
        <w:t>в</w:t>
      </w:r>
      <w:r w:rsidRPr="000A02AB">
        <w:t>лен в Обследовании рабочей силы</w:t>
      </w:r>
      <w:r w:rsidRPr="000A02AB">
        <w:rPr>
          <w:rStyle w:val="FootnoteReference"/>
        </w:rPr>
        <w:footnoteReference w:id="60"/>
      </w:r>
      <w:r w:rsidRPr="000A02AB">
        <w:t>.</w:t>
      </w:r>
    </w:p>
    <w:p w:rsidR="00170278" w:rsidRPr="000A02AB" w:rsidRDefault="00170278" w:rsidP="000A02AB">
      <w:pPr>
        <w:pStyle w:val="SingleTxt"/>
      </w:pPr>
      <w:r w:rsidRPr="000A02AB">
        <w:t>197.</w:t>
      </w:r>
      <w:r w:rsidRPr="000A02AB">
        <w:tab/>
        <w:t>В 2014 году НПО "Слово 21" провела "Исследование положения женщин рома в Чешской Республике", которое, в частности, показывает, что бóльшая часть респондентов заинтересована в получении знаний и считает, что их д</w:t>
      </w:r>
      <w:r w:rsidRPr="000A02AB">
        <w:t>е</w:t>
      </w:r>
      <w:r w:rsidRPr="000A02AB">
        <w:t>тям необходимо учиться. Подавляющее большинство респондентов заявило о наличии непосредственного опыта, связанного с дискриминацией в жилищной сфере, однако не высказало жалоб по поводу доступности и качества медици</w:t>
      </w:r>
      <w:r w:rsidRPr="000A02AB">
        <w:t>н</w:t>
      </w:r>
      <w:r w:rsidRPr="000A02AB">
        <w:t>ского обслуживания. Несколько большее число женщин рома предпочитает браку неофициальное сожительство; семьи до сих пор придерживаются "тр</w:t>
      </w:r>
      <w:r w:rsidRPr="000A02AB">
        <w:t>а</w:t>
      </w:r>
      <w:r w:rsidRPr="000A02AB">
        <w:t>диционного" распределения ролей, при котором женщина обеспечивает уход за членами семьи, а мужчина зарабатывает деньги. Уровень гражданской акти</w:t>
      </w:r>
      <w:r w:rsidRPr="000A02AB">
        <w:t>в</w:t>
      </w:r>
      <w:r w:rsidRPr="000A02AB">
        <w:t>ности респондентов был незначительным</w:t>
      </w:r>
      <w:r w:rsidRPr="000A02AB">
        <w:rPr>
          <w:rStyle w:val="FootnoteReference"/>
        </w:rPr>
        <w:footnoteReference w:id="61"/>
      </w:r>
      <w:r w:rsidRPr="000A02AB">
        <w:t>.</w:t>
      </w:r>
    </w:p>
    <w:p w:rsidR="00F83944" w:rsidRPr="000A02AB" w:rsidRDefault="00F83944"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02AB">
        <w:tab/>
      </w:r>
      <w:r w:rsidRPr="000A02AB">
        <w:tab/>
      </w:r>
      <w:bookmarkStart w:id="29" w:name="_Toc415654623"/>
      <w:r w:rsidRPr="000A02AB">
        <w:t>Статья 14</w:t>
      </w:r>
      <w:r w:rsidRPr="000A02AB">
        <w:br/>
        <w:t>Меры по ликвидации дискриминации в отношении женщин, проживающих в сельской местности</w:t>
      </w:r>
      <w:bookmarkEnd w:id="29"/>
    </w:p>
    <w:p w:rsidR="00F83944" w:rsidRPr="000A02AB" w:rsidRDefault="00F83944"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170278" w:rsidRPr="000A02AB" w:rsidRDefault="00170278" w:rsidP="000A02AB">
      <w:pPr>
        <w:pStyle w:val="SingleTxt"/>
      </w:pPr>
      <w:r w:rsidRPr="000A02AB">
        <w:t>198.</w:t>
      </w:r>
      <w:r w:rsidRPr="000A02AB">
        <w:tab/>
        <w:t>Одной из главных проблем женщин, проживающих в сельской местности, по-прежнему является их экономическое положение. Уровень безработицы среди женщин из сельских районов постоянно превышает показатель женской безработицы в крупных городах. В 2011 году доля безработных женщин в сельских районах составляла 11,2</w:t>
      </w:r>
      <w:r w:rsidR="009B4026" w:rsidRPr="000A02AB">
        <w:t> процент</w:t>
      </w:r>
      <w:r w:rsidRPr="000A02AB">
        <w:t>а, в то время как в городских рай</w:t>
      </w:r>
      <w:r w:rsidRPr="000A02AB">
        <w:t>о</w:t>
      </w:r>
      <w:r w:rsidRPr="000A02AB">
        <w:t>нах соответствующий показатель был равен 10,1</w:t>
      </w:r>
      <w:r w:rsidR="009B4026" w:rsidRPr="000A02AB">
        <w:t> процент</w:t>
      </w:r>
      <w:r w:rsidRPr="000A02AB">
        <w:t>а (см. статью 11).</w:t>
      </w:r>
    </w:p>
    <w:p w:rsidR="00170278" w:rsidRPr="000A02AB" w:rsidRDefault="00170278" w:rsidP="000A02AB">
      <w:pPr>
        <w:pStyle w:val="SingleTxt"/>
      </w:pPr>
      <w:r w:rsidRPr="000A02AB">
        <w:t>199.</w:t>
      </w:r>
      <w:r w:rsidRPr="000A02AB">
        <w:tab/>
        <w:t>В соответствии с типологией, широко применяемой в рамках ЕС, разл</w:t>
      </w:r>
      <w:r w:rsidRPr="000A02AB">
        <w:t>и</w:t>
      </w:r>
      <w:r w:rsidRPr="000A02AB">
        <w:t>чают преимущественно городские, смешанные и преимущественно сельские регионы. Края Чешской Республики делятся на следующие категории:</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tab/>
      </w:r>
      <w:r w:rsidRPr="000A02AB">
        <w:rPr>
          <w:szCs w:val="20"/>
        </w:rPr>
        <w:t>•</w:t>
      </w:r>
      <w:r w:rsidRPr="000A02AB">
        <w:rPr>
          <w:szCs w:val="20"/>
        </w:rPr>
        <w:tab/>
        <w:t>преимущественно городские: Прага и Центральная Богемия (Среднече</w:t>
      </w:r>
      <w:r w:rsidRPr="000A02AB">
        <w:rPr>
          <w:szCs w:val="20"/>
        </w:rPr>
        <w:t>ш</w:t>
      </w:r>
      <w:r w:rsidRPr="000A02AB">
        <w:rPr>
          <w:szCs w:val="20"/>
        </w:rPr>
        <w:t xml:space="preserve">ский край);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rPr>
          <w:szCs w:val="20"/>
        </w:rPr>
      </w:pPr>
      <w:r w:rsidRPr="000A02AB">
        <w:rPr>
          <w:szCs w:val="20"/>
        </w:rPr>
        <w:tab/>
        <w:t>•</w:t>
      </w:r>
      <w:r w:rsidR="00F83944" w:rsidRPr="000A02AB">
        <w:rPr>
          <w:szCs w:val="20"/>
        </w:rPr>
        <w:tab/>
      </w:r>
      <w:r w:rsidRPr="000A02AB">
        <w:rPr>
          <w:szCs w:val="20"/>
        </w:rPr>
        <w:t>преимущественно сельские: Пльзенский край, Южная Богемия (Южн</w:t>
      </w:r>
      <w:r w:rsidRPr="000A02AB">
        <w:rPr>
          <w:szCs w:val="20"/>
        </w:rPr>
        <w:t>о</w:t>
      </w:r>
      <w:r w:rsidRPr="000A02AB">
        <w:rPr>
          <w:szCs w:val="20"/>
        </w:rPr>
        <w:t xml:space="preserve">чешский край), Высочина, Пардубицкий, Оломоуцкий и Злинский края; </w:t>
      </w:r>
    </w:p>
    <w:p w:rsidR="00170278" w:rsidRPr="000A02AB" w:rsidRDefault="00170278" w:rsidP="000A02AB">
      <w:pPr>
        <w:pStyle w:val="SingleTxt"/>
        <w:tabs>
          <w:tab w:val="clear" w:pos="6538"/>
          <w:tab w:val="clear" w:pos="7013"/>
          <w:tab w:val="clear" w:pos="7488"/>
          <w:tab w:val="clear" w:pos="7978"/>
          <w:tab w:val="clear" w:pos="8453"/>
          <w:tab w:val="right" w:pos="1685"/>
        </w:tabs>
        <w:ind w:left="1742" w:hanging="475"/>
      </w:pPr>
      <w:r w:rsidRPr="000A02AB">
        <w:rPr>
          <w:szCs w:val="20"/>
        </w:rPr>
        <w:tab/>
        <w:t>•</w:t>
      </w:r>
      <w:r w:rsidRPr="000A02AB">
        <w:tab/>
        <w:t>смешанные: Карловарский, Устецкий, Либерецкий, Краловеградецкий, Южноморавский и Моравскосилезский края.</w:t>
      </w:r>
    </w:p>
    <w:p w:rsidR="00170278" w:rsidRPr="000A02AB" w:rsidRDefault="00170278" w:rsidP="000A02AB">
      <w:pPr>
        <w:pStyle w:val="SingleTxt"/>
      </w:pPr>
      <w:r w:rsidRPr="000A02AB">
        <w:t>200.</w:t>
      </w:r>
      <w:r w:rsidRPr="000A02AB">
        <w:tab/>
        <w:t>Как показано на представленной ниже диаграмме, по данным, касающи</w:t>
      </w:r>
      <w:r w:rsidRPr="000A02AB">
        <w:t>м</w:t>
      </w:r>
      <w:r w:rsidRPr="000A02AB">
        <w:t>ся всей страны, с 2008 года в регистрационных материалах БТ ЧР преобладали женщины; в связи с глобальным экономическим кризисом, который затронул главным образом те отрасли, где число работников-мужчин превышает число женщин, в последующие годы в этих материалах преобладали мужчины. Ра</w:t>
      </w:r>
      <w:r w:rsidRPr="000A02AB">
        <w:t>з</w:t>
      </w:r>
      <w:r w:rsidRPr="000A02AB">
        <w:t>личия в долевых показателях безработицы среди мужчин и женщин между о</w:t>
      </w:r>
      <w:r w:rsidRPr="000A02AB">
        <w:t>т</w:t>
      </w:r>
      <w:r w:rsidRPr="000A02AB">
        <w:t>дельными краями являлись незначительными и были связаны с различиями в их отраслевой структуре и степенью воздействия глобального экономического кризиса на соответствующую отрасль.</w:t>
      </w:r>
    </w:p>
    <w:p w:rsidR="00F83944" w:rsidRPr="000A02AB" w:rsidRDefault="00170278" w:rsidP="000A02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pacing w:val="0"/>
          <w:w w:val="100"/>
        </w:rPr>
        <w:br w:type="page"/>
      </w:r>
      <w:r w:rsidR="00F83944" w:rsidRPr="000A02AB">
        <w:rPr>
          <w:spacing w:val="0"/>
          <w:w w:val="100"/>
        </w:rPr>
        <w:tab/>
      </w:r>
      <w:r w:rsidR="00F83944" w:rsidRPr="000A02AB">
        <w:rPr>
          <w:spacing w:val="0"/>
          <w:w w:val="100"/>
        </w:rPr>
        <w:tab/>
      </w:r>
      <w:r w:rsidRPr="000A02AB">
        <w:t>Диаграмма 2</w:t>
      </w:r>
    </w:p>
    <w:p w:rsidR="00170278" w:rsidRPr="000A02AB" w:rsidRDefault="00F83944" w:rsidP="000A0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tab/>
      </w:r>
      <w:r w:rsidR="00170278" w:rsidRPr="000A02AB">
        <w:tab/>
        <w:t>Число соискателей вакансий, зарегистрированных в бюро труда Чешской Республики, в разбивке по полу</w:t>
      </w:r>
    </w:p>
    <w:p w:rsidR="00F83944" w:rsidRPr="000A02AB" w:rsidRDefault="00F83944" w:rsidP="000A02AB">
      <w:pPr>
        <w:pStyle w:val="SingleTxt"/>
        <w:spacing w:after="0" w:line="120" w:lineRule="exact"/>
        <w:rPr>
          <w:sz w:val="10"/>
        </w:rPr>
      </w:pPr>
    </w:p>
    <w:p w:rsidR="00170278" w:rsidRPr="000A02AB" w:rsidRDefault="00F83944" w:rsidP="000A02AB">
      <w:pPr>
        <w:pStyle w:val="SingleTxt"/>
      </w:pPr>
      <w:r w:rsidRPr="000A02AB">
        <w:rPr>
          <w:noProof/>
          <w:w w:val="100"/>
        </w:rPr>
        <w:pict>
          <v:group id="_x0000_s1037" style="position:absolute;left:0;text-align:left;margin-left:62.55pt;margin-top:5.4pt;width:424.75pt;height:270.75pt;z-index:2" coordorigin="2451,2794" coordsize="8495,5415">
            <v:shape id="_x0000_s1026" type="#_x0000_t75" style="position:absolute;left:2451;top:2794;width:8495;height:5415;mso-wrap-distance-left:9.05pt;mso-wrap-distance-right:9.05pt" filled="t">
              <v:fill color2="black"/>
              <v:imagedata r:id="rId16" o:title=""/>
            </v:shape>
            <v:shape id="_x0000_s1032" type="#_x0000_t202" style="position:absolute;left:3411;top:2997;width:6800;height:500" stroked="f">
              <v:textbox inset="0,0,0,0">
                <w:txbxContent>
                  <w:p w:rsidR="00170278" w:rsidRDefault="00170278" w:rsidP="00170278">
                    <w:pPr>
                      <w:rPr>
                        <w:spacing w:val="0"/>
                        <w:w w:val="100"/>
                      </w:rPr>
                    </w:pPr>
                    <w:r>
                      <w:rPr>
                        <w:spacing w:val="0"/>
                        <w:w w:val="100"/>
                      </w:rPr>
                      <w:t xml:space="preserve">Число соискателей вакансий, зарегистрированных в бюро труда Чешской </w:t>
                    </w:r>
                    <w:r w:rsidR="00F83944">
                      <w:rPr>
                        <w:spacing w:val="0"/>
                        <w:w w:val="100"/>
                      </w:rPr>
                      <w:br/>
                    </w:r>
                    <w:r>
                      <w:rPr>
                        <w:spacing w:val="0"/>
                        <w:w w:val="100"/>
                      </w:rPr>
                      <w:t>Ре</w:t>
                    </w:r>
                    <w:r>
                      <w:rPr>
                        <w:spacing w:val="0"/>
                        <w:w w:val="100"/>
                      </w:rPr>
                      <w:t>с</w:t>
                    </w:r>
                    <w:r>
                      <w:rPr>
                        <w:spacing w:val="0"/>
                        <w:w w:val="100"/>
                      </w:rPr>
                      <w:t>публики, в разбивке по полу, 2008–2013 годы</w:t>
                    </w:r>
                  </w:p>
                </w:txbxContent>
              </v:textbox>
            </v:shape>
            <v:shape id="_x0000_s1033" type="#_x0000_t202" style="position:absolute;left:2495;top:3967;width:250;height:3555" stroked="f">
              <v:textbox style="layout-flow:vertical;mso-layout-flow-alt:bottom-to-top" inset="0,0,0,0">
                <w:txbxContent>
                  <w:p w:rsidR="00170278" w:rsidRPr="00F83944" w:rsidRDefault="00170278" w:rsidP="00170278">
                    <w:pPr>
                      <w:jc w:val="center"/>
                      <w:rPr>
                        <w:sz w:val="16"/>
                        <w:szCs w:val="16"/>
                      </w:rPr>
                    </w:pPr>
                    <w:r w:rsidRPr="00F83944">
                      <w:rPr>
                        <w:sz w:val="16"/>
                        <w:szCs w:val="16"/>
                      </w:rPr>
                      <w:t>Число соискателей вакансий (в тыс. чел</w:t>
                    </w:r>
                    <w:r w:rsidRPr="00F83944">
                      <w:rPr>
                        <w:sz w:val="16"/>
                        <w:szCs w:val="16"/>
                      </w:rPr>
                      <w:t>о</w:t>
                    </w:r>
                    <w:r w:rsidRPr="00F83944">
                      <w:rPr>
                        <w:sz w:val="16"/>
                        <w:szCs w:val="16"/>
                      </w:rPr>
                      <w:t>век)</w:t>
                    </w:r>
                  </w:p>
                </w:txbxContent>
              </v:textbox>
            </v:shape>
            <v:shape id="_x0000_s1034" type="#_x0000_t202" style="position:absolute;left:4756;top:7862;width:1970;height:281" stroked="f">
              <v:textbox inset="0,0,0,0">
                <w:txbxContent>
                  <w:p w:rsidR="00170278" w:rsidRPr="00F83944" w:rsidRDefault="00170278" w:rsidP="00F83944">
                    <w:pPr>
                      <w:spacing w:line="140" w:lineRule="exact"/>
                      <w:rPr>
                        <w:b/>
                        <w:spacing w:val="0"/>
                        <w:w w:val="100"/>
                        <w:sz w:val="14"/>
                        <w:szCs w:val="14"/>
                      </w:rPr>
                    </w:pPr>
                    <w:r w:rsidRPr="00F83944">
                      <w:rPr>
                        <w:b/>
                        <w:spacing w:val="0"/>
                        <w:w w:val="100"/>
                        <w:sz w:val="14"/>
                        <w:szCs w:val="14"/>
                      </w:rPr>
                      <w:t xml:space="preserve">Общее число соискателей </w:t>
                    </w:r>
                    <w:r w:rsidR="00F83944">
                      <w:rPr>
                        <w:b/>
                        <w:spacing w:val="0"/>
                        <w:w w:val="100"/>
                        <w:sz w:val="14"/>
                        <w:szCs w:val="14"/>
                      </w:rPr>
                      <w:br/>
                    </w:r>
                    <w:r w:rsidRPr="00F83944">
                      <w:rPr>
                        <w:b/>
                        <w:spacing w:val="0"/>
                        <w:w w:val="100"/>
                        <w:sz w:val="14"/>
                        <w:szCs w:val="14"/>
                      </w:rPr>
                      <w:t>в</w:t>
                    </w:r>
                    <w:r w:rsidRPr="00F83944">
                      <w:rPr>
                        <w:b/>
                        <w:spacing w:val="0"/>
                        <w:w w:val="100"/>
                        <w:sz w:val="14"/>
                        <w:szCs w:val="14"/>
                      </w:rPr>
                      <w:t>а</w:t>
                    </w:r>
                    <w:r w:rsidRPr="00F83944">
                      <w:rPr>
                        <w:b/>
                        <w:spacing w:val="0"/>
                        <w:w w:val="100"/>
                        <w:sz w:val="14"/>
                        <w:szCs w:val="14"/>
                      </w:rPr>
                      <w:t>кансий</w:t>
                    </w:r>
                  </w:p>
                </w:txbxContent>
              </v:textbox>
            </v:shape>
            <v:shape id="_x0000_s1035" type="#_x0000_t202" style="position:absolute;left:7276;top:7905;width:920;height:200" stroked="f">
              <v:textbox inset="0,0,0,0">
                <w:txbxContent>
                  <w:p w:rsidR="00170278" w:rsidRPr="00F83944" w:rsidRDefault="00170278" w:rsidP="00F83944">
                    <w:pPr>
                      <w:spacing w:line="140" w:lineRule="exact"/>
                      <w:rPr>
                        <w:b/>
                        <w:spacing w:val="0"/>
                        <w:w w:val="100"/>
                        <w:sz w:val="14"/>
                        <w:szCs w:val="14"/>
                      </w:rPr>
                    </w:pPr>
                    <w:r w:rsidRPr="00F83944">
                      <w:rPr>
                        <w:b/>
                        <w:spacing w:val="0"/>
                        <w:w w:val="100"/>
                        <w:sz w:val="14"/>
                        <w:szCs w:val="14"/>
                      </w:rPr>
                      <w:t>Женщины</w:t>
                    </w:r>
                  </w:p>
                </w:txbxContent>
              </v:textbox>
            </v:shape>
            <v:shape id="_x0000_s1036" type="#_x0000_t202" style="position:absolute;left:8786;top:7915;width:930;height:190" stroked="f">
              <v:textbox inset="0,0,0,0">
                <w:txbxContent>
                  <w:p w:rsidR="00170278" w:rsidRPr="00F83944" w:rsidRDefault="00170278" w:rsidP="00F83944">
                    <w:pPr>
                      <w:spacing w:line="140" w:lineRule="exact"/>
                      <w:rPr>
                        <w:b/>
                        <w:spacing w:val="0"/>
                        <w:w w:val="100"/>
                        <w:sz w:val="14"/>
                        <w:szCs w:val="14"/>
                      </w:rPr>
                    </w:pPr>
                    <w:r w:rsidRPr="00F83944">
                      <w:rPr>
                        <w:b/>
                        <w:spacing w:val="0"/>
                        <w:w w:val="100"/>
                        <w:sz w:val="14"/>
                        <w:szCs w:val="14"/>
                      </w:rPr>
                      <w:t>Мужчины</w:t>
                    </w:r>
                  </w:p>
                </w:txbxContent>
              </v:textbox>
            </v:shape>
          </v:group>
        </w:pict>
      </w: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F83944" w:rsidRPr="000A02AB" w:rsidRDefault="00F83944" w:rsidP="000A02AB">
      <w:pPr>
        <w:pStyle w:val="SingleTxt"/>
      </w:pPr>
    </w:p>
    <w:p w:rsidR="00F83944" w:rsidRPr="000A02AB" w:rsidRDefault="00F83944"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pPr>
    </w:p>
    <w:p w:rsidR="00170278" w:rsidRPr="000A02AB" w:rsidRDefault="00170278" w:rsidP="000A02AB">
      <w:pPr>
        <w:pStyle w:val="SingleTxt"/>
        <w:rPr>
          <w:sz w:val="10"/>
        </w:rPr>
      </w:pPr>
    </w:p>
    <w:p w:rsidR="00170278" w:rsidRPr="000A02AB" w:rsidRDefault="00170278"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F83944" w:rsidRPr="000A02AB" w:rsidRDefault="00F83944" w:rsidP="000A02AB">
      <w:pPr>
        <w:pStyle w:val="SingleTxt"/>
        <w:spacing w:after="0" w:line="120" w:lineRule="exact"/>
        <w:rPr>
          <w:sz w:val="10"/>
        </w:rPr>
      </w:pPr>
    </w:p>
    <w:p w:rsidR="00170278" w:rsidRPr="000A02AB" w:rsidRDefault="00170278" w:rsidP="000A02AB">
      <w:pPr>
        <w:pStyle w:val="SingleTxt"/>
      </w:pPr>
      <w:r w:rsidRPr="000A02AB">
        <w:t>201.</w:t>
      </w:r>
      <w:r w:rsidRPr="000A02AB">
        <w:tab/>
        <w:t>При осуществлении политики в сфере трудоустройства с помощью и</w:t>
      </w:r>
      <w:r w:rsidRPr="000A02AB">
        <w:t>н</w:t>
      </w:r>
      <w:r w:rsidRPr="000A02AB">
        <w:t>струментов и мер, предусмотренных активной политикой в области занятости в целях увеличения численности работающего населения, МТСД и БТ ЧР в первую очередь поддерживают тех претендентов на рабочие места, которые не могут найти работу другим путем по причине своих индивидуальных качеств, которые ставят их в невыгодное положение. К этой группе, в частности, отн</w:t>
      </w:r>
      <w:r w:rsidRPr="000A02AB">
        <w:t>о</w:t>
      </w:r>
      <w:r w:rsidRPr="000A02AB">
        <w:t>сятся лица, которые в течение длительного времени регистрируются в качестве безработных, и претенденты на рабочие места, которым ввиду состояния зд</w:t>
      </w:r>
      <w:r w:rsidRPr="000A02AB">
        <w:t>о</w:t>
      </w:r>
      <w:r w:rsidRPr="000A02AB">
        <w:t xml:space="preserve">ровья, возраста (выпускники без опыта работы, юноши и девушки в возрасте младше 25 </w:t>
      </w:r>
      <w:r w:rsidR="00FC5B17" w:rsidRPr="000A02AB">
        <w:t>лет и лица в возрасте старше 55 </w:t>
      </w:r>
      <w:r w:rsidRPr="000A02AB">
        <w:t>лет) или необходимости ухода за ребенком уделяется повышенное внимание. При осуществлении активной п</w:t>
      </w:r>
      <w:r w:rsidRPr="000A02AB">
        <w:t>о</w:t>
      </w:r>
      <w:r w:rsidRPr="000A02AB">
        <w:t>литики МТСД и БТ ЧР не применяют специальные программы или меры, сп</w:t>
      </w:r>
      <w:r w:rsidRPr="000A02AB">
        <w:t>о</w:t>
      </w:r>
      <w:r w:rsidRPr="000A02AB">
        <w:t>собствующие достижению гендерного равенства.</w:t>
      </w:r>
    </w:p>
    <w:p w:rsidR="00170278" w:rsidRPr="000A02AB" w:rsidRDefault="00170278" w:rsidP="000A02AB">
      <w:pPr>
        <w:pStyle w:val="SingleTxt"/>
        <w:rPr>
          <w:sz w:val="10"/>
        </w:rPr>
      </w:pPr>
      <w:r w:rsidRPr="000A02AB">
        <w:t>202.</w:t>
      </w:r>
      <w:r w:rsidRPr="000A02AB">
        <w:tab/>
        <w:t>В рамках предотвращения социальной изоляции (например, изоляции женщин, проживающих в сельской местности) МРР совместно с Государстве</w:t>
      </w:r>
      <w:r w:rsidRPr="000A02AB">
        <w:t>н</w:t>
      </w:r>
      <w:r w:rsidRPr="000A02AB">
        <w:t>ным фондом жилищного строительства обеспечило наличие 14</w:t>
      </w:r>
      <w:r w:rsidR="00FC5B17" w:rsidRPr="000A02AB">
        <w:t> 909 </w:t>
      </w:r>
      <w:r w:rsidRPr="000A02AB">
        <w:t>квартир, сдаваемых в аренду в качестве социального жилья. К этой категории относ</w:t>
      </w:r>
      <w:r w:rsidRPr="000A02AB">
        <w:t>и</w:t>
      </w:r>
      <w:r w:rsidRPr="000A02AB">
        <w:t>лись квартиры, предоставлявшиеся на условиях социального найма, которые были построены в период с 2009 по 2010 год и в первую очередь предназнач</w:t>
      </w:r>
      <w:r w:rsidRPr="000A02AB">
        <w:t>а</w:t>
      </w:r>
      <w:r w:rsidRPr="000A02AB">
        <w:t>лись для пожилых граждан, инвалидов и социально ущемленных лиц, впервые получающих жилье.</w:t>
      </w:r>
    </w:p>
    <w:p w:rsidR="00170278" w:rsidRPr="000A02AB" w:rsidRDefault="00170278" w:rsidP="003614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0A02AB">
        <w:tab/>
      </w:r>
      <w:r w:rsidRPr="000A02AB">
        <w:tab/>
      </w:r>
      <w:bookmarkStart w:id="30" w:name="_Toc415654624"/>
      <w:r w:rsidRPr="000A02AB">
        <w:t>Статьи 15 и 16</w:t>
      </w:r>
      <w:r w:rsidRPr="000A02AB">
        <w:br/>
        <w:t>Содействие в установлении гендерного равенства перед законом и в гражданских делах, семейных отнош</w:t>
      </w:r>
      <w:r w:rsidR="00FC5B17" w:rsidRPr="000A02AB">
        <w:t>ениях и </w:t>
      </w:r>
      <w:r w:rsidRPr="000A02AB">
        <w:t>вопросах, касающихся брака</w:t>
      </w:r>
      <w:bookmarkEnd w:id="30"/>
    </w:p>
    <w:p w:rsidR="00FC5B17" w:rsidRPr="000A02AB" w:rsidRDefault="00FC5B17" w:rsidP="000A02AB">
      <w:pPr>
        <w:pStyle w:val="SingleTxt"/>
        <w:spacing w:after="0" w:line="120" w:lineRule="exact"/>
        <w:rPr>
          <w:sz w:val="10"/>
        </w:rPr>
      </w:pPr>
    </w:p>
    <w:p w:rsidR="00FC5B17" w:rsidRPr="000A02AB" w:rsidRDefault="00FC5B17" w:rsidP="000A02AB">
      <w:pPr>
        <w:pStyle w:val="SingleTxt"/>
        <w:spacing w:after="0" w:line="120" w:lineRule="exact"/>
        <w:rPr>
          <w:sz w:val="10"/>
        </w:rPr>
      </w:pPr>
    </w:p>
    <w:p w:rsidR="00170278" w:rsidRPr="000A02AB" w:rsidRDefault="00170278" w:rsidP="000A02AB">
      <w:pPr>
        <w:pStyle w:val="SingleTxt"/>
      </w:pPr>
      <w:r w:rsidRPr="000A02AB">
        <w:t>203.</w:t>
      </w:r>
      <w:r w:rsidRPr="000A02AB">
        <w:tab/>
        <w:t>В Чешской Республике на протяжении многих лет отмечается сокращение количества браков. В 2011 году в стране было проведено 45 137</w:t>
      </w:r>
      <w:r w:rsidR="00FC5B17" w:rsidRPr="000A02AB">
        <w:t> </w:t>
      </w:r>
      <w:r w:rsidRPr="000A02AB">
        <w:t>церемоний бракосочетания, что является самым низким показателем за период с 1918 года. В 2012 году количество зарегистрированных браков незначительно возросло, достигнув 45 206</w:t>
      </w:r>
      <w:r w:rsidRPr="000A02AB">
        <w:rPr>
          <w:rStyle w:val="FootnoteReference"/>
        </w:rPr>
        <w:footnoteReference w:id="62"/>
      </w:r>
      <w:r w:rsidRPr="000A02AB">
        <w:t>. В настоящее время в Чешской Республике имеет место тенденция к увеличению количества случаев сожительства партнеров без оф</w:t>
      </w:r>
      <w:r w:rsidRPr="000A02AB">
        <w:t>и</w:t>
      </w:r>
      <w:r w:rsidRPr="000A02AB">
        <w:t xml:space="preserve">циальной регистрации брака (даже среди рома – см. статью 13). </w:t>
      </w:r>
    </w:p>
    <w:p w:rsidR="00170278" w:rsidRPr="000A02AB" w:rsidRDefault="00170278" w:rsidP="000A02AB">
      <w:pPr>
        <w:pStyle w:val="SingleTxt"/>
      </w:pPr>
      <w:r w:rsidRPr="000A02AB">
        <w:t>204.</w:t>
      </w:r>
      <w:r w:rsidRPr="000A02AB">
        <w:tab/>
        <w:t>В 2012 году был введен новый Гражданский кодекс (Закон №</w:t>
      </w:r>
      <w:r w:rsidR="00FC5B17" w:rsidRPr="000A02AB">
        <w:t> </w:t>
      </w:r>
      <w:r w:rsidRPr="000A02AB">
        <w:t>89/2012 Coll.), который вступил в силу 1 января 2014 года. Этот новый нормативный акт в числе прочего оказывает позитивное воздействие на обеспечение раве</w:t>
      </w:r>
      <w:r w:rsidRPr="000A02AB">
        <w:t>н</w:t>
      </w:r>
      <w:r w:rsidRPr="000A02AB">
        <w:t>ства между женщинами и мужчинами.</w:t>
      </w:r>
    </w:p>
    <w:p w:rsidR="00170278" w:rsidRPr="000A02AB" w:rsidRDefault="00170278" w:rsidP="000A02AB">
      <w:pPr>
        <w:pStyle w:val="SingleTxt"/>
      </w:pPr>
      <w:r w:rsidRPr="000A02AB">
        <w:t>205.</w:t>
      </w:r>
      <w:r w:rsidRPr="000A02AB">
        <w:tab/>
        <w:t>В качестве нового элемента Гражданский кодекс включает Закон о семье. В сфере семейного права произошли некоторые изменения, прежде всего в в</w:t>
      </w:r>
      <w:r w:rsidRPr="000A02AB">
        <w:t>о</w:t>
      </w:r>
      <w:r w:rsidRPr="000A02AB">
        <w:t>просах установления отцовства, выплаты алиментов, возмещения отдельных расходов матерей-одиночек или алиментных обязательств разведенных супр</w:t>
      </w:r>
      <w:r w:rsidRPr="000A02AB">
        <w:t>у</w:t>
      </w:r>
      <w:r w:rsidRPr="000A02AB">
        <w:t>гов. Гражданский кодекс содержит четкие положения о защите семейного ж</w:t>
      </w:r>
      <w:r w:rsidRPr="000A02AB">
        <w:t>и</w:t>
      </w:r>
      <w:r w:rsidRPr="000A02AB">
        <w:t>лья и регулирует жилищные вопросы, возникающие после расторжения брака. Он обеспечивает особую правовую защиту семьи, брака и родительства; супр</w:t>
      </w:r>
      <w:r w:rsidRPr="000A02AB">
        <w:t>у</w:t>
      </w:r>
      <w:r w:rsidRPr="000A02AB">
        <w:t>ги имеют равные обязанности и равные права. Одним из новых положений Гражданского кодекса является положение об обязанности мужа/жены учит</w:t>
      </w:r>
      <w:r w:rsidRPr="000A02AB">
        <w:t>ы</w:t>
      </w:r>
      <w:r w:rsidRPr="000A02AB">
        <w:t>вать при выборе места работы или учебы и аналогичной деятельности интер</w:t>
      </w:r>
      <w:r w:rsidRPr="000A02AB">
        <w:t>е</w:t>
      </w:r>
      <w:r w:rsidRPr="000A02AB">
        <w:t>сы семьи, партнера и несовершеннолетних детей, которые еще не приобрели полной дееспособности и живут со своими родителями в семейном домохозя</w:t>
      </w:r>
      <w:r w:rsidRPr="000A02AB">
        <w:t>й</w:t>
      </w:r>
      <w:r w:rsidRPr="000A02AB">
        <w:t>стве, или других членов семьи.</w:t>
      </w:r>
    </w:p>
    <w:p w:rsidR="00170278" w:rsidRPr="000A02AB" w:rsidRDefault="00170278" w:rsidP="000A02AB">
      <w:pPr>
        <w:pStyle w:val="SingleTxt"/>
        <w:rPr>
          <w:sz w:val="10"/>
        </w:rPr>
      </w:pPr>
      <w:r w:rsidRPr="000A02AB">
        <w:t>206.</w:t>
      </w:r>
      <w:r w:rsidRPr="000A02AB">
        <w:tab/>
        <w:t>В соответствии с новым регламентом процедур, касающихся попечения о несовершеннолетних в судебной системе, который предусмотрен Зак</w:t>
      </w:r>
      <w:r w:rsidRPr="000A02AB">
        <w:t>о</w:t>
      </w:r>
      <w:r w:rsidRPr="000A02AB">
        <w:t>ном № 292/2013 Coll. о специальных судебных разбирательствах, вступившим в силу 1 января 2014 года, все решения о выплате алиментов обеспечены пр</w:t>
      </w:r>
      <w:r w:rsidRPr="000A02AB">
        <w:t>а</w:t>
      </w:r>
      <w:r w:rsidRPr="000A02AB">
        <w:t>вовой санкцией (см. §473 Закона № 292/2013 Coll.). Это означает, что указа</w:t>
      </w:r>
      <w:r w:rsidRPr="000A02AB">
        <w:t>н</w:t>
      </w:r>
      <w:r w:rsidRPr="000A02AB">
        <w:t>ные решения подлежат принудительному исполнению с момента их получения лицом, которое обязано выплачивать средства на содержание ребенка, вне з</w:t>
      </w:r>
      <w:r w:rsidRPr="000A02AB">
        <w:t>а</w:t>
      </w:r>
      <w:r w:rsidRPr="000A02AB">
        <w:t>висимости от даты вступления в силу соответствующего решения и его обж</w:t>
      </w:r>
      <w:r w:rsidRPr="000A02AB">
        <w:t>а</w:t>
      </w:r>
      <w:r w:rsidRPr="000A02AB">
        <w:t>лования в краевом суде. Такой подход позволил значительно ускорить выплату средств на содержание ребенка в случаях, когда лицо, являющееся жертвой насилия в семье, добивается назначения алиментов на ребенка, находящегося на его попечении, и их выплаты отцом или матерью этого ребенка. Согласно Плану законодательной работы чешского правительства на 2014 год МТСД должно представить правительству к декабрю 2014 года проект закона о з</w:t>
      </w:r>
      <w:r w:rsidRPr="000A02AB">
        <w:t>а</w:t>
      </w:r>
      <w:r w:rsidRPr="000A02AB">
        <w:t>мене алиментов, в котором в числе прочего должно быть учтено тяжелое эк</w:t>
      </w:r>
      <w:r w:rsidRPr="000A02AB">
        <w:t>о</w:t>
      </w:r>
      <w:r w:rsidRPr="000A02AB">
        <w:t>номическое положение разведенных супругов в ситуациях, когда второй род</w:t>
      </w:r>
      <w:r w:rsidRPr="000A02AB">
        <w:t>и</w:t>
      </w:r>
      <w:r w:rsidRPr="000A02AB">
        <w:t>тель не выплачивает установленную сумму алиментов.</w:t>
      </w: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rPr>
          <w:sz w:val="10"/>
        </w:rPr>
      </w:pPr>
      <w:r w:rsidRPr="000A02AB">
        <w:tab/>
      </w:r>
      <w:r w:rsidRPr="000A02AB">
        <w:tab/>
      </w:r>
      <w:bookmarkStart w:id="31" w:name="_Toc415654625"/>
      <w:r w:rsidRPr="000A02AB">
        <w:t>Статья 20</w:t>
      </w:r>
      <w:r w:rsidRPr="000A02AB">
        <w:br/>
        <w:t>Заседание Комитет</w:t>
      </w:r>
      <w:r w:rsidR="00FC5B17" w:rsidRPr="000A02AB">
        <w:t>а по ликвидации дискриминации в </w:t>
      </w:r>
      <w:r w:rsidRPr="000A02AB">
        <w:t>отношении женщин</w:t>
      </w:r>
      <w:bookmarkEnd w:id="31"/>
    </w:p>
    <w:p w:rsidR="00FC5B17" w:rsidRPr="000A02AB" w:rsidRDefault="00FC5B17" w:rsidP="000A02AB">
      <w:pPr>
        <w:pStyle w:val="SingleTxt"/>
        <w:spacing w:after="0" w:line="120" w:lineRule="exact"/>
        <w:rPr>
          <w:sz w:val="10"/>
        </w:rPr>
      </w:pPr>
    </w:p>
    <w:p w:rsidR="00FC5B17" w:rsidRPr="000A02AB" w:rsidRDefault="00FC5B17" w:rsidP="000A02AB">
      <w:pPr>
        <w:pStyle w:val="SingleTxt"/>
        <w:spacing w:after="0" w:line="120" w:lineRule="exact"/>
        <w:rPr>
          <w:sz w:val="10"/>
        </w:rPr>
      </w:pPr>
    </w:p>
    <w:p w:rsidR="00170278" w:rsidRPr="000A02AB" w:rsidRDefault="00170278" w:rsidP="000A02AB">
      <w:pPr>
        <w:pStyle w:val="SingleTxt"/>
      </w:pPr>
      <w:r w:rsidRPr="000A02AB">
        <w:t>207.</w:t>
      </w:r>
      <w:r w:rsidRPr="000A02AB">
        <w:tab/>
        <w:t>Комитет настоятельно призывает государство-участника ускорить прин</w:t>
      </w:r>
      <w:r w:rsidRPr="000A02AB">
        <w:t>я</w:t>
      </w:r>
      <w:r w:rsidRPr="000A02AB">
        <w:t>тие поправки к пункту 1 статьи 20 Конвенции о датах проведения заседаний Комитета. Данная поправка была принята 30 июня 2014 года, когда Чешская Республика передала соответствующий текст на хранение депозитарию.</w:t>
      </w:r>
    </w:p>
    <w:p w:rsidR="00170278" w:rsidRPr="000A02AB" w:rsidRDefault="00170278" w:rsidP="000A02AB">
      <w:pPr>
        <w:pStyle w:val="SingleTxt"/>
      </w:pPr>
    </w:p>
    <w:p w:rsidR="00170278" w:rsidRPr="000A02AB" w:rsidRDefault="00170278" w:rsidP="000A02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0A02AB">
        <w:rPr>
          <w:spacing w:val="0"/>
          <w:w w:val="100"/>
          <w:sz w:val="28"/>
          <w:lang w:eastAsia="ru-RU"/>
        </w:rPr>
        <w:br w:type="page"/>
      </w:r>
      <w:r w:rsidRPr="000A02AB">
        <w:tab/>
      </w:r>
      <w:r w:rsidRPr="000A02AB">
        <w:tab/>
      </w:r>
      <w:bookmarkStart w:id="32" w:name="_Toc415654626"/>
      <w:r w:rsidRPr="000A02AB">
        <w:t>Глоссарий</w:t>
      </w:r>
      <w:bookmarkEnd w:id="32"/>
    </w:p>
    <w:p w:rsidR="00A766A7" w:rsidRPr="000A02AB" w:rsidRDefault="00A766A7" w:rsidP="000A02AB">
      <w:pPr>
        <w:pStyle w:val="SingleTxt"/>
        <w:spacing w:after="0" w:line="120" w:lineRule="exact"/>
        <w:rPr>
          <w:sz w:val="10"/>
        </w:rPr>
      </w:pPr>
    </w:p>
    <w:p w:rsidR="00A766A7" w:rsidRPr="000A02AB" w:rsidRDefault="00A766A7" w:rsidP="000A02AB">
      <w:pPr>
        <w:pStyle w:val="SingleTxt"/>
        <w:spacing w:after="0" w:line="120" w:lineRule="exact"/>
        <w:rPr>
          <w:sz w:val="10"/>
        </w:rPr>
      </w:pPr>
    </w:p>
    <w:tbl>
      <w:tblPr>
        <w:tblW w:w="0" w:type="auto"/>
        <w:tblInd w:w="1254" w:type="dxa"/>
        <w:tblLayout w:type="fixed"/>
        <w:tblCellMar>
          <w:left w:w="0" w:type="dxa"/>
          <w:right w:w="0" w:type="dxa"/>
        </w:tblCellMar>
        <w:tblLook w:val="04A0"/>
      </w:tblPr>
      <w:tblGrid>
        <w:gridCol w:w="1488"/>
        <w:gridCol w:w="5880"/>
      </w:tblGrid>
      <w:tr w:rsidR="00170278" w:rsidRPr="000A02AB" w:rsidTr="00170278">
        <w:trPr>
          <w:trHeight w:hRule="exact" w:val="115"/>
          <w:tblHeader/>
        </w:trPr>
        <w:tc>
          <w:tcPr>
            <w:tcW w:w="1488" w:type="dxa"/>
            <w:vAlign w:val="bottom"/>
          </w:tcPr>
          <w:p w:rsidR="00170278" w:rsidRPr="000A02AB" w:rsidRDefault="00170278" w:rsidP="000A02AB">
            <w:pPr>
              <w:pStyle w:val="SingleTxt"/>
              <w:snapToGrid w:val="0"/>
              <w:spacing w:line="240" w:lineRule="auto"/>
              <w:ind w:left="0" w:right="0"/>
              <w:jc w:val="left"/>
              <w:rPr>
                <w:w w:val="100"/>
              </w:rPr>
            </w:pPr>
          </w:p>
        </w:tc>
        <w:tc>
          <w:tcPr>
            <w:tcW w:w="5880" w:type="dxa"/>
            <w:vAlign w:val="bottom"/>
          </w:tcPr>
          <w:p w:rsidR="00170278" w:rsidRPr="000A02AB" w:rsidRDefault="00170278" w:rsidP="000A02AB">
            <w:pPr>
              <w:pStyle w:val="SingleTxt"/>
              <w:snapToGrid w:val="0"/>
              <w:spacing w:line="240" w:lineRule="auto"/>
              <w:ind w:left="0" w:right="0"/>
              <w:jc w:val="left"/>
              <w:rPr>
                <w:w w:val="100"/>
              </w:rPr>
            </w:pP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АН</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Академия наук</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АПЗ</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активная политика в области занятости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АСЧР</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Агентство по субсидиям Чешской Республики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БТ ЧР</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Бюро труда Чешской Республики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ДПОП</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Дирекция полиции общественного порядка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ЕвС</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 xml:space="preserve">Европейский суд </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ЕС</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Европейский союз</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ЕСФ</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Европейский социальный фонд</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ИТ</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информационные технологии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ЛИДЕМ</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либерал-демократы</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МВД</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внутренних дел</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MЗ</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здравоохранения</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МИД</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иностранных дел</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МПТ</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промышленности и торговли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МРР</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регионального развития</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МТСД</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труда и социальных дел</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МФ</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финансов</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МЮ</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Министерство юстиции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НКЦ-ЖН</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Национальный контактный центр "Женщины и наука"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НПД НС</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Национальный план действий по предупреждению насилия в семье на 2011–2014 годы</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НПО</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неправительственные организации</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НПР</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Национальные программы реформ</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ООН</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Организация Объединенных Наций</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СДУЖ ЕС</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Статистика доходов и условий жизни в ЕС (обследование дох</w:t>
            </w:r>
            <w:r w:rsidRPr="000A02AB">
              <w:t>о</w:t>
            </w:r>
            <w:r w:rsidRPr="000A02AB">
              <w:t>дов и условий жизни домохозяйств Европейского союза)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УУПЧ</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Управление Уполномоченного по правам</w:t>
            </w:r>
            <w:r w:rsidR="009B4026" w:rsidRPr="000A02AB">
              <w:t> человек</w:t>
            </w:r>
            <w:r w:rsidRPr="000A02AB">
              <w:t>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УПЧ</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Уполномоченный по правам</w:t>
            </w:r>
            <w:r w:rsidR="009B4026" w:rsidRPr="000A02AB">
              <w:t> человек</w:t>
            </w:r>
            <w:r w:rsidRPr="000A02AB">
              <w:t>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ЧР</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Чешская Республика</w:t>
            </w:r>
          </w:p>
        </w:tc>
      </w:tr>
      <w:tr w:rsidR="00170278" w:rsidRPr="000A02AB" w:rsidTr="00170278">
        <w:tc>
          <w:tcPr>
            <w:tcW w:w="1488" w:type="dxa"/>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ЧСУ</w:t>
            </w:r>
          </w:p>
        </w:tc>
        <w:tc>
          <w:tcPr>
            <w:tcW w:w="5880" w:type="dxa"/>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Чешское статистическое управление</w:t>
            </w:r>
          </w:p>
        </w:tc>
      </w:tr>
      <w:tr w:rsidR="00170278" w:rsidRPr="000A02AB" w:rsidTr="00170278">
        <w:tc>
          <w:tcPr>
            <w:tcW w:w="1488" w:type="dxa"/>
            <w:tcBorders>
              <w:top w:val="nil"/>
              <w:left w:val="nil"/>
              <w:bottom w:val="single" w:sz="12" w:space="0" w:color="000000"/>
              <w:right w:val="nil"/>
            </w:tcBorders>
            <w:hideMark/>
          </w:tcPr>
          <w:p w:rsidR="00170278" w:rsidRPr="000A02AB" w:rsidRDefault="00170278" w:rsidP="000A02AB">
            <w:pPr>
              <w:pStyle w:val="SingleTxt"/>
              <w:tabs>
                <w:tab w:val="left" w:pos="288"/>
                <w:tab w:val="left" w:pos="576"/>
                <w:tab w:val="left" w:pos="864"/>
                <w:tab w:val="left" w:pos="1152"/>
              </w:tabs>
              <w:spacing w:line="240" w:lineRule="auto"/>
              <w:ind w:left="0" w:right="0"/>
              <w:jc w:val="left"/>
              <w:rPr>
                <w:w w:val="100"/>
              </w:rPr>
            </w:pPr>
            <w:r w:rsidRPr="000A02AB">
              <w:t>NESEHNUTÍ</w:t>
            </w:r>
          </w:p>
        </w:tc>
        <w:tc>
          <w:tcPr>
            <w:tcW w:w="5880" w:type="dxa"/>
            <w:tcBorders>
              <w:top w:val="nil"/>
              <w:left w:val="nil"/>
              <w:bottom w:val="single" w:sz="12" w:space="0" w:color="000000"/>
              <w:right w:val="nil"/>
            </w:tcBorders>
            <w:hideMark/>
          </w:tcPr>
          <w:p w:rsidR="00170278" w:rsidRPr="000A02AB" w:rsidRDefault="00170278" w:rsidP="000A02AB">
            <w:pPr>
              <w:pStyle w:val="SingleTxt"/>
              <w:tabs>
                <w:tab w:val="left" w:pos="432"/>
                <w:tab w:val="left" w:pos="720"/>
                <w:tab w:val="left" w:pos="1008"/>
                <w:tab w:val="left" w:pos="1296"/>
              </w:tabs>
              <w:spacing w:line="240" w:lineRule="auto"/>
              <w:ind w:left="0" w:right="0"/>
              <w:jc w:val="left"/>
              <w:rPr>
                <w:w w:val="100"/>
              </w:rPr>
            </w:pPr>
            <w:r w:rsidRPr="000A02AB">
              <w:t>Независимое социально-экологическое движение</w:t>
            </w:r>
          </w:p>
        </w:tc>
      </w:tr>
    </w:tbl>
    <w:p w:rsidR="00170278" w:rsidRPr="000A02AB" w:rsidRDefault="00A766A7" w:rsidP="000A02AB">
      <w:pPr>
        <w:pStyle w:val="SingleTxt"/>
        <w:spacing w:after="0" w:line="240" w:lineRule="auto"/>
      </w:pPr>
      <w:r w:rsidRPr="000A02AB">
        <w:rPr>
          <w:noProof/>
          <w:w w:val="100"/>
        </w:rPr>
        <w:pict>
          <v:line id="_x0000_s1038" style="position:absolute;left:0;text-align:left;z-index:3;mso-position-horizontal-relative:text;mso-position-vertical-relative:text" from="210.2pt,30pt" to="282.2pt,30pt" strokecolor="#010000" strokeweight=".25pt"/>
        </w:pict>
      </w:r>
    </w:p>
    <w:sectPr w:rsidR="00170278" w:rsidRPr="000A02AB" w:rsidSect="00F21254">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08:31:00Z" w:initials="Start">
    <w:p w:rsidR="00F21254" w:rsidRPr="00170278" w:rsidRDefault="00F21254">
      <w:pPr>
        <w:pStyle w:val="CommentText"/>
        <w:rPr>
          <w:lang w:val="en-US"/>
        </w:rPr>
      </w:pPr>
      <w:r>
        <w:fldChar w:fldCharType="begin"/>
      </w:r>
      <w:r w:rsidRPr="00170278">
        <w:rPr>
          <w:rStyle w:val="CommentReference"/>
          <w:lang w:val="en-US"/>
        </w:rPr>
        <w:instrText xml:space="preserve"> </w:instrText>
      </w:r>
      <w:r w:rsidRPr="00170278">
        <w:rPr>
          <w:lang w:val="en-US"/>
        </w:rPr>
        <w:instrText>PAGE \# "'Page: '#'</w:instrText>
      </w:r>
      <w:r w:rsidRPr="00170278">
        <w:rPr>
          <w:lang w:val="en-US"/>
        </w:rPr>
        <w:br/>
        <w:instrText>'"</w:instrText>
      </w:r>
      <w:r w:rsidRPr="00170278">
        <w:rPr>
          <w:rStyle w:val="CommentReference"/>
          <w:lang w:val="en-US"/>
        </w:rPr>
        <w:instrText xml:space="preserve"> </w:instrText>
      </w:r>
      <w:r>
        <w:fldChar w:fldCharType="end"/>
      </w:r>
      <w:r>
        <w:rPr>
          <w:rStyle w:val="CommentReference"/>
        </w:rPr>
        <w:annotationRef/>
      </w:r>
      <w:r w:rsidRPr="00170278">
        <w:rPr>
          <w:lang w:val="en-US"/>
        </w:rPr>
        <w:t>&lt;&lt;ODS JOB NO&gt;&gt;N1466637R&lt;&lt;ODS JOB NO&gt;&gt;</w:t>
      </w:r>
    </w:p>
    <w:p w:rsidR="00F21254" w:rsidRPr="00170278" w:rsidRDefault="00F21254">
      <w:pPr>
        <w:pStyle w:val="CommentText"/>
        <w:rPr>
          <w:lang w:val="en-US"/>
        </w:rPr>
      </w:pPr>
      <w:r w:rsidRPr="00170278">
        <w:rPr>
          <w:lang w:val="en-US"/>
        </w:rPr>
        <w:t>&lt;&lt;ODS DOC SYMBOL1&gt;&gt;CEDAW/C/CZE/6&lt;&lt;ODS DOC SYMBOL1&gt;&gt;</w:t>
      </w:r>
    </w:p>
    <w:p w:rsidR="00F21254" w:rsidRPr="00170278" w:rsidRDefault="00F21254">
      <w:pPr>
        <w:pStyle w:val="CommentText"/>
        <w:rPr>
          <w:lang w:val="en-US"/>
        </w:rPr>
      </w:pPr>
      <w:r w:rsidRPr="00170278">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95" w:rsidRDefault="00067095" w:rsidP="008A1A7A">
      <w:pPr>
        <w:spacing w:line="240" w:lineRule="auto"/>
      </w:pPr>
      <w:r>
        <w:separator/>
      </w:r>
    </w:p>
  </w:endnote>
  <w:endnote w:type="continuationSeparator" w:id="0">
    <w:p w:rsidR="00067095" w:rsidRDefault="00067095"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F21254" w:rsidTr="00F21254">
      <w:tblPrEx>
        <w:tblCellMar>
          <w:top w:w="0" w:type="dxa"/>
          <w:bottom w:w="0" w:type="dxa"/>
        </w:tblCellMar>
      </w:tblPrEx>
      <w:tc>
        <w:tcPr>
          <w:tcW w:w="5028" w:type="dxa"/>
          <w:shd w:val="clear" w:color="auto" w:fill="auto"/>
          <w:vAlign w:val="bottom"/>
        </w:tcPr>
        <w:p w:rsidR="00F21254" w:rsidRPr="00541653" w:rsidRDefault="00F21254" w:rsidP="00F21254">
          <w:pPr>
            <w:pStyle w:val="Footer"/>
            <w:rPr>
              <w:color w:val="000000"/>
              <w:szCs w:val="22"/>
              <w:lang w:eastAsia="en-US"/>
            </w:rPr>
          </w:pPr>
          <w:r w:rsidRPr="00541653">
            <w:rPr>
              <w:szCs w:val="22"/>
              <w:lang w:eastAsia="en-US"/>
            </w:rPr>
            <w:fldChar w:fldCharType="begin"/>
          </w:r>
          <w:r w:rsidRPr="00541653">
            <w:rPr>
              <w:szCs w:val="22"/>
              <w:lang w:eastAsia="en-US"/>
            </w:rPr>
            <w:instrText xml:space="preserve"> PAGE  \* Arabic  \* MERGEFORMAT </w:instrText>
          </w:r>
          <w:r w:rsidRPr="00541653">
            <w:rPr>
              <w:szCs w:val="22"/>
              <w:lang w:eastAsia="en-US"/>
            </w:rPr>
            <w:fldChar w:fldCharType="separate"/>
          </w:r>
          <w:r w:rsidR="0082326F" w:rsidRPr="00541653">
            <w:rPr>
              <w:noProof/>
              <w:szCs w:val="22"/>
              <w:lang w:eastAsia="en-US"/>
            </w:rPr>
            <w:t>2</w:t>
          </w:r>
          <w:r w:rsidRPr="00541653">
            <w:rPr>
              <w:szCs w:val="22"/>
              <w:lang w:eastAsia="en-US"/>
            </w:rPr>
            <w:fldChar w:fldCharType="end"/>
          </w:r>
          <w:r w:rsidRPr="00541653">
            <w:rPr>
              <w:szCs w:val="22"/>
              <w:lang w:eastAsia="en-US"/>
            </w:rPr>
            <w:t>/</w:t>
          </w:r>
          <w:fldSimple w:instr=" NUMPAGES  \* Arabic  \* MERGEFORMAT ">
            <w:r w:rsidR="0082326F" w:rsidRPr="00541653">
              <w:rPr>
                <w:noProof/>
                <w:szCs w:val="22"/>
                <w:lang w:eastAsia="en-US"/>
              </w:rPr>
              <w:t>2</w:t>
            </w:r>
          </w:fldSimple>
        </w:p>
      </w:tc>
      <w:tc>
        <w:tcPr>
          <w:tcW w:w="5028" w:type="dxa"/>
          <w:shd w:val="clear" w:color="auto" w:fill="auto"/>
          <w:vAlign w:val="bottom"/>
        </w:tcPr>
        <w:p w:rsidR="00F21254" w:rsidRPr="00541653" w:rsidRDefault="00F21254" w:rsidP="00F21254">
          <w:pPr>
            <w:pStyle w:val="Footer"/>
            <w:jc w:val="right"/>
            <w:rPr>
              <w:b w:val="0"/>
              <w:color w:val="000000"/>
              <w:sz w:val="14"/>
              <w:szCs w:val="22"/>
              <w:lang w:eastAsia="en-US"/>
            </w:rPr>
          </w:pPr>
          <w:fldSimple w:instr=" DOCVARIABLE &quot;FooterJN&quot; \* MERGEFORMAT ">
            <w:r w:rsidR="00804DEC" w:rsidRPr="00541653">
              <w:rPr>
                <w:b w:val="0"/>
                <w:color w:val="000000"/>
                <w:sz w:val="14"/>
                <w:szCs w:val="22"/>
                <w:lang w:eastAsia="en-US"/>
              </w:rPr>
              <w:t>14-66061</w:t>
            </w:r>
          </w:fldSimple>
          <w:r w:rsidR="001C43D8" w:rsidRPr="00541653">
            <w:rPr>
              <w:b w:val="0"/>
              <w:color w:val="000000"/>
              <w:sz w:val="14"/>
              <w:szCs w:val="22"/>
              <w:lang w:eastAsia="en-US"/>
            </w:rPr>
            <w:t>Х</w:t>
          </w:r>
        </w:p>
      </w:tc>
    </w:tr>
  </w:tbl>
  <w:p w:rsidR="00F21254" w:rsidRPr="00F21254" w:rsidRDefault="00F21254" w:rsidP="00F21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F21254" w:rsidTr="00F21254">
      <w:tblPrEx>
        <w:tblCellMar>
          <w:top w:w="0" w:type="dxa"/>
          <w:bottom w:w="0" w:type="dxa"/>
        </w:tblCellMar>
      </w:tblPrEx>
      <w:tc>
        <w:tcPr>
          <w:tcW w:w="5028" w:type="dxa"/>
          <w:shd w:val="clear" w:color="auto" w:fill="auto"/>
          <w:vAlign w:val="bottom"/>
        </w:tcPr>
        <w:p w:rsidR="00F21254" w:rsidRPr="00541653" w:rsidRDefault="00F21254" w:rsidP="00F21254">
          <w:pPr>
            <w:pStyle w:val="Footer"/>
            <w:rPr>
              <w:b w:val="0"/>
              <w:color w:val="000000"/>
              <w:sz w:val="14"/>
              <w:szCs w:val="22"/>
              <w:lang w:eastAsia="en-US"/>
            </w:rPr>
          </w:pPr>
          <w:fldSimple w:instr=" DOCVARIABLE &quot;FooterJN&quot; \* MERGEFORMAT ">
            <w:r w:rsidR="00804DEC" w:rsidRPr="00541653">
              <w:rPr>
                <w:b w:val="0"/>
                <w:color w:val="000000"/>
                <w:sz w:val="14"/>
                <w:szCs w:val="22"/>
                <w:lang w:eastAsia="en-US"/>
              </w:rPr>
              <w:t>14-66061</w:t>
            </w:r>
          </w:fldSimple>
          <w:r w:rsidR="001C43D8" w:rsidRPr="00541653">
            <w:rPr>
              <w:b w:val="0"/>
              <w:color w:val="000000"/>
              <w:sz w:val="14"/>
              <w:szCs w:val="22"/>
              <w:lang w:eastAsia="en-US"/>
            </w:rPr>
            <w:t>Х</w:t>
          </w:r>
        </w:p>
      </w:tc>
      <w:tc>
        <w:tcPr>
          <w:tcW w:w="5028" w:type="dxa"/>
          <w:shd w:val="clear" w:color="auto" w:fill="auto"/>
          <w:vAlign w:val="bottom"/>
        </w:tcPr>
        <w:p w:rsidR="00F21254" w:rsidRPr="00541653" w:rsidRDefault="00F21254" w:rsidP="00F21254">
          <w:pPr>
            <w:pStyle w:val="Footer"/>
            <w:jc w:val="right"/>
            <w:rPr>
              <w:szCs w:val="22"/>
              <w:lang w:eastAsia="en-US"/>
            </w:rPr>
          </w:pPr>
          <w:r w:rsidRPr="00541653">
            <w:rPr>
              <w:szCs w:val="22"/>
              <w:lang w:eastAsia="en-US"/>
            </w:rPr>
            <w:fldChar w:fldCharType="begin"/>
          </w:r>
          <w:r w:rsidRPr="00541653">
            <w:rPr>
              <w:szCs w:val="22"/>
              <w:lang w:eastAsia="en-US"/>
            </w:rPr>
            <w:instrText xml:space="preserve"> PAGE  \* Arabic  \* MERGEFORMAT </w:instrText>
          </w:r>
          <w:r w:rsidRPr="00541653">
            <w:rPr>
              <w:szCs w:val="22"/>
              <w:lang w:eastAsia="en-US"/>
            </w:rPr>
            <w:fldChar w:fldCharType="separate"/>
          </w:r>
          <w:r w:rsidR="00804DEC" w:rsidRPr="00541653">
            <w:rPr>
              <w:noProof/>
              <w:szCs w:val="22"/>
              <w:lang w:eastAsia="en-US"/>
            </w:rPr>
            <w:t>59</w:t>
          </w:r>
          <w:r w:rsidRPr="00541653">
            <w:rPr>
              <w:szCs w:val="22"/>
              <w:lang w:eastAsia="en-US"/>
            </w:rPr>
            <w:fldChar w:fldCharType="end"/>
          </w:r>
          <w:r w:rsidRPr="00541653">
            <w:rPr>
              <w:szCs w:val="22"/>
              <w:lang w:eastAsia="en-US"/>
            </w:rPr>
            <w:t>/</w:t>
          </w:r>
          <w:fldSimple w:instr=" NUMPAGES  \* Arabic  \* MERGEFORMAT ">
            <w:r w:rsidR="00804DEC" w:rsidRPr="00541653">
              <w:rPr>
                <w:noProof/>
                <w:szCs w:val="22"/>
                <w:lang w:eastAsia="en-US"/>
              </w:rPr>
              <w:t>72</w:t>
            </w:r>
          </w:fldSimple>
        </w:p>
      </w:tc>
    </w:tr>
  </w:tbl>
  <w:p w:rsidR="00F21254" w:rsidRPr="00F21254" w:rsidRDefault="00F21254" w:rsidP="00F21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54" w:rsidRDefault="00F2125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6.65pt;margin-top:683.45pt;width:54.7pt;height:54.7pt;z-index:1;mso-position-horizontal-relative:page;mso-position-vertical-relative:page">
          <v:imagedata r:id="rId1" o:title="6&amp;Size =1&amp;Lang = R"/>
          <w10:wrap anchorx="page" anchory="page"/>
        </v:shape>
      </w:pict>
    </w:r>
  </w:p>
  <w:tbl>
    <w:tblPr>
      <w:tblW w:w="0" w:type="auto"/>
      <w:tblLayout w:type="fixed"/>
      <w:tblLook w:val="0000"/>
    </w:tblPr>
    <w:tblGrid>
      <w:gridCol w:w="3830"/>
      <w:gridCol w:w="5028"/>
    </w:tblGrid>
    <w:tr w:rsidR="00F21254" w:rsidTr="00F21254">
      <w:tblPrEx>
        <w:tblCellMar>
          <w:top w:w="0" w:type="dxa"/>
          <w:bottom w:w="0" w:type="dxa"/>
        </w:tblCellMar>
      </w:tblPrEx>
      <w:tc>
        <w:tcPr>
          <w:tcW w:w="3830" w:type="dxa"/>
        </w:tcPr>
        <w:p w:rsidR="00F21254" w:rsidRDefault="00F21254" w:rsidP="00F21254">
          <w:pPr>
            <w:pStyle w:val="ReleaseDate"/>
            <w:rPr>
              <w:color w:val="010000"/>
            </w:rPr>
          </w:pPr>
          <w:r>
            <w:t>14-66061</w:t>
          </w:r>
          <w:r w:rsidR="001C43D8">
            <w:t>Х</w:t>
          </w:r>
          <w:r>
            <w:t xml:space="preserve"> (R)</w:t>
          </w:r>
          <w:r>
            <w:rPr>
              <w:color w:val="010000"/>
            </w:rPr>
            <w:t xml:space="preserve">    070415    070415</w:t>
          </w:r>
        </w:p>
        <w:p w:rsidR="00F21254" w:rsidRPr="00F21254" w:rsidRDefault="00F21254" w:rsidP="00F21254">
          <w:pPr>
            <w:spacing w:before="80" w:line="210" w:lineRule="exact"/>
            <w:rPr>
              <w:rFonts w:ascii="Barcode 3 of 9 by request" w:hAnsi="Barcode 3 of 9 by request"/>
              <w:w w:val="100"/>
              <w:sz w:val="24"/>
            </w:rPr>
          </w:pPr>
          <w:r>
            <w:rPr>
              <w:rFonts w:ascii="Barcode 3 of 9 by request" w:hAnsi="Barcode 3 of 9 by request"/>
              <w:w w:val="100"/>
              <w:sz w:val="24"/>
            </w:rPr>
            <w:t>*1466061(R)*</w:t>
          </w:r>
        </w:p>
      </w:tc>
      <w:tc>
        <w:tcPr>
          <w:tcW w:w="5028" w:type="dxa"/>
        </w:tcPr>
        <w:p w:rsidR="00F21254" w:rsidRPr="00541653" w:rsidRDefault="00F21254" w:rsidP="00F21254">
          <w:pPr>
            <w:pStyle w:val="Footer"/>
            <w:spacing w:line="240" w:lineRule="atLeast"/>
            <w:jc w:val="right"/>
            <w:rPr>
              <w:b w:val="0"/>
              <w:sz w:val="20"/>
              <w:szCs w:val="22"/>
              <w:lang w:eastAsia="en-US"/>
            </w:rPr>
          </w:pPr>
          <w:r w:rsidRPr="00541653">
            <w:rPr>
              <w:b w:val="0"/>
              <w:sz w:val="20"/>
              <w:szCs w:val="22"/>
              <w:lang w:eastAsia="en-US"/>
            </w:rPr>
            <w:pict>
              <v:shape id="_x0000_i1026" type="#_x0000_t75" style="width:213pt;height:18pt">
                <v:imagedata r:id="rId2" o:title="recycle_Russian"/>
              </v:shape>
            </w:pict>
          </w:r>
        </w:p>
      </w:tc>
    </w:tr>
  </w:tbl>
  <w:p w:rsidR="00F21254" w:rsidRPr="00F21254" w:rsidRDefault="00F21254" w:rsidP="00F2125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95" w:rsidRPr="00170278" w:rsidRDefault="00067095" w:rsidP="00170278">
      <w:pPr>
        <w:pStyle w:val="Footer"/>
        <w:spacing w:after="80"/>
        <w:ind w:left="792"/>
        <w:rPr>
          <w:sz w:val="16"/>
        </w:rPr>
      </w:pPr>
      <w:r w:rsidRPr="00170278">
        <w:rPr>
          <w:sz w:val="16"/>
        </w:rPr>
        <w:t>__________________</w:t>
      </w:r>
    </w:p>
  </w:footnote>
  <w:footnote w:type="continuationSeparator" w:id="0">
    <w:p w:rsidR="00067095" w:rsidRPr="00170278" w:rsidRDefault="00067095" w:rsidP="00170278">
      <w:pPr>
        <w:pStyle w:val="Footer"/>
        <w:spacing w:after="80"/>
        <w:ind w:left="792"/>
        <w:rPr>
          <w:sz w:val="16"/>
        </w:rPr>
      </w:pPr>
      <w:r w:rsidRPr="00170278">
        <w:rPr>
          <w:sz w:val="16"/>
        </w:rPr>
        <w:t>__________________</w:t>
      </w:r>
    </w:p>
  </w:footnote>
  <w:footnote w:id="1">
    <w:p w:rsidR="00170278" w:rsidRPr="00170278" w:rsidRDefault="00170278" w:rsidP="00170278">
      <w:pPr>
        <w:pStyle w:val="FootnoteText"/>
        <w:tabs>
          <w:tab w:val="right" w:pos="1195"/>
          <w:tab w:val="left" w:pos="1267"/>
          <w:tab w:val="left" w:pos="1742"/>
          <w:tab w:val="left" w:pos="2218"/>
          <w:tab w:val="left" w:pos="2693"/>
        </w:tabs>
        <w:ind w:left="1267" w:right="1260" w:hanging="432"/>
      </w:pPr>
      <w:r w:rsidRPr="00170278">
        <w:rPr>
          <w:rStyle w:val="FootnoteReference"/>
        </w:rPr>
        <w:tab/>
      </w:r>
      <w:r>
        <w:rPr>
          <w:rStyle w:val="FootnoteReference"/>
        </w:rPr>
        <w:t>*</w:t>
      </w:r>
      <w:r w:rsidRPr="00170278">
        <w:tab/>
        <w:t>Настоящий документ выпускается без официального редактирования.</w:t>
      </w:r>
    </w:p>
  </w:footnote>
  <w:footnote w:id="2">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lang w:val="en-US"/>
        </w:rPr>
        <w:tab/>
      </w:r>
      <w:r w:rsidRPr="00170278">
        <w:rPr>
          <w:rStyle w:val="FootnoteReference"/>
          <w:lang w:val="en-GB"/>
        </w:rPr>
        <w:footnoteRef/>
      </w:r>
      <w:r>
        <w:rPr>
          <w:spacing w:val="0"/>
          <w:w w:val="100"/>
          <w:szCs w:val="17"/>
        </w:rPr>
        <w:tab/>
      </w:r>
      <w:r w:rsidRPr="005323A1">
        <w:rPr>
          <w:lang w:val="en-GB"/>
        </w:rPr>
        <w:t>Постановление № 2/1993 Coll. Чешского национального совета о Хартии основных прав и свобод как составной части конституционного порядка Чешской Республики.</w:t>
      </w:r>
    </w:p>
  </w:footnote>
  <w:footnote w:id="3">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5323A1">
        <w:rPr>
          <w:lang w:val="en-GB"/>
        </w:rPr>
        <w:t>Например, Директива Совета 2000/43/EC от 29 июня 2000 года о реализации принципа равного обращения с людьми вне зависимости от их расового или этнического происхождения, Директива Совета 76/207/EEC от 9 февраля 1976 года о реализации принципа равного обращения с мужчинами и женщинами в вопросах доступа к занятости, профессионального обучения, карьерного роста и условий труда, Директива Европейского парламента и Совета 2006/54/EC от 5 июля 2006 года о реализации принципа равных возможностей и равного отношения к мужчинам и женщинам в вопросах трудоустройства и занятости.</w:t>
      </w:r>
    </w:p>
  </w:footnote>
  <w:footnote w:id="4">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rPr>
        <w:tab/>
      </w:r>
      <w:r w:rsidRPr="00170278">
        <w:rPr>
          <w:rStyle w:val="FootnoteReference"/>
          <w:lang w:val="en-GB"/>
        </w:rPr>
        <w:footnoteRef/>
      </w:r>
      <w:r>
        <w:rPr>
          <w:spacing w:val="0"/>
          <w:w w:val="100"/>
          <w:szCs w:val="17"/>
        </w:rPr>
        <w:tab/>
      </w:r>
      <w:r w:rsidRPr="005323A1">
        <w:rPr>
          <w:lang w:val="en-GB"/>
        </w:rPr>
        <w:t>Более подробную информацию см. в положениях §21b a) Закона № 349/1999 Coll. об Уполномоченном по правам человека.</w:t>
      </w:r>
    </w:p>
  </w:footnote>
  <w:footnote w:id="5">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rPr>
        <w:tab/>
      </w:r>
      <w:r w:rsidRPr="00170278">
        <w:rPr>
          <w:rStyle w:val="FootnoteReference"/>
          <w:lang w:val="en-GB"/>
        </w:rPr>
        <w:footnoteRef/>
      </w:r>
      <w:r>
        <w:rPr>
          <w:spacing w:val="0"/>
          <w:w w:val="100"/>
          <w:szCs w:val="17"/>
        </w:rPr>
        <w:tab/>
      </w:r>
      <w:r w:rsidRPr="005323A1">
        <w:rPr>
          <w:lang w:val="en-GB"/>
        </w:rPr>
        <w:t>Более подробную информацию см. в §10 Закона № 198/2009 Coll. о недопущении дискриминации.</w:t>
      </w:r>
    </w:p>
  </w:footnote>
  <w:footnote w:id="6">
    <w:p w:rsidR="00170278"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szCs w:val="17"/>
        </w:rPr>
      </w:pPr>
      <w:r w:rsidRPr="00170278">
        <w:rPr>
          <w:spacing w:val="0"/>
          <w:w w:val="100"/>
          <w:szCs w:val="17"/>
        </w:rPr>
        <w:tab/>
      </w:r>
      <w:r w:rsidRPr="00170278">
        <w:rPr>
          <w:rStyle w:val="FootnoteReference"/>
          <w:lang w:val="en-GB"/>
        </w:rPr>
        <w:footnoteRef/>
      </w:r>
      <w:r>
        <w:rPr>
          <w:spacing w:val="0"/>
          <w:w w:val="100"/>
          <w:szCs w:val="17"/>
        </w:rPr>
        <w:tab/>
      </w:r>
      <w:r w:rsidRPr="005323A1">
        <w:rPr>
          <w:lang w:val="en-GB"/>
        </w:rPr>
        <w:t>Более подробную информацию см. в положениях §133 Закона № 99/1963 (Гражданско-процессуальный кодекс).</w:t>
      </w:r>
    </w:p>
  </w:footnote>
  <w:footnote w:id="7">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5323A1">
        <w:rPr>
          <w:lang w:val="en-GB"/>
        </w:rPr>
        <w:t>1 сентября 2012 года вступил в силу Закон № 202/2012 Coll. о посредничестве и внесении поправок в отдельные законы. Его цель состоит в предоставлении всем лицам доступа к альтернативным способам разрешения споров с использованием метода быстрого мирного урегулирования конфликта при помощи третьей нейтральной стороны, которая проводит встречу сторон в целях выработки взаимоприемлемого соглашения.</w:t>
      </w:r>
    </w:p>
  </w:footnote>
  <w:footnote w:id="8">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5323A1">
        <w:t>При проведении данного расследования УПЧ в числе прочего отметил, что в том случае, когда работодатель выплачивает вознаграждение своим работником при помощи системы, в которой отсутствует транспарентность, работодатель в ходе возможных судебных разбирательств должен доказать, что данная система является нейтральной и не приводит к дискриминации в оплате труда (дело № 89/2012/</w:t>
      </w:r>
      <w:r w:rsidRPr="005323A1">
        <w:rPr>
          <w:lang w:val="en-GB"/>
        </w:rPr>
        <w:t>DIS</w:t>
      </w:r>
      <w:r w:rsidRPr="005323A1">
        <w:t>/</w:t>
      </w:r>
      <w:r w:rsidRPr="005323A1">
        <w:rPr>
          <w:lang w:val="en-GB"/>
        </w:rPr>
        <w:t>HRH</w:t>
      </w:r>
      <w:r w:rsidRPr="005323A1">
        <w:t xml:space="preserve">; более подробную информацию см. по адресу: </w:t>
      </w:r>
      <w:hyperlink r:id="rId1" w:history="1">
        <w:r w:rsidRPr="005323A1">
          <w:rPr>
            <w:lang w:val="en-GB"/>
          </w:rPr>
          <w:t>http</w:t>
        </w:r>
        <w:r w:rsidRPr="005323A1">
          <w:t>://</w:t>
        </w:r>
        <w:r w:rsidRPr="005323A1">
          <w:rPr>
            <w:lang w:val="en-GB"/>
          </w:rPr>
          <w:t>www</w:t>
        </w:r>
        <w:r w:rsidRPr="005323A1">
          <w:t>.</w:t>
        </w:r>
        <w:r w:rsidRPr="005323A1">
          <w:rPr>
            <w:lang w:val="en-GB"/>
          </w:rPr>
          <w:t>ochrance</w:t>
        </w:r>
        <w:r w:rsidRPr="005323A1">
          <w:t>.</w:t>
        </w:r>
        <w:r w:rsidRPr="005323A1">
          <w:rPr>
            <w:lang w:val="en-GB"/>
          </w:rPr>
          <w:t>cz</w:t>
        </w:r>
        <w:r w:rsidRPr="005323A1">
          <w:t>/</w:t>
        </w:r>
        <w:r w:rsidRPr="005323A1">
          <w:rPr>
            <w:lang w:val="en-GB"/>
          </w:rPr>
          <w:t>fileadmin</w:t>
        </w:r>
        <w:r w:rsidRPr="005323A1">
          <w:t>/</w:t>
        </w:r>
        <w:r w:rsidRPr="005323A1">
          <w:rPr>
            <w:lang w:val="en-GB"/>
          </w:rPr>
          <w:t>user</w:t>
        </w:r>
        <w:r w:rsidRPr="005323A1">
          <w:t>_</w:t>
        </w:r>
        <w:r w:rsidRPr="005323A1">
          <w:rPr>
            <w:lang w:val="en-GB"/>
          </w:rPr>
          <w:t>upload</w:t>
        </w:r>
        <w:r w:rsidRPr="005323A1">
          <w:t>/</w:t>
        </w:r>
        <w:r w:rsidR="005323A1">
          <w:br/>
        </w:r>
        <w:r w:rsidRPr="005323A1">
          <w:rPr>
            <w:lang w:val="en-GB"/>
          </w:rPr>
          <w:t>DISKRIMINACE</w:t>
        </w:r>
        <w:r w:rsidRPr="005323A1">
          <w:t>/</w:t>
        </w:r>
      </w:hyperlink>
      <w:hyperlink r:id="rId2" w:history="1">
        <w:r w:rsidRPr="005323A1">
          <w:rPr>
            <w:lang w:val="en-GB"/>
          </w:rPr>
          <w:t>Kauzy</w:t>
        </w:r>
        <w:r w:rsidRPr="005323A1">
          <w:t>/</w:t>
        </w:r>
        <w:r w:rsidRPr="005323A1">
          <w:rPr>
            <w:lang w:val="en-GB"/>
          </w:rPr>
          <w:t>prace</w:t>
        </w:r>
        <w:r w:rsidRPr="005323A1">
          <w:t>/</w:t>
        </w:r>
        <w:r w:rsidRPr="005323A1">
          <w:rPr>
            <w:lang w:val="en-GB"/>
          </w:rPr>
          <w:t>Diskriminace</w:t>
        </w:r>
        <w:r w:rsidRPr="005323A1">
          <w:t>_</w:t>
        </w:r>
        <w:r w:rsidRPr="005323A1">
          <w:rPr>
            <w:lang w:val="en-GB"/>
          </w:rPr>
          <w:t>v</w:t>
        </w:r>
        <w:r w:rsidRPr="005323A1">
          <w:t>_</w:t>
        </w:r>
        <w:r w:rsidRPr="005323A1">
          <w:rPr>
            <w:lang w:val="en-GB"/>
          </w:rPr>
          <w:t>odmenovani</w:t>
        </w:r>
        <w:r w:rsidRPr="005323A1">
          <w:t>_</w:t>
        </w:r>
        <w:r w:rsidRPr="005323A1">
          <w:rPr>
            <w:lang w:val="en-GB"/>
          </w:rPr>
          <w:t>z</w:t>
        </w:r>
        <w:r w:rsidRPr="005323A1">
          <w:t>_</w:t>
        </w:r>
        <w:r w:rsidRPr="005323A1">
          <w:rPr>
            <w:lang w:val="en-GB"/>
          </w:rPr>
          <w:t>duvodu</w:t>
        </w:r>
        <w:r w:rsidRPr="005323A1">
          <w:t>_</w:t>
        </w:r>
        <w:r w:rsidRPr="005323A1">
          <w:rPr>
            <w:lang w:val="en-GB"/>
          </w:rPr>
          <w:t>pohlavi</w:t>
        </w:r>
        <w:r w:rsidRPr="005323A1">
          <w:t>.</w:t>
        </w:r>
        <w:r w:rsidRPr="005323A1">
          <w:rPr>
            <w:lang w:val="en-GB"/>
          </w:rPr>
          <w:t>pdf</w:t>
        </w:r>
      </w:hyperlink>
      <w:r w:rsidRPr="005323A1">
        <w:t>).</w:t>
      </w:r>
    </w:p>
  </w:footnote>
  <w:footnote w:id="9">
    <w:p w:rsidR="00170278" w:rsidRPr="003548FC" w:rsidRDefault="00170278" w:rsidP="001C43D8">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pacing w:val="0"/>
          <w:w w:val="100"/>
          <w:szCs w:val="17"/>
        </w:rPr>
        <w:tab/>
      </w:r>
      <w:r w:rsidRPr="00170278">
        <w:rPr>
          <w:rStyle w:val="FootnoteReference"/>
          <w:lang w:val="en-GB"/>
        </w:rPr>
        <w:footnoteRef/>
      </w:r>
      <w:r>
        <w:rPr>
          <w:spacing w:val="0"/>
          <w:w w:val="100"/>
          <w:szCs w:val="17"/>
        </w:rPr>
        <w:tab/>
      </w:r>
      <w:r w:rsidRPr="001C43D8">
        <w:rPr>
          <w:lang w:val="en-GB"/>
        </w:rPr>
        <w:t xml:space="preserve">При проведении данного расследования УПЧ в числе прочего отметил, что если внешне нейтральный свод правил, касающихся приостановления работы по субсидируемому проекту научных исследований после защиты докторской диссертации, может ущемлять права того или иного лица по причине исполнения им родительских функций, то по сути речь идет о косвенной дискриминации в соответствии с ее определением в положении §3.1 Закона о недопущении дискриминации [и пункте b) статьи 2.1 Директивы Европейского парламента и Совета 2006/54/EC о реализации принципа равных возможностей и равного отношения к мужчинам и женщинам в вопросах трудоустройства и занятости]. </w:t>
      </w:r>
      <w:r w:rsidRPr="003548FC">
        <w:t>Запрещенным основанием в данном случае является половая принадлежность, поскольку согласно Закону о недопущении дискриминации (положениям §2.4 этого закона) дискриминация по признакам беременности, материнства или отцовства считается дискриминацией по признаку пола (дело № 81/2012/</w:t>
      </w:r>
      <w:r w:rsidRPr="001C43D8">
        <w:rPr>
          <w:lang w:val="en-GB"/>
        </w:rPr>
        <w:t>DIS</w:t>
      </w:r>
      <w:r w:rsidRPr="003548FC">
        <w:t>/</w:t>
      </w:r>
      <w:r w:rsidRPr="001C43D8">
        <w:rPr>
          <w:lang w:val="en-GB"/>
        </w:rPr>
        <w:t>ZO</w:t>
      </w:r>
      <w:r w:rsidRPr="003548FC">
        <w:t xml:space="preserve">; более подробную информацию см. по адресу: </w:t>
      </w:r>
      <w:hyperlink r:id="rId3" w:history="1">
        <w:r w:rsidRPr="001C43D8">
          <w:rPr>
            <w:lang w:val="en-GB"/>
          </w:rPr>
          <w:t>http</w:t>
        </w:r>
        <w:r w:rsidRPr="003548FC">
          <w:t>://</w:t>
        </w:r>
        <w:r w:rsidRPr="001C43D8">
          <w:rPr>
            <w:lang w:val="en-GB"/>
          </w:rPr>
          <w:t>www</w:t>
        </w:r>
        <w:r w:rsidRPr="003548FC">
          <w:t>.</w:t>
        </w:r>
        <w:r w:rsidRPr="001C43D8">
          <w:rPr>
            <w:lang w:val="en-GB"/>
          </w:rPr>
          <w:t>ochrance</w:t>
        </w:r>
        <w:r w:rsidRPr="003548FC">
          <w:t>.</w:t>
        </w:r>
        <w:r w:rsidRPr="001C43D8">
          <w:rPr>
            <w:lang w:val="en-GB"/>
          </w:rPr>
          <w:t>cz</w:t>
        </w:r>
        <w:r w:rsidRPr="003548FC">
          <w:t>/</w:t>
        </w:r>
        <w:r w:rsidRPr="001C43D8">
          <w:rPr>
            <w:lang w:val="en-GB"/>
          </w:rPr>
          <w:t>fileadmin</w:t>
        </w:r>
        <w:r w:rsidRPr="003548FC">
          <w:t>/</w:t>
        </w:r>
        <w:r w:rsidRPr="001C43D8">
          <w:rPr>
            <w:lang w:val="en-GB"/>
          </w:rPr>
          <w:t>user</w:t>
        </w:r>
        <w:r w:rsidRPr="003548FC">
          <w:t>_</w:t>
        </w:r>
        <w:r w:rsidRPr="001C43D8">
          <w:rPr>
            <w:lang w:val="en-GB"/>
          </w:rPr>
          <w:t>upload</w:t>
        </w:r>
        <w:r w:rsidRPr="003548FC">
          <w:t>/</w:t>
        </w:r>
      </w:hyperlink>
      <w:hyperlink r:id="rId4" w:history="1">
        <w:r w:rsidRPr="001C43D8">
          <w:rPr>
            <w:lang w:val="en-GB"/>
          </w:rPr>
          <w:t>DISKRIMINACE</w:t>
        </w:r>
        <w:r w:rsidRPr="003548FC">
          <w:t>/</w:t>
        </w:r>
        <w:r w:rsidRPr="003548FC">
          <w:br/>
        </w:r>
        <w:r w:rsidRPr="001C43D8">
          <w:rPr>
            <w:lang w:val="en-GB"/>
          </w:rPr>
          <w:t>Kauzy</w:t>
        </w:r>
      </w:hyperlink>
      <w:hyperlink r:id="rId5" w:history="1">
        <w:r w:rsidRPr="003548FC">
          <w:t>/</w:t>
        </w:r>
        <w:r w:rsidRPr="001C43D8">
          <w:rPr>
            <w:lang w:val="en-GB"/>
          </w:rPr>
          <w:t>prace</w:t>
        </w:r>
        <w:r w:rsidRPr="003548FC">
          <w:t>/81-2012-</w:t>
        </w:r>
        <w:r w:rsidRPr="001C43D8">
          <w:rPr>
            <w:lang w:val="en-GB"/>
          </w:rPr>
          <w:t>DIS</w:t>
        </w:r>
        <w:r w:rsidRPr="003548FC">
          <w:t>-</w:t>
        </w:r>
        <w:r w:rsidRPr="001C43D8">
          <w:rPr>
            <w:lang w:val="en-GB"/>
          </w:rPr>
          <w:t>ZO</w:t>
        </w:r>
        <w:r w:rsidRPr="003548FC">
          <w:t>-</w:t>
        </w:r>
        <w:r w:rsidRPr="001C43D8">
          <w:rPr>
            <w:lang w:val="en-GB"/>
          </w:rPr>
          <w:t>ZZ</w:t>
        </w:r>
        <w:r w:rsidRPr="003548FC">
          <w:t>.</w:t>
        </w:r>
        <w:r w:rsidRPr="001C43D8">
          <w:rPr>
            <w:lang w:val="en-GB"/>
          </w:rPr>
          <w:t>pdf</w:t>
        </w:r>
      </w:hyperlink>
      <w:r w:rsidRPr="003548FC">
        <w:t>).</w:t>
      </w:r>
    </w:p>
  </w:footnote>
  <w:footnote w:id="10">
    <w:p w:rsidR="00170278" w:rsidRPr="005323A1" w:rsidRDefault="00170278" w:rsidP="001C43D8">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pacing w:val="0"/>
          <w:w w:val="100"/>
          <w:szCs w:val="17"/>
        </w:rPr>
        <w:tab/>
      </w:r>
      <w:r w:rsidRPr="00170278">
        <w:rPr>
          <w:rStyle w:val="FootnoteReference"/>
          <w:lang w:val="en-GB"/>
        </w:rPr>
        <w:footnoteRef/>
      </w:r>
      <w:r>
        <w:rPr>
          <w:spacing w:val="0"/>
          <w:w w:val="100"/>
          <w:szCs w:val="17"/>
        </w:rPr>
        <w:tab/>
      </w:r>
      <w:r w:rsidRPr="005323A1">
        <w:t xml:space="preserve">При проведении данного расследования УПЧ в числе прочего отметил, что в ходе </w:t>
      </w:r>
      <w:r w:rsidRPr="001C43D8">
        <w:rPr>
          <w:lang w:val="en-GB"/>
        </w:rPr>
        <w:t>собеседования</w:t>
      </w:r>
      <w:r w:rsidRPr="005323A1">
        <w:t xml:space="preserve"> при приеме на работу работодатель не должен задавать претендентам на рабочее место вопросы, касающиеся выполнения родительских обязанностей и ухода за ребенком. Подобное поведение может квалифицироваться как притеснение, которое является формой дискриминации. В случае если информация, полученная таким образом, служит основанием для принятия решения об отказе в должности соответствующему лицу, имеет место прямая дискриминация по признаку пола. Сказанное также справедливо в отношении случая, когда претендент на рабочее место отказывается отвечать на незаконные вопросы, в связи с чем переговоры о заключении трудовых отношений прекращаются (дело № 146/2012/DIS/HRH; более подробную информацию см. по адресу: </w:t>
      </w:r>
      <w:hyperlink r:id="rId6" w:history="1">
        <w:r w:rsidRPr="005323A1">
          <w:t>http://www.ochrance.cz/fileadmin/user_upload/DISKRIMINACE/Kauzy/prace/146-2012-DIS-HRH-ZZ.pdf</w:t>
        </w:r>
      </w:hyperlink>
      <w:r w:rsidRPr="005323A1">
        <w:t>).</w:t>
      </w:r>
    </w:p>
  </w:footnote>
  <w:footnote w:id="11">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5323A1">
        <w:t>При проведении данного расследования УПЧ в числе прочего отметил, что в случае дифференциации страховых платежей по признаку по</w:t>
      </w:r>
      <w:r w:rsidR="001C43D8">
        <w:t>ла имеет место дискриминация, а </w:t>
      </w:r>
      <w:r w:rsidRPr="005323A1">
        <w:t>также административное нарушение обязательства обес</w:t>
      </w:r>
      <w:r w:rsidR="005323A1">
        <w:t>печивать равное обращение (дело </w:t>
      </w:r>
      <w:r w:rsidRPr="005323A1">
        <w:t xml:space="preserve">№ 14/2013/DIS/HRH; более подробную информацию см. по адресу: </w:t>
      </w:r>
      <w:hyperlink r:id="rId7" w:history="1">
        <w:r w:rsidRPr="005323A1">
          <w:t>http://www.ochrance.cz/fileadmin/user_upload/DISKRIMINACE/Kauzy/zbozi_a_sluzby/14-2013-DIS-ZZ.pdf</w:t>
        </w:r>
      </w:hyperlink>
      <w:r w:rsidRPr="005323A1">
        <w:t>).</w:t>
      </w:r>
    </w:p>
  </w:footnote>
  <w:footnote w:id="12">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pacing w:val="0"/>
          <w:w w:val="100"/>
          <w:szCs w:val="17"/>
        </w:rPr>
        <w:tab/>
      </w:r>
      <w:r w:rsidRPr="00170278">
        <w:rPr>
          <w:rStyle w:val="FootnoteReference"/>
          <w:lang w:val="en-GB"/>
        </w:rPr>
        <w:footnoteRef/>
      </w:r>
      <w:r>
        <w:rPr>
          <w:spacing w:val="0"/>
          <w:w w:val="100"/>
          <w:szCs w:val="17"/>
        </w:rPr>
        <w:tab/>
      </w:r>
      <w:r w:rsidRPr="005323A1">
        <w:t xml:space="preserve">При проведении данного расследования УПЧ в числе прочего отметил, что декрет о порядке применения соответствующих положений, который предусматривает распределение женщин по возрастным группам и ставит возможность искусственного прерывания беременности в зависимость от возраста женщины и числа рожденных ею детей, может считаться дискриминационным, если иной правовой режим такого рода не имеет надлежащего медицинского обоснования, которое бы оправдывало указанные различия в предоставлении медицинских услуг (и с юридической точки зрения преследовало бы законную цель), и если такое правило не является необходимым и адекватным. В случае если то или иное положение априори лишает определенную группу лиц доступа к медицинскому обслуживанию по причине возраста или пола (статуса родителя), оно представляет собой прямую дискриминацию ex lege (положения §2.3 и 4 Закона о недопущении дискриминации) (дело № 32/2011/DIS/ZO; более подробную информацию см. по адресу: </w:t>
      </w:r>
      <w:hyperlink r:id="rId8" w:history="1">
        <w:r w:rsidRPr="005323A1">
          <w:t>http://www.ochrance.cz/fileadmin/user_upload/DISKRIMINACE/</w:t>
        </w:r>
        <w:r w:rsidR="005323A1">
          <w:br/>
        </w:r>
        <w:r w:rsidRPr="005323A1">
          <w:t>Kauzy/zdravotni_pece/32-2011-DIS-ZO-ZZ.pdf</w:t>
        </w:r>
      </w:hyperlink>
      <w:r w:rsidRPr="005323A1">
        <w:t>).</w:t>
      </w:r>
    </w:p>
  </w:footnote>
  <w:footnote w:id="13">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5323A1">
        <w:t xml:space="preserve">Более подробную информацию см. в статистических данных Ассоциации сотрудников центров экстренной помощи ЧР. Доступно по адресу: </w:t>
      </w:r>
      <w:hyperlink r:id="rId9" w:history="1">
        <w:r w:rsidRPr="005323A1">
          <w:t>http://www.domaci-nasili.cz/?page_id=255</w:t>
        </w:r>
      </w:hyperlink>
      <w:r w:rsidRPr="005323A1">
        <w:t>.</w:t>
      </w:r>
    </w:p>
  </w:footnote>
  <w:footnote w:id="14">
    <w:p w:rsidR="00170278" w:rsidRPr="005323A1"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5323A1">
        <w:t>Более подробную информацию см. в решении Верховного суда 3 Tdo 1160/2005.</w:t>
      </w:r>
    </w:p>
  </w:footnote>
  <w:footnote w:id="15">
    <w:p w:rsidR="00170278" w:rsidRPr="009B4026"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9B4026">
        <w:rPr>
          <w:lang w:val="en-GB"/>
        </w:rPr>
        <w:t>Более подробную информацию см. в решении Верховного суда 3 Tdo 963/2011-32.</w:t>
      </w:r>
    </w:p>
  </w:footnote>
  <w:footnote w:id="16">
    <w:p w:rsidR="00170278" w:rsidRPr="009B4026"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9B4026">
        <w:rPr>
          <w:lang w:val="en-GB"/>
        </w:rPr>
        <w:t>Более подробную информацию см. в документе чешской полиции "Статистические сводки преступлений". Доступен по адресу: http://www.policie.cz/clanek/archiv-statistics, statistical summaries-kriminality.asp.</w:t>
      </w:r>
    </w:p>
  </w:footnote>
  <w:footnote w:id="17">
    <w:p w:rsidR="00170278" w:rsidRPr="009B4026"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rStyle w:val="FootnoteReference"/>
          <w:lang w:val="en-GB"/>
        </w:rPr>
        <w:tab/>
      </w:r>
      <w:r w:rsidRPr="00170278">
        <w:rPr>
          <w:rStyle w:val="FootnoteReference"/>
          <w:lang w:val="en-GB"/>
        </w:rPr>
        <w:footnoteRef/>
      </w:r>
      <w:r>
        <w:rPr>
          <w:spacing w:val="0"/>
          <w:w w:val="100"/>
          <w:szCs w:val="17"/>
        </w:rPr>
        <w:tab/>
      </w:r>
      <w:r w:rsidRPr="009B4026">
        <w:rPr>
          <w:lang w:val="en-GB"/>
        </w:rPr>
        <w:t>Более подробную информацию см. в документе чешской полиции "Статистические сводки преступлений". Доступен по адресу: http://www.policie.cz/clanek/archiv-statistics, statistical summaries-kriminality.aspx.</w:t>
      </w:r>
    </w:p>
  </w:footnote>
  <w:footnote w:id="18">
    <w:p w:rsidR="00170278" w:rsidRPr="0010549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lang w:val="en-US"/>
        </w:rPr>
        <w:tab/>
      </w:r>
      <w:r w:rsidRPr="00170278">
        <w:rPr>
          <w:rStyle w:val="FootnoteReference"/>
          <w:lang w:val="en-GB"/>
        </w:rPr>
        <w:footnoteRef/>
      </w:r>
      <w:r>
        <w:rPr>
          <w:spacing w:val="0"/>
          <w:w w:val="100"/>
          <w:szCs w:val="17"/>
        </w:rPr>
        <w:tab/>
      </w:r>
      <w:r w:rsidRPr="0010549D">
        <w:rPr>
          <w:lang w:val="en-GB"/>
        </w:rPr>
        <w:t>Более подробную информацию см. в публикации "proFem" "Ekonomické dopady domácího násilí" ("Экономические последствия насилия в семье") за 2012 год. Доступна по адресу: http://www.profem.cz/shared/clanky/103/profem-studie2b-web_1.pdf.</w:t>
      </w:r>
    </w:p>
  </w:footnote>
  <w:footnote w:id="19">
    <w:p w:rsidR="00170278"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szCs w:val="17"/>
        </w:rPr>
      </w:pPr>
      <w:r w:rsidRPr="00170278">
        <w:rPr>
          <w:spacing w:val="0"/>
          <w:w w:val="100"/>
          <w:szCs w:val="17"/>
        </w:rPr>
        <w:tab/>
      </w:r>
      <w:r w:rsidRPr="00170278">
        <w:rPr>
          <w:rStyle w:val="FootnoteReference"/>
          <w:lang w:val="en-GB"/>
        </w:rPr>
        <w:footnoteRef/>
      </w:r>
      <w:r>
        <w:rPr>
          <w:spacing w:val="0"/>
          <w:w w:val="100"/>
          <w:szCs w:val="17"/>
        </w:rPr>
        <w:tab/>
      </w:r>
      <w:r w:rsidRPr="0010549D">
        <w:rPr>
          <w:lang w:val="en-GB"/>
        </w:rPr>
        <w:t>Более подробную информацию см. в документе гражданской ассоциации ROSA: "Опрос учащихся средних школ на тему насилия в отношениях, восприятия насилия и безопасности". Доступен по адресу: http://rosa-os.cz/k-stazeni/statistiky/.</w:t>
      </w:r>
    </w:p>
  </w:footnote>
  <w:footnote w:id="20">
    <w:p w:rsidR="00170278" w:rsidRPr="0010549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10549D">
        <w:rPr>
          <w:lang w:val="en-GB"/>
        </w:rPr>
        <w:t>Центры экстренной помощи получают финансирование из нескольких источников. Помимо субсидий по линии МТСД им предоставляются средства, выделяемые соответствующими краями и муниципалитетами, а также финансирование на реализацию отдельных проектов.</w:t>
      </w:r>
    </w:p>
  </w:footnote>
  <w:footnote w:id="21">
    <w:p w:rsidR="00170278" w:rsidRPr="0010549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10549D">
        <w:rPr>
          <w:lang w:val="en-GB"/>
        </w:rPr>
        <w:t>Далее в этом решении Верховный суд отмечает, что в состоянии беззащитности может находиться пациент, подвергаемый врачом такой процедуре, которая значительно сокращает возможность наблюдения за действиями врача и адекватного реагирования на эти действия (например, гинекологическое обследование женщины). Совершение врачом полового сношения в указанной ситуации означает наличие предусмотренного в законодательстве элемента злонамеренного использования беззащитного положения, подпадающего под определение изнасилования.</w:t>
      </w:r>
    </w:p>
  </w:footnote>
  <w:footnote w:id="22">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Материалы конференции доступны на веб-сайте Канцелярии правительства по адресу: http://www.vlada.cz/assets/vydavatelstvi/vydane-publikace/gender_conference.pdf.</w:t>
      </w:r>
    </w:p>
  </w:footnote>
  <w:footnote w:id="23">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Кодекс, составленный Советом по рекламе, доступен по адресу: http://www.rpr.cz/cz/dokumenty_rpr.php.</w:t>
      </w:r>
    </w:p>
  </w:footnote>
  <w:footnote w:id="24">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Дополнительная информация о конкурсе доступна [в онлайновом режиме] [по состоянию на 07/05/2014] по адресу: http://zenskaprava.cz/dlouhodoba-aktivita/sexisticke-prasatecko/.</w:t>
      </w:r>
    </w:p>
  </w:footnote>
  <w:footnote w:id="25">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В числе прочего в рекомендациях указываются следующие причины неравенства между женщинами и мужчинами в научной сфере: стереотипы и предрассудки, обусловленные традициями, согласно которым научная деятельность ориентирована на мужчин, акцент на линейной и непрерывной карьере в науке, горизонтальная и вертикальная сегрегация в научной сфере и отсутствие гендерно-нейтральной оценки научных результатов и перспектив. В своей инициативе Совет рекомендует Правительственному совету по исследованиям, разработкам и инновациям рассматривать свои материалы в подготовительный период совместно с Правительственным советом по вопросу равных возможностей для женщин и мужчин.</w:t>
      </w:r>
    </w:p>
  </w:footnote>
  <w:footnote w:id="26">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Мать имеет право на отпуск по уходу за ребенком после окончания предоставленного ей отпуска по беременности и родам (28 или 37 недель в случае одновременного рождения двух и более детей). Отец имеет право взять отпуск по уходу за ребенком после рождения ребенка и до достижения им трехлетнего возраста на любой срок и в любое время, когда он обратится с соответствующей просьбой.</w:t>
      </w:r>
    </w:p>
  </w:footnote>
  <w:footnote w:id="27">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То есть наличие у родителей возможности сменить друг друга на период не подлежащей передаче части отпуска по уходу за ребенком продолжительностью не менее одного месяца при сокращении родительского пособия на соответствующую сумму, в случае если второй родитель откажется делать это.</w:t>
      </w:r>
    </w:p>
  </w:footnote>
  <w:footnote w:id="28">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rPr>
        <w:tab/>
      </w:r>
      <w:r w:rsidRPr="00170278">
        <w:rPr>
          <w:rStyle w:val="FootnoteReference"/>
          <w:lang w:val="en-GB"/>
        </w:rPr>
        <w:footnoteRef/>
      </w:r>
      <w:r>
        <w:rPr>
          <w:spacing w:val="0"/>
          <w:w w:val="100"/>
          <w:szCs w:val="17"/>
        </w:rPr>
        <w:tab/>
      </w:r>
      <w:r w:rsidRPr="003A6779">
        <w:rPr>
          <w:lang w:val="en-GB"/>
        </w:rPr>
        <w:t>Более подробную информацию см. в документе "Trafficking in Persons Report 2013" (Доклад о торговле людьми за 2013 год). Доступен по адресу: http://www.state.gov/documents/organization/210738.pdf.</w:t>
      </w:r>
    </w:p>
  </w:footnote>
  <w:footnote w:id="29">
    <w:p w:rsidR="00170278" w:rsidRPr="003A6779"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3A6779">
        <w:rPr>
          <w:lang w:val="en-GB"/>
        </w:rPr>
        <w:t>Более подробную информацию см. в статистических данных полиции ЧР. Доступны по адресу: http://www.policie.cz/soubor/12-celkova-kriminalita-za-obdobi-od-01-01-2013-do-31-12-2013.aspx.</w:t>
      </w:r>
    </w:p>
  </w:footnote>
  <w:footnote w:id="30">
    <w:p w:rsidR="00170278" w:rsidRPr="006B388E"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6B388E">
        <w:rPr>
          <w:lang w:val="en-GB"/>
        </w:rPr>
        <w:t>Более подробную информацию см. в публикации НПО "Форум 50%" "Анализ результатов выборов в палату депутатов Чешской Республики в 2013 году". Доступна по адресу: http://padesatprocent.cz/cz/zeny-v-politice/cz/zeny-v-politice/poslanecka-snemovna/analyza-snemovna-2013.</w:t>
      </w:r>
    </w:p>
  </w:footnote>
  <w:footnote w:id="31">
    <w:p w:rsidR="00170278" w:rsidRPr="004C1B7F"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pacing w:val="0"/>
          <w:w w:val="100"/>
          <w:szCs w:val="17"/>
        </w:rPr>
        <w:tab/>
      </w:r>
      <w:r w:rsidRPr="00170278">
        <w:rPr>
          <w:rStyle w:val="FootnoteReference"/>
          <w:lang w:val="en-GB"/>
        </w:rPr>
        <w:footnoteRef/>
      </w:r>
      <w:r>
        <w:rPr>
          <w:spacing w:val="0"/>
          <w:w w:val="100"/>
          <w:szCs w:val="17"/>
        </w:rPr>
        <w:tab/>
      </w:r>
      <w:r w:rsidRPr="004C1B7F">
        <w:rPr>
          <w:lang w:val="en-GB"/>
        </w:rPr>
        <w:t xml:space="preserve">Более подробную информацию см. в публикации НПО "Форум 50%" "Анализ результатов выборов в палату депутатов Чешской Республики в 2013 году". </w:t>
      </w:r>
      <w:r w:rsidRPr="004C1B7F">
        <w:t xml:space="preserve">Доступна по адресу: </w:t>
      </w:r>
      <w:r w:rsidRPr="004C1B7F">
        <w:rPr>
          <w:lang w:val="en-GB"/>
        </w:rPr>
        <w:t>http</w:t>
      </w:r>
      <w:r w:rsidRPr="004C1B7F">
        <w:t>://</w:t>
      </w:r>
      <w:r w:rsidRPr="004C1B7F">
        <w:rPr>
          <w:lang w:val="en-GB"/>
        </w:rPr>
        <w:t>padesatprocent</w:t>
      </w:r>
      <w:r w:rsidRPr="004C1B7F">
        <w:t>.</w:t>
      </w:r>
      <w:r w:rsidRPr="004C1B7F">
        <w:rPr>
          <w:lang w:val="en-GB"/>
        </w:rPr>
        <w:t>cz</w:t>
      </w:r>
      <w:r w:rsidRPr="004C1B7F">
        <w:t>/</w:t>
      </w:r>
      <w:r w:rsidRPr="004C1B7F">
        <w:rPr>
          <w:lang w:val="en-GB"/>
        </w:rPr>
        <w:t>cz</w:t>
      </w:r>
      <w:r w:rsidRPr="004C1B7F">
        <w:t>/</w:t>
      </w:r>
      <w:r w:rsidRPr="004C1B7F">
        <w:rPr>
          <w:lang w:val="en-GB"/>
        </w:rPr>
        <w:t>zeny</w:t>
      </w:r>
      <w:r w:rsidRPr="004C1B7F">
        <w:t>-</w:t>
      </w:r>
      <w:r w:rsidRPr="004C1B7F">
        <w:rPr>
          <w:lang w:val="en-GB"/>
        </w:rPr>
        <w:t>v</w:t>
      </w:r>
      <w:r w:rsidRPr="004C1B7F">
        <w:t>-</w:t>
      </w:r>
      <w:r w:rsidRPr="004C1B7F">
        <w:rPr>
          <w:lang w:val="en-GB"/>
        </w:rPr>
        <w:t>politice</w:t>
      </w:r>
      <w:r w:rsidRPr="004C1B7F">
        <w:t>/</w:t>
      </w:r>
      <w:r w:rsidRPr="004C1B7F">
        <w:rPr>
          <w:lang w:val="en-GB"/>
        </w:rPr>
        <w:t>cz</w:t>
      </w:r>
      <w:r w:rsidRPr="004C1B7F">
        <w:t>/</w:t>
      </w:r>
      <w:r w:rsidRPr="004C1B7F">
        <w:rPr>
          <w:lang w:val="en-GB"/>
        </w:rPr>
        <w:t>zeny</w:t>
      </w:r>
      <w:r w:rsidRPr="004C1B7F">
        <w:t>-</w:t>
      </w:r>
      <w:r w:rsidRPr="004C1B7F">
        <w:rPr>
          <w:lang w:val="en-GB"/>
        </w:rPr>
        <w:t>v</w:t>
      </w:r>
      <w:r w:rsidRPr="004C1B7F">
        <w:t>-</w:t>
      </w:r>
      <w:r w:rsidRPr="004C1B7F">
        <w:rPr>
          <w:lang w:val="en-GB"/>
        </w:rPr>
        <w:t>politice</w:t>
      </w:r>
      <w:r w:rsidRPr="004C1B7F">
        <w:t>/</w:t>
      </w:r>
      <w:r w:rsidRPr="004C1B7F">
        <w:rPr>
          <w:lang w:val="en-GB"/>
        </w:rPr>
        <w:t>poslanecka</w:t>
      </w:r>
      <w:r w:rsidRPr="004C1B7F">
        <w:t>-</w:t>
      </w:r>
      <w:r w:rsidRPr="004C1B7F">
        <w:rPr>
          <w:lang w:val="en-GB"/>
        </w:rPr>
        <w:t>snemovna</w:t>
      </w:r>
      <w:r w:rsidRPr="004C1B7F">
        <w:t>/</w:t>
      </w:r>
      <w:r w:rsidRPr="004C1B7F">
        <w:rPr>
          <w:lang w:val="en-GB"/>
        </w:rPr>
        <w:t>analyza</w:t>
      </w:r>
      <w:r w:rsidRPr="004C1B7F">
        <w:t>-</w:t>
      </w:r>
      <w:r w:rsidRPr="004C1B7F">
        <w:rPr>
          <w:lang w:val="en-GB"/>
        </w:rPr>
        <w:t>snemovna</w:t>
      </w:r>
      <w:r w:rsidRPr="004C1B7F">
        <w:t>-2013.</w:t>
      </w:r>
    </w:p>
  </w:footnote>
  <w:footnote w:id="32">
    <w:p w:rsidR="00170278"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szCs w:val="17"/>
        </w:rPr>
      </w:pPr>
      <w:r>
        <w:rPr>
          <w:spacing w:val="0"/>
          <w:w w:val="100"/>
          <w:szCs w:val="17"/>
        </w:rPr>
        <w:tab/>
      </w:r>
      <w:r w:rsidRPr="00170278">
        <w:rPr>
          <w:rStyle w:val="FootnoteReference"/>
          <w:lang w:val="en-GB"/>
        </w:rPr>
        <w:footnoteRef/>
      </w:r>
      <w:r>
        <w:rPr>
          <w:spacing w:val="0"/>
          <w:w w:val="100"/>
          <w:szCs w:val="17"/>
          <w:lang w:val="en-US"/>
        </w:rPr>
        <w:tab/>
      </w:r>
      <w:r w:rsidRPr="004C1B7F">
        <w:rPr>
          <w:lang w:val="en-GB"/>
        </w:rPr>
        <w:t xml:space="preserve">Более подробную информацию см. в документе Европейской комиссии "Women and Men in Leadership Positions in the European Union 2013", p. 20. </w:t>
      </w:r>
      <w:r w:rsidRPr="004C1B7F">
        <w:t xml:space="preserve">Доступен по адресу: </w:t>
      </w:r>
      <w:r w:rsidRPr="004C1B7F">
        <w:rPr>
          <w:lang w:val="en-GB"/>
        </w:rPr>
        <w:t>http</w:t>
      </w:r>
      <w:r w:rsidRPr="004C1B7F">
        <w:t>://</w:t>
      </w:r>
      <w:r w:rsidRPr="004C1B7F">
        <w:rPr>
          <w:lang w:val="en-GB"/>
        </w:rPr>
        <w:t>ec</w:t>
      </w:r>
      <w:r w:rsidRPr="004C1B7F">
        <w:t>.</w:t>
      </w:r>
      <w:r w:rsidRPr="004C1B7F">
        <w:rPr>
          <w:lang w:val="en-GB"/>
        </w:rPr>
        <w:t>europa</w:t>
      </w:r>
      <w:r w:rsidRPr="004C1B7F">
        <w:t>.</w:t>
      </w:r>
      <w:r w:rsidRPr="004C1B7F">
        <w:rPr>
          <w:lang w:val="en-GB"/>
        </w:rPr>
        <w:t>eu</w:t>
      </w:r>
      <w:r w:rsidRPr="004C1B7F">
        <w:t>/</w:t>
      </w:r>
      <w:r w:rsidRPr="004C1B7F">
        <w:rPr>
          <w:lang w:val="en-GB"/>
        </w:rPr>
        <w:t>justice</w:t>
      </w:r>
      <w:r w:rsidRPr="004C1B7F">
        <w:t>/</w:t>
      </w:r>
      <w:r w:rsidRPr="004C1B7F">
        <w:rPr>
          <w:lang w:val="en-GB"/>
        </w:rPr>
        <w:t>gender</w:t>
      </w:r>
      <w:r w:rsidRPr="004C1B7F">
        <w:t>-</w:t>
      </w:r>
      <w:r w:rsidRPr="004C1B7F">
        <w:rPr>
          <w:lang w:val="en-GB"/>
        </w:rPr>
        <w:t>equality</w:t>
      </w:r>
      <w:r w:rsidRPr="004C1B7F">
        <w:t>/</w:t>
      </w:r>
      <w:r w:rsidRPr="004C1B7F">
        <w:rPr>
          <w:lang w:val="en-GB"/>
        </w:rPr>
        <w:t>files</w:t>
      </w:r>
      <w:r w:rsidRPr="004C1B7F">
        <w:t>/</w:t>
      </w:r>
      <w:r w:rsidRPr="004C1B7F">
        <w:rPr>
          <w:lang w:val="en-GB"/>
        </w:rPr>
        <w:t>gender</w:t>
      </w:r>
      <w:r w:rsidRPr="004C1B7F">
        <w:t>_</w:t>
      </w:r>
      <w:r w:rsidRPr="004C1B7F">
        <w:rPr>
          <w:lang w:val="en-GB"/>
        </w:rPr>
        <w:t>balance</w:t>
      </w:r>
      <w:r w:rsidRPr="004C1B7F">
        <w:t>_</w:t>
      </w:r>
      <w:r w:rsidRPr="004C1B7F">
        <w:rPr>
          <w:lang w:val="en-GB"/>
        </w:rPr>
        <w:t>decision</w:t>
      </w:r>
      <w:r w:rsidRPr="004C1B7F">
        <w:t>_</w:t>
      </w:r>
      <w:r w:rsidRPr="004C1B7F">
        <w:rPr>
          <w:lang w:val="en-GB"/>
        </w:rPr>
        <w:t>making</w:t>
      </w:r>
      <w:r w:rsidRPr="004C1B7F">
        <w:t>/</w:t>
      </w:r>
      <w:r w:rsidR="004C1B7F">
        <w:br/>
      </w:r>
      <w:r w:rsidRPr="004C1B7F">
        <w:t>131011_</w:t>
      </w:r>
      <w:r w:rsidRPr="004C1B7F">
        <w:rPr>
          <w:lang w:val="en-GB"/>
        </w:rPr>
        <w:t>women</w:t>
      </w:r>
      <w:r w:rsidRPr="004C1B7F">
        <w:t>_</w:t>
      </w:r>
      <w:r w:rsidRPr="004C1B7F">
        <w:rPr>
          <w:lang w:val="en-GB"/>
        </w:rPr>
        <w:t>men</w:t>
      </w:r>
      <w:r w:rsidRPr="004C1B7F">
        <w:t>_</w:t>
      </w:r>
      <w:r w:rsidRPr="004C1B7F">
        <w:rPr>
          <w:lang w:val="en-GB"/>
        </w:rPr>
        <w:t>leadership</w:t>
      </w:r>
      <w:r w:rsidRPr="004C1B7F">
        <w:t>_</w:t>
      </w:r>
      <w:r w:rsidRPr="004C1B7F">
        <w:rPr>
          <w:lang w:val="en-GB"/>
        </w:rPr>
        <w:t>en</w:t>
      </w:r>
      <w:r w:rsidRPr="004C1B7F">
        <w:t>.</w:t>
      </w:r>
      <w:r w:rsidRPr="004C1B7F">
        <w:rPr>
          <w:lang w:val="en-GB"/>
        </w:rPr>
        <w:t>pdf</w:t>
      </w:r>
      <w:r w:rsidRPr="004C1B7F">
        <w:t>.</w:t>
      </w:r>
    </w:p>
  </w:footnote>
  <w:footnote w:id="33">
    <w:p w:rsidR="00170278"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szCs w:val="17"/>
        </w:rPr>
      </w:pPr>
      <w:r>
        <w:rPr>
          <w:spacing w:val="0"/>
          <w:w w:val="100"/>
          <w:szCs w:val="17"/>
        </w:rPr>
        <w:tab/>
      </w:r>
      <w:r w:rsidRPr="00170278">
        <w:rPr>
          <w:rStyle w:val="FootnoteReference"/>
          <w:lang w:val="en-GB"/>
        </w:rPr>
        <w:footnoteRef/>
      </w:r>
      <w:r>
        <w:rPr>
          <w:spacing w:val="0"/>
          <w:w w:val="100"/>
          <w:szCs w:val="17"/>
        </w:rPr>
        <w:tab/>
      </w:r>
      <w:r w:rsidRPr="004C1B7F">
        <w:rPr>
          <w:lang w:val="en-GB"/>
        </w:rPr>
        <w:t>Данные без учета числа кандидатов, не получивших необходимой поддержки от граждан, членов парламента и сенаторов, а также кандидатов, исключенных после проверки подписей Министерством внутренних дел.</w:t>
      </w:r>
    </w:p>
  </w:footnote>
  <w:footnote w:id="34">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17373D">
        <w:rPr>
          <w:lang w:val="en-GB"/>
        </w:rPr>
        <w:t>Проанализированы данные о численности судей и прокуроров по состоянию на 1 ноября 2013 года.</w:t>
      </w:r>
    </w:p>
  </w:footnote>
  <w:footnote w:id="35">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lang w:val="en-US"/>
        </w:rPr>
        <w:tab/>
      </w:r>
      <w:r w:rsidRPr="0017373D">
        <w:rPr>
          <w:lang w:val="en-GB"/>
        </w:rPr>
        <w:t>См. McKinsey &amp; Company: Exploiting the full potential of women in the Czech economy. Доступно по адресу: http://flexipraca.sk/public/files/download/women_matter_cj.pdf.</w:t>
      </w:r>
    </w:p>
  </w:footnote>
  <w:footnote w:id="36">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17373D">
        <w:rPr>
          <w:lang w:val="en-GB"/>
        </w:rPr>
        <w:t>Платформа "Бизнес для общества" является крупнейшей профессиональной платформой, на базе которой компании могут обмениваться информацией о принципах корпоративной социальной ответственности (КСО) и устойчивой предпринимательской деятельности в рамках страны и распространять соответствующие сведения. Одна из сфер интересов данной платформы связана с поддержкой разнообразия на уровне компаний; с этой целью в 2013 году ее участниками был разработан проект меморандума о разнообразии 2013+, касающийся обеспечения равных возможностей на рынке труда и активного применения принципа гендерного равенства, к которому присоединился ряд крупных компаний. Дополнительную информацию см. по адресу: http://www.byznysprospolecnost.cz/diverzita-2013-.html.</w:t>
      </w:r>
    </w:p>
  </w:footnote>
  <w:footnote w:id="37">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17373D">
        <w:t>Более подробную информацию см. в публикациях ЧСУ "Акцент на женщинах и мужчинах, 2013</w:t>
      </w:r>
      <w:r w:rsidRPr="0017373D">
        <w:rPr>
          <w:lang w:val="en-GB"/>
        </w:rPr>
        <w:t> </w:t>
      </w:r>
      <w:r w:rsidRPr="0017373D">
        <w:t xml:space="preserve">год"; доступны по адресу: </w:t>
      </w:r>
      <w:r w:rsidRPr="0017373D">
        <w:rPr>
          <w:lang w:val="en-GB"/>
        </w:rPr>
        <w:t>http</w:t>
      </w:r>
      <w:r w:rsidRPr="0017373D">
        <w:t>://</w:t>
      </w:r>
      <w:r w:rsidRPr="0017373D">
        <w:rPr>
          <w:lang w:val="en-GB"/>
        </w:rPr>
        <w:t>www</w:t>
      </w:r>
      <w:r w:rsidRPr="0017373D">
        <w:t>.</w:t>
      </w:r>
      <w:r w:rsidRPr="0017373D">
        <w:rPr>
          <w:lang w:val="en-GB"/>
        </w:rPr>
        <w:t>czso</w:t>
      </w:r>
      <w:r w:rsidRPr="0017373D">
        <w:t>.</w:t>
      </w:r>
      <w:r w:rsidRPr="0017373D">
        <w:rPr>
          <w:lang w:val="en-GB"/>
        </w:rPr>
        <w:t>cz</w:t>
      </w:r>
      <w:r w:rsidRPr="0017373D">
        <w:t>/</w:t>
      </w:r>
      <w:r w:rsidRPr="0017373D">
        <w:rPr>
          <w:lang w:val="en-GB"/>
        </w:rPr>
        <w:t>csu</w:t>
      </w:r>
      <w:r w:rsidRPr="0017373D">
        <w:t>/2013</w:t>
      </w:r>
      <w:r w:rsidRPr="0017373D">
        <w:rPr>
          <w:lang w:val="en-GB"/>
        </w:rPr>
        <w:t>edicniplan</w:t>
      </w:r>
      <w:r w:rsidRPr="0017373D">
        <w:t>.</w:t>
      </w:r>
      <w:r w:rsidRPr="0017373D">
        <w:rPr>
          <w:lang w:val="en-GB"/>
        </w:rPr>
        <w:t>nsf</w:t>
      </w:r>
      <w:r w:rsidRPr="0017373D">
        <w:t>/</w:t>
      </w:r>
      <w:r w:rsidRPr="0017373D">
        <w:rPr>
          <w:lang w:val="en-GB"/>
        </w:rPr>
        <w:t>kapitola</w:t>
      </w:r>
      <w:r w:rsidRPr="0017373D">
        <w:t>/</w:t>
      </w:r>
      <w:r w:rsidR="0017373D">
        <w:br/>
      </w:r>
      <w:r w:rsidRPr="0017373D">
        <w:t>1413-13-</w:t>
      </w:r>
      <w:r w:rsidRPr="0017373D">
        <w:rPr>
          <w:lang w:val="en-GB"/>
        </w:rPr>
        <w:t>r</w:t>
      </w:r>
      <w:r w:rsidRPr="0017373D">
        <w:t>_2013-13.</w:t>
      </w:r>
    </w:p>
  </w:footnote>
  <w:footnote w:id="38">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rPr>
        <w:tab/>
      </w:r>
      <w:r w:rsidRPr="00170278">
        <w:rPr>
          <w:rStyle w:val="FootnoteReference"/>
          <w:lang w:val="en-GB"/>
        </w:rPr>
        <w:footnoteRef/>
      </w:r>
      <w:r>
        <w:rPr>
          <w:spacing w:val="0"/>
          <w:w w:val="100"/>
          <w:szCs w:val="17"/>
          <w:lang w:val="en-US"/>
        </w:rPr>
        <w:tab/>
      </w:r>
      <w:r w:rsidRPr="0017373D">
        <w:rPr>
          <w:lang w:val="en-GB"/>
        </w:rPr>
        <w:t>Более подробную информацию см. в документе Tenglerová, H. The status of women in Czech science. Monitoring Report 2011 [в онлайновом режиме] [по состоянию на 2014-25-09] по адресу: http://www.zenyaveda.cz/files/postaveni-zen-in-the-czech-leads-2011-final-break-www.pdf.</w:t>
      </w:r>
    </w:p>
  </w:footnote>
  <w:footnote w:id="39">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lang w:val="en-US"/>
        </w:rPr>
        <w:tab/>
      </w:r>
      <w:r w:rsidRPr="0017373D">
        <w:rPr>
          <w:lang w:val="en-GB"/>
        </w:rPr>
        <w:t>Ibid.</w:t>
      </w:r>
    </w:p>
  </w:footnote>
  <w:footnote w:id="40">
    <w:p w:rsidR="00170278" w:rsidRPr="0017373D"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lang w:val="en-US"/>
        </w:rPr>
        <w:tab/>
      </w:r>
      <w:r w:rsidRPr="00170278">
        <w:rPr>
          <w:rStyle w:val="FootnoteReference"/>
          <w:lang w:val="en-GB"/>
        </w:rPr>
        <w:footnoteRef/>
      </w:r>
      <w:r>
        <w:rPr>
          <w:spacing w:val="0"/>
          <w:w w:val="100"/>
          <w:szCs w:val="17"/>
          <w:lang w:val="en-US"/>
        </w:rPr>
        <w:tab/>
      </w:r>
      <w:r w:rsidRPr="0017373D">
        <w:rPr>
          <w:lang w:val="en-GB"/>
        </w:rPr>
        <w:t>Более подробную информацию см. в документе Tenglerová, H. 2014 Monitoring Report for the 2012 Prague: Institute of Sociology AS CR, vvi. Доступен по адресу: http://www.zenyaveda.cz/files/monitorovaci-zprava2012.pdf.</w:t>
      </w:r>
    </w:p>
  </w:footnote>
  <w:footnote w:id="41">
    <w:p w:rsidR="00170278" w:rsidRPr="00865EBF"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865EBF">
        <w:rPr>
          <w:lang w:val="en-GB"/>
        </w:rPr>
        <w:t xml:space="preserve">Более подробную информацию см. в документе УПЧ "Итоговый доклад о результатах расследования". </w:t>
      </w:r>
      <w:r w:rsidRPr="00865EBF">
        <w:t xml:space="preserve">Доступен по адресу: </w:t>
      </w:r>
      <w:r w:rsidRPr="00865EBF">
        <w:rPr>
          <w:lang w:val="en-GB"/>
        </w:rPr>
        <w:t>http</w:t>
      </w:r>
      <w:r w:rsidRPr="00865EBF">
        <w:t>://</w:t>
      </w:r>
      <w:r w:rsidRPr="00865EBF">
        <w:rPr>
          <w:lang w:val="en-GB"/>
        </w:rPr>
        <w:t>www</w:t>
      </w:r>
      <w:r w:rsidRPr="00865EBF">
        <w:t>.</w:t>
      </w:r>
      <w:r w:rsidRPr="00865EBF">
        <w:rPr>
          <w:lang w:val="en-GB"/>
        </w:rPr>
        <w:t>ochrance</w:t>
      </w:r>
      <w:r w:rsidRPr="00865EBF">
        <w:t>.</w:t>
      </w:r>
      <w:r w:rsidRPr="00865EBF">
        <w:rPr>
          <w:lang w:val="en-GB"/>
        </w:rPr>
        <w:t>cz</w:t>
      </w:r>
      <w:r w:rsidRPr="00865EBF">
        <w:t>/</w:t>
      </w:r>
      <w:r w:rsidRPr="00865EBF">
        <w:rPr>
          <w:lang w:val="en-GB"/>
        </w:rPr>
        <w:t>fileadmin</w:t>
      </w:r>
      <w:r w:rsidRPr="00865EBF">
        <w:t>/</w:t>
      </w:r>
      <w:r w:rsidR="00865EBF">
        <w:br/>
      </w:r>
      <w:r w:rsidRPr="00865EBF">
        <w:rPr>
          <w:lang w:val="en-GB"/>
        </w:rPr>
        <w:t>user</w:t>
      </w:r>
      <w:r w:rsidRPr="00865EBF">
        <w:t>_</w:t>
      </w:r>
      <w:r w:rsidRPr="00865EBF">
        <w:rPr>
          <w:lang w:val="en-GB"/>
        </w:rPr>
        <w:t>upload</w:t>
      </w:r>
      <w:r w:rsidRPr="00865EBF">
        <w:t>/</w:t>
      </w:r>
      <w:r w:rsidRPr="00865EBF">
        <w:rPr>
          <w:lang w:val="en-GB"/>
        </w:rPr>
        <w:t>DISKRIMINACE</w:t>
      </w:r>
      <w:r w:rsidRPr="00865EBF">
        <w:t>/</w:t>
      </w:r>
      <w:r w:rsidRPr="00865EBF">
        <w:rPr>
          <w:lang w:val="en-GB"/>
        </w:rPr>
        <w:t>Kauzy</w:t>
      </w:r>
      <w:r w:rsidRPr="00865EBF">
        <w:t>/</w:t>
      </w:r>
      <w:r w:rsidRPr="00865EBF">
        <w:rPr>
          <w:lang w:val="en-GB"/>
        </w:rPr>
        <w:t>prace</w:t>
      </w:r>
      <w:r w:rsidRPr="00865EBF">
        <w:t>/81-2012-</w:t>
      </w:r>
      <w:r w:rsidRPr="00865EBF">
        <w:rPr>
          <w:lang w:val="en-GB"/>
        </w:rPr>
        <w:t>DIS</w:t>
      </w:r>
      <w:r w:rsidRPr="00865EBF">
        <w:t>-</w:t>
      </w:r>
      <w:r w:rsidRPr="00865EBF">
        <w:rPr>
          <w:lang w:val="en-GB"/>
        </w:rPr>
        <w:t>ZO</w:t>
      </w:r>
      <w:r w:rsidRPr="00865EBF">
        <w:t>-</w:t>
      </w:r>
      <w:r w:rsidRPr="00865EBF">
        <w:rPr>
          <w:lang w:val="en-GB"/>
        </w:rPr>
        <w:t>ZZ</w:t>
      </w:r>
      <w:r w:rsidRPr="00865EBF">
        <w:t>.</w:t>
      </w:r>
      <w:r w:rsidRPr="00865EBF">
        <w:rPr>
          <w:lang w:val="en-GB"/>
        </w:rPr>
        <w:t>pdf</w:t>
      </w:r>
      <w:r w:rsidRPr="00865EBF">
        <w:t>.</w:t>
      </w:r>
    </w:p>
  </w:footnote>
  <w:footnote w:id="42">
    <w:p w:rsidR="00170278" w:rsidRPr="00FE2E5E"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FE2E5E">
        <w:rPr>
          <w:lang w:val="en-GB"/>
        </w:rPr>
        <w:t>Информация о положении в ЕС (гендерный разрыв в оплате труда в 2012 году) доступна по адресу: http://ec.europa.eu/justice/gender-equality/gender-pay-gap/situation-europe/index_en.htm.</w:t>
      </w:r>
    </w:p>
  </w:footnote>
  <w:footnote w:id="43">
    <w:p w:rsidR="00170278" w:rsidRPr="00FE2E5E"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FE2E5E">
        <w:t>Данные о занятости и безработице, полученные в ходе Обслед</w:t>
      </w:r>
      <w:r w:rsidR="00FE2E5E" w:rsidRPr="00FE2E5E">
        <w:t>ования рабочей силы 2012</w:t>
      </w:r>
      <w:r w:rsidR="00FE2E5E">
        <w:t> </w:t>
      </w:r>
      <w:r w:rsidRPr="00FE2E5E">
        <w:t xml:space="preserve">года, доступны по адресу: </w:t>
      </w:r>
      <w:r w:rsidRPr="00FE2E5E">
        <w:rPr>
          <w:lang w:val="en-GB"/>
        </w:rPr>
        <w:t>http</w:t>
      </w:r>
      <w:r w:rsidRPr="00FE2E5E">
        <w:t>://</w:t>
      </w:r>
      <w:r w:rsidRPr="00FE2E5E">
        <w:rPr>
          <w:lang w:val="en-GB"/>
        </w:rPr>
        <w:t>www</w:t>
      </w:r>
      <w:r w:rsidRPr="00FE2E5E">
        <w:t>.</w:t>
      </w:r>
      <w:r w:rsidRPr="00FE2E5E">
        <w:rPr>
          <w:lang w:val="en-GB"/>
        </w:rPr>
        <w:t>czso</w:t>
      </w:r>
      <w:r w:rsidRPr="00FE2E5E">
        <w:t>.</w:t>
      </w:r>
      <w:r w:rsidRPr="00FE2E5E">
        <w:rPr>
          <w:lang w:val="en-GB"/>
        </w:rPr>
        <w:t>cz</w:t>
      </w:r>
      <w:r w:rsidRPr="00FE2E5E">
        <w:t>/</w:t>
      </w:r>
      <w:r w:rsidRPr="00FE2E5E">
        <w:rPr>
          <w:lang w:val="en-GB"/>
        </w:rPr>
        <w:t>csu</w:t>
      </w:r>
      <w:r w:rsidRPr="00FE2E5E">
        <w:t>/2013</w:t>
      </w:r>
      <w:r w:rsidRPr="00FE2E5E">
        <w:rPr>
          <w:lang w:val="en-GB"/>
        </w:rPr>
        <w:t>edicniplan</w:t>
      </w:r>
      <w:r w:rsidRPr="00FE2E5E">
        <w:t>.</w:t>
      </w:r>
      <w:r w:rsidRPr="00FE2E5E">
        <w:rPr>
          <w:lang w:val="en-GB"/>
        </w:rPr>
        <w:t>nsf</w:t>
      </w:r>
      <w:r w:rsidRPr="00FE2E5E">
        <w:t>/</w:t>
      </w:r>
      <w:r w:rsidRPr="00FE2E5E">
        <w:rPr>
          <w:lang w:val="en-GB"/>
        </w:rPr>
        <w:t>p</w:t>
      </w:r>
      <w:r w:rsidRPr="00FE2E5E">
        <w:t>/3115-13.</w:t>
      </w:r>
    </w:p>
  </w:footnote>
  <w:footnote w:id="44">
    <w:p w:rsidR="00170278" w:rsidRPr="00FE2E5E"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FE2E5E">
        <w:t xml:space="preserve">Более подробную информацию см. в документе ЧСУ "Акцент на женщинах и мужчинах, 2013 год" [в онлайновом режиме] [по состоянию на 03/07/2014] по адресу: </w:t>
      </w:r>
      <w:r w:rsidRPr="00FE2E5E">
        <w:rPr>
          <w:lang w:val="en-GB"/>
        </w:rPr>
        <w:t>http</w:t>
      </w:r>
      <w:r w:rsidRPr="00FE2E5E">
        <w:t>://</w:t>
      </w:r>
      <w:r w:rsidRPr="00FE2E5E">
        <w:rPr>
          <w:lang w:val="en-GB"/>
        </w:rPr>
        <w:t>www</w:t>
      </w:r>
      <w:r w:rsidRPr="00FE2E5E">
        <w:t>.</w:t>
      </w:r>
      <w:r w:rsidRPr="00FE2E5E">
        <w:rPr>
          <w:lang w:val="en-GB"/>
        </w:rPr>
        <w:t>czso</w:t>
      </w:r>
      <w:r w:rsidRPr="00FE2E5E">
        <w:t>.</w:t>
      </w:r>
      <w:r w:rsidRPr="00FE2E5E">
        <w:rPr>
          <w:lang w:val="en-GB"/>
        </w:rPr>
        <w:t>cz</w:t>
      </w:r>
      <w:r w:rsidRPr="00FE2E5E">
        <w:t>/</w:t>
      </w:r>
      <w:r w:rsidRPr="00FE2E5E">
        <w:rPr>
          <w:lang w:val="en-GB"/>
        </w:rPr>
        <w:t>csu</w:t>
      </w:r>
      <w:r w:rsidRPr="00FE2E5E">
        <w:t>/2013</w:t>
      </w:r>
      <w:r w:rsidRPr="00FE2E5E">
        <w:rPr>
          <w:lang w:val="en-GB"/>
        </w:rPr>
        <w:t>edicniplan</w:t>
      </w:r>
      <w:r w:rsidRPr="00FE2E5E">
        <w:t>.</w:t>
      </w:r>
      <w:r w:rsidRPr="00FE2E5E">
        <w:rPr>
          <w:lang w:val="en-GB"/>
        </w:rPr>
        <w:t>nsf</w:t>
      </w:r>
      <w:r w:rsidRPr="00FE2E5E">
        <w:t>/</w:t>
      </w:r>
      <w:hyperlink r:id="rId10" w:history="1">
        <w:r w:rsidRPr="00FE2E5E">
          <w:rPr>
            <w:lang w:val="en-GB"/>
          </w:rPr>
          <w:t>t</w:t>
        </w:r>
        <w:r w:rsidRPr="00FE2E5E">
          <w:t>/6</w:t>
        </w:r>
        <w:r w:rsidRPr="00FE2E5E">
          <w:rPr>
            <w:lang w:val="en-GB"/>
          </w:rPr>
          <w:t>D</w:t>
        </w:r>
        <w:r w:rsidRPr="00FE2E5E">
          <w:t>0027</w:t>
        </w:r>
        <w:r w:rsidRPr="00FE2E5E">
          <w:rPr>
            <w:lang w:val="en-GB"/>
          </w:rPr>
          <w:t>D</w:t>
        </w:r>
        <w:r w:rsidRPr="00FE2E5E">
          <w:t>654/$</w:t>
        </w:r>
        <w:r w:rsidRPr="00FE2E5E">
          <w:rPr>
            <w:lang w:val="en-GB"/>
          </w:rPr>
          <w:t>File</w:t>
        </w:r>
        <w:r w:rsidRPr="00FE2E5E">
          <w:t>/1413134437.</w:t>
        </w:r>
        <w:r w:rsidRPr="00FE2E5E">
          <w:rPr>
            <w:lang w:val="en-GB"/>
          </w:rPr>
          <w:t>pdf</w:t>
        </w:r>
      </w:hyperlink>
      <w:r w:rsidRPr="00FE2E5E">
        <w:t>.</w:t>
      </w:r>
    </w:p>
  </w:footnote>
  <w:footnote w:id="45">
    <w:p w:rsidR="00170278" w:rsidRPr="004E0B55"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sidRPr="00170278">
        <w:rPr>
          <w:spacing w:val="0"/>
          <w:w w:val="100"/>
          <w:szCs w:val="17"/>
        </w:rPr>
        <w:tab/>
      </w:r>
      <w:r w:rsidRPr="00170278">
        <w:rPr>
          <w:rStyle w:val="FootnoteReference"/>
          <w:lang w:val="en-GB"/>
        </w:rPr>
        <w:footnoteRef/>
      </w:r>
      <w:r>
        <w:rPr>
          <w:spacing w:val="0"/>
          <w:w w:val="100"/>
          <w:szCs w:val="17"/>
        </w:rPr>
        <w:tab/>
      </w:r>
      <w:r w:rsidRPr="004E0B55">
        <w:rPr>
          <w:spacing w:val="4"/>
        </w:rPr>
        <w:t xml:space="preserve">Доклад о торговле людьми доступен в интернете по адресу: </w:t>
      </w:r>
      <w:r w:rsidRPr="004E0B55">
        <w:rPr>
          <w:spacing w:val="4"/>
          <w:lang w:val="en-GB"/>
        </w:rPr>
        <w:t>http</w:t>
      </w:r>
      <w:r w:rsidRPr="004E0B55">
        <w:rPr>
          <w:spacing w:val="4"/>
        </w:rPr>
        <w:t>://</w:t>
      </w:r>
      <w:r w:rsidRPr="004E0B55">
        <w:rPr>
          <w:spacing w:val="4"/>
          <w:lang w:val="en-GB"/>
        </w:rPr>
        <w:t>www</w:t>
      </w:r>
      <w:r w:rsidRPr="004E0B55">
        <w:rPr>
          <w:spacing w:val="4"/>
        </w:rPr>
        <w:t>.</w:t>
      </w:r>
      <w:r w:rsidRPr="004E0B55">
        <w:rPr>
          <w:spacing w:val="4"/>
          <w:lang w:val="en-GB"/>
        </w:rPr>
        <w:t>state</w:t>
      </w:r>
      <w:r w:rsidRPr="004E0B55">
        <w:rPr>
          <w:spacing w:val="4"/>
        </w:rPr>
        <w:t>.</w:t>
      </w:r>
      <w:r w:rsidRPr="004E0B55">
        <w:rPr>
          <w:spacing w:val="4"/>
          <w:lang w:val="en-GB"/>
        </w:rPr>
        <w:t>gov</w:t>
      </w:r>
      <w:r w:rsidRPr="004E0B55">
        <w:rPr>
          <w:spacing w:val="4"/>
        </w:rPr>
        <w:t>/</w:t>
      </w:r>
      <w:r w:rsidRPr="004E0B55">
        <w:rPr>
          <w:spacing w:val="4"/>
          <w:lang w:val="en-GB"/>
        </w:rPr>
        <w:t>j</w:t>
      </w:r>
      <w:r w:rsidRPr="004E0B55">
        <w:rPr>
          <w:spacing w:val="4"/>
        </w:rPr>
        <w:t>/</w:t>
      </w:r>
      <w:r w:rsidRPr="004E0B55">
        <w:rPr>
          <w:spacing w:val="4"/>
          <w:lang w:val="en-GB"/>
        </w:rPr>
        <w:t>tip</w:t>
      </w:r>
      <w:r w:rsidRPr="004E0B55">
        <w:rPr>
          <w:spacing w:val="4"/>
        </w:rPr>
        <w:t>/</w:t>
      </w:r>
      <w:r w:rsidRPr="004E0B55">
        <w:rPr>
          <w:spacing w:val="4"/>
          <w:lang w:val="en-GB"/>
        </w:rPr>
        <w:t>rls</w:t>
      </w:r>
      <w:r w:rsidRPr="004E0B55">
        <w:rPr>
          <w:spacing w:val="4"/>
        </w:rPr>
        <w:t>/</w:t>
      </w:r>
      <w:r w:rsidR="004E0B55">
        <w:rPr>
          <w:spacing w:val="4"/>
        </w:rPr>
        <w:br/>
      </w:r>
      <w:r w:rsidRPr="004E0B55">
        <w:rPr>
          <w:spacing w:val="4"/>
          <w:lang w:val="en-GB"/>
        </w:rPr>
        <w:t>tiprpt</w:t>
      </w:r>
      <w:r w:rsidRPr="004E0B55">
        <w:rPr>
          <w:spacing w:val="4"/>
        </w:rPr>
        <w:t>/</w:t>
      </w:r>
      <w:r w:rsidRPr="004E0B55">
        <w:rPr>
          <w:spacing w:val="4"/>
          <w:lang w:val="en-GB"/>
        </w:rPr>
        <w:t>countries</w:t>
      </w:r>
      <w:r w:rsidRPr="004E0B55">
        <w:rPr>
          <w:spacing w:val="4"/>
        </w:rPr>
        <w:t>/2013/215450.</w:t>
      </w:r>
      <w:r w:rsidRPr="004E0B55">
        <w:rPr>
          <w:spacing w:val="4"/>
          <w:lang w:val="en-GB"/>
        </w:rPr>
        <w:t>htm</w:t>
      </w:r>
      <w:r w:rsidRPr="004E0B55">
        <w:rPr>
          <w:spacing w:val="4"/>
        </w:rPr>
        <w:t>.</w:t>
      </w:r>
    </w:p>
  </w:footnote>
  <w:footnote w:id="46">
    <w:p w:rsidR="00170278" w:rsidRPr="004E0B55"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sidRPr="00170278">
        <w:rPr>
          <w:spacing w:val="0"/>
          <w:w w:val="100"/>
          <w:szCs w:val="17"/>
        </w:rPr>
        <w:tab/>
      </w:r>
      <w:r w:rsidRPr="00170278">
        <w:rPr>
          <w:rStyle w:val="FootnoteReference"/>
          <w:lang w:val="en-GB"/>
        </w:rPr>
        <w:footnoteRef/>
      </w:r>
      <w:r>
        <w:rPr>
          <w:spacing w:val="0"/>
          <w:w w:val="100"/>
          <w:szCs w:val="17"/>
        </w:rPr>
        <w:tab/>
      </w:r>
      <w:r w:rsidRPr="004E0B55">
        <w:rPr>
          <w:spacing w:val="4"/>
        </w:rPr>
        <w:t xml:space="preserve">Заявление УПЧ относительно неприемлемости законопроекта о частном медицинском страховании для иностранцев доступно в интернете по адресу: </w:t>
      </w:r>
      <w:r w:rsidRPr="004E0B55">
        <w:rPr>
          <w:spacing w:val="4"/>
          <w:lang w:val="en-GB"/>
        </w:rPr>
        <w:t>http</w:t>
      </w:r>
      <w:r w:rsidRPr="004E0B55">
        <w:rPr>
          <w:spacing w:val="4"/>
        </w:rPr>
        <w:t>://</w:t>
      </w:r>
      <w:r w:rsidRPr="004E0B55">
        <w:rPr>
          <w:spacing w:val="4"/>
          <w:lang w:val="en-GB"/>
        </w:rPr>
        <w:t>www</w:t>
      </w:r>
      <w:r w:rsidRPr="004E0B55">
        <w:rPr>
          <w:spacing w:val="4"/>
        </w:rPr>
        <w:t>.</w:t>
      </w:r>
      <w:r w:rsidRPr="004E0B55">
        <w:rPr>
          <w:spacing w:val="4"/>
          <w:lang w:val="en-GB"/>
        </w:rPr>
        <w:t>ochrance</w:t>
      </w:r>
      <w:r w:rsidRPr="004E0B55">
        <w:rPr>
          <w:spacing w:val="4"/>
        </w:rPr>
        <w:t>.</w:t>
      </w:r>
      <w:r w:rsidRPr="004E0B55">
        <w:rPr>
          <w:spacing w:val="4"/>
          <w:lang w:val="en-GB"/>
        </w:rPr>
        <w:t>cz</w:t>
      </w:r>
      <w:r w:rsidRPr="004E0B55">
        <w:rPr>
          <w:spacing w:val="4"/>
        </w:rPr>
        <w:t>/</w:t>
      </w:r>
      <w:r w:rsidR="004E0B55">
        <w:rPr>
          <w:spacing w:val="4"/>
        </w:rPr>
        <w:br/>
      </w:r>
      <w:r w:rsidRPr="004E0B55">
        <w:rPr>
          <w:spacing w:val="4"/>
          <w:lang w:val="en-GB"/>
        </w:rPr>
        <w:t>tiskove</w:t>
      </w:r>
      <w:r w:rsidRPr="004E0B55">
        <w:rPr>
          <w:spacing w:val="4"/>
        </w:rPr>
        <w:t>-</w:t>
      </w:r>
      <w:r w:rsidRPr="004E0B55">
        <w:rPr>
          <w:spacing w:val="4"/>
          <w:lang w:val="en-GB"/>
        </w:rPr>
        <w:t>zpravy</w:t>
      </w:r>
      <w:r w:rsidRPr="004E0B55">
        <w:rPr>
          <w:spacing w:val="4"/>
        </w:rPr>
        <w:t>/</w:t>
      </w:r>
      <w:r w:rsidRPr="004E0B55">
        <w:rPr>
          <w:spacing w:val="4"/>
          <w:lang w:val="en-GB"/>
        </w:rPr>
        <w:t>tiskove</w:t>
      </w:r>
      <w:r w:rsidRPr="004E0B55">
        <w:rPr>
          <w:spacing w:val="4"/>
        </w:rPr>
        <w:t>-</w:t>
      </w:r>
      <w:r w:rsidRPr="004E0B55">
        <w:rPr>
          <w:spacing w:val="4"/>
          <w:lang w:val="en-GB"/>
        </w:rPr>
        <w:t>zpravy</w:t>
      </w:r>
      <w:r w:rsidRPr="004E0B55">
        <w:rPr>
          <w:spacing w:val="4"/>
        </w:rPr>
        <w:t>-2014/</w:t>
      </w:r>
      <w:r w:rsidRPr="004E0B55">
        <w:rPr>
          <w:spacing w:val="4"/>
          <w:lang w:val="en-GB"/>
        </w:rPr>
        <w:t>navrhovany</w:t>
      </w:r>
      <w:r w:rsidRPr="004E0B55">
        <w:rPr>
          <w:spacing w:val="4"/>
        </w:rPr>
        <w:t>-</w:t>
      </w:r>
      <w:r w:rsidRPr="004E0B55">
        <w:rPr>
          <w:spacing w:val="4"/>
          <w:lang w:val="en-GB"/>
        </w:rPr>
        <w:t>zakon</w:t>
      </w:r>
      <w:r w:rsidRPr="004E0B55">
        <w:rPr>
          <w:spacing w:val="4"/>
        </w:rPr>
        <w:t>-</w:t>
      </w:r>
      <w:r w:rsidRPr="004E0B55">
        <w:rPr>
          <w:spacing w:val="4"/>
          <w:lang w:val="en-GB"/>
        </w:rPr>
        <w:t>o</w:t>
      </w:r>
      <w:r w:rsidRPr="004E0B55">
        <w:rPr>
          <w:spacing w:val="4"/>
        </w:rPr>
        <w:t>-</w:t>
      </w:r>
      <w:r w:rsidRPr="004E0B55">
        <w:rPr>
          <w:spacing w:val="4"/>
          <w:lang w:val="en-GB"/>
        </w:rPr>
        <w:t>zdravotnim</w:t>
      </w:r>
      <w:r w:rsidRPr="004E0B55">
        <w:rPr>
          <w:spacing w:val="4"/>
        </w:rPr>
        <w:t>-</w:t>
      </w:r>
      <w:r w:rsidRPr="004E0B55">
        <w:rPr>
          <w:spacing w:val="4"/>
          <w:lang w:val="en-GB"/>
        </w:rPr>
        <w:t>pojisteni</w:t>
      </w:r>
      <w:r w:rsidRPr="004E0B55">
        <w:rPr>
          <w:spacing w:val="4"/>
        </w:rPr>
        <w:t>-</w:t>
      </w:r>
      <w:r w:rsidRPr="004E0B55">
        <w:rPr>
          <w:spacing w:val="4"/>
          <w:lang w:val="en-GB"/>
        </w:rPr>
        <w:t>cizincu</w:t>
      </w:r>
      <w:r w:rsidRPr="004E0B55">
        <w:rPr>
          <w:spacing w:val="4"/>
        </w:rPr>
        <w:t>-</w:t>
      </w:r>
      <w:r w:rsidRPr="004E0B55">
        <w:rPr>
          <w:spacing w:val="4"/>
          <w:lang w:val="en-GB"/>
        </w:rPr>
        <w:t>je</w:t>
      </w:r>
      <w:r w:rsidRPr="004E0B55">
        <w:rPr>
          <w:spacing w:val="4"/>
        </w:rPr>
        <w:t>-</w:t>
      </w:r>
      <w:r w:rsidRPr="004E0B55">
        <w:rPr>
          <w:spacing w:val="4"/>
          <w:lang w:val="en-GB"/>
        </w:rPr>
        <w:t>spatny</w:t>
      </w:r>
      <w:r w:rsidRPr="004E0B55">
        <w:rPr>
          <w:spacing w:val="4"/>
        </w:rPr>
        <w:t>-</w:t>
      </w:r>
      <w:r w:rsidRPr="004E0B55">
        <w:rPr>
          <w:spacing w:val="4"/>
          <w:lang w:val="en-GB"/>
        </w:rPr>
        <w:t>a</w:t>
      </w:r>
      <w:r w:rsidRPr="004E0B55">
        <w:rPr>
          <w:spacing w:val="4"/>
        </w:rPr>
        <w:t>-</w:t>
      </w:r>
      <w:r w:rsidRPr="004E0B55">
        <w:rPr>
          <w:spacing w:val="4"/>
          <w:lang w:val="en-GB"/>
        </w:rPr>
        <w:t>strani</w:t>
      </w:r>
      <w:r w:rsidRPr="004E0B55">
        <w:rPr>
          <w:spacing w:val="4"/>
        </w:rPr>
        <w:t>-</w:t>
      </w:r>
      <w:r w:rsidRPr="004E0B55">
        <w:rPr>
          <w:spacing w:val="4"/>
          <w:lang w:val="en-GB"/>
        </w:rPr>
        <w:t>pojistovnam</w:t>
      </w:r>
      <w:r w:rsidRPr="004E0B55">
        <w:rPr>
          <w:spacing w:val="4"/>
        </w:rPr>
        <w:t>/.</w:t>
      </w:r>
    </w:p>
  </w:footnote>
  <w:footnote w:id="47">
    <w:p w:rsidR="00170278" w:rsidRPr="004E0B55"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sidRPr="00170278">
        <w:rPr>
          <w:spacing w:val="0"/>
          <w:w w:val="100"/>
          <w:szCs w:val="17"/>
        </w:rPr>
        <w:tab/>
      </w:r>
      <w:r w:rsidRPr="00170278">
        <w:rPr>
          <w:rStyle w:val="FootnoteReference"/>
          <w:lang w:val="en-GB"/>
        </w:rPr>
        <w:footnoteRef/>
      </w:r>
      <w:r>
        <w:rPr>
          <w:spacing w:val="0"/>
          <w:w w:val="100"/>
          <w:szCs w:val="17"/>
        </w:rPr>
        <w:tab/>
      </w:r>
      <w:r w:rsidRPr="004E0B55">
        <w:rPr>
          <w:spacing w:val="4"/>
          <w:lang w:val="en-GB"/>
        </w:rPr>
        <w:t>В 2011 году в Закон № 117/1995 Coll. о государственной социальной поддержке было внесено изменение, касающееся родительского пособия. Соответствующие поправки были внесены Законом № 364/2011 Coll. и, в первую очередь, Законом № 366/2011 Coll. Изменения вступили в силу 1 января 2012 года и касались более гибкого подхода к лицам, получающим родительское пособие.</w:t>
      </w:r>
    </w:p>
  </w:footnote>
  <w:footnote w:id="48">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Pr>
          <w:spacing w:val="0"/>
          <w:w w:val="100"/>
          <w:szCs w:val="17"/>
        </w:rPr>
        <w:tab/>
      </w:r>
      <w:r w:rsidRPr="00170278">
        <w:rPr>
          <w:rStyle w:val="FootnoteReference"/>
          <w:lang w:val="en-GB"/>
        </w:rPr>
        <w:footnoteRef/>
      </w:r>
      <w:r>
        <w:rPr>
          <w:spacing w:val="0"/>
          <w:w w:val="100"/>
          <w:szCs w:val="17"/>
        </w:rPr>
        <w:tab/>
      </w:r>
      <w:r w:rsidRPr="00731774">
        <w:rPr>
          <w:spacing w:val="4"/>
          <w:lang w:val="en-GB"/>
        </w:rPr>
        <w:t>Более подробную информацию см. в пункте 4 § 218 во взаимосвязи с первым предложением пункта 2 §222 Трудового кодекса с поправками, внесенными 31 декабря 2011 года.</w:t>
      </w:r>
    </w:p>
  </w:footnote>
  <w:footnote w:id="49">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Pr>
          <w:spacing w:val="0"/>
          <w:w w:val="100"/>
          <w:szCs w:val="17"/>
        </w:rPr>
        <w:tab/>
      </w:r>
      <w:r w:rsidRPr="00170278">
        <w:rPr>
          <w:rStyle w:val="FootnoteReference"/>
          <w:lang w:val="en-GB"/>
        </w:rPr>
        <w:footnoteRef/>
      </w:r>
      <w:r>
        <w:rPr>
          <w:spacing w:val="0"/>
          <w:w w:val="100"/>
          <w:szCs w:val="17"/>
        </w:rPr>
        <w:tab/>
      </w:r>
      <w:r w:rsidRPr="00731774">
        <w:rPr>
          <w:spacing w:val="4"/>
          <w:lang w:val="en-GB"/>
        </w:rPr>
        <w:t>Более подробную информацию см. в решении Верховного суда 21 Cdo 1821/2013.</w:t>
      </w:r>
    </w:p>
  </w:footnote>
  <w:footnote w:id="50">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sidRPr="00170278">
        <w:rPr>
          <w:spacing w:val="0"/>
          <w:w w:val="100"/>
          <w:szCs w:val="17"/>
        </w:rPr>
        <w:tab/>
      </w:r>
      <w:r w:rsidRPr="00170278">
        <w:rPr>
          <w:rStyle w:val="FootnoteReference"/>
          <w:lang w:val="en-GB"/>
        </w:rPr>
        <w:footnoteRef/>
      </w:r>
      <w:r>
        <w:rPr>
          <w:spacing w:val="0"/>
          <w:w w:val="100"/>
          <w:szCs w:val="17"/>
        </w:rPr>
        <w:tab/>
      </w:r>
      <w:r w:rsidRPr="00731774">
        <w:rPr>
          <w:spacing w:val="4"/>
        </w:rPr>
        <w:t>Отчет о результатах расследования (специальный индекс 2481/2009/</w:t>
      </w:r>
      <w:r w:rsidRPr="00731774">
        <w:rPr>
          <w:spacing w:val="4"/>
          <w:lang w:val="en-GB"/>
        </w:rPr>
        <w:t>VOP</w:t>
      </w:r>
      <w:r w:rsidRPr="00731774">
        <w:rPr>
          <w:spacing w:val="4"/>
        </w:rPr>
        <w:t>/</w:t>
      </w:r>
      <w:r w:rsidRPr="00731774">
        <w:rPr>
          <w:spacing w:val="4"/>
          <w:lang w:val="en-GB"/>
        </w:rPr>
        <w:t>MP</w:t>
      </w:r>
      <w:r w:rsidRPr="00731774">
        <w:rPr>
          <w:spacing w:val="4"/>
        </w:rPr>
        <w:t xml:space="preserve">) доступен по адресу: </w:t>
      </w:r>
      <w:r w:rsidRPr="00731774">
        <w:rPr>
          <w:spacing w:val="4"/>
          <w:lang w:val="en-GB"/>
        </w:rPr>
        <w:t>http</w:t>
      </w:r>
      <w:r w:rsidRPr="00731774">
        <w:rPr>
          <w:spacing w:val="4"/>
        </w:rPr>
        <w:t>://</w:t>
      </w:r>
      <w:r w:rsidRPr="00731774">
        <w:rPr>
          <w:spacing w:val="4"/>
          <w:lang w:val="en-GB"/>
        </w:rPr>
        <w:t>www</w:t>
      </w:r>
      <w:r w:rsidRPr="00731774">
        <w:rPr>
          <w:spacing w:val="4"/>
        </w:rPr>
        <w:t>.</w:t>
      </w:r>
      <w:r w:rsidRPr="00731774">
        <w:rPr>
          <w:spacing w:val="4"/>
          <w:lang w:val="en-GB"/>
        </w:rPr>
        <w:t>ochrance</w:t>
      </w:r>
      <w:r w:rsidRPr="00731774">
        <w:rPr>
          <w:spacing w:val="4"/>
        </w:rPr>
        <w:t>.</w:t>
      </w:r>
      <w:r w:rsidRPr="00731774">
        <w:rPr>
          <w:spacing w:val="4"/>
          <w:lang w:val="en-GB"/>
        </w:rPr>
        <w:t>cz</w:t>
      </w:r>
      <w:r w:rsidRPr="00731774">
        <w:rPr>
          <w:spacing w:val="4"/>
        </w:rPr>
        <w:t>/</w:t>
      </w:r>
      <w:r w:rsidRPr="00731774">
        <w:rPr>
          <w:spacing w:val="4"/>
          <w:lang w:val="en-GB"/>
        </w:rPr>
        <w:t>fileadmin</w:t>
      </w:r>
      <w:r w:rsidRPr="00731774">
        <w:rPr>
          <w:spacing w:val="4"/>
        </w:rPr>
        <w:t>/</w:t>
      </w:r>
      <w:r w:rsidRPr="00731774">
        <w:rPr>
          <w:spacing w:val="4"/>
          <w:lang w:val="en-GB"/>
        </w:rPr>
        <w:t>user</w:t>
      </w:r>
      <w:r w:rsidRPr="00731774">
        <w:rPr>
          <w:spacing w:val="4"/>
        </w:rPr>
        <w:t>_</w:t>
      </w:r>
      <w:r w:rsidRPr="00731774">
        <w:rPr>
          <w:spacing w:val="4"/>
          <w:lang w:val="en-GB"/>
        </w:rPr>
        <w:t>upload</w:t>
      </w:r>
      <w:r w:rsidRPr="00731774">
        <w:rPr>
          <w:spacing w:val="4"/>
        </w:rPr>
        <w:t>/</w:t>
      </w:r>
      <w:r w:rsidRPr="00731774">
        <w:rPr>
          <w:spacing w:val="4"/>
          <w:lang w:val="en-GB"/>
        </w:rPr>
        <w:t>STANOVISKA</w:t>
      </w:r>
      <w:r w:rsidRPr="00731774">
        <w:rPr>
          <w:spacing w:val="4"/>
        </w:rPr>
        <w:t>/</w:t>
      </w:r>
      <w:r w:rsidRPr="00731774">
        <w:rPr>
          <w:spacing w:val="4"/>
          <w:lang w:val="en-GB"/>
        </w:rPr>
        <w:t>Zdravotnictvi</w:t>
      </w:r>
      <w:r w:rsidRPr="00731774">
        <w:rPr>
          <w:spacing w:val="4"/>
        </w:rPr>
        <w:t>/</w:t>
      </w:r>
      <w:r w:rsidR="00731774">
        <w:rPr>
          <w:spacing w:val="4"/>
        </w:rPr>
        <w:br/>
      </w:r>
      <w:r w:rsidRPr="00731774">
        <w:rPr>
          <w:spacing w:val="4"/>
          <w:lang w:val="en-GB"/>
        </w:rPr>
        <w:t>Sprava</w:t>
      </w:r>
      <w:r w:rsidRPr="00731774">
        <w:rPr>
          <w:spacing w:val="4"/>
        </w:rPr>
        <w:t>_</w:t>
      </w:r>
      <w:r w:rsidRPr="00731774">
        <w:rPr>
          <w:spacing w:val="4"/>
          <w:lang w:val="en-GB"/>
        </w:rPr>
        <w:t>ve</w:t>
      </w:r>
      <w:r w:rsidRPr="00731774">
        <w:rPr>
          <w:spacing w:val="4"/>
        </w:rPr>
        <w:t>_</w:t>
      </w:r>
      <w:r w:rsidRPr="00731774">
        <w:rPr>
          <w:spacing w:val="4"/>
          <w:lang w:val="en-GB"/>
        </w:rPr>
        <w:t>zdravotnictvi</w:t>
      </w:r>
      <w:r w:rsidRPr="00731774">
        <w:rPr>
          <w:spacing w:val="4"/>
        </w:rPr>
        <w:t>/</w:t>
      </w:r>
      <w:r w:rsidRPr="00731774">
        <w:rPr>
          <w:spacing w:val="4"/>
          <w:lang w:val="en-GB"/>
        </w:rPr>
        <w:t>Zprava</w:t>
      </w:r>
      <w:r w:rsidRPr="00731774">
        <w:rPr>
          <w:spacing w:val="4"/>
        </w:rPr>
        <w:t>_</w:t>
      </w:r>
      <w:r w:rsidRPr="00731774">
        <w:rPr>
          <w:spacing w:val="4"/>
          <w:lang w:val="en-GB"/>
        </w:rPr>
        <w:t>porodni</w:t>
      </w:r>
      <w:r w:rsidRPr="00731774">
        <w:rPr>
          <w:spacing w:val="4"/>
        </w:rPr>
        <w:t>_</w:t>
      </w:r>
      <w:r w:rsidRPr="00731774">
        <w:rPr>
          <w:spacing w:val="4"/>
          <w:lang w:val="en-GB"/>
        </w:rPr>
        <w:t>asistentky</w:t>
      </w:r>
      <w:r w:rsidRPr="00731774">
        <w:rPr>
          <w:spacing w:val="4"/>
        </w:rPr>
        <w:t>.</w:t>
      </w:r>
      <w:r w:rsidRPr="00731774">
        <w:rPr>
          <w:spacing w:val="4"/>
          <w:lang w:val="en-GB"/>
        </w:rPr>
        <w:t>pdf</w:t>
      </w:r>
      <w:r w:rsidRPr="00731774">
        <w:rPr>
          <w:spacing w:val="4"/>
        </w:rPr>
        <w:t>.</w:t>
      </w:r>
    </w:p>
  </w:footnote>
  <w:footnote w:id="51">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Pr>
          <w:spacing w:val="0"/>
          <w:w w:val="100"/>
          <w:szCs w:val="17"/>
        </w:rPr>
        <w:tab/>
      </w:r>
      <w:r w:rsidRPr="00170278">
        <w:rPr>
          <w:rStyle w:val="FootnoteReference"/>
          <w:lang w:val="en-GB"/>
        </w:rPr>
        <w:footnoteRef/>
      </w:r>
      <w:r>
        <w:rPr>
          <w:spacing w:val="0"/>
          <w:w w:val="100"/>
          <w:szCs w:val="17"/>
        </w:rPr>
        <w:tab/>
      </w:r>
      <w:r w:rsidRPr="00731774">
        <w:rPr>
          <w:spacing w:val="4"/>
        </w:rPr>
        <w:t>Итоговое заключение (специальный индекс 2481/2009/</w:t>
      </w:r>
      <w:r w:rsidRPr="00731774">
        <w:rPr>
          <w:spacing w:val="4"/>
          <w:lang w:val="en-GB"/>
        </w:rPr>
        <w:t>VOP</w:t>
      </w:r>
      <w:r w:rsidRPr="00731774">
        <w:rPr>
          <w:spacing w:val="4"/>
        </w:rPr>
        <w:t>/</w:t>
      </w:r>
      <w:r w:rsidRPr="00731774">
        <w:rPr>
          <w:spacing w:val="4"/>
          <w:lang w:val="en-GB"/>
        </w:rPr>
        <w:t>MP</w:t>
      </w:r>
      <w:r w:rsidRPr="00731774">
        <w:rPr>
          <w:spacing w:val="4"/>
        </w:rPr>
        <w:t xml:space="preserve">) доступно по адресу: </w:t>
      </w:r>
      <w:r w:rsidRPr="00731774">
        <w:rPr>
          <w:spacing w:val="4"/>
          <w:lang w:val="en-GB"/>
        </w:rPr>
        <w:t>http</w:t>
      </w:r>
      <w:r w:rsidRPr="00731774">
        <w:rPr>
          <w:spacing w:val="4"/>
        </w:rPr>
        <w:t>://</w:t>
      </w:r>
      <w:r w:rsidRPr="00731774">
        <w:rPr>
          <w:spacing w:val="4"/>
          <w:lang w:val="en-GB"/>
        </w:rPr>
        <w:t>www</w:t>
      </w:r>
      <w:r w:rsidRPr="00731774">
        <w:rPr>
          <w:spacing w:val="4"/>
        </w:rPr>
        <w:t>.</w:t>
      </w:r>
      <w:r w:rsidRPr="00731774">
        <w:rPr>
          <w:spacing w:val="4"/>
          <w:lang w:val="en-GB"/>
        </w:rPr>
        <w:t>ochrance</w:t>
      </w:r>
      <w:r w:rsidRPr="00731774">
        <w:rPr>
          <w:spacing w:val="4"/>
        </w:rPr>
        <w:t>.</w:t>
      </w:r>
      <w:r w:rsidRPr="00731774">
        <w:rPr>
          <w:spacing w:val="4"/>
          <w:lang w:val="en-GB"/>
        </w:rPr>
        <w:t>cz</w:t>
      </w:r>
      <w:r w:rsidRPr="00731774">
        <w:rPr>
          <w:spacing w:val="4"/>
        </w:rPr>
        <w:t>/</w:t>
      </w:r>
      <w:r w:rsidRPr="00731774">
        <w:rPr>
          <w:spacing w:val="4"/>
          <w:lang w:val="en-GB"/>
        </w:rPr>
        <w:t>fileadmin</w:t>
      </w:r>
      <w:r w:rsidRPr="00731774">
        <w:rPr>
          <w:spacing w:val="4"/>
        </w:rPr>
        <w:t>/</w:t>
      </w:r>
      <w:r w:rsidRPr="00731774">
        <w:rPr>
          <w:spacing w:val="4"/>
          <w:lang w:val="en-GB"/>
        </w:rPr>
        <w:t>user</w:t>
      </w:r>
      <w:r w:rsidRPr="00731774">
        <w:rPr>
          <w:spacing w:val="4"/>
        </w:rPr>
        <w:t>_</w:t>
      </w:r>
      <w:r w:rsidRPr="00731774">
        <w:rPr>
          <w:spacing w:val="4"/>
          <w:lang w:val="en-GB"/>
        </w:rPr>
        <w:t>upload</w:t>
      </w:r>
      <w:r w:rsidRPr="00731774">
        <w:rPr>
          <w:spacing w:val="4"/>
        </w:rPr>
        <w:t>/</w:t>
      </w:r>
      <w:r w:rsidRPr="00731774">
        <w:rPr>
          <w:spacing w:val="4"/>
          <w:lang w:val="en-GB"/>
        </w:rPr>
        <w:t>STANOVISKA</w:t>
      </w:r>
      <w:r w:rsidRPr="00731774">
        <w:rPr>
          <w:spacing w:val="4"/>
        </w:rPr>
        <w:t>/</w:t>
      </w:r>
      <w:r w:rsidRPr="00731774">
        <w:rPr>
          <w:spacing w:val="4"/>
          <w:lang w:val="en-GB"/>
        </w:rPr>
        <w:t>Zdravotnictvi</w:t>
      </w:r>
      <w:r w:rsidRPr="00731774">
        <w:rPr>
          <w:spacing w:val="4"/>
        </w:rPr>
        <w:t>/</w:t>
      </w:r>
      <w:r w:rsidRPr="00731774">
        <w:rPr>
          <w:spacing w:val="4"/>
          <w:lang w:val="en-GB"/>
        </w:rPr>
        <w:t>Sprava</w:t>
      </w:r>
      <w:r w:rsidRPr="00731774">
        <w:rPr>
          <w:spacing w:val="4"/>
        </w:rPr>
        <w:t>_</w:t>
      </w:r>
      <w:r w:rsidRPr="00731774">
        <w:rPr>
          <w:spacing w:val="4"/>
          <w:lang w:val="en-GB"/>
        </w:rPr>
        <w:t>ve</w:t>
      </w:r>
      <w:r w:rsidRPr="00731774">
        <w:rPr>
          <w:spacing w:val="4"/>
        </w:rPr>
        <w:t>_</w:t>
      </w:r>
      <w:r w:rsidRPr="00731774">
        <w:rPr>
          <w:spacing w:val="4"/>
          <w:lang w:val="en-GB"/>
        </w:rPr>
        <w:t>zdravotnictvi</w:t>
      </w:r>
      <w:r w:rsidRPr="00731774">
        <w:rPr>
          <w:spacing w:val="4"/>
        </w:rPr>
        <w:t>/</w:t>
      </w:r>
      <w:r w:rsidRPr="00731774">
        <w:rPr>
          <w:spacing w:val="4"/>
          <w:lang w:val="en-GB"/>
        </w:rPr>
        <w:t>Stanovisko</w:t>
      </w:r>
      <w:r w:rsidRPr="00731774">
        <w:rPr>
          <w:spacing w:val="4"/>
        </w:rPr>
        <w:t>_</w:t>
      </w:r>
      <w:r w:rsidRPr="00731774">
        <w:rPr>
          <w:spacing w:val="4"/>
          <w:lang w:val="en-GB"/>
        </w:rPr>
        <w:t>porodni</w:t>
      </w:r>
      <w:r w:rsidRPr="00731774">
        <w:rPr>
          <w:spacing w:val="4"/>
        </w:rPr>
        <w:t>_</w:t>
      </w:r>
      <w:r w:rsidRPr="00731774">
        <w:rPr>
          <w:spacing w:val="4"/>
          <w:lang w:val="en-GB"/>
        </w:rPr>
        <w:t>asistentky</w:t>
      </w:r>
      <w:r w:rsidRPr="00731774">
        <w:rPr>
          <w:spacing w:val="4"/>
        </w:rPr>
        <w:t>.</w:t>
      </w:r>
      <w:r w:rsidRPr="00731774">
        <w:rPr>
          <w:spacing w:val="4"/>
          <w:lang w:val="en-GB"/>
        </w:rPr>
        <w:t>pdf</w:t>
      </w:r>
      <w:r w:rsidRPr="00731774">
        <w:rPr>
          <w:spacing w:val="4"/>
        </w:rPr>
        <w:t>.</w:t>
      </w:r>
    </w:p>
  </w:footnote>
  <w:footnote w:id="52">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Pr>
          <w:spacing w:val="0"/>
          <w:w w:val="100"/>
          <w:szCs w:val="17"/>
        </w:rPr>
        <w:tab/>
      </w:r>
      <w:r w:rsidRPr="00170278">
        <w:rPr>
          <w:rStyle w:val="FootnoteReference"/>
          <w:lang w:val="en-GB"/>
        </w:rPr>
        <w:footnoteRef/>
      </w:r>
      <w:r>
        <w:rPr>
          <w:spacing w:val="0"/>
          <w:w w:val="100"/>
          <w:szCs w:val="17"/>
        </w:rPr>
        <w:tab/>
      </w:r>
      <w:r w:rsidRPr="00731774">
        <w:rPr>
          <w:spacing w:val="4"/>
          <w:lang w:val="en-GB"/>
        </w:rPr>
        <w:t>Период, равный 72 часам, представляет собой рекомендуемый временной интервал, установленный на основе экспертных знаний. Решение воспользоваться этим правом принимает женщина.</w:t>
      </w:r>
    </w:p>
  </w:footnote>
  <w:footnote w:id="53">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sidRPr="00170278">
        <w:rPr>
          <w:spacing w:val="0"/>
          <w:w w:val="100"/>
          <w:szCs w:val="17"/>
        </w:rPr>
        <w:tab/>
      </w:r>
      <w:r w:rsidRPr="00170278">
        <w:rPr>
          <w:rStyle w:val="FootnoteReference"/>
          <w:lang w:val="en-GB"/>
        </w:rPr>
        <w:footnoteRef/>
      </w:r>
      <w:r>
        <w:rPr>
          <w:spacing w:val="0"/>
          <w:w w:val="100"/>
          <w:szCs w:val="17"/>
        </w:rPr>
        <w:tab/>
      </w:r>
      <w:r w:rsidRPr="00731774">
        <w:rPr>
          <w:spacing w:val="4"/>
          <w:lang w:val="en-GB"/>
        </w:rPr>
        <w:t>Более подробную информацию см. в Бюллетене 8/2013 Министерства здравоохранения, опубликованном в интернете по адресу: http://www.mzcr.cz/Legislativa/dokumenty/vestnik-c8/2013_8527_2793_11.html.</w:t>
      </w:r>
    </w:p>
  </w:footnote>
  <w:footnote w:id="54">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sidRPr="00170278">
        <w:rPr>
          <w:spacing w:val="0"/>
          <w:w w:val="100"/>
          <w:szCs w:val="17"/>
        </w:rPr>
        <w:tab/>
      </w:r>
      <w:r w:rsidRPr="00170278">
        <w:rPr>
          <w:rStyle w:val="FootnoteReference"/>
          <w:lang w:val="en-GB"/>
        </w:rPr>
        <w:footnoteRef/>
      </w:r>
      <w:r>
        <w:rPr>
          <w:spacing w:val="0"/>
          <w:w w:val="100"/>
          <w:szCs w:val="17"/>
        </w:rPr>
        <w:tab/>
      </w:r>
      <w:r w:rsidRPr="00731774">
        <w:rPr>
          <w:spacing w:val="4"/>
          <w:lang w:val="en-GB"/>
        </w:rPr>
        <w:t>Более подробную информацию см. в Законе № 373/2011 Coll. о специальных медицинских услугах.</w:t>
      </w:r>
    </w:p>
  </w:footnote>
  <w:footnote w:id="55">
    <w:p w:rsidR="00170278" w:rsidRPr="0073177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GB"/>
        </w:rPr>
      </w:pPr>
      <w:r w:rsidRPr="00170278">
        <w:rPr>
          <w:spacing w:val="0"/>
          <w:w w:val="100"/>
          <w:szCs w:val="17"/>
        </w:rPr>
        <w:tab/>
      </w:r>
      <w:r w:rsidRPr="00170278">
        <w:rPr>
          <w:rStyle w:val="FootnoteReference"/>
          <w:lang w:val="en-GB"/>
        </w:rPr>
        <w:footnoteRef/>
      </w:r>
      <w:r>
        <w:rPr>
          <w:spacing w:val="0"/>
          <w:w w:val="100"/>
          <w:szCs w:val="17"/>
        </w:rPr>
        <w:tab/>
      </w:r>
      <w:r w:rsidRPr="00731774">
        <w:rPr>
          <w:spacing w:val="4"/>
          <w:lang w:val="en-GB"/>
        </w:rPr>
        <w:t>Соответствующее изменение сформулировано в Законе № 220/2011 Coll. о внесении поправок в Закон № 155/1995 Coll. о пенсионном страховании с внесенными поправками и ряд других законов.</w:t>
      </w:r>
    </w:p>
  </w:footnote>
  <w:footnote w:id="56">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F83944">
        <w:rPr>
          <w:lang w:val="en-GB"/>
        </w:rPr>
        <w:t>Веб-сайт организации "Как дома" доступен по адресу: http://jakodoma.org/english/.</w:t>
      </w:r>
    </w:p>
  </w:footnote>
  <w:footnote w:id="57">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F83944">
        <w:rPr>
          <w:lang w:val="en-GB"/>
        </w:rPr>
        <w:t>Доклад "Zpátky ze dna: Zaostřeno na ženy" ("Подняться со дна: акцент на женщинах") доступен по адресу: http://jakodoma.org/wp-content/uploads/2014/04/zprava_final.pdf.</w:t>
      </w:r>
    </w:p>
  </w:footnote>
  <w:footnote w:id="58">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F83944">
        <w:t xml:space="preserve">Данные о переписи бездомных доступны по адресу: </w:t>
      </w:r>
      <w:r w:rsidRPr="00F83944">
        <w:rPr>
          <w:lang w:val="en-GB"/>
        </w:rPr>
        <w:t>http</w:t>
      </w:r>
      <w:r w:rsidRPr="00F83944">
        <w:t>://</w:t>
      </w:r>
      <w:r w:rsidRPr="00F83944">
        <w:rPr>
          <w:lang w:val="en-GB"/>
        </w:rPr>
        <w:t>www</w:t>
      </w:r>
      <w:r w:rsidRPr="00F83944">
        <w:t>.</w:t>
      </w:r>
      <w:r w:rsidRPr="00F83944">
        <w:rPr>
          <w:lang w:val="en-GB"/>
        </w:rPr>
        <w:t>czso</w:t>
      </w:r>
      <w:r w:rsidRPr="00F83944">
        <w:t>.</w:t>
      </w:r>
      <w:r w:rsidRPr="00F83944">
        <w:rPr>
          <w:lang w:val="en-GB"/>
        </w:rPr>
        <w:t>cz</w:t>
      </w:r>
      <w:r w:rsidRPr="00F83944">
        <w:t>/</w:t>
      </w:r>
      <w:r w:rsidRPr="00F83944">
        <w:rPr>
          <w:lang w:val="en-GB"/>
        </w:rPr>
        <w:t>csu</w:t>
      </w:r>
      <w:r w:rsidRPr="00F83944">
        <w:t>/2012</w:t>
      </w:r>
      <w:r w:rsidRPr="00F83944">
        <w:rPr>
          <w:lang w:val="en-GB"/>
        </w:rPr>
        <w:t>edicniplan</w:t>
      </w:r>
      <w:r w:rsidRPr="00F83944">
        <w:t>.</w:t>
      </w:r>
      <w:r w:rsidRPr="00F83944">
        <w:rPr>
          <w:lang w:val="en-GB"/>
        </w:rPr>
        <w:t>nsf</w:t>
      </w:r>
      <w:r w:rsidRPr="00F83944">
        <w:t>/</w:t>
      </w:r>
      <w:hyperlink r:id="rId11" w:history="1">
        <w:r w:rsidRPr="00F83944">
          <w:rPr>
            <w:lang w:val="en-GB"/>
          </w:rPr>
          <w:t>t</w:t>
        </w:r>
        <w:r w:rsidRPr="00F83944">
          <w:t>/93003</w:t>
        </w:r>
        <w:r w:rsidRPr="00F83944">
          <w:rPr>
            <w:lang w:val="en-GB"/>
          </w:rPr>
          <w:t>FC</w:t>
        </w:r>
        <w:r w:rsidRPr="00F83944">
          <w:t>1</w:t>
        </w:r>
        <w:r w:rsidRPr="00F83944">
          <w:rPr>
            <w:lang w:val="en-GB"/>
          </w:rPr>
          <w:t>CD</w:t>
        </w:r>
        <w:r w:rsidRPr="00F83944">
          <w:t>/$</w:t>
        </w:r>
        <w:r w:rsidRPr="00F83944">
          <w:rPr>
            <w:lang w:val="en-GB"/>
          </w:rPr>
          <w:t>File</w:t>
        </w:r>
        <w:r w:rsidRPr="00F83944">
          <w:t>/1804121006.</w:t>
        </w:r>
        <w:r w:rsidRPr="00F83944">
          <w:rPr>
            <w:lang w:val="en-GB"/>
          </w:rPr>
          <w:t>pdf</w:t>
        </w:r>
      </w:hyperlink>
      <w:r w:rsidRPr="00F83944">
        <w:t>.</w:t>
      </w:r>
    </w:p>
  </w:footnote>
  <w:footnote w:id="59">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Pr>
          <w:spacing w:val="0"/>
          <w:w w:val="100"/>
          <w:szCs w:val="17"/>
        </w:rPr>
        <w:tab/>
      </w:r>
      <w:r w:rsidRPr="00170278">
        <w:rPr>
          <w:rStyle w:val="FootnoteReference"/>
          <w:lang w:val="en-GB"/>
        </w:rPr>
        <w:footnoteRef/>
      </w:r>
      <w:r>
        <w:rPr>
          <w:spacing w:val="0"/>
          <w:w w:val="100"/>
          <w:szCs w:val="17"/>
        </w:rPr>
        <w:tab/>
      </w:r>
      <w:r w:rsidRPr="00F83944">
        <w:rPr>
          <w:lang w:val="en-GB"/>
        </w:rPr>
        <w:t>Более подробная информация относительно обследования СДУЖ ЕС доступна по адресу: http://epp.eurostat.ec.europa.eu/ portal/page/portal/microdata/eu_silc.</w:t>
      </w:r>
    </w:p>
  </w:footnote>
  <w:footnote w:id="60">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0278">
        <w:rPr>
          <w:spacing w:val="0"/>
          <w:w w:val="100"/>
          <w:szCs w:val="17"/>
        </w:rPr>
        <w:tab/>
      </w:r>
      <w:r w:rsidRPr="00170278">
        <w:rPr>
          <w:rStyle w:val="FootnoteReference"/>
          <w:lang w:val="en-GB"/>
        </w:rPr>
        <w:footnoteRef/>
      </w:r>
      <w:r>
        <w:rPr>
          <w:spacing w:val="0"/>
          <w:w w:val="100"/>
          <w:szCs w:val="17"/>
        </w:rPr>
        <w:tab/>
      </w:r>
      <w:r w:rsidRPr="00F83944">
        <w:t xml:space="preserve">Обследование рабочей силы доступно по адресу: </w:t>
      </w:r>
      <w:r w:rsidRPr="00F83944">
        <w:rPr>
          <w:lang w:val="en-GB"/>
        </w:rPr>
        <w:t>http</w:t>
      </w:r>
      <w:r w:rsidRPr="00F83944">
        <w:t>://</w:t>
      </w:r>
      <w:r w:rsidRPr="00F83944">
        <w:rPr>
          <w:lang w:val="en-GB"/>
        </w:rPr>
        <w:t>www</w:t>
      </w:r>
      <w:r w:rsidRPr="00F83944">
        <w:t>.</w:t>
      </w:r>
      <w:r w:rsidRPr="00F83944">
        <w:rPr>
          <w:lang w:val="en-GB"/>
        </w:rPr>
        <w:t>czso</w:t>
      </w:r>
      <w:r w:rsidRPr="00F83944">
        <w:t>.</w:t>
      </w:r>
      <w:r w:rsidRPr="00F83944">
        <w:rPr>
          <w:lang w:val="en-GB"/>
        </w:rPr>
        <w:t>cz</w:t>
      </w:r>
      <w:r w:rsidRPr="00F83944">
        <w:t>/</w:t>
      </w:r>
      <w:r w:rsidRPr="00F83944">
        <w:rPr>
          <w:lang w:val="en-GB"/>
        </w:rPr>
        <w:t>vykazy</w:t>
      </w:r>
      <w:r w:rsidRPr="00F83944">
        <w:t>/</w:t>
      </w:r>
      <w:r w:rsidRPr="00F83944">
        <w:rPr>
          <w:lang w:val="en-GB"/>
        </w:rPr>
        <w:t>vykazy</w:t>
      </w:r>
      <w:r w:rsidRPr="00F83944">
        <w:t>.</w:t>
      </w:r>
      <w:r w:rsidRPr="00F83944">
        <w:rPr>
          <w:lang w:val="en-GB"/>
        </w:rPr>
        <w:t>nsf</w:t>
      </w:r>
      <w:r w:rsidRPr="00F83944">
        <w:t>/</w:t>
      </w:r>
      <w:r w:rsidRPr="00F83944">
        <w:rPr>
          <w:lang w:val="en-GB"/>
        </w:rPr>
        <w:t>i</w:t>
      </w:r>
      <w:r w:rsidRPr="00F83944">
        <w:t>/</w:t>
      </w:r>
      <w:r w:rsidR="00F83944">
        <w:br/>
      </w:r>
      <w:r w:rsidRPr="00F83944">
        <w:rPr>
          <w:lang w:val="en-GB"/>
        </w:rPr>
        <w:t>vyberove</w:t>
      </w:r>
      <w:r w:rsidRPr="00F83944">
        <w:t>_</w:t>
      </w:r>
      <w:r w:rsidRPr="00F83944">
        <w:rPr>
          <w:lang w:val="en-GB"/>
        </w:rPr>
        <w:t>setreni</w:t>
      </w:r>
      <w:r w:rsidRPr="00F83944">
        <w:t>_</w:t>
      </w:r>
      <w:r w:rsidRPr="00F83944">
        <w:rPr>
          <w:lang w:val="en-GB"/>
        </w:rPr>
        <w:t>pracovnich</w:t>
      </w:r>
      <w:r w:rsidRPr="00F83944">
        <w:t>_</w:t>
      </w:r>
      <w:r w:rsidRPr="00F83944">
        <w:rPr>
          <w:lang w:val="en-GB"/>
        </w:rPr>
        <w:t>sil</w:t>
      </w:r>
      <w:r w:rsidRPr="00F83944">
        <w:t>.</w:t>
      </w:r>
    </w:p>
  </w:footnote>
  <w:footnote w:id="61">
    <w:p w:rsidR="00170278" w:rsidRPr="00F83944"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170278">
        <w:rPr>
          <w:spacing w:val="0"/>
          <w:w w:val="100"/>
          <w:szCs w:val="17"/>
        </w:rPr>
        <w:tab/>
      </w:r>
      <w:r w:rsidRPr="00170278">
        <w:rPr>
          <w:rStyle w:val="FootnoteReference"/>
          <w:lang w:val="en-GB"/>
        </w:rPr>
        <w:footnoteRef/>
      </w:r>
      <w:r>
        <w:rPr>
          <w:spacing w:val="0"/>
          <w:w w:val="100"/>
          <w:szCs w:val="17"/>
        </w:rPr>
        <w:tab/>
      </w:r>
      <w:r w:rsidRPr="00F83944">
        <w:rPr>
          <w:lang w:val="en-GB"/>
        </w:rPr>
        <w:t>Исследование положения женщин рома в Чешской Республике доступно по адресу: http://www.slovo21.cz/images/dokumenty/VZKUM%20O%20POSTAVEN%20ROMSKCH%20EN%20V%20R_pdf%20publikace.pdf.</w:t>
      </w:r>
    </w:p>
  </w:footnote>
  <w:footnote w:id="62">
    <w:p w:rsidR="00170278" w:rsidRDefault="00170278" w:rsidP="005323A1">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szCs w:val="17"/>
        </w:rPr>
      </w:pPr>
      <w:r>
        <w:rPr>
          <w:spacing w:val="0"/>
          <w:w w:val="100"/>
          <w:szCs w:val="17"/>
        </w:rPr>
        <w:tab/>
      </w:r>
      <w:r w:rsidRPr="00170278">
        <w:rPr>
          <w:rStyle w:val="FootnoteReference"/>
          <w:lang w:val="en-GB"/>
        </w:rPr>
        <w:footnoteRef/>
      </w:r>
      <w:r>
        <w:rPr>
          <w:spacing w:val="0"/>
          <w:w w:val="100"/>
          <w:szCs w:val="17"/>
        </w:rPr>
        <w:tab/>
      </w:r>
      <w:r w:rsidRPr="00FC5B17">
        <w:t xml:space="preserve">Дополнительные статистические данные о браках доступны по адресу: </w:t>
      </w:r>
      <w:r w:rsidRPr="00F83944">
        <w:rPr>
          <w:lang w:val="en-GB"/>
        </w:rPr>
        <w:t>http</w:t>
      </w:r>
      <w:r w:rsidRPr="00FC5B17">
        <w:t>://</w:t>
      </w:r>
      <w:r w:rsidRPr="00F83944">
        <w:rPr>
          <w:lang w:val="en-GB"/>
        </w:rPr>
        <w:t>www</w:t>
      </w:r>
      <w:r w:rsidRPr="00FC5B17">
        <w:t>.</w:t>
      </w:r>
      <w:r w:rsidRPr="00F83944">
        <w:rPr>
          <w:lang w:val="en-GB"/>
        </w:rPr>
        <w:t>czso</w:t>
      </w:r>
      <w:r w:rsidRPr="00FC5B17">
        <w:t>.</w:t>
      </w:r>
      <w:r w:rsidRPr="00F83944">
        <w:rPr>
          <w:lang w:val="en-GB"/>
        </w:rPr>
        <w:t>cz</w:t>
      </w:r>
      <w:r w:rsidRPr="00FC5B17">
        <w:t>/</w:t>
      </w:r>
      <w:r w:rsidR="00FC5B17">
        <w:br/>
      </w:r>
      <w:r w:rsidRPr="00F83944">
        <w:rPr>
          <w:lang w:val="en-GB"/>
        </w:rPr>
        <w:t>csu</w:t>
      </w:r>
      <w:r w:rsidRPr="00FC5B17">
        <w:t>/</w:t>
      </w:r>
      <w:r w:rsidRPr="00F83944">
        <w:rPr>
          <w:lang w:val="en-GB"/>
        </w:rPr>
        <w:t>redakce</w:t>
      </w:r>
      <w:r w:rsidRPr="00FC5B17">
        <w:t>.</w:t>
      </w:r>
      <w:r w:rsidRPr="00F83944">
        <w:rPr>
          <w:lang w:val="en-GB"/>
        </w:rPr>
        <w:t>nsf</w:t>
      </w:r>
      <w:r w:rsidRPr="00FC5B17">
        <w:t>/</w:t>
      </w:r>
      <w:r w:rsidRPr="00F83944">
        <w:rPr>
          <w:lang w:val="en-GB"/>
        </w:rPr>
        <w:t>i</w:t>
      </w:r>
      <w:r w:rsidRPr="00FC5B17">
        <w:t>/</w:t>
      </w:r>
      <w:r w:rsidRPr="00F83944">
        <w:rPr>
          <w:lang w:val="en-GB"/>
        </w:rPr>
        <w:t>snatecnost</w:t>
      </w:r>
      <w:r w:rsidRPr="00FC5B1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21254" w:rsidTr="00F21254">
      <w:tblPrEx>
        <w:tblCellMar>
          <w:top w:w="0" w:type="dxa"/>
          <w:bottom w:w="0" w:type="dxa"/>
        </w:tblCellMar>
      </w:tblPrEx>
      <w:trPr>
        <w:trHeight w:hRule="exact" w:val="864"/>
      </w:trPr>
      <w:tc>
        <w:tcPr>
          <w:tcW w:w="4838" w:type="dxa"/>
          <w:shd w:val="clear" w:color="auto" w:fill="auto"/>
          <w:vAlign w:val="bottom"/>
        </w:tcPr>
        <w:p w:rsidR="00F21254" w:rsidRPr="00541653" w:rsidRDefault="00F21254" w:rsidP="00F21254">
          <w:pPr>
            <w:pStyle w:val="Header"/>
            <w:spacing w:after="80"/>
            <w:rPr>
              <w:b/>
              <w:szCs w:val="22"/>
              <w:lang w:eastAsia="en-US"/>
            </w:rPr>
          </w:pPr>
          <w:fldSimple w:instr=" DOCVARIABLE &quot;sss1&quot; \* MERGEFORMAT ">
            <w:r w:rsidR="00804DEC" w:rsidRPr="00541653">
              <w:rPr>
                <w:b/>
                <w:szCs w:val="22"/>
                <w:lang w:eastAsia="en-US"/>
              </w:rPr>
              <w:t>CEDAW/C/CZE/6</w:t>
            </w:r>
          </w:fldSimple>
        </w:p>
      </w:tc>
      <w:tc>
        <w:tcPr>
          <w:tcW w:w="5028" w:type="dxa"/>
          <w:shd w:val="clear" w:color="auto" w:fill="auto"/>
          <w:vAlign w:val="bottom"/>
        </w:tcPr>
        <w:p w:rsidR="00F21254" w:rsidRPr="00541653" w:rsidRDefault="00F21254" w:rsidP="00F21254">
          <w:pPr>
            <w:pStyle w:val="Header"/>
            <w:rPr>
              <w:szCs w:val="22"/>
              <w:lang w:eastAsia="en-US"/>
            </w:rPr>
          </w:pPr>
        </w:p>
      </w:tc>
    </w:tr>
  </w:tbl>
  <w:p w:rsidR="00F21254" w:rsidRPr="00F21254" w:rsidRDefault="00F21254" w:rsidP="00F21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21254" w:rsidTr="00F21254">
      <w:tblPrEx>
        <w:tblCellMar>
          <w:top w:w="0" w:type="dxa"/>
          <w:bottom w:w="0" w:type="dxa"/>
        </w:tblCellMar>
      </w:tblPrEx>
      <w:trPr>
        <w:trHeight w:hRule="exact" w:val="864"/>
      </w:trPr>
      <w:tc>
        <w:tcPr>
          <w:tcW w:w="4838" w:type="dxa"/>
          <w:shd w:val="clear" w:color="auto" w:fill="auto"/>
          <w:vAlign w:val="bottom"/>
        </w:tcPr>
        <w:p w:rsidR="00F21254" w:rsidRPr="00541653" w:rsidRDefault="00F21254" w:rsidP="00F21254">
          <w:pPr>
            <w:pStyle w:val="Header"/>
            <w:rPr>
              <w:szCs w:val="22"/>
              <w:lang w:eastAsia="en-US"/>
            </w:rPr>
          </w:pPr>
        </w:p>
      </w:tc>
      <w:tc>
        <w:tcPr>
          <w:tcW w:w="5028" w:type="dxa"/>
          <w:shd w:val="clear" w:color="auto" w:fill="auto"/>
          <w:vAlign w:val="bottom"/>
        </w:tcPr>
        <w:p w:rsidR="00F21254" w:rsidRPr="00541653" w:rsidRDefault="00F21254" w:rsidP="00F21254">
          <w:pPr>
            <w:pStyle w:val="Header"/>
            <w:spacing w:after="80"/>
            <w:jc w:val="right"/>
            <w:rPr>
              <w:b/>
              <w:szCs w:val="22"/>
              <w:lang w:eastAsia="en-US"/>
            </w:rPr>
          </w:pPr>
          <w:fldSimple w:instr=" DOCVARIABLE &quot;sss1&quot; \* MERGEFORMAT ">
            <w:r w:rsidR="00804DEC" w:rsidRPr="00541653">
              <w:rPr>
                <w:b/>
                <w:szCs w:val="22"/>
                <w:lang w:eastAsia="en-US"/>
              </w:rPr>
              <w:t>CEDAW/C/CZE/6</w:t>
            </w:r>
          </w:fldSimple>
        </w:p>
      </w:tc>
    </w:tr>
  </w:tbl>
  <w:p w:rsidR="00F21254" w:rsidRPr="00F21254" w:rsidRDefault="00F21254" w:rsidP="00F212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tblLayout w:type="fixed"/>
      <w:tblCellMar>
        <w:left w:w="0" w:type="dxa"/>
        <w:right w:w="0" w:type="dxa"/>
      </w:tblCellMar>
      <w:tblLook w:val="0000"/>
    </w:tblPr>
    <w:tblGrid>
      <w:gridCol w:w="1267"/>
      <w:gridCol w:w="3154"/>
      <w:gridCol w:w="245"/>
      <w:gridCol w:w="1828"/>
      <w:gridCol w:w="245"/>
      <w:gridCol w:w="3080"/>
      <w:gridCol w:w="18"/>
    </w:tblGrid>
    <w:tr w:rsidR="00F21254" w:rsidTr="000A02AB">
      <w:tblPrEx>
        <w:tblCellMar>
          <w:top w:w="0" w:type="dxa"/>
          <w:bottom w:w="0" w:type="dxa"/>
        </w:tblCellMar>
      </w:tblPrEx>
      <w:trPr>
        <w:gridAfter w:val="1"/>
        <w:wAfter w:w="18" w:type="dxa"/>
        <w:trHeight w:hRule="exact" w:val="864"/>
      </w:trPr>
      <w:tc>
        <w:tcPr>
          <w:tcW w:w="4421" w:type="dxa"/>
          <w:gridSpan w:val="2"/>
          <w:tcBorders>
            <w:bottom w:val="single" w:sz="4" w:space="0" w:color="auto"/>
          </w:tcBorders>
          <w:shd w:val="clear" w:color="auto" w:fill="auto"/>
          <w:vAlign w:val="bottom"/>
        </w:tcPr>
        <w:p w:rsidR="00F21254" w:rsidRPr="00F21254" w:rsidRDefault="00F21254" w:rsidP="00F2125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21254" w:rsidRPr="00541653" w:rsidRDefault="00F21254" w:rsidP="00F21254">
          <w:pPr>
            <w:pStyle w:val="Header"/>
            <w:spacing w:after="120"/>
            <w:rPr>
              <w:szCs w:val="22"/>
              <w:lang w:eastAsia="en-US"/>
            </w:rPr>
          </w:pPr>
        </w:p>
      </w:tc>
      <w:tc>
        <w:tcPr>
          <w:tcW w:w="5153" w:type="dxa"/>
          <w:gridSpan w:val="3"/>
          <w:tcBorders>
            <w:bottom w:val="single" w:sz="4" w:space="0" w:color="auto"/>
          </w:tcBorders>
          <w:shd w:val="clear" w:color="auto" w:fill="auto"/>
          <w:vAlign w:val="bottom"/>
        </w:tcPr>
        <w:p w:rsidR="00F21254" w:rsidRPr="00541653" w:rsidRDefault="00F21254" w:rsidP="00F21254">
          <w:pPr>
            <w:pStyle w:val="Header"/>
            <w:spacing w:after="20"/>
            <w:jc w:val="right"/>
            <w:rPr>
              <w:sz w:val="20"/>
              <w:szCs w:val="22"/>
              <w:lang w:eastAsia="en-US"/>
            </w:rPr>
          </w:pPr>
          <w:r w:rsidRPr="00541653">
            <w:rPr>
              <w:sz w:val="40"/>
              <w:szCs w:val="22"/>
              <w:lang w:eastAsia="en-US"/>
            </w:rPr>
            <w:t>CEDAW</w:t>
          </w:r>
          <w:r w:rsidRPr="00541653">
            <w:rPr>
              <w:sz w:val="20"/>
              <w:szCs w:val="22"/>
              <w:lang w:eastAsia="en-US"/>
            </w:rPr>
            <w:t>/C/CZE/6</w:t>
          </w:r>
        </w:p>
      </w:tc>
    </w:tr>
    <w:tr w:rsidR="00F21254" w:rsidRPr="00170278" w:rsidTr="000A02A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1254" w:rsidRPr="00541653" w:rsidRDefault="00F21254" w:rsidP="00F21254">
          <w:pPr>
            <w:pStyle w:val="Header"/>
            <w:spacing w:before="109"/>
            <w:rPr>
              <w:szCs w:val="22"/>
              <w:lang w:eastAsia="en-US"/>
            </w:rPr>
          </w:pPr>
          <w:r w:rsidRPr="00541653">
            <w:rPr>
              <w:szCs w:val="22"/>
              <w:lang w:eastAsia="en-US"/>
            </w:rPr>
            <w:t xml:space="preserve"> </w:t>
          </w:r>
          <w:r w:rsidRPr="00541653">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F21254" w:rsidRPr="00F21254" w:rsidRDefault="00F21254" w:rsidP="00F21254">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F21254" w:rsidRPr="00541653" w:rsidRDefault="00F21254" w:rsidP="00F21254">
          <w:pPr>
            <w:pStyle w:val="Header"/>
            <w:spacing w:before="109"/>
            <w:rPr>
              <w:szCs w:val="22"/>
              <w:lang w:eastAsia="en-US"/>
            </w:rPr>
          </w:pPr>
        </w:p>
      </w:tc>
      <w:tc>
        <w:tcPr>
          <w:tcW w:w="3098" w:type="dxa"/>
          <w:gridSpan w:val="2"/>
          <w:tcBorders>
            <w:top w:val="single" w:sz="4" w:space="0" w:color="auto"/>
            <w:bottom w:val="single" w:sz="12" w:space="0" w:color="auto"/>
          </w:tcBorders>
          <w:shd w:val="clear" w:color="auto" w:fill="auto"/>
        </w:tcPr>
        <w:p w:rsidR="00F21254" w:rsidRPr="00170278" w:rsidRDefault="00F21254" w:rsidP="00F21254">
          <w:pPr>
            <w:pStyle w:val="Distribution"/>
            <w:rPr>
              <w:color w:val="000000"/>
              <w:lang w:val="en-US"/>
            </w:rPr>
          </w:pPr>
          <w:r w:rsidRPr="00170278">
            <w:rPr>
              <w:color w:val="000000"/>
              <w:lang w:val="en-US"/>
            </w:rPr>
            <w:t>Distr.: General</w:t>
          </w:r>
        </w:p>
        <w:p w:rsidR="00F21254" w:rsidRPr="00170278" w:rsidRDefault="00F21254" w:rsidP="00F21254">
          <w:pPr>
            <w:pStyle w:val="Publication"/>
            <w:rPr>
              <w:color w:val="000000"/>
              <w:lang w:val="en-US"/>
            </w:rPr>
          </w:pPr>
          <w:r w:rsidRPr="00170278">
            <w:rPr>
              <w:color w:val="000000"/>
              <w:lang w:val="en-US"/>
            </w:rPr>
            <w:t>2 December 2014</w:t>
          </w:r>
        </w:p>
        <w:p w:rsidR="00F21254" w:rsidRPr="00170278" w:rsidRDefault="00F21254" w:rsidP="00F21254">
          <w:pPr>
            <w:rPr>
              <w:color w:val="000000"/>
              <w:lang w:val="en-US"/>
            </w:rPr>
          </w:pPr>
          <w:r w:rsidRPr="00170278">
            <w:rPr>
              <w:color w:val="000000"/>
              <w:lang w:val="en-US"/>
            </w:rPr>
            <w:t>Russian</w:t>
          </w:r>
        </w:p>
        <w:p w:rsidR="00F21254" w:rsidRPr="00170278" w:rsidRDefault="00F21254" w:rsidP="00F21254">
          <w:pPr>
            <w:pStyle w:val="Original"/>
            <w:rPr>
              <w:color w:val="000000"/>
              <w:lang w:val="en-US"/>
            </w:rPr>
          </w:pPr>
          <w:r w:rsidRPr="00170278">
            <w:rPr>
              <w:color w:val="000000"/>
              <w:lang w:val="en-US"/>
            </w:rPr>
            <w:t>Original: English</w:t>
          </w:r>
        </w:p>
        <w:p w:rsidR="00F21254" w:rsidRPr="00170278" w:rsidRDefault="00F21254" w:rsidP="00F21254">
          <w:pPr>
            <w:rPr>
              <w:lang w:val="en-US"/>
            </w:rPr>
          </w:pPr>
        </w:p>
      </w:tc>
    </w:tr>
  </w:tbl>
  <w:p w:rsidR="00F21254" w:rsidRPr="00170278" w:rsidRDefault="00F21254" w:rsidP="00F21254">
    <w:pPr>
      <w:pStyle w:val="Header"/>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CB2E5FCA"/>
    <w:lvl w:ilvl="0" w:tplc="236E8AA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02F1325"/>
    <w:multiLevelType w:val="multilevel"/>
    <w:tmpl w:val="F73654A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12"/>
  </w:num>
  <w:num w:numId="2">
    <w:abstractNumId w:val="13"/>
  </w:num>
  <w:num w:numId="3">
    <w:abstractNumId w:val="8"/>
  </w:num>
  <w:num w:numId="4">
    <w:abstractNumId w:val="3"/>
  </w:num>
  <w:num w:numId="5">
    <w:abstractNumId w:val="2"/>
  </w:num>
  <w:num w:numId="6">
    <w:abstractNumId w:val="1"/>
  </w:num>
  <w:num w:numId="7">
    <w:abstractNumId w:val="0"/>
  </w:num>
  <w:num w:numId="8">
    <w:abstractNumId w:val="2"/>
    <w:lvlOverride w:ilvl="0">
      <w:startOverride w:val="1"/>
    </w:lvlOverride>
  </w:num>
  <w:num w:numId="9">
    <w:abstractNumId w:val="9"/>
    <w:lvlOverride w:ilvl="0"/>
  </w:num>
  <w:num w:numId="10">
    <w:abstractNumId w:val="8"/>
    <w:lvlOverride w:ilvl="0">
      <w:startOverride w:val="1"/>
    </w:lvlOverride>
  </w:num>
  <w:num w:numId="11">
    <w:abstractNumId w:val="7"/>
    <w:lvlOverride w:ilvl="0"/>
  </w:num>
  <w:num w:numId="12">
    <w:abstractNumId w:val="6"/>
    <w:lvlOverride w:ilvl="0"/>
  </w:num>
  <w:num w:numId="13">
    <w:abstractNumId w:val="5"/>
    <w:lvlOverride w:ilvl="0"/>
  </w:num>
  <w:num w:numId="14">
    <w:abstractNumId w:val="4"/>
    <w:lvlOverride w:ilvl="0"/>
  </w:num>
  <w:num w:numId="15">
    <w:abstractNumId w:val="3"/>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7"/>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11"/>
  </w:num>
  <w:num w:numId="24">
    <w:abstractNumId w:val="15"/>
  </w:num>
  <w:num w:numId="25">
    <w:abstractNumId w:val="1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61*"/>
    <w:docVar w:name="CreationDt" w:val="07/04/2015 8:31: AM"/>
    <w:docVar w:name="DocCategory" w:val="Doc"/>
    <w:docVar w:name="DocType" w:val="Final"/>
    <w:docVar w:name="DutyStation" w:val="New York"/>
    <w:docVar w:name="FooterJN" w:val="14-66061"/>
    <w:docVar w:name="jobn" w:val="14-66061 (R)"/>
    <w:docVar w:name="jobnDT" w:val="14-66061 (R)   070415"/>
    <w:docVar w:name="jobnDTDT" w:val="14-66061 (R)   070415   070415"/>
    <w:docVar w:name="JobNo" w:val="1466061R"/>
    <w:docVar w:name="JobNo2" w:val="1466637R"/>
    <w:docVar w:name="LocalDrive" w:val="False"/>
    <w:docVar w:name="OandT" w:val=" "/>
    <w:docVar w:name="PaperSize" w:val="Letter"/>
    <w:docVar w:name="sss1" w:val="CEDAW/C/CZE/6"/>
    <w:docVar w:name="sss2" w:val="-"/>
    <w:docVar w:name="Symbol1" w:val="CEDAW/C/CZE/6"/>
    <w:docVar w:name="Symbol2" w:val="-"/>
  </w:docVars>
  <w:rsids>
    <w:rsidRoot w:val="005018F1"/>
    <w:rsid w:val="00004615"/>
    <w:rsid w:val="00004756"/>
    <w:rsid w:val="00024A67"/>
    <w:rsid w:val="00030AF6"/>
    <w:rsid w:val="00033C1F"/>
    <w:rsid w:val="000513EF"/>
    <w:rsid w:val="0005420D"/>
    <w:rsid w:val="00055EA2"/>
    <w:rsid w:val="00067095"/>
    <w:rsid w:val="00067A90"/>
    <w:rsid w:val="00070C37"/>
    <w:rsid w:val="00076F88"/>
    <w:rsid w:val="0008067C"/>
    <w:rsid w:val="00092464"/>
    <w:rsid w:val="000A02AB"/>
    <w:rsid w:val="000A111E"/>
    <w:rsid w:val="000C069D"/>
    <w:rsid w:val="000C67BC"/>
    <w:rsid w:val="000E0F08"/>
    <w:rsid w:val="000E30BA"/>
    <w:rsid w:val="000E4411"/>
    <w:rsid w:val="000F1ACD"/>
    <w:rsid w:val="000F5D07"/>
    <w:rsid w:val="0010549D"/>
    <w:rsid w:val="00105B0E"/>
    <w:rsid w:val="00113678"/>
    <w:rsid w:val="001235FD"/>
    <w:rsid w:val="001345B5"/>
    <w:rsid w:val="00135D6E"/>
    <w:rsid w:val="001444A3"/>
    <w:rsid w:val="00153645"/>
    <w:rsid w:val="00153E8C"/>
    <w:rsid w:val="00160648"/>
    <w:rsid w:val="00161F29"/>
    <w:rsid w:val="00162E88"/>
    <w:rsid w:val="00170278"/>
    <w:rsid w:val="001726A4"/>
    <w:rsid w:val="0017373D"/>
    <w:rsid w:val="00175AC4"/>
    <w:rsid w:val="00177361"/>
    <w:rsid w:val="001A39EE"/>
    <w:rsid w:val="001A4338"/>
    <w:rsid w:val="001A6777"/>
    <w:rsid w:val="001C43D8"/>
    <w:rsid w:val="001C54CE"/>
    <w:rsid w:val="001D1749"/>
    <w:rsid w:val="001E21CE"/>
    <w:rsid w:val="001E25A2"/>
    <w:rsid w:val="001E61AD"/>
    <w:rsid w:val="001E639C"/>
    <w:rsid w:val="002078A2"/>
    <w:rsid w:val="00211A7E"/>
    <w:rsid w:val="00217A24"/>
    <w:rsid w:val="00223C57"/>
    <w:rsid w:val="00242477"/>
    <w:rsid w:val="002535D8"/>
    <w:rsid w:val="00254046"/>
    <w:rsid w:val="00261386"/>
    <w:rsid w:val="00261C41"/>
    <w:rsid w:val="00264124"/>
    <w:rsid w:val="00264A43"/>
    <w:rsid w:val="002726BA"/>
    <w:rsid w:val="002764D8"/>
    <w:rsid w:val="00277697"/>
    <w:rsid w:val="002953DA"/>
    <w:rsid w:val="002A0BAE"/>
    <w:rsid w:val="002B6501"/>
    <w:rsid w:val="002B6E2A"/>
    <w:rsid w:val="002C66D0"/>
    <w:rsid w:val="002D396F"/>
    <w:rsid w:val="002D4606"/>
    <w:rsid w:val="002E1F79"/>
    <w:rsid w:val="002F2012"/>
    <w:rsid w:val="002F5C45"/>
    <w:rsid w:val="002F6149"/>
    <w:rsid w:val="00326F5F"/>
    <w:rsid w:val="00333B06"/>
    <w:rsid w:val="00337D91"/>
    <w:rsid w:val="00346BFB"/>
    <w:rsid w:val="00350756"/>
    <w:rsid w:val="003542EE"/>
    <w:rsid w:val="003548FC"/>
    <w:rsid w:val="00361422"/>
    <w:rsid w:val="003658B0"/>
    <w:rsid w:val="0038527A"/>
    <w:rsid w:val="0039505F"/>
    <w:rsid w:val="003A150E"/>
    <w:rsid w:val="003A6779"/>
    <w:rsid w:val="003C2842"/>
    <w:rsid w:val="003D0825"/>
    <w:rsid w:val="003D158B"/>
    <w:rsid w:val="003D2003"/>
    <w:rsid w:val="003D5DA2"/>
    <w:rsid w:val="003E5193"/>
    <w:rsid w:val="00427FE5"/>
    <w:rsid w:val="00433222"/>
    <w:rsid w:val="00436A23"/>
    <w:rsid w:val="00436F13"/>
    <w:rsid w:val="004420FB"/>
    <w:rsid w:val="00445A4E"/>
    <w:rsid w:val="004504A6"/>
    <w:rsid w:val="00460D23"/>
    <w:rsid w:val="004645DD"/>
    <w:rsid w:val="004964B8"/>
    <w:rsid w:val="004A7499"/>
    <w:rsid w:val="004B1314"/>
    <w:rsid w:val="004B722C"/>
    <w:rsid w:val="004C1B7F"/>
    <w:rsid w:val="004D275F"/>
    <w:rsid w:val="004D474D"/>
    <w:rsid w:val="004D656E"/>
    <w:rsid w:val="004E0B55"/>
    <w:rsid w:val="004E6443"/>
    <w:rsid w:val="005018F1"/>
    <w:rsid w:val="00504669"/>
    <w:rsid w:val="005058E0"/>
    <w:rsid w:val="005121DC"/>
    <w:rsid w:val="00513113"/>
    <w:rsid w:val="00515869"/>
    <w:rsid w:val="005214BA"/>
    <w:rsid w:val="00522E6D"/>
    <w:rsid w:val="00524A24"/>
    <w:rsid w:val="005251C4"/>
    <w:rsid w:val="00526A12"/>
    <w:rsid w:val="00526E12"/>
    <w:rsid w:val="005323A1"/>
    <w:rsid w:val="00533411"/>
    <w:rsid w:val="00541653"/>
    <w:rsid w:val="005427EA"/>
    <w:rsid w:val="0054563F"/>
    <w:rsid w:val="005469E1"/>
    <w:rsid w:val="00552E08"/>
    <w:rsid w:val="005635F7"/>
    <w:rsid w:val="0056579C"/>
    <w:rsid w:val="00567706"/>
    <w:rsid w:val="00572298"/>
    <w:rsid w:val="005734C2"/>
    <w:rsid w:val="00574AA1"/>
    <w:rsid w:val="0057633B"/>
    <w:rsid w:val="00583B34"/>
    <w:rsid w:val="00590EDF"/>
    <w:rsid w:val="005933CB"/>
    <w:rsid w:val="00593AE6"/>
    <w:rsid w:val="00593E2F"/>
    <w:rsid w:val="005A002C"/>
    <w:rsid w:val="005A1D01"/>
    <w:rsid w:val="005B064E"/>
    <w:rsid w:val="005B499C"/>
    <w:rsid w:val="005C0440"/>
    <w:rsid w:val="005D38B6"/>
    <w:rsid w:val="005D7642"/>
    <w:rsid w:val="005E0A46"/>
    <w:rsid w:val="005E7DCF"/>
    <w:rsid w:val="005F6E5C"/>
    <w:rsid w:val="00600225"/>
    <w:rsid w:val="00602F9D"/>
    <w:rsid w:val="00616B8D"/>
    <w:rsid w:val="006261A6"/>
    <w:rsid w:val="0062751F"/>
    <w:rsid w:val="0063491E"/>
    <w:rsid w:val="00634A27"/>
    <w:rsid w:val="00635AF8"/>
    <w:rsid w:val="006409EF"/>
    <w:rsid w:val="00646363"/>
    <w:rsid w:val="00647668"/>
    <w:rsid w:val="0065219D"/>
    <w:rsid w:val="00655212"/>
    <w:rsid w:val="00657EE4"/>
    <w:rsid w:val="006A1698"/>
    <w:rsid w:val="006A1D06"/>
    <w:rsid w:val="006A3F10"/>
    <w:rsid w:val="006B34CB"/>
    <w:rsid w:val="006B388E"/>
    <w:rsid w:val="006B590B"/>
    <w:rsid w:val="006F3683"/>
    <w:rsid w:val="00700738"/>
    <w:rsid w:val="007040BA"/>
    <w:rsid w:val="00705549"/>
    <w:rsid w:val="00711163"/>
    <w:rsid w:val="0071210D"/>
    <w:rsid w:val="00716BC5"/>
    <w:rsid w:val="007170E5"/>
    <w:rsid w:val="00723115"/>
    <w:rsid w:val="00724550"/>
    <w:rsid w:val="00731774"/>
    <w:rsid w:val="00731830"/>
    <w:rsid w:val="00736A19"/>
    <w:rsid w:val="00745258"/>
    <w:rsid w:val="00754E08"/>
    <w:rsid w:val="0077374B"/>
    <w:rsid w:val="00781ACA"/>
    <w:rsid w:val="00785F8F"/>
    <w:rsid w:val="00787B44"/>
    <w:rsid w:val="00795A5A"/>
    <w:rsid w:val="00796EC3"/>
    <w:rsid w:val="007B098D"/>
    <w:rsid w:val="007B1DE5"/>
    <w:rsid w:val="007B5785"/>
    <w:rsid w:val="007B5CF3"/>
    <w:rsid w:val="007B67AE"/>
    <w:rsid w:val="007C62D1"/>
    <w:rsid w:val="007C706F"/>
    <w:rsid w:val="007E0E39"/>
    <w:rsid w:val="007E2B60"/>
    <w:rsid w:val="007F5107"/>
    <w:rsid w:val="00803EC5"/>
    <w:rsid w:val="008042D6"/>
    <w:rsid w:val="00804DEC"/>
    <w:rsid w:val="00817961"/>
    <w:rsid w:val="00821CE2"/>
    <w:rsid w:val="0082326F"/>
    <w:rsid w:val="00830FF8"/>
    <w:rsid w:val="00833A04"/>
    <w:rsid w:val="00844407"/>
    <w:rsid w:val="00853E2A"/>
    <w:rsid w:val="008541E9"/>
    <w:rsid w:val="00856EEB"/>
    <w:rsid w:val="00865EBF"/>
    <w:rsid w:val="008776BB"/>
    <w:rsid w:val="00880540"/>
    <w:rsid w:val="0088396E"/>
    <w:rsid w:val="008A1A7A"/>
    <w:rsid w:val="008A3A25"/>
    <w:rsid w:val="008B0632"/>
    <w:rsid w:val="008B08A3"/>
    <w:rsid w:val="008B4F64"/>
    <w:rsid w:val="008B53C0"/>
    <w:rsid w:val="008B5F7F"/>
    <w:rsid w:val="008B709D"/>
    <w:rsid w:val="008C2A03"/>
    <w:rsid w:val="008C6372"/>
    <w:rsid w:val="008D0CE3"/>
    <w:rsid w:val="008F12FD"/>
    <w:rsid w:val="008F13EA"/>
    <w:rsid w:val="008F24E6"/>
    <w:rsid w:val="00904F3C"/>
    <w:rsid w:val="0090623F"/>
    <w:rsid w:val="00907EDB"/>
    <w:rsid w:val="009110C5"/>
    <w:rsid w:val="00912FB5"/>
    <w:rsid w:val="00915944"/>
    <w:rsid w:val="009228D9"/>
    <w:rsid w:val="009327BF"/>
    <w:rsid w:val="00935F33"/>
    <w:rsid w:val="0094745A"/>
    <w:rsid w:val="00952B5F"/>
    <w:rsid w:val="00953546"/>
    <w:rsid w:val="0095649D"/>
    <w:rsid w:val="00963BDB"/>
    <w:rsid w:val="00984EE4"/>
    <w:rsid w:val="009853B6"/>
    <w:rsid w:val="0099354F"/>
    <w:rsid w:val="009B16EA"/>
    <w:rsid w:val="009B3444"/>
    <w:rsid w:val="009B4026"/>
    <w:rsid w:val="009B5DCD"/>
    <w:rsid w:val="009D6E3D"/>
    <w:rsid w:val="009F0808"/>
    <w:rsid w:val="00A1426A"/>
    <w:rsid w:val="00A14F1D"/>
    <w:rsid w:val="00A1703F"/>
    <w:rsid w:val="00A2180A"/>
    <w:rsid w:val="00A22293"/>
    <w:rsid w:val="00A344D5"/>
    <w:rsid w:val="00A3468D"/>
    <w:rsid w:val="00A53B06"/>
    <w:rsid w:val="00A63339"/>
    <w:rsid w:val="00A766A7"/>
    <w:rsid w:val="00A90F41"/>
    <w:rsid w:val="00A910E7"/>
    <w:rsid w:val="00A951DD"/>
    <w:rsid w:val="00A9600A"/>
    <w:rsid w:val="00A96C80"/>
    <w:rsid w:val="00AA0ABF"/>
    <w:rsid w:val="00AA27C2"/>
    <w:rsid w:val="00AD6322"/>
    <w:rsid w:val="00AD6752"/>
    <w:rsid w:val="00AD78B1"/>
    <w:rsid w:val="00AF0B91"/>
    <w:rsid w:val="00AF1A65"/>
    <w:rsid w:val="00AF3B70"/>
    <w:rsid w:val="00B17A11"/>
    <w:rsid w:val="00B2296A"/>
    <w:rsid w:val="00B2472B"/>
    <w:rsid w:val="00B2753B"/>
    <w:rsid w:val="00B33139"/>
    <w:rsid w:val="00B5129B"/>
    <w:rsid w:val="00B56376"/>
    <w:rsid w:val="00B606B7"/>
    <w:rsid w:val="00B62C69"/>
    <w:rsid w:val="00B77FC0"/>
    <w:rsid w:val="00BB052D"/>
    <w:rsid w:val="00BB1F92"/>
    <w:rsid w:val="00BB5B7F"/>
    <w:rsid w:val="00BB7E8A"/>
    <w:rsid w:val="00BC20A0"/>
    <w:rsid w:val="00BC75AA"/>
    <w:rsid w:val="00BD2F16"/>
    <w:rsid w:val="00BE2D25"/>
    <w:rsid w:val="00BE448A"/>
    <w:rsid w:val="00BE531D"/>
    <w:rsid w:val="00BF3D60"/>
    <w:rsid w:val="00BF5FCB"/>
    <w:rsid w:val="00C16B93"/>
    <w:rsid w:val="00C2210E"/>
    <w:rsid w:val="00C2524E"/>
    <w:rsid w:val="00C32802"/>
    <w:rsid w:val="00C40B0B"/>
    <w:rsid w:val="00C41B6F"/>
    <w:rsid w:val="00C60105"/>
    <w:rsid w:val="00C623BF"/>
    <w:rsid w:val="00C640D1"/>
    <w:rsid w:val="00C7011D"/>
    <w:rsid w:val="00C70D59"/>
    <w:rsid w:val="00C7432F"/>
    <w:rsid w:val="00C77473"/>
    <w:rsid w:val="00C86AF8"/>
    <w:rsid w:val="00C91210"/>
    <w:rsid w:val="00CA2CF3"/>
    <w:rsid w:val="00CB519E"/>
    <w:rsid w:val="00CC5B37"/>
    <w:rsid w:val="00CD2ED3"/>
    <w:rsid w:val="00CD3C62"/>
    <w:rsid w:val="00CF021B"/>
    <w:rsid w:val="00CF066B"/>
    <w:rsid w:val="00CF07BE"/>
    <w:rsid w:val="00D028FF"/>
    <w:rsid w:val="00D05963"/>
    <w:rsid w:val="00D11640"/>
    <w:rsid w:val="00D1470E"/>
    <w:rsid w:val="00D20AA4"/>
    <w:rsid w:val="00D434AF"/>
    <w:rsid w:val="00D44FA6"/>
    <w:rsid w:val="00D61BB7"/>
    <w:rsid w:val="00D7165D"/>
    <w:rsid w:val="00D75705"/>
    <w:rsid w:val="00D961D6"/>
    <w:rsid w:val="00D97B17"/>
    <w:rsid w:val="00DA1A4A"/>
    <w:rsid w:val="00DA27AC"/>
    <w:rsid w:val="00DA4AFE"/>
    <w:rsid w:val="00DC1E7E"/>
    <w:rsid w:val="00DC7A5F"/>
    <w:rsid w:val="00DD6A66"/>
    <w:rsid w:val="00DE0D15"/>
    <w:rsid w:val="00DF1CF0"/>
    <w:rsid w:val="00DF7388"/>
    <w:rsid w:val="00E04C73"/>
    <w:rsid w:val="00E079A3"/>
    <w:rsid w:val="00E12674"/>
    <w:rsid w:val="00E132AC"/>
    <w:rsid w:val="00E15CCC"/>
    <w:rsid w:val="00E15D7D"/>
    <w:rsid w:val="00E17234"/>
    <w:rsid w:val="00E261F5"/>
    <w:rsid w:val="00E32F83"/>
    <w:rsid w:val="00E34A5B"/>
    <w:rsid w:val="00E478DE"/>
    <w:rsid w:val="00E54D94"/>
    <w:rsid w:val="00E6111E"/>
    <w:rsid w:val="00E616D0"/>
    <w:rsid w:val="00E62CCE"/>
    <w:rsid w:val="00E64F51"/>
    <w:rsid w:val="00E65C07"/>
    <w:rsid w:val="00E8225E"/>
    <w:rsid w:val="00E90547"/>
    <w:rsid w:val="00E970B0"/>
    <w:rsid w:val="00EA1656"/>
    <w:rsid w:val="00EA1819"/>
    <w:rsid w:val="00EA255B"/>
    <w:rsid w:val="00EB646E"/>
    <w:rsid w:val="00EC6F5D"/>
    <w:rsid w:val="00EF1FBD"/>
    <w:rsid w:val="00F07DDF"/>
    <w:rsid w:val="00F16256"/>
    <w:rsid w:val="00F21254"/>
    <w:rsid w:val="00F231E8"/>
    <w:rsid w:val="00F30632"/>
    <w:rsid w:val="00F33544"/>
    <w:rsid w:val="00F35ACF"/>
    <w:rsid w:val="00F624BD"/>
    <w:rsid w:val="00F62A5E"/>
    <w:rsid w:val="00F6634F"/>
    <w:rsid w:val="00F72CD1"/>
    <w:rsid w:val="00F74A39"/>
    <w:rsid w:val="00F8138E"/>
    <w:rsid w:val="00F83944"/>
    <w:rsid w:val="00F85203"/>
    <w:rsid w:val="00F92676"/>
    <w:rsid w:val="00F94262"/>
    <w:rsid w:val="00F9641D"/>
    <w:rsid w:val="00F979A8"/>
    <w:rsid w:val="00FA1B93"/>
    <w:rsid w:val="00FA5551"/>
    <w:rsid w:val="00FA7C7A"/>
    <w:rsid w:val="00FC5B17"/>
    <w:rsid w:val="00FD213B"/>
    <w:rsid w:val="00FD3CE8"/>
    <w:rsid w:val="00FD5B91"/>
    <w:rsid w:val="00FE2684"/>
    <w:rsid w:val="00FE2E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semiHidden="0" w:unhideWhenUsed="0"/>
    <w:lsdException w:name="footer" w:semiHidden="0" w:unhideWhenUsed="0"/>
    <w:lsdException w:name="index heading" w:uiPriority="99"/>
    <w:lsdException w:name="caption" w:qFormat="1"/>
    <w:lsdException w:name="table of figures" w:uiPriority="99"/>
    <w:lsdException w:name="line number" w:semiHidden="0" w:uiPriority="99" w:unhideWhenUsed="0"/>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Web 3"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aliases w:val="Table_GR,Table_G"/>
    <w:basedOn w:val="Normal"/>
    <w:next w:val="Normal"/>
    <w:link w:val="Heading1Char"/>
    <w:qFormat/>
    <w:rsid w:val="0088396E"/>
    <w:pPr>
      <w:keepNext/>
      <w:spacing w:before="240" w:after="60"/>
      <w:outlineLvl w:val="0"/>
    </w:pPr>
    <w:rPr>
      <w:rFonts w:ascii="Arial" w:eastAsia="SimSun" w:hAnsi="Arial"/>
      <w:b/>
      <w:bCs/>
      <w:sz w:val="32"/>
      <w:szCs w:val="28"/>
      <w:lang/>
    </w:rPr>
  </w:style>
  <w:style w:type="paragraph" w:styleId="Heading2">
    <w:name w:val="heading 2"/>
    <w:basedOn w:val="Normal"/>
    <w:next w:val="Normal"/>
    <w:link w:val="Heading2Char"/>
    <w:qFormat/>
    <w:rsid w:val="0088396E"/>
    <w:pPr>
      <w:keepNext/>
      <w:spacing w:before="240" w:after="60"/>
      <w:outlineLvl w:val="1"/>
    </w:pPr>
    <w:rPr>
      <w:rFonts w:ascii="Arial" w:eastAsia="SimSun" w:hAnsi="Arial"/>
      <w:b/>
      <w:bCs/>
      <w:i/>
      <w:sz w:val="28"/>
      <w:szCs w:val="26"/>
      <w:lang/>
    </w:rPr>
  </w:style>
  <w:style w:type="paragraph" w:styleId="Heading3">
    <w:name w:val="heading 3"/>
    <w:basedOn w:val="Normal"/>
    <w:next w:val="Normal"/>
    <w:link w:val="Heading3Char"/>
    <w:qFormat/>
    <w:rsid w:val="0071210D"/>
    <w:pPr>
      <w:keepNext/>
      <w:spacing w:before="240" w:after="60"/>
      <w:outlineLvl w:val="2"/>
    </w:pPr>
    <w:rPr>
      <w:rFonts w:ascii="Arial" w:eastAsia="SimSun" w:hAnsi="Arial"/>
      <w:b/>
      <w:bCs/>
      <w:sz w:val="26"/>
      <w:szCs w:val="20"/>
      <w:lang/>
    </w:rPr>
  </w:style>
  <w:style w:type="paragraph" w:styleId="Heading4">
    <w:name w:val="heading 4"/>
    <w:basedOn w:val="Normal"/>
    <w:next w:val="Normal"/>
    <w:link w:val="Heading4Char"/>
    <w:semiHidden/>
    <w:unhideWhenUsed/>
    <w:qFormat/>
    <w:rsid w:val="00170278"/>
    <w:pPr>
      <w:keepNext/>
      <w:numPr>
        <w:ilvl w:val="3"/>
        <w:numId w:val="1"/>
      </w:numPr>
      <w:spacing w:before="240" w:after="60" w:line="240" w:lineRule="atLeast"/>
      <w:ind w:left="864" w:hanging="144"/>
      <w:outlineLvl w:val="3"/>
    </w:pPr>
    <w:rPr>
      <w:rFonts w:eastAsia="Times New Roman"/>
      <w:b/>
      <w:bCs/>
      <w:sz w:val="28"/>
      <w:szCs w:val="28"/>
      <w:lang/>
    </w:rPr>
  </w:style>
  <w:style w:type="paragraph" w:styleId="Heading5">
    <w:name w:val="heading 5"/>
    <w:basedOn w:val="Normal"/>
    <w:next w:val="Normal"/>
    <w:link w:val="Heading5Char"/>
    <w:semiHidden/>
    <w:unhideWhenUsed/>
    <w:qFormat/>
    <w:rsid w:val="00170278"/>
    <w:pPr>
      <w:numPr>
        <w:ilvl w:val="4"/>
        <w:numId w:val="1"/>
      </w:numPr>
      <w:spacing w:before="240" w:after="60" w:line="240" w:lineRule="atLeast"/>
      <w:ind w:left="1008" w:hanging="432"/>
      <w:outlineLvl w:val="4"/>
    </w:pPr>
    <w:rPr>
      <w:rFonts w:eastAsia="Times New Roman"/>
      <w:b/>
      <w:bCs/>
      <w:i/>
      <w:iCs/>
      <w:sz w:val="26"/>
      <w:szCs w:val="26"/>
      <w:lang/>
    </w:rPr>
  </w:style>
  <w:style w:type="paragraph" w:styleId="Heading6">
    <w:name w:val="heading 6"/>
    <w:basedOn w:val="Normal"/>
    <w:next w:val="Normal"/>
    <w:link w:val="Heading6Char"/>
    <w:semiHidden/>
    <w:unhideWhenUsed/>
    <w:qFormat/>
    <w:rsid w:val="00170278"/>
    <w:pPr>
      <w:numPr>
        <w:ilvl w:val="5"/>
        <w:numId w:val="1"/>
      </w:numPr>
      <w:spacing w:before="240" w:after="60" w:line="240" w:lineRule="atLeast"/>
      <w:ind w:left="1152" w:hanging="432"/>
      <w:outlineLvl w:val="5"/>
    </w:pPr>
    <w:rPr>
      <w:rFonts w:eastAsia="Times New Roman"/>
      <w:b/>
      <w:bCs/>
      <w:sz w:val="22"/>
      <w:lang/>
    </w:rPr>
  </w:style>
  <w:style w:type="paragraph" w:styleId="Heading7">
    <w:name w:val="heading 7"/>
    <w:basedOn w:val="Normal"/>
    <w:next w:val="Normal"/>
    <w:link w:val="Heading7Char"/>
    <w:semiHidden/>
    <w:unhideWhenUsed/>
    <w:qFormat/>
    <w:rsid w:val="00170278"/>
    <w:pPr>
      <w:numPr>
        <w:ilvl w:val="6"/>
        <w:numId w:val="1"/>
      </w:numPr>
      <w:spacing w:before="240" w:after="60" w:line="240" w:lineRule="atLeast"/>
      <w:ind w:left="1296" w:hanging="288"/>
      <w:outlineLvl w:val="6"/>
    </w:pPr>
    <w:rPr>
      <w:rFonts w:eastAsia="Times New Roman"/>
      <w:sz w:val="24"/>
      <w:szCs w:val="20"/>
      <w:lang/>
    </w:rPr>
  </w:style>
  <w:style w:type="paragraph" w:styleId="Heading8">
    <w:name w:val="heading 8"/>
    <w:basedOn w:val="Normal"/>
    <w:next w:val="Normal"/>
    <w:link w:val="Heading8Char"/>
    <w:semiHidden/>
    <w:unhideWhenUsed/>
    <w:qFormat/>
    <w:rsid w:val="00170278"/>
    <w:pPr>
      <w:numPr>
        <w:ilvl w:val="7"/>
        <w:numId w:val="1"/>
      </w:numPr>
      <w:spacing w:before="240" w:after="60" w:line="240" w:lineRule="atLeast"/>
      <w:ind w:left="1440" w:hanging="432"/>
      <w:outlineLvl w:val="7"/>
    </w:pPr>
    <w:rPr>
      <w:rFonts w:eastAsia="Times New Roman"/>
      <w:i/>
      <w:iCs/>
      <w:sz w:val="24"/>
      <w:szCs w:val="20"/>
      <w:lang/>
    </w:rPr>
  </w:style>
  <w:style w:type="paragraph" w:styleId="Heading9">
    <w:name w:val="heading 9"/>
    <w:basedOn w:val="Normal"/>
    <w:next w:val="Normal"/>
    <w:link w:val="Heading9Char"/>
    <w:semiHidden/>
    <w:unhideWhenUsed/>
    <w:qFormat/>
    <w:rsid w:val="00170278"/>
    <w:pPr>
      <w:numPr>
        <w:ilvl w:val="8"/>
        <w:numId w:val="1"/>
      </w:numPr>
      <w:spacing w:before="240" w:after="60" w:line="240" w:lineRule="atLeast"/>
      <w:ind w:left="1584" w:hanging="144"/>
      <w:outlineLvl w:val="8"/>
    </w:pPr>
    <w:rPr>
      <w:rFonts w:ascii="Arial" w:eastAsia="Times New Roman" w:hAnsi="Arial"/>
      <w:sz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rPr>
      <w:rFonts w:ascii="Times New Roman" w:hAnsi="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aliases w:val="3_GR Char,3_G Char"/>
    <w:link w:val="Footer"/>
    <w:rsid w:val="00BE531D"/>
    <w:rPr>
      <w:rFonts w:ascii="Times New Roman" w:hAnsi="Times New Roman"/>
      <w:b/>
      <w:sz w:val="17"/>
      <w:lang w:val="ru-RU"/>
    </w:rPr>
  </w:style>
  <w:style w:type="paragraph" w:styleId="Header">
    <w:name w:val="header"/>
    <w:aliases w:val="6_GR,6_G"/>
    <w:basedOn w:val="Normal"/>
    <w:link w:val="HeaderChar"/>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aliases w:val="6_GR Char,6_G Char"/>
    <w:link w:val="Header"/>
    <w:rsid w:val="00BE531D"/>
    <w:rPr>
      <w:rFonts w:ascii="Times New Roman" w:hAnsi="Times New Roman"/>
      <w:sz w:val="17"/>
      <w:lang w:val="ru-RU"/>
    </w:rPr>
  </w:style>
  <w:style w:type="character" w:customStyle="1" w:styleId="Heading1Char">
    <w:name w:val="Heading 1 Char"/>
    <w:aliases w:val="Table_GR Char1,Table_G Char"/>
    <w:link w:val="Heading1"/>
    <w:rsid w:val="0088396E"/>
    <w:rPr>
      <w:rFonts w:ascii="Arial" w:eastAsia="SimSun" w:hAnsi="Arial" w:cs="Times New Roman"/>
      <w:b/>
      <w:bCs/>
      <w:spacing w:val="4"/>
      <w:w w:val="103"/>
      <w:kern w:val="14"/>
      <w:sz w:val="32"/>
      <w:szCs w:val="28"/>
    </w:rPr>
  </w:style>
  <w:style w:type="character" w:customStyle="1" w:styleId="Heading2Char">
    <w:name w:val="Heading 2 Char"/>
    <w:link w:val="Heading2"/>
    <w:rsid w:val="0088396E"/>
    <w:rPr>
      <w:rFonts w:ascii="Arial" w:eastAsia="SimSun" w:hAnsi="Arial" w:cs="Times New Roman"/>
      <w:b/>
      <w:bCs/>
      <w:i/>
      <w:spacing w:val="4"/>
      <w:w w:val="103"/>
      <w:kern w:val="14"/>
      <w:sz w:val="28"/>
      <w:szCs w:val="26"/>
    </w:rPr>
  </w:style>
  <w:style w:type="character" w:customStyle="1" w:styleId="Heading3Char">
    <w:name w:val="Heading 3 Char"/>
    <w:link w:val="Heading3"/>
    <w:rsid w:val="0071210D"/>
    <w:rPr>
      <w:rFonts w:ascii="Arial" w:eastAsia="SimSun" w:hAnsi="Arial" w:cs="Times New Roman"/>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Char,Footnote Text Blue,EUMC_Lábjegyzetszöveg + 13 pt,Félkövér,Dolt,Középre zárt Char,Középre zárt Char Char,Középre zárt,Märk,Footnote Text Char1,Footnote Text Char Char,Footnote Text Char2 Char Char,fn,f Char Char,f Char,f,f1"/>
    <w:basedOn w:val="Normal"/>
    <w:link w:val="FootnoteTextChar"/>
    <w:unhideWhenUsed/>
    <w:rsid w:val="00CF07BE"/>
    <w:pPr>
      <w:suppressAutoHyphens/>
      <w:spacing w:line="210" w:lineRule="exact"/>
      <w:ind w:left="475" w:hanging="475"/>
    </w:pPr>
    <w:rPr>
      <w:spacing w:val="5"/>
      <w:w w:val="104"/>
      <w:sz w:val="17"/>
      <w:szCs w:val="20"/>
      <w:lang/>
    </w:rPr>
  </w:style>
  <w:style w:type="character" w:customStyle="1" w:styleId="FootnoteTextChar">
    <w:name w:val="Footnote Text Char"/>
    <w:aliases w:val="5_GR Char1,5_G Char,Char Char1,Footnote Text Blue Char1,EUMC_Lábjegyzetszöveg + 13 pt Char1,Félkövér Char1,Dolt Char1,Középre zárt Char Char2,Középre zárt Char Char Char1,Középre zárt Char2,Märk Char1,Footnote Text Char1 Char,fn Char1"/>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ftref,Ref,de nota al pie,Char Char1 Char Char Char Char,Fußnotenzeichen_Raxen,Footnotes refss,Error-Fußnotenzeichen5,Error-Fußnotenzeichen6,Error-Fußnotenzeichen3,Footnote Refernece"/>
    <w:semiHidden/>
    <w:unhideWhenUsed/>
    <w:rsid w:val="00EC6F5D"/>
    <w:rPr>
      <w:spacing w:val="-5"/>
      <w:w w:val="130"/>
      <w:position w:val="-4"/>
      <w:vertAlign w:val="superscript"/>
    </w:rPr>
  </w:style>
  <w:style w:type="paragraph" w:styleId="EndnoteText">
    <w:name w:val="endnote text"/>
    <w:aliases w:val="2_GR,2_G"/>
    <w:basedOn w:val="Normal"/>
    <w:link w:val="EndnoteTextChar"/>
    <w:semiHidden/>
    <w:unhideWhenUsed/>
    <w:rsid w:val="00515869"/>
    <w:pPr>
      <w:suppressAutoHyphens/>
      <w:spacing w:line="240" w:lineRule="auto"/>
    </w:pPr>
    <w:rPr>
      <w:spacing w:val="5"/>
      <w:w w:val="104"/>
      <w:szCs w:val="20"/>
      <w:lang/>
    </w:rPr>
  </w:style>
  <w:style w:type="character" w:customStyle="1" w:styleId="EndnoteTextChar">
    <w:name w:val="Endnote Text Char"/>
    <w:aliases w:val="2_GR Char1,2_G Char1"/>
    <w:link w:val="EndnoteText"/>
    <w:semiHidden/>
    <w:rsid w:val="00515869"/>
    <w:rPr>
      <w:rFonts w:ascii="Times New Roman" w:hAnsi="Times New Roman"/>
      <w:spacing w:val="5"/>
      <w:w w:val="104"/>
      <w:kern w:val="14"/>
      <w:sz w:val="20"/>
      <w:szCs w:val="20"/>
      <w:lang w:val="ru-RU"/>
    </w:rPr>
  </w:style>
  <w:style w:type="character" w:styleId="CommentReference">
    <w:name w:val="annotation reference"/>
    <w:semiHidden/>
    <w:unhideWhenUsed/>
    <w:rsid w:val="00F21254"/>
    <w:rPr>
      <w:sz w:val="16"/>
      <w:szCs w:val="16"/>
    </w:rPr>
  </w:style>
  <w:style w:type="paragraph" w:styleId="CommentText">
    <w:name w:val="annotation text"/>
    <w:basedOn w:val="Normal"/>
    <w:link w:val="CommentTextChar"/>
    <w:semiHidden/>
    <w:unhideWhenUsed/>
    <w:rsid w:val="00F21254"/>
    <w:rPr>
      <w:szCs w:val="20"/>
      <w:lang/>
    </w:rPr>
  </w:style>
  <w:style w:type="character" w:customStyle="1" w:styleId="CommentTextChar">
    <w:name w:val="Comment Text Char"/>
    <w:link w:val="CommentText"/>
    <w:semiHidden/>
    <w:rsid w:val="00F21254"/>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semiHidden/>
    <w:unhideWhenUsed/>
    <w:rsid w:val="00F21254"/>
    <w:rPr>
      <w:b/>
      <w:bCs/>
    </w:rPr>
  </w:style>
  <w:style w:type="character" w:customStyle="1" w:styleId="CommentSubjectChar">
    <w:name w:val="Comment Subject Char"/>
    <w:link w:val="CommentSubject"/>
    <w:semiHidden/>
    <w:rsid w:val="00F21254"/>
    <w:rPr>
      <w:rFonts w:ascii="Times New Roman" w:hAnsi="Times New Roman" w:cs="Times New Roman"/>
      <w:b/>
      <w:bCs/>
      <w:spacing w:val="4"/>
      <w:w w:val="103"/>
      <w:kern w:val="14"/>
      <w:lang w:val="ru-RU"/>
    </w:rPr>
  </w:style>
  <w:style w:type="character" w:customStyle="1" w:styleId="Heading4Char">
    <w:name w:val="Heading 4 Char"/>
    <w:link w:val="Heading4"/>
    <w:semiHidden/>
    <w:rsid w:val="00170278"/>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link w:val="Heading5"/>
    <w:semiHidden/>
    <w:rsid w:val="00170278"/>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link w:val="Heading6"/>
    <w:semiHidden/>
    <w:rsid w:val="00170278"/>
    <w:rPr>
      <w:rFonts w:ascii="Times New Roman" w:eastAsia="Times New Roman" w:hAnsi="Times New Roman" w:cs="Times New Roman"/>
      <w:b/>
      <w:bCs/>
      <w:spacing w:val="4"/>
      <w:w w:val="103"/>
      <w:kern w:val="14"/>
      <w:sz w:val="22"/>
      <w:szCs w:val="22"/>
      <w:lang w:val="ru-RU"/>
    </w:rPr>
  </w:style>
  <w:style w:type="character" w:customStyle="1" w:styleId="Heading7Char">
    <w:name w:val="Heading 7 Char"/>
    <w:link w:val="Heading7"/>
    <w:semiHidden/>
    <w:rsid w:val="00170278"/>
    <w:rPr>
      <w:rFonts w:ascii="Times New Roman" w:eastAsia="Times New Roman" w:hAnsi="Times New Roman" w:cs="Times New Roman"/>
      <w:spacing w:val="4"/>
      <w:w w:val="103"/>
      <w:kern w:val="14"/>
      <w:sz w:val="24"/>
      <w:lang w:val="ru-RU"/>
    </w:rPr>
  </w:style>
  <w:style w:type="character" w:customStyle="1" w:styleId="Heading8Char">
    <w:name w:val="Heading 8 Char"/>
    <w:link w:val="Heading8"/>
    <w:semiHidden/>
    <w:rsid w:val="00170278"/>
    <w:rPr>
      <w:rFonts w:ascii="Times New Roman" w:eastAsia="Times New Roman" w:hAnsi="Times New Roman" w:cs="Times New Roman"/>
      <w:i/>
      <w:iCs/>
      <w:spacing w:val="4"/>
      <w:w w:val="103"/>
      <w:kern w:val="14"/>
      <w:sz w:val="24"/>
      <w:lang w:val="ru-RU"/>
    </w:rPr>
  </w:style>
  <w:style w:type="character" w:customStyle="1" w:styleId="Heading9Char">
    <w:name w:val="Heading 9 Char"/>
    <w:link w:val="Heading9"/>
    <w:semiHidden/>
    <w:rsid w:val="00170278"/>
    <w:rPr>
      <w:rFonts w:ascii="Arial" w:eastAsia="Times New Roman" w:hAnsi="Arial"/>
      <w:spacing w:val="4"/>
      <w:w w:val="103"/>
      <w:kern w:val="14"/>
      <w:sz w:val="22"/>
      <w:szCs w:val="22"/>
      <w:lang w:val="ru-RU"/>
    </w:rPr>
  </w:style>
  <w:style w:type="character" w:styleId="Hyperlink">
    <w:name w:val="Hyperlink"/>
    <w:unhideWhenUsed/>
    <w:rsid w:val="00170278"/>
    <w:rPr>
      <w:color w:val="0000FF"/>
      <w:u w:val="none"/>
    </w:rPr>
  </w:style>
  <w:style w:type="character" w:styleId="FollowedHyperlink">
    <w:name w:val="FollowedHyperlink"/>
    <w:semiHidden/>
    <w:unhideWhenUsed/>
    <w:rsid w:val="00170278"/>
    <w:rPr>
      <w:color w:val="0000FF"/>
      <w:u w:val="none"/>
    </w:rPr>
  </w:style>
  <w:style w:type="paragraph" w:styleId="HTMLAddress">
    <w:name w:val="HTML Address"/>
    <w:basedOn w:val="Normal"/>
    <w:link w:val="HTMLAddressChar"/>
    <w:semiHidden/>
    <w:unhideWhenUsed/>
    <w:rsid w:val="00170278"/>
    <w:pPr>
      <w:spacing w:line="240" w:lineRule="atLeast"/>
    </w:pPr>
    <w:rPr>
      <w:rFonts w:eastAsia="Times New Roman"/>
      <w:i/>
      <w:iCs/>
      <w:szCs w:val="20"/>
      <w:lang/>
    </w:rPr>
  </w:style>
  <w:style w:type="character" w:customStyle="1" w:styleId="HTMLAddressChar">
    <w:name w:val="HTML Address Char"/>
    <w:link w:val="HTMLAddress"/>
    <w:semiHidden/>
    <w:rsid w:val="00170278"/>
    <w:rPr>
      <w:rFonts w:ascii="Times New Roman" w:eastAsia="Times New Roman" w:hAnsi="Times New Roman" w:cs="Times New Roman"/>
      <w:i/>
      <w:iCs/>
      <w:spacing w:val="4"/>
      <w:w w:val="103"/>
      <w:kern w:val="14"/>
      <w:lang w:val="ru-RU"/>
    </w:rPr>
  </w:style>
  <w:style w:type="character" w:styleId="HTMLCode">
    <w:name w:val="HTML Code"/>
    <w:semiHidden/>
    <w:unhideWhenUsed/>
    <w:rsid w:val="00170278"/>
    <w:rPr>
      <w:rFonts w:ascii="Courier New" w:eastAsia="Times New Roman" w:hAnsi="Courier New" w:cs="Courier New" w:hint="default"/>
      <w:sz w:val="20"/>
      <w:szCs w:val="20"/>
    </w:rPr>
  </w:style>
  <w:style w:type="character" w:customStyle="1" w:styleId="Heading1Char1">
    <w:name w:val="Heading 1 Char1"/>
    <w:aliases w:val="Table_GR Char,Table_G Char1"/>
    <w:locked/>
    <w:rsid w:val="00170278"/>
    <w:rPr>
      <w:rFonts w:ascii="Times New Roman" w:eastAsia="Times New Roman" w:hAnsi="Times New Roman"/>
      <w:b/>
      <w:bCs/>
      <w:spacing w:val="4"/>
      <w:w w:val="103"/>
      <w:kern w:val="14"/>
      <w:szCs w:val="32"/>
      <w:lang w:val="ru-RU" w:eastAsia="ru-RU"/>
    </w:rPr>
  </w:style>
  <w:style w:type="character" w:styleId="HTMLKeyboard">
    <w:name w:val="HTML Keyboard"/>
    <w:semiHidden/>
    <w:unhideWhenUsed/>
    <w:rsid w:val="0017027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7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eastAsia="Times New Roman" w:hAnsi="Courier New"/>
      <w:szCs w:val="20"/>
      <w:lang/>
    </w:rPr>
  </w:style>
  <w:style w:type="character" w:customStyle="1" w:styleId="HTMLPreformattedChar">
    <w:name w:val="HTML Preformatted Char"/>
    <w:link w:val="HTMLPreformatted"/>
    <w:semiHidden/>
    <w:rsid w:val="00170278"/>
    <w:rPr>
      <w:rFonts w:ascii="Courier New" w:eastAsia="Times New Roman" w:hAnsi="Courier New" w:cs="Courier New"/>
      <w:spacing w:val="4"/>
      <w:w w:val="103"/>
      <w:kern w:val="14"/>
      <w:lang w:val="ru-RU"/>
    </w:rPr>
  </w:style>
  <w:style w:type="character" w:styleId="HTMLSample">
    <w:name w:val="HTML Sample"/>
    <w:semiHidden/>
    <w:unhideWhenUsed/>
    <w:rsid w:val="00170278"/>
    <w:rPr>
      <w:rFonts w:ascii="Courier New" w:eastAsia="Times New Roman" w:hAnsi="Courier New" w:cs="Courier New" w:hint="default"/>
    </w:rPr>
  </w:style>
  <w:style w:type="character" w:styleId="HTMLTypewriter">
    <w:name w:val="HTML Typewriter"/>
    <w:semiHidden/>
    <w:unhideWhenUsed/>
    <w:rsid w:val="00170278"/>
    <w:rPr>
      <w:rFonts w:ascii="Courier New" w:eastAsia="Times New Roman" w:hAnsi="Courier New" w:cs="Courier New" w:hint="default"/>
      <w:sz w:val="20"/>
      <w:szCs w:val="20"/>
    </w:rPr>
  </w:style>
  <w:style w:type="paragraph" w:styleId="NormalWeb">
    <w:name w:val="Normal (Web)"/>
    <w:basedOn w:val="Normal"/>
    <w:semiHidden/>
    <w:unhideWhenUsed/>
    <w:rsid w:val="00170278"/>
    <w:pPr>
      <w:spacing w:line="240" w:lineRule="atLeast"/>
    </w:pPr>
    <w:rPr>
      <w:rFonts w:eastAsia="Times New Roman"/>
      <w:sz w:val="24"/>
      <w:szCs w:val="20"/>
    </w:rPr>
  </w:style>
  <w:style w:type="paragraph" w:styleId="TOC1">
    <w:name w:val="toc 1"/>
    <w:basedOn w:val="Normal"/>
    <w:next w:val="Normal"/>
    <w:autoRedefine/>
    <w:semiHidden/>
    <w:unhideWhenUsed/>
    <w:rsid w:val="00170278"/>
    <w:pPr>
      <w:tabs>
        <w:tab w:val="left" w:pos="1276"/>
        <w:tab w:val="right" w:leader="dot" w:pos="9356"/>
        <w:tab w:val="right" w:pos="9781"/>
      </w:tabs>
      <w:spacing w:after="120" w:line="240" w:lineRule="auto"/>
    </w:pPr>
    <w:rPr>
      <w:rFonts w:eastAsia="Times New Roman"/>
      <w:bCs/>
      <w:caps/>
      <w:noProof/>
      <w:spacing w:val="0"/>
      <w:w w:val="100"/>
      <w:kern w:val="0"/>
      <w:szCs w:val="20"/>
      <w:lang w:val="fr-FR"/>
    </w:rPr>
  </w:style>
  <w:style w:type="paragraph" w:styleId="TOC2">
    <w:name w:val="toc 2"/>
    <w:basedOn w:val="Normal"/>
    <w:next w:val="Normal"/>
    <w:autoRedefine/>
    <w:semiHidden/>
    <w:unhideWhenUsed/>
    <w:rsid w:val="00170278"/>
    <w:pPr>
      <w:tabs>
        <w:tab w:val="right" w:leader="dot" w:pos="8630"/>
      </w:tabs>
      <w:spacing w:line="276" w:lineRule="auto"/>
      <w:ind w:left="220"/>
    </w:pPr>
    <w:rPr>
      <w:rFonts w:eastAsia="Times New Roman"/>
      <w:smallCaps/>
      <w:noProof/>
      <w:spacing w:val="0"/>
      <w:w w:val="100"/>
      <w:kern w:val="0"/>
      <w:sz w:val="24"/>
      <w:szCs w:val="24"/>
      <w:lang w:val="fr-FR"/>
    </w:rPr>
  </w:style>
  <w:style w:type="paragraph" w:styleId="TOC3">
    <w:name w:val="toc 3"/>
    <w:basedOn w:val="Normal"/>
    <w:next w:val="Normal"/>
    <w:autoRedefine/>
    <w:semiHidden/>
    <w:unhideWhenUsed/>
    <w:rsid w:val="00170278"/>
    <w:pPr>
      <w:spacing w:line="276" w:lineRule="auto"/>
      <w:ind w:left="440"/>
    </w:pPr>
    <w:rPr>
      <w:rFonts w:ascii="Calibri" w:eastAsia="Times New Roman" w:hAnsi="Calibri"/>
      <w:i/>
      <w:iCs/>
      <w:spacing w:val="0"/>
      <w:w w:val="100"/>
      <w:kern w:val="0"/>
      <w:szCs w:val="20"/>
      <w:lang w:val="en-US"/>
    </w:rPr>
  </w:style>
  <w:style w:type="paragraph" w:styleId="TOC4">
    <w:name w:val="toc 4"/>
    <w:basedOn w:val="Normal"/>
    <w:next w:val="Normal"/>
    <w:autoRedefine/>
    <w:semiHidden/>
    <w:unhideWhenUsed/>
    <w:rsid w:val="00170278"/>
    <w:pPr>
      <w:spacing w:line="276" w:lineRule="auto"/>
      <w:ind w:left="660"/>
    </w:pPr>
    <w:rPr>
      <w:rFonts w:ascii="Calibri" w:eastAsia="Times New Roman" w:hAnsi="Calibri"/>
      <w:spacing w:val="0"/>
      <w:w w:val="100"/>
      <w:kern w:val="0"/>
      <w:sz w:val="18"/>
      <w:szCs w:val="18"/>
      <w:lang w:val="en-US"/>
    </w:rPr>
  </w:style>
  <w:style w:type="paragraph" w:styleId="TOC5">
    <w:name w:val="toc 5"/>
    <w:basedOn w:val="Normal"/>
    <w:next w:val="Normal"/>
    <w:autoRedefine/>
    <w:semiHidden/>
    <w:unhideWhenUsed/>
    <w:rsid w:val="00170278"/>
    <w:pPr>
      <w:spacing w:line="276" w:lineRule="auto"/>
      <w:ind w:left="880"/>
    </w:pPr>
    <w:rPr>
      <w:rFonts w:ascii="Calibri" w:eastAsia="Times New Roman" w:hAnsi="Calibri"/>
      <w:spacing w:val="0"/>
      <w:w w:val="100"/>
      <w:kern w:val="0"/>
      <w:sz w:val="18"/>
      <w:szCs w:val="18"/>
      <w:lang w:val="en-US"/>
    </w:rPr>
  </w:style>
  <w:style w:type="paragraph" w:styleId="TOC6">
    <w:name w:val="toc 6"/>
    <w:basedOn w:val="Normal"/>
    <w:next w:val="Normal"/>
    <w:autoRedefine/>
    <w:semiHidden/>
    <w:unhideWhenUsed/>
    <w:rsid w:val="00170278"/>
    <w:pPr>
      <w:spacing w:line="276" w:lineRule="auto"/>
      <w:ind w:left="1100"/>
    </w:pPr>
    <w:rPr>
      <w:rFonts w:ascii="Calibri" w:eastAsia="Times New Roman" w:hAnsi="Calibri"/>
      <w:spacing w:val="0"/>
      <w:w w:val="100"/>
      <w:kern w:val="0"/>
      <w:sz w:val="18"/>
      <w:szCs w:val="18"/>
      <w:lang w:val="en-US"/>
    </w:rPr>
  </w:style>
  <w:style w:type="paragraph" w:styleId="TOC7">
    <w:name w:val="toc 7"/>
    <w:basedOn w:val="Normal"/>
    <w:next w:val="Normal"/>
    <w:autoRedefine/>
    <w:semiHidden/>
    <w:unhideWhenUsed/>
    <w:rsid w:val="00170278"/>
    <w:pPr>
      <w:spacing w:line="276" w:lineRule="auto"/>
      <w:ind w:left="1320"/>
    </w:pPr>
    <w:rPr>
      <w:rFonts w:ascii="Calibri" w:eastAsia="Times New Roman" w:hAnsi="Calibri"/>
      <w:spacing w:val="0"/>
      <w:w w:val="100"/>
      <w:kern w:val="0"/>
      <w:sz w:val="18"/>
      <w:szCs w:val="18"/>
      <w:lang w:val="en-US"/>
    </w:rPr>
  </w:style>
  <w:style w:type="paragraph" w:styleId="TOC8">
    <w:name w:val="toc 8"/>
    <w:basedOn w:val="Normal"/>
    <w:next w:val="Normal"/>
    <w:autoRedefine/>
    <w:semiHidden/>
    <w:unhideWhenUsed/>
    <w:rsid w:val="00170278"/>
    <w:pPr>
      <w:spacing w:line="276" w:lineRule="auto"/>
      <w:ind w:left="1540"/>
    </w:pPr>
    <w:rPr>
      <w:rFonts w:ascii="Calibri" w:eastAsia="Times New Roman" w:hAnsi="Calibri"/>
      <w:spacing w:val="0"/>
      <w:w w:val="100"/>
      <w:kern w:val="0"/>
      <w:sz w:val="18"/>
      <w:szCs w:val="18"/>
      <w:lang w:val="en-US"/>
    </w:rPr>
  </w:style>
  <w:style w:type="paragraph" w:styleId="TOC9">
    <w:name w:val="toc 9"/>
    <w:basedOn w:val="Normal"/>
    <w:next w:val="Normal"/>
    <w:autoRedefine/>
    <w:semiHidden/>
    <w:unhideWhenUsed/>
    <w:rsid w:val="00170278"/>
    <w:pPr>
      <w:spacing w:line="276" w:lineRule="auto"/>
      <w:ind w:left="1760"/>
    </w:pPr>
    <w:rPr>
      <w:rFonts w:ascii="Calibri" w:eastAsia="Times New Roman" w:hAnsi="Calibri"/>
      <w:spacing w:val="0"/>
      <w:w w:val="100"/>
      <w:kern w:val="0"/>
      <w:sz w:val="18"/>
      <w:szCs w:val="18"/>
      <w:lang w:val="en-US"/>
    </w:rPr>
  </w:style>
  <w:style w:type="paragraph" w:styleId="NormalIndent">
    <w:name w:val="Normal Indent"/>
    <w:basedOn w:val="Normal"/>
    <w:semiHidden/>
    <w:unhideWhenUsed/>
    <w:rsid w:val="00170278"/>
    <w:pPr>
      <w:spacing w:line="240" w:lineRule="atLeast"/>
      <w:ind w:left="567"/>
    </w:pPr>
    <w:rPr>
      <w:rFonts w:eastAsia="Times New Roman"/>
      <w:szCs w:val="20"/>
    </w:rPr>
  </w:style>
  <w:style w:type="character" w:customStyle="1" w:styleId="FootnoteTextChar2">
    <w:name w:val="Footnote Text Char2"/>
    <w:aliases w:val="5_GR Char,5_G Char1,Char Char,Footnote Text Blue Char,EUMC_Lábjegyzetszöveg + 13 pt Char,Félkövér Char,Dolt Char,Középre zárt Char Char1,Középre zárt Char Char Char,Középre zárt Char1,Märk Char,Footnote Text Char1 Char1,fn Char"/>
    <w:semiHidden/>
    <w:locked/>
    <w:rsid w:val="00170278"/>
    <w:rPr>
      <w:spacing w:val="5"/>
      <w:w w:val="104"/>
      <w:kern w:val="14"/>
      <w:sz w:val="18"/>
      <w:lang w:val="en-GB" w:eastAsia="ru-RU"/>
    </w:rPr>
  </w:style>
  <w:style w:type="character" w:customStyle="1" w:styleId="HeaderChar1">
    <w:name w:val="Header Char1"/>
    <w:aliases w:val="6_GR Char1,6_G Char1"/>
    <w:semiHidden/>
    <w:rsid w:val="00170278"/>
    <w:rPr>
      <w:rFonts w:ascii="Times New Roman" w:eastAsia="Times New Roman" w:hAnsi="Times New Roman" w:cs="Times New Roman"/>
      <w:spacing w:val="4"/>
      <w:w w:val="103"/>
      <w:kern w:val="14"/>
      <w:lang w:val="ru-RU"/>
    </w:rPr>
  </w:style>
  <w:style w:type="character" w:customStyle="1" w:styleId="FooterChar1">
    <w:name w:val="Footer Char1"/>
    <w:aliases w:val="3_GR Char1,3_G Char1"/>
    <w:semiHidden/>
    <w:rsid w:val="00170278"/>
    <w:rPr>
      <w:rFonts w:ascii="Times New Roman" w:eastAsia="Times New Roman" w:hAnsi="Times New Roman" w:cs="Times New Roman"/>
      <w:spacing w:val="4"/>
      <w:w w:val="103"/>
      <w:kern w:val="14"/>
      <w:lang w:val="ru-RU"/>
    </w:rPr>
  </w:style>
  <w:style w:type="paragraph" w:styleId="Caption">
    <w:name w:val="caption"/>
    <w:basedOn w:val="Normal"/>
    <w:semiHidden/>
    <w:unhideWhenUsed/>
    <w:qFormat/>
    <w:rsid w:val="00170278"/>
    <w:pPr>
      <w:widowControl w:val="0"/>
      <w:suppressLineNumbers/>
      <w:suppressAutoHyphens/>
      <w:spacing w:before="120" w:after="120" w:line="240" w:lineRule="auto"/>
    </w:pPr>
    <w:rPr>
      <w:rFonts w:ascii="Liberation Serif" w:eastAsia="SimSun" w:hAnsi="Liberation Serif" w:cs="Mangal"/>
      <w:i/>
      <w:iCs/>
      <w:spacing w:val="0"/>
      <w:w w:val="100"/>
      <w:kern w:val="2"/>
      <w:sz w:val="24"/>
      <w:szCs w:val="24"/>
      <w:lang w:eastAsia="zh-CN" w:bidi="hi-IN"/>
    </w:rPr>
  </w:style>
  <w:style w:type="paragraph" w:styleId="EnvelopeAddress">
    <w:name w:val="envelope address"/>
    <w:basedOn w:val="Normal"/>
    <w:semiHidden/>
    <w:unhideWhenUsed/>
    <w:rsid w:val="00170278"/>
    <w:pPr>
      <w:framePr w:w="7920" w:h="1980" w:hSpace="180" w:wrap="auto" w:hAnchor="page" w:xAlign="center" w:yAlign="bottom"/>
      <w:spacing w:line="240" w:lineRule="atLeast"/>
      <w:ind w:left="2880"/>
    </w:pPr>
    <w:rPr>
      <w:rFonts w:ascii="Arial" w:eastAsia="Times New Roman" w:hAnsi="Arial" w:cs="Arial"/>
      <w:sz w:val="24"/>
      <w:szCs w:val="20"/>
    </w:rPr>
  </w:style>
  <w:style w:type="paragraph" w:styleId="EnvelopeReturn">
    <w:name w:val="envelope return"/>
    <w:basedOn w:val="Normal"/>
    <w:semiHidden/>
    <w:unhideWhenUsed/>
    <w:rsid w:val="00170278"/>
    <w:pPr>
      <w:spacing w:line="240" w:lineRule="atLeast"/>
    </w:pPr>
    <w:rPr>
      <w:rFonts w:ascii="Arial" w:eastAsia="Times New Roman" w:hAnsi="Arial" w:cs="Arial"/>
      <w:szCs w:val="20"/>
    </w:rPr>
  </w:style>
  <w:style w:type="character" w:customStyle="1" w:styleId="EndnoteTextChar1">
    <w:name w:val="Endnote Text Char1"/>
    <w:aliases w:val="2_GR Char,2_G Char"/>
    <w:semiHidden/>
    <w:rsid w:val="00170278"/>
    <w:rPr>
      <w:rFonts w:ascii="Times New Roman" w:eastAsia="Times New Roman" w:hAnsi="Times New Roman" w:cs="Times New Roman"/>
      <w:spacing w:val="4"/>
      <w:w w:val="103"/>
      <w:kern w:val="14"/>
      <w:lang w:val="ru-RU"/>
    </w:rPr>
  </w:style>
  <w:style w:type="paragraph" w:styleId="TOAHeading">
    <w:name w:val="toa heading"/>
    <w:basedOn w:val="Normal"/>
    <w:next w:val="Normal"/>
    <w:semiHidden/>
    <w:unhideWhenUsed/>
    <w:rsid w:val="00170278"/>
    <w:pPr>
      <w:spacing w:before="120" w:line="240" w:lineRule="atLeast"/>
    </w:pPr>
    <w:rPr>
      <w:rFonts w:ascii="Arial" w:eastAsia="Times New Roman" w:hAnsi="Arial" w:cs="Arial"/>
      <w:b/>
      <w:bCs/>
      <w:sz w:val="24"/>
      <w:szCs w:val="20"/>
    </w:rPr>
  </w:style>
  <w:style w:type="paragraph" w:styleId="List">
    <w:name w:val="List"/>
    <w:basedOn w:val="Normal"/>
    <w:semiHidden/>
    <w:unhideWhenUsed/>
    <w:rsid w:val="00170278"/>
    <w:pPr>
      <w:spacing w:line="240" w:lineRule="atLeast"/>
      <w:ind w:left="283" w:hanging="283"/>
    </w:pPr>
    <w:rPr>
      <w:rFonts w:eastAsia="Times New Roman"/>
      <w:szCs w:val="20"/>
    </w:rPr>
  </w:style>
  <w:style w:type="paragraph" w:styleId="ListBullet">
    <w:name w:val="List Bullet"/>
    <w:basedOn w:val="Normal"/>
    <w:semiHidden/>
    <w:unhideWhenUsed/>
    <w:rsid w:val="00170278"/>
    <w:pPr>
      <w:numPr>
        <w:numId w:val="9"/>
      </w:numPr>
      <w:spacing w:line="240" w:lineRule="atLeast"/>
    </w:pPr>
    <w:rPr>
      <w:rFonts w:eastAsia="Times New Roman"/>
      <w:szCs w:val="20"/>
    </w:rPr>
  </w:style>
  <w:style w:type="paragraph" w:styleId="List2">
    <w:name w:val="List 2"/>
    <w:basedOn w:val="Normal"/>
    <w:semiHidden/>
    <w:unhideWhenUsed/>
    <w:rsid w:val="00170278"/>
    <w:pPr>
      <w:spacing w:line="240" w:lineRule="atLeast"/>
      <w:ind w:left="566" w:hanging="283"/>
    </w:pPr>
    <w:rPr>
      <w:rFonts w:eastAsia="Times New Roman"/>
      <w:szCs w:val="20"/>
    </w:rPr>
  </w:style>
  <w:style w:type="paragraph" w:styleId="List3">
    <w:name w:val="List 3"/>
    <w:basedOn w:val="Normal"/>
    <w:semiHidden/>
    <w:unhideWhenUsed/>
    <w:rsid w:val="00170278"/>
    <w:pPr>
      <w:spacing w:line="240" w:lineRule="atLeast"/>
      <w:ind w:left="849" w:hanging="283"/>
    </w:pPr>
    <w:rPr>
      <w:rFonts w:eastAsia="Times New Roman"/>
      <w:szCs w:val="20"/>
    </w:rPr>
  </w:style>
  <w:style w:type="paragraph" w:styleId="List4">
    <w:name w:val="List 4"/>
    <w:basedOn w:val="Normal"/>
    <w:semiHidden/>
    <w:unhideWhenUsed/>
    <w:rsid w:val="00170278"/>
    <w:pPr>
      <w:spacing w:line="240" w:lineRule="atLeast"/>
      <w:ind w:left="1132" w:hanging="283"/>
    </w:pPr>
    <w:rPr>
      <w:rFonts w:eastAsia="Times New Roman"/>
      <w:szCs w:val="20"/>
    </w:rPr>
  </w:style>
  <w:style w:type="paragraph" w:styleId="List5">
    <w:name w:val="List 5"/>
    <w:basedOn w:val="Normal"/>
    <w:semiHidden/>
    <w:unhideWhenUsed/>
    <w:rsid w:val="00170278"/>
    <w:pPr>
      <w:spacing w:line="240" w:lineRule="atLeast"/>
      <w:ind w:left="1415" w:hanging="283"/>
    </w:pPr>
    <w:rPr>
      <w:rFonts w:eastAsia="Times New Roman"/>
      <w:szCs w:val="20"/>
    </w:rPr>
  </w:style>
  <w:style w:type="paragraph" w:styleId="ListBullet2">
    <w:name w:val="List Bullet 2"/>
    <w:basedOn w:val="Normal"/>
    <w:semiHidden/>
    <w:unhideWhenUsed/>
    <w:rsid w:val="00170278"/>
    <w:pPr>
      <w:numPr>
        <w:numId w:val="11"/>
      </w:numPr>
      <w:spacing w:line="240" w:lineRule="atLeast"/>
    </w:pPr>
    <w:rPr>
      <w:rFonts w:eastAsia="Times New Roman"/>
      <w:szCs w:val="20"/>
    </w:rPr>
  </w:style>
  <w:style w:type="paragraph" w:styleId="ListBullet3">
    <w:name w:val="List Bullet 3"/>
    <w:basedOn w:val="Normal"/>
    <w:semiHidden/>
    <w:unhideWhenUsed/>
    <w:rsid w:val="00170278"/>
    <w:pPr>
      <w:numPr>
        <w:numId w:val="12"/>
      </w:numPr>
      <w:spacing w:line="240" w:lineRule="atLeast"/>
    </w:pPr>
    <w:rPr>
      <w:rFonts w:eastAsia="Times New Roman"/>
      <w:szCs w:val="20"/>
    </w:rPr>
  </w:style>
  <w:style w:type="paragraph" w:styleId="ListBullet4">
    <w:name w:val="List Bullet 4"/>
    <w:basedOn w:val="Normal"/>
    <w:semiHidden/>
    <w:unhideWhenUsed/>
    <w:rsid w:val="00170278"/>
    <w:pPr>
      <w:numPr>
        <w:numId w:val="13"/>
      </w:numPr>
      <w:spacing w:line="240" w:lineRule="atLeast"/>
    </w:pPr>
    <w:rPr>
      <w:rFonts w:eastAsia="Times New Roman"/>
      <w:szCs w:val="20"/>
    </w:rPr>
  </w:style>
  <w:style w:type="paragraph" w:styleId="ListBullet5">
    <w:name w:val="List Bullet 5"/>
    <w:basedOn w:val="Normal"/>
    <w:semiHidden/>
    <w:unhideWhenUsed/>
    <w:rsid w:val="00170278"/>
    <w:pPr>
      <w:numPr>
        <w:numId w:val="14"/>
      </w:numPr>
      <w:spacing w:line="240" w:lineRule="atLeast"/>
    </w:pPr>
    <w:rPr>
      <w:rFonts w:eastAsia="Times New Roman"/>
      <w:szCs w:val="20"/>
    </w:rPr>
  </w:style>
  <w:style w:type="paragraph" w:styleId="Title">
    <w:name w:val="Title"/>
    <w:basedOn w:val="Normal"/>
    <w:link w:val="TitleChar"/>
    <w:qFormat/>
    <w:rsid w:val="00170278"/>
    <w:pPr>
      <w:spacing w:before="240" w:after="60" w:line="240" w:lineRule="atLeast"/>
      <w:jc w:val="center"/>
      <w:outlineLvl w:val="0"/>
    </w:pPr>
    <w:rPr>
      <w:rFonts w:ascii="Arial" w:eastAsia="Times New Roman" w:hAnsi="Arial"/>
      <w:b/>
      <w:bCs/>
      <w:kern w:val="28"/>
      <w:sz w:val="32"/>
      <w:szCs w:val="32"/>
      <w:lang/>
    </w:rPr>
  </w:style>
  <w:style w:type="character" w:customStyle="1" w:styleId="TitleChar">
    <w:name w:val="Title Char"/>
    <w:link w:val="Title"/>
    <w:rsid w:val="00170278"/>
    <w:rPr>
      <w:rFonts w:ascii="Arial" w:eastAsia="Times New Roman" w:hAnsi="Arial"/>
      <w:b/>
      <w:bCs/>
      <w:spacing w:val="4"/>
      <w:w w:val="103"/>
      <w:kern w:val="28"/>
      <w:sz w:val="32"/>
      <w:szCs w:val="32"/>
      <w:lang w:val="ru-RU"/>
    </w:rPr>
  </w:style>
  <w:style w:type="paragraph" w:styleId="Closing">
    <w:name w:val="Closing"/>
    <w:basedOn w:val="Normal"/>
    <w:link w:val="ClosingChar"/>
    <w:semiHidden/>
    <w:unhideWhenUsed/>
    <w:rsid w:val="00170278"/>
    <w:pPr>
      <w:spacing w:line="240" w:lineRule="atLeast"/>
      <w:ind w:left="4252"/>
    </w:pPr>
    <w:rPr>
      <w:rFonts w:eastAsia="Times New Roman"/>
      <w:szCs w:val="20"/>
      <w:lang/>
    </w:rPr>
  </w:style>
  <w:style w:type="character" w:customStyle="1" w:styleId="ClosingChar">
    <w:name w:val="Closing Char"/>
    <w:link w:val="Closing"/>
    <w:semiHidden/>
    <w:rsid w:val="00170278"/>
    <w:rPr>
      <w:rFonts w:ascii="Times New Roman" w:eastAsia="Times New Roman" w:hAnsi="Times New Roman" w:cs="Times New Roman"/>
      <w:spacing w:val="4"/>
      <w:w w:val="103"/>
      <w:kern w:val="14"/>
      <w:lang w:val="ru-RU"/>
    </w:rPr>
  </w:style>
  <w:style w:type="paragraph" w:styleId="Signature">
    <w:name w:val="Signature"/>
    <w:basedOn w:val="Normal"/>
    <w:link w:val="SignatureChar"/>
    <w:semiHidden/>
    <w:unhideWhenUsed/>
    <w:rsid w:val="00170278"/>
    <w:pPr>
      <w:spacing w:line="240" w:lineRule="atLeast"/>
      <w:ind w:left="4252"/>
    </w:pPr>
    <w:rPr>
      <w:rFonts w:eastAsia="Times New Roman"/>
      <w:szCs w:val="20"/>
      <w:lang/>
    </w:rPr>
  </w:style>
  <w:style w:type="character" w:customStyle="1" w:styleId="SignatureChar">
    <w:name w:val="Signature Char"/>
    <w:link w:val="Signature"/>
    <w:semiHidden/>
    <w:rsid w:val="00170278"/>
    <w:rPr>
      <w:rFonts w:ascii="Times New Roman" w:eastAsia="Times New Roman" w:hAnsi="Times New Roman" w:cs="Times New Roman"/>
      <w:spacing w:val="4"/>
      <w:w w:val="103"/>
      <w:kern w:val="14"/>
      <w:lang w:val="ru-RU"/>
    </w:rPr>
  </w:style>
  <w:style w:type="paragraph" w:styleId="BodyText">
    <w:name w:val="Body Text"/>
    <w:basedOn w:val="Normal"/>
    <w:link w:val="BodyTextChar"/>
    <w:semiHidden/>
    <w:unhideWhenUsed/>
    <w:rsid w:val="00170278"/>
    <w:pPr>
      <w:spacing w:line="240" w:lineRule="atLeast"/>
    </w:pPr>
    <w:rPr>
      <w:rFonts w:eastAsia="Times New Roman"/>
      <w:szCs w:val="20"/>
      <w:lang/>
    </w:rPr>
  </w:style>
  <w:style w:type="character" w:customStyle="1" w:styleId="BodyTextChar">
    <w:name w:val="Body Text Char"/>
    <w:link w:val="BodyText"/>
    <w:semiHidden/>
    <w:rsid w:val="00170278"/>
    <w:rPr>
      <w:rFonts w:ascii="Times New Roman" w:eastAsia="Times New Roman" w:hAnsi="Times New Roman" w:cs="Times New Roman"/>
      <w:spacing w:val="4"/>
      <w:w w:val="103"/>
      <w:kern w:val="14"/>
      <w:lang w:val="ru-RU"/>
    </w:rPr>
  </w:style>
  <w:style w:type="paragraph" w:styleId="BodyTextIndent">
    <w:name w:val="Body Text Indent"/>
    <w:basedOn w:val="Normal"/>
    <w:link w:val="BodyTextIndentChar"/>
    <w:semiHidden/>
    <w:unhideWhenUsed/>
    <w:rsid w:val="00170278"/>
    <w:pPr>
      <w:spacing w:line="240" w:lineRule="atLeast"/>
      <w:ind w:left="283"/>
    </w:pPr>
    <w:rPr>
      <w:rFonts w:eastAsia="Times New Roman"/>
      <w:szCs w:val="20"/>
      <w:lang/>
    </w:rPr>
  </w:style>
  <w:style w:type="character" w:customStyle="1" w:styleId="BodyTextIndentChar">
    <w:name w:val="Body Text Indent Char"/>
    <w:link w:val="BodyTextIndent"/>
    <w:semiHidden/>
    <w:rsid w:val="00170278"/>
    <w:rPr>
      <w:rFonts w:ascii="Times New Roman" w:eastAsia="Times New Roman" w:hAnsi="Times New Roman" w:cs="Times New Roman"/>
      <w:spacing w:val="4"/>
      <w:w w:val="103"/>
      <w:kern w:val="14"/>
      <w:lang w:val="ru-RU"/>
    </w:rPr>
  </w:style>
  <w:style w:type="paragraph" w:styleId="ListContinue3">
    <w:name w:val="List Continue 3"/>
    <w:basedOn w:val="Normal"/>
    <w:semiHidden/>
    <w:unhideWhenUsed/>
    <w:rsid w:val="00170278"/>
    <w:pPr>
      <w:spacing w:line="240" w:lineRule="atLeast"/>
      <w:ind w:left="849"/>
    </w:pPr>
    <w:rPr>
      <w:rFonts w:eastAsia="Times New Roman"/>
      <w:szCs w:val="20"/>
    </w:rPr>
  </w:style>
  <w:style w:type="paragraph" w:styleId="ListContinue4">
    <w:name w:val="List Continue 4"/>
    <w:basedOn w:val="Normal"/>
    <w:semiHidden/>
    <w:unhideWhenUsed/>
    <w:rsid w:val="00170278"/>
    <w:pPr>
      <w:spacing w:line="240" w:lineRule="atLeast"/>
      <w:ind w:left="1132"/>
    </w:pPr>
    <w:rPr>
      <w:rFonts w:eastAsia="Times New Roman"/>
      <w:szCs w:val="20"/>
    </w:rPr>
  </w:style>
  <w:style w:type="paragraph" w:styleId="ListContinue5">
    <w:name w:val="List Continue 5"/>
    <w:basedOn w:val="Normal"/>
    <w:semiHidden/>
    <w:unhideWhenUsed/>
    <w:rsid w:val="00170278"/>
    <w:pPr>
      <w:spacing w:line="240" w:lineRule="atLeast"/>
      <w:ind w:left="1415"/>
    </w:pPr>
    <w:rPr>
      <w:rFonts w:eastAsia="Times New Roman"/>
      <w:szCs w:val="20"/>
    </w:rPr>
  </w:style>
  <w:style w:type="paragraph" w:styleId="MessageHeader">
    <w:name w:val="Message Header"/>
    <w:basedOn w:val="Normal"/>
    <w:link w:val="MessageHeaderChar"/>
    <w:semiHidden/>
    <w:unhideWhenUsed/>
    <w:rsid w:val="00170278"/>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sz w:val="24"/>
      <w:szCs w:val="20"/>
      <w:lang/>
    </w:rPr>
  </w:style>
  <w:style w:type="character" w:customStyle="1" w:styleId="MessageHeaderChar">
    <w:name w:val="Message Header Char"/>
    <w:link w:val="MessageHeader"/>
    <w:semiHidden/>
    <w:rsid w:val="00170278"/>
    <w:rPr>
      <w:rFonts w:ascii="Arial" w:eastAsia="Times New Roman" w:hAnsi="Arial"/>
      <w:spacing w:val="4"/>
      <w:w w:val="103"/>
      <w:kern w:val="14"/>
      <w:sz w:val="24"/>
      <w:shd w:val="pct20" w:color="auto" w:fill="auto"/>
      <w:lang w:val="ru-RU"/>
    </w:rPr>
  </w:style>
  <w:style w:type="paragraph" w:styleId="Subtitle">
    <w:name w:val="Subtitle"/>
    <w:basedOn w:val="Normal"/>
    <w:link w:val="SubtitleChar"/>
    <w:qFormat/>
    <w:rsid w:val="00170278"/>
    <w:pPr>
      <w:spacing w:after="60" w:line="240" w:lineRule="atLeast"/>
      <w:jc w:val="center"/>
      <w:outlineLvl w:val="1"/>
    </w:pPr>
    <w:rPr>
      <w:rFonts w:ascii="Arial" w:eastAsia="Times New Roman" w:hAnsi="Arial"/>
      <w:sz w:val="24"/>
      <w:szCs w:val="20"/>
      <w:lang/>
    </w:rPr>
  </w:style>
  <w:style w:type="character" w:customStyle="1" w:styleId="SubtitleChar">
    <w:name w:val="Subtitle Char"/>
    <w:link w:val="Subtitle"/>
    <w:rsid w:val="00170278"/>
    <w:rPr>
      <w:rFonts w:ascii="Arial" w:eastAsia="Times New Roman" w:hAnsi="Arial"/>
      <w:spacing w:val="4"/>
      <w:w w:val="103"/>
      <w:kern w:val="14"/>
      <w:sz w:val="24"/>
      <w:lang w:val="ru-RU"/>
    </w:rPr>
  </w:style>
  <w:style w:type="paragraph" w:styleId="Salutation">
    <w:name w:val="Salutation"/>
    <w:basedOn w:val="Normal"/>
    <w:next w:val="Normal"/>
    <w:link w:val="SalutationChar"/>
    <w:semiHidden/>
    <w:unhideWhenUsed/>
    <w:rsid w:val="00170278"/>
    <w:pPr>
      <w:spacing w:line="240" w:lineRule="atLeast"/>
    </w:pPr>
    <w:rPr>
      <w:rFonts w:eastAsia="Times New Roman"/>
      <w:szCs w:val="20"/>
      <w:lang/>
    </w:rPr>
  </w:style>
  <w:style w:type="character" w:customStyle="1" w:styleId="SalutationChar">
    <w:name w:val="Salutation Char"/>
    <w:link w:val="Salutation"/>
    <w:semiHidden/>
    <w:rsid w:val="00170278"/>
    <w:rPr>
      <w:rFonts w:ascii="Times New Roman" w:eastAsia="Times New Roman" w:hAnsi="Times New Roman" w:cs="Times New Roman"/>
      <w:spacing w:val="4"/>
      <w:w w:val="103"/>
      <w:kern w:val="14"/>
      <w:lang w:val="ru-RU"/>
    </w:rPr>
  </w:style>
  <w:style w:type="paragraph" w:styleId="Date">
    <w:name w:val="Date"/>
    <w:basedOn w:val="Normal"/>
    <w:next w:val="Normal"/>
    <w:link w:val="DateChar"/>
    <w:semiHidden/>
    <w:unhideWhenUsed/>
    <w:rsid w:val="00170278"/>
    <w:pPr>
      <w:spacing w:line="240" w:lineRule="atLeast"/>
    </w:pPr>
    <w:rPr>
      <w:rFonts w:eastAsia="Times New Roman"/>
      <w:szCs w:val="20"/>
      <w:lang/>
    </w:rPr>
  </w:style>
  <w:style w:type="character" w:customStyle="1" w:styleId="DateChar">
    <w:name w:val="Date Char"/>
    <w:link w:val="Date"/>
    <w:semiHidden/>
    <w:rsid w:val="00170278"/>
    <w:rPr>
      <w:rFonts w:ascii="Times New Roman" w:eastAsia="Times New Roman" w:hAnsi="Times New Roman" w:cs="Times New Roman"/>
      <w:spacing w:val="4"/>
      <w:w w:val="103"/>
      <w:kern w:val="14"/>
      <w:lang w:val="ru-RU"/>
    </w:rPr>
  </w:style>
  <w:style w:type="paragraph" w:styleId="BodyTextFirstIndent">
    <w:name w:val="Body Text First Indent"/>
    <w:basedOn w:val="BodyText"/>
    <w:link w:val="BodyTextFirstIndentChar"/>
    <w:semiHidden/>
    <w:unhideWhenUsed/>
    <w:rsid w:val="00170278"/>
    <w:pPr>
      <w:ind w:firstLine="210"/>
    </w:pPr>
  </w:style>
  <w:style w:type="character" w:customStyle="1" w:styleId="BodyTextFirstIndentChar">
    <w:name w:val="Body Text First Indent Char"/>
    <w:basedOn w:val="BodyTextChar"/>
    <w:link w:val="BodyTextFirstIndent"/>
    <w:semiHidden/>
    <w:rsid w:val="00170278"/>
  </w:style>
  <w:style w:type="paragraph" w:styleId="BodyTextFirstIndent2">
    <w:name w:val="Body Text First Indent 2"/>
    <w:basedOn w:val="BodyTextIndent"/>
    <w:link w:val="BodyTextFirstIndent2Char"/>
    <w:semiHidden/>
    <w:unhideWhenUsed/>
    <w:rsid w:val="00170278"/>
    <w:pPr>
      <w:ind w:firstLine="210"/>
    </w:pPr>
  </w:style>
  <w:style w:type="character" w:customStyle="1" w:styleId="BodyTextFirstIndent2Char">
    <w:name w:val="Body Text First Indent 2 Char"/>
    <w:basedOn w:val="BodyTextIndentChar"/>
    <w:link w:val="BodyTextFirstIndent2"/>
    <w:semiHidden/>
    <w:rsid w:val="00170278"/>
  </w:style>
  <w:style w:type="paragraph" w:styleId="NoteHeading">
    <w:name w:val="Note Heading"/>
    <w:basedOn w:val="Normal"/>
    <w:next w:val="Normal"/>
    <w:link w:val="NoteHeadingChar"/>
    <w:semiHidden/>
    <w:unhideWhenUsed/>
    <w:rsid w:val="00170278"/>
    <w:pPr>
      <w:spacing w:line="240" w:lineRule="atLeast"/>
    </w:pPr>
    <w:rPr>
      <w:rFonts w:eastAsia="Times New Roman"/>
      <w:szCs w:val="20"/>
      <w:lang/>
    </w:rPr>
  </w:style>
  <w:style w:type="character" w:customStyle="1" w:styleId="NoteHeadingChar">
    <w:name w:val="Note Heading Char"/>
    <w:link w:val="NoteHeading"/>
    <w:semiHidden/>
    <w:rsid w:val="00170278"/>
    <w:rPr>
      <w:rFonts w:ascii="Times New Roman" w:eastAsia="Times New Roman" w:hAnsi="Times New Roman" w:cs="Times New Roman"/>
      <w:spacing w:val="4"/>
      <w:w w:val="103"/>
      <w:kern w:val="14"/>
      <w:lang w:val="ru-RU"/>
    </w:rPr>
  </w:style>
  <w:style w:type="paragraph" w:styleId="BodyText2">
    <w:name w:val="Body Text 2"/>
    <w:basedOn w:val="Normal"/>
    <w:link w:val="BodyText2Char"/>
    <w:semiHidden/>
    <w:unhideWhenUsed/>
    <w:rsid w:val="00170278"/>
    <w:pPr>
      <w:spacing w:line="480" w:lineRule="auto"/>
    </w:pPr>
    <w:rPr>
      <w:rFonts w:eastAsia="Times New Roman"/>
      <w:szCs w:val="20"/>
      <w:lang/>
    </w:rPr>
  </w:style>
  <w:style w:type="character" w:customStyle="1" w:styleId="BodyText2Char">
    <w:name w:val="Body Text 2 Char"/>
    <w:link w:val="BodyText2"/>
    <w:semiHidden/>
    <w:rsid w:val="00170278"/>
    <w:rPr>
      <w:rFonts w:ascii="Times New Roman" w:eastAsia="Times New Roman" w:hAnsi="Times New Roman" w:cs="Times New Roman"/>
      <w:spacing w:val="4"/>
      <w:w w:val="103"/>
      <w:kern w:val="14"/>
      <w:lang w:val="ru-RU"/>
    </w:rPr>
  </w:style>
  <w:style w:type="paragraph" w:styleId="BodyText3">
    <w:name w:val="Body Text 3"/>
    <w:basedOn w:val="Normal"/>
    <w:link w:val="BodyText3Char"/>
    <w:semiHidden/>
    <w:unhideWhenUsed/>
    <w:rsid w:val="00170278"/>
    <w:pPr>
      <w:spacing w:line="240" w:lineRule="atLeast"/>
    </w:pPr>
    <w:rPr>
      <w:rFonts w:eastAsia="Times New Roman"/>
      <w:sz w:val="16"/>
      <w:szCs w:val="16"/>
      <w:lang/>
    </w:rPr>
  </w:style>
  <w:style w:type="character" w:customStyle="1" w:styleId="BodyText3Char">
    <w:name w:val="Body Text 3 Char"/>
    <w:link w:val="BodyText3"/>
    <w:semiHidden/>
    <w:rsid w:val="00170278"/>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unhideWhenUsed/>
    <w:rsid w:val="00170278"/>
    <w:pPr>
      <w:spacing w:line="480" w:lineRule="auto"/>
      <w:ind w:left="283"/>
    </w:pPr>
    <w:rPr>
      <w:rFonts w:eastAsia="Times New Roman"/>
      <w:szCs w:val="20"/>
      <w:lang/>
    </w:rPr>
  </w:style>
  <w:style w:type="character" w:customStyle="1" w:styleId="BodyTextIndent2Char">
    <w:name w:val="Body Text Indent 2 Char"/>
    <w:link w:val="BodyTextIndent2"/>
    <w:semiHidden/>
    <w:rsid w:val="00170278"/>
    <w:rPr>
      <w:rFonts w:ascii="Times New Roman" w:eastAsia="Times New Roman" w:hAnsi="Times New Roman" w:cs="Times New Roman"/>
      <w:spacing w:val="4"/>
      <w:w w:val="103"/>
      <w:kern w:val="14"/>
      <w:lang w:val="ru-RU"/>
    </w:rPr>
  </w:style>
  <w:style w:type="paragraph" w:styleId="BodyTextIndent3">
    <w:name w:val="Body Text Indent 3"/>
    <w:basedOn w:val="Normal"/>
    <w:link w:val="BodyTextIndent3Char"/>
    <w:semiHidden/>
    <w:unhideWhenUsed/>
    <w:rsid w:val="00170278"/>
    <w:pPr>
      <w:spacing w:line="240" w:lineRule="atLeast"/>
      <w:ind w:left="283"/>
    </w:pPr>
    <w:rPr>
      <w:rFonts w:eastAsia="Times New Roman"/>
      <w:sz w:val="16"/>
      <w:szCs w:val="16"/>
      <w:lang/>
    </w:rPr>
  </w:style>
  <w:style w:type="character" w:customStyle="1" w:styleId="BodyTextIndent3Char">
    <w:name w:val="Body Text Indent 3 Char"/>
    <w:link w:val="BodyTextIndent3"/>
    <w:semiHidden/>
    <w:rsid w:val="00170278"/>
    <w:rPr>
      <w:rFonts w:ascii="Times New Roman" w:eastAsia="Times New Roman" w:hAnsi="Times New Roman" w:cs="Times New Roman"/>
      <w:spacing w:val="4"/>
      <w:w w:val="103"/>
      <w:kern w:val="14"/>
      <w:sz w:val="16"/>
      <w:szCs w:val="16"/>
      <w:lang w:val="ru-RU"/>
    </w:rPr>
  </w:style>
  <w:style w:type="paragraph" w:styleId="BlockText">
    <w:name w:val="Block Text"/>
    <w:basedOn w:val="Normal"/>
    <w:semiHidden/>
    <w:unhideWhenUsed/>
    <w:rsid w:val="00170278"/>
    <w:pPr>
      <w:spacing w:line="240" w:lineRule="atLeast"/>
      <w:ind w:left="1440" w:right="1440"/>
    </w:pPr>
    <w:rPr>
      <w:rFonts w:eastAsia="Times New Roman"/>
      <w:szCs w:val="20"/>
    </w:rPr>
  </w:style>
  <w:style w:type="paragraph" w:styleId="PlainText">
    <w:name w:val="Plain Text"/>
    <w:basedOn w:val="Normal"/>
    <w:link w:val="PlainTextChar"/>
    <w:semiHidden/>
    <w:unhideWhenUsed/>
    <w:rsid w:val="00170278"/>
    <w:pPr>
      <w:spacing w:line="240" w:lineRule="atLeast"/>
    </w:pPr>
    <w:rPr>
      <w:rFonts w:ascii="Courier New" w:eastAsia="Times New Roman" w:hAnsi="Courier New"/>
      <w:szCs w:val="20"/>
      <w:lang/>
    </w:rPr>
  </w:style>
  <w:style w:type="character" w:customStyle="1" w:styleId="PlainTextChar">
    <w:name w:val="Plain Text Char"/>
    <w:link w:val="PlainText"/>
    <w:semiHidden/>
    <w:rsid w:val="00170278"/>
    <w:rPr>
      <w:rFonts w:ascii="Courier New" w:eastAsia="Times New Roman" w:hAnsi="Courier New" w:cs="Courier New"/>
      <w:spacing w:val="4"/>
      <w:w w:val="103"/>
      <w:kern w:val="14"/>
      <w:lang w:val="ru-RU"/>
    </w:rPr>
  </w:style>
  <w:style w:type="paragraph" w:styleId="E-mailSignature">
    <w:name w:val="E-mail Signature"/>
    <w:basedOn w:val="Normal"/>
    <w:link w:val="E-mailSignatureChar"/>
    <w:semiHidden/>
    <w:unhideWhenUsed/>
    <w:rsid w:val="00170278"/>
    <w:pPr>
      <w:spacing w:line="240" w:lineRule="atLeast"/>
    </w:pPr>
    <w:rPr>
      <w:rFonts w:eastAsia="Times New Roman"/>
      <w:szCs w:val="20"/>
      <w:lang/>
    </w:rPr>
  </w:style>
  <w:style w:type="character" w:customStyle="1" w:styleId="E-mailSignatureChar">
    <w:name w:val="E-mail Signature Char"/>
    <w:link w:val="E-mailSignature"/>
    <w:semiHidden/>
    <w:rsid w:val="00170278"/>
    <w:rPr>
      <w:rFonts w:ascii="Times New Roman" w:eastAsia="Times New Roman" w:hAnsi="Times New Roman" w:cs="Times New Roman"/>
      <w:spacing w:val="4"/>
      <w:w w:val="103"/>
      <w:kern w:val="14"/>
      <w:lang w:val="ru-RU"/>
    </w:rPr>
  </w:style>
  <w:style w:type="paragraph" w:styleId="BalloonText">
    <w:name w:val="Balloon Text"/>
    <w:basedOn w:val="Normal"/>
    <w:link w:val="BalloonTextChar"/>
    <w:semiHidden/>
    <w:unhideWhenUsed/>
    <w:rsid w:val="00170278"/>
    <w:pPr>
      <w:spacing w:line="240" w:lineRule="auto"/>
    </w:pPr>
    <w:rPr>
      <w:rFonts w:ascii="Tahoma" w:eastAsia="Times New Roman" w:hAnsi="Tahoma"/>
      <w:spacing w:val="0"/>
      <w:w w:val="100"/>
      <w:kern w:val="0"/>
      <w:sz w:val="16"/>
      <w:szCs w:val="16"/>
      <w:lang/>
    </w:rPr>
  </w:style>
  <w:style w:type="character" w:customStyle="1" w:styleId="BalloonTextChar">
    <w:name w:val="Balloon Text Char"/>
    <w:link w:val="BalloonText"/>
    <w:semiHidden/>
    <w:rsid w:val="00170278"/>
    <w:rPr>
      <w:rFonts w:ascii="Tahoma" w:eastAsia="Times New Roman" w:hAnsi="Tahoma" w:cs="Tahoma"/>
      <w:sz w:val="16"/>
      <w:szCs w:val="16"/>
    </w:rPr>
  </w:style>
  <w:style w:type="paragraph" w:customStyle="1" w:styleId="SLGR">
    <w:name w:val="__S_L_GR"/>
    <w:basedOn w:val="Normal"/>
    <w:next w:val="Normal"/>
    <w:semiHidden/>
    <w:rsid w:val="00170278"/>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semiHidden/>
    <w:rsid w:val="00170278"/>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semiHidden/>
    <w:rsid w:val="00170278"/>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semiHidden/>
    <w:rsid w:val="00170278"/>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semiHidden/>
    <w:rsid w:val="00170278"/>
    <w:pPr>
      <w:numPr>
        <w:numId w:val="18"/>
      </w:numPr>
      <w:spacing w:after="120" w:line="240" w:lineRule="atLeast"/>
      <w:ind w:right="1134"/>
      <w:jc w:val="both"/>
    </w:pPr>
    <w:rPr>
      <w:rFonts w:eastAsia="Times New Roman"/>
      <w:szCs w:val="20"/>
      <w:lang w:eastAsia="ru-RU"/>
    </w:rPr>
  </w:style>
  <w:style w:type="paragraph" w:customStyle="1" w:styleId="Bullet2GR">
    <w:name w:val="_Bullet 2_GR"/>
    <w:basedOn w:val="Normal"/>
    <w:semiHidden/>
    <w:rsid w:val="00170278"/>
    <w:pPr>
      <w:numPr>
        <w:numId w:val="19"/>
      </w:numPr>
      <w:spacing w:after="120" w:line="240" w:lineRule="atLeast"/>
      <w:ind w:right="1134"/>
      <w:jc w:val="both"/>
    </w:pPr>
    <w:rPr>
      <w:rFonts w:eastAsia="Times New Roman"/>
      <w:szCs w:val="20"/>
      <w:lang w:eastAsia="ru-RU"/>
    </w:rPr>
  </w:style>
  <w:style w:type="paragraph" w:customStyle="1" w:styleId="ParaNoGR">
    <w:name w:val="_ParaNo._GR"/>
    <w:basedOn w:val="Normal"/>
    <w:next w:val="Normal"/>
    <w:semiHidden/>
    <w:rsid w:val="00170278"/>
    <w:pPr>
      <w:numPr>
        <w:numId w:val="20"/>
      </w:numPr>
      <w:tabs>
        <w:tab w:val="left" w:pos="567"/>
      </w:tabs>
      <w:spacing w:after="120" w:line="240" w:lineRule="atLeast"/>
      <w:ind w:right="1134"/>
      <w:jc w:val="both"/>
      <w:outlineLvl w:val="0"/>
    </w:pPr>
    <w:rPr>
      <w:rFonts w:eastAsia="Times New Roman"/>
      <w:szCs w:val="20"/>
      <w:lang w:eastAsia="ru-RU"/>
    </w:rPr>
  </w:style>
  <w:style w:type="character" w:customStyle="1" w:styleId="SingleTxtGChar">
    <w:name w:val="_ Single Txt_G Char"/>
    <w:link w:val="SingleTxtG"/>
    <w:semiHidden/>
    <w:locked/>
    <w:rsid w:val="00170278"/>
    <w:rPr>
      <w:lang w:val="ru-RU"/>
    </w:rPr>
  </w:style>
  <w:style w:type="paragraph" w:customStyle="1" w:styleId="SingleTxtG">
    <w:name w:val="_ Single Txt_G"/>
    <w:basedOn w:val="Normal"/>
    <w:link w:val="SingleTxtGChar"/>
    <w:semiHidden/>
    <w:rsid w:val="00170278"/>
    <w:pPr>
      <w:tabs>
        <w:tab w:val="left" w:pos="1741"/>
      </w:tabs>
      <w:suppressAutoHyphens/>
      <w:spacing w:after="120" w:line="240" w:lineRule="auto"/>
      <w:ind w:left="1264" w:right="1264"/>
      <w:jc w:val="both"/>
    </w:pPr>
    <w:rPr>
      <w:rFonts w:ascii="Calibri" w:hAnsi="Calibri"/>
      <w:spacing w:val="0"/>
      <w:w w:val="100"/>
      <w:kern w:val="0"/>
      <w:szCs w:val="20"/>
      <w:lang/>
    </w:rPr>
  </w:style>
  <w:style w:type="character" w:customStyle="1" w:styleId="H1GR">
    <w:name w:val="_ H_1_GR Знак"/>
    <w:link w:val="H1GR0"/>
    <w:semiHidden/>
    <w:locked/>
    <w:rsid w:val="00170278"/>
    <w:rPr>
      <w:b/>
      <w:spacing w:val="4"/>
      <w:w w:val="103"/>
      <w:kern w:val="14"/>
      <w:sz w:val="24"/>
      <w:lang w:val="ru-RU" w:eastAsia="ru-RU"/>
    </w:rPr>
  </w:style>
  <w:style w:type="paragraph" w:customStyle="1" w:styleId="H1GR0">
    <w:name w:val="_ H_1_GR"/>
    <w:basedOn w:val="Normal"/>
    <w:next w:val="Normal"/>
    <w:link w:val="H1GR"/>
    <w:semiHidden/>
    <w:rsid w:val="00170278"/>
    <w:pPr>
      <w:keepNext/>
      <w:keepLines/>
      <w:tabs>
        <w:tab w:val="right" w:pos="851"/>
      </w:tabs>
      <w:suppressAutoHyphens/>
      <w:spacing w:before="360" w:after="240" w:line="270" w:lineRule="exact"/>
      <w:ind w:left="1134" w:right="1134" w:hanging="1134"/>
    </w:pPr>
    <w:rPr>
      <w:rFonts w:ascii="Calibri" w:hAnsi="Calibri"/>
      <w:b/>
      <w:sz w:val="24"/>
      <w:szCs w:val="20"/>
      <w:lang w:eastAsia="ru-RU"/>
    </w:rPr>
  </w:style>
  <w:style w:type="character" w:customStyle="1" w:styleId="H23GR">
    <w:name w:val="_ H_2/3_GR Знак"/>
    <w:link w:val="H23GR0"/>
    <w:semiHidden/>
    <w:locked/>
    <w:rsid w:val="00170278"/>
    <w:rPr>
      <w:b/>
      <w:spacing w:val="4"/>
      <w:w w:val="103"/>
      <w:kern w:val="14"/>
      <w:lang w:val="ru-RU" w:eastAsia="ru-RU"/>
    </w:rPr>
  </w:style>
  <w:style w:type="paragraph" w:customStyle="1" w:styleId="H23GR0">
    <w:name w:val="_ H_2/3_GR"/>
    <w:basedOn w:val="Normal"/>
    <w:next w:val="Normal"/>
    <w:link w:val="H23GR"/>
    <w:semiHidden/>
    <w:rsid w:val="00170278"/>
    <w:pPr>
      <w:keepNext/>
      <w:keepLines/>
      <w:tabs>
        <w:tab w:val="right" w:pos="851"/>
      </w:tabs>
      <w:suppressAutoHyphens/>
      <w:spacing w:before="240" w:after="120"/>
      <w:ind w:left="1134" w:right="1134" w:hanging="1134"/>
    </w:pPr>
    <w:rPr>
      <w:rFonts w:ascii="Calibri" w:hAnsi="Calibri"/>
      <w:b/>
      <w:szCs w:val="20"/>
      <w:lang w:eastAsia="ru-RU"/>
    </w:rPr>
  </w:style>
  <w:style w:type="paragraph" w:customStyle="1" w:styleId="H4GR">
    <w:name w:val="_ H_4_GR"/>
    <w:basedOn w:val="Normal"/>
    <w:next w:val="Normal"/>
    <w:semiHidden/>
    <w:rsid w:val="00170278"/>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semiHidden/>
    <w:rsid w:val="00170278"/>
    <w:pPr>
      <w:keepNext/>
      <w:keepLines/>
      <w:tabs>
        <w:tab w:val="right" w:pos="851"/>
      </w:tabs>
      <w:suppressAutoHyphens/>
      <w:spacing w:before="240" w:after="120"/>
      <w:ind w:left="1134" w:right="1134" w:hanging="1134"/>
    </w:pPr>
    <w:rPr>
      <w:rFonts w:eastAsia="Times New Roman"/>
      <w:szCs w:val="20"/>
      <w:lang w:eastAsia="ru-RU"/>
    </w:rPr>
  </w:style>
  <w:style w:type="character" w:customStyle="1" w:styleId="HChGR">
    <w:name w:val="_ H _Ch_GR Знак"/>
    <w:link w:val="HChGR0"/>
    <w:semiHidden/>
    <w:locked/>
    <w:rsid w:val="00170278"/>
    <w:rPr>
      <w:b/>
      <w:kern w:val="14"/>
      <w:sz w:val="28"/>
      <w:lang w:val="ru-RU" w:eastAsia="ru-RU"/>
    </w:rPr>
  </w:style>
  <w:style w:type="paragraph" w:customStyle="1" w:styleId="HChGR0">
    <w:name w:val="_ H _Ch_GR"/>
    <w:basedOn w:val="Normal"/>
    <w:next w:val="Normal"/>
    <w:link w:val="HChGR"/>
    <w:semiHidden/>
    <w:rsid w:val="00170278"/>
    <w:pPr>
      <w:keepNext/>
      <w:keepLines/>
      <w:tabs>
        <w:tab w:val="right" w:pos="1021"/>
        <w:tab w:val="left" w:pos="1264"/>
      </w:tabs>
      <w:suppressAutoHyphens/>
      <w:spacing w:before="360" w:after="240" w:line="300" w:lineRule="exact"/>
      <w:ind w:left="1264" w:right="1264" w:hanging="1264"/>
    </w:pPr>
    <w:rPr>
      <w:rFonts w:ascii="Calibri" w:hAnsi="Calibri"/>
      <w:b/>
      <w:spacing w:val="0"/>
      <w:w w:val="100"/>
      <w:sz w:val="28"/>
      <w:szCs w:val="20"/>
      <w:lang w:eastAsia="ru-RU"/>
    </w:rPr>
  </w:style>
  <w:style w:type="paragraph" w:customStyle="1" w:styleId="HMGR">
    <w:name w:val="_ H __M_GR"/>
    <w:basedOn w:val="Normal"/>
    <w:next w:val="Normal"/>
    <w:semiHidden/>
    <w:rsid w:val="00170278"/>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character" w:customStyle="1" w:styleId="SingleTxtGR">
    <w:name w:val="_ Single Txt_GR Знак"/>
    <w:link w:val="SingleTxtGR0"/>
    <w:semiHidden/>
    <w:locked/>
    <w:rsid w:val="00170278"/>
    <w:rPr>
      <w:spacing w:val="4"/>
      <w:w w:val="103"/>
      <w:kern w:val="14"/>
      <w:lang w:val="ru-RU"/>
    </w:rPr>
  </w:style>
  <w:style w:type="paragraph" w:customStyle="1" w:styleId="SingleTxtGR0">
    <w:name w:val="_ Single Txt_GR"/>
    <w:basedOn w:val="Normal"/>
    <w:link w:val="SingleTxtGR"/>
    <w:semiHidden/>
    <w:rsid w:val="00170278"/>
    <w:pPr>
      <w:tabs>
        <w:tab w:val="left" w:pos="1701"/>
        <w:tab w:val="left" w:pos="2268"/>
        <w:tab w:val="left" w:pos="2835"/>
        <w:tab w:val="left" w:pos="3402"/>
        <w:tab w:val="left" w:pos="3969"/>
      </w:tabs>
      <w:spacing w:after="120" w:line="240" w:lineRule="atLeast"/>
      <w:ind w:left="1134" w:right="1134"/>
      <w:jc w:val="both"/>
    </w:pPr>
    <w:rPr>
      <w:rFonts w:ascii="Calibri" w:hAnsi="Calibri"/>
      <w:szCs w:val="20"/>
      <w:lang/>
    </w:rPr>
  </w:style>
  <w:style w:type="paragraph" w:customStyle="1" w:styleId="HMG">
    <w:name w:val="_ H __M_G"/>
    <w:basedOn w:val="Normal"/>
    <w:next w:val="Normal"/>
    <w:semiHidden/>
    <w:rsid w:val="0017027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semiHidden/>
    <w:rsid w:val="00170278"/>
    <w:pPr>
      <w:keepNext/>
      <w:keepLines/>
      <w:tabs>
        <w:tab w:val="right" w:pos="1021"/>
        <w:tab w:val="left" w:pos="1264"/>
      </w:tabs>
      <w:suppressAutoHyphens/>
      <w:spacing w:before="360" w:after="240" w:line="300" w:lineRule="exact"/>
      <w:ind w:left="1264" w:right="1264" w:hanging="1264"/>
    </w:pPr>
    <w:rPr>
      <w:rFonts w:eastAsia="Times New Roman"/>
      <w:b/>
      <w:spacing w:val="0"/>
      <w:w w:val="100"/>
      <w:kern w:val="0"/>
      <w:sz w:val="28"/>
      <w:szCs w:val="20"/>
    </w:rPr>
  </w:style>
  <w:style w:type="paragraph" w:customStyle="1" w:styleId="Bullet1G">
    <w:name w:val="_Bullet 1_G"/>
    <w:basedOn w:val="Normal"/>
    <w:semiHidden/>
    <w:rsid w:val="00170278"/>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SMG">
    <w:name w:val="__S_M_G"/>
    <w:basedOn w:val="Normal"/>
    <w:next w:val="Normal"/>
    <w:semiHidden/>
    <w:rsid w:val="0017027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semiHidden/>
    <w:rsid w:val="0017027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semiHidden/>
    <w:rsid w:val="0017027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semiHidden/>
    <w:rsid w:val="0017027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H56G">
    <w:name w:val="_ H_5/6_G"/>
    <w:basedOn w:val="Normal"/>
    <w:next w:val="Normal"/>
    <w:semiHidden/>
    <w:rsid w:val="0017027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H1G">
    <w:name w:val="_ H_1_G"/>
    <w:basedOn w:val="Normal"/>
    <w:next w:val="Normal"/>
    <w:semiHidden/>
    <w:rsid w:val="0017027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semiHidden/>
    <w:rsid w:val="00170278"/>
    <w:pPr>
      <w:keepNext/>
      <w:keepLines/>
      <w:tabs>
        <w:tab w:val="right" w:pos="1021"/>
        <w:tab w:val="left" w:pos="1264"/>
      </w:tabs>
      <w:suppressAutoHyphens/>
      <w:spacing w:before="120" w:after="120"/>
      <w:ind w:left="1264" w:right="1264" w:hanging="1264"/>
    </w:pPr>
    <w:rPr>
      <w:rFonts w:eastAsia="Times New Roman"/>
      <w:b/>
      <w:spacing w:val="0"/>
      <w:w w:val="100"/>
      <w:kern w:val="0"/>
      <w:szCs w:val="20"/>
    </w:rPr>
  </w:style>
  <w:style w:type="paragraph" w:customStyle="1" w:styleId="H4G">
    <w:name w:val="_ H_4_G"/>
    <w:basedOn w:val="Normal"/>
    <w:next w:val="Normal"/>
    <w:semiHidden/>
    <w:rsid w:val="0017027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Bullet2G">
    <w:name w:val="_Bullet 2_G"/>
    <w:basedOn w:val="Normal"/>
    <w:semiHidden/>
    <w:rsid w:val="00170278"/>
    <w:pPr>
      <w:numPr>
        <w:numId w:val="22"/>
      </w:numPr>
      <w:suppressAutoHyphens/>
      <w:spacing w:after="120" w:line="240" w:lineRule="atLeast"/>
      <w:ind w:right="1134"/>
      <w:jc w:val="both"/>
    </w:pPr>
    <w:rPr>
      <w:rFonts w:eastAsia="Times New Roman"/>
      <w:spacing w:val="0"/>
      <w:w w:val="100"/>
      <w:kern w:val="0"/>
      <w:szCs w:val="20"/>
      <w:lang w:val="en-GB"/>
    </w:rPr>
  </w:style>
  <w:style w:type="character" w:customStyle="1" w:styleId="2">
    <w:name w:val="Средняя сетка 2 Знак"/>
    <w:link w:val="21"/>
    <w:semiHidden/>
    <w:locked/>
    <w:rsid w:val="00170278"/>
    <w:rPr>
      <w:sz w:val="22"/>
      <w:lang w:val="fr-CA" w:eastAsia="fr-CA" w:bidi="ar-SA"/>
    </w:rPr>
  </w:style>
  <w:style w:type="paragraph" w:customStyle="1" w:styleId="21">
    <w:name w:val="Средняя сетка 21"/>
    <w:link w:val="2"/>
    <w:semiHidden/>
    <w:rsid w:val="00170278"/>
    <w:rPr>
      <w:sz w:val="22"/>
      <w:lang w:val="fr-CA" w:eastAsia="fr-CA"/>
    </w:rPr>
  </w:style>
  <w:style w:type="paragraph" w:customStyle="1" w:styleId="-11">
    <w:name w:val="Цветной список - Акцент 11"/>
    <w:basedOn w:val="Normal"/>
    <w:semiHidden/>
    <w:rsid w:val="00170278"/>
    <w:pPr>
      <w:widowControl w:val="0"/>
      <w:spacing w:line="240" w:lineRule="auto"/>
    </w:pPr>
    <w:rPr>
      <w:rFonts w:ascii="Calibri" w:eastAsia="Times New Roman" w:hAnsi="Calibri"/>
      <w:spacing w:val="0"/>
      <w:w w:val="100"/>
      <w:kern w:val="0"/>
      <w:sz w:val="22"/>
      <w:lang w:val="en-US"/>
    </w:rPr>
  </w:style>
  <w:style w:type="paragraph" w:customStyle="1" w:styleId="1">
    <w:name w:val="Заголовок оглавления1"/>
    <w:basedOn w:val="Heading1"/>
    <w:next w:val="Normal"/>
    <w:semiHidden/>
    <w:rsid w:val="00170278"/>
    <w:pPr>
      <w:keepLines/>
      <w:spacing w:before="480" w:after="0" w:line="276" w:lineRule="auto"/>
      <w:outlineLvl w:val="9"/>
    </w:pPr>
    <w:rPr>
      <w:rFonts w:ascii="Cambria" w:eastAsia="Times New Roman" w:hAnsi="Cambria"/>
      <w:color w:val="365F91"/>
      <w:spacing w:val="0"/>
      <w:w w:val="100"/>
      <w:kern w:val="0"/>
      <w:sz w:val="28"/>
      <w:lang w:val="en-US"/>
    </w:rPr>
  </w:style>
  <w:style w:type="paragraph" w:customStyle="1" w:styleId="Default">
    <w:name w:val="Default"/>
    <w:semiHidden/>
    <w:rsid w:val="00170278"/>
    <w:pPr>
      <w:autoSpaceDE w:val="0"/>
      <w:autoSpaceDN w:val="0"/>
      <w:adjustRightInd w:val="0"/>
    </w:pPr>
    <w:rPr>
      <w:rFonts w:ascii="Times New Roman" w:eastAsia="Times New Roman" w:hAnsi="Times New Roman" w:cs="Times New Roman"/>
      <w:color w:val="000000"/>
      <w:sz w:val="24"/>
      <w:szCs w:val="24"/>
      <w:lang w:eastAsia="fr-CA"/>
    </w:rPr>
  </w:style>
  <w:style w:type="paragraph" w:customStyle="1" w:styleId="DB0ACCEC1AB64382860E628D30FF91C4">
    <w:name w:val="DB0ACCEC1AB64382860E628D30FF91C4"/>
    <w:semiHidden/>
    <w:rsid w:val="00170278"/>
    <w:pPr>
      <w:spacing w:after="200" w:line="276" w:lineRule="auto"/>
    </w:pPr>
    <w:rPr>
      <w:rFonts w:eastAsia="Times New Roman" w:cs="Times New Roman"/>
      <w:sz w:val="22"/>
      <w:szCs w:val="22"/>
    </w:rPr>
  </w:style>
  <w:style w:type="paragraph" w:customStyle="1" w:styleId="a">
    <w:name w:val="Заголовок"/>
    <w:basedOn w:val="Normal"/>
    <w:next w:val="BodyText"/>
    <w:semiHidden/>
    <w:rsid w:val="00170278"/>
    <w:pPr>
      <w:keepNext/>
      <w:widowControl w:val="0"/>
      <w:suppressAutoHyphens/>
      <w:spacing w:before="240" w:after="120" w:line="240" w:lineRule="auto"/>
    </w:pPr>
    <w:rPr>
      <w:rFonts w:ascii="Liberation Sans" w:eastAsia="Microsoft YaHei" w:hAnsi="Liberation Sans" w:cs="Mangal"/>
      <w:spacing w:val="0"/>
      <w:w w:val="100"/>
      <w:kern w:val="2"/>
      <w:sz w:val="28"/>
      <w:szCs w:val="28"/>
      <w:lang w:eastAsia="zh-CN" w:bidi="hi-IN"/>
    </w:rPr>
  </w:style>
  <w:style w:type="paragraph" w:customStyle="1" w:styleId="10">
    <w:name w:val="Указатель1"/>
    <w:basedOn w:val="Normal"/>
    <w:semiHidden/>
    <w:rsid w:val="00170278"/>
    <w:pPr>
      <w:widowControl w:val="0"/>
      <w:suppressLineNumbers/>
      <w:suppressAutoHyphens/>
      <w:spacing w:line="240" w:lineRule="auto"/>
    </w:pPr>
    <w:rPr>
      <w:rFonts w:ascii="Liberation Serif" w:eastAsia="SimSun" w:hAnsi="Liberation Serif" w:cs="Mangal"/>
      <w:spacing w:val="0"/>
      <w:w w:val="100"/>
      <w:kern w:val="2"/>
      <w:sz w:val="24"/>
      <w:szCs w:val="24"/>
      <w:lang w:eastAsia="zh-CN" w:bidi="hi-IN"/>
    </w:rPr>
  </w:style>
  <w:style w:type="paragraph" w:customStyle="1" w:styleId="ReleaseDate0">
    <w:name w:val="Release Date"/>
    <w:next w:val="Footer"/>
    <w:semiHidden/>
    <w:rsid w:val="00170278"/>
    <w:pPr>
      <w:suppressAutoHyphens/>
    </w:pPr>
    <w:rPr>
      <w:rFonts w:ascii="Times New Roman" w:hAnsi="Times New Roman" w:cs="Times New Roman"/>
      <w:spacing w:val="4"/>
      <w:w w:val="103"/>
      <w:kern w:val="2"/>
      <w:lang w:val="ru-RU" w:eastAsia="zh-CN"/>
    </w:rPr>
  </w:style>
  <w:style w:type="paragraph" w:customStyle="1" w:styleId="a0">
    <w:name w:val="Содержимое таблицы"/>
    <w:basedOn w:val="Normal"/>
    <w:semiHidden/>
    <w:rsid w:val="00170278"/>
    <w:pPr>
      <w:widowControl w:val="0"/>
      <w:suppressLineNumbers/>
      <w:suppressAutoHyphens/>
      <w:spacing w:line="240" w:lineRule="auto"/>
    </w:pPr>
    <w:rPr>
      <w:rFonts w:ascii="Liberation Serif" w:eastAsia="SimSun" w:hAnsi="Liberation Serif" w:cs="Mangal"/>
      <w:spacing w:val="0"/>
      <w:w w:val="100"/>
      <w:kern w:val="2"/>
      <w:sz w:val="24"/>
      <w:szCs w:val="24"/>
      <w:lang w:eastAsia="zh-CN" w:bidi="hi-IN"/>
    </w:rPr>
  </w:style>
  <w:style w:type="paragraph" w:customStyle="1" w:styleId="a1">
    <w:name w:val="Заголовок таблицы"/>
    <w:basedOn w:val="a0"/>
    <w:semiHidden/>
    <w:rsid w:val="00170278"/>
    <w:pPr>
      <w:jc w:val="center"/>
    </w:pPr>
    <w:rPr>
      <w:b/>
      <w:bCs/>
    </w:rPr>
  </w:style>
  <w:style w:type="paragraph" w:customStyle="1" w:styleId="a2">
    <w:name w:val="Содержимое врезки"/>
    <w:basedOn w:val="Normal"/>
    <w:semiHidden/>
    <w:rsid w:val="00170278"/>
    <w:pPr>
      <w:widowControl w:val="0"/>
      <w:suppressAutoHyphens/>
      <w:spacing w:line="240" w:lineRule="auto"/>
    </w:pPr>
    <w:rPr>
      <w:rFonts w:ascii="Liberation Serif" w:eastAsia="SimSun" w:hAnsi="Liberation Serif" w:cs="Mangal"/>
      <w:spacing w:val="0"/>
      <w:w w:val="100"/>
      <w:kern w:val="2"/>
      <w:sz w:val="24"/>
      <w:szCs w:val="24"/>
      <w:lang w:eastAsia="zh-CN" w:bidi="hi-IN"/>
    </w:rPr>
  </w:style>
  <w:style w:type="paragraph" w:customStyle="1" w:styleId="a3">
    <w:name w:val="Текст в заданном формате"/>
    <w:basedOn w:val="Normal"/>
    <w:semiHidden/>
    <w:rsid w:val="00170278"/>
    <w:pPr>
      <w:widowControl w:val="0"/>
      <w:suppressAutoHyphens/>
      <w:spacing w:line="240" w:lineRule="auto"/>
    </w:pPr>
    <w:rPr>
      <w:rFonts w:ascii="Liberation Mono" w:eastAsia="NSimSun" w:hAnsi="Liberation Mono" w:cs="Liberation Mono"/>
      <w:spacing w:val="0"/>
      <w:w w:val="100"/>
      <w:kern w:val="2"/>
      <w:szCs w:val="20"/>
      <w:lang w:eastAsia="zh-CN" w:bidi="hi-IN"/>
    </w:rPr>
  </w:style>
  <w:style w:type="character" w:styleId="PageNumber">
    <w:name w:val="page number"/>
    <w:aliases w:val="7_GR,7_G"/>
    <w:semiHidden/>
    <w:unhideWhenUsed/>
    <w:rsid w:val="00170278"/>
    <w:rPr>
      <w:rFonts w:ascii="Times New Roman" w:hAnsi="Times New Roman" w:cs="Times New Roman" w:hint="default"/>
      <w:b/>
      <w:bCs w:val="0"/>
      <w:sz w:val="18"/>
    </w:rPr>
  </w:style>
  <w:style w:type="character" w:styleId="EndnoteReference">
    <w:name w:val="endnote reference"/>
    <w:aliases w:val="1_GR,1_G"/>
    <w:semiHidden/>
    <w:unhideWhenUsed/>
    <w:rsid w:val="00170278"/>
    <w:rPr>
      <w:rFonts w:ascii="Times New Roman" w:hAnsi="Times New Roman" w:cs="Times New Roman" w:hint="default"/>
      <w:strike w:val="0"/>
      <w:dstrike w:val="0"/>
      <w:spacing w:val="-5"/>
      <w:w w:val="130"/>
      <w:position w:val="-4"/>
      <w:sz w:val="18"/>
      <w:u w:val="none"/>
      <w:effect w:val="none"/>
      <w:vertAlign w:val="superscript"/>
    </w:rPr>
  </w:style>
  <w:style w:type="character" w:customStyle="1" w:styleId="11">
    <w:name w:val="Название книги1"/>
    <w:rsid w:val="00170278"/>
    <w:rPr>
      <w:b/>
      <w:bCs w:val="0"/>
      <w:smallCaps/>
      <w:spacing w:val="5"/>
    </w:rPr>
  </w:style>
  <w:style w:type="character" w:customStyle="1" w:styleId="st1">
    <w:name w:val="st1"/>
    <w:rsid w:val="00170278"/>
  </w:style>
  <w:style w:type="character" w:customStyle="1" w:styleId="a4">
    <w:name w:val="Символ сноски"/>
    <w:rsid w:val="00170278"/>
    <w:rPr>
      <w:spacing w:val="-5"/>
      <w:w w:val="130"/>
      <w:vertAlign w:val="superscript"/>
    </w:rPr>
  </w:style>
  <w:style w:type="character" w:customStyle="1" w:styleId="a5">
    <w:name w:val="Символ нумерации"/>
    <w:rsid w:val="00170278"/>
  </w:style>
  <w:style w:type="character" w:customStyle="1" w:styleId="a6">
    <w:name w:val="Символы концевой сноски"/>
    <w:rsid w:val="00170278"/>
  </w:style>
  <w:style w:type="table" w:styleId="TableSimple1">
    <w:name w:val="Table Simple 1"/>
    <w:basedOn w:val="TableNormal"/>
    <w:semiHidden/>
    <w:unhideWhenUsed/>
    <w:rsid w:val="00170278"/>
    <w:pPr>
      <w:spacing w:line="240" w:lineRule="atLeast"/>
    </w:pPr>
    <w:rPr>
      <w:rFonts w:ascii="Times New Roman" w:eastAsia="Times New Roman" w:hAnsi="Times New Roman" w:cs="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70278"/>
    <w:pPr>
      <w:spacing w:after="120" w:line="200" w:lineRule="atLeast"/>
    </w:pPr>
    <w:rPr>
      <w:rFonts w:ascii="Times New Roman" w:eastAsia="Times New Roman" w:hAnsi="Times New Roman" w:cs="Times New Roman"/>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70278"/>
    <w:pPr>
      <w:spacing w:after="120" w:line="200" w:lineRule="atLeas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70278"/>
    <w:pPr>
      <w:spacing w:after="120" w:line="200" w:lineRule="atLeast"/>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70278"/>
    <w:pPr>
      <w:spacing w:after="120" w:line="200" w:lineRule="atLeast"/>
    </w:pPr>
    <w:rPr>
      <w:rFonts w:ascii="Times New Roman" w:eastAsia="Times New Roman" w:hAnsi="Times New Roman" w:cs="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70278"/>
    <w:pPr>
      <w:spacing w:after="120" w:line="200" w:lineRule="atLeas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70278"/>
    <w:pPr>
      <w:spacing w:after="120" w:line="200" w:lineRule="atLeas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70278"/>
    <w:pPr>
      <w:spacing w:after="120" w:line="200" w:lineRule="atLeast"/>
    </w:pPr>
    <w:rPr>
      <w:rFonts w:ascii="Times New Roman" w:eastAsia="Times New Roman" w:hAnsi="Times New Roman" w:cs="Times New Roman"/>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70278"/>
    <w:pPr>
      <w:spacing w:after="120" w:line="200" w:lineRule="atLeast"/>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70278"/>
    <w:pPr>
      <w:spacing w:after="120" w:line="200" w:lineRule="atLeast"/>
    </w:pPr>
    <w:rPr>
      <w:rFonts w:ascii="Times New Roman" w:eastAsia="Times New Roman" w:hAnsi="Times New Roman" w:cs="Times New Roman"/>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70278"/>
    <w:pPr>
      <w:spacing w:after="120" w:line="200" w:lineRule="atLeast"/>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70278"/>
    <w:pPr>
      <w:spacing w:after="120" w:line="20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70278"/>
    <w:pPr>
      <w:spacing w:after="120" w:line="200" w:lineRule="atLeast"/>
    </w:pPr>
    <w:rPr>
      <w:rFonts w:ascii="Times New Roman" w:eastAsia="Times New Roman" w:hAnsi="Times New Roman" w:cs="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70278"/>
    <w:pPr>
      <w:spacing w:after="120" w:line="200" w:lineRule="atLeast"/>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70278"/>
    <w:pPr>
      <w:spacing w:after="120" w:line="200" w:lineRule="atLeast"/>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70278"/>
    <w:pPr>
      <w:spacing w:after="120" w:line="200" w:lineRule="atLeast"/>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70278"/>
    <w:pPr>
      <w:spacing w:after="120" w:line="200" w:lineRule="atLeast"/>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70278"/>
    <w:pPr>
      <w:spacing w:after="120" w:line="200" w:lineRule="atLeas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70278"/>
    <w:pPr>
      <w:spacing w:after="120" w:line="200" w:lineRule="atLeast"/>
    </w:pPr>
    <w:rPr>
      <w:rFonts w:ascii="Times New Roman" w:eastAsia="Times New Roman" w:hAnsi="Times New Roman" w:cs="Times New Roman"/>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70278"/>
    <w:pPr>
      <w:spacing w:after="120" w:line="20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70278"/>
    <w:pPr>
      <w:spacing w:after="120" w:line="20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70278"/>
    <w:pPr>
      <w:spacing w:after="120" w:line="20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70278"/>
    <w:pPr>
      <w:spacing w:after="120" w:line="200" w:lineRule="atLeast"/>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70278"/>
    <w:pPr>
      <w:spacing w:after="120" w:line="20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70278"/>
    <w:pPr>
      <w:spacing w:after="120" w:line="200" w:lineRule="atLeast"/>
    </w:pPr>
    <w:rPr>
      <w:rFonts w:ascii="Times New Roman" w:eastAsia="Times New Roman" w:hAnsi="Times New Roman" w:cs="Times New Roman"/>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70278"/>
    <w:pPr>
      <w:spacing w:after="120" w:line="200" w:lineRule="atLeast"/>
    </w:pPr>
    <w:rPr>
      <w:rFonts w:ascii="Times New Roman" w:eastAsia="Times New Roman" w:hAnsi="Times New Roman" w:cs="Times New Roman"/>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70278"/>
    <w:pPr>
      <w:spacing w:after="120" w:line="200" w:lineRule="atLeast"/>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70278"/>
    <w:pPr>
      <w:spacing w:after="120" w:line="200" w:lineRule="atLeast"/>
    </w:pPr>
    <w:rPr>
      <w:rFonts w:ascii="Times New Roman" w:eastAsia="Times New Roman" w:hAnsi="Times New Roman" w:cs="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70278"/>
    <w:pPr>
      <w:spacing w:after="120" w:line="200" w:lineRule="atLeast"/>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70278"/>
    <w:pPr>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70278"/>
    <w:pPr>
      <w:spacing w:after="120" w:line="200" w:lineRule="atLeast"/>
    </w:pPr>
    <w:rPr>
      <w:rFonts w:ascii="Times New Roman" w:eastAsia="Times New Roman" w:hAnsi="Times New Roman" w:cs="Times New Roman"/>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70278"/>
    <w:pPr>
      <w:spacing w:after="120" w:line="200" w:lineRule="atLeast"/>
    </w:pPr>
    <w:rPr>
      <w:rFonts w:ascii="Times New Roman" w:eastAsia="Times New Roman" w:hAnsi="Times New Roman" w:cs="Times New Roman"/>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70278"/>
    <w:pPr>
      <w:spacing w:after="120" w:line="200" w:lineRule="atLeast"/>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70278"/>
    <w:pPr>
      <w:spacing w:after="120" w:line="200" w:lineRule="atLeast"/>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70278"/>
    <w:pPr>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70278"/>
    <w:pPr>
      <w:spacing w:after="120" w:line="20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Num">
    <w:name w:val="_TabNum"/>
    <w:basedOn w:val="TableNormal"/>
    <w:rsid w:val="00170278"/>
    <w:pPr>
      <w:spacing w:before="40" w:after="40" w:line="220" w:lineRule="exact"/>
      <w:jc w:val="right"/>
    </w:pPr>
    <w:rPr>
      <w:rFonts w:ascii="Times New Roman" w:eastAsia="Times New Roman" w:hAnsi="Times New Roman" w:cs="Times New Roman"/>
      <w:sz w:val="18"/>
    </w:rPr>
    <w:tblPr>
      <w:tblBorders>
        <w:top w:val="single" w:sz="4" w:space="0" w:color="auto"/>
        <w:bottom w:val="single" w:sz="12" w:space="0" w:color="auto"/>
      </w:tblBorders>
      <w:tblCellMar>
        <w:top w:w="0" w:type="dxa"/>
        <w:left w:w="28" w:type="dxa"/>
        <w:bottom w:w="0"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70278"/>
    <w:pPr>
      <w:spacing w:before="40" w:after="120" w:line="240" w:lineRule="atLeast"/>
    </w:pPr>
    <w:rPr>
      <w:rFonts w:ascii="Times New Roman" w:eastAsia="Times New Roman" w:hAnsi="Times New Roman" w:cs="Times New Roman"/>
    </w:rPr>
    <w:tblPr>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1ai">
    <w:name w:val="Outline List 1"/>
    <w:basedOn w:val="NoList"/>
    <w:semiHidden/>
    <w:unhideWhenUsed/>
    <w:rsid w:val="00170278"/>
    <w:pPr>
      <w:numPr>
        <w:numId w:val="23"/>
      </w:numPr>
    </w:pPr>
  </w:style>
  <w:style w:type="numbering" w:styleId="ArticleSection">
    <w:name w:val="Outline List 3"/>
    <w:basedOn w:val="NoList"/>
    <w:semiHidden/>
    <w:unhideWhenUsed/>
    <w:rsid w:val="00170278"/>
    <w:pPr>
      <w:numPr>
        <w:numId w:val="24"/>
      </w:numPr>
    </w:pPr>
  </w:style>
  <w:style w:type="numbering" w:styleId="111111">
    <w:name w:val="Outline List 2"/>
    <w:basedOn w:val="NoList"/>
    <w:semiHidden/>
    <w:unhideWhenUsed/>
    <w:rsid w:val="00170278"/>
    <w:pPr>
      <w:numPr>
        <w:numId w:val="25"/>
      </w:numPr>
    </w:pPr>
  </w:style>
</w:styles>
</file>

<file path=word/webSettings.xml><?xml version="1.0" encoding="utf-8"?>
<w:webSettings xmlns:r="http://schemas.openxmlformats.org/officeDocument/2006/relationships" xmlns:w="http://schemas.openxmlformats.org/wordprocessingml/2006/main">
  <w:divs>
    <w:div w:id="485977803">
      <w:bodyDiv w:val="1"/>
      <w:marLeft w:val="0"/>
      <w:marRight w:val="0"/>
      <w:marTop w:val="0"/>
      <w:marBottom w:val="0"/>
      <w:divBdr>
        <w:top w:val="none" w:sz="0" w:space="0" w:color="auto"/>
        <w:left w:val="none" w:sz="0" w:space="0" w:color="auto"/>
        <w:bottom w:val="none" w:sz="0" w:space="0" w:color="auto"/>
        <w:right w:val="none" w:sz="0" w:space="0" w:color="auto"/>
      </w:divBdr>
    </w:div>
    <w:div w:id="1681009158">
      <w:bodyDiv w:val="1"/>
      <w:marLeft w:val="0"/>
      <w:marRight w:val="0"/>
      <w:marTop w:val="0"/>
      <w:marBottom w:val="0"/>
      <w:divBdr>
        <w:top w:val="none" w:sz="0" w:space="0" w:color="auto"/>
        <w:left w:val="none" w:sz="0" w:space="0" w:color="auto"/>
        <w:bottom w:val="none" w:sz="0" w:space="0" w:color="auto"/>
        <w:right w:val="none" w:sz="0" w:space="0" w:color="auto"/>
      </w:divBdr>
    </w:div>
    <w:div w:id="1736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ru/CEDAW/C/CZE/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chrance.cz/fileadmin/user_upload/DISKRIMINACE/Kauzy/zdravotni_pece/32-2011-DIS-ZO-ZZ.pdf" TargetMode="External"/><Relationship Id="rId3" Type="http://schemas.openxmlformats.org/officeDocument/2006/relationships/hyperlink" Target="http://www.ochrance.cz/fileadmin/user_upload/" TargetMode="External"/><Relationship Id="rId7" Type="http://schemas.openxmlformats.org/officeDocument/2006/relationships/hyperlink" Target="http://www.ochrance.cz/fileadmin/%0buser_upload/DISKRIMINACE/Kauzy/zbozi_a_sluzby/14-2013-DIS-ZZ.pdf" TargetMode="External"/><Relationship Id="rId2" Type="http://schemas.openxmlformats.org/officeDocument/2006/relationships/hyperlink" Target="http://www.ochrance.cz/fileadmin/user_upload/DISKRIMINACE/Kauzy/prace/Diskriminace_v_odmenovani_z_duvodu_pohlavi.pdf" TargetMode="External"/><Relationship Id="rId1" Type="http://schemas.openxmlformats.org/officeDocument/2006/relationships/hyperlink" Target="http://www.ochrance.cz/fileadmin/user_upload/DISKRIMINACE/" TargetMode="External"/><Relationship Id="rId6" Type="http://schemas.openxmlformats.org/officeDocument/2006/relationships/hyperlink" Target="http://www.ochrance.cz/fileadmin/user_upload/DISKRIMINACE/Kauzy/prace/146-2012-DIS-HRH-ZZ.pdf" TargetMode="External"/><Relationship Id="rId11" Type="http://schemas.openxmlformats.org/officeDocument/2006/relationships/hyperlink" Target="http://undocs.org/ru/t/93003FC1CD/$File/1804121006.pdf" TargetMode="External"/><Relationship Id="rId5" Type="http://schemas.openxmlformats.org/officeDocument/2006/relationships/hyperlink" Target="http://www.ochrance.cz/fileadmin/user_upload/DISKRIMINACE/Kauzy/prace/81-2012-DIS-ZO-ZZ.pdf" TargetMode="External"/><Relationship Id="rId10" Type="http://schemas.openxmlformats.org/officeDocument/2006/relationships/hyperlink" Target="http://undocs.org/ru/t/6D0027D654/$File/1413134437.pdf" TargetMode="External"/><Relationship Id="rId4" Type="http://schemas.openxmlformats.org/officeDocument/2006/relationships/hyperlink" Target="http://www.ochrance.cz/fileadmin/user_upload/DISKRIMINACE/Kauzy" TargetMode="External"/><Relationship Id="rId9" Type="http://schemas.openxmlformats.org/officeDocument/2006/relationships/hyperlink" Target="http://www.domaci-nasili.cz/?page_id=2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28280</Words>
  <Characters>161202</Characters>
  <Application>Microsoft Office Outlook</Application>
  <DocSecurity>4</DocSecurity>
  <Lines>1343</Lines>
  <Paragraphs>378</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189104</CharactersWithSpaces>
  <SharedDoc>false</SharedDoc>
  <HLinks>
    <vt:vector size="72" baseType="variant">
      <vt:variant>
        <vt:i4>393232</vt:i4>
      </vt:variant>
      <vt:variant>
        <vt:i4>0</vt:i4>
      </vt:variant>
      <vt:variant>
        <vt:i4>0</vt:i4>
      </vt:variant>
      <vt:variant>
        <vt:i4>5</vt:i4>
      </vt:variant>
      <vt:variant>
        <vt:lpwstr>http://undocs.org/ru/CEDAW/C/CZE/CO/5</vt:lpwstr>
      </vt:variant>
      <vt:variant>
        <vt:lpwstr/>
      </vt:variant>
      <vt:variant>
        <vt:i4>3473506</vt:i4>
      </vt:variant>
      <vt:variant>
        <vt:i4>30</vt:i4>
      </vt:variant>
      <vt:variant>
        <vt:i4>0</vt:i4>
      </vt:variant>
      <vt:variant>
        <vt:i4>5</vt:i4>
      </vt:variant>
      <vt:variant>
        <vt:lpwstr>http://undocs.org/ru/t/93003FC1CD/$File/1804121006.pdf</vt:lpwstr>
      </vt:variant>
      <vt:variant>
        <vt:lpwstr/>
      </vt:variant>
      <vt:variant>
        <vt:i4>6619188</vt:i4>
      </vt:variant>
      <vt:variant>
        <vt:i4>27</vt:i4>
      </vt:variant>
      <vt:variant>
        <vt:i4>0</vt:i4>
      </vt:variant>
      <vt:variant>
        <vt:i4>5</vt:i4>
      </vt:variant>
      <vt:variant>
        <vt:lpwstr>http://undocs.org/ru/t/6D0027D654/$File/1413134437.pdf</vt:lpwstr>
      </vt:variant>
      <vt:variant>
        <vt:lpwstr/>
      </vt:variant>
      <vt:variant>
        <vt:i4>6946888</vt:i4>
      </vt:variant>
      <vt:variant>
        <vt:i4>24</vt:i4>
      </vt:variant>
      <vt:variant>
        <vt:i4>0</vt:i4>
      </vt:variant>
      <vt:variant>
        <vt:i4>5</vt:i4>
      </vt:variant>
      <vt:variant>
        <vt:lpwstr>http://www.domaci-nasili.cz/?page_id=255</vt:lpwstr>
      </vt:variant>
      <vt:variant>
        <vt:lpwstr/>
      </vt:variant>
      <vt:variant>
        <vt:i4>5242951</vt:i4>
      </vt:variant>
      <vt:variant>
        <vt:i4>21</vt:i4>
      </vt:variant>
      <vt:variant>
        <vt:i4>0</vt:i4>
      </vt:variant>
      <vt:variant>
        <vt:i4>5</vt:i4>
      </vt:variant>
      <vt:variant>
        <vt:lpwstr>http://www.ochrance.cz/fileadmin/user_upload/DISKRIMINACE/Kauzy/zdravotni_pece/32-2011-DIS-ZO-ZZ.pdf</vt:lpwstr>
      </vt:variant>
      <vt:variant>
        <vt:lpwstr/>
      </vt:variant>
      <vt:variant>
        <vt:i4>393341</vt:i4>
      </vt:variant>
      <vt:variant>
        <vt:i4>18</vt:i4>
      </vt:variant>
      <vt:variant>
        <vt:i4>0</vt:i4>
      </vt:variant>
      <vt:variant>
        <vt:i4>5</vt:i4>
      </vt:variant>
      <vt:variant>
        <vt:lpwstr>http://www.ochrance.cz/fileadmin/%0buser_upload/DISKRIMINACE/Kauzy/zbozi_a_sluzby/14-2013-DIS-ZZ.pdf</vt:lpwstr>
      </vt:variant>
      <vt:variant>
        <vt:lpwstr/>
      </vt:variant>
      <vt:variant>
        <vt:i4>3801171</vt:i4>
      </vt:variant>
      <vt:variant>
        <vt:i4>15</vt:i4>
      </vt:variant>
      <vt:variant>
        <vt:i4>0</vt:i4>
      </vt:variant>
      <vt:variant>
        <vt:i4>5</vt:i4>
      </vt:variant>
      <vt:variant>
        <vt:lpwstr>http://www.ochrance.cz/fileadmin/user_upload/DISKRIMINACE/Kauzy/prace/146-2012-DIS-HRH-ZZ.pdf</vt:lpwstr>
      </vt:variant>
      <vt:variant>
        <vt:lpwstr/>
      </vt:variant>
      <vt:variant>
        <vt:i4>131126</vt:i4>
      </vt:variant>
      <vt:variant>
        <vt:i4>12</vt:i4>
      </vt:variant>
      <vt:variant>
        <vt:i4>0</vt:i4>
      </vt:variant>
      <vt:variant>
        <vt:i4>5</vt:i4>
      </vt:variant>
      <vt:variant>
        <vt:lpwstr>http://www.ochrance.cz/fileadmin/user_upload/DISKRIMINACE/Kauzy/prace/81-2012-DIS-ZO-ZZ.pdf</vt:lpwstr>
      </vt:variant>
      <vt:variant>
        <vt:lpwstr/>
      </vt:variant>
      <vt:variant>
        <vt:i4>1507430</vt:i4>
      </vt:variant>
      <vt:variant>
        <vt:i4>9</vt:i4>
      </vt:variant>
      <vt:variant>
        <vt:i4>0</vt:i4>
      </vt:variant>
      <vt:variant>
        <vt:i4>5</vt:i4>
      </vt:variant>
      <vt:variant>
        <vt:lpwstr>http://www.ochrance.cz/fileadmin/user_upload/DISKRIMINACE/Kauzy</vt:lpwstr>
      </vt:variant>
      <vt:variant>
        <vt:lpwstr/>
      </vt:variant>
      <vt:variant>
        <vt:i4>2490449</vt:i4>
      </vt:variant>
      <vt:variant>
        <vt:i4>6</vt:i4>
      </vt:variant>
      <vt:variant>
        <vt:i4>0</vt:i4>
      </vt:variant>
      <vt:variant>
        <vt:i4>5</vt:i4>
      </vt:variant>
      <vt:variant>
        <vt:lpwstr>http://www.ochrance.cz/fileadmin/user_upload/</vt:lpwstr>
      </vt:variant>
      <vt:variant>
        <vt:lpwstr/>
      </vt:variant>
      <vt:variant>
        <vt:i4>7012452</vt:i4>
      </vt:variant>
      <vt:variant>
        <vt:i4>3</vt:i4>
      </vt:variant>
      <vt:variant>
        <vt:i4>0</vt:i4>
      </vt:variant>
      <vt:variant>
        <vt:i4>5</vt:i4>
      </vt:variant>
      <vt:variant>
        <vt:lpwstr>http://www.ochrance.cz/fileadmin/user_upload/DISKRIMINACE/Kauzy/prace/Diskriminace_v_odmenovani_z_duvodu_pohlavi.pdf</vt:lpwstr>
      </vt:variant>
      <vt:variant>
        <vt:lpwstr/>
      </vt:variant>
      <vt:variant>
        <vt:i4>786552</vt:i4>
      </vt:variant>
      <vt:variant>
        <vt:i4>0</vt:i4>
      </vt:variant>
      <vt:variant>
        <vt:i4>0</vt:i4>
      </vt:variant>
      <vt:variant>
        <vt:i4>5</vt:i4>
      </vt:variant>
      <vt:variant>
        <vt:lpwstr>http://www.ochrance.cz/fileadmin/user_upload/DISKRIMINACE/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Test</dc:creator>
  <cp:keywords/>
  <cp:lastModifiedBy>Test</cp:lastModifiedBy>
  <cp:revision>7</cp:revision>
  <cp:lastPrinted>2015-04-07T08:18:00Z</cp:lastPrinted>
  <dcterms:created xsi:type="dcterms:W3CDTF">2015-04-07T08:11:00Z</dcterms:created>
  <dcterms:modified xsi:type="dcterms:W3CDTF">2015-04-07T08:29:00Z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1466061R</vt:lpwstr>
  </property>
  <property fmtid="{D5CDD505-2E9C-101B-9397-08002B2CF9AE}" pid="3" name="ODSRefJobNo">
    <vt:lpwstr>1466637R</vt:lpwstr>
  </property>
  <property fmtid="{D5CDD505-2E9C-101B-9397-08002B2CF9AE}" pid="4" name="Symbol1">
    <vt:lpwstr>CEDAW/C/CZE/6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December 2014</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
  </property>
  <property fmtid="{D5CDD505-2E9C-101B-9397-08002B2CF9AE}" pid="12" name="DraftPages">
    <vt:lpwstr> 72</vt:lpwstr>
  </property>
  <property fmtid="{D5CDD505-2E9C-101B-9397-08002B2CF9AE}" pid="13" name="Operator">
    <vt:lpwstr>Kostyuchenko</vt:lpwstr>
  </property>
</Properties>
</file>