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CA67" w14:textId="77777777" w:rsidR="00A804BC" w:rsidRDefault="00A804BC" w:rsidP="00A804BC">
      <w:pPr>
        <w:spacing w:line="60" w:lineRule="exact"/>
        <w:rPr>
          <w:color w:val="010000"/>
          <w:sz w:val="2"/>
        </w:rPr>
        <w:sectPr w:rsidR="00A804BC" w:rsidSect="00480A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31E1B5A9" w14:textId="7164CEE3" w:rsidR="00480AD4" w:rsidRPr="007A485E" w:rsidRDefault="00480AD4" w:rsidP="00480AD4">
      <w:pPr>
        <w:pStyle w:val="H1"/>
        <w:ind w:right="4075"/>
      </w:pPr>
      <w:r>
        <w:t>Комитет по ликвидации дискриминации</w:t>
      </w:r>
      <w:r>
        <w:br/>
        <w:t>в отношении женщин</w:t>
      </w:r>
    </w:p>
    <w:p w14:paraId="3B02D129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61EF7A5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D0F6869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325342C" w14:textId="77777777" w:rsidR="00480AD4" w:rsidRPr="007A485E" w:rsidRDefault="00480AD4" w:rsidP="00480AD4">
      <w:pPr>
        <w:pStyle w:val="TitleHCH"/>
      </w:pPr>
      <w:r>
        <w:tab/>
      </w:r>
      <w:r>
        <w:tab/>
        <w:t>Заключительные замечания по девятому периодическому докладу Кабо-Верде</w:t>
      </w:r>
      <w:r w:rsidRPr="004C0217">
        <w:rPr>
          <w:position w:val="4"/>
          <w:sz w:val="20"/>
        </w:rPr>
        <w:t>*</w:t>
      </w:r>
    </w:p>
    <w:p w14:paraId="754F6661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21794B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DB22074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593DD69" w14:textId="77777777" w:rsidR="00480AD4" w:rsidRPr="007A485E" w:rsidRDefault="00480AD4" w:rsidP="00480AD4">
      <w:pPr>
        <w:framePr w:w="9792" w:h="432" w:hSpace="180" w:wrap="notBeside" w:hAnchor="page" w:x="1210" w:yAlign="bottom"/>
        <w:spacing w:line="240" w:lineRule="auto"/>
        <w:rPr>
          <w:sz w:val="2"/>
        </w:rPr>
      </w:pPr>
      <w:r>
        <w:rPr>
          <w:noProof/>
          <w:w w:val="100"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D2F9" wp14:editId="6F6D7B30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10795" t="10160" r="825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E04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Yf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" strokecolor="#010000" strokeweight=".25pt">
                <w10:wrap anchorx="page"/>
              </v:line>
            </w:pict>
          </mc:Fallback>
        </mc:AlternateContent>
      </w:r>
    </w:p>
    <w:p w14:paraId="64A1B266" w14:textId="77777777" w:rsidR="00480AD4" w:rsidRPr="007A485E" w:rsidRDefault="00480AD4" w:rsidP="00480AD4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  <w:t>Приняты Комитетом на его семьдесят третьей сессии (1–19 июля 2019 года).</w:t>
      </w:r>
    </w:p>
    <w:p w14:paraId="2A45E82B" w14:textId="38FBA3CC" w:rsidR="00480AD4" w:rsidRPr="007A485E" w:rsidRDefault="00480AD4" w:rsidP="00480AD4">
      <w:pPr>
        <w:pStyle w:val="SingleTxt"/>
      </w:pPr>
      <w:r>
        <w:t>1.</w:t>
      </w:r>
      <w:r>
        <w:tab/>
        <w:t>Комитет рассмотрел девятый периодический доклад Кабо-Верде (</w:t>
      </w:r>
      <w:hyperlink r:id="rId15" w:history="1">
        <w:r w:rsidRPr="00C13A5A">
          <w:rPr>
            <w:rStyle w:val="Hyperlink"/>
          </w:rPr>
          <w:t>CEDAW/C/CPV/9</w:t>
        </w:r>
      </w:hyperlink>
      <w:r>
        <w:t>) на своих 1704-м и 1705-м заседаниях (см.</w:t>
      </w:r>
      <w:r w:rsidR="00FD5A3F">
        <w:rPr>
          <w:lang w:val="en-US"/>
        </w:rPr>
        <w:t> </w:t>
      </w:r>
      <w:hyperlink r:id="rId16" w:history="1">
        <w:r w:rsidRPr="00C13A5A">
          <w:rPr>
            <w:rStyle w:val="Hyperlink"/>
          </w:rPr>
          <w:t>CEDAW/C/SR.1704</w:t>
        </w:r>
      </w:hyperlink>
      <w:r>
        <w:t xml:space="preserve"> и </w:t>
      </w:r>
      <w:hyperlink r:id="rId17" w:history="1">
        <w:r w:rsidRPr="00C13A5A">
          <w:rPr>
            <w:rStyle w:val="Hyperlink"/>
          </w:rPr>
          <w:t>CEDAW/C/SR.1705</w:t>
        </w:r>
      </w:hyperlink>
      <w:r>
        <w:t xml:space="preserve">), состоявшихся 11 июля 2019 года. </w:t>
      </w:r>
      <w:r w:rsidRPr="001D2EB6">
        <w:t xml:space="preserve">Подготовленный Комитетом </w:t>
      </w:r>
      <w:r>
        <w:t xml:space="preserve">перечень тем и вопросов содержится в документе </w:t>
      </w:r>
      <w:hyperlink r:id="rId18" w:history="1">
        <w:r w:rsidRPr="00C13A5A">
          <w:rPr>
            <w:rStyle w:val="Hyperlink"/>
          </w:rPr>
          <w:t>CEDAW/C/CPV/Q/9</w:t>
        </w:r>
      </w:hyperlink>
      <w:r>
        <w:t xml:space="preserve">, а ответы государства-участника </w:t>
      </w:r>
      <w:r w:rsidRPr="0001311C">
        <w:t xml:space="preserve">— </w:t>
      </w:r>
      <w:r>
        <w:t xml:space="preserve">в документе </w:t>
      </w:r>
      <w:hyperlink r:id="rId19" w:history="1">
        <w:r w:rsidRPr="008577CB">
          <w:rPr>
            <w:rStyle w:val="Hyperlink"/>
          </w:rPr>
          <w:t>CEDAW/C/CPV/Q/9/Add.1</w:t>
        </w:r>
      </w:hyperlink>
      <w:r>
        <w:t>.</w:t>
      </w:r>
    </w:p>
    <w:p w14:paraId="56E88FCA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2E10DE1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EDE2DE0" w14:textId="77777777" w:rsidR="00480AD4" w:rsidRPr="007A485E" w:rsidRDefault="00480AD4" w:rsidP="00FD5A3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A.</w:t>
      </w:r>
      <w:r>
        <w:tab/>
        <w:t>Введение</w:t>
      </w:r>
    </w:p>
    <w:p w14:paraId="2C92F2F9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C7FF308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39B32B3" w14:textId="77777777" w:rsidR="00480AD4" w:rsidRPr="007A485E" w:rsidRDefault="00480AD4" w:rsidP="00FD5A3F">
      <w:pPr>
        <w:pStyle w:val="SingleTxt"/>
      </w:pPr>
      <w:r>
        <w:t>2.</w:t>
      </w:r>
      <w:r>
        <w:tab/>
        <w:t xml:space="preserve">Комитет выражает признательность государству-участнику за представление его девятого периодического доклада. Комитет также благодарит государство-участник за письменные ответы на перечень тем и вопросов, сформулированных предсессионной рабочей группой, за устный доклад делегации и за дополнительные разъяснения, представленные в ответ на вопросы, заданные членами Комитета в устной форме в ходе диалога. </w:t>
      </w:r>
    </w:p>
    <w:p w14:paraId="23F4F118" w14:textId="77777777" w:rsidR="00480AD4" w:rsidRPr="007A485E" w:rsidRDefault="00480AD4" w:rsidP="00480AD4">
      <w:pPr>
        <w:pStyle w:val="SingleTxt"/>
      </w:pPr>
      <w:r>
        <w:t>3.</w:t>
      </w:r>
      <w:r>
        <w:tab/>
        <w:t>Комитет с удовлетворением отмечает, что государство-участник было представлено делегацией высокого уровня во главе с министром образования, по делам семьи и социальной интеграции Марицей Розабаль Пенья; в состав делегации вошли представители Института по вопросам гендерного равенства и равноправия и Постоянного представительства Кабо-Верде при Отделении Организации Объединенных Наций и других международных организациях в Женеве.</w:t>
      </w:r>
    </w:p>
    <w:p w14:paraId="06D1E723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D9CCCC8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4368EECC" w14:textId="77777777" w:rsidR="00480AD4" w:rsidRPr="007A485E" w:rsidRDefault="00480AD4" w:rsidP="00FD5A3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B.</w:t>
      </w:r>
      <w:r>
        <w:tab/>
        <w:t>Позитивные аспекты</w:t>
      </w:r>
    </w:p>
    <w:p w14:paraId="2B9DCF4B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60263926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56B5CE5" w14:textId="28C7917E" w:rsidR="00480AD4" w:rsidRPr="007A485E" w:rsidRDefault="00480AD4" w:rsidP="00480AD4">
      <w:pPr>
        <w:pStyle w:val="SingleTxt"/>
        <w:rPr>
          <w:spacing w:val="0"/>
        </w:rPr>
      </w:pPr>
      <w:r>
        <w:t>4.</w:t>
      </w:r>
      <w:r>
        <w:tab/>
        <w:t>Комитет приветствует прогресс, достигнутый со времени рассмотрения в 2013 году объединенных седьмого и восьмого периодических докладов государства-участника (</w:t>
      </w:r>
      <w:hyperlink r:id="rId20" w:history="1">
        <w:r w:rsidRPr="00C13A5A">
          <w:rPr>
            <w:rStyle w:val="Hyperlink"/>
            <w:spacing w:val="0"/>
          </w:rPr>
          <w:t>CEDAW/C/CPV/7-8</w:t>
        </w:r>
      </w:hyperlink>
      <w:r>
        <w:t>) в проведении законодательных реформ, в частности принятие в 2015 году нормативно-правовой базы Закона о борьбе с гендерным насилием.</w:t>
      </w:r>
    </w:p>
    <w:p w14:paraId="72D77ADB" w14:textId="77777777" w:rsidR="00480AD4" w:rsidRPr="007A485E" w:rsidRDefault="00480AD4" w:rsidP="00480AD4">
      <w:pPr>
        <w:pStyle w:val="SingleTxt"/>
      </w:pPr>
      <w:r>
        <w:lastRenderedPageBreak/>
        <w:t>5.</w:t>
      </w:r>
      <w:r>
        <w:tab/>
        <w:t>Комитет приветствует усилия государства-участника по совершенствованию своей институциональной и политической системы в целях скорейшей ликвидации дискриминации в отношении женщин и достижения гендерного равенства, а именно:</w:t>
      </w:r>
    </w:p>
    <w:p w14:paraId="4F911034" w14:textId="77777777" w:rsidR="00480AD4" w:rsidRPr="007A485E" w:rsidRDefault="00480AD4" w:rsidP="00480AD4">
      <w:pPr>
        <w:pStyle w:val="SingleTxt"/>
      </w:pPr>
      <w:r>
        <w:tab/>
        <w:t>a)</w:t>
      </w:r>
      <w:r>
        <w:tab/>
        <w:t xml:space="preserve">учреждение в 2018 году межведомственной комиссии по учету гендерной проблематики; </w:t>
      </w:r>
    </w:p>
    <w:p w14:paraId="0B27836B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>учреждение в 2016 году Министерства по делам семьи и социальной интеграции;</w:t>
      </w:r>
    </w:p>
    <w:p w14:paraId="05E96243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>утверждение в 2016 году национального плана по борьбе с сексуальным насилием в отношении детей и подростков на период 2017–2019 годов;</w:t>
      </w:r>
    </w:p>
    <w:p w14:paraId="656B5544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>учреждение должностей координаторов по гендерным вопросам на муниципальном уровне.</w:t>
      </w:r>
    </w:p>
    <w:p w14:paraId="61B302FE" w14:textId="77777777" w:rsidR="00480AD4" w:rsidRPr="007A485E" w:rsidRDefault="00480AD4" w:rsidP="00480AD4">
      <w:pPr>
        <w:pStyle w:val="SingleTxt"/>
      </w:pPr>
      <w:r>
        <w:t>6.</w:t>
      </w:r>
      <w:r>
        <w:tab/>
        <w:t>Комитет приветствует тот факт, что в период, прошедший с момента рассмотрения предыдущего доклада, государство-участник ратифицировало в 2014 году Факультативный протокол к Международному пакту об экономических, социальных и культурных правах.</w:t>
      </w:r>
    </w:p>
    <w:p w14:paraId="2B86BCB1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6B0193C9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68F7CC8" w14:textId="77777777" w:rsidR="00480AD4" w:rsidRPr="007A485E" w:rsidRDefault="00480AD4" w:rsidP="00FD5A3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C.</w:t>
      </w:r>
      <w:r>
        <w:tab/>
        <w:t>Цели в области устойчивого развития</w:t>
      </w:r>
    </w:p>
    <w:p w14:paraId="39B2DAC0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D7EC64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389530F" w14:textId="77777777" w:rsidR="00480AD4" w:rsidRPr="007A485E" w:rsidRDefault="00480AD4" w:rsidP="00480AD4">
      <w:pPr>
        <w:pStyle w:val="SingleTxt"/>
        <w:rPr>
          <w:b/>
        </w:rPr>
      </w:pPr>
      <w:r>
        <w:t>7.</w:t>
      </w:r>
      <w:r>
        <w:tab/>
      </w:r>
      <w:r w:rsidRPr="00373D97">
        <w:rPr>
          <w:b/>
        </w:rPr>
        <w:t xml:space="preserve">Комитет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 года. Комитет напоминает о важности цели 5 и необходимости учета принципов равенства и недискриминации в процессе достижения всех 17 целей. Он </w:t>
      </w:r>
      <w:r>
        <w:rPr>
          <w:b/>
        </w:rPr>
        <w:t>обращается к</w:t>
      </w:r>
      <w:r w:rsidRPr="00373D97">
        <w:rPr>
          <w:b/>
        </w:rPr>
        <w:t xml:space="preserve"> государств</w:t>
      </w:r>
      <w:r>
        <w:rPr>
          <w:b/>
        </w:rPr>
        <w:t>у</w:t>
      </w:r>
      <w:r w:rsidRPr="00373D97">
        <w:rPr>
          <w:b/>
        </w:rPr>
        <w:t>-участник</w:t>
      </w:r>
      <w:r>
        <w:rPr>
          <w:b/>
        </w:rPr>
        <w:t>у с настоятельным призывом</w:t>
      </w:r>
      <w:r w:rsidRPr="00373D97">
        <w:rPr>
          <w:b/>
        </w:rPr>
        <w:t xml:space="preserve"> признать женщин движущей силой устойчивого развития страны и </w:t>
      </w:r>
      <w:r>
        <w:rPr>
          <w:b/>
        </w:rPr>
        <w:t>разработать</w:t>
      </w:r>
      <w:r w:rsidRPr="00373D97">
        <w:rPr>
          <w:b/>
        </w:rPr>
        <w:t xml:space="preserve"> в этой связи соответствующие </w:t>
      </w:r>
      <w:r>
        <w:rPr>
          <w:b/>
        </w:rPr>
        <w:t xml:space="preserve">программные </w:t>
      </w:r>
      <w:r w:rsidRPr="00373D97">
        <w:rPr>
          <w:b/>
        </w:rPr>
        <w:t>меры и стратегии. </w:t>
      </w:r>
    </w:p>
    <w:p w14:paraId="664421F1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ED6FCEE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8B22341" w14:textId="77777777" w:rsidR="00480AD4" w:rsidRPr="007A485E" w:rsidRDefault="00480AD4" w:rsidP="00FD5A3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D.</w:t>
      </w:r>
      <w:r>
        <w:tab/>
        <w:t>Парламент</w:t>
      </w:r>
    </w:p>
    <w:p w14:paraId="64FF6AEC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5B5D8B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C48D847" w14:textId="0B255416" w:rsidR="00480AD4" w:rsidRPr="007A485E" w:rsidRDefault="00480AD4" w:rsidP="00480AD4">
      <w:pPr>
        <w:pStyle w:val="SingleTxt"/>
      </w:pPr>
      <w:r>
        <w:t>8.</w:t>
      </w:r>
      <w:r>
        <w:tab/>
      </w:r>
      <w:r w:rsidRPr="0038193F">
        <w:rPr>
          <w:b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1" w:history="1">
        <w:r w:rsidRPr="00C13A5A">
          <w:rPr>
            <w:rStyle w:val="Hyperlink"/>
          </w:rPr>
          <w:t>A/65/38</w:t>
        </w:r>
      </w:hyperlink>
      <w:r w:rsidRPr="0038193F">
        <w:rPr>
          <w:b/>
        </w:rPr>
        <w:t xml:space="preserve">, часть вторая, приложение VI). Он предлагает парламенту в соответствии с его мандатом принять необходимые меры </w:t>
      </w:r>
      <w:r>
        <w:rPr>
          <w:b/>
        </w:rPr>
        <w:t>для</w:t>
      </w:r>
      <w:r w:rsidRPr="0038193F">
        <w:rPr>
          <w:b/>
        </w:rPr>
        <w:t xml:space="preserve"> выполнени</w:t>
      </w:r>
      <w:r>
        <w:rPr>
          <w:b/>
        </w:rPr>
        <w:t>я</w:t>
      </w:r>
      <w:r w:rsidRPr="0038193F">
        <w:rPr>
          <w:b/>
        </w:rPr>
        <w:t xml:space="preserve"> настоящих заключительных замечаний до представления </w:t>
      </w:r>
      <w:r>
        <w:rPr>
          <w:b/>
        </w:rPr>
        <w:t xml:space="preserve">следующего </w:t>
      </w:r>
      <w:r w:rsidRPr="0038193F">
        <w:rPr>
          <w:b/>
        </w:rPr>
        <w:t>периодического доклада согласно Конвенции.</w:t>
      </w:r>
    </w:p>
    <w:p w14:paraId="319DDAC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FE007D3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098EE37" w14:textId="77777777" w:rsidR="00480AD4" w:rsidRPr="007A485E" w:rsidRDefault="00480AD4" w:rsidP="00FD5A3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E.</w:t>
      </w:r>
      <w:r>
        <w:tab/>
        <w:t>Основные проблемные области и рекомендации</w:t>
      </w:r>
    </w:p>
    <w:p w14:paraId="25F76F2D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070D7DC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415C37A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 о Конвенции и Факультативном протоколе к ней</w:t>
      </w:r>
    </w:p>
    <w:p w14:paraId="71F8EDC4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5C67F39" w14:textId="77777777" w:rsidR="00480AD4" w:rsidRPr="007A485E" w:rsidRDefault="00480AD4" w:rsidP="00480AD4">
      <w:pPr>
        <w:pStyle w:val="SingleTxt"/>
      </w:pPr>
      <w:r>
        <w:t>9.</w:t>
      </w:r>
      <w:r>
        <w:tab/>
        <w:t xml:space="preserve">Комитет благодарит государство-участника за его усилия по распространению информации о Конвенции. При этом Комитет обеспокоен недостаточной осведомленностью общественности государства-участника о гарантируемых Конвенцией правах, в частности сельских и городских женщин и сотрудников судебных и правоохранительных органов и медицинских учреждений. </w:t>
      </w:r>
    </w:p>
    <w:p w14:paraId="5B0B93D5" w14:textId="77777777" w:rsidR="00480AD4" w:rsidRPr="007A485E" w:rsidRDefault="00480AD4" w:rsidP="00480AD4">
      <w:pPr>
        <w:pStyle w:val="SingleTxt"/>
      </w:pPr>
      <w:r>
        <w:lastRenderedPageBreak/>
        <w:t>10.</w:t>
      </w:r>
      <w:r>
        <w:tab/>
      </w:r>
      <w:r w:rsidRPr="0038193F">
        <w:rPr>
          <w:b/>
        </w:rPr>
        <w:t>Комитет рекомендует государству-участнику:</w:t>
      </w:r>
    </w:p>
    <w:p w14:paraId="66334265" w14:textId="77777777" w:rsidR="00480AD4" w:rsidRPr="007A485E" w:rsidRDefault="00480AD4" w:rsidP="00480AD4">
      <w:pPr>
        <w:pStyle w:val="SingleTxt"/>
      </w:pPr>
      <w:r>
        <w:tab/>
        <w:t>a)</w:t>
      </w:r>
      <w:r>
        <w:tab/>
      </w:r>
      <w:r w:rsidRPr="0038193F">
        <w:rPr>
          <w:b/>
        </w:rPr>
        <w:t xml:space="preserve">активизировать усилия по повышению осведомленности </w:t>
      </w:r>
      <w:r>
        <w:rPr>
          <w:b/>
        </w:rPr>
        <w:t xml:space="preserve">широкой </w:t>
      </w:r>
      <w:r w:rsidRPr="0038193F">
        <w:rPr>
          <w:b/>
        </w:rPr>
        <w:t>общественности о гарантируемых Конвенцией правах и процедурах</w:t>
      </w:r>
      <w:r>
        <w:rPr>
          <w:b/>
        </w:rPr>
        <w:t>, предусмотренных в</w:t>
      </w:r>
      <w:r w:rsidRPr="0038193F">
        <w:rPr>
          <w:b/>
        </w:rPr>
        <w:t xml:space="preserve"> Факультативн</w:t>
      </w:r>
      <w:r>
        <w:rPr>
          <w:b/>
        </w:rPr>
        <w:t>о</w:t>
      </w:r>
      <w:r w:rsidRPr="0038193F">
        <w:rPr>
          <w:b/>
        </w:rPr>
        <w:t>м протокол</w:t>
      </w:r>
      <w:r>
        <w:rPr>
          <w:b/>
        </w:rPr>
        <w:t>е</w:t>
      </w:r>
      <w:r w:rsidRPr="0038193F">
        <w:rPr>
          <w:b/>
        </w:rPr>
        <w:t xml:space="preserve"> к ней, в частности женщин, проживающих в сельской местности и в городах, и женщин-мигрантов, а также сотрудников судебных и правоохранительных органов и медицинских учреждений;</w:t>
      </w:r>
    </w:p>
    <w:p w14:paraId="57870BBC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>активизировать работу</w:t>
      </w:r>
      <w:r w:rsidRPr="0038193F">
        <w:rPr>
          <w:b/>
        </w:rPr>
        <w:t xml:space="preserve"> по укреплению потенциала практикующих юристов и </w:t>
      </w:r>
      <w:r>
        <w:rPr>
          <w:b/>
        </w:rPr>
        <w:t>сотрудников</w:t>
      </w:r>
      <w:r w:rsidRPr="0038193F">
        <w:rPr>
          <w:b/>
        </w:rPr>
        <w:t xml:space="preserve"> судебных и правоохранительных органов в области непосредственного применения Конвенции или толкования национального законодательства в </w:t>
      </w:r>
      <w:r>
        <w:rPr>
          <w:b/>
        </w:rPr>
        <w:t>духе ее положений</w:t>
      </w:r>
      <w:r w:rsidRPr="0038193F">
        <w:rPr>
          <w:b/>
        </w:rPr>
        <w:t xml:space="preserve"> в ходе судебных разбирательств.</w:t>
      </w:r>
    </w:p>
    <w:p w14:paraId="72DA0C7A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38193F">
        <w:rPr>
          <w:b/>
        </w:rPr>
        <w:t xml:space="preserve">включить в свою правовую систему положения Протокола к Африканской хартии </w:t>
      </w:r>
      <w:r>
        <w:rPr>
          <w:b/>
        </w:rPr>
        <w:t xml:space="preserve">о правах </w:t>
      </w:r>
      <w:r w:rsidRPr="0038193F">
        <w:rPr>
          <w:b/>
        </w:rPr>
        <w:t>человека и народов, касающе</w:t>
      </w:r>
      <w:r>
        <w:rPr>
          <w:b/>
        </w:rPr>
        <w:t>гося</w:t>
      </w:r>
      <w:r w:rsidRPr="0038193F">
        <w:rPr>
          <w:b/>
        </w:rPr>
        <w:t xml:space="preserve"> прав женщин в Африке, и распространить информацию о нем среди </w:t>
      </w:r>
      <w:r>
        <w:rPr>
          <w:b/>
        </w:rPr>
        <w:t xml:space="preserve">широкой </w:t>
      </w:r>
      <w:r w:rsidRPr="0038193F">
        <w:rPr>
          <w:b/>
        </w:rPr>
        <w:t xml:space="preserve">общественности и </w:t>
      </w:r>
      <w:r>
        <w:rPr>
          <w:b/>
        </w:rPr>
        <w:t xml:space="preserve">в частности среди </w:t>
      </w:r>
      <w:r w:rsidRPr="0038193F">
        <w:rPr>
          <w:b/>
        </w:rPr>
        <w:t>профессиональных юристов и гражданского общества.</w:t>
      </w:r>
    </w:p>
    <w:p w14:paraId="321D94B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3DEF5A4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Доступ к правосудию</w:t>
      </w:r>
    </w:p>
    <w:p w14:paraId="0B826129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3D60770" w14:textId="77777777" w:rsidR="00480AD4" w:rsidRPr="007A485E" w:rsidRDefault="00480AD4" w:rsidP="00480AD4">
      <w:pPr>
        <w:pStyle w:val="SingleTxt"/>
      </w:pPr>
      <w:r>
        <w:t>11.</w:t>
      </w:r>
      <w:r>
        <w:tab/>
        <w:t>Комитет с озабоченностью отмечает, что в ходе юридической подготовки предусмотренные в Конвенции права женщин изучаются недостаточно и что общественности трудно получить доступ к судебным решениям по делам о гендерной дискриминации, и отмечает также, что механизма подачи жалоб на гендерную предвзятость в судебной системе не существует. Комитет также обеспокоен тем, что данные о судебных делах, собираемые Высшим советом судей, не дезагрегируются по характеристикам жертв и нарушителей, таким как пол и другие признаки, что не позволяет анализировать дела о гендерной дискриминации и гендерном насилии.</w:t>
      </w:r>
    </w:p>
    <w:p w14:paraId="64E8073C" w14:textId="64CBB0A9" w:rsidR="00480AD4" w:rsidRPr="007A485E" w:rsidRDefault="00480AD4" w:rsidP="00480AD4">
      <w:pPr>
        <w:pStyle w:val="SingleTxt"/>
        <w:rPr>
          <w:b/>
        </w:rPr>
      </w:pPr>
      <w:r>
        <w:t>12.</w:t>
      </w:r>
      <w:r>
        <w:tab/>
      </w:r>
      <w:r w:rsidRPr="007B001C">
        <w:rPr>
          <w:b/>
        </w:rPr>
        <w:t>В соответствии со своей общей рекомендацией № 33 (2015), касающейся доступа женщин к правосудию, Комитет рекомендует государству-участнику:</w:t>
      </w:r>
    </w:p>
    <w:p w14:paraId="346A87CD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FB5E2F">
        <w:rPr>
          <w:b/>
        </w:rPr>
        <w:t xml:space="preserve">на постоянной и структурированной основе </w:t>
      </w:r>
      <w:r>
        <w:rPr>
          <w:b/>
        </w:rPr>
        <w:t xml:space="preserve">проводить </w:t>
      </w:r>
      <w:r w:rsidRPr="00FB5E2F">
        <w:rPr>
          <w:b/>
        </w:rPr>
        <w:t xml:space="preserve">юридическую подготовку по вопросам Конвенции, реального гендерного равенства, борьбы с гендерным насилием и ликвидации гендерных стереотипов для </w:t>
      </w:r>
      <w:r>
        <w:rPr>
          <w:b/>
        </w:rPr>
        <w:t>представителей</w:t>
      </w:r>
      <w:r w:rsidRPr="00FB5E2F">
        <w:rPr>
          <w:b/>
        </w:rPr>
        <w:t xml:space="preserve"> судебн</w:t>
      </w:r>
      <w:r>
        <w:rPr>
          <w:b/>
        </w:rPr>
        <w:t>ой</w:t>
      </w:r>
      <w:r w:rsidRPr="00FB5E2F">
        <w:rPr>
          <w:b/>
        </w:rPr>
        <w:t xml:space="preserve"> </w:t>
      </w:r>
      <w:r>
        <w:rPr>
          <w:b/>
        </w:rPr>
        <w:t>системы</w:t>
      </w:r>
      <w:r w:rsidRPr="00FB5E2F">
        <w:rPr>
          <w:b/>
        </w:rPr>
        <w:t>, юристов и сотрудников правоохранительных органов;</w:t>
      </w:r>
    </w:p>
    <w:p w14:paraId="75E898BD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FB5E2F">
        <w:rPr>
          <w:b/>
        </w:rPr>
        <w:t xml:space="preserve">обеспечить доступность судебных решений по делам о гендерной дискриминации, в частности путем их размещения на </w:t>
      </w:r>
      <w:r>
        <w:rPr>
          <w:b/>
        </w:rPr>
        <w:t>веб-</w:t>
      </w:r>
      <w:r w:rsidRPr="00FB5E2F">
        <w:rPr>
          <w:b/>
        </w:rPr>
        <w:t>сайтах Верховного суда и Министерства юстиции, в целях повышения транспарентности системы правосудия;</w:t>
      </w:r>
    </w:p>
    <w:p w14:paraId="77387F9F" w14:textId="77777777" w:rsidR="00480AD4" w:rsidRPr="007A485E" w:rsidRDefault="00480AD4" w:rsidP="00FD5A3F">
      <w:pPr>
        <w:pStyle w:val="SingleTxt"/>
      </w:pPr>
      <w:r>
        <w:tab/>
        <w:t>c)</w:t>
      </w:r>
      <w:r>
        <w:tab/>
      </w:r>
      <w:r w:rsidRPr="00FD5A3F">
        <w:rPr>
          <w:b/>
          <w:bCs/>
        </w:rPr>
        <w:t>создать механизм для подачи жалоб на случаи гендерной предвзятости в судебных органах и обеспечить быстрое расследование таких жалоб и принятие по ним мер реагирования;</w:t>
      </w:r>
    </w:p>
    <w:p w14:paraId="4D84E56E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FB5E2F">
        <w:rPr>
          <w:b/>
        </w:rPr>
        <w:t>обеспечить</w:t>
      </w:r>
      <w:r>
        <w:rPr>
          <w:b/>
        </w:rPr>
        <w:t>, чтобы</w:t>
      </w:r>
      <w:r w:rsidRPr="00FB5E2F">
        <w:rPr>
          <w:b/>
        </w:rPr>
        <w:t xml:space="preserve"> Высши</w:t>
      </w:r>
      <w:r>
        <w:rPr>
          <w:b/>
        </w:rPr>
        <w:t>й</w:t>
      </w:r>
      <w:r w:rsidRPr="00FB5E2F">
        <w:rPr>
          <w:b/>
        </w:rPr>
        <w:t xml:space="preserve"> совет судей </w:t>
      </w:r>
      <w:r>
        <w:rPr>
          <w:b/>
        </w:rPr>
        <w:t xml:space="preserve">собирал данные, </w:t>
      </w:r>
      <w:r w:rsidRPr="00FB5E2F">
        <w:rPr>
          <w:b/>
        </w:rPr>
        <w:t>дезагрегированны</w:t>
      </w:r>
      <w:r>
        <w:rPr>
          <w:b/>
        </w:rPr>
        <w:t>е</w:t>
      </w:r>
      <w:r w:rsidRPr="00FB5E2F">
        <w:rPr>
          <w:b/>
        </w:rPr>
        <w:t xml:space="preserve"> по признаку пола</w:t>
      </w:r>
      <w:r>
        <w:rPr>
          <w:b/>
        </w:rPr>
        <w:t>,</w:t>
      </w:r>
      <w:r w:rsidRPr="00FB5E2F">
        <w:rPr>
          <w:b/>
        </w:rPr>
        <w:t xml:space="preserve"> </w:t>
      </w:r>
      <w:r>
        <w:rPr>
          <w:b/>
        </w:rPr>
        <w:t xml:space="preserve">что позволит </w:t>
      </w:r>
      <w:r w:rsidRPr="00FB5E2F">
        <w:rPr>
          <w:b/>
        </w:rPr>
        <w:t>анализ</w:t>
      </w:r>
      <w:r>
        <w:rPr>
          <w:b/>
        </w:rPr>
        <w:t>ировать</w:t>
      </w:r>
      <w:r w:rsidRPr="00FB5E2F">
        <w:rPr>
          <w:b/>
        </w:rPr>
        <w:t xml:space="preserve"> случа</w:t>
      </w:r>
      <w:r>
        <w:rPr>
          <w:b/>
        </w:rPr>
        <w:t>и</w:t>
      </w:r>
      <w:r w:rsidRPr="00FB5E2F">
        <w:rPr>
          <w:b/>
        </w:rPr>
        <w:t xml:space="preserve"> гендерной дискриминации и </w:t>
      </w:r>
      <w:r>
        <w:rPr>
          <w:b/>
        </w:rPr>
        <w:t xml:space="preserve">гендерного </w:t>
      </w:r>
      <w:r w:rsidRPr="00FB5E2F">
        <w:rPr>
          <w:b/>
        </w:rPr>
        <w:t>насилия;</w:t>
      </w:r>
    </w:p>
    <w:p w14:paraId="7E6291BC" w14:textId="77777777" w:rsidR="00480AD4" w:rsidRPr="007A485E" w:rsidRDefault="00480AD4" w:rsidP="00480AD4">
      <w:pPr>
        <w:pStyle w:val="SingleTxt"/>
        <w:rPr>
          <w:b/>
        </w:rPr>
      </w:pPr>
      <w:r>
        <w:tab/>
        <w:t>e)</w:t>
      </w:r>
      <w:r>
        <w:tab/>
      </w:r>
      <w:r>
        <w:rPr>
          <w:b/>
        </w:rPr>
        <w:t>п</w:t>
      </w:r>
      <w:r w:rsidRPr="00FB5E2F">
        <w:rPr>
          <w:b/>
        </w:rPr>
        <w:t>овышать осведомленность общественности, в том числе женщин и девочек, о законодательстве, запрещающем дискриминацию в отношении женщин, и о средствах правовой защиты, имеющихся в распоряжении жертв такой дискриминации.</w:t>
      </w:r>
    </w:p>
    <w:p w14:paraId="267DE544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46D120DE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14:paraId="5FE6C335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2DBAAF0" w14:textId="77777777" w:rsidR="00480AD4" w:rsidRPr="007A485E" w:rsidRDefault="00480AD4" w:rsidP="00480AD4">
      <w:pPr>
        <w:pStyle w:val="SingleTxt"/>
      </w:pPr>
      <w:r>
        <w:t>13.</w:t>
      </w:r>
      <w:r>
        <w:tab/>
        <w:t>Комитет отмечает, что с 2016 года Министерство по делам семьи и социальной интеграции несет общую ответственность за обеспечение в государстве-участнике гендерного равенства, что в 18 из 22 муниципалитетов были назначены координаторы по гендерным вопросам и что в одном муниципалитете ответственность за обеспечение гендерного равенства лежит на мэрии. Комитет приветствует разработку национального плана по достижению гендерного равенства на период 2015–2018 годов, национального плана по борьбе с гендерным насилием и плана по достижению гендерного равенства на период 2019–2021 годов под руководством Института по вопросам гендерного равенства и равноправия, действующего в структуре Министерства по делам семьи и социальной интеграции. Комитет также приветствует недавнее создание межведомственной комиссии по учету гендерной проблематики для мониторинга государственной политики в гендерном разрезе. Комитет отмечает, что Министр по делам семьи и социальной интеграции также является Министром образования, и обеспокоен тем, что усилия по ликвидации дискриминации в отношении женщин могут не получать необходимого внимания и не подкрепляться необходимыми ресурсами, учитывая широкий круг деятельности министра, куда также входят проблемы образования, детей, пожилого населения, инвалидов и борьбы с нищетой. Комитет также обеспокоен отсутствием достаточной координации и контроля деятельности различных структур национального механизма и ограниченностью их ресурсов.</w:t>
      </w:r>
    </w:p>
    <w:p w14:paraId="30397522" w14:textId="77777777" w:rsidR="00480AD4" w:rsidRPr="007A485E" w:rsidRDefault="00480AD4" w:rsidP="00480AD4">
      <w:pPr>
        <w:pStyle w:val="SingleTxt"/>
        <w:rPr>
          <w:b/>
        </w:rPr>
      </w:pPr>
      <w:r>
        <w:t>14.</w:t>
      </w:r>
      <w:r>
        <w:tab/>
      </w:r>
      <w:r w:rsidRPr="00FB5E2F">
        <w:rPr>
          <w:b/>
        </w:rPr>
        <w:t>Комитет рекомендует государству-участнику:</w:t>
      </w:r>
    </w:p>
    <w:p w14:paraId="274F58D1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FB5E2F">
        <w:rPr>
          <w:b/>
        </w:rPr>
        <w:t>сделать продвижение гендерного равенства приоритетным направлением деятельности правительства и в этом контексте рассмотреть во</w:t>
      </w:r>
      <w:r>
        <w:rPr>
          <w:b/>
        </w:rPr>
        <w:t>зможность</w:t>
      </w:r>
      <w:r w:rsidRPr="00FB5E2F">
        <w:rPr>
          <w:b/>
        </w:rPr>
        <w:t xml:space="preserve"> создания отдельной</w:t>
      </w:r>
      <w:r>
        <w:rPr>
          <w:b/>
        </w:rPr>
        <w:t>, наделенной всеми необходимыми</w:t>
      </w:r>
      <w:r w:rsidRPr="00FB5E2F">
        <w:rPr>
          <w:b/>
        </w:rPr>
        <w:t xml:space="preserve"> полномоч</w:t>
      </w:r>
      <w:r>
        <w:rPr>
          <w:b/>
        </w:rPr>
        <w:t>иями</w:t>
      </w:r>
      <w:r w:rsidRPr="00FB5E2F">
        <w:rPr>
          <w:b/>
        </w:rPr>
        <w:t xml:space="preserve"> и </w:t>
      </w:r>
      <w:r>
        <w:rPr>
          <w:b/>
        </w:rPr>
        <w:t>достаточными</w:t>
      </w:r>
      <w:r w:rsidRPr="00FB5E2F">
        <w:rPr>
          <w:b/>
        </w:rPr>
        <w:t xml:space="preserve"> ресурсами структуры для координ</w:t>
      </w:r>
      <w:r>
        <w:rPr>
          <w:b/>
        </w:rPr>
        <w:t>ации</w:t>
      </w:r>
      <w:r w:rsidRPr="00FB5E2F">
        <w:rPr>
          <w:b/>
        </w:rPr>
        <w:t xml:space="preserve"> и мониторинга процесса осуществления Конвенции;</w:t>
      </w:r>
    </w:p>
    <w:p w14:paraId="2A0F1DFF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FB5E2F">
        <w:rPr>
          <w:b/>
        </w:rPr>
        <w:t>обеспечить скоординированную и эффективную работу всех структур национального механизма по улучшению положения женщин, включая Институт по вопросам гендерного равенства и равноправия, меж</w:t>
      </w:r>
      <w:r>
        <w:rPr>
          <w:b/>
        </w:rPr>
        <w:t>ведомственную</w:t>
      </w:r>
      <w:r w:rsidRPr="00FB5E2F">
        <w:rPr>
          <w:b/>
        </w:rPr>
        <w:t xml:space="preserve"> комиссию по учету гендерной проблематики и координаторов по гендерным вопросам на муниципальном уровне.</w:t>
      </w:r>
    </w:p>
    <w:p w14:paraId="20FE91D6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FB5E2F">
        <w:rPr>
          <w:b/>
        </w:rPr>
        <w:t>обеспечить назначение координаторов по гендерным вопросам в остальных муниципалитетах.</w:t>
      </w:r>
    </w:p>
    <w:p w14:paraId="612D7C2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901EED1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Национальное правозащитное учреждение </w:t>
      </w:r>
    </w:p>
    <w:p w14:paraId="4A33964D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819E1AA" w14:textId="77777777" w:rsidR="00480AD4" w:rsidRPr="007A485E" w:rsidRDefault="00480AD4" w:rsidP="00480AD4">
      <w:pPr>
        <w:pStyle w:val="SingleTxt"/>
      </w:pPr>
      <w:r>
        <w:t>15.</w:t>
      </w:r>
      <w:r>
        <w:tab/>
        <w:t xml:space="preserve">Комитет с удовлетворением отмечает, что 16 из 30 членов Национальной комиссии по правам человека и гражданству являются женщинами и что у Комиссии есть четкий мандат поощрять права женщин и гендерное равенство. В то же время Комитет по-прежнему обеспокоен тем, что Комиссия подчиняется Министерству юстиции и что ее недостаточная самостоятельность идет вразрез с принципами, касающимися статуса национальных учреждений, занимающихся поощрением и защитой прав человека (Парижские принципы). </w:t>
      </w:r>
    </w:p>
    <w:p w14:paraId="53F2FA7E" w14:textId="77777777" w:rsidR="00480AD4" w:rsidRPr="007A485E" w:rsidRDefault="00480AD4" w:rsidP="00480AD4">
      <w:pPr>
        <w:pStyle w:val="SingleTxt"/>
      </w:pPr>
      <w:r>
        <w:t>16.</w:t>
      </w:r>
      <w:r>
        <w:tab/>
      </w:r>
      <w:r w:rsidRPr="007B001C">
        <w:rPr>
          <w:b/>
        </w:rPr>
        <w:t xml:space="preserve">Комитет рекомендует государству-участнику скорейшим образом завершить подготовку </w:t>
      </w:r>
      <w:r>
        <w:rPr>
          <w:b/>
        </w:rPr>
        <w:t xml:space="preserve">проекта закона </w:t>
      </w:r>
      <w:r w:rsidRPr="007B001C">
        <w:rPr>
          <w:b/>
        </w:rPr>
        <w:t>о Национальной комиссии по правам человека и гражданству</w:t>
      </w:r>
      <w:r>
        <w:rPr>
          <w:b/>
        </w:rPr>
        <w:t xml:space="preserve"> и принять его</w:t>
      </w:r>
      <w:r w:rsidRPr="007B001C">
        <w:rPr>
          <w:b/>
        </w:rPr>
        <w:t xml:space="preserve">, обеспечив полное соответствие </w:t>
      </w:r>
      <w:r>
        <w:rPr>
          <w:b/>
        </w:rPr>
        <w:t xml:space="preserve">Комиссии требованиям </w:t>
      </w:r>
      <w:r w:rsidRPr="007B001C">
        <w:rPr>
          <w:b/>
        </w:rPr>
        <w:t>Парижски</w:t>
      </w:r>
      <w:r>
        <w:rPr>
          <w:b/>
        </w:rPr>
        <w:t>х</w:t>
      </w:r>
      <w:r w:rsidRPr="007B001C">
        <w:rPr>
          <w:b/>
        </w:rPr>
        <w:t xml:space="preserve"> принцип</w:t>
      </w:r>
      <w:r>
        <w:rPr>
          <w:b/>
        </w:rPr>
        <w:t>ов</w:t>
      </w:r>
      <w:r w:rsidRPr="007B001C">
        <w:rPr>
          <w:b/>
        </w:rPr>
        <w:t xml:space="preserve"> и </w:t>
      </w:r>
      <w:r>
        <w:rPr>
          <w:b/>
        </w:rPr>
        <w:t>выделение ей</w:t>
      </w:r>
      <w:r w:rsidRPr="007B001C">
        <w:rPr>
          <w:b/>
        </w:rPr>
        <w:t xml:space="preserve"> людски</w:t>
      </w:r>
      <w:r>
        <w:rPr>
          <w:b/>
        </w:rPr>
        <w:t>х</w:t>
      </w:r>
      <w:r w:rsidRPr="007B001C">
        <w:rPr>
          <w:b/>
        </w:rPr>
        <w:t>, технически</w:t>
      </w:r>
      <w:r>
        <w:rPr>
          <w:b/>
        </w:rPr>
        <w:t>х</w:t>
      </w:r>
      <w:r w:rsidRPr="007B001C">
        <w:rPr>
          <w:b/>
        </w:rPr>
        <w:t xml:space="preserve"> и финансовы</w:t>
      </w:r>
      <w:r>
        <w:rPr>
          <w:b/>
        </w:rPr>
        <w:t>х</w:t>
      </w:r>
      <w:r w:rsidRPr="007B001C">
        <w:rPr>
          <w:b/>
        </w:rPr>
        <w:t xml:space="preserve"> ресурс</w:t>
      </w:r>
      <w:r>
        <w:rPr>
          <w:b/>
        </w:rPr>
        <w:t>ов</w:t>
      </w:r>
      <w:r w:rsidRPr="007B001C">
        <w:rPr>
          <w:b/>
        </w:rPr>
        <w:t>, необходимы</w:t>
      </w:r>
      <w:r>
        <w:rPr>
          <w:b/>
        </w:rPr>
        <w:t>х</w:t>
      </w:r>
      <w:r w:rsidRPr="007B001C">
        <w:rPr>
          <w:b/>
        </w:rPr>
        <w:t xml:space="preserve"> для эффективной защиты и поощрения прав женщин и гендерного равенс</w:t>
      </w:r>
      <w:r>
        <w:rPr>
          <w:b/>
        </w:rPr>
        <w:t>т</w:t>
      </w:r>
      <w:r w:rsidRPr="007B001C">
        <w:rPr>
          <w:b/>
        </w:rPr>
        <w:t>ва.</w:t>
      </w:r>
    </w:p>
    <w:p w14:paraId="2B809568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EF08441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14:paraId="6C0EAAC5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9BA3CD5" w14:textId="77777777" w:rsidR="00480AD4" w:rsidRPr="007A485E" w:rsidRDefault="00480AD4" w:rsidP="00480AD4">
      <w:pPr>
        <w:pStyle w:val="SingleTxt"/>
      </w:pPr>
      <w:r>
        <w:t>17.</w:t>
      </w:r>
      <w:r>
        <w:tab/>
        <w:t xml:space="preserve">Комитет отмечает, что государство-участник рассматривает возможность принятия временных специальных мер в целях поощрения участия женщин, включая сельских женщин и женщин-инвалидов, в политической и экономической жизни. В то же время Комитет обеспокоен задержками в практическом осуществлении подобных мер и отсутствием временных специальных мер для скорейшего достижения реального равенства женщин и мужчин в тех сферах, где женщины находятся в неблагоприятном положении или недостаточно представлены. </w:t>
      </w:r>
    </w:p>
    <w:p w14:paraId="48BC7532" w14:textId="77777777" w:rsidR="00480AD4" w:rsidRPr="007A485E" w:rsidRDefault="00480AD4" w:rsidP="00480AD4">
      <w:pPr>
        <w:pStyle w:val="SingleTxt"/>
        <w:rPr>
          <w:b/>
        </w:rPr>
      </w:pPr>
      <w:r>
        <w:t>18.</w:t>
      </w:r>
      <w:r>
        <w:tab/>
      </w:r>
      <w:r w:rsidRPr="00FB5E2F">
        <w:rPr>
          <w:b/>
        </w:rPr>
        <w:t>Комитет ссылается на свою общую рекомендацию № 25 (2004) о временных специальных мерах и рекомендует государству-участнику:</w:t>
      </w:r>
    </w:p>
    <w:p w14:paraId="00E8D363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FB5E2F">
        <w:rPr>
          <w:b/>
        </w:rPr>
        <w:t xml:space="preserve">повышать осведомленность государственных </w:t>
      </w:r>
      <w:r>
        <w:rPr>
          <w:b/>
        </w:rPr>
        <w:t>чиновников</w:t>
      </w:r>
      <w:r w:rsidRPr="00FB5E2F">
        <w:rPr>
          <w:b/>
        </w:rPr>
        <w:t xml:space="preserve"> и лиц, ответственных за выработку политики, и расширять их понимание природы временных специальных мер в контексте пункта 1 статьи 4 Конвенции и их значения для достижения </w:t>
      </w:r>
      <w:r>
        <w:rPr>
          <w:b/>
        </w:rPr>
        <w:t>реального</w:t>
      </w:r>
      <w:r w:rsidRPr="00FB5E2F">
        <w:rPr>
          <w:b/>
        </w:rPr>
        <w:t xml:space="preserve"> равенства женщин и мужчин во всех сферах, где женщины находятся в неблагоприятном положении или недостаточно представлены;</w:t>
      </w:r>
    </w:p>
    <w:p w14:paraId="7F0236BB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FB5E2F">
        <w:rPr>
          <w:b/>
        </w:rPr>
        <w:t>прин</w:t>
      </w:r>
      <w:r>
        <w:rPr>
          <w:b/>
        </w:rPr>
        <w:t>имать</w:t>
      </w:r>
      <w:r w:rsidRPr="00FB5E2F">
        <w:rPr>
          <w:b/>
        </w:rPr>
        <w:t xml:space="preserve"> временные специальные меры, </w:t>
      </w:r>
      <w:r>
        <w:rPr>
          <w:b/>
        </w:rPr>
        <w:t>осуществляя, например,</w:t>
      </w:r>
      <w:r w:rsidRPr="00FB5E2F">
        <w:rPr>
          <w:b/>
        </w:rPr>
        <w:t xml:space="preserve"> программ</w:t>
      </w:r>
      <w:r>
        <w:rPr>
          <w:b/>
        </w:rPr>
        <w:t>ы</w:t>
      </w:r>
      <w:r w:rsidRPr="00FB5E2F">
        <w:rPr>
          <w:b/>
        </w:rPr>
        <w:t xml:space="preserve"> просвещения или поддержки, выдел</w:t>
      </w:r>
      <w:r>
        <w:rPr>
          <w:b/>
        </w:rPr>
        <w:t>яя</w:t>
      </w:r>
      <w:r w:rsidRPr="00FB5E2F">
        <w:rPr>
          <w:b/>
        </w:rPr>
        <w:t xml:space="preserve"> и/или перераспредел</w:t>
      </w:r>
      <w:r>
        <w:rPr>
          <w:b/>
        </w:rPr>
        <w:t>яя</w:t>
      </w:r>
      <w:r w:rsidRPr="00FB5E2F">
        <w:rPr>
          <w:b/>
        </w:rPr>
        <w:t xml:space="preserve"> ресурс</w:t>
      </w:r>
      <w:r>
        <w:rPr>
          <w:b/>
        </w:rPr>
        <w:t>ы</w:t>
      </w:r>
      <w:r w:rsidRPr="00FB5E2F">
        <w:rPr>
          <w:b/>
        </w:rPr>
        <w:t xml:space="preserve">, </w:t>
      </w:r>
      <w:r>
        <w:rPr>
          <w:b/>
        </w:rPr>
        <w:t xml:space="preserve">обеспечивая </w:t>
      </w:r>
      <w:r w:rsidRPr="00FB5E2F">
        <w:rPr>
          <w:b/>
        </w:rPr>
        <w:t>преференциальн</w:t>
      </w:r>
      <w:r>
        <w:rPr>
          <w:b/>
        </w:rPr>
        <w:t>ый режим</w:t>
      </w:r>
      <w:r w:rsidRPr="00FB5E2F">
        <w:rPr>
          <w:b/>
        </w:rPr>
        <w:t xml:space="preserve">, целенаправленный набор, наем, обучение и продвижение по службе и </w:t>
      </w:r>
      <w:r>
        <w:rPr>
          <w:b/>
        </w:rPr>
        <w:t>устанавливая предусмотренные законом квоты</w:t>
      </w:r>
      <w:r w:rsidRPr="00FB5E2F">
        <w:rPr>
          <w:b/>
        </w:rPr>
        <w:t xml:space="preserve">, в целях </w:t>
      </w:r>
      <w:r>
        <w:rPr>
          <w:b/>
        </w:rPr>
        <w:t xml:space="preserve">восполнения </w:t>
      </w:r>
      <w:r w:rsidRPr="00FB5E2F">
        <w:rPr>
          <w:b/>
        </w:rPr>
        <w:t>пробелов в участи</w:t>
      </w:r>
      <w:r>
        <w:rPr>
          <w:b/>
        </w:rPr>
        <w:t>и</w:t>
      </w:r>
      <w:r w:rsidRPr="00FB5E2F">
        <w:rPr>
          <w:b/>
        </w:rPr>
        <w:t xml:space="preserve"> в политической и общественной жизни;</w:t>
      </w:r>
    </w:p>
    <w:p w14:paraId="12FAA5DD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FB5E2F">
        <w:rPr>
          <w:b/>
        </w:rPr>
        <w:t>прин</w:t>
      </w:r>
      <w:r>
        <w:rPr>
          <w:b/>
        </w:rPr>
        <w:t>има</w:t>
      </w:r>
      <w:r w:rsidRPr="00FB5E2F">
        <w:rPr>
          <w:b/>
        </w:rPr>
        <w:t xml:space="preserve">ть временные специальные меры в </w:t>
      </w:r>
      <w:r>
        <w:rPr>
          <w:b/>
        </w:rPr>
        <w:t>интересах</w:t>
      </w:r>
      <w:r w:rsidRPr="00FB5E2F">
        <w:rPr>
          <w:b/>
        </w:rPr>
        <w:t xml:space="preserve"> сельских и находящихся в невыгодном положении женщин, включая вдов, женщин, возглавляющих домохозяйства, женщин, живущих в нищете и в районах, подверженных бедствиям, и женщин-инвалидов;</w:t>
      </w:r>
    </w:p>
    <w:p w14:paraId="34B9CCF4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FB5E2F">
        <w:rPr>
          <w:b/>
        </w:rPr>
        <w:t>обеспечить наличие в национальных планах и программах, таких как план информационно-про</w:t>
      </w:r>
      <w:r>
        <w:rPr>
          <w:b/>
        </w:rPr>
        <w:t>светительских</w:t>
      </w:r>
      <w:r w:rsidRPr="00FB5E2F">
        <w:rPr>
          <w:b/>
        </w:rPr>
        <w:t xml:space="preserve"> мероприятий по обеспечению гендерного равенства, меры по сокращению </w:t>
      </w:r>
      <w:r>
        <w:rPr>
          <w:b/>
        </w:rPr>
        <w:t>масштабов</w:t>
      </w:r>
      <w:r w:rsidRPr="00FB5E2F">
        <w:rPr>
          <w:b/>
        </w:rPr>
        <w:t xml:space="preserve"> нищеты, инициативы в области предпринимательства и профессиональной деятельности, конкретных </w:t>
      </w:r>
      <w:r>
        <w:rPr>
          <w:b/>
        </w:rPr>
        <w:t>поддающихся измерению</w:t>
      </w:r>
      <w:r w:rsidRPr="00FB5E2F">
        <w:rPr>
          <w:b/>
        </w:rPr>
        <w:t xml:space="preserve"> целевых показателей.</w:t>
      </w:r>
    </w:p>
    <w:p w14:paraId="56F872EC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45DB01D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вредные виды практики</w:t>
      </w:r>
    </w:p>
    <w:p w14:paraId="6939FCFC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0AB2F14" w14:textId="77777777" w:rsidR="00480AD4" w:rsidRPr="007A485E" w:rsidRDefault="00480AD4" w:rsidP="00480AD4">
      <w:pPr>
        <w:pStyle w:val="SingleTxt"/>
      </w:pPr>
      <w:r>
        <w:t>19.</w:t>
      </w:r>
      <w:r>
        <w:tab/>
        <w:t>Комитет принимает к сведению правовые, политические и институциональные меры, принимаемые государством-участником для борьбы с дискриминационными стереотипами. В то же время Комитет с обеспокоенностью отмечает сохранение глубоко укоренившихся традиционных патриархальных взглядов и дискриминационных стереотипов, которые остаются основной причиной, препятствующей достижению полного равенства женщин в государстве-участнике. Комитет также выражает озабоченность по поводу ограниченного освещения проблемы гендерного насилия в СМИ, особенно на телевидении. Комитет глубоко обеспокоен существованием вредной практики ранних гражданских союзов, равнозначной детским бракам, жертвами которой становятся девочки, едва достигшие 12 лет.</w:t>
      </w:r>
    </w:p>
    <w:p w14:paraId="7CC90ED0" w14:textId="77777777" w:rsidR="00517DF1" w:rsidRDefault="00517DF1">
      <w:pPr>
        <w:spacing w:after="200" w:line="276" w:lineRule="auto"/>
      </w:pPr>
      <w:r>
        <w:br w:type="page"/>
      </w:r>
    </w:p>
    <w:p w14:paraId="723A02CE" w14:textId="66B9B106" w:rsidR="00480AD4" w:rsidRPr="007A485E" w:rsidRDefault="00480AD4" w:rsidP="00480AD4">
      <w:pPr>
        <w:pStyle w:val="SingleTxt"/>
        <w:rPr>
          <w:b/>
        </w:rPr>
      </w:pPr>
      <w:r>
        <w:t>20.</w:t>
      </w:r>
      <w:r>
        <w:tab/>
      </w:r>
      <w:r w:rsidRPr="00FB5E2F">
        <w:rPr>
          <w:b/>
        </w:rPr>
        <w:t>Комитет рекомендует государству-участнику:</w:t>
      </w:r>
    </w:p>
    <w:p w14:paraId="368A9272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FB5E2F">
        <w:rPr>
          <w:b/>
        </w:rPr>
        <w:t>расшир</w:t>
      </w:r>
      <w:r>
        <w:rPr>
          <w:b/>
        </w:rPr>
        <w:t>я</w:t>
      </w:r>
      <w:r w:rsidRPr="00FB5E2F">
        <w:rPr>
          <w:b/>
        </w:rPr>
        <w:t xml:space="preserve">ть </w:t>
      </w:r>
      <w:r>
        <w:rPr>
          <w:b/>
        </w:rPr>
        <w:t xml:space="preserve">просветительские программы для населения, </w:t>
      </w:r>
      <w:r w:rsidRPr="00FB5E2F">
        <w:rPr>
          <w:b/>
        </w:rPr>
        <w:t>с тем чтобы у</w:t>
      </w:r>
      <w:r>
        <w:rPr>
          <w:b/>
        </w:rPr>
        <w:t>глублять</w:t>
      </w:r>
      <w:r w:rsidRPr="00FB5E2F">
        <w:rPr>
          <w:b/>
        </w:rPr>
        <w:t xml:space="preserve"> понимание негативных последствий дискриминационных стереотипов и вредных видов практики для осуществления </w:t>
      </w:r>
      <w:r>
        <w:rPr>
          <w:b/>
        </w:rPr>
        <w:t xml:space="preserve">женщинами своих прав, </w:t>
      </w:r>
      <w:r w:rsidRPr="00FB5E2F">
        <w:rPr>
          <w:b/>
        </w:rPr>
        <w:t>гарантируемых Конвенцией</w:t>
      </w:r>
      <w:r>
        <w:rPr>
          <w:b/>
        </w:rPr>
        <w:t>,</w:t>
      </w:r>
      <w:r w:rsidRPr="00FB5E2F">
        <w:rPr>
          <w:b/>
        </w:rPr>
        <w:t xml:space="preserve"> и </w:t>
      </w:r>
      <w:r>
        <w:rPr>
          <w:b/>
        </w:rPr>
        <w:t xml:space="preserve">активизировать пропаганду гендерного равенства среди </w:t>
      </w:r>
      <w:r w:rsidRPr="00FB5E2F">
        <w:rPr>
          <w:b/>
        </w:rPr>
        <w:t>мужчин и мальчиков;</w:t>
      </w:r>
    </w:p>
    <w:p w14:paraId="7D20F1C2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FB5E2F">
        <w:rPr>
          <w:b/>
        </w:rPr>
        <w:t>скорейшим образом завершить пересмотр учебн</w:t>
      </w:r>
      <w:r>
        <w:rPr>
          <w:b/>
        </w:rPr>
        <w:t>ых</w:t>
      </w:r>
      <w:r w:rsidRPr="00FB5E2F">
        <w:rPr>
          <w:b/>
        </w:rPr>
        <w:t xml:space="preserve"> программ начально</w:t>
      </w:r>
      <w:r>
        <w:rPr>
          <w:b/>
        </w:rPr>
        <w:t>й</w:t>
      </w:r>
      <w:r w:rsidRPr="00FB5E2F">
        <w:rPr>
          <w:b/>
        </w:rPr>
        <w:t xml:space="preserve"> и средне</w:t>
      </w:r>
      <w:r>
        <w:rPr>
          <w:b/>
        </w:rPr>
        <w:t>й школы,</w:t>
      </w:r>
      <w:r w:rsidRPr="00FB5E2F">
        <w:rPr>
          <w:b/>
        </w:rPr>
        <w:t xml:space="preserve"> включ</w:t>
      </w:r>
      <w:r>
        <w:rPr>
          <w:b/>
        </w:rPr>
        <w:t>ив в них</w:t>
      </w:r>
      <w:r w:rsidRPr="00FB5E2F">
        <w:rPr>
          <w:b/>
        </w:rPr>
        <w:t xml:space="preserve"> обязательно</w:t>
      </w:r>
      <w:r>
        <w:rPr>
          <w:b/>
        </w:rPr>
        <w:t>е</w:t>
      </w:r>
      <w:r w:rsidRPr="00FB5E2F">
        <w:rPr>
          <w:b/>
        </w:rPr>
        <w:t xml:space="preserve"> изучени</w:t>
      </w:r>
      <w:r>
        <w:rPr>
          <w:b/>
        </w:rPr>
        <w:t>е</w:t>
      </w:r>
      <w:r w:rsidRPr="00FB5E2F">
        <w:rPr>
          <w:b/>
        </w:rPr>
        <w:t xml:space="preserve"> </w:t>
      </w:r>
      <w:r>
        <w:rPr>
          <w:b/>
        </w:rPr>
        <w:t xml:space="preserve">темы </w:t>
      </w:r>
      <w:r w:rsidRPr="00FB5E2F">
        <w:rPr>
          <w:b/>
        </w:rPr>
        <w:t>гендерного равенства</w:t>
      </w:r>
      <w:r>
        <w:rPr>
          <w:b/>
        </w:rPr>
        <w:t>,</w:t>
      </w:r>
      <w:r w:rsidRPr="00FB5E2F">
        <w:rPr>
          <w:b/>
        </w:rPr>
        <w:t xml:space="preserve"> и продолжить пересмотр учебников</w:t>
      </w:r>
      <w:r>
        <w:rPr>
          <w:b/>
        </w:rPr>
        <w:t>, удаляя из них</w:t>
      </w:r>
      <w:r w:rsidRPr="00FB5E2F">
        <w:rPr>
          <w:b/>
        </w:rPr>
        <w:t xml:space="preserve"> дискриминационны</w:t>
      </w:r>
      <w:r>
        <w:rPr>
          <w:b/>
        </w:rPr>
        <w:t>е</w:t>
      </w:r>
      <w:r w:rsidRPr="00FB5E2F">
        <w:rPr>
          <w:b/>
        </w:rPr>
        <w:t xml:space="preserve"> стереотип</w:t>
      </w:r>
      <w:r>
        <w:rPr>
          <w:b/>
        </w:rPr>
        <w:t>ы</w:t>
      </w:r>
      <w:r w:rsidRPr="00FB5E2F">
        <w:rPr>
          <w:b/>
        </w:rPr>
        <w:t xml:space="preserve"> о рол</w:t>
      </w:r>
      <w:r>
        <w:rPr>
          <w:b/>
        </w:rPr>
        <w:t>и</w:t>
      </w:r>
      <w:r w:rsidRPr="00FB5E2F">
        <w:rPr>
          <w:b/>
        </w:rPr>
        <w:t xml:space="preserve"> и обязанностях женщин и мужчин в семье и обществе;</w:t>
      </w:r>
    </w:p>
    <w:p w14:paraId="73E79137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укреплять</w:t>
      </w:r>
      <w:r w:rsidRPr="00FB5E2F">
        <w:rPr>
          <w:b/>
        </w:rPr>
        <w:t xml:space="preserve"> взаимодействие со СМИ в целях поощрения </w:t>
      </w:r>
      <w:r>
        <w:rPr>
          <w:b/>
        </w:rPr>
        <w:t xml:space="preserve">деликатного в гендерном плане </w:t>
      </w:r>
      <w:r w:rsidRPr="00FB5E2F">
        <w:rPr>
          <w:b/>
        </w:rPr>
        <w:t xml:space="preserve">освещения таких тем, как гендерная дискриминация и </w:t>
      </w:r>
      <w:r>
        <w:rPr>
          <w:b/>
        </w:rPr>
        <w:t xml:space="preserve">гендерное </w:t>
      </w:r>
      <w:r w:rsidRPr="00FB5E2F">
        <w:rPr>
          <w:b/>
        </w:rPr>
        <w:t>насилие;</w:t>
      </w:r>
    </w:p>
    <w:p w14:paraId="15BAE0FF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>
        <w:rPr>
          <w:b/>
        </w:rPr>
        <w:t xml:space="preserve">проводить информационно-просветительскую работу </w:t>
      </w:r>
      <w:r w:rsidRPr="00FB5E2F">
        <w:rPr>
          <w:b/>
        </w:rPr>
        <w:t>в целях пр</w:t>
      </w:r>
      <w:r>
        <w:rPr>
          <w:b/>
        </w:rPr>
        <w:t>едупреждения</w:t>
      </w:r>
      <w:r w:rsidRPr="00FB5E2F">
        <w:rPr>
          <w:b/>
        </w:rPr>
        <w:t xml:space="preserve"> вредной практики вступления девочек</w:t>
      </w:r>
      <w:r w:rsidRPr="00524A49">
        <w:rPr>
          <w:b/>
        </w:rPr>
        <w:t xml:space="preserve"> </w:t>
      </w:r>
      <w:r w:rsidRPr="00FB5E2F">
        <w:rPr>
          <w:b/>
        </w:rPr>
        <w:t xml:space="preserve">в гражданские союзы, </w:t>
      </w:r>
      <w:r>
        <w:rPr>
          <w:b/>
        </w:rPr>
        <w:t>разнозначной</w:t>
      </w:r>
      <w:r w:rsidRPr="00FB5E2F">
        <w:rPr>
          <w:b/>
        </w:rPr>
        <w:t xml:space="preserve"> детским бракам; </w:t>
      </w:r>
    </w:p>
    <w:p w14:paraId="3D564D69" w14:textId="77777777" w:rsidR="00480AD4" w:rsidRPr="007A485E" w:rsidRDefault="00480AD4" w:rsidP="00480AD4">
      <w:pPr>
        <w:pStyle w:val="SingleTxt"/>
      </w:pPr>
      <w:r>
        <w:tab/>
        <w:t>e)</w:t>
      </w:r>
      <w:r>
        <w:tab/>
      </w:r>
      <w:r w:rsidRPr="00FB5E2F">
        <w:rPr>
          <w:b/>
        </w:rPr>
        <w:t>провести обследование культурных практик и гендерных отношений в общинах иммигрантов, запланированное в рамках второго плана действий</w:t>
      </w:r>
      <w:r>
        <w:rPr>
          <w:b/>
        </w:rPr>
        <w:t xml:space="preserve"> по</w:t>
      </w:r>
      <w:r w:rsidRPr="00FB5E2F">
        <w:rPr>
          <w:b/>
        </w:rPr>
        <w:t xml:space="preserve"> вопросам иммиграции и социальной интеграции иммигрантов на период 2018–2020 годов.</w:t>
      </w:r>
    </w:p>
    <w:p w14:paraId="32E48685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40959D6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Гендерное насилие в отношении женщин и девочек</w:t>
      </w:r>
    </w:p>
    <w:p w14:paraId="75C81F16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95D7F9D" w14:textId="64A16453" w:rsidR="00480AD4" w:rsidRPr="007A485E" w:rsidRDefault="00480AD4" w:rsidP="00480AD4">
      <w:pPr>
        <w:pStyle w:val="SingleTxt"/>
      </w:pPr>
      <w:r>
        <w:t>21.</w:t>
      </w:r>
      <w:r>
        <w:tab/>
        <w:t>Комитет приветствует принятие нормативно-правовой базы закона о гендерном насилии в 2015 году и второго национального плана по борьбе с гендерным насилием на период 2016–2018 годов, а также включение темы гендерного насилия в национальный план по достижению гендерного равенства на период 2019–2021 годов. Комитет высоко оценивает проведение для сотрудников полиции и судебных органов, профессиональных юристов и медицинского персонала образовательных мероприятий по теме гендерного насилия и публикацию в 2014</w:t>
      </w:r>
      <w:r w:rsidR="00517DF1">
        <w:rPr>
          <w:lang w:val="en-US"/>
        </w:rPr>
        <w:t> </w:t>
      </w:r>
      <w:r>
        <w:t>году пособия по применению передовой журналистской практики в борьбе с гендерным насилием. В то же время Комитет с глубокой обеспокоенностью обращает внимание на следующие проблемы:</w:t>
      </w:r>
    </w:p>
    <w:p w14:paraId="32F55DD0" w14:textId="77777777" w:rsidR="00480AD4" w:rsidRPr="007A485E" w:rsidRDefault="00480AD4" w:rsidP="00480AD4">
      <w:pPr>
        <w:pStyle w:val="SingleTxt"/>
      </w:pPr>
      <w:r>
        <w:tab/>
        <w:t>a)</w:t>
      </w:r>
      <w:r>
        <w:tab/>
        <w:t>высокое число обращений по всей стране в прокуратуру с жалобами на гендерное насилие, достигающее в среднем 2500 обращений в год, и восемь убийств женщин в 2018 году, каждый раз по причине желания женщины уйти от своего партнера;</w:t>
      </w:r>
    </w:p>
    <w:p w14:paraId="0A1CBBBF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>широкую распространенность сексуальных надругательств над детьми, жертвами которых в 95 процентах случаев становятся девочки;</w:t>
      </w:r>
    </w:p>
    <w:p w14:paraId="0B5B574C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>отсутствие полицейских, занимающихся проблемой гендерного насилия на островах Брава, Фогу, Маю, Боа-Вишта, и медленную работу судебной системы в столице Прайя и на острове Сан-Висенти, несмотря на назначение специальных прокуроров по вопросам гендерного насилия;</w:t>
      </w:r>
    </w:p>
    <w:p w14:paraId="4A30A7F8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>отсутствие приютов и других инструментов непосредственной защиты жертв гендерного насилия и лиц, его переживших; единственные два приюта были недавно открыты на острове Фогу и в Прайе;</w:t>
      </w:r>
    </w:p>
    <w:p w14:paraId="47A8B91F" w14:textId="77777777" w:rsidR="00480AD4" w:rsidRPr="007A485E" w:rsidRDefault="00480AD4" w:rsidP="00480AD4">
      <w:pPr>
        <w:pStyle w:val="SingleTxt"/>
      </w:pPr>
      <w:r>
        <w:tab/>
        <w:t>e)</w:t>
      </w:r>
      <w:r>
        <w:tab/>
        <w:t xml:space="preserve">прекращение работы горячей телефонной линии для бесплатной экстренной помощи жертвам гендерного насилия (8001818) и передача ее функций бесплатной полицейской горячей линии, продолжительность звонка на которую ограничена двумя минутами. </w:t>
      </w:r>
    </w:p>
    <w:p w14:paraId="2ED2C6E9" w14:textId="77777777" w:rsidR="00480AD4" w:rsidRPr="007A485E" w:rsidRDefault="00480AD4" w:rsidP="00480AD4">
      <w:pPr>
        <w:pStyle w:val="SingleTxt"/>
        <w:rPr>
          <w:b/>
        </w:rPr>
      </w:pPr>
      <w:r>
        <w:t>22.</w:t>
      </w:r>
      <w:r>
        <w:tab/>
      </w:r>
      <w:r w:rsidRPr="00744DCE">
        <w:rPr>
          <w:b/>
        </w:rPr>
        <w:t>Комитет ссылается на свою общую рекомендацию № 35 (2017) о гендерном насилии в отношении женщин, дополня</w:t>
      </w:r>
      <w:r>
        <w:rPr>
          <w:b/>
        </w:rPr>
        <w:t>ющую</w:t>
      </w:r>
      <w:r w:rsidRPr="00744DCE">
        <w:rPr>
          <w:b/>
        </w:rPr>
        <w:t xml:space="preserve"> общую рекомендацию № 19</w:t>
      </w:r>
      <w:r>
        <w:rPr>
          <w:b/>
        </w:rPr>
        <w:t>,</w:t>
      </w:r>
      <w:r w:rsidRPr="00744DCE">
        <w:rPr>
          <w:b/>
        </w:rPr>
        <w:t xml:space="preserve"> и </w:t>
      </w:r>
      <w:r>
        <w:rPr>
          <w:b/>
        </w:rPr>
        <w:t xml:space="preserve">обращается к </w:t>
      </w:r>
      <w:r w:rsidRPr="00744DCE">
        <w:rPr>
          <w:b/>
        </w:rPr>
        <w:t>государств</w:t>
      </w:r>
      <w:r>
        <w:rPr>
          <w:b/>
        </w:rPr>
        <w:t>у</w:t>
      </w:r>
      <w:r w:rsidRPr="00744DCE">
        <w:rPr>
          <w:b/>
        </w:rPr>
        <w:t>-участник</w:t>
      </w:r>
      <w:r>
        <w:rPr>
          <w:b/>
        </w:rPr>
        <w:t>у с призывом</w:t>
      </w:r>
      <w:r w:rsidRPr="00744DCE">
        <w:rPr>
          <w:b/>
        </w:rPr>
        <w:t>:</w:t>
      </w:r>
    </w:p>
    <w:p w14:paraId="67259AA7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744DCE">
        <w:rPr>
          <w:b/>
        </w:rPr>
        <w:t>выделить ресурсы, необходимые для осуществления закона о гендерном насилии 2011 года и его нормативно-правовой базы 2015 года</w:t>
      </w:r>
      <w:r>
        <w:rPr>
          <w:b/>
        </w:rPr>
        <w:t>, адресно выделяя бюджетные средства</w:t>
      </w:r>
      <w:r w:rsidRPr="00744DCE">
        <w:rPr>
          <w:b/>
        </w:rPr>
        <w:t xml:space="preserve"> </w:t>
      </w:r>
      <w:r>
        <w:rPr>
          <w:b/>
        </w:rPr>
        <w:t>для</w:t>
      </w:r>
      <w:r w:rsidRPr="00744DCE">
        <w:rPr>
          <w:b/>
        </w:rPr>
        <w:t xml:space="preserve"> системы правосудия, полиции, здравоохранения, образования и фонда поддержки жертв;</w:t>
      </w:r>
    </w:p>
    <w:p w14:paraId="28AAF9D9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>активизировать</w:t>
      </w:r>
      <w:r w:rsidRPr="00744DCE">
        <w:rPr>
          <w:b/>
        </w:rPr>
        <w:t xml:space="preserve"> усилия по повышению осведомленности женщин, мужчин, девочек и мальчиков, в том числе в рамках образовательных и медийных программ, о преступной природе гендерного насилия в отношении женщин и девочек, с тем чтобы оно перестало быть общественно приемлемым;</w:t>
      </w:r>
    </w:p>
    <w:p w14:paraId="423FB301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744DCE">
        <w:rPr>
          <w:b/>
        </w:rPr>
        <w:t xml:space="preserve">обеспечить </w:t>
      </w:r>
      <w:r>
        <w:rPr>
          <w:b/>
        </w:rPr>
        <w:t>выполнение в полном объеме</w:t>
      </w:r>
      <w:r w:rsidRPr="00744DCE">
        <w:rPr>
          <w:b/>
        </w:rPr>
        <w:t xml:space="preserve"> национального плана по борьбе с сексуальным насилием в отношении детей и подростков на период 2017–2019 годов и его продление после 2019 года;</w:t>
      </w:r>
    </w:p>
    <w:p w14:paraId="20C2F78B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744DCE">
        <w:rPr>
          <w:b/>
        </w:rPr>
        <w:t xml:space="preserve">проводить адекватную подготовку медицинского персонала, </w:t>
      </w:r>
      <w:r>
        <w:rPr>
          <w:b/>
        </w:rPr>
        <w:t xml:space="preserve">с тем </w:t>
      </w:r>
      <w:r w:rsidRPr="00744DCE">
        <w:rPr>
          <w:b/>
        </w:rPr>
        <w:t>чтобы женщин</w:t>
      </w:r>
      <w:r>
        <w:rPr>
          <w:b/>
        </w:rPr>
        <w:t>ы</w:t>
      </w:r>
      <w:r w:rsidRPr="00744DCE">
        <w:rPr>
          <w:b/>
        </w:rPr>
        <w:t xml:space="preserve"> и девочк</w:t>
      </w:r>
      <w:r>
        <w:rPr>
          <w:b/>
        </w:rPr>
        <w:t>и</w:t>
      </w:r>
      <w:r w:rsidRPr="00744DCE">
        <w:rPr>
          <w:b/>
        </w:rPr>
        <w:t xml:space="preserve">, которые стали жертвами сексуального насилия, </w:t>
      </w:r>
      <w:r>
        <w:rPr>
          <w:b/>
        </w:rPr>
        <w:t xml:space="preserve">получали особое внимание и уход, </w:t>
      </w:r>
      <w:r w:rsidRPr="00744DCE">
        <w:rPr>
          <w:b/>
        </w:rPr>
        <w:t>в том числе важн</w:t>
      </w:r>
      <w:r>
        <w:rPr>
          <w:b/>
        </w:rPr>
        <w:t>ейшие</w:t>
      </w:r>
      <w:r w:rsidRPr="00744DCE">
        <w:rPr>
          <w:b/>
        </w:rPr>
        <w:t xml:space="preserve"> услуг</w:t>
      </w:r>
      <w:r>
        <w:rPr>
          <w:b/>
        </w:rPr>
        <w:t>и</w:t>
      </w:r>
      <w:r w:rsidRPr="00744DCE">
        <w:rPr>
          <w:b/>
        </w:rPr>
        <w:t xml:space="preserve"> экстренной контрацепции и прерывания беременности;</w:t>
      </w:r>
    </w:p>
    <w:p w14:paraId="729F6297" w14:textId="77777777" w:rsidR="00480AD4" w:rsidRPr="007A485E" w:rsidRDefault="00480AD4" w:rsidP="00480AD4">
      <w:pPr>
        <w:pStyle w:val="SingleTxt"/>
        <w:rPr>
          <w:b/>
        </w:rPr>
      </w:pPr>
      <w:r>
        <w:tab/>
        <w:t>e)</w:t>
      </w:r>
      <w:r>
        <w:tab/>
      </w:r>
      <w:r w:rsidRPr="00744DCE">
        <w:rPr>
          <w:b/>
        </w:rPr>
        <w:t>учредить должности сотрудников полиции по вопросам гендерного насилия на островах Брава, Фогу, Маю и Боа-Вишта, обеспечить надлежащее рассмотрение все</w:t>
      </w:r>
      <w:r>
        <w:rPr>
          <w:b/>
        </w:rPr>
        <w:t>х</w:t>
      </w:r>
      <w:r w:rsidRPr="00744DCE">
        <w:rPr>
          <w:b/>
        </w:rPr>
        <w:t xml:space="preserve"> сообщений о гендерном насилии</w:t>
      </w:r>
      <w:r>
        <w:rPr>
          <w:b/>
        </w:rPr>
        <w:t xml:space="preserve">, в том числе в семье, </w:t>
      </w:r>
      <w:r w:rsidRPr="00744DCE">
        <w:rPr>
          <w:b/>
        </w:rPr>
        <w:t>в отношении женщин</w:t>
      </w:r>
      <w:r>
        <w:rPr>
          <w:b/>
        </w:rPr>
        <w:t xml:space="preserve"> и</w:t>
      </w:r>
      <w:r w:rsidRPr="00744DCE">
        <w:rPr>
          <w:b/>
        </w:rPr>
        <w:t xml:space="preserve"> предоставить жертвам насилия доступ к службам защиты</w:t>
      </w:r>
      <w:r>
        <w:rPr>
          <w:b/>
        </w:rPr>
        <w:t>, а также</w:t>
      </w:r>
      <w:r w:rsidRPr="00744DCE">
        <w:rPr>
          <w:b/>
        </w:rPr>
        <w:t xml:space="preserve"> расширить полномочия прокуроров по делам</w:t>
      </w:r>
      <w:r>
        <w:rPr>
          <w:b/>
        </w:rPr>
        <w:t xml:space="preserve"> о </w:t>
      </w:r>
      <w:r w:rsidRPr="00744DCE">
        <w:rPr>
          <w:b/>
        </w:rPr>
        <w:t>гендерно</w:t>
      </w:r>
      <w:r>
        <w:rPr>
          <w:b/>
        </w:rPr>
        <w:t>м</w:t>
      </w:r>
      <w:r w:rsidRPr="00744DCE">
        <w:rPr>
          <w:b/>
        </w:rPr>
        <w:t xml:space="preserve"> насили</w:t>
      </w:r>
      <w:r>
        <w:rPr>
          <w:b/>
        </w:rPr>
        <w:t>и</w:t>
      </w:r>
      <w:r w:rsidRPr="00744DCE">
        <w:rPr>
          <w:b/>
        </w:rPr>
        <w:t xml:space="preserve">, с тем чтобы нарушители </w:t>
      </w:r>
      <w:r>
        <w:rPr>
          <w:b/>
        </w:rPr>
        <w:t xml:space="preserve">привлекались к ответственности и </w:t>
      </w:r>
      <w:r w:rsidRPr="00744DCE">
        <w:rPr>
          <w:b/>
        </w:rPr>
        <w:t xml:space="preserve">несли </w:t>
      </w:r>
      <w:r>
        <w:rPr>
          <w:b/>
        </w:rPr>
        <w:t xml:space="preserve">должное </w:t>
      </w:r>
      <w:r w:rsidRPr="00744DCE">
        <w:rPr>
          <w:b/>
        </w:rPr>
        <w:t xml:space="preserve">наказание, а жертв </w:t>
      </w:r>
      <w:r>
        <w:rPr>
          <w:b/>
        </w:rPr>
        <w:t xml:space="preserve">могли возместить причиненный им вред, в том числе получить </w:t>
      </w:r>
      <w:r w:rsidRPr="00744DCE">
        <w:rPr>
          <w:b/>
        </w:rPr>
        <w:t>компенсаци</w:t>
      </w:r>
      <w:r>
        <w:rPr>
          <w:b/>
        </w:rPr>
        <w:t>ю</w:t>
      </w:r>
      <w:r w:rsidRPr="00744DCE">
        <w:rPr>
          <w:b/>
        </w:rPr>
        <w:t>.</w:t>
      </w:r>
    </w:p>
    <w:p w14:paraId="6796258D" w14:textId="77777777" w:rsidR="00480AD4" w:rsidRPr="007A485E" w:rsidRDefault="00480AD4" w:rsidP="00480AD4">
      <w:pPr>
        <w:pStyle w:val="SingleTxt"/>
        <w:rPr>
          <w:b/>
        </w:rPr>
      </w:pPr>
      <w:r>
        <w:tab/>
        <w:t>f)</w:t>
      </w:r>
      <w:r>
        <w:tab/>
      </w:r>
      <w:r>
        <w:rPr>
          <w:b/>
        </w:rPr>
        <w:t>организовывать для</w:t>
      </w:r>
      <w:r w:rsidRPr="00744DCE">
        <w:rPr>
          <w:b/>
        </w:rPr>
        <w:t xml:space="preserve"> сотрудников судебной системы, прокуратуры, полиции и других правоохранительных органов надлежащ</w:t>
      </w:r>
      <w:r>
        <w:rPr>
          <w:b/>
        </w:rPr>
        <w:t>ую</w:t>
      </w:r>
      <w:r w:rsidRPr="00744DCE">
        <w:rPr>
          <w:b/>
        </w:rPr>
        <w:t xml:space="preserve"> подготовк</w:t>
      </w:r>
      <w:r>
        <w:rPr>
          <w:b/>
        </w:rPr>
        <w:t>у</w:t>
      </w:r>
      <w:r w:rsidRPr="00744DCE">
        <w:rPr>
          <w:b/>
        </w:rPr>
        <w:t xml:space="preserve"> </w:t>
      </w:r>
      <w:r>
        <w:rPr>
          <w:b/>
        </w:rPr>
        <w:t>по вопросам</w:t>
      </w:r>
      <w:r w:rsidRPr="00744DCE">
        <w:rPr>
          <w:b/>
        </w:rPr>
        <w:t xml:space="preserve"> прав женщин и </w:t>
      </w:r>
      <w:r>
        <w:rPr>
          <w:b/>
        </w:rPr>
        <w:t xml:space="preserve">использования </w:t>
      </w:r>
      <w:r w:rsidRPr="00744DCE">
        <w:rPr>
          <w:b/>
        </w:rPr>
        <w:t>учитывающих гендерную специфику метод</w:t>
      </w:r>
      <w:r>
        <w:rPr>
          <w:b/>
        </w:rPr>
        <w:t>ов</w:t>
      </w:r>
      <w:r w:rsidRPr="00744DCE">
        <w:rPr>
          <w:b/>
        </w:rPr>
        <w:t xml:space="preserve"> проведения расследований и допросов для применения при расследовании дел о гендерном насилии в отношении женщин;</w:t>
      </w:r>
    </w:p>
    <w:p w14:paraId="062B853E" w14:textId="0CD6102F" w:rsidR="00480AD4" w:rsidRPr="007A485E" w:rsidRDefault="00480AD4" w:rsidP="00480AD4">
      <w:pPr>
        <w:pStyle w:val="SingleTxt"/>
        <w:rPr>
          <w:b/>
        </w:rPr>
      </w:pPr>
      <w:r>
        <w:tab/>
        <w:t>g)</w:t>
      </w:r>
      <w:r>
        <w:tab/>
      </w:r>
      <w:r w:rsidRPr="00744DCE">
        <w:rPr>
          <w:b/>
        </w:rPr>
        <w:t>выделять достаточные ресурсы для</w:t>
      </w:r>
      <w:r>
        <w:rPr>
          <w:b/>
        </w:rPr>
        <w:t xml:space="preserve"> налаживания</w:t>
      </w:r>
      <w:r w:rsidRPr="00744DCE">
        <w:rPr>
          <w:b/>
        </w:rPr>
        <w:t xml:space="preserve"> полноценного функционирования на всей территории государства-участника приютов для женщин</w:t>
      </w:r>
      <w:r w:rsidR="00517DF1" w:rsidRPr="00517DF1">
        <w:rPr>
          <w:b/>
        </w:rPr>
        <w:t>-</w:t>
      </w:r>
      <w:r w:rsidRPr="00744DCE">
        <w:rPr>
          <w:b/>
        </w:rPr>
        <w:t xml:space="preserve">жертв гендерного насилия и обеспечить таким женщинам </w:t>
      </w:r>
      <w:r>
        <w:rPr>
          <w:b/>
        </w:rPr>
        <w:t>реальный</w:t>
      </w:r>
      <w:r w:rsidRPr="00744DCE">
        <w:rPr>
          <w:b/>
        </w:rPr>
        <w:t xml:space="preserve"> доступ к медицинским услугам, психологическим консультациям, юридической помощи и охранным ордерам;</w:t>
      </w:r>
    </w:p>
    <w:p w14:paraId="4EA34808" w14:textId="77777777" w:rsidR="00480AD4" w:rsidRPr="007A485E" w:rsidRDefault="00480AD4" w:rsidP="00480AD4">
      <w:pPr>
        <w:pStyle w:val="SingleTxt"/>
        <w:rPr>
          <w:b/>
        </w:rPr>
      </w:pPr>
      <w:r>
        <w:tab/>
        <w:t>h)</w:t>
      </w:r>
      <w:r>
        <w:tab/>
      </w:r>
      <w:r w:rsidRPr="00744DCE">
        <w:rPr>
          <w:b/>
        </w:rPr>
        <w:t>обеспечить</w:t>
      </w:r>
      <w:r>
        <w:rPr>
          <w:b/>
        </w:rPr>
        <w:t>, чтобы отделения</w:t>
      </w:r>
      <w:r w:rsidRPr="00744DCE">
        <w:rPr>
          <w:b/>
        </w:rPr>
        <w:t xml:space="preserve"> межинституциональн</w:t>
      </w:r>
      <w:r>
        <w:rPr>
          <w:b/>
        </w:rPr>
        <w:t>ой</w:t>
      </w:r>
      <w:r w:rsidRPr="00744DCE">
        <w:rPr>
          <w:b/>
        </w:rPr>
        <w:t xml:space="preserve"> сет</w:t>
      </w:r>
      <w:r>
        <w:rPr>
          <w:b/>
        </w:rPr>
        <w:t>и</w:t>
      </w:r>
      <w:r w:rsidRPr="00744DCE">
        <w:rPr>
          <w:b/>
        </w:rPr>
        <w:t xml:space="preserve"> оказания поддержки жертвам гендерного насилия (сеть СОЛ) и центр</w:t>
      </w:r>
      <w:r>
        <w:rPr>
          <w:b/>
        </w:rPr>
        <w:t>ы</w:t>
      </w:r>
      <w:r w:rsidRPr="00744DCE">
        <w:rPr>
          <w:b/>
        </w:rPr>
        <w:t xml:space="preserve"> оказания поддержки жертвам </w:t>
      </w:r>
      <w:r>
        <w:rPr>
          <w:b/>
        </w:rPr>
        <w:t xml:space="preserve">имелись </w:t>
      </w:r>
      <w:r w:rsidRPr="00744DCE">
        <w:rPr>
          <w:b/>
        </w:rPr>
        <w:t>во всех 22 муниципалитетах</w:t>
      </w:r>
      <w:r>
        <w:rPr>
          <w:b/>
        </w:rPr>
        <w:t>,</w:t>
      </w:r>
      <w:r w:rsidRPr="00744DCE">
        <w:rPr>
          <w:b/>
        </w:rPr>
        <w:t xml:space="preserve"> и оказание психологической, юридической и социальной помощи в одном месте.</w:t>
      </w:r>
    </w:p>
    <w:p w14:paraId="690F30B2" w14:textId="77777777" w:rsidR="00480AD4" w:rsidRPr="007A485E" w:rsidRDefault="00480AD4" w:rsidP="00480AD4">
      <w:pPr>
        <w:pStyle w:val="SingleTxt"/>
        <w:rPr>
          <w:b/>
        </w:rPr>
      </w:pPr>
      <w:r>
        <w:tab/>
        <w:t>i)</w:t>
      </w:r>
      <w:r>
        <w:tab/>
      </w:r>
      <w:r w:rsidRPr="00744DCE">
        <w:rPr>
          <w:b/>
        </w:rPr>
        <w:t xml:space="preserve">обеспечить </w:t>
      </w:r>
      <w:r>
        <w:rPr>
          <w:b/>
        </w:rPr>
        <w:t>наличие</w:t>
      </w:r>
      <w:r w:rsidRPr="00744DCE">
        <w:rPr>
          <w:b/>
        </w:rPr>
        <w:t xml:space="preserve"> специальной бесплатной телефонной лини</w:t>
      </w:r>
      <w:r>
        <w:rPr>
          <w:b/>
        </w:rPr>
        <w:t>и</w:t>
      </w:r>
      <w:r w:rsidRPr="00744DCE">
        <w:rPr>
          <w:b/>
        </w:rPr>
        <w:t xml:space="preserve"> помощи с профессиональными сотрудниками для </w:t>
      </w:r>
      <w:r>
        <w:rPr>
          <w:b/>
        </w:rPr>
        <w:t xml:space="preserve">оказания </w:t>
      </w:r>
      <w:r w:rsidRPr="00744DCE">
        <w:rPr>
          <w:b/>
        </w:rPr>
        <w:t>необходимых консульта</w:t>
      </w:r>
      <w:r>
        <w:rPr>
          <w:b/>
        </w:rPr>
        <w:t>тивных услуг</w:t>
      </w:r>
      <w:r w:rsidRPr="00744DCE">
        <w:rPr>
          <w:b/>
        </w:rPr>
        <w:t xml:space="preserve"> и поддержки жертвам гендерного насилия.</w:t>
      </w:r>
    </w:p>
    <w:p w14:paraId="06CC1C0C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6C1717E5" w14:textId="77777777" w:rsidR="00517DF1" w:rsidRDefault="00517DF1">
      <w:pPr>
        <w:spacing w:after="200" w:line="276" w:lineRule="auto"/>
        <w:rPr>
          <w:b/>
          <w:spacing w:val="2"/>
        </w:rPr>
      </w:pPr>
      <w:r>
        <w:br w:type="page"/>
      </w:r>
    </w:p>
    <w:p w14:paraId="5F5CA3BE" w14:textId="0B3785DD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14:paraId="00029063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D69C9B4" w14:textId="77777777" w:rsidR="00480AD4" w:rsidRPr="007A485E" w:rsidRDefault="00480AD4" w:rsidP="00480AD4">
      <w:pPr>
        <w:pStyle w:val="SingleTxt"/>
      </w:pPr>
      <w:r>
        <w:t>23.</w:t>
      </w:r>
      <w:r>
        <w:tab/>
        <w:t xml:space="preserve">Комитет приветствует предоставление товаров и услуг первой необходимости и срочной медицинской помощи жертвам торговли людьми, принятие национального плана по борьбе с торговлей людьми на период 2018–2021 годов, создание в 2016 году центра оказания поддержки женщинам, занимающимся проституцией или рискующим оказаться втянутыми в занятие проституцией, и введение уголовной ответственности за торговлю людьми (пункт </w:t>
      </w:r>
      <w:r w:rsidRPr="00A96C97">
        <w:t xml:space="preserve">A </w:t>
      </w:r>
      <w:r>
        <w:t xml:space="preserve">ст. 271 Уголовного кодекса) и принуждение к занятию проституцией (пункты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>
        <w:t xml:space="preserve"> ст. 268 Уголовного кодекса). В то же время Комитет с обеспокоенностью отмечает следующие проблемы:</w:t>
      </w:r>
    </w:p>
    <w:p w14:paraId="5E6BF0E2" w14:textId="77777777" w:rsidR="00480AD4" w:rsidRPr="007A485E" w:rsidRDefault="00480AD4" w:rsidP="00480AD4">
      <w:pPr>
        <w:pStyle w:val="SingleTxt"/>
      </w:pPr>
      <w:r>
        <w:tab/>
        <w:t>a)</w:t>
      </w:r>
      <w:r>
        <w:tab/>
        <w:t>отсутствие стандартных протоколов идентификации</w:t>
      </w:r>
      <w:r w:rsidRPr="002D147D">
        <w:t xml:space="preserve"> </w:t>
      </w:r>
      <w:r>
        <w:t>жертв торговли людьми для сотрудников правоохранительных органов и социальных служб; хотя пограничной службой были разработаны письменные процедуры выявления жертв подобных преступлений, обучения сотрудников их практическому применению не ведется;</w:t>
      </w:r>
    </w:p>
    <w:p w14:paraId="6E04E47E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>случаи, когда родители подталкивают своих дочерей к занятию проституцией для эксплуатации резидентами Соединенных Штатов Америки в целях получения иммиграционных виз в Соединенные Штаты или финансовой поддержки семьи, а также случаи сексуальной эксплуатации девочек начиная с 12 лет в обмен на наркотики;</w:t>
      </w:r>
    </w:p>
    <w:p w14:paraId="4CBEA02C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>случаи принуждения к занятию проституцией на островах Сал и Боа-Вишта, в том числе женщин-мигрантов из таких стран Западной Африки, как Нигерия и Сенегал;</w:t>
      </w:r>
    </w:p>
    <w:p w14:paraId="48138F20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>низкий процент расследований, предъявления обвинений и вынесения обвинительных приговоров в делах, касающихся торговли людьми и эксплуатации проституции, а также ограниченность поддержки, оказываемой жертвам, и возможностей для возмещения причиненного им вреда.</w:t>
      </w:r>
    </w:p>
    <w:p w14:paraId="3166A1FB" w14:textId="77777777" w:rsidR="00480AD4" w:rsidRPr="007A485E" w:rsidRDefault="00480AD4" w:rsidP="00480AD4">
      <w:pPr>
        <w:pStyle w:val="SingleTxt"/>
        <w:rPr>
          <w:b/>
        </w:rPr>
      </w:pPr>
      <w:r>
        <w:t>24.</w:t>
      </w:r>
      <w:r>
        <w:tab/>
      </w:r>
      <w:r w:rsidRPr="00744DCE">
        <w:rPr>
          <w:b/>
        </w:rPr>
        <w:t>В свете задачи 5.2 целей</w:t>
      </w:r>
      <w:r>
        <w:rPr>
          <w:b/>
        </w:rPr>
        <w:t xml:space="preserve"> в области</w:t>
      </w:r>
      <w:r w:rsidRPr="00744DCE">
        <w:rPr>
          <w:b/>
        </w:rPr>
        <w:t xml:space="preserve"> устойчивого развития ликвид</w:t>
      </w:r>
      <w:r>
        <w:rPr>
          <w:b/>
        </w:rPr>
        <w:t>ировать</w:t>
      </w:r>
      <w:r w:rsidRPr="00744DCE">
        <w:rPr>
          <w:b/>
        </w:rPr>
        <w:t xml:space="preserve"> все форм</w:t>
      </w:r>
      <w:r>
        <w:rPr>
          <w:b/>
        </w:rPr>
        <w:t>ы</w:t>
      </w:r>
      <w:r w:rsidRPr="00744DCE">
        <w:rPr>
          <w:b/>
        </w:rPr>
        <w:t xml:space="preserve"> насилия в отношении всех женщин и девочек в публичной и частной сферах, включая торговлю людьми и сексуальную и иные формы эксплуатации, Комитет рекомендует государству-участнику:</w:t>
      </w:r>
    </w:p>
    <w:p w14:paraId="4960EE7A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744DCE">
        <w:rPr>
          <w:b/>
        </w:rPr>
        <w:t xml:space="preserve">выработать стандартные протоколы раннего выявления жертв торговли людьми, </w:t>
      </w:r>
      <w:r>
        <w:rPr>
          <w:b/>
        </w:rPr>
        <w:t xml:space="preserve">передачи их соответствующим службам </w:t>
      </w:r>
      <w:r w:rsidRPr="00744DCE">
        <w:rPr>
          <w:b/>
        </w:rPr>
        <w:t>и оказания им поддержки, а также обеспечить, чтобы все соответствующие категории специалистов прошли адекватную подготовку по этим протоколам;</w:t>
      </w:r>
    </w:p>
    <w:p w14:paraId="26A9A56C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744DCE">
        <w:rPr>
          <w:b/>
        </w:rPr>
        <w:t xml:space="preserve">активизировать усилия по защите девочек, занимающихся проституцией, от эксплуатации и насилия, а также </w:t>
      </w:r>
      <w:r>
        <w:rPr>
          <w:b/>
        </w:rPr>
        <w:t>создавать</w:t>
      </w:r>
      <w:r w:rsidRPr="00744DCE">
        <w:rPr>
          <w:b/>
        </w:rPr>
        <w:t xml:space="preserve"> службы и разрабатывать специальные программы, которые помогут им </w:t>
      </w:r>
      <w:r>
        <w:rPr>
          <w:b/>
        </w:rPr>
        <w:t xml:space="preserve">порвать с </w:t>
      </w:r>
      <w:r w:rsidRPr="00744DCE">
        <w:rPr>
          <w:b/>
        </w:rPr>
        <w:t>проституцией;</w:t>
      </w:r>
    </w:p>
    <w:p w14:paraId="553BF7AD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744DCE">
        <w:rPr>
          <w:b/>
        </w:rPr>
        <w:t>расследовать</w:t>
      </w:r>
      <w:r w:rsidRPr="00B712CD">
        <w:rPr>
          <w:b/>
        </w:rPr>
        <w:t xml:space="preserve"> </w:t>
      </w:r>
      <w:r w:rsidRPr="00744DCE">
        <w:rPr>
          <w:b/>
        </w:rPr>
        <w:t xml:space="preserve">дела о торговле людьми, </w:t>
      </w:r>
      <w:r>
        <w:rPr>
          <w:b/>
        </w:rPr>
        <w:t>привлекать к ответственности</w:t>
      </w:r>
      <w:r w:rsidRPr="00744DCE">
        <w:rPr>
          <w:b/>
        </w:rPr>
        <w:t xml:space="preserve"> </w:t>
      </w:r>
      <w:r>
        <w:rPr>
          <w:b/>
        </w:rPr>
        <w:t xml:space="preserve">виновных и </w:t>
      </w:r>
      <w:r w:rsidRPr="00744DCE">
        <w:rPr>
          <w:b/>
        </w:rPr>
        <w:t xml:space="preserve">назначать </w:t>
      </w:r>
      <w:r>
        <w:rPr>
          <w:b/>
        </w:rPr>
        <w:t>им справедливое наказание</w:t>
      </w:r>
      <w:r w:rsidRPr="00744DCE">
        <w:rPr>
          <w:b/>
        </w:rPr>
        <w:t xml:space="preserve">, а также </w:t>
      </w:r>
      <w:r>
        <w:rPr>
          <w:b/>
        </w:rPr>
        <w:t>гарантировать</w:t>
      </w:r>
      <w:r w:rsidRPr="00744DCE">
        <w:rPr>
          <w:b/>
        </w:rPr>
        <w:t xml:space="preserve"> женщин</w:t>
      </w:r>
      <w:r>
        <w:rPr>
          <w:b/>
        </w:rPr>
        <w:t>ам</w:t>
      </w:r>
      <w:r w:rsidRPr="00744DCE">
        <w:rPr>
          <w:b/>
        </w:rPr>
        <w:t xml:space="preserve"> и девоч</w:t>
      </w:r>
      <w:r>
        <w:rPr>
          <w:b/>
        </w:rPr>
        <w:t>кам</w:t>
      </w:r>
      <w:r w:rsidRPr="00744DCE">
        <w:rPr>
          <w:b/>
        </w:rPr>
        <w:t>, ставши</w:t>
      </w:r>
      <w:r>
        <w:rPr>
          <w:b/>
        </w:rPr>
        <w:t>м</w:t>
      </w:r>
      <w:r w:rsidRPr="00744DCE">
        <w:rPr>
          <w:b/>
        </w:rPr>
        <w:t xml:space="preserve"> жертвами торговли людьми, включая женщин-мигрантов, освобождение от уголовной ответственности</w:t>
      </w:r>
      <w:r>
        <w:rPr>
          <w:b/>
        </w:rPr>
        <w:t xml:space="preserve"> и</w:t>
      </w:r>
      <w:r w:rsidRPr="00744DCE">
        <w:rPr>
          <w:b/>
        </w:rPr>
        <w:t xml:space="preserve"> доступ к </w:t>
      </w:r>
      <w:r>
        <w:rPr>
          <w:b/>
        </w:rPr>
        <w:t xml:space="preserve">необходимой </w:t>
      </w:r>
      <w:r w:rsidRPr="00744DCE">
        <w:rPr>
          <w:b/>
        </w:rPr>
        <w:t xml:space="preserve">медицинской помощи, приютам, консультациям и </w:t>
      </w:r>
      <w:r>
        <w:rPr>
          <w:b/>
        </w:rPr>
        <w:t xml:space="preserve">механизмам правовой защиты, </w:t>
      </w:r>
      <w:r w:rsidRPr="00744DCE">
        <w:rPr>
          <w:b/>
        </w:rPr>
        <w:t xml:space="preserve">включая </w:t>
      </w:r>
      <w:r>
        <w:rPr>
          <w:b/>
        </w:rPr>
        <w:t xml:space="preserve">возмещение причиненного вреда и </w:t>
      </w:r>
      <w:r w:rsidRPr="00744DCE">
        <w:rPr>
          <w:b/>
        </w:rPr>
        <w:t>компенсаци</w:t>
      </w:r>
      <w:r>
        <w:rPr>
          <w:b/>
        </w:rPr>
        <w:t>ю</w:t>
      </w:r>
      <w:r w:rsidRPr="00744DCE">
        <w:rPr>
          <w:b/>
        </w:rPr>
        <w:t>;</w:t>
      </w:r>
    </w:p>
    <w:p w14:paraId="789980B6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744DCE">
        <w:rPr>
          <w:b/>
        </w:rPr>
        <w:t>укреп</w:t>
      </w:r>
      <w:r>
        <w:rPr>
          <w:b/>
        </w:rPr>
        <w:t>лять</w:t>
      </w:r>
      <w:r w:rsidRPr="00744DCE">
        <w:rPr>
          <w:b/>
        </w:rPr>
        <w:t xml:space="preserve"> региональное сотрудничество со странами происхождения и назначения в целях предотвращения торговли женщинами и девочками</w:t>
      </w:r>
      <w:r>
        <w:rPr>
          <w:b/>
        </w:rPr>
        <w:t>,</w:t>
      </w:r>
      <w:r w:rsidRPr="00744DCE">
        <w:rPr>
          <w:b/>
        </w:rPr>
        <w:t xml:space="preserve"> обмен</w:t>
      </w:r>
      <w:r>
        <w:rPr>
          <w:b/>
        </w:rPr>
        <w:t>иваясь</w:t>
      </w:r>
      <w:r w:rsidRPr="00744DCE">
        <w:rPr>
          <w:b/>
        </w:rPr>
        <w:t xml:space="preserve"> информацией и </w:t>
      </w:r>
      <w:r>
        <w:rPr>
          <w:b/>
        </w:rPr>
        <w:t xml:space="preserve">гармонизируя </w:t>
      </w:r>
      <w:r w:rsidRPr="00744DCE">
        <w:rPr>
          <w:b/>
        </w:rPr>
        <w:t>процедур</w:t>
      </w:r>
      <w:r>
        <w:rPr>
          <w:b/>
        </w:rPr>
        <w:t>ы</w:t>
      </w:r>
      <w:r w:rsidRPr="00744DCE">
        <w:rPr>
          <w:b/>
        </w:rPr>
        <w:t xml:space="preserve"> для упрощения </w:t>
      </w:r>
      <w:r>
        <w:rPr>
          <w:b/>
        </w:rPr>
        <w:t>привлечения к ответственности виновных в</w:t>
      </w:r>
      <w:r w:rsidRPr="00744DCE">
        <w:rPr>
          <w:b/>
        </w:rPr>
        <w:t xml:space="preserve"> торгов</w:t>
      </w:r>
      <w:r>
        <w:rPr>
          <w:b/>
        </w:rPr>
        <w:t>ле</w:t>
      </w:r>
      <w:r w:rsidRPr="00744DCE">
        <w:rPr>
          <w:b/>
        </w:rPr>
        <w:t xml:space="preserve"> людьми.</w:t>
      </w:r>
    </w:p>
    <w:p w14:paraId="33EBB04B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3D6EF8E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14:paraId="17B11146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EF0797A" w14:textId="77777777" w:rsidR="00480AD4" w:rsidRPr="007A485E" w:rsidRDefault="00480AD4" w:rsidP="00480AD4">
      <w:pPr>
        <w:pStyle w:val="SingleTxt"/>
      </w:pPr>
      <w:r>
        <w:t>25.</w:t>
      </w:r>
      <w:r>
        <w:tab/>
        <w:t xml:space="preserve">Комитет отмечает рост числа женщин в парламенте и муниципальных собраниях, а также то, что доля женщин, занимающих посты представителей законодательной и исполнительной власти, директоров и управляющих высшего звена составляет 43,3 процента. В то же время Комитет выражает обеспокоенность следующими проблемами: </w:t>
      </w:r>
    </w:p>
    <w:p w14:paraId="6A712F5C" w14:textId="1143D4E9" w:rsidR="00480AD4" w:rsidRPr="007A485E" w:rsidRDefault="00480AD4" w:rsidP="00480AD4">
      <w:pPr>
        <w:pStyle w:val="SingleTxt"/>
      </w:pPr>
      <w:r>
        <w:tab/>
        <w:t>a)</w:t>
      </w:r>
      <w:r>
        <w:tab/>
        <w:t>представительство женщин остается низким в парламенте (23 процента в 2016 году) и снизилось на министерском уровне (с 53 процентов в 2010</w:t>
      </w:r>
      <w:r w:rsidR="00517DF1">
        <w:rPr>
          <w:lang w:val="en-US"/>
        </w:rPr>
        <w:t> </w:t>
      </w:r>
      <w:r>
        <w:t>году до 21 процента в 2019 году);</w:t>
      </w:r>
    </w:p>
    <w:p w14:paraId="1332C7F2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 xml:space="preserve">женщины слабо представлены в дипломатической службе, в международных организациях и в судебных органах; </w:t>
      </w:r>
    </w:p>
    <w:p w14:paraId="1E2D5B7E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 xml:space="preserve">подготовка проекта закона о паритете, предусматривающего равное представительство женщин и мужчин в выборных органах и на руководящих должностях в органах государственного управления, продвигается с задержками; </w:t>
      </w:r>
    </w:p>
    <w:p w14:paraId="4D1BBCAD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>избирательные процедуры не гарантируют равные избирательные права и принцип тайного голосования женщинам-инвалидам;</w:t>
      </w:r>
    </w:p>
    <w:p w14:paraId="3C2212C3" w14:textId="77777777" w:rsidR="00480AD4" w:rsidRPr="007A485E" w:rsidRDefault="00480AD4" w:rsidP="00480AD4">
      <w:pPr>
        <w:pStyle w:val="SingleTxt"/>
      </w:pPr>
      <w:r>
        <w:tab/>
        <w:t>e)</w:t>
      </w:r>
      <w:r>
        <w:tab/>
        <w:t>женщины принимают ограниченное участие в спортивной жизни.</w:t>
      </w:r>
    </w:p>
    <w:p w14:paraId="02369B7C" w14:textId="77777777" w:rsidR="00480AD4" w:rsidRPr="007A485E" w:rsidRDefault="00480AD4" w:rsidP="00480AD4">
      <w:pPr>
        <w:pStyle w:val="SingleTxt"/>
        <w:rPr>
          <w:b/>
        </w:rPr>
      </w:pPr>
      <w:r>
        <w:t>26.</w:t>
      </w:r>
      <w:r>
        <w:tab/>
      </w:r>
      <w:r w:rsidRPr="00CC4F25">
        <w:rPr>
          <w:b/>
        </w:rPr>
        <w:t>Комитет ссылается на свою общую рекомендацию № 23 (1997) об участии женщин в политической и общественной жизни и рекомендует государству-участнику:</w:t>
      </w:r>
    </w:p>
    <w:p w14:paraId="03F792F5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CC4F25">
        <w:rPr>
          <w:b/>
        </w:rPr>
        <w:t xml:space="preserve">проводить среди политиков, руководителей общин, СМИ и общественности </w:t>
      </w:r>
      <w:r>
        <w:rPr>
          <w:b/>
        </w:rPr>
        <w:t>информационно-просветительские кампании, пропагандируя</w:t>
      </w:r>
      <w:r w:rsidRPr="00CC4F25">
        <w:rPr>
          <w:b/>
        </w:rPr>
        <w:t xml:space="preserve"> </w:t>
      </w:r>
      <w:r>
        <w:rPr>
          <w:b/>
        </w:rPr>
        <w:t>важность</w:t>
      </w:r>
      <w:r w:rsidRPr="00CC4F25">
        <w:rPr>
          <w:b/>
        </w:rPr>
        <w:t xml:space="preserve"> участия женщин в политической жизни и </w:t>
      </w:r>
      <w:r>
        <w:rPr>
          <w:b/>
        </w:rPr>
        <w:t xml:space="preserve">нахождения на руководящих </w:t>
      </w:r>
      <w:r w:rsidRPr="00CC4F25">
        <w:rPr>
          <w:b/>
        </w:rPr>
        <w:t>должностях;</w:t>
      </w:r>
    </w:p>
    <w:p w14:paraId="4BCD693E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>стабильно</w:t>
      </w:r>
      <w:r w:rsidRPr="00CC4F25">
        <w:rPr>
          <w:b/>
        </w:rPr>
        <w:t xml:space="preserve"> увеличивать долю женщин в правительстве, на дипломатических постах, в международных организациях и в судебных органах, в частности на </w:t>
      </w:r>
      <w:r>
        <w:rPr>
          <w:b/>
        </w:rPr>
        <w:t>руководящих должностях</w:t>
      </w:r>
      <w:r w:rsidRPr="00CC4F25">
        <w:rPr>
          <w:b/>
        </w:rPr>
        <w:t xml:space="preserve">; </w:t>
      </w:r>
    </w:p>
    <w:p w14:paraId="224B4EC0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CC4F25">
        <w:rPr>
          <w:b/>
        </w:rPr>
        <w:t xml:space="preserve">скорейшим образом принять </w:t>
      </w:r>
      <w:r>
        <w:rPr>
          <w:b/>
        </w:rPr>
        <w:t>проект закона</w:t>
      </w:r>
      <w:r w:rsidRPr="00CC4F25">
        <w:rPr>
          <w:b/>
        </w:rPr>
        <w:t xml:space="preserve"> о </w:t>
      </w:r>
      <w:r>
        <w:rPr>
          <w:b/>
        </w:rPr>
        <w:t>паритете</w:t>
      </w:r>
      <w:r w:rsidRPr="00CC4F25">
        <w:rPr>
          <w:b/>
        </w:rPr>
        <w:t>, предусматривающий равное представительство женщин и мужчин в выборных органах и в органах государственного управления, и обеспечить его преимущественную силу над законом о политических партиях и избирательным кодексом до тех пор, пока в них не будут внесены соответствующие поправки;</w:t>
      </w:r>
    </w:p>
    <w:p w14:paraId="3E18E122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CC4F25">
        <w:rPr>
          <w:b/>
        </w:rPr>
        <w:t>внести изменения в избирательное законодательство, с тем чтобы обеспечить равные избирательные права и принцип тайного голосования для женщин-инвалидов;</w:t>
      </w:r>
    </w:p>
    <w:p w14:paraId="5B81B6D5" w14:textId="77777777" w:rsidR="00480AD4" w:rsidRPr="007A485E" w:rsidRDefault="00480AD4" w:rsidP="00480AD4">
      <w:pPr>
        <w:pStyle w:val="SingleTxt"/>
        <w:rPr>
          <w:b/>
        </w:rPr>
      </w:pPr>
      <w:r>
        <w:tab/>
        <w:t>e)</w:t>
      </w:r>
      <w:r>
        <w:tab/>
      </w:r>
      <w:r w:rsidRPr="00532937">
        <w:rPr>
          <w:b/>
        </w:rPr>
        <w:t xml:space="preserve">принимать более активные </w:t>
      </w:r>
      <w:r w:rsidRPr="003147DA">
        <w:rPr>
          <w:b/>
        </w:rPr>
        <w:t>меры</w:t>
      </w:r>
      <w:r>
        <w:rPr>
          <w:b/>
        </w:rPr>
        <w:t xml:space="preserve"> </w:t>
      </w:r>
      <w:r w:rsidRPr="00CC4F25">
        <w:rPr>
          <w:b/>
        </w:rPr>
        <w:t xml:space="preserve">по обеспечению гендерного равенства в спортивных органах, в том числе на уровне принятия решений, а также поощрять </w:t>
      </w:r>
      <w:r>
        <w:rPr>
          <w:b/>
        </w:rPr>
        <w:t xml:space="preserve">женщин к </w:t>
      </w:r>
      <w:r w:rsidRPr="00CC4F25">
        <w:rPr>
          <w:b/>
        </w:rPr>
        <w:t>заняти</w:t>
      </w:r>
      <w:r>
        <w:rPr>
          <w:b/>
        </w:rPr>
        <w:t>ю</w:t>
      </w:r>
      <w:r w:rsidRPr="00CC4F25">
        <w:rPr>
          <w:b/>
        </w:rPr>
        <w:t xml:space="preserve"> физической </w:t>
      </w:r>
      <w:r>
        <w:rPr>
          <w:b/>
        </w:rPr>
        <w:t>культурой</w:t>
      </w:r>
      <w:r w:rsidRPr="00CC4F25">
        <w:rPr>
          <w:b/>
        </w:rPr>
        <w:t xml:space="preserve"> </w:t>
      </w:r>
      <w:r>
        <w:rPr>
          <w:b/>
        </w:rPr>
        <w:t xml:space="preserve">для </w:t>
      </w:r>
      <w:r w:rsidRPr="00CC4F25">
        <w:rPr>
          <w:b/>
        </w:rPr>
        <w:t>поддержания их физического и психологического здоровья и благо</w:t>
      </w:r>
      <w:r>
        <w:rPr>
          <w:b/>
        </w:rPr>
        <w:t>получия</w:t>
      </w:r>
      <w:r w:rsidRPr="00CC4F25">
        <w:rPr>
          <w:b/>
        </w:rPr>
        <w:t>.</w:t>
      </w:r>
    </w:p>
    <w:p w14:paraId="1A4FEF49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D409248" w14:textId="77777777" w:rsidR="00517DF1" w:rsidRDefault="00517DF1">
      <w:pPr>
        <w:spacing w:after="200" w:line="276" w:lineRule="auto"/>
        <w:rPr>
          <w:b/>
          <w:spacing w:val="2"/>
        </w:rPr>
      </w:pPr>
      <w:r>
        <w:br w:type="page"/>
      </w:r>
    </w:p>
    <w:p w14:paraId="079B7833" w14:textId="724BB3E0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14:paraId="725EE43D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3D66DC57" w14:textId="77777777" w:rsidR="00480AD4" w:rsidRPr="007A485E" w:rsidRDefault="00480AD4" w:rsidP="00480AD4">
      <w:pPr>
        <w:pStyle w:val="SingleTxt"/>
      </w:pPr>
      <w:r>
        <w:t>27.</w:t>
      </w:r>
      <w:r>
        <w:tab/>
      </w:r>
      <w:r w:rsidRPr="00CC4F25">
        <w:rPr>
          <w:b/>
        </w:rPr>
        <w:t>Комитет приветствует меры, принятые государством-участником для разрешения 220 случаев безгражданства, выявленных во время переписи населения в 2010 году, и рекомендует ему ратифицировать Конвенцию о статусе апатридов 1954 года и Конвенцию 1961 года о сокращении безгражданства.</w:t>
      </w:r>
    </w:p>
    <w:p w14:paraId="2E1FC9E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49163A9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14:paraId="28A8FB79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5C429D2" w14:textId="77777777" w:rsidR="00480AD4" w:rsidRPr="007A485E" w:rsidRDefault="00480AD4" w:rsidP="00480AD4">
      <w:pPr>
        <w:pStyle w:val="SingleTxt"/>
      </w:pPr>
      <w:r>
        <w:t>28.</w:t>
      </w:r>
      <w:r>
        <w:tab/>
        <w:t xml:space="preserve">Комитет приветствует повышение уровня грамотности среди женщин, в частности среди женщин и девочек в возрасте от 15 до 24 лет, и принятие мер для содействия получению образования девочками и женщинами, включая беременных подростков и матерей-подростков, и прекращения насилия в школах. В то же время Комитет с обеспокоенностью отмечает следующие проблемы: </w:t>
      </w:r>
    </w:p>
    <w:p w14:paraId="01854777" w14:textId="77777777" w:rsidR="00480AD4" w:rsidRPr="007A485E" w:rsidRDefault="00480AD4" w:rsidP="00480AD4">
      <w:pPr>
        <w:pStyle w:val="SingleTxt"/>
      </w:pPr>
      <w:r>
        <w:tab/>
        <w:t>a)</w:t>
      </w:r>
      <w:r>
        <w:tab/>
        <w:t xml:space="preserve">сохраняющийся разрыв в уровне грамотности женщин и мужчин; </w:t>
      </w:r>
    </w:p>
    <w:p w14:paraId="7113628A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>отсутствие информации о показателях отсева девочек, в частности, беременных подростков и матерей-подростков;</w:t>
      </w:r>
    </w:p>
    <w:p w14:paraId="0FB83ED3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 xml:space="preserve">недостаточную представленность девочек в традиционно мужских областях знаний, в частности в высших учебных заведениях, где выбор учебных дисциплин остается стереотипным; </w:t>
      </w:r>
    </w:p>
    <w:p w14:paraId="2A4ED8E1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>тот факт, что значительная часть учащихся считает школы небезопасными и заявляет, что они стали жертвами насилия в школе и что более 50 процентов жертв были девочками.</w:t>
      </w:r>
    </w:p>
    <w:p w14:paraId="2DE2FA5E" w14:textId="77777777" w:rsidR="00480AD4" w:rsidRPr="007A485E" w:rsidRDefault="00480AD4" w:rsidP="00480AD4">
      <w:pPr>
        <w:pStyle w:val="SingleTxt"/>
      </w:pPr>
      <w:r>
        <w:t>29.</w:t>
      </w:r>
      <w:r>
        <w:tab/>
      </w:r>
      <w:r w:rsidRPr="00CC4F25">
        <w:rPr>
          <w:b/>
        </w:rPr>
        <w:t>Комитет ссылается на свою общую рекомендацию № 36 (2017) о праве девочек и женщин на образование, учитывает задачу 4.5 целей устойчивого развития — ликвидировать гендерное неравенство в сфере образования — и рекомендует государству-участнику:</w:t>
      </w:r>
    </w:p>
    <w:p w14:paraId="77ABBEB0" w14:textId="77777777" w:rsidR="00480AD4" w:rsidRPr="007A485E" w:rsidRDefault="00480AD4" w:rsidP="00480AD4">
      <w:pPr>
        <w:pStyle w:val="SingleTxt"/>
      </w:pPr>
      <w:r>
        <w:tab/>
        <w:t>a)</w:t>
      </w:r>
      <w:r>
        <w:tab/>
      </w:r>
      <w:r>
        <w:rPr>
          <w:b/>
        </w:rPr>
        <w:t>активизировать кампанию</w:t>
      </w:r>
      <w:r w:rsidRPr="00CC4F25">
        <w:rPr>
          <w:b/>
        </w:rPr>
        <w:t xml:space="preserve"> по ликвидации неграмотности </w:t>
      </w:r>
      <w:r>
        <w:rPr>
          <w:b/>
        </w:rPr>
        <w:t>среди</w:t>
      </w:r>
      <w:r w:rsidRPr="00CC4F25">
        <w:rPr>
          <w:b/>
        </w:rPr>
        <w:t xml:space="preserve"> женщин старше 24 лет и женщин, живущих в сельских или отдаленных районах;</w:t>
      </w:r>
    </w:p>
    <w:p w14:paraId="12BF5E47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CC4F25">
        <w:rPr>
          <w:b/>
        </w:rPr>
        <w:t>собирать данные об охвате образованием, прогулах и уровне отсева женщин и девочек на всех уровнях образования в разбивке по географическому местоположению, возрасту и наличию беремен</w:t>
      </w:r>
      <w:r>
        <w:rPr>
          <w:b/>
        </w:rPr>
        <w:t>н</w:t>
      </w:r>
      <w:r w:rsidRPr="00CC4F25">
        <w:rPr>
          <w:b/>
        </w:rPr>
        <w:t>ости;</w:t>
      </w:r>
    </w:p>
    <w:p w14:paraId="5290727A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контролировать</w:t>
      </w:r>
      <w:r w:rsidRPr="00CC4F25">
        <w:rPr>
          <w:b/>
        </w:rPr>
        <w:t xml:space="preserve"> выполнение декрета-закона об оказании социальной помощи </w:t>
      </w:r>
      <w:r>
        <w:rPr>
          <w:b/>
        </w:rPr>
        <w:t xml:space="preserve">обучающимся </w:t>
      </w:r>
      <w:r w:rsidRPr="00CC4F25">
        <w:rPr>
          <w:b/>
        </w:rPr>
        <w:t xml:space="preserve">в школе матерям, поощрять беременных подростков продолжать обучение и способствовать </w:t>
      </w:r>
      <w:r>
        <w:rPr>
          <w:b/>
        </w:rPr>
        <w:t>ре</w:t>
      </w:r>
      <w:r w:rsidRPr="00CC4F25">
        <w:rPr>
          <w:b/>
        </w:rPr>
        <w:t xml:space="preserve">интеграции в образовательную систему матерей-подростков, в том числе через оказание финансовой помощи, борьбу с культурным остракизмом посредством </w:t>
      </w:r>
      <w:r>
        <w:rPr>
          <w:b/>
        </w:rPr>
        <w:t xml:space="preserve">информационно-просветительских кампаний </w:t>
      </w:r>
      <w:r w:rsidRPr="00CC4F25">
        <w:rPr>
          <w:b/>
        </w:rPr>
        <w:t xml:space="preserve">и предоставления доступа к </w:t>
      </w:r>
      <w:r>
        <w:rPr>
          <w:b/>
        </w:rPr>
        <w:t xml:space="preserve">недорогим </w:t>
      </w:r>
      <w:r w:rsidRPr="00CC4F25">
        <w:rPr>
          <w:b/>
        </w:rPr>
        <w:t>детским учреждениям;</w:t>
      </w:r>
    </w:p>
    <w:p w14:paraId="0A84A45D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CC4F25">
        <w:rPr>
          <w:b/>
        </w:rPr>
        <w:t>незамедлительно включить в школьные программы на всех уровнях обязательн</w:t>
      </w:r>
      <w:r>
        <w:rPr>
          <w:b/>
        </w:rPr>
        <w:t>ые</w:t>
      </w:r>
      <w:r w:rsidRPr="00CC4F25">
        <w:rPr>
          <w:b/>
        </w:rPr>
        <w:t>, соответствующ</w:t>
      </w:r>
      <w:r>
        <w:rPr>
          <w:b/>
        </w:rPr>
        <w:t>ие</w:t>
      </w:r>
      <w:r w:rsidRPr="00CC4F25">
        <w:rPr>
          <w:b/>
        </w:rPr>
        <w:t xml:space="preserve"> возрасту, подкрепленн</w:t>
      </w:r>
      <w:r>
        <w:rPr>
          <w:b/>
        </w:rPr>
        <w:t>ы</w:t>
      </w:r>
      <w:r w:rsidRPr="00CC4F25">
        <w:rPr>
          <w:b/>
        </w:rPr>
        <w:t>е фактами и научно обоснованн</w:t>
      </w:r>
      <w:r>
        <w:rPr>
          <w:b/>
        </w:rPr>
        <w:t>ы</w:t>
      </w:r>
      <w:r w:rsidRPr="00CC4F25">
        <w:rPr>
          <w:b/>
        </w:rPr>
        <w:t xml:space="preserve">е </w:t>
      </w:r>
      <w:r>
        <w:rPr>
          <w:b/>
        </w:rPr>
        <w:t>курсы для</w:t>
      </w:r>
      <w:r w:rsidRPr="00CC4F25">
        <w:rPr>
          <w:b/>
        </w:rPr>
        <w:t xml:space="preserve"> девочек и мальчиков по вопросам сексуального и репродуктивного здоровья и</w:t>
      </w:r>
      <w:r>
        <w:rPr>
          <w:b/>
        </w:rPr>
        <w:t xml:space="preserve"> соответствующих</w:t>
      </w:r>
      <w:r w:rsidRPr="00CC4F25">
        <w:rPr>
          <w:b/>
        </w:rPr>
        <w:t xml:space="preserve"> прав, </w:t>
      </w:r>
      <w:r>
        <w:rPr>
          <w:b/>
        </w:rPr>
        <w:t xml:space="preserve">формирующие </w:t>
      </w:r>
      <w:r w:rsidRPr="00CC4F25">
        <w:rPr>
          <w:b/>
        </w:rPr>
        <w:t>ответственное сексуальное поведение и свободн</w:t>
      </w:r>
      <w:r>
        <w:rPr>
          <w:b/>
        </w:rPr>
        <w:t>ы</w:t>
      </w:r>
      <w:r w:rsidRPr="00CC4F25">
        <w:rPr>
          <w:b/>
        </w:rPr>
        <w:t>е от дискриминационных гендерных стереотипов;</w:t>
      </w:r>
    </w:p>
    <w:p w14:paraId="1DA248CC" w14:textId="77777777" w:rsidR="00480AD4" w:rsidRPr="007A485E" w:rsidRDefault="00480AD4" w:rsidP="00480AD4">
      <w:pPr>
        <w:pStyle w:val="SingleTxt"/>
        <w:rPr>
          <w:b/>
        </w:rPr>
      </w:pPr>
      <w:r>
        <w:tab/>
        <w:t>e)</w:t>
      </w:r>
      <w:r>
        <w:tab/>
      </w:r>
      <w:r w:rsidRPr="00CC4F25">
        <w:rPr>
          <w:b/>
        </w:rPr>
        <w:t xml:space="preserve">принять временные специальные меры, </w:t>
      </w:r>
      <w:r>
        <w:rPr>
          <w:b/>
        </w:rPr>
        <w:t xml:space="preserve">предусматривающие </w:t>
      </w:r>
      <w:r w:rsidRPr="00CC4F25">
        <w:rPr>
          <w:b/>
        </w:rPr>
        <w:t>в</w:t>
      </w:r>
      <w:r>
        <w:rPr>
          <w:b/>
        </w:rPr>
        <w:t xml:space="preserve"> том числе </w:t>
      </w:r>
      <w:r w:rsidRPr="00CC4F25">
        <w:rPr>
          <w:b/>
        </w:rPr>
        <w:t>финансов</w:t>
      </w:r>
      <w:r>
        <w:rPr>
          <w:b/>
        </w:rPr>
        <w:t xml:space="preserve">ые стимулы и выплату </w:t>
      </w:r>
      <w:r w:rsidRPr="00CC4F25">
        <w:rPr>
          <w:b/>
        </w:rPr>
        <w:t>стипенди</w:t>
      </w:r>
      <w:r>
        <w:rPr>
          <w:b/>
        </w:rPr>
        <w:t>й</w:t>
      </w:r>
      <w:r w:rsidRPr="00CC4F25">
        <w:rPr>
          <w:b/>
        </w:rPr>
        <w:t xml:space="preserve">, для </w:t>
      </w:r>
      <w:r>
        <w:rPr>
          <w:b/>
        </w:rPr>
        <w:t xml:space="preserve">стимулирования </w:t>
      </w:r>
      <w:r w:rsidRPr="00CC4F25">
        <w:rPr>
          <w:b/>
        </w:rPr>
        <w:t xml:space="preserve">женщин и девочек </w:t>
      </w:r>
      <w:r>
        <w:rPr>
          <w:b/>
        </w:rPr>
        <w:t xml:space="preserve">к поступлению на факультеты </w:t>
      </w:r>
      <w:r w:rsidRPr="00CC4F25">
        <w:rPr>
          <w:b/>
        </w:rPr>
        <w:t>естественн</w:t>
      </w:r>
      <w:r>
        <w:rPr>
          <w:b/>
        </w:rPr>
        <w:t xml:space="preserve">ых </w:t>
      </w:r>
      <w:r w:rsidRPr="00CC4F25">
        <w:rPr>
          <w:b/>
        </w:rPr>
        <w:t>нау</w:t>
      </w:r>
      <w:r>
        <w:rPr>
          <w:b/>
        </w:rPr>
        <w:t>к</w:t>
      </w:r>
      <w:r w:rsidRPr="00CC4F25">
        <w:rPr>
          <w:b/>
        </w:rPr>
        <w:t>, технически</w:t>
      </w:r>
      <w:r>
        <w:rPr>
          <w:b/>
        </w:rPr>
        <w:t>е</w:t>
      </w:r>
      <w:r w:rsidRPr="00CC4F25">
        <w:rPr>
          <w:b/>
        </w:rPr>
        <w:t>, инженерны</w:t>
      </w:r>
      <w:r>
        <w:rPr>
          <w:b/>
        </w:rPr>
        <w:t>е</w:t>
      </w:r>
      <w:r w:rsidRPr="00CC4F25">
        <w:rPr>
          <w:b/>
        </w:rPr>
        <w:t xml:space="preserve"> и математически</w:t>
      </w:r>
      <w:r>
        <w:rPr>
          <w:b/>
        </w:rPr>
        <w:t>е</w:t>
      </w:r>
      <w:r w:rsidRPr="00CC4F25">
        <w:rPr>
          <w:b/>
        </w:rPr>
        <w:t xml:space="preserve"> </w:t>
      </w:r>
      <w:r>
        <w:rPr>
          <w:b/>
        </w:rPr>
        <w:t>факультеты</w:t>
      </w:r>
      <w:r w:rsidRPr="00CC4F25">
        <w:rPr>
          <w:b/>
        </w:rPr>
        <w:t xml:space="preserve"> и </w:t>
      </w:r>
      <w:r>
        <w:rPr>
          <w:b/>
        </w:rPr>
        <w:t xml:space="preserve">направленные на </w:t>
      </w:r>
      <w:r w:rsidRPr="00CC4F25">
        <w:rPr>
          <w:b/>
        </w:rPr>
        <w:t>устранени</w:t>
      </w:r>
      <w:r>
        <w:rPr>
          <w:b/>
        </w:rPr>
        <w:t>е</w:t>
      </w:r>
      <w:r w:rsidRPr="00CC4F25">
        <w:rPr>
          <w:b/>
        </w:rPr>
        <w:t xml:space="preserve"> стереотипов и структурных барьеров, которые могут удерживать девочек и молодых женщин от поступления в учебные заведения, в которых традиционно доминируют мужчины;</w:t>
      </w:r>
    </w:p>
    <w:p w14:paraId="75CF78BF" w14:textId="4985BE22" w:rsidR="00480AD4" w:rsidRPr="007A485E" w:rsidRDefault="00480AD4" w:rsidP="00480AD4">
      <w:pPr>
        <w:pStyle w:val="SingleTxt"/>
      </w:pPr>
      <w:r>
        <w:tab/>
        <w:t>f)</w:t>
      </w:r>
      <w:r>
        <w:tab/>
      </w:r>
      <w:r w:rsidRPr="00CC4F25">
        <w:rPr>
          <w:b/>
        </w:rPr>
        <w:t>обеспечить практическое осуществление национального плана по борьбе с сексуальным насилием в отношении детей и подростков на период 2017</w:t>
      </w:r>
      <w:r w:rsidR="00517DF1" w:rsidRPr="00517DF1">
        <w:rPr>
          <w:b/>
        </w:rPr>
        <w:t>–</w:t>
      </w:r>
      <w:r w:rsidRPr="00CC4F25">
        <w:rPr>
          <w:b/>
        </w:rPr>
        <w:t xml:space="preserve">2019 годов и разработать меры по борьбе со всеми формами гендерного насилия в школах, </w:t>
      </w:r>
      <w:r>
        <w:rPr>
          <w:b/>
        </w:rPr>
        <w:t xml:space="preserve">а также с </w:t>
      </w:r>
      <w:r w:rsidRPr="00CC4F25">
        <w:rPr>
          <w:b/>
        </w:rPr>
        <w:t>применение</w:t>
      </w:r>
      <w:r>
        <w:rPr>
          <w:b/>
        </w:rPr>
        <w:t>м</w:t>
      </w:r>
      <w:r w:rsidRPr="00CC4F25">
        <w:rPr>
          <w:b/>
        </w:rPr>
        <w:t xml:space="preserve"> телесных наказаний.</w:t>
      </w:r>
    </w:p>
    <w:p w14:paraId="335831E5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97EF76E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14:paraId="76E71D9C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B67E408" w14:textId="77777777" w:rsidR="00480AD4" w:rsidRPr="007A485E" w:rsidRDefault="00480AD4" w:rsidP="00480AD4">
      <w:pPr>
        <w:pStyle w:val="SingleTxt"/>
      </w:pPr>
      <w:r>
        <w:t>30.</w:t>
      </w:r>
      <w:r>
        <w:tab/>
        <w:t>Комитет высоко оценивает меры, принятые государством-участником для поощрения права женщин на труд, включая план действий по учету гендерной проблематики в секторе туризма на период 2016–2018 годов, национальную стратегию перехода от неформальной к формальной экономике на период 2017–2020 годов, национальный план трудоустройства населения на период 2018–2023 годов и подготовку предпринимателей, проводимую Агентством по развитию предпринимательства и инновациям. В то же время Комитет с обеспокоенностью отмечает следующие проблемы:</w:t>
      </w:r>
    </w:p>
    <w:p w14:paraId="7BA3D235" w14:textId="77777777" w:rsidR="00480AD4" w:rsidRPr="007A485E" w:rsidRDefault="00480AD4" w:rsidP="00480AD4">
      <w:pPr>
        <w:pStyle w:val="SingleTxt"/>
      </w:pPr>
      <w:r>
        <w:tab/>
        <w:t>a)</w:t>
      </w:r>
      <w:r>
        <w:tab/>
        <w:t>сохранение гендерной сегрегации на рынке труда, при которой женщины заняты преимущественно в сфере домашнего труда, здравоохранения, торговли, образования, гостиничного и ресторанного бизнеса;</w:t>
      </w:r>
    </w:p>
    <w:p w14:paraId="56C42A26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>сохранение гендерных стереотипов, которые являются одной из главных причин возлагаемого на женщин непропорционально тяжелого бремени неоплачиваемого труда по дому, воспитанию детей и уходу за членами семьи, и недостаточную продолжительность декретного отпуска для женщин, что ограничивает их доступ к рынку труда;</w:t>
      </w:r>
    </w:p>
    <w:p w14:paraId="3E91C70D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 xml:space="preserve">тот факт, что большинство женщин работают в секторе туризма по контрактам, не дающих им гарантий занятости, и составляют основную часть занятых в неформальном секторе; </w:t>
      </w:r>
    </w:p>
    <w:p w14:paraId="798E0FFE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>высокий уровень безработицы среди женщин с высшим образованием, несмотря на то, что доля женщин с высшим образованием почти на 10 процентов выше, чем доля мужчин;</w:t>
      </w:r>
    </w:p>
    <w:p w14:paraId="5A086E0C" w14:textId="77777777" w:rsidR="00480AD4" w:rsidRPr="007A485E" w:rsidRDefault="00480AD4" w:rsidP="00480AD4">
      <w:pPr>
        <w:pStyle w:val="SingleTxt"/>
      </w:pPr>
      <w:r>
        <w:tab/>
        <w:t>e)</w:t>
      </w:r>
      <w:r>
        <w:tab/>
        <w:t>тот факт, что принцип равной оплаты за труд равной ценности не был включен в последнюю редакцию Трудового кодекса;</w:t>
      </w:r>
    </w:p>
    <w:p w14:paraId="1072960F" w14:textId="77777777" w:rsidR="00480AD4" w:rsidRPr="007A485E" w:rsidRDefault="00480AD4" w:rsidP="00480AD4">
      <w:pPr>
        <w:pStyle w:val="SingleTxt"/>
      </w:pPr>
      <w:r>
        <w:tab/>
        <w:t>f)</w:t>
      </w:r>
      <w:r>
        <w:tab/>
        <w:t>отсутствие информации о сексуальных домогательствах на рабочем месте и имеющихся в распоряжении женщин механизмах подачи жалоб.</w:t>
      </w:r>
    </w:p>
    <w:p w14:paraId="16F36CCF" w14:textId="77777777" w:rsidR="00480AD4" w:rsidRPr="007A485E" w:rsidRDefault="00480AD4" w:rsidP="00480AD4">
      <w:pPr>
        <w:pStyle w:val="SingleTxt"/>
      </w:pPr>
      <w:r>
        <w:t>31.</w:t>
      </w:r>
      <w:r>
        <w:tab/>
      </w:r>
      <w:r w:rsidRPr="00CC4F25">
        <w:rPr>
          <w:b/>
        </w:rPr>
        <w:t>Комитет рекомендует государству-участнику:</w:t>
      </w:r>
    </w:p>
    <w:p w14:paraId="13A1ECE3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CC4F25">
        <w:rPr>
          <w:b/>
        </w:rPr>
        <w:t xml:space="preserve">принять меры, включая временные специальные меры в соответствии с пунктом 1 статьи 4 Конвенции, </w:t>
      </w:r>
      <w:r>
        <w:rPr>
          <w:b/>
        </w:rPr>
        <w:t>в том числе проводить</w:t>
      </w:r>
      <w:r w:rsidRPr="00CC4F25">
        <w:rPr>
          <w:b/>
        </w:rPr>
        <w:t xml:space="preserve"> информационно-просветительские мероприятия, </w:t>
      </w:r>
      <w:r>
        <w:rPr>
          <w:b/>
        </w:rPr>
        <w:t xml:space="preserve">устанавливать </w:t>
      </w:r>
      <w:r w:rsidRPr="00CC4F25">
        <w:rPr>
          <w:b/>
        </w:rPr>
        <w:t xml:space="preserve">квоты и </w:t>
      </w:r>
      <w:r>
        <w:rPr>
          <w:b/>
        </w:rPr>
        <w:t xml:space="preserve">вводить </w:t>
      </w:r>
      <w:r w:rsidRPr="00CC4F25">
        <w:rPr>
          <w:b/>
        </w:rPr>
        <w:t xml:space="preserve">стимулы, для поощрения </w:t>
      </w:r>
      <w:r>
        <w:rPr>
          <w:b/>
        </w:rPr>
        <w:t xml:space="preserve">женщин к </w:t>
      </w:r>
      <w:r w:rsidRPr="00CC4F25">
        <w:rPr>
          <w:b/>
        </w:rPr>
        <w:t>выбор</w:t>
      </w:r>
      <w:r>
        <w:rPr>
          <w:b/>
        </w:rPr>
        <w:t>у</w:t>
      </w:r>
      <w:r w:rsidRPr="00CC4F25">
        <w:rPr>
          <w:b/>
        </w:rPr>
        <w:t xml:space="preserve"> нетрадиционных </w:t>
      </w:r>
      <w:r>
        <w:rPr>
          <w:b/>
        </w:rPr>
        <w:t>для них видов профессиональной деятельности</w:t>
      </w:r>
      <w:r w:rsidRPr="00CC4F25">
        <w:rPr>
          <w:b/>
        </w:rPr>
        <w:t xml:space="preserve"> и сокращения гендерной сегрегации на рынке труда;</w:t>
      </w:r>
    </w:p>
    <w:p w14:paraId="46096FF8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CC4F25">
        <w:rPr>
          <w:b/>
        </w:rPr>
        <w:t>увеличить срок декретного отпуска с двух до четырех месяцев, установить отпуск по уходу за ребенком для отцов, предоставляемый в течение первых двух недель после рождения ребенка, и содействовать равномерному распределению семейных и домашних обязанностей между матерями и отцами;</w:t>
      </w:r>
    </w:p>
    <w:p w14:paraId="73195D13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CC4F25">
        <w:rPr>
          <w:b/>
        </w:rPr>
        <w:t xml:space="preserve">обеспечить применение трудового законодательства в туристической отрасли, с тем чтобы положить конец практике заключения </w:t>
      </w:r>
      <w:r>
        <w:rPr>
          <w:b/>
        </w:rPr>
        <w:t>трудовых</w:t>
      </w:r>
      <w:r w:rsidRPr="00CC4F25">
        <w:rPr>
          <w:b/>
        </w:rPr>
        <w:t xml:space="preserve"> контрактов</w:t>
      </w:r>
      <w:r>
        <w:rPr>
          <w:b/>
        </w:rPr>
        <w:t>, не содержащих гарантий занятости,</w:t>
      </w:r>
      <w:r w:rsidRPr="00CC4F25">
        <w:rPr>
          <w:b/>
        </w:rPr>
        <w:t xml:space="preserve"> и ускорить переход женщин от работы в неформальном секторе к работе в формальном секторе экономики;</w:t>
      </w:r>
    </w:p>
    <w:p w14:paraId="2F1495E5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CC4F25">
        <w:rPr>
          <w:b/>
        </w:rPr>
        <w:t xml:space="preserve">содействовать </w:t>
      </w:r>
      <w:r>
        <w:rPr>
          <w:b/>
        </w:rPr>
        <w:t xml:space="preserve">расширению </w:t>
      </w:r>
      <w:r w:rsidRPr="00CC4F25">
        <w:rPr>
          <w:b/>
        </w:rPr>
        <w:t>доступ</w:t>
      </w:r>
      <w:r>
        <w:rPr>
          <w:b/>
        </w:rPr>
        <w:t>а</w:t>
      </w:r>
      <w:r w:rsidRPr="00CC4F25">
        <w:rPr>
          <w:b/>
        </w:rPr>
        <w:t xml:space="preserve"> на рынок труда женщин с высшим образованием;</w:t>
      </w:r>
    </w:p>
    <w:p w14:paraId="43C72C90" w14:textId="77777777" w:rsidR="00480AD4" w:rsidRPr="007A485E" w:rsidRDefault="00480AD4" w:rsidP="00480AD4">
      <w:pPr>
        <w:pStyle w:val="SingleTxt"/>
        <w:rPr>
          <w:b/>
        </w:rPr>
      </w:pPr>
      <w:r>
        <w:tab/>
        <w:t>e)</w:t>
      </w:r>
      <w:r>
        <w:tab/>
      </w:r>
      <w:r w:rsidRPr="00CC4F25">
        <w:rPr>
          <w:b/>
        </w:rPr>
        <w:t xml:space="preserve">незамедлительно внести поправки в Трудовой кодекс для обеспечения </w:t>
      </w:r>
      <w:r>
        <w:rPr>
          <w:b/>
        </w:rPr>
        <w:t xml:space="preserve">соблюдения </w:t>
      </w:r>
      <w:r w:rsidRPr="00CC4F25">
        <w:rPr>
          <w:b/>
        </w:rPr>
        <w:t>принципа равной оплаты за труд равной ценности;</w:t>
      </w:r>
    </w:p>
    <w:p w14:paraId="4B0556E5" w14:textId="77777777" w:rsidR="00480AD4" w:rsidRPr="007A485E" w:rsidRDefault="00480AD4" w:rsidP="00480AD4">
      <w:pPr>
        <w:pStyle w:val="SingleTxt"/>
        <w:rPr>
          <w:b/>
        </w:rPr>
      </w:pPr>
      <w:r>
        <w:tab/>
        <w:t>f)</w:t>
      </w:r>
      <w:r>
        <w:tab/>
      </w:r>
      <w:r w:rsidRPr="00CC4F25">
        <w:rPr>
          <w:b/>
        </w:rPr>
        <w:t>принимать меры по предотвращению сексуальных домогательств на рабочем месте, поощрять женщин подавать жалобы в случа</w:t>
      </w:r>
      <w:r>
        <w:rPr>
          <w:b/>
        </w:rPr>
        <w:t>е</w:t>
      </w:r>
      <w:r w:rsidRPr="00CC4F25">
        <w:rPr>
          <w:b/>
        </w:rPr>
        <w:t xml:space="preserve"> сексуальных домогательств и обеспечивать оперативное расследование таких жалоб и надлежащее наказание виновных;</w:t>
      </w:r>
    </w:p>
    <w:p w14:paraId="26E36D14" w14:textId="527A10BB" w:rsidR="00480AD4" w:rsidRPr="007A485E" w:rsidRDefault="00480AD4" w:rsidP="00480AD4">
      <w:pPr>
        <w:pStyle w:val="SingleTxt"/>
      </w:pPr>
      <w:r>
        <w:tab/>
        <w:t>g)</w:t>
      </w:r>
      <w:r>
        <w:tab/>
      </w:r>
      <w:r w:rsidRPr="00CC4F25">
        <w:rPr>
          <w:b/>
        </w:rPr>
        <w:t xml:space="preserve">ратифицировать Конвенцию 1981 года о работниках с семейными обязанностями (№ 156) и Конвенцию 2000 года об </w:t>
      </w:r>
      <w:r>
        <w:rPr>
          <w:b/>
        </w:rPr>
        <w:t>охране</w:t>
      </w:r>
      <w:r w:rsidRPr="00CC4F25">
        <w:rPr>
          <w:b/>
        </w:rPr>
        <w:t xml:space="preserve"> материнства</w:t>
      </w:r>
      <w:r w:rsidR="00517DF1">
        <w:rPr>
          <w:b/>
        </w:rPr>
        <w:br/>
      </w:r>
      <w:r w:rsidRPr="00CC4F25">
        <w:rPr>
          <w:b/>
        </w:rPr>
        <w:t>(№ 183) Международной организации труда (МОТ).</w:t>
      </w:r>
    </w:p>
    <w:p w14:paraId="7DDC629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ABF4241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Домработницы</w:t>
      </w:r>
    </w:p>
    <w:p w14:paraId="665D73C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A2F9407" w14:textId="586FDF68" w:rsidR="00480AD4" w:rsidRPr="007A485E" w:rsidRDefault="00480AD4" w:rsidP="00480AD4">
      <w:pPr>
        <w:pStyle w:val="SingleTxt"/>
      </w:pPr>
      <w:r>
        <w:t>32.</w:t>
      </w:r>
      <w:r>
        <w:tab/>
        <w:t>Комитет приветствует создание в 2018 году Ассоциации домашних работников. Комитет отмечает, что женщины составляют большинство домашних работников, и выражает обеспокоенность в связи с тем, что нормативная база, регулирующая домашний труд, еще не утверждена. Комитет с обеспокоенностью отмечает, что, несмотря на распространение социальной защиты на домашних работников в соответствии с декретом-законом № 49/2009 от 23</w:t>
      </w:r>
      <w:r w:rsidR="00517DF1">
        <w:rPr>
          <w:lang w:val="en-US"/>
        </w:rPr>
        <w:t> </w:t>
      </w:r>
      <w:r>
        <w:t>ноября 2009</w:t>
      </w:r>
      <w:r w:rsidR="00517DF1">
        <w:rPr>
          <w:lang w:val="en-US"/>
        </w:rPr>
        <w:t> </w:t>
      </w:r>
      <w:r>
        <w:t xml:space="preserve">года, в 2018 году лишь 17,5 процента домашних работников были охвачены национальной системой обязательной социальной защиты. </w:t>
      </w:r>
    </w:p>
    <w:p w14:paraId="7E4E983F" w14:textId="77777777" w:rsidR="00480AD4" w:rsidRPr="007A485E" w:rsidRDefault="00480AD4" w:rsidP="00480AD4">
      <w:pPr>
        <w:pStyle w:val="SingleTxt"/>
      </w:pPr>
      <w:r>
        <w:t>33.</w:t>
      </w:r>
      <w:r>
        <w:tab/>
      </w:r>
      <w:r w:rsidRPr="00CC4F25">
        <w:rPr>
          <w:b/>
        </w:rPr>
        <w:t>Комитет рекомендует государству-участнику:</w:t>
      </w:r>
    </w:p>
    <w:p w14:paraId="2833A292" w14:textId="77777777" w:rsidR="00480AD4" w:rsidRPr="007A485E" w:rsidRDefault="00480AD4" w:rsidP="00480AD4">
      <w:pPr>
        <w:pStyle w:val="SingleTxt"/>
      </w:pPr>
      <w:r>
        <w:tab/>
        <w:t>a)</w:t>
      </w:r>
      <w:r>
        <w:tab/>
      </w:r>
      <w:r w:rsidRPr="00CC4F25">
        <w:rPr>
          <w:b/>
        </w:rPr>
        <w:t>незамедлительно утвердить нормативно-правовую базу</w:t>
      </w:r>
      <w:r>
        <w:rPr>
          <w:b/>
        </w:rPr>
        <w:t xml:space="preserve"> для регулирования</w:t>
      </w:r>
      <w:r w:rsidRPr="00CC4F25">
        <w:rPr>
          <w:b/>
        </w:rPr>
        <w:t xml:space="preserve"> </w:t>
      </w:r>
      <w:r>
        <w:rPr>
          <w:b/>
        </w:rPr>
        <w:t xml:space="preserve">труда </w:t>
      </w:r>
      <w:r w:rsidRPr="00CC4F25">
        <w:rPr>
          <w:b/>
        </w:rPr>
        <w:t>дом</w:t>
      </w:r>
      <w:r>
        <w:rPr>
          <w:b/>
        </w:rPr>
        <w:t>ашних работников</w:t>
      </w:r>
      <w:r w:rsidRPr="00CC4F25">
        <w:rPr>
          <w:b/>
        </w:rPr>
        <w:t>;</w:t>
      </w:r>
    </w:p>
    <w:p w14:paraId="5FF09447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CC4F25">
        <w:rPr>
          <w:b/>
        </w:rPr>
        <w:t xml:space="preserve">обеспечить, чтобы трудовые инспекции также </w:t>
      </w:r>
      <w:r>
        <w:rPr>
          <w:b/>
        </w:rPr>
        <w:t>проводились в</w:t>
      </w:r>
      <w:r w:rsidRPr="00CC4F25">
        <w:rPr>
          <w:b/>
        </w:rPr>
        <w:t xml:space="preserve"> домохозяйства</w:t>
      </w:r>
      <w:r>
        <w:rPr>
          <w:b/>
        </w:rPr>
        <w:t xml:space="preserve">х, использующих труд </w:t>
      </w:r>
      <w:r w:rsidRPr="00CC4F25">
        <w:rPr>
          <w:b/>
        </w:rPr>
        <w:t>домашни</w:t>
      </w:r>
      <w:r>
        <w:rPr>
          <w:b/>
        </w:rPr>
        <w:t>х</w:t>
      </w:r>
      <w:r w:rsidRPr="00CC4F25">
        <w:rPr>
          <w:b/>
        </w:rPr>
        <w:t xml:space="preserve"> работник</w:t>
      </w:r>
      <w:r>
        <w:rPr>
          <w:b/>
        </w:rPr>
        <w:t>ов,</w:t>
      </w:r>
      <w:r w:rsidRPr="00CC4F25">
        <w:rPr>
          <w:b/>
        </w:rPr>
        <w:t xml:space="preserve"> для контроля за соблюдением соответствующих стандартов и </w:t>
      </w:r>
      <w:r>
        <w:rPr>
          <w:b/>
        </w:rPr>
        <w:t>норм</w:t>
      </w:r>
      <w:r w:rsidRPr="00CC4F25">
        <w:rPr>
          <w:b/>
        </w:rPr>
        <w:t xml:space="preserve">, </w:t>
      </w:r>
      <w:r>
        <w:rPr>
          <w:b/>
        </w:rPr>
        <w:t>в том числе в отношении</w:t>
      </w:r>
      <w:r w:rsidRPr="00CC4F25">
        <w:rPr>
          <w:b/>
        </w:rPr>
        <w:t xml:space="preserve"> минимальн</w:t>
      </w:r>
      <w:r>
        <w:rPr>
          <w:b/>
        </w:rPr>
        <w:t>ой</w:t>
      </w:r>
      <w:r w:rsidRPr="00CC4F25">
        <w:rPr>
          <w:b/>
        </w:rPr>
        <w:t xml:space="preserve"> заработн</w:t>
      </w:r>
      <w:r>
        <w:rPr>
          <w:b/>
        </w:rPr>
        <w:t>ой</w:t>
      </w:r>
      <w:r w:rsidRPr="00CC4F25">
        <w:rPr>
          <w:b/>
        </w:rPr>
        <w:t xml:space="preserve"> плат</w:t>
      </w:r>
      <w:r>
        <w:rPr>
          <w:b/>
        </w:rPr>
        <w:t>ы</w:t>
      </w:r>
      <w:r w:rsidRPr="00CC4F25">
        <w:rPr>
          <w:b/>
        </w:rPr>
        <w:t>, продолжительност</w:t>
      </w:r>
      <w:r>
        <w:rPr>
          <w:b/>
        </w:rPr>
        <w:t>и</w:t>
      </w:r>
      <w:r w:rsidRPr="00CC4F25">
        <w:rPr>
          <w:b/>
        </w:rPr>
        <w:t xml:space="preserve"> рабочего дня, выходны</w:t>
      </w:r>
      <w:r>
        <w:rPr>
          <w:b/>
        </w:rPr>
        <w:t>х</w:t>
      </w:r>
      <w:r w:rsidRPr="00CC4F25">
        <w:rPr>
          <w:b/>
        </w:rPr>
        <w:t xml:space="preserve"> и декретны</w:t>
      </w:r>
      <w:r>
        <w:rPr>
          <w:b/>
        </w:rPr>
        <w:t>х</w:t>
      </w:r>
      <w:r w:rsidRPr="00CC4F25">
        <w:rPr>
          <w:b/>
        </w:rPr>
        <w:t xml:space="preserve"> отпуск</w:t>
      </w:r>
      <w:r>
        <w:rPr>
          <w:b/>
        </w:rPr>
        <w:t>ов</w:t>
      </w:r>
      <w:r w:rsidRPr="00CC4F25">
        <w:rPr>
          <w:b/>
        </w:rPr>
        <w:t>, при несоблюдении которых мог</w:t>
      </w:r>
      <w:r>
        <w:rPr>
          <w:b/>
        </w:rPr>
        <w:t>ли бы</w:t>
      </w:r>
      <w:r w:rsidRPr="00CC4F25">
        <w:rPr>
          <w:b/>
        </w:rPr>
        <w:t xml:space="preserve"> применяться надлежащие санкции;</w:t>
      </w:r>
    </w:p>
    <w:p w14:paraId="2B754E72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CC4F25">
        <w:rPr>
          <w:b/>
        </w:rPr>
        <w:t xml:space="preserve">обеспечить охват домашних работников национальной системой обязательной социальной защиты и содействовать выплате пособий по безработице </w:t>
      </w:r>
      <w:r>
        <w:rPr>
          <w:b/>
        </w:rPr>
        <w:t xml:space="preserve">лишившимся места </w:t>
      </w:r>
      <w:r w:rsidRPr="00CC4F25">
        <w:rPr>
          <w:b/>
        </w:rPr>
        <w:t xml:space="preserve">домашним работникам; </w:t>
      </w:r>
    </w:p>
    <w:p w14:paraId="4E4F3F68" w14:textId="77777777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 w:rsidRPr="00CC4F25">
        <w:rPr>
          <w:b/>
        </w:rPr>
        <w:t>ратифицировать Конвенцию МОТ 2011 года о достойном труде домашних работников (№ 189).</w:t>
      </w:r>
    </w:p>
    <w:p w14:paraId="51406A5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F3DA670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Здравоохранение </w:t>
      </w:r>
    </w:p>
    <w:p w14:paraId="6B26EE0D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4F8760FB" w14:textId="77777777" w:rsidR="00480AD4" w:rsidRPr="007A485E" w:rsidRDefault="00480AD4" w:rsidP="00480AD4">
      <w:pPr>
        <w:pStyle w:val="SingleTxt"/>
      </w:pPr>
      <w:r>
        <w:t>34.</w:t>
      </w:r>
      <w:r>
        <w:tab/>
        <w:t>Комитет с удовлетворением отмечает, что бесплатный базовый пакет основных медицинских услуг включает услуги по охране репродуктивного здоровья женщин и что девочки-подростки имеют доступ к специализированным услугам по охране репродуктивного здоровья</w:t>
      </w:r>
      <w:r w:rsidRPr="00025E8C">
        <w:t xml:space="preserve"> </w:t>
      </w:r>
      <w:r>
        <w:t>в некоторых медицинских центрах. В то же время Комитет с обеспокоенностью отмечает следующие проблемы:</w:t>
      </w:r>
    </w:p>
    <w:p w14:paraId="17A06B8E" w14:textId="7400F3B0" w:rsidR="00480AD4" w:rsidRPr="007A485E" w:rsidRDefault="00480AD4" w:rsidP="00480AD4">
      <w:pPr>
        <w:pStyle w:val="SingleTxt"/>
      </w:pPr>
      <w:r>
        <w:tab/>
        <w:t>a)</w:t>
      </w:r>
      <w:r>
        <w:tab/>
        <w:t>сохранение высоких показателей ранней беременности: по состоянию на 2018 год 12</w:t>
      </w:r>
      <w:r w:rsidR="00517DF1">
        <w:rPr>
          <w:lang w:val="en-US"/>
        </w:rPr>
        <w:t> </w:t>
      </w:r>
      <w:r w:rsidR="00517DF1">
        <w:t>процентов</w:t>
      </w:r>
      <w:r>
        <w:t xml:space="preserve"> девочек-подростков и молодых женщин в возрасте от 15 до 19</w:t>
      </w:r>
      <w:r w:rsidR="00517DF1">
        <w:rPr>
          <w:lang w:val="en-US"/>
        </w:rPr>
        <w:t> </w:t>
      </w:r>
      <w:r>
        <w:t>лет уже родили по крайней мере одного ребенка, хотя в 2015 году их было 15</w:t>
      </w:r>
      <w:r w:rsidR="00517DF1">
        <w:t> процентов</w:t>
      </w:r>
      <w:r>
        <w:t>; тот факт, что девочки-подростки и молодые женщины в возрасте до 19 лет составляют почти пятую часть всех беременных женщин и что в большинстве медицинских центров государства-участника отсутствуют специальные службы репродуктивного здоровья для девочек-подростков;</w:t>
      </w:r>
    </w:p>
    <w:p w14:paraId="004AEF6C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>отсутствие бесплатных услуг по прерыванию беременности и последующему уходу;</w:t>
      </w:r>
    </w:p>
    <w:p w14:paraId="55CFA4A0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>недоступность услуг по охране сексуального и репродуктивного здоровья для сельских женщин, сокращение использования противозачаточных средств и рост числа новых случаев ВИЧ и СПИДа в государстве-участнике;</w:t>
      </w:r>
    </w:p>
    <w:p w14:paraId="19EB7648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>недостаточная представленность женщин среди руководства существующих механизмов профилактики и лечения эпидемий трансмиссивных заболеваний.</w:t>
      </w:r>
    </w:p>
    <w:p w14:paraId="79255616" w14:textId="77777777" w:rsidR="00480AD4" w:rsidRPr="007A485E" w:rsidRDefault="00480AD4" w:rsidP="00480AD4">
      <w:pPr>
        <w:pStyle w:val="SingleTxt"/>
        <w:rPr>
          <w:b/>
        </w:rPr>
      </w:pPr>
      <w:r>
        <w:t>35.</w:t>
      </w:r>
      <w:r>
        <w:tab/>
      </w:r>
      <w:r w:rsidRPr="00CC4F25">
        <w:rPr>
          <w:b/>
        </w:rPr>
        <w:t>Комитет ссылается на свою общую рекомендацию № 24 (1999) о здоровье женщин и рекомендует государству-участнику:</w:t>
      </w:r>
    </w:p>
    <w:p w14:paraId="28647118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CC4F25">
        <w:rPr>
          <w:b/>
        </w:rPr>
        <w:t xml:space="preserve">обеспечить девочкам-подросткам доступ к достоверной информации об их сексуальном и репродуктивном здоровье и </w:t>
      </w:r>
      <w:r>
        <w:rPr>
          <w:b/>
        </w:rPr>
        <w:t xml:space="preserve">соответствующих </w:t>
      </w:r>
      <w:r w:rsidRPr="00CC4F25">
        <w:rPr>
          <w:b/>
        </w:rPr>
        <w:t>правах, в</w:t>
      </w:r>
      <w:r>
        <w:rPr>
          <w:b/>
        </w:rPr>
        <w:t xml:space="preserve"> том числе к информации об </w:t>
      </w:r>
      <w:r w:rsidRPr="00CC4F25">
        <w:rPr>
          <w:b/>
        </w:rPr>
        <w:t>ответственно</w:t>
      </w:r>
      <w:r>
        <w:rPr>
          <w:b/>
        </w:rPr>
        <w:t>м</w:t>
      </w:r>
      <w:r w:rsidRPr="00CC4F25">
        <w:rPr>
          <w:b/>
        </w:rPr>
        <w:t xml:space="preserve"> сексуально</w:t>
      </w:r>
      <w:r>
        <w:rPr>
          <w:b/>
        </w:rPr>
        <w:t>м</w:t>
      </w:r>
      <w:r w:rsidRPr="00CC4F25">
        <w:rPr>
          <w:b/>
        </w:rPr>
        <w:t xml:space="preserve"> поведени</w:t>
      </w:r>
      <w:r>
        <w:rPr>
          <w:b/>
        </w:rPr>
        <w:t>и</w:t>
      </w:r>
      <w:r w:rsidRPr="00CC4F25">
        <w:rPr>
          <w:b/>
        </w:rPr>
        <w:t xml:space="preserve"> и </w:t>
      </w:r>
      <w:r>
        <w:rPr>
          <w:b/>
        </w:rPr>
        <w:t xml:space="preserve">методах </w:t>
      </w:r>
      <w:r w:rsidRPr="00CC4F25">
        <w:rPr>
          <w:b/>
        </w:rPr>
        <w:t>предупреждени</w:t>
      </w:r>
      <w:r>
        <w:rPr>
          <w:b/>
        </w:rPr>
        <w:t>я</w:t>
      </w:r>
      <w:r w:rsidRPr="00CC4F25">
        <w:rPr>
          <w:b/>
        </w:rPr>
        <w:t xml:space="preserve"> ранней беременности и заболеваний, передаваемых половым путем, активизировать усилия по предупреждению подростковой беременности и обеспечить наличие во всех медицинских центрах специальных служб репродуктивного здоровья для девочек</w:t>
      </w:r>
      <w:r>
        <w:rPr>
          <w:b/>
        </w:rPr>
        <w:t>-подростков</w:t>
      </w:r>
      <w:r w:rsidRPr="00CC4F25">
        <w:rPr>
          <w:b/>
        </w:rPr>
        <w:t xml:space="preserve"> и молодых женщин;</w:t>
      </w:r>
    </w:p>
    <w:p w14:paraId="30537D29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532937">
        <w:rPr>
          <w:b/>
        </w:rPr>
        <w:t>сделать</w:t>
      </w:r>
      <w:r w:rsidRPr="00960A9D">
        <w:rPr>
          <w:b/>
        </w:rPr>
        <w:t xml:space="preserve"> </w:t>
      </w:r>
      <w:r w:rsidRPr="00CC4F25">
        <w:rPr>
          <w:b/>
        </w:rPr>
        <w:t xml:space="preserve">медицинские услуги по прерыванию беременности и уходу в период после аборта </w:t>
      </w:r>
      <w:r>
        <w:rPr>
          <w:b/>
        </w:rPr>
        <w:t xml:space="preserve">бесплатными </w:t>
      </w:r>
      <w:r w:rsidRPr="00CC4F25">
        <w:rPr>
          <w:b/>
        </w:rPr>
        <w:t xml:space="preserve">и обеспечить, чтобы ни одна девочка или женщина не сталкивалась с препятствиями в получении доступа к услугам по безопасному </w:t>
      </w:r>
      <w:r>
        <w:rPr>
          <w:b/>
        </w:rPr>
        <w:t>и легальному</w:t>
      </w:r>
      <w:r w:rsidRPr="00CC4F25">
        <w:rPr>
          <w:b/>
        </w:rPr>
        <w:t xml:space="preserve"> прерыванию беременности;</w:t>
      </w:r>
    </w:p>
    <w:p w14:paraId="0DF566C3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CC4F25">
        <w:rPr>
          <w:b/>
        </w:rPr>
        <w:t>вкладывать средства в обеспечение доступн</w:t>
      </w:r>
      <w:r>
        <w:rPr>
          <w:b/>
        </w:rPr>
        <w:t>ых</w:t>
      </w:r>
      <w:r w:rsidRPr="00CC4F25">
        <w:rPr>
          <w:b/>
        </w:rPr>
        <w:t xml:space="preserve"> услуг </w:t>
      </w:r>
      <w:r>
        <w:rPr>
          <w:b/>
        </w:rPr>
        <w:t>по охране</w:t>
      </w:r>
      <w:r w:rsidRPr="00CC4F25">
        <w:rPr>
          <w:b/>
        </w:rPr>
        <w:t xml:space="preserve"> сексуального и репродуктивного здоровья, в частности в сельских районах, и обеспечивать, чтобы все женщины и девочки, включая инвалидов, имели доступ к недорогим современным противозачаточным средствам на всей территории государства-участника;</w:t>
      </w:r>
    </w:p>
    <w:p w14:paraId="1A740AA7" w14:textId="77777777" w:rsidR="00480AD4" w:rsidRPr="007A485E" w:rsidRDefault="00480AD4" w:rsidP="00480AD4">
      <w:pPr>
        <w:pStyle w:val="SingleTxt"/>
      </w:pPr>
      <w:r>
        <w:tab/>
        <w:t>d)</w:t>
      </w:r>
      <w:r>
        <w:tab/>
      </w:r>
      <w:r w:rsidRPr="00CC4F25">
        <w:rPr>
          <w:b/>
        </w:rPr>
        <w:t>наращивать усилия по предупреждению случаев заражения ВИЧ и СПИДом;</w:t>
      </w:r>
    </w:p>
    <w:p w14:paraId="70C96AE7" w14:textId="77777777" w:rsidR="00480AD4" w:rsidRPr="007A485E" w:rsidRDefault="00480AD4" w:rsidP="00480AD4">
      <w:pPr>
        <w:pStyle w:val="SingleTxt"/>
        <w:rPr>
          <w:b/>
        </w:rPr>
      </w:pPr>
      <w:r>
        <w:tab/>
        <w:t>e)</w:t>
      </w:r>
      <w:r>
        <w:tab/>
      </w:r>
      <w:r w:rsidRPr="00CC4F25">
        <w:rPr>
          <w:b/>
        </w:rPr>
        <w:t>обеспечить представ</w:t>
      </w:r>
      <w:r>
        <w:rPr>
          <w:b/>
        </w:rPr>
        <w:t>ительство женщин на руководящих должностях</w:t>
      </w:r>
      <w:r w:rsidRPr="00CC4F25">
        <w:rPr>
          <w:b/>
        </w:rPr>
        <w:t xml:space="preserve"> и конструктивное участие </w:t>
      </w:r>
      <w:r>
        <w:rPr>
          <w:b/>
        </w:rPr>
        <w:t>в</w:t>
      </w:r>
      <w:r w:rsidRPr="00CC4F25">
        <w:rPr>
          <w:b/>
        </w:rPr>
        <w:t xml:space="preserve"> приняти</w:t>
      </w:r>
      <w:r>
        <w:rPr>
          <w:b/>
        </w:rPr>
        <w:t>и</w:t>
      </w:r>
      <w:r w:rsidRPr="00CC4F25">
        <w:rPr>
          <w:b/>
        </w:rPr>
        <w:t xml:space="preserve"> решений </w:t>
      </w:r>
      <w:r>
        <w:rPr>
          <w:b/>
        </w:rPr>
        <w:t>по вопросам</w:t>
      </w:r>
      <w:r w:rsidRPr="00CC4F25">
        <w:rPr>
          <w:b/>
        </w:rPr>
        <w:t xml:space="preserve"> профилактик</w:t>
      </w:r>
      <w:r>
        <w:rPr>
          <w:b/>
        </w:rPr>
        <w:t>и</w:t>
      </w:r>
      <w:r w:rsidRPr="00CC4F25">
        <w:rPr>
          <w:b/>
        </w:rPr>
        <w:t xml:space="preserve"> и ликвидации чрезвычайных </w:t>
      </w:r>
      <w:r>
        <w:rPr>
          <w:b/>
        </w:rPr>
        <w:t xml:space="preserve">санитарно-эпидемиологических </w:t>
      </w:r>
      <w:r w:rsidRPr="00CC4F25">
        <w:rPr>
          <w:b/>
        </w:rPr>
        <w:t>ситуаций и эпидемий.</w:t>
      </w:r>
    </w:p>
    <w:p w14:paraId="7A170FA2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61BFB375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Изменение климата</w:t>
      </w:r>
    </w:p>
    <w:p w14:paraId="1254883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4FFA715C" w14:textId="2F401E2C" w:rsidR="00480AD4" w:rsidRPr="007A485E" w:rsidRDefault="00480AD4" w:rsidP="00480AD4">
      <w:pPr>
        <w:pStyle w:val="SingleTxt"/>
      </w:pPr>
      <w:r>
        <w:t>36.</w:t>
      </w:r>
      <w:r>
        <w:tab/>
        <w:t>Комитет отмечает, что, как небольшое островное развивающееся государство, государство-участник особенно уязвимо к изменению климата, и высоко оценивает его усилия по инвестированию в возобновляемые источники энергии и внедрению руководящих принципов систематического использования данных, дезагрегированных по признаку пола, и осуществлению стратегий учета гендерной проблематики в природоохранной деятельности. Комитет также отмечает, что в национальной стратегии снижения риска бедствий на период 2017</w:t>
      </w:r>
      <w:r w:rsidR="00517DF1">
        <w:t>–</w:t>
      </w:r>
      <w:r>
        <w:t>2030</w:t>
      </w:r>
      <w:r w:rsidR="00517DF1">
        <w:t> </w:t>
      </w:r>
      <w:r>
        <w:t xml:space="preserve">годов гендерное равенство и экологическая устойчивость определены в качестве сквозных вопросов. Вместе с тем Комитет обеспокоен тем, что женщины не принимают значимого участия в разработке и осуществлении этих инициатив. </w:t>
      </w:r>
    </w:p>
    <w:p w14:paraId="55DBA5EB" w14:textId="77777777" w:rsidR="00480AD4" w:rsidRPr="007A485E" w:rsidRDefault="00480AD4" w:rsidP="00480AD4">
      <w:pPr>
        <w:pStyle w:val="SingleTxt"/>
        <w:rPr>
          <w:b/>
        </w:rPr>
      </w:pPr>
      <w:r>
        <w:t>37.</w:t>
      </w:r>
      <w:r>
        <w:tab/>
      </w:r>
      <w:r w:rsidRPr="00CC4F25">
        <w:rPr>
          <w:b/>
        </w:rPr>
        <w:t xml:space="preserve">Принимая во внимание свою общую рекомендацию № 37 (2018) о гендерных аспектах снижения риска бедствий в контексте изменения климата, Комитет рекомендует государству-участнику обеспечить конструктивное участие женщин в разработке законодательства, национальной политики и программ по вопросам изменения климата, реагирования на </w:t>
      </w:r>
      <w:r>
        <w:rPr>
          <w:b/>
        </w:rPr>
        <w:t xml:space="preserve">стихийные </w:t>
      </w:r>
      <w:r w:rsidRPr="00CC4F25">
        <w:rPr>
          <w:b/>
        </w:rPr>
        <w:t xml:space="preserve">бедствия и снижения риска </w:t>
      </w:r>
      <w:r>
        <w:rPr>
          <w:b/>
        </w:rPr>
        <w:t xml:space="preserve">таких </w:t>
      </w:r>
      <w:r w:rsidRPr="00CC4F25">
        <w:rPr>
          <w:b/>
        </w:rPr>
        <w:t>бедствий. Он также рекомендует государству-участнику принять меры по борьбе с голодом и обеспечению продовольственной безопасности сельских женщин в свете последствий изменения климата.</w:t>
      </w:r>
    </w:p>
    <w:p w14:paraId="66791DDB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4F7B5391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расширение их экономических прав и возможностей</w:t>
      </w:r>
    </w:p>
    <w:p w14:paraId="4941C8ED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BC61179" w14:textId="7DFACDCA" w:rsidR="00480AD4" w:rsidRPr="007A485E" w:rsidRDefault="00480AD4" w:rsidP="00480AD4">
      <w:pPr>
        <w:pStyle w:val="SingleTxt"/>
      </w:pPr>
      <w:r>
        <w:t>38.</w:t>
      </w:r>
      <w:r>
        <w:tab/>
        <w:t>Комитет с обеспокоенностью отмечает, что уровень нищеты среди женщин в государстве-участнике</w:t>
      </w:r>
      <w:r w:rsidRPr="0001048A">
        <w:t xml:space="preserve"> </w:t>
      </w:r>
      <w:r>
        <w:t>остается непропорционально высоким. Также вызывает беспокойство тот факт, что более 60</w:t>
      </w:r>
      <w:r w:rsidR="00517DF1">
        <w:t xml:space="preserve"> процентов </w:t>
      </w:r>
      <w:r>
        <w:t>бедных и беднейших домохозяйств в государстве-участнике возглавляют женщины, прежде всего в неблагополучных городских районах.</w:t>
      </w:r>
    </w:p>
    <w:p w14:paraId="789945F1" w14:textId="77777777" w:rsidR="00480AD4" w:rsidRPr="007A485E" w:rsidRDefault="00480AD4" w:rsidP="00480AD4">
      <w:pPr>
        <w:pStyle w:val="SingleTxt"/>
      </w:pPr>
      <w:r>
        <w:t>39.</w:t>
      </w:r>
      <w:r>
        <w:tab/>
      </w:r>
      <w:r w:rsidRPr="00CC4F25">
        <w:rPr>
          <w:b/>
        </w:rPr>
        <w:t>Комитет рекомендует государству-</w:t>
      </w:r>
      <w:r>
        <w:rPr>
          <w:b/>
        </w:rPr>
        <w:t>участнику</w:t>
      </w:r>
      <w:r w:rsidRPr="00CC4F25">
        <w:rPr>
          <w:b/>
        </w:rPr>
        <w:t xml:space="preserve"> активизировать меры по борьбе с нищетой, в том числе </w:t>
      </w:r>
      <w:r>
        <w:rPr>
          <w:b/>
        </w:rPr>
        <w:t>благодаря</w:t>
      </w:r>
      <w:r w:rsidRPr="00CC4F25">
        <w:rPr>
          <w:b/>
        </w:rPr>
        <w:t xml:space="preserve"> </w:t>
      </w:r>
      <w:r>
        <w:rPr>
          <w:b/>
        </w:rPr>
        <w:t xml:space="preserve">проведению способствующей </w:t>
      </w:r>
      <w:r w:rsidRPr="00CC4F25">
        <w:rPr>
          <w:b/>
        </w:rPr>
        <w:t xml:space="preserve">социальной интеграции политики </w:t>
      </w:r>
      <w:r>
        <w:rPr>
          <w:b/>
        </w:rPr>
        <w:t>регулирования доходов,</w:t>
      </w:r>
      <w:r w:rsidRPr="00CC4F25">
        <w:rPr>
          <w:b/>
        </w:rPr>
        <w:t xml:space="preserve"> уделяя особое внимание женщинам и тем из них, кто возглавляет домохозяйства в неблагополучных городских районах. Комитет также рекомендует государству-участнику принимать меры</w:t>
      </w:r>
      <w:r>
        <w:rPr>
          <w:b/>
        </w:rPr>
        <w:t xml:space="preserve"> для </w:t>
      </w:r>
      <w:r w:rsidRPr="00CC4F25">
        <w:rPr>
          <w:b/>
        </w:rPr>
        <w:t>обеспечени</w:t>
      </w:r>
      <w:r>
        <w:rPr>
          <w:b/>
        </w:rPr>
        <w:t>я</w:t>
      </w:r>
      <w:r w:rsidRPr="00CC4F25">
        <w:rPr>
          <w:b/>
        </w:rPr>
        <w:t xml:space="preserve"> продовольственной безопасности женщин, </w:t>
      </w:r>
      <w:r>
        <w:rPr>
          <w:b/>
        </w:rPr>
        <w:t xml:space="preserve">например, путем </w:t>
      </w:r>
      <w:r w:rsidRPr="00CC4F25">
        <w:rPr>
          <w:b/>
        </w:rPr>
        <w:t>поддержк</w:t>
      </w:r>
      <w:r>
        <w:rPr>
          <w:b/>
        </w:rPr>
        <w:t>и</w:t>
      </w:r>
      <w:r w:rsidRPr="00CC4F25">
        <w:rPr>
          <w:b/>
        </w:rPr>
        <w:t xml:space="preserve"> сельскохозяйственной деятельности</w:t>
      </w:r>
      <w:r>
        <w:rPr>
          <w:b/>
        </w:rPr>
        <w:t xml:space="preserve"> и</w:t>
      </w:r>
      <w:r w:rsidRPr="00CC4F25">
        <w:rPr>
          <w:b/>
        </w:rPr>
        <w:t xml:space="preserve"> создания запасов продов</w:t>
      </w:r>
      <w:r>
        <w:rPr>
          <w:b/>
        </w:rPr>
        <w:t>о</w:t>
      </w:r>
      <w:r w:rsidRPr="00CC4F25">
        <w:rPr>
          <w:b/>
        </w:rPr>
        <w:t>льствия и воды во избежание голод</w:t>
      </w:r>
      <w:r>
        <w:rPr>
          <w:b/>
        </w:rPr>
        <w:t>а</w:t>
      </w:r>
      <w:r w:rsidRPr="00CC4F25">
        <w:rPr>
          <w:b/>
        </w:rPr>
        <w:t xml:space="preserve">. </w:t>
      </w:r>
      <w:r>
        <w:rPr>
          <w:b/>
        </w:rPr>
        <w:t>О</w:t>
      </w:r>
      <w:r w:rsidRPr="00CC4F25">
        <w:rPr>
          <w:b/>
        </w:rPr>
        <w:t>тмеча</w:t>
      </w:r>
      <w:r>
        <w:rPr>
          <w:b/>
        </w:rPr>
        <w:t>я</w:t>
      </w:r>
      <w:r w:rsidRPr="00CC4F25">
        <w:rPr>
          <w:b/>
        </w:rPr>
        <w:t xml:space="preserve"> важное значение туризма, Комитет просит уделять </w:t>
      </w:r>
      <w:r>
        <w:rPr>
          <w:b/>
        </w:rPr>
        <w:t>не меньшее</w:t>
      </w:r>
      <w:r w:rsidRPr="00CC4F25">
        <w:rPr>
          <w:b/>
        </w:rPr>
        <w:t xml:space="preserve"> внимание </w:t>
      </w:r>
      <w:r>
        <w:rPr>
          <w:b/>
        </w:rPr>
        <w:t xml:space="preserve">и </w:t>
      </w:r>
      <w:r w:rsidRPr="00CC4F25">
        <w:rPr>
          <w:b/>
        </w:rPr>
        <w:t>другим секторам</w:t>
      </w:r>
      <w:r>
        <w:rPr>
          <w:b/>
        </w:rPr>
        <w:t>, где широко используется женский труд,</w:t>
      </w:r>
      <w:r w:rsidRPr="00CC4F25">
        <w:rPr>
          <w:b/>
        </w:rPr>
        <w:t xml:space="preserve"> таким как </w:t>
      </w:r>
      <w:r>
        <w:rPr>
          <w:b/>
        </w:rPr>
        <w:t xml:space="preserve">сбыт сельхозпродукции, </w:t>
      </w:r>
      <w:r w:rsidRPr="00CC4F25">
        <w:rPr>
          <w:b/>
        </w:rPr>
        <w:t>рыболовство и агробизнес.</w:t>
      </w:r>
    </w:p>
    <w:p w14:paraId="2B1D197A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6671897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14:paraId="0C272656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4F65DAC" w14:textId="77777777" w:rsidR="00480AD4" w:rsidRPr="007A485E" w:rsidRDefault="00480AD4" w:rsidP="00480AD4">
      <w:pPr>
        <w:pStyle w:val="SingleTxt"/>
      </w:pPr>
      <w:r>
        <w:t>40.</w:t>
      </w:r>
      <w:r>
        <w:tab/>
        <w:t>Комитет приветствует усилия государства-участника по сокращению масштабов нищеты среди сельского населения и включению сельских женщин в национальную стратегию сокращения масштабов нищеты. Он также приветствует расширение доступа сельских домохозяйств к безопасной питьевой воде и санитарии. В то же время Комитет с обеспокоенностью обращает внимание на следующие проблемы:</w:t>
      </w:r>
    </w:p>
    <w:p w14:paraId="0A7484AD" w14:textId="77777777" w:rsidR="00480AD4" w:rsidRPr="007A485E" w:rsidRDefault="00480AD4" w:rsidP="00480AD4">
      <w:pPr>
        <w:pStyle w:val="SingleTxt"/>
      </w:pPr>
      <w:r>
        <w:tab/>
        <w:t>a)</w:t>
      </w:r>
      <w:r>
        <w:tab/>
        <w:t>25 процентов сельского населения по-прежнему пользуется водой из неочищенных источников, а 35 процентов не имеют доступа к домашним туалетам и системам удаления сточных вод;</w:t>
      </w:r>
    </w:p>
    <w:p w14:paraId="3312979F" w14:textId="77777777" w:rsidR="00480AD4" w:rsidRPr="007A485E" w:rsidRDefault="00480AD4" w:rsidP="00480AD4">
      <w:pPr>
        <w:pStyle w:val="SingleTxt"/>
      </w:pPr>
      <w:r>
        <w:tab/>
        <w:t>b)</w:t>
      </w:r>
      <w:r>
        <w:tab/>
        <w:t>среди сельских женщин сохраняется высокий уровень неграмотности;</w:t>
      </w:r>
    </w:p>
    <w:p w14:paraId="6B4F8022" w14:textId="77777777" w:rsidR="00480AD4" w:rsidRPr="007A485E" w:rsidRDefault="00480AD4" w:rsidP="00480AD4">
      <w:pPr>
        <w:pStyle w:val="SingleTxt"/>
      </w:pPr>
      <w:r>
        <w:tab/>
        <w:t>c)</w:t>
      </w:r>
      <w:r>
        <w:tab/>
        <w:t>сельские женщины по-прежнему несут непропорционально тяжелое бремя неоплачиваемого труда по уходу по сравнению с сельскими мужчинами;</w:t>
      </w:r>
    </w:p>
    <w:p w14:paraId="63F37C3B" w14:textId="77777777" w:rsidR="00480AD4" w:rsidRPr="007A485E" w:rsidRDefault="00480AD4" w:rsidP="00480AD4">
      <w:pPr>
        <w:pStyle w:val="SingleTxt"/>
      </w:pPr>
      <w:r>
        <w:tab/>
        <w:t>d)</w:t>
      </w:r>
      <w:r>
        <w:tab/>
        <w:t xml:space="preserve">лишь 8,5 процента женщин, занятых в сельском хозяйстве, являются собственниками земли, которую они могут использовать в сельскохозяйственных целях; в тех случаях, когда совместное супружеское имущество регистрируется на имя одного из супругов или партнеров, в титулах собственности, как правило, указывается имя мужчины, хотя в 2015 году на женщин приходилось 49,7 процента занятых в сельском хозяйстве; </w:t>
      </w:r>
    </w:p>
    <w:p w14:paraId="0EF1C239" w14:textId="77777777" w:rsidR="00480AD4" w:rsidRPr="007A485E" w:rsidRDefault="00480AD4" w:rsidP="00480AD4">
      <w:pPr>
        <w:pStyle w:val="SingleTxt"/>
      </w:pPr>
      <w:r>
        <w:tab/>
        <w:t>e)</w:t>
      </w:r>
      <w:r>
        <w:tab/>
        <w:t>сельские женщины имеют ограниченный доступ к информации, мероприятиям по укреплению потенциала и форумам, где принимаются решения, связанные с сельским хозяйством, развитием предпринимательства и новыми технологиями;</w:t>
      </w:r>
    </w:p>
    <w:p w14:paraId="6BB4AF90" w14:textId="77777777" w:rsidR="00480AD4" w:rsidRPr="007A485E" w:rsidRDefault="00480AD4" w:rsidP="00480AD4">
      <w:pPr>
        <w:pStyle w:val="SingleTxt"/>
      </w:pPr>
      <w:r>
        <w:tab/>
        <w:t>f)</w:t>
      </w:r>
      <w:r>
        <w:tab/>
        <w:t>сельские женщины принимают ограниченное участие в разработке и осуществления мер по содействию освоению возобновляемых источников энергии и устойчивому использованию океана, известных как «голубая экономика».</w:t>
      </w:r>
    </w:p>
    <w:p w14:paraId="0DC0239F" w14:textId="77777777" w:rsidR="00480AD4" w:rsidRPr="007A485E" w:rsidRDefault="00480AD4" w:rsidP="00480AD4">
      <w:pPr>
        <w:pStyle w:val="SingleTxt"/>
        <w:keepNext/>
        <w:keepLines/>
      </w:pPr>
      <w:r>
        <w:t>41.</w:t>
      </w:r>
      <w:r>
        <w:tab/>
      </w:r>
      <w:r w:rsidRPr="00CC4F25">
        <w:rPr>
          <w:b/>
        </w:rPr>
        <w:t>Комитет рекомендует государству-участнику:</w:t>
      </w:r>
    </w:p>
    <w:p w14:paraId="1F234B6D" w14:textId="77777777" w:rsidR="00480AD4" w:rsidRPr="007A485E" w:rsidRDefault="00480AD4" w:rsidP="00517DF1">
      <w:pPr>
        <w:pStyle w:val="SingleTxt"/>
      </w:pPr>
      <w:r>
        <w:tab/>
        <w:t>a)</w:t>
      </w:r>
      <w:r>
        <w:tab/>
      </w:r>
      <w:r w:rsidRPr="00517DF1">
        <w:rPr>
          <w:b/>
          <w:bCs/>
        </w:rPr>
        <w:t>наращивать инвестиции в водоснабжение, в том числе в опреснение воды, и санитарию в сельских районах и обеспечить эффективное участие женщин в муниципальных комитетах по окружающей среде, водоснабжению и санитарии и отделах санитарии;</w:t>
      </w:r>
      <w:r w:rsidRPr="00CC4F25">
        <w:t xml:space="preserve"> </w:t>
      </w:r>
    </w:p>
    <w:p w14:paraId="28116513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>с</w:t>
      </w:r>
      <w:r w:rsidRPr="00CC4F25">
        <w:rPr>
          <w:b/>
        </w:rPr>
        <w:t xml:space="preserve">овершенствовать программы </w:t>
      </w:r>
      <w:r>
        <w:rPr>
          <w:b/>
        </w:rPr>
        <w:t>повышения</w:t>
      </w:r>
      <w:r w:rsidRPr="00CC4F25">
        <w:rPr>
          <w:b/>
        </w:rPr>
        <w:t xml:space="preserve"> грамотности взросл</w:t>
      </w:r>
      <w:r>
        <w:rPr>
          <w:b/>
        </w:rPr>
        <w:t>ого населения</w:t>
      </w:r>
      <w:r w:rsidRPr="00CC4F25">
        <w:rPr>
          <w:b/>
        </w:rPr>
        <w:t xml:space="preserve"> и содействовать доступу женщин в сельских районах к профессионально</w:t>
      </w:r>
      <w:r>
        <w:rPr>
          <w:b/>
        </w:rPr>
        <w:t>-</w:t>
      </w:r>
      <w:r w:rsidRPr="00CC4F25">
        <w:rPr>
          <w:b/>
        </w:rPr>
        <w:t>техническому образованию и подготовке;</w:t>
      </w:r>
    </w:p>
    <w:p w14:paraId="3E5F4087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п</w:t>
      </w:r>
      <w:r w:rsidRPr="00CC4F25">
        <w:rPr>
          <w:b/>
        </w:rPr>
        <w:t xml:space="preserve">ринять меры </w:t>
      </w:r>
      <w:r>
        <w:rPr>
          <w:b/>
        </w:rPr>
        <w:t>для</w:t>
      </w:r>
      <w:r w:rsidRPr="00CC4F25">
        <w:rPr>
          <w:b/>
        </w:rPr>
        <w:t xml:space="preserve"> признани</w:t>
      </w:r>
      <w:r>
        <w:rPr>
          <w:b/>
        </w:rPr>
        <w:t>я</w:t>
      </w:r>
      <w:r w:rsidRPr="00CC4F25">
        <w:rPr>
          <w:b/>
        </w:rPr>
        <w:t xml:space="preserve">, </w:t>
      </w:r>
      <w:r>
        <w:rPr>
          <w:b/>
        </w:rPr>
        <w:t>облегчения</w:t>
      </w:r>
      <w:r w:rsidRPr="00CC4F25">
        <w:rPr>
          <w:b/>
        </w:rPr>
        <w:t xml:space="preserve"> и перераспределени</w:t>
      </w:r>
      <w:r>
        <w:rPr>
          <w:b/>
        </w:rPr>
        <w:t>я</w:t>
      </w:r>
      <w:r w:rsidRPr="00CC4F25">
        <w:rPr>
          <w:b/>
        </w:rPr>
        <w:t xml:space="preserve"> </w:t>
      </w:r>
      <w:r>
        <w:rPr>
          <w:b/>
        </w:rPr>
        <w:t xml:space="preserve">бремени </w:t>
      </w:r>
      <w:r w:rsidRPr="00CC4F25">
        <w:rPr>
          <w:b/>
        </w:rPr>
        <w:t>неоплачиваемо</w:t>
      </w:r>
      <w:r>
        <w:rPr>
          <w:b/>
        </w:rPr>
        <w:t>го труда</w:t>
      </w:r>
      <w:r w:rsidRPr="00CC4F25">
        <w:rPr>
          <w:b/>
        </w:rPr>
        <w:t xml:space="preserve"> по уходу и по дому</w:t>
      </w:r>
      <w:r>
        <w:rPr>
          <w:b/>
        </w:rPr>
        <w:t>, которое ложится на</w:t>
      </w:r>
      <w:r w:rsidRPr="00CC4F25">
        <w:rPr>
          <w:b/>
        </w:rPr>
        <w:t xml:space="preserve"> сельских женщин</w:t>
      </w:r>
      <w:r>
        <w:rPr>
          <w:b/>
        </w:rPr>
        <w:t>,</w:t>
      </w:r>
      <w:r w:rsidRPr="00CC4F25">
        <w:rPr>
          <w:b/>
        </w:rPr>
        <w:t xml:space="preserve"> посредством инвестиций в инфраструктуру и социальные услуги, такие как уход за детьми и престарелыми, доступное жилье и транспорт;</w:t>
      </w:r>
    </w:p>
    <w:p w14:paraId="673B3E7A" w14:textId="11567833" w:rsidR="00480AD4" w:rsidRPr="007A485E" w:rsidRDefault="00480AD4" w:rsidP="00480AD4">
      <w:pPr>
        <w:pStyle w:val="SingleTxt"/>
        <w:rPr>
          <w:b/>
        </w:rPr>
      </w:pPr>
      <w:r>
        <w:tab/>
        <w:t>d)</w:t>
      </w:r>
      <w:r>
        <w:tab/>
      </w:r>
      <w:r>
        <w:rPr>
          <w:b/>
        </w:rPr>
        <w:t>п</w:t>
      </w:r>
      <w:r w:rsidRPr="00CC4F25">
        <w:rPr>
          <w:b/>
        </w:rPr>
        <w:t xml:space="preserve">оощрять доступ женщин к землевладению и сельскохозяйственному </w:t>
      </w:r>
      <w:r>
        <w:rPr>
          <w:b/>
        </w:rPr>
        <w:t>землепользованию</w:t>
      </w:r>
      <w:r w:rsidRPr="00CC4F25">
        <w:rPr>
          <w:b/>
        </w:rPr>
        <w:t xml:space="preserve"> и создавать механизмы для обеспечения того, чтобы </w:t>
      </w:r>
      <w:r>
        <w:rPr>
          <w:b/>
        </w:rPr>
        <w:t xml:space="preserve">земля, </w:t>
      </w:r>
      <w:r w:rsidRPr="00CC4F25">
        <w:rPr>
          <w:b/>
        </w:rPr>
        <w:t>находящаяся в совместной собственности, в том числе</w:t>
      </w:r>
      <w:r>
        <w:rPr>
          <w:b/>
        </w:rPr>
        <w:t xml:space="preserve"> партнеров по незарегистрированным бракам, </w:t>
      </w:r>
      <w:r w:rsidRPr="00CC4F25">
        <w:rPr>
          <w:b/>
        </w:rPr>
        <w:t>регистрировалась на имя обоих партнеров и чтобы сельские женщины имели доступ к юридической помощи</w:t>
      </w:r>
      <w:r>
        <w:rPr>
          <w:b/>
        </w:rPr>
        <w:t xml:space="preserve"> для</w:t>
      </w:r>
      <w:r w:rsidRPr="00CC4F25">
        <w:rPr>
          <w:b/>
        </w:rPr>
        <w:t xml:space="preserve"> отстаивани</w:t>
      </w:r>
      <w:r>
        <w:rPr>
          <w:b/>
        </w:rPr>
        <w:t>я</w:t>
      </w:r>
      <w:r w:rsidRPr="00CC4F25">
        <w:rPr>
          <w:b/>
        </w:rPr>
        <w:t xml:space="preserve"> своих </w:t>
      </w:r>
      <w:r>
        <w:rPr>
          <w:b/>
        </w:rPr>
        <w:t xml:space="preserve">имущественных </w:t>
      </w:r>
      <w:r w:rsidRPr="00CC4F25">
        <w:rPr>
          <w:b/>
        </w:rPr>
        <w:t>пр</w:t>
      </w:r>
      <w:r>
        <w:rPr>
          <w:b/>
        </w:rPr>
        <w:t>ав</w:t>
      </w:r>
      <w:r w:rsidRPr="00CC4F25">
        <w:rPr>
          <w:b/>
        </w:rPr>
        <w:t>, котор</w:t>
      </w:r>
      <w:r>
        <w:rPr>
          <w:b/>
        </w:rPr>
        <w:t xml:space="preserve">ыми </w:t>
      </w:r>
      <w:r w:rsidRPr="00CC4F25">
        <w:rPr>
          <w:b/>
        </w:rPr>
        <w:t xml:space="preserve">после закрытия </w:t>
      </w:r>
      <w:r w:rsidRPr="00F00E44">
        <w:rPr>
          <w:b/>
          <w:iCs/>
        </w:rPr>
        <w:t>«</w:t>
      </w:r>
      <w:r>
        <w:rPr>
          <w:b/>
          <w:iCs/>
          <w:lang w:val="en-US"/>
        </w:rPr>
        <w:t>c</w:t>
      </w:r>
      <w:r w:rsidRPr="00F00E44">
        <w:rPr>
          <w:b/>
          <w:iCs/>
        </w:rPr>
        <w:t xml:space="preserve">asas do </w:t>
      </w:r>
      <w:r w:rsidRPr="00F00E44">
        <w:rPr>
          <w:b/>
          <w:iCs/>
          <w:lang w:val="en-US"/>
        </w:rPr>
        <w:t>d</w:t>
      </w:r>
      <w:r w:rsidRPr="00F00E44">
        <w:rPr>
          <w:b/>
          <w:iCs/>
        </w:rPr>
        <w:t>ireito»</w:t>
      </w:r>
      <w:r w:rsidRPr="00CC4F25">
        <w:rPr>
          <w:b/>
        </w:rPr>
        <w:t xml:space="preserve"> </w:t>
      </w:r>
      <w:r w:rsidRPr="00F00E44">
        <w:rPr>
          <w:b/>
        </w:rPr>
        <w:t>(</w:t>
      </w:r>
      <w:r>
        <w:rPr>
          <w:b/>
        </w:rPr>
        <w:t>центры оказания поддержки жертвам и предоставления правовой информации</w:t>
      </w:r>
      <w:r w:rsidRPr="00F00E44">
        <w:rPr>
          <w:b/>
        </w:rPr>
        <w:t xml:space="preserve">) </w:t>
      </w:r>
      <w:r w:rsidRPr="00CC4F25">
        <w:rPr>
          <w:b/>
        </w:rPr>
        <w:t xml:space="preserve">теперь </w:t>
      </w:r>
      <w:r>
        <w:rPr>
          <w:b/>
        </w:rPr>
        <w:t>занимаются</w:t>
      </w:r>
      <w:r w:rsidRPr="00CC4F25">
        <w:rPr>
          <w:b/>
        </w:rPr>
        <w:t xml:space="preserve"> муниципальны</w:t>
      </w:r>
      <w:r>
        <w:rPr>
          <w:b/>
        </w:rPr>
        <w:t>е</w:t>
      </w:r>
      <w:r w:rsidRPr="00CC4F25">
        <w:rPr>
          <w:b/>
        </w:rPr>
        <w:t xml:space="preserve"> служб</w:t>
      </w:r>
      <w:r>
        <w:rPr>
          <w:b/>
        </w:rPr>
        <w:t>ы</w:t>
      </w:r>
      <w:r w:rsidRPr="00CC4F25">
        <w:rPr>
          <w:b/>
        </w:rPr>
        <w:t xml:space="preserve">; </w:t>
      </w:r>
    </w:p>
    <w:p w14:paraId="66D8BA71" w14:textId="77777777" w:rsidR="00480AD4" w:rsidRPr="007A485E" w:rsidRDefault="00480AD4" w:rsidP="00480AD4">
      <w:pPr>
        <w:pStyle w:val="SingleTxt"/>
        <w:rPr>
          <w:b/>
        </w:rPr>
      </w:pPr>
      <w:r>
        <w:tab/>
        <w:t>e)</w:t>
      </w:r>
      <w:r>
        <w:tab/>
      </w:r>
      <w:r w:rsidRPr="00CC4F25">
        <w:rPr>
          <w:b/>
        </w:rPr>
        <w:t xml:space="preserve">создать механизмы для внедрения гендерного анализа в сельскохозяйственном секторе и </w:t>
      </w:r>
      <w:r>
        <w:rPr>
          <w:b/>
        </w:rPr>
        <w:t>«</w:t>
      </w:r>
      <w:r w:rsidRPr="00CC4F25">
        <w:rPr>
          <w:b/>
        </w:rPr>
        <w:t>голубой экономике</w:t>
      </w:r>
      <w:r>
        <w:rPr>
          <w:b/>
        </w:rPr>
        <w:t xml:space="preserve">» </w:t>
      </w:r>
      <w:r w:rsidRPr="00CC4F25">
        <w:rPr>
          <w:b/>
        </w:rPr>
        <w:t>и обеспечения участия в них</w:t>
      </w:r>
      <w:r w:rsidRPr="00FB64E9">
        <w:rPr>
          <w:b/>
        </w:rPr>
        <w:t xml:space="preserve"> </w:t>
      </w:r>
      <w:r w:rsidRPr="00CC4F25">
        <w:rPr>
          <w:b/>
        </w:rPr>
        <w:t>женщин, в частности в рамках стратегического плана устойчивого развития, обеспечить доступ сельских женщин к технической поддержке и профессиональной подготовке в области сельскохозяйственных инноваций</w:t>
      </w:r>
      <w:r>
        <w:rPr>
          <w:b/>
        </w:rPr>
        <w:t>,</w:t>
      </w:r>
      <w:r w:rsidRPr="00CC4F25">
        <w:rPr>
          <w:b/>
        </w:rPr>
        <w:t xml:space="preserve"> новых технологий и развития агробизнеса в дополнение к малым и микропроектам и облегчить доступ сельских женщин к банковским услугам, включая услуги мобильных банковских систем;</w:t>
      </w:r>
    </w:p>
    <w:p w14:paraId="23755F03" w14:textId="77777777" w:rsidR="00480AD4" w:rsidRPr="007A485E" w:rsidRDefault="00480AD4" w:rsidP="00480AD4">
      <w:pPr>
        <w:pStyle w:val="SingleTxt"/>
        <w:rPr>
          <w:b/>
        </w:rPr>
      </w:pPr>
      <w:r>
        <w:tab/>
        <w:t>f)</w:t>
      </w:r>
      <w:r>
        <w:tab/>
      </w:r>
      <w:r>
        <w:rPr>
          <w:b/>
        </w:rPr>
        <w:t>предоставить</w:t>
      </w:r>
      <w:r w:rsidRPr="00CC4F25">
        <w:rPr>
          <w:b/>
        </w:rPr>
        <w:t xml:space="preserve"> сельским женщинам доступ к электроэнергии, вырабатываемой </w:t>
      </w:r>
      <w:r>
        <w:rPr>
          <w:b/>
        </w:rPr>
        <w:t>на основе</w:t>
      </w:r>
      <w:r w:rsidRPr="00CC4F25">
        <w:rPr>
          <w:b/>
        </w:rPr>
        <w:t xml:space="preserve"> возобновляемых источников энергии, как это предусмотрено в национальном плане освоения возобновляемых источников энергии и национальном плане повышения энергоэффективности, для </w:t>
      </w:r>
      <w:r>
        <w:rPr>
          <w:b/>
        </w:rPr>
        <w:t>приготовления пищи</w:t>
      </w:r>
      <w:r w:rsidRPr="00CC4F25">
        <w:rPr>
          <w:b/>
        </w:rPr>
        <w:t xml:space="preserve"> и </w:t>
      </w:r>
      <w:r>
        <w:rPr>
          <w:b/>
        </w:rPr>
        <w:t xml:space="preserve">удовлетворения </w:t>
      </w:r>
      <w:r w:rsidRPr="00CC4F25">
        <w:rPr>
          <w:b/>
        </w:rPr>
        <w:t xml:space="preserve">других потребностей и </w:t>
      </w:r>
      <w:r>
        <w:rPr>
          <w:b/>
        </w:rPr>
        <w:t>обеспечить их</w:t>
      </w:r>
      <w:r w:rsidRPr="00CC4F25">
        <w:rPr>
          <w:b/>
        </w:rPr>
        <w:t xml:space="preserve"> активное участие в разработке и осуществлении мер по устойчиво</w:t>
      </w:r>
      <w:r>
        <w:rPr>
          <w:b/>
        </w:rPr>
        <w:t>му</w:t>
      </w:r>
      <w:r w:rsidRPr="00CC4F25">
        <w:rPr>
          <w:b/>
        </w:rPr>
        <w:t xml:space="preserve"> использовани</w:t>
      </w:r>
      <w:r>
        <w:rPr>
          <w:b/>
        </w:rPr>
        <w:t>ю ресурсов</w:t>
      </w:r>
      <w:r w:rsidRPr="00CC4F25">
        <w:rPr>
          <w:b/>
        </w:rPr>
        <w:t xml:space="preserve"> океана, известных как </w:t>
      </w:r>
      <w:r>
        <w:rPr>
          <w:b/>
        </w:rPr>
        <w:t>«</w:t>
      </w:r>
      <w:r w:rsidRPr="00CC4F25">
        <w:rPr>
          <w:b/>
        </w:rPr>
        <w:t>голубая экономика</w:t>
      </w:r>
      <w:r>
        <w:rPr>
          <w:b/>
        </w:rPr>
        <w:t>»</w:t>
      </w:r>
      <w:r w:rsidRPr="00CC4F25">
        <w:rPr>
          <w:b/>
        </w:rPr>
        <w:t>.</w:t>
      </w:r>
    </w:p>
    <w:p w14:paraId="68CAC763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6A0D2CE1" w14:textId="77777777" w:rsidR="00517DF1" w:rsidRDefault="00517DF1">
      <w:pPr>
        <w:spacing w:after="200" w:line="276" w:lineRule="auto"/>
        <w:rPr>
          <w:b/>
          <w:spacing w:val="2"/>
        </w:rPr>
      </w:pPr>
      <w:r>
        <w:br w:type="page"/>
      </w:r>
    </w:p>
    <w:p w14:paraId="464FFDE0" w14:textId="19B5AF2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Женщины-инвалиды</w:t>
      </w:r>
    </w:p>
    <w:p w14:paraId="05CB5D36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65C38422" w14:textId="77777777" w:rsidR="00480AD4" w:rsidRPr="007A485E" w:rsidRDefault="00480AD4" w:rsidP="00480AD4">
      <w:pPr>
        <w:pStyle w:val="SingleTxt"/>
      </w:pPr>
      <w:r>
        <w:t>42.</w:t>
      </w:r>
      <w:r>
        <w:tab/>
        <w:t>Комитет обеспокоен высоким уровнем неграмотности среди девочек и женщин с инвалидностью и тем фактом, что женщины-инвалиды очень часто становятся жертвами гендерного насилия, включая физическое, психологическое и сексуальное насилие, при этом большинство из них не сообщает о подобных инцидентах. Комитет также обеспокоен существующими по отношению к женщинам-инвалидам</w:t>
      </w:r>
      <w:r w:rsidRPr="005934EE">
        <w:t xml:space="preserve"> </w:t>
      </w:r>
      <w:r>
        <w:t>предрассудками, отражающимися на их сексуальном и репродуктивном здоровье и правах, давлением на них со стороны семьи и общества, требующих от них прерывания беременности, и ограниченным использованием ими противозачаточных средств.</w:t>
      </w:r>
    </w:p>
    <w:p w14:paraId="18B0E9F1" w14:textId="77777777" w:rsidR="00480AD4" w:rsidRPr="007A485E" w:rsidRDefault="00480AD4" w:rsidP="00480AD4">
      <w:pPr>
        <w:pStyle w:val="SingleTxt"/>
        <w:rPr>
          <w:b/>
        </w:rPr>
      </w:pPr>
      <w:r>
        <w:t>43.</w:t>
      </w:r>
      <w:r>
        <w:tab/>
      </w:r>
      <w:r w:rsidRPr="00CC4F25">
        <w:rPr>
          <w:b/>
        </w:rPr>
        <w:t>Комитет рекомендует государству-участнику:</w:t>
      </w:r>
    </w:p>
    <w:p w14:paraId="560B7101" w14:textId="77777777" w:rsidR="00480AD4" w:rsidRPr="007A485E" w:rsidRDefault="00480AD4" w:rsidP="00480AD4">
      <w:pPr>
        <w:pStyle w:val="SingleTxt"/>
        <w:rPr>
          <w:b/>
        </w:rPr>
      </w:pPr>
      <w:r>
        <w:tab/>
        <w:t>a)</w:t>
      </w:r>
      <w:r>
        <w:tab/>
      </w:r>
      <w:r w:rsidRPr="00CC4F25">
        <w:rPr>
          <w:b/>
        </w:rPr>
        <w:t>обеспечить доступ к инклюзивному образованию девочкам и женщинам с ограниченными возможностями, а также доступ к средствам правовой защиты для подачи жалоб в случае нарушения их прав;</w:t>
      </w:r>
    </w:p>
    <w:p w14:paraId="0FFB24E2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CC4F25">
        <w:rPr>
          <w:b/>
        </w:rPr>
        <w:t>прин</w:t>
      </w:r>
      <w:r>
        <w:rPr>
          <w:b/>
        </w:rPr>
        <w:t>имать</w:t>
      </w:r>
      <w:r w:rsidRPr="00CC4F25">
        <w:rPr>
          <w:b/>
        </w:rPr>
        <w:t xml:space="preserve"> дальнейшие меры </w:t>
      </w:r>
      <w:r>
        <w:rPr>
          <w:b/>
        </w:rPr>
        <w:t>к тому</w:t>
      </w:r>
      <w:r w:rsidRPr="00CC4F25">
        <w:rPr>
          <w:b/>
        </w:rPr>
        <w:t>, чтобы сделать систему здравоохранения более инклюзивной и доступной для женщин-инвалидов;</w:t>
      </w:r>
    </w:p>
    <w:p w14:paraId="30C2ACB2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CC4F25">
        <w:rPr>
          <w:b/>
        </w:rPr>
        <w:t xml:space="preserve">обеспечить надлежащее расследование всех случаев гендерного насилия и принудительной стерилизации женщин и девочек-инвалидов, привлечение виновных к ответственности и </w:t>
      </w:r>
      <w:r>
        <w:rPr>
          <w:b/>
        </w:rPr>
        <w:t>назначение им соразмерного наказания</w:t>
      </w:r>
      <w:r w:rsidRPr="00CC4F25">
        <w:rPr>
          <w:b/>
        </w:rPr>
        <w:t xml:space="preserve"> и проведение любых медицинских процедур только </w:t>
      </w:r>
      <w:r>
        <w:rPr>
          <w:b/>
        </w:rPr>
        <w:t>при наличии</w:t>
      </w:r>
      <w:r w:rsidRPr="00CC4F25">
        <w:rPr>
          <w:b/>
        </w:rPr>
        <w:t xml:space="preserve"> свободного, предварительного и осознанного согласия </w:t>
      </w:r>
      <w:r>
        <w:rPr>
          <w:b/>
        </w:rPr>
        <w:t>затрагиваемых</w:t>
      </w:r>
      <w:r w:rsidRPr="00CC4F25">
        <w:rPr>
          <w:b/>
        </w:rPr>
        <w:t xml:space="preserve"> лиц в соответствии с международными стандартами.</w:t>
      </w:r>
    </w:p>
    <w:p w14:paraId="3768042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C741DB1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Женщины-мигранты</w:t>
      </w:r>
    </w:p>
    <w:p w14:paraId="7DA3DAC0" w14:textId="167F990B" w:rsidR="00480AD4" w:rsidRPr="00517DF1" w:rsidRDefault="00480AD4" w:rsidP="00517DF1">
      <w:pPr>
        <w:pStyle w:val="SingleTxt"/>
        <w:spacing w:after="0" w:line="120" w:lineRule="exact"/>
        <w:rPr>
          <w:sz w:val="10"/>
        </w:rPr>
      </w:pPr>
    </w:p>
    <w:p w14:paraId="120BF495" w14:textId="77777777" w:rsidR="00480AD4" w:rsidRPr="007A485E" w:rsidRDefault="00480AD4" w:rsidP="00480AD4">
      <w:pPr>
        <w:pStyle w:val="SingleTxt"/>
      </w:pPr>
      <w:r>
        <w:t>44.</w:t>
      </w:r>
      <w:r>
        <w:tab/>
        <w:t xml:space="preserve">Комитет приветствует принимаемые Главным управлением по вопросам миграции меры в отношении женщин. В то же время Комитет с обеспокоенностью отмечает трудности, с которыми сталкиваются женщины-мигранты при урегулировании своего статуса и получении доступа к услугам образования и здравоохранения, в том числе к услугам по охране сексуального и репродуктивного здоровья, по причине их высокой стоимости, языкового барьера, чрезмерной продолжительности рабочего дня и патриархальных взглядов их партнеров. Принимая во внимание отсутствие известных случаев проведения калечащих операций на женских половых органах, Комитет по-прежнему обеспокоен тем, что такие операции могут практиковаться в общинах мигрантов. </w:t>
      </w:r>
    </w:p>
    <w:p w14:paraId="6FB2C348" w14:textId="77777777" w:rsidR="00480AD4" w:rsidRPr="007A485E" w:rsidRDefault="00480AD4" w:rsidP="00480AD4">
      <w:pPr>
        <w:pStyle w:val="SingleTxt"/>
      </w:pPr>
      <w:r>
        <w:t>45.</w:t>
      </w:r>
      <w:r>
        <w:tab/>
      </w:r>
      <w:r w:rsidRPr="00CC4F25">
        <w:rPr>
          <w:b/>
        </w:rPr>
        <w:t>Комитет рекомендует государству-участнику и дальше оказывать поддержку женщинам-мигрантам, рассмотреть вопрос</w:t>
      </w:r>
      <w:r>
        <w:rPr>
          <w:b/>
        </w:rPr>
        <w:t xml:space="preserve"> об</w:t>
      </w:r>
      <w:r w:rsidRPr="00CC4F25">
        <w:rPr>
          <w:b/>
        </w:rPr>
        <w:t xml:space="preserve"> регулировани</w:t>
      </w:r>
      <w:r>
        <w:rPr>
          <w:b/>
        </w:rPr>
        <w:t>и</w:t>
      </w:r>
      <w:r w:rsidRPr="00CC4F25">
        <w:rPr>
          <w:b/>
        </w:rPr>
        <w:t xml:space="preserve"> их миграционного статуса и </w:t>
      </w:r>
      <w:r>
        <w:rPr>
          <w:b/>
        </w:rPr>
        <w:t>предоставить</w:t>
      </w:r>
      <w:r w:rsidRPr="00CC4F25">
        <w:rPr>
          <w:b/>
        </w:rPr>
        <w:t xml:space="preserve"> женщин</w:t>
      </w:r>
      <w:r>
        <w:rPr>
          <w:b/>
        </w:rPr>
        <w:t>ам</w:t>
      </w:r>
      <w:r w:rsidRPr="00CC4F25">
        <w:rPr>
          <w:b/>
        </w:rPr>
        <w:t>-мигрант</w:t>
      </w:r>
      <w:r>
        <w:rPr>
          <w:b/>
        </w:rPr>
        <w:t>ам</w:t>
      </w:r>
      <w:r w:rsidRPr="00CC4F25">
        <w:rPr>
          <w:b/>
        </w:rPr>
        <w:t xml:space="preserve"> доступ к образовательным и медицинским услугам. Комитет также рекомендует государству-участнику бороться с патриархальными взглядами, которые не позволяют женщинам пользоваться своими правами, и продолж</w:t>
      </w:r>
      <w:r>
        <w:rPr>
          <w:b/>
        </w:rPr>
        <w:t>а</w:t>
      </w:r>
      <w:r w:rsidRPr="00CC4F25">
        <w:rPr>
          <w:b/>
        </w:rPr>
        <w:t>ть отслежива</w:t>
      </w:r>
      <w:r>
        <w:rPr>
          <w:b/>
        </w:rPr>
        <w:t>ть</w:t>
      </w:r>
      <w:r w:rsidRPr="00CC4F25">
        <w:rPr>
          <w:b/>
        </w:rPr>
        <w:t xml:space="preserve"> потенциальны</w:t>
      </w:r>
      <w:r>
        <w:rPr>
          <w:b/>
        </w:rPr>
        <w:t>е</w:t>
      </w:r>
      <w:r w:rsidRPr="00CC4F25">
        <w:rPr>
          <w:b/>
        </w:rPr>
        <w:t xml:space="preserve"> случа</w:t>
      </w:r>
      <w:r>
        <w:rPr>
          <w:b/>
        </w:rPr>
        <w:t>и</w:t>
      </w:r>
      <w:r w:rsidRPr="00CC4F25">
        <w:rPr>
          <w:b/>
        </w:rPr>
        <w:t xml:space="preserve"> калечащих операций на женских половых органах.</w:t>
      </w:r>
    </w:p>
    <w:p w14:paraId="37FA821D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05E6E2D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14:paraId="61B56D71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83471A1" w14:textId="06DE8E85" w:rsidR="00480AD4" w:rsidRPr="007A485E" w:rsidRDefault="00480AD4" w:rsidP="00480AD4">
      <w:pPr>
        <w:pStyle w:val="SingleTxt"/>
        <w:spacing w:line="240" w:lineRule="auto"/>
      </w:pPr>
      <w:r>
        <w:t>46.</w:t>
      </w:r>
      <w:r>
        <w:tab/>
        <w:t>Комитет обращает внимание на информацию об уменьшении числа случаев фактического многоженства</w:t>
      </w:r>
      <w:r w:rsidRPr="00E86EF1">
        <w:t xml:space="preserve"> </w:t>
      </w:r>
      <w:r>
        <w:t>в государстве-участнике. В то же время Комитет обеспокоен тем, что усилий, нацеленных на изменение сложившихся в обществе взглядов и практик, по-прежнему недостаточно и что девочки младше 18</w:t>
      </w:r>
      <w:r w:rsidR="00517DF1">
        <w:t> </w:t>
      </w:r>
      <w:r>
        <w:t xml:space="preserve">лет иногда живут в гражданских союзах, что равносильно детским бракам. Комитет с обеспокоенностью отмечает, что Гражданский кодекс признает гражданские союзы между лицами старше 19 лет, которые прожили вместе не менее трех лет, что фактически узаконивает гражданские союзы детей с 16-летнего возраста. Комитет обеспокоен трудностями, с которыми сталкиваются женщины при расставании с партнером или разводе, что часто становится причиной их социально-экономической неустроенности. Комитет с обеспокоенностью отмечает, что в 2018 году произошло восемь случаев убийства женщин, которые все без исключения были связаны с намерением женщин уйти от своего партнера. </w:t>
      </w:r>
    </w:p>
    <w:p w14:paraId="5EF7DE57" w14:textId="77777777" w:rsidR="00480AD4" w:rsidRPr="007A485E" w:rsidRDefault="00480AD4" w:rsidP="00480AD4">
      <w:pPr>
        <w:pStyle w:val="SingleTxt"/>
      </w:pPr>
      <w:r>
        <w:t>47.</w:t>
      </w:r>
      <w:r>
        <w:tab/>
      </w:r>
      <w:r w:rsidRPr="00DB047B">
        <w:rPr>
          <w:b/>
        </w:rPr>
        <w:t>Комитет рекомендует государству-участнику:</w:t>
      </w:r>
    </w:p>
    <w:p w14:paraId="661999ED" w14:textId="77777777" w:rsidR="00480AD4" w:rsidRPr="007A485E" w:rsidRDefault="00480AD4" w:rsidP="00480AD4">
      <w:pPr>
        <w:pStyle w:val="SingleTxt"/>
      </w:pPr>
      <w:r>
        <w:tab/>
        <w:t>a)</w:t>
      </w:r>
      <w:r>
        <w:tab/>
      </w:r>
      <w:r w:rsidRPr="00CC4F25">
        <w:rPr>
          <w:b/>
        </w:rPr>
        <w:t xml:space="preserve">активизировать усилия по предотвращению и </w:t>
      </w:r>
      <w:r>
        <w:rPr>
          <w:b/>
        </w:rPr>
        <w:t xml:space="preserve">искоренению практики </w:t>
      </w:r>
      <w:r w:rsidRPr="00CC4F25">
        <w:rPr>
          <w:b/>
        </w:rPr>
        <w:t>фактического многоженства;</w:t>
      </w:r>
    </w:p>
    <w:p w14:paraId="7F330FA1" w14:textId="77777777" w:rsidR="00480AD4" w:rsidRPr="007A485E" w:rsidRDefault="00480AD4" w:rsidP="00480AD4">
      <w:pPr>
        <w:pStyle w:val="SingleTxt"/>
        <w:rPr>
          <w:b/>
        </w:rPr>
      </w:pPr>
      <w:r>
        <w:tab/>
        <w:t>b)</w:t>
      </w:r>
      <w:r>
        <w:tab/>
      </w:r>
      <w:r w:rsidRPr="00CC4F25">
        <w:rPr>
          <w:b/>
        </w:rPr>
        <w:t>внести в Гражданский кодекс</w:t>
      </w:r>
      <w:r w:rsidRPr="00905AE6">
        <w:rPr>
          <w:b/>
        </w:rPr>
        <w:t xml:space="preserve"> </w:t>
      </w:r>
      <w:r w:rsidRPr="00CC4F25">
        <w:rPr>
          <w:b/>
        </w:rPr>
        <w:t>поправки, запрещающие вступление девочек моложе 18 лет</w:t>
      </w:r>
      <w:r w:rsidRPr="00905AE6">
        <w:rPr>
          <w:b/>
        </w:rPr>
        <w:t xml:space="preserve"> </w:t>
      </w:r>
      <w:r w:rsidRPr="00CC4F25">
        <w:rPr>
          <w:b/>
        </w:rPr>
        <w:t>в фактически</w:t>
      </w:r>
      <w:r>
        <w:rPr>
          <w:b/>
        </w:rPr>
        <w:t>е</w:t>
      </w:r>
      <w:r w:rsidRPr="00CC4F25">
        <w:rPr>
          <w:b/>
        </w:rPr>
        <w:t xml:space="preserve"> союз</w:t>
      </w:r>
      <w:r>
        <w:rPr>
          <w:b/>
        </w:rPr>
        <w:t>ы</w:t>
      </w:r>
      <w:r w:rsidRPr="00CC4F25">
        <w:rPr>
          <w:b/>
        </w:rPr>
        <w:t xml:space="preserve">, </w:t>
      </w:r>
      <w:r>
        <w:rPr>
          <w:b/>
        </w:rPr>
        <w:t xml:space="preserve">равносильные </w:t>
      </w:r>
      <w:r w:rsidRPr="00CC4F25">
        <w:rPr>
          <w:b/>
        </w:rPr>
        <w:t>детским бракам, и призна</w:t>
      </w:r>
      <w:r>
        <w:rPr>
          <w:b/>
        </w:rPr>
        <w:t>вать</w:t>
      </w:r>
      <w:r w:rsidRPr="00CC4F25">
        <w:rPr>
          <w:b/>
        </w:rPr>
        <w:t xml:space="preserve"> только те фактические брачные союзы, которые начались, когда обоим партнерам было не менее 18 лет;</w:t>
      </w:r>
    </w:p>
    <w:p w14:paraId="64EBA153" w14:textId="77777777" w:rsidR="00480AD4" w:rsidRPr="007A485E" w:rsidRDefault="00480AD4" w:rsidP="00480AD4">
      <w:pPr>
        <w:pStyle w:val="SingleTxt"/>
        <w:rPr>
          <w:b/>
        </w:rPr>
      </w:pPr>
      <w:r>
        <w:tab/>
        <w:t>c)</w:t>
      </w:r>
      <w:r>
        <w:tab/>
      </w:r>
      <w:r w:rsidRPr="00CC4F25">
        <w:rPr>
          <w:b/>
        </w:rPr>
        <w:t>обеспечить, чтобы имущество, находящееся в совместной собственности женщин и мужчин</w:t>
      </w:r>
      <w:r>
        <w:rPr>
          <w:b/>
        </w:rPr>
        <w:t>, состоящих</w:t>
      </w:r>
      <w:r w:rsidRPr="00CC4F25">
        <w:rPr>
          <w:b/>
        </w:rPr>
        <w:t xml:space="preserve"> в фактических брачных союзах, с самого начала регистрировалось на имя обоих партнеров;</w:t>
      </w:r>
    </w:p>
    <w:p w14:paraId="3E98E783" w14:textId="77777777" w:rsidR="00480AD4" w:rsidRPr="007A485E" w:rsidRDefault="00480AD4" w:rsidP="00480AD4">
      <w:pPr>
        <w:pStyle w:val="SingleTxt"/>
      </w:pPr>
      <w:r>
        <w:tab/>
        <w:t>d)</w:t>
      </w:r>
      <w:r>
        <w:tab/>
      </w:r>
      <w:r w:rsidRPr="003F4C26">
        <w:rPr>
          <w:b/>
        </w:rPr>
        <w:t>обеспечить, чтобы женщины, находящиеся в ситуациях раздельного проживания и развода, имели доступ к финансовой поддержке, охранным судебным ордерам для защиты от агрессивных партнеров и, при необходимости,</w:t>
      </w:r>
      <w:r>
        <w:rPr>
          <w:b/>
        </w:rPr>
        <w:t xml:space="preserve"> к</w:t>
      </w:r>
      <w:r w:rsidRPr="003F4C26">
        <w:rPr>
          <w:b/>
        </w:rPr>
        <w:t xml:space="preserve"> правовой помощи. </w:t>
      </w:r>
    </w:p>
    <w:p w14:paraId="0AF657D2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793D4DA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14:paraId="6D59868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1E8C1436" w14:textId="77777777" w:rsidR="00480AD4" w:rsidRPr="007A485E" w:rsidRDefault="00480AD4" w:rsidP="00480AD4">
      <w:pPr>
        <w:pStyle w:val="SingleTxt"/>
      </w:pPr>
      <w:r>
        <w:t>48.</w:t>
      </w:r>
      <w:r>
        <w:tab/>
      </w:r>
      <w:r w:rsidRPr="003F4C26">
        <w:rPr>
          <w:b/>
        </w:rPr>
        <w:t xml:space="preserve">Комитет рекомендует государству-участнику осуществлять сбор и публикацию данных, дезагрегированных по признаку пола, </w:t>
      </w:r>
      <w:r>
        <w:rPr>
          <w:b/>
        </w:rPr>
        <w:t>гендера</w:t>
      </w:r>
      <w:r w:rsidRPr="003F4C26">
        <w:rPr>
          <w:b/>
        </w:rPr>
        <w:t xml:space="preserve">, этнической принадлежности, инвалидности и возраста, с тем чтобы </w:t>
      </w:r>
      <w:r>
        <w:rPr>
          <w:b/>
        </w:rPr>
        <w:t>использовать их при разработке</w:t>
      </w:r>
      <w:r w:rsidRPr="003F4C26">
        <w:rPr>
          <w:b/>
        </w:rPr>
        <w:t xml:space="preserve"> политики и программ в интересах женщин и девочек, а также для отслеживани</w:t>
      </w:r>
      <w:r>
        <w:rPr>
          <w:b/>
        </w:rPr>
        <w:t>я</w:t>
      </w:r>
      <w:r w:rsidRPr="003F4C26">
        <w:rPr>
          <w:b/>
        </w:rPr>
        <w:t xml:space="preserve"> прогресса в</w:t>
      </w:r>
      <w:r>
        <w:rPr>
          <w:b/>
        </w:rPr>
        <w:t xml:space="preserve"> выполнении </w:t>
      </w:r>
      <w:r w:rsidRPr="00812A3E">
        <w:rPr>
          <w:b/>
        </w:rPr>
        <w:t>связанных с гендерной проблематикой задач</w:t>
      </w:r>
      <w:r>
        <w:rPr>
          <w:b/>
        </w:rPr>
        <w:t>, сформулированных в рамках</w:t>
      </w:r>
      <w:r w:rsidRPr="003F4C26">
        <w:rPr>
          <w:b/>
        </w:rPr>
        <w:t xml:space="preserve"> целей в области устойчивого развития.</w:t>
      </w:r>
    </w:p>
    <w:p w14:paraId="7EF0239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D9379F4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Поправка к пункту 1 статьи 20 Конвенции</w:t>
      </w:r>
    </w:p>
    <w:p w14:paraId="7DBA74C1" w14:textId="230E27FC" w:rsidR="00480AD4" w:rsidRPr="00517DF1" w:rsidRDefault="00480AD4" w:rsidP="00517DF1">
      <w:pPr>
        <w:pStyle w:val="SingleTxt"/>
        <w:spacing w:after="0" w:line="120" w:lineRule="exact"/>
        <w:rPr>
          <w:sz w:val="10"/>
        </w:rPr>
      </w:pPr>
    </w:p>
    <w:p w14:paraId="751E1EA0" w14:textId="77777777" w:rsidR="00480AD4" w:rsidRPr="007A485E" w:rsidRDefault="00480AD4" w:rsidP="00480AD4">
      <w:pPr>
        <w:pStyle w:val="SingleTxt"/>
      </w:pPr>
      <w:r>
        <w:t>49.</w:t>
      </w:r>
      <w:r>
        <w:tab/>
      </w:r>
      <w:r w:rsidRPr="003F4C26">
        <w:rPr>
          <w:b/>
        </w:rPr>
        <w:t xml:space="preserve">Комитет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призывом</w:t>
      </w:r>
      <w:r w:rsidRPr="003F4C26">
        <w:rPr>
          <w:b/>
        </w:rPr>
        <w:t xml:space="preserve"> принять поправку к пункту 1 статьи 20 Конвенции, касающуюся продолжительности заседаний Комитета.</w:t>
      </w:r>
    </w:p>
    <w:p w14:paraId="1F89CC8C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478EA69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14:paraId="2DC55F90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7EFF19B" w14:textId="77777777" w:rsidR="00480AD4" w:rsidRPr="007A485E" w:rsidRDefault="00480AD4" w:rsidP="00480AD4">
      <w:pPr>
        <w:pStyle w:val="SingleTxt"/>
        <w:spacing w:line="240" w:lineRule="auto"/>
      </w:pPr>
      <w:r>
        <w:t>50.</w:t>
      </w:r>
      <w:r>
        <w:tab/>
      </w:r>
      <w:r w:rsidRPr="003F4C26">
        <w:rPr>
          <w:b/>
        </w:rPr>
        <w:t xml:space="preserve">Комитет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призывом</w:t>
      </w:r>
      <w:r w:rsidRPr="003F4C26">
        <w:rPr>
          <w:b/>
        </w:rPr>
        <w:t xml:space="preserve"> руководствоваться Пекинской декларацией и Платформой действий и </w:t>
      </w:r>
      <w:r>
        <w:rPr>
          <w:b/>
        </w:rPr>
        <w:t>еще раз оценить</w:t>
      </w:r>
      <w:r w:rsidRPr="003F4C26">
        <w:rPr>
          <w:b/>
        </w:rPr>
        <w:t xml:space="preserve"> осуществлени</w:t>
      </w:r>
      <w:r>
        <w:rPr>
          <w:b/>
        </w:rPr>
        <w:t>е</w:t>
      </w:r>
      <w:r w:rsidRPr="003F4C26">
        <w:rPr>
          <w:b/>
        </w:rPr>
        <w:t xml:space="preserve"> прав, закрепленных в Конвенции, в контексте 25-летнего обзора хода осуществления Декларации и Платформы в целях достижения реального равенства между женщинами и мужчинами.</w:t>
      </w:r>
    </w:p>
    <w:p w14:paraId="1B147611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7B022AD6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</w:t>
      </w:r>
    </w:p>
    <w:p w14:paraId="1D324A95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D63ECE7" w14:textId="77777777" w:rsidR="00480AD4" w:rsidRPr="007A485E" w:rsidRDefault="00480AD4" w:rsidP="00480AD4">
      <w:pPr>
        <w:pStyle w:val="SingleTxt"/>
        <w:spacing w:line="240" w:lineRule="auto"/>
      </w:pPr>
      <w:r>
        <w:t>51.</w:t>
      </w:r>
      <w:r>
        <w:tab/>
      </w:r>
      <w:r w:rsidRPr="00DB047B">
        <w:rPr>
          <w:b/>
        </w:rPr>
        <w:t xml:space="preserve">Комитет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просьбой</w:t>
      </w:r>
      <w:r w:rsidRPr="00DB047B">
        <w:rPr>
          <w:b/>
        </w:rPr>
        <w:t xml:space="preserve">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парламенте и судебных органах, для обеспечения их полного осуществления.</w:t>
      </w:r>
    </w:p>
    <w:p w14:paraId="6D842B4A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27D99C4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14:paraId="2780ACA0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0E6B475A" w14:textId="77777777" w:rsidR="00480AD4" w:rsidRPr="007A485E" w:rsidRDefault="00480AD4" w:rsidP="00480AD4">
      <w:pPr>
        <w:pStyle w:val="SingleTxt"/>
        <w:spacing w:line="240" w:lineRule="auto"/>
      </w:pPr>
      <w:r>
        <w:t>52.</w:t>
      </w:r>
      <w:r>
        <w:tab/>
      </w:r>
      <w:r w:rsidRPr="00DB047B">
        <w:rPr>
          <w:b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</w:p>
    <w:p w14:paraId="449D0E47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83997AD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14:paraId="347CB88A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FC0672B" w14:textId="77777777" w:rsidR="00480AD4" w:rsidRPr="007A485E" w:rsidRDefault="00480AD4" w:rsidP="00480AD4">
      <w:pPr>
        <w:pStyle w:val="SingleTxt"/>
        <w:spacing w:line="240" w:lineRule="auto"/>
      </w:pPr>
      <w:r>
        <w:t>53.</w:t>
      </w:r>
      <w:r>
        <w:tab/>
      </w:r>
      <w:r w:rsidRPr="003F4C26">
        <w:rPr>
          <w:b/>
          <w:spacing w:val="0"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480AD4">
        <w:rPr>
          <w:rStyle w:val="FootnoteReference"/>
        </w:rPr>
        <w:footnoteReference w:id="1"/>
      </w:r>
      <w:r w:rsidRPr="003F4C26">
        <w:rPr>
          <w:b/>
          <w:spacing w:val="0"/>
        </w:rPr>
        <w:t xml:space="preserve"> способствовало бы более широкому осуществлению женщинами своих прав человека и основных свобод во всех аспектах жизни. Поэтому Комитет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призывом</w:t>
      </w:r>
      <w:r w:rsidRPr="003F4C26">
        <w:rPr>
          <w:b/>
        </w:rPr>
        <w:t xml:space="preserve"> </w:t>
      </w:r>
      <w:r w:rsidRPr="003F4C26">
        <w:rPr>
          <w:b/>
          <w:spacing w:val="0"/>
        </w:rPr>
        <w:t>ратифицировать Конвенцию для защиты всех лиц от насильственных исчезновений, участником которой оно еще не является.</w:t>
      </w:r>
    </w:p>
    <w:p w14:paraId="034298B8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2CE971E2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действия в связи с заключительными замечаниями</w:t>
      </w:r>
    </w:p>
    <w:p w14:paraId="12C2B6EF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2F0B269" w14:textId="77777777" w:rsidR="00480AD4" w:rsidRPr="007A485E" w:rsidRDefault="00480AD4" w:rsidP="00480AD4">
      <w:pPr>
        <w:pStyle w:val="SingleTxt"/>
        <w:spacing w:line="240" w:lineRule="auto"/>
      </w:pPr>
      <w:r>
        <w:t>54.</w:t>
      </w:r>
      <w:r>
        <w:tab/>
      </w:r>
      <w:r w:rsidRPr="00DB047B">
        <w:rPr>
          <w:b/>
        </w:rPr>
        <w:t>Комитет выражает сожаление в связи с тем, что государство-участник не представило информацию о мерах, принятых для осуществления конкретных рекомендаций, определенных в его предыдущих заключительных замечаниях</w:t>
      </w:r>
      <w:r>
        <w:rPr>
          <w:b/>
        </w:rPr>
        <w:t xml:space="preserve"> как требующих принятия незамедлительных мер</w:t>
      </w:r>
      <w:r w:rsidRPr="00DB047B">
        <w:rPr>
          <w:b/>
        </w:rPr>
        <w:t xml:space="preserve">, и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просьбой</w:t>
      </w:r>
      <w:r w:rsidRPr="00DB047B" w:rsidDel="000F1510">
        <w:rPr>
          <w:b/>
        </w:rPr>
        <w:t xml:space="preserve"> </w:t>
      </w:r>
      <w:r w:rsidRPr="00DB047B">
        <w:rPr>
          <w:b/>
        </w:rPr>
        <w:t xml:space="preserve">представить в течение двух лет письменную информацию о мерах, принятых для </w:t>
      </w:r>
      <w:r>
        <w:rPr>
          <w:b/>
        </w:rPr>
        <w:t>выполнени</w:t>
      </w:r>
      <w:r w:rsidRPr="00DB047B">
        <w:rPr>
          <w:b/>
        </w:rPr>
        <w:t>я рекомендаций, содержащихся в пунктах 22 а), 26 а), 29 с) и 33 а) выше.</w:t>
      </w:r>
    </w:p>
    <w:p w14:paraId="76F939D6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522CC2D3" w14:textId="77777777" w:rsidR="00480AD4" w:rsidRPr="007A485E" w:rsidRDefault="00480AD4" w:rsidP="00480A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14:paraId="1A3AEAB4" w14:textId="77777777" w:rsidR="00480AD4" w:rsidRPr="007A485E" w:rsidRDefault="00480AD4" w:rsidP="00480AD4">
      <w:pPr>
        <w:pStyle w:val="SingleTxt"/>
        <w:spacing w:after="0" w:line="120" w:lineRule="exact"/>
        <w:rPr>
          <w:sz w:val="10"/>
        </w:rPr>
      </w:pPr>
    </w:p>
    <w:p w14:paraId="614AAAE5" w14:textId="77777777" w:rsidR="00480AD4" w:rsidRPr="007A485E" w:rsidRDefault="00480AD4" w:rsidP="00480AD4">
      <w:pPr>
        <w:pStyle w:val="SingleTxt"/>
        <w:spacing w:line="240" w:lineRule="auto"/>
        <w:rPr>
          <w:b/>
        </w:rPr>
      </w:pPr>
      <w:r>
        <w:t>55.</w:t>
      </w:r>
      <w:r>
        <w:tab/>
      </w:r>
      <w:r w:rsidRPr="00DB047B">
        <w:rPr>
          <w:b/>
        </w:rPr>
        <w:t>Комитет просит государство-участника представить свой десятый периодический доклад, который подлежит представлению в июле 2023 года. Доклад должен быть представлен в срок и охватывать весь период до момента его представления</w:t>
      </w:r>
      <w:r>
        <w:rPr>
          <w:b/>
        </w:rPr>
        <w:t>.</w:t>
      </w:r>
    </w:p>
    <w:p w14:paraId="220F89C2" w14:textId="47A0143F" w:rsidR="00A804BC" w:rsidRDefault="00480AD4" w:rsidP="00480AD4">
      <w:pPr>
        <w:pStyle w:val="SingleTxt"/>
        <w:rPr>
          <w:b/>
        </w:rPr>
      </w:pPr>
      <w:r>
        <w:t>56.</w:t>
      </w:r>
      <w:r>
        <w:tab/>
      </w:r>
      <w:r w:rsidRPr="00DB047B">
        <w:rPr>
          <w:b/>
        </w:rPr>
        <w:t xml:space="preserve">Комитет </w:t>
      </w:r>
      <w:r>
        <w:rPr>
          <w:b/>
        </w:rPr>
        <w:t xml:space="preserve">обращается к </w:t>
      </w:r>
      <w:r w:rsidRPr="003F4C26">
        <w:rPr>
          <w:b/>
        </w:rPr>
        <w:t>государств</w:t>
      </w:r>
      <w:r>
        <w:rPr>
          <w:b/>
        </w:rPr>
        <w:t>у</w:t>
      </w:r>
      <w:r w:rsidRPr="003F4C26">
        <w:rPr>
          <w:b/>
        </w:rPr>
        <w:t>-участник</w:t>
      </w:r>
      <w:r>
        <w:rPr>
          <w:b/>
        </w:rPr>
        <w:t>у с просьбой</w:t>
      </w:r>
      <w:r w:rsidRPr="00DB047B">
        <w:rPr>
          <w:b/>
        </w:rPr>
        <w:t xml:space="preserve"> следовать </w:t>
      </w:r>
      <w:r>
        <w:rPr>
          <w:b/>
        </w:rPr>
        <w:t>Согласованным</w:t>
      </w:r>
      <w:r w:rsidRPr="00DB047B">
        <w:rPr>
          <w:b/>
        </w:rPr>
        <w:t xml:space="preserve">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</w:t>
      </w:r>
      <w:bookmarkStart w:id="2" w:name="LinkName"/>
      <w:r>
        <w:rPr>
          <w:b/>
        </w:rPr>
        <w:fldChar w:fldCharType="begin"/>
      </w:r>
      <w:r>
        <w:rPr>
          <w:b/>
        </w:rPr>
        <w:instrText xml:space="preserve"> HYPERLINK "https://undocs.org/HRI/GEN/2/Rev.6" </w:instrText>
      </w:r>
      <w:r w:rsidR="00E71826">
        <w:rPr>
          <w:b/>
        </w:rPr>
      </w:r>
      <w:r>
        <w:rPr>
          <w:b/>
        </w:rPr>
        <w:fldChar w:fldCharType="separate"/>
      </w:r>
      <w:r w:rsidRPr="00C13A5A">
        <w:rPr>
          <w:rStyle w:val="Hyperlink"/>
        </w:rPr>
        <w:t>HRI/GEN/2/Rev.6, глава I</w:t>
      </w:r>
      <w:bookmarkEnd w:id="2"/>
      <w:r>
        <w:rPr>
          <w:b/>
        </w:rPr>
        <w:fldChar w:fldCharType="end"/>
      </w:r>
      <w:r w:rsidRPr="00DB047B">
        <w:rPr>
          <w:b/>
        </w:rPr>
        <w:t>).</w:t>
      </w:r>
    </w:p>
    <w:p w14:paraId="36A6F6A9" w14:textId="583D9B24" w:rsidR="00480AD4" w:rsidRPr="00480AD4" w:rsidRDefault="00480AD4" w:rsidP="00480AD4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5A1B3" wp14:editId="110AAA6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329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80AD4" w:rsidRPr="00480AD4" w:rsidSect="00480AD4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9-12T15:15:00Z" w:initials="Start">
    <w:p w14:paraId="192D9D22" w14:textId="77777777" w:rsidR="00A804BC" w:rsidRPr="00480AD4" w:rsidRDefault="00A804BC">
      <w:pPr>
        <w:pStyle w:val="CommentText"/>
        <w:rPr>
          <w:lang w:val="en-US"/>
        </w:rPr>
      </w:pPr>
      <w:r>
        <w:fldChar w:fldCharType="begin"/>
      </w:r>
      <w:r w:rsidRPr="00480AD4">
        <w:rPr>
          <w:rStyle w:val="CommentReference"/>
          <w:lang w:val="en-US"/>
        </w:rPr>
        <w:instrText xml:space="preserve"> </w:instrText>
      </w:r>
      <w:r w:rsidRPr="00480AD4">
        <w:rPr>
          <w:lang w:val="en-US"/>
        </w:rPr>
        <w:instrText>PAGE \# "'Page: '#'</w:instrText>
      </w:r>
      <w:r w:rsidRPr="00480AD4">
        <w:rPr>
          <w:lang w:val="en-US"/>
        </w:rPr>
        <w:br/>
        <w:instrText>'"</w:instrText>
      </w:r>
      <w:r w:rsidRPr="00480AD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80AD4">
        <w:rPr>
          <w:lang w:val="en-US"/>
        </w:rPr>
        <w:t>&lt;&lt;ODS JOB NO&gt;&gt;N1923688R&lt;&lt;ODS JOB NO&gt;&gt;</w:t>
      </w:r>
    </w:p>
    <w:p w14:paraId="05F1D043" w14:textId="77777777" w:rsidR="00A804BC" w:rsidRPr="00480AD4" w:rsidRDefault="00A804BC">
      <w:pPr>
        <w:pStyle w:val="CommentText"/>
        <w:rPr>
          <w:lang w:val="en-US"/>
        </w:rPr>
      </w:pPr>
      <w:r w:rsidRPr="00480AD4">
        <w:rPr>
          <w:lang w:val="en-US"/>
        </w:rPr>
        <w:t>&lt;&lt;ODS DOC SYMBOL1&gt;&gt;CEDAW/C/CPV/CO/9&lt;&lt;ODS DOC SYMBOL1&gt;&gt;</w:t>
      </w:r>
    </w:p>
    <w:p w14:paraId="28CF4294" w14:textId="77777777" w:rsidR="00A804BC" w:rsidRDefault="00A804BC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CF429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AE45" w14:textId="77777777" w:rsidR="00BD4B92" w:rsidRDefault="00BD4B92" w:rsidP="001824A1">
      <w:pPr>
        <w:spacing w:line="240" w:lineRule="auto"/>
      </w:pPr>
      <w:r>
        <w:separator/>
      </w:r>
    </w:p>
  </w:endnote>
  <w:endnote w:type="continuationSeparator" w:id="0">
    <w:p w14:paraId="2591F5CD" w14:textId="77777777" w:rsidR="00BD4B92" w:rsidRDefault="00BD4B92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804BC" w14:paraId="2E2DF9B3" w14:textId="77777777" w:rsidTr="00A804BC">
      <w:tc>
        <w:tcPr>
          <w:tcW w:w="4920" w:type="dxa"/>
          <w:shd w:val="clear" w:color="auto" w:fill="auto"/>
          <w:vAlign w:val="bottom"/>
        </w:tcPr>
        <w:p w14:paraId="14930E35" w14:textId="77777777" w:rsidR="00A804BC" w:rsidRPr="00A804BC" w:rsidRDefault="00A804BC" w:rsidP="00A804B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E71826">
            <w:fldChar w:fldCharType="begin"/>
          </w:r>
          <w:r w:rsidR="00E71826">
            <w:instrText xml:space="preserve"> NUMPAGES  \* Arabic  \* MERGEFORMAT </w:instrText>
          </w:r>
          <w:r w:rsidR="00E71826">
            <w:fldChar w:fldCharType="separate"/>
          </w:r>
          <w:r>
            <w:rPr>
              <w:noProof/>
            </w:rPr>
            <w:t>4</w:t>
          </w:r>
          <w:r w:rsidR="00E71826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894C3F2" w14:textId="3160712F" w:rsidR="00A804BC" w:rsidRPr="00FD5A3F" w:rsidRDefault="00A804BC" w:rsidP="00A804BC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1826">
            <w:rPr>
              <w:b w:val="0"/>
              <w:color w:val="000000"/>
              <w:sz w:val="14"/>
            </w:rPr>
            <w:t>19-12975</w:t>
          </w:r>
          <w:r>
            <w:rPr>
              <w:b w:val="0"/>
              <w:color w:val="000000"/>
              <w:sz w:val="14"/>
            </w:rPr>
            <w:fldChar w:fldCharType="end"/>
          </w:r>
          <w:r w:rsidR="00FD5A3F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34D11940" w14:textId="77777777" w:rsidR="00A804BC" w:rsidRPr="00A804BC" w:rsidRDefault="00A804BC" w:rsidP="00A8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804BC" w14:paraId="64308781" w14:textId="77777777" w:rsidTr="00A804BC">
      <w:tc>
        <w:tcPr>
          <w:tcW w:w="4920" w:type="dxa"/>
          <w:shd w:val="clear" w:color="auto" w:fill="auto"/>
          <w:vAlign w:val="bottom"/>
        </w:tcPr>
        <w:p w14:paraId="450978C1" w14:textId="29C10E34" w:rsidR="00A804BC" w:rsidRPr="00FD5A3F" w:rsidRDefault="00A804BC" w:rsidP="00A804BC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1826">
            <w:rPr>
              <w:b w:val="0"/>
              <w:color w:val="000000"/>
              <w:sz w:val="14"/>
            </w:rPr>
            <w:t>19-12975</w:t>
          </w:r>
          <w:r>
            <w:rPr>
              <w:b w:val="0"/>
              <w:color w:val="000000"/>
              <w:sz w:val="14"/>
            </w:rPr>
            <w:fldChar w:fldCharType="end"/>
          </w:r>
          <w:r w:rsidR="00FD5A3F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176A4D9F" w14:textId="77777777" w:rsidR="00A804BC" w:rsidRPr="00A804BC" w:rsidRDefault="00A804BC" w:rsidP="00A804B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E71826">
            <w:fldChar w:fldCharType="begin"/>
          </w:r>
          <w:r w:rsidR="00E71826">
            <w:instrText xml:space="preserve"> NUMPAGES  \* Arabic  \* MERGEFORMAT </w:instrText>
          </w:r>
          <w:r w:rsidR="00E71826">
            <w:fldChar w:fldCharType="separate"/>
          </w:r>
          <w:r>
            <w:rPr>
              <w:noProof/>
            </w:rPr>
            <w:t>4</w:t>
          </w:r>
          <w:r w:rsidR="00E71826">
            <w:rPr>
              <w:noProof/>
            </w:rPr>
            <w:fldChar w:fldCharType="end"/>
          </w:r>
        </w:p>
      </w:tc>
    </w:tr>
  </w:tbl>
  <w:p w14:paraId="34CB494A" w14:textId="77777777" w:rsidR="00A804BC" w:rsidRPr="00A804BC" w:rsidRDefault="00A804BC" w:rsidP="00A80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A804BC" w14:paraId="5246C0F7" w14:textId="77777777" w:rsidTr="00A804BC">
      <w:tc>
        <w:tcPr>
          <w:tcW w:w="3830" w:type="dxa"/>
        </w:tcPr>
        <w:p w14:paraId="0432C2CF" w14:textId="7A7D2E22" w:rsidR="00A804BC" w:rsidRDefault="00A804BC" w:rsidP="00A804BC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05C1595" wp14:editId="27B4D75D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CPV/CO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CPV/CO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19-12975</w:t>
          </w:r>
          <w:r w:rsidR="00FD5A3F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FD5A3F">
            <w:rPr>
              <w:color w:val="010000"/>
              <w:lang w:val="en-US"/>
            </w:rPr>
            <w:t>09</w:t>
          </w:r>
          <w:r>
            <w:rPr>
              <w:color w:val="010000"/>
            </w:rPr>
            <w:t>0919    120919</w:t>
          </w:r>
        </w:p>
        <w:p w14:paraId="2A6834C7" w14:textId="77777777" w:rsidR="00A804BC" w:rsidRPr="00A804BC" w:rsidRDefault="00A804BC" w:rsidP="00A804B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*1912975*</w:t>
          </w:r>
        </w:p>
      </w:tc>
      <w:tc>
        <w:tcPr>
          <w:tcW w:w="4920" w:type="dxa"/>
        </w:tcPr>
        <w:p w14:paraId="7ABD7BE4" w14:textId="77777777" w:rsidR="00A804BC" w:rsidRDefault="00A804BC" w:rsidP="00A804B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FB6C348" wp14:editId="016E795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65B1F2" w14:textId="77777777" w:rsidR="00A804BC" w:rsidRPr="00A804BC" w:rsidRDefault="00A804BC" w:rsidP="00A804B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E75F" w14:textId="4E0C5AD8" w:rsidR="00BD4B92" w:rsidRPr="00480AD4" w:rsidRDefault="00480AD4" w:rsidP="00480AD4">
      <w:pPr>
        <w:pStyle w:val="Footer"/>
        <w:spacing w:after="80"/>
        <w:ind w:left="792"/>
      </w:pPr>
      <w:r w:rsidRPr="00480AD4">
        <w:t>__________________</w:t>
      </w:r>
    </w:p>
  </w:footnote>
  <w:footnote w:type="continuationSeparator" w:id="0">
    <w:p w14:paraId="3243BC21" w14:textId="3E4AFB3E" w:rsidR="00BD4B92" w:rsidRPr="00480AD4" w:rsidRDefault="00480AD4" w:rsidP="00480AD4">
      <w:pPr>
        <w:pStyle w:val="Footer"/>
        <w:spacing w:after="80"/>
        <w:ind w:left="792"/>
      </w:pPr>
      <w:r w:rsidRPr="00480AD4">
        <w:t>__________________</w:t>
      </w:r>
    </w:p>
  </w:footnote>
  <w:footnote w:id="1">
    <w:p w14:paraId="561BCD62" w14:textId="613747D8" w:rsidR="00480AD4" w:rsidRPr="007A485E" w:rsidRDefault="00480AD4" w:rsidP="00480AD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804BC" w14:paraId="09694884" w14:textId="77777777" w:rsidTr="00A804B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CFF4225" w14:textId="60160125" w:rsidR="00A804BC" w:rsidRPr="00A804BC" w:rsidRDefault="00A804BC" w:rsidP="00A804B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1826">
            <w:rPr>
              <w:b/>
            </w:rPr>
            <w:t>CEDAW/C/CPV/CO/9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7999155" w14:textId="77777777" w:rsidR="00A804BC" w:rsidRDefault="00A804BC" w:rsidP="00A804BC">
          <w:pPr>
            <w:pStyle w:val="Header"/>
          </w:pPr>
        </w:p>
      </w:tc>
    </w:tr>
  </w:tbl>
  <w:p w14:paraId="270FB33E" w14:textId="77777777" w:rsidR="00A804BC" w:rsidRPr="00A804BC" w:rsidRDefault="00A804BC" w:rsidP="00A80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804BC" w14:paraId="3A2B805C" w14:textId="77777777" w:rsidTr="00A804B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5DF5B2D" w14:textId="77777777" w:rsidR="00A804BC" w:rsidRDefault="00A804BC" w:rsidP="00A804B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4B97788" w14:textId="1D1DFAEE" w:rsidR="00A804BC" w:rsidRPr="00A804BC" w:rsidRDefault="00A804BC" w:rsidP="00A804B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1826">
            <w:rPr>
              <w:b/>
            </w:rPr>
            <w:t>CEDAW/C/CPV/CO/9</w:t>
          </w:r>
          <w:r>
            <w:rPr>
              <w:b/>
            </w:rPr>
            <w:fldChar w:fldCharType="end"/>
          </w:r>
        </w:p>
      </w:tc>
    </w:tr>
  </w:tbl>
  <w:p w14:paraId="31E82F1A" w14:textId="77777777" w:rsidR="00A804BC" w:rsidRPr="00A804BC" w:rsidRDefault="00A804BC" w:rsidP="00A80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A804BC" w14:paraId="299836F3" w14:textId="77777777" w:rsidTr="00A804B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7D80C875" w14:textId="77777777" w:rsidR="00A804BC" w:rsidRPr="00A804BC" w:rsidRDefault="00A804BC" w:rsidP="00A804B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097265E" w14:textId="77777777" w:rsidR="00A804BC" w:rsidRDefault="00A804BC" w:rsidP="00A804BC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1A7B359" w14:textId="77777777" w:rsidR="00A804BC" w:rsidRPr="00A804BC" w:rsidRDefault="00A804BC" w:rsidP="00A804B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/C/CPV/CO/9</w:t>
          </w:r>
        </w:p>
      </w:tc>
    </w:tr>
    <w:tr w:rsidR="00A804BC" w:rsidRPr="00E71826" w14:paraId="5B10D3AA" w14:textId="77777777" w:rsidTr="00A804BC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F80C50B" w14:textId="77777777" w:rsidR="00A804BC" w:rsidRPr="00A804BC" w:rsidRDefault="00A804BC" w:rsidP="00A804B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14D03DE" wp14:editId="129A312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141CC0" w14:textId="77777777" w:rsidR="00A804BC" w:rsidRPr="00A804BC" w:rsidRDefault="00A804BC" w:rsidP="00A804B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9FBEDB" w14:textId="77777777" w:rsidR="00A804BC" w:rsidRPr="00A804BC" w:rsidRDefault="00A804BC" w:rsidP="00A804B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B698783" w14:textId="77777777" w:rsidR="00A804BC" w:rsidRPr="00480AD4" w:rsidRDefault="00A804BC" w:rsidP="00A804BC">
          <w:pPr>
            <w:pStyle w:val="Distribution"/>
            <w:rPr>
              <w:color w:val="000000"/>
              <w:lang w:val="en-US"/>
            </w:rPr>
          </w:pPr>
          <w:r w:rsidRPr="00480AD4">
            <w:rPr>
              <w:color w:val="000000"/>
              <w:lang w:val="en-US"/>
            </w:rPr>
            <w:t>Distr.: General</w:t>
          </w:r>
        </w:p>
        <w:p w14:paraId="7A809004" w14:textId="77777777" w:rsidR="00A804BC" w:rsidRPr="00480AD4" w:rsidRDefault="00A804BC" w:rsidP="00A804BC">
          <w:pPr>
            <w:pStyle w:val="Publication"/>
            <w:rPr>
              <w:color w:val="000000"/>
              <w:lang w:val="en-US"/>
            </w:rPr>
          </w:pPr>
          <w:r w:rsidRPr="00480AD4">
            <w:rPr>
              <w:color w:val="000000"/>
              <w:lang w:val="en-US"/>
            </w:rPr>
            <w:t>30 July 2019</w:t>
          </w:r>
        </w:p>
        <w:p w14:paraId="3121EB15" w14:textId="77777777" w:rsidR="00A804BC" w:rsidRPr="00480AD4" w:rsidRDefault="00A804BC" w:rsidP="00A804BC">
          <w:pPr>
            <w:rPr>
              <w:color w:val="000000"/>
              <w:lang w:val="en-US"/>
            </w:rPr>
          </w:pPr>
          <w:r w:rsidRPr="00480AD4">
            <w:rPr>
              <w:color w:val="000000"/>
              <w:lang w:val="en-US"/>
            </w:rPr>
            <w:t>Russian</w:t>
          </w:r>
        </w:p>
        <w:p w14:paraId="7D444164" w14:textId="77777777" w:rsidR="00A804BC" w:rsidRPr="00480AD4" w:rsidRDefault="00A804BC" w:rsidP="00A804BC">
          <w:pPr>
            <w:pStyle w:val="Original"/>
            <w:rPr>
              <w:color w:val="000000"/>
              <w:lang w:val="en-US"/>
            </w:rPr>
          </w:pPr>
          <w:r w:rsidRPr="00480AD4">
            <w:rPr>
              <w:color w:val="000000"/>
              <w:lang w:val="en-US"/>
            </w:rPr>
            <w:t>Original: English</w:t>
          </w:r>
        </w:p>
        <w:p w14:paraId="3E8DA572" w14:textId="77777777" w:rsidR="00A804BC" w:rsidRPr="00480AD4" w:rsidRDefault="00A804BC" w:rsidP="00A804BC">
          <w:pPr>
            <w:rPr>
              <w:lang w:val="en-US"/>
            </w:rPr>
          </w:pPr>
        </w:p>
      </w:tc>
    </w:tr>
  </w:tbl>
  <w:p w14:paraId="2F950503" w14:textId="77777777" w:rsidR="00A804BC" w:rsidRPr="00480AD4" w:rsidRDefault="00A804BC" w:rsidP="00A804B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AD1CBCD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AD0"/>
    <w:multiLevelType w:val="hybridMultilevel"/>
    <w:tmpl w:val="B13E15D6"/>
    <w:lvl w:ilvl="0" w:tplc="D9BCB40A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84C61D10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6A326A6C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25B61A7A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16A2C2DC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06A2712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6A0E2F48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5204D0C4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9E28106A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7" w15:restartNumberingAfterBreak="0">
    <w:nsid w:val="3C456276"/>
    <w:multiLevelType w:val="hybridMultilevel"/>
    <w:tmpl w:val="19149710"/>
    <w:lvl w:ilvl="0" w:tplc="D616A032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1D8286D2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9104BC84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C64AABB6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D88CF382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4E72F626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97705258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5972E198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FF90CE64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44E42048"/>
    <w:multiLevelType w:val="hybridMultilevel"/>
    <w:tmpl w:val="9ACC0952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10" w15:restartNumberingAfterBreak="0">
    <w:nsid w:val="51376339"/>
    <w:multiLevelType w:val="hybridMultilevel"/>
    <w:tmpl w:val="198A3420"/>
    <w:lvl w:ilvl="0" w:tplc="ED00CFC6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8110C8B2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EB06FE52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59B287D0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A2E6EED0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4F2A8B3C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E94CA410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71506AB8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78E0A8FA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 w15:restartNumberingAfterBreak="0">
    <w:nsid w:val="54103B57"/>
    <w:multiLevelType w:val="hybridMultilevel"/>
    <w:tmpl w:val="A8ECF294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 w15:restartNumberingAfterBreak="0">
    <w:nsid w:val="62022005"/>
    <w:multiLevelType w:val="hybridMultilevel"/>
    <w:tmpl w:val="FC9C9730"/>
    <w:lvl w:ilvl="0" w:tplc="4C32967C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80C80DEA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45E48890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A684B8CE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31FCF31E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8376E1A0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63A2C45C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7FC6748E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C92C3DD4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3" w15:restartNumberingAfterBreak="0">
    <w:nsid w:val="64F14A04"/>
    <w:multiLevelType w:val="hybridMultilevel"/>
    <w:tmpl w:val="0F8E0BF2"/>
    <w:lvl w:ilvl="0" w:tplc="584E1BE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C9183220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7D545EDE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CA1404E8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8236C036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653E5CB6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3A285C26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71D2EF12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4AA636AE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4" w15:restartNumberingAfterBreak="0">
    <w:nsid w:val="676B2E12"/>
    <w:multiLevelType w:val="hybridMultilevel"/>
    <w:tmpl w:val="E7D0B6AE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defaultTabStop w:val="475"/>
  <w:autoHyphenation/>
  <w:doNotHyphenateCaps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75*"/>
    <w:docVar w:name="CreationDt" w:val="12/09/2019 3:15: PM"/>
    <w:docVar w:name="DocCategory" w:val="Doc"/>
    <w:docVar w:name="DocType" w:val="Final"/>
    <w:docVar w:name="DutyStation" w:val="New York"/>
    <w:docVar w:name="FooterJN" w:val="19-12975"/>
    <w:docVar w:name="jobn" w:val="19-12975 (R)"/>
    <w:docVar w:name="jobnDT" w:val="19-12975 (R)   120919"/>
    <w:docVar w:name="jobnDTDT" w:val="19-12975 (R)   120919   120919"/>
    <w:docVar w:name="JobNo" w:val="1912975R"/>
    <w:docVar w:name="JobNo2" w:val="1923688R"/>
    <w:docVar w:name="LocalDrive" w:val="0"/>
    <w:docVar w:name="OandT" w:val=" "/>
    <w:docVar w:name="sss1" w:val="CEDAW/C/CPV/CO/9"/>
    <w:docVar w:name="sss2" w:val="-"/>
    <w:docVar w:name="Symbol1" w:val="CEDAW/C/CPV/CO/9"/>
    <w:docVar w:name="Symbol2" w:val="-"/>
  </w:docVars>
  <w:rsids>
    <w:rsidRoot w:val="00BD4B92"/>
    <w:rsid w:val="00036D46"/>
    <w:rsid w:val="00056EDA"/>
    <w:rsid w:val="00057473"/>
    <w:rsid w:val="000A1A1B"/>
    <w:rsid w:val="000A3F9B"/>
    <w:rsid w:val="000C3D18"/>
    <w:rsid w:val="000D76C0"/>
    <w:rsid w:val="000E738D"/>
    <w:rsid w:val="000F6107"/>
    <w:rsid w:val="00127058"/>
    <w:rsid w:val="00136796"/>
    <w:rsid w:val="00160BA5"/>
    <w:rsid w:val="0016206A"/>
    <w:rsid w:val="001824A1"/>
    <w:rsid w:val="00184339"/>
    <w:rsid w:val="00185166"/>
    <w:rsid w:val="001B0786"/>
    <w:rsid w:val="001B688E"/>
    <w:rsid w:val="001C155C"/>
    <w:rsid w:val="001F427A"/>
    <w:rsid w:val="00207278"/>
    <w:rsid w:val="00210AF4"/>
    <w:rsid w:val="00215A7D"/>
    <w:rsid w:val="002359E1"/>
    <w:rsid w:val="002463C6"/>
    <w:rsid w:val="00285692"/>
    <w:rsid w:val="002A0BBC"/>
    <w:rsid w:val="002A0D48"/>
    <w:rsid w:val="002B37FF"/>
    <w:rsid w:val="002D2C61"/>
    <w:rsid w:val="002D3B27"/>
    <w:rsid w:val="00315F21"/>
    <w:rsid w:val="003218EF"/>
    <w:rsid w:val="00331028"/>
    <w:rsid w:val="00345E5F"/>
    <w:rsid w:val="003807EF"/>
    <w:rsid w:val="0038495D"/>
    <w:rsid w:val="00394AB2"/>
    <w:rsid w:val="003956D2"/>
    <w:rsid w:val="003A6E4C"/>
    <w:rsid w:val="003F7347"/>
    <w:rsid w:val="00415805"/>
    <w:rsid w:val="004240B1"/>
    <w:rsid w:val="004275D7"/>
    <w:rsid w:val="004279A5"/>
    <w:rsid w:val="00431502"/>
    <w:rsid w:val="004731F9"/>
    <w:rsid w:val="00480AD4"/>
    <w:rsid w:val="00483470"/>
    <w:rsid w:val="004858D0"/>
    <w:rsid w:val="004973DB"/>
    <w:rsid w:val="004B5922"/>
    <w:rsid w:val="004C1296"/>
    <w:rsid w:val="004D2C8A"/>
    <w:rsid w:val="004D5803"/>
    <w:rsid w:val="004E42F2"/>
    <w:rsid w:val="004F0A5F"/>
    <w:rsid w:val="004F7B25"/>
    <w:rsid w:val="00504E41"/>
    <w:rsid w:val="00517DF1"/>
    <w:rsid w:val="005225FD"/>
    <w:rsid w:val="0053657A"/>
    <w:rsid w:val="00542D6F"/>
    <w:rsid w:val="005644C2"/>
    <w:rsid w:val="00571999"/>
    <w:rsid w:val="0057268F"/>
    <w:rsid w:val="005A076E"/>
    <w:rsid w:val="005A2266"/>
    <w:rsid w:val="005B58D8"/>
    <w:rsid w:val="005B64F5"/>
    <w:rsid w:val="005C4C2F"/>
    <w:rsid w:val="005E0B94"/>
    <w:rsid w:val="005F13D1"/>
    <w:rsid w:val="00633A94"/>
    <w:rsid w:val="00643F79"/>
    <w:rsid w:val="00647A45"/>
    <w:rsid w:val="006604B4"/>
    <w:rsid w:val="00660F49"/>
    <w:rsid w:val="00686148"/>
    <w:rsid w:val="006B0972"/>
    <w:rsid w:val="006C5C25"/>
    <w:rsid w:val="006D4969"/>
    <w:rsid w:val="006E5CA5"/>
    <w:rsid w:val="00705A84"/>
    <w:rsid w:val="007079D7"/>
    <w:rsid w:val="00707F6D"/>
    <w:rsid w:val="00736852"/>
    <w:rsid w:val="00747520"/>
    <w:rsid w:val="007575EF"/>
    <w:rsid w:val="0076210D"/>
    <w:rsid w:val="007A0AD3"/>
    <w:rsid w:val="007D2E54"/>
    <w:rsid w:val="00805E9B"/>
    <w:rsid w:val="00834DE6"/>
    <w:rsid w:val="00840363"/>
    <w:rsid w:val="00843551"/>
    <w:rsid w:val="00846A5F"/>
    <w:rsid w:val="00851072"/>
    <w:rsid w:val="00895CEE"/>
    <w:rsid w:val="008D67D1"/>
    <w:rsid w:val="008E0493"/>
    <w:rsid w:val="008E3D70"/>
    <w:rsid w:val="008E54A9"/>
    <w:rsid w:val="0095133C"/>
    <w:rsid w:val="0096420F"/>
    <w:rsid w:val="00964448"/>
    <w:rsid w:val="0097102E"/>
    <w:rsid w:val="009A1A35"/>
    <w:rsid w:val="009A37F0"/>
    <w:rsid w:val="009C3794"/>
    <w:rsid w:val="009F077A"/>
    <w:rsid w:val="009F2309"/>
    <w:rsid w:val="00A0540F"/>
    <w:rsid w:val="00A109FB"/>
    <w:rsid w:val="00A155F6"/>
    <w:rsid w:val="00A56DF0"/>
    <w:rsid w:val="00A57ABA"/>
    <w:rsid w:val="00A65460"/>
    <w:rsid w:val="00A70E40"/>
    <w:rsid w:val="00A72FF5"/>
    <w:rsid w:val="00A804BC"/>
    <w:rsid w:val="00AC0B09"/>
    <w:rsid w:val="00AC0C37"/>
    <w:rsid w:val="00AE092C"/>
    <w:rsid w:val="00AF4EA7"/>
    <w:rsid w:val="00B479E1"/>
    <w:rsid w:val="00B535EE"/>
    <w:rsid w:val="00B745E4"/>
    <w:rsid w:val="00B94686"/>
    <w:rsid w:val="00BD4B92"/>
    <w:rsid w:val="00BD71AC"/>
    <w:rsid w:val="00C05000"/>
    <w:rsid w:val="00C11056"/>
    <w:rsid w:val="00C26FCC"/>
    <w:rsid w:val="00C41769"/>
    <w:rsid w:val="00C42DFD"/>
    <w:rsid w:val="00C45811"/>
    <w:rsid w:val="00C45C26"/>
    <w:rsid w:val="00C51F2D"/>
    <w:rsid w:val="00C54064"/>
    <w:rsid w:val="00C644F2"/>
    <w:rsid w:val="00C749CE"/>
    <w:rsid w:val="00C8779E"/>
    <w:rsid w:val="00CA4BB0"/>
    <w:rsid w:val="00CC2FB4"/>
    <w:rsid w:val="00D12767"/>
    <w:rsid w:val="00D151B9"/>
    <w:rsid w:val="00D43038"/>
    <w:rsid w:val="00D64D1C"/>
    <w:rsid w:val="00D760D3"/>
    <w:rsid w:val="00D82BC5"/>
    <w:rsid w:val="00D9447D"/>
    <w:rsid w:val="00D96F14"/>
    <w:rsid w:val="00DA7363"/>
    <w:rsid w:val="00DC2CF1"/>
    <w:rsid w:val="00DC7E2D"/>
    <w:rsid w:val="00DD6644"/>
    <w:rsid w:val="00DE7597"/>
    <w:rsid w:val="00E12FA6"/>
    <w:rsid w:val="00E25037"/>
    <w:rsid w:val="00E35331"/>
    <w:rsid w:val="00E36579"/>
    <w:rsid w:val="00E427B2"/>
    <w:rsid w:val="00E440BA"/>
    <w:rsid w:val="00E5533A"/>
    <w:rsid w:val="00E55EF6"/>
    <w:rsid w:val="00E71826"/>
    <w:rsid w:val="00E720E8"/>
    <w:rsid w:val="00E95D33"/>
    <w:rsid w:val="00EB0AA2"/>
    <w:rsid w:val="00EC2A36"/>
    <w:rsid w:val="00EC6EB1"/>
    <w:rsid w:val="00ED31CE"/>
    <w:rsid w:val="00F05043"/>
    <w:rsid w:val="00F10CE7"/>
    <w:rsid w:val="00F2422B"/>
    <w:rsid w:val="00F26C2D"/>
    <w:rsid w:val="00F468F8"/>
    <w:rsid w:val="00F63321"/>
    <w:rsid w:val="00F81CC1"/>
    <w:rsid w:val="00F90FE9"/>
    <w:rsid w:val="00FB731E"/>
    <w:rsid w:val="00FC3554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6321D28"/>
  <w15:chartTrackingRefBased/>
  <w15:docId w15:val="{C01D87E4-E6E7-433B-B231-5AA565B4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95CE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CE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5CE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5CE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AD4"/>
    <w:pPr>
      <w:suppressAutoHyphens/>
      <w:spacing w:before="200"/>
      <w:outlineLvl w:val="3"/>
    </w:pPr>
    <w:rPr>
      <w:rFonts w:ascii="Cambria" w:eastAsia="Times New Roman" w:hAnsi="Cambria"/>
      <w:b/>
      <w:bCs/>
      <w:i/>
      <w:i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AD4"/>
    <w:pPr>
      <w:suppressAutoHyphens/>
      <w:spacing w:before="200"/>
      <w:outlineLvl w:val="4"/>
    </w:pPr>
    <w:rPr>
      <w:rFonts w:ascii="Cambria" w:eastAsia="Times New Roman" w:hAnsi="Cambria"/>
      <w:b/>
      <w:bCs/>
      <w:color w:val="7F7F7F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AD4"/>
    <w:pPr>
      <w:suppressAutoHyphens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AD4"/>
    <w:pPr>
      <w:suppressAutoHyphens/>
      <w:outlineLvl w:val="6"/>
    </w:pPr>
    <w:rPr>
      <w:rFonts w:ascii="Cambria" w:eastAsia="Times New Roman" w:hAnsi="Cambria"/>
      <w:i/>
      <w:iCs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AD4"/>
    <w:pPr>
      <w:suppressAutoHyphens/>
      <w:outlineLvl w:val="7"/>
    </w:pPr>
    <w:rPr>
      <w:rFonts w:ascii="Cambria" w:eastAsia="Times New Roman" w:hAnsi="Cambria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AD4"/>
    <w:pPr>
      <w:suppressAutoHyphens/>
      <w:outlineLvl w:val="8"/>
    </w:pPr>
    <w:rPr>
      <w:rFonts w:ascii="Cambria" w:eastAsia="Times New Roman" w:hAnsi="Cambria"/>
      <w:i/>
      <w:iCs/>
      <w:spacing w:val="5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895CE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895CE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895CE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895CE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895CE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895CE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895CE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895CE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895CE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895CE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895CE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95CEE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895C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895CEE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895CEE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95CEE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895CEE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895CE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895C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895CE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95CE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nhideWhenUsed/>
    <w:rsid w:val="00895CE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895CEE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895C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895CE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5CE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rsid w:val="00895CE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895CEE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5CE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5CE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95CE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895CE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895CEE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895CEE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895CEE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895CEE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895CEE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895CEE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895CEE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895CEE"/>
    <w:rPr>
      <w:szCs w:val="20"/>
    </w:rPr>
  </w:style>
  <w:style w:type="paragraph" w:customStyle="1" w:styleId="Publication">
    <w:name w:val="Publication"/>
    <w:basedOn w:val="Normal"/>
    <w:next w:val="Normal"/>
    <w:qFormat/>
    <w:rsid w:val="00895CEE"/>
  </w:style>
  <w:style w:type="paragraph" w:customStyle="1" w:styleId="ReleaseDate">
    <w:name w:val="ReleaseDate"/>
    <w:basedOn w:val="Normal"/>
    <w:next w:val="Normal"/>
    <w:qFormat/>
    <w:rsid w:val="00895CEE"/>
    <w:rPr>
      <w:szCs w:val="20"/>
    </w:rPr>
  </w:style>
  <w:style w:type="paragraph" w:customStyle="1" w:styleId="Small">
    <w:name w:val="Small"/>
    <w:basedOn w:val="Normal"/>
    <w:next w:val="Normal"/>
    <w:qFormat/>
    <w:rsid w:val="00895CE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895CE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895CE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895CE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895CE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semiHidden/>
    <w:unhideWhenUsed/>
    <w:rsid w:val="00A80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B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B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AD4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AD4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AD4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AD4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AD4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AD4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7P">
    <w:name w:val="_ 7_ P"/>
    <w:basedOn w:val="Normal"/>
    <w:next w:val="Normal"/>
    <w:qFormat/>
    <w:rsid w:val="00480AD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rsid w:val="00480AD4"/>
    <w:pPr>
      <w:suppressAutoHyphens/>
      <w:spacing w:line="240" w:lineRule="auto"/>
    </w:pPr>
    <w:rPr>
      <w:rFonts w:eastAsia="Calibri"/>
      <w:b/>
      <w:bCs/>
      <w:color w:val="4F81BD"/>
      <w:sz w:val="18"/>
      <w:szCs w:val="18"/>
      <w:lang w:val="en-GB"/>
    </w:rPr>
  </w:style>
  <w:style w:type="paragraph" w:customStyle="1" w:styleId="HdBanner">
    <w:name w:val="Hd Banner"/>
    <w:basedOn w:val="Normal"/>
    <w:next w:val="Normal"/>
    <w:qFormat/>
    <w:rsid w:val="00480AD4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eastAsia="Calibri"/>
      <w:b/>
      <w:spacing w:val="1"/>
      <w:position w:val="6"/>
      <w:sz w:val="24"/>
      <w:szCs w:val="24"/>
      <w:lang w:val="en-GB"/>
    </w:rPr>
  </w:style>
  <w:style w:type="paragraph" w:customStyle="1" w:styleId="HdChapterLt">
    <w:name w:val="Hd Chapter Lt"/>
    <w:basedOn w:val="Normal"/>
    <w:next w:val="Normal"/>
    <w:qFormat/>
    <w:rsid w:val="00480AD4"/>
    <w:pPr>
      <w:keepNext/>
      <w:keepLines/>
      <w:tabs>
        <w:tab w:val="left" w:pos="2218"/>
      </w:tabs>
      <w:suppressAutoHyphens/>
      <w:spacing w:before="300" w:line="300" w:lineRule="exact"/>
    </w:pPr>
    <w:rPr>
      <w:rFonts w:eastAsia="Calibri"/>
      <w:spacing w:val="2"/>
      <w:w w:val="96"/>
      <w:kern w:val="34"/>
      <w:sz w:val="28"/>
      <w:szCs w:val="28"/>
      <w:lang w:val="en-GB"/>
    </w:rPr>
  </w:style>
  <w:style w:type="paragraph" w:customStyle="1" w:styleId="HdChapterBD">
    <w:name w:val="Hd Chapter BD"/>
    <w:basedOn w:val="HdChapterLt"/>
    <w:next w:val="Normal"/>
    <w:qFormat/>
    <w:rsid w:val="00480AD4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480AD4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480AD4"/>
    <w:pPr>
      <w:keepNext/>
      <w:suppressAutoHyphens/>
      <w:spacing w:before="190" w:line="270" w:lineRule="exact"/>
    </w:pPr>
    <w:rPr>
      <w:rFonts w:eastAsia="Calibri"/>
      <w:b/>
      <w:sz w:val="24"/>
      <w:szCs w:val="20"/>
      <w:lang w:val="en-GB"/>
    </w:rPr>
  </w:style>
  <w:style w:type="paragraph" w:customStyle="1" w:styleId="JournalHeading2">
    <w:name w:val="Journal_Heading2"/>
    <w:basedOn w:val="Normal"/>
    <w:next w:val="Normal"/>
    <w:qFormat/>
    <w:rsid w:val="00480AD4"/>
    <w:pPr>
      <w:keepNext/>
      <w:keepLines/>
      <w:suppressAutoHyphens/>
      <w:spacing w:before="240"/>
      <w:outlineLvl w:val="1"/>
    </w:pPr>
    <w:rPr>
      <w:rFonts w:eastAsia="Calibri"/>
      <w:b/>
      <w:spacing w:val="2"/>
      <w:szCs w:val="20"/>
      <w:lang w:val="en-GB"/>
    </w:rPr>
  </w:style>
  <w:style w:type="paragraph" w:customStyle="1" w:styleId="JournalHeading4">
    <w:name w:val="Journal_Heading4"/>
    <w:basedOn w:val="Normal"/>
    <w:next w:val="Normal"/>
    <w:qFormat/>
    <w:rsid w:val="00480AD4"/>
    <w:pPr>
      <w:keepNext/>
      <w:keepLines/>
      <w:suppressAutoHyphens/>
      <w:spacing w:before="240"/>
      <w:outlineLvl w:val="3"/>
    </w:pPr>
    <w:rPr>
      <w:rFonts w:eastAsia="Calibri"/>
      <w:i/>
      <w:szCs w:val="20"/>
      <w:lang w:val="en-GB"/>
    </w:rPr>
  </w:style>
  <w:style w:type="character" w:styleId="LineNumber">
    <w:name w:val="line number"/>
    <w:rsid w:val="00480AD4"/>
    <w:rPr>
      <w:sz w:val="14"/>
    </w:rPr>
  </w:style>
  <w:style w:type="paragraph" w:customStyle="1" w:styleId="NormalBullet">
    <w:name w:val="Normal Bullet"/>
    <w:basedOn w:val="Normal"/>
    <w:next w:val="Normal"/>
    <w:qFormat/>
    <w:rsid w:val="00480AD4"/>
    <w:pPr>
      <w:keepLines/>
      <w:numPr>
        <w:numId w:val="13"/>
      </w:numPr>
      <w:tabs>
        <w:tab w:val="left" w:pos="2218"/>
      </w:tabs>
      <w:suppressAutoHyphens/>
      <w:spacing w:before="40" w:after="80"/>
      <w:ind w:right="302"/>
    </w:pPr>
    <w:rPr>
      <w:rFonts w:eastAsia="Calibri"/>
      <w:szCs w:val="20"/>
      <w:lang w:val="en-GB"/>
    </w:rPr>
  </w:style>
  <w:style w:type="paragraph" w:customStyle="1" w:styleId="NormalSchedule">
    <w:name w:val="Normal Schedule"/>
    <w:basedOn w:val="Normal"/>
    <w:next w:val="Normal"/>
    <w:qFormat/>
    <w:rsid w:val="00480AD4"/>
    <w:pPr>
      <w:tabs>
        <w:tab w:val="left" w:leader="dot" w:pos="2218"/>
        <w:tab w:val="left" w:pos="2707"/>
        <w:tab w:val="right" w:leader="dot" w:pos="9835"/>
      </w:tabs>
      <w:suppressAutoHyphens/>
    </w:pPr>
    <w:rPr>
      <w:rFonts w:eastAsia="Calibri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D4"/>
    <w:pPr>
      <w:suppressAutoHyphens/>
      <w:outlineLvl w:val="9"/>
    </w:pPr>
    <w:rPr>
      <w:rFonts w:eastAsia="SimSun" w:cs="Times New Roman"/>
      <w:kern w:val="32"/>
      <w:lang w:val="en-GB" w:bidi="en-US"/>
    </w:rPr>
  </w:style>
  <w:style w:type="character" w:styleId="Hyperlink">
    <w:name w:val="Hyperlink"/>
    <w:rsid w:val="00480AD4"/>
    <w:rPr>
      <w:color w:val="0000FF"/>
      <w:u w:val="none"/>
    </w:rPr>
  </w:style>
  <w:style w:type="paragraph" w:styleId="PlainText">
    <w:name w:val="Plain Text"/>
    <w:basedOn w:val="Normal"/>
    <w:link w:val="PlainTextChar"/>
    <w:rsid w:val="00480AD4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80AD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80AD4"/>
    <w:pPr>
      <w:spacing w:after="0" w:line="240" w:lineRule="auto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  <w:lang w:eastAsia="en-US"/>
    </w:rPr>
  </w:style>
  <w:style w:type="table" w:styleId="TableGrid">
    <w:name w:val="Table Grid"/>
    <w:basedOn w:val="TableNormal"/>
    <w:rsid w:val="00480AD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80AD4"/>
    <w:rPr>
      <w:color w:val="0000FF"/>
      <w:u w:val="none"/>
    </w:rPr>
  </w:style>
  <w:style w:type="character" w:customStyle="1" w:styleId="UnresolvedMention1">
    <w:name w:val="Unresolved Mention1"/>
    <w:uiPriority w:val="99"/>
    <w:semiHidden/>
    <w:unhideWhenUsed/>
    <w:rsid w:val="0048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CEDAW/C/CPV/Q/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A/65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CEDAW/C/SR.17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CEDAW/C/SR.1704" TargetMode="External"/><Relationship Id="rId20" Type="http://schemas.openxmlformats.org/officeDocument/2006/relationships/hyperlink" Target="https://undocs.org/CEDAW/C/CPV/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CEDAW/C/CPV/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ndocs.org/CEDAW/C/CPV/Q/9/Add.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7320</Words>
  <Characters>41724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Комитет по ликвидации дискриминации в отношении женщин</vt:lpstr>
      <vt:lpstr>Заключительные замечания по девятому периодическому докладу Кабо-Верде*</vt:lpstr>
      <vt:lpstr>A.	Введение</vt:lpstr>
      <vt:lpstr>B.	Позитивные аспекты</vt:lpstr>
      <vt:lpstr>C.	Цели в области устойчивого развития</vt:lpstr>
      <vt:lpstr>D.	Парламент</vt:lpstr>
      <vt:lpstr>E.	Основные проблемные области и рекомендации</vt:lpstr>
      <vt:lpstr>    Распространение информации о Конвенции и Факультативном протоколе к ней</vt:lpstr>
      <vt:lpstr>    Доступ к правосудию</vt:lpstr>
      <vt:lpstr>    Национальный механизм по улучшению положения женщин</vt:lpstr>
      <vt:lpstr>    Национальное правозащитное учреждение </vt:lpstr>
      <vt:lpstr>    Временные специальные меры</vt:lpstr>
      <vt:lpstr>    Стереотипы и вредные виды практики</vt:lpstr>
      <vt:lpstr>    Гендерное насилие в отношении женщин и девочек</vt:lpstr>
      <vt:lpstr>    Торговля людьми и эксплуатация проституции</vt:lpstr>
      <vt:lpstr>    Участие в политической и общественной жизни</vt:lpstr>
      <vt:lpstr>    Гражданство</vt:lpstr>
      <vt:lpstr>    Образование</vt:lpstr>
      <vt:lpstr>    Занятость</vt:lpstr>
      <vt:lpstr>    Домработницы</vt:lpstr>
      <vt:lpstr>    Здравоохранение </vt:lpstr>
      <vt:lpstr>    Изменение климата</vt:lpstr>
      <vt:lpstr>    Женщины и расширение их экономических прав и возможностей</vt:lpstr>
      <vt:lpstr>    Сельские женщины</vt:lpstr>
      <vt:lpstr>    Женщины-инвалиды</vt:lpstr>
      <vt:lpstr>    Женщины-мигранты</vt:lpstr>
      <vt:lpstr>    Брак и семейные отношения</vt:lpstr>
      <vt:lpstr>    Сбор и анализ данных</vt:lpstr>
      <vt:lpstr>    Поправка к пункту 1 статьи 20 Конвенции</vt:lpstr>
      <vt:lpstr>    Пекинская декларация и Платформа действий</vt:lpstr>
      <vt:lpstr>    Распространение информации</vt:lpstr>
      <vt:lpstr>    Техническая помощь</vt:lpstr>
      <vt:lpstr>    Ратификация других договоров</vt:lpstr>
      <vt:lpstr>    Последующие действия в связи с заключительными замечаниями</vt:lpstr>
      <vt:lpstr>    Подготовка следующего доклада</vt:lpstr>
    </vt:vector>
  </TitlesOfParts>
  <Company/>
  <LinksUpToDate>false</LinksUpToDate>
  <CharactersWithSpaces>48947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Evseeva</dc:creator>
  <cp:keywords/>
  <dc:description/>
  <cp:lastModifiedBy>Svetlana Evseeva</cp:lastModifiedBy>
  <cp:revision>3</cp:revision>
  <cp:lastPrinted>2019-09-12T19:34:00Z</cp:lastPrinted>
  <dcterms:created xsi:type="dcterms:W3CDTF">2019-09-12T19:28:00Z</dcterms:created>
  <dcterms:modified xsi:type="dcterms:W3CDTF">2019-09-12T19:35:00Z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1912975R</vt:lpwstr>
  </property>
  <property fmtid="{D5CDD505-2E9C-101B-9397-08002B2CF9AE}" pid="3" name="ODSRefJobNo">
    <vt:lpwstr>1923688R</vt:lpwstr>
  </property>
  <property fmtid="{D5CDD505-2E9C-101B-9397-08002B2CF9AE}" pid="4" name="Symbol1">
    <vt:lpwstr>CEDAW/C/CPV/CO/9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девятому периодическому докладу Кабо-Верде*_x000d_</vt:lpwstr>
  </property>
</Properties>
</file>