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Предсессионная рабочая группа тридцать </w:t>
      </w:r>
      <w:r>
        <w:br/>
        <w:t>шестой сессии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шестая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7–25 августа 2006 года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Куба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Предсессионная рабочая группа рассмотрела объединенные пятый и ше</w:t>
      </w:r>
      <w:r>
        <w:t>с</w:t>
      </w:r>
      <w:r>
        <w:t>той периодические доклады Кубы (CEDAW/C/CUB/5–6).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Законодательство, механизм для улучшения положения женщин и национальные планы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В докладе указывается, что «национальное законодательство соответств</w:t>
      </w:r>
      <w:r>
        <w:t>у</w:t>
      </w:r>
      <w:r>
        <w:t>ет международным договорам, конвенциям и другим международным докуме</w:t>
      </w:r>
      <w:r>
        <w:t>н</w:t>
      </w:r>
      <w:r>
        <w:t>там» и что в стране «гарантируется соблюдение этого принципа во всех сферах правовых отношений» (CEDAW/C/CUB/5–6, пункт 57). Просьба указать, было ли проведено исчерпывающее исследование о соответствии национального з</w:t>
      </w:r>
      <w:r>
        <w:t>а</w:t>
      </w:r>
      <w:r>
        <w:t>конодательства положениям Конвенции о ликвидации всех форм дискримин</w:t>
      </w:r>
      <w:r>
        <w:t>а</w:t>
      </w:r>
      <w:r>
        <w:t>ции в отношении женщин, и если да, то были ли выявлены какие-либо несоо</w:t>
      </w:r>
      <w:r>
        <w:t>т</w:t>
      </w:r>
      <w:r>
        <w:t>ветствия тех или иных законов принципам Конвенции. Если такие несоотве</w:t>
      </w:r>
      <w:r>
        <w:t>т</w:t>
      </w:r>
      <w:r>
        <w:t>ствия обнаружены, то просьба сообщить о результатах этого исследования; е</w:t>
      </w:r>
      <w:r>
        <w:t>с</w:t>
      </w:r>
      <w:r>
        <w:t>ли же такое исследование не проводилось, просьба сообщить, существует ли намерение пр</w:t>
      </w:r>
      <w:r>
        <w:t>о</w:t>
      </w:r>
      <w:r>
        <w:t>вести его в будущем.</w:t>
      </w:r>
    </w:p>
    <w:p w:rsidR="00000000" w:rsidRDefault="00000000">
      <w:pPr>
        <w:pStyle w:val="SingleTxt"/>
      </w:pPr>
      <w:r>
        <w:t>2.</w:t>
      </w:r>
      <w:r>
        <w:tab/>
        <w:t>В докладе отмечается, что новая ситуация требует внесения дополнител</w:t>
      </w:r>
      <w:r>
        <w:t>ь</w:t>
      </w:r>
      <w:r>
        <w:t>ных изменений в Семейный кодекс (пункт 76). Просьба уточнить, о каких н</w:t>
      </w:r>
      <w:r>
        <w:t>о</w:t>
      </w:r>
      <w:r>
        <w:t>вых ситуациях идет речь и какого рода изменения предполагается внести в з</w:t>
      </w:r>
      <w:r>
        <w:t>а</w:t>
      </w:r>
      <w:r>
        <w:t>коны.</w:t>
      </w:r>
    </w:p>
    <w:p w:rsidR="00000000" w:rsidRDefault="00000000">
      <w:pPr>
        <w:pStyle w:val="SingleTxt"/>
      </w:pPr>
      <w:r>
        <w:t>3.</w:t>
      </w:r>
      <w:r>
        <w:tab/>
        <w:t>В докладе указывается, что в Уголовном кодексе страны нет конкретного раздела, посвященного вопросам психологического или физического насилия, однако есть целый ряд статьей, в которых речь идет о такого рода преступл</w:t>
      </w:r>
      <w:r>
        <w:t>е</w:t>
      </w:r>
      <w:r>
        <w:t>ниях и за которые предусмотрены суровые наказания (пункт 113). Просьба ук</w:t>
      </w:r>
      <w:r>
        <w:t>а</w:t>
      </w:r>
      <w:r>
        <w:t>зать, предполагается ли принять какой-то конкретный закон, касающийся н</w:t>
      </w:r>
      <w:r>
        <w:t>а</w:t>
      </w:r>
      <w:r>
        <w:t>силия в отношении женщин, учитывая общую рекомендацию № 19 Комитета по ликвидации насилия в отношении женщин. Если да, то просьба представить подробную информацию о соответствующем законопроекте, в том числе о пр</w:t>
      </w:r>
      <w:r>
        <w:t>е</w:t>
      </w:r>
      <w:r>
        <w:t>дусматриваемых м</w:t>
      </w:r>
      <w:r>
        <w:t>е</w:t>
      </w:r>
      <w:r>
        <w:t xml:space="preserve">рах наказания. </w:t>
      </w:r>
    </w:p>
    <w:p w:rsidR="00000000" w:rsidRDefault="00000000">
      <w:pPr>
        <w:pStyle w:val="SingleTxt"/>
      </w:pPr>
      <w:r>
        <w:t>4.</w:t>
      </w:r>
      <w:r>
        <w:tab/>
        <w:t>В докладе отмечается, что наличие «супружеской» или «родственной» связи между преступником и его жертвой является отягчающим обстоятельс</w:t>
      </w:r>
      <w:r>
        <w:t>т</w:t>
      </w:r>
      <w:r>
        <w:t>вом при совершении насильственных преступных деяний, которое принимае</w:t>
      </w:r>
      <w:r>
        <w:t>т</w:t>
      </w:r>
      <w:r>
        <w:t>ся во внимание только при совершении преступлений против жизни, физич</w:t>
      </w:r>
      <w:r>
        <w:t>е</w:t>
      </w:r>
      <w:r>
        <w:t>ской неприкосновенности и нормального развития гендерных отношений, пр</w:t>
      </w:r>
      <w:r>
        <w:t>о</w:t>
      </w:r>
      <w:r>
        <w:t>тив семьи, детства и юношества (пункт 123). Просьба указать, принимается ли во внимание это отягчающее обстоятельство также в случаях психологического и экономического насилия и существует ли в Законе понятие супружеского н</w:t>
      </w:r>
      <w:r>
        <w:t>а</w:t>
      </w:r>
      <w:r>
        <w:t>силия.</w:t>
      </w:r>
    </w:p>
    <w:p w:rsidR="00000000" w:rsidRDefault="00000000">
      <w:pPr>
        <w:pStyle w:val="SingleTxt"/>
      </w:pPr>
      <w:r>
        <w:t>5.</w:t>
      </w:r>
      <w:r>
        <w:tab/>
        <w:t>В докладе также отмечается, что проводятся исследования по вопросу о «необходимости и возможности принятия правовой нормы, закона или декр</w:t>
      </w:r>
      <w:r>
        <w:t>е</w:t>
      </w:r>
      <w:r>
        <w:t xml:space="preserve">та-закона, где наряду с определением понятия «насилие в семье» и установлением наказания за него предусматривались бы профилактические и воспитательные меры» (пункт 259). Просьба представить более подробную информацию об этом исследовании и сообщить, в каком состоянии находится это исследование в настоящее время. </w:t>
      </w:r>
    </w:p>
    <w:p w:rsidR="00000000" w:rsidRDefault="00000000">
      <w:pPr>
        <w:pStyle w:val="SingleTxt"/>
      </w:pPr>
      <w:r>
        <w:t>6.</w:t>
      </w:r>
      <w:r>
        <w:tab/>
        <w:t>В рекомендациях Комитета в связи с четвертым периодическим докладом Кубы Комитет выразил озабоченность в связи с отсутствием законов, пред</w:t>
      </w:r>
      <w:r>
        <w:t>у</w:t>
      </w:r>
      <w:r>
        <w:t>сматривающих наказание за сексуальное домогательство</w:t>
      </w:r>
      <w:r>
        <w:rPr>
          <w:rStyle w:val="FootnoteReference"/>
        </w:rPr>
        <w:footnoteReference w:id="1"/>
      </w:r>
      <w:r>
        <w:t>. Кроме того, в до</w:t>
      </w:r>
      <w:r>
        <w:t>к</w:t>
      </w:r>
      <w:r>
        <w:t>ладе Специального докладчика по вопросу о насилии в отношении женщин отмечается, что понятие «сексуального домогательства по</w:t>
      </w:r>
      <w:r>
        <w:noBreakHyphen/>
        <w:t>прежнему определ</w:t>
      </w:r>
      <w:r>
        <w:t>е</w:t>
      </w:r>
      <w:r>
        <w:t>но менее четко и о нем мало что известно по сравнению с сексуальным надр</w:t>
      </w:r>
      <w:r>
        <w:t>у</w:t>
      </w:r>
      <w:r>
        <w:t>гательством и изнасилованием» и что о случаях сексуального домогательства сообщают очень редко, поскольку доказать факт такого домогательства трудно из-за отсутствия самого определения сексуального домогательства и потому что жертвам домогательства или не верят или они испытывают чувство стыда или вины (см. E/CN.4/2000/68/Add.2, пункт 43). В докладе отмечается, что в Декрет-закон № 175 1997 года включено понятие сексуального надругательства (статья 303), которое включает понятие сексуального домогательства (CEDAW/C/CUB/5–6, пункт 120). Просьба указать, какие приняты меры для распространения информации об этом законе и обеспечения эффективного в</w:t>
      </w:r>
      <w:r>
        <w:t>ы</w:t>
      </w:r>
      <w:r>
        <w:t>полнения его положений, и прежде всего сообщить, существуют ли планы пр</w:t>
      </w:r>
      <w:r>
        <w:t>о</w:t>
      </w:r>
      <w:r>
        <w:t>ведения широких информационных кампаний, в частности в учебных завед</w:t>
      </w:r>
      <w:r>
        <w:t>е</w:t>
      </w:r>
      <w:r>
        <w:t>ниях и на рабочих предприятиях и в учреждениях.</w:t>
      </w:r>
    </w:p>
    <w:p w:rsidR="00000000" w:rsidRDefault="00000000">
      <w:pPr>
        <w:pStyle w:val="SingleTxt"/>
      </w:pPr>
      <w:r>
        <w:t>7.</w:t>
      </w:r>
      <w:r>
        <w:tab/>
        <w:t>Просьба сообщить, есть ли намерение повысить статус Федерации куби</w:t>
      </w:r>
      <w:r>
        <w:t>н</w:t>
      </w:r>
      <w:r>
        <w:t>ских женщин до уровня министерства и финансировать ее деятельность из средств национального бюджета.</w:t>
      </w:r>
    </w:p>
    <w:p w:rsidR="00000000" w:rsidRDefault="00000000">
      <w:pPr>
        <w:pStyle w:val="SingleTxt"/>
      </w:pPr>
      <w:r>
        <w:t>8.</w:t>
      </w:r>
      <w:r>
        <w:tab/>
        <w:t>Поскольку Федерация является неправительственной организацией, просьба представить более подробную информацию о ее отношениях с кабин</w:t>
      </w:r>
      <w:r>
        <w:t>е</w:t>
      </w:r>
      <w:r>
        <w:t>том министров и сообщить, как она выполняет свою роль по обеспечению уч</w:t>
      </w:r>
      <w:r>
        <w:t>е</w:t>
      </w:r>
      <w:r>
        <w:t>та гендерных аспектов в национальной политике в различных сферах жи</w:t>
      </w:r>
      <w:r>
        <w:t>з</w:t>
      </w:r>
      <w:r>
        <w:t>ни.</w:t>
      </w:r>
    </w:p>
    <w:p w:rsidR="00000000" w:rsidRDefault="00000000">
      <w:pPr>
        <w:pStyle w:val="SingleTxt"/>
      </w:pPr>
      <w:r>
        <w:t>9.</w:t>
      </w:r>
      <w:r>
        <w:tab/>
        <w:t>В том месте доклада, где идет речь о Национальном плане действий и о 90 мерах, принятых в областях, отраженных в Пекинской платформе действий, сообщалось об имеющихся достижениях (пункт 143). Просьба представить б</w:t>
      </w:r>
      <w:r>
        <w:t>о</w:t>
      </w:r>
      <w:r>
        <w:t>лее подробную информацию об этих достижениях, в том числе подробные св</w:t>
      </w:r>
      <w:r>
        <w:t>е</w:t>
      </w:r>
      <w:r>
        <w:t>дения о принятых мерах, об их значении для сельских и городских районов и о том, как они реализуются на практике и как осуществляется контроль за их реализацией. Кроме того, просьба отметить, какие существуют трудности с выполнением этого Плана и как предполагается их преодолевать. Просьба та</w:t>
      </w:r>
      <w:r>
        <w:t>к</w:t>
      </w:r>
      <w:r>
        <w:t>же включить в ответ информацию об источниках финансирования этого Плана действий и о том, какой орган отвечает за координацию действий в рамках эт</w:t>
      </w:r>
      <w:r>
        <w:t>о</w:t>
      </w:r>
      <w:r>
        <w:t>го Пл</w:t>
      </w:r>
      <w:r>
        <w:t>а</w:t>
      </w:r>
      <w:r>
        <w:t>на и за контроль за его осуществлением.</w:t>
      </w:r>
    </w:p>
    <w:p w:rsidR="00000000" w:rsidRDefault="00000000">
      <w:pPr>
        <w:pStyle w:val="SingleTxt"/>
      </w:pPr>
      <w:r>
        <w:t>10.</w:t>
      </w:r>
      <w:r>
        <w:tab/>
        <w:t>В докладе отмечается, что Закон № 59 от 16 июля 1987 года (Гражданский кодекс) регулирует правоспособность физических лиц, являющихся субъект</w:t>
      </w:r>
      <w:r>
        <w:t>а</w:t>
      </w:r>
      <w:r>
        <w:t>ми правоотношений, и что в нем запрещена дискриминация по признаку пола или какому-либо иному ущемляющему человеческое достоинство признаку (пункт 78). Просьба отметить, ведутся ли какие-либо судебные разбирательства или процессы в связи с жалобами и были ли вынесены какие-либо приговоры по делам, касающимся дискриминации по признаку пола, сексуальной или иной ориентации. В случае если существуют иные причины, порождающие дискриминацию в отношении женщин, просьба сообщить, о чем конкретно идет речь и какие за это предусмотрены наказания.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меры в сфере образования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11.</w:t>
      </w:r>
      <w:r>
        <w:tab/>
        <w:t>Просьба указать, какие были приняты меры для эффективного распр</w:t>
      </w:r>
      <w:r>
        <w:t>о</w:t>
      </w:r>
      <w:r>
        <w:t>странения и применения положений статей 83 и 85, которые, как отмечается в докладе, призваны «положить конец разделению домашнего труда на мужской и женский, являющемуся одним из наиболее прочных культурных устоев, к</w:t>
      </w:r>
      <w:r>
        <w:t>о</w:t>
      </w:r>
      <w:r>
        <w:t>торые в наибольшей степени сказываются на положении женщин ввиду бол</w:t>
      </w:r>
      <w:r>
        <w:t>ь</w:t>
      </w:r>
      <w:r>
        <w:t>шого объема домашней работы, которую им приходится выполнять» (пункт 74), и какие еще были приняты меры для преодоления стереотипов, св</w:t>
      </w:r>
      <w:r>
        <w:t>я</w:t>
      </w:r>
      <w:r>
        <w:t>занных с в</w:t>
      </w:r>
      <w:r>
        <w:t>ы</w:t>
      </w:r>
      <w:r>
        <w:t>полнением домашних обязанностей.</w:t>
      </w:r>
    </w:p>
    <w:p w:rsidR="00000000" w:rsidRDefault="00000000">
      <w:pPr>
        <w:pStyle w:val="SingleTxt"/>
      </w:pPr>
      <w:r>
        <w:t>12.</w:t>
      </w:r>
      <w:r>
        <w:tab/>
        <w:t>Просьба отметить, проводились ли какие-либо исследования о результ</w:t>
      </w:r>
      <w:r>
        <w:t>а</w:t>
      </w:r>
      <w:r>
        <w:t>тах различных инициатив, предпринятых с целью ликвидации стереотипов в таких сферах, как средства массовой информации, семья и школа; если да, просьба сообщить об этих результатах. В противном случае просьба сообщить, как будет производиться замер результативности указанных мер.</w:t>
      </w:r>
    </w:p>
    <w:p w:rsidR="00000000" w:rsidRDefault="00000000">
      <w:pPr>
        <w:pStyle w:val="SingleTxt"/>
      </w:pPr>
      <w:r>
        <w:t>13.</w:t>
      </w:r>
      <w:r>
        <w:tab/>
        <w:t>Согласно докладу в 2002/03 учебном году «из средней школы выбыли 3581 учащийся, из которых… 69,7 процента составили девочки» и что осно</w:t>
      </w:r>
      <w:r>
        <w:t>в</w:t>
      </w:r>
      <w:r>
        <w:t>ными причинами отсева были «вступление в брак, медицинское заключение о невозможности продолжать учебу и нежелание продолжать обучение» (пункт 361). Сообщается также о том, что были приняты меры по усилению воспитательной работы (пункт 362). Просьба указать, какие конкретно были приняты меры для того, чтобы девочки и юноши не бросали школу, и каковы результаты этих мер. Просьба включить обновленные данные о том, сколько детей бросают школу.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</w:rPr>
        <w:br w:type="page"/>
      </w:r>
      <w:r>
        <w:tab/>
      </w:r>
      <w:r>
        <w:tab/>
        <w:t>Насилие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14.</w:t>
      </w:r>
      <w:r>
        <w:tab/>
        <w:t>В докладе отмечается, что в 1997 году в стране была создана Национал</w:t>
      </w:r>
      <w:r>
        <w:t>ь</w:t>
      </w:r>
      <w:r>
        <w:t>ная группа по профилактике насилия в семье и помощи его жертвам, и прив</w:t>
      </w:r>
      <w:r>
        <w:t>о</w:t>
      </w:r>
      <w:r>
        <w:t>дится информация о некоторых предпринятых инициативах (пункты 246–272). Просьба сообщить, проводились ли исследования для определения результ</w:t>
      </w:r>
      <w:r>
        <w:t>а</w:t>
      </w:r>
      <w:r>
        <w:t>тивности этих инициатив, и о том, существуют ли какие-либо планы для пр</w:t>
      </w:r>
      <w:r>
        <w:t>и</w:t>
      </w:r>
      <w:r>
        <w:t>нятия и осуществления национального плана по комплексной борьбе с насил</w:t>
      </w:r>
      <w:r>
        <w:t>и</w:t>
      </w:r>
      <w:r>
        <w:t xml:space="preserve">ем в отношении женщин и искоренению этого насилия. </w:t>
      </w:r>
    </w:p>
    <w:p w:rsidR="00000000" w:rsidRDefault="00000000">
      <w:pPr>
        <w:pStyle w:val="SingleTxt"/>
      </w:pPr>
      <w:r>
        <w:t>15.</w:t>
      </w:r>
      <w:r>
        <w:tab/>
        <w:t>Специальный докладчик по вопросу о насилии в отношении женщин в своих рекомендациях настоятельно призвала Федерацию кубинских женщин «создать во всех провинциях приюты для женщин-жертв насилия» (E/CN.4/2000/68/Add.2, пункт 103). В докладе упоминаются консультационные центры для женщин и семей (CEDAW/C/CUB/5–6, пункт 255). Просьба ук</w:t>
      </w:r>
      <w:r>
        <w:t>а</w:t>
      </w:r>
      <w:r>
        <w:t>зать, оказывают ли эти центры специальную помощь жертвам насилия и услуги по их реабилитации. Если нет, то просьба сообщить, какие меры планируется принять для выполнения этой рекомендации До</w:t>
      </w:r>
      <w:r>
        <w:t>к</w:t>
      </w:r>
      <w:r>
        <w:t>ладчика.</w:t>
      </w:r>
    </w:p>
    <w:p w:rsidR="00000000" w:rsidRDefault="00000000">
      <w:pPr>
        <w:pStyle w:val="SingleTxt"/>
      </w:pPr>
      <w:r>
        <w:t>16.</w:t>
      </w:r>
      <w:r>
        <w:tab/>
        <w:t>В докладе указывается, что разработанная министерством здравоохран</w:t>
      </w:r>
      <w:r>
        <w:t>е</w:t>
      </w:r>
      <w:r>
        <w:t>ния Национальная программа предупреждения самоубийств и попыток сам</w:t>
      </w:r>
      <w:r>
        <w:t>о</w:t>
      </w:r>
      <w:r>
        <w:t>убийств является составным элементом мероприятий по искоренению насилия и что за период с 1980 по 2002 год значительно сократилась соответствующая доля женщин: с 20,9 процента до 8,1 процента. Просьба сообщить, какие были приняты меры для того, чтобы добиться такого сокращения, и проводилось ли какое-либо исследование с целью установления причин столь высокого пр</w:t>
      </w:r>
      <w:r>
        <w:t>о</w:t>
      </w:r>
      <w:r>
        <w:t>цента самоубийств среди женщин, на что обратила особое внимание Спец</w:t>
      </w:r>
      <w:r>
        <w:t>и</w:t>
      </w:r>
      <w:r>
        <w:t>альный докладчик в своем докладе по вопросу о насилии в отношении женщин (E/CN.4/2000/68/Add.2, пункт 34).</w:t>
      </w:r>
    </w:p>
    <w:p w:rsidR="00000000" w:rsidRDefault="00000000">
      <w:pPr>
        <w:pStyle w:val="SingleTxt"/>
      </w:pPr>
      <w:r>
        <w:t>17.</w:t>
      </w:r>
      <w:r>
        <w:tab/>
        <w:t>Просьба указать, проводятся ли какие-либо исследования и существуют ли сборники статистических данных о судебных разбирательствах по искам, о процессах и приговорах по делам о насилии в отношении женщин и есть ли такая информация о помощи, которую оказывают женщинам-жертвам нас</w:t>
      </w:r>
      <w:r>
        <w:t>и</w:t>
      </w:r>
      <w:r>
        <w:t>лия.</w:t>
      </w:r>
    </w:p>
    <w:p w:rsidR="00000000" w:rsidRDefault="00000000">
      <w:pPr>
        <w:pStyle w:val="SingleTxt"/>
      </w:pPr>
      <w:r>
        <w:t>18.</w:t>
      </w:r>
      <w:r>
        <w:tab/>
        <w:t>Просьба указать, существуют ли планы создания централизованной си</w:t>
      </w:r>
      <w:r>
        <w:t>с</w:t>
      </w:r>
      <w:r>
        <w:t>темы сбора данных о насилии в отношении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Эксплуатация проституции и торговля женщинами и девочками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19.</w:t>
      </w:r>
      <w:r>
        <w:tab/>
        <w:t>В различных странах Латинской Америки, в частности в тех, где есть т</w:t>
      </w:r>
      <w:r>
        <w:t>а</w:t>
      </w:r>
      <w:r>
        <w:t>кие пляжи, как на Кубе, довольно широко развит секс-туризм. Речь идет о сложном явлении, для борьбы с которым необходима жесткая профилактич</w:t>
      </w:r>
      <w:r>
        <w:t>е</w:t>
      </w:r>
      <w:r>
        <w:t>ская и карательная политика. В докладе говорится об уголовном законодател</w:t>
      </w:r>
      <w:r>
        <w:t>ь</w:t>
      </w:r>
      <w:r>
        <w:t>стве, в котором предусматривается наказание за сутенерство (CEDAW/C/CUB/5–6, пункт 241). Просьба представить подробную информ</w:t>
      </w:r>
      <w:r>
        <w:t>а</w:t>
      </w:r>
      <w:r>
        <w:t>цию о проводимой для предупреждения этого явления политике и том, что д</w:t>
      </w:r>
      <w:r>
        <w:t>е</w:t>
      </w:r>
      <w:r>
        <w:t>лается для обеспечения эффективного выполнения упомянутого законодател</w:t>
      </w:r>
      <w:r>
        <w:t>ь</w:t>
      </w:r>
      <w:r>
        <w:t>ства.</w:t>
      </w:r>
    </w:p>
    <w:p w:rsidR="00000000" w:rsidRDefault="00000000">
      <w:pPr>
        <w:pStyle w:val="SingleTxt"/>
      </w:pPr>
      <w:r>
        <w:t>20.</w:t>
      </w:r>
      <w:r>
        <w:tab/>
        <w:t>Просьба указать, проводятся ли какие-либо исследования, касающиеся судебного рассмотрения исков, процессов и приговоров по делам об эксплу</w:t>
      </w:r>
      <w:r>
        <w:t>а</w:t>
      </w:r>
      <w:r>
        <w:t>тации проституции и насилии, которому подвергаются женщины-жертвы се</w:t>
      </w:r>
      <w:r>
        <w:t>к</w:t>
      </w:r>
      <w:r>
        <w:t>суальной эксплуатации. Кроме того, просьба сообщить, как обстоят дела в сл</w:t>
      </w:r>
      <w:r>
        <w:t>у</w:t>
      </w:r>
      <w:r>
        <w:t>чаях, когда речь идет о девочках и несовершеннолетних женщинах.</w:t>
      </w:r>
    </w:p>
    <w:p w:rsidR="00000000" w:rsidRDefault="00000000">
      <w:pPr>
        <w:pStyle w:val="SingleTxt"/>
      </w:pPr>
      <w:r>
        <w:t>21.</w:t>
      </w:r>
      <w:r>
        <w:tab/>
        <w:t>В своем докладе Специальный докладчик по вопросу о насилии в отн</w:t>
      </w:r>
      <w:r>
        <w:t>о</w:t>
      </w:r>
      <w:r>
        <w:t>шении женщин «рекомендует ликвидировать «специальные» восстановител</w:t>
      </w:r>
      <w:r>
        <w:t>ь</w:t>
      </w:r>
      <w:r>
        <w:t>ные центры для проституток, так как эти центры нарушают права женщин на надлежащую законную процедуру. Было бы более целесообразно предусмо</w:t>
      </w:r>
      <w:r>
        <w:t>т</w:t>
      </w:r>
      <w:r>
        <w:t>реть другие механизмы, которые не нарушали бы права женщин, занимающи</w:t>
      </w:r>
      <w:r>
        <w:t>х</w:t>
      </w:r>
      <w:r>
        <w:t>ся проституцией» (E/CN.4/2000/68/Add.2, пункт 101). Просьба указать, какие приняты меры по этой рекомендации.</w:t>
      </w:r>
    </w:p>
    <w:p w:rsidR="00000000" w:rsidRDefault="00000000">
      <w:pPr>
        <w:pStyle w:val="SingleTxt"/>
      </w:pPr>
      <w:r>
        <w:t>22.</w:t>
      </w:r>
      <w:r>
        <w:tab/>
        <w:t>Помимо законодательных мер, касающихся торговли людьми (CEDAW/C/CUB/5–6, пункты 239, 243 и 244), просьба отметить, что делается на Кубе для выявления масштабов торговли женщинами и детьми в стране и принятия соответствующих мер для обеспечения эффективного выполнения законодательных п</w:t>
      </w:r>
      <w:r>
        <w:t>о</w:t>
      </w:r>
      <w:r>
        <w:t>ложений.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и экономическая жизнь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23.</w:t>
      </w:r>
      <w:r>
        <w:tab/>
        <w:t>Просьба сообщить, существуют ли системы контроля, которые гарантир</w:t>
      </w:r>
      <w:r>
        <w:t>о</w:t>
      </w:r>
      <w:r>
        <w:t>вали бы выполнение положений Закона № 234 «О работающих женщинах-матерях» на всей территории страны.</w:t>
      </w:r>
    </w:p>
    <w:p w:rsidR="00000000" w:rsidRDefault="00000000">
      <w:pPr>
        <w:pStyle w:val="SingleTxt"/>
      </w:pPr>
      <w:r>
        <w:t>24.</w:t>
      </w:r>
      <w:r>
        <w:tab/>
        <w:t>В докладе указывается, что Национальное статистическое управление в</w:t>
      </w:r>
      <w:r>
        <w:t>е</w:t>
      </w:r>
      <w:r>
        <w:t>дет работу по совершенствованию статистической отчетности для решения проблемы, связанной с отсутствием статистических данных о зарплате с ра</w:t>
      </w:r>
      <w:r>
        <w:t>з</w:t>
      </w:r>
      <w:r>
        <w:t>бивкой по полу (пункт 453). Просьба отметить, что удалось сделать в этой св</w:t>
      </w:r>
      <w:r>
        <w:t>я</w:t>
      </w:r>
      <w:r>
        <w:t>зи и конкретно указать, существует ли механизм по контролю за эффективным осуществлением положений статьи 40 Конституции, в которой закреплен принцип ра</w:t>
      </w:r>
      <w:r>
        <w:t>в</w:t>
      </w:r>
      <w:r>
        <w:t>ной оплаты за равный труд.</w:t>
      </w:r>
    </w:p>
    <w:p w:rsidR="00000000" w:rsidRDefault="00000000">
      <w:pPr>
        <w:pStyle w:val="SingleTxt"/>
      </w:pPr>
      <w:r>
        <w:t>25.</w:t>
      </w:r>
      <w:r>
        <w:tab/>
        <w:t>В докладе указывается, что все трудящиеся имеют право на получение банковских ссуд и других видов финансовых кредитов (пункт 622). Просьба указать, какие существуют программы предоставления кредитов тем, кто не работает, в частности женщинам.</w:t>
      </w:r>
    </w:p>
    <w:p w:rsidR="00000000" w:rsidRDefault="00000000">
      <w:pPr>
        <w:pStyle w:val="SingleTxt"/>
      </w:pPr>
      <w:r>
        <w:t>26.</w:t>
      </w:r>
      <w:r>
        <w:tab/>
        <w:t>Просьба указать, есть ли намерение разработать программы предоставл</w:t>
      </w:r>
      <w:r>
        <w:t>е</w:t>
      </w:r>
      <w:r>
        <w:t>ния микрокредитов женщинам, в частности женщинам, проживающим в сел</w:t>
      </w:r>
      <w:r>
        <w:t>ь</w:t>
      </w:r>
      <w:r>
        <w:t>ских районах.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27.</w:t>
      </w:r>
      <w:r>
        <w:tab/>
        <w:t>В докладе отмечается, что эпидемия ВИЧ/СПИДа разрастается, особенно среди женщин, которые занимаются проституцией (пункт 497). В этой связи упоминается о различных инициативах для решения этой проблемы (пункт 499). Просьба отметить, чего удалось добиться благодаря этим иници</w:t>
      </w:r>
      <w:r>
        <w:t>а</w:t>
      </w:r>
      <w:r>
        <w:t>тивам и существует ли намерение разработать комплексный план для искор</w:t>
      </w:r>
      <w:r>
        <w:t>е</w:t>
      </w:r>
      <w:r>
        <w:t>нения ВИЧ/СПИДа с помощью специальных программ, предназначенных для этой группы же</w:t>
      </w:r>
      <w:r>
        <w:t>н</w:t>
      </w:r>
      <w:r>
        <w:t>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28.</w:t>
      </w:r>
      <w:r>
        <w:tab/>
        <w:t>По итогам рассмотрения четвертого периодического доклада Комитет, в частности, рекомендовал правительству «осуществлять тщательный контроль за осуществлением разводов на основе согласия и, в частности, за любыми н</w:t>
      </w:r>
      <w:r>
        <w:t>е</w:t>
      </w:r>
      <w:r>
        <w:t>гативными последствиями этого варианта для женщин в отношении таких в</w:t>
      </w:r>
      <w:r>
        <w:t>о</w:t>
      </w:r>
      <w:r>
        <w:t>просов, как выплата алиментов, попечительство и уход за детьми и раздел имущества»</w:t>
      </w:r>
      <w:r>
        <w:rPr>
          <w:rStyle w:val="FootnoteReference"/>
        </w:rPr>
        <w:footnoteReference w:id="2"/>
      </w:r>
      <w:r>
        <w:t>. Просьба указать, какие приняты меры в связи с этой рекоменд</w:t>
      </w:r>
      <w:r>
        <w:t>а</w:t>
      </w:r>
      <w:r>
        <w:t xml:space="preserve">цией. 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NO&gt;&gt;N0631318R&lt;&lt;ODS JOB NO&gt;&gt;</w:t>
      </w:r>
    </w:p>
    <w:p w:rsidR="00000000" w:rsidRDefault="00000000">
      <w:pPr>
        <w:pStyle w:val="CommentText"/>
      </w:pPr>
      <w:r>
        <w:t>&lt;&lt;ODS DOC SYMBOL1&gt;&gt;CEDAW/C/CUB/Q/6&lt;&lt;ODS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06-31318 (R)    040506    0</w:t>
    </w:r>
    <w:r>
      <w:rPr>
        <w:b w:val="0"/>
        <w:noProof w:val="0"/>
        <w:sz w:val="20"/>
        <w:lang w:val="ru-RU"/>
      </w:rPr>
      <w:t>5</w:t>
    </w:r>
    <w:r>
      <w:rPr>
        <w:b w:val="0"/>
        <w:sz w:val="20"/>
      </w:rPr>
      <w:t>0506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*0631318*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i/>
        </w:rPr>
        <w:t>Официальные отчеты Генеральной Ассамблеи, пятьдесят пятая сессия, Дополнение № 38</w:t>
      </w:r>
      <w:r>
        <w:t>, (А/55/38), часть вторая, пункт 263.</w:t>
      </w: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CEDAW/C/CUB/Q/6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CEDAW/C/CUB/Q/6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/C/CUB/Q/6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13 April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Spanish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4/05/2006 17:41:15"/>
    <w:docVar w:name="DocCategory" w:val="Doc"/>
    <w:docVar w:name="DocType" w:val="Final"/>
    <w:docVar w:name="JobNo" w:val="0631318R"/>
    <w:docVar w:name="OandT" w:val=" "/>
    <w:docVar w:name="Symbol1" w:val="CEDAW/C/CUB/Q/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1974</Words>
  <Characters>11252</Characters>
  <Application>Microsoft Office Word</Application>
  <DocSecurity>4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13818</CharactersWithSpaces>
  <SharedDoc>false</SharedDoc>
  <HLinks>
    <vt:vector size="6" baseType="variant">
      <vt:variant>
        <vt:i4>4522087</vt:i4>
      </vt:variant>
      <vt:variant>
        <vt:i4>28930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Raisa.Marukova</dc:creator>
  <cp:keywords/>
  <dc:description/>
  <cp:lastModifiedBy>Nina.Mouslikova</cp:lastModifiedBy>
  <cp:revision>8</cp:revision>
  <cp:lastPrinted>2006-05-05T08:58:00Z</cp:lastPrinted>
  <dcterms:created xsi:type="dcterms:W3CDTF">2006-05-05T08:58:00Z</dcterms:created>
  <dcterms:modified xsi:type="dcterms:W3CDTF">2006-05-05T09:00:00Z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0631318</vt:lpwstr>
  </property>
  <property fmtid="{D5CDD505-2E9C-101B-9397-08002B2CF9AE}" pid="3" name="Symbol1">
    <vt:lpwstr>CEDAW/C/CUB/Q/6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Mouslikova</vt:lpwstr>
  </property>
</Properties>
</file>