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381A08"/>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623C84" w:rsidRDefault="00623C84" w:rsidP="00623C84">
            <w:pPr>
              <w:jc w:val="right"/>
            </w:pPr>
            <w:r w:rsidRPr="00623C84">
              <w:rPr>
                <w:sz w:val="40"/>
              </w:rPr>
              <w:t>CAT</w:t>
            </w:r>
            <w:r>
              <w:t>/C/BFA/CO/2</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val="en-GB" w:eastAsia="en-GB"/>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381A08" w:rsidP="00A704A8">
            <w:pPr>
              <w:spacing w:before="240"/>
            </w:pPr>
            <w:r>
              <w:t>Distr. générale</w:t>
            </w:r>
          </w:p>
          <w:p w:rsidR="00381A08" w:rsidRDefault="00381A08" w:rsidP="00381A08">
            <w:pPr>
              <w:spacing w:line="240" w:lineRule="exact"/>
            </w:pPr>
            <w:r>
              <w:t>18 décembre 2019</w:t>
            </w:r>
          </w:p>
          <w:p w:rsidR="001F4924" w:rsidRDefault="001F4924" w:rsidP="00381A08">
            <w:pPr>
              <w:spacing w:line="240" w:lineRule="exact"/>
            </w:pPr>
          </w:p>
          <w:p w:rsidR="00381A08" w:rsidRPr="00DB58B5" w:rsidRDefault="00381A08" w:rsidP="00381A08">
            <w:pPr>
              <w:spacing w:line="240" w:lineRule="exact"/>
            </w:pPr>
            <w:r>
              <w:t>Original</w:t>
            </w:r>
            <w:r w:rsidR="00344626">
              <w:t> :</w:t>
            </w:r>
            <w:r w:rsidR="001F4924">
              <w:t xml:space="preserve"> français</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6A2880" w:rsidRDefault="006A2880" w:rsidP="00A93510">
      <w:pPr>
        <w:pStyle w:val="HChG"/>
      </w:pPr>
      <w:r>
        <w:tab/>
      </w:r>
      <w:r>
        <w:tab/>
        <w:t>Observations finales concernant le</w:t>
      </w:r>
      <w:r w:rsidR="00316F52">
        <w:t xml:space="preserve"> deuxième rapport</w:t>
      </w:r>
      <w:r w:rsidR="00316F52">
        <w:br/>
        <w:t>périodique du Burkina Faso</w:t>
      </w:r>
      <w:r w:rsidRPr="00C67F33">
        <w:rPr>
          <w:rStyle w:val="Appelnotedebasdep"/>
          <w:b w:val="0"/>
          <w:bCs/>
          <w:sz w:val="20"/>
          <w:vertAlign w:val="baseline"/>
        </w:rPr>
        <w:footnoteReference w:customMarkFollows="1" w:id="2"/>
        <w:t>*</w:t>
      </w:r>
    </w:p>
    <w:p w:rsidR="006A2880" w:rsidRDefault="006A2880" w:rsidP="006A2880">
      <w:pPr>
        <w:pStyle w:val="SingleTxtG"/>
        <w:rPr>
          <w:lang w:val="fr-FR"/>
        </w:rPr>
      </w:pPr>
      <w:r>
        <w:rPr>
          <w:lang w:val="fr-FR"/>
        </w:rPr>
        <w:t>1.</w:t>
      </w:r>
      <w:r>
        <w:rPr>
          <w:lang w:val="fr-FR"/>
        </w:rPr>
        <w:tab/>
      </w:r>
      <w:r w:rsidRPr="00C16A95">
        <w:rPr>
          <w:lang w:val="fr-FR"/>
        </w:rPr>
        <w:t xml:space="preserve">Le Comité contre la torture a examiné le </w:t>
      </w:r>
      <w:r>
        <w:rPr>
          <w:lang w:val="fr-FR"/>
        </w:rPr>
        <w:t xml:space="preserve">deuxième </w:t>
      </w:r>
      <w:r w:rsidRPr="00C16A95">
        <w:rPr>
          <w:lang w:val="fr-FR"/>
        </w:rPr>
        <w:t xml:space="preserve">rapport périodique du </w:t>
      </w:r>
      <w:r>
        <w:rPr>
          <w:lang w:val="fr-FR"/>
        </w:rPr>
        <w:t>Burkina Faso (CAT/C/BFA/2) à ses 1788</w:t>
      </w:r>
      <w:r w:rsidRPr="002D558E">
        <w:rPr>
          <w:vertAlign w:val="superscript"/>
          <w:lang w:val="fr-FR"/>
        </w:rPr>
        <w:t>e</w:t>
      </w:r>
      <w:r>
        <w:rPr>
          <w:lang w:val="fr-FR"/>
        </w:rPr>
        <w:t xml:space="preserve"> et 1791</w:t>
      </w:r>
      <w:r w:rsidRPr="00D65034">
        <w:rPr>
          <w:vertAlign w:val="superscript"/>
          <w:lang w:val="fr-FR"/>
        </w:rPr>
        <w:t>e</w:t>
      </w:r>
      <w:r w:rsidR="00BC0E5B">
        <w:rPr>
          <w:lang w:val="fr-FR"/>
        </w:rPr>
        <w:t> </w:t>
      </w:r>
      <w:r w:rsidRPr="00C16A95">
        <w:rPr>
          <w:lang w:val="fr-FR"/>
        </w:rPr>
        <w:t>séances</w:t>
      </w:r>
      <w:r>
        <w:rPr>
          <w:lang w:val="fr-FR"/>
        </w:rPr>
        <w:t xml:space="preserve"> (voir CAT/C/SR.1788 et 1791)</w:t>
      </w:r>
      <w:r w:rsidRPr="00C16A95">
        <w:rPr>
          <w:lang w:val="fr-FR"/>
        </w:rPr>
        <w:t xml:space="preserve">, et a </w:t>
      </w:r>
      <w:r>
        <w:rPr>
          <w:lang w:val="fr-FR"/>
        </w:rPr>
        <w:t xml:space="preserve">adopté </w:t>
      </w:r>
      <w:r w:rsidRPr="00C16A95">
        <w:rPr>
          <w:lang w:val="fr-FR"/>
        </w:rPr>
        <w:t xml:space="preserve">les </w:t>
      </w:r>
      <w:r>
        <w:rPr>
          <w:lang w:val="fr-FR"/>
        </w:rPr>
        <w:t xml:space="preserve">présentes </w:t>
      </w:r>
      <w:r w:rsidRPr="00C16A95">
        <w:rPr>
          <w:lang w:val="fr-FR"/>
        </w:rPr>
        <w:t xml:space="preserve">observations finales </w:t>
      </w:r>
      <w:r w:rsidRPr="00955D95">
        <w:rPr>
          <w:lang w:val="fr-FR"/>
        </w:rPr>
        <w:t xml:space="preserve">à sa </w:t>
      </w:r>
      <w:r>
        <w:rPr>
          <w:lang w:val="fr-FR"/>
        </w:rPr>
        <w:t>1810</w:t>
      </w:r>
      <w:r w:rsidRPr="00955D95">
        <w:rPr>
          <w:vertAlign w:val="superscript"/>
          <w:lang w:val="fr-FR"/>
        </w:rPr>
        <w:t>e</w:t>
      </w:r>
      <w:r w:rsidR="00BC0E5B">
        <w:rPr>
          <w:lang w:val="fr-FR"/>
        </w:rPr>
        <w:t> </w:t>
      </w:r>
      <w:r w:rsidRPr="00955D95">
        <w:rPr>
          <w:lang w:val="fr-FR"/>
        </w:rPr>
        <w:t>séance</w:t>
      </w:r>
      <w:r>
        <w:rPr>
          <w:lang w:val="fr-FR"/>
        </w:rPr>
        <w:t>,</w:t>
      </w:r>
      <w:r w:rsidRPr="00955D95">
        <w:rPr>
          <w:lang w:val="fr-FR"/>
        </w:rPr>
        <w:t xml:space="preserve"> le </w:t>
      </w:r>
      <w:r>
        <w:rPr>
          <w:lang w:val="fr-FR"/>
        </w:rPr>
        <w:t>28 </w:t>
      </w:r>
      <w:r w:rsidRPr="00955D95">
        <w:rPr>
          <w:lang w:val="fr-FR"/>
        </w:rPr>
        <w:t>novembre 2019</w:t>
      </w:r>
      <w:r w:rsidRPr="00C16A95">
        <w:rPr>
          <w:lang w:val="fr-FR"/>
        </w:rPr>
        <w:t xml:space="preserve">. </w:t>
      </w:r>
    </w:p>
    <w:p w:rsidR="006A2880" w:rsidRDefault="006A2880" w:rsidP="006A2880">
      <w:pPr>
        <w:pStyle w:val="H1G"/>
        <w:rPr>
          <w:lang w:val="fr-FR"/>
        </w:rPr>
      </w:pPr>
      <w:r w:rsidRPr="00C16A95">
        <w:rPr>
          <w:b w:val="0"/>
          <w:lang w:val="fr-FR"/>
        </w:rPr>
        <w:tab/>
      </w:r>
      <w:r w:rsidRPr="0083112F">
        <w:rPr>
          <w:lang w:val="fr-FR"/>
        </w:rPr>
        <w:t>A.</w:t>
      </w:r>
      <w:r w:rsidRPr="0083112F">
        <w:rPr>
          <w:lang w:val="fr-FR"/>
        </w:rPr>
        <w:tab/>
      </w:r>
      <w:r w:rsidRPr="00C16A95">
        <w:rPr>
          <w:lang w:val="fr-FR"/>
        </w:rPr>
        <w:t xml:space="preserve">Introduction </w:t>
      </w:r>
    </w:p>
    <w:p w:rsidR="006A2880" w:rsidRPr="007C6186" w:rsidRDefault="006A2880" w:rsidP="006A2880">
      <w:pPr>
        <w:pStyle w:val="SingleTxtG"/>
      </w:pPr>
      <w:r>
        <w:rPr>
          <w:lang w:val="fr-FR"/>
        </w:rPr>
        <w:t>2.</w:t>
      </w:r>
      <w:r>
        <w:rPr>
          <w:lang w:val="fr-FR"/>
        </w:rPr>
        <w:tab/>
      </w:r>
      <w:r w:rsidRPr="00C16A95">
        <w:rPr>
          <w:lang w:val="fr-FR"/>
        </w:rPr>
        <w:t xml:space="preserve">Le Comité accueille avec satisfaction la soumission du </w:t>
      </w:r>
      <w:r>
        <w:rPr>
          <w:lang w:val="fr-FR"/>
        </w:rPr>
        <w:t>deuxième</w:t>
      </w:r>
      <w:r w:rsidRPr="00C16A95">
        <w:rPr>
          <w:lang w:val="fr-FR"/>
        </w:rPr>
        <w:t xml:space="preserve"> rapport périodique de l</w:t>
      </w:r>
      <w:r>
        <w:rPr>
          <w:lang w:val="fr-FR"/>
        </w:rPr>
        <w:t>’</w:t>
      </w:r>
      <w:r w:rsidRPr="00C16A95">
        <w:rPr>
          <w:lang w:val="fr-FR"/>
        </w:rPr>
        <w:t>État partie.</w:t>
      </w:r>
      <w:r>
        <w:rPr>
          <w:lang w:val="fr-FR"/>
        </w:rPr>
        <w:t xml:space="preserve"> </w:t>
      </w:r>
      <w:r w:rsidRPr="00295A36">
        <w:rPr>
          <w:lang w:val="fr-FR"/>
        </w:rPr>
        <w:t>Le Comité remercie également l</w:t>
      </w:r>
      <w:r>
        <w:rPr>
          <w:lang w:val="fr-FR"/>
        </w:rPr>
        <w:t>’É</w:t>
      </w:r>
      <w:r w:rsidRPr="00295A36">
        <w:rPr>
          <w:lang w:val="fr-FR"/>
        </w:rPr>
        <w:t>tat partie pour ses réponses à la liste de points</w:t>
      </w:r>
      <w:r>
        <w:rPr>
          <w:lang w:val="fr-FR"/>
        </w:rPr>
        <w:t xml:space="preserve"> (CAT/C/BFA/Q/2/Add.1)</w:t>
      </w:r>
      <w:r w:rsidRPr="00295A36">
        <w:rPr>
          <w:lang w:val="fr-FR"/>
        </w:rPr>
        <w:t>, bien que soumises tardivement.</w:t>
      </w:r>
    </w:p>
    <w:p w:rsidR="006A2880" w:rsidRDefault="006A2880" w:rsidP="006A2880">
      <w:pPr>
        <w:pStyle w:val="SingleTxtG"/>
        <w:rPr>
          <w:lang w:val="fr-FR"/>
        </w:rPr>
      </w:pPr>
      <w:r>
        <w:rPr>
          <w:lang w:val="fr-FR"/>
        </w:rPr>
        <w:t>3.</w:t>
      </w:r>
      <w:r>
        <w:rPr>
          <w:lang w:val="fr-FR"/>
        </w:rPr>
        <w:tab/>
      </w:r>
      <w:r w:rsidRPr="00C16A95">
        <w:rPr>
          <w:lang w:val="fr-FR"/>
        </w:rPr>
        <w:t>Le Comité se félicite du dialogue constructif qu</w:t>
      </w:r>
      <w:r>
        <w:rPr>
          <w:lang w:val="fr-FR"/>
        </w:rPr>
        <w:t>’</w:t>
      </w:r>
      <w:r w:rsidRPr="00C16A95">
        <w:rPr>
          <w:lang w:val="fr-FR"/>
        </w:rPr>
        <w:t xml:space="preserve">il a eu avec la délégation </w:t>
      </w:r>
      <w:r>
        <w:rPr>
          <w:lang w:val="fr-FR"/>
        </w:rPr>
        <w:t xml:space="preserve">multidisciplinaire </w:t>
      </w:r>
      <w:r w:rsidRPr="00C16A95">
        <w:rPr>
          <w:lang w:val="fr-FR"/>
        </w:rPr>
        <w:t>de l</w:t>
      </w:r>
      <w:r>
        <w:rPr>
          <w:lang w:val="fr-FR"/>
        </w:rPr>
        <w:t>’</w:t>
      </w:r>
      <w:r w:rsidRPr="00C16A95">
        <w:rPr>
          <w:lang w:val="fr-FR"/>
        </w:rPr>
        <w:t>État partie et remercie cette dernière pour les réponses et compléments d</w:t>
      </w:r>
      <w:r>
        <w:rPr>
          <w:lang w:val="fr-FR"/>
        </w:rPr>
        <w:t>’</w:t>
      </w:r>
      <w:r w:rsidRPr="00C16A95">
        <w:rPr>
          <w:lang w:val="fr-FR"/>
        </w:rPr>
        <w:t>information apportés</w:t>
      </w:r>
      <w:r>
        <w:rPr>
          <w:lang w:val="fr-FR"/>
        </w:rPr>
        <w:t>.</w:t>
      </w:r>
    </w:p>
    <w:p w:rsidR="006A2880" w:rsidRDefault="006A2880" w:rsidP="006A2880">
      <w:pPr>
        <w:pStyle w:val="H1G"/>
        <w:rPr>
          <w:lang w:val="fr-FR"/>
        </w:rPr>
      </w:pPr>
      <w:r>
        <w:rPr>
          <w:lang w:val="fr-FR"/>
        </w:rPr>
        <w:tab/>
        <w:t>B.</w:t>
      </w:r>
      <w:r>
        <w:rPr>
          <w:lang w:val="fr-FR"/>
        </w:rPr>
        <w:tab/>
      </w:r>
      <w:r w:rsidRPr="00C16A95">
        <w:rPr>
          <w:lang w:val="fr-FR"/>
        </w:rPr>
        <w:t xml:space="preserve">Aspects positifs </w:t>
      </w:r>
    </w:p>
    <w:p w:rsidR="006A2880" w:rsidRDefault="006A2880" w:rsidP="006A2880">
      <w:pPr>
        <w:pStyle w:val="SingleTxtG"/>
        <w:rPr>
          <w:lang w:val="fr-FR"/>
        </w:rPr>
      </w:pPr>
      <w:r>
        <w:rPr>
          <w:lang w:val="fr-FR"/>
        </w:rPr>
        <w:t>4.</w:t>
      </w:r>
      <w:r>
        <w:rPr>
          <w:lang w:val="fr-FR"/>
        </w:rPr>
        <w:tab/>
        <w:t xml:space="preserve">Le Comité se félicite de la ratification, par l’État partie, de la quasi-totalité des instruments des Nations Unies relatifs aux droits de l’homme, ainsi qu’aux protocoles facultatifs s’y rapportant. </w:t>
      </w:r>
    </w:p>
    <w:p w:rsidR="006A2880" w:rsidRPr="00C16A95" w:rsidRDefault="006A2880" w:rsidP="00C67F33">
      <w:pPr>
        <w:pStyle w:val="SingleTxtG"/>
        <w:keepNext/>
        <w:rPr>
          <w:lang w:val="fr-FR"/>
        </w:rPr>
      </w:pPr>
      <w:r>
        <w:rPr>
          <w:lang w:val="fr-FR"/>
        </w:rPr>
        <w:t>5.</w:t>
      </w:r>
      <w:r w:rsidR="001F4924">
        <w:rPr>
          <w:lang w:val="fr-FR"/>
        </w:rPr>
        <w:tab/>
      </w:r>
      <w:r w:rsidRPr="00C16A95">
        <w:rPr>
          <w:lang w:val="fr-FR"/>
        </w:rPr>
        <w:t>Le Comité accueille avec satisfaction les mesures législatives</w:t>
      </w:r>
      <w:r>
        <w:rPr>
          <w:lang w:val="fr-FR"/>
        </w:rPr>
        <w:t>,</w:t>
      </w:r>
      <w:r w:rsidRPr="00C16A95">
        <w:rPr>
          <w:lang w:val="fr-FR"/>
        </w:rPr>
        <w:t xml:space="preserve"> administratives </w:t>
      </w:r>
      <w:r>
        <w:rPr>
          <w:lang w:val="fr-FR"/>
        </w:rPr>
        <w:t xml:space="preserve">et institutionnelles </w:t>
      </w:r>
      <w:r w:rsidRPr="00C16A95">
        <w:rPr>
          <w:lang w:val="fr-FR"/>
        </w:rPr>
        <w:t>suivantes mises en place par l</w:t>
      </w:r>
      <w:r>
        <w:rPr>
          <w:lang w:val="fr-FR"/>
        </w:rPr>
        <w:t>’</w:t>
      </w:r>
      <w:r w:rsidRPr="00C16A95">
        <w:rPr>
          <w:lang w:val="fr-FR"/>
        </w:rPr>
        <w:t>État partie pour donner effet à la Convention, notamment l</w:t>
      </w:r>
      <w:r>
        <w:rPr>
          <w:lang w:val="fr-FR"/>
        </w:rPr>
        <w:t>’</w:t>
      </w:r>
      <w:r w:rsidRPr="00C16A95">
        <w:rPr>
          <w:lang w:val="fr-FR"/>
        </w:rPr>
        <w:t>adoption de</w:t>
      </w:r>
      <w:r w:rsidR="00344626">
        <w:rPr>
          <w:lang w:val="fr-FR"/>
        </w:rPr>
        <w:t> :</w:t>
      </w:r>
      <w:r w:rsidRPr="00C16A95">
        <w:rPr>
          <w:lang w:val="fr-FR"/>
        </w:rPr>
        <w:t xml:space="preserve"> </w:t>
      </w:r>
    </w:p>
    <w:p w:rsidR="006A2880" w:rsidRPr="005A2DAA" w:rsidRDefault="006A2880" w:rsidP="006A2880">
      <w:pPr>
        <w:pStyle w:val="SingleTxtG"/>
        <w:ind w:firstLine="567"/>
        <w:rPr>
          <w:lang w:val="fr-FR"/>
        </w:rPr>
      </w:pPr>
      <w:r>
        <w:rPr>
          <w:lang w:val="fr-FR"/>
        </w:rPr>
        <w:t>a)</w:t>
      </w:r>
      <w:r>
        <w:rPr>
          <w:lang w:val="fr-FR"/>
        </w:rPr>
        <w:tab/>
        <w:t xml:space="preserve">La </w:t>
      </w:r>
      <w:r w:rsidRPr="005A2DAA">
        <w:rPr>
          <w:lang w:val="fr-FR"/>
        </w:rPr>
        <w:t xml:space="preserve">loi </w:t>
      </w:r>
      <w:r w:rsidR="000169E7" w:rsidRPr="000169E7">
        <w:rPr>
          <w:rFonts w:eastAsia="MS Mincho"/>
          <w:lang w:val="fr-FR"/>
        </w:rPr>
        <w:t>n</w:t>
      </w:r>
      <w:r w:rsidR="000169E7" w:rsidRPr="000169E7">
        <w:rPr>
          <w:rFonts w:eastAsia="MS Mincho"/>
          <w:vertAlign w:val="superscript"/>
          <w:lang w:val="fr-FR"/>
        </w:rPr>
        <w:t>o</w:t>
      </w:r>
      <w:r w:rsidR="000169E7">
        <w:rPr>
          <w:lang w:val="fr-FR"/>
        </w:rPr>
        <w:t> </w:t>
      </w:r>
      <w:r w:rsidRPr="005A2DAA">
        <w:t>040</w:t>
      </w:r>
      <w:r w:rsidRPr="005A2DAA">
        <w:rPr>
          <w:lang w:val="fr-FR"/>
        </w:rPr>
        <w:t>-2019/AN du 29</w:t>
      </w:r>
      <w:r w:rsidR="000169E7">
        <w:rPr>
          <w:lang w:val="fr-FR"/>
        </w:rPr>
        <w:t> </w:t>
      </w:r>
      <w:r w:rsidRPr="005A2DAA">
        <w:rPr>
          <w:lang w:val="fr-FR"/>
        </w:rPr>
        <w:t>mai 2019 portant code de procédure pénale</w:t>
      </w:r>
      <w:r w:rsidR="00344626">
        <w:rPr>
          <w:lang w:val="fr-FR"/>
        </w:rPr>
        <w:t> ;</w:t>
      </w:r>
    </w:p>
    <w:p w:rsidR="006A2880" w:rsidRPr="005A2DAA" w:rsidRDefault="006A2880" w:rsidP="006A2880">
      <w:pPr>
        <w:pStyle w:val="SingleTxtG"/>
        <w:ind w:firstLine="567"/>
        <w:rPr>
          <w:rFonts w:eastAsia="Calibri"/>
          <w:lang w:val="fr-FR"/>
        </w:rPr>
      </w:pPr>
      <w:r w:rsidRPr="005A2DAA">
        <w:rPr>
          <w:rFonts w:eastAsia="Calibri"/>
          <w:lang w:val="fr-FR"/>
        </w:rPr>
        <w:t>b)</w:t>
      </w:r>
      <w:r w:rsidRPr="005A2DAA">
        <w:rPr>
          <w:rFonts w:eastAsia="Calibri"/>
          <w:lang w:val="fr-FR"/>
        </w:rPr>
        <w:tab/>
        <w:t xml:space="preserve">La loi </w:t>
      </w:r>
      <w:r w:rsidR="000169E7" w:rsidRPr="000169E7">
        <w:rPr>
          <w:rFonts w:eastAsia="MS Mincho"/>
          <w:lang w:val="fr-FR"/>
        </w:rPr>
        <w:t>n</w:t>
      </w:r>
      <w:r w:rsidR="000169E7" w:rsidRPr="000169E7">
        <w:rPr>
          <w:rFonts w:eastAsia="MS Mincho"/>
          <w:vertAlign w:val="superscript"/>
          <w:lang w:val="fr-FR"/>
        </w:rPr>
        <w:t>o</w:t>
      </w:r>
      <w:r w:rsidR="000169E7">
        <w:rPr>
          <w:lang w:val="fr-FR"/>
        </w:rPr>
        <w:t> </w:t>
      </w:r>
      <w:r w:rsidRPr="005A2DAA">
        <w:rPr>
          <w:rFonts w:eastAsia="Calibri"/>
          <w:lang w:val="fr-FR"/>
        </w:rPr>
        <w:t>025-2018/AN du 31</w:t>
      </w:r>
      <w:r w:rsidR="000169E7">
        <w:rPr>
          <w:rFonts w:eastAsia="Calibri"/>
          <w:lang w:val="fr-FR"/>
        </w:rPr>
        <w:t> </w:t>
      </w:r>
      <w:r w:rsidRPr="005A2DAA">
        <w:rPr>
          <w:rFonts w:eastAsia="Calibri"/>
          <w:lang w:val="fr-FR"/>
        </w:rPr>
        <w:t>mai 2018 portant code pénal</w:t>
      </w:r>
      <w:r w:rsidR="00344626">
        <w:rPr>
          <w:rFonts w:eastAsia="Calibri"/>
          <w:lang w:val="fr-FR"/>
        </w:rPr>
        <w:t> ;</w:t>
      </w:r>
    </w:p>
    <w:p w:rsidR="006A2880" w:rsidRPr="005A2DAA" w:rsidRDefault="006A2880" w:rsidP="006A2880">
      <w:pPr>
        <w:pStyle w:val="SingleTxtG"/>
        <w:ind w:firstLine="567"/>
        <w:rPr>
          <w:rFonts w:eastAsia="Calibri"/>
          <w:lang w:val="fr-FR"/>
        </w:rPr>
      </w:pPr>
      <w:r w:rsidRPr="005A2DAA">
        <w:rPr>
          <w:lang w:val="fr-FR"/>
        </w:rPr>
        <w:t xml:space="preserve">c) </w:t>
      </w:r>
      <w:r w:rsidRPr="005A2DAA">
        <w:rPr>
          <w:lang w:val="fr-FR"/>
        </w:rPr>
        <w:tab/>
      </w:r>
      <w:r w:rsidRPr="005A2DAA">
        <w:t>L</w:t>
      </w:r>
      <w:r>
        <w:t>’</w:t>
      </w:r>
      <w:r w:rsidRPr="005A2DAA">
        <w:t>abolition de la peine de mort, en l</w:t>
      </w:r>
      <w:r>
        <w:t>’</w:t>
      </w:r>
      <w:r w:rsidRPr="005A2DAA">
        <w:t>excluant de l</w:t>
      </w:r>
      <w:r>
        <w:t>’</w:t>
      </w:r>
      <w:r w:rsidRPr="005A2DAA">
        <w:t>arsenal des peines du Code pénal de 2018</w:t>
      </w:r>
      <w:r w:rsidR="00344626">
        <w:t> ;</w:t>
      </w:r>
    </w:p>
    <w:p w:rsidR="006A2880" w:rsidRPr="005A2DAA" w:rsidRDefault="006A2880" w:rsidP="006A2880">
      <w:pPr>
        <w:pStyle w:val="SingleTxtG"/>
        <w:ind w:firstLine="567"/>
        <w:rPr>
          <w:rFonts w:eastAsia="Calibri"/>
          <w:lang w:val="fr-FR"/>
        </w:rPr>
      </w:pPr>
      <w:r w:rsidRPr="005A2DAA">
        <w:rPr>
          <w:lang w:val="fr-FR"/>
        </w:rPr>
        <w:t>d)</w:t>
      </w:r>
      <w:r w:rsidRPr="005A2DAA">
        <w:rPr>
          <w:lang w:val="fr-FR"/>
        </w:rPr>
        <w:tab/>
      </w:r>
      <w:r w:rsidRPr="005A2DAA">
        <w:t xml:space="preserve">La loi </w:t>
      </w:r>
      <w:r w:rsidR="000169E7" w:rsidRPr="000169E7">
        <w:rPr>
          <w:rFonts w:eastAsia="MS Mincho"/>
          <w:lang w:val="fr-FR"/>
        </w:rPr>
        <w:t>n</w:t>
      </w:r>
      <w:r w:rsidR="000169E7" w:rsidRPr="000169E7">
        <w:rPr>
          <w:rFonts w:eastAsia="MS Mincho"/>
          <w:vertAlign w:val="superscript"/>
          <w:lang w:val="fr-FR"/>
        </w:rPr>
        <w:t>o</w:t>
      </w:r>
      <w:r w:rsidR="000169E7">
        <w:rPr>
          <w:lang w:val="fr-FR"/>
        </w:rPr>
        <w:t> </w:t>
      </w:r>
      <w:r w:rsidRPr="005A2DAA">
        <w:rPr>
          <w:rFonts w:eastAsia="Calibri"/>
          <w:lang w:val="fr-FR"/>
        </w:rPr>
        <w:t>022</w:t>
      </w:r>
      <w:r w:rsidRPr="005A2DAA">
        <w:t>-2014/AN du 27</w:t>
      </w:r>
      <w:r w:rsidR="000169E7">
        <w:t> </w:t>
      </w:r>
      <w:r w:rsidRPr="005A2DAA">
        <w:t>mai 2014 portant prévention et répression de la torture et des pratiques assimilées</w:t>
      </w:r>
      <w:r w:rsidR="00344626">
        <w:rPr>
          <w:rFonts w:eastAsia="Calibri"/>
          <w:lang w:val="fr-FR"/>
        </w:rPr>
        <w:t> ;</w:t>
      </w:r>
    </w:p>
    <w:p w:rsidR="006A2880" w:rsidRPr="005A2DAA" w:rsidRDefault="006A2880" w:rsidP="006A2880">
      <w:pPr>
        <w:pStyle w:val="SingleTxtG"/>
        <w:ind w:firstLine="567"/>
        <w:rPr>
          <w:rFonts w:eastAsia="Calibri"/>
          <w:lang w:val="fr-FR"/>
        </w:rPr>
      </w:pPr>
      <w:r w:rsidRPr="005A2DAA">
        <w:t>e)</w:t>
      </w:r>
      <w:r w:rsidRPr="005A2DAA">
        <w:tab/>
        <w:t xml:space="preserve">La loi </w:t>
      </w:r>
      <w:r w:rsidR="000169E7" w:rsidRPr="000169E7">
        <w:rPr>
          <w:rFonts w:eastAsia="MS Mincho"/>
          <w:lang w:val="fr-FR"/>
        </w:rPr>
        <w:t>n</w:t>
      </w:r>
      <w:r w:rsidR="000169E7" w:rsidRPr="000169E7">
        <w:rPr>
          <w:rFonts w:eastAsia="MS Mincho"/>
          <w:vertAlign w:val="superscript"/>
          <w:lang w:val="fr-FR"/>
        </w:rPr>
        <w:t>o</w:t>
      </w:r>
      <w:r w:rsidR="000169E7">
        <w:rPr>
          <w:lang w:val="fr-FR"/>
        </w:rPr>
        <w:t> </w:t>
      </w:r>
      <w:r w:rsidRPr="005A2DAA">
        <w:t>001-2016/AN du 24</w:t>
      </w:r>
      <w:r w:rsidR="000169E7">
        <w:t> </w:t>
      </w:r>
      <w:r w:rsidRPr="005A2DAA">
        <w:t>mars 2016 portant création d</w:t>
      </w:r>
      <w:r>
        <w:t>’</w:t>
      </w:r>
      <w:r w:rsidRPr="005A2DAA">
        <w:t xml:space="preserve">une commission nationale des droits humains, et </w:t>
      </w:r>
      <w:r w:rsidRPr="005A2DAA">
        <w:rPr>
          <w:rFonts w:eastAsia="Calibri"/>
          <w:lang w:val="fr-FR"/>
        </w:rPr>
        <w:t>arrimant le mécanisme national de prévention de la torture à cette dernière</w:t>
      </w:r>
      <w:r w:rsidR="00344626">
        <w:rPr>
          <w:rFonts w:eastAsia="Calibri"/>
          <w:lang w:val="fr-FR"/>
        </w:rPr>
        <w:t> ;</w:t>
      </w:r>
    </w:p>
    <w:p w:rsidR="006A2880" w:rsidRPr="005A2DAA" w:rsidRDefault="006A2880" w:rsidP="006A2880">
      <w:pPr>
        <w:pStyle w:val="SingleTxtG"/>
        <w:ind w:firstLine="567"/>
      </w:pPr>
      <w:r w:rsidRPr="005A2DAA">
        <w:t>f)</w:t>
      </w:r>
      <w:r w:rsidRPr="005A2DAA">
        <w:tab/>
        <w:t xml:space="preserve">La loi </w:t>
      </w:r>
      <w:r w:rsidR="000169E7" w:rsidRPr="000169E7">
        <w:rPr>
          <w:rFonts w:eastAsia="MS Mincho"/>
          <w:lang w:val="fr-FR"/>
        </w:rPr>
        <w:t>n</w:t>
      </w:r>
      <w:r w:rsidR="000169E7" w:rsidRPr="000169E7">
        <w:rPr>
          <w:rFonts w:eastAsia="MS Mincho"/>
          <w:vertAlign w:val="superscript"/>
          <w:lang w:val="fr-FR"/>
        </w:rPr>
        <w:t>o</w:t>
      </w:r>
      <w:r w:rsidR="000169E7">
        <w:rPr>
          <w:lang w:val="fr-FR"/>
        </w:rPr>
        <w:t> </w:t>
      </w:r>
      <w:r w:rsidRPr="005A2DAA">
        <w:t>010-2017/AN du 10</w:t>
      </w:r>
      <w:r w:rsidR="000169E7">
        <w:t> </w:t>
      </w:r>
      <w:r w:rsidRPr="005A2DAA">
        <w:t>avril 2017 portant régime pénitentiaire au Burkina Faso</w:t>
      </w:r>
      <w:r w:rsidR="00344626">
        <w:t> ;</w:t>
      </w:r>
    </w:p>
    <w:p w:rsidR="006A2880" w:rsidRPr="005A2DAA" w:rsidRDefault="006A2880" w:rsidP="006A2880">
      <w:pPr>
        <w:pStyle w:val="SingleTxtG"/>
        <w:ind w:firstLine="567"/>
      </w:pPr>
      <w:r w:rsidRPr="005A2DAA">
        <w:lastRenderedPageBreak/>
        <w:t>g)</w:t>
      </w:r>
      <w:r w:rsidRPr="005A2DAA">
        <w:tab/>
        <w:t xml:space="preserve">La loi </w:t>
      </w:r>
      <w:r w:rsidR="000169E7" w:rsidRPr="000169E7">
        <w:rPr>
          <w:rFonts w:eastAsia="MS Mincho"/>
          <w:lang w:val="fr-FR"/>
        </w:rPr>
        <w:t>n</w:t>
      </w:r>
      <w:r w:rsidR="000169E7" w:rsidRPr="000169E7">
        <w:rPr>
          <w:rFonts w:eastAsia="MS Mincho"/>
          <w:vertAlign w:val="superscript"/>
          <w:lang w:val="fr-FR"/>
        </w:rPr>
        <w:t>o</w:t>
      </w:r>
      <w:r w:rsidR="000169E7">
        <w:rPr>
          <w:lang w:val="fr-FR"/>
        </w:rPr>
        <w:t> </w:t>
      </w:r>
      <w:r w:rsidRPr="005A2DAA">
        <w:t>039-2017/AN du 27</w:t>
      </w:r>
      <w:r w:rsidR="000169E7">
        <w:t> </w:t>
      </w:r>
      <w:r w:rsidRPr="005A2DAA">
        <w:t>juin 2017 portant protection des défenseurs des droits humains au Burkina Faso</w:t>
      </w:r>
      <w:r w:rsidR="00344626">
        <w:t> ;</w:t>
      </w:r>
    </w:p>
    <w:p w:rsidR="006A2880" w:rsidRPr="005A2DAA" w:rsidRDefault="006A2880" w:rsidP="006A2880">
      <w:pPr>
        <w:pStyle w:val="SingleTxtG"/>
        <w:ind w:firstLine="567"/>
      </w:pPr>
      <w:r w:rsidRPr="005A2DAA">
        <w:t>h)</w:t>
      </w:r>
      <w:r w:rsidRPr="005A2DAA">
        <w:tab/>
        <w:t xml:space="preserve">La loi organique </w:t>
      </w:r>
      <w:r w:rsidR="000169E7" w:rsidRPr="000169E7">
        <w:rPr>
          <w:rFonts w:eastAsia="MS Mincho"/>
          <w:lang w:val="fr-FR"/>
        </w:rPr>
        <w:t>n</w:t>
      </w:r>
      <w:r w:rsidR="000169E7" w:rsidRPr="000169E7">
        <w:rPr>
          <w:rFonts w:eastAsia="MS Mincho"/>
          <w:vertAlign w:val="superscript"/>
          <w:lang w:val="fr-FR"/>
        </w:rPr>
        <w:t>o</w:t>
      </w:r>
      <w:r w:rsidR="000169E7">
        <w:rPr>
          <w:lang w:val="fr-FR"/>
        </w:rPr>
        <w:t> </w:t>
      </w:r>
      <w:r w:rsidRPr="005A2DAA">
        <w:t>050-2015/CNT du 25</w:t>
      </w:r>
      <w:r w:rsidR="000169E7">
        <w:t> </w:t>
      </w:r>
      <w:r w:rsidRPr="005A2DAA">
        <w:t>août 2015 portant statut de la magistrature</w:t>
      </w:r>
      <w:r w:rsidR="00344626">
        <w:t> ;</w:t>
      </w:r>
    </w:p>
    <w:p w:rsidR="006A2880" w:rsidRPr="005A2DAA" w:rsidRDefault="006A2880" w:rsidP="006A2880">
      <w:pPr>
        <w:pStyle w:val="SingleTxtG"/>
        <w:ind w:firstLine="567"/>
      </w:pPr>
      <w:r w:rsidRPr="005A2DAA">
        <w:t>i)</w:t>
      </w:r>
      <w:r w:rsidRPr="005A2DAA">
        <w:tab/>
        <w:t xml:space="preserve">La loi </w:t>
      </w:r>
      <w:r w:rsidR="000169E7" w:rsidRPr="000169E7">
        <w:rPr>
          <w:rFonts w:eastAsia="MS Mincho"/>
          <w:lang w:val="fr-FR"/>
        </w:rPr>
        <w:t>n</w:t>
      </w:r>
      <w:r w:rsidR="000169E7" w:rsidRPr="000169E7">
        <w:rPr>
          <w:rFonts w:eastAsia="MS Mincho"/>
          <w:vertAlign w:val="superscript"/>
          <w:lang w:val="fr-FR"/>
        </w:rPr>
        <w:t>o</w:t>
      </w:r>
      <w:r w:rsidR="000169E7">
        <w:rPr>
          <w:lang w:val="fr-FR"/>
        </w:rPr>
        <w:t> </w:t>
      </w:r>
      <w:r w:rsidRPr="005A2DAA">
        <w:t>061-2015/CNT du 6</w:t>
      </w:r>
      <w:r w:rsidR="000169E7">
        <w:t> </w:t>
      </w:r>
      <w:r w:rsidRPr="005A2DAA">
        <w:t>septembre 2015 portant prévention, répression et réparation des violences à l</w:t>
      </w:r>
      <w:r>
        <w:t>’</w:t>
      </w:r>
      <w:r w:rsidRPr="005A2DAA">
        <w:t xml:space="preserve">égard des femmes et des filles et prise en charge des </w:t>
      </w:r>
      <w:r w:rsidRPr="005A2DAA">
        <w:br/>
        <w:t>victimes</w:t>
      </w:r>
      <w:r w:rsidR="00344626">
        <w:t> ;</w:t>
      </w:r>
    </w:p>
    <w:p w:rsidR="006A2880" w:rsidRPr="005A2DAA" w:rsidRDefault="006A2880" w:rsidP="006A2880">
      <w:pPr>
        <w:pStyle w:val="SingleTxtG"/>
        <w:ind w:firstLine="567"/>
      </w:pPr>
      <w:r w:rsidRPr="005A2DAA">
        <w:t>j)</w:t>
      </w:r>
      <w:r w:rsidRPr="005A2DAA">
        <w:tab/>
        <w:t xml:space="preserve">La </w:t>
      </w:r>
      <w:r w:rsidR="00294237">
        <w:t>L</w:t>
      </w:r>
      <w:r w:rsidRPr="005A2DAA">
        <w:t xml:space="preserve">oi constitutionnelle </w:t>
      </w:r>
      <w:r w:rsidR="000169E7" w:rsidRPr="000169E7">
        <w:rPr>
          <w:rFonts w:eastAsia="MS Mincho"/>
          <w:lang w:val="fr-FR"/>
        </w:rPr>
        <w:t>n</w:t>
      </w:r>
      <w:r w:rsidR="000169E7" w:rsidRPr="000169E7">
        <w:rPr>
          <w:rFonts w:eastAsia="MS Mincho"/>
          <w:vertAlign w:val="superscript"/>
          <w:lang w:val="fr-FR"/>
        </w:rPr>
        <w:t>o</w:t>
      </w:r>
      <w:r w:rsidR="000169E7">
        <w:rPr>
          <w:lang w:val="fr-FR"/>
        </w:rPr>
        <w:t> </w:t>
      </w:r>
      <w:r w:rsidRPr="005A2DAA">
        <w:t>072-2015/CNT du 5</w:t>
      </w:r>
      <w:r w:rsidR="000169E7">
        <w:t> </w:t>
      </w:r>
      <w:r w:rsidRPr="005A2DAA">
        <w:t>novembre 2015 portant révision de la Constitution, qui ouvre la saisine du Conseil constitutionnel aux citoyens</w:t>
      </w:r>
      <w:r w:rsidR="00344626">
        <w:t> ;</w:t>
      </w:r>
    </w:p>
    <w:p w:rsidR="006A2880" w:rsidRPr="0094354E" w:rsidRDefault="006A2880" w:rsidP="006A2880">
      <w:pPr>
        <w:pStyle w:val="SingleTxtG"/>
        <w:ind w:firstLine="567"/>
      </w:pPr>
      <w:r w:rsidRPr="005A2DAA">
        <w:t>k)</w:t>
      </w:r>
      <w:r w:rsidRPr="005A2DAA">
        <w:tab/>
        <w:t xml:space="preserve">La loi </w:t>
      </w:r>
      <w:r w:rsidR="000169E7" w:rsidRPr="000169E7">
        <w:rPr>
          <w:rFonts w:eastAsia="MS Mincho"/>
          <w:lang w:val="fr-FR"/>
        </w:rPr>
        <w:t>n</w:t>
      </w:r>
      <w:r w:rsidR="000169E7" w:rsidRPr="000169E7">
        <w:rPr>
          <w:rFonts w:eastAsia="MS Mincho"/>
          <w:vertAlign w:val="superscript"/>
          <w:lang w:val="fr-FR"/>
        </w:rPr>
        <w:t>o</w:t>
      </w:r>
      <w:r w:rsidR="000169E7">
        <w:rPr>
          <w:lang w:val="fr-FR"/>
        </w:rPr>
        <w:t> </w:t>
      </w:r>
      <w:r w:rsidRPr="005A2DAA">
        <w:t>081-2015/CNT du 24</w:t>
      </w:r>
      <w:r w:rsidR="000169E7">
        <w:t> </w:t>
      </w:r>
      <w:r w:rsidRPr="005A2DAA">
        <w:t>novembre 2015 portant statut général de la fonction publique d</w:t>
      </w:r>
      <w:r>
        <w:t>’</w:t>
      </w:r>
      <w:r w:rsidRPr="005A2DAA">
        <w:t>État, qui permet aux agents</w:t>
      </w:r>
      <w:r w:rsidRPr="0094354E">
        <w:t xml:space="preserve"> publics de désobéir à un ordre d</w:t>
      </w:r>
      <w:r>
        <w:t>’</w:t>
      </w:r>
      <w:r w:rsidRPr="0094354E">
        <w:t>un supérieur hiérarchique lorsque l</w:t>
      </w:r>
      <w:r>
        <w:t>’</w:t>
      </w:r>
      <w:r w:rsidRPr="0094354E">
        <w:t>ordre est étranger aux missions du service ou manifestement illégal ou lorsque son exécution constitue une infraction pénale</w:t>
      </w:r>
      <w:r w:rsidR="00344626">
        <w:t> ;</w:t>
      </w:r>
    </w:p>
    <w:p w:rsidR="006A2880" w:rsidRPr="003A7E06" w:rsidRDefault="006A2880" w:rsidP="006A2880">
      <w:pPr>
        <w:pStyle w:val="SingleTxtG"/>
        <w:ind w:firstLine="567"/>
      </w:pPr>
      <w:r>
        <w:t>l)</w:t>
      </w:r>
      <w:r>
        <w:tab/>
        <w:t>Le</w:t>
      </w:r>
      <w:r w:rsidR="00344626">
        <w:t xml:space="preserve"> </w:t>
      </w:r>
      <w:r>
        <w:t>p</w:t>
      </w:r>
      <w:r w:rsidRPr="003012D3">
        <w:t>rogramme national de lutte contre le travail des enfants dans les sites d</w:t>
      </w:r>
      <w:r>
        <w:t>’</w:t>
      </w:r>
      <w:r w:rsidRPr="003012D3">
        <w:t>orpaillage et carrières artisanales au Burkina Faso (2015-2019)</w:t>
      </w:r>
      <w:r w:rsidR="00344626">
        <w:t> ;</w:t>
      </w:r>
    </w:p>
    <w:p w:rsidR="006A2880" w:rsidRPr="005A2DAA" w:rsidRDefault="006A2880" w:rsidP="006A2880">
      <w:pPr>
        <w:pStyle w:val="SingleTxtG"/>
        <w:ind w:firstLine="567"/>
      </w:pPr>
      <w:r>
        <w:t>m)</w:t>
      </w:r>
      <w:r>
        <w:tab/>
      </w:r>
      <w:r w:rsidRPr="005A2DAA">
        <w:t xml:space="preserve">La loi </w:t>
      </w:r>
      <w:r w:rsidR="000169E7" w:rsidRPr="000169E7">
        <w:rPr>
          <w:rFonts w:eastAsia="MS Mincho"/>
          <w:lang w:val="fr-FR"/>
        </w:rPr>
        <w:t>n</w:t>
      </w:r>
      <w:r w:rsidR="000169E7" w:rsidRPr="000169E7">
        <w:rPr>
          <w:rFonts w:eastAsia="MS Mincho"/>
          <w:vertAlign w:val="superscript"/>
          <w:lang w:val="fr-FR"/>
        </w:rPr>
        <w:t>o</w:t>
      </w:r>
      <w:r w:rsidR="000169E7">
        <w:rPr>
          <w:lang w:val="fr-FR"/>
        </w:rPr>
        <w:t> </w:t>
      </w:r>
      <w:r w:rsidRPr="005A2DAA">
        <w:t>074-2015/CNT du 6</w:t>
      </w:r>
      <w:r w:rsidR="00C76FD9">
        <w:t> </w:t>
      </w:r>
      <w:r w:rsidRPr="005A2DAA">
        <w:t>novembre 2015 portant création, attributions, composition, organisation et fonctionnement du Haut</w:t>
      </w:r>
      <w:r w:rsidRPr="00FE2F0D">
        <w:t>-</w:t>
      </w:r>
      <w:r w:rsidRPr="005A2DAA">
        <w:t xml:space="preserve">Conseil pour la </w:t>
      </w:r>
      <w:r w:rsidRPr="00FE2F0D">
        <w:t>r</w:t>
      </w:r>
      <w:r w:rsidRPr="005A2DAA">
        <w:t>éconciliation et l</w:t>
      </w:r>
      <w:r>
        <w:t>’</w:t>
      </w:r>
      <w:r w:rsidRPr="00FE2F0D">
        <w:t>u</w:t>
      </w:r>
      <w:r w:rsidRPr="005A2DAA">
        <w:t>nité nationale</w:t>
      </w:r>
      <w:r w:rsidR="00344626">
        <w:t> ;</w:t>
      </w:r>
    </w:p>
    <w:p w:rsidR="006A2880" w:rsidRPr="005A2DAA" w:rsidRDefault="006A2880" w:rsidP="006A2880">
      <w:pPr>
        <w:pStyle w:val="SingleTxtG"/>
        <w:ind w:firstLine="567"/>
      </w:pPr>
      <w:r w:rsidRPr="005A2DAA">
        <w:t>n)</w:t>
      </w:r>
      <w:r w:rsidRPr="005A2DAA">
        <w:tab/>
        <w:t xml:space="preserve">La loi </w:t>
      </w:r>
      <w:r w:rsidR="00C76FD9" w:rsidRPr="000169E7">
        <w:rPr>
          <w:rFonts w:eastAsia="MS Mincho"/>
          <w:lang w:val="fr-FR"/>
        </w:rPr>
        <w:t>n</w:t>
      </w:r>
      <w:r w:rsidR="00C76FD9" w:rsidRPr="000169E7">
        <w:rPr>
          <w:rFonts w:eastAsia="MS Mincho"/>
          <w:vertAlign w:val="superscript"/>
          <w:lang w:val="fr-FR"/>
        </w:rPr>
        <w:t>o</w:t>
      </w:r>
      <w:r w:rsidR="00C76FD9">
        <w:rPr>
          <w:lang w:val="fr-FR"/>
        </w:rPr>
        <w:t> </w:t>
      </w:r>
      <w:r w:rsidRPr="005A2DAA">
        <w:t>015-2014/AN du 13</w:t>
      </w:r>
      <w:r w:rsidR="00C76FD9">
        <w:t> </w:t>
      </w:r>
      <w:r w:rsidRPr="005A2DAA">
        <w:t>mai 2014 portant protection de l</w:t>
      </w:r>
      <w:r>
        <w:t>’</w:t>
      </w:r>
      <w:r w:rsidRPr="005A2DAA">
        <w:t>enfant en conflit avec la loi ou en danger</w:t>
      </w:r>
      <w:r w:rsidR="00344626">
        <w:t> ;</w:t>
      </w:r>
      <w:r w:rsidRPr="005A2DAA">
        <w:t xml:space="preserve"> </w:t>
      </w:r>
    </w:p>
    <w:p w:rsidR="006A2880" w:rsidRPr="005A2DAA" w:rsidRDefault="006A2880" w:rsidP="006A2880">
      <w:pPr>
        <w:pStyle w:val="SingleTxtG"/>
        <w:ind w:firstLine="567"/>
      </w:pPr>
      <w:r w:rsidRPr="005A2DAA">
        <w:t>o)</w:t>
      </w:r>
      <w:r w:rsidRPr="005A2DAA">
        <w:tab/>
        <w:t xml:space="preserve">La loi </w:t>
      </w:r>
      <w:r w:rsidR="00C76FD9" w:rsidRPr="000169E7">
        <w:rPr>
          <w:rFonts w:eastAsia="MS Mincho"/>
          <w:lang w:val="fr-FR"/>
        </w:rPr>
        <w:t>n</w:t>
      </w:r>
      <w:r w:rsidR="00C76FD9" w:rsidRPr="000169E7">
        <w:rPr>
          <w:rFonts w:eastAsia="MS Mincho"/>
          <w:vertAlign w:val="superscript"/>
          <w:lang w:val="fr-FR"/>
        </w:rPr>
        <w:t>o</w:t>
      </w:r>
      <w:r w:rsidR="00C76FD9">
        <w:rPr>
          <w:lang w:val="fr-FR"/>
        </w:rPr>
        <w:t> </w:t>
      </w:r>
      <w:r w:rsidRPr="005A2DAA">
        <w:t>011-2014/AN du 17</w:t>
      </w:r>
      <w:r w:rsidR="00C76FD9">
        <w:t> </w:t>
      </w:r>
      <w:r w:rsidRPr="005A2DAA">
        <w:t>avril 2014 portant répression de la vente d</w:t>
      </w:r>
      <w:r>
        <w:t>’</w:t>
      </w:r>
      <w:r w:rsidRPr="005A2DAA">
        <w:t>enfants, de la prostitution des enfants et de la pornographie mettant en scène des enfants</w:t>
      </w:r>
      <w:r w:rsidR="00344626">
        <w:t> ;</w:t>
      </w:r>
    </w:p>
    <w:p w:rsidR="006A2880" w:rsidRPr="003F25BE" w:rsidRDefault="006A2880" w:rsidP="006A2880">
      <w:pPr>
        <w:pStyle w:val="SingleTxtG"/>
        <w:ind w:firstLine="567"/>
        <w:rPr>
          <w:rFonts w:eastAsia="Calibri"/>
          <w:color w:val="000000"/>
        </w:rPr>
      </w:pPr>
      <w:r w:rsidRPr="005A2DAA">
        <w:rPr>
          <w:rFonts w:eastAsia="Calibri"/>
        </w:rPr>
        <w:t>p)</w:t>
      </w:r>
      <w:r w:rsidRPr="005A2DAA">
        <w:rPr>
          <w:rFonts w:eastAsia="Calibri"/>
        </w:rPr>
        <w:tab/>
        <w:t>L</w:t>
      </w:r>
      <w:r w:rsidRPr="005A2DAA">
        <w:rPr>
          <w:rFonts w:eastAsia="Calibri"/>
          <w:color w:val="000000"/>
        </w:rPr>
        <w:t xml:space="preserve">a stratégie </w:t>
      </w:r>
      <w:r w:rsidRPr="005A2DAA">
        <w:t>nationale</w:t>
      </w:r>
      <w:r w:rsidRPr="003F25BE">
        <w:rPr>
          <w:rFonts w:eastAsia="Calibri"/>
          <w:color w:val="000000"/>
        </w:rPr>
        <w:t xml:space="preserve"> de prévention et d</w:t>
      </w:r>
      <w:r>
        <w:rPr>
          <w:rFonts w:eastAsia="Calibri"/>
          <w:color w:val="000000"/>
        </w:rPr>
        <w:t>’</w:t>
      </w:r>
      <w:r w:rsidRPr="003F25BE">
        <w:rPr>
          <w:rFonts w:eastAsia="Calibri"/>
          <w:color w:val="000000"/>
        </w:rPr>
        <w:t>élimination du mariage d</w:t>
      </w:r>
      <w:r>
        <w:rPr>
          <w:rFonts w:eastAsia="Calibri"/>
          <w:color w:val="000000"/>
        </w:rPr>
        <w:t>’</w:t>
      </w:r>
      <w:r w:rsidRPr="003F25BE">
        <w:rPr>
          <w:rFonts w:eastAsia="Calibri"/>
          <w:color w:val="000000"/>
        </w:rPr>
        <w:t>enfants (2016-2025)</w:t>
      </w:r>
      <w:r w:rsidR="00344626">
        <w:rPr>
          <w:rFonts w:eastAsia="Calibri"/>
          <w:color w:val="000000"/>
        </w:rPr>
        <w:t> ;</w:t>
      </w:r>
      <w:r w:rsidRPr="003F25BE">
        <w:rPr>
          <w:rFonts w:eastAsia="Calibri"/>
          <w:color w:val="000000"/>
        </w:rPr>
        <w:t xml:space="preserve"> et</w:t>
      </w:r>
    </w:p>
    <w:p w:rsidR="006A2880" w:rsidRPr="003F25BE" w:rsidRDefault="006A2880" w:rsidP="006A2880">
      <w:pPr>
        <w:pStyle w:val="SingleTxtG"/>
        <w:ind w:firstLine="567"/>
      </w:pPr>
      <w:r>
        <w:rPr>
          <w:rFonts w:eastAsia="Calibri"/>
        </w:rPr>
        <w:t>q)</w:t>
      </w:r>
      <w:r>
        <w:rPr>
          <w:rFonts w:eastAsia="Calibri"/>
        </w:rPr>
        <w:tab/>
      </w:r>
      <w:r w:rsidRPr="003F25BE">
        <w:rPr>
          <w:rFonts w:eastAsia="Calibri"/>
        </w:rPr>
        <w:t>Le plan stratégique national pour la promotion de l</w:t>
      </w:r>
      <w:r>
        <w:rPr>
          <w:rFonts w:eastAsia="Calibri"/>
        </w:rPr>
        <w:t>’</w:t>
      </w:r>
      <w:r w:rsidRPr="003F25BE">
        <w:rPr>
          <w:rFonts w:eastAsia="Calibri"/>
        </w:rPr>
        <w:t>élimination des mutilations génitales féminines au Burkina Faso 2016-2020</w:t>
      </w:r>
      <w:r>
        <w:rPr>
          <w:rFonts w:eastAsia="Calibri"/>
        </w:rPr>
        <w:t>.</w:t>
      </w:r>
    </w:p>
    <w:p w:rsidR="006A2880" w:rsidRDefault="006A2880" w:rsidP="006A2880">
      <w:pPr>
        <w:pStyle w:val="H1G"/>
        <w:rPr>
          <w:lang w:val="fr-FR"/>
        </w:rPr>
      </w:pPr>
      <w:r>
        <w:rPr>
          <w:lang w:val="fr-FR"/>
        </w:rPr>
        <w:tab/>
        <w:t>C.</w:t>
      </w:r>
      <w:r>
        <w:rPr>
          <w:lang w:val="fr-FR"/>
        </w:rPr>
        <w:tab/>
      </w:r>
      <w:r w:rsidRPr="00C16A95">
        <w:rPr>
          <w:lang w:val="fr-FR"/>
        </w:rPr>
        <w:t>Principaux sujets de préoccupation et recommandations</w:t>
      </w:r>
    </w:p>
    <w:p w:rsidR="006A2880" w:rsidRDefault="006A2880" w:rsidP="006A2880">
      <w:pPr>
        <w:pStyle w:val="H23G"/>
        <w:rPr>
          <w:lang w:val="fr-FR"/>
        </w:rPr>
      </w:pPr>
      <w:r>
        <w:rPr>
          <w:lang w:val="fr-FR"/>
        </w:rPr>
        <w:tab/>
      </w:r>
      <w:r>
        <w:rPr>
          <w:lang w:val="fr-FR"/>
        </w:rPr>
        <w:tab/>
      </w:r>
      <w:r w:rsidRPr="00C16A95">
        <w:rPr>
          <w:lang w:val="fr-FR"/>
        </w:rPr>
        <w:t xml:space="preserve">Questions soulevées lors du précédent cycle de présentation de rapports </w:t>
      </w:r>
      <w:r w:rsidR="00C76FD9">
        <w:rPr>
          <w:lang w:val="fr-FR"/>
        </w:rPr>
        <w:br/>
      </w:r>
      <w:r w:rsidRPr="00C16A95">
        <w:rPr>
          <w:lang w:val="fr-FR"/>
        </w:rPr>
        <w:t>appelant un suivi</w:t>
      </w:r>
    </w:p>
    <w:p w:rsidR="006A2880" w:rsidRDefault="006A2880" w:rsidP="00C76FD9">
      <w:pPr>
        <w:pStyle w:val="SingleTxtG"/>
      </w:pPr>
      <w:r>
        <w:t>6.</w:t>
      </w:r>
      <w:r>
        <w:tab/>
        <w:t>Dans ses précédentes observations finales (CAT/C/BFA/CO/1, par.</w:t>
      </w:r>
      <w:r w:rsidR="00C76FD9">
        <w:t> </w:t>
      </w:r>
      <w:r>
        <w:t xml:space="preserve">31), le Comité a prié l’État partie de lui faire parvenir des renseignements sur la suite donnée aux recommandations </w:t>
      </w:r>
      <w:r w:rsidRPr="005A2DAA">
        <w:t>suivantes</w:t>
      </w:r>
      <w:r w:rsidR="00344626">
        <w:t> :</w:t>
      </w:r>
      <w:r w:rsidRPr="005A2DAA">
        <w:t xml:space="preserve"> a)</w:t>
      </w:r>
      <w:r w:rsidR="00BC0E5B">
        <w:t> </w:t>
      </w:r>
      <w:r w:rsidRPr="005A2DAA">
        <w:t>la mise en place de garanties juridiques pour les personnes détenues ou le renforcement des garanties existantes</w:t>
      </w:r>
      <w:r w:rsidR="00344626">
        <w:t> ;</w:t>
      </w:r>
      <w:r w:rsidRPr="005A2DAA">
        <w:t xml:space="preserve"> b)</w:t>
      </w:r>
      <w:r w:rsidR="00BC0E5B">
        <w:t> </w:t>
      </w:r>
      <w:r w:rsidRPr="005A2DAA">
        <w:t>la conduite rapide d</w:t>
      </w:r>
      <w:r>
        <w:t>’</w:t>
      </w:r>
      <w:r w:rsidRPr="005A2DAA">
        <w:t>enquêtes impartiales et effectives</w:t>
      </w:r>
      <w:r w:rsidR="00344626">
        <w:t> ;</w:t>
      </w:r>
      <w:r w:rsidRPr="005A2DAA">
        <w:t xml:space="preserve"> et c)</w:t>
      </w:r>
      <w:r w:rsidR="00BC0E5B">
        <w:t> </w:t>
      </w:r>
      <w:r w:rsidRPr="005A2DAA">
        <w:t>les poursuites engagées contre les suspects et les sanctions prises contre les auteurs d</w:t>
      </w:r>
      <w:r>
        <w:t>’</w:t>
      </w:r>
      <w:r w:rsidRPr="005A2DAA">
        <w:t>actes de torture ou de mauvais traitements, recommandations formulées aux paragraphes</w:t>
      </w:r>
      <w:r w:rsidR="00C76FD9">
        <w:t> </w:t>
      </w:r>
      <w:r w:rsidRPr="005A2DAA">
        <w:t>10, 11, 12 et 18 dudit document. Le Comité regrette que l</w:t>
      </w:r>
      <w:r>
        <w:t>’</w:t>
      </w:r>
      <w:r w:rsidRPr="005A2DAA">
        <w:t>État partie n</w:t>
      </w:r>
      <w:r>
        <w:t>’</w:t>
      </w:r>
      <w:r w:rsidRPr="005A2DAA">
        <w:t>ait pas fourni ces renseignements malgré la lettre de rappel qui lui a été adressée le 8</w:t>
      </w:r>
      <w:r w:rsidR="00C76FD9">
        <w:t> </w:t>
      </w:r>
      <w:r w:rsidRPr="005A2DAA">
        <w:t>décembre 2014 par le Rapporteur chargé du suivi des observations finales. Il</w:t>
      </w:r>
      <w:r>
        <w:t xml:space="preserve"> considère que les recommandations formulées aux paragraphes</w:t>
      </w:r>
      <w:r w:rsidR="00C76FD9">
        <w:t> </w:t>
      </w:r>
      <w:r>
        <w:t>10, 11, 12 et</w:t>
      </w:r>
      <w:r w:rsidR="00C76FD9">
        <w:t> </w:t>
      </w:r>
      <w:r>
        <w:t xml:space="preserve">18 de ses précédentes observations finales n’ont pas encore été pleinement appliquées. </w:t>
      </w:r>
      <w:r w:rsidRPr="00C16A95">
        <w:t xml:space="preserve">Ces points sont traités </w:t>
      </w:r>
      <w:r w:rsidRPr="00474729">
        <w:t>aux paragraphes</w:t>
      </w:r>
      <w:r w:rsidR="00C76FD9">
        <w:t> </w:t>
      </w:r>
      <w:r w:rsidRPr="0037331B">
        <w:t xml:space="preserve">10, 14, 16 et </w:t>
      </w:r>
      <w:r>
        <w:t>28</w:t>
      </w:r>
      <w:r w:rsidRPr="00C16A95">
        <w:t xml:space="preserve"> du présent document. </w:t>
      </w:r>
    </w:p>
    <w:p w:rsidR="006A2880" w:rsidRPr="00CF7483" w:rsidRDefault="006A2880" w:rsidP="006A2880">
      <w:pPr>
        <w:pStyle w:val="H23G"/>
        <w:rPr>
          <w:lang w:val="fr-FR"/>
        </w:rPr>
      </w:pPr>
      <w:r>
        <w:rPr>
          <w:lang w:val="fr-FR"/>
        </w:rPr>
        <w:tab/>
      </w:r>
      <w:r>
        <w:rPr>
          <w:lang w:val="fr-FR"/>
        </w:rPr>
        <w:tab/>
      </w:r>
      <w:r w:rsidRPr="00CF7483">
        <w:rPr>
          <w:lang w:val="fr-FR"/>
        </w:rPr>
        <w:t xml:space="preserve">Définition </w:t>
      </w:r>
      <w:r w:rsidRPr="00AC1671">
        <w:rPr>
          <w:lang w:val="fr-FR"/>
        </w:rPr>
        <w:t>et incrimination de</w:t>
      </w:r>
      <w:r w:rsidRPr="00CF7483">
        <w:rPr>
          <w:lang w:val="fr-FR"/>
        </w:rPr>
        <w:t xml:space="preserve"> la torture </w:t>
      </w:r>
    </w:p>
    <w:p w:rsidR="006A2880" w:rsidRDefault="006A2880" w:rsidP="006A2880">
      <w:pPr>
        <w:pStyle w:val="SingleTxtG"/>
        <w:rPr>
          <w:lang w:val="fr-FR"/>
        </w:rPr>
      </w:pPr>
      <w:r>
        <w:rPr>
          <w:lang w:val="fr-FR"/>
        </w:rPr>
        <w:t>7.</w:t>
      </w:r>
      <w:r>
        <w:rPr>
          <w:lang w:val="fr-FR"/>
        </w:rPr>
        <w:tab/>
      </w:r>
      <w:r w:rsidRPr="00C16A95">
        <w:rPr>
          <w:lang w:val="fr-FR"/>
        </w:rPr>
        <w:t xml:space="preserve">Tout en rappelant ses </w:t>
      </w:r>
      <w:r>
        <w:rPr>
          <w:lang w:val="fr-FR"/>
        </w:rPr>
        <w:t xml:space="preserve">précédentes </w:t>
      </w:r>
      <w:r w:rsidRPr="00C16A95">
        <w:rPr>
          <w:lang w:val="fr-FR"/>
        </w:rPr>
        <w:t>observations finales (par.</w:t>
      </w:r>
      <w:r w:rsidR="00A007BC">
        <w:rPr>
          <w:lang w:val="fr-FR"/>
        </w:rPr>
        <w:t> </w:t>
      </w:r>
      <w:r>
        <w:rPr>
          <w:lang w:val="fr-FR"/>
        </w:rPr>
        <w:t xml:space="preserve">8), le Comité accueille </w:t>
      </w:r>
      <w:r w:rsidRPr="00C16A95">
        <w:rPr>
          <w:lang w:val="fr-FR"/>
        </w:rPr>
        <w:t>avec satisfaction l</w:t>
      </w:r>
      <w:r>
        <w:rPr>
          <w:lang w:val="fr-FR"/>
        </w:rPr>
        <w:t>’</w:t>
      </w:r>
      <w:r w:rsidRPr="00C16A95">
        <w:rPr>
          <w:lang w:val="fr-FR"/>
        </w:rPr>
        <w:t xml:space="preserve">adoption de </w:t>
      </w:r>
      <w:r w:rsidRPr="005A2DAA">
        <w:rPr>
          <w:lang w:val="fr-FR"/>
        </w:rPr>
        <w:t>la l</w:t>
      </w:r>
      <w:r w:rsidRPr="005A2DAA">
        <w:rPr>
          <w:rFonts w:eastAsia="Calibri"/>
          <w:lang w:val="fr-FR"/>
        </w:rPr>
        <w:t xml:space="preserve">oi </w:t>
      </w:r>
      <w:r w:rsidR="00A007BC" w:rsidRPr="000169E7">
        <w:rPr>
          <w:rFonts w:eastAsia="MS Mincho"/>
          <w:lang w:val="fr-FR"/>
        </w:rPr>
        <w:t>n</w:t>
      </w:r>
      <w:r w:rsidR="00A007BC" w:rsidRPr="000169E7">
        <w:rPr>
          <w:rFonts w:eastAsia="MS Mincho"/>
          <w:vertAlign w:val="superscript"/>
          <w:lang w:val="fr-FR"/>
        </w:rPr>
        <w:t>o</w:t>
      </w:r>
      <w:r w:rsidR="00A007BC">
        <w:rPr>
          <w:lang w:val="fr-FR"/>
        </w:rPr>
        <w:t> </w:t>
      </w:r>
      <w:r w:rsidRPr="005A2DAA">
        <w:rPr>
          <w:rFonts w:eastAsia="Calibri"/>
          <w:lang w:val="fr-FR"/>
        </w:rPr>
        <w:t>025-2018/AN portant code pénal et de l</w:t>
      </w:r>
      <w:r w:rsidRPr="005A2DAA">
        <w:t xml:space="preserve">a loi </w:t>
      </w:r>
      <w:r w:rsidR="00A007BC" w:rsidRPr="000169E7">
        <w:rPr>
          <w:rFonts w:eastAsia="MS Mincho"/>
          <w:lang w:val="fr-FR"/>
        </w:rPr>
        <w:t>n</w:t>
      </w:r>
      <w:r w:rsidR="00A007BC" w:rsidRPr="000169E7">
        <w:rPr>
          <w:rFonts w:eastAsia="MS Mincho"/>
          <w:vertAlign w:val="superscript"/>
          <w:lang w:val="fr-FR"/>
        </w:rPr>
        <w:t>o</w:t>
      </w:r>
      <w:r w:rsidR="00A007BC">
        <w:rPr>
          <w:lang w:val="fr-FR"/>
        </w:rPr>
        <w:t> </w:t>
      </w:r>
      <w:r w:rsidRPr="005A2DAA">
        <w:t>022</w:t>
      </w:r>
      <w:r w:rsidR="00A007BC">
        <w:noBreakHyphen/>
      </w:r>
      <w:r w:rsidRPr="005A2DAA">
        <w:t>2014/AN portant prévention et répression de la torture et des pratiques assimilées, qui retiennent une définition de la torture conforme à l</w:t>
      </w:r>
      <w:r>
        <w:t>’</w:t>
      </w:r>
      <w:r w:rsidRPr="005A2DAA">
        <w:t>article premier de la Convention, en font une incrimination autonome et prévoient des peines proportionnées à la gravité de ces actes.</w:t>
      </w:r>
      <w:r w:rsidRPr="005A2DAA">
        <w:rPr>
          <w:lang w:val="fr-FR"/>
        </w:rPr>
        <w:t xml:space="preserve"> Le Comité relève toutefois avec préoccupation que l</w:t>
      </w:r>
      <w:r>
        <w:rPr>
          <w:lang w:val="fr-FR"/>
        </w:rPr>
        <w:t>’</w:t>
      </w:r>
      <w:r w:rsidRPr="005A2DAA">
        <w:rPr>
          <w:lang w:val="fr-FR"/>
        </w:rPr>
        <w:t>imprescriptibilité de l</w:t>
      </w:r>
      <w:r>
        <w:rPr>
          <w:lang w:val="fr-FR"/>
        </w:rPr>
        <w:t>’</w:t>
      </w:r>
      <w:r w:rsidRPr="005A2DAA">
        <w:rPr>
          <w:lang w:val="fr-FR"/>
        </w:rPr>
        <w:t xml:space="preserve">action </w:t>
      </w:r>
      <w:r w:rsidRPr="005A2DAA">
        <w:rPr>
          <w:lang w:val="fr-FR"/>
        </w:rPr>
        <w:lastRenderedPageBreak/>
        <w:t>publique et de la peine</w:t>
      </w:r>
      <w:r w:rsidRPr="005C6662">
        <w:rPr>
          <w:lang w:val="fr-FR"/>
        </w:rPr>
        <w:t xml:space="preserve"> n</w:t>
      </w:r>
      <w:r>
        <w:rPr>
          <w:lang w:val="fr-FR"/>
        </w:rPr>
        <w:t>’</w:t>
      </w:r>
      <w:r w:rsidRPr="005C6662">
        <w:rPr>
          <w:lang w:val="fr-FR"/>
        </w:rPr>
        <w:t>est prévue qu</w:t>
      </w:r>
      <w:r>
        <w:rPr>
          <w:lang w:val="fr-FR"/>
        </w:rPr>
        <w:t>’</w:t>
      </w:r>
      <w:r w:rsidRPr="005C6662">
        <w:rPr>
          <w:lang w:val="fr-FR"/>
        </w:rPr>
        <w:t xml:space="preserve">en cas de </w:t>
      </w:r>
      <w:r w:rsidRPr="005C6662">
        <w:t>torture pratiquée en exécution d</w:t>
      </w:r>
      <w:r>
        <w:t>’</w:t>
      </w:r>
      <w:r w:rsidRPr="005C6662">
        <w:t>un génocide ou d</w:t>
      </w:r>
      <w:r>
        <w:t>’</w:t>
      </w:r>
      <w:r w:rsidRPr="005C6662">
        <w:t>un crime contre l</w:t>
      </w:r>
      <w:r>
        <w:t>’</w:t>
      </w:r>
      <w:r w:rsidRPr="005C6662">
        <w:t>humanité (article</w:t>
      </w:r>
      <w:r w:rsidR="00331CB1">
        <w:t> </w:t>
      </w:r>
      <w:r w:rsidRPr="005C6662">
        <w:t xml:space="preserve">317 du </w:t>
      </w:r>
      <w:r w:rsidRPr="00FE2F0D">
        <w:t>C</w:t>
      </w:r>
      <w:r w:rsidRPr="005C6662">
        <w:t>ode pénal</w:t>
      </w:r>
      <w:r>
        <w:t xml:space="preserve">) </w:t>
      </w:r>
      <w:r w:rsidRPr="00C16A95">
        <w:rPr>
          <w:lang w:val="fr-FR"/>
        </w:rPr>
        <w:t>(art</w:t>
      </w:r>
      <w:r>
        <w:rPr>
          <w:lang w:val="fr-FR"/>
        </w:rPr>
        <w:t>.</w:t>
      </w:r>
      <w:r w:rsidR="00331CB1">
        <w:rPr>
          <w:lang w:val="fr-FR"/>
        </w:rPr>
        <w:t> </w:t>
      </w:r>
      <w:r w:rsidRPr="00C16A95">
        <w:rPr>
          <w:lang w:val="fr-FR"/>
        </w:rPr>
        <w:t>1</w:t>
      </w:r>
      <w:r w:rsidRPr="002D558E">
        <w:rPr>
          <w:vertAlign w:val="superscript"/>
          <w:lang w:val="fr-FR"/>
        </w:rPr>
        <w:t>er</w:t>
      </w:r>
      <w:r w:rsidRPr="00C16A95">
        <w:rPr>
          <w:lang w:val="fr-FR"/>
        </w:rPr>
        <w:t xml:space="preserve"> et 4).</w:t>
      </w:r>
    </w:p>
    <w:p w:rsidR="006A2880" w:rsidRDefault="006A2880" w:rsidP="006A2880">
      <w:pPr>
        <w:pStyle w:val="SingleTxtG"/>
        <w:rPr>
          <w:b/>
          <w:lang w:val="fr-FR"/>
        </w:rPr>
      </w:pPr>
      <w:r w:rsidRPr="002D558E">
        <w:rPr>
          <w:bCs/>
          <w:lang w:val="fr-FR"/>
        </w:rPr>
        <w:t>8.</w:t>
      </w:r>
      <w:r w:rsidRPr="002D558E">
        <w:rPr>
          <w:bCs/>
          <w:lang w:val="fr-FR"/>
        </w:rPr>
        <w:tab/>
      </w:r>
      <w:r>
        <w:rPr>
          <w:b/>
          <w:lang w:val="fr-FR"/>
        </w:rPr>
        <w:t>Le Comité invite l’</w:t>
      </w:r>
      <w:r w:rsidRPr="001937DB">
        <w:rPr>
          <w:b/>
          <w:lang w:val="fr-FR"/>
        </w:rPr>
        <w:t xml:space="preserve">État partie </w:t>
      </w:r>
      <w:r>
        <w:rPr>
          <w:b/>
          <w:lang w:val="fr-FR"/>
        </w:rPr>
        <w:t>à a</w:t>
      </w:r>
      <w:r w:rsidRPr="001937DB">
        <w:rPr>
          <w:b/>
          <w:lang w:val="fr-FR"/>
        </w:rPr>
        <w:t>dopter les dispositions nécessaires, au sein du Code pénal</w:t>
      </w:r>
      <w:r>
        <w:rPr>
          <w:b/>
          <w:lang w:val="fr-FR"/>
        </w:rPr>
        <w:t xml:space="preserve"> et de la loi </w:t>
      </w:r>
      <w:r w:rsidR="00BF4532" w:rsidRPr="00C67F33">
        <w:rPr>
          <w:rFonts w:eastAsia="MS Mincho"/>
          <w:b/>
          <w:bCs/>
          <w:lang w:val="fr-FR"/>
        </w:rPr>
        <w:t>n</w:t>
      </w:r>
      <w:r w:rsidR="00BF4532" w:rsidRPr="00C67F33">
        <w:rPr>
          <w:rFonts w:eastAsia="MS Mincho"/>
          <w:b/>
          <w:bCs/>
          <w:vertAlign w:val="superscript"/>
          <w:lang w:val="fr-FR"/>
        </w:rPr>
        <w:t>o</w:t>
      </w:r>
      <w:r w:rsidR="00BF4532" w:rsidRPr="00C67F33">
        <w:rPr>
          <w:b/>
          <w:bCs/>
          <w:lang w:val="fr-FR"/>
        </w:rPr>
        <w:t> </w:t>
      </w:r>
      <w:r>
        <w:rPr>
          <w:b/>
          <w:lang w:val="fr-FR"/>
        </w:rPr>
        <w:t>022-2014/AN</w:t>
      </w:r>
      <w:r w:rsidRPr="001937DB">
        <w:rPr>
          <w:b/>
          <w:lang w:val="fr-FR"/>
        </w:rPr>
        <w:t xml:space="preserve">, pour prévoir explicitement </w:t>
      </w:r>
      <w:r>
        <w:rPr>
          <w:b/>
          <w:lang w:val="fr-FR"/>
        </w:rPr>
        <w:t>l’imprescriptibilité du crime de torture.</w:t>
      </w:r>
    </w:p>
    <w:p w:rsidR="006A2880" w:rsidRPr="00C16A95" w:rsidRDefault="006A2880" w:rsidP="006A2880">
      <w:pPr>
        <w:pStyle w:val="H23G"/>
        <w:rPr>
          <w:lang w:val="fr-FR"/>
        </w:rPr>
      </w:pPr>
      <w:r>
        <w:rPr>
          <w:lang w:val="fr-FR"/>
        </w:rPr>
        <w:tab/>
      </w:r>
      <w:r>
        <w:rPr>
          <w:lang w:val="fr-FR"/>
        </w:rPr>
        <w:tab/>
      </w:r>
      <w:r w:rsidRPr="00AC1671">
        <w:rPr>
          <w:lang w:val="fr-FR"/>
        </w:rPr>
        <w:t>Garanties juridiques fondamentales</w:t>
      </w:r>
      <w:r w:rsidRPr="00C16A95">
        <w:rPr>
          <w:lang w:val="fr-FR"/>
        </w:rPr>
        <w:t xml:space="preserve"> </w:t>
      </w:r>
    </w:p>
    <w:p w:rsidR="006A2880" w:rsidRPr="00B86443" w:rsidRDefault="006A2880" w:rsidP="00C67F33">
      <w:pPr>
        <w:pStyle w:val="SingleTxtG"/>
        <w:rPr>
          <w:lang w:val="fr-FR"/>
        </w:rPr>
      </w:pPr>
      <w:r>
        <w:rPr>
          <w:lang w:val="fr-FR"/>
        </w:rPr>
        <w:t>9.</w:t>
      </w:r>
      <w:r>
        <w:rPr>
          <w:lang w:val="fr-FR"/>
        </w:rPr>
        <w:tab/>
        <w:t>Le Comité a</w:t>
      </w:r>
      <w:r w:rsidRPr="00C16A95">
        <w:rPr>
          <w:lang w:val="fr-FR"/>
        </w:rPr>
        <w:t xml:space="preserve"> pris connaissance avec satisfaction </w:t>
      </w:r>
      <w:r>
        <w:rPr>
          <w:lang w:val="fr-FR"/>
        </w:rPr>
        <w:t>du nouveau</w:t>
      </w:r>
      <w:r w:rsidRPr="00C16A95">
        <w:rPr>
          <w:lang w:val="fr-FR"/>
        </w:rPr>
        <w:t xml:space="preserve"> Code de procédure pénale, </w:t>
      </w:r>
      <w:r>
        <w:rPr>
          <w:lang w:val="fr-FR"/>
        </w:rPr>
        <w:t xml:space="preserve">qui consacre un certain nombre de </w:t>
      </w:r>
      <w:r w:rsidRPr="00C16A95">
        <w:rPr>
          <w:lang w:val="fr-FR"/>
        </w:rPr>
        <w:t>garanties fondamentales</w:t>
      </w:r>
      <w:r>
        <w:rPr>
          <w:lang w:val="fr-FR"/>
        </w:rPr>
        <w:t xml:space="preserve">, notamment le droit des détenus </w:t>
      </w:r>
      <w:r w:rsidRPr="00E17385">
        <w:t>d</w:t>
      </w:r>
      <w:r>
        <w:t>’</w:t>
      </w:r>
      <w:r w:rsidRPr="00E17385">
        <w:t>être</w:t>
      </w:r>
      <w:r>
        <w:t xml:space="preserve"> informés de leurs droits et d’être</w:t>
      </w:r>
      <w:r w:rsidRPr="00E17385">
        <w:t xml:space="preserve"> assistés par un avocat au stade de l</w:t>
      </w:r>
      <w:r>
        <w:t>’</w:t>
      </w:r>
      <w:r w:rsidRPr="00E17385">
        <w:t>enquête policière</w:t>
      </w:r>
      <w:r>
        <w:t xml:space="preserve">, et qui institue le contrôle de la garde à vue par une instance judiciaire. Cependant, le Comité regrette </w:t>
      </w:r>
      <w:r>
        <w:rPr>
          <w:lang w:val="fr-FR"/>
        </w:rPr>
        <w:t xml:space="preserve">l’absence de disposition expresse consacrant le </w:t>
      </w:r>
      <w:r w:rsidRPr="00183F1C">
        <w:rPr>
          <w:lang w:val="fr-FR"/>
        </w:rPr>
        <w:t xml:space="preserve">droit des détenus à </w:t>
      </w:r>
      <w:r w:rsidRPr="00F06121">
        <w:rPr>
          <w:lang w:val="fr-FR"/>
        </w:rPr>
        <w:t xml:space="preserve">être examinés </w:t>
      </w:r>
      <w:r>
        <w:rPr>
          <w:lang w:val="fr-FR"/>
        </w:rPr>
        <w:t xml:space="preserve">sans condition </w:t>
      </w:r>
      <w:r w:rsidRPr="00F06121">
        <w:rPr>
          <w:lang w:val="fr-FR"/>
        </w:rPr>
        <w:t>par un médecin indépendant ou de leur choix</w:t>
      </w:r>
      <w:r>
        <w:rPr>
          <w:lang w:val="fr-FR"/>
        </w:rPr>
        <w:t xml:space="preserve">, un tel examen étant soumis à la discrétion du procureur. Le Comité s’inquiète également des </w:t>
      </w:r>
      <w:r w:rsidRPr="00183F1C">
        <w:rPr>
          <w:lang w:val="fr-FR"/>
        </w:rPr>
        <w:t xml:space="preserve">durées excessives de garde à </w:t>
      </w:r>
      <w:r w:rsidRPr="005A2DAA">
        <w:rPr>
          <w:lang w:val="fr-FR"/>
        </w:rPr>
        <w:t>vue, soixante-douze heures prorogeables pour un nouveau délai de quarante-huit heures sur autorisation du procureur pour les infractions de droit commun (article 252-4 du Code de procédure pénale) et de ce que les délais de garde à vue puissent être prolongés jusqu</w:t>
      </w:r>
      <w:r>
        <w:rPr>
          <w:lang w:val="fr-FR"/>
        </w:rPr>
        <w:t>’</w:t>
      </w:r>
      <w:r w:rsidRPr="005A2DAA">
        <w:rPr>
          <w:lang w:val="fr-FR"/>
        </w:rPr>
        <w:t>à cent vingt heures sur autorisation du procureur ou du juge d</w:t>
      </w:r>
      <w:r>
        <w:rPr>
          <w:lang w:val="fr-FR"/>
        </w:rPr>
        <w:t>’</w:t>
      </w:r>
      <w:r w:rsidRPr="005A2DAA">
        <w:rPr>
          <w:lang w:val="fr-FR"/>
        </w:rPr>
        <w:t>instruction (article</w:t>
      </w:r>
      <w:r w:rsidR="00D048BA">
        <w:rPr>
          <w:lang w:val="fr-FR"/>
        </w:rPr>
        <w:t> </w:t>
      </w:r>
      <w:r w:rsidRPr="005A2DAA">
        <w:rPr>
          <w:lang w:val="fr-FR"/>
        </w:rPr>
        <w:t>251-22 du Code de procédure pénale). Il relève en outre que malgré les recommandations qu</w:t>
      </w:r>
      <w:r>
        <w:rPr>
          <w:lang w:val="fr-FR"/>
        </w:rPr>
        <w:t>’</w:t>
      </w:r>
      <w:r w:rsidRPr="005A2DAA">
        <w:rPr>
          <w:lang w:val="fr-FR"/>
        </w:rPr>
        <w:t xml:space="preserve">il a formulées dans ses précédentes observations finales, le délai maximal de quinze jours, prolongeable de dix jours, perdure pour les infractions relevant notamment du terrorisme ou du grand banditisme (loi </w:t>
      </w:r>
      <w:r w:rsidR="00D048BA" w:rsidRPr="000169E7">
        <w:rPr>
          <w:rFonts w:eastAsia="MS Mincho"/>
          <w:lang w:val="fr-FR"/>
        </w:rPr>
        <w:t>n</w:t>
      </w:r>
      <w:r w:rsidR="00D048BA" w:rsidRPr="000169E7">
        <w:rPr>
          <w:rFonts w:eastAsia="MS Mincho"/>
          <w:vertAlign w:val="superscript"/>
          <w:lang w:val="fr-FR"/>
        </w:rPr>
        <w:t>o</w:t>
      </w:r>
      <w:r w:rsidR="00D048BA">
        <w:rPr>
          <w:lang w:val="fr-FR"/>
        </w:rPr>
        <w:t> </w:t>
      </w:r>
      <w:r w:rsidRPr="005A2DAA">
        <w:rPr>
          <w:lang w:val="fr-FR"/>
        </w:rPr>
        <w:t>017-2009/AN du 5</w:t>
      </w:r>
      <w:r w:rsidR="00D048BA">
        <w:rPr>
          <w:lang w:val="fr-FR"/>
        </w:rPr>
        <w:t> </w:t>
      </w:r>
      <w:r w:rsidRPr="005A2DAA">
        <w:rPr>
          <w:lang w:val="fr-FR"/>
        </w:rPr>
        <w:t>mai 2009 et article</w:t>
      </w:r>
      <w:r w:rsidR="00D048BA">
        <w:rPr>
          <w:lang w:val="fr-FR"/>
        </w:rPr>
        <w:t> </w:t>
      </w:r>
      <w:r w:rsidRPr="005A2DAA">
        <w:rPr>
          <w:lang w:val="fr-FR"/>
        </w:rPr>
        <w:t>515-15 du Code de procédure pénale</w:t>
      </w:r>
      <w:r>
        <w:rPr>
          <w:lang w:val="fr-FR"/>
        </w:rPr>
        <w:t xml:space="preserve">). Cela est d’autant plus problématique qu’une telle prolongation est assortie de garanties fondamentales limitées, la présence du gardé à vue devant une autorité judiciaire n’étant pas requise. Enfin, </w:t>
      </w:r>
      <w:r w:rsidRPr="00FE3F8A">
        <w:rPr>
          <w:lang w:val="fr-FR"/>
        </w:rPr>
        <w:t>le Comité s</w:t>
      </w:r>
      <w:r>
        <w:rPr>
          <w:lang w:val="fr-FR"/>
        </w:rPr>
        <w:t>’</w:t>
      </w:r>
      <w:r w:rsidRPr="00FE3F8A">
        <w:rPr>
          <w:lang w:val="fr-FR"/>
        </w:rPr>
        <w:t>inquiète du non</w:t>
      </w:r>
      <w:r w:rsidR="007A4B2E">
        <w:rPr>
          <w:lang w:val="fr-FR"/>
        </w:rPr>
        <w:noBreakHyphen/>
      </w:r>
      <w:r w:rsidRPr="00FE3F8A">
        <w:rPr>
          <w:lang w:val="fr-FR"/>
        </w:rPr>
        <w:t xml:space="preserve">respect, </w:t>
      </w:r>
      <w:r w:rsidRPr="005A2DAA">
        <w:rPr>
          <w:lang w:val="fr-FR"/>
        </w:rPr>
        <w:t>en pratique</w:t>
      </w:r>
      <w:r w:rsidRPr="00FE3F8A">
        <w:rPr>
          <w:lang w:val="fr-FR"/>
        </w:rPr>
        <w:t>, des garanties juridiques fondamentales lors de l</w:t>
      </w:r>
      <w:r>
        <w:rPr>
          <w:lang w:val="fr-FR"/>
        </w:rPr>
        <w:t>’</w:t>
      </w:r>
      <w:r w:rsidRPr="00FE3F8A">
        <w:rPr>
          <w:lang w:val="fr-FR"/>
        </w:rPr>
        <w:t>arrestation et de la détention</w:t>
      </w:r>
      <w:r>
        <w:rPr>
          <w:lang w:val="fr-FR"/>
        </w:rPr>
        <w:t xml:space="preserve"> </w:t>
      </w:r>
      <w:r w:rsidRPr="00C16A95">
        <w:rPr>
          <w:lang w:val="fr-FR"/>
        </w:rPr>
        <w:t>(art.</w:t>
      </w:r>
      <w:r w:rsidR="00D048BA">
        <w:rPr>
          <w:lang w:val="fr-FR"/>
        </w:rPr>
        <w:t> </w:t>
      </w:r>
      <w:r w:rsidRPr="00C16A95">
        <w:rPr>
          <w:lang w:val="fr-FR"/>
        </w:rPr>
        <w:t>2).</w:t>
      </w:r>
    </w:p>
    <w:p w:rsidR="006A2880" w:rsidRDefault="006A2880" w:rsidP="00C67F33">
      <w:pPr>
        <w:pStyle w:val="SingleTxtG"/>
        <w:keepNext/>
        <w:rPr>
          <w:b/>
          <w:lang w:val="fr-FR"/>
        </w:rPr>
      </w:pPr>
      <w:r w:rsidRPr="002D558E">
        <w:rPr>
          <w:bCs/>
          <w:lang w:val="fr-FR"/>
        </w:rPr>
        <w:t>10.</w:t>
      </w:r>
      <w:r>
        <w:rPr>
          <w:b/>
          <w:lang w:val="fr-FR"/>
        </w:rPr>
        <w:tab/>
      </w:r>
      <w:r w:rsidRPr="001937DB">
        <w:rPr>
          <w:b/>
          <w:lang w:val="fr-FR"/>
        </w:rPr>
        <w:t xml:space="preserve">Réitérant ses </w:t>
      </w:r>
      <w:r>
        <w:rPr>
          <w:b/>
          <w:lang w:val="fr-FR"/>
        </w:rPr>
        <w:t xml:space="preserve">précédentes </w:t>
      </w:r>
      <w:r w:rsidRPr="001937DB">
        <w:rPr>
          <w:b/>
          <w:lang w:val="fr-FR"/>
        </w:rPr>
        <w:t>observati</w:t>
      </w:r>
      <w:r>
        <w:rPr>
          <w:b/>
          <w:lang w:val="fr-FR"/>
        </w:rPr>
        <w:t>ons finales (par. 11</w:t>
      </w:r>
      <w:r w:rsidRPr="001937DB">
        <w:rPr>
          <w:b/>
          <w:lang w:val="fr-FR"/>
        </w:rPr>
        <w:t>), le Comité recommande à l</w:t>
      </w:r>
      <w:r>
        <w:rPr>
          <w:b/>
          <w:lang w:val="fr-FR"/>
        </w:rPr>
        <w:t>’</w:t>
      </w:r>
      <w:r w:rsidRPr="001937DB">
        <w:rPr>
          <w:b/>
          <w:lang w:val="fr-FR"/>
        </w:rPr>
        <w:t>État partie</w:t>
      </w:r>
      <w:r w:rsidR="00344626">
        <w:rPr>
          <w:b/>
          <w:lang w:val="fr-FR"/>
        </w:rPr>
        <w:t> :</w:t>
      </w:r>
    </w:p>
    <w:p w:rsidR="006A2880" w:rsidRPr="003634C2" w:rsidRDefault="006A2880" w:rsidP="006A2880">
      <w:pPr>
        <w:pStyle w:val="SingleTxtG"/>
        <w:ind w:firstLine="567"/>
        <w:rPr>
          <w:b/>
          <w:lang w:val="fr-FR"/>
        </w:rPr>
      </w:pPr>
      <w:r w:rsidRPr="003634C2">
        <w:rPr>
          <w:b/>
          <w:lang w:val="fr-FR"/>
        </w:rPr>
        <w:t>a)</w:t>
      </w:r>
      <w:r w:rsidRPr="003634C2">
        <w:rPr>
          <w:b/>
          <w:lang w:val="fr-FR"/>
        </w:rPr>
        <w:tab/>
      </w:r>
      <w:r>
        <w:rPr>
          <w:b/>
          <w:lang w:val="fr-FR"/>
        </w:rPr>
        <w:t>D’i</w:t>
      </w:r>
      <w:r w:rsidRPr="003634C2">
        <w:rPr>
          <w:b/>
          <w:lang w:val="fr-FR"/>
        </w:rPr>
        <w:t>nclure</w:t>
      </w:r>
      <w:r>
        <w:rPr>
          <w:b/>
          <w:lang w:val="fr-FR"/>
        </w:rPr>
        <w:t xml:space="preserve"> dans le </w:t>
      </w:r>
      <w:r w:rsidRPr="003634C2">
        <w:rPr>
          <w:b/>
          <w:lang w:val="fr-FR"/>
        </w:rPr>
        <w:t xml:space="preserve">Code de procédure pénale </w:t>
      </w:r>
      <w:r>
        <w:rPr>
          <w:b/>
          <w:lang w:val="fr-FR"/>
        </w:rPr>
        <w:t xml:space="preserve">le droit </w:t>
      </w:r>
      <w:r w:rsidRPr="00EB2291">
        <w:rPr>
          <w:b/>
        </w:rPr>
        <w:t xml:space="preserve">de </w:t>
      </w:r>
      <w:r>
        <w:rPr>
          <w:b/>
        </w:rPr>
        <w:t>bénéficier</w:t>
      </w:r>
      <w:r w:rsidRPr="00EB2291">
        <w:rPr>
          <w:b/>
        </w:rPr>
        <w:t xml:space="preserve"> sans condition </w:t>
      </w:r>
      <w:r>
        <w:rPr>
          <w:b/>
        </w:rPr>
        <w:t>d’</w:t>
      </w:r>
      <w:r w:rsidRPr="00EB2291">
        <w:rPr>
          <w:b/>
        </w:rPr>
        <w:t xml:space="preserve">un examen médical en toute confidentialité, effectué par du personnel médical qualifié </w:t>
      </w:r>
      <w:r>
        <w:rPr>
          <w:b/>
        </w:rPr>
        <w:t>dès l’</w:t>
      </w:r>
      <w:r w:rsidRPr="00EB2291">
        <w:rPr>
          <w:b/>
        </w:rPr>
        <w:t>arrivée dans un poste de police</w:t>
      </w:r>
      <w:r>
        <w:rPr>
          <w:b/>
        </w:rPr>
        <w:t>,</w:t>
      </w:r>
      <w:r w:rsidRPr="00EB2291">
        <w:rPr>
          <w:b/>
        </w:rPr>
        <w:t xml:space="preserve"> </w:t>
      </w:r>
      <w:r>
        <w:rPr>
          <w:b/>
        </w:rPr>
        <w:t xml:space="preserve">un </w:t>
      </w:r>
      <w:r w:rsidRPr="00EB2291">
        <w:rPr>
          <w:b/>
        </w:rPr>
        <w:t>centre de détention</w:t>
      </w:r>
      <w:r>
        <w:rPr>
          <w:b/>
        </w:rPr>
        <w:t xml:space="preserve"> ou une prison</w:t>
      </w:r>
      <w:r w:rsidRPr="00EB2291">
        <w:rPr>
          <w:b/>
        </w:rPr>
        <w:t>, et d</w:t>
      </w:r>
      <w:r>
        <w:rPr>
          <w:b/>
        </w:rPr>
        <w:t>’</w:t>
      </w:r>
      <w:r w:rsidRPr="00EB2291">
        <w:rPr>
          <w:b/>
        </w:rPr>
        <w:t xml:space="preserve">avoir accès à un médecin indépendant ou de </w:t>
      </w:r>
      <w:r>
        <w:rPr>
          <w:b/>
        </w:rPr>
        <w:t>son</w:t>
      </w:r>
      <w:r w:rsidRPr="00EB2291">
        <w:rPr>
          <w:b/>
        </w:rPr>
        <w:t xml:space="preserve"> choix sur demande</w:t>
      </w:r>
      <w:r w:rsidR="00344626">
        <w:rPr>
          <w:b/>
        </w:rPr>
        <w:t> ;</w:t>
      </w:r>
      <w:r>
        <w:rPr>
          <w:b/>
        </w:rPr>
        <w:t xml:space="preserve"> et</w:t>
      </w:r>
    </w:p>
    <w:p w:rsidR="006A2880" w:rsidRPr="003634C2" w:rsidRDefault="006A2880" w:rsidP="006A2880">
      <w:pPr>
        <w:pStyle w:val="SingleTxtG"/>
        <w:ind w:firstLine="567"/>
        <w:rPr>
          <w:b/>
          <w:lang w:val="fr-FR"/>
        </w:rPr>
      </w:pPr>
      <w:r w:rsidRPr="003634C2">
        <w:rPr>
          <w:b/>
          <w:lang w:val="fr-FR"/>
        </w:rPr>
        <w:t>b)</w:t>
      </w:r>
      <w:r w:rsidRPr="003634C2">
        <w:rPr>
          <w:b/>
          <w:lang w:val="fr-FR"/>
        </w:rPr>
        <w:tab/>
      </w:r>
      <w:r>
        <w:rPr>
          <w:b/>
          <w:bCs/>
        </w:rPr>
        <w:t>De r</w:t>
      </w:r>
      <w:r w:rsidRPr="003634C2">
        <w:rPr>
          <w:b/>
          <w:bCs/>
        </w:rPr>
        <w:t xml:space="preserve">éduire </w:t>
      </w:r>
      <w:r w:rsidRPr="003634C2">
        <w:rPr>
          <w:b/>
          <w:lang w:val="fr-FR"/>
        </w:rPr>
        <w:t xml:space="preserve">la durée maximale de garde </w:t>
      </w:r>
      <w:r w:rsidRPr="001609BE">
        <w:rPr>
          <w:b/>
          <w:lang w:val="fr-FR"/>
        </w:rPr>
        <w:t>à vue</w:t>
      </w:r>
      <w:r>
        <w:rPr>
          <w:b/>
          <w:lang w:val="fr-FR"/>
        </w:rPr>
        <w:t xml:space="preserve">, en veillant à ce </w:t>
      </w:r>
      <w:r w:rsidRPr="003634C2">
        <w:rPr>
          <w:b/>
          <w:lang w:val="fr-FR"/>
        </w:rPr>
        <w:t>que son renouvellement soit circonscrit à des circonstances exceptionnelles dûment justifiées</w:t>
      </w:r>
      <w:r w:rsidRPr="001609BE">
        <w:rPr>
          <w:b/>
          <w:lang w:val="fr-FR"/>
        </w:rPr>
        <w:t xml:space="preserve"> et </w:t>
      </w:r>
      <w:r>
        <w:rPr>
          <w:b/>
          <w:lang w:val="fr-FR"/>
        </w:rPr>
        <w:t xml:space="preserve">respecte les </w:t>
      </w:r>
      <w:r w:rsidRPr="003634C2">
        <w:rPr>
          <w:b/>
          <w:lang w:val="fr-FR"/>
        </w:rPr>
        <w:t>principes de nécessité et de proportionnalité</w:t>
      </w:r>
      <w:r w:rsidRPr="00982934">
        <w:rPr>
          <w:b/>
          <w:lang w:val="fr-FR"/>
        </w:rPr>
        <w:t>, et</w:t>
      </w:r>
      <w:r w:rsidRPr="003634C2">
        <w:rPr>
          <w:b/>
          <w:lang w:val="fr-FR"/>
        </w:rPr>
        <w:t xml:space="preserve"> en garantissant un contrôle judiciaire de la légalité de la détention.</w:t>
      </w:r>
    </w:p>
    <w:p w:rsidR="006A2880" w:rsidRPr="004A4409" w:rsidRDefault="006A2880" w:rsidP="006A2880">
      <w:pPr>
        <w:pStyle w:val="H23G"/>
        <w:rPr>
          <w:bCs/>
          <w:lang w:val="fr-FR"/>
        </w:rPr>
      </w:pPr>
      <w:r w:rsidRPr="00743305">
        <w:rPr>
          <w:b w:val="0"/>
          <w:lang w:val="fr-FR"/>
        </w:rPr>
        <w:tab/>
      </w:r>
      <w:r w:rsidRPr="00743305">
        <w:rPr>
          <w:bCs/>
          <w:lang w:val="fr-FR"/>
        </w:rPr>
        <w:tab/>
      </w:r>
      <w:r w:rsidRPr="00AC1671">
        <w:rPr>
          <w:bCs/>
          <w:lang w:val="fr-FR"/>
        </w:rPr>
        <w:t xml:space="preserve">Détention </w:t>
      </w:r>
      <w:r w:rsidRPr="00AC1671">
        <w:rPr>
          <w:bCs/>
        </w:rPr>
        <w:t>préventive</w:t>
      </w:r>
    </w:p>
    <w:p w:rsidR="006A2880" w:rsidRDefault="006A2880" w:rsidP="006A2880">
      <w:pPr>
        <w:pStyle w:val="SingleTxtG"/>
        <w:rPr>
          <w:lang w:val="fr-FR"/>
        </w:rPr>
      </w:pPr>
      <w:r>
        <w:rPr>
          <w:lang w:val="fr-FR"/>
        </w:rPr>
        <w:t>11</w:t>
      </w:r>
      <w:r w:rsidRPr="00743305">
        <w:rPr>
          <w:lang w:val="fr-FR"/>
        </w:rPr>
        <w:t>.</w:t>
      </w:r>
      <w:r w:rsidRPr="00743305">
        <w:rPr>
          <w:lang w:val="fr-FR"/>
        </w:rPr>
        <w:tab/>
        <w:t xml:space="preserve">Tout en </w:t>
      </w:r>
      <w:r>
        <w:rPr>
          <w:lang w:val="fr-FR"/>
        </w:rPr>
        <w:t>notant les garanties introduites par le Code de procédure pénale, qui</w:t>
      </w:r>
      <w:r w:rsidRPr="00743305">
        <w:rPr>
          <w:lang w:val="fr-FR"/>
        </w:rPr>
        <w:t xml:space="preserve"> limite</w:t>
      </w:r>
      <w:r>
        <w:rPr>
          <w:lang w:val="fr-FR"/>
        </w:rPr>
        <w:t>nt</w:t>
      </w:r>
      <w:r w:rsidRPr="00743305">
        <w:rPr>
          <w:lang w:val="fr-FR"/>
        </w:rPr>
        <w:t xml:space="preserve"> la détention provisoire à deux ans maximum en matière délictuelle</w:t>
      </w:r>
      <w:r>
        <w:rPr>
          <w:lang w:val="fr-FR"/>
        </w:rPr>
        <w:t>,</w:t>
      </w:r>
      <w:r w:rsidRPr="00743305">
        <w:rPr>
          <w:lang w:val="fr-FR"/>
        </w:rPr>
        <w:t xml:space="preserve"> </w:t>
      </w:r>
      <w:r>
        <w:rPr>
          <w:lang w:val="fr-FR"/>
        </w:rPr>
        <w:t>quatre ans</w:t>
      </w:r>
      <w:r w:rsidRPr="00743305">
        <w:rPr>
          <w:lang w:val="fr-FR"/>
        </w:rPr>
        <w:t xml:space="preserve"> en matière </w:t>
      </w:r>
      <w:r>
        <w:rPr>
          <w:lang w:val="fr-FR"/>
        </w:rPr>
        <w:t xml:space="preserve">criminelle, et instituent un </w:t>
      </w:r>
      <w:r w:rsidRPr="00743305">
        <w:rPr>
          <w:lang w:val="fr-FR"/>
        </w:rPr>
        <w:t xml:space="preserve">contrôle </w:t>
      </w:r>
      <w:r w:rsidRPr="005A2DAA">
        <w:rPr>
          <w:lang w:val="fr-FR"/>
        </w:rPr>
        <w:t>judiciaire (articles</w:t>
      </w:r>
      <w:r w:rsidR="00D048BA">
        <w:rPr>
          <w:lang w:val="fr-FR"/>
        </w:rPr>
        <w:t> </w:t>
      </w:r>
      <w:r w:rsidRPr="005A2DAA">
        <w:rPr>
          <w:lang w:val="fr-FR"/>
        </w:rPr>
        <w:t>261-79 et suivants du Code de procédure pénale), le Comité est préoccupé à la lecture</w:t>
      </w:r>
      <w:r w:rsidRPr="00743305">
        <w:rPr>
          <w:lang w:val="fr-FR"/>
        </w:rPr>
        <w:t xml:space="preserve"> d</w:t>
      </w:r>
      <w:r>
        <w:rPr>
          <w:lang w:val="fr-FR"/>
        </w:rPr>
        <w:t>’</w:t>
      </w:r>
      <w:r w:rsidRPr="00743305">
        <w:rPr>
          <w:lang w:val="fr-FR"/>
        </w:rPr>
        <w:t>informations selon lesquelles</w:t>
      </w:r>
      <w:r>
        <w:rPr>
          <w:lang w:val="fr-FR"/>
        </w:rPr>
        <w:t xml:space="preserve"> le recours à la détention préventive est systématique. Il s’inquiète en particulier du fait que</w:t>
      </w:r>
      <w:r w:rsidRPr="00743305">
        <w:rPr>
          <w:lang w:val="fr-FR"/>
        </w:rPr>
        <w:t xml:space="preserve"> des individus interpe</w:t>
      </w:r>
      <w:r w:rsidR="009D1ED7">
        <w:rPr>
          <w:lang w:val="fr-FR"/>
        </w:rPr>
        <w:t>l</w:t>
      </w:r>
      <w:r w:rsidRPr="00743305">
        <w:rPr>
          <w:lang w:val="fr-FR"/>
        </w:rPr>
        <w:t>lés dans le cadre de la lutte contre le terrorisme serai</w:t>
      </w:r>
      <w:r>
        <w:rPr>
          <w:lang w:val="fr-FR"/>
        </w:rPr>
        <w:t>en</w:t>
      </w:r>
      <w:r w:rsidRPr="00743305">
        <w:rPr>
          <w:lang w:val="fr-FR"/>
        </w:rPr>
        <w:t>t exposés à de longues périodes de détention préventive avant d</w:t>
      </w:r>
      <w:r>
        <w:rPr>
          <w:lang w:val="fr-FR"/>
        </w:rPr>
        <w:t>’</w:t>
      </w:r>
      <w:r w:rsidRPr="00743305">
        <w:rPr>
          <w:lang w:val="fr-FR"/>
        </w:rPr>
        <w:t>être présentés devant un juge.</w:t>
      </w:r>
      <w:r>
        <w:rPr>
          <w:lang w:val="fr-FR"/>
        </w:rPr>
        <w:t xml:space="preserve"> </w:t>
      </w:r>
      <w:r w:rsidRPr="00743305">
        <w:rPr>
          <w:lang w:val="fr-FR"/>
        </w:rPr>
        <w:t>Ainsi</w:t>
      </w:r>
      <w:r>
        <w:rPr>
          <w:lang w:val="fr-FR"/>
        </w:rPr>
        <w:t>,</w:t>
      </w:r>
      <w:r w:rsidRPr="00743305">
        <w:rPr>
          <w:lang w:val="fr-FR"/>
        </w:rPr>
        <w:t xml:space="preserve"> </w:t>
      </w:r>
      <w:r>
        <w:rPr>
          <w:lang w:val="fr-FR"/>
        </w:rPr>
        <w:t>plus de 700</w:t>
      </w:r>
      <w:r w:rsidR="007A4B2E">
        <w:rPr>
          <w:lang w:val="fr-FR"/>
        </w:rPr>
        <w:t> </w:t>
      </w:r>
      <w:r>
        <w:rPr>
          <w:lang w:val="fr-FR"/>
        </w:rPr>
        <w:t xml:space="preserve">personnes seraient </w:t>
      </w:r>
      <w:r w:rsidRPr="00B679FB">
        <w:rPr>
          <w:lang w:val="fr-FR"/>
        </w:rPr>
        <w:t xml:space="preserve">détenues pour </w:t>
      </w:r>
      <w:r>
        <w:rPr>
          <w:lang w:val="fr-FR"/>
        </w:rPr>
        <w:t>suspicion</w:t>
      </w:r>
      <w:r w:rsidRPr="00B679FB">
        <w:rPr>
          <w:lang w:val="fr-FR"/>
        </w:rPr>
        <w:t xml:space="preserve"> de commission d</w:t>
      </w:r>
      <w:r>
        <w:rPr>
          <w:lang w:val="fr-FR"/>
        </w:rPr>
        <w:t>’</w:t>
      </w:r>
      <w:r w:rsidRPr="00B679FB">
        <w:rPr>
          <w:lang w:val="fr-FR"/>
        </w:rPr>
        <w:t xml:space="preserve">acte de terrorisme </w:t>
      </w:r>
      <w:r>
        <w:rPr>
          <w:lang w:val="fr-FR"/>
        </w:rPr>
        <w:t>depuis 2016, en attente de</w:t>
      </w:r>
      <w:r w:rsidRPr="00B679FB">
        <w:rPr>
          <w:lang w:val="fr-FR"/>
        </w:rPr>
        <w:t xml:space="preserve"> jugement</w:t>
      </w:r>
      <w:r>
        <w:rPr>
          <w:lang w:val="fr-FR"/>
        </w:rPr>
        <w:t xml:space="preserve">. Le Comité est également préoccupé qu’il ne soit pas fait suffisamment recours à des </w:t>
      </w:r>
      <w:r w:rsidRPr="003B741E">
        <w:rPr>
          <w:bCs/>
        </w:rPr>
        <w:t>mesures de substitution à la détention provisoire</w:t>
      </w:r>
      <w:r>
        <w:rPr>
          <w:bCs/>
        </w:rPr>
        <w:t xml:space="preserve"> </w:t>
      </w:r>
      <w:r w:rsidRPr="00B679FB">
        <w:rPr>
          <w:lang w:val="fr-FR"/>
        </w:rPr>
        <w:t>(art.</w:t>
      </w:r>
      <w:r w:rsidR="009D1ED7">
        <w:rPr>
          <w:lang w:val="fr-FR"/>
        </w:rPr>
        <w:t> </w:t>
      </w:r>
      <w:r w:rsidRPr="00B679FB">
        <w:rPr>
          <w:lang w:val="fr-FR"/>
        </w:rPr>
        <w:t xml:space="preserve">2). </w:t>
      </w:r>
    </w:p>
    <w:p w:rsidR="006A2880" w:rsidRPr="001937DB" w:rsidRDefault="006A2880" w:rsidP="00C67F33">
      <w:pPr>
        <w:pStyle w:val="SingleTxtG"/>
        <w:keepNext/>
        <w:rPr>
          <w:b/>
        </w:rPr>
      </w:pPr>
      <w:r w:rsidRPr="002D558E">
        <w:rPr>
          <w:bCs/>
        </w:rPr>
        <w:t>12.</w:t>
      </w:r>
      <w:r>
        <w:rPr>
          <w:b/>
        </w:rPr>
        <w:tab/>
      </w:r>
      <w:r w:rsidRPr="001937DB">
        <w:rPr>
          <w:b/>
        </w:rPr>
        <w:t>L</w:t>
      </w:r>
      <w:r>
        <w:rPr>
          <w:b/>
        </w:rPr>
        <w:t>’</w:t>
      </w:r>
      <w:r w:rsidRPr="001937DB">
        <w:rPr>
          <w:b/>
        </w:rPr>
        <w:t xml:space="preserve">État partie </w:t>
      </w:r>
      <w:r w:rsidRPr="003C7A2C">
        <w:rPr>
          <w:b/>
          <w:lang w:val="fr-FR"/>
        </w:rPr>
        <w:t>devrait</w:t>
      </w:r>
      <w:r w:rsidR="00344626">
        <w:rPr>
          <w:b/>
        </w:rPr>
        <w:t> :</w:t>
      </w:r>
    </w:p>
    <w:p w:rsidR="006A2880" w:rsidRPr="001937DB" w:rsidRDefault="006A2880" w:rsidP="006A2880">
      <w:pPr>
        <w:pStyle w:val="SingleTxtG"/>
        <w:ind w:firstLine="567"/>
        <w:rPr>
          <w:b/>
        </w:rPr>
      </w:pPr>
      <w:r w:rsidRPr="001937DB">
        <w:rPr>
          <w:b/>
        </w:rPr>
        <w:t>a)</w:t>
      </w:r>
      <w:r w:rsidRPr="001937DB">
        <w:rPr>
          <w:b/>
        </w:rPr>
        <w:tab/>
        <w:t xml:space="preserve">Veiller au contrôle effectif de la </w:t>
      </w:r>
      <w:r>
        <w:rPr>
          <w:b/>
        </w:rPr>
        <w:t xml:space="preserve">pratique de la </w:t>
      </w:r>
      <w:r w:rsidRPr="001937DB">
        <w:rPr>
          <w:b/>
        </w:rPr>
        <w:t>détention préventive, en s</w:t>
      </w:r>
      <w:r>
        <w:rPr>
          <w:b/>
        </w:rPr>
        <w:t>’</w:t>
      </w:r>
      <w:r w:rsidRPr="001937DB">
        <w:rPr>
          <w:b/>
        </w:rPr>
        <w:t>assurant que celle-ci respecte les dispositions fixant sa durée maximale, qu</w:t>
      </w:r>
      <w:r>
        <w:rPr>
          <w:b/>
        </w:rPr>
        <w:t>’</w:t>
      </w:r>
      <w:r w:rsidRPr="001937DB">
        <w:rPr>
          <w:b/>
        </w:rPr>
        <w:t>elle soit aussi brève que possible, exceptionnelle, et</w:t>
      </w:r>
      <w:r>
        <w:rPr>
          <w:b/>
        </w:rPr>
        <w:t xml:space="preserve"> nécessaire et proportionnelle</w:t>
      </w:r>
      <w:r w:rsidR="00344626">
        <w:rPr>
          <w:b/>
        </w:rPr>
        <w:t> ;</w:t>
      </w:r>
    </w:p>
    <w:p w:rsidR="006A2880" w:rsidRPr="001937DB" w:rsidRDefault="006A2880" w:rsidP="006A2880">
      <w:pPr>
        <w:pStyle w:val="SingleTxtG"/>
        <w:ind w:firstLine="567"/>
        <w:rPr>
          <w:b/>
        </w:rPr>
      </w:pPr>
      <w:r w:rsidRPr="001937DB">
        <w:rPr>
          <w:b/>
        </w:rPr>
        <w:t>b)</w:t>
      </w:r>
      <w:r w:rsidRPr="001937DB">
        <w:rPr>
          <w:b/>
        </w:rPr>
        <w:tab/>
        <w:t xml:space="preserve">Promouvoir activement, au sein des parquets et auprès des juges, le recours à des </w:t>
      </w:r>
      <w:r w:rsidRPr="005A2DAA">
        <w:rPr>
          <w:b/>
        </w:rPr>
        <w:t xml:space="preserve">mesures de substitution à la détention provisoire, conformément aux </w:t>
      </w:r>
      <w:r w:rsidRPr="005A2DAA">
        <w:rPr>
          <w:b/>
        </w:rPr>
        <w:lastRenderedPageBreak/>
        <w:t>Règles minima des Nations Unies pour l</w:t>
      </w:r>
      <w:r>
        <w:rPr>
          <w:b/>
        </w:rPr>
        <w:t>’</w:t>
      </w:r>
      <w:r w:rsidRPr="005A2DAA">
        <w:rPr>
          <w:b/>
        </w:rPr>
        <w:t>élaboration de mesures non privatives de liberté (Règles de Tokyo)</w:t>
      </w:r>
      <w:r w:rsidR="00344626">
        <w:rPr>
          <w:b/>
        </w:rPr>
        <w:t> ;</w:t>
      </w:r>
    </w:p>
    <w:p w:rsidR="006A2880" w:rsidRDefault="006A2880" w:rsidP="006A2880">
      <w:pPr>
        <w:pStyle w:val="SingleTxtG"/>
        <w:ind w:firstLine="567"/>
        <w:rPr>
          <w:b/>
        </w:rPr>
      </w:pPr>
      <w:r>
        <w:rPr>
          <w:b/>
        </w:rPr>
        <w:t>c)</w:t>
      </w:r>
      <w:r>
        <w:rPr>
          <w:b/>
        </w:rPr>
        <w:tab/>
      </w:r>
      <w:r w:rsidRPr="001937DB">
        <w:rPr>
          <w:b/>
        </w:rPr>
        <w:t>Réviser tous les dossiers des détenus en détention préventive et libérer immédiatement tous ceux qui auraient déjà passé en détention plus de temps que ne le justifierait la peine de prison maximale dont est passible l</w:t>
      </w:r>
      <w:r>
        <w:rPr>
          <w:b/>
        </w:rPr>
        <w:t>’</w:t>
      </w:r>
      <w:r w:rsidRPr="001937DB">
        <w:rPr>
          <w:b/>
        </w:rPr>
        <w:t>inf</w:t>
      </w:r>
      <w:r>
        <w:rPr>
          <w:b/>
        </w:rPr>
        <w:t>raction qui leur est reprochée</w:t>
      </w:r>
      <w:r w:rsidR="00344626">
        <w:rPr>
          <w:b/>
        </w:rPr>
        <w:t> ;</w:t>
      </w:r>
      <w:r>
        <w:rPr>
          <w:b/>
        </w:rPr>
        <w:t xml:space="preserve"> et</w:t>
      </w:r>
    </w:p>
    <w:p w:rsidR="006A2880" w:rsidRPr="007B3589" w:rsidRDefault="006A2880" w:rsidP="006A2880">
      <w:pPr>
        <w:pStyle w:val="SingleTxtG"/>
        <w:ind w:firstLine="567"/>
        <w:rPr>
          <w:b/>
        </w:rPr>
      </w:pPr>
      <w:r w:rsidRPr="007B3589">
        <w:rPr>
          <w:b/>
        </w:rPr>
        <w:t>d)</w:t>
      </w:r>
      <w:r w:rsidRPr="007B3589">
        <w:rPr>
          <w:b/>
        </w:rPr>
        <w:tab/>
        <w:t>Accélérer le jugement des dossi</w:t>
      </w:r>
      <w:r>
        <w:rPr>
          <w:b/>
        </w:rPr>
        <w:t xml:space="preserve">ers de terrorisme et, pour ce faire, </w:t>
      </w:r>
      <w:r w:rsidRPr="007B3589">
        <w:rPr>
          <w:b/>
        </w:rPr>
        <w:t xml:space="preserve">doter le pôle </w:t>
      </w:r>
      <w:r w:rsidRPr="00597DD5">
        <w:rPr>
          <w:b/>
        </w:rPr>
        <w:t>antiterroriste de</w:t>
      </w:r>
      <w:r>
        <w:rPr>
          <w:b/>
        </w:rPr>
        <w:t>s</w:t>
      </w:r>
      <w:r w:rsidRPr="00597DD5">
        <w:rPr>
          <w:b/>
        </w:rPr>
        <w:t xml:space="preserve"> moyens humains, ma</w:t>
      </w:r>
      <w:r>
        <w:rPr>
          <w:b/>
        </w:rPr>
        <w:t>tériels et financiers nécessaires à l’instruction et au jugement des affaires dans des délais raisonnables</w:t>
      </w:r>
      <w:r w:rsidRPr="00597DD5">
        <w:rPr>
          <w:b/>
        </w:rPr>
        <w:t>.</w:t>
      </w:r>
    </w:p>
    <w:p w:rsidR="006A2880" w:rsidRDefault="006A2880" w:rsidP="006A2880">
      <w:pPr>
        <w:pStyle w:val="H23G"/>
        <w:rPr>
          <w:rFonts w:eastAsia="Times New Roman"/>
          <w:lang w:val="fr-FR"/>
        </w:rPr>
      </w:pPr>
      <w:r>
        <w:rPr>
          <w:lang w:val="fr-FR"/>
        </w:rPr>
        <w:tab/>
      </w:r>
      <w:r>
        <w:rPr>
          <w:lang w:val="fr-FR"/>
        </w:rPr>
        <w:tab/>
      </w:r>
      <w:r w:rsidRPr="00AC1671">
        <w:rPr>
          <w:lang w:val="fr-FR"/>
        </w:rPr>
        <w:t xml:space="preserve">Allégations de torture </w:t>
      </w:r>
      <w:r>
        <w:rPr>
          <w:lang w:val="fr-FR"/>
        </w:rPr>
        <w:t>et de mauvais traitements, enquêtes et poursuites</w:t>
      </w:r>
    </w:p>
    <w:p w:rsidR="006A2880" w:rsidRPr="005A2DAA" w:rsidRDefault="006A2880" w:rsidP="006A2880">
      <w:pPr>
        <w:pStyle w:val="SingleTxtG"/>
      </w:pPr>
      <w:r>
        <w:rPr>
          <w:lang w:val="fr-FR"/>
        </w:rPr>
        <w:t>13.</w:t>
      </w:r>
      <w:r>
        <w:rPr>
          <w:lang w:val="fr-FR"/>
        </w:rPr>
        <w:tab/>
        <w:t xml:space="preserve">Tout en accueillant avec satisfaction </w:t>
      </w:r>
      <w:r w:rsidRPr="005A2DAA">
        <w:t>l</w:t>
      </w:r>
      <w:r>
        <w:t>’</w:t>
      </w:r>
      <w:r w:rsidRPr="005A2DAA">
        <w:t>adoption de</w:t>
      </w:r>
      <w:r w:rsidRPr="002D558E">
        <w:t xml:space="preserve"> </w:t>
      </w:r>
      <w:r w:rsidRPr="005A2DAA">
        <w:t>l</w:t>
      </w:r>
      <w:r>
        <w:t>’</w:t>
      </w:r>
      <w:r w:rsidRPr="005A2DAA">
        <w:t>article</w:t>
      </w:r>
      <w:r w:rsidR="009D1ED7">
        <w:t> </w:t>
      </w:r>
      <w:r w:rsidRPr="005A2DAA">
        <w:t xml:space="preserve">10 de la loi </w:t>
      </w:r>
      <w:r w:rsidR="009D1ED7" w:rsidRPr="000169E7">
        <w:rPr>
          <w:rFonts w:eastAsia="MS Mincho"/>
          <w:lang w:val="fr-FR"/>
        </w:rPr>
        <w:t>n</w:t>
      </w:r>
      <w:r w:rsidR="009D1ED7" w:rsidRPr="000169E7">
        <w:rPr>
          <w:rFonts w:eastAsia="MS Mincho"/>
          <w:vertAlign w:val="superscript"/>
          <w:lang w:val="fr-FR"/>
        </w:rPr>
        <w:t>o</w:t>
      </w:r>
      <w:r w:rsidR="009D1ED7">
        <w:rPr>
          <w:lang w:val="fr-FR"/>
        </w:rPr>
        <w:t> </w:t>
      </w:r>
      <w:r w:rsidRPr="005A2DAA">
        <w:t>022</w:t>
      </w:r>
      <w:r w:rsidR="009D1ED7">
        <w:noBreakHyphen/>
      </w:r>
      <w:r w:rsidRPr="005A2DAA">
        <w:t>2014/AN, qui dispose que «</w:t>
      </w:r>
      <w:r w:rsidR="009D1ED7">
        <w:t> </w:t>
      </w:r>
      <w:r w:rsidRPr="005A2DAA">
        <w:t>[t]</w:t>
      </w:r>
      <w:proofErr w:type="spellStart"/>
      <w:r w:rsidRPr="005A2DAA">
        <w:t>oute</w:t>
      </w:r>
      <w:proofErr w:type="spellEnd"/>
      <w:r w:rsidRPr="005A2DAA">
        <w:t xml:space="preserve"> déclaration obtenue par suite de torture ou de pratiques assimilées ne peut être utilisée comme un élément de preuve dans une procédure, sauf pour établir la responsabilité de l</w:t>
      </w:r>
      <w:r>
        <w:t>’</w:t>
      </w:r>
      <w:r w:rsidRPr="005A2DAA">
        <w:t>auteur de l</w:t>
      </w:r>
      <w:r>
        <w:t>’</w:t>
      </w:r>
      <w:r w:rsidRPr="005A2DAA">
        <w:t>infraction</w:t>
      </w:r>
      <w:r w:rsidR="009D1ED7">
        <w:t> </w:t>
      </w:r>
      <w:r w:rsidRPr="005A2DAA">
        <w:t xml:space="preserve">», le Comité </w:t>
      </w:r>
      <w:r w:rsidRPr="005A2DAA">
        <w:rPr>
          <w:lang w:val="fr-FR"/>
        </w:rPr>
        <w:t>demeure préoccupé</w:t>
      </w:r>
      <w:r w:rsidRPr="00CA642F">
        <w:rPr>
          <w:lang w:val="fr-FR"/>
        </w:rPr>
        <w:t xml:space="preserve"> par des allégations de torture et de mauvais traitements</w:t>
      </w:r>
      <w:r>
        <w:rPr>
          <w:lang w:val="fr-FR"/>
        </w:rPr>
        <w:t xml:space="preserve"> d’individus</w:t>
      </w:r>
      <w:r w:rsidRPr="00CA642F">
        <w:rPr>
          <w:lang w:val="fr-FR"/>
        </w:rPr>
        <w:t xml:space="preserve"> </w:t>
      </w:r>
      <w:r>
        <w:rPr>
          <w:lang w:val="fr-FR"/>
        </w:rPr>
        <w:t xml:space="preserve">par des agents de police ou de gendarmerie lors de l’arrestation, le transport, la garde à vue et l’interrogatoire dans le but de leur extorquer des aveux. </w:t>
      </w:r>
      <w:r w:rsidRPr="00CA642F">
        <w:rPr>
          <w:lang w:val="fr-FR"/>
        </w:rPr>
        <w:t>Le Comité relève en outre</w:t>
      </w:r>
      <w:r>
        <w:rPr>
          <w:lang w:val="fr-FR"/>
        </w:rPr>
        <w:t xml:space="preserve"> </w:t>
      </w:r>
      <w:r w:rsidRPr="00CA642F">
        <w:rPr>
          <w:lang w:val="fr-FR"/>
        </w:rPr>
        <w:t>avec préoccupation que l</w:t>
      </w:r>
      <w:r>
        <w:rPr>
          <w:lang w:val="fr-FR"/>
        </w:rPr>
        <w:t>’</w:t>
      </w:r>
      <w:r w:rsidRPr="00CA642F">
        <w:rPr>
          <w:lang w:val="fr-FR"/>
        </w:rPr>
        <w:t>obligation d</w:t>
      </w:r>
      <w:r>
        <w:rPr>
          <w:lang w:val="fr-FR"/>
        </w:rPr>
        <w:t>’</w:t>
      </w:r>
      <w:r w:rsidRPr="00CA642F">
        <w:rPr>
          <w:lang w:val="fr-FR"/>
        </w:rPr>
        <w:t>enquêter en présence de motifs suffisants permettant de penser qu</w:t>
      </w:r>
      <w:r>
        <w:rPr>
          <w:lang w:val="fr-FR"/>
        </w:rPr>
        <w:t>’</w:t>
      </w:r>
      <w:r w:rsidRPr="00CA642F">
        <w:rPr>
          <w:lang w:val="fr-FR"/>
        </w:rPr>
        <w:t>un acte de torture a été commis ne s</w:t>
      </w:r>
      <w:r>
        <w:rPr>
          <w:lang w:val="fr-FR"/>
        </w:rPr>
        <w:t>’</w:t>
      </w:r>
      <w:r w:rsidRPr="00CA642F">
        <w:rPr>
          <w:lang w:val="fr-FR"/>
        </w:rPr>
        <w:t xml:space="preserve">étend pas aux allégations de peines ou traitements cruels, inhumains ou dégradants, pourtant réprimés par </w:t>
      </w:r>
      <w:r w:rsidRPr="005A2DAA">
        <w:rPr>
          <w:lang w:val="fr-FR"/>
        </w:rPr>
        <w:t xml:space="preserve">la loi </w:t>
      </w:r>
      <w:r w:rsidR="009D1ED7" w:rsidRPr="000169E7">
        <w:rPr>
          <w:rFonts w:eastAsia="MS Mincho"/>
          <w:lang w:val="fr-FR"/>
        </w:rPr>
        <w:t>n</w:t>
      </w:r>
      <w:r w:rsidR="009D1ED7" w:rsidRPr="000169E7">
        <w:rPr>
          <w:rFonts w:eastAsia="MS Mincho"/>
          <w:vertAlign w:val="superscript"/>
          <w:lang w:val="fr-FR"/>
        </w:rPr>
        <w:t>o</w:t>
      </w:r>
      <w:r w:rsidR="009D1ED7">
        <w:rPr>
          <w:lang w:val="fr-FR"/>
        </w:rPr>
        <w:t> </w:t>
      </w:r>
      <w:r w:rsidRPr="005A2DAA">
        <w:t>022</w:t>
      </w:r>
      <w:r w:rsidR="009D1ED7">
        <w:noBreakHyphen/>
      </w:r>
      <w:r w:rsidRPr="005A2DAA">
        <w:t>2014/AN. Ce faisant, l</w:t>
      </w:r>
      <w:r>
        <w:t>’</w:t>
      </w:r>
      <w:r w:rsidRPr="005A2DAA">
        <w:t>article</w:t>
      </w:r>
      <w:r w:rsidR="009D1ED7">
        <w:t> </w:t>
      </w:r>
      <w:r w:rsidRPr="005A2DAA">
        <w:t>16 n</w:t>
      </w:r>
      <w:r>
        <w:t>’</w:t>
      </w:r>
      <w:r w:rsidRPr="005A2DAA">
        <w:t>a pas été incorporé dans la législation de l</w:t>
      </w:r>
      <w:r>
        <w:t>’</w:t>
      </w:r>
      <w:r w:rsidRPr="005A2DAA">
        <w:rPr>
          <w:lang w:val="fr-FR"/>
        </w:rPr>
        <w:t>É</w:t>
      </w:r>
      <w:r w:rsidRPr="005A2DAA">
        <w:t xml:space="preserve">tat partie. </w:t>
      </w:r>
      <w:r w:rsidRPr="005A2DAA">
        <w:rPr>
          <w:lang w:val="fr-FR"/>
        </w:rPr>
        <w:t>Le Comité s</w:t>
      </w:r>
      <w:r>
        <w:rPr>
          <w:lang w:val="fr-FR"/>
        </w:rPr>
        <w:t>’</w:t>
      </w:r>
      <w:r w:rsidRPr="005A2DAA">
        <w:rPr>
          <w:lang w:val="fr-FR"/>
        </w:rPr>
        <w:t>inquiète enfin de l</w:t>
      </w:r>
      <w:r>
        <w:rPr>
          <w:lang w:val="fr-FR"/>
        </w:rPr>
        <w:t>’</w:t>
      </w:r>
      <w:r w:rsidRPr="005A2DAA">
        <w:rPr>
          <w:lang w:val="fr-FR"/>
        </w:rPr>
        <w:t xml:space="preserve">absence de poursuites judiciaires engagées à la suite des </w:t>
      </w:r>
      <w:r w:rsidRPr="005A2DAA">
        <w:t>multiples allégations d</w:t>
      </w:r>
      <w:r>
        <w:t>’</w:t>
      </w:r>
      <w:r w:rsidRPr="005A2DAA">
        <w:t>exactions, de torture et de mauvais traitements et d</w:t>
      </w:r>
      <w:r>
        <w:t>’</w:t>
      </w:r>
      <w:r w:rsidRPr="005A2DAA">
        <w:t>usage excessif de la force par les forces de l</w:t>
      </w:r>
      <w:r>
        <w:t>’</w:t>
      </w:r>
      <w:r w:rsidRPr="005A2DAA">
        <w:t xml:space="preserve">ordre lors de </w:t>
      </w:r>
      <w:r w:rsidRPr="005A2DAA">
        <w:rPr>
          <w:bCs/>
          <w:lang w:val="fr-FR"/>
        </w:rPr>
        <w:t>l</w:t>
      </w:r>
      <w:r>
        <w:rPr>
          <w:bCs/>
          <w:lang w:val="fr-FR"/>
        </w:rPr>
        <w:t>’</w:t>
      </w:r>
      <w:r w:rsidRPr="005A2DAA">
        <w:rPr>
          <w:bCs/>
          <w:lang w:val="fr-FR"/>
        </w:rPr>
        <w:t>insurrection populaire de 2014, du putsch manqué de 2015 et des</w:t>
      </w:r>
      <w:r w:rsidRPr="005A2DAA">
        <w:t xml:space="preserve"> événements de </w:t>
      </w:r>
      <w:proofErr w:type="spellStart"/>
      <w:r w:rsidRPr="005A2DAA">
        <w:t>Yirgou</w:t>
      </w:r>
      <w:proofErr w:type="spellEnd"/>
      <w:r w:rsidRPr="005A2DAA">
        <w:t xml:space="preserve"> de janvier 2019, qui ont fait plusieurs morts et des centaines de déplacés. Il déplore à </w:t>
      </w:r>
      <w:r w:rsidRPr="00FE2F0D">
        <w:t xml:space="preserve">ce sujet </w:t>
      </w:r>
      <w:r w:rsidRPr="005A2DAA">
        <w:t>l</w:t>
      </w:r>
      <w:r>
        <w:t>’</w:t>
      </w:r>
      <w:r w:rsidRPr="005A2DAA">
        <w:t>absence de mise en œuvre des recommandations émanant de la Commission nationale des droits humains, suite à l</w:t>
      </w:r>
      <w:r>
        <w:t>’</w:t>
      </w:r>
      <w:r w:rsidRPr="005A2DAA">
        <w:t>enquête menée conjointement avec le Haut-Conseil pour la réconciliation et l</w:t>
      </w:r>
      <w:r>
        <w:t>’</w:t>
      </w:r>
      <w:r w:rsidRPr="005A2DAA">
        <w:t>unité nationale (art.</w:t>
      </w:r>
      <w:r w:rsidR="009D1ED7">
        <w:t> </w:t>
      </w:r>
      <w:r w:rsidRPr="005A2DAA">
        <w:t>2, 4, 12, 13 et 16).</w:t>
      </w:r>
    </w:p>
    <w:p w:rsidR="006A2880" w:rsidRPr="00206EF2" w:rsidRDefault="006A2880" w:rsidP="006A2880">
      <w:pPr>
        <w:pStyle w:val="SingleTxtG"/>
        <w:rPr>
          <w:b/>
          <w:lang w:val="fr-FR"/>
        </w:rPr>
      </w:pPr>
      <w:r w:rsidRPr="002D558E">
        <w:rPr>
          <w:lang w:val="fr-FR"/>
        </w:rPr>
        <w:t>14.</w:t>
      </w:r>
      <w:r w:rsidRPr="005A2DAA">
        <w:rPr>
          <w:b/>
          <w:bCs/>
          <w:lang w:val="fr-FR"/>
        </w:rPr>
        <w:tab/>
        <w:t>Réitérant les recommandations qu</w:t>
      </w:r>
      <w:r>
        <w:rPr>
          <w:b/>
          <w:bCs/>
          <w:lang w:val="fr-FR"/>
        </w:rPr>
        <w:t>’</w:t>
      </w:r>
      <w:r w:rsidRPr="005A2DAA">
        <w:rPr>
          <w:b/>
          <w:bCs/>
          <w:lang w:val="fr-FR"/>
        </w:rPr>
        <w:t xml:space="preserve">il a formulées dans ses précédentes observations finales (par. 10), le Comité enjoint </w:t>
      </w:r>
      <w:r w:rsidRPr="00FE2F0D">
        <w:rPr>
          <w:b/>
          <w:bCs/>
          <w:lang w:val="fr-FR"/>
        </w:rPr>
        <w:t xml:space="preserve">à </w:t>
      </w:r>
      <w:r w:rsidRPr="005A2DAA">
        <w:rPr>
          <w:b/>
          <w:bCs/>
          <w:lang w:val="fr-FR"/>
        </w:rPr>
        <w:t>l</w:t>
      </w:r>
      <w:r>
        <w:rPr>
          <w:b/>
          <w:bCs/>
          <w:lang w:val="fr-FR"/>
        </w:rPr>
        <w:t>’</w:t>
      </w:r>
      <w:r w:rsidRPr="005A2DAA">
        <w:rPr>
          <w:b/>
          <w:bCs/>
          <w:lang w:val="fr-FR"/>
        </w:rPr>
        <w:t xml:space="preserve">État partie de </w:t>
      </w:r>
      <w:r w:rsidRPr="005A2DAA">
        <w:rPr>
          <w:b/>
          <w:lang w:val="fr-FR"/>
        </w:rPr>
        <w:t>réaffirmer clairement l</w:t>
      </w:r>
      <w:r>
        <w:rPr>
          <w:b/>
          <w:lang w:val="fr-FR"/>
        </w:rPr>
        <w:t>’</w:t>
      </w:r>
      <w:r w:rsidRPr="005A2DAA">
        <w:rPr>
          <w:b/>
          <w:lang w:val="fr-FR"/>
        </w:rPr>
        <w:t>interdiction absolue de la torture, en condamnant publiquement sa pratique et en vulgarisant et diffusant le contenu de la</w:t>
      </w:r>
      <w:r w:rsidRPr="005A2DAA">
        <w:rPr>
          <w:lang w:val="fr-FR"/>
        </w:rPr>
        <w:t xml:space="preserve"> </w:t>
      </w:r>
      <w:r w:rsidRPr="002D558E">
        <w:rPr>
          <w:b/>
          <w:bCs/>
          <w:lang w:val="fr-FR"/>
        </w:rPr>
        <w:t>l</w:t>
      </w:r>
      <w:proofErr w:type="spellStart"/>
      <w:r w:rsidRPr="005A2DAA">
        <w:rPr>
          <w:b/>
          <w:bCs/>
        </w:rPr>
        <w:t>oi</w:t>
      </w:r>
      <w:proofErr w:type="spellEnd"/>
      <w:r w:rsidRPr="005A2DAA">
        <w:rPr>
          <w:b/>
          <w:bCs/>
        </w:rPr>
        <w:t xml:space="preserve"> </w:t>
      </w:r>
      <w:r w:rsidR="00407256" w:rsidRPr="00C67F33">
        <w:rPr>
          <w:rFonts w:eastAsia="MS Mincho"/>
          <w:b/>
          <w:bCs/>
          <w:lang w:val="fr-FR"/>
        </w:rPr>
        <w:t>n</w:t>
      </w:r>
      <w:r w:rsidR="00407256" w:rsidRPr="00C67F33">
        <w:rPr>
          <w:rFonts w:eastAsia="MS Mincho"/>
          <w:b/>
          <w:bCs/>
          <w:vertAlign w:val="superscript"/>
          <w:lang w:val="fr-FR"/>
        </w:rPr>
        <w:t>o</w:t>
      </w:r>
      <w:r w:rsidR="00407256" w:rsidRPr="00C67F33">
        <w:rPr>
          <w:b/>
          <w:bCs/>
          <w:lang w:val="fr-FR"/>
        </w:rPr>
        <w:t> </w:t>
      </w:r>
      <w:r w:rsidRPr="005A2DAA">
        <w:rPr>
          <w:b/>
          <w:bCs/>
        </w:rPr>
        <w:t>022-2014/AN</w:t>
      </w:r>
      <w:r w:rsidRPr="005A2DAA">
        <w:t xml:space="preserve"> </w:t>
      </w:r>
      <w:r w:rsidRPr="005A2DAA">
        <w:rPr>
          <w:b/>
          <w:lang w:val="fr-FR"/>
        </w:rPr>
        <w:t>et du Code pénal de 2018. L</w:t>
      </w:r>
      <w:r>
        <w:rPr>
          <w:b/>
          <w:lang w:val="fr-FR"/>
        </w:rPr>
        <w:t>’</w:t>
      </w:r>
      <w:r w:rsidRPr="005A2DAA">
        <w:rPr>
          <w:b/>
          <w:lang w:val="fr-FR"/>
        </w:rPr>
        <w:t>État partie devrait de plus</w:t>
      </w:r>
      <w:r w:rsidR="00344626">
        <w:rPr>
          <w:b/>
          <w:lang w:val="fr-FR"/>
        </w:rPr>
        <w:t> :</w:t>
      </w:r>
    </w:p>
    <w:p w:rsidR="006A2880" w:rsidRDefault="006A2880" w:rsidP="006A2880">
      <w:pPr>
        <w:pStyle w:val="SingleTxtG"/>
        <w:ind w:firstLine="567"/>
        <w:rPr>
          <w:b/>
          <w:lang w:val="fr-FR"/>
        </w:rPr>
      </w:pPr>
      <w:r w:rsidRPr="007D67E0">
        <w:rPr>
          <w:b/>
          <w:lang w:val="fr-FR"/>
        </w:rPr>
        <w:t>a)</w:t>
      </w:r>
      <w:r>
        <w:rPr>
          <w:b/>
          <w:lang w:val="fr-FR"/>
        </w:rPr>
        <w:tab/>
        <w:t>Veiller à ce</w:t>
      </w:r>
      <w:r w:rsidRPr="0019472F">
        <w:rPr>
          <w:b/>
          <w:bCs/>
        </w:rPr>
        <w:t xml:space="preserve"> </w:t>
      </w:r>
      <w:r w:rsidRPr="007D67E0">
        <w:rPr>
          <w:b/>
          <w:lang w:val="fr-FR"/>
        </w:rPr>
        <w:t>que</w:t>
      </w:r>
      <w:r>
        <w:rPr>
          <w:b/>
          <w:lang w:val="fr-FR"/>
        </w:rPr>
        <w:t xml:space="preserve"> </w:t>
      </w:r>
      <w:r w:rsidRPr="007D67E0">
        <w:rPr>
          <w:b/>
          <w:lang w:val="fr-FR"/>
        </w:rPr>
        <w:t xml:space="preserve">les autorités </w:t>
      </w:r>
      <w:r>
        <w:rPr>
          <w:b/>
          <w:lang w:val="fr-FR"/>
        </w:rPr>
        <w:t xml:space="preserve">compétentes </w:t>
      </w:r>
      <w:r w:rsidRPr="007D67E0">
        <w:rPr>
          <w:b/>
          <w:lang w:val="fr-FR"/>
        </w:rPr>
        <w:t xml:space="preserve">ouvrent </w:t>
      </w:r>
      <w:r>
        <w:rPr>
          <w:b/>
          <w:lang w:val="fr-FR"/>
        </w:rPr>
        <w:t xml:space="preserve">systématiquement </w:t>
      </w:r>
      <w:r w:rsidRPr="007D67E0">
        <w:rPr>
          <w:b/>
          <w:lang w:val="fr-FR"/>
        </w:rPr>
        <w:t>une enquête chaque fois qu</w:t>
      </w:r>
      <w:r>
        <w:rPr>
          <w:b/>
          <w:lang w:val="fr-FR"/>
        </w:rPr>
        <w:t>’</w:t>
      </w:r>
      <w:r w:rsidRPr="007D67E0">
        <w:rPr>
          <w:b/>
          <w:lang w:val="fr-FR"/>
        </w:rPr>
        <w:t>il existe des motifs raisonnables de croire qu</w:t>
      </w:r>
      <w:r>
        <w:rPr>
          <w:b/>
          <w:lang w:val="fr-FR"/>
        </w:rPr>
        <w:t>’</w:t>
      </w:r>
      <w:r w:rsidRPr="007D67E0">
        <w:rPr>
          <w:b/>
          <w:lang w:val="fr-FR"/>
        </w:rPr>
        <w:t>un acte de torture a été commis</w:t>
      </w:r>
      <w:r>
        <w:rPr>
          <w:b/>
          <w:lang w:val="fr-FR"/>
        </w:rPr>
        <w:t xml:space="preserve">, </w:t>
      </w:r>
      <w:r w:rsidRPr="007D67E0">
        <w:rPr>
          <w:b/>
          <w:lang w:val="fr-FR"/>
        </w:rPr>
        <w:t xml:space="preserve">et </w:t>
      </w:r>
      <w:r>
        <w:rPr>
          <w:b/>
          <w:lang w:val="fr-FR"/>
        </w:rPr>
        <w:t xml:space="preserve">à ce </w:t>
      </w:r>
      <w:r w:rsidRPr="007D67E0">
        <w:rPr>
          <w:b/>
          <w:lang w:val="fr-FR"/>
        </w:rPr>
        <w:t>que les suspects soient dûment traduits en justice et, s</w:t>
      </w:r>
      <w:r>
        <w:rPr>
          <w:b/>
          <w:lang w:val="fr-FR"/>
        </w:rPr>
        <w:t>’</w:t>
      </w:r>
      <w:r w:rsidRPr="007D67E0">
        <w:rPr>
          <w:b/>
          <w:lang w:val="fr-FR"/>
        </w:rPr>
        <w:t>ils sont reconnus coupables, condamnés à des peines à la mesure de la gravité de leurs actes</w:t>
      </w:r>
      <w:r w:rsidR="00344626">
        <w:rPr>
          <w:b/>
          <w:lang w:val="fr-FR"/>
        </w:rPr>
        <w:t> ;</w:t>
      </w:r>
    </w:p>
    <w:p w:rsidR="006A2880" w:rsidRPr="005A2DAA" w:rsidRDefault="006A2880" w:rsidP="006A2880">
      <w:pPr>
        <w:pStyle w:val="SingleTxtG"/>
        <w:ind w:firstLine="567"/>
        <w:rPr>
          <w:b/>
          <w:lang w:val="fr-FR"/>
        </w:rPr>
      </w:pPr>
      <w:r>
        <w:rPr>
          <w:b/>
          <w:bCs/>
        </w:rPr>
        <w:t>b)</w:t>
      </w:r>
      <w:r>
        <w:rPr>
          <w:b/>
          <w:bCs/>
        </w:rPr>
        <w:tab/>
        <w:t xml:space="preserve">Accélérer les enquêtes ouvertes sur les troubles </w:t>
      </w:r>
      <w:proofErr w:type="spellStart"/>
      <w:r>
        <w:rPr>
          <w:b/>
          <w:bCs/>
        </w:rPr>
        <w:t>sociopolitiques</w:t>
      </w:r>
      <w:proofErr w:type="spellEnd"/>
      <w:r>
        <w:rPr>
          <w:b/>
          <w:bCs/>
        </w:rPr>
        <w:t xml:space="preserve"> de 2014 et 2015 et finaliser </w:t>
      </w:r>
      <w:r w:rsidRPr="005A2DAA">
        <w:rPr>
          <w:b/>
          <w:bCs/>
        </w:rPr>
        <w:t>promptement l</w:t>
      </w:r>
      <w:r>
        <w:rPr>
          <w:b/>
          <w:bCs/>
        </w:rPr>
        <w:t>’</w:t>
      </w:r>
      <w:r w:rsidRPr="005A2DAA">
        <w:rPr>
          <w:b/>
          <w:bCs/>
        </w:rPr>
        <w:t xml:space="preserve">enquête sur les exactions commises à </w:t>
      </w:r>
      <w:proofErr w:type="spellStart"/>
      <w:r w:rsidRPr="005A2DAA">
        <w:rPr>
          <w:b/>
          <w:bCs/>
        </w:rPr>
        <w:t>Yirgou</w:t>
      </w:r>
      <w:proofErr w:type="spellEnd"/>
      <w:r w:rsidRPr="005A2DAA">
        <w:rPr>
          <w:b/>
          <w:bCs/>
        </w:rPr>
        <w:t xml:space="preserve"> en janvier 2019, en prévoyant un mécanisme d</w:t>
      </w:r>
      <w:r>
        <w:rPr>
          <w:b/>
          <w:bCs/>
        </w:rPr>
        <w:t>’</w:t>
      </w:r>
      <w:r w:rsidRPr="005A2DAA">
        <w:rPr>
          <w:b/>
          <w:bCs/>
        </w:rPr>
        <w:t>assistance judiciaire au profit des victimes ainsi qu</w:t>
      </w:r>
      <w:r>
        <w:rPr>
          <w:b/>
          <w:bCs/>
        </w:rPr>
        <w:t>’</w:t>
      </w:r>
      <w:r w:rsidRPr="005A2DAA">
        <w:rPr>
          <w:b/>
          <w:bCs/>
        </w:rPr>
        <w:t>un mécanisme de protection des témoins et des victimes</w:t>
      </w:r>
      <w:r w:rsidR="00344626">
        <w:rPr>
          <w:b/>
          <w:bCs/>
        </w:rPr>
        <w:t> ;</w:t>
      </w:r>
    </w:p>
    <w:p w:rsidR="006A2880" w:rsidRPr="005A2DAA" w:rsidRDefault="006A2880" w:rsidP="006A2880">
      <w:pPr>
        <w:pStyle w:val="SingleTxtG"/>
        <w:ind w:firstLine="567"/>
        <w:rPr>
          <w:b/>
          <w:bCs/>
        </w:rPr>
      </w:pPr>
      <w:r w:rsidRPr="005A2DAA">
        <w:rPr>
          <w:b/>
          <w:w w:val="103"/>
        </w:rPr>
        <w:t>c)</w:t>
      </w:r>
      <w:r w:rsidRPr="005A2DAA">
        <w:rPr>
          <w:b/>
          <w:bCs/>
        </w:rPr>
        <w:tab/>
        <w:t>Mettre en place</w:t>
      </w:r>
      <w:r w:rsidRPr="005A2DAA">
        <w:rPr>
          <w:b/>
          <w:bCs/>
          <w:lang w:val="fr-FR"/>
        </w:rPr>
        <w:t xml:space="preserve"> un mécanisme de plaintes indépendant, efficace, confidentiel et </w:t>
      </w:r>
      <w:r w:rsidRPr="005A2DAA">
        <w:rPr>
          <w:rFonts w:eastAsia="Calibri"/>
          <w:b/>
          <w:bCs/>
          <w:w w:val="103"/>
        </w:rPr>
        <w:t xml:space="preserve">accessible aux </w:t>
      </w:r>
      <w:r w:rsidRPr="005A2DAA">
        <w:rPr>
          <w:b/>
          <w:bCs/>
        </w:rPr>
        <w:t>victimes</w:t>
      </w:r>
      <w:r w:rsidRPr="005A2DAA">
        <w:rPr>
          <w:rFonts w:eastAsia="Calibri"/>
          <w:b/>
          <w:bCs/>
          <w:w w:val="103"/>
        </w:rPr>
        <w:t xml:space="preserve"> dans </w:t>
      </w:r>
      <w:r w:rsidRPr="005A2DAA">
        <w:rPr>
          <w:b/>
          <w:bCs/>
          <w:lang w:val="fr-FR"/>
        </w:rPr>
        <w:t xml:space="preserve">tous les lieux </w:t>
      </w:r>
      <w:r w:rsidRPr="005A2DAA">
        <w:rPr>
          <w:b/>
          <w:bCs/>
          <w:lang w:val="fr-BE"/>
        </w:rPr>
        <w:t>de garde à vue</w:t>
      </w:r>
      <w:r w:rsidRPr="005A2DAA">
        <w:rPr>
          <w:b/>
          <w:bCs/>
          <w:lang w:val="fr-FR"/>
        </w:rPr>
        <w:t xml:space="preserve"> et dans les prisons, et faire en sorte que plaignants et victimes soient protégés contre toutes représailles</w:t>
      </w:r>
      <w:r w:rsidR="00344626">
        <w:rPr>
          <w:b/>
          <w:bCs/>
          <w:lang w:val="fr-FR"/>
        </w:rPr>
        <w:t> ;</w:t>
      </w:r>
    </w:p>
    <w:p w:rsidR="006A2880" w:rsidRPr="005A2DAA" w:rsidRDefault="006A2880" w:rsidP="006A2880">
      <w:pPr>
        <w:pStyle w:val="SingleTxtG"/>
        <w:ind w:firstLine="567"/>
        <w:rPr>
          <w:b/>
          <w:lang w:val="fr-FR"/>
        </w:rPr>
      </w:pPr>
      <w:r w:rsidRPr="005A2DAA">
        <w:rPr>
          <w:b/>
          <w:lang w:val="fr-FR"/>
        </w:rPr>
        <w:t>d)</w:t>
      </w:r>
      <w:r w:rsidRPr="005A2DAA">
        <w:rPr>
          <w:b/>
          <w:lang w:val="fr-FR"/>
        </w:rPr>
        <w:tab/>
        <w:t xml:space="preserve">Compiler et diffuser des données statistiques actualisées sur les plaintes déposées, les enquêtes </w:t>
      </w:r>
      <w:r w:rsidRPr="005A2DAA">
        <w:rPr>
          <w:rFonts w:eastAsia="Calibri"/>
          <w:b/>
          <w:bCs/>
          <w:w w:val="103"/>
        </w:rPr>
        <w:t>menées</w:t>
      </w:r>
      <w:r w:rsidRPr="005A2DAA">
        <w:rPr>
          <w:b/>
          <w:lang w:val="fr-FR"/>
        </w:rPr>
        <w:t>, les poursuites intentées et les condamnations prononcées dans les affaires de torture</w:t>
      </w:r>
      <w:r w:rsidR="00344626">
        <w:rPr>
          <w:b/>
          <w:lang w:val="fr-FR"/>
        </w:rPr>
        <w:t> ;</w:t>
      </w:r>
      <w:r w:rsidR="007A4B2E">
        <w:rPr>
          <w:b/>
          <w:lang w:val="fr-FR"/>
        </w:rPr>
        <w:t xml:space="preserve"> </w:t>
      </w:r>
      <w:r w:rsidRPr="005A2DAA">
        <w:rPr>
          <w:b/>
          <w:lang w:val="fr-FR"/>
        </w:rPr>
        <w:t>et</w:t>
      </w:r>
    </w:p>
    <w:p w:rsidR="006A2880" w:rsidRPr="002E6913" w:rsidRDefault="006A2880" w:rsidP="00C67F33">
      <w:pPr>
        <w:pStyle w:val="SingleTxtG"/>
        <w:keepLines/>
        <w:spacing w:after="100"/>
        <w:ind w:firstLine="567"/>
      </w:pPr>
      <w:r w:rsidRPr="005A2DAA">
        <w:rPr>
          <w:b/>
          <w:lang w:val="fr-FR"/>
        </w:rPr>
        <w:t>e)</w:t>
      </w:r>
      <w:r w:rsidRPr="005A2DAA">
        <w:rPr>
          <w:b/>
          <w:lang w:val="fr-FR"/>
        </w:rPr>
        <w:tab/>
      </w:r>
      <w:r w:rsidRPr="005A2DAA">
        <w:rPr>
          <w:b/>
          <w:bCs/>
        </w:rPr>
        <w:t xml:space="preserve">Modifier la loi </w:t>
      </w:r>
      <w:r w:rsidR="00407256" w:rsidRPr="00C67F33">
        <w:rPr>
          <w:rFonts w:eastAsia="MS Mincho"/>
          <w:b/>
          <w:bCs/>
          <w:lang w:val="fr-FR"/>
        </w:rPr>
        <w:t>n</w:t>
      </w:r>
      <w:r w:rsidR="00407256" w:rsidRPr="00C67F33">
        <w:rPr>
          <w:rFonts w:eastAsia="MS Mincho"/>
          <w:b/>
          <w:bCs/>
          <w:vertAlign w:val="superscript"/>
          <w:lang w:val="fr-FR"/>
        </w:rPr>
        <w:t>o</w:t>
      </w:r>
      <w:r w:rsidR="00407256" w:rsidRPr="00C67F33">
        <w:rPr>
          <w:b/>
          <w:bCs/>
          <w:lang w:val="fr-FR"/>
        </w:rPr>
        <w:t> </w:t>
      </w:r>
      <w:r w:rsidRPr="005A2DAA">
        <w:rPr>
          <w:b/>
          <w:bCs/>
        </w:rPr>
        <w:t>022-2014/AN</w:t>
      </w:r>
      <w:r w:rsidRPr="005D11C8">
        <w:rPr>
          <w:b/>
          <w:bCs/>
        </w:rPr>
        <w:t xml:space="preserve">, de </w:t>
      </w:r>
      <w:r>
        <w:rPr>
          <w:b/>
          <w:bCs/>
        </w:rPr>
        <w:t xml:space="preserve">façon </w:t>
      </w:r>
      <w:r w:rsidRPr="005D11C8">
        <w:rPr>
          <w:b/>
          <w:bCs/>
        </w:rPr>
        <w:t xml:space="preserve">à </w:t>
      </w:r>
      <w:r>
        <w:rPr>
          <w:b/>
          <w:bCs/>
        </w:rPr>
        <w:t xml:space="preserve">ce qu’elle </w:t>
      </w:r>
      <w:r w:rsidRPr="005D11C8">
        <w:rPr>
          <w:b/>
          <w:bCs/>
        </w:rPr>
        <w:t>prévoi</w:t>
      </w:r>
      <w:r>
        <w:rPr>
          <w:b/>
          <w:bCs/>
        </w:rPr>
        <w:t xml:space="preserve">e une obligation pour les autorités compétentes d’enquêter chaque fois qu’il y a des motifs raisonnables de croire que </w:t>
      </w:r>
      <w:r w:rsidRPr="005D11C8">
        <w:rPr>
          <w:rFonts w:eastAsia="Calibri"/>
          <w:b/>
          <w:bCs/>
          <w:w w:val="103"/>
        </w:rPr>
        <w:t>des</w:t>
      </w:r>
      <w:r w:rsidRPr="005D11C8">
        <w:rPr>
          <w:b/>
          <w:bCs/>
        </w:rPr>
        <w:t xml:space="preserve"> peines ou traitements</w:t>
      </w:r>
      <w:r>
        <w:rPr>
          <w:b/>
          <w:bCs/>
        </w:rPr>
        <w:t xml:space="preserve"> cruels, inhumains ou dégradants ont été commis sur tout territoire sous leur juridiction.</w:t>
      </w:r>
    </w:p>
    <w:p w:rsidR="006A2880" w:rsidRDefault="006A2880" w:rsidP="004F2C78">
      <w:pPr>
        <w:pStyle w:val="H23G"/>
        <w:spacing w:before="200"/>
      </w:pPr>
      <w:r>
        <w:lastRenderedPageBreak/>
        <w:tab/>
      </w:r>
      <w:r>
        <w:tab/>
      </w:r>
      <w:r w:rsidRPr="007F77FD">
        <w:t>Impunité</w:t>
      </w:r>
    </w:p>
    <w:p w:rsidR="006A2880" w:rsidRPr="00861109" w:rsidRDefault="006A2880" w:rsidP="004C6DBB">
      <w:pPr>
        <w:pStyle w:val="SingleTxtG"/>
        <w:spacing w:after="100"/>
      </w:pPr>
      <w:r>
        <w:rPr>
          <w:bCs/>
        </w:rPr>
        <w:t>15.</w:t>
      </w:r>
      <w:r>
        <w:rPr>
          <w:bCs/>
        </w:rPr>
        <w:tab/>
      </w:r>
      <w:r w:rsidRPr="00C655E5">
        <w:rPr>
          <w:bCs/>
        </w:rPr>
        <w:t>Le Comité est vivement préoccupé</w:t>
      </w:r>
      <w:r>
        <w:rPr>
          <w:bCs/>
        </w:rPr>
        <w:t xml:space="preserve"> du fait </w:t>
      </w:r>
      <w:r w:rsidRPr="005A2DAA">
        <w:rPr>
          <w:bCs/>
        </w:rPr>
        <w:t xml:space="preserve">que la loi </w:t>
      </w:r>
      <w:r w:rsidR="00407256" w:rsidRPr="000169E7">
        <w:rPr>
          <w:rFonts w:eastAsia="MS Mincho"/>
          <w:lang w:val="fr-FR"/>
        </w:rPr>
        <w:t>n</w:t>
      </w:r>
      <w:r w:rsidR="00407256" w:rsidRPr="000169E7">
        <w:rPr>
          <w:rFonts w:eastAsia="MS Mincho"/>
          <w:vertAlign w:val="superscript"/>
          <w:lang w:val="fr-FR"/>
        </w:rPr>
        <w:t>o</w:t>
      </w:r>
      <w:r w:rsidR="00407256">
        <w:rPr>
          <w:lang w:val="fr-FR"/>
        </w:rPr>
        <w:t> </w:t>
      </w:r>
      <w:r w:rsidRPr="005A2DAA">
        <w:rPr>
          <w:bCs/>
        </w:rPr>
        <w:t>026-2018/AN du 1</w:t>
      </w:r>
      <w:r w:rsidRPr="00C67F33">
        <w:rPr>
          <w:bCs/>
          <w:vertAlign w:val="superscript"/>
        </w:rPr>
        <w:t>er</w:t>
      </w:r>
      <w:r w:rsidRPr="005A2DAA">
        <w:rPr>
          <w:bCs/>
        </w:rPr>
        <w:t> juin 2018 portant réglementation générale du renseignement au Burkina Faso prévoit, en son article 18, que « [s]ont exemptés de peine, les agents de renseignement qui, dans le cadre de leurs missions, commettent des infractions qui sont absolument nécessaires afin d</w:t>
      </w:r>
      <w:r>
        <w:rPr>
          <w:bCs/>
        </w:rPr>
        <w:t>’</w:t>
      </w:r>
      <w:r w:rsidRPr="005A2DAA">
        <w:rPr>
          <w:bCs/>
        </w:rPr>
        <w:t>assurer l</w:t>
      </w:r>
      <w:r>
        <w:rPr>
          <w:bCs/>
        </w:rPr>
        <w:t>’</w:t>
      </w:r>
      <w:r w:rsidRPr="005A2DAA">
        <w:rPr>
          <w:bCs/>
        </w:rPr>
        <w:t>efficacité de la mission ou de garantir leur propre sécurité ou celle d</w:t>
      </w:r>
      <w:r>
        <w:rPr>
          <w:bCs/>
        </w:rPr>
        <w:t>’</w:t>
      </w:r>
      <w:r w:rsidRPr="005A2DAA">
        <w:rPr>
          <w:bCs/>
        </w:rPr>
        <w:t>autres personnes liées à l</w:t>
      </w:r>
      <w:r>
        <w:rPr>
          <w:bCs/>
        </w:rPr>
        <w:t>’</w:t>
      </w:r>
      <w:r w:rsidRPr="005A2DAA">
        <w:rPr>
          <w:bCs/>
        </w:rPr>
        <w:t xml:space="preserve">accomplissement de cette mission ». </w:t>
      </w:r>
      <w:r w:rsidRPr="005A2DAA">
        <w:t>Le Comité est</w:t>
      </w:r>
      <w:r>
        <w:t xml:space="preserve"> d’avis</w:t>
      </w:r>
      <w:r>
        <w:rPr>
          <w:rFonts w:eastAsia="Calibri"/>
          <w:lang w:val="fr-FR"/>
        </w:rPr>
        <w:t xml:space="preserve"> que cette disposition vague pourrait non seulement favoriser des abus, mais également promouvoir l’impunité en accordant une immunité à des </w:t>
      </w:r>
      <w:r>
        <w:rPr>
          <w:bCs/>
        </w:rPr>
        <w:t xml:space="preserve">agents de renseignement </w:t>
      </w:r>
      <w:r>
        <w:rPr>
          <w:rFonts w:eastAsia="Calibri"/>
          <w:lang w:val="fr-FR"/>
        </w:rPr>
        <w:t>qui commettraient des actes de torture ou des mauvais traitements (art. </w:t>
      </w:r>
      <w:r w:rsidRPr="00FB4CB5">
        <w:rPr>
          <w:rFonts w:eastAsia="Calibri"/>
          <w:lang w:val="fr-FR"/>
        </w:rPr>
        <w:t xml:space="preserve">2, </w:t>
      </w:r>
      <w:r>
        <w:rPr>
          <w:rFonts w:eastAsia="Calibri"/>
          <w:lang w:val="fr-FR"/>
        </w:rPr>
        <w:t xml:space="preserve">4, 12 et </w:t>
      </w:r>
      <w:r w:rsidRPr="00FB4CB5">
        <w:rPr>
          <w:rFonts w:eastAsia="Calibri"/>
          <w:lang w:val="fr-FR"/>
        </w:rPr>
        <w:t>13</w:t>
      </w:r>
      <w:r>
        <w:rPr>
          <w:rFonts w:eastAsia="Calibri"/>
          <w:lang w:val="fr-FR"/>
        </w:rPr>
        <w:t>).</w:t>
      </w:r>
    </w:p>
    <w:p w:rsidR="006A2880" w:rsidRPr="003C7A2C" w:rsidRDefault="006A2880" w:rsidP="004C6DBB">
      <w:pPr>
        <w:pStyle w:val="SingleTxtG"/>
        <w:spacing w:after="100"/>
        <w:rPr>
          <w:b/>
          <w:lang w:val="fr-FR"/>
        </w:rPr>
      </w:pPr>
      <w:r w:rsidRPr="002D558E">
        <w:t>16.</w:t>
      </w:r>
      <w:r>
        <w:rPr>
          <w:b/>
          <w:bCs/>
        </w:rPr>
        <w:tab/>
      </w:r>
      <w:r w:rsidRPr="003C7A2C">
        <w:rPr>
          <w:b/>
          <w:bCs/>
        </w:rPr>
        <w:t>L</w:t>
      </w:r>
      <w:r>
        <w:rPr>
          <w:b/>
          <w:bCs/>
        </w:rPr>
        <w:t>’</w:t>
      </w:r>
      <w:r w:rsidRPr="002D558E">
        <w:rPr>
          <w:b/>
          <w:bCs/>
          <w:lang w:val="fr-FR"/>
        </w:rPr>
        <w:t>É</w:t>
      </w:r>
      <w:r w:rsidRPr="009D11D1">
        <w:rPr>
          <w:b/>
          <w:bCs/>
        </w:rPr>
        <w:t>tat</w:t>
      </w:r>
      <w:r w:rsidRPr="003C7A2C">
        <w:rPr>
          <w:b/>
          <w:bCs/>
        </w:rPr>
        <w:t xml:space="preserve"> partie devrait </w:t>
      </w:r>
      <w:r>
        <w:rPr>
          <w:b/>
          <w:bCs/>
        </w:rPr>
        <w:t xml:space="preserve">veiller à ce </w:t>
      </w:r>
      <w:r w:rsidRPr="003C7A2C">
        <w:rPr>
          <w:b/>
          <w:lang w:val="fr-FR"/>
        </w:rPr>
        <w:t>qu</w:t>
      </w:r>
      <w:r>
        <w:rPr>
          <w:b/>
          <w:lang w:val="fr-FR"/>
        </w:rPr>
        <w:t>’</w:t>
      </w:r>
      <w:r w:rsidRPr="003C7A2C">
        <w:rPr>
          <w:b/>
          <w:lang w:val="fr-FR"/>
        </w:rPr>
        <w:t>aucune immunité ne soit accordée à des agents de renseignement ayant commis des actes de torture ou de</w:t>
      </w:r>
      <w:r>
        <w:rPr>
          <w:b/>
          <w:lang w:val="fr-FR"/>
        </w:rPr>
        <w:t>s</w:t>
      </w:r>
      <w:r w:rsidRPr="003C7A2C">
        <w:rPr>
          <w:b/>
          <w:lang w:val="fr-FR"/>
        </w:rPr>
        <w:t xml:space="preserve"> mauvais traitement</w:t>
      </w:r>
      <w:r>
        <w:rPr>
          <w:b/>
          <w:lang w:val="fr-FR"/>
        </w:rPr>
        <w:t>s</w:t>
      </w:r>
      <w:r w:rsidRPr="003C7A2C">
        <w:rPr>
          <w:b/>
          <w:lang w:val="fr-FR"/>
        </w:rPr>
        <w:t>.</w:t>
      </w:r>
    </w:p>
    <w:p w:rsidR="006A2880" w:rsidRPr="001F5DE6" w:rsidRDefault="006A2880" w:rsidP="004F2C78">
      <w:pPr>
        <w:pStyle w:val="H23G"/>
        <w:spacing w:before="200"/>
        <w:rPr>
          <w:lang w:val="fr-FR"/>
        </w:rPr>
      </w:pPr>
      <w:r>
        <w:rPr>
          <w:lang w:val="fr-FR"/>
        </w:rPr>
        <w:tab/>
      </w:r>
      <w:r>
        <w:rPr>
          <w:lang w:val="fr-FR"/>
        </w:rPr>
        <w:tab/>
      </w:r>
      <w:r w:rsidRPr="001F5DE6">
        <w:rPr>
          <w:lang w:val="fr-FR"/>
        </w:rPr>
        <w:t>Agissements de groupes armés non étatiques</w:t>
      </w:r>
    </w:p>
    <w:p w:rsidR="006A2880" w:rsidRPr="005A2DAA" w:rsidRDefault="006A2880" w:rsidP="004C6DBB">
      <w:pPr>
        <w:pStyle w:val="SingleTxtG"/>
        <w:spacing w:after="100"/>
        <w:rPr>
          <w:bCs/>
        </w:rPr>
      </w:pPr>
      <w:r>
        <w:rPr>
          <w:bCs/>
          <w:lang w:val="fr-FR"/>
        </w:rPr>
        <w:t>17</w:t>
      </w:r>
      <w:r w:rsidRPr="00AA39CD">
        <w:rPr>
          <w:bCs/>
          <w:lang w:val="fr-FR"/>
        </w:rPr>
        <w:t>.</w:t>
      </w:r>
      <w:r w:rsidRPr="00AA39CD">
        <w:rPr>
          <w:bCs/>
          <w:lang w:val="fr-FR"/>
        </w:rPr>
        <w:tab/>
        <w:t>Le Comité exprime sa vive préoccupation quant aux agissements</w:t>
      </w:r>
      <w:r w:rsidRPr="00AA39CD">
        <w:rPr>
          <w:bCs/>
        </w:rPr>
        <w:t xml:space="preserve"> des milices d</w:t>
      </w:r>
      <w:r>
        <w:rPr>
          <w:bCs/>
        </w:rPr>
        <w:t>’</w:t>
      </w:r>
      <w:r w:rsidRPr="00AA39CD">
        <w:rPr>
          <w:bCs/>
        </w:rPr>
        <w:t>autodéfense connues sous le nom de «</w:t>
      </w:r>
      <w:r w:rsidR="00C62DE6">
        <w:rPr>
          <w:bCs/>
        </w:rPr>
        <w:t> </w:t>
      </w:r>
      <w:proofErr w:type="spellStart"/>
      <w:r w:rsidRPr="00AA39CD">
        <w:rPr>
          <w:bCs/>
        </w:rPr>
        <w:t>Koglweogo</w:t>
      </w:r>
      <w:proofErr w:type="spellEnd"/>
      <w:r w:rsidR="00C62DE6">
        <w:rPr>
          <w:bCs/>
        </w:rPr>
        <w:t> </w:t>
      </w:r>
      <w:r w:rsidRPr="00AA39CD">
        <w:rPr>
          <w:bCs/>
        </w:rPr>
        <w:t>», dont certains membres proc</w:t>
      </w:r>
      <w:r>
        <w:rPr>
          <w:bCs/>
        </w:rPr>
        <w:t>é</w:t>
      </w:r>
      <w:r w:rsidRPr="00AA39CD">
        <w:rPr>
          <w:bCs/>
        </w:rPr>
        <w:t>deraient à des arrestations et détentions illégales, à des meurtres</w:t>
      </w:r>
      <w:r>
        <w:rPr>
          <w:bCs/>
        </w:rPr>
        <w:t>,</w:t>
      </w:r>
      <w:r w:rsidRPr="00AA39CD">
        <w:rPr>
          <w:bCs/>
        </w:rPr>
        <w:t xml:space="preserve"> à des actes de torture et </w:t>
      </w:r>
      <w:r>
        <w:rPr>
          <w:bCs/>
        </w:rPr>
        <w:t xml:space="preserve">à </w:t>
      </w:r>
      <w:r w:rsidRPr="00AA39CD">
        <w:rPr>
          <w:bCs/>
        </w:rPr>
        <w:t>de</w:t>
      </w:r>
      <w:r>
        <w:rPr>
          <w:bCs/>
        </w:rPr>
        <w:t>s</w:t>
      </w:r>
      <w:r w:rsidRPr="00AA39CD">
        <w:rPr>
          <w:bCs/>
        </w:rPr>
        <w:t xml:space="preserve"> mauvais traitements. Le Comité relève avec préoccupation que</w:t>
      </w:r>
      <w:r>
        <w:rPr>
          <w:bCs/>
        </w:rPr>
        <w:t>,</w:t>
      </w:r>
      <w:r w:rsidRPr="00AA39CD">
        <w:rPr>
          <w:bCs/>
        </w:rPr>
        <w:t xml:space="preserve"> tout en les subordonnant aux forces de police, le </w:t>
      </w:r>
      <w:r w:rsidRPr="005A2DAA">
        <w:rPr>
          <w:bCs/>
        </w:rPr>
        <w:t xml:space="preserve">décret </w:t>
      </w:r>
      <w:r w:rsidR="00C62DE6" w:rsidRPr="000169E7">
        <w:rPr>
          <w:rFonts w:eastAsia="MS Mincho"/>
          <w:lang w:val="fr-FR"/>
        </w:rPr>
        <w:t>n</w:t>
      </w:r>
      <w:r w:rsidR="00C62DE6" w:rsidRPr="000169E7">
        <w:rPr>
          <w:rFonts w:eastAsia="MS Mincho"/>
          <w:vertAlign w:val="superscript"/>
          <w:lang w:val="fr-FR"/>
        </w:rPr>
        <w:t>o</w:t>
      </w:r>
      <w:r w:rsidR="00C62DE6">
        <w:rPr>
          <w:lang w:val="fr-FR"/>
        </w:rPr>
        <w:t> </w:t>
      </w:r>
      <w:r w:rsidRPr="005A2DAA">
        <w:rPr>
          <w:bCs/>
        </w:rPr>
        <w:t>2016-1052 portant définition des modalités de participation des populations à la mise en œuvre de la police de proximité consacre formellement la participation de ces groupes « d</w:t>
      </w:r>
      <w:r>
        <w:rPr>
          <w:bCs/>
        </w:rPr>
        <w:t>’</w:t>
      </w:r>
      <w:r w:rsidRPr="005A2DAA">
        <w:rPr>
          <w:bCs/>
        </w:rPr>
        <w:t>autodéfense » à l</w:t>
      </w:r>
      <w:r>
        <w:rPr>
          <w:bCs/>
        </w:rPr>
        <w:t>’</w:t>
      </w:r>
      <w:r w:rsidRPr="005A2DAA">
        <w:rPr>
          <w:bCs/>
        </w:rPr>
        <w:t>effort de lutte contre l</w:t>
      </w:r>
      <w:r>
        <w:rPr>
          <w:bCs/>
        </w:rPr>
        <w:t>’</w:t>
      </w:r>
      <w:r w:rsidRPr="005A2DAA">
        <w:rPr>
          <w:bCs/>
        </w:rPr>
        <w:t>insécurité, en leur conférant un rôle de veille sécuritaire, de renseignement et même d</w:t>
      </w:r>
      <w:r>
        <w:rPr>
          <w:bCs/>
        </w:rPr>
        <w:t>’</w:t>
      </w:r>
      <w:r w:rsidRPr="005A2DAA">
        <w:rPr>
          <w:bCs/>
        </w:rPr>
        <w:t>interpellation. Le Comité est d</w:t>
      </w:r>
      <w:r>
        <w:rPr>
          <w:bCs/>
        </w:rPr>
        <w:t>’</w:t>
      </w:r>
      <w:r w:rsidRPr="005A2DAA">
        <w:rPr>
          <w:bCs/>
        </w:rPr>
        <w:t>avis que, ce faisant, ces groupes armés agissent comme agents de facto de l</w:t>
      </w:r>
      <w:r>
        <w:rPr>
          <w:bCs/>
        </w:rPr>
        <w:t>’</w:t>
      </w:r>
      <w:r w:rsidRPr="005A2DAA">
        <w:rPr>
          <w:lang w:val="fr-FR"/>
        </w:rPr>
        <w:t>É</w:t>
      </w:r>
      <w:r w:rsidRPr="005A2DAA">
        <w:rPr>
          <w:bCs/>
        </w:rPr>
        <w:t>tat (art.</w:t>
      </w:r>
      <w:r w:rsidR="00C62DE6">
        <w:rPr>
          <w:bCs/>
        </w:rPr>
        <w:t> </w:t>
      </w:r>
      <w:r w:rsidRPr="005A2DAA">
        <w:rPr>
          <w:bCs/>
        </w:rPr>
        <w:t xml:space="preserve">2, 12 et 16). </w:t>
      </w:r>
    </w:p>
    <w:p w:rsidR="006A2880" w:rsidRPr="001F5DE6" w:rsidRDefault="006A2880" w:rsidP="004C6DBB">
      <w:pPr>
        <w:pStyle w:val="SingleTxtG"/>
        <w:spacing w:after="100"/>
        <w:rPr>
          <w:b/>
          <w:bCs/>
        </w:rPr>
      </w:pPr>
      <w:r w:rsidRPr="002D558E">
        <w:t>18.</w:t>
      </w:r>
      <w:r w:rsidRPr="005A2DAA">
        <w:rPr>
          <w:b/>
          <w:bCs/>
        </w:rPr>
        <w:tab/>
        <w:t xml:space="preserve">Rappelant son observation générale </w:t>
      </w:r>
      <w:r w:rsidR="00C62DE6" w:rsidRPr="00C67F33">
        <w:rPr>
          <w:rFonts w:eastAsia="MS Mincho"/>
          <w:b/>
          <w:bCs/>
          <w:lang w:val="fr-FR"/>
        </w:rPr>
        <w:t>n</w:t>
      </w:r>
      <w:r w:rsidR="00C62DE6" w:rsidRPr="00C67F33">
        <w:rPr>
          <w:rFonts w:eastAsia="MS Mincho"/>
          <w:b/>
          <w:bCs/>
          <w:vertAlign w:val="superscript"/>
          <w:lang w:val="fr-FR"/>
        </w:rPr>
        <w:t>o</w:t>
      </w:r>
      <w:r w:rsidR="00C62DE6" w:rsidRPr="00C67F33">
        <w:rPr>
          <w:b/>
          <w:bCs/>
          <w:lang w:val="fr-FR"/>
        </w:rPr>
        <w:t> </w:t>
      </w:r>
      <w:r w:rsidRPr="005A2DAA">
        <w:rPr>
          <w:b/>
          <w:bCs/>
        </w:rPr>
        <w:t>2 (2007) sur l</w:t>
      </w:r>
      <w:r>
        <w:rPr>
          <w:b/>
          <w:bCs/>
        </w:rPr>
        <w:t>’</w:t>
      </w:r>
      <w:r w:rsidRPr="005A2DAA">
        <w:rPr>
          <w:b/>
          <w:bCs/>
        </w:rPr>
        <w:t>application de l</w:t>
      </w:r>
      <w:r>
        <w:rPr>
          <w:b/>
          <w:bCs/>
        </w:rPr>
        <w:t>’</w:t>
      </w:r>
      <w:r w:rsidRPr="005A2DAA">
        <w:rPr>
          <w:b/>
          <w:bCs/>
        </w:rPr>
        <w:t>article</w:t>
      </w:r>
      <w:r w:rsidR="004E6232">
        <w:rPr>
          <w:b/>
          <w:bCs/>
        </w:rPr>
        <w:t> </w:t>
      </w:r>
      <w:r w:rsidRPr="005A2DAA">
        <w:rPr>
          <w:b/>
          <w:bCs/>
        </w:rPr>
        <w:t xml:space="preserve">2, dans laquelle il a établi que la responsabilité internationale des </w:t>
      </w:r>
      <w:r w:rsidR="004E6232" w:rsidRPr="004E6232">
        <w:rPr>
          <w:b/>
          <w:bCs/>
        </w:rPr>
        <w:t>É</w:t>
      </w:r>
      <w:r w:rsidRPr="004E6232">
        <w:rPr>
          <w:b/>
          <w:bCs/>
        </w:rPr>
        <w:t>tats</w:t>
      </w:r>
      <w:r w:rsidRPr="005A2DAA">
        <w:rPr>
          <w:b/>
          <w:bCs/>
        </w:rPr>
        <w:t xml:space="preserve"> est engagée par les actes ou les omissions de leurs fonctionnaires et de leurs agents, ainsi que de toute personne agissant à titre officiel, au nom de l</w:t>
      </w:r>
      <w:r>
        <w:rPr>
          <w:b/>
          <w:bCs/>
        </w:rPr>
        <w:t>’</w:t>
      </w:r>
      <w:r w:rsidRPr="00C67F33">
        <w:rPr>
          <w:b/>
          <w:bCs/>
          <w:lang w:val="fr-FR"/>
        </w:rPr>
        <w:t>É</w:t>
      </w:r>
      <w:r w:rsidRPr="005A2DAA">
        <w:rPr>
          <w:b/>
          <w:bCs/>
        </w:rPr>
        <w:t>tat ou en liaison avec celui-ci, sous sa direction ou son contrôle, ou encore au nom de la loi, le Comité exhorte l</w:t>
      </w:r>
      <w:r>
        <w:rPr>
          <w:b/>
          <w:bCs/>
        </w:rPr>
        <w:t>’</w:t>
      </w:r>
      <w:r w:rsidRPr="002D558E">
        <w:rPr>
          <w:b/>
          <w:bCs/>
          <w:lang w:val="fr-FR"/>
        </w:rPr>
        <w:t>É</w:t>
      </w:r>
      <w:r w:rsidRPr="005A2DAA">
        <w:rPr>
          <w:b/>
          <w:bCs/>
        </w:rPr>
        <w:t>tat partie à</w:t>
      </w:r>
      <w:r w:rsidR="00C62DE6">
        <w:rPr>
          <w:b/>
          <w:bCs/>
        </w:rPr>
        <w:t> :</w:t>
      </w:r>
    </w:p>
    <w:p w:rsidR="006A2880" w:rsidRDefault="006A2880" w:rsidP="004C6DBB">
      <w:pPr>
        <w:pStyle w:val="SingleTxtG"/>
        <w:spacing w:after="100"/>
        <w:ind w:firstLine="567"/>
        <w:rPr>
          <w:b/>
          <w:bCs/>
        </w:rPr>
      </w:pPr>
      <w:r>
        <w:rPr>
          <w:b/>
          <w:bCs/>
        </w:rPr>
        <w:t>a)</w:t>
      </w:r>
      <w:r>
        <w:rPr>
          <w:b/>
          <w:bCs/>
        </w:rPr>
        <w:tab/>
      </w:r>
      <w:r w:rsidRPr="00692E6E">
        <w:rPr>
          <w:b/>
          <w:bCs/>
        </w:rPr>
        <w:t xml:space="preserve">Cesser de déléguer les prérogatives régaliennes qui lui incombent </w:t>
      </w:r>
      <w:r>
        <w:rPr>
          <w:b/>
          <w:bCs/>
        </w:rPr>
        <w:t>exclusivement</w:t>
      </w:r>
      <w:r w:rsidRPr="00692E6E">
        <w:rPr>
          <w:b/>
          <w:bCs/>
        </w:rPr>
        <w:t xml:space="preserve"> </w:t>
      </w:r>
      <w:r>
        <w:rPr>
          <w:b/>
          <w:bCs/>
        </w:rPr>
        <w:t xml:space="preserve">et </w:t>
      </w:r>
      <w:r w:rsidRPr="00692E6E">
        <w:rPr>
          <w:b/>
          <w:bCs/>
        </w:rPr>
        <w:t>d</w:t>
      </w:r>
      <w:r>
        <w:rPr>
          <w:b/>
          <w:bCs/>
        </w:rPr>
        <w:t>’</w:t>
      </w:r>
      <w:r w:rsidRPr="00692E6E">
        <w:rPr>
          <w:b/>
          <w:bCs/>
        </w:rPr>
        <w:t xml:space="preserve">encourager ou soutenir des groupes armés non étatiques à </w:t>
      </w:r>
      <w:r w:rsidRPr="00FE2F0D">
        <w:rPr>
          <w:b/>
          <w:bCs/>
        </w:rPr>
        <w:t xml:space="preserve">mener </w:t>
      </w:r>
      <w:r w:rsidRPr="00692E6E">
        <w:rPr>
          <w:b/>
          <w:bCs/>
        </w:rPr>
        <w:t>des missions de maintien de la sécurité</w:t>
      </w:r>
      <w:r w:rsidR="00344626">
        <w:rPr>
          <w:b/>
          <w:bCs/>
        </w:rPr>
        <w:t> ;</w:t>
      </w:r>
    </w:p>
    <w:p w:rsidR="006A2880" w:rsidRPr="001F5DE6" w:rsidRDefault="006A2880" w:rsidP="004C6DBB">
      <w:pPr>
        <w:pStyle w:val="SingleTxtG"/>
        <w:spacing w:after="100"/>
        <w:ind w:firstLine="567"/>
        <w:rPr>
          <w:b/>
          <w:bCs/>
        </w:rPr>
      </w:pPr>
      <w:r w:rsidRPr="001F5DE6">
        <w:rPr>
          <w:b/>
          <w:bCs/>
        </w:rPr>
        <w:t>b)</w:t>
      </w:r>
      <w:r w:rsidRPr="001F5DE6">
        <w:rPr>
          <w:b/>
          <w:bCs/>
        </w:rPr>
        <w:tab/>
      </w:r>
      <w:r>
        <w:rPr>
          <w:b/>
          <w:bCs/>
        </w:rPr>
        <w:t>Établir un mécanisme de recensement</w:t>
      </w:r>
      <w:r w:rsidRPr="008F52B1">
        <w:rPr>
          <w:b/>
          <w:bCs/>
        </w:rPr>
        <w:t xml:space="preserve"> </w:t>
      </w:r>
      <w:r>
        <w:rPr>
          <w:b/>
          <w:bCs/>
        </w:rPr>
        <w:t>et de surveillance des agissements</w:t>
      </w:r>
      <w:r w:rsidR="004C6DBB">
        <w:rPr>
          <w:b/>
          <w:bCs/>
        </w:rPr>
        <w:t xml:space="preserve"> </w:t>
      </w:r>
      <w:r>
        <w:rPr>
          <w:b/>
          <w:bCs/>
        </w:rPr>
        <w:t xml:space="preserve">des </w:t>
      </w:r>
      <w:proofErr w:type="spellStart"/>
      <w:r>
        <w:rPr>
          <w:b/>
          <w:bCs/>
        </w:rPr>
        <w:t>Koglweogo</w:t>
      </w:r>
      <w:proofErr w:type="spellEnd"/>
      <w:r w:rsidR="00344626">
        <w:rPr>
          <w:b/>
          <w:bCs/>
        </w:rPr>
        <w:t> ;</w:t>
      </w:r>
    </w:p>
    <w:p w:rsidR="006A2880" w:rsidRPr="001F5DE6" w:rsidRDefault="006A2880" w:rsidP="004C6DBB">
      <w:pPr>
        <w:pStyle w:val="SingleTxtG"/>
        <w:spacing w:after="100"/>
        <w:ind w:firstLine="567"/>
        <w:rPr>
          <w:b/>
          <w:bCs/>
        </w:rPr>
      </w:pPr>
      <w:r w:rsidRPr="001F5DE6">
        <w:rPr>
          <w:b/>
          <w:bCs/>
        </w:rPr>
        <w:t>c)</w:t>
      </w:r>
      <w:r w:rsidRPr="001F5DE6">
        <w:rPr>
          <w:b/>
          <w:bCs/>
        </w:rPr>
        <w:tab/>
        <w:t>Renforcer la présence et les effectifs des forces de défense et de sécurité nationales comme nécessaire</w:t>
      </w:r>
      <w:r w:rsidR="00C62DE6">
        <w:rPr>
          <w:b/>
          <w:bCs/>
        </w:rPr>
        <w:t> ;</w:t>
      </w:r>
      <w:r w:rsidRPr="001F5DE6">
        <w:rPr>
          <w:b/>
          <w:bCs/>
        </w:rPr>
        <w:t xml:space="preserve"> et </w:t>
      </w:r>
    </w:p>
    <w:p w:rsidR="006A2880" w:rsidRPr="001F5DE6" w:rsidRDefault="006A2880" w:rsidP="004C6DBB">
      <w:pPr>
        <w:pStyle w:val="SingleTxtG"/>
        <w:spacing w:after="100"/>
        <w:ind w:firstLine="567"/>
        <w:rPr>
          <w:b/>
          <w:bCs/>
        </w:rPr>
      </w:pPr>
      <w:r w:rsidRPr="001F5DE6">
        <w:rPr>
          <w:b/>
          <w:bCs/>
        </w:rPr>
        <w:t>d)</w:t>
      </w:r>
      <w:r w:rsidRPr="001F5DE6">
        <w:rPr>
          <w:b/>
          <w:bCs/>
        </w:rPr>
        <w:tab/>
        <w:t>Continuer de mener des enquêtes et de poursuivre les auteurs présumés d</w:t>
      </w:r>
      <w:r>
        <w:rPr>
          <w:b/>
          <w:bCs/>
        </w:rPr>
        <w:t>’</w:t>
      </w:r>
      <w:r w:rsidRPr="001F5DE6">
        <w:rPr>
          <w:b/>
          <w:bCs/>
        </w:rPr>
        <w:t>exactions, de tortures et de mauvais traitements, et, s</w:t>
      </w:r>
      <w:r>
        <w:rPr>
          <w:b/>
          <w:bCs/>
        </w:rPr>
        <w:t>’</w:t>
      </w:r>
      <w:r w:rsidRPr="001F5DE6">
        <w:rPr>
          <w:b/>
          <w:bCs/>
        </w:rPr>
        <w:t>ils sont reconnus coupables, les condamner à des sanctions appropriées, en accordant des réparations aux victimes.</w:t>
      </w:r>
    </w:p>
    <w:p w:rsidR="006A2880" w:rsidRPr="007120E5" w:rsidRDefault="006A2880" w:rsidP="004E6232">
      <w:pPr>
        <w:pStyle w:val="H23G"/>
        <w:spacing w:before="200"/>
      </w:pPr>
      <w:r>
        <w:tab/>
      </w:r>
      <w:r>
        <w:tab/>
      </w:r>
      <w:r w:rsidRPr="007F77FD">
        <w:t>Lutte contre le terrorisme</w:t>
      </w:r>
      <w:r>
        <w:t xml:space="preserve"> et le grand banditisme</w:t>
      </w:r>
    </w:p>
    <w:p w:rsidR="006A2880" w:rsidRDefault="006A2880" w:rsidP="006A2880">
      <w:pPr>
        <w:pStyle w:val="SingleTxtG"/>
      </w:pPr>
      <w:r>
        <w:t xml:space="preserve">19. </w:t>
      </w:r>
      <w:r>
        <w:tab/>
        <w:t>Tout en notant avec préoccupation la recrudescence d’attaques terroristes perpétrées sur le territoire de l’</w:t>
      </w:r>
      <w:r>
        <w:rPr>
          <w:lang w:val="fr-FR"/>
        </w:rPr>
        <w:t>É</w:t>
      </w:r>
      <w:r>
        <w:t>tat partie, notamment dans la région du Sahel, le Comité s’inquiète d’informations selon lesquelles des unités spécialisées dans la lutte antiterroriste opérant librement dans le cadre de l’état d’urgence prévalant dans 14</w:t>
      </w:r>
      <w:r w:rsidR="004C6DBB">
        <w:t> </w:t>
      </w:r>
      <w:r>
        <w:t xml:space="preserve">provinces du pays, tel le Groupement des forces antiterroristes, procéderaient, lors de vastes opérations de ratissage, à des arrestations arbitraires et à des actes de torture pour punir des présumés terroristes, leurs complices ou des membres de leur famille, et pour leur extorquer des aveux </w:t>
      </w:r>
      <w:r w:rsidRPr="007120E5">
        <w:t>(art.</w:t>
      </w:r>
      <w:r w:rsidR="004C6DBB">
        <w:t> </w:t>
      </w:r>
      <w:r w:rsidRPr="007120E5">
        <w:t xml:space="preserve">2, 11, 12 et 16). </w:t>
      </w:r>
    </w:p>
    <w:p w:rsidR="006A2880" w:rsidRDefault="006A2880" w:rsidP="006A2880">
      <w:pPr>
        <w:pStyle w:val="SingleTxtG"/>
        <w:rPr>
          <w:b/>
        </w:rPr>
      </w:pPr>
      <w:r w:rsidRPr="002D558E">
        <w:rPr>
          <w:bCs/>
        </w:rPr>
        <w:t>20.</w:t>
      </w:r>
      <w:r>
        <w:rPr>
          <w:b/>
        </w:rPr>
        <w:tab/>
      </w:r>
      <w:r w:rsidRPr="00D72D26">
        <w:rPr>
          <w:b/>
        </w:rPr>
        <w:t>L</w:t>
      </w:r>
      <w:r>
        <w:rPr>
          <w:b/>
        </w:rPr>
        <w:t>’</w:t>
      </w:r>
      <w:r w:rsidRPr="00D72D26">
        <w:rPr>
          <w:b/>
        </w:rPr>
        <w:t>État partie devrait faire en sorte que les mesures prises pour lutter contre le terrorisme</w:t>
      </w:r>
      <w:r>
        <w:rPr>
          <w:b/>
        </w:rPr>
        <w:t>, ainsi que sa législation,</w:t>
      </w:r>
      <w:r w:rsidRPr="00D72D26">
        <w:rPr>
          <w:b/>
        </w:rPr>
        <w:t xml:space="preserve"> soient conformes à l</w:t>
      </w:r>
      <w:r>
        <w:rPr>
          <w:b/>
        </w:rPr>
        <w:t>’</w:t>
      </w:r>
      <w:r w:rsidRPr="00D72D26">
        <w:rPr>
          <w:b/>
        </w:rPr>
        <w:t xml:space="preserve">interdiction énoncée dans la Convention, et </w:t>
      </w:r>
      <w:r>
        <w:rPr>
          <w:b/>
        </w:rPr>
        <w:t xml:space="preserve">veiller à ce </w:t>
      </w:r>
      <w:r w:rsidRPr="00D72D26">
        <w:rPr>
          <w:b/>
        </w:rPr>
        <w:t xml:space="preserve">que toutes les allégations de torture et de mauvais </w:t>
      </w:r>
      <w:r w:rsidRPr="009376E1">
        <w:rPr>
          <w:b/>
        </w:rPr>
        <w:t>traitements de personnes</w:t>
      </w:r>
      <w:r w:rsidRPr="00D72D26">
        <w:rPr>
          <w:b/>
        </w:rPr>
        <w:t xml:space="preserve"> accusées de partici</w:t>
      </w:r>
      <w:r>
        <w:rPr>
          <w:b/>
        </w:rPr>
        <w:t xml:space="preserve">pation à des actes terroristes ou de grand </w:t>
      </w:r>
      <w:r>
        <w:rPr>
          <w:b/>
        </w:rPr>
        <w:lastRenderedPageBreak/>
        <w:t>banditisme</w:t>
      </w:r>
      <w:r w:rsidRPr="00D72D26">
        <w:rPr>
          <w:b/>
        </w:rPr>
        <w:t xml:space="preserve"> fassent rapidement l</w:t>
      </w:r>
      <w:r>
        <w:rPr>
          <w:b/>
        </w:rPr>
        <w:t>’</w:t>
      </w:r>
      <w:r w:rsidRPr="00D72D26">
        <w:rPr>
          <w:b/>
        </w:rPr>
        <w:t>objet d</w:t>
      </w:r>
      <w:r>
        <w:rPr>
          <w:b/>
        </w:rPr>
        <w:t>’</w:t>
      </w:r>
      <w:r w:rsidRPr="00D72D26">
        <w:rPr>
          <w:b/>
        </w:rPr>
        <w:t>enquêtes impartiales et efficaces, et que leurs auteurs soient poursuivis et dûment sanctionnés.</w:t>
      </w:r>
      <w:r>
        <w:rPr>
          <w:b/>
        </w:rPr>
        <w:t xml:space="preserve"> </w:t>
      </w:r>
    </w:p>
    <w:p w:rsidR="006A2880" w:rsidRPr="00C16A95" w:rsidRDefault="006A2880" w:rsidP="006A2880">
      <w:pPr>
        <w:pStyle w:val="H23G"/>
        <w:rPr>
          <w:lang w:val="fr-FR"/>
        </w:rPr>
      </w:pPr>
      <w:r w:rsidRPr="00C16A95">
        <w:rPr>
          <w:lang w:val="fr-FR"/>
        </w:rPr>
        <w:tab/>
      </w:r>
      <w:r w:rsidRPr="00C16A95">
        <w:rPr>
          <w:lang w:val="fr-FR"/>
        </w:rPr>
        <w:tab/>
      </w:r>
      <w:r w:rsidRPr="007F77FD">
        <w:rPr>
          <w:lang w:val="fr-FR"/>
        </w:rPr>
        <w:t>Conditions de détenti</w:t>
      </w:r>
      <w:r w:rsidRPr="00C16A95">
        <w:rPr>
          <w:lang w:val="fr-FR"/>
        </w:rPr>
        <w:t xml:space="preserve">on </w:t>
      </w:r>
    </w:p>
    <w:p w:rsidR="006A2880" w:rsidRDefault="006A2880" w:rsidP="00C67F33">
      <w:pPr>
        <w:pStyle w:val="SingleTxtG"/>
        <w:rPr>
          <w:lang w:val="fr-FR"/>
        </w:rPr>
      </w:pPr>
      <w:r>
        <w:rPr>
          <w:lang w:val="fr-FR"/>
        </w:rPr>
        <w:t>21.</w:t>
      </w:r>
      <w:r>
        <w:rPr>
          <w:lang w:val="fr-FR"/>
        </w:rPr>
        <w:tab/>
        <w:t xml:space="preserve">Tout en accueillant favorablement l’adoption de la loi </w:t>
      </w:r>
      <w:r w:rsidR="00AE3208" w:rsidRPr="000169E7">
        <w:rPr>
          <w:rFonts w:eastAsia="MS Mincho"/>
          <w:lang w:val="fr-FR"/>
        </w:rPr>
        <w:t>n</w:t>
      </w:r>
      <w:r w:rsidR="00AE3208" w:rsidRPr="000169E7">
        <w:rPr>
          <w:rFonts w:eastAsia="MS Mincho"/>
          <w:vertAlign w:val="superscript"/>
          <w:lang w:val="fr-FR"/>
        </w:rPr>
        <w:t>o</w:t>
      </w:r>
      <w:r w:rsidR="00AE3208">
        <w:rPr>
          <w:lang w:val="fr-FR"/>
        </w:rPr>
        <w:t> </w:t>
      </w:r>
      <w:r>
        <w:rPr>
          <w:lang w:val="fr-FR"/>
        </w:rPr>
        <w:t>10-2017/AN portant régime pénitentiaire au Burkina Faso, qui intègre l’Ensemble de règles minima des Nations Unies pour le traitement des détenus (Règles Nelson Mandela), l</w:t>
      </w:r>
      <w:r w:rsidRPr="00C16A95">
        <w:rPr>
          <w:lang w:val="fr-FR"/>
        </w:rPr>
        <w:t xml:space="preserve">e Comité demeure vivement préoccupé par la persistance de conditions de détention assimilables à des mauvais traitements dans la majorité des </w:t>
      </w:r>
      <w:r>
        <w:rPr>
          <w:lang w:val="fr-FR"/>
        </w:rPr>
        <w:t>lieux de détention du pays. Il s’inquiète notamment des conditions d’hygiène déplorables, de l’insalubrité et du manque de nourr</w:t>
      </w:r>
      <w:r w:rsidRPr="00C16A95">
        <w:rPr>
          <w:lang w:val="fr-FR"/>
        </w:rPr>
        <w:t xml:space="preserve">iture </w:t>
      </w:r>
      <w:r>
        <w:rPr>
          <w:lang w:val="fr-FR"/>
        </w:rPr>
        <w:t>adéquate</w:t>
      </w:r>
      <w:r w:rsidRPr="00C16A95">
        <w:rPr>
          <w:lang w:val="fr-FR"/>
        </w:rPr>
        <w:t xml:space="preserve">, </w:t>
      </w:r>
      <w:r>
        <w:rPr>
          <w:lang w:val="fr-FR"/>
        </w:rPr>
        <w:t>ainsi que du manque de soins qui prévalent tant dans les maisons d’arrêt et de correction que dans les cellules de garde à vue des brigades de gendarmerie et des commissariats de police</w:t>
      </w:r>
      <w:r w:rsidRPr="00C16A95">
        <w:rPr>
          <w:lang w:val="fr-FR"/>
        </w:rPr>
        <w:t>. Le Comité déplore également l</w:t>
      </w:r>
      <w:r>
        <w:rPr>
          <w:lang w:val="fr-FR"/>
        </w:rPr>
        <w:t>’</w:t>
      </w:r>
      <w:r w:rsidRPr="00C16A95">
        <w:rPr>
          <w:lang w:val="fr-FR"/>
        </w:rPr>
        <w:t xml:space="preserve">absence de séparation effective entre catégories de détenus </w:t>
      </w:r>
      <w:r>
        <w:rPr>
          <w:lang w:val="fr-FR"/>
        </w:rPr>
        <w:t xml:space="preserve">et la surpopulation carcérale alarmante, proche de 400 %, qui prévaut dans les maisons d’arrêt et de correction de Ouagadougou et </w:t>
      </w:r>
      <w:r w:rsidRPr="003B741E">
        <w:rPr>
          <w:lang w:val="fr-FR"/>
        </w:rPr>
        <w:t>Bobo-Dioulasso</w:t>
      </w:r>
      <w:r>
        <w:rPr>
          <w:lang w:val="fr-FR"/>
        </w:rPr>
        <w:t xml:space="preserve">. </w:t>
      </w:r>
      <w:r>
        <w:rPr>
          <w:rFonts w:asciiTheme="majorBidi" w:hAnsiTheme="majorBidi" w:cstheme="majorBidi"/>
          <w:lang w:val="fr-FR"/>
        </w:rPr>
        <w:t>Il</w:t>
      </w:r>
      <w:r w:rsidRPr="00FC2827">
        <w:rPr>
          <w:rFonts w:asciiTheme="majorBidi" w:hAnsiTheme="majorBidi" w:cstheme="majorBidi"/>
          <w:lang w:val="fr-FR"/>
        </w:rPr>
        <w:t xml:space="preserve"> s</w:t>
      </w:r>
      <w:r>
        <w:rPr>
          <w:rFonts w:asciiTheme="majorBidi" w:hAnsiTheme="majorBidi" w:cstheme="majorBidi"/>
          <w:lang w:val="fr-FR"/>
        </w:rPr>
        <w:t>’</w:t>
      </w:r>
      <w:r w:rsidRPr="00FC2827">
        <w:rPr>
          <w:rFonts w:asciiTheme="majorBidi" w:hAnsiTheme="majorBidi" w:cstheme="majorBidi"/>
          <w:lang w:val="fr-FR"/>
        </w:rPr>
        <w:t>inquiète en outre des conditions de détention de</w:t>
      </w:r>
      <w:r>
        <w:rPr>
          <w:rFonts w:asciiTheme="majorBidi" w:hAnsiTheme="majorBidi" w:cstheme="majorBidi"/>
          <w:lang w:val="fr-FR"/>
        </w:rPr>
        <w:t>s</w:t>
      </w:r>
      <w:r w:rsidRPr="00FC2827">
        <w:rPr>
          <w:rFonts w:asciiTheme="majorBidi" w:hAnsiTheme="majorBidi" w:cstheme="majorBidi"/>
          <w:lang w:val="fr-FR"/>
        </w:rPr>
        <w:t xml:space="preserve"> femmes au sein de la </w:t>
      </w:r>
      <w:r>
        <w:rPr>
          <w:rFonts w:asciiTheme="majorBidi" w:hAnsiTheme="majorBidi" w:cstheme="majorBidi"/>
          <w:lang w:val="fr-FR"/>
        </w:rPr>
        <w:t>m</w:t>
      </w:r>
      <w:r w:rsidRPr="00FC2827">
        <w:rPr>
          <w:rFonts w:asciiTheme="majorBidi" w:hAnsiTheme="majorBidi" w:cstheme="majorBidi"/>
          <w:lang w:val="fr-FR"/>
        </w:rPr>
        <w:t>aison d</w:t>
      </w:r>
      <w:r>
        <w:rPr>
          <w:rFonts w:asciiTheme="majorBidi" w:hAnsiTheme="majorBidi" w:cstheme="majorBidi"/>
          <w:lang w:val="fr-FR"/>
        </w:rPr>
        <w:t>’</w:t>
      </w:r>
      <w:r w:rsidRPr="00FC2827">
        <w:rPr>
          <w:rFonts w:asciiTheme="majorBidi" w:hAnsiTheme="majorBidi" w:cstheme="majorBidi"/>
          <w:lang w:val="fr-FR"/>
        </w:rPr>
        <w:t>arrêt et de correction de Ouagadougou, accompagnées de nourrissons et de</w:t>
      </w:r>
      <w:r>
        <w:rPr>
          <w:rFonts w:asciiTheme="majorBidi" w:hAnsiTheme="majorBidi" w:cstheme="majorBidi"/>
          <w:lang w:val="fr-FR"/>
        </w:rPr>
        <w:t xml:space="preserve"> jeunes enfants. </w:t>
      </w:r>
      <w:r>
        <w:rPr>
          <w:lang w:val="fr-FR"/>
        </w:rPr>
        <w:t xml:space="preserve">Enfin, le </w:t>
      </w:r>
      <w:r w:rsidRPr="00477838">
        <w:rPr>
          <w:lang w:val="fr-FR"/>
        </w:rPr>
        <w:t>Comité est</w:t>
      </w:r>
      <w:r w:rsidRPr="00FE2F0D">
        <w:rPr>
          <w:lang w:val="fr-FR"/>
        </w:rPr>
        <w:t xml:space="preserve"> vivement préoccupé</w:t>
      </w:r>
      <w:r w:rsidRPr="00477838">
        <w:rPr>
          <w:lang w:val="fr-FR"/>
        </w:rPr>
        <w:t xml:space="preserve"> par le décès de 11</w:t>
      </w:r>
      <w:r w:rsidR="00AE3208">
        <w:rPr>
          <w:lang w:val="fr-FR"/>
        </w:rPr>
        <w:t> </w:t>
      </w:r>
      <w:r w:rsidRPr="00477838">
        <w:rPr>
          <w:lang w:val="fr-FR"/>
        </w:rPr>
        <w:t>détenus gardés à vue dans la nuit du 14 a</w:t>
      </w:r>
      <w:r w:rsidRPr="00C90976">
        <w:rPr>
          <w:lang w:val="fr-FR"/>
        </w:rPr>
        <w:t>u 15</w:t>
      </w:r>
      <w:r w:rsidR="00AE3208">
        <w:rPr>
          <w:lang w:val="fr-FR"/>
        </w:rPr>
        <w:t> </w:t>
      </w:r>
      <w:r w:rsidRPr="00C90976">
        <w:rPr>
          <w:lang w:val="fr-FR"/>
        </w:rPr>
        <w:t>juillet 2019 dans les locaux de l</w:t>
      </w:r>
      <w:r>
        <w:rPr>
          <w:lang w:val="fr-FR"/>
        </w:rPr>
        <w:t>’U</w:t>
      </w:r>
      <w:r w:rsidRPr="00C90976">
        <w:rPr>
          <w:lang w:val="fr-FR"/>
        </w:rPr>
        <w:t>nité antidrogue de Ouagadougou</w:t>
      </w:r>
      <w:r>
        <w:rPr>
          <w:lang w:val="fr-FR"/>
        </w:rPr>
        <w:t>, dans des circonstances qui restent à déterminer (art. 2, 11 et 16).</w:t>
      </w:r>
    </w:p>
    <w:p w:rsidR="006A2880" w:rsidRPr="00583365" w:rsidRDefault="006A2880" w:rsidP="00C67F33">
      <w:pPr>
        <w:pStyle w:val="SingleTxtG"/>
        <w:keepNext/>
        <w:rPr>
          <w:lang w:val="fr-FR"/>
        </w:rPr>
      </w:pPr>
      <w:r w:rsidRPr="002D558E">
        <w:rPr>
          <w:lang w:val="fr-FR"/>
        </w:rPr>
        <w:t>22.</w:t>
      </w:r>
      <w:r>
        <w:rPr>
          <w:b/>
          <w:bCs/>
          <w:lang w:val="fr-FR"/>
        </w:rPr>
        <w:tab/>
      </w:r>
      <w:r w:rsidRPr="00C90976">
        <w:rPr>
          <w:b/>
          <w:bCs/>
          <w:lang w:val="fr-FR"/>
        </w:rPr>
        <w:t>Le Comité e</w:t>
      </w:r>
      <w:r>
        <w:rPr>
          <w:b/>
          <w:bCs/>
          <w:lang w:val="fr-FR"/>
        </w:rPr>
        <w:t>xhorte</w:t>
      </w:r>
      <w:r w:rsidRPr="00C90976">
        <w:rPr>
          <w:b/>
          <w:bCs/>
          <w:lang w:val="fr-FR"/>
        </w:rPr>
        <w:t xml:space="preserve"> </w:t>
      </w:r>
      <w:r w:rsidRPr="009D11D1">
        <w:rPr>
          <w:b/>
          <w:bCs/>
          <w:lang w:val="fr-FR"/>
        </w:rPr>
        <w:t>l</w:t>
      </w:r>
      <w:r>
        <w:rPr>
          <w:b/>
          <w:bCs/>
          <w:lang w:val="fr-FR"/>
        </w:rPr>
        <w:t>’</w:t>
      </w:r>
      <w:r w:rsidRPr="002D558E">
        <w:rPr>
          <w:b/>
          <w:bCs/>
          <w:lang w:val="fr-FR"/>
        </w:rPr>
        <w:t>É</w:t>
      </w:r>
      <w:r w:rsidRPr="00C90976">
        <w:rPr>
          <w:b/>
          <w:bCs/>
          <w:lang w:val="fr-FR"/>
        </w:rPr>
        <w:t xml:space="preserve">tat partie à </w:t>
      </w:r>
      <w:r>
        <w:rPr>
          <w:b/>
          <w:bCs/>
          <w:lang w:val="fr-FR"/>
        </w:rPr>
        <w:t>finaliser rapidement</w:t>
      </w:r>
      <w:r w:rsidRPr="00C90976">
        <w:rPr>
          <w:b/>
          <w:bCs/>
          <w:lang w:val="fr-FR"/>
        </w:rPr>
        <w:t xml:space="preserve"> l</w:t>
      </w:r>
      <w:r>
        <w:rPr>
          <w:b/>
          <w:bCs/>
          <w:lang w:val="fr-FR"/>
        </w:rPr>
        <w:t>’</w:t>
      </w:r>
      <w:r w:rsidRPr="00C90976">
        <w:rPr>
          <w:b/>
          <w:bCs/>
          <w:lang w:val="fr-FR"/>
        </w:rPr>
        <w:t>enquête ouverte le 15</w:t>
      </w:r>
      <w:r>
        <w:rPr>
          <w:b/>
          <w:bCs/>
          <w:lang w:val="fr-FR"/>
        </w:rPr>
        <w:t> </w:t>
      </w:r>
      <w:r w:rsidRPr="00C90976">
        <w:rPr>
          <w:b/>
          <w:bCs/>
          <w:lang w:val="fr-FR"/>
        </w:rPr>
        <w:t xml:space="preserve">juillet 2019 par le </w:t>
      </w:r>
      <w:r w:rsidRPr="005A2DAA">
        <w:rPr>
          <w:b/>
          <w:bCs/>
          <w:lang w:val="fr-FR"/>
        </w:rPr>
        <w:t xml:space="preserve">Procureur du </w:t>
      </w:r>
      <w:r w:rsidR="00546326">
        <w:rPr>
          <w:b/>
          <w:bCs/>
          <w:lang w:val="fr-FR"/>
        </w:rPr>
        <w:t xml:space="preserve">Burkina </w:t>
      </w:r>
      <w:r w:rsidRPr="005A2DAA">
        <w:rPr>
          <w:b/>
          <w:bCs/>
          <w:lang w:val="fr-FR"/>
        </w:rPr>
        <w:t>Faso</w:t>
      </w:r>
      <w:r w:rsidRPr="00C90976">
        <w:rPr>
          <w:b/>
          <w:bCs/>
          <w:lang w:val="fr-FR"/>
        </w:rPr>
        <w:t xml:space="preserve"> près le Tribunal de grande instance de Ouagadougou, afin</w:t>
      </w:r>
      <w:r>
        <w:rPr>
          <w:b/>
          <w:bCs/>
          <w:lang w:val="fr-FR"/>
        </w:rPr>
        <w:t xml:space="preserve"> de déterminer</w:t>
      </w:r>
      <w:r w:rsidRPr="00C90976">
        <w:rPr>
          <w:b/>
          <w:bCs/>
          <w:lang w:val="fr-FR"/>
        </w:rPr>
        <w:t xml:space="preserve"> les responsabilités et de punir les personnes responsables du décès des 11</w:t>
      </w:r>
      <w:r w:rsidR="00AE3208">
        <w:rPr>
          <w:b/>
          <w:bCs/>
          <w:lang w:val="fr-FR"/>
        </w:rPr>
        <w:t> </w:t>
      </w:r>
      <w:r w:rsidRPr="00C90976">
        <w:rPr>
          <w:b/>
          <w:bCs/>
          <w:lang w:val="fr-FR"/>
        </w:rPr>
        <w:t>gardés à vue de l</w:t>
      </w:r>
      <w:r>
        <w:rPr>
          <w:b/>
          <w:bCs/>
          <w:lang w:val="fr-FR"/>
        </w:rPr>
        <w:t>’</w:t>
      </w:r>
      <w:r w:rsidRPr="00C90976">
        <w:rPr>
          <w:b/>
          <w:bCs/>
          <w:lang w:val="fr-FR"/>
        </w:rPr>
        <w:t>Unité ant</w:t>
      </w:r>
      <w:r>
        <w:rPr>
          <w:b/>
          <w:bCs/>
          <w:lang w:val="fr-FR"/>
        </w:rPr>
        <w:t>i</w:t>
      </w:r>
      <w:r w:rsidRPr="00C90976">
        <w:rPr>
          <w:b/>
          <w:bCs/>
          <w:lang w:val="fr-FR"/>
        </w:rPr>
        <w:t>drogue</w:t>
      </w:r>
      <w:r w:rsidRPr="00215A5F">
        <w:rPr>
          <w:lang w:val="fr-FR"/>
        </w:rPr>
        <w:t xml:space="preserve">. </w:t>
      </w:r>
      <w:r w:rsidRPr="00215A5F">
        <w:rPr>
          <w:b/>
          <w:lang w:val="fr-FR"/>
        </w:rPr>
        <w:t xml:space="preserve">Réitérant </w:t>
      </w:r>
      <w:r w:rsidRPr="00FE2F0D">
        <w:rPr>
          <w:b/>
          <w:lang w:val="fr-FR"/>
        </w:rPr>
        <w:t xml:space="preserve">la </w:t>
      </w:r>
      <w:r w:rsidRPr="00215A5F">
        <w:rPr>
          <w:b/>
          <w:lang w:val="fr-FR"/>
        </w:rPr>
        <w:t xml:space="preserve">recommandation </w:t>
      </w:r>
      <w:r w:rsidRPr="00FE2F0D">
        <w:rPr>
          <w:b/>
          <w:lang w:val="fr-FR"/>
        </w:rPr>
        <w:t>qu</w:t>
      </w:r>
      <w:r>
        <w:rPr>
          <w:b/>
          <w:lang w:val="fr-FR"/>
        </w:rPr>
        <w:t>’</w:t>
      </w:r>
      <w:r w:rsidRPr="00FE2F0D">
        <w:rPr>
          <w:b/>
          <w:lang w:val="fr-FR"/>
        </w:rPr>
        <w:t xml:space="preserve">il a formulée dans ses </w:t>
      </w:r>
      <w:r w:rsidRPr="00215A5F">
        <w:rPr>
          <w:b/>
          <w:lang w:val="fr-FR"/>
        </w:rPr>
        <w:t>précédente</w:t>
      </w:r>
      <w:r w:rsidRPr="00FE2F0D">
        <w:rPr>
          <w:b/>
          <w:lang w:val="fr-FR"/>
        </w:rPr>
        <w:t>s observations finales</w:t>
      </w:r>
      <w:r w:rsidRPr="00215A5F">
        <w:rPr>
          <w:b/>
          <w:lang w:val="fr-FR"/>
        </w:rPr>
        <w:t xml:space="preserve"> (par.</w:t>
      </w:r>
      <w:r w:rsidR="00AE3208">
        <w:rPr>
          <w:b/>
          <w:lang w:val="fr-FR"/>
        </w:rPr>
        <w:t> </w:t>
      </w:r>
      <w:r w:rsidRPr="00215A5F">
        <w:rPr>
          <w:b/>
          <w:lang w:val="fr-FR"/>
        </w:rPr>
        <w:t>19), le</w:t>
      </w:r>
      <w:r w:rsidRPr="001937DB">
        <w:rPr>
          <w:b/>
          <w:lang w:val="fr-FR"/>
        </w:rPr>
        <w:t xml:space="preserve"> Comité e</w:t>
      </w:r>
      <w:r>
        <w:rPr>
          <w:b/>
          <w:lang w:val="fr-FR"/>
        </w:rPr>
        <w:t>xhorte de plus l’</w:t>
      </w:r>
      <w:r w:rsidRPr="002D558E">
        <w:rPr>
          <w:b/>
          <w:bCs/>
          <w:lang w:val="fr-FR"/>
        </w:rPr>
        <w:t>État</w:t>
      </w:r>
      <w:r>
        <w:rPr>
          <w:b/>
          <w:lang w:val="fr-FR"/>
        </w:rPr>
        <w:t xml:space="preserve"> partie à prendre </w:t>
      </w:r>
      <w:r w:rsidRPr="001937DB">
        <w:rPr>
          <w:b/>
          <w:lang w:val="fr-FR"/>
        </w:rPr>
        <w:t>toutes les mesures qui s</w:t>
      </w:r>
      <w:r>
        <w:rPr>
          <w:b/>
          <w:lang w:val="fr-FR"/>
        </w:rPr>
        <w:t>’</w:t>
      </w:r>
      <w:r w:rsidRPr="001937DB">
        <w:rPr>
          <w:b/>
          <w:lang w:val="fr-FR"/>
        </w:rPr>
        <w:t xml:space="preserve">imposent afin de rendre les conditions de détention </w:t>
      </w:r>
      <w:r>
        <w:rPr>
          <w:b/>
          <w:lang w:val="fr-FR"/>
        </w:rPr>
        <w:t>de l’ensemble de ses lieux de privation de liberté</w:t>
      </w:r>
      <w:r w:rsidRPr="001937DB">
        <w:rPr>
          <w:b/>
          <w:lang w:val="fr-FR"/>
        </w:rPr>
        <w:t xml:space="preserve"> conformes</w:t>
      </w:r>
      <w:r>
        <w:rPr>
          <w:b/>
          <w:lang w:val="fr-FR"/>
        </w:rPr>
        <w:t xml:space="preserve"> en pratique</w:t>
      </w:r>
      <w:r w:rsidRPr="001937DB">
        <w:rPr>
          <w:b/>
          <w:lang w:val="fr-FR"/>
        </w:rPr>
        <w:t xml:space="preserve"> </w:t>
      </w:r>
      <w:r>
        <w:rPr>
          <w:b/>
          <w:lang w:val="fr-FR"/>
        </w:rPr>
        <w:t>aux R</w:t>
      </w:r>
      <w:r w:rsidRPr="001937DB">
        <w:rPr>
          <w:b/>
          <w:lang w:val="fr-FR"/>
        </w:rPr>
        <w:t xml:space="preserve">ègles </w:t>
      </w:r>
      <w:r>
        <w:rPr>
          <w:b/>
          <w:lang w:val="fr-FR"/>
        </w:rPr>
        <w:t>Nelson Mandela</w:t>
      </w:r>
      <w:r w:rsidRPr="001937DB">
        <w:rPr>
          <w:b/>
          <w:lang w:val="fr-FR"/>
        </w:rPr>
        <w:t xml:space="preserve"> </w:t>
      </w:r>
      <w:r>
        <w:rPr>
          <w:b/>
          <w:lang w:val="fr-FR"/>
        </w:rPr>
        <w:t xml:space="preserve">et </w:t>
      </w:r>
      <w:r w:rsidRPr="001937DB">
        <w:rPr>
          <w:b/>
          <w:lang w:val="fr-FR"/>
        </w:rPr>
        <w:t>notamment</w:t>
      </w:r>
      <w:r w:rsidR="00344626">
        <w:rPr>
          <w:b/>
          <w:lang w:val="fr-FR"/>
        </w:rPr>
        <w:t> :</w:t>
      </w:r>
    </w:p>
    <w:p w:rsidR="006A2880" w:rsidRPr="00C96D49" w:rsidRDefault="006A2880" w:rsidP="006A2880">
      <w:pPr>
        <w:pStyle w:val="SingleTxtG"/>
        <w:ind w:firstLine="567"/>
        <w:rPr>
          <w:b/>
          <w:bCs/>
          <w:lang w:val="fr-FR"/>
        </w:rPr>
      </w:pPr>
      <w:r w:rsidRPr="00016B01">
        <w:rPr>
          <w:b/>
          <w:lang w:val="fr-FR"/>
        </w:rPr>
        <w:t>a)</w:t>
      </w:r>
      <w:r w:rsidRPr="00016B01">
        <w:rPr>
          <w:lang w:val="fr-FR"/>
        </w:rPr>
        <w:tab/>
      </w:r>
      <w:r w:rsidRPr="002D558E">
        <w:rPr>
          <w:b/>
          <w:bCs/>
          <w:lang w:val="fr-FR"/>
        </w:rPr>
        <w:t>À a</w:t>
      </w:r>
      <w:r w:rsidRPr="00A62930">
        <w:rPr>
          <w:b/>
          <w:bCs/>
          <w:lang w:val="fr-FR"/>
        </w:rPr>
        <w:t>llouer</w:t>
      </w:r>
      <w:r w:rsidRPr="00016B01">
        <w:rPr>
          <w:b/>
          <w:bCs/>
          <w:lang w:val="fr-FR"/>
        </w:rPr>
        <w:t xml:space="preserve"> à la politique de réforme pénitentiaire un budget </w:t>
      </w:r>
      <w:r>
        <w:rPr>
          <w:b/>
          <w:bCs/>
          <w:lang w:val="fr-FR"/>
        </w:rPr>
        <w:t>adéquat et à a</w:t>
      </w:r>
      <w:r>
        <w:rPr>
          <w:b/>
          <w:lang w:val="fr-FR"/>
        </w:rPr>
        <w:t>méliorer</w:t>
      </w:r>
      <w:r w:rsidRPr="001937DB">
        <w:rPr>
          <w:b/>
          <w:lang w:val="fr-FR"/>
        </w:rPr>
        <w:t xml:space="preserve"> les </w:t>
      </w:r>
      <w:r w:rsidRPr="003C7A2C">
        <w:rPr>
          <w:b/>
          <w:bCs/>
        </w:rPr>
        <w:t>conditions</w:t>
      </w:r>
      <w:r>
        <w:rPr>
          <w:b/>
          <w:lang w:val="fr-FR"/>
        </w:rPr>
        <w:t xml:space="preserve"> matérielles de détention</w:t>
      </w:r>
      <w:r w:rsidRPr="001937DB">
        <w:rPr>
          <w:b/>
          <w:lang w:val="fr-FR"/>
        </w:rPr>
        <w:t xml:space="preserve">, en veillant à ce que les </w:t>
      </w:r>
      <w:r>
        <w:rPr>
          <w:b/>
          <w:lang w:val="fr-FR"/>
        </w:rPr>
        <w:t>détenus</w:t>
      </w:r>
      <w:r w:rsidRPr="001937DB">
        <w:rPr>
          <w:b/>
          <w:lang w:val="fr-FR"/>
        </w:rPr>
        <w:t xml:space="preserve"> aient accès à une alimentation adéquate et suffisante, </w:t>
      </w:r>
      <w:r>
        <w:rPr>
          <w:b/>
          <w:lang w:val="fr-FR"/>
        </w:rPr>
        <w:t>à des soins de santé adéquats, ainsi qu’</w:t>
      </w:r>
      <w:r w:rsidRPr="001937DB">
        <w:rPr>
          <w:b/>
          <w:lang w:val="fr-FR"/>
        </w:rPr>
        <w:t>à des</w:t>
      </w:r>
      <w:r>
        <w:rPr>
          <w:b/>
          <w:lang w:val="fr-FR"/>
        </w:rPr>
        <w:t xml:space="preserve"> conditions sanitaires décentes</w:t>
      </w:r>
      <w:r w:rsidR="00344626">
        <w:rPr>
          <w:b/>
          <w:lang w:val="fr-FR"/>
        </w:rPr>
        <w:t> ;</w:t>
      </w:r>
    </w:p>
    <w:p w:rsidR="006A2880" w:rsidRPr="00971265" w:rsidRDefault="006A2880" w:rsidP="006A2880">
      <w:pPr>
        <w:pStyle w:val="SingleTxtG"/>
        <w:ind w:firstLine="567"/>
        <w:rPr>
          <w:b/>
          <w:lang w:val="fr-FR"/>
        </w:rPr>
      </w:pPr>
      <w:r>
        <w:rPr>
          <w:b/>
          <w:lang w:val="fr-FR"/>
        </w:rPr>
        <w:t xml:space="preserve">b) </w:t>
      </w:r>
      <w:r>
        <w:rPr>
          <w:b/>
          <w:lang w:val="fr-FR"/>
        </w:rPr>
        <w:tab/>
        <w:t xml:space="preserve">À fermer la </w:t>
      </w:r>
      <w:r w:rsidRPr="00903129">
        <w:rPr>
          <w:b/>
          <w:bCs/>
        </w:rPr>
        <w:t>maison</w:t>
      </w:r>
      <w:r>
        <w:rPr>
          <w:b/>
          <w:lang w:val="fr-FR"/>
        </w:rPr>
        <w:t xml:space="preserve"> d’arrêt de Bobo-Dioulasso, construite en 1947, dont la réhabilitation ne peut être envisagée, malgré les travaux engagés</w:t>
      </w:r>
      <w:r w:rsidR="00344626">
        <w:rPr>
          <w:b/>
          <w:lang w:val="fr-FR"/>
        </w:rPr>
        <w:t> ;</w:t>
      </w:r>
    </w:p>
    <w:p w:rsidR="006A2880" w:rsidRPr="00FC0A43" w:rsidRDefault="006A2880" w:rsidP="006A2880">
      <w:pPr>
        <w:pStyle w:val="SingleTxtG"/>
        <w:ind w:firstLine="567"/>
        <w:rPr>
          <w:b/>
          <w:lang w:val="fr-FR"/>
        </w:rPr>
      </w:pPr>
      <w:r>
        <w:rPr>
          <w:b/>
          <w:bCs/>
          <w:lang w:val="fr-FR"/>
        </w:rPr>
        <w:t>c)</w:t>
      </w:r>
      <w:r>
        <w:rPr>
          <w:b/>
          <w:bCs/>
          <w:lang w:val="fr-FR"/>
        </w:rPr>
        <w:tab/>
        <w:t>À r</w:t>
      </w:r>
      <w:r w:rsidRPr="003C7A2C">
        <w:rPr>
          <w:b/>
          <w:lang w:val="fr-FR"/>
        </w:rPr>
        <w:t>edoubler</w:t>
      </w:r>
      <w:r w:rsidRPr="00016B01">
        <w:rPr>
          <w:b/>
          <w:bCs/>
          <w:lang w:val="fr-FR"/>
        </w:rPr>
        <w:t xml:space="preserve"> d</w:t>
      </w:r>
      <w:r>
        <w:rPr>
          <w:b/>
          <w:bCs/>
          <w:lang w:val="fr-FR"/>
        </w:rPr>
        <w:t>’</w:t>
      </w:r>
      <w:r w:rsidRPr="00016B01">
        <w:rPr>
          <w:b/>
          <w:bCs/>
          <w:lang w:val="fr-FR"/>
        </w:rPr>
        <w:t xml:space="preserve">efforts pour réduire la surpopulation carcérale, principalement </w:t>
      </w:r>
      <w:r w:rsidRPr="00903129">
        <w:rPr>
          <w:b/>
          <w:bCs/>
        </w:rPr>
        <w:t>par</w:t>
      </w:r>
      <w:r w:rsidRPr="00016B01">
        <w:rPr>
          <w:b/>
          <w:bCs/>
          <w:lang w:val="fr-FR"/>
        </w:rPr>
        <w:t xml:space="preserve"> l</w:t>
      </w:r>
      <w:r>
        <w:rPr>
          <w:b/>
          <w:bCs/>
          <w:lang w:val="fr-FR"/>
        </w:rPr>
        <w:t>’</w:t>
      </w:r>
      <w:r w:rsidRPr="00016B01">
        <w:rPr>
          <w:b/>
          <w:bCs/>
          <w:lang w:val="fr-FR"/>
        </w:rPr>
        <w:t>application effective des mesures de substitution à la détention existantes, telles que la remise de peine</w:t>
      </w:r>
      <w:r>
        <w:rPr>
          <w:b/>
          <w:bCs/>
          <w:lang w:val="fr-FR"/>
        </w:rPr>
        <w:t>, le contrôle judiciaire et le travail d’intérêt général</w:t>
      </w:r>
      <w:r w:rsidR="00344626">
        <w:rPr>
          <w:b/>
          <w:bCs/>
          <w:lang w:val="fr-FR"/>
        </w:rPr>
        <w:t> ;</w:t>
      </w:r>
    </w:p>
    <w:p w:rsidR="006A2880" w:rsidRDefault="006A2880" w:rsidP="006A2880">
      <w:pPr>
        <w:pStyle w:val="SingleTxtG"/>
        <w:ind w:firstLine="567"/>
        <w:rPr>
          <w:b/>
          <w:lang w:val="fr-FR"/>
        </w:rPr>
      </w:pPr>
      <w:r>
        <w:rPr>
          <w:b/>
          <w:lang w:val="fr-FR"/>
        </w:rPr>
        <w:t>d</w:t>
      </w:r>
      <w:r w:rsidRPr="00016B01">
        <w:rPr>
          <w:b/>
          <w:lang w:val="fr-FR"/>
        </w:rPr>
        <w:t>)</w:t>
      </w:r>
      <w:r w:rsidRPr="00016B01">
        <w:rPr>
          <w:b/>
          <w:lang w:val="fr-FR"/>
        </w:rPr>
        <w:tab/>
      </w:r>
      <w:r>
        <w:rPr>
          <w:b/>
          <w:lang w:val="fr-FR"/>
        </w:rPr>
        <w:t>À g</w:t>
      </w:r>
      <w:r w:rsidRPr="00903129">
        <w:rPr>
          <w:b/>
          <w:bCs/>
          <w:lang w:val="fr-FR"/>
        </w:rPr>
        <w:t>arantir</w:t>
      </w:r>
      <w:r w:rsidRPr="00016B01">
        <w:rPr>
          <w:b/>
          <w:lang w:val="fr-FR"/>
        </w:rPr>
        <w:t xml:space="preserve"> la </w:t>
      </w:r>
      <w:r w:rsidRPr="003C7A2C">
        <w:rPr>
          <w:b/>
          <w:bCs/>
          <w:lang w:val="fr-FR"/>
        </w:rPr>
        <w:t>séparation</w:t>
      </w:r>
      <w:r w:rsidRPr="00016B01">
        <w:rPr>
          <w:b/>
          <w:lang w:val="fr-FR"/>
        </w:rPr>
        <w:t xml:space="preserve"> des </w:t>
      </w:r>
      <w:r>
        <w:rPr>
          <w:b/>
          <w:lang w:val="fr-FR"/>
        </w:rPr>
        <w:t>détenus provisoires</w:t>
      </w:r>
      <w:r w:rsidRPr="00016B01">
        <w:rPr>
          <w:b/>
          <w:lang w:val="fr-FR"/>
        </w:rPr>
        <w:t xml:space="preserve"> et des condamnés et </w:t>
      </w:r>
      <w:r>
        <w:rPr>
          <w:b/>
          <w:lang w:val="fr-FR"/>
        </w:rPr>
        <w:t xml:space="preserve">à </w:t>
      </w:r>
      <w:r w:rsidRPr="00016B01">
        <w:rPr>
          <w:b/>
          <w:lang w:val="fr-FR"/>
        </w:rPr>
        <w:t>veiller à ce que les uns et les autres reçoivent un traitement conforme à leur statut juridique</w:t>
      </w:r>
      <w:r w:rsidR="00344626">
        <w:rPr>
          <w:b/>
          <w:lang w:val="fr-FR"/>
        </w:rPr>
        <w:t> ;</w:t>
      </w:r>
    </w:p>
    <w:p w:rsidR="006A2880" w:rsidRDefault="006A2880" w:rsidP="006A2880">
      <w:pPr>
        <w:pStyle w:val="SingleTxtG"/>
        <w:ind w:firstLine="567"/>
        <w:rPr>
          <w:b/>
          <w:bCs/>
        </w:rPr>
      </w:pPr>
      <w:r>
        <w:rPr>
          <w:b/>
          <w:lang w:val="fr-FR"/>
        </w:rPr>
        <w:t>e)</w:t>
      </w:r>
      <w:r w:rsidRPr="00016B01">
        <w:rPr>
          <w:lang w:val="fr-FR"/>
        </w:rPr>
        <w:tab/>
      </w:r>
      <w:r w:rsidRPr="002D558E">
        <w:rPr>
          <w:b/>
          <w:bCs/>
          <w:lang w:val="fr-FR"/>
        </w:rPr>
        <w:t>À r</w:t>
      </w:r>
      <w:r w:rsidRPr="007A527F">
        <w:rPr>
          <w:b/>
          <w:bCs/>
          <w:lang w:val="fr-FR"/>
        </w:rPr>
        <w:t>enforcer</w:t>
      </w:r>
      <w:r w:rsidRPr="00BC5598">
        <w:rPr>
          <w:b/>
          <w:bCs/>
        </w:rPr>
        <w:t xml:space="preserve"> le </w:t>
      </w:r>
      <w:r w:rsidRPr="00903129">
        <w:rPr>
          <w:b/>
          <w:lang w:val="fr-FR"/>
        </w:rPr>
        <w:t>contrôle</w:t>
      </w:r>
      <w:r w:rsidRPr="00BC5598">
        <w:rPr>
          <w:b/>
          <w:bCs/>
        </w:rPr>
        <w:t xml:space="preserve"> judiciaire des conditions de détention</w:t>
      </w:r>
      <w:r w:rsidR="00344626">
        <w:rPr>
          <w:b/>
          <w:bCs/>
        </w:rPr>
        <w:t> ;</w:t>
      </w:r>
    </w:p>
    <w:p w:rsidR="006A2880" w:rsidRDefault="006A2880" w:rsidP="006A2880">
      <w:pPr>
        <w:pStyle w:val="SingleTxtG"/>
        <w:ind w:firstLine="567"/>
        <w:rPr>
          <w:b/>
        </w:rPr>
      </w:pPr>
      <w:r>
        <w:rPr>
          <w:b/>
        </w:rPr>
        <w:t xml:space="preserve">f) </w:t>
      </w:r>
      <w:r>
        <w:rPr>
          <w:b/>
        </w:rPr>
        <w:tab/>
        <w:t xml:space="preserve">À adopter des mesures efficaces de prévention des décès en détention, ainsi que </w:t>
      </w:r>
      <w:r>
        <w:rPr>
          <w:b/>
          <w:bCs/>
        </w:rPr>
        <w:t>des mesures visant la protection maternelle et infantile en détention</w:t>
      </w:r>
      <w:r w:rsidR="00344626">
        <w:rPr>
          <w:b/>
          <w:bCs/>
        </w:rPr>
        <w:t> ;</w:t>
      </w:r>
      <w:r w:rsidR="00546326">
        <w:rPr>
          <w:b/>
          <w:bCs/>
        </w:rPr>
        <w:t xml:space="preserve"> </w:t>
      </w:r>
      <w:r w:rsidRPr="00BC5598">
        <w:rPr>
          <w:b/>
          <w:bCs/>
        </w:rPr>
        <w:t>et</w:t>
      </w:r>
    </w:p>
    <w:p w:rsidR="006A2880" w:rsidRPr="00E83E71" w:rsidRDefault="006A2880" w:rsidP="006A2880">
      <w:pPr>
        <w:pStyle w:val="SingleTxtG"/>
        <w:ind w:firstLine="567"/>
        <w:rPr>
          <w:b/>
          <w:bCs/>
        </w:rPr>
      </w:pPr>
      <w:r>
        <w:rPr>
          <w:b/>
        </w:rPr>
        <w:t>g)</w:t>
      </w:r>
      <w:r>
        <w:rPr>
          <w:b/>
        </w:rPr>
        <w:tab/>
        <w:t xml:space="preserve">À garantir </w:t>
      </w:r>
      <w:r w:rsidRPr="00BC5598">
        <w:rPr>
          <w:b/>
          <w:bCs/>
        </w:rPr>
        <w:t xml:space="preserve">à la </w:t>
      </w:r>
      <w:r w:rsidRPr="002D558E">
        <w:rPr>
          <w:b/>
          <w:bCs/>
        </w:rPr>
        <w:t>Commission nationale des droits humains</w:t>
      </w:r>
      <w:r>
        <w:t xml:space="preserve">, </w:t>
      </w:r>
      <w:r w:rsidRPr="00BC5598">
        <w:rPr>
          <w:b/>
          <w:bCs/>
        </w:rPr>
        <w:t>aux organisatio</w:t>
      </w:r>
      <w:r>
        <w:rPr>
          <w:b/>
          <w:bCs/>
        </w:rPr>
        <w:t xml:space="preserve">ns non gouvernementales et </w:t>
      </w:r>
      <w:r w:rsidRPr="00BC5598">
        <w:rPr>
          <w:b/>
          <w:bCs/>
        </w:rPr>
        <w:t xml:space="preserve">au futur mécanisme </w:t>
      </w:r>
      <w:r w:rsidRPr="00903129">
        <w:rPr>
          <w:b/>
          <w:bCs/>
          <w:lang w:val="fr-FR"/>
        </w:rPr>
        <w:t>national</w:t>
      </w:r>
      <w:r>
        <w:rPr>
          <w:b/>
          <w:bCs/>
        </w:rPr>
        <w:t xml:space="preserve"> </w:t>
      </w:r>
      <w:r w:rsidRPr="00BC5598">
        <w:rPr>
          <w:b/>
          <w:bCs/>
        </w:rPr>
        <w:t>de prévention de la torture, le libre accès à tous les lieux de</w:t>
      </w:r>
      <w:r>
        <w:rPr>
          <w:b/>
          <w:bCs/>
        </w:rPr>
        <w:t xml:space="preserve"> </w:t>
      </w:r>
      <w:r w:rsidRPr="00BC5598">
        <w:rPr>
          <w:b/>
          <w:bCs/>
        </w:rPr>
        <w:t xml:space="preserve">détention, </w:t>
      </w:r>
      <w:r>
        <w:rPr>
          <w:b/>
          <w:bCs/>
        </w:rPr>
        <w:t xml:space="preserve">y compris par </w:t>
      </w:r>
      <w:r w:rsidRPr="00BC5598">
        <w:rPr>
          <w:b/>
          <w:bCs/>
        </w:rPr>
        <w:t>de</w:t>
      </w:r>
      <w:r>
        <w:rPr>
          <w:b/>
          <w:bCs/>
        </w:rPr>
        <w:t>s</w:t>
      </w:r>
      <w:r w:rsidRPr="00BC5598">
        <w:rPr>
          <w:b/>
          <w:bCs/>
        </w:rPr>
        <w:t xml:space="preserve"> visites inopinées et d</w:t>
      </w:r>
      <w:r>
        <w:rPr>
          <w:b/>
          <w:bCs/>
        </w:rPr>
        <w:t xml:space="preserve">es </w:t>
      </w:r>
      <w:r w:rsidRPr="00BC5598">
        <w:rPr>
          <w:b/>
          <w:bCs/>
        </w:rPr>
        <w:t>entretiens privés avec les</w:t>
      </w:r>
      <w:r>
        <w:rPr>
          <w:b/>
          <w:bCs/>
        </w:rPr>
        <w:t xml:space="preserve"> </w:t>
      </w:r>
      <w:r w:rsidRPr="00BC5598">
        <w:rPr>
          <w:b/>
          <w:bCs/>
        </w:rPr>
        <w:t>détenus.</w:t>
      </w:r>
    </w:p>
    <w:p w:rsidR="006A2880" w:rsidRDefault="006A2880" w:rsidP="006A2880">
      <w:pPr>
        <w:pStyle w:val="H23G"/>
        <w:rPr>
          <w:lang w:val="fr-FR"/>
        </w:rPr>
      </w:pPr>
      <w:r>
        <w:rPr>
          <w:lang w:val="fr-FR"/>
        </w:rPr>
        <w:tab/>
      </w:r>
      <w:r>
        <w:rPr>
          <w:lang w:val="fr-FR"/>
        </w:rPr>
        <w:tab/>
      </w:r>
      <w:r w:rsidRPr="007F77FD">
        <w:rPr>
          <w:lang w:val="fr-FR"/>
        </w:rPr>
        <w:t xml:space="preserve">Commission nationale des droits </w:t>
      </w:r>
      <w:r>
        <w:rPr>
          <w:lang w:val="fr-FR"/>
        </w:rPr>
        <w:t>humains</w:t>
      </w:r>
    </w:p>
    <w:p w:rsidR="006A2880" w:rsidRPr="00436E67" w:rsidRDefault="006A2880" w:rsidP="006A2880">
      <w:pPr>
        <w:pStyle w:val="SingleTxtG"/>
        <w:rPr>
          <w:b/>
          <w:bCs/>
        </w:rPr>
      </w:pPr>
      <w:r>
        <w:t>23.</w:t>
      </w:r>
      <w:r>
        <w:tab/>
      </w:r>
      <w:r w:rsidRPr="00C16A95">
        <w:t xml:space="preserve">Tout en accueillant avec satisfaction </w:t>
      </w:r>
      <w:r>
        <w:t>les efforts consentis pour établir la</w:t>
      </w:r>
      <w:r w:rsidRPr="00C16A95">
        <w:t xml:space="preserve"> </w:t>
      </w:r>
      <w:r>
        <w:t xml:space="preserve">Commission nationale des droits </w:t>
      </w:r>
      <w:r w:rsidRPr="00540C9B">
        <w:t>humain</w:t>
      </w:r>
      <w:r>
        <w:t>s</w:t>
      </w:r>
      <w:r w:rsidRPr="00C16A95">
        <w:t xml:space="preserve">, </w:t>
      </w:r>
      <w:r>
        <w:t xml:space="preserve">notamment la désignation de ses membres, la conduite de quelques visites de lieux de privation de liberté et l’accroissement de son autonomie financière, le Comité regrette que cette institution ne soit pas pleinement opérationnelle et </w:t>
      </w:r>
      <w:r>
        <w:lastRenderedPageBreak/>
        <w:t>qu’elle n’ait toujours pas obtenu d’accréditation auprès de l’Alliance mondiale des institutions nationales des droits de l’homme, malgré la recommandation du Comité à cet effet</w:t>
      </w:r>
      <w:r w:rsidRPr="00436E67">
        <w:t>.</w:t>
      </w:r>
      <w:r>
        <w:t xml:space="preserve"> Relevant enfin l’information selon laquelle la Commission nationale des droits humains n’aurait reçu aucune allégation de torture ou de mauvais traitement depuis les précédentes observations finales du Comité, ce dernier s’interroge sur l’effectivité et la publicité du mécanisme de plainte de la Commission, ainsi que sur la protection des victimes et de leurs proches contre des représailles (art.</w:t>
      </w:r>
      <w:r w:rsidR="00E5476C">
        <w:t> </w:t>
      </w:r>
      <w:r>
        <w:t>2).</w:t>
      </w:r>
    </w:p>
    <w:p w:rsidR="006A2880" w:rsidRDefault="006A2880" w:rsidP="00C67F33">
      <w:pPr>
        <w:pStyle w:val="SingleTxtG"/>
        <w:keepNext/>
        <w:rPr>
          <w:b/>
          <w:lang w:val="fr-FR"/>
        </w:rPr>
      </w:pPr>
      <w:r w:rsidRPr="002D558E">
        <w:rPr>
          <w:bCs/>
          <w:lang w:val="fr-FR"/>
        </w:rPr>
        <w:t>24.</w:t>
      </w:r>
      <w:r>
        <w:rPr>
          <w:b/>
          <w:lang w:val="fr-FR"/>
        </w:rPr>
        <w:tab/>
      </w:r>
      <w:r w:rsidRPr="001937DB">
        <w:rPr>
          <w:b/>
          <w:lang w:val="fr-FR"/>
        </w:rPr>
        <w:t>Le Comité recommande à l</w:t>
      </w:r>
      <w:r>
        <w:rPr>
          <w:b/>
          <w:lang w:val="fr-FR"/>
        </w:rPr>
        <w:t>’</w:t>
      </w:r>
      <w:r w:rsidRPr="001937DB">
        <w:rPr>
          <w:b/>
          <w:lang w:val="fr-FR"/>
        </w:rPr>
        <w:t>État partie de</w:t>
      </w:r>
      <w:r w:rsidR="00344626">
        <w:rPr>
          <w:b/>
          <w:lang w:val="fr-FR"/>
        </w:rPr>
        <w:t> :</w:t>
      </w:r>
      <w:r>
        <w:rPr>
          <w:b/>
          <w:lang w:val="fr-FR"/>
        </w:rPr>
        <w:t> </w:t>
      </w:r>
    </w:p>
    <w:p w:rsidR="006A2880" w:rsidRDefault="006A2880" w:rsidP="006A2880">
      <w:pPr>
        <w:pStyle w:val="SingleTxtG"/>
        <w:ind w:firstLine="567"/>
        <w:rPr>
          <w:b/>
          <w:lang w:val="fr-FR"/>
        </w:rPr>
      </w:pPr>
      <w:r w:rsidRPr="00903129">
        <w:rPr>
          <w:b/>
          <w:lang w:val="fr-FR"/>
        </w:rPr>
        <w:t>a)</w:t>
      </w:r>
      <w:r>
        <w:rPr>
          <w:lang w:val="fr-FR"/>
        </w:rPr>
        <w:tab/>
      </w:r>
      <w:r>
        <w:rPr>
          <w:b/>
          <w:lang w:val="fr-FR"/>
        </w:rPr>
        <w:t>Poursuivre ses efforts en vue de g</w:t>
      </w:r>
      <w:r w:rsidRPr="001937DB">
        <w:rPr>
          <w:b/>
          <w:lang w:val="fr-FR"/>
        </w:rPr>
        <w:t xml:space="preserve">arantir la pleine indépendance des membres de la </w:t>
      </w:r>
      <w:r w:rsidRPr="002D558E">
        <w:rPr>
          <w:b/>
          <w:bCs/>
        </w:rPr>
        <w:t>Commission nationale des droits humains</w:t>
      </w:r>
      <w:r w:rsidRPr="001937DB">
        <w:rPr>
          <w:b/>
          <w:lang w:val="fr-FR"/>
        </w:rPr>
        <w:t xml:space="preserve">, </w:t>
      </w:r>
      <w:r w:rsidRPr="001937DB">
        <w:rPr>
          <w:b/>
        </w:rPr>
        <w:t>d</w:t>
      </w:r>
      <w:r>
        <w:rPr>
          <w:b/>
        </w:rPr>
        <w:t>’</w:t>
      </w:r>
      <w:r w:rsidRPr="001937DB">
        <w:rPr>
          <w:b/>
        </w:rPr>
        <w:t>un point de vue personnel et institutionnel</w:t>
      </w:r>
      <w:r>
        <w:rPr>
          <w:b/>
          <w:lang w:val="fr-FR"/>
        </w:rPr>
        <w:t>, en dotant</w:t>
      </w:r>
      <w:r w:rsidRPr="001937DB">
        <w:rPr>
          <w:b/>
          <w:lang w:val="fr-FR"/>
        </w:rPr>
        <w:t xml:space="preserve"> </w:t>
      </w:r>
      <w:r>
        <w:rPr>
          <w:b/>
          <w:lang w:val="fr-FR"/>
        </w:rPr>
        <w:t xml:space="preserve">cet organisme </w:t>
      </w:r>
      <w:r w:rsidRPr="001937DB">
        <w:rPr>
          <w:b/>
          <w:lang w:val="fr-FR"/>
        </w:rPr>
        <w:t>des ressources humaines et matérielles suffisantes et prévisibles lui permettant de remplir pleinement ses fonctions d</w:t>
      </w:r>
      <w:r>
        <w:rPr>
          <w:b/>
          <w:lang w:val="fr-FR"/>
        </w:rPr>
        <w:t>’</w:t>
      </w:r>
      <w:r w:rsidRPr="001937DB">
        <w:rPr>
          <w:b/>
          <w:lang w:val="fr-FR"/>
        </w:rPr>
        <w:t xml:space="preserve">institution nationale et de </w:t>
      </w:r>
      <w:r>
        <w:rPr>
          <w:b/>
          <w:lang w:val="fr-FR"/>
        </w:rPr>
        <w:t>mécanisme national de prévention de la torture</w:t>
      </w:r>
      <w:r w:rsidRPr="001937DB">
        <w:rPr>
          <w:b/>
          <w:lang w:val="fr-FR"/>
        </w:rPr>
        <w:t xml:space="preserve"> de manière indép</w:t>
      </w:r>
      <w:r>
        <w:rPr>
          <w:b/>
          <w:lang w:val="fr-FR"/>
        </w:rPr>
        <w:t>endante, impartiale et efficace</w:t>
      </w:r>
      <w:r w:rsidR="00344626">
        <w:rPr>
          <w:b/>
          <w:lang w:val="fr-FR"/>
        </w:rPr>
        <w:t> ;</w:t>
      </w:r>
    </w:p>
    <w:p w:rsidR="006A2880" w:rsidRDefault="006A2880" w:rsidP="006A2880">
      <w:pPr>
        <w:pStyle w:val="SingleTxtG"/>
        <w:ind w:firstLine="567"/>
        <w:rPr>
          <w:b/>
          <w:bCs/>
        </w:rPr>
      </w:pPr>
      <w:r>
        <w:rPr>
          <w:b/>
          <w:bCs/>
        </w:rPr>
        <w:t xml:space="preserve">b) </w:t>
      </w:r>
      <w:r>
        <w:rPr>
          <w:b/>
          <w:bCs/>
        </w:rPr>
        <w:tab/>
        <w:t>D</w:t>
      </w:r>
      <w:r w:rsidRPr="00EE45FB">
        <w:rPr>
          <w:b/>
          <w:bCs/>
        </w:rPr>
        <w:t>emander l</w:t>
      </w:r>
      <w:r>
        <w:rPr>
          <w:b/>
          <w:bCs/>
        </w:rPr>
        <w:t>’</w:t>
      </w:r>
      <w:r w:rsidRPr="00EE45FB">
        <w:rPr>
          <w:b/>
          <w:bCs/>
        </w:rPr>
        <w:t xml:space="preserve">accréditation de la </w:t>
      </w:r>
      <w:r w:rsidRPr="002D558E">
        <w:rPr>
          <w:b/>
          <w:bCs/>
        </w:rPr>
        <w:t>Commission nationale des droits humains</w:t>
      </w:r>
      <w:r>
        <w:rPr>
          <w:b/>
          <w:bCs/>
        </w:rPr>
        <w:t xml:space="preserve"> </w:t>
      </w:r>
      <w:r w:rsidRPr="00EE45FB">
        <w:rPr>
          <w:b/>
          <w:bCs/>
        </w:rPr>
        <w:t xml:space="preserve">auprès </w:t>
      </w:r>
      <w:r>
        <w:rPr>
          <w:b/>
          <w:bCs/>
        </w:rPr>
        <w:t>de</w:t>
      </w:r>
      <w:r w:rsidRPr="00EE45FB">
        <w:rPr>
          <w:b/>
          <w:bCs/>
        </w:rPr>
        <w:t xml:space="preserve"> </w:t>
      </w:r>
      <w:r w:rsidRPr="000A3A47">
        <w:rPr>
          <w:b/>
          <w:bCs/>
        </w:rPr>
        <w:t>l</w:t>
      </w:r>
      <w:r>
        <w:rPr>
          <w:b/>
          <w:bCs/>
        </w:rPr>
        <w:t>’Alliance mondiale des institutions nationales des droits de l’homme</w:t>
      </w:r>
      <w:r w:rsidR="00E5476C">
        <w:rPr>
          <w:b/>
          <w:bCs/>
        </w:rPr>
        <w:t> ;</w:t>
      </w:r>
    </w:p>
    <w:p w:rsidR="006A2880" w:rsidRDefault="006A2880" w:rsidP="006A2880">
      <w:pPr>
        <w:pStyle w:val="SingleTxtG"/>
        <w:ind w:firstLine="567"/>
        <w:rPr>
          <w:b/>
          <w:lang w:val="fr-FR"/>
        </w:rPr>
      </w:pPr>
      <w:r>
        <w:rPr>
          <w:b/>
        </w:rPr>
        <w:t>c</w:t>
      </w:r>
      <w:r w:rsidRPr="00903129">
        <w:rPr>
          <w:b/>
          <w:lang w:val="fr-FR"/>
        </w:rPr>
        <w:t>)</w:t>
      </w:r>
      <w:r>
        <w:rPr>
          <w:lang w:val="fr-FR"/>
        </w:rPr>
        <w:t xml:space="preserve"> </w:t>
      </w:r>
      <w:r>
        <w:rPr>
          <w:lang w:val="fr-FR"/>
        </w:rPr>
        <w:tab/>
      </w:r>
      <w:r>
        <w:rPr>
          <w:b/>
          <w:bCs/>
          <w:lang w:val="fr-FR"/>
        </w:rPr>
        <w:t xml:space="preserve">Sensibiliser le </w:t>
      </w:r>
      <w:r w:rsidRPr="00E94257">
        <w:rPr>
          <w:b/>
          <w:lang w:val="fr-FR"/>
        </w:rPr>
        <w:t xml:space="preserve">public au mécanisme de plainte de la </w:t>
      </w:r>
      <w:r w:rsidRPr="002D558E">
        <w:rPr>
          <w:b/>
          <w:bCs/>
        </w:rPr>
        <w:t>Commission nationale des droits humains</w:t>
      </w:r>
      <w:r>
        <w:rPr>
          <w:b/>
          <w:lang w:val="fr-FR"/>
        </w:rPr>
        <w:t xml:space="preserve"> </w:t>
      </w:r>
      <w:r w:rsidRPr="00E94257">
        <w:rPr>
          <w:b/>
          <w:lang w:val="fr-FR"/>
        </w:rPr>
        <w:t xml:space="preserve">en recourant à la publicité, à </w:t>
      </w:r>
      <w:r w:rsidRPr="00903129">
        <w:rPr>
          <w:b/>
          <w:bCs/>
        </w:rPr>
        <w:t>l</w:t>
      </w:r>
      <w:r>
        <w:rPr>
          <w:b/>
          <w:bCs/>
        </w:rPr>
        <w:t>’</w:t>
      </w:r>
      <w:r w:rsidRPr="00903129">
        <w:rPr>
          <w:b/>
          <w:bCs/>
        </w:rPr>
        <w:t>information</w:t>
      </w:r>
      <w:r w:rsidRPr="00E94257">
        <w:rPr>
          <w:b/>
          <w:lang w:val="fr-FR"/>
        </w:rPr>
        <w:t xml:space="preserve"> </w:t>
      </w:r>
      <w:r>
        <w:rPr>
          <w:b/>
          <w:lang w:val="fr-FR"/>
        </w:rPr>
        <w:t xml:space="preserve">et </w:t>
      </w:r>
      <w:r w:rsidRPr="00E94257">
        <w:rPr>
          <w:b/>
          <w:lang w:val="fr-FR"/>
        </w:rPr>
        <w:t>à l</w:t>
      </w:r>
      <w:r>
        <w:rPr>
          <w:b/>
          <w:lang w:val="fr-FR"/>
        </w:rPr>
        <w:t>’</w:t>
      </w:r>
      <w:r w:rsidRPr="00E94257">
        <w:rPr>
          <w:b/>
          <w:lang w:val="fr-FR"/>
        </w:rPr>
        <w:t>éducation</w:t>
      </w:r>
      <w:r w:rsidR="00344626">
        <w:rPr>
          <w:b/>
          <w:lang w:val="fr-FR"/>
        </w:rPr>
        <w:t> ;</w:t>
      </w:r>
      <w:r>
        <w:rPr>
          <w:b/>
          <w:lang w:val="fr-FR"/>
        </w:rPr>
        <w:t xml:space="preserve"> et</w:t>
      </w:r>
    </w:p>
    <w:p w:rsidR="006A2880" w:rsidRPr="000608BA" w:rsidRDefault="006A2880" w:rsidP="006A2880">
      <w:pPr>
        <w:pStyle w:val="SingleTxtG"/>
        <w:ind w:firstLine="567"/>
        <w:rPr>
          <w:b/>
          <w:lang w:val="fr-FR"/>
        </w:rPr>
      </w:pPr>
      <w:r>
        <w:rPr>
          <w:b/>
          <w:lang w:val="fr-FR"/>
        </w:rPr>
        <w:t xml:space="preserve">d) </w:t>
      </w:r>
      <w:r>
        <w:rPr>
          <w:b/>
          <w:lang w:val="fr-FR"/>
        </w:rPr>
        <w:tab/>
        <w:t xml:space="preserve">Doter la </w:t>
      </w:r>
      <w:r w:rsidRPr="002D558E">
        <w:rPr>
          <w:b/>
          <w:bCs/>
        </w:rPr>
        <w:t>Commission nationale des droits humains</w:t>
      </w:r>
      <w:r>
        <w:rPr>
          <w:b/>
          <w:lang w:val="fr-FR"/>
        </w:rPr>
        <w:t xml:space="preserve"> de mécanismes et de procédures visant à protéger efficacement </w:t>
      </w:r>
      <w:r w:rsidRPr="00983F0C">
        <w:rPr>
          <w:b/>
          <w:lang w:val="fr-FR"/>
        </w:rPr>
        <w:t>les témoins et les victimes de violations des droits de l</w:t>
      </w:r>
      <w:r>
        <w:rPr>
          <w:b/>
          <w:lang w:val="fr-FR"/>
        </w:rPr>
        <w:t>’</w:t>
      </w:r>
      <w:r w:rsidRPr="00983F0C">
        <w:rPr>
          <w:b/>
          <w:lang w:val="fr-FR"/>
        </w:rPr>
        <w:t>homme, y</w:t>
      </w:r>
      <w:r>
        <w:rPr>
          <w:b/>
          <w:lang w:val="fr-FR"/>
        </w:rPr>
        <w:t> </w:t>
      </w:r>
      <w:r w:rsidRPr="00983F0C">
        <w:rPr>
          <w:b/>
          <w:lang w:val="fr-FR"/>
        </w:rPr>
        <w:t>compris de torture,</w:t>
      </w:r>
      <w:r>
        <w:rPr>
          <w:b/>
          <w:lang w:val="fr-FR"/>
        </w:rPr>
        <w:t xml:space="preserve"> et à garantir ainsi </w:t>
      </w:r>
      <w:r w:rsidRPr="00903129">
        <w:rPr>
          <w:b/>
          <w:bCs/>
          <w:lang w:val="fr-FR"/>
        </w:rPr>
        <w:t>qu</w:t>
      </w:r>
      <w:r>
        <w:rPr>
          <w:b/>
          <w:bCs/>
          <w:lang w:val="fr-FR"/>
        </w:rPr>
        <w:t>’</w:t>
      </w:r>
      <w:r w:rsidRPr="00903129">
        <w:rPr>
          <w:b/>
          <w:bCs/>
          <w:lang w:val="fr-FR"/>
        </w:rPr>
        <w:t>en</w:t>
      </w:r>
      <w:r>
        <w:rPr>
          <w:b/>
          <w:lang w:val="fr-FR"/>
        </w:rPr>
        <w:t xml:space="preserve"> aucun cas ils ne subissent de</w:t>
      </w:r>
      <w:r w:rsidRPr="00983F0C">
        <w:rPr>
          <w:b/>
          <w:lang w:val="fr-FR"/>
        </w:rPr>
        <w:t xml:space="preserve"> mauvais traitement</w:t>
      </w:r>
      <w:r>
        <w:rPr>
          <w:b/>
          <w:lang w:val="fr-FR"/>
        </w:rPr>
        <w:t>s</w:t>
      </w:r>
      <w:r w:rsidRPr="00983F0C">
        <w:rPr>
          <w:b/>
          <w:lang w:val="fr-FR"/>
        </w:rPr>
        <w:t xml:space="preserve"> ou</w:t>
      </w:r>
      <w:r>
        <w:rPr>
          <w:b/>
          <w:lang w:val="fr-FR"/>
        </w:rPr>
        <w:t xml:space="preserve"> ne fassent l’objet de manœuvres d’intimidation pour avoir porté plainte ou témoigné.</w:t>
      </w:r>
    </w:p>
    <w:p w:rsidR="006A2880" w:rsidRDefault="006A2880" w:rsidP="006A2880">
      <w:pPr>
        <w:pStyle w:val="H23G"/>
        <w:rPr>
          <w:lang w:val="fr-FR"/>
        </w:rPr>
      </w:pPr>
      <w:r>
        <w:rPr>
          <w:lang w:val="fr-FR"/>
        </w:rPr>
        <w:tab/>
      </w:r>
      <w:r>
        <w:rPr>
          <w:lang w:val="fr-FR"/>
        </w:rPr>
        <w:tab/>
      </w:r>
      <w:r w:rsidRPr="005C2819">
        <w:rPr>
          <w:lang w:val="fr-FR"/>
        </w:rPr>
        <w:t>Mécanisme national de prévention de la</w:t>
      </w:r>
      <w:r w:rsidRPr="00DA74C9">
        <w:rPr>
          <w:lang w:val="fr-FR"/>
        </w:rPr>
        <w:t xml:space="preserve"> torture </w:t>
      </w:r>
    </w:p>
    <w:p w:rsidR="006A2880" w:rsidRDefault="006A2880" w:rsidP="006A2880">
      <w:pPr>
        <w:pStyle w:val="SingleTxtG"/>
        <w:rPr>
          <w:lang w:val="fr-FR"/>
        </w:rPr>
      </w:pPr>
      <w:r>
        <w:rPr>
          <w:lang w:val="fr-FR"/>
        </w:rPr>
        <w:t>25.</w:t>
      </w:r>
      <w:r>
        <w:rPr>
          <w:lang w:val="fr-FR"/>
        </w:rPr>
        <w:tab/>
        <w:t>Tout en prenant note du fait que le Gouvernement étudie actuellement un avant</w:t>
      </w:r>
      <w:r w:rsidR="00546326">
        <w:rPr>
          <w:lang w:val="fr-FR"/>
        </w:rPr>
        <w:noBreakHyphen/>
      </w:r>
      <w:r>
        <w:rPr>
          <w:lang w:val="fr-FR"/>
        </w:rPr>
        <w:t xml:space="preserve">projet de loi consacrant un mécanisme national de prévention de la torture qui soit adossé à la </w:t>
      </w:r>
      <w:r>
        <w:t>Commission nationale des droits humains</w:t>
      </w:r>
      <w:r>
        <w:rPr>
          <w:lang w:val="fr-FR"/>
        </w:rPr>
        <w:t>, l</w:t>
      </w:r>
      <w:r w:rsidRPr="00DA74C9">
        <w:rPr>
          <w:lang w:val="fr-FR"/>
        </w:rPr>
        <w:t xml:space="preserve">e Comité </w:t>
      </w:r>
      <w:r>
        <w:rPr>
          <w:lang w:val="fr-FR"/>
        </w:rPr>
        <w:t>regrette</w:t>
      </w:r>
      <w:r w:rsidRPr="00DA74C9">
        <w:rPr>
          <w:lang w:val="fr-FR"/>
        </w:rPr>
        <w:t xml:space="preserve"> </w:t>
      </w:r>
      <w:r w:rsidRPr="005A2DAA">
        <w:rPr>
          <w:lang w:val="fr-FR"/>
        </w:rPr>
        <w:t xml:space="preserve">que depuis son adhésion en 2010 au Protocole facultatif </w:t>
      </w:r>
      <w:r w:rsidRPr="00FE2F0D">
        <w:rPr>
          <w:lang w:val="fr-FR"/>
        </w:rPr>
        <w:t>se rapportant à la Convention</w:t>
      </w:r>
      <w:r w:rsidRPr="005A2DAA">
        <w:rPr>
          <w:lang w:val="fr-FR"/>
        </w:rPr>
        <w:t xml:space="preserve"> et</w:t>
      </w:r>
      <w:r w:rsidRPr="00DA74C9">
        <w:rPr>
          <w:lang w:val="fr-FR"/>
        </w:rPr>
        <w:t xml:space="preserve"> </w:t>
      </w:r>
      <w:r>
        <w:rPr>
          <w:lang w:val="fr-FR"/>
        </w:rPr>
        <w:t>la visite en 2017</w:t>
      </w:r>
      <w:r w:rsidRPr="00DA74C9">
        <w:rPr>
          <w:lang w:val="fr-FR"/>
        </w:rPr>
        <w:t xml:space="preserve"> du Sous</w:t>
      </w:r>
      <w:r w:rsidR="00E5476C">
        <w:rPr>
          <w:lang w:val="fr-FR"/>
        </w:rPr>
        <w:noBreakHyphen/>
      </w:r>
      <w:r w:rsidRPr="00DA74C9">
        <w:rPr>
          <w:lang w:val="fr-FR"/>
        </w:rPr>
        <w:t>Comité pour la prévention de la torture</w:t>
      </w:r>
      <w:r>
        <w:rPr>
          <w:lang w:val="fr-FR"/>
        </w:rPr>
        <w:t xml:space="preserve"> et autres peines ou traitements cruels, inhumains ou dégradants</w:t>
      </w:r>
      <w:r w:rsidRPr="00DA74C9">
        <w:rPr>
          <w:lang w:val="fr-FR"/>
        </w:rPr>
        <w:t>, l</w:t>
      </w:r>
      <w:r>
        <w:rPr>
          <w:lang w:val="fr-FR"/>
        </w:rPr>
        <w:t>’É</w:t>
      </w:r>
      <w:r w:rsidRPr="00DA74C9">
        <w:rPr>
          <w:lang w:val="fr-FR"/>
        </w:rPr>
        <w:t xml:space="preserve">tat partie </w:t>
      </w:r>
      <w:r w:rsidRPr="00215A5F">
        <w:rPr>
          <w:lang w:val="fr-FR"/>
        </w:rPr>
        <w:t>n</w:t>
      </w:r>
      <w:r>
        <w:rPr>
          <w:lang w:val="fr-FR"/>
        </w:rPr>
        <w:t>’</w:t>
      </w:r>
      <w:r w:rsidRPr="00215A5F">
        <w:rPr>
          <w:lang w:val="fr-FR"/>
        </w:rPr>
        <w:t>ait</w:t>
      </w:r>
      <w:r w:rsidRPr="00DA74C9">
        <w:rPr>
          <w:lang w:val="fr-FR"/>
        </w:rPr>
        <w:t xml:space="preserve"> toujours pas établi de </w:t>
      </w:r>
      <w:r>
        <w:rPr>
          <w:lang w:val="fr-FR"/>
        </w:rPr>
        <w:t>tel m</w:t>
      </w:r>
      <w:r w:rsidRPr="00DA74C9">
        <w:rPr>
          <w:lang w:val="fr-FR"/>
        </w:rPr>
        <w:t>écanisme (art.</w:t>
      </w:r>
      <w:r w:rsidR="00E5476C">
        <w:rPr>
          <w:lang w:val="fr-FR"/>
        </w:rPr>
        <w:t> </w:t>
      </w:r>
      <w:r w:rsidRPr="00DA74C9">
        <w:rPr>
          <w:lang w:val="fr-FR"/>
        </w:rPr>
        <w:t xml:space="preserve">2 </w:t>
      </w:r>
      <w:r w:rsidR="00546326" w:rsidRPr="00DA74C9">
        <w:rPr>
          <w:lang w:val="fr-FR"/>
        </w:rPr>
        <w:t>et</w:t>
      </w:r>
      <w:r w:rsidR="00546326">
        <w:rPr>
          <w:lang w:val="fr-FR"/>
        </w:rPr>
        <w:t> </w:t>
      </w:r>
      <w:r w:rsidRPr="00DA74C9">
        <w:rPr>
          <w:lang w:val="fr-FR"/>
        </w:rPr>
        <w:t xml:space="preserve">11). </w:t>
      </w:r>
    </w:p>
    <w:p w:rsidR="006A2880" w:rsidRDefault="006A2880" w:rsidP="006A2880">
      <w:pPr>
        <w:pStyle w:val="SingleTxtG"/>
      </w:pPr>
      <w:r w:rsidRPr="002D558E">
        <w:rPr>
          <w:bCs/>
          <w:lang w:val="fr-FR"/>
        </w:rPr>
        <w:t>26.</w:t>
      </w:r>
      <w:r>
        <w:rPr>
          <w:b/>
          <w:lang w:val="fr-FR"/>
        </w:rPr>
        <w:tab/>
      </w:r>
      <w:r w:rsidRPr="005F2A4B">
        <w:rPr>
          <w:b/>
        </w:rPr>
        <w:t>L</w:t>
      </w:r>
      <w:r>
        <w:rPr>
          <w:b/>
        </w:rPr>
        <w:t>’</w:t>
      </w:r>
      <w:r w:rsidRPr="00C67F33">
        <w:rPr>
          <w:b/>
          <w:bCs/>
          <w:lang w:val="fr-FR"/>
        </w:rPr>
        <w:t>É</w:t>
      </w:r>
      <w:r w:rsidRPr="005F2A4B">
        <w:rPr>
          <w:b/>
        </w:rPr>
        <w:t>tat partie devrait accélérer le pro</w:t>
      </w:r>
      <w:r>
        <w:rPr>
          <w:b/>
        </w:rPr>
        <w:t xml:space="preserve">cessus de mise en place du mécanisme national de prévention de la torture et veiller à ce </w:t>
      </w:r>
      <w:r w:rsidRPr="005F2A4B">
        <w:rPr>
          <w:b/>
        </w:rPr>
        <w:t xml:space="preserve">que </w:t>
      </w:r>
      <w:r>
        <w:rPr>
          <w:b/>
        </w:rPr>
        <w:t>cette institution</w:t>
      </w:r>
      <w:r w:rsidRPr="005F2A4B">
        <w:rPr>
          <w:b/>
        </w:rPr>
        <w:t xml:space="preserve"> dispose d</w:t>
      </w:r>
      <w:r>
        <w:rPr>
          <w:b/>
        </w:rPr>
        <w:t>’</w:t>
      </w:r>
      <w:r w:rsidRPr="005F2A4B">
        <w:rPr>
          <w:b/>
        </w:rPr>
        <w:t xml:space="preserve">un mandat de prévention fidèle au Protocole facultatif et </w:t>
      </w:r>
      <w:r>
        <w:rPr>
          <w:b/>
        </w:rPr>
        <w:t xml:space="preserve">bénéficie </w:t>
      </w:r>
      <w:r w:rsidRPr="005F2A4B">
        <w:rPr>
          <w:b/>
        </w:rPr>
        <w:t>de l</w:t>
      </w:r>
      <w:r>
        <w:rPr>
          <w:b/>
        </w:rPr>
        <w:t>’</w:t>
      </w:r>
      <w:r w:rsidRPr="005F2A4B">
        <w:rPr>
          <w:b/>
        </w:rPr>
        <w:t>indépendance, du personnel, des ressources et du budget nécessaire</w:t>
      </w:r>
      <w:r>
        <w:rPr>
          <w:b/>
        </w:rPr>
        <w:t>s</w:t>
      </w:r>
      <w:r w:rsidRPr="005F2A4B">
        <w:rPr>
          <w:b/>
        </w:rPr>
        <w:t xml:space="preserve"> pour s</w:t>
      </w:r>
      <w:r>
        <w:rPr>
          <w:b/>
        </w:rPr>
        <w:t>’</w:t>
      </w:r>
      <w:r w:rsidRPr="005F2A4B">
        <w:rPr>
          <w:b/>
        </w:rPr>
        <w:t>acquitter efficacement de son mandat.</w:t>
      </w:r>
      <w:r w:rsidRPr="00DA74C9">
        <w:t xml:space="preserve"> </w:t>
      </w:r>
    </w:p>
    <w:p w:rsidR="006A2880" w:rsidRPr="00C16A95" w:rsidRDefault="006A2880" w:rsidP="00A93510">
      <w:pPr>
        <w:pStyle w:val="H23G"/>
      </w:pPr>
      <w:r w:rsidRPr="002D558E">
        <w:tab/>
      </w:r>
      <w:r>
        <w:tab/>
      </w:r>
      <w:r w:rsidRPr="00C16A95">
        <w:t>Réparation</w:t>
      </w:r>
    </w:p>
    <w:p w:rsidR="006A2880" w:rsidRPr="00EB3AD6" w:rsidRDefault="006A2880" w:rsidP="006A2880">
      <w:pPr>
        <w:pStyle w:val="SingleTxtG"/>
      </w:pPr>
      <w:r>
        <w:rPr>
          <w:lang w:val="fr-FR"/>
        </w:rPr>
        <w:t>27</w:t>
      </w:r>
      <w:r w:rsidRPr="00C16A95">
        <w:rPr>
          <w:lang w:val="fr-FR"/>
        </w:rPr>
        <w:t>.</w:t>
      </w:r>
      <w:r w:rsidRPr="00C16A95">
        <w:rPr>
          <w:lang w:val="fr-FR"/>
        </w:rPr>
        <w:tab/>
      </w:r>
      <w:r>
        <w:rPr>
          <w:lang w:val="fr-FR"/>
        </w:rPr>
        <w:t xml:space="preserve">Le Comité </w:t>
      </w:r>
      <w:r w:rsidRPr="00C16A95">
        <w:rPr>
          <w:lang w:val="fr-FR"/>
        </w:rPr>
        <w:t>accueill</w:t>
      </w:r>
      <w:r>
        <w:rPr>
          <w:lang w:val="fr-FR"/>
        </w:rPr>
        <w:t xml:space="preserve">e </w:t>
      </w:r>
      <w:r w:rsidRPr="00BC1599">
        <w:rPr>
          <w:lang w:val="fr-FR"/>
        </w:rPr>
        <w:t xml:space="preserve">favorablement </w:t>
      </w:r>
      <w:r w:rsidRPr="00BC1599">
        <w:t>l</w:t>
      </w:r>
      <w:r>
        <w:t>’</w:t>
      </w:r>
      <w:r w:rsidRPr="00BC1599">
        <w:t>article</w:t>
      </w:r>
      <w:r w:rsidR="00E5476C">
        <w:t> </w:t>
      </w:r>
      <w:r w:rsidRPr="00BC1599">
        <w:t>518-6 alinéa</w:t>
      </w:r>
      <w:r w:rsidR="00805FAA">
        <w:t> </w:t>
      </w:r>
      <w:r w:rsidRPr="00BC1599">
        <w:t>3 du Code de procédure pénale, qui dispose que nonobstant toutes poursuites pénales, l</w:t>
      </w:r>
      <w:r>
        <w:t>’</w:t>
      </w:r>
      <w:r w:rsidRPr="00BC1599">
        <w:rPr>
          <w:lang w:val="fr-FR"/>
        </w:rPr>
        <w:t>É</w:t>
      </w:r>
      <w:r w:rsidRPr="00BC1599">
        <w:t>tat a l</w:t>
      </w:r>
      <w:r>
        <w:t>’</w:t>
      </w:r>
      <w:r w:rsidRPr="00BC1599">
        <w:t>obligation d</w:t>
      </w:r>
      <w:r>
        <w:t>’</w:t>
      </w:r>
      <w:r w:rsidRPr="00BC1599">
        <w:t xml:space="preserve">accorder réparation aux victimes, </w:t>
      </w:r>
      <w:r w:rsidRPr="00FE2F0D">
        <w:t xml:space="preserve">ainsi que </w:t>
      </w:r>
      <w:r w:rsidRPr="00BC1599">
        <w:t>les indemnisations consenties par l</w:t>
      </w:r>
      <w:r>
        <w:t>’</w:t>
      </w:r>
      <w:r w:rsidRPr="00BC1599">
        <w:rPr>
          <w:lang w:val="fr-FR"/>
        </w:rPr>
        <w:t>É</w:t>
      </w:r>
      <w:r w:rsidRPr="00BC1599">
        <w:t xml:space="preserve">tat partie aux victimes </w:t>
      </w:r>
      <w:r>
        <w:t xml:space="preserve">de </w:t>
      </w:r>
      <w:r w:rsidRPr="00BC1599">
        <w:rPr>
          <w:lang w:eastAsia="fr-FR"/>
        </w:rPr>
        <w:t>l</w:t>
      </w:r>
      <w:r>
        <w:rPr>
          <w:lang w:eastAsia="fr-FR"/>
        </w:rPr>
        <w:t>’</w:t>
      </w:r>
      <w:r w:rsidRPr="00BC1599">
        <w:rPr>
          <w:lang w:eastAsia="fr-FR"/>
        </w:rPr>
        <w:t>insurrection populaire de 2014 et du putsch manqué de 2015,</w:t>
      </w:r>
      <w:r w:rsidRPr="00EF241E">
        <w:rPr>
          <w:lang w:eastAsia="fr-FR"/>
        </w:rPr>
        <w:t xml:space="preserve"> </w:t>
      </w:r>
      <w:r>
        <w:rPr>
          <w:lang w:eastAsia="fr-FR"/>
        </w:rPr>
        <w:t>mais</w:t>
      </w:r>
      <w:r>
        <w:t xml:space="preserve"> regrette qu’il n’existe pas de </w:t>
      </w:r>
      <w:r w:rsidRPr="00443B03">
        <w:t>programme</w:t>
      </w:r>
      <w:r>
        <w:t xml:space="preserve"> spécifique de réadaptation dédié aux</w:t>
      </w:r>
      <w:r w:rsidRPr="00443B03">
        <w:t xml:space="preserve"> victimes de torture</w:t>
      </w:r>
      <w:r>
        <w:t>, qui intègre</w:t>
      </w:r>
      <w:r w:rsidRPr="00C16A95">
        <w:t xml:space="preserve"> l</w:t>
      </w:r>
      <w:r>
        <w:t>’</w:t>
      </w:r>
      <w:r w:rsidRPr="00C16A95">
        <w:t>ensemble des modalités de réparation envisagées par</w:t>
      </w:r>
      <w:r>
        <w:t xml:space="preserve"> l’article</w:t>
      </w:r>
      <w:r w:rsidR="00805FAA">
        <w:t> </w:t>
      </w:r>
      <w:r>
        <w:t xml:space="preserve">14 de la Convention </w:t>
      </w:r>
      <w:r w:rsidRPr="00C16A95">
        <w:rPr>
          <w:lang w:val="fr-FR"/>
        </w:rPr>
        <w:t xml:space="preserve">(art. 14). </w:t>
      </w:r>
    </w:p>
    <w:p w:rsidR="006A2880" w:rsidRPr="00560E48" w:rsidRDefault="006A2880" w:rsidP="00C67F33">
      <w:pPr>
        <w:pStyle w:val="SingleTxtG"/>
        <w:keepNext/>
      </w:pPr>
      <w:r w:rsidRPr="002D558E">
        <w:rPr>
          <w:bCs/>
        </w:rPr>
        <w:t>28.</w:t>
      </w:r>
      <w:r>
        <w:rPr>
          <w:b/>
        </w:rPr>
        <w:tab/>
      </w:r>
      <w:r w:rsidRPr="00903129">
        <w:rPr>
          <w:b/>
        </w:rPr>
        <w:t>L</w:t>
      </w:r>
      <w:r>
        <w:rPr>
          <w:b/>
        </w:rPr>
        <w:t>’</w:t>
      </w:r>
      <w:r w:rsidRPr="00C67F33">
        <w:rPr>
          <w:b/>
          <w:bCs/>
          <w:lang w:val="fr-FR"/>
        </w:rPr>
        <w:t>É</w:t>
      </w:r>
      <w:r w:rsidRPr="00903129">
        <w:rPr>
          <w:b/>
        </w:rPr>
        <w:t>tat partie devrait</w:t>
      </w:r>
      <w:r w:rsidR="00344626">
        <w:t> :</w:t>
      </w:r>
    </w:p>
    <w:p w:rsidR="006A2880" w:rsidRPr="00903129" w:rsidRDefault="006A2880" w:rsidP="006A2880">
      <w:pPr>
        <w:pStyle w:val="SingleTxtG"/>
        <w:ind w:firstLine="567"/>
        <w:rPr>
          <w:b/>
          <w:lang w:val="fr-FR"/>
        </w:rPr>
      </w:pPr>
      <w:r w:rsidRPr="00903129">
        <w:rPr>
          <w:b/>
          <w:lang w:val="fr-FR"/>
        </w:rPr>
        <w:t>a)</w:t>
      </w:r>
      <w:r w:rsidRPr="00903129">
        <w:rPr>
          <w:b/>
          <w:lang w:val="fr-FR"/>
        </w:rPr>
        <w:tab/>
      </w:r>
      <w:r w:rsidRPr="00903129">
        <w:rPr>
          <w:b/>
        </w:rPr>
        <w:t>P</w:t>
      </w:r>
      <w:r w:rsidRPr="00903129">
        <w:rPr>
          <w:b/>
          <w:lang w:val="fr-FR"/>
        </w:rPr>
        <w:t>rendre les mesures législatives et administratives nécessaires pour garantir que les victimes d</w:t>
      </w:r>
      <w:r>
        <w:rPr>
          <w:b/>
          <w:lang w:val="fr-FR"/>
        </w:rPr>
        <w:t>’</w:t>
      </w:r>
      <w:r w:rsidRPr="00903129">
        <w:rPr>
          <w:b/>
          <w:lang w:val="fr-FR"/>
        </w:rPr>
        <w:t>actes de torture et de mauvais traitements aient accès à des recours utiles et puissent obtenir réparation, y compris dans les cas où l</w:t>
      </w:r>
      <w:r>
        <w:rPr>
          <w:b/>
          <w:lang w:val="fr-FR"/>
        </w:rPr>
        <w:t>’</w:t>
      </w:r>
      <w:r w:rsidRPr="00903129">
        <w:rPr>
          <w:b/>
          <w:lang w:val="fr-FR"/>
        </w:rPr>
        <w:t>auteur n</w:t>
      </w:r>
      <w:r>
        <w:rPr>
          <w:b/>
          <w:lang w:val="fr-FR"/>
        </w:rPr>
        <w:t>’</w:t>
      </w:r>
      <w:r w:rsidRPr="00903129">
        <w:rPr>
          <w:b/>
          <w:lang w:val="fr-FR"/>
        </w:rPr>
        <w:t>aurait pas été identifié</w:t>
      </w:r>
      <w:r w:rsidR="00344626">
        <w:rPr>
          <w:b/>
          <w:lang w:val="fr-FR"/>
        </w:rPr>
        <w:t> ;</w:t>
      </w:r>
    </w:p>
    <w:p w:rsidR="006A2880" w:rsidRPr="00903129" w:rsidRDefault="006A2880" w:rsidP="006A2880">
      <w:pPr>
        <w:pStyle w:val="SingleTxtG"/>
        <w:ind w:firstLine="567"/>
        <w:rPr>
          <w:b/>
          <w:lang w:val="fr-FR"/>
        </w:rPr>
      </w:pPr>
      <w:r w:rsidRPr="00903129">
        <w:rPr>
          <w:b/>
          <w:lang w:val="fr-FR"/>
        </w:rPr>
        <w:lastRenderedPageBreak/>
        <w:t>b)</w:t>
      </w:r>
      <w:r w:rsidRPr="00903129">
        <w:rPr>
          <w:b/>
          <w:lang w:val="fr-FR"/>
        </w:rPr>
        <w:tab/>
      </w:r>
      <w:r>
        <w:rPr>
          <w:b/>
          <w:lang w:val="fr-FR"/>
        </w:rPr>
        <w:t>É</w:t>
      </w:r>
      <w:r w:rsidRPr="00903129">
        <w:rPr>
          <w:b/>
          <w:lang w:val="fr-FR"/>
        </w:rPr>
        <w:t>valuer pleinement les besoins des victimes et faire en sorte que des services spécialisés de réadaptation soient rapidement disponibles</w:t>
      </w:r>
      <w:r w:rsidR="00344626">
        <w:rPr>
          <w:b/>
          <w:lang w:val="fr-FR"/>
        </w:rPr>
        <w:t> ;</w:t>
      </w:r>
      <w:r>
        <w:rPr>
          <w:b/>
          <w:lang w:val="fr-FR"/>
        </w:rPr>
        <w:t xml:space="preserve"> et</w:t>
      </w:r>
    </w:p>
    <w:p w:rsidR="006A2880" w:rsidRPr="00903129" w:rsidRDefault="006A2880" w:rsidP="006A2880">
      <w:pPr>
        <w:pStyle w:val="SingleTxtG"/>
        <w:ind w:firstLine="567"/>
        <w:rPr>
          <w:b/>
        </w:rPr>
      </w:pPr>
      <w:r w:rsidRPr="00903129">
        <w:rPr>
          <w:b/>
        </w:rPr>
        <w:t>c)</w:t>
      </w:r>
      <w:r w:rsidRPr="00903129">
        <w:rPr>
          <w:b/>
        </w:rPr>
        <w:tab/>
        <w:t>Fournir des informations détaillées sur les cas où d</w:t>
      </w:r>
      <w:r w:rsidRPr="00903129">
        <w:rPr>
          <w:b/>
          <w:lang w:val="fr-FR"/>
        </w:rPr>
        <w:t>es victimes d</w:t>
      </w:r>
      <w:r>
        <w:rPr>
          <w:b/>
          <w:lang w:val="fr-FR"/>
        </w:rPr>
        <w:t>’</w:t>
      </w:r>
      <w:r w:rsidRPr="00903129">
        <w:rPr>
          <w:b/>
          <w:lang w:val="fr-FR"/>
        </w:rPr>
        <w:t>actes de torture et de mauvais traitements ont eu accès à des recours utiles et obtenu réparation, et en informer le Comité lors de la soumission de son prochain rapport périodique.</w:t>
      </w:r>
    </w:p>
    <w:p w:rsidR="006A2880" w:rsidRPr="005A2DAA" w:rsidRDefault="006A2880" w:rsidP="006A2880">
      <w:pPr>
        <w:pStyle w:val="H23G"/>
        <w:rPr>
          <w:lang w:val="fr-FR"/>
        </w:rPr>
      </w:pPr>
      <w:r w:rsidRPr="00C16A95">
        <w:rPr>
          <w:lang w:val="fr-FR"/>
        </w:rPr>
        <w:tab/>
      </w:r>
      <w:r w:rsidRPr="00C16A95">
        <w:rPr>
          <w:lang w:val="fr-FR"/>
        </w:rPr>
        <w:tab/>
      </w:r>
      <w:r w:rsidRPr="005A2DAA">
        <w:rPr>
          <w:lang w:val="fr-FR"/>
        </w:rPr>
        <w:t>Procédure de suivi</w:t>
      </w:r>
    </w:p>
    <w:p w:rsidR="006A2880" w:rsidRPr="005A2DAA" w:rsidRDefault="006A2880" w:rsidP="006A2880">
      <w:pPr>
        <w:pStyle w:val="SingleTxtG"/>
        <w:rPr>
          <w:rFonts w:eastAsia="Times New Roman"/>
          <w:lang w:val="fr-FR"/>
        </w:rPr>
      </w:pPr>
      <w:r w:rsidRPr="005A2DAA">
        <w:rPr>
          <w:lang w:val="fr-FR"/>
        </w:rPr>
        <w:t>29.</w:t>
      </w:r>
      <w:r w:rsidRPr="005A2DAA">
        <w:rPr>
          <w:lang w:val="fr-FR"/>
        </w:rPr>
        <w:tab/>
        <w:t>Le Comité demande à l</w:t>
      </w:r>
      <w:r>
        <w:rPr>
          <w:lang w:val="fr-FR"/>
        </w:rPr>
        <w:t>’</w:t>
      </w:r>
      <w:r w:rsidRPr="005A2DAA">
        <w:rPr>
          <w:lang w:val="fr-FR"/>
        </w:rPr>
        <w:t>État partie de lui faire parvenir au plus tard le 6</w:t>
      </w:r>
      <w:r w:rsidR="00805FAA">
        <w:rPr>
          <w:lang w:val="fr-FR"/>
        </w:rPr>
        <w:t> </w:t>
      </w:r>
      <w:r w:rsidRPr="005A2DAA">
        <w:rPr>
          <w:lang w:val="fr-FR"/>
        </w:rPr>
        <w:t>décembre 2020 des renseignements sur la suite qu</w:t>
      </w:r>
      <w:r>
        <w:rPr>
          <w:lang w:val="fr-FR"/>
        </w:rPr>
        <w:t>’</w:t>
      </w:r>
      <w:r w:rsidRPr="005A2DAA">
        <w:rPr>
          <w:lang w:val="fr-FR"/>
        </w:rPr>
        <w:t xml:space="preserve">il aura donnée à ses recommandations concernant les </w:t>
      </w:r>
      <w:proofErr w:type="spellStart"/>
      <w:r w:rsidRPr="005A2DAA">
        <w:rPr>
          <w:lang w:val="fr-FR"/>
        </w:rPr>
        <w:t>Koglweogo</w:t>
      </w:r>
      <w:proofErr w:type="spellEnd"/>
      <w:r w:rsidRPr="005A2DAA">
        <w:rPr>
          <w:lang w:val="fr-FR"/>
        </w:rPr>
        <w:t>, les conditions de détention et le mécanisme national de prévention de la torture (voir par. 18</w:t>
      </w:r>
      <w:r w:rsidR="00805FAA">
        <w:rPr>
          <w:lang w:val="fr-FR"/>
        </w:rPr>
        <w:t> </w:t>
      </w:r>
      <w:r w:rsidRPr="005A2DAA">
        <w:rPr>
          <w:lang w:val="fr-FR"/>
        </w:rPr>
        <w:t>a), 22</w:t>
      </w:r>
      <w:r w:rsidR="00805FAA">
        <w:rPr>
          <w:lang w:val="fr-FR"/>
        </w:rPr>
        <w:t> </w:t>
      </w:r>
      <w:r w:rsidRPr="005A2DAA">
        <w:rPr>
          <w:lang w:val="fr-FR"/>
        </w:rPr>
        <w:t>a) et 26</w:t>
      </w:r>
      <w:r w:rsidR="00805FAA">
        <w:rPr>
          <w:lang w:val="fr-FR"/>
        </w:rPr>
        <w:t xml:space="preserve"> </w:t>
      </w:r>
      <w:r w:rsidRPr="005A2DAA">
        <w:rPr>
          <w:lang w:val="fr-FR"/>
        </w:rPr>
        <w:t xml:space="preserve">ci-dessus). </w:t>
      </w:r>
      <w:r w:rsidRPr="005A2DAA">
        <w:t>Dans ce contexte, l</w:t>
      </w:r>
      <w:r>
        <w:t>’</w:t>
      </w:r>
      <w:r w:rsidRPr="005A2DAA">
        <w:t>État partie est invité à informer le Comité des mesures qu</w:t>
      </w:r>
      <w:r>
        <w:t>’</w:t>
      </w:r>
      <w:r w:rsidRPr="005A2DAA">
        <w:t>il compte prendre pour mettre en œuvre, d</w:t>
      </w:r>
      <w:r>
        <w:t>’</w:t>
      </w:r>
      <w:r w:rsidRPr="005A2DAA">
        <w:t xml:space="preserve">ici </w:t>
      </w:r>
      <w:r w:rsidR="00876C2B">
        <w:t xml:space="preserve">à </w:t>
      </w:r>
      <w:r w:rsidRPr="005A2DAA">
        <w:t>la soumission de son prochain rapport, tout ou partie des autres recommandations formulées dans les présentes observations finales.</w:t>
      </w:r>
    </w:p>
    <w:p w:rsidR="006A2880" w:rsidRPr="005A2DAA" w:rsidRDefault="006A2880" w:rsidP="006A2880">
      <w:pPr>
        <w:pStyle w:val="H23G"/>
        <w:rPr>
          <w:lang w:val="fr-FR"/>
        </w:rPr>
      </w:pPr>
      <w:r w:rsidRPr="005A2DAA">
        <w:rPr>
          <w:lang w:val="fr-FR"/>
        </w:rPr>
        <w:tab/>
      </w:r>
      <w:r w:rsidRPr="005A2DAA">
        <w:rPr>
          <w:lang w:val="fr-FR"/>
        </w:rPr>
        <w:tab/>
        <w:t>Autres questions</w:t>
      </w:r>
    </w:p>
    <w:p w:rsidR="006A2880" w:rsidRPr="005A2DAA" w:rsidRDefault="006A2880" w:rsidP="006A2880">
      <w:pPr>
        <w:pStyle w:val="SingleTxtG"/>
        <w:rPr>
          <w:lang w:val="fr-FR"/>
        </w:rPr>
      </w:pPr>
      <w:r w:rsidRPr="005A2DAA">
        <w:rPr>
          <w:lang w:val="fr-FR"/>
        </w:rPr>
        <w:t>30.</w:t>
      </w:r>
      <w:r w:rsidRPr="005A2DAA">
        <w:rPr>
          <w:lang w:val="fr-FR"/>
        </w:rPr>
        <w:tab/>
        <w:t>Le Comité invite l</w:t>
      </w:r>
      <w:r>
        <w:rPr>
          <w:lang w:val="fr-FR"/>
        </w:rPr>
        <w:t>’</w:t>
      </w:r>
      <w:r w:rsidRPr="005A2DAA">
        <w:rPr>
          <w:lang w:val="fr-FR"/>
        </w:rPr>
        <w:t>État partie à étudier la possibilité de ratifier les principaux instruments des Nations Unies relatifs aux droits de l</w:t>
      </w:r>
      <w:r>
        <w:rPr>
          <w:lang w:val="fr-FR"/>
        </w:rPr>
        <w:t>’</w:t>
      </w:r>
      <w:r w:rsidRPr="005A2DAA">
        <w:rPr>
          <w:lang w:val="fr-FR"/>
        </w:rPr>
        <w:t>homme auxquels il n</w:t>
      </w:r>
      <w:r>
        <w:rPr>
          <w:lang w:val="fr-FR"/>
        </w:rPr>
        <w:t>’</w:t>
      </w:r>
      <w:r w:rsidRPr="005A2DAA">
        <w:rPr>
          <w:lang w:val="fr-FR"/>
        </w:rPr>
        <w:t>est pas encore partie et accueille favorablement son engagement à fournir rapidement des réponses aux recommandations du Sous-Comité pour la prévention de la torture et autres peines ou traitements cruels, inhumains ou dégradants, suite à sa mission au Burkina Faso du 3 au 9</w:t>
      </w:r>
      <w:r w:rsidR="00876C2B">
        <w:rPr>
          <w:lang w:val="fr-FR"/>
        </w:rPr>
        <w:t> </w:t>
      </w:r>
      <w:r w:rsidRPr="005A2DAA">
        <w:rPr>
          <w:lang w:val="fr-FR"/>
        </w:rPr>
        <w:t>décembre 2017.</w:t>
      </w:r>
    </w:p>
    <w:p w:rsidR="006A2880" w:rsidRPr="00C16A95" w:rsidRDefault="006A2880" w:rsidP="006A2880">
      <w:pPr>
        <w:pStyle w:val="SingleTxtG"/>
      </w:pPr>
      <w:r w:rsidRPr="005A2DAA">
        <w:rPr>
          <w:lang w:val="fr-FR"/>
        </w:rPr>
        <w:t>31.</w:t>
      </w:r>
      <w:r w:rsidRPr="005A2DAA">
        <w:rPr>
          <w:lang w:val="fr-FR"/>
        </w:rPr>
        <w:tab/>
      </w:r>
      <w:r w:rsidRPr="005A2DAA">
        <w:t>L</w:t>
      </w:r>
      <w:r>
        <w:t>’</w:t>
      </w:r>
      <w:r w:rsidRPr="005A2DAA">
        <w:t>État partie est invité à diffuser largement le rapport soumis au Comité ainsi que les présentes observations finales, dans les langues voulues, au moyen des sites</w:t>
      </w:r>
      <w:r w:rsidR="00876C2B">
        <w:t xml:space="preserve"> </w:t>
      </w:r>
      <w:r w:rsidRPr="005A2DAA">
        <w:t>Web officiels et par l</w:t>
      </w:r>
      <w:r>
        <w:t>’</w:t>
      </w:r>
      <w:r w:rsidRPr="005A2DAA">
        <w:t>intermédiaire des médias et des organisations non gouvernementales, et à informer le Comité de ses activités de diffusion.</w:t>
      </w:r>
      <w:r w:rsidRPr="00C16A95">
        <w:t xml:space="preserve"> </w:t>
      </w:r>
    </w:p>
    <w:p w:rsidR="00BA41F4" w:rsidRDefault="006A2880" w:rsidP="006A2880">
      <w:pPr>
        <w:pStyle w:val="SingleTxtG"/>
        <w:rPr>
          <w:lang w:val="fr-FR"/>
        </w:rPr>
      </w:pPr>
      <w:r>
        <w:rPr>
          <w:lang w:val="fr-FR"/>
        </w:rPr>
        <w:t>32</w:t>
      </w:r>
      <w:r w:rsidRPr="00C16A95">
        <w:rPr>
          <w:lang w:val="fr-FR"/>
        </w:rPr>
        <w:t>.</w:t>
      </w:r>
      <w:r w:rsidRPr="00C16A95">
        <w:rPr>
          <w:lang w:val="fr-FR"/>
        </w:rPr>
        <w:tab/>
      </w:r>
      <w:r w:rsidRPr="005A2DAA">
        <w:rPr>
          <w:lang w:val="fr-FR"/>
        </w:rPr>
        <w:t>Le Comité prie l</w:t>
      </w:r>
      <w:r>
        <w:rPr>
          <w:lang w:val="fr-FR"/>
        </w:rPr>
        <w:t>’</w:t>
      </w:r>
      <w:r w:rsidRPr="005A2DAA">
        <w:rPr>
          <w:lang w:val="fr-FR"/>
        </w:rPr>
        <w:t>État partie de soumettre son prochain rapport périodique, qui sera le troisième, le 6</w:t>
      </w:r>
      <w:r w:rsidR="00876C2B">
        <w:rPr>
          <w:lang w:val="fr-FR"/>
        </w:rPr>
        <w:t> </w:t>
      </w:r>
      <w:r w:rsidRPr="005A2DAA">
        <w:rPr>
          <w:lang w:val="fr-FR"/>
        </w:rPr>
        <w:t xml:space="preserve">décembre </w:t>
      </w:r>
      <w:r w:rsidRPr="005A2DAA">
        <w:t>2023</w:t>
      </w:r>
      <w:r w:rsidRPr="005A2DAA">
        <w:rPr>
          <w:lang w:val="fr-FR"/>
        </w:rPr>
        <w:t xml:space="preserve"> au plus tard. À cette fin, il invite l</w:t>
      </w:r>
      <w:r>
        <w:rPr>
          <w:lang w:val="fr-FR"/>
        </w:rPr>
        <w:t>’</w:t>
      </w:r>
      <w:r w:rsidRPr="005A2DAA">
        <w:rPr>
          <w:lang w:val="fr-FR"/>
        </w:rPr>
        <w:t>État partie à accepter</w:t>
      </w:r>
      <w:r>
        <w:rPr>
          <w:lang w:val="fr-FR"/>
        </w:rPr>
        <w:t xml:space="preserve"> d’ici</w:t>
      </w:r>
      <w:r w:rsidRPr="00ED6436">
        <w:rPr>
          <w:lang w:val="fr-FR"/>
        </w:rPr>
        <w:t xml:space="preserve"> </w:t>
      </w:r>
      <w:r w:rsidR="00876C2B">
        <w:rPr>
          <w:color w:val="000000"/>
          <w:lang w:val="fr-FR"/>
        </w:rPr>
        <w:t>au</w:t>
      </w:r>
      <w:r w:rsidRPr="00ED6436">
        <w:rPr>
          <w:color w:val="000000"/>
          <w:lang w:val="fr-FR"/>
        </w:rPr>
        <w:t xml:space="preserve"> </w:t>
      </w:r>
      <w:r>
        <w:rPr>
          <w:color w:val="000000"/>
          <w:lang w:val="fr-FR"/>
        </w:rPr>
        <w:t>6</w:t>
      </w:r>
      <w:r w:rsidR="00876C2B">
        <w:rPr>
          <w:color w:val="000000"/>
          <w:lang w:val="fr-FR"/>
        </w:rPr>
        <w:t> </w:t>
      </w:r>
      <w:r>
        <w:rPr>
          <w:color w:val="000000"/>
          <w:lang w:val="fr-FR"/>
        </w:rPr>
        <w:t>décembre</w:t>
      </w:r>
      <w:r w:rsidRPr="00ED6436">
        <w:rPr>
          <w:color w:val="000000"/>
          <w:lang w:val="fr-FR"/>
        </w:rPr>
        <w:t xml:space="preserve"> 2020 </w:t>
      </w:r>
      <w:r>
        <w:rPr>
          <w:color w:val="000000"/>
          <w:lang w:val="fr-FR"/>
        </w:rPr>
        <w:t xml:space="preserve">la procédure simplifiée </w:t>
      </w:r>
      <w:r w:rsidRPr="00ED6436">
        <w:rPr>
          <w:color w:val="000000"/>
          <w:lang w:val="fr-FR"/>
        </w:rPr>
        <w:t>d</w:t>
      </w:r>
      <w:r>
        <w:rPr>
          <w:color w:val="000000"/>
          <w:lang w:val="fr-FR"/>
        </w:rPr>
        <w:t>’</w:t>
      </w:r>
      <w:r w:rsidRPr="00ED6436">
        <w:rPr>
          <w:color w:val="000000"/>
          <w:lang w:val="fr-FR"/>
        </w:rPr>
        <w:t>établi</w:t>
      </w:r>
      <w:r>
        <w:rPr>
          <w:color w:val="000000"/>
          <w:lang w:val="fr-FR"/>
        </w:rPr>
        <w:t xml:space="preserve">ssement des </w:t>
      </w:r>
      <w:r w:rsidRPr="00ED6436">
        <w:rPr>
          <w:color w:val="000000"/>
          <w:lang w:val="fr-FR"/>
        </w:rPr>
        <w:t>rapport</w:t>
      </w:r>
      <w:r>
        <w:rPr>
          <w:color w:val="000000"/>
          <w:lang w:val="fr-FR"/>
        </w:rPr>
        <w:t xml:space="preserve">s, dans le cadre de laquelle </w:t>
      </w:r>
      <w:r w:rsidRPr="00ED6436">
        <w:rPr>
          <w:color w:val="000000"/>
          <w:lang w:val="fr-FR"/>
        </w:rPr>
        <w:t xml:space="preserve">le Comité </w:t>
      </w:r>
      <w:r>
        <w:rPr>
          <w:color w:val="000000"/>
          <w:lang w:val="fr-FR"/>
        </w:rPr>
        <w:t xml:space="preserve">communique </w:t>
      </w:r>
      <w:r w:rsidRPr="00ED6436">
        <w:rPr>
          <w:lang w:val="fr-FR"/>
        </w:rPr>
        <w:t>à l</w:t>
      </w:r>
      <w:r>
        <w:rPr>
          <w:lang w:val="fr-FR"/>
        </w:rPr>
        <w:t>’</w:t>
      </w:r>
      <w:r w:rsidRPr="00ED6436">
        <w:rPr>
          <w:lang w:val="fr-FR"/>
        </w:rPr>
        <w:t xml:space="preserve">État partie une liste de points avant </w:t>
      </w:r>
      <w:r>
        <w:rPr>
          <w:lang w:val="fr-FR"/>
        </w:rPr>
        <w:t>que celui</w:t>
      </w:r>
      <w:r w:rsidR="0063427D">
        <w:rPr>
          <w:lang w:val="fr-FR"/>
        </w:rPr>
        <w:noBreakHyphen/>
      </w:r>
      <w:r>
        <w:rPr>
          <w:lang w:val="fr-FR"/>
        </w:rPr>
        <w:t xml:space="preserve">ci ne </w:t>
      </w:r>
      <w:r w:rsidRPr="00ED6436">
        <w:rPr>
          <w:lang w:val="fr-FR"/>
        </w:rPr>
        <w:t>soum</w:t>
      </w:r>
      <w:r>
        <w:rPr>
          <w:lang w:val="fr-FR"/>
        </w:rPr>
        <w:t xml:space="preserve">ette le </w:t>
      </w:r>
      <w:r w:rsidRPr="00ED6436">
        <w:rPr>
          <w:lang w:val="fr-FR"/>
        </w:rPr>
        <w:t xml:space="preserve">rapport </w:t>
      </w:r>
      <w:r>
        <w:rPr>
          <w:lang w:val="fr-FR"/>
        </w:rPr>
        <w:t>attendu</w:t>
      </w:r>
      <w:r w:rsidRPr="00ED6436">
        <w:rPr>
          <w:lang w:val="fr-FR"/>
        </w:rPr>
        <w:t>. Les réponses de l</w:t>
      </w:r>
      <w:r>
        <w:rPr>
          <w:lang w:val="fr-FR"/>
        </w:rPr>
        <w:t>’</w:t>
      </w:r>
      <w:r w:rsidRPr="00ED6436">
        <w:rPr>
          <w:lang w:val="fr-FR"/>
        </w:rPr>
        <w:t xml:space="preserve">État partie à </w:t>
      </w:r>
      <w:r>
        <w:rPr>
          <w:lang w:val="fr-FR"/>
        </w:rPr>
        <w:t xml:space="preserve">cette </w:t>
      </w:r>
      <w:r w:rsidRPr="00ED6436">
        <w:rPr>
          <w:lang w:val="fr-FR"/>
        </w:rPr>
        <w:t xml:space="preserve">liste constitueront </w:t>
      </w:r>
      <w:r>
        <w:rPr>
          <w:lang w:val="fr-FR"/>
        </w:rPr>
        <w:t xml:space="preserve">le troisième </w:t>
      </w:r>
      <w:r w:rsidRPr="00ED6436">
        <w:rPr>
          <w:lang w:val="fr-FR"/>
        </w:rPr>
        <w:t xml:space="preserve">rapport périodique </w:t>
      </w:r>
      <w:r>
        <w:rPr>
          <w:lang w:val="fr-FR"/>
        </w:rPr>
        <w:t xml:space="preserve">qu’il soumettra en application </w:t>
      </w:r>
      <w:r w:rsidRPr="00ED6436">
        <w:rPr>
          <w:lang w:val="fr-FR"/>
        </w:rPr>
        <w:t>de l</w:t>
      </w:r>
      <w:r>
        <w:rPr>
          <w:lang w:val="fr-FR"/>
        </w:rPr>
        <w:t>’</w:t>
      </w:r>
      <w:r w:rsidRPr="00ED6436">
        <w:rPr>
          <w:lang w:val="fr-FR"/>
        </w:rPr>
        <w:t>article 19 de la Convention.</w:t>
      </w:r>
    </w:p>
    <w:p w:rsidR="006A2880" w:rsidRPr="006A2880" w:rsidRDefault="006A2880" w:rsidP="006A2880">
      <w:pPr>
        <w:pStyle w:val="SingleTxtG"/>
        <w:spacing w:before="240" w:after="0"/>
        <w:jc w:val="center"/>
        <w:rPr>
          <w:u w:val="single"/>
        </w:rPr>
      </w:pPr>
      <w:r>
        <w:rPr>
          <w:u w:val="single"/>
        </w:rPr>
        <w:tab/>
      </w:r>
      <w:r>
        <w:rPr>
          <w:u w:val="single"/>
        </w:rPr>
        <w:tab/>
      </w:r>
      <w:r>
        <w:rPr>
          <w:u w:val="single"/>
        </w:rPr>
        <w:tab/>
      </w:r>
    </w:p>
    <w:sectPr w:rsidR="006A2880" w:rsidRPr="006A2880" w:rsidSect="00381A0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B43" w:rsidRPr="009C4D45" w:rsidRDefault="00BC2B43" w:rsidP="009C4D45">
      <w:pPr>
        <w:pStyle w:val="Pieddepage"/>
      </w:pPr>
    </w:p>
  </w:endnote>
  <w:endnote w:type="continuationSeparator" w:id="0">
    <w:p w:rsidR="00BC2B43" w:rsidRPr="009C4D45" w:rsidRDefault="00BC2B43" w:rsidP="009C4D45">
      <w:pPr>
        <w:pStyle w:val="Pieddepage"/>
      </w:pPr>
    </w:p>
  </w:endnote>
  <w:endnote w:type="continuationNotice" w:id="1">
    <w:p w:rsidR="00BC2B43" w:rsidRDefault="00BC2B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880" w:rsidRPr="00381A08" w:rsidRDefault="006A2880" w:rsidP="00381A08">
    <w:pPr>
      <w:pStyle w:val="Pieddepage"/>
      <w:tabs>
        <w:tab w:val="right" w:pos="9638"/>
      </w:tabs>
    </w:pPr>
    <w:r w:rsidRPr="00381A08">
      <w:rPr>
        <w:b/>
        <w:sz w:val="18"/>
      </w:rPr>
      <w:fldChar w:fldCharType="begin"/>
    </w:r>
    <w:r w:rsidRPr="00381A08">
      <w:rPr>
        <w:b/>
        <w:sz w:val="18"/>
      </w:rPr>
      <w:instrText xml:space="preserve"> PAGE  \* MERGEFORMAT </w:instrText>
    </w:r>
    <w:r w:rsidRPr="00381A08">
      <w:rPr>
        <w:b/>
        <w:sz w:val="18"/>
      </w:rPr>
      <w:fldChar w:fldCharType="separate"/>
    </w:r>
    <w:r w:rsidR="00AB2AB9">
      <w:rPr>
        <w:b/>
        <w:noProof/>
        <w:sz w:val="18"/>
      </w:rPr>
      <w:t>2</w:t>
    </w:r>
    <w:r w:rsidRPr="00381A08">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880" w:rsidRPr="00381A08" w:rsidRDefault="006A2880" w:rsidP="00381A08">
    <w:pPr>
      <w:pStyle w:val="Pieddepage"/>
      <w:tabs>
        <w:tab w:val="right" w:pos="9638"/>
      </w:tabs>
      <w:rPr>
        <w:b/>
        <w:sz w:val="18"/>
      </w:rPr>
    </w:pPr>
    <w:r>
      <w:tab/>
    </w:r>
    <w:r w:rsidRPr="00381A08">
      <w:rPr>
        <w:b/>
        <w:sz w:val="18"/>
      </w:rPr>
      <w:fldChar w:fldCharType="begin"/>
    </w:r>
    <w:r w:rsidRPr="00381A08">
      <w:rPr>
        <w:b/>
        <w:sz w:val="18"/>
      </w:rPr>
      <w:instrText xml:space="preserve"> PAGE  \* MERGEFORMAT </w:instrText>
    </w:r>
    <w:r w:rsidRPr="00381A08">
      <w:rPr>
        <w:b/>
        <w:sz w:val="18"/>
      </w:rPr>
      <w:fldChar w:fldCharType="separate"/>
    </w:r>
    <w:r w:rsidR="00AB2AB9">
      <w:rPr>
        <w:b/>
        <w:noProof/>
        <w:sz w:val="18"/>
      </w:rPr>
      <w:t>3</w:t>
    </w:r>
    <w:r w:rsidRPr="00381A0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880" w:rsidRPr="00381A08" w:rsidRDefault="00623C84" w:rsidP="00623C84">
    <w:pPr>
      <w:pStyle w:val="Pieddepage"/>
      <w:spacing w:before="120"/>
      <w:rPr>
        <w:sz w:val="20"/>
      </w:rPr>
    </w:pPr>
    <w:r w:rsidRPr="00623C84">
      <w:rPr>
        <w:rFonts w:ascii="C39T30Lfz" w:hAnsi="C39T30Lfz"/>
        <w:noProof/>
        <w:sz w:val="56"/>
        <w:lang w:eastAsia="fr-CH"/>
      </w:rPr>
      <w:drawing>
        <wp:anchor distT="0" distB="0" distL="114300" distR="114300" simplePos="0" relativeHeight="251660288" behindDoc="0" locked="0" layoutInCell="1" allowOverlap="0">
          <wp:simplePos x="0" y="0"/>
          <wp:positionH relativeFrom="margin">
            <wp:posOffset>4332415</wp:posOffset>
          </wp:positionH>
          <wp:positionV relativeFrom="margin">
            <wp:posOffset>9112308</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GE.19-21958  (F)</w:t>
    </w:r>
    <w:r>
      <w:rPr>
        <w:sz w:val="20"/>
      </w:rPr>
      <w:br/>
    </w:r>
    <w:r w:rsidRPr="00623C84">
      <w:rPr>
        <w:rFonts w:ascii="C39T30Lfz" w:hAnsi="C39T30Lfz"/>
        <w:sz w:val="56"/>
      </w:rPr>
      <w:t></w:t>
    </w:r>
    <w:r w:rsidRPr="00623C84">
      <w:rPr>
        <w:rFonts w:ascii="C39T30Lfz" w:hAnsi="C39T30Lfz"/>
        <w:sz w:val="56"/>
      </w:rPr>
      <w:t></w:t>
    </w:r>
    <w:r w:rsidRPr="00623C84">
      <w:rPr>
        <w:rFonts w:ascii="C39T30Lfz" w:hAnsi="C39T30Lfz"/>
        <w:sz w:val="56"/>
      </w:rPr>
      <w:t></w:t>
    </w:r>
    <w:r w:rsidRPr="00623C84">
      <w:rPr>
        <w:rFonts w:ascii="C39T30Lfz" w:hAnsi="C39T30Lfz"/>
        <w:sz w:val="56"/>
      </w:rPr>
      <w:t></w:t>
    </w:r>
    <w:r w:rsidRPr="00623C84">
      <w:rPr>
        <w:rFonts w:ascii="C39T30Lfz" w:hAnsi="C39T30Lfz"/>
        <w:sz w:val="56"/>
      </w:rPr>
      <w:t></w:t>
    </w:r>
    <w:r w:rsidRPr="00623C84">
      <w:rPr>
        <w:rFonts w:ascii="C39T30Lfz" w:hAnsi="C39T30Lfz"/>
        <w:sz w:val="56"/>
      </w:rPr>
      <w:t></w:t>
    </w:r>
    <w:r w:rsidRPr="00623C84">
      <w:rPr>
        <w:rFonts w:ascii="C39T30Lfz" w:hAnsi="C39T30Lfz"/>
        <w:sz w:val="56"/>
      </w:rPr>
      <w:t></w:t>
    </w:r>
    <w:r w:rsidRPr="00623C84">
      <w:rPr>
        <w:rFonts w:ascii="C39T30Lfz" w:hAnsi="C39T30Lfz"/>
        <w:sz w:val="56"/>
      </w:rPr>
      <w:t></w:t>
    </w:r>
    <w:r w:rsidRPr="00623C84">
      <w:rPr>
        <w:rFonts w:ascii="C39T30Lfz" w:hAnsi="C39T30Lfz"/>
        <w:sz w:val="56"/>
      </w:rPr>
      <w:t></w:t>
    </w:r>
    <w:r>
      <w:rPr>
        <w:noProof/>
        <w:sz w:val="20"/>
      </w:rPr>
      <w:drawing>
        <wp:anchor distT="0" distB="0" distL="114300" distR="114300" simplePos="0" relativeHeight="251657216"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AT/C/BFA/CO/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BFA/CO/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B43" w:rsidRPr="009C4D45" w:rsidRDefault="00BC2B43" w:rsidP="009C4D45">
      <w:pPr>
        <w:pStyle w:val="Pieddepage"/>
        <w:tabs>
          <w:tab w:val="right" w:pos="2155"/>
        </w:tabs>
        <w:spacing w:after="80" w:line="240" w:lineRule="atLeast"/>
        <w:ind w:left="680"/>
        <w:rPr>
          <w:u w:val="single"/>
        </w:rPr>
      </w:pPr>
      <w:r>
        <w:rPr>
          <w:u w:val="single"/>
        </w:rPr>
        <w:tab/>
      </w:r>
    </w:p>
  </w:footnote>
  <w:footnote w:type="continuationSeparator" w:id="0">
    <w:p w:rsidR="00BC2B43" w:rsidRPr="00035AE4" w:rsidRDefault="00BC2B43" w:rsidP="00035AE4">
      <w:pPr>
        <w:pStyle w:val="Pieddepage"/>
        <w:tabs>
          <w:tab w:val="right" w:pos="2155"/>
        </w:tabs>
        <w:spacing w:after="80" w:line="240" w:lineRule="atLeast"/>
        <w:ind w:left="680"/>
        <w:rPr>
          <w:u w:val="single"/>
        </w:rPr>
      </w:pPr>
      <w:r>
        <w:rPr>
          <w:u w:val="single"/>
        </w:rPr>
        <w:tab/>
      </w:r>
    </w:p>
  </w:footnote>
  <w:footnote w:type="continuationNotice" w:id="1">
    <w:p w:rsidR="00BC2B43" w:rsidRPr="00035AE4" w:rsidRDefault="00BC2B43">
      <w:pPr>
        <w:spacing w:line="240" w:lineRule="auto"/>
        <w:rPr>
          <w:sz w:val="2"/>
          <w:szCs w:val="2"/>
        </w:rPr>
      </w:pPr>
    </w:p>
  </w:footnote>
  <w:footnote w:id="2">
    <w:p w:rsidR="006A2880" w:rsidRPr="00E54B38" w:rsidRDefault="006A2880" w:rsidP="006A2880">
      <w:pPr>
        <w:pStyle w:val="Notedebasdepage"/>
      </w:pPr>
      <w:r>
        <w:rPr>
          <w:rStyle w:val="Appelnotedebasdep"/>
        </w:rPr>
        <w:tab/>
      </w:r>
      <w:r w:rsidRPr="00E54B38">
        <w:rPr>
          <w:rStyle w:val="Appelnotedebasdep"/>
          <w:sz w:val="20"/>
          <w:vertAlign w:val="baseline"/>
        </w:rPr>
        <w:t>*</w:t>
      </w:r>
      <w:r>
        <w:rPr>
          <w:rStyle w:val="Appelnotedebasdep"/>
          <w:sz w:val="20"/>
          <w:vertAlign w:val="baseline"/>
        </w:rPr>
        <w:tab/>
      </w:r>
      <w:r>
        <w:t xml:space="preserve">Adoptées par le Comité à </w:t>
      </w:r>
      <w:r w:rsidRPr="00FE2F0D">
        <w:t>sa soixante-huitième session (11 novembre-6 décembre 2019</w:t>
      </w:r>
      <w:r>
        <w:t>).</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880" w:rsidRPr="00381A08" w:rsidRDefault="002A7BB1">
    <w:pPr>
      <w:pStyle w:val="En-tte"/>
    </w:pPr>
    <w:r>
      <w:fldChar w:fldCharType="begin"/>
    </w:r>
    <w:r>
      <w:instrText xml:space="preserve"> TITLE  \* MERGEFORMAT </w:instrText>
    </w:r>
    <w:r>
      <w:fldChar w:fldCharType="separate"/>
    </w:r>
    <w:r w:rsidR="006A2880">
      <w:t>CAT/C/BFA/CO/2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880" w:rsidRPr="00381A08" w:rsidRDefault="002A7BB1" w:rsidP="00381A08">
    <w:pPr>
      <w:pStyle w:val="En-tte"/>
      <w:jc w:val="right"/>
    </w:pPr>
    <w:r>
      <w:fldChar w:fldCharType="begin"/>
    </w:r>
    <w:r>
      <w:instrText xml:space="preserve"> TITLE  \* MERGEFORMAT </w:instrText>
    </w:r>
    <w:r>
      <w:fldChar w:fldCharType="separate"/>
    </w:r>
    <w:r w:rsidR="006A2880">
      <w:t>CAT/C/BFA/CO/2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D529E6"/>
    <w:multiLevelType w:val="hybridMultilevel"/>
    <w:tmpl w:val="4FBEA9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5B0706"/>
    <w:multiLevelType w:val="hybridMultilevel"/>
    <w:tmpl w:val="358C8DD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E136CF0"/>
    <w:multiLevelType w:val="hybridMultilevel"/>
    <w:tmpl w:val="1384076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291D0435"/>
    <w:multiLevelType w:val="hybridMultilevel"/>
    <w:tmpl w:val="DE5E5FDE"/>
    <w:lvl w:ilvl="0" w:tplc="5024FD36">
      <w:start w:val="1"/>
      <w:numFmt w:val="lowerLetter"/>
      <w:lvlText w:val="%1)"/>
      <w:lvlJc w:val="left"/>
      <w:pPr>
        <w:ind w:left="1854" w:hanging="360"/>
      </w:pPr>
      <w:rPr>
        <w:b w:val="0"/>
        <w:lang w:val="fr-FR"/>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2923572C"/>
    <w:multiLevelType w:val="hybridMultilevel"/>
    <w:tmpl w:val="F1E22270"/>
    <w:lvl w:ilvl="0" w:tplc="66809A24">
      <w:start w:val="1"/>
      <w:numFmt w:val="lowerLetter"/>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F67516E"/>
    <w:multiLevelType w:val="hybridMultilevel"/>
    <w:tmpl w:val="B4A4A2EC"/>
    <w:lvl w:ilvl="0" w:tplc="08090017">
      <w:start w:val="1"/>
      <w:numFmt w:val="lowerLetter"/>
      <w:lvlText w:val="%1)"/>
      <w:lvlJc w:val="left"/>
      <w:pPr>
        <w:ind w:left="1854" w:hanging="360"/>
      </w:pPr>
    </w:lvl>
    <w:lvl w:ilvl="1" w:tplc="08090017">
      <w:start w:val="1"/>
      <w:numFmt w:val="lowerLetter"/>
      <w:lvlText w:val="%2)"/>
      <w:lvlJc w:val="left"/>
      <w:pPr>
        <w:ind w:left="2574" w:hanging="360"/>
      </w:pPr>
      <w:rPr>
        <w:b/>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93A795E"/>
    <w:multiLevelType w:val="hybridMultilevel"/>
    <w:tmpl w:val="4560F490"/>
    <w:lvl w:ilvl="0" w:tplc="FB42D92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15:restartNumberingAfterBreak="0">
    <w:nsid w:val="4F024646"/>
    <w:multiLevelType w:val="hybridMultilevel"/>
    <w:tmpl w:val="F1E470A8"/>
    <w:lvl w:ilvl="0" w:tplc="7A9C2886">
      <w:start w:val="1"/>
      <w:numFmt w:val="lowerLetter"/>
      <w:lvlText w:val="%1)"/>
      <w:lvlJc w:val="left"/>
      <w:pPr>
        <w:ind w:left="2204" w:hanging="360"/>
      </w:pPr>
      <w:rPr>
        <w:rFonts w:hint="default"/>
        <w:b/>
        <w:lang w:val="fr-CH"/>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0" w15:restartNumberingAfterBreak="0">
    <w:nsid w:val="50905B42"/>
    <w:multiLevelType w:val="hybridMultilevel"/>
    <w:tmpl w:val="BF28FF44"/>
    <w:lvl w:ilvl="0" w:tplc="5860DF06">
      <w:start w:val="1"/>
      <w:numFmt w:val="lowerLetter"/>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546F74D1"/>
    <w:multiLevelType w:val="hybridMultilevel"/>
    <w:tmpl w:val="DE8895AC"/>
    <w:lvl w:ilvl="0" w:tplc="88AC9BF4">
      <w:start w:val="1"/>
      <w:numFmt w:val="lowerLetter"/>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602D685A"/>
    <w:multiLevelType w:val="multilevel"/>
    <w:tmpl w:val="602D68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2203FD4"/>
    <w:multiLevelType w:val="hybridMultilevel"/>
    <w:tmpl w:val="F43650F0"/>
    <w:lvl w:ilvl="0" w:tplc="1EAE3C7C">
      <w:start w:val="1"/>
      <w:numFmt w:val="lowerLetter"/>
      <w:lvlText w:val="%1)"/>
      <w:lvlJc w:val="left"/>
      <w:pPr>
        <w:ind w:left="1545" w:hanging="360"/>
      </w:pPr>
      <w:rPr>
        <w:rFonts w:hint="default"/>
      </w:rPr>
    </w:lvl>
    <w:lvl w:ilvl="1" w:tplc="08090019" w:tentative="1">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24"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7D8E0502"/>
    <w:multiLevelType w:val="hybridMultilevel"/>
    <w:tmpl w:val="6800415A"/>
    <w:lvl w:ilvl="0" w:tplc="9C026122">
      <w:start w:val="1"/>
      <w:numFmt w:val="lowerLetter"/>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7E276E50"/>
    <w:multiLevelType w:val="multilevel"/>
    <w:tmpl w:val="7E276E50"/>
    <w:lvl w:ilvl="0">
      <w:start w:val="1"/>
      <w:numFmt w:val="bullet"/>
      <w:lvlText w:val=""/>
      <w:lvlJc w:val="left"/>
      <w:pPr>
        <w:ind w:left="786"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4"/>
  </w:num>
  <w:num w:numId="15">
    <w:abstractNumId w:val="17"/>
  </w:num>
  <w:num w:numId="16">
    <w:abstractNumId w:val="11"/>
  </w:num>
  <w:num w:numId="17">
    <w:abstractNumId w:val="24"/>
  </w:num>
  <w:num w:numId="18">
    <w:abstractNumId w:val="17"/>
  </w:num>
  <w:num w:numId="19">
    <w:abstractNumId w:val="11"/>
  </w:num>
  <w:num w:numId="20">
    <w:abstractNumId w:val="19"/>
  </w:num>
  <w:num w:numId="21">
    <w:abstractNumId w:val="12"/>
  </w:num>
  <w:num w:numId="22">
    <w:abstractNumId w:val="15"/>
  </w:num>
  <w:num w:numId="23">
    <w:abstractNumId w:val="21"/>
  </w:num>
  <w:num w:numId="24">
    <w:abstractNumId w:val="14"/>
  </w:num>
  <w:num w:numId="25">
    <w:abstractNumId w:val="25"/>
  </w:num>
  <w:num w:numId="26">
    <w:abstractNumId w:val="20"/>
  </w:num>
  <w:num w:numId="27">
    <w:abstractNumId w:val="16"/>
  </w:num>
  <w:num w:numId="28">
    <w:abstractNumId w:val="13"/>
  </w:num>
  <w:num w:numId="29">
    <w:abstractNumId w:val="10"/>
  </w:num>
  <w:num w:numId="30">
    <w:abstractNumId w:val="22"/>
  </w:num>
  <w:num w:numId="31">
    <w:abstractNumId w:val="26"/>
  </w:num>
  <w:num w:numId="32">
    <w:abstractNumId w:val="23"/>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hdrShapeDefaults>
    <o:shapedefaults v:ext="edit" spidmax="6146"/>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EF4"/>
    <w:rsid w:val="000169E7"/>
    <w:rsid w:val="00023842"/>
    <w:rsid w:val="00035AE4"/>
    <w:rsid w:val="00037DF1"/>
    <w:rsid w:val="00071F67"/>
    <w:rsid w:val="0007796D"/>
    <w:rsid w:val="00090F5E"/>
    <w:rsid w:val="00101756"/>
    <w:rsid w:val="00110B79"/>
    <w:rsid w:val="00111F2F"/>
    <w:rsid w:val="0014365E"/>
    <w:rsid w:val="00176178"/>
    <w:rsid w:val="001F4924"/>
    <w:rsid w:val="001F525A"/>
    <w:rsid w:val="0020348C"/>
    <w:rsid w:val="00294237"/>
    <w:rsid w:val="00316F52"/>
    <w:rsid w:val="00331CB1"/>
    <w:rsid w:val="00344626"/>
    <w:rsid w:val="00381A08"/>
    <w:rsid w:val="003B5523"/>
    <w:rsid w:val="003C6052"/>
    <w:rsid w:val="003E0244"/>
    <w:rsid w:val="00407256"/>
    <w:rsid w:val="00446FE5"/>
    <w:rsid w:val="004C6DBB"/>
    <w:rsid w:val="004D6539"/>
    <w:rsid w:val="004E6232"/>
    <w:rsid w:val="004F046A"/>
    <w:rsid w:val="004F2C78"/>
    <w:rsid w:val="00546326"/>
    <w:rsid w:val="00553A1F"/>
    <w:rsid w:val="00573BE5"/>
    <w:rsid w:val="00586ED3"/>
    <w:rsid w:val="00587A52"/>
    <w:rsid w:val="005970D5"/>
    <w:rsid w:val="005A2BA3"/>
    <w:rsid w:val="005A51D3"/>
    <w:rsid w:val="005A5CEB"/>
    <w:rsid w:val="005B4E23"/>
    <w:rsid w:val="00621144"/>
    <w:rsid w:val="00623C84"/>
    <w:rsid w:val="0063427D"/>
    <w:rsid w:val="006A2880"/>
    <w:rsid w:val="0071601D"/>
    <w:rsid w:val="00741209"/>
    <w:rsid w:val="007432FB"/>
    <w:rsid w:val="0075632F"/>
    <w:rsid w:val="00781A69"/>
    <w:rsid w:val="007A4B2E"/>
    <w:rsid w:val="007D4EF4"/>
    <w:rsid w:val="00805FAA"/>
    <w:rsid w:val="0080684C"/>
    <w:rsid w:val="00807D21"/>
    <w:rsid w:val="00840C6C"/>
    <w:rsid w:val="00871C75"/>
    <w:rsid w:val="00876C2B"/>
    <w:rsid w:val="008776DC"/>
    <w:rsid w:val="00881C2D"/>
    <w:rsid w:val="009705C8"/>
    <w:rsid w:val="009C4D45"/>
    <w:rsid w:val="009D1ED7"/>
    <w:rsid w:val="009F531E"/>
    <w:rsid w:val="00A007BC"/>
    <w:rsid w:val="00A05770"/>
    <w:rsid w:val="00A37C92"/>
    <w:rsid w:val="00A704A8"/>
    <w:rsid w:val="00A93510"/>
    <w:rsid w:val="00AA0CD3"/>
    <w:rsid w:val="00AB1B55"/>
    <w:rsid w:val="00AB2AB9"/>
    <w:rsid w:val="00AE3208"/>
    <w:rsid w:val="00AE323C"/>
    <w:rsid w:val="00B83B33"/>
    <w:rsid w:val="00BA41F4"/>
    <w:rsid w:val="00BC0E5B"/>
    <w:rsid w:val="00BC2B43"/>
    <w:rsid w:val="00BF4532"/>
    <w:rsid w:val="00C02897"/>
    <w:rsid w:val="00C62DE6"/>
    <w:rsid w:val="00C67F33"/>
    <w:rsid w:val="00C76FD9"/>
    <w:rsid w:val="00CA5CE1"/>
    <w:rsid w:val="00CD326D"/>
    <w:rsid w:val="00D048BA"/>
    <w:rsid w:val="00D21E12"/>
    <w:rsid w:val="00DB1831"/>
    <w:rsid w:val="00DD3BFD"/>
    <w:rsid w:val="00E5476C"/>
    <w:rsid w:val="00E554A4"/>
    <w:rsid w:val="00EA0D23"/>
    <w:rsid w:val="00EA3F83"/>
    <w:rsid w:val="00EE6EA3"/>
    <w:rsid w:val="00F171BB"/>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967D2C7F-D938-45F7-A9F1-6F4AE175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D6539"/>
    <w:pPr>
      <w:spacing w:after="120"/>
      <w:ind w:left="1134" w:right="1134"/>
      <w:jc w:val="both"/>
    </w:p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paragraph" w:styleId="Paragraphedeliste">
    <w:name w:val="List Paragraph"/>
    <w:basedOn w:val="Normal"/>
    <w:uiPriority w:val="34"/>
    <w:qFormat/>
    <w:rsid w:val="006A2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8</Pages>
  <Words>4308</Words>
  <Characters>23225</Characters>
  <Application>Microsoft Office Word</Application>
  <DocSecurity>0</DocSecurity>
  <Lines>387</Lines>
  <Paragraphs>122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CAT/C/BFA/CO/2</vt:lpstr>
      <vt:lpstr>CAT/C/BFA/CO/2</vt:lpstr>
    </vt:vector>
  </TitlesOfParts>
  <Company>DCM</Company>
  <LinksUpToDate>false</LinksUpToDate>
  <CharactersWithSpaces>27411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CAT/C/BFA/CO/2</dc:title>
  <dc:subject/>
  <dc:creator>Nathalie VITTOZ</dc:creator>
  <cp:keywords/>
  <cp:lastModifiedBy>Nicolas Morin</cp:lastModifiedBy>
  <cp:revision>2</cp:revision>
  <dcterms:created xsi:type="dcterms:W3CDTF">2019-12-19T06:53:00Z</dcterms:created>
  <dcterms:modified xsi:type="dcterms:W3CDTF">2019-12-19T06:53:00Z</dcterms:modified>
</cp:coreProperties>
</file>