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AD25A9">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AD25A9" w:rsidP="00AD25A9">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5C3466" w:rsidP="005C3466">
            <w:pPr>
              <w:jc w:val="right"/>
            </w:pPr>
            <w:r w:rsidRPr="005C3466">
              <w:rPr>
                <w:sz w:val="40"/>
              </w:rPr>
              <w:t>CERD</w:t>
            </w:r>
            <w:r>
              <w:t>/C/SVN/CO/6-7</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AD25A9"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AD25A9" w:rsidRPr="000B4EF7" w:rsidRDefault="00AD25A9" w:rsidP="00AD25A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7369EB" w:rsidRPr="007369EB" w:rsidRDefault="007369EB" w:rsidP="007369EB"/>
        </w:tc>
        <w:tc>
          <w:tcPr>
            <w:tcW w:w="2930" w:type="dxa"/>
            <w:tcBorders>
              <w:top w:val="single" w:sz="4" w:space="0" w:color="auto"/>
              <w:left w:val="nil"/>
              <w:bottom w:val="single" w:sz="12" w:space="0" w:color="auto"/>
              <w:right w:val="nil"/>
            </w:tcBorders>
          </w:tcPr>
          <w:p w:rsidR="00AD25A9" w:rsidRDefault="00AD25A9" w:rsidP="00EF6E4D">
            <w:pPr>
              <w:spacing w:line="240" w:lineRule="exact"/>
            </w:pPr>
          </w:p>
          <w:p w:rsidR="00AD25A9" w:rsidRDefault="005C3466" w:rsidP="00EF6E4D">
            <w:pPr>
              <w:spacing w:line="240" w:lineRule="exact"/>
            </w:pPr>
            <w:r>
              <w:t xml:space="preserve">Distr.: </w:t>
            </w:r>
            <w:r w:rsidR="00AD25A9">
              <w:t xml:space="preserve"> General </w:t>
            </w:r>
          </w:p>
          <w:p w:rsidR="005C3466" w:rsidRDefault="001E1568" w:rsidP="00102324">
            <w:pPr>
              <w:spacing w:line="240" w:lineRule="exact"/>
            </w:pPr>
            <w:r>
              <w:t>20</w:t>
            </w:r>
            <w:r w:rsidR="00102324">
              <w:t xml:space="preserve"> September</w:t>
            </w:r>
            <w:r w:rsidR="005C3466">
              <w:t xml:space="preserve"> 2010</w:t>
            </w:r>
          </w:p>
          <w:p w:rsidR="005C3466" w:rsidRDefault="005C3466" w:rsidP="005C3466">
            <w:pPr>
              <w:spacing w:line="240" w:lineRule="exact"/>
            </w:pPr>
          </w:p>
          <w:p w:rsidR="007369EB" w:rsidRDefault="005C3466" w:rsidP="005C3466">
            <w:pPr>
              <w:spacing w:line="240" w:lineRule="exact"/>
            </w:pPr>
            <w:r>
              <w:t>Original: English</w:t>
            </w:r>
          </w:p>
          <w:p w:rsidR="001F65DA" w:rsidRDefault="001F65DA" w:rsidP="005C3466">
            <w:pPr>
              <w:spacing w:line="240" w:lineRule="exact"/>
            </w:pPr>
          </w:p>
          <w:p w:rsidR="001F65DA" w:rsidRDefault="001F65DA" w:rsidP="005C3466">
            <w:pPr>
              <w:spacing w:line="240" w:lineRule="exact"/>
            </w:pPr>
          </w:p>
        </w:tc>
      </w:tr>
    </w:tbl>
    <w:p w:rsidR="005C3466" w:rsidRPr="000D07A1" w:rsidRDefault="005C3466" w:rsidP="005C3466">
      <w:pPr>
        <w:spacing w:before="120"/>
        <w:rPr>
          <w:b/>
          <w:bCs/>
          <w:sz w:val="24"/>
          <w:szCs w:val="24"/>
        </w:rPr>
      </w:pPr>
      <w:r w:rsidRPr="000D07A1">
        <w:rPr>
          <w:b/>
          <w:bCs/>
          <w:sz w:val="24"/>
          <w:szCs w:val="24"/>
        </w:rPr>
        <w:t xml:space="preserve">Committee on the Elimination of Racial Discrimination </w:t>
      </w:r>
    </w:p>
    <w:p w:rsidR="005C3466" w:rsidRPr="000D07A1" w:rsidRDefault="005C3466" w:rsidP="005C3466">
      <w:pPr>
        <w:pStyle w:val="Default"/>
        <w:rPr>
          <w:b/>
          <w:bCs/>
          <w:sz w:val="20"/>
          <w:szCs w:val="20"/>
        </w:rPr>
      </w:pPr>
      <w:r w:rsidRPr="000D07A1">
        <w:rPr>
          <w:b/>
          <w:bCs/>
          <w:sz w:val="20"/>
          <w:szCs w:val="20"/>
        </w:rPr>
        <w:t>Seventy</w:t>
      </w:r>
      <w:r w:rsidR="00DC4395">
        <w:rPr>
          <w:b/>
          <w:bCs/>
          <w:sz w:val="20"/>
          <w:szCs w:val="20"/>
        </w:rPr>
        <w:t>–</w:t>
      </w:r>
      <w:r>
        <w:rPr>
          <w:b/>
          <w:bCs/>
          <w:sz w:val="20"/>
          <w:szCs w:val="20"/>
        </w:rPr>
        <w:t>seventh</w:t>
      </w:r>
      <w:r w:rsidRPr="000D07A1">
        <w:rPr>
          <w:b/>
          <w:bCs/>
          <w:sz w:val="20"/>
          <w:szCs w:val="20"/>
        </w:rPr>
        <w:t xml:space="preserve"> session </w:t>
      </w:r>
    </w:p>
    <w:p w:rsidR="005C3466" w:rsidRPr="000D07A1" w:rsidRDefault="005C3466" w:rsidP="005C3466">
      <w:pPr>
        <w:pStyle w:val="Default"/>
        <w:rPr>
          <w:sz w:val="20"/>
          <w:szCs w:val="20"/>
        </w:rPr>
      </w:pPr>
      <w:r>
        <w:rPr>
          <w:sz w:val="20"/>
          <w:szCs w:val="20"/>
        </w:rPr>
        <w:t>2</w:t>
      </w:r>
      <w:r w:rsidR="00DC4395">
        <w:rPr>
          <w:sz w:val="20"/>
          <w:szCs w:val="20"/>
        </w:rPr>
        <w:t>–</w:t>
      </w:r>
      <w:r w:rsidRPr="000D07A1">
        <w:rPr>
          <w:sz w:val="20"/>
          <w:szCs w:val="20"/>
        </w:rPr>
        <w:t>2</w:t>
      </w:r>
      <w:r>
        <w:rPr>
          <w:sz w:val="20"/>
          <w:szCs w:val="20"/>
        </w:rPr>
        <w:t>7 August</w:t>
      </w:r>
      <w:r w:rsidRPr="000D07A1">
        <w:rPr>
          <w:sz w:val="20"/>
          <w:szCs w:val="20"/>
        </w:rPr>
        <w:t xml:space="preserve"> 2010 </w:t>
      </w:r>
    </w:p>
    <w:p w:rsidR="005C3466" w:rsidRPr="00FC7CFC" w:rsidRDefault="005C3466" w:rsidP="005C3466">
      <w:pPr>
        <w:pStyle w:val="HChG"/>
        <w:rPr>
          <w:lang w:val="en-US"/>
        </w:rPr>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convention </w:t>
      </w:r>
    </w:p>
    <w:p w:rsidR="005C3466" w:rsidRPr="005C3466" w:rsidRDefault="005C3466" w:rsidP="005C3466">
      <w:pPr>
        <w:pStyle w:val="H1G"/>
      </w:pPr>
      <w:r>
        <w:tab/>
      </w:r>
      <w:r>
        <w:tab/>
        <w:t xml:space="preserve">Concluding observations of the Committee on the Elimination of Racial Discrimination </w:t>
      </w:r>
    </w:p>
    <w:p w:rsidR="005C3466" w:rsidRPr="009419E4" w:rsidRDefault="005C3466" w:rsidP="005C3466">
      <w:pPr>
        <w:pStyle w:val="H1G"/>
        <w:rPr>
          <w:szCs w:val="24"/>
          <w:lang w:val="en-US"/>
        </w:rPr>
      </w:pPr>
      <w:r>
        <w:rPr>
          <w:szCs w:val="24"/>
          <w:lang w:val="en-US"/>
        </w:rPr>
        <w:tab/>
      </w:r>
      <w:r>
        <w:rPr>
          <w:szCs w:val="24"/>
          <w:lang w:val="en-US"/>
        </w:rPr>
        <w:tab/>
      </w:r>
      <w:smartTag w:uri="urn:schemas-microsoft-com:office:smarttags" w:element="country-region">
        <w:smartTag w:uri="urn:schemas-microsoft-com:office:smarttags" w:element="place">
          <w:r w:rsidRPr="009419E4">
            <w:rPr>
              <w:szCs w:val="24"/>
              <w:lang w:val="en-US"/>
            </w:rPr>
            <w:t>Slovenia</w:t>
          </w:r>
        </w:smartTag>
      </w:smartTag>
    </w:p>
    <w:p w:rsidR="005C3466" w:rsidRPr="009419E4" w:rsidRDefault="005C3466" w:rsidP="005C3466">
      <w:pPr>
        <w:pStyle w:val="SingleTxtG"/>
      </w:pPr>
      <w:r w:rsidRPr="009419E4">
        <w:t>1.</w:t>
      </w:r>
      <w:r w:rsidRPr="009419E4">
        <w:tab/>
      </w:r>
      <w:r w:rsidRPr="00663F42">
        <w:t xml:space="preserve">The Committee considered the sixth and seventh periodic reports of </w:t>
      </w:r>
      <w:smartTag w:uri="urn:schemas-microsoft-com:office:smarttags" w:element="place">
        <w:smartTag w:uri="urn:schemas-microsoft-com:office:smarttags" w:element="country-region">
          <w:r w:rsidRPr="00663F42">
            <w:t>Slovenia</w:t>
          </w:r>
        </w:smartTag>
      </w:smartTag>
      <w:r w:rsidRPr="00663F42">
        <w:t xml:space="preserve"> (CERD/C/SV</w:t>
      </w:r>
      <w:r w:rsidR="00F1104B" w:rsidRPr="00663F42">
        <w:t>N</w:t>
      </w:r>
      <w:r w:rsidRPr="00663F42">
        <w:t>/7), submitted in one document, at its 2028th and 2029th meetings (CERD/C/SR.2028 and CERD/C/SR.2029), held on 12 and 13 August 2010. At its</w:t>
      </w:r>
      <w:r w:rsidR="009740CC" w:rsidRPr="00663F42">
        <w:t xml:space="preserve"> 2044</w:t>
      </w:r>
      <w:r w:rsidR="009740CC" w:rsidRPr="00663F42">
        <w:rPr>
          <w:vertAlign w:val="superscript"/>
        </w:rPr>
        <w:t>th</w:t>
      </w:r>
      <w:r w:rsidR="009740CC" w:rsidRPr="00663F42">
        <w:t xml:space="preserve"> </w:t>
      </w:r>
      <w:r w:rsidRPr="00663F42">
        <w:t>meetings (CERD/C/SR.</w:t>
      </w:r>
      <w:r w:rsidR="009740CC" w:rsidRPr="00663F42">
        <w:t>2044</w:t>
      </w:r>
      <w:r w:rsidRPr="00663F42">
        <w:t>), held on</w:t>
      </w:r>
      <w:r w:rsidR="009740CC" w:rsidRPr="00663F42">
        <w:t xml:space="preserve"> 24 August </w:t>
      </w:r>
      <w:r w:rsidRPr="00663F42">
        <w:t>2010, it adopted the following concluding observations.</w:t>
      </w:r>
    </w:p>
    <w:p w:rsidR="005C3466" w:rsidRDefault="005C3466" w:rsidP="005C3466">
      <w:pPr>
        <w:pStyle w:val="H1G"/>
      </w:pPr>
      <w:r>
        <w:tab/>
        <w:t>A.</w:t>
      </w:r>
      <w:r>
        <w:tab/>
      </w:r>
      <w:r w:rsidRPr="009419E4">
        <w:t>Introduction</w:t>
      </w:r>
    </w:p>
    <w:p w:rsidR="005C3466" w:rsidRDefault="005C3466" w:rsidP="005C3466">
      <w:pPr>
        <w:pStyle w:val="SingleTxtG"/>
      </w:pPr>
      <w:r>
        <w:t>2.</w:t>
      </w:r>
      <w:r>
        <w:tab/>
      </w:r>
      <w:r w:rsidRPr="009419E4">
        <w:t>The Committee welcomes the submission of the combined sixth and seventh periodic reports</w:t>
      </w:r>
      <w:r>
        <w:t xml:space="preserve"> of the State party</w:t>
      </w:r>
      <w:r w:rsidRPr="009419E4">
        <w:t xml:space="preserve">, </w:t>
      </w:r>
      <w:r w:rsidRPr="00B47BD0">
        <w:t>which included responses to the concerns raised in the Committee’s previous conclud</w:t>
      </w:r>
      <w:r>
        <w:t>ing observations (CERD/C/62/CO/9</w:t>
      </w:r>
      <w:r w:rsidRPr="00B47BD0">
        <w:t>), and</w:t>
      </w:r>
      <w:r w:rsidRPr="009419E4">
        <w:t xml:space="preserve"> the opportunity thus offered </w:t>
      </w:r>
      <w:r w:rsidRPr="009419E4">
        <w:rPr>
          <w:lang w:val="en-US"/>
        </w:rPr>
        <w:t>to resume the dialogue with the State party</w:t>
      </w:r>
      <w:r w:rsidRPr="009419E4">
        <w:t>. It also expresses appreciation for the frank and sincere dialogue held with the delegation</w:t>
      </w:r>
      <w:r w:rsidR="006C585C">
        <w:t>,</w:t>
      </w:r>
      <w:r w:rsidRPr="009419E4">
        <w:t xml:space="preserve"> as well as the oral responses provided to the list of </w:t>
      </w:r>
      <w:r>
        <w:t>themes</w:t>
      </w:r>
      <w:r w:rsidRPr="009419E4">
        <w:t xml:space="preserve"> and the wide range of questions posed by Committee members.</w:t>
      </w:r>
    </w:p>
    <w:p w:rsidR="005C3466" w:rsidRPr="009419E4" w:rsidRDefault="005C3466" w:rsidP="005C3466">
      <w:pPr>
        <w:pStyle w:val="H1G"/>
      </w:pPr>
      <w:r>
        <w:tab/>
      </w:r>
      <w:r w:rsidRPr="009419E4">
        <w:t>B.</w:t>
      </w:r>
      <w:r w:rsidRPr="009419E4">
        <w:tab/>
        <w:t>Positive aspects</w:t>
      </w:r>
    </w:p>
    <w:p w:rsidR="00BD4F15" w:rsidRPr="00585F8E" w:rsidRDefault="005C3466" w:rsidP="006C585C">
      <w:pPr>
        <w:pStyle w:val="SingleTxtG"/>
        <w:rPr>
          <w:rFonts w:ascii="Tms Rmn" w:hAnsi="Tms Rmn" w:cs="Tms Rmn"/>
          <w:lang w:val="sl-SI" w:eastAsia="sl-SI"/>
        </w:rPr>
      </w:pPr>
      <w:r>
        <w:rPr>
          <w:rFonts w:eastAsia="SimSun"/>
          <w:lang w:val="en-US" w:eastAsia="zh-CN"/>
        </w:rPr>
        <w:t>3.</w:t>
      </w:r>
      <w:r>
        <w:rPr>
          <w:rFonts w:eastAsia="SimSun"/>
          <w:lang w:val="en-US" w:eastAsia="zh-CN"/>
        </w:rPr>
        <w:tab/>
      </w:r>
      <w:r w:rsidRPr="006D7E41">
        <w:rPr>
          <w:lang w:val="en-US"/>
        </w:rPr>
        <w:t xml:space="preserve">The Committee notes with satisfaction </w:t>
      </w:r>
      <w:r>
        <w:rPr>
          <w:lang w:val="en-US"/>
        </w:rPr>
        <w:t>the establishment of</w:t>
      </w:r>
      <w:r w:rsidRPr="006D7E41">
        <w:rPr>
          <w:lang w:val="en-US"/>
        </w:rPr>
        <w:t xml:space="preserve"> </w:t>
      </w:r>
      <w:r w:rsidR="00BD4F15" w:rsidRPr="00585F8E">
        <w:rPr>
          <w:rFonts w:ascii="Tms Rmn" w:hAnsi="Tms Rmn" w:cs="Tms Rmn"/>
          <w:lang w:val="sl-SI" w:eastAsia="sl-SI"/>
        </w:rPr>
        <w:t xml:space="preserve">two programes: </w:t>
      </w:r>
      <w:r w:rsidR="006C585C" w:rsidRPr="00585F8E">
        <w:rPr>
          <w:rFonts w:ascii="Tms Rmn" w:hAnsi="Tms Rmn" w:cs="Tms Rmn"/>
          <w:lang w:val="sl-SI" w:eastAsia="sl-SI"/>
        </w:rPr>
        <w:t xml:space="preserve">the </w:t>
      </w:r>
      <w:r w:rsidR="00BD4F15" w:rsidRPr="00585F8E">
        <w:rPr>
          <w:rFonts w:ascii="Tms Rmn" w:hAnsi="Tms Rmn" w:cs="Tms Rmn"/>
          <w:lang w:val="sl-SI" w:eastAsia="sl-SI"/>
        </w:rPr>
        <w:t>program</w:t>
      </w:r>
      <w:r w:rsidR="006C585C" w:rsidRPr="00585F8E">
        <w:rPr>
          <w:rFonts w:ascii="Tms Rmn" w:hAnsi="Tms Rmn" w:cs="Tms Rmn"/>
          <w:lang w:val="sl-SI" w:eastAsia="sl-SI"/>
        </w:rPr>
        <w:t>me</w:t>
      </w:r>
      <w:r w:rsidR="00BD4F15" w:rsidRPr="00585F8E">
        <w:rPr>
          <w:rFonts w:ascii="Tms Rmn" w:hAnsi="Tms Rmn" w:cs="Tms Rmn"/>
          <w:lang w:val="sl-SI" w:eastAsia="sl-SI"/>
        </w:rPr>
        <w:t xml:space="preserve"> </w:t>
      </w:r>
      <w:r w:rsidR="006C585C" w:rsidRPr="00585F8E">
        <w:rPr>
          <w:rFonts w:ascii="Tms Rmn" w:hAnsi="Tms Rmn" w:cs="Tms Rmn"/>
          <w:lang w:val="sl-SI" w:eastAsia="sl-SI"/>
        </w:rPr>
        <w:t>for</w:t>
      </w:r>
      <w:r w:rsidR="00510563" w:rsidRPr="00585F8E">
        <w:rPr>
          <w:rFonts w:ascii="Tms Rmn" w:hAnsi="Tms Rmn" w:cs="Tms Rmn"/>
          <w:lang w:val="sl-SI" w:eastAsia="sl-SI"/>
        </w:rPr>
        <w:t xml:space="preserve"> special</w:t>
      </w:r>
      <w:r w:rsidR="00BD4F15" w:rsidRPr="00585F8E">
        <w:rPr>
          <w:rFonts w:ascii="Tms Rmn" w:hAnsi="Tms Rmn" w:cs="Tms Rmn"/>
          <w:lang w:val="sl-SI" w:eastAsia="sl-SI"/>
        </w:rPr>
        <w:t xml:space="preserve"> care and </w:t>
      </w:r>
      <w:r w:rsidR="006C585C" w:rsidRPr="00585F8E">
        <w:rPr>
          <w:rFonts w:ascii="Tms Rmn" w:hAnsi="Tms Rmn" w:cs="Tms Rmn"/>
          <w:lang w:val="sl-SI" w:eastAsia="sl-SI"/>
        </w:rPr>
        <w:t xml:space="preserve">the </w:t>
      </w:r>
      <w:r w:rsidR="00BD4F15" w:rsidRPr="00585F8E">
        <w:rPr>
          <w:rFonts w:ascii="Tms Rmn" w:hAnsi="Tms Rmn" w:cs="Tms Rmn"/>
          <w:lang w:val="sl-SI" w:eastAsia="sl-SI"/>
        </w:rPr>
        <w:t>program</w:t>
      </w:r>
      <w:r w:rsidR="006C585C" w:rsidRPr="00585F8E">
        <w:rPr>
          <w:rFonts w:ascii="Tms Rmn" w:hAnsi="Tms Rmn" w:cs="Tms Rmn"/>
          <w:lang w:val="sl-SI" w:eastAsia="sl-SI"/>
        </w:rPr>
        <w:t>me</w:t>
      </w:r>
      <w:r w:rsidR="00BD4F15" w:rsidRPr="00585F8E">
        <w:rPr>
          <w:rFonts w:ascii="Tms Rmn" w:hAnsi="Tms Rmn" w:cs="Tms Rmn"/>
          <w:lang w:val="sl-SI" w:eastAsia="sl-SI"/>
        </w:rPr>
        <w:t xml:space="preserve"> for integration within the Ministry of Culture aimed at combating social exclusion and marginalization of the ethnic minorities residing in </w:t>
      </w:r>
      <w:smartTag w:uri="urn:schemas-microsoft-com:office:smarttags" w:element="country-region">
        <w:smartTag w:uri="urn:schemas-microsoft-com:office:smarttags" w:element="place">
          <w:r w:rsidR="00BD4F15" w:rsidRPr="00585F8E">
            <w:rPr>
              <w:rFonts w:ascii="Tms Rmn" w:hAnsi="Tms Rmn" w:cs="Tms Rmn"/>
              <w:lang w:val="sl-SI" w:eastAsia="sl-SI"/>
            </w:rPr>
            <w:t>Slovenia</w:t>
          </w:r>
        </w:smartTag>
      </w:smartTag>
      <w:r w:rsidR="00BD4F15" w:rsidRPr="00585F8E">
        <w:rPr>
          <w:rFonts w:ascii="Tms Rmn" w:hAnsi="Tms Rmn" w:cs="Tms Rmn"/>
          <w:lang w:val="sl-SI" w:eastAsia="sl-SI"/>
        </w:rPr>
        <w:t>.</w:t>
      </w:r>
    </w:p>
    <w:p w:rsidR="005C3466" w:rsidRPr="007D38CF" w:rsidRDefault="005C3466" w:rsidP="00157E9B">
      <w:pPr>
        <w:pStyle w:val="SingleTxtG"/>
        <w:rPr>
          <w:rFonts w:eastAsia="SimSun"/>
          <w:lang w:val="en-US" w:eastAsia="zh-CN"/>
        </w:rPr>
      </w:pPr>
      <w:r w:rsidRPr="007D38CF">
        <w:rPr>
          <w:rFonts w:eastAsia="SimSun"/>
          <w:lang w:val="en-US" w:eastAsia="zh-CN"/>
        </w:rPr>
        <w:t>4.</w:t>
      </w:r>
      <w:r w:rsidRPr="007D38CF">
        <w:rPr>
          <w:rFonts w:eastAsia="SimSun"/>
          <w:lang w:val="en-US" w:eastAsia="zh-CN"/>
        </w:rPr>
        <w:tab/>
      </w:r>
      <w:r>
        <w:t>The Committee welcomes the adoption of a project called “promotion of employability, education and social inclusion of migrant workers and their families”</w:t>
      </w:r>
      <w:r w:rsidR="00157E9B">
        <w:t xml:space="preserve">. Its objective is to establish an “Info Point” to facilitate and help prevent exploitation and </w:t>
      </w:r>
      <w:r>
        <w:t xml:space="preserve">discrimination </w:t>
      </w:r>
      <w:r w:rsidR="00157E9B">
        <w:t xml:space="preserve">of migrant workers </w:t>
      </w:r>
      <w:r w:rsidR="00A85314">
        <w:t>and</w:t>
      </w:r>
      <w:r>
        <w:t xml:space="preserve"> improve the</w:t>
      </w:r>
      <w:r w:rsidR="00157E9B">
        <w:t>ir</w:t>
      </w:r>
      <w:r>
        <w:t xml:space="preserve"> employment opportunities in the </w:t>
      </w:r>
      <w:r w:rsidR="00157E9B">
        <w:t>State party.</w:t>
      </w:r>
    </w:p>
    <w:p w:rsidR="005C3466" w:rsidRPr="007D38CF" w:rsidRDefault="005C3466" w:rsidP="00C208EA">
      <w:pPr>
        <w:pStyle w:val="SingleTxtG"/>
        <w:rPr>
          <w:lang w:val="en-US"/>
        </w:rPr>
      </w:pPr>
      <w:r w:rsidRPr="007D38CF">
        <w:rPr>
          <w:lang w:val="en-US"/>
        </w:rPr>
        <w:t>5.</w:t>
      </w:r>
      <w:r w:rsidRPr="007D38CF">
        <w:rPr>
          <w:lang w:val="en-US"/>
        </w:rPr>
        <w:tab/>
      </w:r>
      <w:r w:rsidRPr="007D38CF">
        <w:rPr>
          <w:rFonts w:eastAsia="SimSun"/>
          <w:lang w:val="en-US" w:eastAsia="zh-CN"/>
        </w:rPr>
        <w:t>The Committee welcomes the</w:t>
      </w:r>
      <w:r>
        <w:rPr>
          <w:rFonts w:eastAsia="SimSun"/>
          <w:lang w:val="en-US" w:eastAsia="zh-CN"/>
        </w:rPr>
        <w:t xml:space="preserve"> following</w:t>
      </w:r>
      <w:r w:rsidRPr="007D38CF">
        <w:rPr>
          <w:rFonts w:eastAsia="SimSun"/>
          <w:lang w:val="en-US" w:eastAsia="zh-CN"/>
        </w:rPr>
        <w:t xml:space="preserve"> legislative and institutional developments in combating </w:t>
      </w:r>
      <w:r w:rsidR="00C208EA" w:rsidRPr="007D38CF">
        <w:rPr>
          <w:rFonts w:eastAsia="SimSun"/>
          <w:lang w:val="en-US" w:eastAsia="zh-CN"/>
        </w:rPr>
        <w:t>racial discrimination</w:t>
      </w:r>
      <w:r w:rsidRPr="007D38CF">
        <w:rPr>
          <w:rFonts w:eastAsia="SimSun"/>
          <w:lang w:val="en-US" w:eastAsia="zh-CN"/>
        </w:rPr>
        <w:t xml:space="preserve"> </w:t>
      </w:r>
      <w:r w:rsidR="00C208EA">
        <w:rPr>
          <w:rFonts w:eastAsia="SimSun"/>
          <w:lang w:val="en-US" w:eastAsia="zh-CN"/>
        </w:rPr>
        <w:t>of</w:t>
      </w:r>
      <w:r w:rsidRPr="007D38CF">
        <w:rPr>
          <w:rFonts w:eastAsia="SimSun"/>
          <w:lang w:val="en-US" w:eastAsia="zh-CN"/>
        </w:rPr>
        <w:t xml:space="preserve"> the Roma community in </w:t>
      </w:r>
      <w:smartTag w:uri="urn:schemas-microsoft-com:office:smarttags" w:element="place">
        <w:smartTag w:uri="urn:schemas-microsoft-com:office:smarttags" w:element="country-region">
          <w:r w:rsidRPr="007D38CF">
            <w:rPr>
              <w:rFonts w:eastAsia="SimSun"/>
              <w:lang w:val="en-US" w:eastAsia="zh-CN"/>
            </w:rPr>
            <w:t>Slovenia</w:t>
          </w:r>
        </w:smartTag>
      </w:smartTag>
      <w:r w:rsidRPr="007D38CF">
        <w:rPr>
          <w:rFonts w:eastAsia="SimSun"/>
          <w:lang w:val="en-US" w:eastAsia="zh-CN"/>
        </w:rPr>
        <w:t xml:space="preserve">: </w:t>
      </w:r>
    </w:p>
    <w:p w:rsidR="005C3466" w:rsidRDefault="005C3466" w:rsidP="00163D1E">
      <w:pPr>
        <w:pStyle w:val="SingleTxtG"/>
        <w:rPr>
          <w:rFonts w:eastAsia="SimSun"/>
          <w:lang w:val="en-US" w:eastAsia="zh-CN"/>
        </w:rPr>
      </w:pPr>
      <w:r>
        <w:rPr>
          <w:rFonts w:eastAsia="SimSun"/>
          <w:lang w:val="en-US" w:eastAsia="zh-CN"/>
        </w:rPr>
        <w:tab/>
        <w:t>(a)</w:t>
      </w:r>
      <w:r>
        <w:rPr>
          <w:rFonts w:eastAsia="SimSun"/>
          <w:lang w:val="en-US" w:eastAsia="zh-CN"/>
        </w:rPr>
        <w:tab/>
      </w:r>
      <w:r w:rsidR="00A85314" w:rsidRPr="007D38CF">
        <w:rPr>
          <w:rFonts w:eastAsia="SimSun"/>
          <w:lang w:val="en-US" w:eastAsia="zh-CN"/>
        </w:rPr>
        <w:t>The</w:t>
      </w:r>
      <w:r w:rsidR="00A85314">
        <w:rPr>
          <w:rFonts w:eastAsia="SimSun"/>
          <w:lang w:val="en-US" w:eastAsia="zh-CN"/>
        </w:rPr>
        <w:t xml:space="preserve"> </w:t>
      </w:r>
      <w:r>
        <w:rPr>
          <w:rFonts w:eastAsia="SimSun"/>
          <w:lang w:val="en-US" w:eastAsia="zh-CN"/>
        </w:rPr>
        <w:t>adoption in March 2010 of the</w:t>
      </w:r>
      <w:r w:rsidRPr="007D38CF">
        <w:rPr>
          <w:rFonts w:eastAsia="SimSun"/>
          <w:lang w:val="en-US" w:eastAsia="zh-CN"/>
        </w:rPr>
        <w:t xml:space="preserve"> </w:t>
      </w:r>
      <w:r>
        <w:rPr>
          <w:rFonts w:eastAsia="SimSun"/>
          <w:lang w:val="en-US" w:eastAsia="zh-CN"/>
        </w:rPr>
        <w:t>N</w:t>
      </w:r>
      <w:r w:rsidRPr="007D38CF">
        <w:rPr>
          <w:rFonts w:eastAsia="SimSun"/>
          <w:lang w:val="en-US" w:eastAsia="zh-CN"/>
        </w:rPr>
        <w:t xml:space="preserve">ational </w:t>
      </w:r>
      <w:r>
        <w:rPr>
          <w:rFonts w:eastAsia="SimSun"/>
          <w:lang w:val="en-US" w:eastAsia="zh-CN"/>
        </w:rPr>
        <w:t>Programme of M</w:t>
      </w:r>
      <w:r w:rsidRPr="007D38CF">
        <w:rPr>
          <w:rFonts w:eastAsia="SimSun"/>
          <w:lang w:val="en-US" w:eastAsia="zh-CN"/>
        </w:rPr>
        <w:t>easures for Roma</w:t>
      </w:r>
      <w:r>
        <w:rPr>
          <w:rFonts w:eastAsia="SimSun"/>
          <w:lang w:val="en-US" w:eastAsia="zh-CN"/>
        </w:rPr>
        <w:t xml:space="preserve"> P</w:t>
      </w:r>
      <w:r w:rsidRPr="007D38CF">
        <w:rPr>
          <w:rFonts w:eastAsia="SimSun"/>
          <w:lang w:val="en-US" w:eastAsia="zh-CN"/>
        </w:rPr>
        <w:t>eople for the 2010–2015 period</w:t>
      </w:r>
      <w:r w:rsidR="00163D1E">
        <w:rPr>
          <w:rFonts w:eastAsia="SimSun"/>
          <w:lang w:val="en-US" w:eastAsia="zh-CN"/>
        </w:rPr>
        <w:t xml:space="preserve">. This programme </w:t>
      </w:r>
      <w:r>
        <w:rPr>
          <w:rFonts w:eastAsia="SimSun"/>
          <w:lang w:val="en-US" w:eastAsia="zh-CN"/>
        </w:rPr>
        <w:t>outlines</w:t>
      </w:r>
      <w:r w:rsidRPr="007D38CF">
        <w:rPr>
          <w:rFonts w:eastAsia="SimSun"/>
          <w:lang w:val="en-US" w:eastAsia="zh-CN"/>
        </w:rPr>
        <w:t xml:space="preserve"> </w:t>
      </w:r>
      <w:r w:rsidR="00163D1E">
        <w:rPr>
          <w:rFonts w:eastAsia="SimSun"/>
          <w:lang w:val="en-US" w:eastAsia="zh-CN"/>
        </w:rPr>
        <w:t xml:space="preserve">a series of </w:t>
      </w:r>
      <w:r w:rsidRPr="007D38CF">
        <w:rPr>
          <w:rFonts w:eastAsia="SimSun"/>
          <w:lang w:val="en-US" w:eastAsia="zh-CN"/>
        </w:rPr>
        <w:t xml:space="preserve">measures to combat discrimination against Roma in access to education, housing, health care, employment and living conditions; </w:t>
      </w:r>
    </w:p>
    <w:p w:rsidR="005C3466" w:rsidRDefault="005C3466" w:rsidP="005C3466">
      <w:pPr>
        <w:pStyle w:val="SingleTxtG"/>
        <w:rPr>
          <w:lang w:val="en-US"/>
        </w:rPr>
      </w:pPr>
      <w:r>
        <w:rPr>
          <w:lang w:val="en-US"/>
        </w:rPr>
        <w:tab/>
        <w:t>(b)</w:t>
      </w:r>
      <w:r>
        <w:rPr>
          <w:lang w:val="en-US"/>
        </w:rPr>
        <w:tab/>
      </w:r>
      <w:r w:rsidR="00A85314" w:rsidRPr="007D38CF">
        <w:rPr>
          <w:lang w:val="en-US"/>
        </w:rPr>
        <w:t xml:space="preserve">The </w:t>
      </w:r>
      <w:r w:rsidRPr="007D38CF">
        <w:rPr>
          <w:lang w:val="en-US"/>
        </w:rPr>
        <w:t>adoption in 2007 of the Roma</w:t>
      </w:r>
      <w:r>
        <w:rPr>
          <w:lang w:val="en-US"/>
        </w:rPr>
        <w:t xml:space="preserve"> Community Act;</w:t>
      </w:r>
    </w:p>
    <w:p w:rsidR="005C3466" w:rsidRDefault="005C3466" w:rsidP="00221970">
      <w:pPr>
        <w:pStyle w:val="SingleTxtG"/>
        <w:rPr>
          <w:lang w:val="en-US"/>
        </w:rPr>
      </w:pPr>
      <w:r>
        <w:rPr>
          <w:lang w:val="en-US"/>
        </w:rPr>
        <w:tab/>
        <w:t>(c)</w:t>
      </w:r>
      <w:r>
        <w:rPr>
          <w:lang w:val="en-US"/>
        </w:rPr>
        <w:tab/>
      </w:r>
      <w:r w:rsidR="00A85314" w:rsidRPr="007D38CF">
        <w:rPr>
          <w:lang w:val="en-US"/>
        </w:rPr>
        <w:t xml:space="preserve">The </w:t>
      </w:r>
      <w:r w:rsidRPr="007D38CF">
        <w:rPr>
          <w:lang w:val="en-US"/>
        </w:rPr>
        <w:t>establishment of the Roma Community Council</w:t>
      </w:r>
      <w:r>
        <w:rPr>
          <w:lang w:val="en-US"/>
        </w:rPr>
        <w:t>,</w:t>
      </w:r>
      <w:r w:rsidRPr="007D38CF">
        <w:rPr>
          <w:lang w:val="en-US"/>
        </w:rPr>
        <w:t xml:space="preserve"> which represents the interests of the </w:t>
      </w:r>
      <w:r w:rsidR="00A85314" w:rsidRPr="007D38CF">
        <w:rPr>
          <w:lang w:val="en-US"/>
        </w:rPr>
        <w:t xml:space="preserve">Roma </w:t>
      </w:r>
      <w:r w:rsidRPr="007D38CF">
        <w:rPr>
          <w:lang w:val="en-US"/>
        </w:rPr>
        <w:t xml:space="preserve">community in </w:t>
      </w:r>
      <w:smartTag w:uri="urn:schemas-microsoft-com:office:smarttags" w:element="country-region">
        <w:smartTag w:uri="urn:schemas-microsoft-com:office:smarttags" w:element="place">
          <w:r w:rsidRPr="007D38CF">
            <w:rPr>
              <w:lang w:val="en-US"/>
            </w:rPr>
            <w:t>Slovenia</w:t>
          </w:r>
        </w:smartTag>
      </w:smartTag>
      <w:r>
        <w:rPr>
          <w:lang w:val="en-US"/>
        </w:rPr>
        <w:t xml:space="preserve"> </w:t>
      </w:r>
      <w:r w:rsidR="00221970">
        <w:rPr>
          <w:lang w:val="en-US"/>
        </w:rPr>
        <w:t>before</w:t>
      </w:r>
      <w:r>
        <w:rPr>
          <w:lang w:val="en-US"/>
        </w:rPr>
        <w:t xml:space="preserve"> S</w:t>
      </w:r>
      <w:r w:rsidRPr="007D38CF">
        <w:rPr>
          <w:lang w:val="en-US"/>
        </w:rPr>
        <w:t>tate authorities</w:t>
      </w:r>
      <w:r>
        <w:rPr>
          <w:lang w:val="en-US"/>
        </w:rPr>
        <w:t>;</w:t>
      </w:r>
    </w:p>
    <w:p w:rsidR="005C3466" w:rsidRDefault="005C3466" w:rsidP="00B334C3">
      <w:pPr>
        <w:pStyle w:val="SingleTxtG"/>
        <w:rPr>
          <w:rFonts w:eastAsia="SimSun"/>
          <w:lang w:val="en-US" w:eastAsia="zh-CN"/>
        </w:rPr>
      </w:pPr>
      <w:r>
        <w:rPr>
          <w:rFonts w:eastAsia="SimSun"/>
          <w:lang w:val="en-US" w:eastAsia="zh-CN"/>
        </w:rPr>
        <w:tab/>
        <w:t>(d)</w:t>
      </w:r>
      <w:r>
        <w:rPr>
          <w:rFonts w:eastAsia="SimSun"/>
          <w:lang w:val="en-US" w:eastAsia="zh-CN"/>
        </w:rPr>
        <w:tab/>
      </w:r>
      <w:r w:rsidR="00A85314" w:rsidRPr="007D38CF">
        <w:rPr>
          <w:lang w:val="en-US"/>
        </w:rPr>
        <w:t xml:space="preserve">The </w:t>
      </w:r>
      <w:r w:rsidRPr="007D38CF">
        <w:rPr>
          <w:lang w:val="en-US"/>
        </w:rPr>
        <w:t xml:space="preserve">adoption in 2004 of the Strategy Plan for the Education of Roma, </w:t>
      </w:r>
      <w:r w:rsidR="00A85314">
        <w:rPr>
          <w:lang w:val="en-US"/>
        </w:rPr>
        <w:t xml:space="preserve">in the drafting of which </w:t>
      </w:r>
      <w:r w:rsidRPr="007D38CF">
        <w:rPr>
          <w:lang w:val="en-US"/>
        </w:rPr>
        <w:t>representatives of the Union of Roma of Slovenia</w:t>
      </w:r>
      <w:r>
        <w:rPr>
          <w:lang w:val="en-US"/>
        </w:rPr>
        <w:t xml:space="preserve"> participated</w:t>
      </w:r>
      <w:r w:rsidR="00B334C3">
        <w:rPr>
          <w:lang w:val="en-US"/>
        </w:rPr>
        <w:t>.</w:t>
      </w:r>
    </w:p>
    <w:p w:rsidR="005C3466" w:rsidRDefault="005C3466" w:rsidP="00A63E31">
      <w:pPr>
        <w:pStyle w:val="SingleTxtG"/>
        <w:rPr>
          <w:rFonts w:eastAsia="SimSun"/>
          <w:lang w:val="en-US" w:eastAsia="zh-CN"/>
        </w:rPr>
      </w:pPr>
      <w:r>
        <w:rPr>
          <w:rFonts w:eastAsia="SimSun"/>
          <w:lang w:val="en-US" w:eastAsia="zh-CN"/>
        </w:rPr>
        <w:t>6.</w:t>
      </w:r>
      <w:r>
        <w:rPr>
          <w:rFonts w:eastAsia="SimSun"/>
          <w:lang w:val="en-US" w:eastAsia="zh-CN"/>
        </w:rPr>
        <w:tab/>
      </w:r>
      <w:r w:rsidRPr="00B0733B">
        <w:rPr>
          <w:rFonts w:eastAsia="SimSun"/>
          <w:lang w:val="en-US" w:eastAsia="zh-CN"/>
        </w:rPr>
        <w:t>The Committee notes with appreciation that the State party</w:t>
      </w:r>
      <w:r w:rsidR="00A63E31">
        <w:rPr>
          <w:rFonts w:eastAsia="SimSun"/>
          <w:lang w:val="en-US" w:eastAsia="zh-CN"/>
        </w:rPr>
        <w:t>, in preparing its</w:t>
      </w:r>
      <w:r w:rsidRPr="00B0733B">
        <w:rPr>
          <w:rFonts w:eastAsia="SimSun"/>
          <w:lang w:val="en-US" w:eastAsia="zh-CN"/>
        </w:rPr>
        <w:t xml:space="preserve"> </w:t>
      </w:r>
      <w:r w:rsidR="00A63E31">
        <w:rPr>
          <w:rFonts w:eastAsia="SimSun"/>
          <w:lang w:val="en-US" w:eastAsia="zh-CN"/>
        </w:rPr>
        <w:t xml:space="preserve">periodic report, </w:t>
      </w:r>
      <w:r w:rsidRPr="00B0733B">
        <w:rPr>
          <w:rFonts w:eastAsia="SimSun"/>
          <w:lang w:val="en-US" w:eastAsia="zh-CN"/>
        </w:rPr>
        <w:t>consulted with</w:t>
      </w:r>
      <w:r>
        <w:rPr>
          <w:rFonts w:eastAsia="SimSun"/>
          <w:lang w:val="en-US" w:eastAsia="zh-CN"/>
        </w:rPr>
        <w:t xml:space="preserve"> </w:t>
      </w:r>
      <w:r w:rsidRPr="00B0733B">
        <w:rPr>
          <w:rFonts w:eastAsia="SimSun"/>
          <w:lang w:val="en-US" w:eastAsia="zh-CN"/>
        </w:rPr>
        <w:t>organizations of civil society working in the area of hum</w:t>
      </w:r>
      <w:r w:rsidR="00A63E31">
        <w:rPr>
          <w:rFonts w:eastAsia="SimSun"/>
          <w:lang w:val="en-US" w:eastAsia="zh-CN"/>
        </w:rPr>
        <w:t>an rights protection.</w:t>
      </w:r>
    </w:p>
    <w:p w:rsidR="005C3466" w:rsidRPr="009419E4" w:rsidRDefault="005C3466" w:rsidP="005C3466">
      <w:pPr>
        <w:pStyle w:val="H1G"/>
      </w:pPr>
      <w:r>
        <w:tab/>
      </w:r>
      <w:r w:rsidRPr="009419E4">
        <w:t>C.</w:t>
      </w:r>
      <w:r w:rsidRPr="009419E4">
        <w:tab/>
        <w:t>Concerns and recommendations</w:t>
      </w:r>
    </w:p>
    <w:p w:rsidR="005C3466" w:rsidRDefault="005C3466" w:rsidP="00BE3D86">
      <w:pPr>
        <w:pStyle w:val="SingleTxtG"/>
        <w:rPr>
          <w:rFonts w:eastAsia="SimSun"/>
          <w:lang w:val="en-US" w:eastAsia="zh-CN"/>
        </w:rPr>
      </w:pPr>
      <w:r>
        <w:rPr>
          <w:rFonts w:eastAsia="SimSun"/>
          <w:lang w:val="en-US" w:eastAsia="zh-CN"/>
        </w:rPr>
        <w:t>7.</w:t>
      </w:r>
      <w:r>
        <w:rPr>
          <w:rFonts w:eastAsia="SimSun"/>
          <w:lang w:val="en-US" w:eastAsia="zh-CN"/>
        </w:rPr>
        <w:tab/>
        <w:t>The Committee has taken note of the</w:t>
      </w:r>
      <w:r w:rsidR="004C4911">
        <w:rPr>
          <w:rFonts w:eastAsia="SimSun"/>
          <w:lang w:val="en-US" w:eastAsia="zh-CN"/>
        </w:rPr>
        <w:t xml:space="preserve"> 2002 census</w:t>
      </w:r>
      <w:r>
        <w:rPr>
          <w:rFonts w:eastAsia="SimSun"/>
          <w:lang w:val="en-US" w:eastAsia="zh-CN"/>
        </w:rPr>
        <w:t xml:space="preserve"> data provided by the State party on the ethnic composition of the population and the main </w:t>
      </w:r>
      <w:r w:rsidR="004C4911">
        <w:rPr>
          <w:rFonts w:eastAsia="SimSun"/>
          <w:lang w:val="en-US" w:eastAsia="zh-CN"/>
        </w:rPr>
        <w:t xml:space="preserve">minorities residing in </w:t>
      </w:r>
      <w:smartTag w:uri="urn:schemas-microsoft-com:office:smarttags" w:element="country-region">
        <w:smartTag w:uri="urn:schemas-microsoft-com:office:smarttags" w:element="place">
          <w:r w:rsidR="004C4911">
            <w:rPr>
              <w:rFonts w:eastAsia="SimSun"/>
              <w:lang w:val="en-US" w:eastAsia="zh-CN"/>
            </w:rPr>
            <w:t>Slovenia</w:t>
          </w:r>
        </w:smartTag>
      </w:smartTag>
      <w:r w:rsidR="004C4911">
        <w:rPr>
          <w:rFonts w:eastAsia="SimSun"/>
          <w:lang w:val="en-US" w:eastAsia="zh-CN"/>
        </w:rPr>
        <w:t xml:space="preserve">. </w:t>
      </w:r>
      <w:r>
        <w:rPr>
          <w:rFonts w:eastAsia="SimSun"/>
          <w:lang w:val="en-US" w:eastAsia="zh-CN"/>
        </w:rPr>
        <w:t xml:space="preserve">It is concerned, however, about the </w:t>
      </w:r>
      <w:r w:rsidR="00BE3D86">
        <w:rPr>
          <w:rFonts w:eastAsia="SimSun"/>
          <w:lang w:val="en-US" w:eastAsia="zh-CN"/>
        </w:rPr>
        <w:t>insufficient data</w:t>
      </w:r>
      <w:r>
        <w:rPr>
          <w:rFonts w:eastAsia="SimSun"/>
          <w:lang w:val="en-US" w:eastAsia="zh-CN"/>
        </w:rPr>
        <w:t xml:space="preserve"> o</w:t>
      </w:r>
      <w:r w:rsidR="00034179">
        <w:rPr>
          <w:rFonts w:eastAsia="SimSun"/>
          <w:lang w:val="en-US" w:eastAsia="zh-CN"/>
        </w:rPr>
        <w:t>n</w:t>
      </w:r>
      <w:r>
        <w:rPr>
          <w:rFonts w:eastAsia="SimSun"/>
          <w:lang w:val="en-US" w:eastAsia="zh-CN"/>
        </w:rPr>
        <w:t xml:space="preserve"> persons from certain minority groups, particularly minorities from former Yugoslav republics. </w:t>
      </w:r>
    </w:p>
    <w:p w:rsidR="005C3466" w:rsidRPr="002910DA" w:rsidRDefault="005C3466" w:rsidP="005C3466">
      <w:pPr>
        <w:pStyle w:val="SingleTxtG"/>
        <w:rPr>
          <w:rFonts w:eastAsia="SimSun"/>
          <w:b/>
          <w:bCs/>
          <w:lang w:val="en-US" w:eastAsia="zh-CN"/>
        </w:rPr>
      </w:pPr>
      <w:r>
        <w:rPr>
          <w:rFonts w:ascii="TimesNewRoman,Bold" w:eastAsia="SimSun" w:hAnsi="TimesNewRoman,Bold" w:cs="TimesNewRoman,Bold"/>
          <w:b/>
          <w:bCs/>
          <w:sz w:val="23"/>
          <w:szCs w:val="23"/>
          <w:lang w:val="en-US" w:eastAsia="zh-CN"/>
        </w:rPr>
        <w:tab/>
      </w:r>
      <w:r w:rsidRPr="002910DA">
        <w:rPr>
          <w:rFonts w:eastAsia="SimSun"/>
          <w:b/>
          <w:bCs/>
          <w:lang w:val="en-US" w:eastAsia="zh-CN"/>
        </w:rPr>
        <w:t xml:space="preserve">The Committee recommends that, in accordance with </w:t>
      </w:r>
      <w:r w:rsidRPr="002910DA">
        <w:rPr>
          <w:b/>
          <w:bCs/>
          <w:lang w:val="en-US"/>
        </w:rPr>
        <w:t>paragraphs 10 to 12</w:t>
      </w:r>
      <w:r w:rsidRPr="002910DA">
        <w:rPr>
          <w:b/>
          <w:bCs/>
        </w:rPr>
        <w:t xml:space="preserve"> </w:t>
      </w:r>
      <w:r w:rsidRPr="002910DA">
        <w:rPr>
          <w:b/>
          <w:bCs/>
          <w:lang w:val="en-US"/>
        </w:rPr>
        <w:t xml:space="preserve">of the reporting guidelines for the </w:t>
      </w:r>
      <w:r w:rsidRPr="00E633EE">
        <w:rPr>
          <w:b/>
          <w:bCs/>
          <w:lang w:val="en-US"/>
        </w:rPr>
        <w:t>CERD</w:t>
      </w:r>
      <w:r w:rsidR="00360900" w:rsidRPr="00E633EE">
        <w:rPr>
          <w:b/>
          <w:bCs/>
          <w:lang w:val="en-US"/>
        </w:rPr>
        <w:t>–</w:t>
      </w:r>
      <w:r w:rsidRPr="00E633EE">
        <w:rPr>
          <w:b/>
          <w:bCs/>
          <w:lang w:val="en-US"/>
        </w:rPr>
        <w:t>specific document adopted at its seventy-first session (CERD/C/2007/1)</w:t>
      </w:r>
      <w:r w:rsidRPr="002910DA">
        <w:rPr>
          <w:b/>
          <w:bCs/>
        </w:rPr>
        <w:t>,</w:t>
      </w:r>
      <w:r w:rsidRPr="002910DA">
        <w:rPr>
          <w:rFonts w:eastAsia="SimSun"/>
          <w:b/>
          <w:bCs/>
          <w:lang w:val="en-US" w:eastAsia="zh-CN"/>
        </w:rPr>
        <w:t xml:space="preserve"> the State party provide information on the use of mother tongues as indicative of ethnic differences, together with information derived from targeted social surveys performed on a voluntary basis, with full respect for the privacy and anonymity of the individuals concerned, and recalls its general recommendation </w:t>
      </w:r>
      <w:r w:rsidR="00DE6D09">
        <w:rPr>
          <w:rFonts w:eastAsia="SimSun"/>
          <w:b/>
          <w:bCs/>
          <w:lang w:val="en-US" w:eastAsia="zh-CN"/>
        </w:rPr>
        <w:t xml:space="preserve">No. </w:t>
      </w:r>
      <w:r w:rsidRPr="002910DA">
        <w:rPr>
          <w:rFonts w:eastAsia="SimSun"/>
          <w:b/>
          <w:bCs/>
          <w:lang w:val="en-US" w:eastAsia="zh-CN"/>
        </w:rPr>
        <w:t>8</w:t>
      </w:r>
      <w:r w:rsidR="00DE6D09">
        <w:rPr>
          <w:rFonts w:eastAsia="SimSun"/>
          <w:b/>
          <w:bCs/>
          <w:lang w:val="en-US" w:eastAsia="zh-CN"/>
        </w:rPr>
        <w:t xml:space="preserve"> (1990) on identification with a particular racial or ethnic group</w:t>
      </w:r>
      <w:r w:rsidRPr="002910DA">
        <w:rPr>
          <w:rFonts w:eastAsia="SimSun"/>
          <w:b/>
          <w:bCs/>
          <w:lang w:val="en-US" w:eastAsia="zh-CN"/>
        </w:rPr>
        <w:t>.</w:t>
      </w:r>
    </w:p>
    <w:p w:rsidR="005C3466" w:rsidRPr="005E417A" w:rsidRDefault="005C3466" w:rsidP="005C3466">
      <w:pPr>
        <w:pStyle w:val="SingleTxtG"/>
      </w:pPr>
      <w:r w:rsidRPr="005E417A">
        <w:t>8.</w:t>
      </w:r>
      <w:r w:rsidRPr="005E417A">
        <w:tab/>
      </w:r>
      <w:r w:rsidRPr="005E417A">
        <w:rPr>
          <w:rFonts w:eastAsia="SimSun"/>
          <w:lang w:val="en-US" w:eastAsia="zh-CN"/>
        </w:rPr>
        <w:t>The Committee, while expressing appreciation for the measures adopted by the State party to eliminate discrimination against the Roma communities, such as the National Roma Programme 2010</w:t>
      </w:r>
      <w:r w:rsidR="00360900">
        <w:rPr>
          <w:rFonts w:eastAsia="SimSun"/>
          <w:lang w:val="en-US" w:eastAsia="zh-CN"/>
        </w:rPr>
        <w:t>–</w:t>
      </w:r>
      <w:r w:rsidRPr="005E417A">
        <w:rPr>
          <w:rFonts w:eastAsia="SimSun"/>
          <w:lang w:val="en-US" w:eastAsia="zh-CN"/>
        </w:rPr>
        <w:t>2015</w:t>
      </w:r>
      <w:r w:rsidRPr="005E417A">
        <w:rPr>
          <w:lang w:val="en-US"/>
        </w:rPr>
        <w:t>, remains concerned about the continued marginalization and precarious socio</w:t>
      </w:r>
      <w:r w:rsidR="00360900">
        <w:rPr>
          <w:lang w:val="en-US"/>
        </w:rPr>
        <w:t>–</w:t>
      </w:r>
      <w:r w:rsidRPr="005E417A">
        <w:rPr>
          <w:lang w:val="en-US"/>
        </w:rPr>
        <w:t xml:space="preserve">economic situation of members of this minority, and the discrimination </w:t>
      </w:r>
      <w:r w:rsidR="00DE6D09" w:rsidRPr="005E417A">
        <w:rPr>
          <w:lang w:val="en-US"/>
        </w:rPr>
        <w:t>with</w:t>
      </w:r>
      <w:r w:rsidR="00DE6D09">
        <w:rPr>
          <w:lang w:val="en-US"/>
        </w:rPr>
        <w:t xml:space="preserve"> which</w:t>
      </w:r>
      <w:r w:rsidR="00DE6D09" w:rsidRPr="005E417A">
        <w:rPr>
          <w:lang w:val="en-US"/>
        </w:rPr>
        <w:t xml:space="preserve"> </w:t>
      </w:r>
      <w:r w:rsidRPr="005E417A">
        <w:rPr>
          <w:lang w:val="en-US"/>
        </w:rPr>
        <w:t xml:space="preserve">they are faced, including in the fields of education, </w:t>
      </w:r>
      <w:r>
        <w:rPr>
          <w:lang w:val="en-US"/>
        </w:rPr>
        <w:t>housing, health and employment</w:t>
      </w:r>
      <w:r w:rsidR="00DE6D09">
        <w:rPr>
          <w:lang w:val="en-US"/>
        </w:rPr>
        <w:t>.</w:t>
      </w:r>
      <w:r w:rsidRPr="005E417A">
        <w:rPr>
          <w:lang w:val="en-US"/>
        </w:rPr>
        <w:t xml:space="preserve"> (arts. 2 and 5)</w:t>
      </w:r>
    </w:p>
    <w:p w:rsidR="00BE3D86" w:rsidRDefault="005C3466" w:rsidP="00BE3D86">
      <w:pPr>
        <w:pStyle w:val="SingleTxtG"/>
        <w:rPr>
          <w:b/>
          <w:bCs/>
          <w:lang w:val="en-US"/>
        </w:rPr>
      </w:pPr>
      <w:r>
        <w:rPr>
          <w:b/>
          <w:bCs/>
          <w:lang w:val="en-US"/>
        </w:rPr>
        <w:tab/>
      </w:r>
      <w:r w:rsidRPr="005E417A">
        <w:rPr>
          <w:b/>
          <w:bCs/>
          <w:lang w:val="en-US"/>
        </w:rPr>
        <w:t xml:space="preserve">The Committee urges the State party to enhance its efforts aimed at combating discrimination against Roma. In light of its general recommendation </w:t>
      </w:r>
      <w:r w:rsidRPr="005E417A">
        <w:rPr>
          <w:b/>
          <w:bCs/>
        </w:rPr>
        <w:t xml:space="preserve">No. </w:t>
      </w:r>
      <w:hyperlink r:id="rId8" w:tgtFrame="_blank" w:history="1"/>
      <w:r w:rsidRPr="005E417A">
        <w:rPr>
          <w:b/>
          <w:bCs/>
        </w:rPr>
        <w:t>32 (2009) on t</w:t>
      </w:r>
      <w:r w:rsidRPr="005E417A">
        <w:rPr>
          <w:b/>
          <w:bCs/>
          <w:lang w:val="en-US"/>
        </w:rPr>
        <w:t>he meaning and scope of special measures in the</w:t>
      </w:r>
      <w:r w:rsidRPr="005E417A">
        <w:rPr>
          <w:b/>
        </w:rPr>
        <w:t xml:space="preserve"> International Convention on the Elimination of Racial Discrimination</w:t>
      </w:r>
      <w:r w:rsidRPr="005E417A">
        <w:rPr>
          <w:b/>
          <w:bCs/>
          <w:lang w:val="en-US"/>
        </w:rPr>
        <w:t>,</w:t>
      </w:r>
      <w:r w:rsidRPr="005E417A">
        <w:rPr>
          <w:b/>
          <w:bCs/>
        </w:rPr>
        <w:t xml:space="preserve"> the Committee </w:t>
      </w:r>
      <w:r w:rsidRPr="005E417A">
        <w:rPr>
          <w:b/>
          <w:bCs/>
          <w:lang w:val="en-US"/>
        </w:rPr>
        <w:t>recommends that the State party engage in a data</w:t>
      </w:r>
      <w:r w:rsidR="00360900">
        <w:rPr>
          <w:b/>
          <w:bCs/>
          <w:lang w:val="en-US"/>
        </w:rPr>
        <w:t>–</w:t>
      </w:r>
      <w:r w:rsidRPr="005E417A">
        <w:rPr>
          <w:b/>
          <w:bCs/>
          <w:lang w:val="en-US"/>
        </w:rPr>
        <w:t>gathering exercise to ensure that special measures</w:t>
      </w:r>
      <w:r w:rsidR="00BE3D86">
        <w:rPr>
          <w:b/>
          <w:bCs/>
          <w:lang w:val="en-US"/>
        </w:rPr>
        <w:t xml:space="preserve"> in favour of Roma</w:t>
      </w:r>
      <w:r w:rsidR="00DF26BD">
        <w:rPr>
          <w:b/>
          <w:bCs/>
          <w:lang w:val="en-US"/>
        </w:rPr>
        <w:t xml:space="preserve"> in the fields of education, housing, health and employment </w:t>
      </w:r>
      <w:r w:rsidRPr="005E417A">
        <w:rPr>
          <w:b/>
          <w:bCs/>
          <w:lang w:val="en-US"/>
        </w:rPr>
        <w:t xml:space="preserve">are designed and implemented on the basis of need, and that their implementation is monitored and their effectiveness is regularly assessed. </w:t>
      </w:r>
    </w:p>
    <w:p w:rsidR="005C3466" w:rsidRPr="00B9633B" w:rsidRDefault="005C3466" w:rsidP="00BE3D86">
      <w:pPr>
        <w:pStyle w:val="SingleTxtG"/>
        <w:rPr>
          <w:rFonts w:eastAsia="SimSun"/>
          <w:lang w:val="en-US" w:eastAsia="zh-CN"/>
        </w:rPr>
      </w:pPr>
      <w:r w:rsidRPr="00B9633B">
        <w:rPr>
          <w:rFonts w:eastAsia="SimSun"/>
          <w:lang w:val="en-US" w:eastAsia="zh-CN"/>
        </w:rPr>
        <w:t>9.</w:t>
      </w:r>
      <w:r w:rsidRPr="00B9633B">
        <w:rPr>
          <w:rFonts w:eastAsia="SimSun"/>
          <w:lang w:val="en-US" w:eastAsia="zh-CN"/>
        </w:rPr>
        <w:tab/>
      </w:r>
      <w:r w:rsidRPr="009419E4">
        <w:t>While welcoming the various measures adopted by the State party to ensure equal access to education for Roma children</w:t>
      </w:r>
      <w:r>
        <w:t xml:space="preserve"> including through the </w:t>
      </w:r>
      <w:r w:rsidRPr="000D241D">
        <w:rPr>
          <w:rFonts w:eastAsia="SimSun"/>
          <w:lang w:val="en-US" w:eastAsia="zh-CN"/>
        </w:rPr>
        <w:t xml:space="preserve">Strategy for the Education of Roma in the </w:t>
      </w:r>
      <w:smartTag w:uri="urn:schemas-microsoft-com:office:smarttags" w:element="place">
        <w:smartTag w:uri="urn:schemas-microsoft-com:office:smarttags" w:element="PlaceType">
          <w:r>
            <w:rPr>
              <w:rFonts w:eastAsia="SimSun"/>
              <w:lang w:val="en-US" w:eastAsia="zh-CN"/>
            </w:rPr>
            <w:t>R</w:t>
          </w:r>
          <w:r w:rsidRPr="000D241D">
            <w:rPr>
              <w:rFonts w:eastAsia="SimSun"/>
              <w:lang w:val="en-US" w:eastAsia="zh-CN"/>
            </w:rPr>
            <w:t>epublic</w:t>
          </w:r>
        </w:smartTag>
        <w:r w:rsidRPr="000D241D">
          <w:rPr>
            <w:rFonts w:eastAsia="SimSun"/>
            <w:lang w:val="en-US" w:eastAsia="zh-CN"/>
          </w:rPr>
          <w:t xml:space="preserve"> of </w:t>
        </w:r>
        <w:smartTag w:uri="urn:schemas-microsoft-com:office:smarttags" w:element="PlaceName">
          <w:r w:rsidRPr="000D241D">
            <w:rPr>
              <w:rFonts w:eastAsia="SimSun"/>
              <w:lang w:val="en-US" w:eastAsia="zh-CN"/>
            </w:rPr>
            <w:t>Slovenia</w:t>
          </w:r>
        </w:smartTag>
      </w:smartTag>
      <w:r>
        <w:rPr>
          <w:rFonts w:eastAsia="SimSun"/>
          <w:lang w:val="en-US" w:eastAsia="zh-CN"/>
        </w:rPr>
        <w:t>,</w:t>
      </w:r>
      <w:r w:rsidRPr="009419E4">
        <w:rPr>
          <w:rFonts w:eastAsia="SimSun"/>
          <w:b/>
          <w:bCs/>
          <w:lang w:val="en-US" w:eastAsia="zh-CN"/>
        </w:rPr>
        <w:t xml:space="preserve"> </w:t>
      </w:r>
      <w:r w:rsidRPr="00B9633B">
        <w:rPr>
          <w:rFonts w:eastAsia="SimSun"/>
          <w:lang w:val="en-US" w:eastAsia="zh-CN"/>
        </w:rPr>
        <w:t xml:space="preserve">the </w:t>
      </w:r>
      <w:r>
        <w:rPr>
          <w:rFonts w:eastAsia="SimSun"/>
          <w:lang w:val="en-US" w:eastAsia="zh-CN"/>
        </w:rPr>
        <w:t xml:space="preserve">Committee is concerned about </w:t>
      </w:r>
      <w:r w:rsidRPr="00B9633B">
        <w:rPr>
          <w:rFonts w:eastAsia="SimSun"/>
          <w:lang w:val="en-US" w:eastAsia="zh-CN"/>
        </w:rPr>
        <w:t>the practice of segregating these children in Slovene schools –</w:t>
      </w:r>
      <w:r w:rsidR="00DE6D09">
        <w:rPr>
          <w:rFonts w:eastAsia="SimSun"/>
          <w:lang w:val="en-US" w:eastAsia="zh-CN"/>
        </w:rPr>
        <w:t xml:space="preserve"> </w:t>
      </w:r>
      <w:r>
        <w:rPr>
          <w:rFonts w:eastAsia="SimSun"/>
          <w:lang w:val="en-US" w:eastAsia="zh-CN"/>
        </w:rPr>
        <w:t>o</w:t>
      </w:r>
      <w:r w:rsidRPr="00B9633B">
        <w:rPr>
          <w:rFonts w:eastAsia="SimSun"/>
          <w:lang w:val="en-US" w:eastAsia="zh-CN"/>
        </w:rPr>
        <w:t xml:space="preserve">rdinary or “special” – </w:t>
      </w:r>
      <w:r w:rsidR="008447EF">
        <w:rPr>
          <w:rFonts w:eastAsia="SimSun"/>
          <w:lang w:val="en-US" w:eastAsia="zh-CN"/>
        </w:rPr>
        <w:t xml:space="preserve">which </w:t>
      </w:r>
      <w:r w:rsidRPr="00B9633B">
        <w:rPr>
          <w:rFonts w:eastAsia="SimSun"/>
          <w:lang w:val="en-US" w:eastAsia="zh-CN"/>
        </w:rPr>
        <w:t>has not yet been completely abolished.</w:t>
      </w:r>
      <w:r w:rsidRPr="000D241D">
        <w:t xml:space="preserve"> </w:t>
      </w:r>
      <w:r w:rsidRPr="009419E4">
        <w:t>(arts. 2, 3 and 5(e</w:t>
      </w:r>
      <w:r w:rsidR="00EF6E4D" w:rsidRPr="009419E4">
        <w:t>)</w:t>
      </w:r>
      <w:r w:rsidR="00EF6E4D">
        <w:t xml:space="preserve"> (</w:t>
      </w:r>
      <w:r>
        <w:t>v</w:t>
      </w:r>
      <w:r w:rsidRPr="009419E4">
        <w:t>)</w:t>
      </w:r>
      <w:r>
        <w:t>)</w:t>
      </w:r>
    </w:p>
    <w:p w:rsidR="005C3466" w:rsidRPr="009419E4" w:rsidRDefault="005C3466" w:rsidP="005C3466">
      <w:pPr>
        <w:pStyle w:val="SingleTxtG"/>
      </w:pPr>
      <w:r>
        <w:rPr>
          <w:rFonts w:eastAsia="SimSun"/>
          <w:b/>
          <w:bCs/>
          <w:lang w:val="en-US" w:eastAsia="zh-CN"/>
        </w:rPr>
        <w:tab/>
        <w:t xml:space="preserve">The Committee, in light of its </w:t>
      </w:r>
      <w:r w:rsidRPr="009419E4">
        <w:rPr>
          <w:b/>
          <w:bCs/>
        </w:rPr>
        <w:t>general recommendation No. 27 (2000) on discrimination against Roma</w:t>
      </w:r>
      <w:r>
        <w:rPr>
          <w:b/>
          <w:bCs/>
        </w:rPr>
        <w:t>,</w:t>
      </w:r>
      <w:r>
        <w:rPr>
          <w:rFonts w:eastAsia="SimSun"/>
          <w:b/>
          <w:bCs/>
          <w:lang w:val="en-US" w:eastAsia="zh-CN"/>
        </w:rPr>
        <w:t xml:space="preserve"> recommends</w:t>
      </w:r>
      <w:r w:rsidR="004C1A85">
        <w:rPr>
          <w:rFonts w:eastAsia="SimSun"/>
          <w:b/>
          <w:bCs/>
          <w:lang w:val="en-US" w:eastAsia="zh-CN"/>
        </w:rPr>
        <w:t xml:space="preserve"> that</w:t>
      </w:r>
      <w:r>
        <w:rPr>
          <w:rFonts w:eastAsia="SimSun"/>
          <w:b/>
          <w:bCs/>
          <w:lang w:val="en-US" w:eastAsia="zh-CN"/>
        </w:rPr>
        <w:t xml:space="preserve"> the State party </w:t>
      </w:r>
      <w:r w:rsidRPr="00B9633B">
        <w:rPr>
          <w:rFonts w:eastAsia="SimSun"/>
          <w:b/>
          <w:bCs/>
          <w:lang w:val="en-US" w:eastAsia="zh-CN"/>
        </w:rPr>
        <w:t>take all necessary measures to eradicate completely the practice of segregating Roma children in the</w:t>
      </w:r>
      <w:r>
        <w:rPr>
          <w:rFonts w:eastAsia="SimSun"/>
          <w:b/>
          <w:bCs/>
          <w:lang w:val="en-US" w:eastAsia="zh-CN"/>
        </w:rPr>
        <w:t xml:space="preserve"> </w:t>
      </w:r>
      <w:r w:rsidRPr="00B9633B">
        <w:rPr>
          <w:rFonts w:eastAsia="SimSun"/>
          <w:b/>
          <w:bCs/>
          <w:lang w:val="en-US" w:eastAsia="zh-CN"/>
        </w:rPr>
        <w:t xml:space="preserve">school system and ensure that they enjoy equal opportunities in access to </w:t>
      </w:r>
      <w:r>
        <w:rPr>
          <w:rFonts w:eastAsia="SimSun"/>
          <w:b/>
          <w:bCs/>
          <w:lang w:val="en-US" w:eastAsia="zh-CN"/>
        </w:rPr>
        <w:t>quality education at all levels. The C</w:t>
      </w:r>
      <w:r w:rsidRPr="009419E4">
        <w:rPr>
          <w:rFonts w:eastAsia="SimSun"/>
          <w:b/>
          <w:bCs/>
          <w:lang w:val="en-US" w:eastAsia="zh-CN"/>
        </w:rPr>
        <w:t>ommi</w:t>
      </w:r>
      <w:r>
        <w:rPr>
          <w:rFonts w:eastAsia="SimSun"/>
          <w:b/>
          <w:bCs/>
          <w:lang w:val="en-US" w:eastAsia="zh-CN"/>
        </w:rPr>
        <w:t>ttee also recommends that the State party</w:t>
      </w:r>
      <w:r w:rsidRPr="009419E4">
        <w:rPr>
          <w:rFonts w:eastAsia="SimSun"/>
          <w:b/>
          <w:bCs/>
          <w:lang w:val="en-US" w:eastAsia="zh-CN"/>
        </w:rPr>
        <w:t xml:space="preserve"> ensure that all measures provided for in the Strategy fo</w:t>
      </w:r>
      <w:r w:rsidR="00CE7A96">
        <w:rPr>
          <w:rFonts w:eastAsia="SimSun"/>
          <w:b/>
          <w:bCs/>
          <w:lang w:val="en-US" w:eastAsia="zh-CN"/>
        </w:rPr>
        <w:t>r the Education of Roma in the R</w:t>
      </w:r>
      <w:r w:rsidRPr="009419E4">
        <w:rPr>
          <w:rFonts w:eastAsia="SimSun"/>
          <w:b/>
          <w:bCs/>
          <w:lang w:val="en-US" w:eastAsia="zh-CN"/>
        </w:rPr>
        <w:t>epublic of Slovenia are implemented in pr</w:t>
      </w:r>
      <w:r>
        <w:rPr>
          <w:rFonts w:eastAsia="SimSun"/>
          <w:b/>
          <w:bCs/>
          <w:lang w:val="en-US" w:eastAsia="zh-CN"/>
        </w:rPr>
        <w:t>actice and the</w:t>
      </w:r>
      <w:r w:rsidRPr="009419E4">
        <w:rPr>
          <w:rFonts w:eastAsia="SimSun"/>
          <w:b/>
          <w:bCs/>
          <w:lang w:val="en-US" w:eastAsia="zh-CN"/>
        </w:rPr>
        <w:t xml:space="preserve"> time frames, resources, responsibilities and monitoring mechanisms are clearly set out. </w:t>
      </w:r>
    </w:p>
    <w:p w:rsidR="005C3466" w:rsidRPr="009419E4" w:rsidRDefault="005C3466" w:rsidP="005C3466">
      <w:pPr>
        <w:pStyle w:val="SingleTxtG"/>
      </w:pPr>
      <w:r w:rsidRPr="009419E4">
        <w:t>10.</w:t>
      </w:r>
      <w:r w:rsidRPr="009419E4">
        <w:tab/>
      </w:r>
      <w:r w:rsidRPr="009419E4">
        <w:rPr>
          <w:lang w:val="en-US"/>
        </w:rPr>
        <w:t>The Committee welcomes the steps taken to eliminate discrimination against Roma in the field of housing, including by the involvement of the</w:t>
      </w:r>
      <w:r w:rsidR="000456DD">
        <w:rPr>
          <w:lang w:val="en-US"/>
        </w:rPr>
        <w:t xml:space="preserve"> Ministry</w:t>
      </w:r>
      <w:r>
        <w:rPr>
          <w:lang w:val="en-US"/>
        </w:rPr>
        <w:t xml:space="preserve"> of Environment and its expert working group. </w:t>
      </w:r>
      <w:r w:rsidRPr="009419E4">
        <w:rPr>
          <w:lang w:val="en-US"/>
        </w:rPr>
        <w:t>However, it remains concer</w:t>
      </w:r>
      <w:r>
        <w:rPr>
          <w:lang w:val="en-US"/>
        </w:rPr>
        <w:t xml:space="preserve">ned about </w:t>
      </w:r>
      <w:r w:rsidRPr="004C1A85">
        <w:rPr>
          <w:iCs/>
          <w:lang w:val="en-US"/>
        </w:rPr>
        <w:t>de facto</w:t>
      </w:r>
      <w:r>
        <w:rPr>
          <w:lang w:val="en-US"/>
        </w:rPr>
        <w:t xml:space="preserve"> segregation </w:t>
      </w:r>
      <w:r w:rsidR="004C1A85">
        <w:rPr>
          <w:lang w:val="en-US"/>
        </w:rPr>
        <w:t>and</w:t>
      </w:r>
      <w:r w:rsidRPr="009419E4">
        <w:rPr>
          <w:lang w:val="en-US"/>
        </w:rPr>
        <w:t xml:space="preserve"> other forms of discrimination related to housing encountered by the Roma minority. The Committee</w:t>
      </w:r>
      <w:r w:rsidR="00EF3BD5">
        <w:rPr>
          <w:lang w:val="en-US"/>
        </w:rPr>
        <w:t xml:space="preserve"> </w:t>
      </w:r>
      <w:r w:rsidRPr="009419E4">
        <w:rPr>
          <w:lang w:val="en-US"/>
        </w:rPr>
        <w:t>continues to be concerned about the housing conditions in many segregated neighborhoods.</w:t>
      </w:r>
      <w:r w:rsidR="00EF3BD5">
        <w:rPr>
          <w:lang w:val="en-US"/>
        </w:rPr>
        <w:t xml:space="preserve"> The Committee is also concerned at the placing of Roma in camps outside populated areas that are isolated without access to health care and other basic facilities</w:t>
      </w:r>
      <w:r w:rsidR="004C1A85">
        <w:rPr>
          <w:lang w:val="en-US"/>
        </w:rPr>
        <w:t>.</w:t>
      </w:r>
      <w:r w:rsidRPr="009419E4">
        <w:rPr>
          <w:lang w:val="en-US"/>
        </w:rPr>
        <w:t xml:space="preserve"> (arts.</w:t>
      </w:r>
      <w:r w:rsidR="004C1A85">
        <w:rPr>
          <w:lang w:val="en-US"/>
        </w:rPr>
        <w:t xml:space="preserve"> </w:t>
      </w:r>
      <w:r w:rsidRPr="009419E4">
        <w:rPr>
          <w:lang w:val="en-US"/>
        </w:rPr>
        <w:t>2, 3 and 5 (e)</w:t>
      </w:r>
      <w:r>
        <w:rPr>
          <w:lang w:val="en-US"/>
        </w:rPr>
        <w:t xml:space="preserve"> (iii))</w:t>
      </w:r>
    </w:p>
    <w:p w:rsidR="005C3466" w:rsidRDefault="005C3466" w:rsidP="005C3466">
      <w:pPr>
        <w:pStyle w:val="SingleTxtG"/>
        <w:rPr>
          <w:rFonts w:ascii="Arial" w:eastAsia="SimSun" w:hAnsi="Arial" w:cs="Arial"/>
          <w:lang w:val="en-US" w:eastAsia="zh-CN"/>
        </w:rPr>
      </w:pPr>
      <w:r>
        <w:rPr>
          <w:b/>
          <w:bCs/>
        </w:rPr>
        <w:tab/>
      </w:r>
      <w:r w:rsidRPr="009419E4">
        <w:rPr>
          <w:b/>
          <w:bCs/>
        </w:rPr>
        <w:t>In light of its general recommendation No. 27 (2000),</w:t>
      </w:r>
      <w:r w:rsidRPr="009419E4">
        <w:rPr>
          <w:b/>
          <w:bCs/>
          <w:lang w:val="en-US"/>
        </w:rPr>
        <w:t xml:space="preserve"> the Committee recommends that the State party effectively implement and monitor compliance, at the local level, with its laws, policies and projects</w:t>
      </w:r>
      <w:r>
        <w:rPr>
          <w:b/>
          <w:bCs/>
          <w:lang w:val="en-US"/>
        </w:rPr>
        <w:t xml:space="preserve"> in particular within the framework of the </w:t>
      </w:r>
      <w:r w:rsidRPr="00F460B2">
        <w:rPr>
          <w:rFonts w:eastAsia="SimSun"/>
          <w:b/>
          <w:bCs/>
          <w:lang w:val="en-US" w:eastAsia="zh-CN"/>
        </w:rPr>
        <w:t>National Programme of Measures for Roma people for the 2010–2015 period</w:t>
      </w:r>
      <w:r w:rsidRPr="009419E4">
        <w:rPr>
          <w:b/>
          <w:bCs/>
          <w:lang w:val="en-US"/>
        </w:rPr>
        <w:t xml:space="preserve"> aimed at ensuring the right to housing for all without discrimin</w:t>
      </w:r>
      <w:r>
        <w:rPr>
          <w:b/>
          <w:bCs/>
          <w:lang w:val="en-US"/>
        </w:rPr>
        <w:t>ation, including social housing</w:t>
      </w:r>
      <w:r w:rsidRPr="009419E4">
        <w:rPr>
          <w:b/>
          <w:bCs/>
          <w:lang w:val="en-US"/>
        </w:rPr>
        <w:t xml:space="preserve">. The Committee reiterates its recommendation that the State party strengthen its measures aimed at </w:t>
      </w:r>
      <w:r>
        <w:rPr>
          <w:b/>
          <w:bCs/>
          <w:lang w:val="en-US"/>
        </w:rPr>
        <w:t>improving</w:t>
      </w:r>
      <w:r w:rsidRPr="009419E4">
        <w:rPr>
          <w:b/>
          <w:bCs/>
          <w:lang w:val="en-US"/>
        </w:rPr>
        <w:t xml:space="preserve"> the housing conditions of the Roma in view of the importance of such conditions for their enjoyment of other rights enshrined in the Convention. The Committee also recommends that the State party intensify its efforts to involve Roma communities and associations as partners</w:t>
      </w:r>
      <w:r w:rsidR="004C1A85">
        <w:rPr>
          <w:b/>
          <w:bCs/>
          <w:lang w:val="en-US"/>
        </w:rPr>
        <w:t>,</w:t>
      </w:r>
      <w:r w:rsidRPr="009419E4">
        <w:rPr>
          <w:b/>
          <w:bCs/>
          <w:lang w:val="en-US"/>
        </w:rPr>
        <w:t xml:space="preserve"> together with other persons</w:t>
      </w:r>
      <w:r w:rsidR="004C1A85">
        <w:rPr>
          <w:b/>
          <w:bCs/>
          <w:lang w:val="en-US"/>
        </w:rPr>
        <w:t>,</w:t>
      </w:r>
      <w:r w:rsidRPr="009419E4">
        <w:rPr>
          <w:b/>
          <w:bCs/>
          <w:lang w:val="en-US"/>
        </w:rPr>
        <w:t xml:space="preserve"> in housing project construction, rehabilitation and maintenance. It further recommends that the State party refrain from placing Roma in camps outside populated areas that are isolated and without access to health care and other basic facilities</w:t>
      </w:r>
    </w:p>
    <w:p w:rsidR="005C3466" w:rsidRDefault="005C3466" w:rsidP="005C61CA">
      <w:pPr>
        <w:pStyle w:val="SingleTxtG"/>
        <w:rPr>
          <w:rFonts w:eastAsia="SimSun"/>
          <w:lang w:val="en-US" w:eastAsia="zh-CN"/>
        </w:rPr>
      </w:pPr>
      <w:r>
        <w:rPr>
          <w:rFonts w:eastAsia="SimSun"/>
          <w:lang w:val="en-US" w:eastAsia="zh-CN"/>
        </w:rPr>
        <w:t>11.</w:t>
      </w:r>
      <w:r>
        <w:rPr>
          <w:rFonts w:eastAsia="SimSun"/>
          <w:lang w:val="en-US" w:eastAsia="zh-CN"/>
        </w:rPr>
        <w:tab/>
      </w:r>
      <w:r w:rsidRPr="008E0923">
        <w:rPr>
          <w:rFonts w:eastAsia="SimSun"/>
          <w:lang w:val="en-US" w:eastAsia="zh-CN"/>
        </w:rPr>
        <w:t xml:space="preserve">While welcoming the adoption of the Criminal Code in 2008 which criminalizes </w:t>
      </w:r>
      <w:r>
        <w:rPr>
          <w:rFonts w:eastAsia="SimSun"/>
          <w:lang w:val="en-US" w:eastAsia="zh-CN"/>
        </w:rPr>
        <w:t>incitement to racial hatred</w:t>
      </w:r>
      <w:r w:rsidRPr="008E0923">
        <w:rPr>
          <w:rFonts w:eastAsia="SimSun"/>
          <w:lang w:val="en-US" w:eastAsia="zh-CN"/>
        </w:rPr>
        <w:t xml:space="preserve">, the Committee is concerned about </w:t>
      </w:r>
      <w:r w:rsidRPr="008E0923">
        <w:t>continu</w:t>
      </w:r>
      <w:r w:rsidR="00AD0CDA">
        <w:t xml:space="preserve">ing </w:t>
      </w:r>
      <w:r w:rsidRPr="008E0923">
        <w:t xml:space="preserve">public manifestations of hate speech and intolerance by some politicians </w:t>
      </w:r>
      <w:r w:rsidRPr="008E0923">
        <w:rPr>
          <w:rFonts w:eastAsia="SimSun"/>
          <w:lang w:val="en-US" w:eastAsia="zh-CN"/>
        </w:rPr>
        <w:t>in the media</w:t>
      </w:r>
      <w:r w:rsidR="005C61CA">
        <w:rPr>
          <w:rFonts w:eastAsia="SimSun"/>
          <w:lang w:val="en-US" w:eastAsia="zh-CN"/>
        </w:rPr>
        <w:t>,</w:t>
      </w:r>
      <w:r w:rsidRPr="008E0923">
        <w:rPr>
          <w:rFonts w:eastAsia="SimSun"/>
          <w:lang w:val="en-US" w:eastAsia="zh-CN"/>
        </w:rPr>
        <w:t xml:space="preserve"> including online</w:t>
      </w:r>
      <w:r w:rsidR="005C61CA">
        <w:rPr>
          <w:rFonts w:eastAsia="SimSun"/>
          <w:lang w:val="en-US" w:eastAsia="zh-CN"/>
        </w:rPr>
        <w:t>,</w:t>
      </w:r>
      <w:r w:rsidRPr="008E0923">
        <w:rPr>
          <w:rFonts w:eastAsia="SimSun"/>
          <w:lang w:val="en-US" w:eastAsia="zh-CN"/>
        </w:rPr>
        <w:t xml:space="preserve"> towards persons belonging to minorities</w:t>
      </w:r>
      <w:r w:rsidR="004C1A85">
        <w:rPr>
          <w:rFonts w:eastAsia="SimSun"/>
          <w:lang w:val="en-US" w:eastAsia="zh-CN"/>
        </w:rPr>
        <w:t>.</w:t>
      </w:r>
      <w:r>
        <w:rPr>
          <w:rFonts w:eastAsia="SimSun"/>
          <w:lang w:val="en-US" w:eastAsia="zh-CN"/>
        </w:rPr>
        <w:t xml:space="preserve"> </w:t>
      </w:r>
      <w:r w:rsidRPr="008E0923">
        <w:rPr>
          <w:rFonts w:eastAsia="SimSun"/>
          <w:lang w:val="en-US" w:eastAsia="zh-CN"/>
        </w:rPr>
        <w:t>(art</w:t>
      </w:r>
      <w:r w:rsidR="004C1A85">
        <w:rPr>
          <w:rFonts w:eastAsia="SimSun"/>
          <w:lang w:val="en-US" w:eastAsia="zh-CN"/>
        </w:rPr>
        <w:t>s.</w:t>
      </w:r>
      <w:r w:rsidRPr="008E0923">
        <w:rPr>
          <w:rFonts w:eastAsia="SimSun"/>
          <w:lang w:val="en-US" w:eastAsia="zh-CN"/>
        </w:rPr>
        <w:t xml:space="preserve"> 4 and 7)</w:t>
      </w:r>
    </w:p>
    <w:p w:rsidR="005C3466" w:rsidRPr="00AF7799" w:rsidRDefault="005C3466" w:rsidP="00EE4A2A">
      <w:pPr>
        <w:pStyle w:val="SingleTxtG"/>
        <w:rPr>
          <w:b/>
          <w:bCs/>
        </w:rPr>
      </w:pPr>
      <w:r>
        <w:rPr>
          <w:b/>
          <w:bCs/>
        </w:rPr>
        <w:tab/>
      </w:r>
      <w:r w:rsidRPr="00AF7799">
        <w:rPr>
          <w:b/>
          <w:bCs/>
        </w:rPr>
        <w:t xml:space="preserve">The Committee recommends that the State party continue to endeavour to </w:t>
      </w:r>
      <w:r w:rsidRPr="00AF7799">
        <w:rPr>
          <w:b/>
          <w:bCs/>
          <w:lang w:val="en-US"/>
        </w:rPr>
        <w:t>combat prejudices against</w:t>
      </w:r>
      <w:r w:rsidR="00CE7A96">
        <w:rPr>
          <w:b/>
          <w:bCs/>
          <w:lang w:val="en-US"/>
        </w:rPr>
        <w:t xml:space="preserve"> persons belonging to</w:t>
      </w:r>
      <w:r w:rsidRPr="00AF7799">
        <w:rPr>
          <w:b/>
          <w:bCs/>
          <w:lang w:val="en-US"/>
        </w:rPr>
        <w:t xml:space="preserve"> ethnic minorities</w:t>
      </w:r>
      <w:r w:rsidRPr="00AF7799">
        <w:rPr>
          <w:lang w:val="en-US"/>
        </w:rPr>
        <w:t xml:space="preserve"> </w:t>
      </w:r>
      <w:r w:rsidRPr="00AF7799">
        <w:rPr>
          <w:b/>
          <w:bCs/>
        </w:rPr>
        <w:t>and improve relations between the general public and minority communities</w:t>
      </w:r>
      <w:r w:rsidRPr="00AF7799">
        <w:rPr>
          <w:rFonts w:eastAsia="SimSun"/>
          <w:b/>
          <w:bCs/>
          <w:lang w:val="en-US" w:eastAsia="zh-CN"/>
        </w:rPr>
        <w:t xml:space="preserve">. </w:t>
      </w:r>
      <w:r w:rsidRPr="00AF7799">
        <w:rPr>
          <w:b/>
          <w:bCs/>
        </w:rPr>
        <w:t xml:space="preserve">The Committee also recommends that the State party ensure the effective investigation and prosecution of all acts of political discourse against these minorities </w:t>
      </w:r>
      <w:r w:rsidR="00AD0CDA">
        <w:rPr>
          <w:b/>
          <w:bCs/>
        </w:rPr>
        <w:t>that</w:t>
      </w:r>
      <w:r w:rsidR="00AD0CDA" w:rsidRPr="00AF7799">
        <w:rPr>
          <w:b/>
          <w:bCs/>
        </w:rPr>
        <w:t xml:space="preserve"> </w:t>
      </w:r>
      <w:r w:rsidRPr="00AF7799">
        <w:rPr>
          <w:b/>
          <w:bCs/>
        </w:rPr>
        <w:t xml:space="preserve">are not in line </w:t>
      </w:r>
      <w:r w:rsidR="00EE4A2A">
        <w:rPr>
          <w:b/>
          <w:bCs/>
        </w:rPr>
        <w:t>with</w:t>
      </w:r>
      <w:r w:rsidR="00EE4A2A" w:rsidRPr="00AF7799">
        <w:rPr>
          <w:b/>
          <w:bCs/>
        </w:rPr>
        <w:t xml:space="preserve"> </w:t>
      </w:r>
      <w:r w:rsidRPr="00AF7799">
        <w:rPr>
          <w:b/>
          <w:bCs/>
        </w:rPr>
        <w:t>the Convention.</w:t>
      </w:r>
    </w:p>
    <w:p w:rsidR="005C3466" w:rsidRDefault="005C3466" w:rsidP="005C3466">
      <w:pPr>
        <w:pStyle w:val="SingleTxtG"/>
        <w:rPr>
          <w:rFonts w:eastAsia="SimSun"/>
          <w:color w:val="000000"/>
          <w:lang w:val="en-US" w:eastAsia="zh-CN"/>
        </w:rPr>
      </w:pPr>
      <w:r>
        <w:rPr>
          <w:rFonts w:eastAsia="SimSun"/>
          <w:color w:val="000000"/>
          <w:lang w:val="en-US" w:eastAsia="zh-CN"/>
        </w:rPr>
        <w:t>12.</w:t>
      </w:r>
      <w:r>
        <w:rPr>
          <w:rFonts w:eastAsia="SimSun"/>
          <w:color w:val="000000"/>
          <w:lang w:val="en-US" w:eastAsia="zh-CN"/>
        </w:rPr>
        <w:tab/>
        <w:t>While taking note that the State party Constitution provides for representation in Parliament of the Italian and Hungarian minorities, the Committee remains conc</w:t>
      </w:r>
      <w:r w:rsidR="005C61CA">
        <w:rPr>
          <w:rFonts w:eastAsia="SimSun"/>
          <w:color w:val="000000"/>
          <w:lang w:val="en-US" w:eastAsia="zh-CN"/>
        </w:rPr>
        <w:t>erned regarding the issue of</w:t>
      </w:r>
      <w:r>
        <w:rPr>
          <w:rFonts w:eastAsia="SimSun"/>
          <w:color w:val="000000"/>
          <w:lang w:val="en-US" w:eastAsia="zh-CN"/>
        </w:rPr>
        <w:t xml:space="preserve"> representation of other minorities in the Slovenian Parliament</w:t>
      </w:r>
      <w:r w:rsidR="00BF72B3">
        <w:rPr>
          <w:rFonts w:eastAsia="SimSun"/>
          <w:color w:val="000000"/>
          <w:lang w:val="en-US" w:eastAsia="zh-CN"/>
        </w:rPr>
        <w:t xml:space="preserve"> and in regional elected bodies</w:t>
      </w:r>
      <w:r w:rsidR="005A7DC0">
        <w:rPr>
          <w:rFonts w:eastAsia="SimSun"/>
          <w:color w:val="000000"/>
          <w:lang w:val="en-US" w:eastAsia="zh-CN"/>
        </w:rPr>
        <w:t>.</w:t>
      </w:r>
      <w:r>
        <w:rPr>
          <w:rFonts w:eastAsia="SimSun"/>
          <w:color w:val="000000"/>
          <w:lang w:val="en-US" w:eastAsia="zh-CN"/>
        </w:rPr>
        <w:t xml:space="preserve"> (art</w:t>
      </w:r>
      <w:r w:rsidR="005A7DC0">
        <w:rPr>
          <w:rFonts w:eastAsia="SimSun"/>
          <w:color w:val="000000"/>
          <w:lang w:val="en-US" w:eastAsia="zh-CN"/>
        </w:rPr>
        <w:t>.</w:t>
      </w:r>
      <w:r>
        <w:rPr>
          <w:rFonts w:eastAsia="SimSun"/>
          <w:color w:val="000000"/>
          <w:lang w:val="en-US" w:eastAsia="zh-CN"/>
        </w:rPr>
        <w:t xml:space="preserve"> 5 (c))</w:t>
      </w:r>
    </w:p>
    <w:p w:rsidR="005C3466" w:rsidRPr="005C3466" w:rsidRDefault="005C3466" w:rsidP="00BE7329">
      <w:pPr>
        <w:pStyle w:val="SingleTxtG"/>
        <w:rPr>
          <w:rFonts w:eastAsia="SimSun"/>
          <w:color w:val="000000"/>
          <w:lang w:val="en-US" w:eastAsia="zh-CN"/>
        </w:rPr>
      </w:pPr>
      <w:r>
        <w:rPr>
          <w:rFonts w:eastAsia="SimSun"/>
          <w:color w:val="000000"/>
          <w:lang w:val="en-US" w:eastAsia="zh-CN"/>
        </w:rPr>
        <w:tab/>
      </w:r>
      <w:r>
        <w:rPr>
          <w:rFonts w:eastAsia="SimSun"/>
          <w:b/>
          <w:bCs/>
          <w:lang w:val="en-US" w:eastAsia="zh-CN"/>
        </w:rPr>
        <w:t xml:space="preserve">The Committee recommends that the State party </w:t>
      </w:r>
      <w:r w:rsidRPr="009419E4">
        <w:rPr>
          <w:rFonts w:eastAsia="SimSun"/>
          <w:b/>
          <w:bCs/>
          <w:lang w:val="en-US" w:eastAsia="zh-CN"/>
        </w:rPr>
        <w:t xml:space="preserve">adopt measures to protect </w:t>
      </w:r>
      <w:r w:rsidR="00493D51">
        <w:rPr>
          <w:rFonts w:eastAsia="SimSun"/>
          <w:b/>
          <w:bCs/>
          <w:lang w:val="en-US" w:eastAsia="zh-CN"/>
        </w:rPr>
        <w:t xml:space="preserve">persons belonging to </w:t>
      </w:r>
      <w:r w:rsidRPr="009419E4">
        <w:rPr>
          <w:rFonts w:eastAsia="SimSun"/>
          <w:b/>
          <w:bCs/>
          <w:lang w:val="en-US" w:eastAsia="zh-CN"/>
        </w:rPr>
        <w:t xml:space="preserve">minorities not explicitly </w:t>
      </w:r>
      <w:r w:rsidR="005F0122">
        <w:rPr>
          <w:rFonts w:eastAsia="SimSun"/>
          <w:b/>
          <w:bCs/>
          <w:lang w:val="en-US" w:eastAsia="zh-CN"/>
        </w:rPr>
        <w:t>provided for</w:t>
      </w:r>
      <w:r w:rsidR="005F0122" w:rsidRPr="009419E4">
        <w:rPr>
          <w:rFonts w:eastAsia="SimSun"/>
          <w:b/>
          <w:bCs/>
          <w:lang w:val="en-US" w:eastAsia="zh-CN"/>
        </w:rPr>
        <w:t xml:space="preserve"> </w:t>
      </w:r>
      <w:r w:rsidRPr="009419E4">
        <w:rPr>
          <w:rFonts w:eastAsia="SimSun"/>
          <w:b/>
          <w:bCs/>
          <w:lang w:val="en-US" w:eastAsia="zh-CN"/>
        </w:rPr>
        <w:t>in the</w:t>
      </w:r>
      <w:r>
        <w:rPr>
          <w:rFonts w:eastAsia="SimSun"/>
          <w:b/>
          <w:bCs/>
          <w:lang w:val="en-US" w:eastAsia="zh-CN"/>
        </w:rPr>
        <w:t xml:space="preserve"> </w:t>
      </w:r>
      <w:r w:rsidR="00BE7329">
        <w:rPr>
          <w:rFonts w:eastAsia="SimSun"/>
          <w:b/>
          <w:bCs/>
          <w:lang w:val="en-US" w:eastAsia="zh-CN"/>
        </w:rPr>
        <w:t xml:space="preserve">Constitution, </w:t>
      </w:r>
      <w:r w:rsidR="00493D51">
        <w:rPr>
          <w:rFonts w:eastAsia="SimSun"/>
          <w:b/>
          <w:bCs/>
          <w:lang w:val="en-US" w:eastAsia="zh-CN"/>
        </w:rPr>
        <w:t xml:space="preserve">in the exercise of their political rights without discrimination, </w:t>
      </w:r>
      <w:r>
        <w:rPr>
          <w:rFonts w:eastAsia="SimSun"/>
          <w:b/>
          <w:bCs/>
          <w:lang w:val="en-US" w:eastAsia="zh-CN"/>
        </w:rPr>
        <w:t>and take measures to ensure that all groups of minorities are represented in Parliament</w:t>
      </w:r>
      <w:r w:rsidR="007869D8">
        <w:rPr>
          <w:rFonts w:eastAsia="SimSun"/>
          <w:b/>
          <w:bCs/>
          <w:lang w:val="en-US" w:eastAsia="zh-CN"/>
        </w:rPr>
        <w:t xml:space="preserve"> and in regional elected bodies.</w:t>
      </w:r>
    </w:p>
    <w:p w:rsidR="005C3466" w:rsidRDefault="005C3466" w:rsidP="00A1207C">
      <w:pPr>
        <w:pStyle w:val="SingleTxtG"/>
        <w:rPr>
          <w:rFonts w:eastAsia="SimSun"/>
          <w:color w:val="000000"/>
          <w:lang w:val="en-US" w:eastAsia="zh-CN"/>
        </w:rPr>
      </w:pPr>
      <w:r>
        <w:rPr>
          <w:rFonts w:eastAsia="SimSun"/>
          <w:color w:val="000000"/>
          <w:lang w:val="en-US" w:eastAsia="zh-CN"/>
        </w:rPr>
        <w:t>13.</w:t>
      </w:r>
      <w:r>
        <w:rPr>
          <w:rFonts w:eastAsia="SimSun"/>
          <w:color w:val="000000"/>
          <w:lang w:val="en-US" w:eastAsia="zh-CN"/>
        </w:rPr>
        <w:tab/>
      </w:r>
      <w:r w:rsidRPr="00B16FFF">
        <w:rPr>
          <w:rFonts w:eastAsia="SimSun"/>
          <w:lang w:val="en-US" w:eastAsia="zh-CN"/>
        </w:rPr>
        <w:t>While taking note of the adoption in March 2010 of the law regulating the legal status of the “erased” people, the Committee remains con</w:t>
      </w:r>
      <w:r w:rsidR="00A1207C">
        <w:rPr>
          <w:rFonts w:eastAsia="SimSun"/>
          <w:lang w:val="en-US" w:eastAsia="zh-CN"/>
        </w:rPr>
        <w:t>cerned at the situation of the</w:t>
      </w:r>
      <w:r w:rsidRPr="00B16FFF">
        <w:rPr>
          <w:rFonts w:eastAsia="SimSun"/>
          <w:lang w:val="en-US" w:eastAsia="zh-CN"/>
        </w:rPr>
        <w:t xml:space="preserve"> non</w:t>
      </w:r>
      <w:r w:rsidR="00360900">
        <w:rPr>
          <w:rFonts w:eastAsia="SimSun"/>
          <w:lang w:val="en-US" w:eastAsia="zh-CN"/>
        </w:rPr>
        <w:t>–</w:t>
      </w:r>
      <w:r w:rsidRPr="00B16FFF">
        <w:rPr>
          <w:rFonts w:eastAsia="SimSun"/>
          <w:lang w:val="en-US" w:eastAsia="zh-CN"/>
        </w:rPr>
        <w:t xml:space="preserve">Slovenes from </w:t>
      </w:r>
      <w:r w:rsidR="005A7DC0">
        <w:rPr>
          <w:rFonts w:eastAsia="SimSun"/>
          <w:lang w:val="en-US" w:eastAsia="zh-CN"/>
        </w:rPr>
        <w:t xml:space="preserve">the </w:t>
      </w:r>
      <w:r w:rsidRPr="00B16FFF">
        <w:rPr>
          <w:rFonts w:eastAsia="SimSun"/>
          <w:lang w:val="en-US" w:eastAsia="zh-CN"/>
        </w:rPr>
        <w:t>former</w:t>
      </w:r>
      <w:r w:rsidRPr="00B16FFF">
        <w:rPr>
          <w:rFonts w:eastAsia="SimSun"/>
          <w:color w:val="000000"/>
          <w:lang w:val="en-US" w:eastAsia="zh-CN"/>
        </w:rPr>
        <w:t xml:space="preserve"> </w:t>
      </w:r>
      <w:r w:rsidRPr="00B16FFF">
        <w:rPr>
          <w:rFonts w:eastAsia="SimSun"/>
          <w:lang w:val="en-US" w:eastAsia="zh-CN"/>
        </w:rPr>
        <w:t>Yugoslavia</w:t>
      </w:r>
      <w:r w:rsidR="005A7DC0">
        <w:rPr>
          <w:rFonts w:eastAsia="SimSun"/>
          <w:lang w:val="en-US" w:eastAsia="zh-CN"/>
        </w:rPr>
        <w:t>,</w:t>
      </w:r>
      <w:r w:rsidRPr="00B16FFF">
        <w:rPr>
          <w:rFonts w:eastAsia="SimSun"/>
          <w:lang w:val="en-US" w:eastAsia="zh-CN"/>
        </w:rPr>
        <w:t xml:space="preserve"> </w:t>
      </w:r>
      <w:r w:rsidRPr="00B16FFF">
        <w:t>including Bosnians, ethnic Albanians from Kosovo, Macedonians and Serbs</w:t>
      </w:r>
      <w:r w:rsidR="005A7DC0">
        <w:t>,</w:t>
      </w:r>
      <w:r w:rsidR="00AC3CE8">
        <w:t xml:space="preserve"> whose</w:t>
      </w:r>
      <w:r w:rsidR="008A0CC7">
        <w:t xml:space="preserve"> </w:t>
      </w:r>
      <w:r w:rsidR="008A0CC7" w:rsidRPr="00B16FFF">
        <w:t>legal</w:t>
      </w:r>
      <w:r w:rsidRPr="00B16FFF">
        <w:rPr>
          <w:rFonts w:eastAsia="SimSun"/>
          <w:lang w:val="en-US" w:eastAsia="zh-CN"/>
        </w:rPr>
        <w:t xml:space="preserve"> status </w:t>
      </w:r>
      <w:r>
        <w:rPr>
          <w:rFonts w:eastAsia="SimSun"/>
          <w:lang w:val="en-US" w:eastAsia="zh-CN"/>
        </w:rPr>
        <w:t>remain</w:t>
      </w:r>
      <w:r w:rsidR="00A1207C">
        <w:rPr>
          <w:rFonts w:eastAsia="SimSun"/>
          <w:lang w:val="en-US" w:eastAsia="zh-CN"/>
        </w:rPr>
        <w:t>s</w:t>
      </w:r>
      <w:r>
        <w:rPr>
          <w:rFonts w:eastAsia="SimSun"/>
          <w:lang w:val="en-US" w:eastAsia="zh-CN"/>
        </w:rPr>
        <w:t xml:space="preserve"> un</w:t>
      </w:r>
      <w:r w:rsidR="000F4007">
        <w:rPr>
          <w:rFonts w:eastAsia="SimSun"/>
          <w:lang w:val="en-US" w:eastAsia="zh-CN"/>
        </w:rPr>
        <w:t>re</w:t>
      </w:r>
      <w:r>
        <w:rPr>
          <w:rFonts w:eastAsia="SimSun"/>
          <w:lang w:val="en-US" w:eastAsia="zh-CN"/>
        </w:rPr>
        <w:t xml:space="preserve">solved and </w:t>
      </w:r>
      <w:r w:rsidR="005A7DC0">
        <w:rPr>
          <w:rFonts w:eastAsia="SimSun"/>
          <w:lang w:val="en-US" w:eastAsia="zh-CN"/>
        </w:rPr>
        <w:t xml:space="preserve">who </w:t>
      </w:r>
      <w:r w:rsidR="00A1207C">
        <w:rPr>
          <w:rFonts w:eastAsia="SimSun"/>
          <w:lang w:val="en-US" w:eastAsia="zh-CN"/>
        </w:rPr>
        <w:t xml:space="preserve">are </w:t>
      </w:r>
      <w:r>
        <w:rPr>
          <w:rFonts w:eastAsia="SimSun"/>
          <w:lang w:val="en-US" w:eastAsia="zh-CN"/>
        </w:rPr>
        <w:t>therefore facing</w:t>
      </w:r>
      <w:r w:rsidRPr="00B16FFF">
        <w:rPr>
          <w:rFonts w:eastAsia="SimSun"/>
          <w:lang w:val="en-US" w:eastAsia="zh-CN"/>
        </w:rPr>
        <w:t xml:space="preserve"> </w:t>
      </w:r>
      <w:r>
        <w:rPr>
          <w:rFonts w:eastAsia="SimSun"/>
          <w:lang w:val="en-US" w:eastAsia="zh-CN"/>
        </w:rPr>
        <w:t>difficulties</w:t>
      </w:r>
      <w:r w:rsidRPr="00B16FFF">
        <w:rPr>
          <w:rFonts w:eastAsia="SimSun"/>
          <w:lang w:val="en-US" w:eastAsia="zh-CN"/>
        </w:rPr>
        <w:t xml:space="preserve"> in terms of access</w:t>
      </w:r>
      <w:r w:rsidRPr="00B16FFF">
        <w:rPr>
          <w:rFonts w:eastAsia="SimSun"/>
          <w:color w:val="000000"/>
          <w:lang w:val="en-US" w:eastAsia="zh-CN"/>
        </w:rPr>
        <w:t xml:space="preserve"> </w:t>
      </w:r>
      <w:r w:rsidRPr="00B16FFF">
        <w:rPr>
          <w:rFonts w:eastAsia="SimSun"/>
          <w:lang w:val="en-US" w:eastAsia="zh-CN"/>
        </w:rPr>
        <w:t xml:space="preserve">to social and economic rights, </w:t>
      </w:r>
      <w:r w:rsidR="00A1207C">
        <w:rPr>
          <w:rFonts w:eastAsia="SimSun"/>
          <w:lang w:val="en-US" w:eastAsia="zh-CN"/>
        </w:rPr>
        <w:t xml:space="preserve">such as </w:t>
      </w:r>
      <w:r>
        <w:rPr>
          <w:rFonts w:eastAsia="SimSun"/>
          <w:lang w:val="en-US" w:eastAsia="zh-CN"/>
        </w:rPr>
        <w:t>access to health</w:t>
      </w:r>
      <w:r w:rsidR="005A7DC0">
        <w:rPr>
          <w:rFonts w:eastAsia="SimSun"/>
          <w:lang w:val="en-US" w:eastAsia="zh-CN"/>
        </w:rPr>
        <w:t>–</w:t>
      </w:r>
      <w:r>
        <w:rPr>
          <w:rFonts w:eastAsia="SimSun"/>
          <w:lang w:val="en-US" w:eastAsia="zh-CN"/>
        </w:rPr>
        <w:t>care services, social security, education</w:t>
      </w:r>
      <w:r w:rsidRPr="00B16FFF">
        <w:rPr>
          <w:rFonts w:eastAsia="SimSun"/>
          <w:lang w:val="en-US" w:eastAsia="zh-CN"/>
        </w:rPr>
        <w:t xml:space="preserve"> and </w:t>
      </w:r>
      <w:r>
        <w:rPr>
          <w:rFonts w:eastAsia="SimSun"/>
          <w:lang w:val="en-US" w:eastAsia="zh-CN"/>
        </w:rPr>
        <w:t>employment</w:t>
      </w:r>
      <w:r w:rsidRPr="00B16FFF">
        <w:rPr>
          <w:rFonts w:eastAsia="SimSun"/>
          <w:color w:val="000000"/>
          <w:lang w:val="en-US" w:eastAsia="zh-CN"/>
        </w:rPr>
        <w:t>.</w:t>
      </w:r>
      <w:r>
        <w:rPr>
          <w:rFonts w:eastAsia="SimSun"/>
          <w:lang w:val="en-US" w:eastAsia="zh-CN"/>
        </w:rPr>
        <w:t xml:space="preserve"> </w:t>
      </w:r>
      <w:r>
        <w:rPr>
          <w:rFonts w:eastAsia="SimSun"/>
          <w:color w:val="000000"/>
          <w:lang w:val="en-US" w:eastAsia="zh-CN"/>
        </w:rPr>
        <w:t xml:space="preserve">The Committee is also concerned that the new law </w:t>
      </w:r>
      <w:r w:rsidRPr="00B16FFF">
        <w:rPr>
          <w:rFonts w:eastAsia="SimSun"/>
          <w:lang w:val="en-US" w:eastAsia="zh-CN"/>
        </w:rPr>
        <w:t xml:space="preserve">does not envisage any outreach campaign directed towards “the erased” </w:t>
      </w:r>
      <w:r>
        <w:rPr>
          <w:rFonts w:eastAsia="SimSun"/>
          <w:lang w:val="en-US" w:eastAsia="zh-CN"/>
        </w:rPr>
        <w:t xml:space="preserve">people </w:t>
      </w:r>
      <w:r w:rsidR="00CA5E80">
        <w:rPr>
          <w:rFonts w:eastAsia="SimSun"/>
          <w:lang w:val="en-US" w:eastAsia="zh-CN"/>
        </w:rPr>
        <w:t>living</w:t>
      </w:r>
      <w:r w:rsidR="00CA5E80" w:rsidRPr="009419E4">
        <w:rPr>
          <w:rFonts w:eastAsia="SimSun"/>
          <w:lang w:val="en-US" w:eastAsia="zh-CN"/>
        </w:rPr>
        <w:t xml:space="preserve"> </w:t>
      </w:r>
      <w:r w:rsidR="00CA5E80">
        <w:rPr>
          <w:rFonts w:eastAsia="SimSun"/>
          <w:lang w:val="en-US" w:eastAsia="zh-CN"/>
        </w:rPr>
        <w:t>abroad</w:t>
      </w:r>
      <w:r w:rsidR="00A71070">
        <w:rPr>
          <w:rFonts w:eastAsia="SimSun"/>
          <w:lang w:val="en-US" w:eastAsia="zh-CN"/>
        </w:rPr>
        <w:t xml:space="preserve"> </w:t>
      </w:r>
      <w:r w:rsidR="00A1207C">
        <w:rPr>
          <w:rFonts w:eastAsia="SimSun"/>
          <w:lang w:val="en-US" w:eastAsia="zh-CN"/>
        </w:rPr>
        <w:t>in order to inform them</w:t>
      </w:r>
      <w:r>
        <w:rPr>
          <w:rFonts w:eastAsia="SimSun"/>
          <w:lang w:val="en-US" w:eastAsia="zh-CN"/>
        </w:rPr>
        <w:t xml:space="preserve"> of its existence</w:t>
      </w:r>
      <w:r w:rsidR="005A7DC0">
        <w:rPr>
          <w:rFonts w:eastAsia="SimSun"/>
          <w:lang w:val="en-US" w:eastAsia="zh-CN"/>
        </w:rPr>
        <w:t>.</w:t>
      </w:r>
      <w:r>
        <w:rPr>
          <w:rFonts w:eastAsia="SimSun"/>
          <w:lang w:val="en-US" w:eastAsia="zh-CN"/>
        </w:rPr>
        <w:t xml:space="preserve"> (art</w:t>
      </w:r>
      <w:r w:rsidR="005A7DC0">
        <w:rPr>
          <w:rFonts w:eastAsia="SimSun"/>
          <w:lang w:val="en-US" w:eastAsia="zh-CN"/>
        </w:rPr>
        <w:t>.</w:t>
      </w:r>
      <w:r>
        <w:rPr>
          <w:rFonts w:eastAsia="SimSun"/>
          <w:lang w:val="en-US" w:eastAsia="zh-CN"/>
        </w:rPr>
        <w:t xml:space="preserve"> 5 </w:t>
      </w:r>
      <w:r w:rsidR="007C10C1">
        <w:rPr>
          <w:rFonts w:eastAsia="SimSun"/>
          <w:lang w:val="en-US" w:eastAsia="zh-CN"/>
        </w:rPr>
        <w:t>(d) and</w:t>
      </w:r>
      <w:r>
        <w:rPr>
          <w:rFonts w:eastAsia="SimSun"/>
          <w:lang w:val="en-US" w:eastAsia="zh-CN"/>
        </w:rPr>
        <w:t xml:space="preserve"> </w:t>
      </w:r>
      <w:r w:rsidR="007C10C1">
        <w:rPr>
          <w:rFonts w:eastAsia="SimSun"/>
          <w:lang w:val="en-US" w:eastAsia="zh-CN"/>
        </w:rPr>
        <w:t>(</w:t>
      </w:r>
      <w:r>
        <w:rPr>
          <w:rFonts w:eastAsia="SimSun"/>
          <w:lang w:val="en-US" w:eastAsia="zh-CN"/>
        </w:rPr>
        <w:t>e</w:t>
      </w:r>
      <w:r w:rsidR="007C10C1">
        <w:rPr>
          <w:rFonts w:eastAsia="SimSun"/>
          <w:lang w:val="en-US" w:eastAsia="zh-CN"/>
        </w:rPr>
        <w:t>)</w:t>
      </w:r>
      <w:r>
        <w:rPr>
          <w:rFonts w:eastAsia="SimSun"/>
          <w:lang w:val="en-US" w:eastAsia="zh-CN"/>
        </w:rPr>
        <w:t>).</w:t>
      </w:r>
    </w:p>
    <w:p w:rsidR="005C3466" w:rsidRDefault="005C3466" w:rsidP="005C3466">
      <w:pPr>
        <w:pStyle w:val="H23G"/>
        <w:rPr>
          <w:rFonts w:eastAsia="SimSun"/>
          <w:lang w:val="en-US" w:eastAsia="zh-CN"/>
        </w:rPr>
      </w:pPr>
      <w:r>
        <w:rPr>
          <w:rFonts w:eastAsia="SimSun"/>
          <w:lang w:val="en-US" w:eastAsia="zh-CN"/>
        </w:rPr>
        <w:tab/>
      </w:r>
      <w:r>
        <w:rPr>
          <w:rFonts w:eastAsia="SimSun"/>
          <w:lang w:val="en-US" w:eastAsia="zh-CN"/>
        </w:rPr>
        <w:tab/>
      </w:r>
      <w:r w:rsidR="005A7DC0">
        <w:rPr>
          <w:rFonts w:eastAsia="SimSun"/>
          <w:lang w:val="en-US" w:eastAsia="zh-CN"/>
        </w:rPr>
        <w:tab/>
      </w:r>
      <w:r w:rsidRPr="009419E4">
        <w:rPr>
          <w:rFonts w:eastAsia="SimSun"/>
          <w:lang w:val="en-US" w:eastAsia="zh-CN"/>
        </w:rPr>
        <w:t xml:space="preserve">The Committee recommends that the </w:t>
      </w:r>
      <w:r>
        <w:rPr>
          <w:rFonts w:eastAsia="SimSun"/>
          <w:lang w:val="en-US" w:eastAsia="zh-CN"/>
        </w:rPr>
        <w:t>State party:</w:t>
      </w:r>
    </w:p>
    <w:p w:rsidR="005C3466" w:rsidRDefault="005C3466" w:rsidP="007A75BE">
      <w:pPr>
        <w:pStyle w:val="H23G"/>
        <w:rPr>
          <w:rFonts w:eastAsia="SimSun"/>
          <w:lang w:val="en-US" w:eastAsia="zh-CN"/>
        </w:rPr>
      </w:pPr>
      <w:r>
        <w:rPr>
          <w:rFonts w:eastAsia="SimSun"/>
          <w:lang w:val="en-US" w:eastAsia="zh-CN"/>
        </w:rPr>
        <w:tab/>
      </w:r>
      <w:r>
        <w:rPr>
          <w:rFonts w:eastAsia="SimSun"/>
          <w:lang w:val="en-US" w:eastAsia="zh-CN"/>
        </w:rPr>
        <w:tab/>
      </w:r>
      <w:r w:rsidR="005A7DC0">
        <w:rPr>
          <w:rFonts w:eastAsia="SimSun"/>
          <w:lang w:val="en-US" w:eastAsia="zh-CN"/>
        </w:rPr>
        <w:tab/>
      </w:r>
      <w:r>
        <w:rPr>
          <w:rFonts w:eastAsia="SimSun"/>
          <w:lang w:val="en-US" w:eastAsia="zh-CN"/>
        </w:rPr>
        <w:t>(a)</w:t>
      </w:r>
      <w:r>
        <w:rPr>
          <w:rFonts w:eastAsia="SimSun"/>
          <w:lang w:val="en-US" w:eastAsia="zh-CN"/>
        </w:rPr>
        <w:tab/>
      </w:r>
      <w:r w:rsidR="005A7DC0" w:rsidRPr="009419E4">
        <w:rPr>
          <w:rFonts w:eastAsia="SimSun"/>
          <w:lang w:val="en-US" w:eastAsia="zh-CN"/>
        </w:rPr>
        <w:t>Reso</w:t>
      </w:r>
      <w:r w:rsidR="005A7DC0">
        <w:rPr>
          <w:rFonts w:eastAsia="SimSun"/>
          <w:lang w:val="en-US" w:eastAsia="zh-CN"/>
        </w:rPr>
        <w:t xml:space="preserve">lve </w:t>
      </w:r>
      <w:r w:rsidR="008A0CC7">
        <w:rPr>
          <w:rFonts w:eastAsia="SimSun"/>
          <w:lang w:val="en-US" w:eastAsia="zh-CN"/>
        </w:rPr>
        <w:t xml:space="preserve">definitely </w:t>
      </w:r>
      <w:r w:rsidR="007A75BE">
        <w:rPr>
          <w:rFonts w:eastAsia="SimSun"/>
          <w:lang w:val="en-US" w:eastAsia="zh-CN"/>
        </w:rPr>
        <w:t xml:space="preserve">the legal status of all concerned </w:t>
      </w:r>
      <w:r w:rsidRPr="009419E4">
        <w:rPr>
          <w:rFonts w:eastAsia="SimSun"/>
          <w:lang w:val="en-US" w:eastAsia="zh-CN"/>
        </w:rPr>
        <w:t>citizens</w:t>
      </w:r>
      <w:r>
        <w:rPr>
          <w:rFonts w:eastAsia="SimSun"/>
          <w:lang w:val="en-US" w:eastAsia="zh-CN"/>
        </w:rPr>
        <w:t xml:space="preserve"> </w:t>
      </w:r>
      <w:r w:rsidR="007A75BE">
        <w:rPr>
          <w:rFonts w:eastAsia="SimSun"/>
          <w:lang w:val="en-US" w:eastAsia="zh-CN"/>
        </w:rPr>
        <w:t>from the</w:t>
      </w:r>
      <w:r w:rsidRPr="009419E4">
        <w:rPr>
          <w:rFonts w:eastAsia="SimSun"/>
          <w:lang w:val="en-US" w:eastAsia="zh-CN"/>
        </w:rPr>
        <w:t xml:space="preserve"> former Socialist Federal Republic of Yugoslavia</w:t>
      </w:r>
      <w:r w:rsidR="007A75BE">
        <w:rPr>
          <w:rFonts w:eastAsia="SimSun"/>
          <w:lang w:val="en-US" w:eastAsia="zh-CN"/>
        </w:rPr>
        <w:t xml:space="preserve"> States</w:t>
      </w:r>
      <w:r w:rsidRPr="009419E4">
        <w:rPr>
          <w:rFonts w:eastAsia="SimSun"/>
          <w:lang w:val="en-US" w:eastAsia="zh-CN"/>
        </w:rPr>
        <w:t xml:space="preserve"> </w:t>
      </w:r>
      <w:r>
        <w:rPr>
          <w:rFonts w:eastAsia="SimSun"/>
          <w:lang w:val="en-US" w:eastAsia="zh-CN"/>
        </w:rPr>
        <w:t xml:space="preserve">presently living in </w:t>
      </w:r>
      <w:smartTag w:uri="urn:schemas-microsoft-com:office:smarttags" w:element="place">
        <w:smartTag w:uri="urn:schemas-microsoft-com:office:smarttags" w:element="country-region">
          <w:r>
            <w:rPr>
              <w:rFonts w:eastAsia="SimSun"/>
              <w:lang w:val="en-US" w:eastAsia="zh-CN"/>
            </w:rPr>
            <w:t>Slovenia</w:t>
          </w:r>
        </w:smartTag>
      </w:smartTag>
      <w:r>
        <w:rPr>
          <w:rFonts w:eastAsia="SimSun"/>
          <w:lang w:val="en-US" w:eastAsia="zh-CN"/>
        </w:rPr>
        <w:t>;</w:t>
      </w:r>
    </w:p>
    <w:p w:rsidR="005C3466" w:rsidRDefault="005C3466" w:rsidP="005C3466">
      <w:pPr>
        <w:pStyle w:val="H23G"/>
        <w:rPr>
          <w:rFonts w:eastAsia="SimSun"/>
          <w:lang w:val="en-US" w:eastAsia="zh-CN"/>
        </w:rPr>
      </w:pPr>
      <w:r>
        <w:rPr>
          <w:rFonts w:eastAsia="SimSun"/>
          <w:lang w:val="en-US" w:eastAsia="zh-CN"/>
        </w:rPr>
        <w:tab/>
      </w:r>
      <w:r w:rsidR="005A7DC0">
        <w:rPr>
          <w:rFonts w:eastAsia="SimSun"/>
          <w:lang w:val="en-US" w:eastAsia="zh-CN"/>
        </w:rPr>
        <w:tab/>
      </w:r>
      <w:r>
        <w:rPr>
          <w:rFonts w:eastAsia="SimSun"/>
          <w:lang w:val="en-US" w:eastAsia="zh-CN"/>
        </w:rPr>
        <w:tab/>
        <w:t>(b)</w:t>
      </w:r>
      <w:r>
        <w:rPr>
          <w:rFonts w:eastAsia="SimSun"/>
          <w:lang w:val="en-US" w:eastAsia="zh-CN"/>
        </w:rPr>
        <w:tab/>
      </w:r>
      <w:r w:rsidR="005A7DC0">
        <w:rPr>
          <w:rFonts w:eastAsia="SimSun"/>
          <w:lang w:val="en-US" w:eastAsia="zh-CN"/>
        </w:rPr>
        <w:t xml:space="preserve">Ensure </w:t>
      </w:r>
      <w:r>
        <w:rPr>
          <w:rFonts w:eastAsia="SimSun"/>
          <w:lang w:val="en-US" w:eastAsia="zh-CN"/>
        </w:rPr>
        <w:t>the full enjoyment of their economic and  social rights including the access to health services, social security, education and employment;</w:t>
      </w:r>
    </w:p>
    <w:p w:rsidR="005C3466" w:rsidRDefault="005C3466" w:rsidP="005C3466">
      <w:pPr>
        <w:pStyle w:val="H23G"/>
        <w:rPr>
          <w:rFonts w:eastAsia="SimSun"/>
          <w:lang w:val="en-US" w:eastAsia="zh-CN"/>
        </w:rPr>
      </w:pPr>
      <w:r>
        <w:rPr>
          <w:rFonts w:eastAsia="SimSun"/>
          <w:lang w:val="en-US" w:eastAsia="zh-CN"/>
        </w:rPr>
        <w:tab/>
      </w:r>
      <w:r>
        <w:rPr>
          <w:rFonts w:eastAsia="SimSun"/>
          <w:lang w:val="en-US" w:eastAsia="zh-CN"/>
        </w:rPr>
        <w:tab/>
      </w:r>
      <w:r w:rsidR="005A7DC0">
        <w:rPr>
          <w:rFonts w:eastAsia="SimSun"/>
          <w:lang w:val="en-US" w:eastAsia="zh-CN"/>
        </w:rPr>
        <w:tab/>
      </w:r>
      <w:r>
        <w:rPr>
          <w:rFonts w:eastAsia="SimSun"/>
          <w:lang w:val="en-US" w:eastAsia="zh-CN"/>
        </w:rPr>
        <w:t>(c)</w:t>
      </w:r>
      <w:r>
        <w:rPr>
          <w:rFonts w:eastAsia="SimSun"/>
          <w:lang w:val="en-US" w:eastAsia="zh-CN"/>
        </w:rPr>
        <w:tab/>
      </w:r>
      <w:r w:rsidR="005A7DC0">
        <w:rPr>
          <w:rFonts w:eastAsia="SimSun"/>
          <w:lang w:val="en-US" w:eastAsia="zh-CN"/>
        </w:rPr>
        <w:t>Conduct</w:t>
      </w:r>
      <w:r w:rsidR="005A7DC0" w:rsidRPr="00143BD6">
        <w:rPr>
          <w:rFonts w:eastAsia="SimSun"/>
          <w:lang w:val="en-US" w:eastAsia="zh-CN"/>
        </w:rPr>
        <w:t xml:space="preserve"> </w:t>
      </w:r>
      <w:r w:rsidRPr="00143BD6">
        <w:rPr>
          <w:rFonts w:eastAsia="SimSun"/>
          <w:lang w:val="en-US" w:eastAsia="zh-CN"/>
        </w:rPr>
        <w:t>an outreach campaign to</w:t>
      </w:r>
      <w:r>
        <w:rPr>
          <w:rFonts w:eastAsia="SimSun"/>
          <w:lang w:val="en-US" w:eastAsia="zh-CN"/>
        </w:rPr>
        <w:t xml:space="preserve"> </w:t>
      </w:r>
      <w:r w:rsidRPr="00143BD6">
        <w:rPr>
          <w:rFonts w:eastAsia="SimSun"/>
          <w:lang w:val="en-US" w:eastAsia="zh-CN"/>
        </w:rPr>
        <w:t xml:space="preserve">inform “the erased” currently living outside </w:t>
      </w:r>
      <w:smartTag w:uri="urn:schemas-microsoft-com:office:smarttags" w:element="place">
        <w:smartTag w:uri="urn:schemas-microsoft-com:office:smarttags" w:element="country-region">
          <w:r w:rsidRPr="00143BD6">
            <w:rPr>
              <w:rFonts w:eastAsia="SimSun"/>
              <w:lang w:val="en-US" w:eastAsia="zh-CN"/>
            </w:rPr>
            <w:t>Slovenia</w:t>
          </w:r>
        </w:smartTag>
      </w:smartTag>
      <w:r w:rsidRPr="00143BD6">
        <w:rPr>
          <w:rFonts w:eastAsia="SimSun"/>
          <w:lang w:val="en-US" w:eastAsia="zh-CN"/>
        </w:rPr>
        <w:t xml:space="preserve"> of the existence of the new legislative</w:t>
      </w:r>
      <w:r>
        <w:rPr>
          <w:rFonts w:eastAsia="SimSun"/>
          <w:lang w:val="en-US" w:eastAsia="zh-CN"/>
        </w:rPr>
        <w:t xml:space="preserve"> </w:t>
      </w:r>
      <w:r w:rsidRPr="00143BD6">
        <w:rPr>
          <w:rFonts w:eastAsia="SimSun"/>
          <w:lang w:val="en-US" w:eastAsia="zh-CN"/>
        </w:rPr>
        <w:t>measures and the possib</w:t>
      </w:r>
      <w:r>
        <w:rPr>
          <w:rFonts w:eastAsia="SimSun"/>
          <w:lang w:val="en-US" w:eastAsia="zh-CN"/>
        </w:rPr>
        <w:t xml:space="preserve">ility </w:t>
      </w:r>
      <w:r w:rsidR="007C10C1">
        <w:rPr>
          <w:rFonts w:eastAsia="SimSun"/>
          <w:lang w:val="en-US" w:eastAsia="zh-CN"/>
        </w:rPr>
        <w:t>of</w:t>
      </w:r>
      <w:r>
        <w:rPr>
          <w:rFonts w:eastAsia="SimSun"/>
          <w:lang w:val="en-US" w:eastAsia="zh-CN"/>
        </w:rPr>
        <w:t xml:space="preserve"> benefit</w:t>
      </w:r>
      <w:r w:rsidR="007C10C1">
        <w:rPr>
          <w:rFonts w:eastAsia="SimSun"/>
          <w:lang w:val="en-US" w:eastAsia="zh-CN"/>
        </w:rPr>
        <w:t>ing</w:t>
      </w:r>
      <w:r>
        <w:rPr>
          <w:rFonts w:eastAsia="SimSun"/>
          <w:lang w:val="en-US" w:eastAsia="zh-CN"/>
        </w:rPr>
        <w:t xml:space="preserve"> from them</w:t>
      </w:r>
      <w:r w:rsidR="005A7DC0">
        <w:rPr>
          <w:rFonts w:eastAsia="SimSun"/>
          <w:lang w:val="en-US" w:eastAsia="zh-CN"/>
        </w:rPr>
        <w:t>;</w:t>
      </w:r>
      <w:r>
        <w:rPr>
          <w:rFonts w:eastAsia="SimSun"/>
          <w:lang w:val="en-US" w:eastAsia="zh-CN"/>
        </w:rPr>
        <w:t xml:space="preserve"> and</w:t>
      </w:r>
    </w:p>
    <w:p w:rsidR="005C3466" w:rsidRDefault="005C3466" w:rsidP="005C3466">
      <w:pPr>
        <w:pStyle w:val="H23G"/>
        <w:rPr>
          <w:rFonts w:eastAsia="SimSun"/>
          <w:lang w:val="en-US" w:eastAsia="zh-CN"/>
        </w:rPr>
      </w:pPr>
      <w:r>
        <w:rPr>
          <w:rFonts w:eastAsia="SimSun"/>
          <w:lang w:val="en-US" w:eastAsia="zh-CN"/>
        </w:rPr>
        <w:tab/>
      </w:r>
      <w:r>
        <w:rPr>
          <w:rFonts w:eastAsia="SimSun"/>
          <w:lang w:val="en-US" w:eastAsia="zh-CN"/>
        </w:rPr>
        <w:tab/>
      </w:r>
      <w:r w:rsidR="005A7DC0">
        <w:rPr>
          <w:rFonts w:eastAsia="SimSun"/>
          <w:lang w:val="en-US" w:eastAsia="zh-CN"/>
        </w:rPr>
        <w:tab/>
      </w:r>
      <w:r>
        <w:rPr>
          <w:rFonts w:eastAsia="SimSun"/>
          <w:lang w:val="en-US" w:eastAsia="zh-CN"/>
        </w:rPr>
        <w:t>(d)</w:t>
      </w:r>
      <w:r>
        <w:rPr>
          <w:rFonts w:eastAsia="SimSun"/>
          <w:lang w:val="en-US" w:eastAsia="zh-CN"/>
        </w:rPr>
        <w:tab/>
      </w:r>
      <w:r w:rsidR="005A7DC0" w:rsidRPr="00143BD6">
        <w:rPr>
          <w:rFonts w:eastAsia="SimSun"/>
          <w:lang w:val="en-US" w:eastAsia="zh-CN"/>
        </w:rPr>
        <w:t xml:space="preserve">Grant </w:t>
      </w:r>
      <w:r w:rsidRPr="00143BD6">
        <w:rPr>
          <w:rFonts w:eastAsia="SimSun"/>
          <w:lang w:val="en-US" w:eastAsia="zh-CN"/>
        </w:rPr>
        <w:t>full reparation, inclu</w:t>
      </w:r>
      <w:r>
        <w:rPr>
          <w:rFonts w:eastAsia="SimSun"/>
          <w:lang w:val="en-US" w:eastAsia="zh-CN"/>
        </w:rPr>
        <w:t xml:space="preserve">ding restitution, satisfaction, </w:t>
      </w:r>
      <w:r w:rsidRPr="00143BD6">
        <w:rPr>
          <w:rFonts w:eastAsia="SimSun"/>
          <w:lang w:val="en-US" w:eastAsia="zh-CN"/>
        </w:rPr>
        <w:t>compensation, rehabi</w:t>
      </w:r>
      <w:r w:rsidR="007A75BE">
        <w:rPr>
          <w:rFonts w:eastAsia="SimSun"/>
          <w:lang w:val="en-US" w:eastAsia="zh-CN"/>
        </w:rPr>
        <w:t>litation and guarantees of non</w:t>
      </w:r>
      <w:r w:rsidR="00360900">
        <w:rPr>
          <w:rFonts w:eastAsia="SimSun"/>
          <w:lang w:val="en-US" w:eastAsia="zh-CN"/>
        </w:rPr>
        <w:t>–</w:t>
      </w:r>
      <w:r w:rsidRPr="00143BD6">
        <w:rPr>
          <w:rFonts w:eastAsia="SimSun"/>
          <w:lang w:val="en-US" w:eastAsia="zh-CN"/>
        </w:rPr>
        <w:t>repetition, to all individuals affected by the “erasure</w:t>
      </w:r>
      <w:r>
        <w:rPr>
          <w:rFonts w:eastAsia="SimSun"/>
          <w:lang w:val="en-US" w:eastAsia="zh-CN"/>
        </w:rPr>
        <w:t>”.</w:t>
      </w:r>
      <w:r w:rsidRPr="00143BD6">
        <w:rPr>
          <w:rFonts w:eastAsia="SimSun"/>
          <w:lang w:val="en-US" w:eastAsia="zh-CN"/>
        </w:rPr>
        <w:t xml:space="preserve"> </w:t>
      </w:r>
    </w:p>
    <w:p w:rsidR="005C3466" w:rsidRDefault="005C3466" w:rsidP="005C3466">
      <w:pPr>
        <w:pStyle w:val="SingleTxtG"/>
        <w:rPr>
          <w:rFonts w:eastAsia="SimSun"/>
          <w:lang w:val="en-US" w:eastAsia="zh-CN"/>
        </w:rPr>
      </w:pPr>
      <w:r>
        <w:rPr>
          <w:rFonts w:eastAsia="SimSun"/>
          <w:lang w:val="en-US" w:eastAsia="zh-CN"/>
        </w:rPr>
        <w:t>14.</w:t>
      </w:r>
      <w:r>
        <w:rPr>
          <w:rFonts w:eastAsia="SimSun"/>
          <w:lang w:val="en-US" w:eastAsia="zh-CN"/>
        </w:rPr>
        <w:tab/>
      </w:r>
      <w:r w:rsidRPr="009419E4">
        <w:rPr>
          <w:rFonts w:eastAsia="SimSun"/>
          <w:lang w:val="en-US" w:eastAsia="zh-CN"/>
        </w:rPr>
        <w:t>The Committee is concerned that very few acts of racial discrimination have been prosecuted and punished in the State party</w:t>
      </w:r>
      <w:r w:rsidR="00FB3BE7">
        <w:rPr>
          <w:rFonts w:eastAsia="SimSun"/>
          <w:lang w:val="en-US" w:eastAsia="zh-CN"/>
        </w:rPr>
        <w:t>.</w:t>
      </w:r>
      <w:r w:rsidRPr="009419E4">
        <w:rPr>
          <w:rFonts w:eastAsia="SimSun"/>
          <w:lang w:val="en-US" w:eastAsia="zh-CN"/>
        </w:rPr>
        <w:t xml:space="preserve"> (art. 6)</w:t>
      </w:r>
    </w:p>
    <w:p w:rsidR="005C3466" w:rsidRPr="009C5A4E" w:rsidRDefault="005C3466" w:rsidP="003E6613">
      <w:pPr>
        <w:pStyle w:val="SingleTxtG"/>
        <w:rPr>
          <w:rFonts w:eastAsia="SimSun"/>
          <w:b/>
          <w:bCs/>
          <w:lang w:val="en-US" w:eastAsia="zh-CN"/>
        </w:rPr>
      </w:pPr>
      <w:r>
        <w:rPr>
          <w:rFonts w:eastAsia="SimSun"/>
          <w:b/>
          <w:bCs/>
          <w:lang w:val="en-US" w:eastAsia="zh-CN"/>
        </w:rPr>
        <w:tab/>
      </w:r>
      <w:r w:rsidRPr="009419E4">
        <w:rPr>
          <w:rFonts w:eastAsia="SimSun"/>
          <w:b/>
          <w:bCs/>
          <w:lang w:val="en-US" w:eastAsia="zh-CN"/>
        </w:rPr>
        <w:t>The Committee requests</w:t>
      </w:r>
      <w:r w:rsidR="00FB3BE7">
        <w:rPr>
          <w:rFonts w:eastAsia="SimSun"/>
          <w:b/>
          <w:bCs/>
          <w:lang w:val="en-US" w:eastAsia="zh-CN"/>
        </w:rPr>
        <w:t xml:space="preserve"> that</w:t>
      </w:r>
      <w:r w:rsidRPr="009419E4">
        <w:rPr>
          <w:rFonts w:eastAsia="SimSun"/>
          <w:b/>
          <w:bCs/>
          <w:lang w:val="en-US" w:eastAsia="zh-CN"/>
        </w:rPr>
        <w:t xml:space="preserve"> the State party ensure that appropriate</w:t>
      </w:r>
      <w:r>
        <w:rPr>
          <w:rFonts w:eastAsia="SimSun"/>
          <w:b/>
          <w:bCs/>
          <w:lang w:val="en-US" w:eastAsia="zh-CN"/>
        </w:rPr>
        <w:t xml:space="preserve"> </w:t>
      </w:r>
      <w:r w:rsidRPr="009419E4">
        <w:rPr>
          <w:rFonts w:eastAsia="SimSun"/>
          <w:b/>
          <w:bCs/>
          <w:lang w:val="en-US" w:eastAsia="zh-CN"/>
        </w:rPr>
        <w:t>provisions are available in national legislation and inform the public about all</w:t>
      </w:r>
      <w:r>
        <w:rPr>
          <w:rFonts w:eastAsia="SimSun"/>
          <w:b/>
          <w:bCs/>
          <w:lang w:val="en-US" w:eastAsia="zh-CN"/>
        </w:rPr>
        <w:t xml:space="preserve"> </w:t>
      </w:r>
      <w:r w:rsidRPr="009419E4">
        <w:rPr>
          <w:rFonts w:eastAsia="SimSun"/>
          <w:b/>
          <w:bCs/>
          <w:lang w:val="en-US" w:eastAsia="zh-CN"/>
        </w:rPr>
        <w:t>legal remedies in the field of racial discrimination</w:t>
      </w:r>
      <w:r w:rsidR="003E6613">
        <w:rPr>
          <w:rFonts w:eastAsia="SimSun"/>
          <w:b/>
          <w:bCs/>
          <w:lang w:val="en-US" w:eastAsia="zh-CN"/>
        </w:rPr>
        <w:t xml:space="preserve">. Furthermore, </w:t>
      </w:r>
      <w:r w:rsidR="00784BF0">
        <w:rPr>
          <w:rFonts w:eastAsia="SimSun"/>
          <w:b/>
          <w:bCs/>
          <w:lang w:val="en-US" w:eastAsia="zh-CN"/>
        </w:rPr>
        <w:t>t</w:t>
      </w:r>
      <w:r w:rsidR="003E6613" w:rsidRPr="009419E4">
        <w:rPr>
          <w:rFonts w:eastAsia="SimSun"/>
          <w:b/>
          <w:bCs/>
          <w:lang w:val="en-US" w:eastAsia="zh-CN"/>
        </w:rPr>
        <w:t>he Committee reminds the State party that the mere absence of complaints and</w:t>
      </w:r>
      <w:r w:rsidR="003E6613">
        <w:rPr>
          <w:rFonts w:eastAsia="SimSun"/>
          <w:b/>
          <w:bCs/>
          <w:lang w:val="en-US" w:eastAsia="zh-CN"/>
        </w:rPr>
        <w:t xml:space="preserve"> </w:t>
      </w:r>
      <w:r w:rsidR="003E6613" w:rsidRPr="009419E4">
        <w:rPr>
          <w:rFonts w:eastAsia="SimSun"/>
          <w:b/>
          <w:bCs/>
          <w:lang w:val="en-US" w:eastAsia="zh-CN"/>
        </w:rPr>
        <w:t>legal action by victims of racial discrimination may be mainly an indication of</w:t>
      </w:r>
      <w:r w:rsidR="003E6613">
        <w:rPr>
          <w:rFonts w:eastAsia="SimSun"/>
          <w:b/>
          <w:bCs/>
          <w:lang w:val="en-US" w:eastAsia="zh-CN"/>
        </w:rPr>
        <w:t xml:space="preserve"> </w:t>
      </w:r>
      <w:r w:rsidR="003E6613" w:rsidRPr="009419E4">
        <w:rPr>
          <w:rFonts w:eastAsia="SimSun"/>
          <w:b/>
          <w:bCs/>
          <w:lang w:val="en-US" w:eastAsia="zh-CN"/>
        </w:rPr>
        <w:t>the absence of relevant specific legislation, or of a lack of awareness of the</w:t>
      </w:r>
      <w:r w:rsidR="003E6613">
        <w:rPr>
          <w:rFonts w:eastAsia="SimSun"/>
          <w:b/>
          <w:bCs/>
          <w:lang w:val="en-US" w:eastAsia="zh-CN"/>
        </w:rPr>
        <w:t xml:space="preserve"> </w:t>
      </w:r>
      <w:r w:rsidR="003E6613" w:rsidRPr="009419E4">
        <w:rPr>
          <w:rFonts w:eastAsia="SimSun"/>
          <w:b/>
          <w:bCs/>
          <w:lang w:val="en-US" w:eastAsia="zh-CN"/>
        </w:rPr>
        <w:t>availability of legal remedies, or of insufficient will on the part of the authorities</w:t>
      </w:r>
      <w:r w:rsidR="003E6613">
        <w:rPr>
          <w:rFonts w:eastAsia="SimSun"/>
          <w:b/>
          <w:bCs/>
          <w:lang w:val="en-US" w:eastAsia="zh-CN"/>
        </w:rPr>
        <w:t xml:space="preserve"> </w:t>
      </w:r>
      <w:r w:rsidR="003E6613" w:rsidRPr="009419E4">
        <w:rPr>
          <w:rFonts w:eastAsia="SimSun"/>
          <w:b/>
          <w:bCs/>
          <w:lang w:val="en-US" w:eastAsia="zh-CN"/>
        </w:rPr>
        <w:t>to prosecute.</w:t>
      </w:r>
    </w:p>
    <w:p w:rsidR="005C3466" w:rsidRPr="00384395" w:rsidRDefault="005C3466" w:rsidP="005C3466">
      <w:pPr>
        <w:pStyle w:val="SingleTxtG"/>
        <w:rPr>
          <w:rFonts w:eastAsia="SimSun"/>
          <w:lang w:val="en-US" w:eastAsia="zh-CN"/>
        </w:rPr>
      </w:pPr>
      <w:r w:rsidRPr="00384395">
        <w:rPr>
          <w:rFonts w:eastAsia="SimSun"/>
          <w:lang w:val="en-US" w:eastAsia="zh-CN"/>
        </w:rPr>
        <w:t>15.</w:t>
      </w:r>
      <w:r w:rsidRPr="00384395">
        <w:rPr>
          <w:rFonts w:eastAsia="SimSun"/>
          <w:lang w:val="en-US" w:eastAsia="zh-CN"/>
        </w:rPr>
        <w:tab/>
      </w:r>
      <w:r w:rsidRPr="00384395">
        <w:rPr>
          <w:rFonts w:eastAsia="SimSun"/>
        </w:rPr>
        <w:t>The Committee believes that the public should be better informed of the procedure provided under article 14 of the Convention. It suggests that the State party publicize more extensively the declaration made under article 14 of the Convention in the various languages used in the country.</w:t>
      </w:r>
    </w:p>
    <w:p w:rsidR="005C3466" w:rsidRPr="00A300A9" w:rsidRDefault="005C3466" w:rsidP="005C3466">
      <w:pPr>
        <w:pStyle w:val="SingleTxtG"/>
        <w:rPr>
          <w:rFonts w:eastAsia="SimSun"/>
          <w:lang w:val="en-US" w:eastAsia="zh-CN"/>
        </w:rPr>
      </w:pPr>
      <w:r w:rsidRPr="00A300A9">
        <w:rPr>
          <w:rFonts w:eastAsia="SimSun"/>
          <w:lang w:val="en-US" w:eastAsia="zh-CN"/>
        </w:rPr>
        <w:t>16.</w:t>
      </w:r>
      <w:r w:rsidRPr="00A300A9">
        <w:rPr>
          <w:rFonts w:eastAsia="SimSun"/>
          <w:lang w:val="en-US" w:eastAsia="zh-CN"/>
        </w:rPr>
        <w:tab/>
      </w:r>
      <w:r w:rsidRPr="00A300A9">
        <w:t xml:space="preserve">Bearing in mind the indivisibility of all human rights, the Committee encourages the State party to consider ratifying those international human rights treaties </w:t>
      </w:r>
      <w:r w:rsidR="007E76E7">
        <w:t>that</w:t>
      </w:r>
      <w:r w:rsidR="007E76E7" w:rsidRPr="00A300A9">
        <w:t xml:space="preserve"> </w:t>
      </w:r>
      <w:r w:rsidRPr="00A300A9">
        <w:t xml:space="preserve">it has not yet ratified, in particular treaties </w:t>
      </w:r>
      <w:r w:rsidR="007E76E7">
        <w:t>whose</w:t>
      </w:r>
      <w:r w:rsidR="007E76E7" w:rsidRPr="00A300A9">
        <w:t xml:space="preserve"> </w:t>
      </w:r>
      <w:r w:rsidRPr="00A300A9">
        <w:t>provisions have a direct bearing on the subject of racial discrimination, such as</w:t>
      </w:r>
      <w:r w:rsidRPr="00A300A9">
        <w:rPr>
          <w:b/>
          <w:bCs/>
        </w:rPr>
        <w:t xml:space="preserve"> </w:t>
      </w:r>
      <w:r w:rsidRPr="00A300A9">
        <w:t xml:space="preserve">the International Convention on the Protection of the Rights of All Migrant Workers and Members of Their Families.    </w:t>
      </w:r>
    </w:p>
    <w:p w:rsidR="005C3466" w:rsidRPr="00C70A5E" w:rsidRDefault="005C3466" w:rsidP="005C3466">
      <w:pPr>
        <w:pStyle w:val="SingleTxtG"/>
        <w:rPr>
          <w:rFonts w:eastAsia="SimSun"/>
          <w:lang w:val="en-US" w:eastAsia="zh-CN"/>
        </w:rPr>
      </w:pPr>
      <w:r w:rsidRPr="00C70A5E">
        <w:rPr>
          <w:rFonts w:eastAsia="SimSun"/>
          <w:lang w:val="en-US" w:eastAsia="zh-CN"/>
        </w:rPr>
        <w:t>17.</w:t>
      </w:r>
      <w:r w:rsidRPr="00C70A5E">
        <w:rPr>
          <w:rFonts w:eastAsia="SimSun"/>
          <w:lang w:val="en-US" w:eastAsia="zh-CN"/>
        </w:rPr>
        <w:tab/>
      </w:r>
      <w:r w:rsidRPr="00C70A5E">
        <w:t>In</w:t>
      </w:r>
      <w:r w:rsidR="007E76E7">
        <w:t xml:space="preserve"> the</w:t>
      </w:r>
      <w:r w:rsidRPr="00C70A5E">
        <w:t xml:space="preserve"> light of its general recommendation No. 33 (2009) on follow</w:t>
      </w:r>
      <w:r w:rsidR="00360900">
        <w:t>–</w:t>
      </w:r>
      <w:r w:rsidRPr="00C70A5E">
        <w:t xml:space="preserve">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5C3466" w:rsidRDefault="005C3466" w:rsidP="005C3466">
      <w:pPr>
        <w:pStyle w:val="SingleTxtG"/>
        <w:rPr>
          <w:i/>
          <w:iCs/>
        </w:rPr>
      </w:pPr>
      <w:r>
        <w:t>18.</w:t>
      </w:r>
      <w:r>
        <w:tab/>
      </w:r>
      <w:r w:rsidRPr="00C70A5E">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5C3466" w:rsidRPr="00C70A5E" w:rsidRDefault="005C3466" w:rsidP="005C3466">
      <w:pPr>
        <w:pStyle w:val="SingleTxtG"/>
        <w:rPr>
          <w:i/>
          <w:iCs/>
        </w:rPr>
      </w:pPr>
      <w:r w:rsidRPr="00C70A5E">
        <w:t>19.</w:t>
      </w:r>
      <w:r w:rsidRPr="00C70A5E">
        <w:tab/>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 61/148 and 63/243, in which the Assembly General strongly urged States parties to accelerate their domestic ratification procedures with regard to the amendment to the Convention concerning the financing of the Committee and to notify the Secretary</w:t>
      </w:r>
      <w:r w:rsidR="00360900">
        <w:t>–</w:t>
      </w:r>
      <w:r w:rsidRPr="00C70A5E">
        <w:t xml:space="preserve">General expeditiously in writing of their agreement to the amendment. </w:t>
      </w:r>
    </w:p>
    <w:p w:rsidR="005C3466" w:rsidRPr="00C70A5E" w:rsidRDefault="005C3466" w:rsidP="005C3466">
      <w:pPr>
        <w:pStyle w:val="SingleTxtG"/>
        <w:rPr>
          <w:i/>
          <w:iCs/>
        </w:rPr>
      </w:pPr>
      <w:r w:rsidRPr="00C70A5E">
        <w:t>20.</w:t>
      </w:r>
      <w:r w:rsidRPr="00C70A5E">
        <w:tab/>
        <w:t>The Committee recommends that the State party’s reports be made readily available and accessible to the public at the time of their submission, and that the observations of the Committee with respect to these reports be similarly publicized in the official</w:t>
      </w:r>
      <w:r w:rsidR="003A5D4F">
        <w:t xml:space="preserve"> language, the language of minorities</w:t>
      </w:r>
      <w:r w:rsidRPr="00C70A5E">
        <w:t xml:space="preserve"> and other commonly used languages, as appropriate. </w:t>
      </w:r>
    </w:p>
    <w:p w:rsidR="005C3466" w:rsidRPr="00384395" w:rsidRDefault="005C3466" w:rsidP="005C3466">
      <w:pPr>
        <w:pStyle w:val="SingleTxtG"/>
        <w:rPr>
          <w:i/>
          <w:iCs/>
        </w:rPr>
      </w:pPr>
      <w:r w:rsidRPr="00384395">
        <w:t>21.</w:t>
      </w:r>
      <w:r w:rsidRPr="00384395">
        <w:tab/>
        <w:t xml:space="preserve">Noting that the State Party submitted its </w:t>
      </w:r>
      <w:r w:rsidR="00360900" w:rsidRPr="00384395">
        <w:t xml:space="preserve">core document </w:t>
      </w:r>
      <w:r w:rsidRPr="00384395">
        <w:t>in 2004, the Committee encourages the State Party to submit an updated version in accordance with the harmonized guidelines on reporting under the international human rights treaties, in particular those on the common core document, as adopted by the fifth inter</w:t>
      </w:r>
      <w:r w:rsidR="00360900">
        <w:t>–</w:t>
      </w:r>
      <w:r w:rsidR="00360900" w:rsidRPr="00384395">
        <w:t xml:space="preserve">committee </w:t>
      </w:r>
      <w:r w:rsidRPr="00384395">
        <w:t xml:space="preserve">meeting of the human rights treaty bodies held in June 2006 (HRI/MC/2006/3). </w:t>
      </w:r>
    </w:p>
    <w:p w:rsidR="005C3466" w:rsidRPr="00384395" w:rsidRDefault="005C3466" w:rsidP="005C3466">
      <w:pPr>
        <w:pStyle w:val="SingleTxtG"/>
        <w:rPr>
          <w:i/>
          <w:iCs/>
        </w:rPr>
      </w:pPr>
      <w:r w:rsidRPr="00384395">
        <w:t>22.</w:t>
      </w:r>
      <w:r w:rsidRPr="00384395">
        <w:tab/>
        <w:t>In accordance with article 9, paragraph 1, of the Convention and rule 65 of its amended rules of procedure, the Committee requests the State party to provide information, within one year of the adoption of the present conclusions, on its follow</w:t>
      </w:r>
      <w:r w:rsidR="00360900">
        <w:t>–</w:t>
      </w:r>
      <w:r w:rsidRPr="00384395">
        <w:t>up to the recommendations contained i</w:t>
      </w:r>
      <w:r>
        <w:t>n paragraphs 10 and 13</w:t>
      </w:r>
      <w:r w:rsidRPr="00384395">
        <w:t xml:space="preserve"> above.   </w:t>
      </w:r>
    </w:p>
    <w:p w:rsidR="005C3466" w:rsidRPr="00384395" w:rsidRDefault="005C3466" w:rsidP="005007D8">
      <w:pPr>
        <w:pStyle w:val="SingleTxtG"/>
        <w:rPr>
          <w:i/>
          <w:iCs/>
        </w:rPr>
      </w:pPr>
      <w:r w:rsidRPr="00384395">
        <w:t>23.</w:t>
      </w:r>
      <w:r w:rsidRPr="00384395">
        <w:tab/>
        <w:t xml:space="preserve">The Committee also wishes to draw the attention of the State party to the particular importance of recommendations </w:t>
      </w:r>
      <w:r w:rsidR="005007D8">
        <w:t>7, 9</w:t>
      </w:r>
      <w:r w:rsidR="003A5D4F">
        <w:t xml:space="preserve">, </w:t>
      </w:r>
      <w:r w:rsidR="005007D8">
        <w:t>1</w:t>
      </w:r>
      <w:r w:rsidR="003A5D4F">
        <w:t>1 and 12</w:t>
      </w:r>
      <w:r w:rsidRPr="00384395">
        <w:t xml:space="preserve"> and request the State party to provide detailed information in its next periodic report on </w:t>
      </w:r>
      <w:r w:rsidR="00515A65">
        <w:t>concrete</w:t>
      </w:r>
      <w:r w:rsidR="00360900" w:rsidRPr="00384395">
        <w:t xml:space="preserve"> </w:t>
      </w:r>
      <w:r w:rsidRPr="00384395">
        <w:t xml:space="preserve">measures taken to implement these recommendations. </w:t>
      </w:r>
    </w:p>
    <w:p w:rsidR="006D6BB3" w:rsidRPr="00DE77A8" w:rsidRDefault="005C3466" w:rsidP="006D6BB3">
      <w:pPr>
        <w:pStyle w:val="SingleTxtG"/>
      </w:pPr>
      <w:r w:rsidRPr="00384395">
        <w:t>24.</w:t>
      </w:r>
      <w:r w:rsidRPr="00384395">
        <w:tab/>
        <w:t>The Committee recommends that the State party submit its</w:t>
      </w:r>
      <w:r w:rsidR="003A5D4F">
        <w:t xml:space="preserve"> combined </w:t>
      </w:r>
      <w:r w:rsidR="00360900">
        <w:t>eighth</w:t>
      </w:r>
      <w:r w:rsidR="003A5D4F">
        <w:t xml:space="preserve"> to </w:t>
      </w:r>
      <w:r w:rsidR="00360900">
        <w:t>eleventh</w:t>
      </w:r>
      <w:r w:rsidRPr="00384395">
        <w:t xml:space="preserve"> periodic reports in a single document, due on </w:t>
      </w:r>
      <w:r w:rsidR="003A5D4F">
        <w:t>6 July 2013</w:t>
      </w:r>
      <w:r w:rsidRPr="00384395">
        <w:t>, taking into account the guidelines for the CERD</w:t>
      </w:r>
      <w:r w:rsidR="00360900">
        <w:t>–</w:t>
      </w:r>
      <w:r w:rsidRPr="00384395">
        <w:t>specific document adopted by the Committee during its seventy</w:t>
      </w:r>
      <w:r w:rsidR="00360900">
        <w:t>–</w:t>
      </w:r>
      <w:r w:rsidRPr="00384395">
        <w:t xml:space="preserve">first session (CERD/C/2007/1), and that it address all points raised in the present concluding observations. </w:t>
      </w:r>
      <w:r w:rsidR="006D6BB3" w:rsidRPr="00DE77A8">
        <w:t>The Committee also urges the State party to observe the page limit of 40 pages for treaty</w:t>
      </w:r>
      <w:r w:rsidR="00360900">
        <w:t>–</w:t>
      </w:r>
      <w:r w:rsidR="006D6BB3" w:rsidRPr="00DE77A8">
        <w:t xml:space="preserve">specific reports and </w:t>
      </w:r>
      <w:r w:rsidR="006D6BB3">
        <w:t>60</w:t>
      </w:r>
      <w:r w:rsidR="00360900">
        <w:t>–</w:t>
      </w:r>
      <w:r w:rsidR="006D6BB3" w:rsidRPr="00DE77A8">
        <w:t>80 pages for the common core document (see harmonized guidelines for reporting contained in document HRI/GEN.2/Rev.6, para. 19).</w:t>
      </w:r>
    </w:p>
    <w:p w:rsidR="00E130AB" w:rsidRPr="005C3466" w:rsidRDefault="005C3466" w:rsidP="005C3466">
      <w:pPr>
        <w:pStyle w:val="SingleTxtG"/>
        <w:spacing w:before="240" w:after="0"/>
        <w:jc w:val="center"/>
        <w:rPr>
          <w:u w:val="single"/>
        </w:rPr>
      </w:pPr>
      <w:r>
        <w:rPr>
          <w:u w:val="single"/>
        </w:rPr>
        <w:tab/>
      </w:r>
      <w:r>
        <w:rPr>
          <w:u w:val="single"/>
        </w:rPr>
        <w:tab/>
      </w:r>
      <w:r>
        <w:rPr>
          <w:u w:val="single"/>
        </w:rPr>
        <w:tab/>
      </w:r>
    </w:p>
    <w:sectPr w:rsidR="00E130AB" w:rsidRPr="005C3466" w:rsidSect="005C34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90" w:rsidRDefault="00043690"/>
  </w:endnote>
  <w:endnote w:type="continuationSeparator" w:id="0">
    <w:p w:rsidR="00043690" w:rsidRDefault="00043690"/>
  </w:endnote>
  <w:endnote w:type="continuationNotice" w:id="1">
    <w:p w:rsidR="00043690" w:rsidRDefault="0004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8E" w:rsidRPr="005C3466" w:rsidRDefault="00585F8E" w:rsidP="005C3466">
    <w:pPr>
      <w:pStyle w:val="Footer"/>
      <w:tabs>
        <w:tab w:val="right" w:pos="9638"/>
      </w:tabs>
    </w:pPr>
    <w:r w:rsidRPr="005C3466">
      <w:rPr>
        <w:b/>
        <w:sz w:val="18"/>
      </w:rPr>
      <w:fldChar w:fldCharType="begin"/>
    </w:r>
    <w:r w:rsidRPr="005C3466">
      <w:rPr>
        <w:b/>
        <w:sz w:val="18"/>
      </w:rPr>
      <w:instrText xml:space="preserve"> PAGE  \* MERGEFORMAT </w:instrText>
    </w:r>
    <w:r w:rsidRPr="005C3466">
      <w:rPr>
        <w:b/>
        <w:sz w:val="18"/>
      </w:rPr>
      <w:fldChar w:fldCharType="separate"/>
    </w:r>
    <w:r w:rsidR="005B3581">
      <w:rPr>
        <w:b/>
        <w:noProof/>
        <w:sz w:val="18"/>
      </w:rPr>
      <w:t>2</w:t>
    </w:r>
    <w:r w:rsidRPr="005C346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8E" w:rsidRPr="005C3466" w:rsidRDefault="00585F8E" w:rsidP="005C3466">
    <w:pPr>
      <w:pStyle w:val="Footer"/>
      <w:tabs>
        <w:tab w:val="right" w:pos="9638"/>
      </w:tabs>
      <w:rPr>
        <w:b/>
        <w:sz w:val="18"/>
      </w:rPr>
    </w:pPr>
    <w:r>
      <w:tab/>
    </w:r>
    <w:r w:rsidRPr="005C3466">
      <w:rPr>
        <w:b/>
        <w:sz w:val="18"/>
      </w:rPr>
      <w:fldChar w:fldCharType="begin"/>
    </w:r>
    <w:r w:rsidRPr="005C3466">
      <w:rPr>
        <w:b/>
        <w:sz w:val="18"/>
      </w:rPr>
      <w:instrText xml:space="preserve"> PAGE  \* MERGEFORMAT </w:instrText>
    </w:r>
    <w:r w:rsidRPr="005C3466">
      <w:rPr>
        <w:b/>
        <w:sz w:val="18"/>
      </w:rPr>
      <w:fldChar w:fldCharType="separate"/>
    </w:r>
    <w:r w:rsidR="005B3581">
      <w:rPr>
        <w:b/>
        <w:noProof/>
        <w:sz w:val="18"/>
      </w:rPr>
      <w:t>5</w:t>
    </w:r>
    <w:r w:rsidRPr="005C34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8E" w:rsidRPr="005C3466" w:rsidRDefault="00585F8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GE.10-</w:t>
    </w:r>
    <w:r w:rsidR="005B3581">
      <w:t>45155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90" w:rsidRPr="000B175B" w:rsidRDefault="00043690" w:rsidP="000B175B">
      <w:pPr>
        <w:tabs>
          <w:tab w:val="right" w:pos="2155"/>
        </w:tabs>
        <w:spacing w:after="80"/>
        <w:ind w:left="680"/>
        <w:rPr>
          <w:u w:val="single"/>
        </w:rPr>
      </w:pPr>
      <w:r>
        <w:rPr>
          <w:u w:val="single"/>
        </w:rPr>
        <w:tab/>
      </w:r>
    </w:p>
  </w:footnote>
  <w:footnote w:type="continuationSeparator" w:id="0">
    <w:p w:rsidR="00043690" w:rsidRPr="00FC68B7" w:rsidRDefault="00043690" w:rsidP="00FC68B7">
      <w:pPr>
        <w:tabs>
          <w:tab w:val="left" w:pos="2155"/>
        </w:tabs>
        <w:spacing w:after="80"/>
        <w:ind w:left="680"/>
        <w:rPr>
          <w:u w:val="single"/>
        </w:rPr>
      </w:pPr>
      <w:r>
        <w:rPr>
          <w:u w:val="single"/>
        </w:rPr>
        <w:tab/>
      </w:r>
    </w:p>
  </w:footnote>
  <w:footnote w:type="continuationNotice" w:id="1">
    <w:p w:rsidR="00043690" w:rsidRDefault="000436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8E" w:rsidRPr="005C3466" w:rsidRDefault="00585F8E">
    <w:pPr>
      <w:pStyle w:val="Header"/>
    </w:pPr>
    <w:r>
      <w:t>CERD/C/SVN/CO/6-7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8E" w:rsidRPr="005C3466" w:rsidRDefault="00585F8E" w:rsidP="005C3466">
    <w:pPr>
      <w:pStyle w:val="Header"/>
      <w:jc w:val="right"/>
    </w:pPr>
    <w:r>
      <w:t>CERD/C/SVN/CO/6-7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81" w:rsidRDefault="005B3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10112A"/>
    <w:multiLevelType w:val="hybridMultilevel"/>
    <w:tmpl w:val="FCE45164"/>
    <w:lvl w:ilvl="0" w:tplc="100621A4">
      <w:start w:val="1"/>
      <w:numFmt w:val="lowerLetter"/>
      <w:lvlText w:val="%1."/>
      <w:lvlJc w:val="left"/>
      <w:pPr>
        <w:tabs>
          <w:tab w:val="num" w:pos="1440"/>
        </w:tabs>
        <w:ind w:left="1440" w:hanging="360"/>
      </w:pPr>
      <w:rPr>
        <w:rFonts w:hint="default"/>
        <w:b w:val="0"/>
        <w:bCs w:val="0"/>
        <w:strike w:val="0"/>
        <w:color w:val="auto"/>
      </w:rPr>
    </w:lvl>
    <w:lvl w:ilvl="1" w:tplc="EF3C718C">
      <w:start w:val="1"/>
      <w:numFmt w:val="decimal"/>
      <w:lvlText w:val="%2."/>
      <w:lvlJc w:val="left"/>
      <w:pPr>
        <w:tabs>
          <w:tab w:val="num" w:pos="1440"/>
        </w:tabs>
        <w:ind w:left="1440" w:hanging="360"/>
      </w:pPr>
      <w:rPr>
        <w:rFonts w:hint="default"/>
        <w:b w:val="0"/>
        <w:bCs w:val="0"/>
        <w: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85501F"/>
    <w:multiLevelType w:val="hybridMultilevel"/>
    <w:tmpl w:val="F1D28EEA"/>
    <w:lvl w:ilvl="0" w:tplc="201879A2">
      <w:start w:val="1"/>
      <w:numFmt w:val="lowerLetter"/>
      <w:lvlText w:val="%1)"/>
      <w:lvlJc w:val="left"/>
      <w:pPr>
        <w:tabs>
          <w:tab w:val="num" w:pos="720"/>
        </w:tabs>
        <w:ind w:left="720" w:hanging="360"/>
      </w:pPr>
      <w:rPr>
        <w:rFonts w:hint="default"/>
      </w:rPr>
    </w:lvl>
    <w:lvl w:ilvl="1" w:tplc="388841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E142BC"/>
    <w:multiLevelType w:val="hybridMultilevel"/>
    <w:tmpl w:val="BE868F26"/>
    <w:lvl w:ilvl="0" w:tplc="91747CEC">
      <w:start w:val="1"/>
      <w:numFmt w:val="decimal"/>
      <w:lvlText w:val="%1."/>
      <w:lvlJc w:val="left"/>
      <w:pPr>
        <w:tabs>
          <w:tab w:val="num" w:pos="720"/>
        </w:tabs>
        <w:ind w:left="720" w:hanging="360"/>
      </w:pPr>
      <w:rPr>
        <w:b w:val="0"/>
        <w:bCs w:val="0"/>
        <w:i w:val="0"/>
        <w:iCs w:val="0"/>
        <w:strike w:val="0"/>
        <w:sz w:val="24"/>
        <w:szCs w:val="24"/>
      </w:rPr>
    </w:lvl>
    <w:lvl w:ilvl="1" w:tplc="58202B1E">
      <w:start w:val="1"/>
      <w:numFmt w:val="upp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466"/>
    <w:rsid w:val="00034179"/>
    <w:rsid w:val="00043690"/>
    <w:rsid w:val="000456DD"/>
    <w:rsid w:val="00050F6B"/>
    <w:rsid w:val="00072C8C"/>
    <w:rsid w:val="000931C0"/>
    <w:rsid w:val="000B175B"/>
    <w:rsid w:val="000B3A0F"/>
    <w:rsid w:val="000C408F"/>
    <w:rsid w:val="000E0415"/>
    <w:rsid w:val="000E39E5"/>
    <w:rsid w:val="000E5B8D"/>
    <w:rsid w:val="000F4007"/>
    <w:rsid w:val="00102324"/>
    <w:rsid w:val="00157E9B"/>
    <w:rsid w:val="00163D1E"/>
    <w:rsid w:val="00183B90"/>
    <w:rsid w:val="001B4B04"/>
    <w:rsid w:val="001C6663"/>
    <w:rsid w:val="001C7895"/>
    <w:rsid w:val="001D26DF"/>
    <w:rsid w:val="001E1568"/>
    <w:rsid w:val="001F65DA"/>
    <w:rsid w:val="00211E0B"/>
    <w:rsid w:val="00221970"/>
    <w:rsid w:val="00253674"/>
    <w:rsid w:val="002910DA"/>
    <w:rsid w:val="002955F3"/>
    <w:rsid w:val="002D4629"/>
    <w:rsid w:val="003107FA"/>
    <w:rsid w:val="003229D8"/>
    <w:rsid w:val="0033745A"/>
    <w:rsid w:val="00360900"/>
    <w:rsid w:val="00376390"/>
    <w:rsid w:val="0039277A"/>
    <w:rsid w:val="00395D0C"/>
    <w:rsid w:val="003972E0"/>
    <w:rsid w:val="003A1C89"/>
    <w:rsid w:val="003A5D4F"/>
    <w:rsid w:val="003C16F9"/>
    <w:rsid w:val="003C2CC4"/>
    <w:rsid w:val="003D4B23"/>
    <w:rsid w:val="003E6613"/>
    <w:rsid w:val="003F581F"/>
    <w:rsid w:val="004325CB"/>
    <w:rsid w:val="00437042"/>
    <w:rsid w:val="00446DE4"/>
    <w:rsid w:val="004614AC"/>
    <w:rsid w:val="004702C3"/>
    <w:rsid w:val="0047190F"/>
    <w:rsid w:val="00493D51"/>
    <w:rsid w:val="004A41CA"/>
    <w:rsid w:val="004B68C3"/>
    <w:rsid w:val="004C1A85"/>
    <w:rsid w:val="004C4911"/>
    <w:rsid w:val="004F0D74"/>
    <w:rsid w:val="005007D8"/>
    <w:rsid w:val="00503228"/>
    <w:rsid w:val="00505384"/>
    <w:rsid w:val="00510563"/>
    <w:rsid w:val="00515A65"/>
    <w:rsid w:val="005420F2"/>
    <w:rsid w:val="005735B6"/>
    <w:rsid w:val="00585F8E"/>
    <w:rsid w:val="00593E23"/>
    <w:rsid w:val="005A1A64"/>
    <w:rsid w:val="005A5A4E"/>
    <w:rsid w:val="005A7DC0"/>
    <w:rsid w:val="005B3581"/>
    <w:rsid w:val="005B3DB3"/>
    <w:rsid w:val="005C3466"/>
    <w:rsid w:val="005C61CA"/>
    <w:rsid w:val="005D24F7"/>
    <w:rsid w:val="005F0122"/>
    <w:rsid w:val="00611FC4"/>
    <w:rsid w:val="006176FB"/>
    <w:rsid w:val="00627ED0"/>
    <w:rsid w:val="00640B26"/>
    <w:rsid w:val="00663F42"/>
    <w:rsid w:val="00665595"/>
    <w:rsid w:val="006A7392"/>
    <w:rsid w:val="006C585C"/>
    <w:rsid w:val="006D6BB3"/>
    <w:rsid w:val="006E564B"/>
    <w:rsid w:val="00707170"/>
    <w:rsid w:val="0072632A"/>
    <w:rsid w:val="007369EB"/>
    <w:rsid w:val="007567C9"/>
    <w:rsid w:val="00784BF0"/>
    <w:rsid w:val="007869D8"/>
    <w:rsid w:val="00795748"/>
    <w:rsid w:val="007A2C0A"/>
    <w:rsid w:val="007A75BE"/>
    <w:rsid w:val="007B2543"/>
    <w:rsid w:val="007B6BA5"/>
    <w:rsid w:val="007C10C1"/>
    <w:rsid w:val="007C3390"/>
    <w:rsid w:val="007C4F4B"/>
    <w:rsid w:val="007E76E7"/>
    <w:rsid w:val="007F0B83"/>
    <w:rsid w:val="007F6611"/>
    <w:rsid w:val="008175E9"/>
    <w:rsid w:val="008242D7"/>
    <w:rsid w:val="008311A3"/>
    <w:rsid w:val="008447EF"/>
    <w:rsid w:val="00857AF9"/>
    <w:rsid w:val="00861821"/>
    <w:rsid w:val="00871FD5"/>
    <w:rsid w:val="008979B1"/>
    <w:rsid w:val="008A0CC7"/>
    <w:rsid w:val="008A3D0E"/>
    <w:rsid w:val="008A500F"/>
    <w:rsid w:val="008A6B25"/>
    <w:rsid w:val="008A6C4F"/>
    <w:rsid w:val="008E0E46"/>
    <w:rsid w:val="008E68C7"/>
    <w:rsid w:val="00907AD2"/>
    <w:rsid w:val="00963CBA"/>
    <w:rsid w:val="009740CC"/>
    <w:rsid w:val="00974A8D"/>
    <w:rsid w:val="009838A0"/>
    <w:rsid w:val="00991261"/>
    <w:rsid w:val="009C091E"/>
    <w:rsid w:val="009C4838"/>
    <w:rsid w:val="009F3A17"/>
    <w:rsid w:val="00A1207C"/>
    <w:rsid w:val="00A1427D"/>
    <w:rsid w:val="00A37D4B"/>
    <w:rsid w:val="00A63E31"/>
    <w:rsid w:val="00A71070"/>
    <w:rsid w:val="00A72F22"/>
    <w:rsid w:val="00A748A6"/>
    <w:rsid w:val="00A85314"/>
    <w:rsid w:val="00A879A4"/>
    <w:rsid w:val="00AA69A7"/>
    <w:rsid w:val="00AC3CE8"/>
    <w:rsid w:val="00AD0CDA"/>
    <w:rsid w:val="00AD25A9"/>
    <w:rsid w:val="00AE35F0"/>
    <w:rsid w:val="00AF0AF8"/>
    <w:rsid w:val="00B30179"/>
    <w:rsid w:val="00B334C3"/>
    <w:rsid w:val="00B33EC0"/>
    <w:rsid w:val="00B80477"/>
    <w:rsid w:val="00B81E12"/>
    <w:rsid w:val="00BC74E9"/>
    <w:rsid w:val="00BD4F15"/>
    <w:rsid w:val="00BE3D86"/>
    <w:rsid w:val="00BE4F74"/>
    <w:rsid w:val="00BE618E"/>
    <w:rsid w:val="00BE7329"/>
    <w:rsid w:val="00BF72B3"/>
    <w:rsid w:val="00C0530F"/>
    <w:rsid w:val="00C17699"/>
    <w:rsid w:val="00C208EA"/>
    <w:rsid w:val="00C463DD"/>
    <w:rsid w:val="00C745C3"/>
    <w:rsid w:val="00CA5E80"/>
    <w:rsid w:val="00CE4A8F"/>
    <w:rsid w:val="00CE7A96"/>
    <w:rsid w:val="00D2031B"/>
    <w:rsid w:val="00D25FE2"/>
    <w:rsid w:val="00D317BB"/>
    <w:rsid w:val="00D43252"/>
    <w:rsid w:val="00D51D23"/>
    <w:rsid w:val="00D85731"/>
    <w:rsid w:val="00D978C6"/>
    <w:rsid w:val="00DA67AD"/>
    <w:rsid w:val="00DB5D0F"/>
    <w:rsid w:val="00DC4395"/>
    <w:rsid w:val="00DC588B"/>
    <w:rsid w:val="00DD6757"/>
    <w:rsid w:val="00DE002B"/>
    <w:rsid w:val="00DE6D09"/>
    <w:rsid w:val="00DF0F82"/>
    <w:rsid w:val="00DF12F7"/>
    <w:rsid w:val="00DF26BD"/>
    <w:rsid w:val="00E02C81"/>
    <w:rsid w:val="00E130AB"/>
    <w:rsid w:val="00E633EE"/>
    <w:rsid w:val="00E7260F"/>
    <w:rsid w:val="00E87921"/>
    <w:rsid w:val="00E96630"/>
    <w:rsid w:val="00ED7A2A"/>
    <w:rsid w:val="00EE4A2A"/>
    <w:rsid w:val="00EF1D7F"/>
    <w:rsid w:val="00EF3BD5"/>
    <w:rsid w:val="00EF6E4D"/>
    <w:rsid w:val="00F1104B"/>
    <w:rsid w:val="00F53EDA"/>
    <w:rsid w:val="00F54DEA"/>
    <w:rsid w:val="00F76D0C"/>
    <w:rsid w:val="00F7753D"/>
    <w:rsid w:val="00F85F34"/>
    <w:rsid w:val="00FA06F7"/>
    <w:rsid w:val="00FB171A"/>
    <w:rsid w:val="00FB3BE7"/>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Default">
    <w:name w:val="Default"/>
    <w:rsid w:val="005C3466"/>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rsid w:val="006D6BB3"/>
    <w:rPr>
      <w:lang w:val="en-GB" w:eastAsia="en-US" w:bidi="ar-SA"/>
    </w:rPr>
  </w:style>
  <w:style w:type="paragraph" w:styleId="BalloonText">
    <w:name w:val="Balloon Text"/>
    <w:basedOn w:val="Normal"/>
    <w:semiHidden/>
    <w:rsid w:val="0085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rd/docs/GC32.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2354</Words>
  <Characters>13350</Characters>
  <Application>Microsoft Office Word</Application>
  <DocSecurity>4</DocSecurity>
  <Lines>196</Lines>
  <Paragraphs>35</Paragraphs>
  <ScaleCrop>false</ScaleCrop>
  <HeadingPairs>
    <vt:vector size="2" baseType="variant">
      <vt:variant>
        <vt:lpstr>Title</vt:lpstr>
      </vt:variant>
      <vt:variant>
        <vt:i4>1</vt:i4>
      </vt:variant>
    </vt:vector>
  </HeadingPairs>
  <TitlesOfParts>
    <vt:vector size="1" baseType="lpstr">
      <vt:lpstr>CERD/C/SVN/CO/6-7/CRP</vt:lpstr>
    </vt:vector>
  </TitlesOfParts>
  <Company>CSD</Company>
  <LinksUpToDate>false</LinksUpToDate>
  <CharactersWithSpaces>15669</CharactersWithSpaces>
  <SharedDoc>false</SharedDoc>
  <HLinks>
    <vt:vector size="6" baseType="variant">
      <vt:variant>
        <vt:i4>6946921</vt:i4>
      </vt:variant>
      <vt:variant>
        <vt:i4>0</vt:i4>
      </vt:variant>
      <vt:variant>
        <vt:i4>0</vt:i4>
      </vt:variant>
      <vt:variant>
        <vt:i4>5</vt:i4>
      </vt:variant>
      <vt:variant>
        <vt:lpwstr>http://www2.ohchr.org/english/bodies/cerd/docs/GC32.doc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CERD/C/SVN/CO/6-7/CRP</dc:title>
  <dc:subject/>
  <dc:creator>OHCHR</dc:creator>
  <cp:keywords/>
  <dc:description/>
  <cp:lastModifiedBy>DCM</cp:lastModifiedBy>
  <cp:revision>2</cp:revision>
  <cp:lastPrinted>2010-09-16T14:54:00Z</cp:lastPrinted>
  <dcterms:created xsi:type="dcterms:W3CDTF">2010-09-20T14:15:00Z</dcterms:created>
  <dcterms:modified xsi:type="dcterms:W3CDTF">2010-09-20T14:15:00Z</dcterms:modified>
</cp:coreProperties>
</file>