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D2F88" w:rsidP="006D2F88">
            <w:pPr>
              <w:bidi w:val="0"/>
              <w:spacing w:after="20"/>
              <w:jc w:val="left"/>
              <w:rPr>
                <w:szCs w:val="20"/>
              </w:rPr>
            </w:pPr>
            <w:r w:rsidRPr="006D2F88">
              <w:rPr>
                <w:sz w:val="40"/>
                <w:szCs w:val="20"/>
              </w:rPr>
              <w:t>CERD</w:t>
            </w:r>
            <w:r>
              <w:rPr>
                <w:szCs w:val="20"/>
              </w:rPr>
              <w:t>/C/SVK/CO/9-10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6D2F88" w:rsidRDefault="006D2F88" w:rsidP="006D2F88">
            <w:pPr>
              <w:bidi w:val="0"/>
              <w:spacing w:before="240"/>
              <w:jc w:val="left"/>
            </w:pPr>
            <w:r>
              <w:t>Distr.: General</w:t>
            </w:r>
          </w:p>
          <w:p w:rsidR="006D2F88" w:rsidRDefault="006D2F88" w:rsidP="006D2F88">
            <w:pPr>
              <w:bidi w:val="0"/>
              <w:jc w:val="left"/>
            </w:pPr>
            <w:r>
              <w:t>17 April 2013</w:t>
            </w:r>
          </w:p>
          <w:p w:rsidR="006D2F88" w:rsidRDefault="006D2F88" w:rsidP="006D2F88">
            <w:pPr>
              <w:bidi w:val="0"/>
              <w:jc w:val="left"/>
            </w:pPr>
            <w:r>
              <w:t>Arabic</w:t>
            </w:r>
          </w:p>
          <w:p w:rsidR="00257225" w:rsidRPr="008B4BC6" w:rsidRDefault="006D2F88" w:rsidP="006D2F88">
            <w:pPr>
              <w:bidi w:val="0"/>
              <w:jc w:val="left"/>
            </w:pPr>
            <w:r>
              <w:t>Original: English</w:t>
            </w:r>
          </w:p>
        </w:tc>
      </w:tr>
    </w:tbl>
    <w:p w:rsidR="008B4BC6" w:rsidRPr="00784106" w:rsidRDefault="00784106" w:rsidP="00784106">
      <w:pPr>
        <w:spacing w:before="120" w:line="380" w:lineRule="exact"/>
        <w:rPr>
          <w:rFonts w:hint="cs"/>
          <w:b/>
          <w:bCs/>
          <w:sz w:val="26"/>
          <w:szCs w:val="36"/>
          <w:rtl/>
        </w:rPr>
      </w:pPr>
      <w:r>
        <w:rPr>
          <w:rFonts w:hint="cs"/>
          <w:b/>
          <w:bCs/>
          <w:sz w:val="26"/>
          <w:szCs w:val="36"/>
          <w:rtl/>
        </w:rPr>
        <w:t>لجنة القضاء على التمييز العنصري</w:t>
      </w:r>
    </w:p>
    <w:p w:rsidR="00684866" w:rsidRPr="005204D4" w:rsidRDefault="002346BC" w:rsidP="007A7421">
      <w:pPr>
        <w:pStyle w:val="HChGA"/>
        <w:rPr>
          <w:rFonts w:hint="cs"/>
          <w:rtl/>
          <w:lang w:val="fr-CH"/>
        </w:rPr>
      </w:pPr>
      <w:r>
        <w:rPr>
          <w:rFonts w:hint="cs"/>
          <w:rtl/>
          <w:lang w:val="fr-CH"/>
        </w:rPr>
        <w:tab/>
      </w:r>
      <w:r>
        <w:rPr>
          <w:rFonts w:hint="cs"/>
          <w:rtl/>
          <w:lang w:val="fr-CH"/>
        </w:rPr>
        <w:tab/>
      </w:r>
      <w:r w:rsidR="00684866" w:rsidRPr="005204D4">
        <w:rPr>
          <w:rFonts w:hint="cs"/>
          <w:rtl/>
          <w:lang w:val="fr-CH"/>
        </w:rPr>
        <w:t xml:space="preserve">الملاحظات الختامية بشأن التقريرين الدوريين التاسع والعاشر </w:t>
      </w:r>
      <w:r w:rsidR="00684866">
        <w:rPr>
          <w:rFonts w:hint="cs"/>
          <w:rtl/>
          <w:lang w:val="fr-CH"/>
        </w:rPr>
        <w:t>ل</w:t>
      </w:r>
      <w:r w:rsidR="00684866" w:rsidRPr="005204D4">
        <w:rPr>
          <w:rFonts w:hint="cs"/>
          <w:rtl/>
          <w:lang w:val="fr-CH"/>
        </w:rPr>
        <w:t>سلوفاكيا</w:t>
      </w:r>
      <w:r w:rsidR="007A7421">
        <w:rPr>
          <w:rFonts w:hint="cs"/>
          <w:rtl/>
          <w:lang w:val="fr-CH"/>
        </w:rPr>
        <w:t>،</w:t>
      </w:r>
      <w:r w:rsidR="00684866" w:rsidRPr="005204D4">
        <w:rPr>
          <w:rFonts w:hint="cs"/>
          <w:rtl/>
          <w:lang w:val="fr-CH"/>
        </w:rPr>
        <w:t xml:space="preserve"> </w:t>
      </w:r>
      <w:r w:rsidR="007A7421">
        <w:rPr>
          <w:rFonts w:hint="cs"/>
          <w:rtl/>
          <w:lang w:val="fr-CH"/>
        </w:rPr>
        <w:t>التي اعتمدته</w:t>
      </w:r>
      <w:r w:rsidR="00684866" w:rsidRPr="005204D4">
        <w:rPr>
          <w:rFonts w:hint="cs"/>
          <w:rtl/>
          <w:lang w:val="fr-CH"/>
        </w:rPr>
        <w:t>ا الل</w:t>
      </w:r>
      <w:r w:rsidR="00684866">
        <w:rPr>
          <w:rFonts w:hint="cs"/>
          <w:rtl/>
          <w:lang w:val="fr-CH"/>
        </w:rPr>
        <w:t>ج</w:t>
      </w:r>
      <w:r w:rsidR="00684866" w:rsidRPr="005204D4">
        <w:rPr>
          <w:rFonts w:hint="cs"/>
          <w:rtl/>
          <w:lang w:val="fr-CH"/>
        </w:rPr>
        <w:t>نة في دورتها الثا</w:t>
      </w:r>
      <w:r w:rsidR="00684866">
        <w:rPr>
          <w:rFonts w:hint="cs"/>
          <w:rtl/>
          <w:lang w:val="fr-CH"/>
        </w:rPr>
        <w:t>ني</w:t>
      </w:r>
      <w:r w:rsidR="00684866" w:rsidRPr="005204D4">
        <w:rPr>
          <w:rFonts w:hint="cs"/>
          <w:rtl/>
          <w:lang w:val="fr-CH"/>
        </w:rPr>
        <w:t>ة والثمانين (11 شباط/فبراير - 1 آذار/مارس 2013)</w:t>
      </w:r>
    </w:p>
    <w:p w:rsidR="00684866" w:rsidRPr="000E2927" w:rsidRDefault="00684866" w:rsidP="000D4712">
      <w:pPr>
        <w:pStyle w:val="SingleTxtGA"/>
        <w:rPr>
          <w:rFonts w:hint="cs"/>
          <w:spacing w:val="-4"/>
          <w:rtl/>
          <w:lang w:val="fr-CH"/>
        </w:rPr>
      </w:pPr>
      <w:r w:rsidRPr="000E2927">
        <w:rPr>
          <w:rFonts w:hint="cs"/>
          <w:spacing w:val="-4"/>
          <w:rtl/>
          <w:lang w:val="fr-CH"/>
        </w:rPr>
        <w:t>1-</w:t>
      </w:r>
      <w:r w:rsidRPr="000E2927">
        <w:rPr>
          <w:rFonts w:hint="cs"/>
          <w:spacing w:val="-4"/>
          <w:rtl/>
          <w:lang w:val="fr-CH"/>
        </w:rPr>
        <w:tab/>
        <w:t xml:space="preserve">نظرت اللجنة في التقريرين </w:t>
      </w:r>
      <w:r w:rsidRPr="000E2927">
        <w:rPr>
          <w:rFonts w:hint="cs"/>
          <w:spacing w:val="-4"/>
          <w:rtl/>
        </w:rPr>
        <w:t>ا</w:t>
      </w:r>
      <w:r w:rsidRPr="000E2927">
        <w:rPr>
          <w:rFonts w:hint="cs"/>
          <w:spacing w:val="-4"/>
          <w:rtl/>
          <w:lang w:val="fr-CH"/>
        </w:rPr>
        <w:t>لدوريين التاسع والعاشر لسلوفاكيا (</w:t>
      </w:r>
      <w:r w:rsidRPr="000E2927">
        <w:rPr>
          <w:spacing w:val="-4"/>
        </w:rPr>
        <w:t>CERD/C/SVK/9-10</w:t>
      </w:r>
      <w:r w:rsidRPr="000E2927">
        <w:rPr>
          <w:rFonts w:hint="cs"/>
          <w:spacing w:val="-4"/>
          <w:rtl/>
          <w:lang w:val="fr-CH"/>
        </w:rPr>
        <w:t>)، المقدمين في وثيقة واحدة، في جلستيها 2217 و2218 (</w:t>
      </w:r>
      <w:r w:rsidRPr="000E2927">
        <w:rPr>
          <w:spacing w:val="-4"/>
        </w:rPr>
        <w:t>CERD/C/SR.2217</w:t>
      </w:r>
      <w:r w:rsidRPr="000E2927">
        <w:rPr>
          <w:rFonts w:hint="cs"/>
          <w:spacing w:val="-4"/>
          <w:rtl/>
        </w:rPr>
        <w:t xml:space="preserve"> و</w:t>
      </w:r>
      <w:r w:rsidRPr="000E2927">
        <w:rPr>
          <w:spacing w:val="-4"/>
        </w:rPr>
        <w:t>2218</w:t>
      </w:r>
      <w:r w:rsidRPr="000E2927">
        <w:rPr>
          <w:rFonts w:hint="cs"/>
          <w:spacing w:val="-4"/>
          <w:rtl/>
          <w:lang w:val="fr-CH"/>
        </w:rPr>
        <w:t>) المعقودتين يومي 19 و20 شباط/فبراير 2013، واعتمدت في جلستها 2231 (</w:t>
      </w:r>
      <w:r w:rsidRPr="000E2927">
        <w:rPr>
          <w:spacing w:val="-4"/>
        </w:rPr>
        <w:t>CERD/C/SR. 2231</w:t>
      </w:r>
      <w:r w:rsidRPr="000E2927">
        <w:rPr>
          <w:rFonts w:hint="cs"/>
          <w:spacing w:val="-4"/>
          <w:rtl/>
          <w:lang w:val="fr-CH"/>
        </w:rPr>
        <w:t>) المعقودة في 28 شباط/فبراير 2013، الملاحظات الختامية التالية.</w:t>
      </w:r>
    </w:p>
    <w:p w:rsidR="00684866" w:rsidRPr="005204D4" w:rsidRDefault="000E2927" w:rsidP="000E2927">
      <w:pPr>
        <w:pStyle w:val="H1GA"/>
        <w:rPr>
          <w:rFonts w:hint="cs"/>
          <w:rtl/>
          <w:lang w:val="fr-CH"/>
        </w:rPr>
      </w:pPr>
      <w:r>
        <w:rPr>
          <w:rFonts w:hint="cs"/>
          <w:rtl/>
          <w:lang w:val="fr-CH"/>
        </w:rPr>
        <w:tab/>
      </w:r>
      <w:r w:rsidR="00684866" w:rsidRPr="005204D4">
        <w:rPr>
          <w:rFonts w:hint="cs"/>
          <w:rtl/>
          <w:lang w:val="fr-CH"/>
        </w:rPr>
        <w:t>ألف-</w:t>
      </w:r>
      <w:r w:rsidR="00684866" w:rsidRPr="005204D4">
        <w:rPr>
          <w:rFonts w:hint="cs"/>
          <w:rtl/>
          <w:lang w:val="fr-CH"/>
        </w:rPr>
        <w:tab/>
        <w:t>مقدمة</w:t>
      </w:r>
    </w:p>
    <w:p w:rsidR="00684866" w:rsidRDefault="00684866" w:rsidP="007F56C9">
      <w:pPr>
        <w:pStyle w:val="SingleTxtGA"/>
        <w:rPr>
          <w:rFonts w:hint="cs"/>
          <w:rtl/>
          <w:lang w:val="fr-CH"/>
        </w:rPr>
      </w:pPr>
      <w:r>
        <w:rPr>
          <w:rFonts w:hint="cs"/>
          <w:rtl/>
          <w:lang w:val="fr-CH"/>
        </w:rPr>
        <w:t>2-</w:t>
      </w:r>
      <w:r>
        <w:rPr>
          <w:rFonts w:hint="cs"/>
          <w:rtl/>
          <w:lang w:val="fr-CH"/>
        </w:rPr>
        <w:tab/>
        <w:t>ترحب اللجنة بالتقرير الجامع للتقريرين الدوريين التاسع والعاشر الذي قدمته الدولة الطرف والذي يتسق مع المبادئ التوجيهية التي وضعتها اللجنة بشأن إعداد التقارير. وترحب اللجنة أيضاً بما أبدته الدولة الطرف من التزام بالمواعيد وانتظام في تقديم تقاريره</w:t>
      </w:r>
      <w:r w:rsidR="00F85E75">
        <w:rPr>
          <w:rFonts w:hint="cs"/>
          <w:rtl/>
          <w:lang w:val="fr-CH"/>
        </w:rPr>
        <w:t xml:space="preserve">ا الدورية </w:t>
      </w:r>
      <w:r w:rsidR="007F56C9">
        <w:rPr>
          <w:rFonts w:hint="cs"/>
          <w:rtl/>
          <w:lang w:val="fr-CH"/>
        </w:rPr>
        <w:t xml:space="preserve"> </w:t>
      </w:r>
      <w:r w:rsidR="00F85E75">
        <w:rPr>
          <w:rFonts w:hint="cs"/>
          <w:rtl/>
          <w:lang w:val="fr-CH"/>
        </w:rPr>
        <w:t>وما أتاحه</w:t>
      </w:r>
      <w:r>
        <w:rPr>
          <w:rFonts w:hint="cs"/>
          <w:rtl/>
          <w:lang w:val="fr-CH"/>
        </w:rPr>
        <w:t xml:space="preserve"> ذلك من فرصة لإجراء حوار بناء ومستمر معها. </w:t>
      </w:r>
      <w:r w:rsidR="001D57B2">
        <w:rPr>
          <w:rFonts w:hint="cs"/>
          <w:rtl/>
          <w:lang w:val="fr-CH"/>
        </w:rPr>
        <w:t>وتتقدم</w:t>
      </w:r>
      <w:r>
        <w:rPr>
          <w:rFonts w:hint="cs"/>
          <w:rtl/>
          <w:lang w:val="fr-CH"/>
        </w:rPr>
        <w:t xml:space="preserve"> بالشكر إلى الوفد الكبير للدولة الطرف على </w:t>
      </w:r>
      <w:r w:rsidR="001D57B2">
        <w:rPr>
          <w:rFonts w:hint="cs"/>
          <w:rtl/>
          <w:lang w:val="fr-CH"/>
        </w:rPr>
        <w:t>العرض الشفوي</w:t>
      </w:r>
      <w:r>
        <w:rPr>
          <w:rFonts w:hint="cs"/>
          <w:rtl/>
          <w:lang w:val="fr-CH"/>
        </w:rPr>
        <w:t xml:space="preserve"> والردود التي قدمها على أسئلة وتعليقات اللجنة.</w:t>
      </w:r>
    </w:p>
    <w:p w:rsidR="00684866" w:rsidRPr="005204D4" w:rsidRDefault="007F56C9" w:rsidP="007F56C9">
      <w:pPr>
        <w:pStyle w:val="H1GA"/>
        <w:rPr>
          <w:rFonts w:hint="cs"/>
          <w:rtl/>
          <w:lang w:val="fr-CH"/>
        </w:rPr>
      </w:pPr>
      <w:r>
        <w:rPr>
          <w:rFonts w:hint="cs"/>
          <w:rtl/>
          <w:lang w:val="fr-CH"/>
        </w:rPr>
        <w:tab/>
      </w:r>
      <w:r w:rsidR="00684866" w:rsidRPr="005204D4">
        <w:rPr>
          <w:rFonts w:hint="cs"/>
          <w:rtl/>
          <w:lang w:val="fr-CH"/>
        </w:rPr>
        <w:t>باء-</w:t>
      </w:r>
      <w:r w:rsidR="00684866" w:rsidRPr="005204D4">
        <w:rPr>
          <w:rFonts w:hint="cs"/>
          <w:rtl/>
          <w:lang w:val="fr-CH"/>
        </w:rPr>
        <w:tab/>
        <w:t>الجوانب الإيجابية</w:t>
      </w:r>
    </w:p>
    <w:p w:rsidR="00684866" w:rsidRDefault="00684866" w:rsidP="002D785B">
      <w:pPr>
        <w:pStyle w:val="SingleTxtGA"/>
        <w:rPr>
          <w:rFonts w:hint="cs"/>
          <w:rtl/>
          <w:lang w:val="fr-CH"/>
        </w:rPr>
      </w:pPr>
      <w:r>
        <w:rPr>
          <w:rFonts w:hint="cs"/>
          <w:rtl/>
          <w:lang w:val="fr-CH"/>
        </w:rPr>
        <w:t>3-</w:t>
      </w:r>
      <w:r>
        <w:rPr>
          <w:rFonts w:hint="cs"/>
          <w:rtl/>
          <w:lang w:val="fr-CH"/>
        </w:rPr>
        <w:tab/>
        <w:t>تلاحظ اللجنة</w:t>
      </w:r>
      <w:r w:rsidR="002D785B">
        <w:rPr>
          <w:rFonts w:hint="cs"/>
          <w:rtl/>
          <w:lang w:val="fr-CH"/>
        </w:rPr>
        <w:t xml:space="preserve"> </w:t>
      </w:r>
      <w:r>
        <w:rPr>
          <w:rFonts w:hint="cs"/>
          <w:rtl/>
          <w:lang w:val="fr-CH"/>
        </w:rPr>
        <w:t>مع التقدير وجود عدد من التشريعات التي صدرت والتطورات التي حدثت في السياسة العامة نحو القضاء على التمييز العنصري، بما في ذلك ما يلي:</w:t>
      </w:r>
    </w:p>
    <w:p w:rsidR="00684866" w:rsidRDefault="00FC76AF" w:rsidP="00FC76AF">
      <w:pPr>
        <w:pStyle w:val="SingleTxtGA"/>
        <w:rPr>
          <w:rFonts w:hint="cs"/>
          <w:rtl/>
          <w:lang w:val="fr-CH"/>
        </w:rPr>
      </w:pPr>
      <w:r>
        <w:rPr>
          <w:rFonts w:hint="cs"/>
          <w:rtl/>
          <w:lang w:val="fr-CH"/>
        </w:rPr>
        <w:tab/>
      </w:r>
      <w:r w:rsidR="00684866">
        <w:rPr>
          <w:rFonts w:hint="cs"/>
          <w:rtl/>
          <w:lang w:val="fr-CH"/>
        </w:rPr>
        <w:t>(أ)</w:t>
      </w:r>
      <w:r w:rsidR="00684866">
        <w:rPr>
          <w:rFonts w:hint="cs"/>
          <w:rtl/>
          <w:lang w:val="fr-CH"/>
        </w:rPr>
        <w:tab/>
        <w:t xml:space="preserve">تعديل قانون مكافحة التمييز الذي سيدخل حيز النفاذ </w:t>
      </w:r>
      <w:r>
        <w:rPr>
          <w:rFonts w:hint="cs"/>
          <w:rtl/>
          <w:lang w:val="fr-CH"/>
        </w:rPr>
        <w:t>اعتباراً</w:t>
      </w:r>
      <w:r w:rsidR="00684866">
        <w:rPr>
          <w:rFonts w:hint="cs"/>
          <w:rtl/>
          <w:lang w:val="fr-CH"/>
        </w:rPr>
        <w:t xml:space="preserve"> من 1 نيسان/أبريل 2013، والذي ينظم التدابير الخاصة المؤقتة الرامية إلى القضاء على أوجه الحرمان التي تستند إلى أمور منها العرق </w:t>
      </w:r>
      <w:proofErr w:type="spellStart"/>
      <w:r w:rsidR="00684866">
        <w:rPr>
          <w:rFonts w:hint="cs"/>
          <w:rtl/>
          <w:lang w:val="fr-CH"/>
        </w:rPr>
        <w:t>والإثنية</w:t>
      </w:r>
      <w:proofErr w:type="spellEnd"/>
      <w:r w:rsidR="00684866">
        <w:rPr>
          <w:rFonts w:hint="cs"/>
          <w:rtl/>
          <w:lang w:val="fr-CH"/>
        </w:rPr>
        <w:t xml:space="preserve"> و</w:t>
      </w:r>
      <w:r w:rsidR="00C56025">
        <w:rPr>
          <w:rFonts w:hint="cs"/>
          <w:rtl/>
          <w:lang w:val="fr-CH"/>
        </w:rPr>
        <w:t xml:space="preserve">نوع </w:t>
      </w:r>
      <w:r w:rsidR="00684866">
        <w:rPr>
          <w:rFonts w:hint="cs"/>
          <w:rtl/>
          <w:lang w:val="fr-CH"/>
        </w:rPr>
        <w:t>الجنس، وإلى تعزيز تكافؤ الفرص في العمل، امتثالاً لتوجيهات الاتحاد الأوروبي ذات الصلة؛</w:t>
      </w:r>
    </w:p>
    <w:p w:rsidR="00684866" w:rsidRDefault="00152685" w:rsidP="00152685">
      <w:pPr>
        <w:pStyle w:val="SingleTxtGA"/>
        <w:rPr>
          <w:rFonts w:hint="cs"/>
          <w:rtl/>
          <w:lang w:val="fr-CH"/>
        </w:rPr>
      </w:pPr>
      <w:r>
        <w:rPr>
          <w:rFonts w:hint="cs"/>
          <w:rtl/>
          <w:lang w:val="fr-CH"/>
        </w:rPr>
        <w:tab/>
      </w:r>
      <w:r w:rsidR="00684866">
        <w:rPr>
          <w:rFonts w:hint="cs"/>
          <w:rtl/>
          <w:lang w:val="fr-CH"/>
        </w:rPr>
        <w:t>(ب)</w:t>
      </w:r>
      <w:r w:rsidR="00684866">
        <w:rPr>
          <w:rFonts w:hint="cs"/>
          <w:rtl/>
          <w:lang w:val="fr-CH"/>
        </w:rPr>
        <w:tab/>
        <w:t>إنشاء مكتب المفوض الحكومي للأقليات الوطنية، في عام 2012، العامل كهيئة استشارية؛</w:t>
      </w:r>
    </w:p>
    <w:p w:rsidR="00684866" w:rsidRDefault="000D3F09" w:rsidP="000D3F09">
      <w:pPr>
        <w:pStyle w:val="SingleTxtGA"/>
        <w:rPr>
          <w:rFonts w:hint="cs"/>
          <w:rtl/>
          <w:lang w:val="fr-CH"/>
        </w:rPr>
      </w:pPr>
      <w:r>
        <w:rPr>
          <w:rFonts w:hint="cs"/>
          <w:rtl/>
          <w:lang w:val="fr-CH"/>
        </w:rPr>
        <w:tab/>
      </w:r>
      <w:r w:rsidR="00684866">
        <w:rPr>
          <w:rFonts w:hint="cs"/>
          <w:rtl/>
          <w:lang w:val="fr-CH"/>
        </w:rPr>
        <w:t>(ج)</w:t>
      </w:r>
      <w:r w:rsidR="00684866">
        <w:rPr>
          <w:rFonts w:hint="cs"/>
          <w:rtl/>
          <w:lang w:val="fr-CH"/>
        </w:rPr>
        <w:tab/>
        <w:t xml:space="preserve">مراجعة خطة العمل الوطنية لعقد إدماج </w:t>
      </w:r>
      <w:proofErr w:type="spellStart"/>
      <w:r w:rsidR="00684866">
        <w:rPr>
          <w:rFonts w:hint="cs"/>
          <w:rtl/>
          <w:lang w:val="fr-CH"/>
        </w:rPr>
        <w:t>الروما</w:t>
      </w:r>
      <w:proofErr w:type="spellEnd"/>
      <w:r w:rsidR="00684866">
        <w:rPr>
          <w:rFonts w:hint="cs"/>
          <w:rtl/>
          <w:lang w:val="fr-CH"/>
        </w:rPr>
        <w:t xml:space="preserve"> 2005-2015، </w:t>
      </w:r>
      <w:r w:rsidR="00152685">
        <w:rPr>
          <w:rFonts w:hint="cs"/>
          <w:rtl/>
          <w:lang w:val="fr-CH"/>
        </w:rPr>
        <w:t xml:space="preserve">بالنسبة للفترة </w:t>
      </w:r>
      <w:r w:rsidR="00684866">
        <w:rPr>
          <w:rFonts w:hint="cs"/>
          <w:rtl/>
          <w:lang w:val="fr-CH"/>
        </w:rPr>
        <w:t>2011</w:t>
      </w:r>
      <w:r>
        <w:rPr>
          <w:rFonts w:hint="cs"/>
          <w:rtl/>
          <w:lang w:val="fr-CH"/>
        </w:rPr>
        <w:t>-</w:t>
      </w:r>
      <w:r w:rsidR="00684866">
        <w:rPr>
          <w:rFonts w:hint="cs"/>
          <w:rtl/>
          <w:lang w:val="fr-CH"/>
        </w:rPr>
        <w:t xml:space="preserve">2015، في </w:t>
      </w:r>
      <w:r w:rsidRPr="000D3F09">
        <w:rPr>
          <w:rFonts w:hint="cs"/>
          <w:sz w:val="30"/>
          <w:rtl/>
          <w:lang w:val="fr-CH"/>
        </w:rPr>
        <w:t xml:space="preserve">آب/أغسطس </w:t>
      </w:r>
      <w:r>
        <w:rPr>
          <w:rFonts w:hint="cs"/>
          <w:rtl/>
          <w:lang w:val="fr-CH"/>
        </w:rPr>
        <w:t>عام 2011؛</w:t>
      </w:r>
      <w:r w:rsidR="00684866">
        <w:rPr>
          <w:rFonts w:hint="cs"/>
          <w:rtl/>
          <w:lang w:val="fr-CH"/>
        </w:rPr>
        <w:t xml:space="preserve"> واعتماد </w:t>
      </w:r>
      <w:proofErr w:type="spellStart"/>
      <w:r w:rsidR="00684866">
        <w:rPr>
          <w:rFonts w:hint="cs"/>
          <w:rtl/>
          <w:lang w:val="fr-CH"/>
        </w:rPr>
        <w:t>استراتيجية</w:t>
      </w:r>
      <w:proofErr w:type="spellEnd"/>
      <w:r w:rsidR="00684866">
        <w:rPr>
          <w:rFonts w:hint="cs"/>
          <w:rtl/>
          <w:lang w:val="fr-CH"/>
        </w:rPr>
        <w:t xml:space="preserve"> لإدماج </w:t>
      </w:r>
      <w:proofErr w:type="spellStart"/>
      <w:r w:rsidR="00684866">
        <w:rPr>
          <w:rFonts w:hint="cs"/>
          <w:rtl/>
          <w:lang w:val="fr-CH"/>
        </w:rPr>
        <w:t>الروما</w:t>
      </w:r>
      <w:proofErr w:type="spellEnd"/>
      <w:r w:rsidR="00684866">
        <w:rPr>
          <w:rFonts w:hint="cs"/>
          <w:rtl/>
          <w:lang w:val="fr-CH"/>
        </w:rPr>
        <w:t xml:space="preserve"> تمتد إلى عام 2020، في كانون الثاني/يناير 2012، وفقاً لإطار </w:t>
      </w:r>
      <w:r>
        <w:rPr>
          <w:rFonts w:hint="cs"/>
          <w:rtl/>
          <w:lang w:val="fr-CH"/>
        </w:rPr>
        <w:t>المفوضية</w:t>
      </w:r>
      <w:r w:rsidR="00684866">
        <w:rPr>
          <w:rFonts w:hint="cs"/>
          <w:rtl/>
          <w:lang w:val="fr-CH"/>
        </w:rPr>
        <w:t xml:space="preserve"> الأوروبية </w:t>
      </w:r>
      <w:r>
        <w:rPr>
          <w:rFonts w:hint="cs"/>
          <w:rtl/>
          <w:lang w:val="fr-CH"/>
        </w:rPr>
        <w:t>وبالتشاور</w:t>
      </w:r>
      <w:r w:rsidR="00684866">
        <w:rPr>
          <w:rFonts w:hint="cs"/>
          <w:rtl/>
          <w:lang w:val="fr-CH"/>
        </w:rPr>
        <w:t xml:space="preserve"> مع منظمات المجتمع المدني؛</w:t>
      </w:r>
    </w:p>
    <w:p w:rsidR="00684866" w:rsidRDefault="00EB4074" w:rsidP="00EB4074">
      <w:pPr>
        <w:pStyle w:val="SingleTxtGA"/>
        <w:rPr>
          <w:rFonts w:hint="cs"/>
          <w:rtl/>
          <w:lang w:val="fr-CH"/>
        </w:rPr>
      </w:pPr>
      <w:r>
        <w:rPr>
          <w:rFonts w:hint="cs"/>
          <w:rtl/>
          <w:lang w:val="fr-CH"/>
        </w:rPr>
        <w:tab/>
      </w:r>
      <w:r w:rsidR="00684866">
        <w:rPr>
          <w:rFonts w:hint="cs"/>
          <w:rtl/>
          <w:lang w:val="fr-CH"/>
        </w:rPr>
        <w:t>(د)</w:t>
      </w:r>
      <w:r w:rsidR="00684866">
        <w:rPr>
          <w:rFonts w:hint="cs"/>
          <w:rtl/>
          <w:lang w:val="fr-CH"/>
        </w:rPr>
        <w:tab/>
        <w:t xml:space="preserve">اعتماد </w:t>
      </w:r>
      <w:r>
        <w:rPr>
          <w:rFonts w:hint="cs"/>
          <w:rtl/>
          <w:lang w:val="fr-CH"/>
        </w:rPr>
        <w:t>خطة</w:t>
      </w:r>
      <w:r w:rsidR="00684866">
        <w:rPr>
          <w:rFonts w:hint="cs"/>
          <w:rtl/>
          <w:lang w:val="fr-CH"/>
        </w:rPr>
        <w:t xml:space="preserve"> مكافحة التطرف للفترة 2011-2014، في حزيران/</w:t>
      </w:r>
      <w:r w:rsidR="006044FA">
        <w:rPr>
          <w:rFonts w:hint="cs"/>
          <w:rtl/>
          <w:lang w:val="fr-CH"/>
        </w:rPr>
        <w:t xml:space="preserve">           </w:t>
      </w:r>
      <w:r w:rsidR="00684866">
        <w:rPr>
          <w:rFonts w:hint="cs"/>
          <w:rtl/>
          <w:lang w:val="fr-CH"/>
        </w:rPr>
        <w:t>يونيه 2011؛</w:t>
      </w:r>
    </w:p>
    <w:p w:rsidR="00684866" w:rsidRDefault="007C093A" w:rsidP="007C093A">
      <w:pPr>
        <w:pStyle w:val="SingleTxtGA"/>
        <w:rPr>
          <w:rFonts w:hint="cs"/>
          <w:rtl/>
          <w:lang w:val="fr-CH"/>
        </w:rPr>
      </w:pPr>
      <w:r>
        <w:rPr>
          <w:rFonts w:hint="cs"/>
          <w:rtl/>
          <w:lang w:val="fr-CH"/>
        </w:rPr>
        <w:tab/>
      </w:r>
      <w:r w:rsidR="00684866">
        <w:rPr>
          <w:rFonts w:hint="cs"/>
          <w:rtl/>
          <w:lang w:val="fr-CH"/>
        </w:rPr>
        <w:t>(</w:t>
      </w:r>
      <w:r w:rsidR="00684866" w:rsidRPr="005520F0">
        <w:rPr>
          <w:rFonts w:hint="cs"/>
          <w:sz w:val="30"/>
          <w:rtl/>
          <w:lang w:val="fr-CH"/>
        </w:rPr>
        <w:t>ﻫ</w:t>
      </w:r>
      <w:r w:rsidR="00684866">
        <w:rPr>
          <w:rFonts w:hint="cs"/>
          <w:rtl/>
          <w:lang w:val="fr-CH"/>
        </w:rPr>
        <w:t>)</w:t>
      </w:r>
      <w:r w:rsidR="00684866">
        <w:rPr>
          <w:rFonts w:hint="cs"/>
          <w:rtl/>
          <w:lang w:val="fr-CH"/>
        </w:rPr>
        <w:tab/>
        <w:t xml:space="preserve">اعتماد خطة العمل الخامسة لمنع جميع أشكال التمييز والعنصرية وكره الأجانب </w:t>
      </w:r>
      <w:r>
        <w:rPr>
          <w:rFonts w:hint="cs"/>
          <w:rtl/>
          <w:lang w:val="fr-CH"/>
        </w:rPr>
        <w:t>وغيرها من مظاهر ال</w:t>
      </w:r>
      <w:r w:rsidR="00684866">
        <w:rPr>
          <w:rFonts w:hint="cs"/>
          <w:rtl/>
          <w:lang w:val="fr-CH"/>
        </w:rPr>
        <w:t xml:space="preserve">تعصب، للفترة 2009-2011، في أيار/مايو 2009، وإنشاء لجنة لمنع </w:t>
      </w:r>
      <w:r>
        <w:rPr>
          <w:rFonts w:hint="cs"/>
          <w:rtl/>
          <w:lang w:val="fr-CH"/>
        </w:rPr>
        <w:t>العنصرية</w:t>
      </w:r>
      <w:r w:rsidR="00684866">
        <w:rPr>
          <w:rFonts w:hint="cs"/>
          <w:rtl/>
          <w:lang w:val="fr-CH"/>
        </w:rPr>
        <w:t xml:space="preserve"> وكره الأجانب ومعاداة السامية وغيرها من أشكال التعصب</w:t>
      </w:r>
      <w:r>
        <w:rPr>
          <w:rFonts w:hint="cs"/>
          <w:rtl/>
          <w:lang w:val="fr-CH"/>
        </w:rPr>
        <w:t xml:space="preserve"> والقضاء عليها</w:t>
      </w:r>
      <w:r w:rsidR="00684866">
        <w:rPr>
          <w:rFonts w:hint="cs"/>
          <w:rtl/>
          <w:lang w:val="fr-CH"/>
        </w:rPr>
        <w:t>، في عام 2011.</w:t>
      </w:r>
    </w:p>
    <w:p w:rsidR="00684866" w:rsidRDefault="00684866" w:rsidP="007C093A">
      <w:pPr>
        <w:pStyle w:val="SingleTxtGA"/>
        <w:rPr>
          <w:rFonts w:hint="cs"/>
          <w:rtl/>
          <w:lang w:val="fr-CH"/>
        </w:rPr>
      </w:pPr>
      <w:r>
        <w:rPr>
          <w:rFonts w:hint="cs"/>
          <w:rtl/>
          <w:lang w:val="fr-CH"/>
        </w:rPr>
        <w:t>4-</w:t>
      </w:r>
      <w:r>
        <w:rPr>
          <w:rFonts w:hint="cs"/>
          <w:rtl/>
          <w:lang w:val="fr-CH"/>
        </w:rPr>
        <w:tab/>
        <w:t>وترحب اللجنة بالتصديق على الصكوك الدولية التالية خلال الفترة قيد النظر:</w:t>
      </w:r>
    </w:p>
    <w:p w:rsidR="00684866" w:rsidRDefault="00C847EE" w:rsidP="00C847EE">
      <w:pPr>
        <w:pStyle w:val="SingleTxtGA"/>
        <w:rPr>
          <w:rFonts w:hint="cs"/>
          <w:rtl/>
          <w:lang w:val="fr-CH"/>
        </w:rPr>
      </w:pPr>
      <w:r>
        <w:rPr>
          <w:rFonts w:hint="cs"/>
          <w:rtl/>
          <w:lang w:val="fr-CH"/>
        </w:rPr>
        <w:tab/>
      </w:r>
      <w:r w:rsidR="00684866">
        <w:rPr>
          <w:rFonts w:hint="cs"/>
          <w:rtl/>
          <w:lang w:val="fr-CH"/>
        </w:rPr>
        <w:t>(أ)</w:t>
      </w:r>
      <w:r w:rsidR="00684866">
        <w:rPr>
          <w:rFonts w:hint="cs"/>
          <w:rtl/>
          <w:lang w:val="fr-CH"/>
        </w:rPr>
        <w:tab/>
        <w:t>اتفاقية حقوق الأشخاص ذوي الإعاقة وبروتوكولها الاختياري، في 26 أيار/مايو 2010؛</w:t>
      </w:r>
    </w:p>
    <w:p w:rsidR="00684866" w:rsidRDefault="00C847EE" w:rsidP="00C847EE">
      <w:pPr>
        <w:pStyle w:val="SingleTxtGA"/>
        <w:rPr>
          <w:rFonts w:hint="cs"/>
          <w:rtl/>
          <w:lang w:val="fr-CH"/>
        </w:rPr>
      </w:pPr>
      <w:r>
        <w:rPr>
          <w:rFonts w:hint="cs"/>
          <w:rtl/>
          <w:lang w:val="fr-CH"/>
        </w:rPr>
        <w:tab/>
      </w:r>
      <w:r w:rsidR="00684866">
        <w:rPr>
          <w:rFonts w:hint="cs"/>
          <w:rtl/>
          <w:lang w:val="fr-CH"/>
        </w:rPr>
        <w:t>(ب)</w:t>
      </w:r>
      <w:r w:rsidR="00684866">
        <w:rPr>
          <w:rFonts w:hint="cs"/>
          <w:rtl/>
          <w:lang w:val="fr-CH"/>
        </w:rPr>
        <w:tab/>
        <w:t>البروتوكول الاختياري الملحق بالعهد الدولي الخاص بالحقوق الاقتصادية والاجتماعية والثقافية، في 7 آذار/مارس 2012.</w:t>
      </w:r>
    </w:p>
    <w:p w:rsidR="00684866" w:rsidRPr="005204D4" w:rsidRDefault="00C847EE" w:rsidP="00C847EE">
      <w:pPr>
        <w:pStyle w:val="H1GA"/>
        <w:rPr>
          <w:rFonts w:hint="cs"/>
          <w:rtl/>
          <w:lang w:val="fr-CH"/>
        </w:rPr>
      </w:pPr>
      <w:r>
        <w:rPr>
          <w:rFonts w:hint="cs"/>
          <w:rtl/>
          <w:lang w:val="fr-CH"/>
        </w:rPr>
        <w:tab/>
      </w:r>
      <w:r w:rsidR="00684866" w:rsidRPr="005204D4">
        <w:rPr>
          <w:rFonts w:hint="cs"/>
          <w:rtl/>
          <w:lang w:val="fr-CH"/>
        </w:rPr>
        <w:t>جيم-</w:t>
      </w:r>
      <w:r w:rsidR="00684866" w:rsidRPr="005204D4">
        <w:rPr>
          <w:rFonts w:hint="cs"/>
          <w:rtl/>
          <w:lang w:val="fr-CH"/>
        </w:rPr>
        <w:tab/>
        <w:t>أوجه القلق والتوصيات</w:t>
      </w:r>
    </w:p>
    <w:p w:rsidR="00684866" w:rsidRPr="005204D4" w:rsidRDefault="00B53001" w:rsidP="00B53001">
      <w:pPr>
        <w:pStyle w:val="H23GA"/>
        <w:rPr>
          <w:rFonts w:hint="cs"/>
          <w:rtl/>
          <w:lang w:val="fr-CH"/>
        </w:rPr>
      </w:pPr>
      <w:r>
        <w:rPr>
          <w:rFonts w:hint="cs"/>
          <w:rtl/>
          <w:lang w:val="fr-CH"/>
        </w:rPr>
        <w:tab/>
      </w:r>
      <w:r>
        <w:rPr>
          <w:rFonts w:hint="cs"/>
          <w:rtl/>
          <w:lang w:val="fr-CH"/>
        </w:rPr>
        <w:tab/>
      </w:r>
      <w:r w:rsidR="00684866" w:rsidRPr="005204D4">
        <w:rPr>
          <w:rFonts w:hint="cs"/>
          <w:rtl/>
          <w:lang w:val="fr-CH"/>
        </w:rPr>
        <w:t>البيانات الإحصائية ذات الصلة</w:t>
      </w:r>
    </w:p>
    <w:p w:rsidR="00684866" w:rsidRDefault="00684866" w:rsidP="00E511DE">
      <w:pPr>
        <w:pStyle w:val="SingleTxtGA"/>
        <w:rPr>
          <w:rFonts w:hint="cs"/>
          <w:rtl/>
          <w:lang w:val="fr-CH"/>
        </w:rPr>
      </w:pPr>
      <w:r>
        <w:rPr>
          <w:rFonts w:hint="cs"/>
          <w:rtl/>
          <w:lang w:val="fr-CH"/>
        </w:rPr>
        <w:t>5-</w:t>
      </w:r>
      <w:r>
        <w:rPr>
          <w:rFonts w:hint="cs"/>
          <w:rtl/>
          <w:lang w:val="fr-CH"/>
        </w:rPr>
        <w:tab/>
        <w:t xml:space="preserve">فيما ترحب اللجنة بالمعلومات التي تفيد بأن التعداد السكاني </w:t>
      </w:r>
      <w:r w:rsidR="00664786">
        <w:rPr>
          <w:rFonts w:hint="cs"/>
          <w:rtl/>
          <w:lang w:val="fr-CH"/>
        </w:rPr>
        <w:t xml:space="preserve">لعام 2011 </w:t>
      </w:r>
      <w:r>
        <w:rPr>
          <w:rFonts w:hint="cs"/>
          <w:rtl/>
          <w:lang w:val="fr-CH"/>
        </w:rPr>
        <w:t xml:space="preserve">تضمن لأول مرة أسئلة عن لغات الأقليات القومية، </w:t>
      </w:r>
      <w:r w:rsidR="00422E3F">
        <w:rPr>
          <w:rFonts w:hint="cs"/>
          <w:rtl/>
          <w:lang w:val="fr-CH"/>
        </w:rPr>
        <w:t xml:space="preserve">فإنها </w:t>
      </w:r>
      <w:r>
        <w:rPr>
          <w:rFonts w:hint="cs"/>
          <w:rtl/>
          <w:lang w:val="fr-CH"/>
        </w:rPr>
        <w:t xml:space="preserve">تأسف لعدم تقديم البيانات التي طلبتها سابقاً بشأن الوضع الاجتماعي </w:t>
      </w:r>
      <w:r w:rsidR="00CD381B">
        <w:rPr>
          <w:rFonts w:hint="cs"/>
          <w:rtl/>
          <w:lang w:val="fr-CH"/>
        </w:rPr>
        <w:t xml:space="preserve">- </w:t>
      </w:r>
      <w:r>
        <w:rPr>
          <w:rFonts w:hint="cs"/>
          <w:rtl/>
          <w:lang w:val="fr-CH"/>
        </w:rPr>
        <w:t>الاقتصادي للأشخاص المنتمين لأقليات، على الرغم من الشروع في عام 2010 بمشروع معنون "الرصد الإحصائي لظروف معيشة مجموعات مستهدفة مختارة" بالتعاون مع برنامج الأمم المتحدة الإنمائي. وتلاحظ اللجنة أيضاً أن نسبة الأشخاص الذين لم تعرف هويتهم قد ازدادت من 1 في المائة في عام 2001 إلى 7 في المائة في عام 2011.</w:t>
      </w:r>
    </w:p>
    <w:p w:rsidR="00684866" w:rsidRPr="00002D02" w:rsidRDefault="00684866" w:rsidP="00471EAC">
      <w:pPr>
        <w:pStyle w:val="SingleTxtGA"/>
        <w:rPr>
          <w:rFonts w:hint="cs"/>
          <w:b/>
          <w:bCs/>
          <w:rtl/>
          <w:lang w:val="fr-CH"/>
        </w:rPr>
      </w:pPr>
      <w:r w:rsidRPr="00002D02">
        <w:rPr>
          <w:rFonts w:hint="cs"/>
          <w:b/>
          <w:bCs/>
          <w:rtl/>
          <w:lang w:val="fr-CH"/>
        </w:rPr>
        <w:tab/>
        <w:t>واللجنة إذ تذكر بمبادئها التوجيهية المنقحة لإعداد تقارير (</w:t>
      </w:r>
      <w:r w:rsidRPr="00002D02">
        <w:rPr>
          <w:b/>
          <w:bCs/>
        </w:rPr>
        <w:t>CERD/C/2007/1</w:t>
      </w:r>
      <w:r w:rsidRPr="00002D02">
        <w:rPr>
          <w:rFonts w:hint="cs"/>
          <w:b/>
          <w:bCs/>
          <w:rtl/>
          <w:lang w:val="fr-CH"/>
        </w:rPr>
        <w:t xml:space="preserve">)، </w:t>
      </w:r>
      <w:r w:rsidR="00F86533">
        <w:rPr>
          <w:rFonts w:hint="cs"/>
          <w:b/>
          <w:bCs/>
          <w:rtl/>
          <w:lang w:val="fr-CH"/>
        </w:rPr>
        <w:t>تشير</w:t>
      </w:r>
      <w:r w:rsidRPr="00002D02">
        <w:rPr>
          <w:rFonts w:hint="cs"/>
          <w:b/>
          <w:bCs/>
          <w:rtl/>
          <w:lang w:val="fr-CH"/>
        </w:rPr>
        <w:t xml:space="preserve"> </w:t>
      </w:r>
      <w:r w:rsidR="00F86533">
        <w:rPr>
          <w:rFonts w:hint="cs"/>
          <w:b/>
          <w:bCs/>
          <w:rtl/>
          <w:lang w:val="fr-CH"/>
        </w:rPr>
        <w:t>إلى</w:t>
      </w:r>
      <w:r w:rsidR="003B2AA4">
        <w:rPr>
          <w:rFonts w:hint="cs"/>
          <w:b/>
          <w:bCs/>
          <w:rtl/>
          <w:lang w:val="fr-CH"/>
        </w:rPr>
        <w:t xml:space="preserve"> أن</w:t>
      </w:r>
      <w:r w:rsidR="00F86533">
        <w:rPr>
          <w:rFonts w:hint="cs"/>
          <w:b/>
          <w:bCs/>
          <w:rtl/>
          <w:lang w:val="fr-CH"/>
        </w:rPr>
        <w:t xml:space="preserve"> </w:t>
      </w:r>
      <w:r w:rsidRPr="00002D02">
        <w:rPr>
          <w:rFonts w:hint="cs"/>
          <w:b/>
          <w:bCs/>
          <w:rtl/>
          <w:lang w:val="fr-CH"/>
        </w:rPr>
        <w:t xml:space="preserve">البيانات المصنفة بحسب الأصل </w:t>
      </w:r>
      <w:proofErr w:type="spellStart"/>
      <w:r w:rsidRPr="00002D02">
        <w:rPr>
          <w:rFonts w:hint="cs"/>
          <w:b/>
          <w:bCs/>
          <w:rtl/>
          <w:lang w:val="fr-CH"/>
        </w:rPr>
        <w:t>الإثني</w:t>
      </w:r>
      <w:proofErr w:type="spellEnd"/>
      <w:r w:rsidRPr="00002D02">
        <w:rPr>
          <w:rFonts w:hint="cs"/>
          <w:b/>
          <w:bCs/>
          <w:rtl/>
          <w:lang w:val="fr-CH"/>
        </w:rPr>
        <w:t xml:space="preserve"> أو القومي المتعلقة بالوضع</w:t>
      </w:r>
      <w:r w:rsidR="00E67DB8">
        <w:rPr>
          <w:rFonts w:hint="cs"/>
          <w:b/>
          <w:bCs/>
          <w:rtl/>
          <w:lang w:val="fr-CH"/>
        </w:rPr>
        <w:t xml:space="preserve">          </w:t>
      </w:r>
      <w:r w:rsidRPr="00002D02">
        <w:rPr>
          <w:rFonts w:hint="cs"/>
          <w:b/>
          <w:bCs/>
          <w:rtl/>
          <w:lang w:val="fr-CH"/>
        </w:rPr>
        <w:t xml:space="preserve"> الاجتماعي</w:t>
      </w:r>
      <w:r w:rsidR="009E0853">
        <w:rPr>
          <w:rFonts w:hint="cs"/>
          <w:b/>
          <w:bCs/>
          <w:rtl/>
          <w:lang w:val="fr-CH"/>
        </w:rPr>
        <w:t xml:space="preserve"> -</w:t>
      </w:r>
      <w:r w:rsidRPr="00002D02">
        <w:rPr>
          <w:rFonts w:hint="cs"/>
          <w:b/>
          <w:bCs/>
          <w:rtl/>
          <w:lang w:val="fr-CH"/>
        </w:rPr>
        <w:t xml:space="preserve"> الاقتصادي والثقافي لمختلف المجموعات هي أدوات مفيدة للدولة </w:t>
      </w:r>
      <w:r w:rsidR="0048681B">
        <w:rPr>
          <w:rFonts w:hint="cs"/>
          <w:b/>
          <w:bCs/>
          <w:rtl/>
          <w:lang w:val="fr-CH"/>
        </w:rPr>
        <w:t xml:space="preserve">         </w:t>
      </w:r>
      <w:r w:rsidRPr="00002D02">
        <w:rPr>
          <w:rFonts w:hint="cs"/>
          <w:b/>
          <w:bCs/>
          <w:rtl/>
          <w:lang w:val="fr-CH"/>
        </w:rPr>
        <w:t xml:space="preserve">الطرف لتعزيز تمتع الجميع على قدم المساواة بالحقوق </w:t>
      </w:r>
      <w:r w:rsidR="00115FD1">
        <w:rPr>
          <w:rFonts w:hint="cs"/>
          <w:b/>
          <w:bCs/>
          <w:rtl/>
          <w:lang w:val="fr-CH"/>
        </w:rPr>
        <w:t>المكرسة</w:t>
      </w:r>
      <w:r w:rsidRPr="00002D02">
        <w:rPr>
          <w:rFonts w:hint="cs"/>
          <w:b/>
          <w:bCs/>
          <w:rtl/>
          <w:lang w:val="fr-CH"/>
        </w:rPr>
        <w:t xml:space="preserve"> في الاتفاقية. وتطلب اللجنة</w:t>
      </w:r>
      <w:r w:rsidR="0048681B">
        <w:rPr>
          <w:rFonts w:hint="cs"/>
          <w:b/>
          <w:bCs/>
          <w:rtl/>
          <w:lang w:val="fr-CH"/>
        </w:rPr>
        <w:t xml:space="preserve"> </w:t>
      </w:r>
      <w:r w:rsidRPr="00002D02">
        <w:rPr>
          <w:rFonts w:hint="cs"/>
          <w:b/>
          <w:bCs/>
          <w:rtl/>
          <w:lang w:val="fr-CH"/>
        </w:rPr>
        <w:t xml:space="preserve">إلى الدولة الطرف أن </w:t>
      </w:r>
      <w:r w:rsidR="007E605D">
        <w:rPr>
          <w:rFonts w:hint="cs"/>
          <w:b/>
          <w:bCs/>
          <w:rtl/>
          <w:lang w:val="fr-CH"/>
        </w:rPr>
        <w:t>تُدرج في</w:t>
      </w:r>
      <w:r w:rsidRPr="00002D02">
        <w:rPr>
          <w:rFonts w:hint="cs"/>
          <w:b/>
          <w:bCs/>
          <w:rtl/>
          <w:lang w:val="fr-CH"/>
        </w:rPr>
        <w:t xml:space="preserve"> تقريرها الدوري المقبل نتائج المشروع المشار</w:t>
      </w:r>
      <w:r w:rsidR="00731A42">
        <w:rPr>
          <w:rFonts w:hint="cs"/>
          <w:b/>
          <w:bCs/>
          <w:rtl/>
          <w:lang w:val="fr-CH"/>
        </w:rPr>
        <w:t xml:space="preserve">          </w:t>
      </w:r>
      <w:r w:rsidRPr="00002D02">
        <w:rPr>
          <w:rFonts w:hint="cs"/>
          <w:b/>
          <w:bCs/>
          <w:rtl/>
          <w:lang w:val="fr-CH"/>
        </w:rPr>
        <w:t xml:space="preserve"> إليه أعلاه</w:t>
      </w:r>
      <w:r w:rsidR="00EF557E">
        <w:rPr>
          <w:rFonts w:hint="cs"/>
          <w:b/>
          <w:bCs/>
          <w:rtl/>
          <w:lang w:val="fr-CH"/>
        </w:rPr>
        <w:t xml:space="preserve"> </w:t>
      </w:r>
      <w:r w:rsidRPr="00002D02">
        <w:rPr>
          <w:rFonts w:hint="cs"/>
          <w:b/>
          <w:bCs/>
          <w:rtl/>
          <w:lang w:val="fr-CH"/>
        </w:rPr>
        <w:t xml:space="preserve">ولا </w:t>
      </w:r>
      <w:proofErr w:type="spellStart"/>
      <w:r w:rsidRPr="00002D02">
        <w:rPr>
          <w:rFonts w:hint="cs"/>
          <w:b/>
          <w:bCs/>
          <w:rtl/>
          <w:lang w:val="fr-CH"/>
        </w:rPr>
        <w:t>سيما</w:t>
      </w:r>
      <w:proofErr w:type="spellEnd"/>
      <w:r w:rsidRPr="00002D02">
        <w:rPr>
          <w:rFonts w:hint="cs"/>
          <w:b/>
          <w:bCs/>
          <w:rtl/>
          <w:lang w:val="fr-CH"/>
        </w:rPr>
        <w:t xml:space="preserve"> بيانات عن الظروف المعيشية </w:t>
      </w:r>
      <w:r w:rsidR="00BE1CBE">
        <w:rPr>
          <w:rFonts w:hint="cs"/>
          <w:b/>
          <w:bCs/>
          <w:rtl/>
          <w:lang w:val="fr-CH"/>
        </w:rPr>
        <w:t>لطائفة</w:t>
      </w:r>
      <w:r w:rsidRPr="00002D02">
        <w:rPr>
          <w:rFonts w:hint="cs"/>
          <w:b/>
          <w:bCs/>
          <w:rtl/>
          <w:lang w:val="fr-CH"/>
        </w:rPr>
        <w:t xml:space="preserve"> </w:t>
      </w:r>
      <w:proofErr w:type="spellStart"/>
      <w:r w:rsidRPr="00002D02">
        <w:rPr>
          <w:rFonts w:hint="cs"/>
          <w:b/>
          <w:bCs/>
          <w:rtl/>
          <w:lang w:val="fr-CH"/>
        </w:rPr>
        <w:t>الروما</w:t>
      </w:r>
      <w:proofErr w:type="spellEnd"/>
      <w:r w:rsidRPr="00002D02">
        <w:rPr>
          <w:rFonts w:hint="cs"/>
          <w:b/>
          <w:bCs/>
          <w:rtl/>
          <w:lang w:val="fr-CH"/>
        </w:rPr>
        <w:t xml:space="preserve"> وكذلك الوضع الاجتماعي </w:t>
      </w:r>
      <w:r w:rsidR="001758A0">
        <w:rPr>
          <w:rFonts w:hint="cs"/>
          <w:b/>
          <w:bCs/>
          <w:rtl/>
          <w:lang w:val="fr-CH"/>
        </w:rPr>
        <w:t xml:space="preserve">- </w:t>
      </w:r>
      <w:r w:rsidRPr="00002D02">
        <w:rPr>
          <w:rFonts w:hint="cs"/>
          <w:b/>
          <w:bCs/>
          <w:rtl/>
          <w:lang w:val="fr-CH"/>
        </w:rPr>
        <w:t xml:space="preserve">الاقتصادي للأقليات الأخرى. وتوصي اللجنة الدولة الطرف أيضاً بمعالجة النسبة المرتفعة للأفراد الذين لم تحدد هويتهم من بين سكانها، وأن تنوع أنشطتها المتعلقة بجمع البيانات لكي تحصل على معلومات دقيقة عن جميع المجموعات </w:t>
      </w:r>
      <w:proofErr w:type="spellStart"/>
      <w:r w:rsidRPr="00002D02">
        <w:rPr>
          <w:rFonts w:hint="cs"/>
          <w:b/>
          <w:bCs/>
          <w:rtl/>
          <w:lang w:val="fr-CH"/>
        </w:rPr>
        <w:t>الإثنية</w:t>
      </w:r>
      <w:proofErr w:type="spellEnd"/>
      <w:r w:rsidRPr="00002D02">
        <w:rPr>
          <w:rFonts w:hint="cs"/>
          <w:b/>
          <w:bCs/>
          <w:rtl/>
          <w:lang w:val="fr-CH"/>
        </w:rPr>
        <w:t xml:space="preserve"> التي تعيش في سلوفاكيا.</w:t>
      </w:r>
    </w:p>
    <w:p w:rsidR="00684866" w:rsidRPr="005204D4" w:rsidRDefault="00471EAC" w:rsidP="00471EAC">
      <w:pPr>
        <w:pStyle w:val="H23GA"/>
        <w:rPr>
          <w:rFonts w:hint="cs"/>
          <w:rtl/>
          <w:lang w:val="fr-CH"/>
        </w:rPr>
      </w:pPr>
      <w:r>
        <w:rPr>
          <w:rFonts w:hint="cs"/>
          <w:rtl/>
          <w:lang w:val="fr-CH"/>
        </w:rPr>
        <w:tab/>
      </w:r>
      <w:r>
        <w:rPr>
          <w:rFonts w:hint="cs"/>
          <w:rtl/>
          <w:lang w:val="fr-CH"/>
        </w:rPr>
        <w:tab/>
      </w:r>
      <w:r w:rsidR="00684866" w:rsidRPr="005204D4">
        <w:rPr>
          <w:rFonts w:hint="cs"/>
          <w:rtl/>
          <w:lang w:val="fr-CH"/>
        </w:rPr>
        <w:t>العنف والجرائم بدافع العنصرية</w:t>
      </w:r>
    </w:p>
    <w:p w:rsidR="00684866" w:rsidRDefault="00684866" w:rsidP="00794B12">
      <w:pPr>
        <w:pStyle w:val="SingleTxtGA"/>
        <w:rPr>
          <w:rFonts w:hint="cs"/>
          <w:rtl/>
          <w:lang w:val="fr-CH"/>
        </w:rPr>
      </w:pPr>
      <w:r>
        <w:rPr>
          <w:rFonts w:hint="cs"/>
          <w:rtl/>
          <w:lang w:val="fr-CH"/>
        </w:rPr>
        <w:t>6-</w:t>
      </w:r>
      <w:r>
        <w:rPr>
          <w:rFonts w:hint="cs"/>
          <w:rtl/>
          <w:lang w:val="fr-CH"/>
        </w:rPr>
        <w:tab/>
      </w:r>
      <w:r w:rsidR="00E40753">
        <w:rPr>
          <w:rFonts w:hint="cs"/>
          <w:rtl/>
          <w:lang w:val="fr-CH"/>
        </w:rPr>
        <w:t>تحيط</w:t>
      </w:r>
      <w:r>
        <w:rPr>
          <w:rFonts w:hint="cs"/>
          <w:rtl/>
          <w:lang w:val="fr-CH"/>
        </w:rPr>
        <w:t xml:space="preserve"> اللجنة علماً بالأرقام المقدمة بشأن أنشطة التطرف والجرائم المرتكبة بدافع العنصرية. ومع ذلك، ترى أن المعلومات عن هذه الأفعال الجنائية </w:t>
      </w:r>
      <w:r w:rsidR="00A55222">
        <w:rPr>
          <w:rFonts w:hint="cs"/>
          <w:rtl/>
          <w:lang w:val="fr-CH"/>
        </w:rPr>
        <w:t>مقدمة في شكل مدمج</w:t>
      </w:r>
      <w:r w:rsidR="00794B12">
        <w:rPr>
          <w:rFonts w:hint="cs"/>
          <w:rtl/>
          <w:lang w:val="fr-CH"/>
        </w:rPr>
        <w:t xml:space="preserve">        </w:t>
      </w:r>
      <w:r>
        <w:rPr>
          <w:rFonts w:hint="cs"/>
          <w:rtl/>
          <w:lang w:val="fr-CH"/>
        </w:rPr>
        <w:t xml:space="preserve"> ولا تتضمن تصنيفاً مفصلاً بحسب العمر و</w:t>
      </w:r>
      <w:r w:rsidR="00B54689">
        <w:rPr>
          <w:rFonts w:hint="cs"/>
          <w:rtl/>
          <w:lang w:val="fr-CH"/>
        </w:rPr>
        <w:t xml:space="preserve">نوع </w:t>
      </w:r>
      <w:r>
        <w:rPr>
          <w:rFonts w:hint="cs"/>
          <w:rtl/>
          <w:lang w:val="fr-CH"/>
        </w:rPr>
        <w:t xml:space="preserve">الجنس والأصل القومي أو </w:t>
      </w:r>
      <w:proofErr w:type="spellStart"/>
      <w:r>
        <w:rPr>
          <w:rFonts w:hint="cs"/>
          <w:rtl/>
          <w:lang w:val="fr-CH"/>
        </w:rPr>
        <w:t>الإثني</w:t>
      </w:r>
      <w:proofErr w:type="spellEnd"/>
      <w:r>
        <w:rPr>
          <w:rFonts w:hint="cs"/>
          <w:rtl/>
          <w:lang w:val="fr-CH"/>
        </w:rPr>
        <w:t xml:space="preserve"> للضحايا وفقاً لما طلبته اللجنة سابقاً. وفيما ت</w:t>
      </w:r>
      <w:r w:rsidR="00203956">
        <w:rPr>
          <w:rFonts w:hint="cs"/>
          <w:rtl/>
          <w:lang w:val="fr-CH"/>
        </w:rPr>
        <w:t>حيط</w:t>
      </w:r>
      <w:r>
        <w:rPr>
          <w:rFonts w:hint="cs"/>
          <w:rtl/>
          <w:lang w:val="fr-CH"/>
        </w:rPr>
        <w:t xml:space="preserve"> اللجنة علماً </w:t>
      </w:r>
      <w:r w:rsidR="00FC71E8">
        <w:rPr>
          <w:rFonts w:hint="cs"/>
          <w:rtl/>
          <w:lang w:val="fr-CH"/>
        </w:rPr>
        <w:t xml:space="preserve">كذلك </w:t>
      </w:r>
      <w:r>
        <w:rPr>
          <w:rFonts w:hint="cs"/>
          <w:rtl/>
          <w:lang w:val="fr-CH"/>
        </w:rPr>
        <w:t xml:space="preserve">بجهود الدولة الطرف المبذولة لمكافحة التطرف، فإنها تشعر بالقلق إزاء ظهور أنشطة </w:t>
      </w:r>
      <w:r w:rsidR="000E3D32">
        <w:rPr>
          <w:rFonts w:hint="cs"/>
          <w:rtl/>
          <w:lang w:val="fr-CH"/>
        </w:rPr>
        <w:t>ال</w:t>
      </w:r>
      <w:r>
        <w:rPr>
          <w:rFonts w:hint="cs"/>
          <w:rtl/>
          <w:lang w:val="fr-CH"/>
        </w:rPr>
        <w:t xml:space="preserve">منظمات </w:t>
      </w:r>
      <w:r w:rsidR="000E3D32">
        <w:rPr>
          <w:rFonts w:hint="cs"/>
          <w:rtl/>
          <w:lang w:val="fr-CH"/>
        </w:rPr>
        <w:t>ال</w:t>
      </w:r>
      <w:r>
        <w:rPr>
          <w:rFonts w:hint="cs"/>
          <w:rtl/>
          <w:lang w:val="fr-CH"/>
        </w:rPr>
        <w:t xml:space="preserve">متطرفة من جديد وإزاء المعلومات الواردة في الفقرة 70 من تقرير الدولة الطرف بأن المجموعات المتطرفة </w:t>
      </w:r>
      <w:r w:rsidR="00C2792D">
        <w:rPr>
          <w:rFonts w:hint="cs"/>
          <w:rtl/>
          <w:lang w:val="fr-CH"/>
        </w:rPr>
        <w:t>تستغل</w:t>
      </w:r>
      <w:r>
        <w:rPr>
          <w:rFonts w:hint="cs"/>
          <w:rtl/>
          <w:lang w:val="fr-CH"/>
        </w:rPr>
        <w:t xml:space="preserve"> بعض الثغرات الموجودة في القانون المتعلق بالحق في التجمع التي تحول دون حظر أنشطة التطرف (المادتان 2 و4).</w:t>
      </w:r>
    </w:p>
    <w:p w:rsidR="00684866" w:rsidRPr="008A42F0" w:rsidRDefault="00684866" w:rsidP="008A42F0">
      <w:pPr>
        <w:pStyle w:val="SingleTxtGA"/>
        <w:rPr>
          <w:rFonts w:hint="cs"/>
          <w:b/>
          <w:bCs/>
          <w:rtl/>
          <w:lang w:val="fr-CH"/>
        </w:rPr>
      </w:pPr>
      <w:r w:rsidRPr="008A42F0">
        <w:rPr>
          <w:rFonts w:hint="cs"/>
          <w:b/>
          <w:bCs/>
          <w:rtl/>
          <w:lang w:val="fr-CH"/>
        </w:rPr>
        <w:tab/>
        <w:t xml:space="preserve">توصي اللجنة الدولة الطرف بأن تتخذ تدابير فعالة لملاحقة مرتكبي جرائم الكراهية ملاحقة فعالة بغية </w:t>
      </w:r>
      <w:r w:rsidR="00E31ECD" w:rsidRPr="008A42F0">
        <w:rPr>
          <w:rFonts w:hint="cs"/>
          <w:b/>
          <w:bCs/>
          <w:rtl/>
          <w:lang w:val="fr-CH"/>
        </w:rPr>
        <w:t>ردع</w:t>
      </w:r>
      <w:r w:rsidR="005A766D" w:rsidRPr="008A42F0">
        <w:rPr>
          <w:rFonts w:hint="cs"/>
          <w:b/>
          <w:bCs/>
          <w:rtl/>
          <w:lang w:val="fr-CH"/>
        </w:rPr>
        <w:t xml:space="preserve"> </w:t>
      </w:r>
      <w:r w:rsidRPr="008A42F0">
        <w:rPr>
          <w:rFonts w:hint="cs"/>
          <w:b/>
          <w:bCs/>
          <w:rtl/>
          <w:lang w:val="fr-CH"/>
        </w:rPr>
        <w:t xml:space="preserve">المنظمات العنصرية والمتطرفة. وتحث اللجنة الدولة الطرف، عملاً بتوصيتها العامة رقم 15(1993) المتعلقة بالعنف المنظم القائم على الأصل </w:t>
      </w:r>
      <w:proofErr w:type="spellStart"/>
      <w:r w:rsidRPr="008A42F0">
        <w:rPr>
          <w:rFonts w:hint="cs"/>
          <w:b/>
          <w:bCs/>
          <w:rtl/>
          <w:lang w:val="fr-CH"/>
        </w:rPr>
        <w:t>الإثني</w:t>
      </w:r>
      <w:proofErr w:type="spellEnd"/>
      <w:r w:rsidRPr="008A42F0">
        <w:rPr>
          <w:rFonts w:hint="cs"/>
          <w:b/>
          <w:bCs/>
          <w:rtl/>
          <w:lang w:val="fr-CH"/>
        </w:rPr>
        <w:t xml:space="preserve">، على توخي الحذر اللازم وعلى أن تكون مستعدة لاتخاذ إجراءات ضد مثل هذه المنظمات في أبكر وقت ممكن ومعاقبة وملاحقة الجهات التي تمول أنشطتها وتشترك فيها. وتحث اللجنة الدولة الطرف على </w:t>
      </w:r>
      <w:r w:rsidR="003D3A3C" w:rsidRPr="008A42F0">
        <w:rPr>
          <w:rFonts w:hint="cs"/>
          <w:b/>
          <w:bCs/>
          <w:rtl/>
          <w:lang w:val="fr-CH"/>
        </w:rPr>
        <w:t xml:space="preserve">معالجة </w:t>
      </w:r>
      <w:r w:rsidRPr="008A42F0">
        <w:rPr>
          <w:rFonts w:hint="cs"/>
          <w:b/>
          <w:bCs/>
          <w:rtl/>
          <w:lang w:val="fr-CH"/>
        </w:rPr>
        <w:t>أي ثغرة في تشريعاتها من خلال تعديلها بشكل يحظر ويمنع أنشطة المنظمات المتطرفة، من خلال حلها والإعلان عن عدم قانونيتها، حسب الاقتضاء. وتكرر اللجنة طلبها بأن تقدم الدولة الطرف بيانات إحصائية محدثة بشأن عدد جرائم الكراهية وطبيعتها، وبشأن الإدانات والأحكام الصادرة بحق مرتكبيها، مصنفة بحسب السن و</w:t>
      </w:r>
      <w:r w:rsidR="008A42F0" w:rsidRPr="008A42F0">
        <w:rPr>
          <w:rFonts w:hint="cs"/>
          <w:b/>
          <w:bCs/>
          <w:rtl/>
          <w:lang w:val="fr-CH"/>
        </w:rPr>
        <w:t xml:space="preserve">نوع </w:t>
      </w:r>
      <w:r w:rsidRPr="008A42F0">
        <w:rPr>
          <w:rFonts w:hint="cs"/>
          <w:b/>
          <w:bCs/>
          <w:rtl/>
          <w:lang w:val="fr-CH"/>
        </w:rPr>
        <w:t xml:space="preserve">الجنس والأصل </w:t>
      </w:r>
      <w:r w:rsidR="008A42F0" w:rsidRPr="008A42F0">
        <w:rPr>
          <w:rFonts w:hint="cs"/>
          <w:b/>
          <w:bCs/>
          <w:rtl/>
          <w:lang w:val="fr-CH"/>
        </w:rPr>
        <w:t>القومي</w:t>
      </w:r>
      <w:r w:rsidRPr="008A42F0">
        <w:rPr>
          <w:rFonts w:hint="cs"/>
          <w:b/>
          <w:bCs/>
          <w:rtl/>
          <w:lang w:val="fr-CH"/>
        </w:rPr>
        <w:t xml:space="preserve"> أو </w:t>
      </w:r>
      <w:proofErr w:type="spellStart"/>
      <w:r w:rsidRPr="008A42F0">
        <w:rPr>
          <w:rFonts w:hint="cs"/>
          <w:b/>
          <w:bCs/>
          <w:rtl/>
          <w:lang w:val="fr-CH"/>
        </w:rPr>
        <w:t>الإثني</w:t>
      </w:r>
      <w:proofErr w:type="spellEnd"/>
      <w:r w:rsidRPr="008A42F0">
        <w:rPr>
          <w:rFonts w:hint="cs"/>
          <w:b/>
          <w:bCs/>
          <w:rtl/>
          <w:lang w:val="fr-CH"/>
        </w:rPr>
        <w:t xml:space="preserve"> للضحايا والتعويض المقدم، عندما يكون ذلك منطبقاً.</w:t>
      </w:r>
    </w:p>
    <w:p w:rsidR="00684866" w:rsidRPr="005204D4" w:rsidRDefault="00684866" w:rsidP="00507B69">
      <w:pPr>
        <w:pStyle w:val="H23GA"/>
        <w:rPr>
          <w:rFonts w:hint="cs"/>
          <w:rtl/>
          <w:lang w:val="fr-CH"/>
        </w:rPr>
      </w:pPr>
      <w:r w:rsidRPr="005204D4">
        <w:rPr>
          <w:rFonts w:hint="cs"/>
          <w:rtl/>
          <w:lang w:val="fr-CH"/>
        </w:rPr>
        <w:tab/>
      </w:r>
      <w:r w:rsidR="000C5487">
        <w:rPr>
          <w:rFonts w:hint="cs"/>
          <w:rtl/>
          <w:lang w:val="fr-CH"/>
        </w:rPr>
        <w:tab/>
      </w:r>
      <w:r w:rsidR="00606FB5">
        <w:rPr>
          <w:rFonts w:hint="cs"/>
          <w:rtl/>
          <w:lang w:val="fr-CH"/>
        </w:rPr>
        <w:t>إنفاذ</w:t>
      </w:r>
      <w:r w:rsidRPr="005204D4">
        <w:rPr>
          <w:rFonts w:hint="cs"/>
          <w:rtl/>
          <w:lang w:val="fr-CH"/>
        </w:rPr>
        <w:t xml:space="preserve"> قانون مكافحة التمييز</w:t>
      </w:r>
    </w:p>
    <w:p w:rsidR="00684866" w:rsidRDefault="00684866" w:rsidP="0049436D">
      <w:pPr>
        <w:pStyle w:val="SingleTxtGA"/>
        <w:rPr>
          <w:rFonts w:hint="cs"/>
          <w:rtl/>
          <w:lang w:val="fr-CH"/>
        </w:rPr>
      </w:pPr>
      <w:r>
        <w:rPr>
          <w:rFonts w:hint="cs"/>
          <w:rtl/>
          <w:lang w:val="fr-CH"/>
        </w:rPr>
        <w:t>7-</w:t>
      </w:r>
      <w:r>
        <w:rPr>
          <w:rFonts w:hint="cs"/>
          <w:rtl/>
          <w:lang w:val="fr-CH"/>
        </w:rPr>
        <w:tab/>
      </w:r>
      <w:r w:rsidR="00DE042A">
        <w:rPr>
          <w:rFonts w:hint="cs"/>
          <w:rtl/>
          <w:lang w:val="fr-CH"/>
        </w:rPr>
        <w:t>تحيط</w:t>
      </w:r>
      <w:r>
        <w:rPr>
          <w:rFonts w:hint="cs"/>
          <w:rtl/>
          <w:lang w:val="fr-CH"/>
        </w:rPr>
        <w:t xml:space="preserve"> اللجنة علماً بالتعديل الصادر في 1</w:t>
      </w:r>
      <w:r w:rsidR="004D7673">
        <w:rPr>
          <w:rFonts w:hint="cs"/>
          <w:rtl/>
          <w:lang w:val="fr-CH"/>
        </w:rPr>
        <w:t xml:space="preserve"> </w:t>
      </w:r>
      <w:r>
        <w:rPr>
          <w:rFonts w:hint="cs"/>
          <w:rtl/>
          <w:lang w:val="fr-CH"/>
        </w:rPr>
        <w:t>كانون الثاني/يناير 2012 فيما يتعلق بتقديم المساعدة القانونية إلى الأشخاص الذين هم بحاجة مادية، الرامي إلى زيادة فعالية وصول ضحايا التمييز العنصري</w:t>
      </w:r>
      <w:r w:rsidRPr="006540E6">
        <w:rPr>
          <w:rFonts w:hint="cs"/>
          <w:rtl/>
          <w:lang w:val="fr-CH"/>
        </w:rPr>
        <w:t xml:space="preserve"> </w:t>
      </w:r>
      <w:r>
        <w:rPr>
          <w:rFonts w:hint="cs"/>
          <w:rtl/>
          <w:lang w:val="fr-CH"/>
        </w:rPr>
        <w:t>إلى القضاء. وتلاحظ</w:t>
      </w:r>
      <w:r w:rsidR="000615B4">
        <w:rPr>
          <w:rFonts w:hint="cs"/>
          <w:rtl/>
          <w:lang w:val="fr-CH"/>
        </w:rPr>
        <w:t xml:space="preserve"> أيضاً </w:t>
      </w:r>
      <w:r>
        <w:rPr>
          <w:rFonts w:hint="cs"/>
          <w:rtl/>
          <w:lang w:val="fr-CH"/>
        </w:rPr>
        <w:t>أن الدولة الطرف</w:t>
      </w:r>
      <w:r w:rsidRPr="006540E6">
        <w:rPr>
          <w:rFonts w:hint="cs"/>
          <w:rtl/>
          <w:lang w:val="fr-CH"/>
        </w:rPr>
        <w:t xml:space="preserve"> </w:t>
      </w:r>
      <w:r>
        <w:rPr>
          <w:rFonts w:hint="cs"/>
          <w:rtl/>
          <w:lang w:val="fr-CH"/>
        </w:rPr>
        <w:t xml:space="preserve">تشير إلى </w:t>
      </w:r>
      <w:r w:rsidR="00CB4D11">
        <w:rPr>
          <w:rFonts w:hint="cs"/>
          <w:rtl/>
          <w:lang w:val="fr-CH"/>
        </w:rPr>
        <w:t xml:space="preserve">"عدة </w:t>
      </w:r>
      <w:r>
        <w:rPr>
          <w:rFonts w:hint="cs"/>
          <w:rtl/>
          <w:lang w:val="fr-CH"/>
        </w:rPr>
        <w:t xml:space="preserve">أشخاص </w:t>
      </w:r>
      <w:r w:rsidR="00DC7666">
        <w:rPr>
          <w:rFonts w:hint="cs"/>
          <w:rtl/>
          <w:lang w:val="fr-CH"/>
        </w:rPr>
        <w:t>طبيعيين</w:t>
      </w:r>
      <w:r w:rsidR="00CF1A96">
        <w:rPr>
          <w:rFonts w:hint="cs"/>
          <w:rtl/>
          <w:lang w:val="fr-CH"/>
        </w:rPr>
        <w:t>،</w:t>
      </w:r>
      <w:r w:rsidR="00DC7666">
        <w:rPr>
          <w:rFonts w:hint="cs"/>
          <w:rtl/>
          <w:lang w:val="fr-CH"/>
        </w:rPr>
        <w:t xml:space="preserve"> </w:t>
      </w:r>
      <w:r>
        <w:rPr>
          <w:rFonts w:hint="cs"/>
          <w:rtl/>
          <w:lang w:val="fr-CH"/>
        </w:rPr>
        <w:t xml:space="preserve">ولا </w:t>
      </w:r>
      <w:proofErr w:type="spellStart"/>
      <w:r>
        <w:rPr>
          <w:rFonts w:hint="cs"/>
          <w:rtl/>
          <w:lang w:val="fr-CH"/>
        </w:rPr>
        <w:t>سيما</w:t>
      </w:r>
      <w:proofErr w:type="spellEnd"/>
      <w:r>
        <w:rPr>
          <w:rFonts w:hint="cs"/>
          <w:rtl/>
          <w:lang w:val="fr-CH"/>
        </w:rPr>
        <w:t xml:space="preserve"> من أصل </w:t>
      </w:r>
      <w:proofErr w:type="spellStart"/>
      <w:r>
        <w:rPr>
          <w:rFonts w:hint="cs"/>
          <w:rtl/>
          <w:lang w:val="fr-CH"/>
        </w:rPr>
        <w:t>الروما</w:t>
      </w:r>
      <w:proofErr w:type="spellEnd"/>
      <w:r>
        <w:rPr>
          <w:rFonts w:hint="cs"/>
          <w:rtl/>
          <w:lang w:val="fr-CH"/>
        </w:rPr>
        <w:t xml:space="preserve"> </w:t>
      </w:r>
      <w:proofErr w:type="spellStart"/>
      <w:r>
        <w:rPr>
          <w:rFonts w:hint="cs"/>
          <w:rtl/>
          <w:lang w:val="fr-CH"/>
        </w:rPr>
        <w:t>الإثني</w:t>
      </w:r>
      <w:proofErr w:type="spellEnd"/>
      <w:r>
        <w:rPr>
          <w:rFonts w:hint="cs"/>
          <w:rtl/>
          <w:lang w:val="fr-CH"/>
        </w:rPr>
        <w:t>"</w:t>
      </w:r>
      <w:r w:rsidR="00BF1033">
        <w:rPr>
          <w:rFonts w:hint="cs"/>
          <w:rtl/>
          <w:lang w:val="fr-CH"/>
        </w:rPr>
        <w:t>،</w:t>
      </w:r>
      <w:r>
        <w:rPr>
          <w:rFonts w:hint="cs"/>
          <w:rtl/>
          <w:lang w:val="fr-CH"/>
        </w:rPr>
        <w:t xml:space="preserve"> احتجوا بقانون مكافحة التمييز (</w:t>
      </w:r>
      <w:r w:rsidRPr="00E6137E">
        <w:t>CERD/C/SVK/9-10</w:t>
      </w:r>
      <w:r>
        <w:rPr>
          <w:rFonts w:hint="cs"/>
          <w:rtl/>
        </w:rPr>
        <w:t>، الفقرة 140</w:t>
      </w:r>
      <w:r>
        <w:rPr>
          <w:rFonts w:hint="cs"/>
          <w:rtl/>
          <w:lang w:val="fr-CH"/>
        </w:rPr>
        <w:t xml:space="preserve">). ومع ذلك، تأسف </w:t>
      </w:r>
      <w:r w:rsidR="00B965B8">
        <w:rPr>
          <w:rFonts w:hint="cs"/>
          <w:rtl/>
          <w:lang w:val="fr-CH"/>
        </w:rPr>
        <w:t xml:space="preserve">اللجنة </w:t>
      </w:r>
      <w:r>
        <w:rPr>
          <w:rFonts w:hint="cs"/>
          <w:rtl/>
          <w:lang w:val="fr-CH"/>
        </w:rPr>
        <w:t>لأن المعلومات تفيد بأن قانون مكافحة التمييز غير مطبق بصورة كاملة</w:t>
      </w:r>
      <w:r w:rsidR="00B965B8">
        <w:rPr>
          <w:rFonts w:hint="cs"/>
          <w:rtl/>
          <w:lang w:val="fr-CH"/>
        </w:rPr>
        <w:t>،</w:t>
      </w:r>
      <w:r>
        <w:rPr>
          <w:rFonts w:hint="cs"/>
          <w:rtl/>
          <w:lang w:val="fr-CH"/>
        </w:rPr>
        <w:t xml:space="preserve"> وأن إجراءات المحاكم المطولة </w:t>
      </w:r>
      <w:r w:rsidR="00B965B8">
        <w:rPr>
          <w:rFonts w:hint="cs"/>
          <w:rtl/>
          <w:lang w:val="fr-CH"/>
        </w:rPr>
        <w:t>تشكل</w:t>
      </w:r>
      <w:r>
        <w:rPr>
          <w:rFonts w:hint="cs"/>
          <w:rtl/>
          <w:lang w:val="fr-CH"/>
        </w:rPr>
        <w:t xml:space="preserve"> عقبة أمام ضحايا التمييز العنصري الذين يرغبون في الحصول على </w:t>
      </w:r>
      <w:r w:rsidR="00B965B8">
        <w:rPr>
          <w:rFonts w:hint="cs"/>
          <w:rtl/>
          <w:lang w:val="fr-CH"/>
        </w:rPr>
        <w:t>سبل انتصاف</w:t>
      </w:r>
      <w:r>
        <w:rPr>
          <w:rFonts w:hint="cs"/>
          <w:rtl/>
          <w:lang w:val="fr-CH"/>
        </w:rPr>
        <w:t xml:space="preserve">. ويساورها القلق أيضاً إزاء تدني أعداد الشكاوى المقدمة، على الرغم من انتشار </w:t>
      </w:r>
      <w:r w:rsidR="004778DA">
        <w:rPr>
          <w:rFonts w:hint="cs"/>
          <w:rtl/>
          <w:lang w:val="fr-CH"/>
        </w:rPr>
        <w:t xml:space="preserve">الخطاب العنصري </w:t>
      </w:r>
      <w:r>
        <w:rPr>
          <w:rFonts w:hint="cs"/>
          <w:rtl/>
          <w:lang w:val="fr-CH"/>
        </w:rPr>
        <w:t xml:space="preserve">والجرائم </w:t>
      </w:r>
      <w:r w:rsidR="004778DA">
        <w:rPr>
          <w:rFonts w:hint="cs"/>
          <w:rtl/>
          <w:lang w:val="fr-CH"/>
        </w:rPr>
        <w:t>العنصرية في البل</w:t>
      </w:r>
      <w:r>
        <w:rPr>
          <w:rFonts w:hint="cs"/>
          <w:rtl/>
          <w:lang w:val="fr-CH"/>
        </w:rPr>
        <w:t>د (المادتان 2 و6).</w:t>
      </w:r>
    </w:p>
    <w:p w:rsidR="00684866" w:rsidRPr="00BF59D5" w:rsidRDefault="00684866" w:rsidP="00BF59D5">
      <w:pPr>
        <w:pStyle w:val="SingleTxtGA"/>
        <w:rPr>
          <w:rFonts w:hint="cs"/>
          <w:b/>
          <w:bCs/>
          <w:rtl/>
          <w:lang w:val="fr-CH"/>
        </w:rPr>
      </w:pPr>
      <w:r w:rsidRPr="00BF59D5">
        <w:rPr>
          <w:rFonts w:hint="cs"/>
          <w:b/>
          <w:bCs/>
          <w:rtl/>
          <w:lang w:val="fr-CH"/>
        </w:rPr>
        <w:tab/>
        <w:t>وفي ضوء تعليق اللجنة العام رقم 31(2005) بشأن منع التمييز العنصري في إدارة وسير عمل نظام العدالة الجنائية، توصي اللجنة الدولة الطرف أن ت</w:t>
      </w:r>
      <w:r w:rsidR="008639EB" w:rsidRPr="00BF59D5">
        <w:rPr>
          <w:rFonts w:hint="cs"/>
          <w:b/>
          <w:bCs/>
          <w:rtl/>
          <w:lang w:val="fr-CH"/>
        </w:rPr>
        <w:t>ُ</w:t>
      </w:r>
      <w:r w:rsidRPr="00BF59D5">
        <w:rPr>
          <w:rFonts w:hint="cs"/>
          <w:b/>
          <w:bCs/>
          <w:rtl/>
          <w:lang w:val="fr-CH"/>
        </w:rPr>
        <w:t>ن</w:t>
      </w:r>
      <w:r w:rsidR="008639EB" w:rsidRPr="00BF59D5">
        <w:rPr>
          <w:rFonts w:hint="cs"/>
          <w:b/>
          <w:bCs/>
          <w:rtl/>
          <w:lang w:val="fr-CH"/>
        </w:rPr>
        <w:t>ْ</w:t>
      </w:r>
      <w:r w:rsidRPr="00BF59D5">
        <w:rPr>
          <w:rFonts w:hint="cs"/>
          <w:b/>
          <w:bCs/>
          <w:rtl/>
          <w:lang w:val="fr-CH"/>
        </w:rPr>
        <w:t>ف</w:t>
      </w:r>
      <w:r w:rsidR="008639EB" w:rsidRPr="00BF59D5">
        <w:rPr>
          <w:rFonts w:hint="cs"/>
          <w:b/>
          <w:bCs/>
          <w:rtl/>
          <w:lang w:val="fr-CH"/>
        </w:rPr>
        <w:t>ِ</w:t>
      </w:r>
      <w:r w:rsidRPr="00BF59D5">
        <w:rPr>
          <w:rFonts w:hint="cs"/>
          <w:b/>
          <w:bCs/>
          <w:rtl/>
          <w:lang w:val="fr-CH"/>
        </w:rPr>
        <w:t xml:space="preserve">ذ بالكامل قانون مكافحة التمييز وأن تنشر أيضاً المعلومات المتعلقة </w:t>
      </w:r>
      <w:proofErr w:type="spellStart"/>
      <w:r w:rsidRPr="00BF59D5">
        <w:rPr>
          <w:rFonts w:hint="cs"/>
          <w:b/>
          <w:bCs/>
          <w:rtl/>
          <w:lang w:val="fr-CH"/>
        </w:rPr>
        <w:t>به</w:t>
      </w:r>
      <w:proofErr w:type="spellEnd"/>
      <w:r w:rsidRPr="00BF59D5">
        <w:rPr>
          <w:rFonts w:hint="cs"/>
          <w:b/>
          <w:bCs/>
          <w:rtl/>
          <w:lang w:val="fr-CH"/>
        </w:rPr>
        <w:t xml:space="preserve"> </w:t>
      </w:r>
      <w:r w:rsidR="00E0035F" w:rsidRPr="00BF59D5">
        <w:rPr>
          <w:rFonts w:hint="cs"/>
          <w:b/>
          <w:bCs/>
          <w:rtl/>
          <w:lang w:val="fr-CH"/>
        </w:rPr>
        <w:t xml:space="preserve">ليطلع عليها </w:t>
      </w:r>
      <w:r w:rsidRPr="00BF59D5">
        <w:rPr>
          <w:rFonts w:hint="cs"/>
          <w:b/>
          <w:bCs/>
          <w:rtl/>
          <w:lang w:val="fr-CH"/>
        </w:rPr>
        <w:t xml:space="preserve">الجمهور، </w:t>
      </w:r>
      <w:r w:rsidR="007D012A">
        <w:rPr>
          <w:rFonts w:hint="cs"/>
          <w:b/>
          <w:bCs/>
          <w:rtl/>
          <w:lang w:val="fr-CH"/>
        </w:rPr>
        <w:t xml:space="preserve">          </w:t>
      </w:r>
      <w:r w:rsidRPr="00BF59D5">
        <w:rPr>
          <w:rFonts w:hint="cs"/>
          <w:b/>
          <w:bCs/>
          <w:rtl/>
          <w:lang w:val="fr-CH"/>
        </w:rPr>
        <w:t xml:space="preserve">ولا </w:t>
      </w:r>
      <w:proofErr w:type="spellStart"/>
      <w:r w:rsidRPr="00BF59D5">
        <w:rPr>
          <w:rFonts w:hint="cs"/>
          <w:b/>
          <w:bCs/>
          <w:rtl/>
          <w:lang w:val="fr-CH"/>
        </w:rPr>
        <w:t>سيما</w:t>
      </w:r>
      <w:proofErr w:type="spellEnd"/>
      <w:r w:rsidRPr="00BF59D5">
        <w:rPr>
          <w:rFonts w:hint="cs"/>
          <w:b/>
          <w:bCs/>
          <w:rtl/>
          <w:lang w:val="fr-CH"/>
        </w:rPr>
        <w:t xml:space="preserve"> الأقليات، </w:t>
      </w:r>
      <w:r w:rsidR="00797C00" w:rsidRPr="00BF59D5">
        <w:rPr>
          <w:rFonts w:hint="cs"/>
          <w:b/>
          <w:bCs/>
          <w:rtl/>
          <w:lang w:val="fr-CH"/>
        </w:rPr>
        <w:t xml:space="preserve">ولإعلامهم </w:t>
      </w:r>
      <w:r w:rsidRPr="00BF59D5">
        <w:rPr>
          <w:rFonts w:hint="cs"/>
          <w:b/>
          <w:bCs/>
          <w:rtl/>
          <w:lang w:val="fr-CH"/>
        </w:rPr>
        <w:t xml:space="preserve">بجميع أوجه الانتصاف القانونية المتاحة أمامها عند مواجهة التمييز العنصري. وتدعو اللجنة الدولة الطرف إلى معالجة مشكلة طول الإجراءات في المحاكم فيما يتعلق بضحايا التمييز العنصري، من خلال ضمان أمور منها أن ييسر التعديل المشار إليه أعلاه المتعلق بالمساعدة القانونية من وصولهم إلى القضاء وتطبيق مبدأ قلب عبء الإثبات في الدعاوى المدنية، في المحاكم، عملاً بأحكام المادة 11 من قانون مكافحة التمييز. وتطلب اللجنة إلى الدولة الطرف أن تجري تحليلاً شاملاً للعدد المنخفض للشكاوى المقدمة وأن تتخذ تدابير ملموسة للتصدي لهذه المشكلة، من خلال تنظيم دورات لتدريب الموظفين المكلفين بإنفاذ القوانين والقضاة </w:t>
      </w:r>
      <w:r w:rsidR="00462EB1" w:rsidRPr="00BF59D5">
        <w:rPr>
          <w:rFonts w:hint="cs"/>
          <w:b/>
          <w:bCs/>
          <w:rtl/>
          <w:lang w:val="fr-CH"/>
        </w:rPr>
        <w:t xml:space="preserve">في مجال </w:t>
      </w:r>
      <w:r w:rsidRPr="00BF59D5">
        <w:rPr>
          <w:rFonts w:hint="cs"/>
          <w:b/>
          <w:bCs/>
          <w:rtl/>
          <w:lang w:val="fr-CH"/>
        </w:rPr>
        <w:t>عدم التمييز،</w:t>
      </w:r>
      <w:r w:rsidR="00462EB1" w:rsidRPr="00BF59D5">
        <w:rPr>
          <w:rFonts w:hint="cs"/>
          <w:b/>
          <w:bCs/>
          <w:rtl/>
          <w:lang w:val="fr-CH"/>
        </w:rPr>
        <w:t xml:space="preserve"> مع </w:t>
      </w:r>
      <w:r w:rsidRPr="00BF59D5">
        <w:rPr>
          <w:rFonts w:hint="cs"/>
          <w:b/>
          <w:bCs/>
          <w:rtl/>
          <w:lang w:val="fr-CH"/>
        </w:rPr>
        <w:t xml:space="preserve">التركيز على تطبيق الاتفاقية وقانون مكافحة التمييز في المحاكم. وأخيراً </w:t>
      </w:r>
      <w:r w:rsidR="00BF59D5" w:rsidRPr="00BF59D5">
        <w:rPr>
          <w:rFonts w:hint="cs"/>
          <w:b/>
          <w:bCs/>
          <w:rtl/>
          <w:lang w:val="fr-CH"/>
        </w:rPr>
        <w:t>تطل</w:t>
      </w:r>
      <w:r w:rsidRPr="00BF59D5">
        <w:rPr>
          <w:rFonts w:hint="cs"/>
          <w:b/>
          <w:bCs/>
          <w:rtl/>
          <w:lang w:val="fr-CH"/>
        </w:rPr>
        <w:t>ب من الدولة الطرف أن تدرج هذه المعلومات في تقريرها الدوري المقبل.</w:t>
      </w:r>
    </w:p>
    <w:p w:rsidR="00684866" w:rsidRPr="005204D4" w:rsidRDefault="00494A58" w:rsidP="00790EF2">
      <w:pPr>
        <w:pStyle w:val="H23GA"/>
        <w:rPr>
          <w:rFonts w:hint="cs"/>
          <w:rtl/>
          <w:lang w:val="fr-CH"/>
        </w:rPr>
      </w:pPr>
      <w:r>
        <w:rPr>
          <w:rFonts w:hint="cs"/>
          <w:rtl/>
          <w:lang w:val="fr-CH"/>
        </w:rPr>
        <w:tab/>
      </w:r>
      <w:r>
        <w:rPr>
          <w:rFonts w:hint="cs"/>
          <w:rtl/>
          <w:lang w:val="fr-CH"/>
        </w:rPr>
        <w:tab/>
      </w:r>
      <w:r w:rsidR="00790EF2">
        <w:rPr>
          <w:rFonts w:hint="cs"/>
          <w:rtl/>
          <w:lang w:val="fr-CH"/>
        </w:rPr>
        <w:t>ال</w:t>
      </w:r>
      <w:r w:rsidR="00684866" w:rsidRPr="005204D4">
        <w:rPr>
          <w:rFonts w:hint="cs"/>
          <w:rtl/>
          <w:lang w:val="fr-CH"/>
        </w:rPr>
        <w:t>خط</w:t>
      </w:r>
      <w:r w:rsidR="00790EF2">
        <w:rPr>
          <w:rFonts w:hint="cs"/>
          <w:rtl/>
          <w:lang w:val="fr-CH"/>
        </w:rPr>
        <w:t>ا</w:t>
      </w:r>
      <w:r w:rsidR="00684866" w:rsidRPr="005204D4">
        <w:rPr>
          <w:rFonts w:hint="cs"/>
          <w:rtl/>
          <w:lang w:val="fr-CH"/>
        </w:rPr>
        <w:t>ب العنصري في وسائط الإعلام</w:t>
      </w:r>
    </w:p>
    <w:p w:rsidR="00684866" w:rsidRDefault="00684866" w:rsidP="00A3648F">
      <w:pPr>
        <w:pStyle w:val="SingleTxtGA"/>
        <w:rPr>
          <w:rFonts w:hint="cs"/>
          <w:rtl/>
          <w:lang w:val="fr-CH"/>
        </w:rPr>
      </w:pPr>
      <w:r>
        <w:rPr>
          <w:rFonts w:hint="cs"/>
          <w:rtl/>
          <w:lang w:val="fr-CH"/>
        </w:rPr>
        <w:t>8-</w:t>
      </w:r>
      <w:r>
        <w:rPr>
          <w:rFonts w:hint="cs"/>
          <w:rtl/>
          <w:lang w:val="fr-CH"/>
        </w:rPr>
        <w:tab/>
        <w:t xml:space="preserve">لا تزال اللجنة تشعر بالقلق إزاء الزيادة المبلغ عنها </w:t>
      </w:r>
      <w:r w:rsidR="007D5B04">
        <w:rPr>
          <w:rFonts w:hint="cs"/>
          <w:rtl/>
          <w:lang w:val="fr-CH"/>
        </w:rPr>
        <w:t xml:space="preserve">لخطاب </w:t>
      </w:r>
      <w:r>
        <w:rPr>
          <w:rFonts w:hint="cs"/>
          <w:rtl/>
          <w:lang w:val="fr-CH"/>
        </w:rPr>
        <w:t xml:space="preserve">الكراهية في وسائط الإعلام وفي الإنترنت، بما في ذلك شبكات </w:t>
      </w:r>
      <w:r w:rsidR="00805B53">
        <w:rPr>
          <w:rFonts w:hint="cs"/>
          <w:rtl/>
          <w:lang w:val="fr-CH"/>
        </w:rPr>
        <w:t>التواصل الاجتماعي</w:t>
      </w:r>
      <w:r>
        <w:rPr>
          <w:rFonts w:hint="cs"/>
          <w:rtl/>
          <w:lang w:val="fr-CH"/>
        </w:rPr>
        <w:t xml:space="preserve"> وكذلك في المناسبات الرياضية، </w:t>
      </w:r>
      <w:r w:rsidR="005E35E8">
        <w:rPr>
          <w:rFonts w:hint="cs"/>
          <w:rtl/>
          <w:lang w:val="fr-CH"/>
        </w:rPr>
        <w:t xml:space="preserve">التي تستهدف </w:t>
      </w:r>
      <w:r w:rsidR="003407B2">
        <w:rPr>
          <w:rFonts w:hint="cs"/>
          <w:rtl/>
          <w:lang w:val="fr-CH"/>
        </w:rPr>
        <w:t xml:space="preserve">بصفة خاصة </w:t>
      </w:r>
      <w:proofErr w:type="spellStart"/>
      <w:r w:rsidR="003407B2">
        <w:rPr>
          <w:rFonts w:hint="cs"/>
          <w:rtl/>
          <w:lang w:val="fr-CH"/>
        </w:rPr>
        <w:t>الروما</w:t>
      </w:r>
      <w:proofErr w:type="spellEnd"/>
      <w:r>
        <w:rPr>
          <w:rFonts w:hint="cs"/>
          <w:rtl/>
          <w:lang w:val="fr-CH"/>
        </w:rPr>
        <w:t xml:space="preserve"> والهنغاريين وغير المواطنين. وفيما </w:t>
      </w:r>
      <w:r w:rsidR="005E35E8">
        <w:rPr>
          <w:rFonts w:hint="cs"/>
          <w:rtl/>
          <w:lang w:val="fr-CH"/>
        </w:rPr>
        <w:t xml:space="preserve">تحيط </w:t>
      </w:r>
      <w:r>
        <w:rPr>
          <w:rFonts w:hint="cs"/>
          <w:rtl/>
          <w:lang w:val="fr-CH"/>
        </w:rPr>
        <w:t xml:space="preserve">اللجنة علماً بالتدابير التشريعية المتخذة لتعزيز لغات </w:t>
      </w:r>
      <w:r w:rsidR="005E35E8">
        <w:rPr>
          <w:rFonts w:hint="cs"/>
          <w:rtl/>
          <w:lang w:val="fr-CH"/>
        </w:rPr>
        <w:t>ا</w:t>
      </w:r>
      <w:r>
        <w:rPr>
          <w:rFonts w:hint="cs"/>
          <w:rtl/>
          <w:lang w:val="fr-CH"/>
        </w:rPr>
        <w:t xml:space="preserve">لأقليات </w:t>
      </w:r>
      <w:r w:rsidR="005E35E8">
        <w:rPr>
          <w:rFonts w:hint="cs"/>
          <w:rtl/>
          <w:lang w:val="fr-CH"/>
        </w:rPr>
        <w:t xml:space="preserve">الوطنية </w:t>
      </w:r>
      <w:r>
        <w:rPr>
          <w:rFonts w:hint="cs"/>
          <w:rtl/>
          <w:lang w:val="fr-CH"/>
        </w:rPr>
        <w:t>في البرامج الإذاعية والتلفزيونية، تعتقد أن من المطلوب اتخاذ تدابير إضافية لوضع حد لخط</w:t>
      </w:r>
      <w:r w:rsidR="00A3648F">
        <w:rPr>
          <w:rFonts w:hint="cs"/>
          <w:rtl/>
          <w:lang w:val="fr-CH"/>
        </w:rPr>
        <w:t>ا</w:t>
      </w:r>
      <w:r>
        <w:rPr>
          <w:rFonts w:hint="cs"/>
          <w:rtl/>
          <w:lang w:val="fr-CH"/>
        </w:rPr>
        <w:t>ب الكراهية في وسائط الإعلام (المادتان 4 و7).</w:t>
      </w:r>
    </w:p>
    <w:p w:rsidR="00684866" w:rsidRPr="009D04AA" w:rsidRDefault="00BC3105" w:rsidP="009D04AA">
      <w:pPr>
        <w:pStyle w:val="SingleTxtGA"/>
        <w:rPr>
          <w:rFonts w:hint="cs"/>
          <w:b/>
          <w:bCs/>
          <w:rtl/>
          <w:lang w:val="fr-CH"/>
        </w:rPr>
      </w:pPr>
      <w:r>
        <w:rPr>
          <w:rFonts w:hint="cs"/>
          <w:b/>
          <w:bCs/>
          <w:rtl/>
          <w:lang w:val="fr-CH"/>
        </w:rPr>
        <w:tab/>
        <w:t>وفقاً للتوصيا</w:t>
      </w:r>
      <w:r w:rsidR="008F2DBB" w:rsidRPr="009D04AA">
        <w:rPr>
          <w:rFonts w:hint="cs"/>
          <w:b/>
          <w:bCs/>
          <w:rtl/>
          <w:lang w:val="fr-CH"/>
        </w:rPr>
        <w:t>ت</w:t>
      </w:r>
      <w:r w:rsidR="00684866" w:rsidRPr="009D04AA">
        <w:rPr>
          <w:rFonts w:hint="cs"/>
          <w:b/>
          <w:bCs/>
          <w:rtl/>
          <w:lang w:val="fr-CH"/>
        </w:rPr>
        <w:t xml:space="preserve"> العامة للجنة، رقم 7(1985) بشأن التشريع المتعلق بالقضاء على التمييز العنصري ورقم 15(1993) ورقم 30(2004) بشأن التمييز ضد غير المواطنين، توصي </w:t>
      </w:r>
      <w:r w:rsidR="00DD32B1" w:rsidRPr="009D04AA">
        <w:rPr>
          <w:rFonts w:hint="cs"/>
          <w:b/>
          <w:bCs/>
          <w:rtl/>
          <w:lang w:val="fr-CH"/>
        </w:rPr>
        <w:t xml:space="preserve">اللجنة </w:t>
      </w:r>
      <w:r w:rsidR="00684866" w:rsidRPr="009D04AA">
        <w:rPr>
          <w:rFonts w:hint="cs"/>
          <w:b/>
          <w:bCs/>
          <w:rtl/>
          <w:lang w:val="fr-CH"/>
        </w:rPr>
        <w:t>الدولة الطرف بأن تحدد هوية الأفراد أو المجموعات الذين يحرضون على الكراهية العنصرية ضد الأقليات والأجانب، وأن تجري تحقيقاً في خط</w:t>
      </w:r>
      <w:r w:rsidR="00CA2463" w:rsidRPr="009D04AA">
        <w:rPr>
          <w:rFonts w:hint="cs"/>
          <w:b/>
          <w:bCs/>
          <w:rtl/>
          <w:lang w:val="fr-CH"/>
        </w:rPr>
        <w:t>ا</w:t>
      </w:r>
      <w:r w:rsidR="00684866" w:rsidRPr="009D04AA">
        <w:rPr>
          <w:rFonts w:hint="cs"/>
          <w:b/>
          <w:bCs/>
          <w:rtl/>
          <w:lang w:val="fr-CH"/>
        </w:rPr>
        <w:t>ب الكراهية الصادر عن سياسيي</w:t>
      </w:r>
      <w:r w:rsidR="00684866" w:rsidRPr="009D04AA">
        <w:rPr>
          <w:rFonts w:hint="eastAsia"/>
          <w:b/>
          <w:bCs/>
          <w:rtl/>
          <w:lang w:val="fr-CH"/>
        </w:rPr>
        <w:t>ن</w:t>
      </w:r>
      <w:r w:rsidR="00684866" w:rsidRPr="009D04AA">
        <w:rPr>
          <w:rFonts w:hint="cs"/>
          <w:b/>
          <w:bCs/>
          <w:rtl/>
          <w:lang w:val="fr-CH"/>
        </w:rPr>
        <w:t xml:space="preserve"> </w:t>
      </w:r>
      <w:r w:rsidR="00BD54D9" w:rsidRPr="009D04AA">
        <w:rPr>
          <w:rFonts w:hint="cs"/>
          <w:b/>
          <w:bCs/>
          <w:rtl/>
          <w:lang w:val="fr-CH"/>
        </w:rPr>
        <w:t xml:space="preserve">أو </w:t>
      </w:r>
      <w:proofErr w:type="spellStart"/>
      <w:r w:rsidR="00BD54D9" w:rsidRPr="009D04AA">
        <w:rPr>
          <w:rFonts w:hint="cs"/>
          <w:b/>
          <w:bCs/>
          <w:rtl/>
          <w:lang w:val="fr-CH"/>
        </w:rPr>
        <w:t>مسؤ</w:t>
      </w:r>
      <w:r w:rsidR="00684866" w:rsidRPr="009D04AA">
        <w:rPr>
          <w:rFonts w:hint="cs"/>
          <w:b/>
          <w:bCs/>
          <w:rtl/>
          <w:lang w:val="fr-CH"/>
        </w:rPr>
        <w:t>ولين</w:t>
      </w:r>
      <w:proofErr w:type="spellEnd"/>
      <w:r w:rsidR="00684866" w:rsidRPr="009D04AA">
        <w:rPr>
          <w:rFonts w:hint="cs"/>
          <w:b/>
          <w:bCs/>
          <w:rtl/>
          <w:lang w:val="fr-CH"/>
        </w:rPr>
        <w:t xml:space="preserve"> حكوميين أو </w:t>
      </w:r>
      <w:r w:rsidR="00607F52" w:rsidRPr="009D04AA">
        <w:rPr>
          <w:rFonts w:hint="cs"/>
          <w:b/>
          <w:bCs/>
          <w:rtl/>
          <w:lang w:val="fr-CH"/>
        </w:rPr>
        <w:t>إعلاميين</w:t>
      </w:r>
      <w:r w:rsidR="00684866" w:rsidRPr="009D04AA">
        <w:rPr>
          <w:rFonts w:hint="cs"/>
          <w:b/>
          <w:bCs/>
          <w:rtl/>
          <w:lang w:val="fr-CH"/>
        </w:rPr>
        <w:t>، وأن تطبق العقوبات المناسبة عليهم. وتحث اللجنة الدولة الطرف على أن تتخذ التدابير اللازمة</w:t>
      </w:r>
      <w:r w:rsidR="00AA0760" w:rsidRPr="009D04AA">
        <w:rPr>
          <w:rFonts w:hint="cs"/>
          <w:b/>
          <w:bCs/>
          <w:rtl/>
          <w:lang w:val="fr-CH"/>
        </w:rPr>
        <w:t>،</w:t>
      </w:r>
      <w:r w:rsidR="00684866" w:rsidRPr="009D04AA">
        <w:rPr>
          <w:rFonts w:hint="cs"/>
          <w:b/>
          <w:bCs/>
          <w:rtl/>
          <w:lang w:val="fr-CH"/>
        </w:rPr>
        <w:t xml:space="preserve"> التي تستهدف </w:t>
      </w:r>
      <w:r w:rsidR="00AA0760" w:rsidRPr="009D04AA">
        <w:rPr>
          <w:rFonts w:hint="cs"/>
          <w:b/>
          <w:bCs/>
          <w:rtl/>
          <w:lang w:val="fr-CH"/>
        </w:rPr>
        <w:t xml:space="preserve">الصحفيين </w:t>
      </w:r>
      <w:r w:rsidR="00684866" w:rsidRPr="009D04AA">
        <w:rPr>
          <w:rFonts w:hint="cs"/>
          <w:b/>
          <w:bCs/>
          <w:rtl/>
          <w:lang w:val="fr-CH"/>
        </w:rPr>
        <w:t>بصفة خاصة</w:t>
      </w:r>
      <w:r w:rsidR="009D04AA" w:rsidRPr="009D04AA">
        <w:rPr>
          <w:rFonts w:hint="cs"/>
          <w:b/>
          <w:bCs/>
          <w:rtl/>
          <w:lang w:val="fr-CH"/>
        </w:rPr>
        <w:t>،</w:t>
      </w:r>
      <w:r w:rsidR="00684866" w:rsidRPr="009D04AA">
        <w:rPr>
          <w:rFonts w:hint="cs"/>
          <w:b/>
          <w:bCs/>
          <w:rtl/>
          <w:lang w:val="fr-CH"/>
        </w:rPr>
        <w:t xml:space="preserve"> لتعزيز التسامح والحوار فيما بين الثقافات واحترام التنوع.</w:t>
      </w:r>
    </w:p>
    <w:p w:rsidR="00684866" w:rsidRPr="005204D4" w:rsidRDefault="00097428" w:rsidP="00097428">
      <w:pPr>
        <w:pStyle w:val="H23GA"/>
        <w:rPr>
          <w:rFonts w:hint="cs"/>
          <w:rtl/>
          <w:lang w:val="fr-CH"/>
        </w:rPr>
      </w:pPr>
      <w:r>
        <w:rPr>
          <w:rFonts w:hint="cs"/>
          <w:rtl/>
          <w:lang w:val="fr-CH"/>
        </w:rPr>
        <w:tab/>
      </w:r>
      <w:r>
        <w:rPr>
          <w:rFonts w:hint="cs"/>
          <w:rtl/>
          <w:lang w:val="fr-CH"/>
        </w:rPr>
        <w:tab/>
      </w:r>
      <w:r w:rsidR="00684866" w:rsidRPr="005204D4">
        <w:rPr>
          <w:rFonts w:hint="cs"/>
          <w:rtl/>
          <w:lang w:val="fr-CH"/>
        </w:rPr>
        <w:t xml:space="preserve">عدم </w:t>
      </w:r>
      <w:r w:rsidR="00684866">
        <w:rPr>
          <w:rFonts w:hint="cs"/>
          <w:rtl/>
          <w:lang w:val="fr-CH"/>
        </w:rPr>
        <w:t xml:space="preserve">وجود </w:t>
      </w:r>
      <w:r w:rsidR="00684866" w:rsidRPr="005204D4">
        <w:rPr>
          <w:rFonts w:hint="cs"/>
          <w:rtl/>
          <w:lang w:val="fr-CH"/>
        </w:rPr>
        <w:t>هيئة رصد مستقلة</w:t>
      </w:r>
    </w:p>
    <w:p w:rsidR="00684866" w:rsidRDefault="0025326E" w:rsidP="0025326E">
      <w:pPr>
        <w:pStyle w:val="SingleTxtGA"/>
        <w:rPr>
          <w:rFonts w:hint="cs"/>
          <w:rtl/>
          <w:lang w:val="fr-CH"/>
        </w:rPr>
      </w:pPr>
      <w:r>
        <w:rPr>
          <w:rFonts w:hint="cs"/>
          <w:rtl/>
          <w:lang w:val="fr-CH"/>
        </w:rPr>
        <w:t>9-</w:t>
      </w:r>
      <w:r>
        <w:rPr>
          <w:rFonts w:hint="cs"/>
          <w:rtl/>
          <w:lang w:val="fr-CH"/>
        </w:rPr>
        <w:tab/>
      </w:r>
      <w:r w:rsidR="00684866">
        <w:rPr>
          <w:rFonts w:hint="cs"/>
          <w:rtl/>
          <w:lang w:val="fr-CH"/>
        </w:rPr>
        <w:t xml:space="preserve">تلاحظ اللجنة أن </w:t>
      </w:r>
      <w:r w:rsidR="00C42DA8">
        <w:rPr>
          <w:rFonts w:hint="cs"/>
          <w:rtl/>
          <w:lang w:val="fr-CH"/>
        </w:rPr>
        <w:t xml:space="preserve">قسم خدمات </w:t>
      </w:r>
      <w:r w:rsidR="00684866">
        <w:rPr>
          <w:rFonts w:hint="cs"/>
          <w:rtl/>
          <w:lang w:val="fr-CH"/>
        </w:rPr>
        <w:t xml:space="preserve">المراقبة والتفتيش مختص </w:t>
      </w:r>
      <w:r w:rsidR="00C42DA8">
        <w:rPr>
          <w:rFonts w:hint="cs"/>
          <w:rtl/>
          <w:lang w:val="fr-CH"/>
        </w:rPr>
        <w:t>ب</w:t>
      </w:r>
      <w:r w:rsidR="00684866">
        <w:rPr>
          <w:rFonts w:hint="cs"/>
          <w:rtl/>
          <w:lang w:val="fr-CH"/>
        </w:rPr>
        <w:t xml:space="preserve">التحقيق في النشاط الجنائي </w:t>
      </w:r>
      <w:r w:rsidR="00C42DA8">
        <w:rPr>
          <w:rFonts w:hint="cs"/>
          <w:rtl/>
          <w:lang w:val="fr-CH"/>
        </w:rPr>
        <w:t xml:space="preserve">لضباط </w:t>
      </w:r>
      <w:r w:rsidR="00684866">
        <w:rPr>
          <w:rFonts w:hint="cs"/>
          <w:rtl/>
          <w:lang w:val="fr-CH"/>
        </w:rPr>
        <w:t xml:space="preserve">الشرطة وأن </w:t>
      </w:r>
      <w:r w:rsidR="00C42DA8">
        <w:rPr>
          <w:rFonts w:hint="cs"/>
          <w:rtl/>
          <w:lang w:val="fr-CH"/>
        </w:rPr>
        <w:t xml:space="preserve">القسم </w:t>
      </w:r>
      <w:r w:rsidR="00684866">
        <w:rPr>
          <w:rFonts w:hint="cs"/>
          <w:rtl/>
          <w:lang w:val="fr-CH"/>
        </w:rPr>
        <w:t xml:space="preserve">والشرطة كليهما يخضعان لوزارة الداخلية. وتلاحظ أيضاً عدم وجود هيئة مستقلة لرصد الحالات المزعومة لوحشية أفراد الشرطة ضد الأشخاص المنتمين لمجموعات الأقليات، ولا </w:t>
      </w:r>
      <w:proofErr w:type="spellStart"/>
      <w:r w:rsidR="00684866">
        <w:rPr>
          <w:rFonts w:hint="cs"/>
          <w:rtl/>
          <w:lang w:val="fr-CH"/>
        </w:rPr>
        <w:t>سيما</w:t>
      </w:r>
      <w:proofErr w:type="spellEnd"/>
      <w:r w:rsidR="00684866">
        <w:rPr>
          <w:rFonts w:hint="cs"/>
          <w:rtl/>
          <w:lang w:val="fr-CH"/>
        </w:rPr>
        <w:t xml:space="preserve"> </w:t>
      </w:r>
      <w:proofErr w:type="spellStart"/>
      <w:r w:rsidR="00684866">
        <w:rPr>
          <w:rFonts w:hint="cs"/>
          <w:rtl/>
          <w:lang w:val="fr-CH"/>
        </w:rPr>
        <w:t>الروما</w:t>
      </w:r>
      <w:proofErr w:type="spellEnd"/>
      <w:r w:rsidR="00C42DA8">
        <w:rPr>
          <w:rFonts w:hint="cs"/>
          <w:rtl/>
          <w:lang w:val="fr-CH"/>
        </w:rPr>
        <w:t>، وملاحقة مرتكبيها</w:t>
      </w:r>
      <w:r w:rsidR="00684866">
        <w:rPr>
          <w:rFonts w:hint="cs"/>
          <w:rtl/>
          <w:lang w:val="fr-CH"/>
        </w:rPr>
        <w:t>. وتعرب أيضاً عن قلقها لأوجه النقص المبلغ عنها أثناء إجراء التحقيق</w:t>
      </w:r>
      <w:r w:rsidR="00201414">
        <w:rPr>
          <w:rFonts w:hint="cs"/>
          <w:rtl/>
          <w:lang w:val="fr-CH"/>
        </w:rPr>
        <w:t>ات</w:t>
      </w:r>
      <w:r w:rsidR="00684866">
        <w:rPr>
          <w:rFonts w:hint="cs"/>
          <w:rtl/>
          <w:lang w:val="fr-CH"/>
        </w:rPr>
        <w:t xml:space="preserve"> في سوء معاملة الأقليات من جانب ضباط الشرطة</w:t>
      </w:r>
      <w:r w:rsidR="00201414">
        <w:rPr>
          <w:rFonts w:hint="cs"/>
          <w:rtl/>
          <w:lang w:val="fr-CH"/>
        </w:rPr>
        <w:t>،</w:t>
      </w:r>
      <w:r w:rsidR="00684866">
        <w:rPr>
          <w:rFonts w:hint="cs"/>
          <w:rtl/>
          <w:lang w:val="fr-CH"/>
        </w:rPr>
        <w:t xml:space="preserve"> </w:t>
      </w:r>
      <w:r w:rsidR="00201414">
        <w:rPr>
          <w:rFonts w:hint="cs"/>
          <w:rtl/>
          <w:lang w:val="fr-CH"/>
        </w:rPr>
        <w:t xml:space="preserve">حيث </w:t>
      </w:r>
      <w:r w:rsidR="00684866">
        <w:rPr>
          <w:rFonts w:hint="cs"/>
          <w:rtl/>
          <w:lang w:val="fr-CH"/>
        </w:rPr>
        <w:t>لا تؤخذ دوافع العنصرية دائماً في الحسبان (المادة 4).</w:t>
      </w:r>
    </w:p>
    <w:p w:rsidR="00684866" w:rsidRPr="00D42C12" w:rsidRDefault="00D42C12" w:rsidP="00D42C12">
      <w:pPr>
        <w:pStyle w:val="SingleTxtGA"/>
        <w:rPr>
          <w:rFonts w:hint="cs"/>
          <w:b/>
          <w:bCs/>
          <w:rtl/>
          <w:lang w:val="fr-CH"/>
        </w:rPr>
      </w:pPr>
      <w:r w:rsidRPr="00D42C12">
        <w:rPr>
          <w:rFonts w:hint="cs"/>
          <w:b/>
          <w:bCs/>
          <w:rtl/>
          <w:lang w:val="fr-CH"/>
        </w:rPr>
        <w:tab/>
      </w:r>
      <w:r w:rsidR="00684866" w:rsidRPr="00D42C12">
        <w:rPr>
          <w:rFonts w:hint="cs"/>
          <w:b/>
          <w:bCs/>
          <w:rtl/>
          <w:lang w:val="fr-CH"/>
        </w:rPr>
        <w:t>تكرر اللجنة توصيتها بأن تنشئ الدولة الطرف آلية رصد مستقلة لإجراء التحقيق</w:t>
      </w:r>
      <w:r w:rsidR="00E9358A" w:rsidRPr="00D42C12">
        <w:rPr>
          <w:rFonts w:hint="cs"/>
          <w:b/>
          <w:bCs/>
          <w:rtl/>
          <w:lang w:val="fr-CH"/>
        </w:rPr>
        <w:t>ات</w:t>
      </w:r>
      <w:r w:rsidR="00684866" w:rsidRPr="00D42C12">
        <w:rPr>
          <w:rFonts w:hint="cs"/>
          <w:b/>
          <w:bCs/>
          <w:rtl/>
          <w:lang w:val="fr-CH"/>
        </w:rPr>
        <w:t xml:space="preserve"> في الجرائم التي يتورط فيها </w:t>
      </w:r>
      <w:r w:rsidR="00E9358A" w:rsidRPr="00D42C12">
        <w:rPr>
          <w:rFonts w:hint="cs"/>
          <w:b/>
          <w:bCs/>
          <w:rtl/>
          <w:lang w:val="fr-CH"/>
        </w:rPr>
        <w:t xml:space="preserve">ضباط </w:t>
      </w:r>
      <w:r w:rsidR="00684866" w:rsidRPr="00D42C12">
        <w:rPr>
          <w:rFonts w:hint="cs"/>
          <w:b/>
          <w:bCs/>
          <w:rtl/>
          <w:lang w:val="fr-CH"/>
        </w:rPr>
        <w:t>الشرطة. وتحث اللجنة،</w:t>
      </w:r>
      <w:r w:rsidR="000152F8" w:rsidRPr="00D42C12">
        <w:rPr>
          <w:rFonts w:hint="cs"/>
          <w:b/>
          <w:bCs/>
          <w:rtl/>
          <w:lang w:val="fr-CH"/>
        </w:rPr>
        <w:t xml:space="preserve"> </w:t>
      </w:r>
      <w:r w:rsidR="00684866" w:rsidRPr="00D42C12">
        <w:rPr>
          <w:rFonts w:hint="cs"/>
          <w:b/>
          <w:bCs/>
          <w:rtl/>
          <w:lang w:val="fr-CH"/>
        </w:rPr>
        <w:t xml:space="preserve">في ضوء توصيتها العامة رقم 31(2005)، الدولة الطرف على اتخاذ تدابير فورية للتحقيق بفعالية في جرائم الكراهية المبلغ عنها وضمان مقاضاة مرتكبي جميع الجرائم </w:t>
      </w:r>
      <w:r w:rsidR="004C6E03" w:rsidRPr="00D42C12">
        <w:rPr>
          <w:rFonts w:hint="cs"/>
          <w:b/>
          <w:bCs/>
          <w:rtl/>
          <w:lang w:val="fr-CH"/>
        </w:rPr>
        <w:t>ذات الدوافع</w:t>
      </w:r>
      <w:r w:rsidR="00684866" w:rsidRPr="00D42C12">
        <w:rPr>
          <w:rFonts w:hint="cs"/>
          <w:b/>
          <w:bCs/>
          <w:rtl/>
          <w:lang w:val="fr-CH"/>
        </w:rPr>
        <w:t xml:space="preserve"> العنصرية، وفقاً للتشريع الوطني والاتفاقية، مع مراعاة خطورة مثل هذه الأفعال. وتطلب اللجنة إلى الدولة الطرف أن تقدم معلومات عن عدد شكاوى سوء المعاملة المرفوعة من جانب أشخاص منتمين لمجموعات الأقليات ضد </w:t>
      </w:r>
      <w:r w:rsidR="00CC6169" w:rsidRPr="00D42C12">
        <w:rPr>
          <w:rFonts w:hint="cs"/>
          <w:b/>
          <w:bCs/>
          <w:rtl/>
          <w:lang w:val="fr-CH"/>
        </w:rPr>
        <w:t xml:space="preserve">ضباط </w:t>
      </w:r>
      <w:r w:rsidR="00684866" w:rsidRPr="00D42C12">
        <w:rPr>
          <w:rFonts w:hint="cs"/>
          <w:b/>
          <w:bCs/>
          <w:rtl/>
          <w:lang w:val="fr-CH"/>
        </w:rPr>
        <w:t>الشرطة، وكذلك عن نتائج التحقيق</w:t>
      </w:r>
      <w:r w:rsidR="00305DE1" w:rsidRPr="00D42C12">
        <w:rPr>
          <w:rFonts w:hint="cs"/>
          <w:b/>
          <w:bCs/>
          <w:rtl/>
          <w:lang w:val="fr-CH"/>
        </w:rPr>
        <w:t>ات</w:t>
      </w:r>
      <w:r w:rsidR="00684866" w:rsidRPr="00D42C12">
        <w:rPr>
          <w:rFonts w:hint="cs"/>
          <w:b/>
          <w:bCs/>
          <w:rtl/>
          <w:lang w:val="fr-CH"/>
        </w:rPr>
        <w:t xml:space="preserve"> في هذه الشكاوى وعن أية إجراءات قضائية اتخُذت على المستويين الجنائي والتأديبي.</w:t>
      </w:r>
    </w:p>
    <w:p w:rsidR="00684866" w:rsidRPr="007B0CC7" w:rsidRDefault="0044732B" w:rsidP="0044732B">
      <w:pPr>
        <w:pStyle w:val="H23GA"/>
        <w:rPr>
          <w:rFonts w:hint="cs"/>
          <w:rtl/>
          <w:lang w:val="fr-CH"/>
        </w:rPr>
      </w:pPr>
      <w:r>
        <w:rPr>
          <w:rFonts w:hint="cs"/>
          <w:rtl/>
          <w:lang w:val="fr-CH"/>
        </w:rPr>
        <w:tab/>
      </w:r>
      <w:r>
        <w:rPr>
          <w:rFonts w:hint="cs"/>
          <w:rtl/>
          <w:lang w:val="fr-CH"/>
        </w:rPr>
        <w:tab/>
        <w:t>الوصم</w:t>
      </w:r>
      <w:r w:rsidR="00684866" w:rsidRPr="007B0CC7">
        <w:rPr>
          <w:rFonts w:hint="cs"/>
          <w:rtl/>
          <w:lang w:val="fr-CH"/>
        </w:rPr>
        <w:t xml:space="preserve"> والتمييز ضد الأقليات، ولا </w:t>
      </w:r>
      <w:proofErr w:type="spellStart"/>
      <w:r w:rsidR="00684866" w:rsidRPr="007B0CC7">
        <w:rPr>
          <w:rFonts w:hint="cs"/>
          <w:rtl/>
          <w:lang w:val="fr-CH"/>
        </w:rPr>
        <w:t>سيما</w:t>
      </w:r>
      <w:proofErr w:type="spellEnd"/>
      <w:r w:rsidR="00684866" w:rsidRPr="007B0CC7">
        <w:rPr>
          <w:rFonts w:hint="cs"/>
          <w:rtl/>
          <w:lang w:val="fr-CH"/>
        </w:rPr>
        <w:t xml:space="preserve"> </w:t>
      </w:r>
      <w:proofErr w:type="spellStart"/>
      <w:r w:rsidR="00684866" w:rsidRPr="007B0CC7">
        <w:rPr>
          <w:rFonts w:hint="cs"/>
          <w:rtl/>
          <w:lang w:val="fr-CH"/>
        </w:rPr>
        <w:t>الروما</w:t>
      </w:r>
      <w:proofErr w:type="spellEnd"/>
    </w:p>
    <w:p w:rsidR="00684866" w:rsidRDefault="00684866" w:rsidP="00A55618">
      <w:pPr>
        <w:pStyle w:val="SingleTxtGA"/>
        <w:rPr>
          <w:rFonts w:hint="cs"/>
          <w:rtl/>
          <w:lang w:val="fr-CH"/>
        </w:rPr>
      </w:pPr>
      <w:r>
        <w:rPr>
          <w:rFonts w:hint="cs"/>
          <w:rtl/>
          <w:lang w:val="fr-CH"/>
        </w:rPr>
        <w:t>10-</w:t>
      </w:r>
      <w:r>
        <w:rPr>
          <w:rFonts w:hint="cs"/>
          <w:rtl/>
          <w:lang w:val="fr-CH"/>
        </w:rPr>
        <w:tab/>
        <w:t xml:space="preserve">تكرر اللجنة </w:t>
      </w:r>
      <w:r w:rsidR="00754359">
        <w:rPr>
          <w:rFonts w:hint="cs"/>
          <w:rtl/>
          <w:lang w:val="fr-CH"/>
        </w:rPr>
        <w:t xml:space="preserve">الإعراب عن </w:t>
      </w:r>
      <w:r>
        <w:rPr>
          <w:rFonts w:hint="cs"/>
          <w:rtl/>
          <w:lang w:val="fr-CH"/>
        </w:rPr>
        <w:t xml:space="preserve">قلقها فيما يتعلق بمواصلة وصم </w:t>
      </w:r>
      <w:proofErr w:type="spellStart"/>
      <w:r>
        <w:rPr>
          <w:rFonts w:hint="cs"/>
          <w:rtl/>
          <w:lang w:val="fr-CH"/>
        </w:rPr>
        <w:t>الروما</w:t>
      </w:r>
      <w:proofErr w:type="spellEnd"/>
      <w:r>
        <w:rPr>
          <w:rFonts w:hint="cs"/>
          <w:rtl/>
          <w:lang w:val="fr-CH"/>
        </w:rPr>
        <w:t xml:space="preserve"> والتمييز ضدهم واستمرار أوضاعهم الاجتماعية </w:t>
      </w:r>
      <w:r w:rsidR="005A6326">
        <w:rPr>
          <w:rFonts w:hint="cs"/>
          <w:rtl/>
          <w:lang w:val="fr-CH"/>
        </w:rPr>
        <w:t xml:space="preserve">- </w:t>
      </w:r>
      <w:r>
        <w:rPr>
          <w:rFonts w:hint="cs"/>
          <w:rtl/>
          <w:lang w:val="fr-CH"/>
        </w:rPr>
        <w:t>الاقتصادية الهشة. ويساور اللجنة القلق أيضاً إزاء الرد الذي قدمته الدولة الطرف (</w:t>
      </w:r>
      <w:r w:rsidRPr="00E6137E">
        <w:t>CERD/C/SVK/9-10</w:t>
      </w:r>
      <w:r w:rsidR="009C3A21">
        <w:rPr>
          <w:rFonts w:hint="cs"/>
          <w:rtl/>
          <w:lang w:val="fr-CH"/>
        </w:rPr>
        <w:t>، الفقرتان</w:t>
      </w:r>
      <w:r>
        <w:rPr>
          <w:rFonts w:hint="cs"/>
          <w:rtl/>
          <w:lang w:val="fr-CH"/>
        </w:rPr>
        <w:t xml:space="preserve"> 149</w:t>
      </w:r>
      <w:r w:rsidR="001C6912">
        <w:rPr>
          <w:rFonts w:hint="cs"/>
          <w:rtl/>
          <w:lang w:val="fr-CH"/>
        </w:rPr>
        <w:t xml:space="preserve"> و</w:t>
      </w:r>
      <w:r>
        <w:rPr>
          <w:rFonts w:hint="cs"/>
          <w:rtl/>
          <w:lang w:val="fr-CH"/>
        </w:rPr>
        <w:t xml:space="preserve">150) بأنه من غير الممكن زيادة تمثيل </w:t>
      </w:r>
      <w:proofErr w:type="spellStart"/>
      <w:r>
        <w:rPr>
          <w:rFonts w:hint="cs"/>
          <w:rtl/>
          <w:lang w:val="fr-CH"/>
        </w:rPr>
        <w:t>الروما</w:t>
      </w:r>
      <w:proofErr w:type="spellEnd"/>
      <w:r>
        <w:rPr>
          <w:rFonts w:hint="cs"/>
          <w:rtl/>
          <w:lang w:val="fr-CH"/>
        </w:rPr>
        <w:t xml:space="preserve"> في الشرطة إلا إذا كان ذلك يستند إلى الجدارة، أي تطبيق معيار المساواة بين الجميع. وتأسف أيضاً لعدم تقديم معلومات عن عدد أفراد </w:t>
      </w:r>
      <w:proofErr w:type="spellStart"/>
      <w:r>
        <w:rPr>
          <w:rFonts w:hint="cs"/>
          <w:rtl/>
          <w:lang w:val="fr-CH"/>
        </w:rPr>
        <w:t>الروما</w:t>
      </w:r>
      <w:proofErr w:type="spellEnd"/>
      <w:r>
        <w:rPr>
          <w:rFonts w:hint="cs"/>
          <w:rtl/>
          <w:lang w:val="fr-CH"/>
        </w:rPr>
        <w:t xml:space="preserve"> لا في قوات الشرطة فحسب بل أيضاً في الهيئات المنتخبة محلياً (المادة 5).</w:t>
      </w:r>
    </w:p>
    <w:p w:rsidR="00684866" w:rsidRPr="00A74016" w:rsidRDefault="00684866" w:rsidP="00A74016">
      <w:pPr>
        <w:pStyle w:val="SingleTxtGA"/>
        <w:rPr>
          <w:rFonts w:hint="cs"/>
          <w:b/>
          <w:bCs/>
          <w:rtl/>
          <w:lang w:val="fr-CH"/>
        </w:rPr>
      </w:pPr>
      <w:r w:rsidRPr="00A74016">
        <w:rPr>
          <w:rFonts w:hint="cs"/>
          <w:b/>
          <w:bCs/>
          <w:rtl/>
          <w:lang w:val="fr-CH"/>
        </w:rPr>
        <w:tab/>
        <w:t xml:space="preserve">تحث اللجنة الدولة الطرف على تعزيز جهودها الرامية إلى مكافحة التمييز ضد </w:t>
      </w:r>
      <w:proofErr w:type="spellStart"/>
      <w:r w:rsidRPr="00A74016">
        <w:rPr>
          <w:rFonts w:hint="cs"/>
          <w:b/>
          <w:bCs/>
          <w:rtl/>
          <w:lang w:val="fr-CH"/>
        </w:rPr>
        <w:t>الروما</w:t>
      </w:r>
      <w:proofErr w:type="spellEnd"/>
      <w:r w:rsidRPr="00A74016">
        <w:rPr>
          <w:rFonts w:hint="cs"/>
          <w:b/>
          <w:bCs/>
          <w:rtl/>
          <w:lang w:val="fr-CH"/>
        </w:rPr>
        <w:t xml:space="preserve">. ووفقاً لتوصيتها العامة رقم 32(2009) بشأن المقصود من التدابير الخاصة ونطاقها المشار إليها في الاتفاقية الدولية للقضاء على التمييز العنصري، وتوصيتها العامة رقم 27(2000) بشأن التمييز ضد </w:t>
      </w:r>
      <w:proofErr w:type="spellStart"/>
      <w:r w:rsidRPr="00A74016">
        <w:rPr>
          <w:rFonts w:hint="cs"/>
          <w:b/>
          <w:bCs/>
          <w:rtl/>
          <w:lang w:val="fr-CH"/>
        </w:rPr>
        <w:t>الروما</w:t>
      </w:r>
      <w:proofErr w:type="spellEnd"/>
      <w:r w:rsidRPr="00A74016">
        <w:rPr>
          <w:rFonts w:hint="cs"/>
          <w:b/>
          <w:bCs/>
          <w:rtl/>
          <w:lang w:val="fr-CH"/>
        </w:rPr>
        <w:t>، توصي</w:t>
      </w:r>
      <w:r w:rsidR="00EC5E2C" w:rsidRPr="00A74016">
        <w:rPr>
          <w:rFonts w:hint="cs"/>
          <w:b/>
          <w:bCs/>
          <w:rtl/>
          <w:lang w:val="fr-CH"/>
        </w:rPr>
        <w:t xml:space="preserve"> اللجنة</w:t>
      </w:r>
      <w:r w:rsidRPr="00A74016">
        <w:rPr>
          <w:rFonts w:hint="cs"/>
          <w:b/>
          <w:bCs/>
          <w:rtl/>
          <w:lang w:val="fr-CH"/>
        </w:rPr>
        <w:t xml:space="preserve"> الدولة الطرف باستخدام البيانات التي ستُنشر عن قريب بشأن ظروف معيشة </w:t>
      </w:r>
      <w:proofErr w:type="spellStart"/>
      <w:r w:rsidRPr="00A74016">
        <w:rPr>
          <w:rFonts w:hint="cs"/>
          <w:b/>
          <w:bCs/>
          <w:rtl/>
          <w:lang w:val="fr-CH"/>
        </w:rPr>
        <w:t>الروما</w:t>
      </w:r>
      <w:proofErr w:type="spellEnd"/>
      <w:r w:rsidRPr="00A74016">
        <w:rPr>
          <w:rFonts w:hint="cs"/>
          <w:b/>
          <w:bCs/>
          <w:rtl/>
          <w:lang w:val="fr-CH"/>
        </w:rPr>
        <w:t xml:space="preserve">، </w:t>
      </w:r>
      <w:r w:rsidR="00D96BFD" w:rsidRPr="00A74016">
        <w:rPr>
          <w:rFonts w:hint="cs"/>
          <w:b/>
          <w:bCs/>
          <w:rtl/>
          <w:lang w:val="fr-CH"/>
        </w:rPr>
        <w:t xml:space="preserve">لضمان </w:t>
      </w:r>
      <w:r w:rsidRPr="00A74016">
        <w:rPr>
          <w:rFonts w:hint="cs"/>
          <w:b/>
          <w:bCs/>
          <w:rtl/>
          <w:lang w:val="fr-CH"/>
        </w:rPr>
        <w:t xml:space="preserve">وضع وتنفيذ تدابير خاصة مؤقتة عاجلة للنهوض بالحقوق الاقتصادية والاجتماعية والثقافية </w:t>
      </w:r>
      <w:proofErr w:type="spellStart"/>
      <w:r w:rsidRPr="00A74016">
        <w:rPr>
          <w:rFonts w:hint="cs"/>
          <w:b/>
          <w:bCs/>
          <w:rtl/>
          <w:lang w:val="fr-CH"/>
        </w:rPr>
        <w:t>للروما</w:t>
      </w:r>
      <w:proofErr w:type="spellEnd"/>
      <w:r w:rsidRPr="00A74016">
        <w:rPr>
          <w:rFonts w:hint="cs"/>
          <w:b/>
          <w:bCs/>
          <w:rtl/>
          <w:lang w:val="fr-CH"/>
        </w:rPr>
        <w:t xml:space="preserve">، بالاستناد إلى </w:t>
      </w:r>
      <w:r w:rsidR="00714960" w:rsidRPr="00A74016">
        <w:rPr>
          <w:rFonts w:hint="cs"/>
          <w:b/>
          <w:bCs/>
          <w:rtl/>
          <w:lang w:val="fr-CH"/>
        </w:rPr>
        <w:t>ا</w:t>
      </w:r>
      <w:r w:rsidRPr="00A74016">
        <w:rPr>
          <w:rFonts w:hint="cs"/>
          <w:b/>
          <w:bCs/>
          <w:rtl/>
          <w:lang w:val="fr-CH"/>
        </w:rPr>
        <w:t xml:space="preserve">حتياجاتهم وبالتشاور معهم. وفي هذا السياق، توصي اللجنة </w:t>
      </w:r>
      <w:r w:rsidR="00C57D60" w:rsidRPr="00A74016">
        <w:rPr>
          <w:rFonts w:hint="cs"/>
          <w:b/>
          <w:bCs/>
          <w:rtl/>
          <w:lang w:val="fr-CH"/>
        </w:rPr>
        <w:t xml:space="preserve">أيضاً </w:t>
      </w:r>
      <w:r w:rsidRPr="00A74016">
        <w:rPr>
          <w:rFonts w:hint="cs"/>
          <w:b/>
          <w:bCs/>
          <w:rtl/>
          <w:lang w:val="fr-CH"/>
        </w:rPr>
        <w:t xml:space="preserve">الدولة الطرف بتنفيذ تعديل قانون مكافحة التمييز دون تأخير، </w:t>
      </w:r>
      <w:r w:rsidR="00710B2E" w:rsidRPr="00A74016">
        <w:rPr>
          <w:rFonts w:hint="cs"/>
          <w:b/>
          <w:bCs/>
          <w:rtl/>
          <w:lang w:val="fr-CH"/>
        </w:rPr>
        <w:t xml:space="preserve">الذي </w:t>
      </w:r>
      <w:r w:rsidRPr="00A74016">
        <w:rPr>
          <w:rFonts w:hint="cs"/>
          <w:b/>
          <w:bCs/>
          <w:rtl/>
          <w:lang w:val="fr-CH"/>
        </w:rPr>
        <w:t xml:space="preserve">سينظم </w:t>
      </w:r>
      <w:r w:rsidR="00710B2E" w:rsidRPr="00A74016">
        <w:rPr>
          <w:rFonts w:hint="cs"/>
          <w:b/>
          <w:bCs/>
          <w:rtl/>
          <w:lang w:val="fr-CH"/>
        </w:rPr>
        <w:t xml:space="preserve">اعتباراً </w:t>
      </w:r>
      <w:r w:rsidRPr="00A74016">
        <w:rPr>
          <w:rFonts w:hint="cs"/>
          <w:b/>
          <w:bCs/>
          <w:rtl/>
          <w:lang w:val="fr-CH"/>
        </w:rPr>
        <w:t>من 1 نيسان/</w:t>
      </w:r>
      <w:r w:rsidR="00BC65CC">
        <w:rPr>
          <w:rFonts w:hint="cs"/>
          <w:b/>
          <w:bCs/>
          <w:rtl/>
          <w:lang w:val="fr-CH"/>
        </w:rPr>
        <w:t xml:space="preserve">        </w:t>
      </w:r>
      <w:r w:rsidRPr="00A74016">
        <w:rPr>
          <w:rFonts w:hint="cs"/>
          <w:b/>
          <w:bCs/>
          <w:rtl/>
          <w:lang w:val="fr-CH"/>
        </w:rPr>
        <w:t xml:space="preserve">أبريل 2013 التدابير الخاصة لأكثر </w:t>
      </w:r>
      <w:r w:rsidR="00A360F4" w:rsidRPr="00A74016">
        <w:rPr>
          <w:rFonts w:hint="cs"/>
          <w:b/>
          <w:bCs/>
          <w:rtl/>
          <w:lang w:val="fr-CH"/>
        </w:rPr>
        <w:t xml:space="preserve">الفئات تعرضاً </w:t>
      </w:r>
      <w:r w:rsidRPr="00A74016">
        <w:rPr>
          <w:rFonts w:hint="cs"/>
          <w:b/>
          <w:bCs/>
          <w:rtl/>
          <w:lang w:val="fr-CH"/>
        </w:rPr>
        <w:t xml:space="preserve">للتمييز والحرمان. وتطلب اللجنة إلى الدولة الطرف أيضاً أن تتخذ التدابير اللازمة لكي تقدم في تقريرها الدوري المقبل معلومات عن عدد أفراد </w:t>
      </w:r>
      <w:proofErr w:type="spellStart"/>
      <w:r w:rsidRPr="00A74016">
        <w:rPr>
          <w:rFonts w:hint="cs"/>
          <w:b/>
          <w:bCs/>
          <w:rtl/>
          <w:lang w:val="fr-CH"/>
        </w:rPr>
        <w:t>الروما</w:t>
      </w:r>
      <w:proofErr w:type="spellEnd"/>
      <w:r w:rsidRPr="00A74016">
        <w:rPr>
          <w:rFonts w:hint="cs"/>
          <w:b/>
          <w:bCs/>
          <w:rtl/>
          <w:lang w:val="fr-CH"/>
        </w:rPr>
        <w:t xml:space="preserve"> في الشرطة وفي الهيئات المنتخبة محلياً.</w:t>
      </w:r>
    </w:p>
    <w:p w:rsidR="00684866" w:rsidRPr="007B0CC7" w:rsidRDefault="00E931D2" w:rsidP="00E931D2">
      <w:pPr>
        <w:pStyle w:val="H23GA"/>
        <w:rPr>
          <w:rFonts w:hint="cs"/>
          <w:rtl/>
          <w:lang w:val="fr-CH"/>
        </w:rPr>
      </w:pPr>
      <w:r>
        <w:rPr>
          <w:rFonts w:hint="cs"/>
          <w:rtl/>
          <w:lang w:val="fr-CH"/>
        </w:rPr>
        <w:tab/>
      </w:r>
      <w:r>
        <w:rPr>
          <w:rFonts w:hint="cs"/>
          <w:rtl/>
          <w:lang w:val="fr-CH"/>
        </w:rPr>
        <w:tab/>
      </w:r>
      <w:r w:rsidR="00684866" w:rsidRPr="007B0CC7">
        <w:rPr>
          <w:rFonts w:hint="cs"/>
          <w:rtl/>
          <w:lang w:val="fr-CH"/>
        </w:rPr>
        <w:t>مواصلة ال</w:t>
      </w:r>
      <w:r w:rsidR="00684866">
        <w:rPr>
          <w:rFonts w:hint="cs"/>
          <w:rtl/>
          <w:lang w:val="fr-CH"/>
        </w:rPr>
        <w:t>فصل</w:t>
      </w:r>
      <w:r w:rsidR="00684866" w:rsidRPr="007B0CC7">
        <w:rPr>
          <w:rFonts w:hint="cs"/>
          <w:rtl/>
          <w:lang w:val="fr-CH"/>
        </w:rPr>
        <w:t xml:space="preserve"> في النظام التعليم ب</w:t>
      </w:r>
      <w:r w:rsidR="00684866">
        <w:rPr>
          <w:rFonts w:hint="cs"/>
          <w:rtl/>
          <w:lang w:val="fr-CH"/>
        </w:rPr>
        <w:t>حكم الأمر ا</w:t>
      </w:r>
      <w:r w:rsidR="00684866" w:rsidRPr="007B0CC7">
        <w:rPr>
          <w:rFonts w:hint="cs"/>
          <w:rtl/>
          <w:lang w:val="fr-CH"/>
        </w:rPr>
        <w:t>لواقع</w:t>
      </w:r>
    </w:p>
    <w:p w:rsidR="00684866" w:rsidRDefault="00684866" w:rsidP="00FB1FA9">
      <w:pPr>
        <w:pStyle w:val="SingleTxtGA"/>
        <w:rPr>
          <w:rFonts w:hint="cs"/>
          <w:rtl/>
          <w:lang w:val="fr-CH"/>
        </w:rPr>
      </w:pPr>
      <w:r>
        <w:rPr>
          <w:rFonts w:hint="cs"/>
          <w:rtl/>
          <w:lang w:val="fr-CH"/>
        </w:rPr>
        <w:t>11-</w:t>
      </w:r>
      <w:r>
        <w:rPr>
          <w:rFonts w:hint="cs"/>
          <w:rtl/>
          <w:lang w:val="fr-CH"/>
        </w:rPr>
        <w:tab/>
        <w:t xml:space="preserve">على الرغم من بعض التدابير التي اتخذتها الدولة الطرف، بما في ذلك سن قانون المدارس لعام 2008 والحكم الصادر في كانون الأول/ديسمبر 2011 عن </w:t>
      </w:r>
      <w:r w:rsidR="00F53D14">
        <w:rPr>
          <w:rFonts w:hint="cs"/>
          <w:rtl/>
          <w:lang w:val="fr-CH"/>
        </w:rPr>
        <w:t>ال</w:t>
      </w:r>
      <w:r>
        <w:rPr>
          <w:rFonts w:hint="cs"/>
          <w:rtl/>
          <w:lang w:val="fr-CH"/>
        </w:rPr>
        <w:t xml:space="preserve">محكمة </w:t>
      </w:r>
      <w:r w:rsidR="00F53D14">
        <w:rPr>
          <w:rFonts w:hint="cs"/>
          <w:rtl/>
          <w:lang w:val="fr-CH"/>
        </w:rPr>
        <w:t xml:space="preserve">المحلية في </w:t>
      </w:r>
      <w:proofErr w:type="spellStart"/>
      <w:r w:rsidR="00F53D14">
        <w:rPr>
          <w:rFonts w:hint="cs"/>
          <w:rtl/>
          <w:lang w:val="fr-CH"/>
        </w:rPr>
        <w:t>بري</w:t>
      </w:r>
      <w:r w:rsidR="00144DC2">
        <w:rPr>
          <w:rFonts w:hint="cs"/>
          <w:rtl/>
          <w:lang w:val="fr-CH"/>
        </w:rPr>
        <w:t>ش</w:t>
      </w:r>
      <w:r w:rsidR="00F53D14">
        <w:rPr>
          <w:rFonts w:hint="cs"/>
          <w:rtl/>
          <w:lang w:val="fr-CH"/>
        </w:rPr>
        <w:t>وف</w:t>
      </w:r>
      <w:proofErr w:type="spellEnd"/>
      <w:r>
        <w:rPr>
          <w:rFonts w:hint="cs"/>
          <w:rtl/>
          <w:lang w:val="fr-CH"/>
        </w:rPr>
        <w:t xml:space="preserve"> الذي يقضي بإزالة الفصل بين طلاب </w:t>
      </w:r>
      <w:proofErr w:type="spellStart"/>
      <w:r>
        <w:rPr>
          <w:rFonts w:hint="cs"/>
          <w:rtl/>
          <w:lang w:val="fr-CH"/>
        </w:rPr>
        <w:t>الروما</w:t>
      </w:r>
      <w:proofErr w:type="spellEnd"/>
      <w:r>
        <w:rPr>
          <w:rFonts w:hint="cs"/>
          <w:rtl/>
          <w:lang w:val="fr-CH"/>
        </w:rPr>
        <w:t xml:space="preserve"> وغيرهم من الطلاب في</w:t>
      </w:r>
      <w:r>
        <w:rPr>
          <w:rFonts w:hint="cs"/>
          <w:rtl/>
          <w:lang/>
        </w:rPr>
        <w:t xml:space="preserve"> </w:t>
      </w:r>
      <w:r w:rsidR="00144DC2">
        <w:rPr>
          <w:rFonts w:hint="cs"/>
          <w:rtl/>
          <w:lang/>
        </w:rPr>
        <w:t xml:space="preserve">المدرسة </w:t>
      </w:r>
      <w:r>
        <w:rPr>
          <w:rFonts w:hint="cs"/>
          <w:rtl/>
          <w:lang/>
        </w:rPr>
        <w:t>الابتدائي</w:t>
      </w:r>
      <w:r w:rsidR="00144DC2">
        <w:rPr>
          <w:rFonts w:hint="cs"/>
          <w:rtl/>
          <w:lang/>
        </w:rPr>
        <w:t>ة</w:t>
      </w:r>
      <w:r>
        <w:rPr>
          <w:rFonts w:hint="cs"/>
          <w:rtl/>
          <w:lang/>
        </w:rPr>
        <w:t xml:space="preserve"> </w:t>
      </w:r>
      <w:r w:rsidR="00FB1FA9">
        <w:rPr>
          <w:rFonts w:hint="cs"/>
          <w:rtl/>
          <w:lang/>
        </w:rPr>
        <w:t>العامة</w:t>
      </w:r>
      <w:r w:rsidR="0048599E">
        <w:rPr>
          <w:rFonts w:hint="cs"/>
          <w:rtl/>
          <w:lang w:val="fr-CH"/>
        </w:rPr>
        <w:t xml:space="preserve"> في </w:t>
      </w:r>
      <w:proofErr w:type="spellStart"/>
      <w:r w:rsidR="0048599E">
        <w:rPr>
          <w:rFonts w:hint="cs"/>
          <w:rtl/>
          <w:lang w:val="fr-CH"/>
        </w:rPr>
        <w:t>ساريش</w:t>
      </w:r>
      <w:r>
        <w:rPr>
          <w:rFonts w:hint="cs"/>
          <w:rtl/>
          <w:lang w:val="fr-CH"/>
        </w:rPr>
        <w:t>كي</w:t>
      </w:r>
      <w:proofErr w:type="spellEnd"/>
      <w:r>
        <w:rPr>
          <w:rFonts w:hint="cs"/>
          <w:rtl/>
          <w:lang w:val="fr-CH"/>
        </w:rPr>
        <w:t xml:space="preserve"> </w:t>
      </w:r>
      <w:proofErr w:type="spellStart"/>
      <w:r>
        <w:rPr>
          <w:rFonts w:hint="cs"/>
          <w:rtl/>
          <w:lang w:val="fr-CH"/>
        </w:rPr>
        <w:t>ميشالاني</w:t>
      </w:r>
      <w:proofErr w:type="spellEnd"/>
      <w:r>
        <w:rPr>
          <w:rFonts w:hint="cs"/>
          <w:rtl/>
          <w:lang w:val="fr-CH"/>
        </w:rPr>
        <w:t>، يساور اللجنة القلق إزاء ما يلي:</w:t>
      </w:r>
    </w:p>
    <w:p w:rsidR="00684866" w:rsidRDefault="001E6C1C" w:rsidP="001E6C1C">
      <w:pPr>
        <w:pStyle w:val="SingleTxtGA"/>
        <w:rPr>
          <w:rFonts w:hint="cs"/>
          <w:rtl/>
          <w:lang w:val="fr-CH"/>
        </w:rPr>
      </w:pPr>
      <w:r>
        <w:rPr>
          <w:rFonts w:hint="cs"/>
          <w:rtl/>
          <w:lang w:val="fr-CH"/>
        </w:rPr>
        <w:tab/>
      </w:r>
      <w:r w:rsidR="00684866">
        <w:rPr>
          <w:rFonts w:hint="cs"/>
          <w:rtl/>
          <w:lang w:val="fr-CH"/>
        </w:rPr>
        <w:t>(أ)</w:t>
      </w:r>
      <w:r w:rsidR="00684866">
        <w:rPr>
          <w:rFonts w:hint="cs"/>
          <w:rtl/>
          <w:lang w:val="fr-CH"/>
        </w:rPr>
        <w:tab/>
        <w:t xml:space="preserve">مواصلة الفصل بين أطفال </w:t>
      </w:r>
      <w:proofErr w:type="spellStart"/>
      <w:r w:rsidR="00684866">
        <w:rPr>
          <w:rFonts w:hint="cs"/>
          <w:rtl/>
          <w:lang w:val="fr-CH"/>
        </w:rPr>
        <w:t>الروما</w:t>
      </w:r>
      <w:proofErr w:type="spellEnd"/>
      <w:r w:rsidR="00684866">
        <w:rPr>
          <w:rFonts w:hint="cs"/>
          <w:rtl/>
          <w:lang w:val="fr-CH"/>
        </w:rPr>
        <w:t xml:space="preserve"> وغيرهم من الأطفال بحكم الواقع في نظام التعليم </w:t>
      </w:r>
      <w:r w:rsidR="00AC1139">
        <w:rPr>
          <w:rFonts w:hint="cs"/>
          <w:rtl/>
          <w:lang w:val="fr-CH"/>
        </w:rPr>
        <w:t xml:space="preserve">من خلال </w:t>
      </w:r>
      <w:proofErr w:type="spellStart"/>
      <w:r w:rsidR="00AC1139">
        <w:rPr>
          <w:rFonts w:hint="cs"/>
          <w:rtl/>
          <w:lang w:val="fr-CH"/>
        </w:rPr>
        <w:t>ا</w:t>
      </w:r>
      <w:r w:rsidR="00684866">
        <w:rPr>
          <w:rFonts w:hint="cs"/>
          <w:rtl/>
          <w:lang w:val="fr-CH"/>
        </w:rPr>
        <w:t>تباع</w:t>
      </w:r>
      <w:proofErr w:type="spellEnd"/>
      <w:r w:rsidR="00684866">
        <w:rPr>
          <w:rFonts w:hint="cs"/>
          <w:rtl/>
          <w:lang w:val="fr-CH"/>
        </w:rPr>
        <w:t xml:space="preserve"> ممارسة تخصيص مدارس أو صفوف لطلاب </w:t>
      </w:r>
      <w:proofErr w:type="spellStart"/>
      <w:r w:rsidR="00684866">
        <w:rPr>
          <w:rFonts w:hint="cs"/>
          <w:rtl/>
          <w:lang w:val="fr-CH"/>
        </w:rPr>
        <w:t>الروما</w:t>
      </w:r>
      <w:proofErr w:type="spellEnd"/>
      <w:r w:rsidR="00684866">
        <w:rPr>
          <w:rFonts w:hint="cs"/>
          <w:rtl/>
          <w:lang w:val="fr-CH"/>
        </w:rPr>
        <w:t xml:space="preserve"> وحدهم؛</w:t>
      </w:r>
    </w:p>
    <w:p w:rsidR="00684866" w:rsidRDefault="008379FE" w:rsidP="000352D9">
      <w:pPr>
        <w:pStyle w:val="SingleTxtGA"/>
        <w:rPr>
          <w:rFonts w:hint="cs"/>
          <w:rtl/>
          <w:lang w:val="fr-CH"/>
        </w:rPr>
      </w:pPr>
      <w:r>
        <w:rPr>
          <w:rFonts w:hint="cs"/>
          <w:rtl/>
          <w:lang w:val="fr-CH"/>
        </w:rPr>
        <w:tab/>
      </w:r>
      <w:r w:rsidR="00684866">
        <w:rPr>
          <w:rFonts w:hint="cs"/>
          <w:rtl/>
          <w:lang w:val="fr-CH"/>
        </w:rPr>
        <w:t>(ب)</w:t>
      </w:r>
      <w:r w:rsidR="00684866">
        <w:rPr>
          <w:rFonts w:hint="cs"/>
          <w:rtl/>
          <w:lang w:val="fr-CH"/>
        </w:rPr>
        <w:tab/>
        <w:t xml:space="preserve">المعلومات التي تفيد بأن أعداد أطفال </w:t>
      </w:r>
      <w:proofErr w:type="spellStart"/>
      <w:r w:rsidR="00684866">
        <w:rPr>
          <w:rFonts w:hint="cs"/>
          <w:rtl/>
          <w:lang w:val="fr-CH"/>
        </w:rPr>
        <w:t>الروما</w:t>
      </w:r>
      <w:proofErr w:type="spellEnd"/>
      <w:r w:rsidR="00684866">
        <w:rPr>
          <w:rFonts w:hint="cs"/>
          <w:rtl/>
          <w:lang w:val="fr-CH"/>
        </w:rPr>
        <w:t xml:space="preserve"> تتجاوز إلى حد خطير أعداد غيرهم من الأطفال في الصفوف الخاصة وفي المدارس </w:t>
      </w:r>
      <w:r w:rsidR="000352D9">
        <w:rPr>
          <w:rFonts w:hint="cs"/>
          <w:rtl/>
          <w:lang w:val="fr-CH"/>
        </w:rPr>
        <w:t>"</w:t>
      </w:r>
      <w:r w:rsidR="00684866">
        <w:rPr>
          <w:rFonts w:hint="cs"/>
          <w:rtl/>
          <w:lang w:val="fr-CH"/>
        </w:rPr>
        <w:t xml:space="preserve">الخاصة" للأطفال المصابين بإعاقة </w:t>
      </w:r>
      <w:r w:rsidR="00E90140">
        <w:rPr>
          <w:rFonts w:hint="cs"/>
          <w:rtl/>
          <w:lang w:val="fr-CH"/>
        </w:rPr>
        <w:t>ذهنية</w:t>
      </w:r>
      <w:r w:rsidR="00684866">
        <w:rPr>
          <w:rFonts w:hint="cs"/>
          <w:rtl/>
          <w:lang w:val="fr-CH"/>
        </w:rPr>
        <w:t>؛ وكذلك المعلومات التي تفيد ب</w:t>
      </w:r>
      <w:r w:rsidR="003B5060">
        <w:rPr>
          <w:rFonts w:hint="cs"/>
          <w:rtl/>
          <w:lang w:val="fr-CH"/>
        </w:rPr>
        <w:t xml:space="preserve">أن </w:t>
      </w:r>
      <w:r w:rsidR="002A76D8">
        <w:rPr>
          <w:rFonts w:hint="cs"/>
          <w:rtl/>
          <w:lang w:val="fr-CH"/>
        </w:rPr>
        <w:t>ارتفاع المساهمات</w:t>
      </w:r>
      <w:r w:rsidR="00684866">
        <w:rPr>
          <w:rFonts w:hint="cs"/>
          <w:rtl/>
          <w:lang w:val="fr-CH"/>
        </w:rPr>
        <w:t xml:space="preserve"> المالية المقدمة إلى المدارس "الخاصة" </w:t>
      </w:r>
      <w:r w:rsidR="003D31C7">
        <w:rPr>
          <w:rFonts w:hint="cs"/>
          <w:rtl/>
          <w:lang w:val="fr-CH"/>
        </w:rPr>
        <w:t>للطلبة</w:t>
      </w:r>
      <w:r w:rsidR="00684866">
        <w:rPr>
          <w:rFonts w:hint="cs"/>
          <w:rtl/>
          <w:lang w:val="fr-CH"/>
        </w:rPr>
        <w:t xml:space="preserve"> المصابين بإعاقة </w:t>
      </w:r>
      <w:r w:rsidR="003D31C7">
        <w:rPr>
          <w:rFonts w:hint="cs"/>
          <w:rtl/>
          <w:lang w:val="fr-CH"/>
        </w:rPr>
        <w:t>ذهنية</w:t>
      </w:r>
      <w:r w:rsidR="00684866">
        <w:rPr>
          <w:rFonts w:hint="cs"/>
          <w:rtl/>
          <w:lang w:val="fr-CH"/>
        </w:rPr>
        <w:t xml:space="preserve"> بالمقارنة مع مدارس تعليم الأطفال </w:t>
      </w:r>
      <w:r w:rsidR="00CC77A9">
        <w:rPr>
          <w:rFonts w:hint="cs"/>
          <w:rtl/>
          <w:lang w:val="fr-CH"/>
        </w:rPr>
        <w:t>المنتمين لبيئة محرومة اجتماعياً</w:t>
      </w:r>
      <w:r w:rsidR="00684866">
        <w:rPr>
          <w:rFonts w:hint="cs"/>
          <w:rtl/>
          <w:lang w:val="fr-CH"/>
        </w:rPr>
        <w:t xml:space="preserve"> قد </w:t>
      </w:r>
      <w:r w:rsidR="00CC77A9">
        <w:rPr>
          <w:rFonts w:hint="cs"/>
          <w:rtl/>
          <w:lang w:val="fr-CH"/>
        </w:rPr>
        <w:t>ي</w:t>
      </w:r>
      <w:r w:rsidR="00684866">
        <w:rPr>
          <w:rFonts w:hint="cs"/>
          <w:rtl/>
          <w:lang w:val="fr-CH"/>
        </w:rPr>
        <w:t>فسر هذه الممارسة؛</w:t>
      </w:r>
    </w:p>
    <w:p w:rsidR="00684866" w:rsidRDefault="005A7B0C" w:rsidP="00733352">
      <w:pPr>
        <w:pStyle w:val="SingleTxtGA"/>
        <w:rPr>
          <w:rFonts w:hint="cs"/>
          <w:rtl/>
          <w:lang w:val="fr-CH"/>
        </w:rPr>
      </w:pPr>
      <w:r>
        <w:rPr>
          <w:rFonts w:hint="cs"/>
          <w:rtl/>
          <w:lang w:val="fr-CH"/>
        </w:rPr>
        <w:tab/>
      </w:r>
      <w:r w:rsidR="00684866">
        <w:rPr>
          <w:rFonts w:hint="cs"/>
          <w:rtl/>
          <w:lang w:val="fr-CH"/>
        </w:rPr>
        <w:t>(ج)</w:t>
      </w:r>
      <w:r w:rsidR="00684866">
        <w:rPr>
          <w:rFonts w:hint="cs"/>
          <w:rtl/>
          <w:lang w:val="fr-CH"/>
        </w:rPr>
        <w:tab/>
        <w:t xml:space="preserve">عدم </w:t>
      </w:r>
      <w:r w:rsidR="0085543A">
        <w:rPr>
          <w:rFonts w:hint="cs"/>
          <w:rtl/>
          <w:lang w:val="fr-CH"/>
        </w:rPr>
        <w:t>إنفاذ</w:t>
      </w:r>
      <w:r w:rsidR="00684866">
        <w:rPr>
          <w:rFonts w:hint="cs"/>
          <w:rtl/>
          <w:lang w:val="fr-CH"/>
        </w:rPr>
        <w:t xml:space="preserve"> قانون المدارس لعام 2008 وقانون مكافحة التمييز فيما يتعلق بالتمييز والفصل في نظام التعليم وكذلك عدم وجود تدابير واضحة </w:t>
      </w:r>
      <w:r w:rsidR="00733352">
        <w:rPr>
          <w:rFonts w:hint="cs"/>
          <w:rtl/>
          <w:lang w:val="fr-CH"/>
        </w:rPr>
        <w:t>للإنفاذ</w:t>
      </w:r>
      <w:r w:rsidR="00684866">
        <w:rPr>
          <w:rFonts w:hint="cs"/>
          <w:rtl/>
          <w:lang w:val="fr-CH"/>
        </w:rPr>
        <w:t>؛</w:t>
      </w:r>
    </w:p>
    <w:p w:rsidR="00684866" w:rsidRDefault="00E75763" w:rsidP="00135CFC">
      <w:pPr>
        <w:pStyle w:val="SingleTxtGA"/>
        <w:rPr>
          <w:rFonts w:hint="cs"/>
          <w:rtl/>
          <w:lang w:val="fr-CH"/>
        </w:rPr>
      </w:pPr>
      <w:r>
        <w:rPr>
          <w:rFonts w:hint="cs"/>
          <w:rtl/>
          <w:lang w:val="fr-CH"/>
        </w:rPr>
        <w:tab/>
      </w:r>
      <w:r w:rsidR="00684866">
        <w:rPr>
          <w:rFonts w:hint="cs"/>
          <w:rtl/>
          <w:lang w:val="fr-CH"/>
        </w:rPr>
        <w:t>(د)</w:t>
      </w:r>
      <w:r w:rsidR="00684866">
        <w:rPr>
          <w:rFonts w:hint="cs"/>
          <w:rtl/>
          <w:lang w:val="fr-CH"/>
        </w:rPr>
        <w:tab/>
        <w:t xml:space="preserve">المعلومات التي تفيد بأن </w:t>
      </w:r>
      <w:r w:rsidR="006A3954">
        <w:rPr>
          <w:rFonts w:hint="cs"/>
          <w:rtl/>
          <w:lang w:val="fr-CH"/>
        </w:rPr>
        <w:t>برنامج</w:t>
      </w:r>
      <w:r w:rsidR="00684866">
        <w:rPr>
          <w:rFonts w:hint="cs"/>
          <w:rtl/>
          <w:lang w:val="fr-CH"/>
        </w:rPr>
        <w:t xml:space="preserve"> </w:t>
      </w:r>
      <w:r w:rsidR="006A3954" w:rsidRPr="004D1928">
        <w:rPr>
          <w:rFonts w:hint="cs"/>
          <w:i/>
          <w:iCs/>
          <w:rtl/>
          <w:lang w:val="fr-CH"/>
        </w:rPr>
        <w:t>"الإصلاح</w:t>
      </w:r>
      <w:r w:rsidR="00684866" w:rsidRPr="004D1928">
        <w:rPr>
          <w:rFonts w:hint="cs"/>
          <w:i/>
          <w:iCs/>
          <w:rtl/>
          <w:lang w:val="fr-CH"/>
        </w:rPr>
        <w:t xml:space="preserve"> </w:t>
      </w:r>
      <w:r w:rsidR="006A3954" w:rsidRPr="004D1928">
        <w:rPr>
          <w:rFonts w:hint="cs"/>
          <w:i/>
          <w:iCs/>
          <w:rtl/>
          <w:lang w:val="fr-CH"/>
        </w:rPr>
        <w:t xml:space="preserve">المتعلق </w:t>
      </w:r>
      <w:proofErr w:type="spellStart"/>
      <w:r w:rsidR="006A3954" w:rsidRPr="004D1928">
        <w:rPr>
          <w:rFonts w:hint="cs"/>
          <w:i/>
          <w:iCs/>
          <w:rtl/>
          <w:lang w:val="fr-CH"/>
        </w:rPr>
        <w:t>ب</w:t>
      </w:r>
      <w:r w:rsidR="00684866" w:rsidRPr="004D1928">
        <w:rPr>
          <w:rFonts w:hint="cs"/>
          <w:i/>
          <w:iCs/>
          <w:rtl/>
          <w:lang w:val="fr-CH"/>
        </w:rPr>
        <w:t>الروما</w:t>
      </w:r>
      <w:proofErr w:type="spellEnd"/>
      <w:r w:rsidR="00684866" w:rsidRPr="004D1928">
        <w:rPr>
          <w:rFonts w:hint="cs"/>
          <w:i/>
          <w:iCs/>
          <w:rtl/>
          <w:lang w:val="fr-CH"/>
        </w:rPr>
        <w:t>"</w:t>
      </w:r>
      <w:r w:rsidR="00684866">
        <w:rPr>
          <w:rFonts w:hint="cs"/>
          <w:rtl/>
          <w:lang w:val="fr-CH"/>
        </w:rPr>
        <w:t xml:space="preserve"> الذي أعاد الأخذ بالتعليم الإلزامي قبل </w:t>
      </w:r>
      <w:r w:rsidR="00135CFC">
        <w:rPr>
          <w:rFonts w:hint="cs"/>
          <w:rtl/>
          <w:lang w:val="fr-CH"/>
        </w:rPr>
        <w:t xml:space="preserve">المدرسي </w:t>
      </w:r>
      <w:r w:rsidR="00684866">
        <w:rPr>
          <w:rFonts w:hint="cs"/>
          <w:rtl/>
          <w:lang w:val="fr-CH"/>
        </w:rPr>
        <w:t>للأطفال من الأسر المتأثرة بالاستبعاد الاجتماعي، قد يؤدي إلى التمييز والفصل (المواد 2 و3 و5).</w:t>
      </w:r>
    </w:p>
    <w:p w:rsidR="00684866" w:rsidRPr="004C7B8B" w:rsidRDefault="00684866" w:rsidP="004C7B8B">
      <w:pPr>
        <w:pStyle w:val="SingleTxtGA"/>
        <w:rPr>
          <w:rFonts w:hint="cs"/>
          <w:b/>
          <w:bCs/>
          <w:rtl/>
          <w:lang w:val="fr-CH"/>
        </w:rPr>
      </w:pPr>
      <w:r w:rsidRPr="004C7B8B">
        <w:rPr>
          <w:rFonts w:hint="cs"/>
          <w:b/>
          <w:bCs/>
          <w:rtl/>
          <w:lang w:val="fr-CH"/>
        </w:rPr>
        <w:tab/>
        <w:t xml:space="preserve">توصي اللجنة الدولة الطرف بتعزيز </w:t>
      </w:r>
      <w:r w:rsidR="004D1928">
        <w:rPr>
          <w:rFonts w:hint="cs"/>
          <w:b/>
          <w:bCs/>
          <w:rtl/>
          <w:lang w:val="fr-CH"/>
        </w:rPr>
        <w:t xml:space="preserve">أحكام </w:t>
      </w:r>
      <w:proofErr w:type="spellStart"/>
      <w:r w:rsidR="004D1928">
        <w:rPr>
          <w:rFonts w:hint="cs"/>
          <w:b/>
          <w:bCs/>
          <w:rtl/>
          <w:lang w:val="fr-CH"/>
        </w:rPr>
        <w:t>ا</w:t>
      </w:r>
      <w:r w:rsidRPr="004C7B8B">
        <w:rPr>
          <w:rFonts w:hint="cs"/>
          <w:b/>
          <w:bCs/>
          <w:rtl/>
          <w:lang w:val="fr-CH"/>
        </w:rPr>
        <w:t>ستراتيجية</w:t>
      </w:r>
      <w:proofErr w:type="spellEnd"/>
      <w:r w:rsidRPr="004C7B8B">
        <w:rPr>
          <w:rFonts w:hint="cs"/>
          <w:b/>
          <w:bCs/>
          <w:rtl/>
          <w:lang w:val="fr-CH"/>
        </w:rPr>
        <w:t xml:space="preserve"> إدماج </w:t>
      </w:r>
      <w:proofErr w:type="spellStart"/>
      <w:r w:rsidRPr="004C7B8B">
        <w:rPr>
          <w:rFonts w:hint="cs"/>
          <w:b/>
          <w:bCs/>
          <w:rtl/>
          <w:lang w:val="fr-CH"/>
        </w:rPr>
        <w:t>الروما</w:t>
      </w:r>
      <w:proofErr w:type="spellEnd"/>
      <w:r w:rsidRPr="004C7B8B">
        <w:rPr>
          <w:rFonts w:hint="cs"/>
          <w:b/>
          <w:bCs/>
          <w:rtl/>
          <w:lang w:val="fr-CH"/>
        </w:rPr>
        <w:t xml:space="preserve"> حتى</w:t>
      </w:r>
      <w:r w:rsidR="00D76E01">
        <w:rPr>
          <w:rFonts w:hint="cs"/>
          <w:b/>
          <w:bCs/>
          <w:rtl/>
          <w:lang w:val="fr-CH"/>
        </w:rPr>
        <w:t xml:space="preserve">          </w:t>
      </w:r>
      <w:r w:rsidRPr="004C7B8B">
        <w:rPr>
          <w:rFonts w:hint="cs"/>
          <w:b/>
          <w:bCs/>
          <w:rtl/>
          <w:lang w:val="fr-CH"/>
        </w:rPr>
        <w:t xml:space="preserve"> عام 20</w:t>
      </w:r>
      <w:r w:rsidR="00FD0272" w:rsidRPr="004C7B8B">
        <w:rPr>
          <w:rFonts w:hint="cs"/>
          <w:b/>
          <w:bCs/>
          <w:rtl/>
          <w:lang w:val="fr-CH"/>
        </w:rPr>
        <w:t>2</w:t>
      </w:r>
      <w:r w:rsidRPr="004C7B8B">
        <w:rPr>
          <w:rFonts w:hint="cs"/>
          <w:b/>
          <w:bCs/>
          <w:rtl/>
          <w:lang w:val="fr-CH"/>
        </w:rPr>
        <w:t xml:space="preserve">0 وخطة العمل الوطنية المنقحة لعقد إدماج </w:t>
      </w:r>
      <w:proofErr w:type="spellStart"/>
      <w:r w:rsidRPr="004C7B8B">
        <w:rPr>
          <w:rFonts w:hint="cs"/>
          <w:b/>
          <w:bCs/>
          <w:rtl/>
          <w:lang w:val="fr-CH"/>
        </w:rPr>
        <w:t>الروما</w:t>
      </w:r>
      <w:proofErr w:type="spellEnd"/>
      <w:r w:rsidRPr="004C7B8B">
        <w:rPr>
          <w:rFonts w:hint="cs"/>
          <w:b/>
          <w:bCs/>
          <w:rtl/>
          <w:lang w:val="fr-CH"/>
        </w:rPr>
        <w:t xml:space="preserve"> وضمان متابعتهما بفعالية. ولهذا الغرض، تطلب إلى الدولة الطرفة القيام بما يلي:</w:t>
      </w:r>
    </w:p>
    <w:p w:rsidR="00684866" w:rsidRPr="00BF1C17" w:rsidRDefault="00BF1C17" w:rsidP="00BF1C17">
      <w:pPr>
        <w:pStyle w:val="SingleTxtGA"/>
        <w:rPr>
          <w:rFonts w:hint="cs"/>
          <w:b/>
          <w:bCs/>
          <w:rtl/>
          <w:lang w:val="fr-CH"/>
        </w:rPr>
      </w:pPr>
      <w:r>
        <w:rPr>
          <w:rFonts w:hint="cs"/>
          <w:b/>
          <w:bCs/>
          <w:rtl/>
          <w:lang w:val="fr-CH"/>
        </w:rPr>
        <w:tab/>
      </w:r>
      <w:r w:rsidR="00684866" w:rsidRPr="00BF1C17">
        <w:rPr>
          <w:rFonts w:hint="cs"/>
          <w:b/>
          <w:bCs/>
          <w:rtl/>
          <w:lang w:val="fr-CH"/>
        </w:rPr>
        <w:t>(أ)</w:t>
      </w:r>
      <w:r w:rsidR="00684866" w:rsidRPr="00BF1C17">
        <w:rPr>
          <w:rFonts w:hint="cs"/>
          <w:b/>
          <w:bCs/>
          <w:rtl/>
          <w:lang w:val="fr-CH"/>
        </w:rPr>
        <w:tab/>
        <w:t xml:space="preserve">أن تتخذ جميع التدابير اللازمة للقضاء على ممارسة فصل أطفال </w:t>
      </w:r>
      <w:proofErr w:type="spellStart"/>
      <w:r w:rsidR="00684866" w:rsidRPr="00BF1C17">
        <w:rPr>
          <w:rFonts w:hint="cs"/>
          <w:b/>
          <w:bCs/>
          <w:rtl/>
          <w:lang w:val="fr-CH"/>
        </w:rPr>
        <w:t>الروما</w:t>
      </w:r>
      <w:proofErr w:type="spellEnd"/>
      <w:r w:rsidR="00684866" w:rsidRPr="00BF1C17">
        <w:rPr>
          <w:rFonts w:hint="cs"/>
          <w:b/>
          <w:bCs/>
          <w:rtl/>
          <w:lang w:val="fr-CH"/>
        </w:rPr>
        <w:t xml:space="preserve"> في نظام التعليم وضمان تمتعهم بفرص متساوية في الوصول إلى التعليم الجيد النوعية، وفقاً للتوصية العامة للجنة رقم 27(2000)؛</w:t>
      </w:r>
    </w:p>
    <w:p w:rsidR="00684866" w:rsidRPr="00BF1C17" w:rsidRDefault="00BF1C17" w:rsidP="00BF1C17">
      <w:pPr>
        <w:pStyle w:val="SingleTxtGA"/>
        <w:rPr>
          <w:rFonts w:hint="cs"/>
          <w:b/>
          <w:bCs/>
          <w:rtl/>
          <w:lang w:val="fr-CH"/>
        </w:rPr>
      </w:pPr>
      <w:r>
        <w:rPr>
          <w:rFonts w:hint="cs"/>
          <w:b/>
          <w:bCs/>
          <w:rtl/>
          <w:lang w:val="fr-CH"/>
        </w:rPr>
        <w:tab/>
      </w:r>
      <w:r w:rsidR="00684866" w:rsidRPr="00BF1C17">
        <w:rPr>
          <w:rFonts w:hint="cs"/>
          <w:b/>
          <w:bCs/>
          <w:rtl/>
          <w:lang w:val="fr-CH"/>
        </w:rPr>
        <w:t>(ب)</w:t>
      </w:r>
      <w:r w:rsidR="00684866" w:rsidRPr="00BF1C17">
        <w:rPr>
          <w:rFonts w:hint="cs"/>
          <w:b/>
          <w:bCs/>
          <w:rtl/>
          <w:lang w:val="fr-CH"/>
        </w:rPr>
        <w:tab/>
      </w:r>
      <w:r w:rsidR="00DE001A" w:rsidRPr="00BF1C17">
        <w:rPr>
          <w:rFonts w:hint="cs"/>
          <w:b/>
          <w:bCs/>
          <w:rtl/>
          <w:lang w:val="fr-CH"/>
        </w:rPr>
        <w:t xml:space="preserve">اعتماد </w:t>
      </w:r>
      <w:r w:rsidR="00684866" w:rsidRPr="00BF1C17">
        <w:rPr>
          <w:rFonts w:hint="cs"/>
          <w:b/>
          <w:bCs/>
          <w:rtl/>
          <w:lang w:val="fr-CH"/>
        </w:rPr>
        <w:t xml:space="preserve">أساليب وسبل للقضاء على التمثيل المفرط لطلاب </w:t>
      </w:r>
      <w:proofErr w:type="spellStart"/>
      <w:r w:rsidR="00684866" w:rsidRPr="00BF1C17">
        <w:rPr>
          <w:rFonts w:hint="cs"/>
          <w:b/>
          <w:bCs/>
          <w:rtl/>
          <w:lang w:val="fr-CH"/>
        </w:rPr>
        <w:t>الروما</w:t>
      </w:r>
      <w:proofErr w:type="spellEnd"/>
      <w:r w:rsidR="00684866" w:rsidRPr="00BF1C17">
        <w:rPr>
          <w:rFonts w:hint="cs"/>
          <w:b/>
          <w:bCs/>
          <w:rtl/>
          <w:lang w:val="fr-CH"/>
        </w:rPr>
        <w:t xml:space="preserve"> في الصفوف المتخصصة والمدارس الخاصة، من خلال التصدي للأسباب الجذرية لهذه الممارسة، وإدماجهم في التعليم النظامي؛ وزيادة الموارد البشرية والمالية لتعليم أفراد </w:t>
      </w:r>
      <w:proofErr w:type="spellStart"/>
      <w:r w:rsidR="00684866" w:rsidRPr="00BF1C17">
        <w:rPr>
          <w:rFonts w:hint="cs"/>
          <w:b/>
          <w:bCs/>
          <w:rtl/>
          <w:lang w:val="fr-CH"/>
        </w:rPr>
        <w:t>الروما</w:t>
      </w:r>
      <w:proofErr w:type="spellEnd"/>
      <w:r w:rsidR="00684866" w:rsidRPr="00BF1C17">
        <w:rPr>
          <w:rFonts w:hint="cs"/>
          <w:b/>
          <w:bCs/>
          <w:rtl/>
          <w:lang w:val="fr-CH"/>
        </w:rPr>
        <w:t xml:space="preserve">، بالإضافة إلى تنظيم التدريب للمعلمين </w:t>
      </w:r>
      <w:r w:rsidR="00064D5B" w:rsidRPr="00BF1C17">
        <w:rPr>
          <w:rFonts w:hint="cs"/>
          <w:b/>
          <w:bCs/>
          <w:rtl/>
          <w:lang w:val="fr-CH"/>
        </w:rPr>
        <w:t>والأخصائيين</w:t>
      </w:r>
      <w:r w:rsidR="00895B22">
        <w:rPr>
          <w:rFonts w:hint="cs"/>
          <w:b/>
          <w:bCs/>
          <w:rtl/>
          <w:lang w:val="fr-CH"/>
        </w:rPr>
        <w:t xml:space="preserve"> الاجتماعيين على حقوق </w:t>
      </w:r>
      <w:proofErr w:type="spellStart"/>
      <w:r w:rsidR="00895B22">
        <w:rPr>
          <w:rFonts w:hint="cs"/>
          <w:b/>
          <w:bCs/>
          <w:rtl/>
          <w:lang w:val="fr-CH"/>
        </w:rPr>
        <w:t>الروما</w:t>
      </w:r>
      <w:proofErr w:type="spellEnd"/>
      <w:r w:rsidR="00684866" w:rsidRPr="00BF1C17">
        <w:rPr>
          <w:rFonts w:hint="cs"/>
          <w:b/>
          <w:bCs/>
          <w:rtl/>
          <w:lang w:val="fr-CH"/>
        </w:rPr>
        <w:t>؛</w:t>
      </w:r>
    </w:p>
    <w:p w:rsidR="00684866" w:rsidRPr="00BF1C17" w:rsidRDefault="00BF1C17" w:rsidP="00BF1C17">
      <w:pPr>
        <w:pStyle w:val="SingleTxtGA"/>
        <w:rPr>
          <w:rFonts w:hint="cs"/>
          <w:b/>
          <w:bCs/>
          <w:rtl/>
          <w:lang w:val="fr-CH"/>
        </w:rPr>
      </w:pPr>
      <w:r>
        <w:rPr>
          <w:rFonts w:hint="cs"/>
          <w:b/>
          <w:bCs/>
          <w:rtl/>
          <w:lang w:val="fr-CH"/>
        </w:rPr>
        <w:tab/>
      </w:r>
      <w:r w:rsidR="00684866" w:rsidRPr="00BF1C17">
        <w:rPr>
          <w:rFonts w:hint="cs"/>
          <w:b/>
          <w:bCs/>
          <w:rtl/>
          <w:lang w:val="fr-CH"/>
        </w:rPr>
        <w:t>(ج)</w:t>
      </w:r>
      <w:r w:rsidR="00684866" w:rsidRPr="00BF1C17">
        <w:rPr>
          <w:rFonts w:hint="cs"/>
          <w:b/>
          <w:bCs/>
          <w:rtl/>
          <w:lang w:val="fr-CH"/>
        </w:rPr>
        <w:tab/>
        <w:t xml:space="preserve">اتخاذ تدابير </w:t>
      </w:r>
      <w:r w:rsidR="001256A1" w:rsidRPr="00BF1C17">
        <w:rPr>
          <w:rFonts w:hint="cs"/>
          <w:b/>
          <w:bCs/>
          <w:rtl/>
          <w:lang w:val="fr-CH"/>
        </w:rPr>
        <w:t>إنفاذ</w:t>
      </w:r>
      <w:r w:rsidR="00684866" w:rsidRPr="00BF1C17">
        <w:rPr>
          <w:rFonts w:hint="cs"/>
          <w:b/>
          <w:bCs/>
          <w:rtl/>
          <w:lang w:val="fr-CH"/>
        </w:rPr>
        <w:t xml:space="preserve"> لضمان التطبيق الفعال لقانوني المدارس ومكافحة التمييز، بما في ذلك من خلال نشرهما في المدارس وكذلك اتخاذ تدابير وقائية </w:t>
      </w:r>
      <w:r w:rsidR="00047074" w:rsidRPr="00BF1C17">
        <w:rPr>
          <w:rFonts w:hint="cs"/>
          <w:b/>
          <w:bCs/>
          <w:rtl/>
          <w:lang w:val="fr-CH"/>
        </w:rPr>
        <w:t xml:space="preserve">أخرى </w:t>
      </w:r>
      <w:r w:rsidR="00684866" w:rsidRPr="00BF1C17">
        <w:rPr>
          <w:rFonts w:hint="cs"/>
          <w:b/>
          <w:bCs/>
          <w:rtl/>
          <w:lang w:val="fr-CH"/>
        </w:rPr>
        <w:t>بغية وضع حد للفصل في التعليم، بحكم الواقع؛</w:t>
      </w:r>
    </w:p>
    <w:p w:rsidR="00684866" w:rsidRPr="00BF1C17" w:rsidRDefault="00BF1C17" w:rsidP="00BF1C17">
      <w:pPr>
        <w:pStyle w:val="SingleTxtGA"/>
        <w:rPr>
          <w:rFonts w:hint="cs"/>
          <w:b/>
          <w:bCs/>
          <w:rtl/>
          <w:lang w:val="fr-CH"/>
        </w:rPr>
      </w:pPr>
      <w:r>
        <w:rPr>
          <w:rFonts w:hint="cs"/>
          <w:b/>
          <w:bCs/>
          <w:rtl/>
          <w:lang w:val="fr-CH"/>
        </w:rPr>
        <w:tab/>
      </w:r>
      <w:r w:rsidR="00684866" w:rsidRPr="00BF1C17">
        <w:rPr>
          <w:rFonts w:hint="cs"/>
          <w:b/>
          <w:bCs/>
          <w:rtl/>
          <w:lang w:val="fr-CH"/>
        </w:rPr>
        <w:t>(د)</w:t>
      </w:r>
      <w:r w:rsidR="00684866" w:rsidRPr="00BF1C17">
        <w:rPr>
          <w:rFonts w:hint="cs"/>
          <w:b/>
          <w:bCs/>
          <w:rtl/>
          <w:lang w:val="fr-CH"/>
        </w:rPr>
        <w:tab/>
        <w:t xml:space="preserve">ضمان توفير التعليم </w:t>
      </w:r>
      <w:r w:rsidR="00286118" w:rsidRPr="00BF1C17">
        <w:rPr>
          <w:rFonts w:hint="cs"/>
          <w:b/>
          <w:bCs/>
          <w:rtl/>
          <w:lang w:val="fr-CH"/>
        </w:rPr>
        <w:t>الإلزامي</w:t>
      </w:r>
      <w:r w:rsidR="00684866" w:rsidRPr="00BF1C17">
        <w:rPr>
          <w:rFonts w:hint="cs"/>
          <w:b/>
          <w:bCs/>
          <w:rtl/>
          <w:lang w:val="fr-CH"/>
        </w:rPr>
        <w:t xml:space="preserve"> قبل المدرس</w:t>
      </w:r>
      <w:r w:rsidR="00286118" w:rsidRPr="00BF1C17">
        <w:rPr>
          <w:rFonts w:hint="cs"/>
          <w:b/>
          <w:bCs/>
          <w:rtl/>
          <w:lang w:val="fr-CH"/>
        </w:rPr>
        <w:t>ي</w:t>
      </w:r>
      <w:r w:rsidR="00684866" w:rsidRPr="00BF1C17">
        <w:rPr>
          <w:rFonts w:hint="cs"/>
          <w:b/>
          <w:bCs/>
          <w:rtl/>
          <w:lang w:val="fr-CH"/>
        </w:rPr>
        <w:t xml:space="preserve"> بطريقة تسمح بالقضاء على التفاوت بين أطفال المجموعات </w:t>
      </w:r>
      <w:proofErr w:type="spellStart"/>
      <w:r w:rsidR="00684866" w:rsidRPr="00BF1C17">
        <w:rPr>
          <w:rFonts w:hint="cs"/>
          <w:b/>
          <w:bCs/>
          <w:rtl/>
          <w:lang w:val="fr-CH"/>
        </w:rPr>
        <w:t>المهمشة</w:t>
      </w:r>
      <w:proofErr w:type="spellEnd"/>
      <w:r w:rsidR="00684866" w:rsidRPr="00BF1C17">
        <w:rPr>
          <w:rFonts w:hint="cs"/>
          <w:b/>
          <w:bCs/>
          <w:rtl/>
          <w:lang w:val="fr-CH"/>
        </w:rPr>
        <w:t xml:space="preserve"> وأطفال معظم السكان، بهدف منع الفصل في التعليم</w:t>
      </w:r>
      <w:r w:rsidR="007C7E42" w:rsidRPr="00BF1C17">
        <w:rPr>
          <w:rFonts w:hint="cs"/>
          <w:b/>
          <w:bCs/>
          <w:rtl/>
          <w:lang w:val="fr-CH"/>
        </w:rPr>
        <w:t xml:space="preserve"> مستقبلاً</w:t>
      </w:r>
      <w:r w:rsidR="00684866" w:rsidRPr="00BF1C17">
        <w:rPr>
          <w:rFonts w:hint="cs"/>
          <w:b/>
          <w:bCs/>
          <w:rtl/>
          <w:lang w:val="fr-CH"/>
        </w:rPr>
        <w:t>.</w:t>
      </w:r>
    </w:p>
    <w:p w:rsidR="00684866" w:rsidRPr="007B0CC7" w:rsidRDefault="00552F10" w:rsidP="00552F10">
      <w:pPr>
        <w:pStyle w:val="H23GA"/>
        <w:rPr>
          <w:rFonts w:hint="cs"/>
          <w:rtl/>
          <w:lang w:val="fr-CH"/>
        </w:rPr>
      </w:pPr>
      <w:r>
        <w:rPr>
          <w:rFonts w:hint="cs"/>
          <w:rtl/>
          <w:lang w:val="fr-CH"/>
        </w:rPr>
        <w:tab/>
      </w:r>
      <w:r>
        <w:rPr>
          <w:rFonts w:hint="cs"/>
          <w:rtl/>
          <w:lang w:val="fr-CH"/>
        </w:rPr>
        <w:tab/>
      </w:r>
      <w:r w:rsidR="00684866" w:rsidRPr="007B0CC7">
        <w:rPr>
          <w:rFonts w:hint="cs"/>
          <w:rtl/>
          <w:lang w:val="fr-CH"/>
        </w:rPr>
        <w:t xml:space="preserve">حق </w:t>
      </w:r>
      <w:r w:rsidR="00684866">
        <w:rPr>
          <w:rFonts w:hint="cs"/>
          <w:rtl/>
          <w:lang w:val="fr-CH"/>
        </w:rPr>
        <w:t>أفراد</w:t>
      </w:r>
      <w:r w:rsidR="00684866" w:rsidRPr="007B0CC7">
        <w:rPr>
          <w:rFonts w:hint="cs"/>
          <w:rtl/>
          <w:lang w:val="fr-CH"/>
        </w:rPr>
        <w:t xml:space="preserve"> </w:t>
      </w:r>
      <w:proofErr w:type="spellStart"/>
      <w:r w:rsidR="00684866" w:rsidRPr="007B0CC7">
        <w:rPr>
          <w:rFonts w:hint="cs"/>
          <w:rtl/>
          <w:lang w:val="fr-CH"/>
        </w:rPr>
        <w:t>الروما</w:t>
      </w:r>
      <w:proofErr w:type="spellEnd"/>
      <w:r w:rsidR="00684866">
        <w:rPr>
          <w:rFonts w:hint="cs"/>
          <w:rtl/>
          <w:lang w:val="fr-CH"/>
        </w:rPr>
        <w:t xml:space="preserve"> في السكن اللائق</w:t>
      </w:r>
    </w:p>
    <w:p w:rsidR="00684866" w:rsidRDefault="00684866" w:rsidP="00AD4675">
      <w:pPr>
        <w:pStyle w:val="SingleTxtGA"/>
        <w:rPr>
          <w:rFonts w:hint="cs"/>
          <w:rtl/>
          <w:lang w:val="fr-CH"/>
        </w:rPr>
      </w:pPr>
      <w:r>
        <w:rPr>
          <w:rFonts w:hint="cs"/>
          <w:rtl/>
          <w:lang w:val="fr-CH"/>
        </w:rPr>
        <w:t>12-</w:t>
      </w:r>
      <w:r>
        <w:rPr>
          <w:rFonts w:hint="cs"/>
          <w:rtl/>
          <w:lang w:val="fr-CH"/>
        </w:rPr>
        <w:tab/>
        <w:t>في ضوء بيان الدولة الطرف (</w:t>
      </w:r>
      <w:r w:rsidRPr="00E6137E">
        <w:t>CERD/C/SVK/9-10</w:t>
      </w:r>
      <w:r>
        <w:rPr>
          <w:rFonts w:hint="cs"/>
          <w:rtl/>
        </w:rPr>
        <w:t>، الفقرة 162</w:t>
      </w:r>
      <w:r>
        <w:rPr>
          <w:rFonts w:hint="cs"/>
          <w:rtl/>
          <w:lang w:val="fr-CH"/>
        </w:rPr>
        <w:t xml:space="preserve">) بأن عدم </w:t>
      </w:r>
      <w:r w:rsidR="003048A7">
        <w:rPr>
          <w:rFonts w:hint="cs"/>
          <w:rtl/>
          <w:lang w:val="fr-CH"/>
        </w:rPr>
        <w:t>إمكانية حصول</w:t>
      </w:r>
      <w:r>
        <w:rPr>
          <w:rFonts w:hint="cs"/>
          <w:rtl/>
          <w:lang w:val="fr-CH"/>
        </w:rPr>
        <w:t xml:space="preserve"> أفراد </w:t>
      </w:r>
      <w:proofErr w:type="spellStart"/>
      <w:r>
        <w:rPr>
          <w:rFonts w:hint="cs"/>
          <w:rtl/>
          <w:lang w:val="fr-CH"/>
        </w:rPr>
        <w:t>الروما</w:t>
      </w:r>
      <w:proofErr w:type="spellEnd"/>
      <w:r>
        <w:rPr>
          <w:rFonts w:hint="cs"/>
          <w:rtl/>
          <w:lang w:val="fr-CH"/>
        </w:rPr>
        <w:t xml:space="preserve"> </w:t>
      </w:r>
      <w:r w:rsidR="003048A7">
        <w:rPr>
          <w:rFonts w:hint="cs"/>
          <w:rtl/>
          <w:lang w:val="fr-CH"/>
        </w:rPr>
        <w:t xml:space="preserve">على </w:t>
      </w:r>
      <w:r>
        <w:rPr>
          <w:rFonts w:hint="cs"/>
          <w:rtl/>
          <w:lang w:val="fr-CH"/>
        </w:rPr>
        <w:t xml:space="preserve">السكن اللائق هو أكثر المشاكل خطورة التي لم تتغير إلى حد كبير منذ آخر </w:t>
      </w:r>
      <w:r w:rsidR="00285C33">
        <w:rPr>
          <w:rFonts w:hint="cs"/>
          <w:rtl/>
          <w:lang w:val="fr-CH"/>
        </w:rPr>
        <w:t>استعراض</w:t>
      </w:r>
      <w:r>
        <w:rPr>
          <w:rFonts w:hint="cs"/>
          <w:rtl/>
          <w:lang w:val="fr-CH"/>
        </w:rPr>
        <w:t>، تعرب اللجنة عن قلقها البالغ إزاء ما يلي:</w:t>
      </w:r>
    </w:p>
    <w:p w:rsidR="00684866" w:rsidRDefault="006A366C" w:rsidP="006A366C">
      <w:pPr>
        <w:pStyle w:val="SingleTxtGA"/>
        <w:rPr>
          <w:rFonts w:hint="cs"/>
          <w:rtl/>
          <w:lang w:val="fr-CH"/>
        </w:rPr>
      </w:pPr>
      <w:r>
        <w:rPr>
          <w:rFonts w:hint="cs"/>
          <w:rtl/>
          <w:lang w:val="fr-CH"/>
        </w:rPr>
        <w:tab/>
      </w:r>
      <w:r w:rsidR="00684866">
        <w:rPr>
          <w:rFonts w:hint="cs"/>
          <w:rtl/>
          <w:lang w:val="fr-CH"/>
        </w:rPr>
        <w:t>(أ)</w:t>
      </w:r>
      <w:r w:rsidR="00684866">
        <w:rPr>
          <w:rFonts w:hint="cs"/>
          <w:rtl/>
          <w:lang w:val="fr-CH"/>
        </w:rPr>
        <w:tab/>
      </w:r>
      <w:r w:rsidR="005D5CB8">
        <w:rPr>
          <w:rFonts w:hint="cs"/>
          <w:rtl/>
          <w:lang w:val="fr-CH"/>
        </w:rPr>
        <w:t>ال</w:t>
      </w:r>
      <w:r w:rsidR="00684866">
        <w:rPr>
          <w:rFonts w:hint="cs"/>
          <w:rtl/>
          <w:lang w:val="fr-CH"/>
        </w:rPr>
        <w:t xml:space="preserve">تدابير </w:t>
      </w:r>
      <w:r w:rsidR="005D5CB8">
        <w:rPr>
          <w:rFonts w:hint="cs"/>
          <w:rtl/>
          <w:lang w:val="fr-CH"/>
        </w:rPr>
        <w:t>ال</w:t>
      </w:r>
      <w:r w:rsidR="00684866">
        <w:rPr>
          <w:rFonts w:hint="cs"/>
          <w:rtl/>
          <w:lang w:val="fr-CH"/>
        </w:rPr>
        <w:t xml:space="preserve">محدودة </w:t>
      </w:r>
      <w:r w:rsidR="005D5CB8">
        <w:rPr>
          <w:rFonts w:hint="cs"/>
          <w:rtl/>
          <w:lang w:val="fr-CH"/>
        </w:rPr>
        <w:t xml:space="preserve">المتخذة </w:t>
      </w:r>
      <w:r w:rsidR="00684866">
        <w:rPr>
          <w:rFonts w:hint="cs"/>
          <w:rtl/>
          <w:lang w:val="fr-CH"/>
        </w:rPr>
        <w:t xml:space="preserve">من أجل تعزيز حق أفراد </w:t>
      </w:r>
      <w:proofErr w:type="spellStart"/>
      <w:r w:rsidR="00684866">
        <w:rPr>
          <w:rFonts w:hint="cs"/>
          <w:rtl/>
          <w:lang w:val="fr-CH"/>
        </w:rPr>
        <w:t>الروما</w:t>
      </w:r>
      <w:proofErr w:type="spellEnd"/>
      <w:r w:rsidR="00684866">
        <w:rPr>
          <w:rFonts w:hint="cs"/>
          <w:rtl/>
          <w:lang w:val="fr-CH"/>
        </w:rPr>
        <w:t xml:space="preserve"> في السكن اللائق ووضع حد للعزل المكاني؛ </w:t>
      </w:r>
      <w:r w:rsidR="00275F41">
        <w:rPr>
          <w:rFonts w:hint="cs"/>
          <w:rtl/>
          <w:lang w:val="fr-CH"/>
        </w:rPr>
        <w:t>وافتقار</w:t>
      </w:r>
      <w:r w:rsidR="00684866">
        <w:rPr>
          <w:rFonts w:hint="cs"/>
          <w:rtl/>
          <w:lang w:val="fr-CH"/>
        </w:rPr>
        <w:t xml:space="preserve"> بعض مستوطنات </w:t>
      </w:r>
      <w:proofErr w:type="spellStart"/>
      <w:r w:rsidR="00684866">
        <w:rPr>
          <w:rFonts w:hint="cs"/>
          <w:rtl/>
          <w:lang w:val="fr-CH"/>
        </w:rPr>
        <w:t>الروما</w:t>
      </w:r>
      <w:proofErr w:type="spellEnd"/>
      <w:r w:rsidR="00684866">
        <w:rPr>
          <w:rFonts w:hint="cs"/>
          <w:rtl/>
          <w:lang w:val="fr-CH"/>
        </w:rPr>
        <w:t xml:space="preserve">، ولا </w:t>
      </w:r>
      <w:proofErr w:type="spellStart"/>
      <w:r w:rsidR="00684866">
        <w:rPr>
          <w:rFonts w:hint="cs"/>
          <w:rtl/>
          <w:lang w:val="fr-CH"/>
        </w:rPr>
        <w:t>سيما</w:t>
      </w:r>
      <w:proofErr w:type="spellEnd"/>
      <w:r w:rsidR="00684866">
        <w:rPr>
          <w:rFonts w:hint="cs"/>
          <w:rtl/>
          <w:lang w:val="fr-CH"/>
        </w:rPr>
        <w:t xml:space="preserve"> في شرق</w:t>
      </w:r>
      <w:r w:rsidR="007E1E9C">
        <w:rPr>
          <w:rFonts w:hint="cs"/>
          <w:rtl/>
          <w:lang w:val="fr-CH"/>
        </w:rPr>
        <w:t>ي</w:t>
      </w:r>
      <w:r w:rsidR="00684866">
        <w:rPr>
          <w:rFonts w:hint="cs"/>
          <w:rtl/>
          <w:lang w:val="fr-CH"/>
        </w:rPr>
        <w:t xml:space="preserve"> سلوفاكيا</w:t>
      </w:r>
      <w:r w:rsidR="007E1E9C">
        <w:rPr>
          <w:rFonts w:hint="cs"/>
          <w:rtl/>
          <w:lang w:val="fr-CH"/>
        </w:rPr>
        <w:t xml:space="preserve">، </w:t>
      </w:r>
      <w:r w:rsidR="00684866">
        <w:rPr>
          <w:rFonts w:hint="cs"/>
          <w:rtl/>
          <w:lang w:val="fr-CH"/>
        </w:rPr>
        <w:t>للمرافق الأساسية مثل المرافق الصحية والكهرباء والماء الصالح للشرب ونظام الصرف الصحي والتخلص من النفايات؛</w:t>
      </w:r>
    </w:p>
    <w:p w:rsidR="00684866" w:rsidRDefault="00C13D4F" w:rsidP="00C13D4F">
      <w:pPr>
        <w:pStyle w:val="SingleTxtGA"/>
        <w:rPr>
          <w:rFonts w:hint="cs"/>
          <w:rtl/>
          <w:lang w:val="fr-CH"/>
        </w:rPr>
      </w:pPr>
      <w:r>
        <w:rPr>
          <w:rFonts w:hint="cs"/>
          <w:rtl/>
          <w:lang w:val="fr-CH"/>
        </w:rPr>
        <w:tab/>
      </w:r>
      <w:r w:rsidR="00684866">
        <w:rPr>
          <w:rFonts w:hint="cs"/>
          <w:rtl/>
          <w:lang w:val="fr-CH"/>
        </w:rPr>
        <w:t>(ب)</w:t>
      </w:r>
      <w:r w:rsidR="00684866">
        <w:rPr>
          <w:rFonts w:hint="cs"/>
          <w:rtl/>
          <w:lang w:val="fr-CH"/>
        </w:rPr>
        <w:tab/>
      </w:r>
      <w:r w:rsidR="00BA51B8">
        <w:rPr>
          <w:rFonts w:hint="cs"/>
          <w:rtl/>
          <w:lang w:val="fr-CH"/>
        </w:rPr>
        <w:t>ال</w:t>
      </w:r>
      <w:r w:rsidR="00684866">
        <w:rPr>
          <w:rFonts w:hint="cs"/>
          <w:rtl/>
          <w:lang w:val="fr-CH"/>
        </w:rPr>
        <w:t xml:space="preserve">جدران </w:t>
      </w:r>
      <w:r w:rsidR="00BA51B8">
        <w:rPr>
          <w:rFonts w:hint="cs"/>
          <w:rtl/>
          <w:lang w:val="fr-CH"/>
        </w:rPr>
        <w:t xml:space="preserve">والحواجز المقامة </w:t>
      </w:r>
      <w:r w:rsidR="00684866">
        <w:rPr>
          <w:rFonts w:hint="cs"/>
          <w:rtl/>
          <w:lang w:val="fr-CH"/>
        </w:rPr>
        <w:t>في بعض المناطق</w:t>
      </w:r>
      <w:r w:rsidR="00253388">
        <w:rPr>
          <w:rFonts w:hint="cs"/>
          <w:rtl/>
          <w:lang w:val="fr-CH"/>
        </w:rPr>
        <w:t>،</w:t>
      </w:r>
      <w:r w:rsidR="00684866">
        <w:rPr>
          <w:rFonts w:hint="cs"/>
          <w:rtl/>
          <w:lang w:val="fr-CH"/>
        </w:rPr>
        <w:t xml:space="preserve"> بما في ذلك في </w:t>
      </w:r>
      <w:proofErr w:type="spellStart"/>
      <w:r w:rsidR="00684866">
        <w:rPr>
          <w:rFonts w:hint="cs"/>
          <w:rtl/>
          <w:lang w:val="fr-CH"/>
        </w:rPr>
        <w:t>بري</w:t>
      </w:r>
      <w:r w:rsidR="00253388">
        <w:rPr>
          <w:rFonts w:hint="cs"/>
          <w:rtl/>
          <w:lang w:val="fr-CH"/>
        </w:rPr>
        <w:t>ش</w:t>
      </w:r>
      <w:r w:rsidR="00684866">
        <w:rPr>
          <w:rFonts w:hint="cs"/>
          <w:rtl/>
          <w:lang w:val="fr-CH"/>
        </w:rPr>
        <w:t>وف</w:t>
      </w:r>
      <w:proofErr w:type="spellEnd"/>
      <w:r w:rsidR="00684866">
        <w:rPr>
          <w:rFonts w:hint="cs"/>
          <w:rtl/>
          <w:lang w:val="fr-CH"/>
        </w:rPr>
        <w:t xml:space="preserve"> </w:t>
      </w:r>
      <w:proofErr w:type="spellStart"/>
      <w:r w:rsidR="00C13AAC">
        <w:rPr>
          <w:rFonts w:hint="cs"/>
          <w:rtl/>
          <w:lang w:val="fr-CH"/>
        </w:rPr>
        <w:t>وميغالوفتسي</w:t>
      </w:r>
      <w:proofErr w:type="spellEnd"/>
      <w:r w:rsidR="00C13AAC">
        <w:rPr>
          <w:rFonts w:hint="cs"/>
          <w:rtl/>
          <w:lang w:val="fr-CH"/>
        </w:rPr>
        <w:t xml:space="preserve"> </w:t>
      </w:r>
      <w:proofErr w:type="spellStart"/>
      <w:r w:rsidR="00684866">
        <w:rPr>
          <w:rFonts w:hint="cs"/>
          <w:rtl/>
          <w:lang w:val="fr-CH"/>
        </w:rPr>
        <w:t>وبارتيزانسكي</w:t>
      </w:r>
      <w:proofErr w:type="spellEnd"/>
      <w:r w:rsidR="00684866">
        <w:rPr>
          <w:rFonts w:hint="cs"/>
          <w:rtl/>
          <w:lang w:val="fr-CH"/>
        </w:rPr>
        <w:t xml:space="preserve"> </w:t>
      </w:r>
      <w:proofErr w:type="spellStart"/>
      <w:r w:rsidR="009320F3">
        <w:rPr>
          <w:rFonts w:hint="cs"/>
          <w:rtl/>
          <w:lang w:val="fr-CH"/>
        </w:rPr>
        <w:t>وتريبي</w:t>
      </w:r>
      <w:r w:rsidR="00D7709C">
        <w:rPr>
          <w:rFonts w:hint="cs"/>
          <w:rtl/>
          <w:lang w:val="fr-CH"/>
        </w:rPr>
        <w:t>ش</w:t>
      </w:r>
      <w:r w:rsidR="00684866">
        <w:rPr>
          <w:rFonts w:hint="cs"/>
          <w:rtl/>
          <w:lang w:val="fr-CH"/>
        </w:rPr>
        <w:t>وف</w:t>
      </w:r>
      <w:proofErr w:type="spellEnd"/>
      <w:r w:rsidR="00684866">
        <w:rPr>
          <w:rFonts w:hint="cs"/>
          <w:rtl/>
          <w:lang w:val="fr-CH"/>
        </w:rPr>
        <w:t xml:space="preserve">، لعزل </w:t>
      </w:r>
      <w:proofErr w:type="spellStart"/>
      <w:r w:rsidR="00684866">
        <w:rPr>
          <w:rFonts w:hint="cs"/>
          <w:rtl/>
          <w:lang w:val="fr-CH"/>
        </w:rPr>
        <w:t>الروما</w:t>
      </w:r>
      <w:proofErr w:type="spellEnd"/>
      <w:r w:rsidR="00684866">
        <w:rPr>
          <w:rFonts w:hint="cs"/>
          <w:rtl/>
          <w:lang w:val="fr-CH"/>
        </w:rPr>
        <w:t xml:space="preserve"> عن باقي السكان؛</w:t>
      </w:r>
    </w:p>
    <w:p w:rsidR="00684866" w:rsidRDefault="00C13D4F" w:rsidP="006659B8">
      <w:pPr>
        <w:pStyle w:val="SingleTxtGA"/>
        <w:rPr>
          <w:rFonts w:hint="cs"/>
          <w:rtl/>
          <w:lang w:val="fr-CH"/>
        </w:rPr>
      </w:pPr>
      <w:r>
        <w:rPr>
          <w:rFonts w:hint="cs"/>
          <w:rtl/>
          <w:lang w:val="fr-CH"/>
        </w:rPr>
        <w:tab/>
      </w:r>
      <w:r w:rsidR="00684866">
        <w:rPr>
          <w:rFonts w:hint="cs"/>
          <w:rtl/>
          <w:lang w:val="fr-CH"/>
        </w:rPr>
        <w:t>(ج)</w:t>
      </w:r>
      <w:r w:rsidR="00684866">
        <w:rPr>
          <w:rFonts w:hint="cs"/>
          <w:rtl/>
          <w:lang w:val="fr-CH"/>
        </w:rPr>
        <w:tab/>
      </w:r>
      <w:r w:rsidR="0017609F">
        <w:rPr>
          <w:rFonts w:hint="cs"/>
          <w:rtl/>
          <w:lang w:val="fr-CH"/>
        </w:rPr>
        <w:t xml:space="preserve">التدبير المقترح </w:t>
      </w:r>
      <w:r w:rsidR="00684866">
        <w:rPr>
          <w:rFonts w:hint="cs"/>
          <w:rtl/>
          <w:lang w:val="fr-CH"/>
        </w:rPr>
        <w:t xml:space="preserve">في برنامج </w:t>
      </w:r>
      <w:r w:rsidR="00684866">
        <w:rPr>
          <w:rFonts w:hint="cs"/>
          <w:i/>
          <w:iCs/>
          <w:rtl/>
          <w:lang w:val="fr-CH"/>
        </w:rPr>
        <w:t xml:space="preserve">الإصلاح المتعلق </w:t>
      </w:r>
      <w:proofErr w:type="spellStart"/>
      <w:r w:rsidR="00684866">
        <w:rPr>
          <w:rFonts w:hint="cs"/>
          <w:i/>
          <w:iCs/>
          <w:rtl/>
          <w:lang w:val="fr-CH"/>
        </w:rPr>
        <w:t>بالروما</w:t>
      </w:r>
      <w:proofErr w:type="spellEnd"/>
      <w:r w:rsidR="00684866">
        <w:rPr>
          <w:rFonts w:hint="cs"/>
          <w:rtl/>
          <w:lang w:val="fr-CH"/>
        </w:rPr>
        <w:t xml:space="preserve"> </w:t>
      </w:r>
      <w:r w:rsidR="00EA5C25">
        <w:rPr>
          <w:rFonts w:hint="cs"/>
          <w:rtl/>
          <w:lang w:val="fr-CH"/>
        </w:rPr>
        <w:t xml:space="preserve">بالسماح </w:t>
      </w:r>
      <w:r w:rsidR="00645427">
        <w:rPr>
          <w:rFonts w:hint="cs"/>
          <w:rtl/>
          <w:lang w:val="fr-CH"/>
        </w:rPr>
        <w:t xml:space="preserve">لهم </w:t>
      </w:r>
      <w:r w:rsidR="00E77877">
        <w:rPr>
          <w:rFonts w:hint="cs"/>
          <w:rtl/>
          <w:lang w:val="fr-CH"/>
        </w:rPr>
        <w:t xml:space="preserve">بشراء </w:t>
      </w:r>
      <w:r w:rsidR="00684866">
        <w:rPr>
          <w:rFonts w:hint="cs"/>
          <w:rtl/>
          <w:lang w:val="fr-CH"/>
        </w:rPr>
        <w:t>مساحات من الأرض في المستوطنات التي يقيمون فيها حالي</w:t>
      </w:r>
      <w:r w:rsidR="006D2174">
        <w:rPr>
          <w:rFonts w:hint="cs"/>
          <w:rtl/>
          <w:lang w:val="fr-CH"/>
        </w:rPr>
        <w:t>اً</w:t>
      </w:r>
      <w:r w:rsidR="00684866">
        <w:rPr>
          <w:rFonts w:hint="cs"/>
          <w:rtl/>
          <w:lang w:val="fr-CH"/>
        </w:rPr>
        <w:t xml:space="preserve"> بهدف تحسين ظروف معيشتهم،</w:t>
      </w:r>
      <w:r w:rsidR="008D292C">
        <w:rPr>
          <w:rFonts w:hint="cs"/>
          <w:rtl/>
          <w:lang w:val="fr-CH"/>
        </w:rPr>
        <w:t xml:space="preserve"> لأنه</w:t>
      </w:r>
      <w:r w:rsidR="00684866">
        <w:rPr>
          <w:rFonts w:hint="cs"/>
          <w:rtl/>
          <w:lang w:val="fr-CH"/>
        </w:rPr>
        <w:t xml:space="preserve"> قد يزيد من الفصل الذي تتعرض هذه المجموعة؛</w:t>
      </w:r>
    </w:p>
    <w:p w:rsidR="00684866" w:rsidRDefault="00C13D4F" w:rsidP="00C13D4F">
      <w:pPr>
        <w:pStyle w:val="SingleTxtGA"/>
        <w:rPr>
          <w:rFonts w:hint="cs"/>
          <w:rtl/>
          <w:lang w:val="fr-CH"/>
        </w:rPr>
      </w:pPr>
      <w:r>
        <w:rPr>
          <w:rFonts w:hint="cs"/>
          <w:rtl/>
          <w:lang w:val="fr-CH"/>
        </w:rPr>
        <w:tab/>
      </w:r>
      <w:r w:rsidR="00684866">
        <w:rPr>
          <w:rFonts w:hint="cs"/>
          <w:rtl/>
          <w:lang w:val="fr-CH"/>
        </w:rPr>
        <w:t>(د)</w:t>
      </w:r>
      <w:r w:rsidR="00684866">
        <w:rPr>
          <w:rFonts w:hint="cs"/>
          <w:rtl/>
          <w:lang w:val="fr-CH"/>
        </w:rPr>
        <w:tab/>
        <w:t xml:space="preserve">الإخلاء </w:t>
      </w:r>
      <w:proofErr w:type="spellStart"/>
      <w:r w:rsidR="00684866">
        <w:rPr>
          <w:rFonts w:hint="cs"/>
          <w:rtl/>
          <w:lang w:val="fr-CH"/>
        </w:rPr>
        <w:t>القسري</w:t>
      </w:r>
      <w:proofErr w:type="spellEnd"/>
      <w:r w:rsidR="00684866">
        <w:rPr>
          <w:rFonts w:hint="cs"/>
          <w:rtl/>
          <w:lang w:val="fr-CH"/>
        </w:rPr>
        <w:t xml:space="preserve"> وتهديم مستوطنات </w:t>
      </w:r>
      <w:proofErr w:type="spellStart"/>
      <w:r w:rsidR="00684866">
        <w:rPr>
          <w:rFonts w:hint="cs"/>
          <w:rtl/>
          <w:lang w:val="fr-CH"/>
        </w:rPr>
        <w:t>الروما</w:t>
      </w:r>
      <w:proofErr w:type="spellEnd"/>
      <w:r w:rsidR="00684866">
        <w:rPr>
          <w:rFonts w:hint="cs"/>
          <w:rtl/>
          <w:lang w:val="fr-CH"/>
        </w:rPr>
        <w:t xml:space="preserve"> دون تقديم بدائل إليهم. وتأسف اللجنة أيضاً لعدم تقديم معلومات محدثة عن أوضاع </w:t>
      </w:r>
      <w:proofErr w:type="spellStart"/>
      <w:r w:rsidR="00684866">
        <w:rPr>
          <w:rFonts w:hint="cs"/>
          <w:rtl/>
          <w:lang w:val="fr-CH"/>
        </w:rPr>
        <w:t>الروما</w:t>
      </w:r>
      <w:proofErr w:type="spellEnd"/>
      <w:r w:rsidR="00684866">
        <w:rPr>
          <w:rFonts w:hint="cs"/>
          <w:rtl/>
          <w:lang w:val="fr-CH"/>
        </w:rPr>
        <w:t xml:space="preserve"> من </w:t>
      </w:r>
      <w:proofErr w:type="spellStart"/>
      <w:r w:rsidR="00684866">
        <w:rPr>
          <w:rFonts w:hint="cs"/>
          <w:rtl/>
          <w:lang w:val="fr-CH"/>
        </w:rPr>
        <w:t>بلافيسكي</w:t>
      </w:r>
      <w:proofErr w:type="spellEnd"/>
      <w:r w:rsidR="00684866">
        <w:rPr>
          <w:rFonts w:hint="cs"/>
          <w:rtl/>
          <w:lang w:val="fr-CH"/>
        </w:rPr>
        <w:t xml:space="preserve"> </w:t>
      </w:r>
      <w:proofErr w:type="spellStart"/>
      <w:r w:rsidR="00684866">
        <w:rPr>
          <w:rFonts w:hint="cs"/>
          <w:rtl/>
          <w:lang w:val="fr-CH"/>
        </w:rPr>
        <w:t>ستفرتوك</w:t>
      </w:r>
      <w:proofErr w:type="spellEnd"/>
      <w:r w:rsidR="00ED5DB7">
        <w:rPr>
          <w:rFonts w:hint="cs"/>
          <w:rtl/>
          <w:lang w:val="fr-CH"/>
        </w:rPr>
        <w:t xml:space="preserve">       </w:t>
      </w:r>
      <w:r w:rsidR="00684866">
        <w:rPr>
          <w:rFonts w:hint="cs"/>
          <w:rtl/>
          <w:lang w:val="fr-CH"/>
        </w:rPr>
        <w:t xml:space="preserve"> (المواد 2 و3 و5).</w:t>
      </w:r>
    </w:p>
    <w:p w:rsidR="00684866" w:rsidRPr="007E7071" w:rsidRDefault="00684866" w:rsidP="00E03570">
      <w:pPr>
        <w:pStyle w:val="SingleTxtGA"/>
        <w:rPr>
          <w:rFonts w:hint="cs"/>
          <w:b/>
          <w:bCs/>
          <w:spacing w:val="-4"/>
          <w:rtl/>
          <w:lang w:val="fr-CH"/>
        </w:rPr>
      </w:pPr>
      <w:r w:rsidRPr="007E7071">
        <w:rPr>
          <w:rFonts w:hint="cs"/>
          <w:b/>
          <w:bCs/>
          <w:spacing w:val="-4"/>
          <w:rtl/>
          <w:lang w:val="fr-CH"/>
        </w:rPr>
        <w:tab/>
        <w:t>وتوصي اللجنة الدولة الطرف، في ضوء توصيتها العامة رقم 27(2000)، بما يلي:</w:t>
      </w:r>
    </w:p>
    <w:p w:rsidR="00684866" w:rsidRPr="000E5B9C" w:rsidRDefault="000E5B9C" w:rsidP="000E5B9C">
      <w:pPr>
        <w:pStyle w:val="SingleTxtGA"/>
        <w:rPr>
          <w:rFonts w:hint="cs"/>
          <w:b/>
          <w:bCs/>
          <w:rtl/>
          <w:lang w:val="fr-CH"/>
        </w:rPr>
      </w:pPr>
      <w:r w:rsidRPr="000E5B9C">
        <w:rPr>
          <w:rFonts w:hint="cs"/>
          <w:b/>
          <w:bCs/>
          <w:rtl/>
          <w:lang w:val="fr-CH"/>
        </w:rPr>
        <w:tab/>
      </w:r>
      <w:r w:rsidR="00684866" w:rsidRPr="000E5B9C">
        <w:rPr>
          <w:rFonts w:hint="cs"/>
          <w:b/>
          <w:bCs/>
          <w:rtl/>
          <w:lang w:val="fr-CH"/>
        </w:rPr>
        <w:t>(أ)</w:t>
      </w:r>
      <w:r w:rsidR="00684866" w:rsidRPr="000E5B9C">
        <w:rPr>
          <w:rFonts w:hint="cs"/>
          <w:b/>
          <w:bCs/>
          <w:rtl/>
          <w:lang w:val="fr-CH"/>
        </w:rPr>
        <w:tab/>
      </w:r>
      <w:r w:rsidRPr="000E5B9C">
        <w:rPr>
          <w:rFonts w:hint="cs"/>
          <w:b/>
          <w:bCs/>
          <w:rtl/>
          <w:lang w:val="fr-CH"/>
        </w:rPr>
        <w:t>التنفيذ الفعال</w:t>
      </w:r>
      <w:r w:rsidR="00684866" w:rsidRPr="000E5B9C">
        <w:rPr>
          <w:rFonts w:hint="cs"/>
          <w:b/>
          <w:bCs/>
          <w:rtl/>
          <w:lang w:val="fr-CH"/>
        </w:rPr>
        <w:t xml:space="preserve"> </w:t>
      </w:r>
      <w:r w:rsidRPr="000E5B9C">
        <w:rPr>
          <w:rFonts w:hint="cs"/>
          <w:b/>
          <w:bCs/>
          <w:rtl/>
          <w:lang w:val="fr-CH"/>
        </w:rPr>
        <w:t>ل</w:t>
      </w:r>
      <w:r w:rsidR="00684866" w:rsidRPr="000E5B9C">
        <w:rPr>
          <w:rFonts w:hint="cs"/>
          <w:b/>
          <w:bCs/>
          <w:rtl/>
          <w:lang w:val="fr-CH"/>
        </w:rPr>
        <w:t>خطة العمل الوطنية ا</w:t>
      </w:r>
      <w:r w:rsidRPr="000E5B9C">
        <w:rPr>
          <w:rFonts w:hint="cs"/>
          <w:b/>
          <w:bCs/>
          <w:rtl/>
          <w:lang w:val="fr-CH"/>
        </w:rPr>
        <w:t xml:space="preserve">لمنقحة وإستراتيجية إدماج </w:t>
      </w:r>
      <w:proofErr w:type="spellStart"/>
      <w:r w:rsidRPr="000E5B9C">
        <w:rPr>
          <w:rFonts w:hint="cs"/>
          <w:b/>
          <w:bCs/>
          <w:rtl/>
          <w:lang w:val="fr-CH"/>
        </w:rPr>
        <w:t>الروما</w:t>
      </w:r>
      <w:proofErr w:type="spellEnd"/>
      <w:r w:rsidR="00684866" w:rsidRPr="000E5B9C">
        <w:rPr>
          <w:rFonts w:hint="cs"/>
          <w:b/>
          <w:bCs/>
          <w:rtl/>
          <w:lang w:val="fr-CH"/>
        </w:rPr>
        <w:t xml:space="preserve"> من خلال ضمان الحق في السكن اللائق لأفراد </w:t>
      </w:r>
      <w:proofErr w:type="spellStart"/>
      <w:r w:rsidR="00684866" w:rsidRPr="000E5B9C">
        <w:rPr>
          <w:rFonts w:hint="cs"/>
          <w:b/>
          <w:bCs/>
          <w:rtl/>
          <w:lang w:val="fr-CH"/>
        </w:rPr>
        <w:t>الروما</w:t>
      </w:r>
      <w:proofErr w:type="spellEnd"/>
      <w:r w:rsidR="00684866" w:rsidRPr="000E5B9C">
        <w:rPr>
          <w:rFonts w:hint="cs"/>
          <w:b/>
          <w:bCs/>
          <w:rtl/>
          <w:lang w:val="fr-CH"/>
        </w:rPr>
        <w:t xml:space="preserve"> دون تمييز وعزل</w:t>
      </w:r>
      <w:r w:rsidRPr="000E5B9C">
        <w:rPr>
          <w:rFonts w:hint="cs"/>
          <w:b/>
          <w:bCs/>
          <w:rtl/>
          <w:lang w:val="fr-CH"/>
        </w:rPr>
        <w:t>،</w:t>
      </w:r>
      <w:r w:rsidR="00684866" w:rsidRPr="000E5B9C">
        <w:rPr>
          <w:rFonts w:hint="cs"/>
          <w:b/>
          <w:bCs/>
          <w:rtl/>
          <w:lang w:val="fr-CH"/>
        </w:rPr>
        <w:t xml:space="preserve"> نظراً لأهمية هذا الحق </w:t>
      </w:r>
      <w:r w:rsidRPr="000E5B9C">
        <w:rPr>
          <w:rFonts w:hint="cs"/>
          <w:b/>
          <w:bCs/>
          <w:rtl/>
          <w:lang w:val="fr-CH"/>
        </w:rPr>
        <w:t xml:space="preserve">في </w:t>
      </w:r>
      <w:r w:rsidR="00684866" w:rsidRPr="000E5B9C">
        <w:rPr>
          <w:rFonts w:hint="cs"/>
          <w:b/>
          <w:bCs/>
          <w:rtl/>
          <w:lang w:val="fr-CH"/>
        </w:rPr>
        <w:t xml:space="preserve">تمتعهم بغيره من الحقوق </w:t>
      </w:r>
      <w:r w:rsidRPr="000E5B9C">
        <w:rPr>
          <w:rFonts w:hint="cs"/>
          <w:b/>
          <w:bCs/>
          <w:rtl/>
          <w:lang w:val="fr-CH"/>
        </w:rPr>
        <w:t xml:space="preserve">المكرسة </w:t>
      </w:r>
      <w:r w:rsidR="00684866" w:rsidRPr="000E5B9C">
        <w:rPr>
          <w:rFonts w:hint="cs"/>
          <w:b/>
          <w:bCs/>
          <w:rtl/>
          <w:lang w:val="fr-CH"/>
        </w:rPr>
        <w:t xml:space="preserve">في الاتفاقية، ولا </w:t>
      </w:r>
      <w:proofErr w:type="spellStart"/>
      <w:r w:rsidR="00684866" w:rsidRPr="000E5B9C">
        <w:rPr>
          <w:rFonts w:hint="cs"/>
          <w:b/>
          <w:bCs/>
          <w:rtl/>
          <w:lang w:val="fr-CH"/>
        </w:rPr>
        <w:t>سيما</w:t>
      </w:r>
      <w:proofErr w:type="spellEnd"/>
      <w:r w:rsidR="00684866" w:rsidRPr="000E5B9C">
        <w:rPr>
          <w:rFonts w:hint="cs"/>
          <w:b/>
          <w:bCs/>
          <w:rtl/>
          <w:lang w:val="fr-CH"/>
        </w:rPr>
        <w:t xml:space="preserve"> الحق في الصحة والتعليم والعمل؛</w:t>
      </w:r>
    </w:p>
    <w:p w:rsidR="00684866" w:rsidRPr="00182191" w:rsidRDefault="00182191" w:rsidP="00182191">
      <w:pPr>
        <w:pStyle w:val="SingleTxtGA"/>
        <w:rPr>
          <w:rFonts w:hint="cs"/>
          <w:b/>
          <w:bCs/>
          <w:rtl/>
          <w:lang w:val="fr-CH"/>
        </w:rPr>
      </w:pPr>
      <w:r w:rsidRPr="00182191">
        <w:rPr>
          <w:rFonts w:hint="cs"/>
          <w:b/>
          <w:bCs/>
          <w:rtl/>
          <w:lang w:val="fr-CH"/>
        </w:rPr>
        <w:tab/>
      </w:r>
      <w:r w:rsidR="00684866" w:rsidRPr="00182191">
        <w:rPr>
          <w:rFonts w:hint="cs"/>
          <w:b/>
          <w:bCs/>
          <w:rtl/>
          <w:lang w:val="fr-CH"/>
        </w:rPr>
        <w:t>(ب)</w:t>
      </w:r>
      <w:r w:rsidR="00684866" w:rsidRPr="00182191">
        <w:rPr>
          <w:rFonts w:hint="cs"/>
          <w:b/>
          <w:bCs/>
          <w:rtl/>
          <w:lang w:val="fr-CH"/>
        </w:rPr>
        <w:tab/>
        <w:t xml:space="preserve">ضمان مشاركة أفراد </w:t>
      </w:r>
      <w:proofErr w:type="spellStart"/>
      <w:r w:rsidR="00684866" w:rsidRPr="00182191">
        <w:rPr>
          <w:rFonts w:hint="cs"/>
          <w:b/>
          <w:bCs/>
          <w:rtl/>
          <w:lang w:val="fr-CH"/>
        </w:rPr>
        <w:t>الروما</w:t>
      </w:r>
      <w:proofErr w:type="spellEnd"/>
      <w:r w:rsidR="00684866" w:rsidRPr="00182191">
        <w:rPr>
          <w:rFonts w:hint="cs"/>
          <w:b/>
          <w:bCs/>
          <w:rtl/>
          <w:lang w:val="fr-CH"/>
        </w:rPr>
        <w:t xml:space="preserve"> والجمعيات التي تمثلهم، إلى جانب باقي السكان، في مشاريع بناء المساكن وإعادة التأهيل والصيانة؛ وتعزيز الحوار فيما بين الثقافات الرامي إلى التصدي </w:t>
      </w:r>
      <w:r w:rsidRPr="00182191">
        <w:rPr>
          <w:rFonts w:hint="cs"/>
          <w:b/>
          <w:bCs/>
          <w:rtl/>
          <w:lang w:val="fr-CH"/>
        </w:rPr>
        <w:t>ل</w:t>
      </w:r>
      <w:r w:rsidR="00684866" w:rsidRPr="00182191">
        <w:rPr>
          <w:rFonts w:hint="cs"/>
          <w:b/>
          <w:bCs/>
          <w:rtl/>
          <w:lang w:val="fr-CH"/>
        </w:rPr>
        <w:t>لشعور بعدم الثقة المتغلغل</w:t>
      </w:r>
      <w:r w:rsidRPr="00182191">
        <w:rPr>
          <w:rFonts w:hint="cs"/>
          <w:b/>
          <w:bCs/>
          <w:rtl/>
          <w:lang w:val="fr-CH"/>
        </w:rPr>
        <w:t>ة</w:t>
      </w:r>
      <w:r w:rsidR="00684866" w:rsidRPr="00182191">
        <w:rPr>
          <w:rFonts w:hint="cs"/>
          <w:b/>
          <w:bCs/>
          <w:rtl/>
          <w:lang w:val="fr-CH"/>
        </w:rPr>
        <w:t xml:space="preserve"> جذوره والذي يظهر من خلال بناء جدران لفصل </w:t>
      </w:r>
      <w:proofErr w:type="spellStart"/>
      <w:r w:rsidR="00684866" w:rsidRPr="00182191">
        <w:rPr>
          <w:rFonts w:hint="cs"/>
          <w:b/>
          <w:bCs/>
          <w:rtl/>
          <w:lang w:val="fr-CH"/>
        </w:rPr>
        <w:t>الروما</w:t>
      </w:r>
      <w:proofErr w:type="spellEnd"/>
      <w:r w:rsidR="00684866" w:rsidRPr="00182191">
        <w:rPr>
          <w:rFonts w:hint="cs"/>
          <w:b/>
          <w:bCs/>
          <w:rtl/>
          <w:lang w:val="fr-CH"/>
        </w:rPr>
        <w:t xml:space="preserve"> عن غيرهم من السكان؛</w:t>
      </w:r>
    </w:p>
    <w:p w:rsidR="00684866" w:rsidRPr="00426D1A" w:rsidRDefault="00426D1A" w:rsidP="00426D1A">
      <w:pPr>
        <w:pStyle w:val="SingleTxtGA"/>
        <w:rPr>
          <w:rFonts w:hint="cs"/>
          <w:b/>
          <w:bCs/>
          <w:rtl/>
          <w:lang w:val="fr-CH"/>
        </w:rPr>
      </w:pPr>
      <w:r w:rsidRPr="00426D1A">
        <w:rPr>
          <w:rFonts w:hint="cs"/>
          <w:b/>
          <w:bCs/>
          <w:rtl/>
          <w:lang w:val="fr-CH"/>
        </w:rPr>
        <w:tab/>
      </w:r>
      <w:r w:rsidR="00684866" w:rsidRPr="00426D1A">
        <w:rPr>
          <w:rFonts w:hint="cs"/>
          <w:b/>
          <w:bCs/>
          <w:rtl/>
          <w:lang w:val="fr-CH"/>
        </w:rPr>
        <w:t>(ج)</w:t>
      </w:r>
      <w:r w:rsidR="00684866" w:rsidRPr="00426D1A">
        <w:rPr>
          <w:rFonts w:hint="cs"/>
          <w:b/>
          <w:bCs/>
          <w:rtl/>
          <w:lang w:val="fr-CH"/>
        </w:rPr>
        <w:tab/>
        <w:t xml:space="preserve">ضمان بذل جميع الجهود الرامية إلى تيسير </w:t>
      </w:r>
      <w:r w:rsidR="001A533B" w:rsidRPr="00426D1A">
        <w:rPr>
          <w:rFonts w:hint="cs"/>
          <w:b/>
          <w:bCs/>
          <w:rtl/>
          <w:lang w:val="fr-CH"/>
        </w:rPr>
        <w:t xml:space="preserve">الحصول على </w:t>
      </w:r>
      <w:r w:rsidR="00684866" w:rsidRPr="00426D1A">
        <w:rPr>
          <w:rFonts w:hint="cs"/>
          <w:b/>
          <w:bCs/>
          <w:rtl/>
          <w:lang w:val="fr-CH"/>
        </w:rPr>
        <w:t xml:space="preserve">السكن اللائق وتحسين ظروف معيشة أفراد </w:t>
      </w:r>
      <w:proofErr w:type="spellStart"/>
      <w:r w:rsidR="00013028" w:rsidRPr="00426D1A">
        <w:rPr>
          <w:rFonts w:hint="cs"/>
          <w:b/>
          <w:bCs/>
          <w:rtl/>
          <w:lang w:val="fr-CH"/>
        </w:rPr>
        <w:t>الروما</w:t>
      </w:r>
      <w:proofErr w:type="spellEnd"/>
      <w:r w:rsidR="00684866" w:rsidRPr="00426D1A">
        <w:rPr>
          <w:rFonts w:hint="cs"/>
          <w:b/>
          <w:bCs/>
          <w:rtl/>
          <w:lang w:val="fr-CH"/>
        </w:rPr>
        <w:t xml:space="preserve"> بالتعاون مع</w:t>
      </w:r>
      <w:r w:rsidR="00AF6A3D" w:rsidRPr="00426D1A">
        <w:rPr>
          <w:rFonts w:hint="cs"/>
          <w:b/>
          <w:bCs/>
          <w:rtl/>
          <w:lang w:val="fr-CH"/>
        </w:rPr>
        <w:t>هم</w:t>
      </w:r>
      <w:r w:rsidR="00684866" w:rsidRPr="00426D1A">
        <w:rPr>
          <w:rFonts w:hint="cs"/>
          <w:b/>
          <w:bCs/>
          <w:rtl/>
          <w:lang w:val="fr-CH"/>
        </w:rPr>
        <w:t xml:space="preserve"> و</w:t>
      </w:r>
      <w:r w:rsidR="00AF6A3D" w:rsidRPr="00426D1A">
        <w:rPr>
          <w:rFonts w:hint="cs"/>
          <w:b/>
          <w:bCs/>
          <w:rtl/>
          <w:lang w:val="fr-CH"/>
        </w:rPr>
        <w:t xml:space="preserve">مع </w:t>
      </w:r>
      <w:r w:rsidR="00684866" w:rsidRPr="00426D1A">
        <w:rPr>
          <w:rFonts w:hint="cs"/>
          <w:b/>
          <w:bCs/>
          <w:rtl/>
          <w:lang w:val="fr-CH"/>
        </w:rPr>
        <w:t>المنظمات التي تمثلهم</w:t>
      </w:r>
      <w:r w:rsidR="004008E9" w:rsidRPr="00426D1A">
        <w:rPr>
          <w:rFonts w:hint="cs"/>
          <w:b/>
          <w:bCs/>
          <w:rtl/>
          <w:lang w:val="fr-CH"/>
        </w:rPr>
        <w:t>،</w:t>
      </w:r>
      <w:r w:rsidR="00684866" w:rsidRPr="00426D1A">
        <w:rPr>
          <w:rFonts w:hint="cs"/>
          <w:b/>
          <w:bCs/>
          <w:rtl/>
          <w:lang w:val="fr-CH"/>
        </w:rPr>
        <w:t xml:space="preserve"> وبذل مزيد من الجهود للقضاء على الفصل في </w:t>
      </w:r>
      <w:r w:rsidR="004008E9" w:rsidRPr="00426D1A">
        <w:rPr>
          <w:rFonts w:hint="cs"/>
          <w:b/>
          <w:bCs/>
          <w:rtl/>
          <w:lang w:val="fr-CH"/>
        </w:rPr>
        <w:t>السكن</w:t>
      </w:r>
      <w:r w:rsidR="00684866" w:rsidRPr="00426D1A">
        <w:rPr>
          <w:rFonts w:hint="cs"/>
          <w:b/>
          <w:bCs/>
          <w:rtl/>
          <w:lang w:val="fr-CH"/>
        </w:rPr>
        <w:t xml:space="preserve"> مع مراعاة التوصية العامة للجنة </w:t>
      </w:r>
      <w:r w:rsidR="00150C45">
        <w:rPr>
          <w:rFonts w:hint="cs"/>
          <w:b/>
          <w:bCs/>
          <w:rtl/>
          <w:lang w:val="fr-CH"/>
        </w:rPr>
        <w:t xml:space="preserve">            </w:t>
      </w:r>
      <w:r w:rsidR="00684866" w:rsidRPr="00426D1A">
        <w:rPr>
          <w:rFonts w:hint="cs"/>
          <w:b/>
          <w:bCs/>
          <w:rtl/>
          <w:lang w:val="fr-CH"/>
        </w:rPr>
        <w:t>رقم 19(1995) المتعلقة بالعزل العنصري والفصل العنصري؛</w:t>
      </w:r>
    </w:p>
    <w:p w:rsidR="00684866" w:rsidRPr="003232AA" w:rsidRDefault="003232AA" w:rsidP="003232AA">
      <w:pPr>
        <w:pStyle w:val="SingleTxtGA"/>
        <w:rPr>
          <w:rFonts w:hint="cs"/>
          <w:b/>
          <w:bCs/>
          <w:rtl/>
          <w:lang w:val="fr-CH"/>
        </w:rPr>
      </w:pPr>
      <w:r w:rsidRPr="003232AA">
        <w:rPr>
          <w:rFonts w:hint="cs"/>
          <w:b/>
          <w:bCs/>
          <w:rtl/>
          <w:lang w:val="fr-CH"/>
        </w:rPr>
        <w:tab/>
      </w:r>
      <w:r w:rsidR="00684866" w:rsidRPr="003232AA">
        <w:rPr>
          <w:rFonts w:hint="cs"/>
          <w:b/>
          <w:bCs/>
          <w:rtl/>
          <w:lang w:val="fr-CH"/>
        </w:rPr>
        <w:t>(د)</w:t>
      </w:r>
      <w:r w:rsidR="00684866" w:rsidRPr="003232AA">
        <w:rPr>
          <w:rFonts w:hint="cs"/>
          <w:b/>
          <w:bCs/>
          <w:rtl/>
          <w:lang w:val="fr-CH"/>
        </w:rPr>
        <w:tab/>
        <w:t xml:space="preserve">وضع حد لحالات </w:t>
      </w:r>
      <w:r w:rsidR="00AB3062" w:rsidRPr="003232AA">
        <w:rPr>
          <w:rFonts w:hint="cs"/>
          <w:b/>
          <w:bCs/>
          <w:rtl/>
          <w:lang w:val="fr-CH"/>
        </w:rPr>
        <w:t>الإخلاء</w:t>
      </w:r>
      <w:r w:rsidR="00684866" w:rsidRPr="003232AA">
        <w:rPr>
          <w:rFonts w:hint="cs"/>
          <w:b/>
          <w:bCs/>
          <w:rtl/>
          <w:lang w:val="fr-CH"/>
        </w:rPr>
        <w:t xml:space="preserve"> </w:t>
      </w:r>
      <w:proofErr w:type="spellStart"/>
      <w:r w:rsidR="00684866" w:rsidRPr="003232AA">
        <w:rPr>
          <w:rFonts w:hint="cs"/>
          <w:b/>
          <w:bCs/>
          <w:rtl/>
          <w:lang w:val="fr-CH"/>
        </w:rPr>
        <w:t>القسري</w:t>
      </w:r>
      <w:proofErr w:type="spellEnd"/>
      <w:r w:rsidR="00684866" w:rsidRPr="003232AA">
        <w:rPr>
          <w:rFonts w:hint="cs"/>
          <w:b/>
          <w:bCs/>
          <w:rtl/>
          <w:lang w:val="fr-CH"/>
        </w:rPr>
        <w:t xml:space="preserve"> وتهديم مستوطنات </w:t>
      </w:r>
      <w:proofErr w:type="spellStart"/>
      <w:r w:rsidR="00684866" w:rsidRPr="003232AA">
        <w:rPr>
          <w:rFonts w:hint="cs"/>
          <w:b/>
          <w:bCs/>
          <w:rtl/>
          <w:lang w:val="fr-CH"/>
        </w:rPr>
        <w:t>الروما</w:t>
      </w:r>
      <w:proofErr w:type="spellEnd"/>
      <w:r w:rsidR="00684866" w:rsidRPr="003232AA">
        <w:rPr>
          <w:rFonts w:hint="cs"/>
          <w:b/>
          <w:bCs/>
          <w:rtl/>
          <w:lang w:val="fr-CH"/>
        </w:rPr>
        <w:t xml:space="preserve"> دون إخطار مسبق والقيام عندما تكون مثل هذه العمليات للتهديم ضرورية بتوفير حلول سكنية بديلة كافية ومناسبة </w:t>
      </w:r>
      <w:r w:rsidR="00BE6407" w:rsidRPr="003232AA">
        <w:rPr>
          <w:rFonts w:hint="cs"/>
          <w:b/>
          <w:bCs/>
          <w:rtl/>
          <w:lang w:val="fr-CH"/>
        </w:rPr>
        <w:t>لهم</w:t>
      </w:r>
      <w:r w:rsidR="00684866" w:rsidRPr="003232AA">
        <w:rPr>
          <w:rFonts w:hint="cs"/>
          <w:b/>
          <w:bCs/>
          <w:rtl/>
          <w:lang w:val="fr-CH"/>
        </w:rPr>
        <w:t xml:space="preserve">، وتضمين تقريرها الدوري المقبل أية تدابير تُتخذ </w:t>
      </w:r>
      <w:r w:rsidR="00A10BD5" w:rsidRPr="003232AA">
        <w:rPr>
          <w:rFonts w:hint="cs"/>
          <w:b/>
          <w:bCs/>
          <w:rtl/>
          <w:lang w:val="fr-CH"/>
        </w:rPr>
        <w:t>لمعالجة</w:t>
      </w:r>
      <w:r w:rsidR="00684866" w:rsidRPr="003232AA">
        <w:rPr>
          <w:rFonts w:hint="cs"/>
          <w:b/>
          <w:bCs/>
          <w:rtl/>
          <w:lang w:val="fr-CH"/>
        </w:rPr>
        <w:t xml:space="preserve"> حالة </w:t>
      </w:r>
      <w:proofErr w:type="spellStart"/>
      <w:r w:rsidR="00684866" w:rsidRPr="003232AA">
        <w:rPr>
          <w:rFonts w:hint="cs"/>
          <w:b/>
          <w:bCs/>
          <w:rtl/>
          <w:lang w:val="fr-CH"/>
        </w:rPr>
        <w:t>الروما</w:t>
      </w:r>
      <w:proofErr w:type="spellEnd"/>
      <w:r w:rsidR="00684866" w:rsidRPr="003232AA">
        <w:rPr>
          <w:rFonts w:hint="cs"/>
          <w:b/>
          <w:bCs/>
          <w:rtl/>
          <w:lang w:val="fr-CH"/>
        </w:rPr>
        <w:t xml:space="preserve"> في </w:t>
      </w:r>
      <w:proofErr w:type="spellStart"/>
      <w:r w:rsidR="00684866" w:rsidRPr="003232AA">
        <w:rPr>
          <w:rFonts w:hint="cs"/>
          <w:b/>
          <w:bCs/>
          <w:rtl/>
          <w:lang w:val="fr-CH"/>
        </w:rPr>
        <w:t>بلافيسكي</w:t>
      </w:r>
      <w:proofErr w:type="spellEnd"/>
      <w:r w:rsidR="00684866" w:rsidRPr="003232AA">
        <w:rPr>
          <w:rFonts w:hint="cs"/>
          <w:b/>
          <w:bCs/>
          <w:rtl/>
          <w:lang w:val="fr-CH"/>
        </w:rPr>
        <w:t xml:space="preserve"> </w:t>
      </w:r>
      <w:proofErr w:type="spellStart"/>
      <w:r w:rsidR="00684866" w:rsidRPr="003232AA">
        <w:rPr>
          <w:rFonts w:hint="cs"/>
          <w:b/>
          <w:bCs/>
          <w:rtl/>
          <w:lang w:val="fr-CH"/>
        </w:rPr>
        <w:t>ستفرتوك</w:t>
      </w:r>
      <w:proofErr w:type="spellEnd"/>
      <w:r w:rsidR="00684866" w:rsidRPr="003232AA">
        <w:rPr>
          <w:rFonts w:hint="cs"/>
          <w:b/>
          <w:bCs/>
          <w:rtl/>
          <w:lang w:val="fr-CH"/>
        </w:rPr>
        <w:t>.</w:t>
      </w:r>
    </w:p>
    <w:p w:rsidR="00684866" w:rsidRPr="007B0CC7" w:rsidRDefault="003232AA" w:rsidP="003232AA">
      <w:pPr>
        <w:pStyle w:val="H23GA"/>
        <w:rPr>
          <w:rFonts w:hint="cs"/>
          <w:rtl/>
          <w:lang w:val="fr-CH"/>
        </w:rPr>
      </w:pPr>
      <w:r>
        <w:rPr>
          <w:rFonts w:hint="cs"/>
          <w:rtl/>
          <w:lang w:val="fr-CH"/>
        </w:rPr>
        <w:tab/>
      </w:r>
      <w:r>
        <w:rPr>
          <w:rFonts w:hint="cs"/>
          <w:rtl/>
          <w:lang w:val="fr-CH"/>
        </w:rPr>
        <w:tab/>
      </w:r>
      <w:r w:rsidR="00684866" w:rsidRPr="007B0CC7">
        <w:rPr>
          <w:rFonts w:hint="cs"/>
          <w:rtl/>
          <w:lang w:val="fr-CH"/>
        </w:rPr>
        <w:t xml:space="preserve">تعقيم نساء </w:t>
      </w:r>
      <w:proofErr w:type="spellStart"/>
      <w:r w:rsidR="00684866" w:rsidRPr="007B0CC7">
        <w:rPr>
          <w:rFonts w:hint="cs"/>
          <w:rtl/>
          <w:lang w:val="fr-CH"/>
        </w:rPr>
        <w:t>الروما</w:t>
      </w:r>
      <w:proofErr w:type="spellEnd"/>
      <w:r w:rsidR="00684866" w:rsidRPr="007B0CC7">
        <w:rPr>
          <w:rFonts w:hint="cs"/>
          <w:rtl/>
          <w:lang w:val="fr-CH"/>
        </w:rPr>
        <w:t xml:space="preserve"> دون موافقتهن الكاملة والمستنيرة</w:t>
      </w:r>
    </w:p>
    <w:p w:rsidR="00684866" w:rsidRDefault="00684866" w:rsidP="003245A9">
      <w:pPr>
        <w:pStyle w:val="SingleTxtGA"/>
        <w:rPr>
          <w:rFonts w:hint="cs"/>
          <w:rtl/>
          <w:lang w:val="fr-CH"/>
        </w:rPr>
      </w:pPr>
      <w:r>
        <w:rPr>
          <w:rFonts w:hint="cs"/>
          <w:rtl/>
          <w:lang w:val="fr-CH"/>
        </w:rPr>
        <w:t>13-</w:t>
      </w:r>
      <w:r>
        <w:rPr>
          <w:rFonts w:hint="cs"/>
          <w:rtl/>
          <w:lang w:val="fr-CH"/>
        </w:rPr>
        <w:tab/>
        <w:t xml:space="preserve">فيما </w:t>
      </w:r>
      <w:r w:rsidR="009C6F7F">
        <w:rPr>
          <w:rFonts w:hint="cs"/>
          <w:rtl/>
          <w:lang w:val="fr-CH"/>
        </w:rPr>
        <w:t>تحيط</w:t>
      </w:r>
      <w:r>
        <w:rPr>
          <w:rFonts w:hint="cs"/>
          <w:rtl/>
          <w:lang w:val="fr-CH"/>
        </w:rPr>
        <w:t xml:space="preserve"> اللجنة علماً بثلاثة أحكام صادرة عن المحكمة الأوروبية لحقوق الإنسان ضد سلوفاكيا بشأن التعقيم </w:t>
      </w:r>
      <w:proofErr w:type="spellStart"/>
      <w:r>
        <w:rPr>
          <w:rFonts w:hint="cs"/>
          <w:rtl/>
          <w:lang w:val="fr-CH"/>
        </w:rPr>
        <w:t>القسري</w:t>
      </w:r>
      <w:proofErr w:type="spellEnd"/>
      <w:r>
        <w:rPr>
          <w:rFonts w:hint="cs"/>
          <w:rtl/>
          <w:lang w:val="fr-CH"/>
        </w:rPr>
        <w:t xml:space="preserve"> لنساء </w:t>
      </w:r>
      <w:proofErr w:type="spellStart"/>
      <w:r>
        <w:rPr>
          <w:rFonts w:hint="cs"/>
          <w:rtl/>
          <w:lang w:val="fr-CH"/>
        </w:rPr>
        <w:t>الروما</w:t>
      </w:r>
      <w:proofErr w:type="spellEnd"/>
      <w:r>
        <w:rPr>
          <w:rFonts w:hint="cs"/>
          <w:rtl/>
          <w:lang w:val="fr-CH"/>
        </w:rPr>
        <w:t xml:space="preserve">، </w:t>
      </w:r>
      <w:r w:rsidR="00556CEA">
        <w:rPr>
          <w:rFonts w:hint="cs"/>
          <w:rtl/>
          <w:lang w:val="fr-CH"/>
        </w:rPr>
        <w:t>فإ</w:t>
      </w:r>
      <w:r w:rsidR="004E7EED">
        <w:rPr>
          <w:rFonts w:hint="cs"/>
          <w:rtl/>
          <w:lang w:val="fr-CH"/>
        </w:rPr>
        <w:t>ن</w:t>
      </w:r>
      <w:r w:rsidR="00414269">
        <w:rPr>
          <w:rFonts w:hint="cs"/>
          <w:rtl/>
          <w:lang w:val="fr-CH"/>
        </w:rPr>
        <w:t>ها توجه</w:t>
      </w:r>
      <w:r>
        <w:rPr>
          <w:rFonts w:hint="cs"/>
          <w:rtl/>
          <w:lang w:val="fr-CH"/>
        </w:rPr>
        <w:t xml:space="preserve"> الانتباه إلى عدم قيام الدولة الطرف بتحقيق فعال في هذه الممارسة، في جميع أنحاء البلاد، وعدم تعويض الضحايا </w:t>
      </w:r>
      <w:r w:rsidR="003245A9">
        <w:rPr>
          <w:rFonts w:hint="cs"/>
          <w:rtl/>
          <w:lang w:val="fr-CH"/>
        </w:rPr>
        <w:t xml:space="preserve">         </w:t>
      </w:r>
      <w:r>
        <w:rPr>
          <w:rFonts w:hint="cs"/>
          <w:rtl/>
          <w:lang w:val="fr-CH"/>
        </w:rPr>
        <w:t>(المواد 2 و3 و6).</w:t>
      </w:r>
    </w:p>
    <w:p w:rsidR="00684866" w:rsidRPr="004B2DAB" w:rsidRDefault="00684866" w:rsidP="004B2DAB">
      <w:pPr>
        <w:pStyle w:val="SingleTxtGA"/>
        <w:rPr>
          <w:rFonts w:hint="cs"/>
          <w:b/>
          <w:bCs/>
          <w:rtl/>
          <w:lang w:val="fr-CH"/>
        </w:rPr>
      </w:pPr>
      <w:r w:rsidRPr="004B2DAB">
        <w:rPr>
          <w:rFonts w:hint="cs"/>
          <w:b/>
          <w:bCs/>
          <w:rtl/>
          <w:lang w:val="fr-CH"/>
        </w:rPr>
        <w:tab/>
        <w:t xml:space="preserve">توصي اللجنة الدولة الطرف بأن تنفذ بالكامل القرارات الأخيرة الصادرة عن المحكمة الأوروبية لحقوق الإنسان وبأن تكفل تقديم الجبر والتعويض الكاملين لجميع ضحايا هذه الممارسات. وتحث اللجنة الدولة الطرف على أن تجري تحقيقاً شاملاً في جميع حالات التعقيم </w:t>
      </w:r>
      <w:proofErr w:type="spellStart"/>
      <w:r w:rsidRPr="004B2DAB">
        <w:rPr>
          <w:rFonts w:hint="cs"/>
          <w:b/>
          <w:bCs/>
          <w:rtl/>
          <w:lang w:val="fr-CH"/>
        </w:rPr>
        <w:t>القسري</w:t>
      </w:r>
      <w:proofErr w:type="spellEnd"/>
      <w:r w:rsidRPr="004B2DAB">
        <w:rPr>
          <w:rFonts w:hint="cs"/>
          <w:b/>
          <w:bCs/>
          <w:rtl/>
          <w:lang w:val="fr-CH"/>
        </w:rPr>
        <w:t xml:space="preserve"> لنساء </w:t>
      </w:r>
      <w:proofErr w:type="spellStart"/>
      <w:r w:rsidRPr="004B2DAB">
        <w:rPr>
          <w:rFonts w:hint="cs"/>
          <w:b/>
          <w:bCs/>
          <w:rtl/>
          <w:lang w:val="fr-CH"/>
        </w:rPr>
        <w:t>الروما</w:t>
      </w:r>
      <w:proofErr w:type="spellEnd"/>
      <w:r w:rsidRPr="004B2DAB">
        <w:rPr>
          <w:rFonts w:hint="cs"/>
          <w:b/>
          <w:bCs/>
          <w:rtl/>
          <w:lang w:val="fr-CH"/>
        </w:rPr>
        <w:t xml:space="preserve"> ومقاضاة </w:t>
      </w:r>
      <w:proofErr w:type="spellStart"/>
      <w:r w:rsidRPr="004B2DAB">
        <w:rPr>
          <w:rFonts w:hint="cs"/>
          <w:b/>
          <w:bCs/>
          <w:rtl/>
          <w:lang w:val="fr-CH"/>
        </w:rPr>
        <w:t>المسؤولين</w:t>
      </w:r>
      <w:proofErr w:type="spellEnd"/>
      <w:r w:rsidRPr="004B2DAB">
        <w:rPr>
          <w:rFonts w:hint="cs"/>
          <w:b/>
          <w:bCs/>
          <w:rtl/>
          <w:lang w:val="fr-CH"/>
        </w:rPr>
        <w:t xml:space="preserve"> عنها. ومع مراعاة التوصية العامة للجنة رقم 25(2000) بشأن أبعاد التمييز العنصري المتعلقة بنوع الجنس، تشجع اللجنة الدولة الطرف على اعتماد تدابير مناسبة تشمل تنفيذ مرسوم عام 2012 المتعلق بحالات التعقيم غير القانوني للنساء وتنظيم تدريب خاص لجميع الموظفين الطبيين عن كيفية الحصول على موافقة مستنيرة قبل إجراء التعقيم، وتوعية الموظفين الطبيين بشأن احترام تنوع أفراد مجتمع </w:t>
      </w:r>
      <w:proofErr w:type="spellStart"/>
      <w:r w:rsidRPr="004B2DAB">
        <w:rPr>
          <w:rFonts w:hint="cs"/>
          <w:b/>
          <w:bCs/>
          <w:rtl/>
          <w:lang w:val="fr-CH"/>
        </w:rPr>
        <w:t>الروما</w:t>
      </w:r>
      <w:proofErr w:type="spellEnd"/>
      <w:r w:rsidRPr="004B2DAB">
        <w:rPr>
          <w:rFonts w:hint="cs"/>
          <w:b/>
          <w:bCs/>
          <w:rtl/>
          <w:lang w:val="fr-CH"/>
        </w:rPr>
        <w:t>.</w:t>
      </w:r>
    </w:p>
    <w:p w:rsidR="00684866" w:rsidRPr="007B0CC7" w:rsidRDefault="00376BCD" w:rsidP="00376BCD">
      <w:pPr>
        <w:pStyle w:val="H23GA"/>
        <w:rPr>
          <w:rFonts w:hint="cs"/>
          <w:rtl/>
          <w:lang w:val="fr-CH"/>
        </w:rPr>
      </w:pPr>
      <w:r>
        <w:rPr>
          <w:rFonts w:hint="cs"/>
          <w:rtl/>
          <w:lang w:val="fr-CH"/>
        </w:rPr>
        <w:tab/>
      </w:r>
      <w:r>
        <w:rPr>
          <w:rFonts w:hint="cs"/>
          <w:rtl/>
          <w:lang w:val="fr-CH"/>
        </w:rPr>
        <w:tab/>
      </w:r>
      <w:r w:rsidR="00684866" w:rsidRPr="007B0CC7">
        <w:rPr>
          <w:rFonts w:hint="cs"/>
          <w:rtl/>
          <w:lang w:val="fr-CH"/>
        </w:rPr>
        <w:t xml:space="preserve">أنشطة </w:t>
      </w:r>
      <w:r>
        <w:rPr>
          <w:rFonts w:hint="cs"/>
          <w:rtl/>
          <w:lang w:val="fr-CH"/>
        </w:rPr>
        <w:t xml:space="preserve">التوعية بشأن </w:t>
      </w:r>
      <w:r w:rsidR="00684866" w:rsidRPr="007B0CC7">
        <w:rPr>
          <w:rFonts w:hint="cs"/>
          <w:rtl/>
          <w:lang w:val="fr-CH"/>
        </w:rPr>
        <w:t>حقوق الإنسان والاتفاقية</w:t>
      </w:r>
    </w:p>
    <w:p w:rsidR="00684866" w:rsidRDefault="00684866" w:rsidP="00F27325">
      <w:pPr>
        <w:pStyle w:val="SingleTxtGA"/>
        <w:rPr>
          <w:rFonts w:hint="cs"/>
          <w:rtl/>
          <w:lang w:val="fr-CH"/>
        </w:rPr>
      </w:pPr>
      <w:r>
        <w:rPr>
          <w:rFonts w:hint="cs"/>
          <w:rtl/>
          <w:lang w:val="fr-CH"/>
        </w:rPr>
        <w:t>14-</w:t>
      </w:r>
      <w:r>
        <w:rPr>
          <w:rFonts w:hint="cs"/>
          <w:rtl/>
          <w:lang w:val="fr-CH"/>
        </w:rPr>
        <w:tab/>
        <w:t xml:space="preserve">تلاحظ اللجنة أن غالبية السكان لا تزال تنظر بصورة سلبية إلى الأقليات ولا </w:t>
      </w:r>
      <w:proofErr w:type="spellStart"/>
      <w:r>
        <w:rPr>
          <w:rFonts w:hint="cs"/>
          <w:rtl/>
          <w:lang w:val="fr-CH"/>
        </w:rPr>
        <w:t>سيما</w:t>
      </w:r>
      <w:proofErr w:type="spellEnd"/>
      <w:r>
        <w:rPr>
          <w:rFonts w:hint="cs"/>
          <w:rtl/>
          <w:lang w:val="fr-CH"/>
        </w:rPr>
        <w:t xml:space="preserve"> </w:t>
      </w:r>
      <w:proofErr w:type="spellStart"/>
      <w:r>
        <w:rPr>
          <w:rFonts w:hint="cs"/>
          <w:rtl/>
          <w:lang w:val="fr-CH"/>
        </w:rPr>
        <w:t>الروما</w:t>
      </w:r>
      <w:proofErr w:type="spellEnd"/>
      <w:r>
        <w:rPr>
          <w:rFonts w:hint="cs"/>
          <w:rtl/>
          <w:lang w:val="fr-CH"/>
        </w:rPr>
        <w:t xml:space="preserve"> (المادة 7).</w:t>
      </w:r>
    </w:p>
    <w:p w:rsidR="00684866" w:rsidRPr="00646256" w:rsidRDefault="00684866" w:rsidP="00646256">
      <w:pPr>
        <w:pStyle w:val="SingleTxtGA"/>
        <w:rPr>
          <w:rFonts w:hint="cs"/>
          <w:b/>
          <w:bCs/>
          <w:rtl/>
          <w:lang w:val="fr-CH"/>
        </w:rPr>
      </w:pPr>
      <w:r w:rsidRPr="00646256">
        <w:rPr>
          <w:rFonts w:hint="cs"/>
          <w:b/>
          <w:bCs/>
          <w:rtl/>
          <w:lang w:val="fr-CH"/>
        </w:rPr>
        <w:tab/>
        <w:t xml:space="preserve">توصي اللجنة الدولة الطرف بتنظيم مزيد من الدورات التدريبية في مجال حقوق الإنسان لتعزيز </w:t>
      </w:r>
      <w:r w:rsidR="00B657E6" w:rsidRPr="00646256">
        <w:rPr>
          <w:rFonts w:hint="cs"/>
          <w:b/>
          <w:bCs/>
          <w:rtl/>
          <w:lang w:val="fr-CH"/>
        </w:rPr>
        <w:t>التوعية</w:t>
      </w:r>
      <w:r w:rsidRPr="00646256">
        <w:rPr>
          <w:rFonts w:hint="cs"/>
          <w:b/>
          <w:bCs/>
          <w:rtl/>
          <w:lang w:val="fr-CH"/>
        </w:rPr>
        <w:t xml:space="preserve"> بالتسامح والحوار فيما بين </w:t>
      </w:r>
      <w:proofErr w:type="spellStart"/>
      <w:r w:rsidRPr="00646256">
        <w:rPr>
          <w:rFonts w:hint="cs"/>
          <w:b/>
          <w:bCs/>
          <w:rtl/>
          <w:lang w:val="fr-CH"/>
        </w:rPr>
        <w:t>الإثنيات</w:t>
      </w:r>
      <w:proofErr w:type="spellEnd"/>
      <w:r w:rsidRPr="00646256">
        <w:rPr>
          <w:rFonts w:hint="cs"/>
          <w:b/>
          <w:bCs/>
          <w:rtl/>
          <w:lang w:val="fr-CH"/>
        </w:rPr>
        <w:t xml:space="preserve"> والانسجام، لصالح الموظفين المكلفين بإنفاذ القوانين والقضاة والمعلمين والموظفين الطبيين </w:t>
      </w:r>
      <w:r w:rsidR="00646256" w:rsidRPr="00646256">
        <w:rPr>
          <w:rFonts w:hint="cs"/>
          <w:b/>
          <w:bCs/>
          <w:rtl/>
          <w:lang w:val="fr-CH"/>
        </w:rPr>
        <w:t>والأخصائيين</w:t>
      </w:r>
      <w:r w:rsidRPr="00646256">
        <w:rPr>
          <w:rFonts w:hint="cs"/>
          <w:b/>
          <w:bCs/>
          <w:rtl/>
          <w:lang w:val="fr-CH"/>
        </w:rPr>
        <w:t xml:space="preserve"> الاجتماعيين بصفة خاصة.</w:t>
      </w:r>
    </w:p>
    <w:p w:rsidR="00684866" w:rsidRPr="007B0CC7" w:rsidRDefault="006166D7" w:rsidP="006166D7">
      <w:pPr>
        <w:pStyle w:val="H23GA"/>
        <w:rPr>
          <w:rFonts w:hint="cs"/>
          <w:rtl/>
          <w:lang w:val="fr-CH"/>
        </w:rPr>
      </w:pPr>
      <w:r>
        <w:rPr>
          <w:rFonts w:hint="cs"/>
          <w:rtl/>
          <w:lang w:val="fr-CH"/>
        </w:rPr>
        <w:tab/>
      </w:r>
      <w:r>
        <w:rPr>
          <w:rFonts w:hint="cs"/>
          <w:rtl/>
          <w:lang w:val="fr-CH"/>
        </w:rPr>
        <w:tab/>
      </w:r>
      <w:r w:rsidR="00684866" w:rsidRPr="007B0CC7">
        <w:rPr>
          <w:rFonts w:hint="cs"/>
          <w:rtl/>
          <w:lang w:val="fr-CH"/>
        </w:rPr>
        <w:t>ولاية المركز الوطني السلوفاكي</w:t>
      </w:r>
      <w:r w:rsidR="00684866" w:rsidRPr="00E17376">
        <w:rPr>
          <w:rFonts w:hint="cs"/>
          <w:rtl/>
          <w:lang w:val="fr-CH"/>
        </w:rPr>
        <w:t xml:space="preserve"> </w:t>
      </w:r>
      <w:r w:rsidR="00684866" w:rsidRPr="007B0CC7">
        <w:rPr>
          <w:rFonts w:hint="cs"/>
          <w:rtl/>
          <w:lang w:val="fr-CH"/>
        </w:rPr>
        <w:t>لحقوق الإنسان</w:t>
      </w:r>
    </w:p>
    <w:p w:rsidR="00684866" w:rsidRDefault="0098798C" w:rsidP="0098798C">
      <w:pPr>
        <w:pStyle w:val="SingleTxtGA"/>
        <w:rPr>
          <w:rFonts w:hint="cs"/>
          <w:rtl/>
          <w:lang w:val="fr-CH"/>
        </w:rPr>
      </w:pPr>
      <w:r>
        <w:rPr>
          <w:rFonts w:hint="cs"/>
          <w:rtl/>
          <w:lang w:val="fr-CH"/>
        </w:rPr>
        <w:t>15-</w:t>
      </w:r>
      <w:r>
        <w:rPr>
          <w:rFonts w:hint="cs"/>
          <w:rtl/>
          <w:lang w:val="fr-CH"/>
        </w:rPr>
        <w:tab/>
      </w:r>
      <w:r w:rsidR="00684866">
        <w:rPr>
          <w:rFonts w:hint="cs"/>
          <w:rtl/>
          <w:lang w:val="fr-CH"/>
        </w:rPr>
        <w:t>يساور اللجنة القلق لأن المركز الوطني السلوفاكي لحقوق الإنسان الذي مُنح في تشرين الأول/أكتوبر 2007، مركز الفئة "باء" من جانب لجنة التنسيق الدولية للمؤسسات الوطني</w:t>
      </w:r>
      <w:r w:rsidR="00174840">
        <w:rPr>
          <w:rFonts w:hint="cs"/>
          <w:rtl/>
          <w:lang w:val="fr-CH"/>
        </w:rPr>
        <w:t>ة لحقوق الإنسان، قد فقد اعتماده</w:t>
      </w:r>
      <w:r w:rsidR="00684866">
        <w:rPr>
          <w:rFonts w:hint="cs"/>
          <w:rtl/>
          <w:lang w:val="fr-CH"/>
        </w:rPr>
        <w:t xml:space="preserve"> في عام 2012</w:t>
      </w:r>
      <w:r w:rsidR="00174840">
        <w:rPr>
          <w:rFonts w:hint="cs"/>
          <w:rtl/>
          <w:lang w:val="fr-CH"/>
        </w:rPr>
        <w:t>،</w:t>
      </w:r>
      <w:r w:rsidR="00684866">
        <w:rPr>
          <w:rFonts w:hint="cs"/>
          <w:rtl/>
          <w:lang w:val="fr-CH"/>
        </w:rPr>
        <w:t xml:space="preserve"> ولأن الدولة الطرف لم تتخذ التدابير اللازمة لضمان امتثالها للمبادئ المتعلقة بمركز المؤسسات الوطنية لتعزيز وحماية حقوق الإنسان (مبادئ باريس). وتأسف اللجنة لعدم كفاية الموارد المالية والبشرية لتمكين </w:t>
      </w:r>
      <w:r w:rsidR="008E48F9">
        <w:rPr>
          <w:rFonts w:hint="cs"/>
          <w:rtl/>
          <w:lang w:val="fr-CH"/>
        </w:rPr>
        <w:t>المركز</w:t>
      </w:r>
      <w:r w:rsidR="00684866">
        <w:rPr>
          <w:rFonts w:hint="cs"/>
          <w:rtl/>
          <w:lang w:val="fr-CH"/>
        </w:rPr>
        <w:t xml:space="preserve"> الوطني</w:t>
      </w:r>
      <w:r w:rsidR="008E48F9">
        <w:rPr>
          <w:rFonts w:hint="cs"/>
          <w:rtl/>
          <w:lang w:val="fr-CH"/>
        </w:rPr>
        <w:t xml:space="preserve"> السلوفاكي</w:t>
      </w:r>
      <w:r w:rsidR="00D224B6">
        <w:rPr>
          <w:rFonts w:hint="cs"/>
          <w:rtl/>
          <w:lang w:val="fr-CH"/>
        </w:rPr>
        <w:t xml:space="preserve"> لحقوق الإنسان بالوسائل اللازمة ل</w:t>
      </w:r>
      <w:r w:rsidR="00684866">
        <w:rPr>
          <w:rFonts w:hint="cs"/>
          <w:rtl/>
          <w:lang w:val="fr-CH"/>
        </w:rPr>
        <w:t>نشر قانون مكافحة التمييز ومساعدة ضحايا التمييز العنصري (المادة 2).</w:t>
      </w:r>
    </w:p>
    <w:p w:rsidR="00684866" w:rsidRPr="002A178F" w:rsidRDefault="002A178F" w:rsidP="002A178F">
      <w:pPr>
        <w:pStyle w:val="SingleTxtGA"/>
        <w:rPr>
          <w:rFonts w:hint="cs"/>
          <w:b/>
          <w:bCs/>
          <w:rtl/>
          <w:lang w:val="fr-CH"/>
        </w:rPr>
      </w:pPr>
      <w:r w:rsidRPr="002A178F">
        <w:rPr>
          <w:rFonts w:hint="cs"/>
          <w:b/>
          <w:bCs/>
          <w:rtl/>
          <w:lang w:val="fr-CH"/>
        </w:rPr>
        <w:tab/>
      </w:r>
      <w:r w:rsidR="00684866" w:rsidRPr="002A178F">
        <w:rPr>
          <w:rFonts w:hint="cs"/>
          <w:b/>
          <w:bCs/>
          <w:rtl/>
          <w:lang w:val="fr-CH"/>
        </w:rPr>
        <w:t xml:space="preserve">واللجنة إذ تذكِّر بتوصيتها العامة رقم 17(1993) بشأن إنشاء مؤسسات وطنية لتيسير تنفيذ الاتفاقية، توصي الدولة الطرف بتعزيز استقلالية </w:t>
      </w:r>
      <w:r w:rsidR="00106086" w:rsidRPr="002A178F">
        <w:rPr>
          <w:rFonts w:hint="cs"/>
          <w:b/>
          <w:bCs/>
          <w:rtl/>
          <w:lang w:val="fr-CH"/>
        </w:rPr>
        <w:t xml:space="preserve">المركز الوطني السلوفاكي </w:t>
      </w:r>
      <w:r w:rsidR="00684866" w:rsidRPr="002A178F">
        <w:rPr>
          <w:rFonts w:hint="cs"/>
          <w:b/>
          <w:bCs/>
          <w:rtl/>
          <w:lang w:val="fr-CH"/>
        </w:rPr>
        <w:t xml:space="preserve">لحقوق الإنسان وولايته </w:t>
      </w:r>
      <w:r w:rsidR="00106086" w:rsidRPr="002A178F">
        <w:rPr>
          <w:rFonts w:hint="cs"/>
          <w:b/>
          <w:bCs/>
          <w:rtl/>
          <w:lang w:val="fr-CH"/>
        </w:rPr>
        <w:t xml:space="preserve">وتزويده </w:t>
      </w:r>
      <w:r w:rsidR="00684866" w:rsidRPr="002A178F">
        <w:rPr>
          <w:rFonts w:hint="cs"/>
          <w:b/>
          <w:bCs/>
          <w:rtl/>
          <w:lang w:val="fr-CH"/>
        </w:rPr>
        <w:t xml:space="preserve">بالموارد المالية والبشرية لكي </w:t>
      </w:r>
      <w:r w:rsidR="003F59AE" w:rsidRPr="002A178F">
        <w:rPr>
          <w:rFonts w:hint="cs"/>
          <w:b/>
          <w:bCs/>
          <w:rtl/>
          <w:lang w:val="fr-CH"/>
        </w:rPr>
        <w:t>ي</w:t>
      </w:r>
      <w:r w:rsidR="00684866" w:rsidRPr="002A178F">
        <w:rPr>
          <w:rFonts w:hint="cs"/>
          <w:b/>
          <w:bCs/>
          <w:rtl/>
          <w:lang w:val="fr-CH"/>
        </w:rPr>
        <w:t>كافح التمييز</w:t>
      </w:r>
      <w:r w:rsidR="003F59AE" w:rsidRPr="002A178F">
        <w:rPr>
          <w:rFonts w:hint="cs"/>
          <w:b/>
          <w:bCs/>
          <w:rtl/>
          <w:lang w:val="fr-CH"/>
        </w:rPr>
        <w:t xml:space="preserve"> بفعالية</w:t>
      </w:r>
      <w:r w:rsidR="00684866" w:rsidRPr="002A178F">
        <w:rPr>
          <w:rFonts w:hint="cs"/>
          <w:b/>
          <w:bCs/>
          <w:rtl/>
          <w:lang w:val="fr-CH"/>
        </w:rPr>
        <w:t xml:space="preserve">. وتشجِّع الدولة الطرف على ضمان تمكُّن </w:t>
      </w:r>
      <w:r w:rsidR="006D6265" w:rsidRPr="002A178F">
        <w:rPr>
          <w:rFonts w:hint="cs"/>
          <w:b/>
          <w:bCs/>
          <w:rtl/>
          <w:lang w:val="fr-CH"/>
        </w:rPr>
        <w:t>المركز</w:t>
      </w:r>
      <w:r w:rsidR="00684866" w:rsidRPr="002A178F">
        <w:rPr>
          <w:rFonts w:hint="cs"/>
          <w:b/>
          <w:bCs/>
          <w:rtl/>
          <w:lang w:val="fr-CH"/>
        </w:rPr>
        <w:t xml:space="preserve"> من العمل بمقتضى مبادئ باريس وأن </w:t>
      </w:r>
      <w:r w:rsidRPr="002A178F">
        <w:rPr>
          <w:rFonts w:hint="cs"/>
          <w:b/>
          <w:bCs/>
          <w:rtl/>
          <w:lang w:val="fr-CH"/>
        </w:rPr>
        <w:t>ي</w:t>
      </w:r>
      <w:r w:rsidR="00684866" w:rsidRPr="002A178F">
        <w:rPr>
          <w:rFonts w:hint="cs"/>
          <w:b/>
          <w:bCs/>
          <w:rtl/>
          <w:lang w:val="fr-CH"/>
        </w:rPr>
        <w:t>كون في وضع يسمح له بتقديم طلب ناجح للحصول على الاعتماد.</w:t>
      </w:r>
    </w:p>
    <w:p w:rsidR="00684866" w:rsidRDefault="002B3541" w:rsidP="002B3541">
      <w:pPr>
        <w:pStyle w:val="H23GA"/>
        <w:rPr>
          <w:rFonts w:hint="cs"/>
          <w:rtl/>
          <w:lang w:val="fr-CH"/>
        </w:rPr>
      </w:pPr>
      <w:r>
        <w:rPr>
          <w:rFonts w:hint="cs"/>
          <w:rtl/>
          <w:lang w:val="fr-CH"/>
        </w:rPr>
        <w:tab/>
      </w:r>
      <w:r>
        <w:rPr>
          <w:rFonts w:hint="cs"/>
          <w:rtl/>
          <w:lang w:val="fr-CH"/>
        </w:rPr>
        <w:tab/>
      </w:r>
      <w:r w:rsidR="00684866">
        <w:rPr>
          <w:rFonts w:hint="cs"/>
          <w:rtl/>
          <w:lang w:val="fr-CH"/>
        </w:rPr>
        <w:t>مسؤولية الدولة الطرف فيما يتعلَّق بتنفيذ الاتفاقية</w:t>
      </w:r>
    </w:p>
    <w:p w:rsidR="00684866" w:rsidRDefault="00A82320" w:rsidP="00AC0601">
      <w:pPr>
        <w:pStyle w:val="SingleTxtGA"/>
        <w:rPr>
          <w:rFonts w:hint="cs"/>
          <w:rtl/>
        </w:rPr>
      </w:pPr>
      <w:r>
        <w:rPr>
          <w:rFonts w:hint="cs"/>
          <w:rtl/>
          <w:lang w:val="fr-CH"/>
        </w:rPr>
        <w:t>16-</w:t>
      </w:r>
      <w:r>
        <w:rPr>
          <w:rFonts w:hint="cs"/>
          <w:rtl/>
          <w:lang w:val="fr-CH"/>
        </w:rPr>
        <w:tab/>
        <w:t>تلاحظ اللجنة</w:t>
      </w:r>
      <w:r w:rsidR="00684866">
        <w:rPr>
          <w:rFonts w:hint="cs"/>
          <w:rtl/>
          <w:lang w:val="fr-CH"/>
        </w:rPr>
        <w:t xml:space="preserve"> مع القلق أن الدولة الطرف تصف استقلالية هيئات الحكم الذاتي المحلية بأنها عقبة </w:t>
      </w:r>
      <w:r>
        <w:rPr>
          <w:rFonts w:hint="cs"/>
          <w:rtl/>
          <w:lang w:val="fr-CH"/>
        </w:rPr>
        <w:t>رئيسية</w:t>
      </w:r>
      <w:r w:rsidR="005C0E30">
        <w:rPr>
          <w:rFonts w:hint="cs"/>
          <w:rtl/>
          <w:lang w:val="fr-CH"/>
        </w:rPr>
        <w:t xml:space="preserve"> </w:t>
      </w:r>
      <w:r w:rsidR="00684866">
        <w:rPr>
          <w:rFonts w:hint="cs"/>
          <w:rtl/>
          <w:lang w:val="fr-CH"/>
        </w:rPr>
        <w:t xml:space="preserve">تحول دون تحقيق عدم التمييز في </w:t>
      </w:r>
      <w:r w:rsidR="005C0E30">
        <w:rPr>
          <w:rFonts w:hint="cs"/>
          <w:rtl/>
          <w:lang w:val="fr-CH"/>
        </w:rPr>
        <w:t xml:space="preserve">إمكانية الحصول على </w:t>
      </w:r>
      <w:r w:rsidR="00684866">
        <w:rPr>
          <w:rFonts w:hint="cs"/>
          <w:rtl/>
          <w:lang w:val="fr-CH"/>
        </w:rPr>
        <w:t xml:space="preserve">السكن الاجتماعي لأفراد </w:t>
      </w:r>
      <w:proofErr w:type="spellStart"/>
      <w:r w:rsidR="00684866">
        <w:rPr>
          <w:rFonts w:hint="cs"/>
          <w:rtl/>
          <w:lang w:val="fr-CH"/>
        </w:rPr>
        <w:t>الروما</w:t>
      </w:r>
      <w:proofErr w:type="spellEnd"/>
      <w:r w:rsidR="00684866">
        <w:rPr>
          <w:rFonts w:hint="cs"/>
          <w:rtl/>
          <w:lang w:val="fr-CH"/>
        </w:rPr>
        <w:t xml:space="preserve"> (</w:t>
      </w:r>
      <w:r w:rsidR="00684866">
        <w:t>CERD/C/SVK/9-10</w:t>
      </w:r>
      <w:r w:rsidR="00684866">
        <w:rPr>
          <w:rFonts w:hint="cs"/>
          <w:rtl/>
        </w:rPr>
        <w:t>، الفقرة 203)، بما في ذلك تنفيذ توصيات الل</w:t>
      </w:r>
      <w:r w:rsidR="00AB5717">
        <w:rPr>
          <w:rFonts w:hint="cs"/>
          <w:rtl/>
        </w:rPr>
        <w:t xml:space="preserve">جنة فيما يتعلَّق بالحالة في </w:t>
      </w:r>
      <w:proofErr w:type="spellStart"/>
      <w:r w:rsidR="00AB5717">
        <w:rPr>
          <w:rFonts w:hint="cs"/>
          <w:rtl/>
        </w:rPr>
        <w:t>دوبش</w:t>
      </w:r>
      <w:r w:rsidR="00684866">
        <w:rPr>
          <w:rFonts w:hint="cs"/>
          <w:rtl/>
        </w:rPr>
        <w:t>ينا</w:t>
      </w:r>
      <w:proofErr w:type="spellEnd"/>
      <w:r w:rsidR="00684866">
        <w:rPr>
          <w:rFonts w:hint="cs"/>
          <w:rtl/>
        </w:rPr>
        <w:t xml:space="preserve"> (البلاغ رقم 31/2003، السيدة ل. ر. وآخرون). وتعرب عن قلقها لأن رد فعل الدولة الطرف إزاء </w:t>
      </w:r>
      <w:r w:rsidR="00322917">
        <w:rPr>
          <w:rFonts w:hint="cs"/>
          <w:rtl/>
        </w:rPr>
        <w:t xml:space="preserve">بعض </w:t>
      </w:r>
      <w:r w:rsidR="00684866">
        <w:rPr>
          <w:rFonts w:hint="cs"/>
          <w:rtl/>
        </w:rPr>
        <w:t xml:space="preserve">قرارات الهيئات المحلية </w:t>
      </w:r>
      <w:r w:rsidR="00322917">
        <w:rPr>
          <w:rFonts w:hint="cs"/>
          <w:rtl/>
        </w:rPr>
        <w:t xml:space="preserve">بشأن </w:t>
      </w:r>
      <w:r w:rsidR="00684866">
        <w:rPr>
          <w:rFonts w:hint="cs"/>
          <w:rtl/>
        </w:rPr>
        <w:t xml:space="preserve">حرمان أفراد </w:t>
      </w:r>
      <w:proofErr w:type="spellStart"/>
      <w:r w:rsidR="00684866">
        <w:rPr>
          <w:rFonts w:hint="cs"/>
          <w:rtl/>
        </w:rPr>
        <w:t>الروما</w:t>
      </w:r>
      <w:proofErr w:type="spellEnd"/>
      <w:r w:rsidR="00684866">
        <w:rPr>
          <w:rFonts w:hint="cs"/>
          <w:rtl/>
        </w:rPr>
        <w:t xml:space="preserve"> من </w:t>
      </w:r>
      <w:r w:rsidR="00322917">
        <w:rPr>
          <w:rFonts w:hint="cs"/>
          <w:rtl/>
        </w:rPr>
        <w:t xml:space="preserve">إمكانية الحصول على </w:t>
      </w:r>
      <w:r w:rsidR="00684866">
        <w:rPr>
          <w:rFonts w:hint="cs"/>
          <w:rtl/>
        </w:rPr>
        <w:t xml:space="preserve">السكن وفي حالات أخرى تمويل بناء جدران </w:t>
      </w:r>
      <w:r w:rsidR="00F556E0">
        <w:rPr>
          <w:rFonts w:hint="cs"/>
          <w:rtl/>
        </w:rPr>
        <w:t xml:space="preserve">        </w:t>
      </w:r>
      <w:r w:rsidR="00684866">
        <w:rPr>
          <w:rFonts w:hint="cs"/>
          <w:rtl/>
        </w:rPr>
        <w:t xml:space="preserve">للفصل بين مستوطنات </w:t>
      </w:r>
      <w:proofErr w:type="spellStart"/>
      <w:r w:rsidR="00684866">
        <w:rPr>
          <w:rFonts w:hint="cs"/>
          <w:rtl/>
        </w:rPr>
        <w:t>الروما</w:t>
      </w:r>
      <w:proofErr w:type="spellEnd"/>
      <w:r w:rsidR="00684866">
        <w:rPr>
          <w:rFonts w:hint="cs"/>
          <w:rtl/>
        </w:rPr>
        <w:t xml:space="preserve"> وباقي السكان، هو فيما يبدو غير فعال بشكل كاف</w:t>
      </w:r>
      <w:r w:rsidR="005622ED">
        <w:rPr>
          <w:rFonts w:hint="cs"/>
          <w:rtl/>
        </w:rPr>
        <w:t xml:space="preserve"> </w:t>
      </w:r>
      <w:r w:rsidR="005A19B6">
        <w:rPr>
          <w:rFonts w:hint="cs"/>
          <w:rtl/>
        </w:rPr>
        <w:t xml:space="preserve">          </w:t>
      </w:r>
      <w:r w:rsidR="00684866">
        <w:rPr>
          <w:rFonts w:hint="cs"/>
          <w:rtl/>
        </w:rPr>
        <w:t>(المادتان 2 و5).</w:t>
      </w:r>
    </w:p>
    <w:p w:rsidR="00684866" w:rsidRPr="00356E38" w:rsidRDefault="00684866" w:rsidP="00356E38">
      <w:pPr>
        <w:pStyle w:val="SingleTxtGA"/>
        <w:rPr>
          <w:rFonts w:hint="cs"/>
          <w:b/>
          <w:bCs/>
          <w:rtl/>
        </w:rPr>
      </w:pPr>
      <w:r w:rsidRPr="00356E38">
        <w:rPr>
          <w:rFonts w:hint="cs"/>
          <w:b/>
          <w:bCs/>
          <w:rtl/>
        </w:rPr>
        <w:tab/>
        <w:t xml:space="preserve">توصي اللجنة الدولة الطرف بأن تتخذ التدابير الفعَّالة لتنفيذ الاتفاقية وأن تكفل </w:t>
      </w:r>
      <w:r w:rsidR="00743694" w:rsidRPr="00356E38">
        <w:rPr>
          <w:rFonts w:hint="cs"/>
          <w:b/>
          <w:bCs/>
          <w:rtl/>
        </w:rPr>
        <w:t xml:space="preserve">ألاَّ </w:t>
      </w:r>
      <w:r w:rsidRPr="00356E38">
        <w:rPr>
          <w:rFonts w:hint="cs"/>
          <w:b/>
          <w:bCs/>
          <w:rtl/>
        </w:rPr>
        <w:t xml:space="preserve">يعوق مبدأ الحكم الذاتي للهيئات المحلية والإقليمية الوفاء بالتزاماتها الدولية في مجال حقوق الإنسان، بموجب الاتفاقية، المتمثِّلة في تعزيز الحقوق الاقتصادية والاجتماعية والثقافية للمجموعات </w:t>
      </w:r>
      <w:r w:rsidR="00356E38" w:rsidRPr="00356E38">
        <w:rPr>
          <w:rFonts w:hint="cs"/>
          <w:b/>
          <w:bCs/>
          <w:rtl/>
        </w:rPr>
        <w:t>المحرومة</w:t>
      </w:r>
      <w:r w:rsidRPr="00356E38">
        <w:rPr>
          <w:rFonts w:hint="cs"/>
          <w:b/>
          <w:bCs/>
          <w:rtl/>
        </w:rPr>
        <w:t xml:space="preserve"> أو التي تتعرَّض للتمييز.</w:t>
      </w:r>
    </w:p>
    <w:p w:rsidR="00684866" w:rsidRPr="001F2A98" w:rsidRDefault="00684866" w:rsidP="001F2A98">
      <w:pPr>
        <w:pStyle w:val="SingleTxtGA"/>
        <w:rPr>
          <w:rFonts w:hint="cs"/>
          <w:b/>
          <w:bCs/>
          <w:rtl/>
        </w:rPr>
      </w:pPr>
      <w:r w:rsidRPr="001F2A98">
        <w:rPr>
          <w:rFonts w:hint="cs"/>
          <w:b/>
          <w:bCs/>
          <w:rtl/>
        </w:rPr>
        <w:tab/>
        <w:t>وتكرِّر توصيته</w:t>
      </w:r>
      <w:r w:rsidR="00650448" w:rsidRPr="001F2A98">
        <w:rPr>
          <w:rFonts w:hint="cs"/>
          <w:b/>
          <w:bCs/>
          <w:rtl/>
        </w:rPr>
        <w:t>ا بأن تنفذ الدولة الطرف توصيات</w:t>
      </w:r>
      <w:r w:rsidRPr="001F2A98">
        <w:rPr>
          <w:rFonts w:hint="cs"/>
          <w:b/>
          <w:bCs/>
          <w:rtl/>
        </w:rPr>
        <w:t xml:space="preserve"> </w:t>
      </w:r>
      <w:r w:rsidR="00650448" w:rsidRPr="001F2A98">
        <w:rPr>
          <w:rFonts w:hint="cs"/>
          <w:b/>
          <w:bCs/>
          <w:rtl/>
        </w:rPr>
        <w:t xml:space="preserve">اللجنة </w:t>
      </w:r>
      <w:r w:rsidRPr="001F2A98">
        <w:rPr>
          <w:rFonts w:hint="cs"/>
          <w:b/>
          <w:bCs/>
          <w:rtl/>
        </w:rPr>
        <w:t>فيما يتعلَّق بالبلاغات بموجب المادة 14 من الاتفاقية، ولا</w:t>
      </w:r>
      <w:r w:rsidR="004938E7">
        <w:rPr>
          <w:rFonts w:hint="cs"/>
          <w:b/>
          <w:bCs/>
          <w:rtl/>
        </w:rPr>
        <w:t xml:space="preserve"> </w:t>
      </w:r>
      <w:proofErr w:type="spellStart"/>
      <w:r w:rsidR="004938E7">
        <w:rPr>
          <w:rFonts w:hint="cs"/>
          <w:b/>
          <w:bCs/>
          <w:rtl/>
        </w:rPr>
        <w:t>سيما</w:t>
      </w:r>
      <w:proofErr w:type="spellEnd"/>
      <w:r w:rsidR="004938E7">
        <w:rPr>
          <w:rFonts w:hint="cs"/>
          <w:b/>
          <w:bCs/>
          <w:rtl/>
        </w:rPr>
        <w:t xml:space="preserve"> فيما يتعلق بالحالة في </w:t>
      </w:r>
      <w:proofErr w:type="spellStart"/>
      <w:r w:rsidR="004938E7">
        <w:rPr>
          <w:rFonts w:hint="cs"/>
          <w:b/>
          <w:bCs/>
          <w:rtl/>
        </w:rPr>
        <w:t>دوبش</w:t>
      </w:r>
      <w:r w:rsidRPr="001F2A98">
        <w:rPr>
          <w:rFonts w:hint="cs"/>
          <w:b/>
          <w:bCs/>
          <w:rtl/>
        </w:rPr>
        <w:t>ينا</w:t>
      </w:r>
      <w:proofErr w:type="spellEnd"/>
      <w:r w:rsidRPr="001F2A98">
        <w:rPr>
          <w:rFonts w:hint="cs"/>
          <w:b/>
          <w:bCs/>
          <w:rtl/>
        </w:rPr>
        <w:t xml:space="preserve">، وأن </w:t>
      </w:r>
      <w:r w:rsidR="009134AF" w:rsidRPr="001F2A98">
        <w:rPr>
          <w:rFonts w:hint="cs"/>
          <w:b/>
          <w:bCs/>
          <w:rtl/>
        </w:rPr>
        <w:t>تدرج في</w:t>
      </w:r>
      <w:r w:rsidRPr="001F2A98">
        <w:rPr>
          <w:rFonts w:hint="cs"/>
          <w:b/>
          <w:bCs/>
          <w:rtl/>
        </w:rPr>
        <w:t xml:space="preserve"> تقريرها الدوري المقبل معلومات محدثة.</w:t>
      </w:r>
    </w:p>
    <w:p w:rsidR="00684866" w:rsidRDefault="002A7FA3" w:rsidP="002A7FA3">
      <w:pPr>
        <w:pStyle w:val="H1GA"/>
        <w:rPr>
          <w:rFonts w:hint="cs"/>
          <w:rtl/>
        </w:rPr>
      </w:pPr>
      <w:r>
        <w:rPr>
          <w:rFonts w:hint="cs"/>
          <w:rtl/>
        </w:rPr>
        <w:tab/>
      </w:r>
      <w:r w:rsidR="00684866">
        <w:rPr>
          <w:rFonts w:hint="cs"/>
          <w:rtl/>
        </w:rPr>
        <w:t>دال-</w:t>
      </w:r>
      <w:r w:rsidR="00684866">
        <w:rPr>
          <w:rFonts w:hint="cs"/>
          <w:rtl/>
        </w:rPr>
        <w:tab/>
        <w:t>توصيات أخرى</w:t>
      </w:r>
    </w:p>
    <w:p w:rsidR="00684866" w:rsidRDefault="002A7FA3" w:rsidP="002A7FA3">
      <w:pPr>
        <w:pStyle w:val="H23GA"/>
        <w:rPr>
          <w:rFonts w:hint="cs"/>
          <w:rtl/>
        </w:rPr>
      </w:pPr>
      <w:r>
        <w:rPr>
          <w:rFonts w:hint="cs"/>
          <w:rtl/>
        </w:rPr>
        <w:tab/>
      </w:r>
      <w:r>
        <w:rPr>
          <w:rFonts w:hint="cs"/>
          <w:rtl/>
        </w:rPr>
        <w:tab/>
      </w:r>
      <w:r w:rsidR="00684866">
        <w:rPr>
          <w:rFonts w:hint="cs"/>
          <w:rtl/>
        </w:rPr>
        <w:t>التصديق على معاهدات أخرى</w:t>
      </w:r>
    </w:p>
    <w:p w:rsidR="00684866" w:rsidRDefault="00684866" w:rsidP="000A155B">
      <w:pPr>
        <w:pStyle w:val="SingleTxtGA"/>
        <w:rPr>
          <w:rFonts w:hint="cs"/>
          <w:rtl/>
        </w:rPr>
      </w:pPr>
      <w:r w:rsidRPr="00B152CE">
        <w:rPr>
          <w:rFonts w:hint="cs"/>
          <w:rtl/>
        </w:rPr>
        <w:t>17-</w:t>
      </w:r>
      <w:r w:rsidRPr="00B152CE">
        <w:rPr>
          <w:rFonts w:hint="cs"/>
          <w:rtl/>
        </w:rPr>
        <w:tab/>
      </w:r>
      <w:r>
        <w:rPr>
          <w:rFonts w:hint="cs"/>
          <w:rtl/>
          <w:lang/>
        </w:rPr>
        <w:t xml:space="preserve">إذ تضع اللجنة في اعتبارها عدم قابلية جميع حقوق الإنسان للتجزئة، </w:t>
      </w:r>
      <w:r>
        <w:rPr>
          <w:rFonts w:hint="cs"/>
          <w:rtl/>
        </w:rPr>
        <w:t xml:space="preserve">تشجِّع الدولة الطرف على أن تنظر في التصديق على المعاهدات الدولية لحقوق الإنسان التي لم تصدِّق عليها بعد، لا </w:t>
      </w:r>
      <w:proofErr w:type="spellStart"/>
      <w:r>
        <w:rPr>
          <w:rFonts w:hint="cs"/>
          <w:rtl/>
        </w:rPr>
        <w:t>سيما</w:t>
      </w:r>
      <w:proofErr w:type="spellEnd"/>
      <w:r>
        <w:rPr>
          <w:rFonts w:hint="cs"/>
          <w:rtl/>
        </w:rPr>
        <w:t xml:space="preserve"> المعاهدات التي تتصل أحكامها اتصالاً مباشراً بمجتمعات قد تخضع للتمييز العنصري، مثل الاتفاقية الدولية لحماية حقوق جميع العمال المهاجرين وأفراد أسرهم.</w:t>
      </w:r>
    </w:p>
    <w:p w:rsidR="00684866" w:rsidRDefault="000A155B" w:rsidP="000A155B">
      <w:pPr>
        <w:pStyle w:val="H23GA"/>
        <w:rPr>
          <w:rFonts w:hint="cs"/>
          <w:rtl/>
        </w:rPr>
      </w:pPr>
      <w:r>
        <w:rPr>
          <w:rFonts w:hint="cs"/>
          <w:rtl/>
        </w:rPr>
        <w:tab/>
      </w:r>
      <w:r>
        <w:rPr>
          <w:rFonts w:hint="cs"/>
          <w:rtl/>
        </w:rPr>
        <w:tab/>
      </w:r>
      <w:r w:rsidR="00684866">
        <w:rPr>
          <w:rFonts w:hint="cs"/>
          <w:rtl/>
        </w:rPr>
        <w:t xml:space="preserve">متابعة إعلان وبرنامج عمل </w:t>
      </w:r>
      <w:proofErr w:type="spellStart"/>
      <w:r w:rsidR="00684866">
        <w:rPr>
          <w:rFonts w:hint="cs"/>
          <w:rtl/>
        </w:rPr>
        <w:t>ديربان</w:t>
      </w:r>
      <w:proofErr w:type="spellEnd"/>
    </w:p>
    <w:p w:rsidR="00684866" w:rsidRDefault="00684866" w:rsidP="00C875D1">
      <w:pPr>
        <w:pStyle w:val="SingleTxtGA"/>
        <w:rPr>
          <w:rFonts w:hint="cs"/>
          <w:rtl/>
        </w:rPr>
      </w:pPr>
      <w:r>
        <w:rPr>
          <w:rFonts w:hint="cs"/>
          <w:rtl/>
        </w:rPr>
        <w:t>18-</w:t>
      </w:r>
      <w:r>
        <w:rPr>
          <w:rFonts w:hint="cs"/>
          <w:rtl/>
        </w:rPr>
        <w:tab/>
      </w:r>
      <w:r>
        <w:rPr>
          <w:rFonts w:hint="cs"/>
          <w:rtl/>
          <w:lang/>
        </w:rPr>
        <w:t>توصي اللجنة الدو</w:t>
      </w:r>
      <w:r w:rsidR="003D508A">
        <w:rPr>
          <w:rFonts w:hint="cs"/>
          <w:rtl/>
          <w:lang/>
        </w:rPr>
        <w:t>لة الطرف، في ضوء توصيتها العامة</w:t>
      </w:r>
      <w:r>
        <w:rPr>
          <w:rFonts w:hint="cs"/>
          <w:rtl/>
          <w:lang/>
        </w:rPr>
        <w:t xml:space="preserve"> رقم</w:t>
      </w:r>
      <w:r>
        <w:rPr>
          <w:rFonts w:hint="cs"/>
          <w:rtl/>
        </w:rPr>
        <w:t xml:space="preserve"> 33(2009) بشأن متابعة مؤتمر استعراض إعلان وبرنامج عمل </w:t>
      </w:r>
      <w:proofErr w:type="spellStart"/>
      <w:r>
        <w:rPr>
          <w:rFonts w:hint="cs"/>
          <w:rtl/>
        </w:rPr>
        <w:t>ديربان</w:t>
      </w:r>
      <w:proofErr w:type="spellEnd"/>
      <w:r>
        <w:rPr>
          <w:rFonts w:hint="cs"/>
          <w:rtl/>
        </w:rPr>
        <w:t xml:space="preserve"> بأن تنفِّذ إعلان وبرنامج عمل </w:t>
      </w:r>
      <w:proofErr w:type="spellStart"/>
      <w:r>
        <w:rPr>
          <w:rFonts w:hint="cs"/>
          <w:rtl/>
        </w:rPr>
        <w:t>ديربان</w:t>
      </w:r>
      <w:proofErr w:type="spellEnd"/>
      <w:r>
        <w:rPr>
          <w:rFonts w:hint="cs"/>
          <w:rtl/>
        </w:rPr>
        <w:t xml:space="preserve"> الذين اعتمدهما المؤتمر العالمي </w:t>
      </w:r>
      <w:r w:rsidR="00DB0535">
        <w:rPr>
          <w:rFonts w:hint="cs"/>
          <w:rtl/>
        </w:rPr>
        <w:t>لمكافحة</w:t>
      </w:r>
      <w:r>
        <w:rPr>
          <w:rFonts w:hint="cs"/>
          <w:rtl/>
        </w:rPr>
        <w:t xml:space="preserve"> العنصرية والتمييز العنصري وكره الأجانب وما يتصل بذلك من تعصب في أيلول/سبتمبر 2001، مع مراعاة الوثيقة الختامية لمؤتمر ا</w:t>
      </w:r>
      <w:r w:rsidR="00D211DB">
        <w:rPr>
          <w:rFonts w:hint="cs"/>
          <w:rtl/>
        </w:rPr>
        <w:t>لا</w:t>
      </w:r>
      <w:r>
        <w:rPr>
          <w:rFonts w:hint="cs"/>
          <w:rtl/>
        </w:rPr>
        <w:t xml:space="preserve">ستعراض </w:t>
      </w:r>
      <w:r w:rsidR="00D211DB">
        <w:rPr>
          <w:rFonts w:hint="cs"/>
          <w:rtl/>
        </w:rPr>
        <w:t>المعقود في جنيف</w:t>
      </w:r>
      <w:r w:rsidR="006C1715">
        <w:rPr>
          <w:rFonts w:hint="cs"/>
          <w:rtl/>
        </w:rPr>
        <w:t xml:space="preserve"> في نيسان/أبريل 2009</w:t>
      </w:r>
      <w:r>
        <w:rPr>
          <w:rFonts w:hint="cs"/>
          <w:rtl/>
        </w:rPr>
        <w:t xml:space="preserve"> لدى تنفيذها للاتفاقية في نظامها القانوني المحلي. وتطلب اللجنة إلى الدولة الطرف </w:t>
      </w:r>
      <w:r w:rsidR="000955F0">
        <w:rPr>
          <w:rFonts w:hint="cs"/>
          <w:rtl/>
        </w:rPr>
        <w:t xml:space="preserve">أن تدرج في </w:t>
      </w:r>
      <w:r>
        <w:rPr>
          <w:rFonts w:hint="cs"/>
          <w:rtl/>
        </w:rPr>
        <w:t>تقريرها الدو</w:t>
      </w:r>
      <w:r w:rsidR="001234C4">
        <w:rPr>
          <w:rFonts w:hint="cs"/>
          <w:rtl/>
        </w:rPr>
        <w:t xml:space="preserve">ري المقبل معلومات محدَّدة </w:t>
      </w:r>
      <w:r w:rsidR="00AC7F8C">
        <w:rPr>
          <w:rFonts w:hint="cs"/>
          <w:rtl/>
        </w:rPr>
        <w:t xml:space="preserve">          </w:t>
      </w:r>
      <w:r w:rsidR="001234C4">
        <w:rPr>
          <w:rFonts w:hint="cs"/>
          <w:rtl/>
        </w:rPr>
        <w:t>عن خطط</w:t>
      </w:r>
      <w:r>
        <w:rPr>
          <w:rFonts w:hint="cs"/>
          <w:rtl/>
        </w:rPr>
        <w:t xml:space="preserve"> العمل وغيرها من التدابير المتخذة لتنفيذ إعلان وبرنامج عمل </w:t>
      </w:r>
      <w:proofErr w:type="spellStart"/>
      <w:r>
        <w:rPr>
          <w:rFonts w:hint="cs"/>
          <w:rtl/>
        </w:rPr>
        <w:t>ديربان</w:t>
      </w:r>
      <w:proofErr w:type="spellEnd"/>
      <w:r>
        <w:rPr>
          <w:rFonts w:hint="cs"/>
          <w:rtl/>
        </w:rPr>
        <w:t xml:space="preserve"> على</w:t>
      </w:r>
      <w:r w:rsidR="00AC7F8C">
        <w:rPr>
          <w:rFonts w:hint="cs"/>
          <w:rtl/>
        </w:rPr>
        <w:t xml:space="preserve"> </w:t>
      </w:r>
      <w:r>
        <w:rPr>
          <w:rFonts w:hint="cs"/>
          <w:rtl/>
        </w:rPr>
        <w:t xml:space="preserve"> المستوى الوطني.</w:t>
      </w:r>
    </w:p>
    <w:p w:rsidR="00684866" w:rsidRDefault="001942AF" w:rsidP="001942AF">
      <w:pPr>
        <w:pStyle w:val="H23GA"/>
        <w:rPr>
          <w:rFonts w:hint="cs"/>
          <w:rtl/>
        </w:rPr>
      </w:pPr>
      <w:r>
        <w:rPr>
          <w:rFonts w:hint="cs"/>
          <w:rtl/>
        </w:rPr>
        <w:tab/>
      </w:r>
      <w:r>
        <w:rPr>
          <w:rFonts w:hint="cs"/>
          <w:rtl/>
        </w:rPr>
        <w:tab/>
      </w:r>
      <w:r w:rsidR="00684866">
        <w:rPr>
          <w:rFonts w:hint="cs"/>
          <w:rtl/>
        </w:rPr>
        <w:t>التشاور مع منظمات المجتمع المدني</w:t>
      </w:r>
    </w:p>
    <w:p w:rsidR="00684866" w:rsidRDefault="00684866" w:rsidP="00223D3A">
      <w:pPr>
        <w:pStyle w:val="SingleTxtGA"/>
        <w:rPr>
          <w:rFonts w:hint="cs"/>
          <w:rtl/>
        </w:rPr>
      </w:pPr>
      <w:r>
        <w:rPr>
          <w:rFonts w:hint="cs"/>
          <w:rtl/>
        </w:rPr>
        <w:t>19-</w:t>
      </w:r>
      <w:r>
        <w:rPr>
          <w:rFonts w:hint="cs"/>
          <w:rtl/>
        </w:rPr>
        <w:tab/>
        <w:t xml:space="preserve">توصي اللجنة الدولة الطرف بمواصلة التشاور وتوسيع نطاق الحوار مع منظمات المجتمع </w:t>
      </w:r>
      <w:r w:rsidR="00223D3A">
        <w:rPr>
          <w:rFonts w:hint="cs"/>
          <w:rtl/>
        </w:rPr>
        <w:t>المدني</w:t>
      </w:r>
      <w:r>
        <w:rPr>
          <w:rFonts w:hint="cs"/>
          <w:rtl/>
        </w:rPr>
        <w:t xml:space="preserve"> العامل</w:t>
      </w:r>
      <w:r w:rsidR="00223D3A">
        <w:rPr>
          <w:rFonts w:hint="cs"/>
          <w:rtl/>
        </w:rPr>
        <w:t>ة</w:t>
      </w:r>
      <w:r>
        <w:rPr>
          <w:rFonts w:hint="cs"/>
          <w:rtl/>
        </w:rPr>
        <w:t xml:space="preserve"> في مجال حماية حقوق الإنسان،</w:t>
      </w:r>
      <w:r w:rsidRPr="000128A6">
        <w:rPr>
          <w:rFonts w:hint="cs"/>
          <w:rtl/>
        </w:rPr>
        <w:t xml:space="preserve"> </w:t>
      </w:r>
      <w:r>
        <w:rPr>
          <w:rFonts w:hint="cs"/>
          <w:rtl/>
        </w:rPr>
        <w:t xml:space="preserve">وخاصة في مكافحة التمييز العنصري، فيما يتعلق بإعداد التقرير الدوري المقبل ومتابعة </w:t>
      </w:r>
      <w:r w:rsidR="00223D3A">
        <w:rPr>
          <w:rFonts w:hint="cs"/>
          <w:rtl/>
        </w:rPr>
        <w:t xml:space="preserve">هذه </w:t>
      </w:r>
      <w:r>
        <w:rPr>
          <w:rFonts w:hint="cs"/>
          <w:rtl/>
        </w:rPr>
        <w:t>الملاحظات الختامية.</w:t>
      </w:r>
    </w:p>
    <w:p w:rsidR="00684866" w:rsidRDefault="00E6688A" w:rsidP="00E6688A">
      <w:pPr>
        <w:pStyle w:val="H23GA"/>
        <w:rPr>
          <w:rFonts w:hint="cs"/>
          <w:rtl/>
        </w:rPr>
      </w:pPr>
      <w:r>
        <w:rPr>
          <w:rFonts w:hint="cs"/>
          <w:rtl/>
        </w:rPr>
        <w:tab/>
      </w:r>
      <w:r>
        <w:rPr>
          <w:rFonts w:hint="cs"/>
          <w:rtl/>
        </w:rPr>
        <w:tab/>
      </w:r>
      <w:r w:rsidR="00684866">
        <w:rPr>
          <w:rFonts w:hint="cs"/>
          <w:rtl/>
        </w:rPr>
        <w:t>النشر</w:t>
      </w:r>
    </w:p>
    <w:p w:rsidR="00684866" w:rsidRDefault="00684866" w:rsidP="00C23EDE">
      <w:pPr>
        <w:pStyle w:val="SingleTxtGA"/>
        <w:rPr>
          <w:rFonts w:hint="cs"/>
          <w:rtl/>
        </w:rPr>
      </w:pPr>
      <w:r>
        <w:rPr>
          <w:rFonts w:hint="cs"/>
          <w:rtl/>
        </w:rPr>
        <w:t>20-</w:t>
      </w:r>
      <w:r>
        <w:rPr>
          <w:rFonts w:hint="cs"/>
          <w:rtl/>
        </w:rPr>
        <w:tab/>
      </w:r>
      <w:r>
        <w:rPr>
          <w:rFonts w:hint="cs"/>
          <w:rtl/>
          <w:lang/>
        </w:rPr>
        <w:t>وتوصي اللجنة</w:t>
      </w:r>
      <w:r w:rsidR="008C19C5">
        <w:rPr>
          <w:rFonts w:hint="cs"/>
          <w:rtl/>
          <w:lang/>
        </w:rPr>
        <w:t xml:space="preserve"> الدولة الطرف</w:t>
      </w:r>
      <w:r>
        <w:rPr>
          <w:rFonts w:hint="cs"/>
          <w:rtl/>
          <w:lang/>
        </w:rPr>
        <w:t xml:space="preserve"> بأن تيسر إتاحة تقارير</w:t>
      </w:r>
      <w:r w:rsidR="008C19C5">
        <w:rPr>
          <w:rFonts w:hint="cs"/>
          <w:rtl/>
          <w:lang/>
        </w:rPr>
        <w:t>ها</w:t>
      </w:r>
      <w:r>
        <w:rPr>
          <w:rFonts w:hint="cs"/>
          <w:rtl/>
          <w:lang/>
        </w:rPr>
        <w:t xml:space="preserve"> للجمهور عند تقديمها، وأن تعمم بالمثل الملاحظات التي تقدمها اللجنة بشأن هذه التقارير باللغة الرسمية وبغيرها من اللغات الشائعة الاستخدام، عند الاقتضاء</w:t>
      </w:r>
      <w:r>
        <w:rPr>
          <w:rFonts w:hint="cs"/>
          <w:rtl/>
        </w:rPr>
        <w:t>.</w:t>
      </w:r>
    </w:p>
    <w:p w:rsidR="00C23EDE" w:rsidRDefault="00C23EDE" w:rsidP="00C23EDE">
      <w:pPr>
        <w:pStyle w:val="SingleTxtGA"/>
        <w:rPr>
          <w:rFonts w:hint="cs"/>
          <w:rtl/>
        </w:rPr>
      </w:pPr>
    </w:p>
    <w:p w:rsidR="00684866" w:rsidRDefault="00C23EDE" w:rsidP="00C23EDE">
      <w:pPr>
        <w:pStyle w:val="H23GA"/>
        <w:rPr>
          <w:rFonts w:hint="cs"/>
          <w:rtl/>
        </w:rPr>
      </w:pPr>
      <w:r>
        <w:rPr>
          <w:rFonts w:hint="cs"/>
          <w:rtl/>
        </w:rPr>
        <w:tab/>
      </w:r>
      <w:r>
        <w:rPr>
          <w:rFonts w:hint="cs"/>
          <w:rtl/>
        </w:rPr>
        <w:tab/>
      </w:r>
      <w:r w:rsidR="00684866">
        <w:rPr>
          <w:rFonts w:hint="cs"/>
          <w:rtl/>
        </w:rPr>
        <w:t>الوثيقة الأساسية</w:t>
      </w:r>
      <w:r w:rsidR="005432FE">
        <w:rPr>
          <w:rFonts w:hint="cs"/>
          <w:rtl/>
        </w:rPr>
        <w:t xml:space="preserve"> الموحدة</w:t>
      </w:r>
    </w:p>
    <w:p w:rsidR="00684866" w:rsidRDefault="00684866" w:rsidP="00E205E5">
      <w:pPr>
        <w:pStyle w:val="SingleTxtGA"/>
        <w:rPr>
          <w:rFonts w:hint="cs"/>
          <w:rtl/>
        </w:rPr>
      </w:pPr>
      <w:r>
        <w:rPr>
          <w:rFonts w:hint="cs"/>
          <w:rtl/>
        </w:rPr>
        <w:t>21-</w:t>
      </w:r>
      <w:r>
        <w:rPr>
          <w:rFonts w:hint="cs"/>
          <w:rtl/>
        </w:rPr>
        <w:tab/>
        <w:t>إن اللجنة إذ تلاحظ أن الدولة الطرف قدَّمت وثيقتها الأساسية في عام 2002 (</w:t>
      </w:r>
      <w:r>
        <w:t>HRI/CORE/1/Add.120</w:t>
      </w:r>
      <w:r>
        <w:rPr>
          <w:rFonts w:hint="cs"/>
          <w:rtl/>
        </w:rPr>
        <w:t xml:space="preserve">)، تشجِّع الدولة الطرف على تقديم وثيقة أساسية محدَّثة وفقاً للمبادئ التوجيهية المنسَّقة بشأن تقديم التقارير بموجب المعاهدات الدولية لحقوق الإنسان، ولا </w:t>
      </w:r>
      <w:proofErr w:type="spellStart"/>
      <w:r>
        <w:rPr>
          <w:rFonts w:hint="cs"/>
          <w:rtl/>
        </w:rPr>
        <w:t>سيما</w:t>
      </w:r>
      <w:proofErr w:type="spellEnd"/>
      <w:r>
        <w:rPr>
          <w:rFonts w:hint="cs"/>
          <w:rtl/>
        </w:rPr>
        <w:t xml:space="preserve"> تلك المتعلِّقة بالوثيقة الأساسية الموحدة، التي اعتمدها الاجتماع الخامس المشترك بين لجان هيئات معاهدات حقوق الإنسان الذي عُقد في حزيران/يونيه 2006 (</w:t>
      </w:r>
      <w:r>
        <w:t>HRI/GEN.2/Rev.6</w:t>
      </w:r>
      <w:r>
        <w:rPr>
          <w:rFonts w:hint="cs"/>
          <w:rtl/>
        </w:rPr>
        <w:t>، الفصل الأول).</w:t>
      </w:r>
    </w:p>
    <w:p w:rsidR="0092218E" w:rsidRDefault="0092218E" w:rsidP="0092218E">
      <w:pPr>
        <w:pStyle w:val="H23GA"/>
        <w:rPr>
          <w:rFonts w:hint="cs"/>
          <w:rtl/>
        </w:rPr>
      </w:pPr>
      <w:r>
        <w:rPr>
          <w:rFonts w:hint="cs"/>
          <w:rtl/>
        </w:rPr>
        <w:tab/>
      </w:r>
      <w:r>
        <w:rPr>
          <w:rFonts w:hint="cs"/>
          <w:rtl/>
        </w:rPr>
        <w:tab/>
        <w:t>متابعة الملاحظات الختامية</w:t>
      </w:r>
    </w:p>
    <w:p w:rsidR="00684866" w:rsidRDefault="00684866" w:rsidP="004558DF">
      <w:pPr>
        <w:pStyle w:val="SingleTxtGA"/>
        <w:rPr>
          <w:rFonts w:hint="cs"/>
          <w:rtl/>
        </w:rPr>
      </w:pPr>
      <w:r>
        <w:rPr>
          <w:rFonts w:hint="cs"/>
          <w:rtl/>
        </w:rPr>
        <w:t>22-</w:t>
      </w:r>
      <w:r>
        <w:rPr>
          <w:rFonts w:hint="cs"/>
          <w:rtl/>
        </w:rPr>
        <w:tab/>
      </w:r>
      <w:r>
        <w:rPr>
          <w:rFonts w:hint="cs"/>
          <w:rtl/>
          <w:lang/>
        </w:rPr>
        <w:t xml:space="preserve">تـطلب اللجنة إلى الدولة الطرف، عـملاً بالفقرة 1 من المادة 9 من الاتفاقية والمادة 65 من نظامها الداخلي المعدل، أن توافيها في غضون سنة واحدة من اعتماد </w:t>
      </w:r>
      <w:r w:rsidR="0043432A">
        <w:rPr>
          <w:rFonts w:hint="cs"/>
          <w:rtl/>
          <w:lang/>
        </w:rPr>
        <w:t xml:space="preserve">هذه </w:t>
      </w:r>
      <w:r>
        <w:rPr>
          <w:rFonts w:hint="cs"/>
          <w:rtl/>
          <w:lang/>
        </w:rPr>
        <w:t xml:space="preserve">الملاحظات الختامية بمعلومات عن متابعتها للتوصيات الواردة في الفقرات </w:t>
      </w:r>
      <w:r>
        <w:rPr>
          <w:rFonts w:hint="cs"/>
          <w:rtl/>
        </w:rPr>
        <w:t>6 و8 و11 و16 أعلاه.</w:t>
      </w:r>
    </w:p>
    <w:p w:rsidR="00684866" w:rsidRDefault="00D70238" w:rsidP="00D70238">
      <w:pPr>
        <w:pStyle w:val="H23GA"/>
        <w:rPr>
          <w:rFonts w:hint="cs"/>
          <w:rtl/>
        </w:rPr>
      </w:pPr>
      <w:r>
        <w:rPr>
          <w:rFonts w:hint="cs"/>
          <w:rtl/>
        </w:rPr>
        <w:tab/>
      </w:r>
      <w:r>
        <w:rPr>
          <w:rFonts w:hint="cs"/>
          <w:rtl/>
        </w:rPr>
        <w:tab/>
      </w:r>
      <w:r w:rsidR="00684866">
        <w:rPr>
          <w:rFonts w:hint="cs"/>
          <w:rtl/>
        </w:rPr>
        <w:t>الفقرات ذات الأهمية الخاصة</w:t>
      </w:r>
    </w:p>
    <w:p w:rsidR="00684866" w:rsidRDefault="00684866" w:rsidP="00375CD5">
      <w:pPr>
        <w:pStyle w:val="SingleTxtGA"/>
        <w:rPr>
          <w:rFonts w:hint="cs"/>
          <w:rtl/>
        </w:rPr>
      </w:pPr>
      <w:r>
        <w:rPr>
          <w:rFonts w:hint="cs"/>
          <w:rtl/>
        </w:rPr>
        <w:t>23-</w:t>
      </w:r>
      <w:r>
        <w:rPr>
          <w:rFonts w:hint="cs"/>
          <w:rtl/>
        </w:rPr>
        <w:tab/>
      </w:r>
      <w:r>
        <w:rPr>
          <w:rFonts w:hint="cs"/>
          <w:rtl/>
          <w:lang/>
        </w:rPr>
        <w:t xml:space="preserve"> تود اللجنة أيضاً أن توجِّه انتباه الدولة الطرف إلى الأهمية الخاصة للتوصيات الواردة في الفقرات</w:t>
      </w:r>
      <w:r>
        <w:rPr>
          <w:rFonts w:hint="cs"/>
          <w:rtl/>
        </w:rPr>
        <w:t xml:space="preserve"> 5 و12 و13 و15 أعلاه</w:t>
      </w:r>
      <w:r w:rsidR="001D094A">
        <w:rPr>
          <w:rFonts w:hint="cs"/>
          <w:rtl/>
        </w:rPr>
        <w:t>،</w:t>
      </w:r>
      <w:r>
        <w:rPr>
          <w:rFonts w:hint="cs"/>
          <w:rtl/>
        </w:rPr>
        <w:t xml:space="preserve"> و</w:t>
      </w:r>
      <w:r>
        <w:rPr>
          <w:rFonts w:hint="cs"/>
          <w:rtl/>
          <w:lang/>
        </w:rPr>
        <w:t>تطلب إلى الدولة الطرف أن تقدم في تقريرها الدوري المقبل معلومات مفصلة عن التدابير الملموسة المتخذة لتنفيذ هذه التوصيات</w:t>
      </w:r>
      <w:r>
        <w:rPr>
          <w:rFonts w:hint="cs"/>
          <w:rtl/>
        </w:rPr>
        <w:t>.</w:t>
      </w:r>
    </w:p>
    <w:p w:rsidR="00684866" w:rsidRDefault="002F383E" w:rsidP="002F383E">
      <w:pPr>
        <w:pStyle w:val="H23GA"/>
        <w:rPr>
          <w:rFonts w:hint="cs"/>
          <w:rtl/>
        </w:rPr>
      </w:pPr>
      <w:r>
        <w:rPr>
          <w:rFonts w:hint="cs"/>
          <w:rtl/>
        </w:rPr>
        <w:tab/>
      </w:r>
      <w:r>
        <w:rPr>
          <w:rFonts w:hint="cs"/>
          <w:rtl/>
        </w:rPr>
        <w:tab/>
      </w:r>
      <w:r w:rsidR="00684866">
        <w:rPr>
          <w:rFonts w:hint="cs"/>
          <w:rtl/>
        </w:rPr>
        <w:t>إعداد التقرير الدوري المقبل</w:t>
      </w:r>
    </w:p>
    <w:p w:rsidR="00684866" w:rsidRDefault="00684866" w:rsidP="00066728">
      <w:pPr>
        <w:pStyle w:val="SingleTxtGA"/>
        <w:rPr>
          <w:rFonts w:hint="cs"/>
          <w:rtl/>
          <w:lang/>
        </w:rPr>
      </w:pPr>
      <w:r>
        <w:rPr>
          <w:rFonts w:hint="cs"/>
          <w:rtl/>
        </w:rPr>
        <w:t>24-</w:t>
      </w:r>
      <w:r>
        <w:rPr>
          <w:rFonts w:hint="cs"/>
          <w:rtl/>
        </w:rPr>
        <w:tab/>
        <w:t>توصي اللجنة الدولة الطرف بأن تقدِّم تقريريها الدوريين الحادي عشر والثاني عشر في وثيقة واحدة في موعد أقصاه 28 أيار/مايو 2016، على أن تأخذ في اعتبارها المبادئ التوجيهية المحدّدة لتقديم التقارير التي اعتمدتها اللجنة في دورتها الحادية والسبعين (</w:t>
      </w:r>
      <w:r>
        <w:t>CERD/C/2007/1</w:t>
      </w:r>
      <w:r>
        <w:rPr>
          <w:rFonts w:hint="cs"/>
          <w:rtl/>
        </w:rPr>
        <w:t xml:space="preserve">)، وأن تتناول جميع النقاط التي أُثيرت في </w:t>
      </w:r>
      <w:r w:rsidR="00D80F30">
        <w:rPr>
          <w:rFonts w:hint="cs"/>
          <w:rtl/>
        </w:rPr>
        <w:t xml:space="preserve">هذه </w:t>
      </w:r>
      <w:r>
        <w:rPr>
          <w:rFonts w:hint="cs"/>
          <w:rtl/>
        </w:rPr>
        <w:t xml:space="preserve">الملاحظات الختامية. وتحثُّ اللجنة </w:t>
      </w:r>
      <w:r w:rsidR="00CD6692">
        <w:rPr>
          <w:rFonts w:hint="cs"/>
          <w:rtl/>
        </w:rPr>
        <w:t xml:space="preserve">أيضاً </w:t>
      </w:r>
      <w:r w:rsidR="00185048">
        <w:rPr>
          <w:rFonts w:hint="cs"/>
          <w:rtl/>
        </w:rPr>
        <w:t>الدولة الطرف على مراعاة الحد</w:t>
      </w:r>
      <w:r>
        <w:rPr>
          <w:rFonts w:hint="cs"/>
          <w:rtl/>
        </w:rPr>
        <w:t xml:space="preserve"> الأقصى لعدد صفحات التقارير الخاصة بكل </w:t>
      </w:r>
      <w:r w:rsidR="00185048">
        <w:rPr>
          <w:rFonts w:hint="cs"/>
          <w:rtl/>
        </w:rPr>
        <w:t xml:space="preserve">معاهدة </w:t>
      </w:r>
      <w:r>
        <w:rPr>
          <w:rFonts w:hint="cs"/>
          <w:rtl/>
        </w:rPr>
        <w:t>وهو 40 صفحة،</w:t>
      </w:r>
      <w:r w:rsidRPr="00D714B1">
        <w:rPr>
          <w:rFonts w:hint="cs"/>
          <w:rtl/>
          <w:lang/>
        </w:rPr>
        <w:t xml:space="preserve"> </w:t>
      </w:r>
      <w:r>
        <w:rPr>
          <w:rFonts w:hint="cs"/>
          <w:rtl/>
          <w:lang/>
        </w:rPr>
        <w:t>والحد الأقصى الذي يتراوح بين 60 و80 صفحة لعدد صفحات الوثيقة الأساسية الموحدة (</w:t>
      </w:r>
      <w:r>
        <w:rPr>
          <w:rFonts w:hint="cs"/>
          <w:lang/>
        </w:rPr>
        <w:t>HRI/GEN.2/Rev.6</w:t>
      </w:r>
      <w:r>
        <w:rPr>
          <w:rFonts w:hint="cs"/>
          <w:rtl/>
          <w:lang/>
        </w:rPr>
        <w:t>، الفصل الأول، الفقرة 19).</w:t>
      </w:r>
    </w:p>
    <w:p w:rsidR="00F60BB0" w:rsidRPr="0083076F" w:rsidRDefault="0083076F" w:rsidP="0083076F">
      <w:pPr>
        <w:spacing w:before="120"/>
        <w:jc w:val="center"/>
        <w:rPr>
          <w:rFonts w:hint="cs"/>
          <w:u w:val="single"/>
          <w:rtl/>
          <w:lang/>
        </w:rPr>
      </w:pPr>
      <w:r>
        <w:rPr>
          <w:u w:val="single"/>
          <w:rtl/>
          <w:lang/>
        </w:rPr>
        <w:tab/>
      </w:r>
      <w:r>
        <w:rPr>
          <w:u w:val="single"/>
          <w:rtl/>
          <w:lang/>
        </w:rPr>
        <w:tab/>
      </w:r>
      <w:r>
        <w:rPr>
          <w:u w:val="single"/>
          <w:rtl/>
          <w:lang/>
        </w:rPr>
        <w:tab/>
      </w:r>
    </w:p>
    <w:sectPr w:rsidR="00F60BB0" w:rsidRPr="0083076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CFA" w:rsidRPr="00FE6865" w:rsidRDefault="00045CFA" w:rsidP="00FE6865">
      <w:pPr>
        <w:pStyle w:val="Footer"/>
      </w:pPr>
    </w:p>
  </w:endnote>
  <w:endnote w:type="continuationSeparator" w:id="0">
    <w:p w:rsidR="00045CFA" w:rsidRDefault="00045C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4F" w:rsidRPr="006D2F88" w:rsidRDefault="00C13D4F" w:rsidP="006D2F88">
    <w:pPr>
      <w:pStyle w:val="Footer"/>
      <w:tabs>
        <w:tab w:val="right" w:pos="9598"/>
      </w:tabs>
    </w:pPr>
    <w:r>
      <w:t>GE.13-42794</w:t>
    </w:r>
    <w:r>
      <w:tab/>
    </w:r>
    <w:r w:rsidRPr="006D2F88">
      <w:rPr>
        <w:b/>
        <w:sz w:val="18"/>
      </w:rPr>
      <w:fldChar w:fldCharType="begin"/>
    </w:r>
    <w:r w:rsidRPr="006D2F88">
      <w:rPr>
        <w:b/>
        <w:sz w:val="18"/>
      </w:rPr>
      <w:instrText xml:space="preserve"> PAGE  \* MERGEFORMAT </w:instrText>
    </w:r>
    <w:r w:rsidRPr="006D2F88">
      <w:rPr>
        <w:b/>
        <w:sz w:val="18"/>
      </w:rPr>
      <w:fldChar w:fldCharType="separate"/>
    </w:r>
    <w:r w:rsidR="00A75313">
      <w:rPr>
        <w:b/>
        <w:noProof/>
        <w:sz w:val="18"/>
      </w:rPr>
      <w:t>6</w:t>
    </w:r>
    <w:r w:rsidRPr="006D2F8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4F" w:rsidRPr="006D2F88" w:rsidRDefault="00C13D4F" w:rsidP="006D2F88">
    <w:pPr>
      <w:pStyle w:val="Footer"/>
      <w:tabs>
        <w:tab w:val="right" w:pos="9598"/>
      </w:tabs>
      <w:rPr>
        <w:b/>
        <w:sz w:val="18"/>
      </w:rPr>
    </w:pPr>
    <w:r w:rsidRPr="006D2F88">
      <w:rPr>
        <w:b/>
        <w:sz w:val="18"/>
      </w:rPr>
      <w:fldChar w:fldCharType="begin"/>
    </w:r>
    <w:r w:rsidRPr="006D2F88">
      <w:rPr>
        <w:b/>
        <w:sz w:val="18"/>
      </w:rPr>
      <w:instrText xml:space="preserve"> PAGE  \* MERGEFORMAT </w:instrText>
    </w:r>
    <w:r w:rsidRPr="006D2F88">
      <w:rPr>
        <w:b/>
        <w:sz w:val="18"/>
      </w:rPr>
      <w:fldChar w:fldCharType="separate"/>
    </w:r>
    <w:r w:rsidR="00A75313">
      <w:rPr>
        <w:b/>
        <w:noProof/>
        <w:sz w:val="18"/>
      </w:rPr>
      <w:t>7</w:t>
    </w:r>
    <w:r w:rsidRPr="006D2F88">
      <w:rPr>
        <w:b/>
        <w:sz w:val="18"/>
      </w:rPr>
      <w:fldChar w:fldCharType="end"/>
    </w:r>
    <w:r>
      <w:rPr>
        <w:b/>
        <w:sz w:val="18"/>
      </w:rPr>
      <w:tab/>
    </w:r>
    <w:r>
      <w:t>GE.13-42794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4F" w:rsidRDefault="00C13D4F" w:rsidP="000F56DC">
    <w:pPr>
      <w:pStyle w:val="Footer"/>
      <w:jc w:val="right"/>
    </w:pPr>
    <w:r>
      <w:rPr>
        <w:sz w:val="20"/>
      </w:rPr>
      <w:t xml:space="preserve">(A)   GE.13-42794    </w:t>
    </w:r>
    <w:r w:rsidR="000F56DC">
      <w:rPr>
        <w:sz w:val="20"/>
      </w:rPr>
      <w:t>0805</w:t>
    </w:r>
    <w:r>
      <w:rPr>
        <w:sz w:val="20"/>
      </w:rPr>
      <w:t>13    100513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CFA" w:rsidRDefault="00045CFA" w:rsidP="00300142">
      <w:pPr>
        <w:pStyle w:val="Footer"/>
        <w:bidi/>
        <w:spacing w:after="80" w:line="200" w:lineRule="exact"/>
        <w:ind w:left="680"/>
      </w:pPr>
      <w:r>
        <w:rPr>
          <w:rFonts w:hint="cs"/>
          <w:rtl/>
        </w:rPr>
        <w:t>__________</w:t>
      </w:r>
    </w:p>
  </w:footnote>
  <w:footnote w:type="continuationSeparator" w:id="0">
    <w:p w:rsidR="00045CFA" w:rsidRDefault="00045CFA" w:rsidP="00300142">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4F" w:rsidRPr="006D2F88" w:rsidRDefault="00C13D4F" w:rsidP="006D2F88">
    <w:pPr>
      <w:pStyle w:val="Header"/>
      <w:jc w:val="right"/>
    </w:pPr>
    <w:r w:rsidRPr="006D2F88">
      <w:t>CERD/C/SVK/CO/9-10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4F" w:rsidRPr="006D2F88" w:rsidRDefault="00C13D4F" w:rsidP="006D2F88">
    <w:pPr>
      <w:pStyle w:val="Header"/>
      <w:jc w:val="left"/>
    </w:pPr>
    <w:r w:rsidRPr="006D2F88">
      <w:t>CERD/C/SVK/CO/9-10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4F" w:rsidRDefault="00C13D4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C13D4F" w:rsidRPr="00A85A54" w:rsidRDefault="00C13D4F"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CF2AC0"/>
    <w:multiLevelType w:val="hybridMultilevel"/>
    <w:tmpl w:val="C99AD294"/>
    <w:lvl w:ilvl="0" w:tplc="7E888EF4">
      <w:start w:val="15"/>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0E2109"/>
    <w:multiLevelType w:val="hybridMultilevel"/>
    <w:tmpl w:val="2BF2447C"/>
    <w:lvl w:ilvl="0" w:tplc="2AAECD94">
      <w:start w:val="9"/>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5"/>
  </w:num>
  <w:num w:numId="4">
    <w:abstractNumId w:val="12"/>
  </w:num>
  <w:num w:numId="5">
    <w:abstractNumId w:val="9"/>
  </w:num>
  <w:num w:numId="6">
    <w:abstractNumId w:val="22"/>
  </w:num>
  <w:num w:numId="7">
    <w:abstractNumId w:val="11"/>
  </w:num>
  <w:num w:numId="8">
    <w:abstractNumId w:val="10"/>
  </w:num>
  <w:num w:numId="9">
    <w:abstractNumId w:val="14"/>
  </w:num>
  <w:num w:numId="10">
    <w:abstractNumId w:val="21"/>
  </w:num>
  <w:num w:numId="11">
    <w:abstractNumId w:val="1"/>
  </w:num>
  <w:num w:numId="12">
    <w:abstractNumId w:val="15"/>
  </w:num>
  <w:num w:numId="13">
    <w:abstractNumId w:val="12"/>
  </w:num>
  <w:num w:numId="14">
    <w:abstractNumId w:val="9"/>
  </w:num>
  <w:num w:numId="15">
    <w:abstractNumId w:val="22"/>
  </w:num>
  <w:num w:numId="16">
    <w:abstractNumId w:val="1"/>
  </w:num>
  <w:num w:numId="17">
    <w:abstractNumId w:val="15"/>
  </w:num>
  <w:num w:numId="18">
    <w:abstractNumId w:val="12"/>
  </w:num>
  <w:num w:numId="19">
    <w:abstractNumId w:val="9"/>
  </w:num>
  <w:num w:numId="20">
    <w:abstractNumId w:val="22"/>
  </w:num>
  <w:num w:numId="21">
    <w:abstractNumId w:val="1"/>
  </w:num>
  <w:num w:numId="22">
    <w:abstractNumId w:val="15"/>
  </w:num>
  <w:num w:numId="23">
    <w:abstractNumId w:val="9"/>
  </w:num>
  <w:num w:numId="24">
    <w:abstractNumId w:val="22"/>
  </w:num>
  <w:num w:numId="25">
    <w:abstractNumId w:val="15"/>
  </w:num>
  <w:num w:numId="26">
    <w:abstractNumId w:val="1"/>
  </w:num>
  <w:num w:numId="27">
    <w:abstractNumId w:val="3"/>
  </w:num>
  <w:num w:numId="28">
    <w:abstractNumId w:val="2"/>
  </w:num>
  <w:num w:numId="29">
    <w:abstractNumId w:val="17"/>
  </w:num>
  <w:num w:numId="30">
    <w:abstractNumId w:val="4"/>
  </w:num>
  <w:num w:numId="31">
    <w:abstractNumId w:val="8"/>
  </w:num>
  <w:num w:numId="32">
    <w:abstractNumId w:val="16"/>
  </w:num>
  <w:num w:numId="33">
    <w:abstractNumId w:val="19"/>
  </w:num>
  <w:num w:numId="34">
    <w:abstractNumId w:val="23"/>
  </w:num>
  <w:num w:numId="35">
    <w:abstractNumId w:val="5"/>
  </w:num>
  <w:num w:numId="36">
    <w:abstractNumId w:val="18"/>
  </w:num>
  <w:num w:numId="37">
    <w:abstractNumId w:val="20"/>
  </w:num>
  <w:num w:numId="38">
    <w:abstractNumId w:val="0"/>
  </w:num>
  <w:num w:numId="39">
    <w:abstractNumId w:val="7"/>
  </w:num>
  <w:num w:numId="40">
    <w:abstractNumId w:val="13"/>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2A55"/>
    <w:rsid w:val="00002D02"/>
    <w:rsid w:val="00013028"/>
    <w:rsid w:val="000152F8"/>
    <w:rsid w:val="000352D9"/>
    <w:rsid w:val="00040E25"/>
    <w:rsid w:val="00042149"/>
    <w:rsid w:val="00045CFA"/>
    <w:rsid w:val="00047074"/>
    <w:rsid w:val="00051354"/>
    <w:rsid w:val="000615B4"/>
    <w:rsid w:val="000648EA"/>
    <w:rsid w:val="00064D5B"/>
    <w:rsid w:val="00066728"/>
    <w:rsid w:val="00076443"/>
    <w:rsid w:val="000940DC"/>
    <w:rsid w:val="000955F0"/>
    <w:rsid w:val="000957C8"/>
    <w:rsid w:val="00097049"/>
    <w:rsid w:val="00097428"/>
    <w:rsid w:val="000A04D5"/>
    <w:rsid w:val="000A155B"/>
    <w:rsid w:val="000B52F2"/>
    <w:rsid w:val="000C5487"/>
    <w:rsid w:val="000D0EAE"/>
    <w:rsid w:val="000D3F09"/>
    <w:rsid w:val="000D4712"/>
    <w:rsid w:val="000D5380"/>
    <w:rsid w:val="000D6654"/>
    <w:rsid w:val="000E103D"/>
    <w:rsid w:val="000E2927"/>
    <w:rsid w:val="000E3D32"/>
    <w:rsid w:val="000E5B9C"/>
    <w:rsid w:val="000F0264"/>
    <w:rsid w:val="000F2EBF"/>
    <w:rsid w:val="000F3A9F"/>
    <w:rsid w:val="000F56DC"/>
    <w:rsid w:val="000F5FF6"/>
    <w:rsid w:val="001022B5"/>
    <w:rsid w:val="00106086"/>
    <w:rsid w:val="00113FA5"/>
    <w:rsid w:val="00115FD1"/>
    <w:rsid w:val="001234C4"/>
    <w:rsid w:val="001256A1"/>
    <w:rsid w:val="00135CFC"/>
    <w:rsid w:val="00144DC2"/>
    <w:rsid w:val="001455A0"/>
    <w:rsid w:val="00150C45"/>
    <w:rsid w:val="00152685"/>
    <w:rsid w:val="001602A3"/>
    <w:rsid w:val="0016626C"/>
    <w:rsid w:val="00174840"/>
    <w:rsid w:val="001758A0"/>
    <w:rsid w:val="0017609F"/>
    <w:rsid w:val="00182191"/>
    <w:rsid w:val="00185048"/>
    <w:rsid w:val="001942AF"/>
    <w:rsid w:val="001A5161"/>
    <w:rsid w:val="001A533B"/>
    <w:rsid w:val="001A60BD"/>
    <w:rsid w:val="001B6DCE"/>
    <w:rsid w:val="001C6912"/>
    <w:rsid w:val="001D094A"/>
    <w:rsid w:val="001D57B2"/>
    <w:rsid w:val="001E6C1C"/>
    <w:rsid w:val="001F2A98"/>
    <w:rsid w:val="001F69AF"/>
    <w:rsid w:val="00201414"/>
    <w:rsid w:val="00203956"/>
    <w:rsid w:val="00212C07"/>
    <w:rsid w:val="00223D3A"/>
    <w:rsid w:val="00232277"/>
    <w:rsid w:val="002346BC"/>
    <w:rsid w:val="0023736D"/>
    <w:rsid w:val="0025326E"/>
    <w:rsid w:val="00253388"/>
    <w:rsid w:val="00257225"/>
    <w:rsid w:val="0027425B"/>
    <w:rsid w:val="00275F41"/>
    <w:rsid w:val="00276139"/>
    <w:rsid w:val="00285C33"/>
    <w:rsid w:val="00286118"/>
    <w:rsid w:val="002A178F"/>
    <w:rsid w:val="002A76D8"/>
    <w:rsid w:val="002A7FA3"/>
    <w:rsid w:val="002B3541"/>
    <w:rsid w:val="002D6F83"/>
    <w:rsid w:val="002D785B"/>
    <w:rsid w:val="002F383E"/>
    <w:rsid w:val="00300142"/>
    <w:rsid w:val="003048A7"/>
    <w:rsid w:val="00305DE1"/>
    <w:rsid w:val="00310160"/>
    <w:rsid w:val="00322917"/>
    <w:rsid w:val="003232AA"/>
    <w:rsid w:val="003245A9"/>
    <w:rsid w:val="003407B2"/>
    <w:rsid w:val="00341A8C"/>
    <w:rsid w:val="003519E6"/>
    <w:rsid w:val="00355F81"/>
    <w:rsid w:val="00356E38"/>
    <w:rsid w:val="00375CD5"/>
    <w:rsid w:val="00376BCD"/>
    <w:rsid w:val="003A26B4"/>
    <w:rsid w:val="003B0926"/>
    <w:rsid w:val="003B2AA4"/>
    <w:rsid w:val="003B4356"/>
    <w:rsid w:val="003B5060"/>
    <w:rsid w:val="003D31C7"/>
    <w:rsid w:val="003D3A3C"/>
    <w:rsid w:val="003D508A"/>
    <w:rsid w:val="003E4F65"/>
    <w:rsid w:val="003F08A8"/>
    <w:rsid w:val="003F59AE"/>
    <w:rsid w:val="004008E9"/>
    <w:rsid w:val="00414269"/>
    <w:rsid w:val="00422E3F"/>
    <w:rsid w:val="004250E3"/>
    <w:rsid w:val="00426D1A"/>
    <w:rsid w:val="0043432A"/>
    <w:rsid w:val="0044732B"/>
    <w:rsid w:val="00450332"/>
    <w:rsid w:val="004558DF"/>
    <w:rsid w:val="00462EB1"/>
    <w:rsid w:val="00471EAC"/>
    <w:rsid w:val="00472A81"/>
    <w:rsid w:val="004778DA"/>
    <w:rsid w:val="0048599E"/>
    <w:rsid w:val="0048681B"/>
    <w:rsid w:val="004938E7"/>
    <w:rsid w:val="0049436D"/>
    <w:rsid w:val="00494A58"/>
    <w:rsid w:val="00494F9B"/>
    <w:rsid w:val="004A20A6"/>
    <w:rsid w:val="004B2C92"/>
    <w:rsid w:val="004B2DAB"/>
    <w:rsid w:val="004B58F4"/>
    <w:rsid w:val="004C6E03"/>
    <w:rsid w:val="004C7B8B"/>
    <w:rsid w:val="004D1928"/>
    <w:rsid w:val="004D6A3A"/>
    <w:rsid w:val="004D7673"/>
    <w:rsid w:val="004E40DC"/>
    <w:rsid w:val="004E7EED"/>
    <w:rsid w:val="004F4AD7"/>
    <w:rsid w:val="00507B69"/>
    <w:rsid w:val="005432FE"/>
    <w:rsid w:val="00543BB8"/>
    <w:rsid w:val="00544E15"/>
    <w:rsid w:val="0054755A"/>
    <w:rsid w:val="00552F10"/>
    <w:rsid w:val="00556CEA"/>
    <w:rsid w:val="00557CD3"/>
    <w:rsid w:val="005622ED"/>
    <w:rsid w:val="00571432"/>
    <w:rsid w:val="005732A2"/>
    <w:rsid w:val="005762A5"/>
    <w:rsid w:val="00590BA3"/>
    <w:rsid w:val="005A19B6"/>
    <w:rsid w:val="005A6326"/>
    <w:rsid w:val="005A766D"/>
    <w:rsid w:val="005A7B0C"/>
    <w:rsid w:val="005B46D9"/>
    <w:rsid w:val="005B7AE0"/>
    <w:rsid w:val="005C0E30"/>
    <w:rsid w:val="005D5CB8"/>
    <w:rsid w:val="005E23F5"/>
    <w:rsid w:val="005E35E8"/>
    <w:rsid w:val="005F146F"/>
    <w:rsid w:val="005F71B6"/>
    <w:rsid w:val="006044FA"/>
    <w:rsid w:val="00606FB5"/>
    <w:rsid w:val="00607F52"/>
    <w:rsid w:val="006166D7"/>
    <w:rsid w:val="00645427"/>
    <w:rsid w:val="00646256"/>
    <w:rsid w:val="00650448"/>
    <w:rsid w:val="00654786"/>
    <w:rsid w:val="00660FD4"/>
    <w:rsid w:val="00664786"/>
    <w:rsid w:val="006659B8"/>
    <w:rsid w:val="00665BE4"/>
    <w:rsid w:val="00684866"/>
    <w:rsid w:val="00696419"/>
    <w:rsid w:val="006A366C"/>
    <w:rsid w:val="006A3954"/>
    <w:rsid w:val="006A4425"/>
    <w:rsid w:val="006B00A4"/>
    <w:rsid w:val="006B4669"/>
    <w:rsid w:val="006B60CD"/>
    <w:rsid w:val="006C1715"/>
    <w:rsid w:val="006D2174"/>
    <w:rsid w:val="006D2F88"/>
    <w:rsid w:val="006D3CFA"/>
    <w:rsid w:val="006D6265"/>
    <w:rsid w:val="006F6BF8"/>
    <w:rsid w:val="00707BDF"/>
    <w:rsid w:val="00710727"/>
    <w:rsid w:val="00710B2E"/>
    <w:rsid w:val="00714960"/>
    <w:rsid w:val="00715F45"/>
    <w:rsid w:val="00731815"/>
    <w:rsid w:val="00731A42"/>
    <w:rsid w:val="00731B84"/>
    <w:rsid w:val="00733352"/>
    <w:rsid w:val="00734AE7"/>
    <w:rsid w:val="00743694"/>
    <w:rsid w:val="00754359"/>
    <w:rsid w:val="00784106"/>
    <w:rsid w:val="00790EF2"/>
    <w:rsid w:val="0079344E"/>
    <w:rsid w:val="00794B12"/>
    <w:rsid w:val="00797C00"/>
    <w:rsid w:val="007A7421"/>
    <w:rsid w:val="007B6E93"/>
    <w:rsid w:val="007C093A"/>
    <w:rsid w:val="007C7E42"/>
    <w:rsid w:val="007D012A"/>
    <w:rsid w:val="007D5B04"/>
    <w:rsid w:val="007E197F"/>
    <w:rsid w:val="007E1E9C"/>
    <w:rsid w:val="007E605D"/>
    <w:rsid w:val="007E7071"/>
    <w:rsid w:val="007F364D"/>
    <w:rsid w:val="007F56C9"/>
    <w:rsid w:val="007F68C4"/>
    <w:rsid w:val="00805B53"/>
    <w:rsid w:val="008153DE"/>
    <w:rsid w:val="0083076F"/>
    <w:rsid w:val="008379FE"/>
    <w:rsid w:val="00852A10"/>
    <w:rsid w:val="0085543A"/>
    <w:rsid w:val="00862634"/>
    <w:rsid w:val="008639EB"/>
    <w:rsid w:val="00866C59"/>
    <w:rsid w:val="00877306"/>
    <w:rsid w:val="00885524"/>
    <w:rsid w:val="00895B22"/>
    <w:rsid w:val="008A42F0"/>
    <w:rsid w:val="008A6242"/>
    <w:rsid w:val="008B4BC6"/>
    <w:rsid w:val="008C19C5"/>
    <w:rsid w:val="008D292C"/>
    <w:rsid w:val="008E48F9"/>
    <w:rsid w:val="008F2DBB"/>
    <w:rsid w:val="008F6743"/>
    <w:rsid w:val="00901E57"/>
    <w:rsid w:val="009070DF"/>
    <w:rsid w:val="009134AF"/>
    <w:rsid w:val="0092218E"/>
    <w:rsid w:val="009320F3"/>
    <w:rsid w:val="00935F0E"/>
    <w:rsid w:val="00945899"/>
    <w:rsid w:val="00951746"/>
    <w:rsid w:val="0095208F"/>
    <w:rsid w:val="00977573"/>
    <w:rsid w:val="00977B3F"/>
    <w:rsid w:val="009814AE"/>
    <w:rsid w:val="0098798C"/>
    <w:rsid w:val="009901D3"/>
    <w:rsid w:val="00996BBE"/>
    <w:rsid w:val="009B1601"/>
    <w:rsid w:val="009B2C03"/>
    <w:rsid w:val="009B435C"/>
    <w:rsid w:val="009C3A21"/>
    <w:rsid w:val="009C6F7F"/>
    <w:rsid w:val="009D04AA"/>
    <w:rsid w:val="009D17B9"/>
    <w:rsid w:val="009D1DD5"/>
    <w:rsid w:val="009E0853"/>
    <w:rsid w:val="009F722C"/>
    <w:rsid w:val="00A10BD5"/>
    <w:rsid w:val="00A1394F"/>
    <w:rsid w:val="00A26157"/>
    <w:rsid w:val="00A265C3"/>
    <w:rsid w:val="00A360F4"/>
    <w:rsid w:val="00A3648F"/>
    <w:rsid w:val="00A42D6D"/>
    <w:rsid w:val="00A43F9A"/>
    <w:rsid w:val="00A53F38"/>
    <w:rsid w:val="00A543D4"/>
    <w:rsid w:val="00A55222"/>
    <w:rsid w:val="00A55618"/>
    <w:rsid w:val="00A74016"/>
    <w:rsid w:val="00A75313"/>
    <w:rsid w:val="00A82320"/>
    <w:rsid w:val="00A85A54"/>
    <w:rsid w:val="00A94145"/>
    <w:rsid w:val="00AA0760"/>
    <w:rsid w:val="00AB3062"/>
    <w:rsid w:val="00AB5699"/>
    <w:rsid w:val="00AB5717"/>
    <w:rsid w:val="00AC0601"/>
    <w:rsid w:val="00AC1139"/>
    <w:rsid w:val="00AC7F8C"/>
    <w:rsid w:val="00AD0014"/>
    <w:rsid w:val="00AD4675"/>
    <w:rsid w:val="00AD4CF2"/>
    <w:rsid w:val="00AF0BBA"/>
    <w:rsid w:val="00AF6A3D"/>
    <w:rsid w:val="00B25159"/>
    <w:rsid w:val="00B30468"/>
    <w:rsid w:val="00B44E31"/>
    <w:rsid w:val="00B50CCF"/>
    <w:rsid w:val="00B53001"/>
    <w:rsid w:val="00B54689"/>
    <w:rsid w:val="00B657E6"/>
    <w:rsid w:val="00B80767"/>
    <w:rsid w:val="00B965B8"/>
    <w:rsid w:val="00BA4F7E"/>
    <w:rsid w:val="00BA51B8"/>
    <w:rsid w:val="00BB2C41"/>
    <w:rsid w:val="00BC3105"/>
    <w:rsid w:val="00BC55C8"/>
    <w:rsid w:val="00BC5C10"/>
    <w:rsid w:val="00BC65CC"/>
    <w:rsid w:val="00BD54D9"/>
    <w:rsid w:val="00BE1CBE"/>
    <w:rsid w:val="00BE2964"/>
    <w:rsid w:val="00BE6407"/>
    <w:rsid w:val="00BF1033"/>
    <w:rsid w:val="00BF1C17"/>
    <w:rsid w:val="00BF59D5"/>
    <w:rsid w:val="00C13AAC"/>
    <w:rsid w:val="00C13D4F"/>
    <w:rsid w:val="00C21623"/>
    <w:rsid w:val="00C23EDE"/>
    <w:rsid w:val="00C24FBD"/>
    <w:rsid w:val="00C2792D"/>
    <w:rsid w:val="00C42DA8"/>
    <w:rsid w:val="00C45E5D"/>
    <w:rsid w:val="00C473BA"/>
    <w:rsid w:val="00C56025"/>
    <w:rsid w:val="00C57D60"/>
    <w:rsid w:val="00C611ED"/>
    <w:rsid w:val="00C6490A"/>
    <w:rsid w:val="00C64FE1"/>
    <w:rsid w:val="00C726D2"/>
    <w:rsid w:val="00C74296"/>
    <w:rsid w:val="00C8345E"/>
    <w:rsid w:val="00C847EE"/>
    <w:rsid w:val="00C875D1"/>
    <w:rsid w:val="00CA2463"/>
    <w:rsid w:val="00CA5F7C"/>
    <w:rsid w:val="00CB4D11"/>
    <w:rsid w:val="00CC6169"/>
    <w:rsid w:val="00CC77A9"/>
    <w:rsid w:val="00CD381B"/>
    <w:rsid w:val="00CD6692"/>
    <w:rsid w:val="00CE5102"/>
    <w:rsid w:val="00CF1A96"/>
    <w:rsid w:val="00D211DB"/>
    <w:rsid w:val="00D224B6"/>
    <w:rsid w:val="00D42C12"/>
    <w:rsid w:val="00D4636B"/>
    <w:rsid w:val="00D51067"/>
    <w:rsid w:val="00D70238"/>
    <w:rsid w:val="00D75657"/>
    <w:rsid w:val="00D76E01"/>
    <w:rsid w:val="00D7709C"/>
    <w:rsid w:val="00D80F30"/>
    <w:rsid w:val="00D960AD"/>
    <w:rsid w:val="00D96BFD"/>
    <w:rsid w:val="00DA0E0E"/>
    <w:rsid w:val="00DA2D20"/>
    <w:rsid w:val="00DB0535"/>
    <w:rsid w:val="00DB0885"/>
    <w:rsid w:val="00DB0C39"/>
    <w:rsid w:val="00DB1329"/>
    <w:rsid w:val="00DB7679"/>
    <w:rsid w:val="00DC5058"/>
    <w:rsid w:val="00DC7666"/>
    <w:rsid w:val="00DD32B1"/>
    <w:rsid w:val="00DE001A"/>
    <w:rsid w:val="00DE042A"/>
    <w:rsid w:val="00DE24E6"/>
    <w:rsid w:val="00DF1702"/>
    <w:rsid w:val="00DF4DD8"/>
    <w:rsid w:val="00DF668E"/>
    <w:rsid w:val="00E0035F"/>
    <w:rsid w:val="00E03570"/>
    <w:rsid w:val="00E04826"/>
    <w:rsid w:val="00E14D2B"/>
    <w:rsid w:val="00E205E5"/>
    <w:rsid w:val="00E20DBA"/>
    <w:rsid w:val="00E22827"/>
    <w:rsid w:val="00E31ECD"/>
    <w:rsid w:val="00E40753"/>
    <w:rsid w:val="00E42A55"/>
    <w:rsid w:val="00E45D0C"/>
    <w:rsid w:val="00E511DE"/>
    <w:rsid w:val="00E6524A"/>
    <w:rsid w:val="00E660D6"/>
    <w:rsid w:val="00E6688A"/>
    <w:rsid w:val="00E67DB8"/>
    <w:rsid w:val="00E73955"/>
    <w:rsid w:val="00E75763"/>
    <w:rsid w:val="00E771AB"/>
    <w:rsid w:val="00E77877"/>
    <w:rsid w:val="00E90140"/>
    <w:rsid w:val="00E931D2"/>
    <w:rsid w:val="00E9358A"/>
    <w:rsid w:val="00EA5C25"/>
    <w:rsid w:val="00EA796F"/>
    <w:rsid w:val="00EB077B"/>
    <w:rsid w:val="00EB4074"/>
    <w:rsid w:val="00EC50B9"/>
    <w:rsid w:val="00EC5E2C"/>
    <w:rsid w:val="00ED26A0"/>
    <w:rsid w:val="00ED5DB7"/>
    <w:rsid w:val="00EF557E"/>
    <w:rsid w:val="00F1727A"/>
    <w:rsid w:val="00F17F83"/>
    <w:rsid w:val="00F27325"/>
    <w:rsid w:val="00F34764"/>
    <w:rsid w:val="00F53D14"/>
    <w:rsid w:val="00F54E3C"/>
    <w:rsid w:val="00F556E0"/>
    <w:rsid w:val="00F56AA7"/>
    <w:rsid w:val="00F60BB0"/>
    <w:rsid w:val="00F73227"/>
    <w:rsid w:val="00F85E75"/>
    <w:rsid w:val="00F86533"/>
    <w:rsid w:val="00F874BD"/>
    <w:rsid w:val="00FB1D0B"/>
    <w:rsid w:val="00FB1FA9"/>
    <w:rsid w:val="00FB2D9E"/>
    <w:rsid w:val="00FC71E8"/>
    <w:rsid w:val="00FC76AF"/>
    <w:rsid w:val="00FD0272"/>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0D4712"/>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3</TotalTime>
  <Pages>11</Pages>
  <Words>3287</Words>
  <Characters>17882</Characters>
  <Application>Microsoft Office Outlook</Application>
  <DocSecurity>4</DocSecurity>
  <Lines>313</Lines>
  <Paragraphs>96</Paragraphs>
  <ScaleCrop>false</ScaleCrop>
  <HeadingPairs>
    <vt:vector size="2" baseType="variant">
      <vt:variant>
        <vt:lpstr>العنوان</vt:lpstr>
      </vt:variant>
      <vt:variant>
        <vt:i4>1</vt:i4>
      </vt:variant>
    </vt:vector>
  </HeadingPairs>
  <TitlesOfParts>
    <vt:vector size="1" baseType="lpstr">
      <vt:lpstr>CERD/C/SVK/CO/9-10</vt:lpstr>
    </vt:vector>
  </TitlesOfParts>
  <Company>CSD</Company>
  <LinksUpToDate>false</LinksUpToDate>
  <CharactersWithSpaces>21073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CERD/C/SVK/CO/9-10</dc:title>
  <dc:subject>Khudhairi-Emara</dc:subject>
  <dc:creator>Mervat</dc:creator>
  <cp:keywords/>
  <dc:description/>
  <cp:lastModifiedBy>Mervat</cp:lastModifiedBy>
  <cp:revision>2</cp:revision>
  <cp:lastPrinted>2013-05-10T07:57:00Z</cp:lastPrinted>
  <dcterms:created xsi:type="dcterms:W3CDTF">2013-05-10T12:27:00Z</dcterms:created>
  <dcterms:modified xsi:type="dcterms:W3CDTF">2013-05-10T12:27:00Z</dcterms:modified>
</cp:coreProperties>
</file>