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85pt;margin-top:714.15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43448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220807    230807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9"/>
        <w:gridCol w:w="4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9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351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Borders>
          <w:bottom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4768"/>
        <w:gridCol w:w="31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55442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6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108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CCPR/C/ZMB/CO/3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9 August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КОМИТЕТ ПО ПРАВАМ ЧЕЛОВЕКА</w:t>
      </w:r>
    </w:p>
    <w:p w:rsidR="00000000" w:rsidRDefault="00000000">
      <w:pPr>
        <w:rPr>
          <w:b/>
          <w:bCs/>
        </w:rPr>
      </w:pPr>
      <w:r>
        <w:rPr>
          <w:b/>
          <w:bCs/>
        </w:rPr>
        <w:t>Девяностая сессия</w:t>
      </w:r>
    </w:p>
    <w:p w:rsidR="00000000" w:rsidRDefault="00000000">
      <w:pPr>
        <w:rPr>
          <w:b/>
          <w:bCs/>
        </w:rPr>
      </w:pPr>
      <w:r>
        <w:rPr>
          <w:b/>
          <w:bCs/>
        </w:rPr>
        <w:t>9-27 июля 2007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40 ПАКТА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правам человека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ЗАМБИЯ</w:t>
      </w:r>
    </w:p>
    <w:p w:rsidR="00000000" w:rsidRDefault="00000000">
      <w:pPr>
        <w:spacing w:line="240" w:lineRule="auto"/>
      </w:pPr>
    </w:p>
    <w:p w:rsidR="00000000" w:rsidRDefault="00000000">
      <w:r>
        <w:t>1.</w:t>
      </w:r>
      <w:r>
        <w:tab/>
        <w:t>Комитет по правам человека рассмотрел третий периодический доклад Замбии (</w:t>
      </w:r>
      <w:proofErr w:type="spellStart"/>
      <w:r>
        <w:rPr>
          <w:lang w:val="en-US"/>
        </w:rPr>
        <w:t>CCPR</w:t>
      </w:r>
      <w:proofErr w:type="spellEnd"/>
      <w:r>
        <w:t>/</w:t>
      </w:r>
      <w:r>
        <w:rPr>
          <w:lang w:val="en-US"/>
        </w:rPr>
        <w:t>C</w:t>
      </w:r>
      <w:r>
        <w:t>/</w:t>
      </w:r>
      <w:proofErr w:type="spellStart"/>
      <w:r>
        <w:rPr>
          <w:lang w:val="en-US"/>
        </w:rPr>
        <w:t>ZMB</w:t>
      </w:r>
      <w:proofErr w:type="spellEnd"/>
      <w:r>
        <w:t>/3) на своих 2454-м и 2455-м заседаниях, состоявшихся 9 и 10 июля 2007 года (</w:t>
      </w:r>
      <w:proofErr w:type="spellStart"/>
      <w:r>
        <w:rPr>
          <w:lang w:val="en-US"/>
        </w:rPr>
        <w:t>CCPR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 2454 и 2455).  На своем 2471-м заседании 20 июля 2007 года (</w:t>
      </w:r>
      <w:proofErr w:type="spellStart"/>
      <w:r>
        <w:rPr>
          <w:lang w:val="en-US"/>
        </w:rPr>
        <w:t>CCPR</w:t>
      </w:r>
      <w:proofErr w:type="spellEnd"/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 2471) он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/>
    <w:p w:rsidR="00000000" w:rsidRDefault="00000000">
      <w:r>
        <w:t>2.</w:t>
      </w:r>
      <w:r>
        <w:tab/>
        <w:t>Комитет приветствует представление государством-участником, пусть даже и с запозданием, третьего периодического доклада и открывающуюся таким образом возможность возобновления с ним диалога.  В дальнейшем государство-участник должно представлять свои доклады в соответствии с установленной Комитетом периодичностью.</w:t>
      </w:r>
    </w:p>
    <w:p w:rsidR="00000000" w:rsidRDefault="00000000"/>
    <w:p w:rsidR="00000000" w:rsidRDefault="00000000">
      <w:r>
        <w:t>3.</w:t>
      </w:r>
      <w:r>
        <w:tab/>
        <w:t xml:space="preserve">Комитет с удовлетворением принимает к сведению заблаговременно представленные делегацией письменные ответы, а также подробные ответы, которые она дала на устные вопросы Комитета.  Комитет особо отмечает, что государство-участник в своем периодическом докладе и в ходе диалога с Комитетом признало трудности, с которыми оно сталкивается в деле осуществления Пакта.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page"/>
        <w:t>В.</w:t>
      </w:r>
      <w:r>
        <w:rPr>
          <w:b/>
          <w:bCs/>
        </w:rPr>
        <w:tab/>
        <w:t>Позитивные аспекты</w:t>
      </w:r>
    </w:p>
    <w:p w:rsidR="00000000" w:rsidRDefault="00000000"/>
    <w:p w:rsidR="00000000" w:rsidRDefault="00000000">
      <w:r>
        <w:t>4.</w:t>
      </w:r>
      <w:r>
        <w:tab/>
        <w:t>Комитет приветствует:</w:t>
      </w:r>
    </w:p>
    <w:p w:rsidR="00000000" w:rsidRDefault="00000000"/>
    <w:p w:rsidR="00000000" w:rsidRDefault="00000000">
      <w:r>
        <w:tab/>
        <w:t>а)</w:t>
      </w:r>
      <w:r>
        <w:tab/>
        <w:t>организацию в 1996 году Комиссии Замбии по правам человека, на которую возложена ответственность за поощрение и защиту прав человека;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создание в 1999 году Органа по рассмотрению жалоб на действия полиции для расследования жалоб на случаи злоупотребления властью, незаконного задержания, жестокого обращения или применения пыток, непрофессионального поведения, кончины в местах лишения свободы и участия сотрудников полиции в возвращении долгов.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отмечает, что Замбия добилась существенных успехов в снижении уровня материнской смертности.</w:t>
      </w:r>
    </w:p>
    <w:p w:rsidR="00000000" w:rsidRDefault="00000000"/>
    <w:p w:rsidR="00000000" w:rsidRDefault="00000000">
      <w:r>
        <w:t>6.</w:t>
      </w:r>
      <w:r>
        <w:tab/>
        <w:t>Комитет приветствует отмену телесных наказаний в результате внесения поправок в Уголовный кодекс, Уголовно-процессуальный кодекс, Закон о тюрьмах и Закон об образовании.</w:t>
      </w:r>
    </w:p>
    <w:p w:rsidR="00000000" w:rsidRDefault="00000000"/>
    <w:p w:rsidR="00000000" w:rsidRDefault="00000000">
      <w:r>
        <w:t>7.</w:t>
      </w:r>
      <w:r>
        <w:tab/>
        <w:t xml:space="preserve">Комитет с удовлетворением отмечает возросшую </w:t>
      </w:r>
      <w:proofErr w:type="spellStart"/>
      <w:r>
        <w:t>представленность</w:t>
      </w:r>
      <w:proofErr w:type="spellEnd"/>
      <w:r>
        <w:t xml:space="preserve"> женщин в парламенте, на уровне министров и на государственной службе и предлагает государству-участнику наращивать свои усилия на этом направлении.</w:t>
      </w:r>
    </w:p>
    <w:p w:rsidR="00000000" w:rsidRDefault="00000000"/>
    <w:p w:rsidR="00000000" w:rsidRDefault="00000000">
      <w:r>
        <w:t>8.</w:t>
      </w:r>
      <w:r>
        <w:tab/>
        <w:t>Комитет с удовлетворением принимает к сведению тот факт, что согласно Закону о выборах № 12 2006 года вводится 180-дневный срок, в течение которого суды обязаны рассматривать обращения о пересмотре результатов выборов и принимать по ним решения.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вызывающие обеспокоенность вопросы и заключительные замечания</w:t>
      </w:r>
    </w:p>
    <w:p w:rsidR="00000000" w:rsidRDefault="00000000"/>
    <w:p w:rsidR="00000000" w:rsidRDefault="00000000">
      <w:r>
        <w:t>9.</w:t>
      </w:r>
      <w:r>
        <w:tab/>
        <w:t>Комитет отмечает, что сам Пакт не имеет прямого применения во внутреннем праве государства-участника, и выражает обеспокоенность в связи с тем, что не все предусмотренные в Пакте права включены в Конституцию и законы, либо не признаются в них должным образом.  Комитет обеспокоен тем, что процесс согласования внутреннего права с положениями Пакта так и не был завершен со времени последнего рассмотрения доклада этого государства-участника в 1996 году.  Он также отмечает отсутствие каких-либо планов завершения этого процесса.  (статья 2)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На данном этапе государство-участник обязано обеспечить своевременное согласование своего внутреннего законодательства с Пактом.  Ему также следует принять в рамках процесса пересмотра Конституции меры для повышения уровня осведомленности широкой общественности о международных обязательствах, которые государство-участник приняло на себя в результате ратификации Пакта. </w:t>
      </w:r>
    </w:p>
    <w:p w:rsidR="00000000" w:rsidRDefault="00000000">
      <w:pPr>
        <w:ind w:left="567" w:hanging="567"/>
      </w:pPr>
    </w:p>
    <w:p w:rsidR="00000000" w:rsidRDefault="00000000">
      <w:r>
        <w:t>10.</w:t>
      </w:r>
      <w:r>
        <w:tab/>
        <w:t>Комитет с обеспокоенностью отмечает, что Комиссии Замбии по правам человека не хватает средств для надлежащего осуществления своей деятельности и что без прямого согласия Президента она не имеет права получать финансовую поддержку от международных учреждений или из какого бы то ни было другого источника.  Комитет, к сожалению, не получил достаточной информации о том, правомочна ли Комиссия обнародовать и распространять свои доклады и рекомендации.  (статья 2)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Государству-участнику надлежит принять все необходимые меры для увеличения бюджетных ресурсов Комиссии Замбии по правам человека, с тем чтобы она могла эффективно выполнять возложенные на нее функции.  Оно должно обеспечить, чтобы Комиссия могла по своему усмотрению запрашивать и получать средства от международных учреждений или из каких бы то ни было других источников.  Государству-участнику предлагается расширить полномочия и повысить статус Комиссии.  Ему также надлежит обеспечить приведение правил, регулирующих деятельность Комиссии, в полное соответствие с Принципами, касающимися статуса национальных учреждений по поощрению и защите прав человека (Парижские принципы, принятые в резолюции 48/134 Генеральной Ассамблеи от 20 декабря 1993 года).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11.</w:t>
      </w:r>
      <w:r>
        <w:tab/>
        <w:t>Комитет с озабоченностью отмечает, что государство-участник не приняло мер по реализации соображений Комитета по сообщению № 390/1990 (</w:t>
      </w:r>
      <w:r>
        <w:rPr>
          <w:i/>
          <w:iCs/>
        </w:rPr>
        <w:t>Бернар Лубуто против Замбии</w:t>
      </w:r>
      <w:r>
        <w:t>) до кончины истца в ожидании исполнения смертного приговора.  Он также принимает к сведению поступившую от делегации информацию о выплате компенсации жертве в соответствии с рекомендацией Комитета, содержащейся в его соображениях по сообщению № 856/1999 (</w:t>
      </w:r>
      <w:r>
        <w:rPr>
          <w:i/>
          <w:iCs/>
        </w:rPr>
        <w:t>Алекс Сотели Чамбала против Замбии</w:t>
      </w:r>
      <w:r>
        <w:t>), выражая, однако, при этом сожаление в связи с тем, что эта информация по</w:t>
      </w:r>
      <w:r>
        <w:noBreakHyphen/>
        <w:t>прежнему остается недостаточно подробной.  Он также с сожалением отмечает, что не получил информации о принятых мерах для недопущения повторения в будущем подобных нарушений, как это было рекомендовано Комитетом.  (статья 2)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принять меры по выполнению рекомендаций Комитета в отношении вышеупомянутых дел и как можно скорее проинформировать о них Комитет.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12.</w:t>
      </w:r>
      <w:r>
        <w:tab/>
        <w:t xml:space="preserve">Комитет подчеркивает свою обеспокоенность тем, что исключения из права не подвергаться дискриминации, предусматриваемые в статье 23 Конституции, не соответствуют статьям 2, 3 и 26 Пакта.  Комитет, в частности, обеспокоен исключениями в отношении  а)  неграждан;  </w:t>
      </w:r>
      <w:r>
        <w:rPr>
          <w:lang w:val="en-US"/>
        </w:rPr>
        <w:t>b</w:t>
      </w:r>
      <w:r>
        <w:t>)  усыновления, брака, развода, похорон, передачи права собственности в случае смерти и других случаев, относящихся к сфере персонального права;  и с)  применения норм обычного права.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пересмотреть статью 23 Конституции в целях приведения ее в соответствие со статьями 2, 3 и 26 Пакта.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13.</w:t>
      </w:r>
      <w:r>
        <w:tab/>
        <w:t>Комитет с интересом отмечает принимаемые государством-участником меры по пересмотру и кодификации норм обычного права.  Вместе с тем он по</w:t>
      </w:r>
      <w:r>
        <w:noBreakHyphen/>
        <w:t>прежнему обеспокоен продолжающимся применением на фоне вышеупомянутых мер обычной практики, наносящей серьезный ущерб правам женщин, в частности, дискриминацией в вопросах брака и развода, ранних браков и беременности, выкупа за невесту и полигамии, а также ограничениями свободы передвижения женщин, которые, согласно поступившим сообщениям, якобы имеют место. (статьи 2 и 3)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Государству-участнику надлежит принимать более решительные меры по обеспечению соответствия норм и практики обычного права провозглашенным в Пакте правам и рассматривать этот вопрос в качестве первоочередного.  Ему следует уделять повышенное внимание обеспечению полноценного участия женщин в текущем процессе пересмотра и кодификации норм и практики обычного права.  Оно должно принять незамедлительные и конкретные меры для воспрепятствования дальнейшему применению обычной практики, наносящей серьезной ущерб интересам женщин.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14.</w:t>
      </w:r>
      <w:r>
        <w:tab/>
        <w:t>Комитет с обеспокоенностью отмечает, что преимущественная сила статутного права по сравнению с обычным правом на практике обеспечивается не всегда, в частности, в связи с низким уровнем информированности общественности о ее правах, например о праве обжаловать решения судов системы обычного права в судах системы статутного права, а также в связи с тем, что вопреки усилиям государства-участника сотрудники системы отправления правосудия на местном уровне не проходят достаточной подготовки.  (статьи 2 и 3)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Государство-участник должно  расширить свою деятельность по повышению осведомленности общественности о преимущественной силе статутного права по сравнению с нормами и практикой обычного права, а также о праве на обжалование в судах системы статутного права.  Оно также должно обеспечить ознакомление всех сотрудников системы отправления правосудия на местном уровне с закрепленными в Пакте правами и, в частности, поощрять их к соблюдению права каждого не подвергаться дискриминации.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15.</w:t>
      </w:r>
      <w:r>
        <w:tab/>
        <w:t>Комитет вновь заявляет о том, что обеспокоен нечеткостью законодательных положений, регулирующих введение чрезвычайного положения и порядок управления им.  В частности, он отмечает, что согласно статье 25 Конституции в определенных случаях допускаются отступления от некоторых прав, которые, согласно статье 4 Пакта, не подлежат никаким ограничениям.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Государство-участник должно привести статью 25 Конституции в соответствие со статьей 4 Пакта.  Ему также следует создать механизм, на основе которого оно информировало бы другие государства - участники Пакта через посредство Генерального секретаря Организации Объединенных Наций о правах, от которых оно отступило во время чрезвычайного положения, как этого требует пункт 3 статьи 4 Пакта.</w:t>
      </w:r>
    </w:p>
    <w:p w:rsidR="00000000" w:rsidRDefault="00000000">
      <w:pPr>
        <w:ind w:left="561" w:hanging="561"/>
        <w:rPr>
          <w:b/>
          <w:bCs/>
        </w:rPr>
      </w:pPr>
    </w:p>
    <w:p w:rsidR="00000000" w:rsidRDefault="00000000">
      <w:r>
        <w:t>16.</w:t>
      </w:r>
      <w:r>
        <w:tab/>
        <w:t>Комитет принимает к сведению, что государство-участник в настоящее время рассматривает вопрос о возможности принятия законодательства о борьбе с терроризмом.  (статьи 2 и 4)</w:t>
      </w:r>
    </w:p>
    <w:p w:rsidR="00000000" w:rsidRDefault="00000000"/>
    <w:p w:rsidR="00000000" w:rsidRDefault="00000000">
      <w:pPr>
        <w:ind w:left="561" w:hanging="561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обеспечивать, чтобы провозглашенные в Пакте права, и в частности его положения, регулирующие вопросы ограничения таких прав и отступления от них, полностью учитывались при принятии нормативных положений и законов о борьбе с терроризмом.  Оно также должно исходить из необходимости четкого и узкого определения террористических актов.</w:t>
      </w:r>
    </w:p>
    <w:p w:rsidR="00000000" w:rsidRDefault="00000000"/>
    <w:p w:rsidR="00000000" w:rsidRDefault="00000000">
      <w:r>
        <w:t>17.</w:t>
      </w:r>
      <w:r>
        <w:tab/>
        <w:t xml:space="preserve">Комитет с глубоким удовлетворением отмечает тот факт, что с 1997 года в Зимбабве действует </w:t>
      </w:r>
      <w:r>
        <w:rPr>
          <w:i/>
          <w:iCs/>
        </w:rPr>
        <w:t>мораторий на смертную казнь</w:t>
      </w:r>
      <w:r>
        <w:t xml:space="preserve"> и что многие смертные приговоры заменены тюремным заключением, однако он обеспокоен большим количеством лиц, по отношению к которым смертный приговор еще остается в силе.  Комитет принимает к сведению прошедшую общественную дискуссию по вопросу смертной казни, даже несмотря на некоторые сведения о том, что она не в полной мере подкреплялась надлежащими документами.  Комитет также вновь напоминает о своем мнении, согласно которому установление смертной казни в виде единственно возможной меры наказания за вооруженное ограбление с отягчающими обстоятельствами является нарушением пункта 2 статьи 6 Пакта.  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 xml:space="preserve">Государству-участнику следует пересмотреть Уголовный кодекс, с тем чтобы наказание в виде смертной казни применялось только в отношении самых тяжких преступлений, к которым, в частности, не относится вооруженное ограбление с отягчающими обстоятельствами.  Оно должно обеспечивать, чтобы публичное обсуждение вопроса о смертной казни проводилось на основе исчерпывающего освещения всех аспектов данного вопроса и особенно важности достижения прогресса в осуществлении права на жизнь и целесообразности последующей ратификации второго Факультативного протокола к Пакту.  Государству-участнику следует также рассмотреть возможность замены смертных приговоров всем лицам, которые в настоящее время ожидают их исполнения.  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18.</w:t>
      </w:r>
      <w:r>
        <w:tab/>
        <w:t>Комитет обеспокоен тем, что, несмотря на достигнутый прогресс, уровень материнской смертности в Зимбабве продолжает оставаться высоким.  Принимая во внимание значительные усилия государства-участника в области рождаемости, Комитет, тем не менее, озабочен требованием о получении от трех врачей согласия на аборт, которое может стать существенным препятствием для женщин, желающим сделать законный и, следовательно, безопасный аборт.  (статья 6)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предлагается активизировать усилия по сокращению материнской смертности.  Ему следует изменить законодательство об абортах, с тем чтобы помочь женщинам избегать нежелательной беременности и не прибегать к опасным для жизни незаконным абортам.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19.</w:t>
      </w:r>
      <w:r>
        <w:tab/>
        <w:t>Комитет обеспокоен тем, что, вопреки многочисленным и успешным мерам по борьбе с насилием и сексуальными надругательствами в отношении женщин, эти явления по</w:t>
      </w:r>
      <w:r>
        <w:noBreakHyphen/>
        <w:t>прежнему остаются серьезной проблемой в Замбии.  Он выражает обеспокоенность тем, что на практике случаи непристойных посягательств, совращения и изнасилования, как правило, считаются относящимися к обычному праву и в этой связи часто рассматриваются не уголовными судами, а судами системы обычного права.  Кроме того, Комитет с особой озабоченностью воспринял информацию о том, что несовершеннолетние девушки подвергаются опасности надругательств при поездках в школу, а также непосредственно в самих школах.  (статьи 3, 6 и 7)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Государству-участнику предлагается принять значительно более эффективные меры по борьбе с насилием в отношении женщин и обеспечить рассмотрение таких случаев на надлежащей и системной основе.  В частности, ему предлагается расширить подготовку персонала Бюро по оказанию помощи жертвам и сотрудников полиции по вопросам насилия в отношении женщин, включая сексуальные надругательства и насилие в семье.  Государство-участник должно также принять целевое законодательство о криминализации насилия в семье, а также незамедлительные конкретные меры по борьбе с сексуальным насилием в отношении несовершеннолетних девушек при посещении школы.</w:t>
      </w:r>
    </w:p>
    <w:p w:rsidR="00000000" w:rsidRDefault="00000000">
      <w:pPr>
        <w:ind w:left="567"/>
        <w:rPr>
          <w:b/>
          <w:bCs/>
        </w:rPr>
      </w:pPr>
    </w:p>
    <w:p w:rsidR="00000000" w:rsidRDefault="00000000">
      <w:r>
        <w:t>20.</w:t>
      </w:r>
      <w:r>
        <w:tab/>
        <w:t>Принимая во внимание, что по Закону о тюрьмах совершение акта насилия в отношении заключенного является преступлением, Комитет, тем не менее, выражает сожаление по поводу того, что не получил информации о практических аспектах осуществления этого закона.  Комитет с удовлетворением принимает к сведению, что право посещать и инспектировать тюрьмы имеют судьи, которые официально уполномочены встречаться с заключенными и контролировать деятельность тюрем, а также члены Комиссии по правам человека, однако с сожалением отмечает, что не получил какой-либо информации о качественной оценке эффективности таких посещений.  Учитывая, что по действующим законам сотрудники мужского пола не могут охранять заключенных женского пола, Комитет, тем не менее, заявляет о своей обеспокоенности сведениями о том, что это правило иногда нарушается из-за нехватки в полицейских участках и тюрьмах соответствующих сотрудниц.  (статья 7)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Государство-участник должно обеспечивать надлежащее расследование и наказание любого акта насилия в отношении заключенного и не допускать, чтобы сотрудники мужского пола охраняли женщин, находящихся под стражей в полиции или в тюрьмах.  Оно должно направить в Комитет более подробную информацию о действующей системе приема жалоб от заключенных, пострадавших от актов насилия.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21.</w:t>
      </w:r>
      <w:r>
        <w:tab/>
        <w:t>Принимая к сведению усилия государства-участника по введению практики наложения взысканий на сотрудников полиции за совершение актов пыток или жестокого обращения, Комитет вместе с тем выражает сожаление по поводу того, что не получил достаточно подробной информации о случаях возбуждения уголовного преследования, вынесения обвинительных заключений и приговоров, а также о выплаченных в связи с такими актами компенсациях.  (статья 7)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Государство-участник должно обеспечивать в рамках своего уголовного законодательства надлежащее обстоятельное расследование, уголовное преследование и наказание по каждому случаю применения пыток или жестокого обращения, а также предоставление пострадавшим соответствующего возмещения, включая компенсацию.  В поддержку такой политики государству-участнику следует рассмотреть вопрос о криминализации как таковых пыток, а также жестокого, бесчеловечного или унижающего достоинство обращения.  Государству-участнику также предлагается существенно расширить свои усилия по обеспечению надлежащей подготовки следователей полиции по методам проведения расследований и по вопросам прав человека, а также предоставить в их распоряжение необходимые технические средства для следственной деятельности.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22.</w:t>
      </w:r>
      <w:r>
        <w:tab/>
        <w:t>Комитет по</w:t>
      </w:r>
      <w:r>
        <w:noBreakHyphen/>
        <w:t>прежнему испытывает обеспокоенность по поводу информации об отсутствии ясности в вопросе юридического признания прав родителей и педагогов на наказание детей, что ставит под сомнение возможность их полноценной защиты от ненадлежащего обращения.  Он также озабочен тем, что дети до сих пор повсеместно подвергаются телесным наказаниям.  (статьи 7 и 24)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Государство-участник должно запретить все формы насилия в отношении детей, в каких бы обстоятельствах оно ни применялось, включая телесные наказания в школах, и развернуть информационно-пропагандистскую работу по вопросам надлежащей защиты детей от насилия.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23.</w:t>
      </w:r>
      <w:r>
        <w:tab/>
        <w:t>Комитет заявляет о своей обеспокоенности недопустимым уровнем переполненности тюрем и исключительно неблагоприятными условиями содержания в местах задержания.  Вместе с тем он отмечает, что государство-участник признает сложившееся положение и принимает определенные меры по его исправлению.  Озабоченность Комитета во многих случаях также вызывает чрезмерная продолжительность предварительного досудебного заключения.  (статьи 7, 9 и 10)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следует разработать альтернативные по отношению к тюремному заключению меры наказания.  Оно должно стараться обеспечивать, чтобы обвиняемый не находился под стражей до суда в течение необоснованно длительного периода времени.  Ему надлежит существенно активизировать свои усилия для гарантирования права заключенных на гуманное обращение в условиях соблюдения их человеческого достоинства на основе создания для них благоприятных для здоровья условий содержания и предоставления им надлежащего доступа к медицинским услугам и питанию.  Поскольку государство-участник не в состоянии удовлетворять потребности заключенных, оно должно незамедлительно принять меры по сокращению количества заключенных в тюрьмах.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24.</w:t>
      </w:r>
      <w:r>
        <w:tab/>
        <w:t>Комитет с обеспокоенностью отмечает, что согласно Уголовному кодексу добровольные половые связи между однополыми совершеннолетними лицами являются уголовно наказуемыми.  (статьи 17 и 26)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Государство-участник должно отменить это положение Уголовного кодекса.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25.</w:t>
      </w:r>
      <w:r>
        <w:tab/>
        <w:t>Особую обеспокоенность Комитета вызывает тот факт, что согласно Уголовному кодексу оскорбление президента, а также опубликование ложных сведений до сих пор считаются уголовными преступлениями.  Комитет вновь заявляет о своей озабоченности сообщениями о том, что в качестве средств притеснения журналистов и цензуры власти прибегают к их арестам и возбуждению против них исков в связи с публикацией критических статей о деятельности правительства.  (статья 19)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Государство-участник должно отменить вышеупомянутые положение Уголовного кодекса.  Оно должно найти другие меры обеспечения подотчетности средств массовой информации, которые бы полностью соответствовали Пакту, в частности праву на свободу слова.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26.</w:t>
      </w:r>
      <w:r>
        <w:tab/>
        <w:t>Комитет вновь подтверждает свою озабоченность тем, что согласно Уголовному кодексу восьмилетние дети несут за свои действия уголовную ответственность.  (статья 24)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Государству-участнику надлежит принять незамедлительные меры для повышения до приемлемого уровня в соответствии с международными стандартами минимального возраста наступления уголовной ответственности.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27.</w:t>
      </w:r>
      <w:r>
        <w:tab/>
        <w:t xml:space="preserve">Комитет обращается к государству-участнику с просьбой широко распространить настоящие заключительные замечания и его третий периодический доклад среди общественности, в том числе путем размещения этих материалов на правительственном </w:t>
      </w:r>
      <w:proofErr w:type="spellStart"/>
      <w:r>
        <w:t>вебсайте</w:t>
      </w:r>
      <w:proofErr w:type="spellEnd"/>
      <w:r>
        <w:t>, передачи их в публичные библиотеки и их распространения среди руководителей институтов системы обычного права.</w:t>
      </w:r>
    </w:p>
    <w:p w:rsidR="00000000" w:rsidRDefault="00000000"/>
    <w:p w:rsidR="00000000" w:rsidRDefault="00000000">
      <w:pPr>
        <w:keepLines/>
      </w:pPr>
      <w:r>
        <w:t>28.</w:t>
      </w:r>
      <w:r>
        <w:tab/>
        <w:t>В соответствии с пунктом 5 правила 71 правил процедуры Комитета государству-участнику надлежит в течение года представить соответствующую информацию об оценке положения и ходе выполнения рекомендаций Комитета, изложенных в пунктах 10, 12, 13 и 23.</w:t>
      </w:r>
    </w:p>
    <w:p w:rsidR="00000000" w:rsidRDefault="00000000"/>
    <w:p w:rsidR="00000000" w:rsidRDefault="00000000">
      <w:r>
        <w:t>29.</w:t>
      </w:r>
      <w:r>
        <w:tab/>
        <w:t>Комитет просит государство-участник в своем следующем докладе, который должен быть представлен к 20 июля 2011 года, сообщить информацию по остальным рекомендациям и Пакте в целом.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ind w:left="567" w:hanging="567"/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CCPR/C/ZMB/CO/3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CCPR/C/ZMB/CO/3</w:t>
    </w:r>
  </w:p>
  <w:p w:rsidR="00000000" w:rsidRDefault="00000000">
    <w:pPr>
      <w:pStyle w:val="Header"/>
      <w:tabs>
        <w:tab w:val="left" w:pos="73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732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2884</Words>
  <Characters>16440</Characters>
  <Application>Microsoft Office Word</Application>
  <DocSecurity>4</DocSecurity>
  <Lines>137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43448.01.doc</vt:lpstr>
    </vt:vector>
  </TitlesOfParts>
  <Company> 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43448.01.doc</dc:title>
  <dc:subject>Kondrashov</dc:subject>
  <dc:creator>Черняева</dc:creator>
  <cp:keywords/>
  <dc:description/>
  <cp:lastModifiedBy>Черняева</cp:lastModifiedBy>
  <cp:revision>3</cp:revision>
  <cp:lastPrinted>2007-08-23T12:07:00Z</cp:lastPrinted>
  <dcterms:created xsi:type="dcterms:W3CDTF">2007-08-23T12:07:00Z</dcterms:created>
  <dcterms:modified xsi:type="dcterms:W3CDTF">2007-08-23T12:07:00Z</dcterms:modified>
</cp:coreProperties>
</file>