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snapToGrid/>
        </w:rPr>
      </w:pPr>
      <w:r>
        <w:rPr>
          <w:rFonts w:hint="eastAsia"/>
          <w:snapToGrid/>
        </w:rPr>
        <w:t>人权事务委员会</w:t>
      </w:r>
    </w:p>
    <w:p w:rsidR="00000000" w:rsidRDefault="00000000">
      <w:pPr>
        <w:rPr>
          <w:rFonts w:hint="eastAsia"/>
          <w:snapToGrid/>
        </w:rPr>
      </w:pPr>
      <w:r>
        <w:rPr>
          <w:rFonts w:hint="eastAsia"/>
          <w:snapToGrid/>
        </w:rPr>
        <w:t>第八十九届会议</w:t>
      </w:r>
    </w:p>
    <w:p w:rsidR="00000000" w:rsidRDefault="00000000">
      <w:pPr>
        <w:spacing w:after="320"/>
        <w:rPr>
          <w:snapToGrid/>
        </w:rPr>
      </w:pPr>
      <w:r>
        <w:rPr>
          <w:rFonts w:hint="eastAsia"/>
          <w:snapToGrid/>
        </w:rPr>
        <w:t>2007</w:t>
      </w:r>
      <w:r>
        <w:rPr>
          <w:rFonts w:hint="eastAsia"/>
          <w:snapToGrid/>
        </w:rPr>
        <w:t>年</w:t>
      </w:r>
      <w:r>
        <w:rPr>
          <w:rFonts w:hint="eastAsia"/>
          <w:snapToGrid/>
        </w:rPr>
        <w:t>3</w:t>
      </w:r>
      <w:r>
        <w:rPr>
          <w:rFonts w:hint="eastAsia"/>
          <w:snapToGrid/>
        </w:rPr>
        <w:t>月</w:t>
      </w:r>
      <w:r>
        <w:rPr>
          <w:rFonts w:hint="eastAsia"/>
          <w:snapToGrid/>
        </w:rPr>
        <w:t>12</w:t>
      </w:r>
      <w:r>
        <w:rPr>
          <w:rFonts w:hint="eastAsia"/>
          <w:snapToGrid/>
        </w:rPr>
        <w:t>日至</w:t>
      </w:r>
      <w:r>
        <w:rPr>
          <w:rFonts w:hint="eastAsia"/>
          <w:snapToGrid/>
        </w:rPr>
        <w:t>30</w:t>
      </w:r>
      <w:r>
        <w:rPr>
          <w:rFonts w:hint="eastAsia"/>
          <w:snapToGrid/>
        </w:rPr>
        <w:t>日，纽约</w:t>
      </w:r>
    </w:p>
    <w:p w:rsidR="00000000" w:rsidRDefault="00000000">
      <w:pPr>
        <w:pStyle w:val="Heading2"/>
        <w:spacing w:after="240" w:line="336" w:lineRule="auto"/>
        <w:rPr>
          <w:rFonts w:ascii="Time New Roman" w:eastAsia="SimHei" w:hAnsi="Time New Roman" w:hint="eastAsia"/>
          <w:snapToGrid/>
          <w:kern w:val="0"/>
        </w:rPr>
      </w:pPr>
      <w:r>
        <w:rPr>
          <w:rFonts w:ascii="Time New Roman" w:eastAsia="SimHei" w:hAnsi="Time New Roman" w:hint="eastAsia"/>
          <w:snapToGrid/>
          <w:kern w:val="0"/>
        </w:rPr>
        <w:t>审议缔约国根据《公约》第四十条提交的报告</w:t>
      </w:r>
    </w:p>
    <w:p w:rsidR="00000000" w:rsidRDefault="00000000">
      <w:pPr>
        <w:pStyle w:val="Heading3"/>
        <w:spacing w:after="240"/>
        <w:rPr>
          <w:rFonts w:ascii="Time New Roman" w:eastAsia="SimHei" w:hAnsi="Time New Roman" w:hint="eastAsia"/>
          <w:snapToGrid/>
          <w:kern w:val="0"/>
          <w:u w:val="none"/>
        </w:rPr>
      </w:pPr>
      <w:r>
        <w:rPr>
          <w:rFonts w:ascii="Time New Roman" w:eastAsia="SimHei" w:hAnsi="Time New Roman" w:hint="eastAsia"/>
          <w:snapToGrid/>
          <w:kern w:val="0"/>
          <w:u w:val="none"/>
        </w:rPr>
        <w:t>人权事务委员会的结论性意见</w:t>
      </w:r>
    </w:p>
    <w:p w:rsidR="00000000" w:rsidRDefault="00000000">
      <w:pPr>
        <w:pStyle w:val="Heading2"/>
        <w:spacing w:after="240" w:line="336" w:lineRule="auto"/>
        <w:rPr>
          <w:rFonts w:ascii="Time New Roman" w:eastAsia="SimHei" w:hAnsi="Time New Roman" w:hint="eastAsia"/>
          <w:snapToGrid/>
          <w:kern w:val="0"/>
        </w:rPr>
      </w:pPr>
      <w:r>
        <w:rPr>
          <w:rFonts w:ascii="Time New Roman" w:eastAsia="SimHei" w:hAnsi="Time New Roman" w:hint="eastAsia"/>
          <w:snapToGrid/>
          <w:kern w:val="0"/>
        </w:rPr>
        <w:t>巴巴多斯</w:t>
      </w:r>
    </w:p>
    <w:p w:rsidR="00000000" w:rsidRDefault="00000000">
      <w:pPr>
        <w:spacing w:after="240"/>
        <w:rPr>
          <w:snapToGrid/>
        </w:rPr>
      </w:pPr>
      <w:r>
        <w:rPr>
          <w:snapToGrid/>
        </w:rPr>
        <w:tab/>
        <w:t>1.</w:t>
      </w:r>
      <w:r>
        <w:rPr>
          <w:rFonts w:hint="eastAsia"/>
          <w:snapToGrid/>
        </w:rPr>
        <w:t xml:space="preserve"> </w:t>
      </w:r>
      <w:r>
        <w:rPr>
          <w:snapToGrid/>
        </w:rPr>
        <w:t xml:space="preserve"> </w:t>
      </w:r>
      <w:r>
        <w:rPr>
          <w:rFonts w:hint="eastAsia"/>
          <w:snapToGrid/>
        </w:rPr>
        <w:t>委员会</w:t>
      </w:r>
      <w:r>
        <w:rPr>
          <w:rFonts w:hint="eastAsia"/>
          <w:snapToGrid/>
        </w:rPr>
        <w:t>2007</w:t>
      </w:r>
      <w:r>
        <w:rPr>
          <w:rFonts w:hint="eastAsia"/>
          <w:snapToGrid/>
        </w:rPr>
        <w:t>年</w:t>
      </w:r>
      <w:r>
        <w:rPr>
          <w:rFonts w:hint="eastAsia"/>
          <w:snapToGrid/>
        </w:rPr>
        <w:t>3</w:t>
      </w:r>
      <w:r>
        <w:rPr>
          <w:rFonts w:hint="eastAsia"/>
          <w:snapToGrid/>
        </w:rPr>
        <w:t>月</w:t>
      </w:r>
      <w:r>
        <w:rPr>
          <w:rFonts w:hint="eastAsia"/>
          <w:snapToGrid/>
        </w:rPr>
        <w:t>21</w:t>
      </w:r>
      <w:r>
        <w:rPr>
          <w:rFonts w:hint="eastAsia"/>
          <w:snapToGrid/>
        </w:rPr>
        <w:t>日和</w:t>
      </w:r>
      <w:r>
        <w:rPr>
          <w:rFonts w:hint="eastAsia"/>
          <w:snapToGrid/>
        </w:rPr>
        <w:t>22</w:t>
      </w:r>
      <w:r>
        <w:rPr>
          <w:rFonts w:hint="eastAsia"/>
          <w:snapToGrid/>
        </w:rPr>
        <w:t>日举行的第</w:t>
      </w:r>
      <w:r>
        <w:rPr>
          <w:snapToGrid/>
        </w:rPr>
        <w:t>2439</w:t>
      </w:r>
      <w:r>
        <w:rPr>
          <w:rFonts w:hint="eastAsia"/>
          <w:snapToGrid/>
        </w:rPr>
        <w:t>和</w:t>
      </w:r>
      <w:r>
        <w:rPr>
          <w:snapToGrid/>
        </w:rPr>
        <w:t>2</w:t>
      </w:r>
      <w:r>
        <w:rPr>
          <w:rFonts w:hint="eastAsia"/>
          <w:snapToGrid/>
        </w:rPr>
        <w:t>4</w:t>
      </w:r>
      <w:r>
        <w:rPr>
          <w:snapToGrid/>
        </w:rPr>
        <w:t>40</w:t>
      </w:r>
      <w:r>
        <w:rPr>
          <w:rFonts w:hint="eastAsia"/>
          <w:snapToGrid/>
        </w:rPr>
        <w:t>次会议</w:t>
      </w:r>
      <w:r>
        <w:rPr>
          <w:snapToGrid/>
        </w:rPr>
        <w:t>(CCPR/C/ SR.2439 and 2440)</w:t>
      </w:r>
      <w:r>
        <w:rPr>
          <w:rFonts w:hint="eastAsia"/>
          <w:snapToGrid/>
        </w:rPr>
        <w:t>审议了巴巴多斯的第三次定期报告，</w:t>
      </w:r>
      <w:r>
        <w:rPr>
          <w:rFonts w:hint="eastAsia"/>
          <w:snapToGrid/>
        </w:rPr>
        <w:t xml:space="preserve"> 2007</w:t>
      </w:r>
      <w:r>
        <w:rPr>
          <w:rFonts w:hint="eastAsia"/>
          <w:snapToGrid/>
        </w:rPr>
        <w:t>年</w:t>
      </w:r>
      <w:r>
        <w:rPr>
          <w:rFonts w:hint="eastAsia"/>
          <w:snapToGrid/>
        </w:rPr>
        <w:t>3</w:t>
      </w:r>
      <w:r>
        <w:rPr>
          <w:rFonts w:hint="eastAsia"/>
          <w:snapToGrid/>
        </w:rPr>
        <w:t>月</w:t>
      </w:r>
      <w:r>
        <w:rPr>
          <w:rFonts w:hint="eastAsia"/>
          <w:snapToGrid/>
        </w:rPr>
        <w:t>29</w:t>
      </w:r>
      <w:r>
        <w:rPr>
          <w:rFonts w:hint="eastAsia"/>
          <w:snapToGrid/>
        </w:rPr>
        <w:t>日举行的第</w:t>
      </w:r>
      <w:r>
        <w:rPr>
          <w:snapToGrid/>
        </w:rPr>
        <w:t>2451</w:t>
      </w:r>
      <w:r>
        <w:rPr>
          <w:rFonts w:hint="eastAsia"/>
          <w:snapToGrid/>
        </w:rPr>
        <w:t>次会议</w:t>
      </w:r>
      <w:r>
        <w:rPr>
          <w:snapToGrid/>
        </w:rPr>
        <w:t xml:space="preserve"> (CCPR/C/SR.24</w:t>
      </w:r>
      <w:r>
        <w:rPr>
          <w:rFonts w:hint="eastAsia"/>
          <w:snapToGrid/>
        </w:rPr>
        <w:t>51</w:t>
      </w:r>
      <w:r>
        <w:rPr>
          <w:snapToGrid/>
        </w:rPr>
        <w:t>)</w:t>
      </w:r>
      <w:r>
        <w:rPr>
          <w:rFonts w:hint="eastAsia"/>
          <w:snapToGrid/>
        </w:rPr>
        <w:t>通过了下述结论性意见。</w:t>
      </w:r>
    </w:p>
    <w:p w:rsidR="00000000" w:rsidRDefault="00000000">
      <w:pPr>
        <w:pStyle w:val="Heading3"/>
        <w:spacing w:after="240"/>
        <w:rPr>
          <w:rFonts w:hint="eastAsia"/>
          <w:snapToGrid/>
          <w:kern w:val="0"/>
        </w:rPr>
      </w:pPr>
      <w:r>
        <w:rPr>
          <w:rFonts w:hint="eastAsia"/>
          <w:snapToGrid/>
          <w:kern w:val="0"/>
          <w:u w:val="none"/>
        </w:rPr>
        <w:t>A</w:t>
      </w:r>
      <w:r>
        <w:rPr>
          <w:snapToGrid/>
          <w:kern w:val="0"/>
          <w:u w:val="none"/>
        </w:rPr>
        <w:t xml:space="preserve">.  </w:t>
      </w:r>
      <w:r>
        <w:rPr>
          <w:rFonts w:hint="eastAsia"/>
          <w:snapToGrid/>
          <w:kern w:val="0"/>
        </w:rPr>
        <w:t>导</w:t>
      </w:r>
      <w:r>
        <w:rPr>
          <w:snapToGrid/>
          <w:kern w:val="0"/>
        </w:rPr>
        <w:t xml:space="preserve">  </w:t>
      </w:r>
      <w:r>
        <w:rPr>
          <w:rFonts w:hint="eastAsia"/>
          <w:snapToGrid/>
          <w:kern w:val="0"/>
        </w:rPr>
        <w:t>言</w:t>
      </w:r>
    </w:p>
    <w:p w:rsidR="00000000" w:rsidRDefault="00000000">
      <w:pPr>
        <w:spacing w:after="240"/>
        <w:rPr>
          <w:snapToGrid/>
        </w:rPr>
      </w:pPr>
      <w:r>
        <w:rPr>
          <w:rFonts w:hint="eastAsia"/>
          <w:snapToGrid/>
        </w:rPr>
        <w:tab/>
        <w:t>2.</w:t>
      </w:r>
      <w:r>
        <w:rPr>
          <w:snapToGrid/>
        </w:rPr>
        <w:t xml:space="preserve">  </w:t>
      </w:r>
      <w:r>
        <w:rPr>
          <w:rFonts w:hint="eastAsia"/>
          <w:snapToGrid/>
        </w:rPr>
        <w:t>委员会欢迎缔约国提交第三次定期报告，缔约国自</w:t>
      </w:r>
      <w:r>
        <w:rPr>
          <w:rFonts w:hint="eastAsia"/>
          <w:snapToGrid/>
        </w:rPr>
        <w:t>1991</w:t>
      </w:r>
      <w:r>
        <w:rPr>
          <w:rFonts w:hint="eastAsia"/>
          <w:snapToGrid/>
        </w:rPr>
        <w:t>年第三次定期报告应交之年起一直未提交报告，本次报告是在时隔十八余年之后收到的，从而使委员会有机会根据该报告与缔约国重开对话。委员会认为，如此长时间未交报告，构成巴巴多斯违反《公约》第四十条规定义务的行为，阻碍了委员会深入考虑采取何种步骤确保《公约》条款得到令人满意的执行。委员会希望缔约国今后按照委员会确定的时间表提交报告。</w:t>
      </w:r>
    </w:p>
    <w:p w:rsidR="00000000" w:rsidRDefault="00000000">
      <w:pPr>
        <w:spacing w:after="320"/>
        <w:jc w:val="center"/>
        <w:rPr>
          <w:rFonts w:hint="eastAsia"/>
          <w:snapToGrid/>
        </w:rPr>
      </w:pPr>
      <w:r>
        <w:rPr>
          <w:snapToGrid/>
        </w:rPr>
        <w:br w:type="page"/>
        <w:t xml:space="preserve">B.  </w:t>
      </w:r>
      <w:r>
        <w:rPr>
          <w:rFonts w:hint="eastAsia"/>
          <w:snapToGrid/>
          <w:u w:val="single"/>
        </w:rPr>
        <w:t>积极</w:t>
      </w:r>
      <w:r>
        <w:rPr>
          <w:rFonts w:hint="eastAsia"/>
          <w:kern w:val="28"/>
          <w:u w:val="single"/>
        </w:rPr>
        <w:t>方</w:t>
      </w:r>
      <w:r>
        <w:rPr>
          <w:rFonts w:hint="eastAsia"/>
          <w:snapToGrid/>
          <w:u w:val="single"/>
        </w:rPr>
        <w:t>面</w:t>
      </w:r>
    </w:p>
    <w:p w:rsidR="00000000" w:rsidRDefault="00000000">
      <w:pPr>
        <w:rPr>
          <w:rFonts w:hint="eastAsia"/>
          <w:snapToGrid/>
        </w:rPr>
      </w:pPr>
      <w:r>
        <w:rPr>
          <w:snapToGrid/>
        </w:rPr>
        <w:tab/>
        <w:t>3</w:t>
      </w:r>
      <w:r>
        <w:rPr>
          <w:rFonts w:hint="eastAsia"/>
          <w:snapToGrid/>
        </w:rPr>
        <w:t xml:space="preserve">  </w:t>
      </w:r>
      <w:r>
        <w:rPr>
          <w:rFonts w:hint="eastAsia"/>
          <w:snapToGrid/>
        </w:rPr>
        <w:t>委员会欢迎</w:t>
      </w:r>
      <w:r>
        <w:rPr>
          <w:snapToGrid/>
        </w:rPr>
        <w:t>：</w:t>
      </w:r>
    </w:p>
    <w:p w:rsidR="00000000" w:rsidRDefault="00000000">
      <w:pPr>
        <w:numPr>
          <w:ilvl w:val="0"/>
          <w:numId w:val="6"/>
        </w:numPr>
        <w:spacing w:after="160"/>
        <w:rPr>
          <w:rFonts w:hint="eastAsia"/>
          <w:snapToGrid/>
        </w:rPr>
      </w:pPr>
      <w:r>
        <w:rPr>
          <w:rFonts w:hint="eastAsia"/>
          <w:snapToGrid/>
        </w:rPr>
        <w:t>通过《刑事制度改革法》，该法更着重强调康复的重要性，并扩大了法院可作出的判决的选择范围；</w:t>
      </w:r>
    </w:p>
    <w:p w:rsidR="00000000" w:rsidRDefault="00000000">
      <w:pPr>
        <w:numPr>
          <w:ilvl w:val="0"/>
          <w:numId w:val="6"/>
        </w:numPr>
        <w:rPr>
          <w:snapToGrid/>
        </w:rPr>
      </w:pPr>
      <w:r>
        <w:rPr>
          <w:rFonts w:hint="eastAsia"/>
          <w:snapToGrid/>
        </w:rPr>
        <w:t>于</w:t>
      </w:r>
      <w:r>
        <w:rPr>
          <w:rFonts w:hint="eastAsia"/>
          <w:snapToGrid/>
        </w:rPr>
        <w:t>2001</w:t>
      </w:r>
      <w:r>
        <w:rPr>
          <w:rFonts w:hint="eastAsia"/>
          <w:snapToGrid/>
        </w:rPr>
        <w:t>年建立了</w:t>
      </w:r>
      <w:r>
        <w:rPr>
          <w:rFonts w:hint="eastAsia"/>
          <w:snapToGrid/>
          <w:lang w:val="fr-CH"/>
        </w:rPr>
        <w:t>警务申诉署</w:t>
      </w:r>
      <w:r>
        <w:rPr>
          <w:rFonts w:hint="eastAsia"/>
          <w:snapToGrid/>
        </w:rPr>
        <w:t>，</w:t>
      </w:r>
      <w:r>
        <w:rPr>
          <w:rFonts w:hint="eastAsia"/>
          <w:snapToGrid/>
          <w:lang w:val="fr-CH"/>
        </w:rPr>
        <w:t>负责调查对警方的虐待和不当行为的指控</w:t>
      </w:r>
      <w:r>
        <w:rPr>
          <w:rFonts w:hint="eastAsia"/>
          <w:snapToGrid/>
        </w:rPr>
        <w:t>；</w:t>
      </w:r>
    </w:p>
    <w:p w:rsidR="00000000" w:rsidRDefault="00000000">
      <w:pPr>
        <w:numPr>
          <w:ilvl w:val="0"/>
          <w:numId w:val="6"/>
        </w:numPr>
        <w:rPr>
          <w:rFonts w:hint="eastAsia"/>
          <w:snapToGrid/>
        </w:rPr>
      </w:pPr>
      <w:r>
        <w:rPr>
          <w:rFonts w:hint="eastAsia"/>
          <w:snapToGrid/>
        </w:rPr>
        <w:t>通过《证据法》，其中有对警方面谈进行录音和录像的规定。</w:t>
      </w:r>
    </w:p>
    <w:p w:rsidR="00000000" w:rsidRDefault="00000000">
      <w:pPr>
        <w:spacing w:after="320"/>
        <w:rPr>
          <w:rFonts w:hint="eastAsia"/>
          <w:snapToGrid/>
        </w:rPr>
      </w:pPr>
      <w:r>
        <w:rPr>
          <w:snapToGrid/>
        </w:rPr>
        <w:tab/>
        <w:t xml:space="preserve">4.  </w:t>
      </w:r>
      <w:r>
        <w:rPr>
          <w:rFonts w:hint="eastAsia"/>
          <w:snapToGrid/>
        </w:rPr>
        <w:t>委员会满意地注意到，警察部队正在贯彻执行《执法人员使用武力和火器的基本原则》。</w:t>
      </w:r>
    </w:p>
    <w:p w:rsidR="00000000" w:rsidRDefault="00000000">
      <w:pPr>
        <w:pStyle w:val="Heading3"/>
        <w:spacing w:after="240"/>
        <w:rPr>
          <w:snapToGrid/>
          <w:kern w:val="0"/>
        </w:rPr>
      </w:pPr>
      <w:r>
        <w:rPr>
          <w:snapToGrid/>
          <w:kern w:val="0"/>
          <w:u w:val="none"/>
        </w:rPr>
        <w:t xml:space="preserve">C.  </w:t>
      </w:r>
      <w:r>
        <w:rPr>
          <w:rFonts w:hint="eastAsia"/>
          <w:snapToGrid/>
          <w:kern w:val="0"/>
        </w:rPr>
        <w:t>关注的主要问题和结论性意见</w:t>
      </w:r>
    </w:p>
    <w:p w:rsidR="00000000" w:rsidRDefault="00000000">
      <w:pPr>
        <w:rPr>
          <w:rFonts w:hint="eastAsia"/>
          <w:snapToGrid/>
        </w:rPr>
      </w:pPr>
      <w:r>
        <w:rPr>
          <w:snapToGrid/>
        </w:rPr>
        <w:tab/>
        <w:t xml:space="preserve">5.  </w:t>
      </w:r>
      <w:r>
        <w:rPr>
          <w:rFonts w:hint="eastAsia"/>
          <w:snapToGrid/>
        </w:rPr>
        <w:t>委员会注意到，《公约》还未结合到缔约国的法律之中，不过《宪法》第三章含有《公约》的许多原则。委员会还注意到，宪法审查委员会建议经修订的《宪法》纳入缔约国的国际法律义务，宪法审查委员会不久将向议会汇报《宪法》的“国际化”情况，以便充分考虑到所有人权准则</w:t>
      </w:r>
      <w:r>
        <w:rPr>
          <w:rFonts w:hint="eastAsia"/>
          <w:snapToGrid/>
        </w:rPr>
        <w:t>(</w:t>
      </w:r>
      <w:r>
        <w:rPr>
          <w:rFonts w:hint="eastAsia"/>
          <w:snapToGrid/>
        </w:rPr>
        <w:t>第二条</w:t>
      </w:r>
      <w:r>
        <w:rPr>
          <w:rFonts w:hint="eastAsia"/>
          <w:snapToGrid/>
        </w:rPr>
        <w:t>)</w:t>
      </w:r>
      <w:r>
        <w:rPr>
          <w:rFonts w:hint="eastAsia"/>
          <w:snapToGrid/>
        </w:rPr>
        <w:t>。</w:t>
      </w:r>
    </w:p>
    <w:p w:rsidR="00000000" w:rsidRDefault="00000000">
      <w:pPr>
        <w:ind w:left="1020"/>
        <w:rPr>
          <w:rFonts w:ascii="Time New Roman" w:eastAsia="SimHei" w:hAnsi="Time New Roman"/>
          <w:bCs/>
          <w:snapToGrid/>
        </w:rPr>
      </w:pPr>
      <w:r>
        <w:rPr>
          <w:rFonts w:ascii="Time New Roman" w:eastAsia="SimHei" w:hAnsi="Time New Roman"/>
          <w:bCs/>
          <w:snapToGrid/>
        </w:rPr>
        <w:tab/>
      </w:r>
      <w:r>
        <w:rPr>
          <w:rFonts w:ascii="Time New Roman" w:eastAsia="SimHei" w:hAnsi="Time New Roman" w:hint="eastAsia"/>
          <w:bCs/>
          <w:snapToGrid/>
        </w:rPr>
        <w:t>鼓励缔约国采取必要措施，主要通过正在展开的宪制改革进程，将《公约》纳入国内法之中。</w:t>
      </w:r>
    </w:p>
    <w:p w:rsidR="00000000" w:rsidRDefault="00000000">
      <w:pPr>
        <w:rPr>
          <w:rFonts w:hint="eastAsia"/>
          <w:snapToGrid/>
        </w:rPr>
      </w:pPr>
      <w:r>
        <w:rPr>
          <w:snapToGrid/>
        </w:rPr>
        <w:tab/>
        <w:t xml:space="preserve">6. </w:t>
      </w:r>
      <w:r>
        <w:rPr>
          <w:rFonts w:hint="eastAsia"/>
          <w:snapToGrid/>
        </w:rPr>
        <w:t xml:space="preserve"> </w:t>
      </w:r>
      <w:r>
        <w:rPr>
          <w:rFonts w:hint="eastAsia"/>
          <w:snapToGrid/>
        </w:rPr>
        <w:t>委员会注意到，缔约国尚未建立国家级人权机构</w:t>
      </w:r>
      <w:r>
        <w:rPr>
          <w:rFonts w:hint="eastAsia"/>
          <w:snapToGrid/>
        </w:rPr>
        <w:t>(</w:t>
      </w:r>
      <w:r>
        <w:rPr>
          <w:rFonts w:hint="eastAsia"/>
          <w:snapToGrid/>
        </w:rPr>
        <w:t>第二条</w:t>
      </w:r>
      <w:r>
        <w:rPr>
          <w:rFonts w:hint="eastAsia"/>
          <w:snapToGrid/>
        </w:rPr>
        <w:t>)</w:t>
      </w:r>
      <w:r>
        <w:rPr>
          <w:rFonts w:hint="eastAsia"/>
          <w:snapToGrid/>
        </w:rPr>
        <w:t>。</w:t>
      </w:r>
    </w:p>
    <w:p w:rsidR="00000000" w:rsidRDefault="00000000">
      <w:pPr>
        <w:ind w:left="1020"/>
        <w:rPr>
          <w:rFonts w:hint="eastAsia"/>
          <w:snapToGrid/>
        </w:rPr>
      </w:pPr>
      <w:r>
        <w:rPr>
          <w:rFonts w:ascii="Time New Roman" w:eastAsia="SimHei" w:hAnsi="Time New Roman"/>
          <w:bCs/>
          <w:snapToGrid/>
        </w:rPr>
        <w:tab/>
      </w:r>
      <w:r>
        <w:rPr>
          <w:rFonts w:ascii="Time New Roman" w:eastAsia="SimHei" w:hAnsi="Time New Roman" w:hint="eastAsia"/>
          <w:bCs/>
          <w:snapToGrid/>
        </w:rPr>
        <w:t>缔约国应依照大会第</w:t>
      </w:r>
      <w:r>
        <w:rPr>
          <w:rFonts w:ascii="Time New Roman" w:eastAsia="SimHei" w:hAnsi="Time New Roman"/>
          <w:bCs/>
          <w:snapToGrid/>
        </w:rPr>
        <w:t>48/134</w:t>
      </w:r>
      <w:r>
        <w:rPr>
          <w:rFonts w:ascii="Time New Roman" w:eastAsia="SimHei" w:hAnsi="Time New Roman" w:hint="eastAsia"/>
          <w:bCs/>
          <w:snapToGrid/>
        </w:rPr>
        <w:t>号决议所附的增进和保护人权的国家机构的地位的有关原则</w:t>
      </w:r>
      <w:r>
        <w:rPr>
          <w:rFonts w:ascii="Time New Roman" w:eastAsia="SimHei" w:hAnsi="Time New Roman" w:hint="eastAsia"/>
          <w:bCs/>
          <w:snapToGrid/>
        </w:rPr>
        <w:t>(</w:t>
      </w:r>
      <w:r>
        <w:rPr>
          <w:rFonts w:ascii="Time New Roman" w:eastAsia="SimHei" w:hAnsi="Time New Roman" w:hint="eastAsia"/>
          <w:bCs/>
          <w:snapToGrid/>
        </w:rPr>
        <w:t>《巴黎原则》</w:t>
      </w:r>
      <w:r>
        <w:rPr>
          <w:rFonts w:ascii="Time New Roman" w:eastAsia="SimHei" w:hAnsi="Time New Roman" w:hint="eastAsia"/>
          <w:bCs/>
          <w:snapToGrid/>
        </w:rPr>
        <w:t>)</w:t>
      </w:r>
      <w:r>
        <w:rPr>
          <w:rFonts w:ascii="Time New Roman" w:eastAsia="SimHei" w:hAnsi="Time New Roman" w:hint="eastAsia"/>
          <w:bCs/>
          <w:snapToGrid/>
        </w:rPr>
        <w:t>，建立一个独立的国家人权机构。为此应该组织与民间社会进行磋商。</w:t>
      </w:r>
    </w:p>
    <w:p w:rsidR="00000000" w:rsidRDefault="00000000">
      <w:pPr>
        <w:rPr>
          <w:rFonts w:hint="eastAsia"/>
          <w:snapToGrid/>
        </w:rPr>
      </w:pPr>
      <w:r>
        <w:rPr>
          <w:rFonts w:hint="eastAsia"/>
          <w:snapToGrid/>
        </w:rPr>
        <w:tab/>
      </w:r>
      <w:r>
        <w:rPr>
          <w:snapToGrid/>
        </w:rPr>
        <w:t xml:space="preserve">7.  </w:t>
      </w:r>
      <w:r>
        <w:rPr>
          <w:rFonts w:hint="eastAsia"/>
          <w:snapToGrid/>
        </w:rPr>
        <w:t>委员会注意到至今还未确定具体时限，但还是十分关切，</w:t>
      </w:r>
      <w:r>
        <w:rPr>
          <w:rFonts w:hint="eastAsia"/>
          <w:snapToGrid/>
        </w:rPr>
        <w:t>2002</w:t>
      </w:r>
      <w:r>
        <w:rPr>
          <w:rFonts w:hint="eastAsia"/>
          <w:snapToGrid/>
        </w:rPr>
        <w:t>年《宪法</w:t>
      </w:r>
      <w:r>
        <w:rPr>
          <w:rFonts w:hint="eastAsia"/>
          <w:snapToGrid/>
        </w:rPr>
        <w:t>(</w:t>
      </w:r>
      <w:r>
        <w:rPr>
          <w:rFonts w:hint="eastAsia"/>
          <w:snapToGrid/>
        </w:rPr>
        <w:t>修订</w:t>
      </w:r>
      <w:r>
        <w:rPr>
          <w:rFonts w:hint="eastAsia"/>
          <w:snapToGrid/>
        </w:rPr>
        <w:t>)</w:t>
      </w:r>
      <w:r>
        <w:rPr>
          <w:rFonts w:hint="eastAsia"/>
          <w:snapToGrid/>
        </w:rPr>
        <w:t>法》允许限制已判刑</w:t>
      </w:r>
      <w:r>
        <w:rPr>
          <w:rFonts w:hint="eastAsia"/>
          <w:snapToGrid/>
        </w:rPr>
        <w:t>(</w:t>
      </w:r>
      <w:r>
        <w:rPr>
          <w:rFonts w:hint="eastAsia"/>
          <w:snapToGrid/>
        </w:rPr>
        <w:t>包括已判死刑的</w:t>
      </w:r>
      <w:r>
        <w:rPr>
          <w:rFonts w:hint="eastAsia"/>
          <w:snapToGrid/>
        </w:rPr>
        <w:t>)</w:t>
      </w:r>
      <w:r>
        <w:rPr>
          <w:rFonts w:hint="eastAsia"/>
          <w:snapToGrid/>
        </w:rPr>
        <w:t>囚犯向外部机构、包括向诸如人权事务委员会一类的国际人权机构上诉或咨询的时限</w:t>
      </w:r>
      <w:r>
        <w:rPr>
          <w:rFonts w:hint="eastAsia"/>
          <w:snapToGrid/>
        </w:rPr>
        <w:t>(</w:t>
      </w:r>
      <w:r>
        <w:rPr>
          <w:rFonts w:hint="eastAsia"/>
          <w:snapToGrid/>
        </w:rPr>
        <w:t>第二条和第六条</w:t>
      </w:r>
      <w:r>
        <w:rPr>
          <w:rFonts w:hint="eastAsia"/>
          <w:snapToGrid/>
        </w:rPr>
        <w:t>)</w:t>
      </w:r>
      <w:r>
        <w:rPr>
          <w:rFonts w:hint="eastAsia"/>
          <w:snapToGrid/>
        </w:rPr>
        <w:t>。</w:t>
      </w:r>
      <w:r>
        <w:rPr>
          <w:snapToGrid/>
        </w:rPr>
        <w:t xml:space="preserve"> </w:t>
      </w:r>
    </w:p>
    <w:p w:rsidR="00000000" w:rsidRDefault="00000000">
      <w:pPr>
        <w:ind w:left="1020"/>
        <w:rPr>
          <w:rFonts w:hint="eastAsia"/>
          <w:snapToGrid/>
        </w:rPr>
      </w:pPr>
      <w:r>
        <w:rPr>
          <w:rFonts w:ascii="Time New Roman" w:eastAsia="SimHei" w:hAnsi="Time New Roman"/>
          <w:bCs/>
          <w:snapToGrid/>
        </w:rPr>
        <w:tab/>
      </w:r>
      <w:r>
        <w:rPr>
          <w:rFonts w:ascii="Time New Roman" w:eastAsia="SimHei" w:hAnsi="Time New Roman" w:hint="eastAsia"/>
          <w:bCs/>
          <w:snapToGrid/>
        </w:rPr>
        <w:t>缔约国应保障切实获得补救、尤其是一切已判处死刑的人获得补救的权利，应确保人权事务委员会在处理已判处死刑的个人提出的申诉案时发布的临时保护措施，在任何情况下都得到尊重。</w:t>
      </w:r>
    </w:p>
    <w:p w:rsidR="00000000" w:rsidRDefault="00000000">
      <w:pPr>
        <w:rPr>
          <w:rFonts w:hint="eastAsia"/>
          <w:snapToGrid/>
        </w:rPr>
      </w:pPr>
      <w:r>
        <w:rPr>
          <w:rFonts w:hint="eastAsia"/>
          <w:snapToGrid/>
        </w:rPr>
        <w:tab/>
      </w:r>
      <w:r>
        <w:rPr>
          <w:snapToGrid/>
        </w:rPr>
        <w:t xml:space="preserve">8. </w:t>
      </w:r>
      <w:r>
        <w:rPr>
          <w:rFonts w:hint="eastAsia"/>
          <w:snapToGrid/>
        </w:rPr>
        <w:t xml:space="preserve"> </w:t>
      </w:r>
      <w:r>
        <w:rPr>
          <w:rFonts w:hint="eastAsia"/>
          <w:snapToGrid/>
        </w:rPr>
        <w:t>委员会对缔约国缺乏政策和立法方面应对贩运人口问题的措施表示关切</w:t>
      </w:r>
      <w:r>
        <w:rPr>
          <w:rFonts w:hint="eastAsia"/>
          <w:snapToGrid/>
        </w:rPr>
        <w:t>(</w:t>
      </w:r>
      <w:r>
        <w:rPr>
          <w:rFonts w:hint="eastAsia"/>
          <w:snapToGrid/>
        </w:rPr>
        <w:t>第三、七、八、二十六条</w:t>
      </w:r>
      <w:r>
        <w:rPr>
          <w:rFonts w:hint="eastAsia"/>
          <w:snapToGrid/>
        </w:rPr>
        <w:t>)</w:t>
      </w:r>
      <w:r>
        <w:rPr>
          <w:rFonts w:hint="eastAsia"/>
          <w:snapToGrid/>
        </w:rPr>
        <w:t>。</w:t>
      </w:r>
    </w:p>
    <w:p w:rsidR="00000000" w:rsidRDefault="00000000">
      <w:pPr>
        <w:ind w:left="1020"/>
        <w:rPr>
          <w:rFonts w:hint="eastAsia"/>
          <w:snapToGrid/>
        </w:rPr>
      </w:pPr>
      <w:r>
        <w:rPr>
          <w:rFonts w:ascii="Time New Roman" w:eastAsia="SimHei" w:hAnsi="Time New Roman"/>
          <w:bCs/>
          <w:snapToGrid/>
        </w:rPr>
        <w:tab/>
      </w:r>
      <w:r>
        <w:rPr>
          <w:rFonts w:ascii="Time New Roman" w:eastAsia="SimHei" w:hAnsi="Time New Roman" w:hint="eastAsia"/>
          <w:bCs/>
          <w:snapToGrid/>
        </w:rPr>
        <w:t>缔约国应确保在其处置此种现象时突出注意贩运受害者的人权，包括支持和协助被贩运进入缔约国从事卖淫的妇女和女童。此外，缔约国还应会同加共体将贩运人口活动列为罪行。</w:t>
      </w:r>
    </w:p>
    <w:p w:rsidR="00000000" w:rsidRDefault="00000000">
      <w:pPr>
        <w:rPr>
          <w:rFonts w:hint="eastAsia"/>
          <w:snapToGrid/>
        </w:rPr>
      </w:pPr>
      <w:r>
        <w:rPr>
          <w:rFonts w:hint="eastAsia"/>
          <w:snapToGrid/>
        </w:rPr>
        <w:tab/>
      </w:r>
      <w:r>
        <w:rPr>
          <w:snapToGrid/>
        </w:rPr>
        <w:t xml:space="preserve">9.  </w:t>
      </w:r>
      <w:r>
        <w:rPr>
          <w:rFonts w:hint="eastAsia"/>
          <w:snapToGrid/>
        </w:rPr>
        <w:t>委员会虽然注意到已有</w:t>
      </w:r>
      <w:r>
        <w:rPr>
          <w:rFonts w:hint="eastAsia"/>
          <w:snapToGrid/>
        </w:rPr>
        <w:t>24</w:t>
      </w:r>
      <w:r>
        <w:rPr>
          <w:rFonts w:hint="eastAsia"/>
          <w:snapToGrid/>
        </w:rPr>
        <w:t>年未采用死刑，但仍感到关切的是，缔约国的法律将某些罪行定为必须处以死刑的罪行，从而使审判庭无法根据全部案情全面酌情量刑</w:t>
      </w:r>
      <w:r>
        <w:rPr>
          <w:rFonts w:hint="eastAsia"/>
          <w:snapToGrid/>
        </w:rPr>
        <w:t>(</w:t>
      </w:r>
      <w:r>
        <w:rPr>
          <w:rFonts w:hint="eastAsia"/>
          <w:snapToGrid/>
        </w:rPr>
        <w:t>第六条</w:t>
      </w:r>
      <w:r>
        <w:rPr>
          <w:rFonts w:hint="eastAsia"/>
          <w:snapToGrid/>
        </w:rPr>
        <w:t>)</w:t>
      </w:r>
      <w:r>
        <w:rPr>
          <w:rFonts w:hint="eastAsia"/>
          <w:snapToGrid/>
        </w:rPr>
        <w:t>。</w:t>
      </w:r>
    </w:p>
    <w:p w:rsidR="00000000" w:rsidRDefault="00000000">
      <w:pPr>
        <w:ind w:left="1020"/>
        <w:rPr>
          <w:rFonts w:hint="eastAsia"/>
          <w:b/>
          <w:snapToGrid/>
        </w:rPr>
      </w:pPr>
      <w:r>
        <w:rPr>
          <w:rFonts w:ascii="Time New Roman" w:eastAsia="SimHei" w:hAnsi="Time New Roman"/>
          <w:bCs/>
          <w:snapToGrid/>
        </w:rPr>
        <w:tab/>
      </w:r>
      <w:r>
        <w:rPr>
          <w:rFonts w:ascii="Time New Roman" w:eastAsia="SimHei" w:hAnsi="Time New Roman" w:hint="eastAsia"/>
          <w:bCs/>
          <w:snapToGrid/>
        </w:rPr>
        <w:t>缔约国应考虑废除死刑，加入《公约》的第二议定书。与此同时，缔约国应修订其涉及死刑的法律，删除必须判处死刑的规定，确保此类法律与《公约》第六条规定相符。</w:t>
      </w:r>
    </w:p>
    <w:p w:rsidR="00000000" w:rsidRDefault="00000000">
      <w:pPr>
        <w:rPr>
          <w:rFonts w:hint="eastAsia"/>
          <w:snapToGrid/>
        </w:rPr>
      </w:pPr>
      <w:r>
        <w:rPr>
          <w:rFonts w:hint="eastAsia"/>
          <w:snapToGrid/>
        </w:rPr>
        <w:tab/>
      </w:r>
      <w:r>
        <w:rPr>
          <w:snapToGrid/>
        </w:rPr>
        <w:t xml:space="preserve">10. </w:t>
      </w:r>
      <w:r>
        <w:rPr>
          <w:rFonts w:hint="eastAsia"/>
          <w:snapToGrid/>
        </w:rPr>
        <w:t xml:space="preserve"> </w:t>
      </w:r>
      <w:r>
        <w:rPr>
          <w:rFonts w:hint="eastAsia"/>
          <w:snapToGrid/>
        </w:rPr>
        <w:t>委员会对缔约国法律没有给予难民身份的规定，没有将不驱回原则编入法律条文</w:t>
      </w:r>
      <w:r>
        <w:rPr>
          <w:rFonts w:hint="eastAsia"/>
          <w:snapToGrid/>
        </w:rPr>
        <w:t>(</w:t>
      </w:r>
      <w:r>
        <w:rPr>
          <w:rFonts w:hint="eastAsia"/>
          <w:snapToGrid/>
        </w:rPr>
        <w:t>第六、七和十三条</w:t>
      </w:r>
      <w:r>
        <w:rPr>
          <w:rFonts w:hint="eastAsia"/>
          <w:snapToGrid/>
        </w:rPr>
        <w:t>)</w:t>
      </w:r>
      <w:r>
        <w:rPr>
          <w:rFonts w:hint="eastAsia"/>
          <w:snapToGrid/>
        </w:rPr>
        <w:t>。</w:t>
      </w:r>
    </w:p>
    <w:p w:rsidR="00000000" w:rsidRDefault="00000000">
      <w:pPr>
        <w:ind w:left="1020"/>
        <w:rPr>
          <w:rFonts w:hint="eastAsia"/>
          <w:b/>
          <w:snapToGrid/>
        </w:rPr>
      </w:pPr>
      <w:r>
        <w:rPr>
          <w:rFonts w:ascii="Time New Roman" w:eastAsia="SimHei" w:hAnsi="Time New Roman"/>
          <w:bCs/>
          <w:snapToGrid/>
        </w:rPr>
        <w:tab/>
      </w:r>
      <w:r>
        <w:rPr>
          <w:rFonts w:ascii="Time New Roman" w:eastAsia="SimHei" w:hAnsi="Time New Roman" w:hint="eastAsia"/>
          <w:bCs/>
          <w:snapToGrid/>
        </w:rPr>
        <w:t>缔约国目前正会同难民署努力制定通过避难政策，尤其是在其立法中采用不驱回原则，委员会对此予以鼓励。</w:t>
      </w:r>
    </w:p>
    <w:p w:rsidR="00000000" w:rsidRDefault="00000000">
      <w:pPr>
        <w:rPr>
          <w:rFonts w:hint="eastAsia"/>
          <w:snapToGrid/>
        </w:rPr>
      </w:pPr>
      <w:r>
        <w:rPr>
          <w:rFonts w:hint="eastAsia"/>
          <w:snapToGrid/>
        </w:rPr>
        <w:tab/>
      </w:r>
      <w:r>
        <w:rPr>
          <w:snapToGrid/>
        </w:rPr>
        <w:t xml:space="preserve">11. </w:t>
      </w:r>
      <w:r>
        <w:rPr>
          <w:rFonts w:hint="eastAsia"/>
          <w:snapToGrid/>
        </w:rPr>
        <w:t xml:space="preserve"> </w:t>
      </w:r>
      <w:r>
        <w:rPr>
          <w:rFonts w:hint="eastAsia"/>
          <w:snapToGrid/>
        </w:rPr>
        <w:t>委员会注意到《宪法》禁止酷刑及不人道或有辱人格的待遇或处罚，但仍对国内法未从法律上界定酷刑的含义表示关切</w:t>
      </w:r>
      <w:r>
        <w:rPr>
          <w:rFonts w:hint="eastAsia"/>
          <w:snapToGrid/>
        </w:rPr>
        <w:t>(</w:t>
      </w:r>
      <w:r>
        <w:rPr>
          <w:rFonts w:hint="eastAsia"/>
          <w:snapToGrid/>
        </w:rPr>
        <w:t>第七条</w:t>
      </w:r>
      <w:r>
        <w:rPr>
          <w:rFonts w:hint="eastAsia"/>
          <w:snapToGrid/>
        </w:rPr>
        <w:t>)</w:t>
      </w:r>
      <w:r>
        <w:rPr>
          <w:rFonts w:hint="eastAsia"/>
          <w:snapToGrid/>
        </w:rPr>
        <w:t>。</w:t>
      </w:r>
    </w:p>
    <w:p w:rsidR="00000000" w:rsidRDefault="00000000">
      <w:pPr>
        <w:ind w:left="1020"/>
        <w:rPr>
          <w:rFonts w:ascii="Time New Roman" w:eastAsia="SimHei" w:hAnsi="Time New Roman" w:hint="eastAsia"/>
          <w:bCs/>
          <w:snapToGrid/>
        </w:rPr>
      </w:pPr>
      <w:r>
        <w:rPr>
          <w:rFonts w:ascii="Time New Roman" w:eastAsia="SimHei" w:hAnsi="Time New Roman" w:hint="eastAsia"/>
          <w:bCs/>
          <w:snapToGrid/>
        </w:rPr>
        <w:t>缔约国应对酷刑作出符合《公约》第七条的法律界定。</w:t>
      </w:r>
    </w:p>
    <w:p w:rsidR="00000000" w:rsidRDefault="00000000">
      <w:pPr>
        <w:rPr>
          <w:rFonts w:hint="eastAsia"/>
          <w:snapToGrid/>
        </w:rPr>
      </w:pPr>
      <w:r>
        <w:rPr>
          <w:rFonts w:hint="eastAsia"/>
          <w:snapToGrid/>
        </w:rPr>
        <w:tab/>
      </w:r>
      <w:r>
        <w:rPr>
          <w:snapToGrid/>
        </w:rPr>
        <w:t xml:space="preserve">12.  </w:t>
      </w:r>
      <w:r>
        <w:rPr>
          <w:rFonts w:hint="eastAsia"/>
          <w:snapToGrid/>
        </w:rPr>
        <w:t>委员会对体罚仍然是司法判决的一种，并在刑事系统和教育系统内允许使用的情况感到关切</w:t>
      </w:r>
      <w:r>
        <w:rPr>
          <w:rFonts w:hint="eastAsia"/>
          <w:snapToGrid/>
        </w:rPr>
        <w:t>(</w:t>
      </w:r>
      <w:r>
        <w:rPr>
          <w:rFonts w:hint="eastAsia"/>
          <w:snapToGrid/>
        </w:rPr>
        <w:t>第七和二十四条</w:t>
      </w:r>
      <w:r>
        <w:rPr>
          <w:rFonts w:hint="eastAsia"/>
          <w:snapToGrid/>
        </w:rPr>
        <w:t>)</w:t>
      </w:r>
      <w:r>
        <w:rPr>
          <w:rFonts w:hint="eastAsia"/>
          <w:snapToGrid/>
        </w:rPr>
        <w:t>。</w:t>
      </w:r>
    </w:p>
    <w:p w:rsidR="00000000" w:rsidRDefault="00000000">
      <w:pPr>
        <w:ind w:left="1020"/>
        <w:rPr>
          <w:rFonts w:hint="eastAsia"/>
          <w:snapToGrid/>
        </w:rPr>
      </w:pPr>
      <w:r>
        <w:rPr>
          <w:rFonts w:ascii="Time New Roman" w:eastAsia="SimHei" w:hAnsi="Time New Roman"/>
          <w:bCs/>
          <w:snapToGrid/>
        </w:rPr>
        <w:tab/>
      </w:r>
      <w:r>
        <w:rPr>
          <w:rFonts w:ascii="Time New Roman" w:eastAsia="SimHei" w:hAnsi="Time New Roman" w:hint="eastAsia"/>
          <w:bCs/>
          <w:snapToGrid/>
        </w:rPr>
        <w:t>缔约国应立即采取措施，废除体罚，不再作为其法律的一种合法制裁手段，阻止学校使用体罚。缔约国应采取一切必要措施，争取最终彻底废除体罚。</w:t>
      </w:r>
    </w:p>
    <w:p w:rsidR="00000000" w:rsidRDefault="00000000">
      <w:pPr>
        <w:rPr>
          <w:rFonts w:hint="eastAsia"/>
          <w:snapToGrid/>
        </w:rPr>
      </w:pPr>
      <w:r>
        <w:rPr>
          <w:rFonts w:hint="eastAsia"/>
          <w:snapToGrid/>
        </w:rPr>
        <w:tab/>
      </w:r>
      <w:r>
        <w:rPr>
          <w:snapToGrid/>
        </w:rPr>
        <w:t xml:space="preserve">13. </w:t>
      </w:r>
      <w:r>
        <w:rPr>
          <w:rFonts w:hint="eastAsia"/>
          <w:snapToGrid/>
        </w:rPr>
        <w:t xml:space="preserve"> </w:t>
      </w:r>
      <w:r>
        <w:rPr>
          <w:rFonts w:hint="eastAsia"/>
          <w:snapToGrid/>
        </w:rPr>
        <w:t>委员会对同性恋者在缔约国遭到歧视、特别是将同性成年人之间的自愿性行为定为罪行的情况表示关切</w:t>
      </w:r>
      <w:r>
        <w:rPr>
          <w:rFonts w:hint="eastAsia"/>
          <w:snapToGrid/>
        </w:rPr>
        <w:t>(</w:t>
      </w:r>
      <w:r>
        <w:rPr>
          <w:rFonts w:hint="eastAsia"/>
          <w:snapToGrid/>
        </w:rPr>
        <w:t>第二十六条</w:t>
      </w:r>
      <w:r>
        <w:rPr>
          <w:rFonts w:hint="eastAsia"/>
          <w:snapToGrid/>
        </w:rPr>
        <w:t>)</w:t>
      </w:r>
      <w:r>
        <w:rPr>
          <w:rFonts w:hint="eastAsia"/>
          <w:snapToGrid/>
        </w:rPr>
        <w:t>。</w:t>
      </w:r>
    </w:p>
    <w:p w:rsidR="00000000" w:rsidRDefault="00000000">
      <w:pPr>
        <w:ind w:left="1021"/>
        <w:rPr>
          <w:rFonts w:hint="eastAsia"/>
          <w:bCs/>
          <w:snapToGrid/>
        </w:rPr>
      </w:pPr>
      <w:r>
        <w:rPr>
          <w:rFonts w:ascii="Time New Roman" w:eastAsia="SimHei" w:hAnsi="Time New Roman"/>
          <w:bCs/>
          <w:snapToGrid/>
        </w:rPr>
        <w:tab/>
      </w:r>
      <w:r>
        <w:rPr>
          <w:rFonts w:ascii="Time New Roman" w:eastAsia="SimHei" w:hAnsi="Time New Roman" w:hint="eastAsia"/>
          <w:bCs/>
          <w:snapToGrid/>
        </w:rPr>
        <w:t>缔约国应不再将同性成年人之间的性行为列为罪行，采取一切必要措施保护同性恋者不受骚扰、歧视和暴力侵害</w:t>
      </w:r>
      <w:r>
        <w:rPr>
          <w:rFonts w:hint="eastAsia"/>
          <w:bCs/>
          <w:snapToGrid/>
        </w:rPr>
        <w:t>。</w:t>
      </w:r>
    </w:p>
    <w:p w:rsidR="00000000" w:rsidRDefault="00000000">
      <w:pPr>
        <w:rPr>
          <w:rFonts w:hint="eastAsia"/>
          <w:snapToGrid/>
        </w:rPr>
      </w:pPr>
      <w:r>
        <w:rPr>
          <w:rFonts w:hint="eastAsia"/>
          <w:snapToGrid/>
        </w:rPr>
        <w:tab/>
      </w:r>
      <w:r>
        <w:rPr>
          <w:snapToGrid/>
        </w:rPr>
        <w:t xml:space="preserve">14. </w:t>
      </w:r>
      <w:r>
        <w:rPr>
          <w:rFonts w:hint="eastAsia"/>
          <w:snapToGrid/>
        </w:rPr>
        <w:t xml:space="preserve"> </w:t>
      </w:r>
      <w:r>
        <w:rPr>
          <w:rFonts w:hint="eastAsia"/>
          <w:snapToGrid/>
        </w:rPr>
        <w:t>委员会请缔约国向公众广泛宣传本结论性意见及其第三次定期报告，可以在政府网站上刊发，提供给报纸发表，在公共图书馆和议会图书馆散发。此外还强烈建议缔约国与巴巴多斯非政府组织协会讨论本结论性意见及其报告。</w:t>
      </w:r>
    </w:p>
    <w:p w:rsidR="00000000" w:rsidRDefault="00000000">
      <w:pPr>
        <w:rPr>
          <w:rFonts w:hint="eastAsia"/>
          <w:snapToGrid/>
        </w:rPr>
      </w:pPr>
      <w:r>
        <w:rPr>
          <w:rFonts w:hint="eastAsia"/>
          <w:snapToGrid/>
        </w:rPr>
        <w:tab/>
        <w:t xml:space="preserve">15.  </w:t>
      </w:r>
      <w:r>
        <w:rPr>
          <w:rFonts w:hint="eastAsia"/>
          <w:snapToGrid/>
        </w:rPr>
        <w:t>依照委员会议事规则第</w:t>
      </w:r>
      <w:r>
        <w:rPr>
          <w:rFonts w:hint="eastAsia"/>
          <w:snapToGrid/>
        </w:rPr>
        <w:t>71</w:t>
      </w:r>
      <w:r>
        <w:rPr>
          <w:rFonts w:hint="eastAsia"/>
          <w:snapToGrid/>
        </w:rPr>
        <w:t>条第</w:t>
      </w:r>
      <w:r>
        <w:rPr>
          <w:rFonts w:hint="eastAsia"/>
          <w:snapToGrid/>
        </w:rPr>
        <w:t>5</w:t>
      </w:r>
      <w:r>
        <w:rPr>
          <w:rFonts w:hint="eastAsia"/>
          <w:snapToGrid/>
        </w:rPr>
        <w:t>款，缔约国应在一年内提供有关资料，说明对形势的评估以及委员会建议第</w:t>
      </w:r>
      <w:r>
        <w:rPr>
          <w:rFonts w:hint="eastAsia"/>
          <w:snapToGrid/>
        </w:rPr>
        <w:t>9</w:t>
      </w:r>
      <w:r>
        <w:rPr>
          <w:rFonts w:hint="eastAsia"/>
          <w:snapToGrid/>
        </w:rPr>
        <w:t>、</w:t>
      </w:r>
      <w:r>
        <w:rPr>
          <w:rFonts w:hint="eastAsia"/>
          <w:snapToGrid/>
        </w:rPr>
        <w:t>12</w:t>
      </w:r>
      <w:r>
        <w:rPr>
          <w:rFonts w:hint="eastAsia"/>
          <w:snapToGrid/>
        </w:rPr>
        <w:t>和</w:t>
      </w:r>
      <w:r>
        <w:rPr>
          <w:rFonts w:hint="eastAsia"/>
          <w:snapToGrid/>
        </w:rPr>
        <w:t>13</w:t>
      </w:r>
      <w:r>
        <w:rPr>
          <w:rFonts w:hint="eastAsia"/>
          <w:snapToGrid/>
        </w:rPr>
        <w:t>段的落实情况。</w:t>
      </w:r>
    </w:p>
    <w:p w:rsidR="00000000" w:rsidRDefault="00000000">
      <w:pPr>
        <w:spacing w:after="320"/>
        <w:rPr>
          <w:snapToGrid/>
        </w:rPr>
      </w:pPr>
      <w:r>
        <w:rPr>
          <w:rFonts w:hint="eastAsia"/>
          <w:snapToGrid/>
        </w:rPr>
        <w:tab/>
      </w:r>
      <w:r>
        <w:rPr>
          <w:snapToGrid/>
        </w:rPr>
        <w:t xml:space="preserve">16. </w:t>
      </w:r>
      <w:r>
        <w:rPr>
          <w:rFonts w:hint="eastAsia"/>
          <w:snapToGrid/>
        </w:rPr>
        <w:t xml:space="preserve"> </w:t>
      </w:r>
      <w:r>
        <w:rPr>
          <w:rFonts w:hint="eastAsia"/>
          <w:snapToGrid/>
        </w:rPr>
        <w:t>委员会请缔约国在应于</w:t>
      </w:r>
      <w:r>
        <w:rPr>
          <w:rFonts w:hint="eastAsia"/>
          <w:snapToGrid/>
        </w:rPr>
        <w:t>2011</w:t>
      </w:r>
      <w:r>
        <w:rPr>
          <w:rFonts w:hint="eastAsia"/>
          <w:snapToGrid/>
        </w:rPr>
        <w:t>年</w:t>
      </w:r>
      <w:r>
        <w:rPr>
          <w:rFonts w:hint="eastAsia"/>
          <w:snapToGrid/>
        </w:rPr>
        <w:t>3</w:t>
      </w:r>
      <w:r>
        <w:rPr>
          <w:rFonts w:hint="eastAsia"/>
          <w:snapToGrid/>
        </w:rPr>
        <w:t>月</w:t>
      </w:r>
      <w:r>
        <w:rPr>
          <w:rFonts w:hint="eastAsia"/>
          <w:snapToGrid/>
        </w:rPr>
        <w:t>29</w:t>
      </w:r>
      <w:r>
        <w:rPr>
          <w:rFonts w:hint="eastAsia"/>
          <w:snapToGrid/>
        </w:rPr>
        <w:t>日提交的下次报告中，介绍其他建议的情况以及整个《公约》的落实情况。</w:t>
      </w:r>
    </w:p>
    <w:p w:rsidR="00000000" w:rsidRDefault="00000000">
      <w:pPr>
        <w:spacing w:after="320"/>
        <w:rPr>
          <w:snapToGrid/>
        </w:rPr>
      </w:pPr>
    </w:p>
    <w:p w:rsidR="00000000" w:rsidRDefault="00000000">
      <w:pPr>
        <w:jc w:val="center"/>
        <w:rPr>
          <w:snapToGrid/>
          <w:u w:val="single"/>
        </w:rPr>
      </w:pPr>
      <w:r>
        <w:rPr>
          <w:snapToGrid/>
        </w:rPr>
        <w:t>--  --  --  --  --</w:t>
      </w:r>
    </w:p>
    <w:sectPr w:rsidR="00000000">
      <w:headerReference w:type="even" r:id="rId7"/>
      <w:headerReference w:type="default" r:id="rId8"/>
      <w:headerReference w:type="first" r:id="rId9"/>
      <w:footerReference w:type="first" r:id="rId10"/>
      <w:pgSz w:w="11906" w:h="16838"/>
      <w:pgMar w:top="1985" w:right="851" w:bottom="1985" w:left="1701"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Time New Roman">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07-4187</w:t>
          </w:r>
          <w:r>
            <w:rPr>
              <w:rFonts w:hint="eastAsia"/>
              <w:lang w:eastAsia="zh-CN"/>
            </w:rPr>
            <w:t>6</w:t>
          </w:r>
          <w:r>
            <w:t xml:space="preserve"> (C)</w:t>
          </w:r>
        </w:p>
      </w:tc>
      <w:tc>
        <w:tcPr>
          <w:tcW w:w="1050" w:type="dxa"/>
        </w:tcPr>
        <w:p w:rsidR="00000000" w:rsidRDefault="00000000">
          <w:pPr>
            <w:pStyle w:val="Footer"/>
          </w:pPr>
          <w:r>
            <w:t>230507</w:t>
          </w:r>
        </w:p>
      </w:tc>
      <w:tc>
        <w:tcPr>
          <w:tcW w:w="6061" w:type="dxa"/>
        </w:tcPr>
        <w:p w:rsidR="00000000" w:rsidRDefault="00000000">
          <w:pPr>
            <w:pStyle w:val="Footer"/>
          </w:pPr>
          <w:r>
            <w:t>2</w:t>
          </w:r>
          <w:r>
            <w:rPr>
              <w:lang w:eastAsia="zh-CN"/>
            </w:rPr>
            <w:t>5</w:t>
          </w:r>
          <w:r>
            <w:t>0507</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CCPR/C/BRB/CO/3</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ab/>
    </w:r>
    <w:r>
      <w:tab/>
    </w:r>
    <w:r>
      <w:tab/>
    </w:r>
    <w:r>
      <w:tab/>
      <w:t>CCPR/C/BRB/CO/3</w:t>
    </w:r>
  </w:p>
  <w:p w:rsidR="00000000" w:rsidRDefault="00000000">
    <w:pPr>
      <w:pStyle w:val="Header"/>
    </w:pPr>
    <w:r>
      <w:tab/>
    </w:r>
    <w:r>
      <w:tab/>
    </w:r>
    <w:r>
      <w:tab/>
    </w:r>
    <w:r>
      <w:rPr>
        <w:rFonts w:hint="eastAsia"/>
        <w:lang w:eastAsia="zh-CN"/>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536"/>
      <w:gridCol w:w="3260"/>
    </w:tblGrid>
    <w:tr w:rsidR="00000000">
      <w:tblPrEx>
        <w:tblCellMar>
          <w:top w:w="0" w:type="dxa"/>
          <w:bottom w:w="0" w:type="dxa"/>
        </w:tblCellMar>
      </w:tblPrEx>
      <w:tc>
        <w:tcPr>
          <w:tcW w:w="1668" w:type="dxa"/>
          <w:tcBorders>
            <w:top w:val="nil"/>
            <w:left w:val="nil"/>
            <w:bottom w:val="single" w:sz="8" w:space="0" w:color="auto"/>
            <w:right w:val="nil"/>
          </w:tcBorders>
          <w:vAlign w:val="center"/>
        </w:tcPr>
        <w:p w:rsidR="00000000" w:rsidRDefault="00000000">
          <w:pPr>
            <w:pStyle w:val="1L"/>
            <w:framePr w:w="0" w:hRule="auto" w:hSpace="0" w:wrap="auto" w:vAnchor="margin" w:hAnchor="text" w:xAlign="left" w:yAlign="inline"/>
            <w:rPr>
              <w:rFonts w:ascii="Time New Roman" w:hAnsi="Time New Roman"/>
              <w:b/>
            </w:rPr>
          </w:pPr>
          <w:r>
            <w:rPr>
              <w:rFonts w:hint="eastAsia"/>
            </w:rPr>
            <w:t>联合国</w:t>
          </w:r>
        </w:p>
      </w:tc>
      <w:tc>
        <w:tcPr>
          <w:tcW w:w="4536" w:type="dxa"/>
          <w:tcBorders>
            <w:top w:val="nil"/>
            <w:left w:val="nil"/>
            <w:bottom w:val="single" w:sz="8" w:space="0" w:color="auto"/>
            <w:right w:val="nil"/>
          </w:tcBorders>
        </w:tcPr>
        <w:p w:rsidR="00000000" w:rsidRDefault="00000000">
          <w:pPr>
            <w:pStyle w:val="1L"/>
            <w:framePr w:w="0" w:hRule="auto" w:hSpace="0" w:wrap="auto" w:vAnchor="margin" w:hAnchor="text" w:xAlign="left" w:yAlign="inline"/>
          </w:pPr>
        </w:p>
      </w:tc>
      <w:tc>
        <w:tcPr>
          <w:tcW w:w="3260" w:type="dxa"/>
          <w:tcBorders>
            <w:top w:val="nil"/>
            <w:left w:val="nil"/>
            <w:bottom w:val="single" w:sz="8" w:space="0" w:color="auto"/>
            <w:right w:val="nil"/>
          </w:tcBorders>
          <w:vAlign w:val="bottom"/>
        </w:tcPr>
        <w:p w:rsidR="00000000" w:rsidRDefault="00000000">
          <w:pPr>
            <w:pStyle w:val="1R1"/>
            <w:jc w:val="right"/>
            <w:rPr>
              <w:rFonts w:ascii="Univers" w:hAnsi="Univers"/>
              <w:b w:val="0"/>
              <w:sz w:val="72"/>
            </w:rPr>
          </w:pPr>
          <w:r>
            <w:t>CCPR</w:t>
          </w:r>
        </w:p>
      </w:tc>
    </w:tr>
    <w:bookmarkStart w:id="0" w:name="_MON_992683020"/>
    <w:bookmarkStart w:id="1" w:name="_MON_1114339969"/>
    <w:bookmarkEnd w:id="0"/>
    <w:bookmarkEnd w:id="1"/>
    <w:tr w:rsidR="00000000">
      <w:tblPrEx>
        <w:tblCellMar>
          <w:top w:w="0" w:type="dxa"/>
          <w:bottom w:w="0" w:type="dxa"/>
        </w:tblCellMar>
      </w:tblPrEx>
      <w:tc>
        <w:tcPr>
          <w:tcW w:w="1668" w:type="dxa"/>
          <w:tcBorders>
            <w:top w:val="single" w:sz="8" w:space="0" w:color="auto"/>
            <w:left w:val="nil"/>
            <w:bottom w:val="single" w:sz="24"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393230765" r:id="rId2"/>
            </w:object>
          </w:r>
        </w:p>
      </w:tc>
      <w:tc>
        <w:tcPr>
          <w:tcW w:w="4536" w:type="dxa"/>
          <w:tcBorders>
            <w:top w:val="single" w:sz="8" w:space="0" w:color="auto"/>
            <w:left w:val="nil"/>
            <w:bottom w:val="single" w:sz="24" w:space="0" w:color="auto"/>
            <w:right w:val="nil"/>
          </w:tcBorders>
        </w:tcPr>
        <w:p w:rsidR="00000000" w:rsidRDefault="00000000">
          <w:pPr>
            <w:pStyle w:val="1m1"/>
            <w:rPr>
              <w:spacing w:val="30"/>
              <w:sz w:val="20"/>
            </w:rPr>
          </w:pPr>
        </w:p>
        <w:p w:rsidR="00000000" w:rsidRDefault="00000000">
          <w:pPr>
            <w:pStyle w:val="1m1"/>
            <w:spacing w:line="240" w:lineRule="auto"/>
            <w:rPr>
              <w:spacing w:val="20"/>
            </w:rPr>
          </w:pPr>
          <w:r>
            <w:rPr>
              <w:rFonts w:hint="eastAsia"/>
              <w:spacing w:val="20"/>
            </w:rPr>
            <w:t>公民权利和政治权利</w:t>
          </w:r>
        </w:p>
        <w:p w:rsidR="00000000" w:rsidRDefault="00000000">
          <w:pPr>
            <w:pStyle w:val="1m1"/>
            <w:spacing w:line="240" w:lineRule="auto"/>
            <w:rPr>
              <w:spacing w:val="20"/>
            </w:rPr>
          </w:pPr>
          <w:r>
            <w:rPr>
              <w:rFonts w:hint="eastAsia"/>
              <w:spacing w:val="20"/>
            </w:rPr>
            <w:t>国际公约</w:t>
          </w:r>
        </w:p>
        <w:p w:rsidR="00000000" w:rsidRDefault="00000000">
          <w:pPr>
            <w:pStyle w:val="1m1"/>
            <w:spacing w:before="480"/>
          </w:pPr>
        </w:p>
      </w:tc>
      <w:tc>
        <w:tcPr>
          <w:tcW w:w="3260" w:type="dxa"/>
          <w:tcBorders>
            <w:top w:val="single" w:sz="8" w:space="0" w:color="auto"/>
            <w:left w:val="nil"/>
            <w:bottom w:val="single" w:sz="24" w:space="0" w:color="auto"/>
            <w:right w:val="nil"/>
          </w:tcBorders>
        </w:tcPr>
        <w:p w:rsidR="00000000" w:rsidRDefault="00000000">
          <w:pPr>
            <w:pStyle w:val="Header"/>
            <w:rPr>
              <w:lang w:eastAsia="zh-CN"/>
            </w:rPr>
          </w:pPr>
        </w:p>
        <w:p w:rsidR="00000000" w:rsidRDefault="00000000">
          <w:pPr>
            <w:pStyle w:val="Header"/>
          </w:pPr>
          <w:r>
            <w:t>Distr.</w:t>
          </w:r>
        </w:p>
        <w:p w:rsidR="00000000" w:rsidRDefault="00000000">
          <w:pPr>
            <w:pStyle w:val="Header"/>
            <w:jc w:val="both"/>
          </w:pPr>
          <w:r>
            <w:t>GENERAL</w:t>
          </w:r>
        </w:p>
        <w:p w:rsidR="00000000" w:rsidRDefault="00000000">
          <w:pPr>
            <w:pStyle w:val="Header"/>
          </w:pPr>
        </w:p>
        <w:p w:rsidR="00000000" w:rsidRDefault="00000000">
          <w:pPr>
            <w:pStyle w:val="Header"/>
            <w:jc w:val="both"/>
          </w:pPr>
          <w:r>
            <w:t>CCPR/C/BRB/CO/3</w:t>
          </w:r>
        </w:p>
        <w:p w:rsidR="00000000" w:rsidRDefault="00000000">
          <w:pPr>
            <w:pStyle w:val="Header"/>
          </w:pPr>
          <w:r>
            <w:t>14 May 2007</w:t>
          </w:r>
        </w:p>
        <w:p w:rsidR="00000000" w:rsidRDefault="00000000">
          <w:pPr>
            <w:pStyle w:val="Header"/>
          </w:pPr>
        </w:p>
        <w:p w:rsidR="00000000" w:rsidRDefault="00000000">
          <w:pPr>
            <w:pStyle w:val="Header"/>
          </w:pPr>
          <w:r>
            <w:t>CHINESE</w:t>
          </w:r>
        </w:p>
        <w:p w:rsidR="00000000" w:rsidRDefault="00000000">
          <w:pPr>
            <w:pStyle w:val="Header"/>
            <w:tabs>
              <w:tab w:val="clear" w:pos="992"/>
              <w:tab w:val="left" w:pos="993"/>
            </w:tabs>
          </w:pPr>
          <w:r>
            <w:t>Original:</w:t>
          </w:r>
          <w:r>
            <w:tab/>
            <w:t>ENGLISH</w:t>
          </w:r>
        </w:p>
        <w:p w:rsidR="00000000" w:rsidRDefault="00000000">
          <w:pPr>
            <w:pStyle w:val="Header"/>
          </w:pPr>
        </w:p>
      </w:tc>
    </w:tr>
    <w:tr w:rsidR="00000000">
      <w:tblPrEx>
        <w:tblCellMar>
          <w:top w:w="0" w:type="dxa"/>
          <w:bottom w:w="0" w:type="dxa"/>
        </w:tblCellMar>
      </w:tblPrEx>
      <w:trPr>
        <w:cantSplit/>
        <w:trHeight w:val="293"/>
      </w:trPr>
      <w:tc>
        <w:tcPr>
          <w:tcW w:w="1668" w:type="dxa"/>
          <w:tcBorders>
            <w:top w:val="single" w:sz="24" w:space="0" w:color="auto"/>
            <w:left w:val="nil"/>
            <w:bottom w:val="nil"/>
            <w:right w:val="nil"/>
          </w:tcBorders>
          <w:noWrap/>
        </w:tcPr>
        <w:p w:rsidR="00000000" w:rsidRDefault="00000000">
          <w:pPr>
            <w:rPr>
              <w:sz w:val="16"/>
            </w:rPr>
          </w:pPr>
        </w:p>
      </w:tc>
      <w:tc>
        <w:tcPr>
          <w:tcW w:w="4536" w:type="dxa"/>
          <w:tcBorders>
            <w:top w:val="single" w:sz="24" w:space="0" w:color="auto"/>
            <w:left w:val="nil"/>
            <w:bottom w:val="nil"/>
            <w:right w:val="nil"/>
          </w:tcBorders>
          <w:noWrap/>
        </w:tcPr>
        <w:p w:rsidR="00000000" w:rsidRDefault="00000000">
          <w:pPr>
            <w:pStyle w:val="1m1"/>
            <w:spacing w:line="240" w:lineRule="auto"/>
            <w:rPr>
              <w:rFonts w:hint="eastAsia"/>
              <w:sz w:val="16"/>
            </w:rPr>
          </w:pPr>
        </w:p>
      </w:tc>
      <w:tc>
        <w:tcPr>
          <w:tcW w:w="3260" w:type="dxa"/>
          <w:tcBorders>
            <w:top w:val="single" w:sz="24" w:space="0" w:color="auto"/>
            <w:left w:val="nil"/>
            <w:bottom w:val="nil"/>
            <w:right w:val="nil"/>
          </w:tcBorders>
          <w:noWrap/>
        </w:tcPr>
        <w:p w:rsidR="00000000" w:rsidRDefault="00000000">
          <w:pPr>
            <w:rPr>
              <w:sz w:val="16"/>
            </w:rPr>
          </w:pPr>
        </w:p>
      </w:tc>
    </w:tr>
  </w:tbl>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8F6"/>
    <w:multiLevelType w:val="hybridMultilevel"/>
    <w:tmpl w:val="F0A8FB9A"/>
    <w:lvl w:ilvl="0" w:tplc="2AA09E4A">
      <w:start w:val="1"/>
      <w:numFmt w:val="lowerLetter"/>
      <w:lvlText w:val="%1)"/>
      <w:lvlJc w:val="left"/>
      <w:pPr>
        <w:tabs>
          <w:tab w:val="num" w:pos="1785"/>
        </w:tabs>
        <w:ind w:left="1785" w:hanging="106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2">
    <w:nsid w:val="4507632A"/>
    <w:multiLevelType w:val="hybridMultilevel"/>
    <w:tmpl w:val="0F707FD0"/>
    <w:lvl w:ilvl="0" w:tplc="1A987F2C">
      <w:start w:val="1"/>
      <w:numFmt w:val="lowerLetter"/>
      <w:lvlRestart w:val="0"/>
      <w:lvlText w:val="(%1)"/>
      <w:lvlJc w:val="right"/>
      <w:pPr>
        <w:tabs>
          <w:tab w:val="num" w:pos="1531"/>
        </w:tabs>
        <w:ind w:left="1531" w:hanging="170"/>
      </w:pPr>
      <w:rPr>
        <w:rFonts w:ascii="Times New Roman" w:hAnsi="Times New Roman"/>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abstractNum w:abstractNumId="4">
    <w:nsid w:val="710D3EFD"/>
    <w:multiLevelType w:val="hybridMultilevel"/>
    <w:tmpl w:val="3DE2946A"/>
    <w:lvl w:ilvl="0" w:tplc="1A987F2C">
      <w:start w:val="1"/>
      <w:numFmt w:val="lowerLetter"/>
      <w:lvlRestart w:val="0"/>
      <w:lvlText w:val="(%1)"/>
      <w:lvlJc w:val="right"/>
      <w:pPr>
        <w:tabs>
          <w:tab w:val="num" w:pos="2251"/>
        </w:tabs>
        <w:ind w:left="2251" w:hanging="170"/>
      </w:pPr>
      <w:rPr>
        <w:rFonts w:ascii="Times New Roman" w:hAnsi="Times New Roman"/>
        <w:b w:val="0"/>
        <w:i w:val="0"/>
        <w:sz w:val="24"/>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7B122E0F"/>
    <w:multiLevelType w:val="hybridMultilevel"/>
    <w:tmpl w:val="5A92078A"/>
    <w:lvl w:ilvl="0" w:tplc="1A987F2C">
      <w:start w:val="1"/>
      <w:numFmt w:val="lowerLetter"/>
      <w:lvlRestart w:val="0"/>
      <w:lvlText w:val="(%1)"/>
      <w:lvlJc w:val="right"/>
      <w:pPr>
        <w:tabs>
          <w:tab w:val="num" w:pos="1021"/>
        </w:tabs>
        <w:ind w:left="1021" w:hanging="170"/>
      </w:pPr>
      <w:rPr>
        <w:rFonts w:ascii="Times New Roman" w:hAnsi="Times New Roman"/>
        <w:b w:val="0"/>
        <w:i w:val="0"/>
        <w:sz w:val="24"/>
      </w:rPr>
    </w:lvl>
    <w:lvl w:ilvl="1" w:tplc="04090019" w:tentative="1">
      <w:start w:val="1"/>
      <w:numFmt w:val="ideographTraditional"/>
      <w:lvlText w:val="%2、"/>
      <w:lvlJc w:val="left"/>
      <w:pPr>
        <w:tabs>
          <w:tab w:val="num" w:pos="450"/>
        </w:tabs>
        <w:ind w:left="450" w:hanging="480"/>
      </w:pPr>
    </w:lvl>
    <w:lvl w:ilvl="2" w:tplc="0409001B" w:tentative="1">
      <w:start w:val="1"/>
      <w:numFmt w:val="lowerRoman"/>
      <w:lvlText w:val="%3."/>
      <w:lvlJc w:val="right"/>
      <w:pPr>
        <w:tabs>
          <w:tab w:val="num" w:pos="930"/>
        </w:tabs>
        <w:ind w:left="930" w:hanging="480"/>
      </w:pPr>
    </w:lvl>
    <w:lvl w:ilvl="3" w:tplc="0409000F" w:tentative="1">
      <w:start w:val="1"/>
      <w:numFmt w:val="decimal"/>
      <w:lvlText w:val="%4."/>
      <w:lvlJc w:val="left"/>
      <w:pPr>
        <w:tabs>
          <w:tab w:val="num" w:pos="1410"/>
        </w:tabs>
        <w:ind w:left="1410" w:hanging="480"/>
      </w:pPr>
    </w:lvl>
    <w:lvl w:ilvl="4" w:tplc="04090019" w:tentative="1">
      <w:start w:val="1"/>
      <w:numFmt w:val="ideographTraditional"/>
      <w:lvlText w:val="%5、"/>
      <w:lvlJc w:val="left"/>
      <w:pPr>
        <w:tabs>
          <w:tab w:val="num" w:pos="1890"/>
        </w:tabs>
        <w:ind w:left="1890" w:hanging="480"/>
      </w:pPr>
    </w:lvl>
    <w:lvl w:ilvl="5" w:tplc="0409001B" w:tentative="1">
      <w:start w:val="1"/>
      <w:numFmt w:val="lowerRoman"/>
      <w:lvlText w:val="%6."/>
      <w:lvlJc w:val="right"/>
      <w:pPr>
        <w:tabs>
          <w:tab w:val="num" w:pos="2370"/>
        </w:tabs>
        <w:ind w:left="2370" w:hanging="480"/>
      </w:pPr>
    </w:lvl>
    <w:lvl w:ilvl="6" w:tplc="0409000F" w:tentative="1">
      <w:start w:val="1"/>
      <w:numFmt w:val="decimal"/>
      <w:lvlText w:val="%7."/>
      <w:lvlJc w:val="left"/>
      <w:pPr>
        <w:tabs>
          <w:tab w:val="num" w:pos="2850"/>
        </w:tabs>
        <w:ind w:left="2850" w:hanging="480"/>
      </w:pPr>
    </w:lvl>
    <w:lvl w:ilvl="7" w:tplc="04090019" w:tentative="1">
      <w:start w:val="1"/>
      <w:numFmt w:val="ideographTraditional"/>
      <w:lvlText w:val="%8、"/>
      <w:lvlJc w:val="left"/>
      <w:pPr>
        <w:tabs>
          <w:tab w:val="num" w:pos="3330"/>
        </w:tabs>
        <w:ind w:left="3330" w:hanging="480"/>
      </w:pPr>
    </w:lvl>
    <w:lvl w:ilvl="8" w:tplc="0409001B" w:tentative="1">
      <w:start w:val="1"/>
      <w:numFmt w:val="lowerRoman"/>
      <w:lvlText w:val="%9."/>
      <w:lvlJc w:val="right"/>
      <w:pPr>
        <w:tabs>
          <w:tab w:val="num" w:pos="3810"/>
        </w:tabs>
        <w:ind w:left="3810" w:hanging="4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customStyle="1" w:styleId="a4">
    <w:name w:val="横眉"/>
    <w:basedOn w:val="Header"/>
    <w:autoRedefine/>
    <w:pPr>
      <w:tabs>
        <w:tab w:val="left" w:pos="1202"/>
      </w:tabs>
      <w:snapToGrid/>
      <w:spacing w:line="160" w:lineRule="exact"/>
    </w:pPr>
    <w:rPr>
      <w:snapToGrid/>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semiHidden/>
    <w:rPr>
      <w:rFonts w:ascii="Times New Roman" w:eastAsia="KaiTi_GB2312" w:hAnsi="Times New Roman"/>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overflowPunct/>
      <w:spacing w:line="240" w:lineRule="auto"/>
      <w:jc w:val="left"/>
    </w:pPr>
    <w:rPr>
      <w:rFonts w:eastAsia="KaiTi_GB2312"/>
      <w:spacing w:val="0"/>
      <w:lang w:val="en-GB" w:eastAsia="en-US"/>
    </w:rPr>
  </w:style>
  <w:style w:type="character" w:styleId="PageNumber">
    <w:name w:val="page number"/>
    <w:semiHidden/>
    <w:rPr>
      <w:rFonts w:ascii="Times New Roman" w:hAnsi="Times New Roman"/>
      <w:spacing w:val="0"/>
      <w:kern w:val="0"/>
      <w:sz w:val="24"/>
    </w:rPr>
  </w:style>
  <w:style w:type="paragraph" w:customStyle="1" w:styleId="ad">
    <w:name w:val="英文本"/>
    <w:basedOn w:val="EndnoteText"/>
    <w:pPr>
      <w:keepLines w:val="0"/>
      <w:overflowPunct/>
      <w:spacing w:after="120" w:line="240" w:lineRule="auto"/>
      <w:ind w:firstLine="0"/>
      <w:jc w:val="left"/>
    </w:pPr>
    <w:rPr>
      <w:lang w:val="en-GB" w:eastAsia="en-US"/>
    </w:rPr>
  </w:style>
  <w:style w:type="paragraph" w:customStyle="1" w:styleId="1L">
    <w:name w:val="页眉1L"/>
    <w:basedOn w:val="Normal"/>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1m1">
    <w:name w:val="页眉1m1"/>
    <w:basedOn w:val="Normal"/>
    <w:pPr>
      <w:suppressAutoHyphens/>
      <w:spacing w:line="360" w:lineRule="auto"/>
    </w:pPr>
    <w:rPr>
      <w:rFonts w:ascii="SimHei" w:eastAsia="SimHei"/>
      <w:spacing w:val="4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at-&#30333;&#32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cat-白纸</Template>
  <TotalTime>1</TotalTime>
  <Pages>1</Pages>
  <Words>298</Words>
  <Characters>1702</Characters>
  <Application>Microsoft Office Word</Application>
  <DocSecurity>4</DocSecurity>
  <Lines>14</Lines>
  <Paragraphs>3</Paragraphs>
  <ScaleCrop>false</ScaleCrop>
  <HeadingPairs>
    <vt:vector size="2" baseType="variant">
      <vt:variant>
        <vt:lpstr>题目</vt:lpstr>
      </vt:variant>
      <vt:variant>
        <vt:i4>1</vt:i4>
      </vt:variant>
    </vt:vector>
  </HeadingPairs>
  <TitlesOfParts>
    <vt:vector size="1" baseType="lpstr">
      <vt:lpstr>禁止酷刑委员会</vt:lpstr>
    </vt:vector>
  </TitlesOfParts>
  <Company>Chinese Unit - GE</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禁止酷刑委员会</dc:title>
  <dc:subject/>
  <dc:creator>SI</dc:creator>
  <cp:keywords/>
  <dc:description/>
  <cp:lastModifiedBy>Kong</cp:lastModifiedBy>
  <cp:revision>2</cp:revision>
  <cp:lastPrinted>2007-05-29T13:58:00Z</cp:lastPrinted>
  <dcterms:created xsi:type="dcterms:W3CDTF">2007-05-29T13:59:00Z</dcterms:created>
  <dcterms:modified xsi:type="dcterms:W3CDTF">2007-05-29T13:59:00Z</dcterms:modified>
  <cp:category>白纸.DOT</cp:category>
</cp:coreProperties>
</file>