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244F" w14:textId="77777777" w:rsidR="007343DA" w:rsidRDefault="007343DA" w:rsidP="007343DA">
      <w:pPr>
        <w:spacing w:line="240" w:lineRule="auto"/>
        <w:jc w:val="left"/>
        <w:rPr>
          <w:szCs w:val="2"/>
        </w:rPr>
        <w:sectPr w:rsidR="007343DA" w:rsidSect="00A92E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7C7EFFAA" w14:textId="77777777" w:rsidR="00A92EF0" w:rsidRDefault="00A92EF0" w:rsidP="00A92EF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ind w:left="1267" w:right="1267" w:hanging="1267"/>
        <w:rPr>
          <w:rtl/>
        </w:rPr>
      </w:pPr>
      <w:r>
        <w:rPr>
          <w:rtl/>
        </w:rPr>
        <w:tab/>
        <w:t>اللجنة المعنية بالقضاء على التمييز ضد المرأة</w:t>
      </w:r>
    </w:p>
    <w:p w14:paraId="2F230B6E" w14:textId="77777777" w:rsidR="00A92EF0" w:rsidRPr="007C6CBA" w:rsidRDefault="00A92EF0" w:rsidP="00A92EF0">
      <w:pPr>
        <w:pStyle w:val="SingleTxt"/>
        <w:spacing w:after="0" w:line="120" w:lineRule="exact"/>
        <w:rPr>
          <w:sz w:val="10"/>
          <w:rtl/>
        </w:rPr>
      </w:pPr>
    </w:p>
    <w:p w14:paraId="6E7A3960" w14:textId="77777777" w:rsidR="00A92EF0" w:rsidRPr="007C6CBA" w:rsidRDefault="00A92EF0" w:rsidP="00A92EF0">
      <w:pPr>
        <w:pStyle w:val="SingleTxt"/>
        <w:spacing w:after="0" w:line="120" w:lineRule="exact"/>
        <w:rPr>
          <w:sz w:val="10"/>
          <w:rtl/>
        </w:rPr>
      </w:pPr>
    </w:p>
    <w:p w14:paraId="61F7FD7A" w14:textId="77777777" w:rsidR="00A92EF0" w:rsidRPr="007C6CBA" w:rsidRDefault="00A92EF0" w:rsidP="00A92EF0">
      <w:pPr>
        <w:pStyle w:val="SingleTxt"/>
        <w:spacing w:after="0" w:line="120" w:lineRule="exact"/>
        <w:rPr>
          <w:sz w:val="10"/>
          <w:rtl/>
        </w:rPr>
      </w:pPr>
    </w:p>
    <w:p w14:paraId="01C416DA" w14:textId="77777777" w:rsidR="00A92EF0" w:rsidRPr="007C6CBA" w:rsidRDefault="00A92EF0" w:rsidP="00A92EF0">
      <w:pPr>
        <w:framePr w:w="9792" w:h="432" w:hSpace="180" w:wrap="notBeside" w:hAnchor="page" w:x="1196" w:yAlign="bottom"/>
        <w:spacing w:line="240" w:lineRule="auto"/>
        <w:rPr>
          <w:szCs w:val="6"/>
          <w:rtl/>
        </w:rPr>
      </w:pPr>
      <w:r w:rsidRPr="007C6CBA">
        <w:rPr>
          <w:noProof/>
          <w:szCs w:val="6"/>
          <w:lang w:val="fr-FR" w:eastAsia="fr-FR"/>
        </w:rPr>
        <mc:AlternateContent>
          <mc:Choice Requires="wps">
            <w:drawing>
              <wp:anchor distT="0" distB="0" distL="114300" distR="114300" simplePos="0" relativeHeight="251659264" behindDoc="0" locked="0" layoutInCell="1" allowOverlap="1" wp14:anchorId="5D3E0C42" wp14:editId="30691938">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812A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5AAD6164" w14:textId="77777777" w:rsidR="00A92EF0" w:rsidRDefault="00A92EF0" w:rsidP="00A92EF0">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Pr>
          <w:rFonts w:hint="cs"/>
          <w:sz w:val="17"/>
          <w:szCs w:val="24"/>
          <w:rtl/>
        </w:rPr>
        <w:t>اعتمدته</w:t>
      </w:r>
      <w:r w:rsidRPr="007C6CBA">
        <w:rPr>
          <w:sz w:val="17"/>
          <w:szCs w:val="24"/>
          <w:rtl/>
        </w:rPr>
        <w:t xml:space="preserve"> اللجنة في دورتها </w:t>
      </w:r>
      <w:r>
        <w:rPr>
          <w:rFonts w:hint="cs"/>
          <w:sz w:val="17"/>
          <w:szCs w:val="24"/>
          <w:rtl/>
        </w:rPr>
        <w:t>الثانية</w:t>
      </w:r>
      <w:r w:rsidRPr="007C6CBA">
        <w:rPr>
          <w:sz w:val="17"/>
          <w:szCs w:val="24"/>
          <w:rtl/>
        </w:rPr>
        <w:t xml:space="preserve"> والسبعين (</w:t>
      </w:r>
      <w:r>
        <w:rPr>
          <w:rFonts w:hint="cs"/>
          <w:sz w:val="17"/>
          <w:szCs w:val="24"/>
          <w:rtl/>
        </w:rPr>
        <w:t>18</w:t>
      </w:r>
      <w:r w:rsidRPr="007C6CBA">
        <w:rPr>
          <w:sz w:val="17"/>
          <w:szCs w:val="24"/>
          <w:rtl/>
        </w:rPr>
        <w:t xml:space="preserve"> </w:t>
      </w:r>
      <w:r>
        <w:rPr>
          <w:rFonts w:hint="cs"/>
          <w:sz w:val="17"/>
          <w:szCs w:val="24"/>
          <w:rtl/>
        </w:rPr>
        <w:t>شباط</w:t>
      </w:r>
      <w:r w:rsidRPr="007C6CBA">
        <w:rPr>
          <w:sz w:val="17"/>
          <w:szCs w:val="24"/>
          <w:rtl/>
        </w:rPr>
        <w:t>/</w:t>
      </w:r>
      <w:r>
        <w:rPr>
          <w:rFonts w:hint="cs"/>
          <w:sz w:val="17"/>
          <w:szCs w:val="24"/>
          <w:rtl/>
        </w:rPr>
        <w:t>فبراير</w:t>
      </w:r>
      <w:r w:rsidRPr="007C6CBA">
        <w:rPr>
          <w:sz w:val="17"/>
          <w:szCs w:val="24"/>
          <w:rtl/>
        </w:rPr>
        <w:t xml:space="preserve"> - </w:t>
      </w:r>
      <w:r>
        <w:rPr>
          <w:rFonts w:hint="cs"/>
          <w:sz w:val="17"/>
          <w:szCs w:val="24"/>
          <w:rtl/>
        </w:rPr>
        <w:t>8</w:t>
      </w:r>
      <w:r w:rsidRPr="007C6CBA">
        <w:rPr>
          <w:sz w:val="17"/>
          <w:szCs w:val="24"/>
          <w:rtl/>
        </w:rPr>
        <w:t xml:space="preserve"> </w:t>
      </w:r>
      <w:r>
        <w:rPr>
          <w:rFonts w:hint="cs"/>
          <w:sz w:val="17"/>
          <w:szCs w:val="24"/>
          <w:rtl/>
        </w:rPr>
        <w:t>آذار</w:t>
      </w:r>
      <w:r w:rsidRPr="007C6CBA">
        <w:rPr>
          <w:sz w:val="17"/>
          <w:szCs w:val="24"/>
          <w:rtl/>
        </w:rPr>
        <w:t>/</w:t>
      </w:r>
      <w:r>
        <w:rPr>
          <w:rFonts w:hint="cs"/>
          <w:sz w:val="17"/>
          <w:szCs w:val="24"/>
          <w:rtl/>
        </w:rPr>
        <w:t>مارس</w:t>
      </w:r>
      <w:r w:rsidRPr="007C6CBA">
        <w:rPr>
          <w:sz w:val="17"/>
          <w:szCs w:val="24"/>
          <w:rtl/>
        </w:rPr>
        <w:t xml:space="preserve"> 201</w:t>
      </w:r>
      <w:r>
        <w:rPr>
          <w:rFonts w:hint="cs"/>
          <w:sz w:val="17"/>
          <w:szCs w:val="24"/>
          <w:rtl/>
        </w:rPr>
        <w:t>9</w:t>
      </w:r>
      <w:r w:rsidRPr="007C6CBA">
        <w:rPr>
          <w:sz w:val="17"/>
          <w:szCs w:val="24"/>
          <w:rtl/>
        </w:rPr>
        <w:t>).</w:t>
      </w:r>
    </w:p>
    <w:p w14:paraId="487E1C03" w14:textId="4B019CEF" w:rsidR="00A92EF0" w:rsidRPr="007C6CBA" w:rsidRDefault="00A92EF0" w:rsidP="00A92EF0">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t>**</w:t>
      </w:r>
      <w:r>
        <w:rPr>
          <w:sz w:val="17"/>
          <w:szCs w:val="24"/>
          <w:rtl/>
        </w:rPr>
        <w:tab/>
      </w:r>
      <w:r w:rsidRPr="007C6CBA">
        <w:rPr>
          <w:sz w:val="17"/>
          <w:szCs w:val="24"/>
          <w:rtl/>
        </w:rPr>
        <w:t>شارك في دراسة هذا البلاغ أعضاء اللجنة التالية أسماؤهم</w:t>
      </w:r>
      <w:r w:rsidRPr="00AA039C">
        <w:rPr>
          <w:sz w:val="17"/>
          <w:szCs w:val="24"/>
          <w:rtl/>
        </w:rPr>
        <w:t xml:space="preserve">: السيدة </w:t>
      </w:r>
      <w:proofErr w:type="spellStart"/>
      <w:r w:rsidRPr="00AA039C">
        <w:rPr>
          <w:sz w:val="17"/>
          <w:szCs w:val="24"/>
          <w:rtl/>
        </w:rPr>
        <w:t>غلاديس</w:t>
      </w:r>
      <w:proofErr w:type="spellEnd"/>
      <w:r w:rsidRPr="00AA039C">
        <w:rPr>
          <w:sz w:val="17"/>
          <w:szCs w:val="24"/>
          <w:rtl/>
        </w:rPr>
        <w:t xml:space="preserve"> أكوستا </w:t>
      </w:r>
      <w:proofErr w:type="spellStart"/>
      <w:r w:rsidRPr="00AA039C">
        <w:rPr>
          <w:sz w:val="17"/>
          <w:szCs w:val="24"/>
          <w:rtl/>
        </w:rPr>
        <w:t>فارغاس</w:t>
      </w:r>
      <w:proofErr w:type="spellEnd"/>
      <w:r w:rsidRPr="00AA039C">
        <w:rPr>
          <w:sz w:val="17"/>
          <w:szCs w:val="24"/>
          <w:rtl/>
        </w:rPr>
        <w:t xml:space="preserve">، والسيدة </w:t>
      </w:r>
      <w:proofErr w:type="spellStart"/>
      <w:r w:rsidRPr="00AA039C">
        <w:rPr>
          <w:sz w:val="17"/>
          <w:szCs w:val="24"/>
          <w:rtl/>
        </w:rPr>
        <w:t>هيروكو</w:t>
      </w:r>
      <w:proofErr w:type="spellEnd"/>
      <w:r w:rsidRPr="00AA039C">
        <w:rPr>
          <w:sz w:val="17"/>
          <w:szCs w:val="24"/>
          <w:rtl/>
        </w:rPr>
        <w:t xml:space="preserve"> </w:t>
      </w:r>
      <w:proofErr w:type="spellStart"/>
      <w:r w:rsidRPr="00AA039C">
        <w:rPr>
          <w:sz w:val="17"/>
          <w:szCs w:val="24"/>
          <w:rtl/>
        </w:rPr>
        <w:t>أكيزوكي</w:t>
      </w:r>
      <w:proofErr w:type="spellEnd"/>
      <w:r w:rsidRPr="00AA039C">
        <w:rPr>
          <w:sz w:val="17"/>
          <w:szCs w:val="24"/>
          <w:rtl/>
        </w:rPr>
        <w:t xml:space="preserve">، والسيدة نيكول أملين، والسيد غونار </w:t>
      </w:r>
      <w:proofErr w:type="spellStart"/>
      <w:r w:rsidRPr="00AA039C">
        <w:rPr>
          <w:sz w:val="17"/>
          <w:szCs w:val="24"/>
          <w:rtl/>
        </w:rPr>
        <w:t>بيرغبي</w:t>
      </w:r>
      <w:proofErr w:type="spellEnd"/>
      <w:r w:rsidRPr="00AA039C">
        <w:rPr>
          <w:sz w:val="17"/>
          <w:szCs w:val="24"/>
          <w:rtl/>
        </w:rPr>
        <w:t xml:space="preserve">، والسيدة ماريون </w:t>
      </w:r>
      <w:proofErr w:type="spellStart"/>
      <w:r w:rsidRPr="00AA039C">
        <w:rPr>
          <w:sz w:val="17"/>
          <w:szCs w:val="24"/>
          <w:rtl/>
        </w:rPr>
        <w:t>بيثيل</w:t>
      </w:r>
      <w:proofErr w:type="spellEnd"/>
      <w:r w:rsidRPr="00AA039C">
        <w:rPr>
          <w:sz w:val="17"/>
          <w:szCs w:val="24"/>
          <w:rtl/>
        </w:rPr>
        <w:t xml:space="preserve">، والسيدة لويزة </w:t>
      </w:r>
      <w:proofErr w:type="spellStart"/>
      <w:r w:rsidRPr="00AA039C">
        <w:rPr>
          <w:sz w:val="17"/>
          <w:szCs w:val="24"/>
          <w:rtl/>
        </w:rPr>
        <w:t>شعلال</w:t>
      </w:r>
      <w:proofErr w:type="spellEnd"/>
      <w:r w:rsidRPr="00AA039C">
        <w:rPr>
          <w:sz w:val="17"/>
          <w:szCs w:val="24"/>
          <w:rtl/>
        </w:rPr>
        <w:t xml:space="preserve">، والسيدة نائلة محمد جبر، والسيدة هيلاري </w:t>
      </w:r>
      <w:proofErr w:type="spellStart"/>
      <w:r w:rsidRPr="00AA039C">
        <w:rPr>
          <w:sz w:val="17"/>
          <w:szCs w:val="24"/>
          <w:rtl/>
        </w:rPr>
        <w:t>غبيديماه</w:t>
      </w:r>
      <w:proofErr w:type="spellEnd"/>
      <w:r w:rsidRPr="00AA039C">
        <w:rPr>
          <w:sz w:val="17"/>
          <w:szCs w:val="24"/>
          <w:rtl/>
        </w:rPr>
        <w:t xml:space="preserve">، والسيدة نهلة حيدر، والسيدة داليا </w:t>
      </w:r>
      <w:proofErr w:type="spellStart"/>
      <w:r w:rsidRPr="00AA039C">
        <w:rPr>
          <w:sz w:val="17"/>
          <w:szCs w:val="24"/>
          <w:rtl/>
        </w:rPr>
        <w:t>لينارتي</w:t>
      </w:r>
      <w:proofErr w:type="spellEnd"/>
      <w:r w:rsidRPr="00AA039C">
        <w:rPr>
          <w:sz w:val="17"/>
          <w:szCs w:val="24"/>
          <w:rtl/>
        </w:rPr>
        <w:t xml:space="preserve">، والسيدة </w:t>
      </w:r>
      <w:proofErr w:type="spellStart"/>
      <w:r w:rsidRPr="00AA039C">
        <w:rPr>
          <w:sz w:val="17"/>
          <w:szCs w:val="24"/>
          <w:rtl/>
        </w:rPr>
        <w:t>روزاريو</w:t>
      </w:r>
      <w:proofErr w:type="spellEnd"/>
      <w:r w:rsidRPr="00AA039C">
        <w:rPr>
          <w:sz w:val="17"/>
          <w:szCs w:val="24"/>
          <w:rtl/>
        </w:rPr>
        <w:t xml:space="preserve"> </w:t>
      </w:r>
      <w:proofErr w:type="spellStart"/>
      <w:r w:rsidRPr="00AA039C">
        <w:rPr>
          <w:sz w:val="17"/>
          <w:szCs w:val="24"/>
          <w:rtl/>
        </w:rPr>
        <w:t>مانالو</w:t>
      </w:r>
      <w:proofErr w:type="spellEnd"/>
      <w:r w:rsidRPr="00AA039C">
        <w:rPr>
          <w:sz w:val="17"/>
          <w:szCs w:val="24"/>
          <w:rtl/>
        </w:rPr>
        <w:t xml:space="preserve">، والسيدة ليا </w:t>
      </w:r>
      <w:proofErr w:type="spellStart"/>
      <w:r w:rsidRPr="00AA039C">
        <w:rPr>
          <w:sz w:val="17"/>
          <w:szCs w:val="24"/>
          <w:rtl/>
        </w:rPr>
        <w:t>نادارايا</w:t>
      </w:r>
      <w:proofErr w:type="spellEnd"/>
      <w:r w:rsidRPr="00AA039C">
        <w:rPr>
          <w:sz w:val="17"/>
          <w:szCs w:val="24"/>
          <w:rtl/>
        </w:rPr>
        <w:t>،</w:t>
      </w:r>
      <w:r>
        <w:rPr>
          <w:rFonts w:hint="cs"/>
          <w:sz w:val="17"/>
          <w:szCs w:val="24"/>
          <w:rtl/>
          <w:lang w:val="fr-FR"/>
        </w:rPr>
        <w:t xml:space="preserve"> والسيدة أرونا </w:t>
      </w:r>
      <w:proofErr w:type="spellStart"/>
      <w:r>
        <w:rPr>
          <w:rFonts w:hint="cs"/>
          <w:sz w:val="17"/>
          <w:szCs w:val="24"/>
          <w:rtl/>
          <w:lang w:val="fr-FR"/>
        </w:rPr>
        <w:t>ديفي</w:t>
      </w:r>
      <w:proofErr w:type="spellEnd"/>
      <w:r>
        <w:rPr>
          <w:rFonts w:hint="cs"/>
          <w:sz w:val="17"/>
          <w:szCs w:val="24"/>
          <w:rtl/>
          <w:lang w:val="fr-FR"/>
        </w:rPr>
        <w:t xml:space="preserve"> نارين،</w:t>
      </w:r>
      <w:r w:rsidRPr="00AA039C">
        <w:rPr>
          <w:sz w:val="17"/>
          <w:szCs w:val="24"/>
          <w:rtl/>
        </w:rPr>
        <w:t xml:space="preserve"> والسيدة آنا </w:t>
      </w:r>
      <w:proofErr w:type="spellStart"/>
      <w:r w:rsidRPr="00AA039C">
        <w:rPr>
          <w:sz w:val="17"/>
          <w:szCs w:val="24"/>
          <w:rtl/>
        </w:rPr>
        <w:t>بيلاييز</w:t>
      </w:r>
      <w:proofErr w:type="spellEnd"/>
      <w:r w:rsidRPr="00AA039C">
        <w:rPr>
          <w:sz w:val="17"/>
          <w:szCs w:val="24"/>
          <w:rtl/>
        </w:rPr>
        <w:t xml:space="preserve"> </w:t>
      </w:r>
      <w:proofErr w:type="spellStart"/>
      <w:r w:rsidRPr="00AA039C">
        <w:rPr>
          <w:sz w:val="17"/>
          <w:szCs w:val="24"/>
          <w:rtl/>
        </w:rPr>
        <w:t>نيرفاييز</w:t>
      </w:r>
      <w:proofErr w:type="spellEnd"/>
      <w:r w:rsidRPr="00AA039C">
        <w:rPr>
          <w:sz w:val="17"/>
          <w:szCs w:val="24"/>
          <w:rtl/>
        </w:rPr>
        <w:t xml:space="preserve">، والسيدة رودا </w:t>
      </w:r>
      <w:proofErr w:type="spellStart"/>
      <w:r w:rsidRPr="00AA039C">
        <w:rPr>
          <w:sz w:val="17"/>
          <w:szCs w:val="24"/>
          <w:rtl/>
        </w:rPr>
        <w:t>ريدوك</w:t>
      </w:r>
      <w:proofErr w:type="spellEnd"/>
      <w:r w:rsidRPr="00AA039C">
        <w:rPr>
          <w:sz w:val="17"/>
          <w:szCs w:val="24"/>
          <w:rtl/>
        </w:rPr>
        <w:t xml:space="preserve">، والسيد </w:t>
      </w:r>
      <w:proofErr w:type="spellStart"/>
      <w:r w:rsidRPr="00AA039C">
        <w:rPr>
          <w:sz w:val="17"/>
          <w:szCs w:val="24"/>
          <w:rtl/>
        </w:rPr>
        <w:t>إلغون</w:t>
      </w:r>
      <w:proofErr w:type="spellEnd"/>
      <w:r w:rsidRPr="00AA039C">
        <w:rPr>
          <w:sz w:val="17"/>
          <w:szCs w:val="24"/>
          <w:rtl/>
        </w:rPr>
        <w:t xml:space="preserve"> </w:t>
      </w:r>
      <w:proofErr w:type="spellStart"/>
      <w:r w:rsidRPr="00AA039C">
        <w:rPr>
          <w:sz w:val="17"/>
          <w:szCs w:val="24"/>
          <w:rtl/>
        </w:rPr>
        <w:t>سافاروف</w:t>
      </w:r>
      <w:proofErr w:type="spellEnd"/>
      <w:r w:rsidRPr="00AA039C">
        <w:rPr>
          <w:sz w:val="17"/>
          <w:szCs w:val="24"/>
          <w:rtl/>
        </w:rPr>
        <w:t xml:space="preserve">، والسيدة وينيان </w:t>
      </w:r>
      <w:proofErr w:type="spellStart"/>
      <w:r w:rsidRPr="00AA039C">
        <w:rPr>
          <w:sz w:val="17"/>
          <w:szCs w:val="24"/>
          <w:rtl/>
        </w:rPr>
        <w:t>سونغ</w:t>
      </w:r>
      <w:proofErr w:type="spellEnd"/>
      <w:r w:rsidRPr="00AA039C">
        <w:rPr>
          <w:sz w:val="17"/>
          <w:szCs w:val="24"/>
          <w:rtl/>
        </w:rPr>
        <w:t xml:space="preserve">، والسيدة </w:t>
      </w:r>
      <w:proofErr w:type="spellStart"/>
      <w:r w:rsidRPr="00AA039C">
        <w:rPr>
          <w:sz w:val="17"/>
          <w:szCs w:val="24"/>
          <w:rtl/>
        </w:rPr>
        <w:t>جينوفيفا</w:t>
      </w:r>
      <w:proofErr w:type="spellEnd"/>
      <w:r w:rsidRPr="00AA039C">
        <w:rPr>
          <w:sz w:val="17"/>
          <w:szCs w:val="24"/>
          <w:rtl/>
        </w:rPr>
        <w:t xml:space="preserve"> </w:t>
      </w:r>
      <w:proofErr w:type="spellStart"/>
      <w:r w:rsidRPr="00AA039C">
        <w:rPr>
          <w:sz w:val="17"/>
          <w:szCs w:val="24"/>
          <w:rtl/>
        </w:rPr>
        <w:t>تيشيفا</w:t>
      </w:r>
      <w:proofErr w:type="spellEnd"/>
      <w:r w:rsidRPr="00AA039C">
        <w:rPr>
          <w:sz w:val="17"/>
          <w:szCs w:val="24"/>
          <w:rtl/>
        </w:rPr>
        <w:t xml:space="preserve">، والسيدة </w:t>
      </w:r>
      <w:proofErr w:type="spellStart"/>
      <w:r w:rsidRPr="00AA039C">
        <w:rPr>
          <w:sz w:val="17"/>
          <w:szCs w:val="24"/>
          <w:rtl/>
        </w:rPr>
        <w:t>فرانسلين</w:t>
      </w:r>
      <w:proofErr w:type="spellEnd"/>
      <w:r w:rsidRPr="00AA039C">
        <w:rPr>
          <w:sz w:val="17"/>
          <w:szCs w:val="24"/>
          <w:rtl/>
        </w:rPr>
        <w:t xml:space="preserve"> توّي</w:t>
      </w:r>
      <w:r>
        <w:rPr>
          <w:rFonts w:hint="cs"/>
          <w:sz w:val="17"/>
          <w:szCs w:val="24"/>
          <w:rtl/>
        </w:rPr>
        <w:t xml:space="preserve"> </w:t>
      </w:r>
      <w:r w:rsidRPr="00AA039C">
        <w:rPr>
          <w:sz w:val="17"/>
          <w:szCs w:val="24"/>
          <w:rtl/>
        </w:rPr>
        <w:t>-</w:t>
      </w:r>
      <w:r>
        <w:rPr>
          <w:rFonts w:hint="cs"/>
          <w:sz w:val="17"/>
          <w:szCs w:val="24"/>
          <w:rtl/>
        </w:rPr>
        <w:t xml:space="preserve"> </w:t>
      </w:r>
      <w:r w:rsidRPr="00AA039C">
        <w:rPr>
          <w:sz w:val="17"/>
          <w:szCs w:val="24"/>
          <w:rtl/>
        </w:rPr>
        <w:t>بودا، والسيدة عائشة فال</w:t>
      </w:r>
      <w:r>
        <w:rPr>
          <w:rFonts w:hint="cs"/>
          <w:sz w:val="17"/>
          <w:szCs w:val="24"/>
          <w:rtl/>
        </w:rPr>
        <w:t xml:space="preserve"> فرجس</w:t>
      </w:r>
      <w:r w:rsidRPr="007C6CBA">
        <w:rPr>
          <w:sz w:val="17"/>
          <w:szCs w:val="24"/>
          <w:rtl/>
        </w:rPr>
        <w:t>.</w:t>
      </w:r>
    </w:p>
    <w:p w14:paraId="2905720A" w14:textId="2DF75C56" w:rsidR="00A92EF0" w:rsidRDefault="00A92EF0" w:rsidP="00A92EF0">
      <w:pPr>
        <w:pStyle w:val="TitleHCH"/>
        <w:rPr>
          <w:rtl/>
        </w:rPr>
      </w:pPr>
      <w:r>
        <w:rPr>
          <w:rtl/>
        </w:rPr>
        <w:tab/>
      </w:r>
      <w:r>
        <w:rPr>
          <w:rtl/>
        </w:rPr>
        <w:tab/>
        <w:t xml:space="preserve">قرار </w:t>
      </w:r>
      <w:r>
        <w:rPr>
          <w:rFonts w:hint="cs"/>
          <w:rtl/>
        </w:rPr>
        <w:t>اعتمد</w:t>
      </w:r>
      <w:bookmarkStart w:id="1" w:name="_GoBack"/>
      <w:bookmarkEnd w:id="1"/>
      <w:r>
        <w:rPr>
          <w:rFonts w:hint="cs"/>
          <w:rtl/>
        </w:rPr>
        <w:t>ته</w:t>
      </w:r>
      <w:r>
        <w:rPr>
          <w:rtl/>
        </w:rPr>
        <w:t xml:space="preserve"> اللجنة بموجب المادة 4 (2) (ج) من البروتوكول الاختياري، بشأن البلاغ رقم</w:t>
      </w:r>
      <w:r>
        <w:rPr>
          <w:rFonts w:hint="cs"/>
          <w:rtl/>
        </w:rPr>
        <w:t xml:space="preserve"> 98/2016</w:t>
      </w:r>
      <w:r>
        <w:rPr>
          <w:rtl/>
        </w:rPr>
        <w:t>*</w:t>
      </w:r>
      <w:r w:rsidRPr="000E73B9">
        <w:rPr>
          <w:rtl/>
        </w:rPr>
        <w:t>،</w:t>
      </w:r>
      <w:r>
        <w:rPr>
          <w:rtl/>
        </w:rPr>
        <w:t>**</w:t>
      </w:r>
    </w:p>
    <w:p w14:paraId="50F4A008" w14:textId="77777777" w:rsidR="00A92EF0" w:rsidRPr="007C6CBA" w:rsidRDefault="00A92EF0" w:rsidP="00A92EF0">
      <w:pPr>
        <w:pStyle w:val="SingleTxt"/>
        <w:spacing w:after="0" w:line="120" w:lineRule="exact"/>
        <w:rPr>
          <w:sz w:val="10"/>
          <w:rtl/>
        </w:rPr>
      </w:pPr>
    </w:p>
    <w:p w14:paraId="53AC27CD" w14:textId="77777777" w:rsidR="00A92EF0" w:rsidRPr="007C6CBA" w:rsidRDefault="00A92EF0" w:rsidP="00A92EF0">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373"/>
        <w:gridCol w:w="4947"/>
      </w:tblGrid>
      <w:tr w:rsidR="00A92EF0" w14:paraId="773FA5F2" w14:textId="77777777" w:rsidTr="00A92EF0">
        <w:tc>
          <w:tcPr>
            <w:tcW w:w="2373" w:type="dxa"/>
          </w:tcPr>
          <w:p w14:paraId="0E7FB599" w14:textId="77777777" w:rsidR="00A92EF0" w:rsidRPr="007C6CBA" w:rsidRDefault="00A92EF0" w:rsidP="005E1D08">
            <w:pPr>
              <w:tabs>
                <w:tab w:val="left" w:pos="288"/>
                <w:tab w:val="left" w:pos="576"/>
                <w:tab w:val="left" w:pos="864"/>
                <w:tab w:val="left" w:pos="1152"/>
              </w:tabs>
              <w:spacing w:after="120"/>
              <w:ind w:left="43" w:right="101"/>
              <w:rPr>
                <w:i/>
                <w:iCs/>
                <w:rtl/>
              </w:rPr>
            </w:pPr>
            <w:r w:rsidRPr="007C6CBA">
              <w:rPr>
                <w:i/>
                <w:iCs/>
                <w:rtl/>
              </w:rPr>
              <w:t>بلاغ مقدم من:</w:t>
            </w:r>
          </w:p>
        </w:tc>
        <w:tc>
          <w:tcPr>
            <w:tcW w:w="4947" w:type="dxa"/>
          </w:tcPr>
          <w:p w14:paraId="5466650E" w14:textId="1ED4853A" w:rsidR="00A92EF0" w:rsidRDefault="00A92EF0" w:rsidP="005E1D08">
            <w:pPr>
              <w:tabs>
                <w:tab w:val="left" w:pos="288"/>
                <w:tab w:val="left" w:pos="576"/>
                <w:tab w:val="left" w:pos="864"/>
                <w:tab w:val="left" w:pos="1152"/>
              </w:tabs>
              <w:spacing w:after="120"/>
              <w:ind w:left="43"/>
              <w:rPr>
                <w:rtl/>
              </w:rPr>
            </w:pPr>
            <w:r>
              <w:rPr>
                <w:rFonts w:hint="cs"/>
                <w:rtl/>
              </w:rPr>
              <w:t>ك</w:t>
            </w:r>
            <w:r>
              <w:rPr>
                <w:rtl/>
              </w:rPr>
              <w:t>.</w:t>
            </w:r>
            <w:r>
              <w:rPr>
                <w:rFonts w:hint="cs"/>
                <w:rtl/>
              </w:rPr>
              <w:t xml:space="preserve"> ك</w:t>
            </w:r>
            <w:r>
              <w:rPr>
                <w:rtl/>
              </w:rPr>
              <w:t>.</w:t>
            </w:r>
          </w:p>
        </w:tc>
      </w:tr>
      <w:tr w:rsidR="00A92EF0" w14:paraId="73E2EC92" w14:textId="77777777" w:rsidTr="00A92EF0">
        <w:tc>
          <w:tcPr>
            <w:tcW w:w="2373" w:type="dxa"/>
          </w:tcPr>
          <w:p w14:paraId="5FCE2947" w14:textId="77777777" w:rsidR="00A92EF0" w:rsidRPr="007C6CBA" w:rsidRDefault="00A92EF0" w:rsidP="005E1D08">
            <w:pPr>
              <w:tabs>
                <w:tab w:val="left" w:pos="288"/>
                <w:tab w:val="left" w:pos="576"/>
                <w:tab w:val="left" w:pos="864"/>
                <w:tab w:val="left" w:pos="1152"/>
              </w:tabs>
              <w:spacing w:after="120"/>
              <w:ind w:left="43" w:right="101"/>
              <w:rPr>
                <w:i/>
                <w:iCs/>
                <w:rtl/>
              </w:rPr>
            </w:pPr>
            <w:r w:rsidRPr="002576D1">
              <w:rPr>
                <w:i/>
                <w:iCs/>
                <w:rtl/>
              </w:rPr>
              <w:t>الشخص المدعى أنه ضحية</w:t>
            </w:r>
            <w:r w:rsidRPr="007C6CBA">
              <w:rPr>
                <w:i/>
                <w:iCs/>
                <w:rtl/>
              </w:rPr>
              <w:t>:</w:t>
            </w:r>
          </w:p>
        </w:tc>
        <w:tc>
          <w:tcPr>
            <w:tcW w:w="4947" w:type="dxa"/>
          </w:tcPr>
          <w:p w14:paraId="03126615" w14:textId="77777777" w:rsidR="00A92EF0" w:rsidRDefault="00A92EF0" w:rsidP="005E1D08">
            <w:pPr>
              <w:tabs>
                <w:tab w:val="left" w:pos="288"/>
                <w:tab w:val="left" w:pos="576"/>
                <w:tab w:val="left" w:pos="864"/>
                <w:tab w:val="left" w:pos="1152"/>
              </w:tabs>
              <w:spacing w:after="120"/>
              <w:ind w:left="43"/>
              <w:rPr>
                <w:rtl/>
              </w:rPr>
            </w:pPr>
            <w:r>
              <w:rPr>
                <w:rtl/>
              </w:rPr>
              <w:t>صاحبة البلاغ</w:t>
            </w:r>
          </w:p>
        </w:tc>
      </w:tr>
      <w:tr w:rsidR="00A92EF0" w14:paraId="119F2E3B" w14:textId="77777777" w:rsidTr="00A92EF0">
        <w:tc>
          <w:tcPr>
            <w:tcW w:w="2373" w:type="dxa"/>
          </w:tcPr>
          <w:p w14:paraId="639A9F0A" w14:textId="77777777" w:rsidR="00A92EF0" w:rsidRPr="007C6CBA" w:rsidRDefault="00A92EF0" w:rsidP="005E1D08">
            <w:pPr>
              <w:tabs>
                <w:tab w:val="left" w:pos="288"/>
                <w:tab w:val="left" w:pos="576"/>
                <w:tab w:val="left" w:pos="864"/>
                <w:tab w:val="left" w:pos="1152"/>
              </w:tabs>
              <w:spacing w:after="120"/>
              <w:ind w:left="43" w:right="101"/>
              <w:rPr>
                <w:i/>
                <w:iCs/>
                <w:rtl/>
              </w:rPr>
            </w:pPr>
            <w:r w:rsidRPr="007C6CBA">
              <w:rPr>
                <w:i/>
                <w:iCs/>
                <w:rtl/>
              </w:rPr>
              <w:t>الدولة الطرف:</w:t>
            </w:r>
          </w:p>
        </w:tc>
        <w:tc>
          <w:tcPr>
            <w:tcW w:w="4947" w:type="dxa"/>
          </w:tcPr>
          <w:p w14:paraId="3DD43918" w14:textId="77777777" w:rsidR="00A92EF0" w:rsidRDefault="00A92EF0" w:rsidP="005E1D08">
            <w:pPr>
              <w:tabs>
                <w:tab w:val="left" w:pos="288"/>
                <w:tab w:val="left" w:pos="576"/>
                <w:tab w:val="left" w:pos="864"/>
                <w:tab w:val="left" w:pos="1152"/>
              </w:tabs>
              <w:spacing w:after="120"/>
              <w:ind w:left="43"/>
              <w:rPr>
                <w:rtl/>
              </w:rPr>
            </w:pPr>
            <w:r>
              <w:rPr>
                <w:rFonts w:hint="cs"/>
                <w:rtl/>
              </w:rPr>
              <w:t>الاتحاد الروسي</w:t>
            </w:r>
          </w:p>
        </w:tc>
      </w:tr>
      <w:tr w:rsidR="00A92EF0" w14:paraId="79959B70" w14:textId="77777777" w:rsidTr="00A92EF0">
        <w:tc>
          <w:tcPr>
            <w:tcW w:w="2373" w:type="dxa"/>
          </w:tcPr>
          <w:p w14:paraId="22BD3F1D" w14:textId="77777777" w:rsidR="00A92EF0" w:rsidRPr="007C6CBA" w:rsidRDefault="00A92EF0" w:rsidP="005E1D08">
            <w:pPr>
              <w:tabs>
                <w:tab w:val="left" w:pos="288"/>
                <w:tab w:val="left" w:pos="576"/>
                <w:tab w:val="left" w:pos="864"/>
                <w:tab w:val="left" w:pos="1152"/>
              </w:tabs>
              <w:spacing w:after="120"/>
              <w:ind w:left="43" w:right="101"/>
              <w:rPr>
                <w:i/>
                <w:iCs/>
                <w:rtl/>
              </w:rPr>
            </w:pPr>
            <w:r w:rsidRPr="007C6CBA">
              <w:rPr>
                <w:i/>
                <w:iCs/>
                <w:rtl/>
              </w:rPr>
              <w:t>تاريخ تقديم البلاغ:</w:t>
            </w:r>
          </w:p>
        </w:tc>
        <w:tc>
          <w:tcPr>
            <w:tcW w:w="4947" w:type="dxa"/>
          </w:tcPr>
          <w:p w14:paraId="512AFF6B" w14:textId="68BC2780" w:rsidR="00A92EF0" w:rsidRDefault="00A92EF0" w:rsidP="005E1D08">
            <w:pPr>
              <w:tabs>
                <w:tab w:val="left" w:pos="288"/>
                <w:tab w:val="left" w:pos="576"/>
                <w:tab w:val="left" w:pos="864"/>
                <w:tab w:val="left" w:pos="1152"/>
              </w:tabs>
              <w:spacing w:after="120"/>
              <w:ind w:left="43"/>
              <w:rPr>
                <w:rtl/>
              </w:rPr>
            </w:pPr>
            <w:r>
              <w:rPr>
                <w:rtl/>
              </w:rPr>
              <w:t>7 كانون الأول/ديسمبر 2015 (</w:t>
            </w:r>
            <w:r>
              <w:rPr>
                <w:rFonts w:hint="cs"/>
                <w:rtl/>
              </w:rPr>
              <w:t>تاريخ الرسالة</w:t>
            </w:r>
            <w:r>
              <w:rPr>
                <w:rtl/>
              </w:rPr>
              <w:t xml:space="preserve"> الأول</w:t>
            </w:r>
            <w:r>
              <w:rPr>
                <w:rFonts w:hint="cs"/>
                <w:rtl/>
              </w:rPr>
              <w:t>ى</w:t>
            </w:r>
            <w:r>
              <w:rPr>
                <w:rtl/>
              </w:rPr>
              <w:t>)</w:t>
            </w:r>
          </w:p>
        </w:tc>
      </w:tr>
      <w:tr w:rsidR="00A92EF0" w14:paraId="0003E309" w14:textId="77777777" w:rsidTr="00A92EF0">
        <w:tc>
          <w:tcPr>
            <w:tcW w:w="2373" w:type="dxa"/>
          </w:tcPr>
          <w:p w14:paraId="7B790348" w14:textId="77777777" w:rsidR="00A92EF0" w:rsidRPr="007C6CBA" w:rsidRDefault="00A92EF0" w:rsidP="005E1D08">
            <w:pPr>
              <w:tabs>
                <w:tab w:val="left" w:pos="288"/>
                <w:tab w:val="left" w:pos="576"/>
                <w:tab w:val="left" w:pos="864"/>
                <w:tab w:val="left" w:pos="1152"/>
              </w:tabs>
              <w:spacing w:after="120"/>
              <w:ind w:left="43" w:right="101"/>
              <w:rPr>
                <w:i/>
                <w:iCs/>
                <w:rtl/>
              </w:rPr>
            </w:pPr>
            <w:r w:rsidRPr="007C6CBA">
              <w:rPr>
                <w:i/>
                <w:iCs/>
                <w:rtl/>
              </w:rPr>
              <w:t>الوثائق المرجعية:</w:t>
            </w:r>
          </w:p>
        </w:tc>
        <w:tc>
          <w:tcPr>
            <w:tcW w:w="4947" w:type="dxa"/>
          </w:tcPr>
          <w:p w14:paraId="6C7FDB10" w14:textId="6933CE0D" w:rsidR="00A92EF0" w:rsidRPr="007C6CBA" w:rsidRDefault="00A92EF0" w:rsidP="005E1D08">
            <w:pPr>
              <w:tabs>
                <w:tab w:val="left" w:pos="288"/>
                <w:tab w:val="left" w:pos="576"/>
                <w:tab w:val="left" w:pos="864"/>
                <w:tab w:val="left" w:pos="1152"/>
              </w:tabs>
              <w:spacing w:after="120"/>
              <w:ind w:left="43"/>
              <w:rPr>
                <w:w w:val="97"/>
                <w:rtl/>
              </w:rPr>
            </w:pPr>
            <w:r w:rsidRPr="007C6CBA">
              <w:rPr>
                <w:w w:val="97"/>
                <w:rtl/>
              </w:rPr>
              <w:t xml:space="preserve">أُحيلت إلى الدولة الطرف في </w:t>
            </w:r>
            <w:r>
              <w:rPr>
                <w:rFonts w:hint="cs"/>
                <w:w w:val="97"/>
                <w:rtl/>
              </w:rPr>
              <w:t>18 كانون الثاني</w:t>
            </w:r>
            <w:r w:rsidRPr="007C6CBA">
              <w:rPr>
                <w:w w:val="97"/>
                <w:rtl/>
              </w:rPr>
              <w:t>/</w:t>
            </w:r>
            <w:r>
              <w:rPr>
                <w:rFonts w:hint="cs"/>
                <w:w w:val="97"/>
                <w:rtl/>
              </w:rPr>
              <w:t>يناير</w:t>
            </w:r>
            <w:r w:rsidRPr="007C6CBA">
              <w:rPr>
                <w:w w:val="97"/>
                <w:rtl/>
              </w:rPr>
              <w:t xml:space="preserve"> </w:t>
            </w:r>
            <w:r>
              <w:rPr>
                <w:w w:val="97"/>
                <w:rtl/>
              </w:rPr>
              <w:t>2016</w:t>
            </w:r>
          </w:p>
        </w:tc>
      </w:tr>
      <w:tr w:rsidR="00A92EF0" w14:paraId="66B36BBA" w14:textId="77777777" w:rsidTr="00A92EF0">
        <w:tc>
          <w:tcPr>
            <w:tcW w:w="2373" w:type="dxa"/>
          </w:tcPr>
          <w:p w14:paraId="30298B3D" w14:textId="77777777" w:rsidR="00A92EF0" w:rsidRPr="007C6CBA" w:rsidRDefault="00A92EF0" w:rsidP="005E1D08">
            <w:pPr>
              <w:tabs>
                <w:tab w:val="left" w:pos="288"/>
                <w:tab w:val="left" w:pos="576"/>
                <w:tab w:val="left" w:pos="864"/>
                <w:tab w:val="left" w:pos="1152"/>
              </w:tabs>
              <w:spacing w:after="120"/>
              <w:ind w:left="43" w:right="101"/>
              <w:rPr>
                <w:i/>
                <w:iCs/>
                <w:rtl/>
              </w:rPr>
            </w:pPr>
            <w:r w:rsidRPr="007C6CBA">
              <w:rPr>
                <w:i/>
                <w:iCs/>
                <w:rtl/>
              </w:rPr>
              <w:t xml:space="preserve">تاريخ </w:t>
            </w:r>
            <w:r>
              <w:rPr>
                <w:rFonts w:hint="cs"/>
                <w:i/>
                <w:iCs/>
                <w:rtl/>
              </w:rPr>
              <w:t>اعتماد</w:t>
            </w:r>
            <w:r w:rsidRPr="007C6CBA">
              <w:rPr>
                <w:i/>
                <w:iCs/>
                <w:rtl/>
              </w:rPr>
              <w:t xml:space="preserve"> القرار:</w:t>
            </w:r>
          </w:p>
        </w:tc>
        <w:tc>
          <w:tcPr>
            <w:tcW w:w="4947" w:type="dxa"/>
          </w:tcPr>
          <w:p w14:paraId="44CF7B21" w14:textId="77777777" w:rsidR="00A92EF0" w:rsidRDefault="00A92EF0" w:rsidP="005E1D08">
            <w:pPr>
              <w:tabs>
                <w:tab w:val="left" w:pos="288"/>
                <w:tab w:val="left" w:pos="576"/>
                <w:tab w:val="left" w:pos="864"/>
                <w:tab w:val="left" w:pos="1152"/>
              </w:tabs>
              <w:spacing w:after="120"/>
              <w:ind w:left="43"/>
              <w:rPr>
                <w:rtl/>
              </w:rPr>
            </w:pPr>
            <w:r>
              <w:rPr>
                <w:rFonts w:hint="cs"/>
                <w:rtl/>
              </w:rPr>
              <w:t>25</w:t>
            </w:r>
            <w:r>
              <w:rPr>
                <w:rtl/>
              </w:rPr>
              <w:t xml:space="preserve"> </w:t>
            </w:r>
            <w:r>
              <w:rPr>
                <w:rFonts w:hint="cs"/>
                <w:rtl/>
              </w:rPr>
              <w:t>شباط</w:t>
            </w:r>
            <w:r>
              <w:rPr>
                <w:rtl/>
              </w:rPr>
              <w:t>/</w:t>
            </w:r>
            <w:r>
              <w:rPr>
                <w:rFonts w:hint="cs"/>
                <w:rtl/>
              </w:rPr>
              <w:t>فب</w:t>
            </w:r>
            <w:r>
              <w:rPr>
                <w:rtl/>
              </w:rPr>
              <w:t>ر</w:t>
            </w:r>
            <w:r>
              <w:rPr>
                <w:rFonts w:hint="cs"/>
                <w:rtl/>
              </w:rPr>
              <w:t>اير</w:t>
            </w:r>
            <w:r>
              <w:rPr>
                <w:rtl/>
              </w:rPr>
              <w:t xml:space="preserve"> </w:t>
            </w:r>
            <w:r>
              <w:rPr>
                <w:rFonts w:hint="cs"/>
                <w:rtl/>
              </w:rPr>
              <w:t>2019</w:t>
            </w:r>
          </w:p>
        </w:tc>
      </w:tr>
    </w:tbl>
    <w:p w14:paraId="0C38B2B6" w14:textId="77777777" w:rsidR="00A92EF0" w:rsidRPr="007C6CBA" w:rsidRDefault="00A92EF0" w:rsidP="00A92EF0">
      <w:pPr>
        <w:pStyle w:val="SingleTxt"/>
        <w:spacing w:after="0" w:line="120" w:lineRule="exact"/>
        <w:rPr>
          <w:sz w:val="10"/>
          <w:rtl/>
        </w:rPr>
      </w:pPr>
    </w:p>
    <w:p w14:paraId="2CABEBF1" w14:textId="77777777" w:rsidR="00A92EF0" w:rsidRPr="007C6CBA" w:rsidRDefault="00A92EF0" w:rsidP="00A92EF0">
      <w:pPr>
        <w:pStyle w:val="SingleTxt"/>
      </w:pPr>
    </w:p>
    <w:p w14:paraId="5A8734D2" w14:textId="77777777" w:rsidR="00A92EF0" w:rsidRDefault="00A92EF0" w:rsidP="00A92EF0">
      <w:pPr>
        <w:bidi w:val="0"/>
        <w:spacing w:line="240" w:lineRule="auto"/>
        <w:jc w:val="left"/>
      </w:pPr>
      <w:r>
        <w:rPr>
          <w:rtl/>
        </w:rPr>
        <w:br w:type="page"/>
      </w:r>
    </w:p>
    <w:p w14:paraId="100245F1" w14:textId="77777777" w:rsidR="00A92EF0" w:rsidRPr="00926836" w:rsidRDefault="00A92EF0" w:rsidP="00A92E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926836">
        <w:rPr>
          <w:rFonts w:hint="cs"/>
          <w:rtl/>
        </w:rPr>
        <w:lastRenderedPageBreak/>
        <w:t>معلومات أساسية</w:t>
      </w:r>
    </w:p>
    <w:p w14:paraId="4241E65F" w14:textId="2F9071A3" w:rsidR="00A92EF0" w:rsidRDefault="00A92EF0" w:rsidP="00A92EF0">
      <w:pPr>
        <w:pStyle w:val="SingleTxt"/>
        <w:rPr>
          <w:rtl/>
        </w:rPr>
      </w:pPr>
      <w:r>
        <w:rPr>
          <w:rtl/>
        </w:rPr>
        <w:t>1</w:t>
      </w:r>
      <w:r>
        <w:rPr>
          <w:rFonts w:hint="cs"/>
          <w:rtl/>
        </w:rPr>
        <w:t xml:space="preserve"> </w:t>
      </w:r>
      <w:r>
        <w:rPr>
          <w:rtl/>
        </w:rPr>
        <w:t>-</w:t>
      </w:r>
      <w:r>
        <w:rPr>
          <w:rtl/>
        </w:rPr>
        <w:tab/>
      </w:r>
      <w:r w:rsidRPr="00926836">
        <w:rPr>
          <w:rtl/>
        </w:rPr>
        <w:t>صاحبة البلاغ هي ك.</w:t>
      </w:r>
      <w:r>
        <w:rPr>
          <w:rFonts w:hint="cs"/>
          <w:rtl/>
        </w:rPr>
        <w:t xml:space="preserve"> </w:t>
      </w:r>
      <w:r w:rsidRPr="00926836">
        <w:rPr>
          <w:rtl/>
        </w:rPr>
        <w:t>ك.، وهي مواطنة روسية وُلدت في عام 1983.</w:t>
      </w:r>
      <w:r w:rsidRPr="00926836">
        <w:rPr>
          <w:rFonts w:cs="Times New Roman" w:hint="cs"/>
          <w:rtl/>
        </w:rPr>
        <w:t>‬</w:t>
      </w:r>
      <w:r w:rsidRPr="00926836">
        <w:rPr>
          <w:rtl/>
        </w:rPr>
        <w:t xml:space="preserve"> </w:t>
      </w:r>
      <w:r w:rsidRPr="00926836">
        <w:rPr>
          <w:rFonts w:ascii="Traditional Arabic" w:hAnsi="Traditional Arabic" w:hint="cs"/>
          <w:rtl/>
        </w:rPr>
        <w:t>وهي</w:t>
      </w:r>
      <w:r w:rsidRPr="00926836">
        <w:rPr>
          <w:rtl/>
        </w:rPr>
        <w:t xml:space="preserve"> </w:t>
      </w:r>
      <w:r w:rsidRPr="00926836">
        <w:rPr>
          <w:rFonts w:ascii="Traditional Arabic" w:hAnsi="Traditional Arabic" w:hint="cs"/>
          <w:rtl/>
        </w:rPr>
        <w:t>تدعي</w:t>
      </w:r>
      <w:r w:rsidRPr="00926836">
        <w:rPr>
          <w:rtl/>
        </w:rPr>
        <w:t xml:space="preserve"> </w:t>
      </w:r>
      <w:r w:rsidRPr="00926836">
        <w:rPr>
          <w:rFonts w:ascii="Traditional Arabic" w:hAnsi="Traditional Arabic" w:hint="cs"/>
          <w:rtl/>
        </w:rPr>
        <w:t>انتهاك</w:t>
      </w:r>
      <w:r w:rsidRPr="00926836">
        <w:rPr>
          <w:rtl/>
        </w:rPr>
        <w:t xml:space="preserve"> </w:t>
      </w:r>
      <w:r>
        <w:rPr>
          <w:rFonts w:hint="cs"/>
          <w:rtl/>
        </w:rPr>
        <w:t>ال</w:t>
      </w:r>
      <w:r w:rsidRPr="00926836">
        <w:rPr>
          <w:rFonts w:ascii="Traditional Arabic" w:hAnsi="Traditional Arabic" w:hint="cs"/>
          <w:rtl/>
        </w:rPr>
        <w:t>حقوق</w:t>
      </w:r>
      <w:r w:rsidRPr="00926836">
        <w:rPr>
          <w:rtl/>
        </w:rPr>
        <w:t xml:space="preserve"> </w:t>
      </w:r>
      <w:r w:rsidRPr="00926836">
        <w:rPr>
          <w:rFonts w:ascii="Traditional Arabic" w:hAnsi="Traditional Arabic" w:hint="cs"/>
          <w:rtl/>
        </w:rPr>
        <w:t>المكفولة</w:t>
      </w:r>
      <w:r w:rsidRPr="00926836">
        <w:rPr>
          <w:rtl/>
        </w:rPr>
        <w:t xml:space="preserve"> </w:t>
      </w:r>
      <w:r>
        <w:rPr>
          <w:rFonts w:hint="cs"/>
          <w:rtl/>
        </w:rPr>
        <w:t xml:space="preserve">لها </w:t>
      </w:r>
      <w:r w:rsidRPr="00926836">
        <w:rPr>
          <w:rFonts w:ascii="Traditional Arabic" w:hAnsi="Traditional Arabic" w:hint="cs"/>
          <w:rtl/>
        </w:rPr>
        <w:t>بموجب</w:t>
      </w:r>
      <w:r w:rsidRPr="00926836">
        <w:rPr>
          <w:rtl/>
        </w:rPr>
        <w:t xml:space="preserve"> </w:t>
      </w:r>
      <w:r w:rsidRPr="00926836">
        <w:rPr>
          <w:rFonts w:ascii="Traditional Arabic" w:hAnsi="Traditional Arabic" w:hint="cs"/>
          <w:rtl/>
        </w:rPr>
        <w:t>الفقرات</w:t>
      </w:r>
      <w:r w:rsidRPr="00926836">
        <w:rPr>
          <w:rtl/>
        </w:rPr>
        <w:t xml:space="preserve"> (</w:t>
      </w:r>
      <w:r w:rsidRPr="00926836">
        <w:rPr>
          <w:rFonts w:ascii="Traditional Arabic" w:hAnsi="Traditional Arabic" w:hint="cs"/>
          <w:rtl/>
        </w:rPr>
        <w:t>ب</w:t>
      </w:r>
      <w:r w:rsidRPr="00926836">
        <w:rPr>
          <w:rtl/>
        </w:rPr>
        <w:t xml:space="preserve">) </w:t>
      </w:r>
      <w:r w:rsidRPr="00926836">
        <w:rPr>
          <w:rFonts w:ascii="Traditional Arabic" w:hAnsi="Traditional Arabic" w:hint="cs"/>
          <w:rtl/>
        </w:rPr>
        <w:t>و</w:t>
      </w:r>
      <w:r w:rsidRPr="00926836">
        <w:rPr>
          <w:rtl/>
        </w:rPr>
        <w:t>(</w:t>
      </w:r>
      <w:r w:rsidRPr="00926836">
        <w:rPr>
          <w:rFonts w:ascii="Traditional Arabic" w:hAnsi="Traditional Arabic" w:hint="cs"/>
          <w:rtl/>
        </w:rPr>
        <w:t>د</w:t>
      </w:r>
      <w:r w:rsidRPr="00926836">
        <w:rPr>
          <w:rtl/>
        </w:rPr>
        <w:t xml:space="preserve">) </w:t>
      </w:r>
      <w:r w:rsidRPr="00926836">
        <w:rPr>
          <w:rFonts w:ascii="Traditional Arabic" w:hAnsi="Traditional Arabic" w:hint="cs"/>
          <w:rtl/>
        </w:rPr>
        <w:t>و</w:t>
      </w:r>
      <w:r w:rsidRPr="00926836">
        <w:rPr>
          <w:rtl/>
        </w:rPr>
        <w:t>(</w:t>
      </w:r>
      <w:r w:rsidRPr="00926836">
        <w:rPr>
          <w:rFonts w:ascii="Traditional Arabic" w:hAnsi="Traditional Arabic" w:hint="cs"/>
          <w:rtl/>
        </w:rPr>
        <w:t>ه</w:t>
      </w:r>
      <w:r w:rsidRPr="00926836">
        <w:rPr>
          <w:rtl/>
        </w:rPr>
        <w:t xml:space="preserve">) </w:t>
      </w:r>
      <w:r w:rsidRPr="00926836">
        <w:rPr>
          <w:rFonts w:ascii="Traditional Arabic" w:hAnsi="Traditional Arabic" w:hint="cs"/>
          <w:rtl/>
        </w:rPr>
        <w:t>من</w:t>
      </w:r>
      <w:r w:rsidRPr="00926836">
        <w:rPr>
          <w:rtl/>
        </w:rPr>
        <w:t xml:space="preserve"> </w:t>
      </w:r>
      <w:r w:rsidRPr="00926836">
        <w:rPr>
          <w:rFonts w:ascii="Traditional Arabic" w:hAnsi="Traditional Arabic" w:hint="cs"/>
          <w:rtl/>
        </w:rPr>
        <w:t>المادة</w:t>
      </w:r>
      <w:r w:rsidRPr="00926836">
        <w:rPr>
          <w:rtl/>
        </w:rPr>
        <w:t xml:space="preserve"> 2 </w:t>
      </w:r>
      <w:r w:rsidRPr="00926836">
        <w:rPr>
          <w:rFonts w:ascii="Traditional Arabic" w:hAnsi="Traditional Arabic" w:hint="cs"/>
          <w:rtl/>
        </w:rPr>
        <w:t>والفقرة</w:t>
      </w:r>
      <w:r w:rsidRPr="00926836">
        <w:rPr>
          <w:rtl/>
        </w:rPr>
        <w:t xml:space="preserve"> (</w:t>
      </w:r>
      <w:r w:rsidRPr="00926836">
        <w:rPr>
          <w:rFonts w:ascii="Traditional Arabic" w:hAnsi="Traditional Arabic" w:hint="cs"/>
          <w:rtl/>
        </w:rPr>
        <w:t>أ</w:t>
      </w:r>
      <w:r w:rsidRPr="00926836">
        <w:rPr>
          <w:rtl/>
        </w:rPr>
        <w:t xml:space="preserve">) </w:t>
      </w:r>
      <w:r w:rsidRPr="00926836">
        <w:rPr>
          <w:rFonts w:ascii="Traditional Arabic" w:hAnsi="Traditional Arabic" w:hint="cs"/>
          <w:rtl/>
        </w:rPr>
        <w:t>من</w:t>
      </w:r>
      <w:r w:rsidRPr="00926836">
        <w:rPr>
          <w:rtl/>
        </w:rPr>
        <w:t xml:space="preserve"> </w:t>
      </w:r>
      <w:r w:rsidRPr="00926836">
        <w:rPr>
          <w:rFonts w:ascii="Traditional Arabic" w:hAnsi="Traditional Arabic" w:hint="cs"/>
          <w:rtl/>
        </w:rPr>
        <w:t>المادة</w:t>
      </w:r>
      <w:r w:rsidRPr="00926836">
        <w:rPr>
          <w:rtl/>
        </w:rPr>
        <w:t xml:space="preserve"> 5 </w:t>
      </w:r>
      <w:r w:rsidRPr="00926836">
        <w:rPr>
          <w:rFonts w:ascii="Traditional Arabic" w:hAnsi="Traditional Arabic" w:hint="cs"/>
          <w:rtl/>
        </w:rPr>
        <w:t>والفقرة</w:t>
      </w:r>
      <w:r w:rsidRPr="00926836">
        <w:rPr>
          <w:rtl/>
        </w:rPr>
        <w:t xml:space="preserve"> (</w:t>
      </w:r>
      <w:r w:rsidRPr="00926836">
        <w:rPr>
          <w:rFonts w:ascii="Traditional Arabic" w:hAnsi="Traditional Arabic" w:hint="cs"/>
          <w:rtl/>
        </w:rPr>
        <w:t>ج</w:t>
      </w:r>
      <w:r w:rsidRPr="00926836">
        <w:rPr>
          <w:rtl/>
        </w:rPr>
        <w:t xml:space="preserve">) </w:t>
      </w:r>
      <w:r w:rsidRPr="00926836">
        <w:rPr>
          <w:rFonts w:ascii="Traditional Arabic" w:hAnsi="Traditional Arabic" w:hint="cs"/>
          <w:rtl/>
        </w:rPr>
        <w:t>من</w:t>
      </w:r>
      <w:r w:rsidRPr="00926836">
        <w:rPr>
          <w:rtl/>
        </w:rPr>
        <w:t xml:space="preserve"> </w:t>
      </w:r>
      <w:r w:rsidRPr="00926836">
        <w:rPr>
          <w:rFonts w:ascii="Traditional Arabic" w:hAnsi="Traditional Arabic" w:hint="cs"/>
          <w:rtl/>
        </w:rPr>
        <w:t>المادة</w:t>
      </w:r>
      <w:r w:rsidRPr="00926836">
        <w:rPr>
          <w:rtl/>
        </w:rPr>
        <w:t xml:space="preserve"> 7 </w:t>
      </w:r>
      <w:r w:rsidRPr="00926836">
        <w:rPr>
          <w:rFonts w:ascii="Traditional Arabic" w:hAnsi="Traditional Arabic" w:hint="cs"/>
          <w:rtl/>
        </w:rPr>
        <w:t>من</w:t>
      </w:r>
      <w:r w:rsidRPr="00926836">
        <w:rPr>
          <w:rtl/>
        </w:rPr>
        <w:t xml:space="preserve"> </w:t>
      </w:r>
      <w:r w:rsidRPr="00926836">
        <w:rPr>
          <w:rFonts w:ascii="Traditional Arabic" w:hAnsi="Traditional Arabic" w:hint="cs"/>
          <w:rtl/>
        </w:rPr>
        <w:t>الاتفاقية</w:t>
      </w:r>
      <w:r w:rsidRPr="00926836">
        <w:rPr>
          <w:rtl/>
        </w:rPr>
        <w:t xml:space="preserve">. </w:t>
      </w:r>
      <w:r w:rsidRPr="00926836">
        <w:rPr>
          <w:rFonts w:ascii="Traditional Arabic" w:hAnsi="Traditional Arabic" w:hint="cs"/>
          <w:rtl/>
        </w:rPr>
        <w:t>وقد</w:t>
      </w:r>
      <w:r w:rsidRPr="00926836">
        <w:rPr>
          <w:rtl/>
        </w:rPr>
        <w:t xml:space="preserve"> </w:t>
      </w:r>
      <w:r w:rsidRPr="00926836">
        <w:rPr>
          <w:rFonts w:ascii="Traditional Arabic" w:hAnsi="Traditional Arabic" w:hint="cs"/>
          <w:rtl/>
        </w:rPr>
        <w:t>صد</w:t>
      </w:r>
      <w:r>
        <w:rPr>
          <w:rFonts w:ascii="Traditional Arabic" w:hAnsi="Traditional Arabic" w:hint="cs"/>
          <w:rtl/>
        </w:rPr>
        <w:t>ّ</w:t>
      </w:r>
      <w:r w:rsidRPr="00926836">
        <w:rPr>
          <w:rFonts w:ascii="Traditional Arabic" w:hAnsi="Traditional Arabic" w:hint="cs"/>
          <w:rtl/>
        </w:rPr>
        <w:t>ق</w:t>
      </w:r>
      <w:r w:rsidRPr="00926836">
        <w:rPr>
          <w:rtl/>
        </w:rPr>
        <w:t xml:space="preserve"> </w:t>
      </w:r>
      <w:r w:rsidRPr="00926836">
        <w:rPr>
          <w:rFonts w:ascii="Traditional Arabic" w:hAnsi="Traditional Arabic" w:hint="cs"/>
          <w:rtl/>
        </w:rPr>
        <w:t>الاتحاد</w:t>
      </w:r>
      <w:r w:rsidRPr="00926836">
        <w:rPr>
          <w:rtl/>
        </w:rPr>
        <w:t xml:space="preserve"> </w:t>
      </w:r>
      <w:r w:rsidRPr="00926836">
        <w:rPr>
          <w:rFonts w:ascii="Traditional Arabic" w:hAnsi="Traditional Arabic" w:hint="cs"/>
          <w:rtl/>
        </w:rPr>
        <w:t>الروسي</w:t>
      </w:r>
      <w:r w:rsidRPr="00926836">
        <w:rPr>
          <w:rtl/>
        </w:rPr>
        <w:t xml:space="preserve"> </w:t>
      </w:r>
      <w:r w:rsidRPr="00926836">
        <w:rPr>
          <w:rFonts w:ascii="Traditional Arabic" w:hAnsi="Traditional Arabic" w:hint="cs"/>
          <w:rtl/>
        </w:rPr>
        <w:t>على</w:t>
      </w:r>
      <w:r w:rsidRPr="00926836">
        <w:rPr>
          <w:rtl/>
        </w:rPr>
        <w:t xml:space="preserve"> </w:t>
      </w:r>
      <w:r w:rsidRPr="00926836">
        <w:rPr>
          <w:rFonts w:ascii="Traditional Arabic" w:hAnsi="Traditional Arabic" w:hint="cs"/>
          <w:rtl/>
        </w:rPr>
        <w:t>الاتفاقية</w:t>
      </w:r>
      <w:r w:rsidRPr="00926836">
        <w:rPr>
          <w:rtl/>
        </w:rPr>
        <w:t xml:space="preserve"> </w:t>
      </w:r>
      <w:r w:rsidRPr="00926836">
        <w:rPr>
          <w:rFonts w:ascii="Traditional Arabic" w:hAnsi="Traditional Arabic" w:hint="cs"/>
          <w:rtl/>
        </w:rPr>
        <w:t>وبروتوكولها</w:t>
      </w:r>
      <w:r w:rsidRPr="00926836">
        <w:rPr>
          <w:rtl/>
        </w:rPr>
        <w:t xml:space="preserve"> </w:t>
      </w:r>
      <w:r w:rsidRPr="00926836">
        <w:rPr>
          <w:rFonts w:ascii="Traditional Arabic" w:hAnsi="Traditional Arabic" w:hint="cs"/>
          <w:rtl/>
        </w:rPr>
        <w:t>الاختياري</w:t>
      </w:r>
      <w:r w:rsidRPr="00926836">
        <w:rPr>
          <w:rtl/>
        </w:rPr>
        <w:t xml:space="preserve"> </w:t>
      </w:r>
      <w:r w:rsidRPr="00926836">
        <w:rPr>
          <w:rFonts w:ascii="Traditional Arabic" w:hAnsi="Traditional Arabic" w:hint="cs"/>
          <w:rtl/>
        </w:rPr>
        <w:t>في</w:t>
      </w:r>
      <w:r w:rsidRPr="00926836">
        <w:rPr>
          <w:rtl/>
        </w:rPr>
        <w:t xml:space="preserve"> </w:t>
      </w:r>
      <w:r>
        <w:rPr>
          <w:rFonts w:ascii="Traditional Arabic" w:hAnsi="Traditional Arabic" w:hint="cs"/>
          <w:rtl/>
        </w:rPr>
        <w:t>23</w:t>
      </w:r>
      <w:r w:rsidRPr="00926836">
        <w:rPr>
          <w:rtl/>
        </w:rPr>
        <w:t xml:space="preserve"> </w:t>
      </w:r>
      <w:r w:rsidRPr="00926836">
        <w:rPr>
          <w:rFonts w:ascii="Traditional Arabic" w:hAnsi="Traditional Arabic" w:hint="cs"/>
          <w:rtl/>
        </w:rPr>
        <w:t>كانون</w:t>
      </w:r>
      <w:r w:rsidRPr="00926836">
        <w:rPr>
          <w:rtl/>
        </w:rPr>
        <w:t xml:space="preserve"> </w:t>
      </w:r>
      <w:r w:rsidRPr="00926836">
        <w:rPr>
          <w:rFonts w:ascii="Traditional Arabic" w:hAnsi="Traditional Arabic" w:hint="cs"/>
          <w:rtl/>
        </w:rPr>
        <w:t>الثاني</w:t>
      </w:r>
      <w:r w:rsidRPr="00926836">
        <w:rPr>
          <w:rtl/>
        </w:rPr>
        <w:t>/</w:t>
      </w:r>
      <w:r w:rsidRPr="00926836">
        <w:rPr>
          <w:rFonts w:ascii="Traditional Arabic" w:hAnsi="Traditional Arabic" w:hint="cs"/>
          <w:rtl/>
        </w:rPr>
        <w:t>ينا</w:t>
      </w:r>
      <w:r w:rsidRPr="00926836">
        <w:rPr>
          <w:rtl/>
        </w:rPr>
        <w:t xml:space="preserve">ير </w:t>
      </w:r>
      <w:r>
        <w:rPr>
          <w:rtl/>
        </w:rPr>
        <w:t>1981</w:t>
      </w:r>
      <w:r w:rsidRPr="00926836">
        <w:rPr>
          <w:rtl/>
        </w:rPr>
        <w:t xml:space="preserve"> و</w:t>
      </w:r>
      <w:r>
        <w:rPr>
          <w:rtl/>
        </w:rPr>
        <w:t>28 تموز/يوليه 2004، على التوالي.</w:t>
      </w:r>
    </w:p>
    <w:p w14:paraId="752FB0B6" w14:textId="77777777" w:rsidR="00A92EF0" w:rsidRPr="007C6CBA" w:rsidRDefault="00A92EF0" w:rsidP="00A92EF0">
      <w:pPr>
        <w:pStyle w:val="SingleTxt"/>
        <w:spacing w:after="0" w:line="120" w:lineRule="exact"/>
        <w:rPr>
          <w:sz w:val="10"/>
          <w:rtl/>
        </w:rPr>
      </w:pPr>
    </w:p>
    <w:p w14:paraId="419B2D07" w14:textId="77777777" w:rsidR="00A92EF0" w:rsidRDefault="00A92EF0" w:rsidP="00A92E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الوقائع كما عرضتها صاحبة البلاغ</w:t>
      </w:r>
    </w:p>
    <w:p w14:paraId="791B4992" w14:textId="5309A860" w:rsidR="00A92EF0" w:rsidRDefault="00A92EF0" w:rsidP="00A92EF0">
      <w:pPr>
        <w:pStyle w:val="SingleTxt"/>
        <w:rPr>
          <w:rtl/>
        </w:rPr>
      </w:pPr>
      <w:r>
        <w:rPr>
          <w:rtl/>
        </w:rPr>
        <w:t>2-1</w:t>
      </w:r>
      <w:r>
        <w:rPr>
          <w:rtl/>
        </w:rPr>
        <w:tab/>
      </w:r>
      <w:r w:rsidRPr="00926836">
        <w:rPr>
          <w:rtl/>
        </w:rPr>
        <w:t xml:space="preserve">دُعيت صاحبة البلاغ، وهي من </w:t>
      </w:r>
      <w:r>
        <w:rPr>
          <w:rFonts w:hint="cs"/>
          <w:rtl/>
        </w:rPr>
        <w:t>النشطاء الم</w:t>
      </w:r>
      <w:r w:rsidRPr="00926836">
        <w:rPr>
          <w:rtl/>
        </w:rPr>
        <w:t>د</w:t>
      </w:r>
      <w:r>
        <w:rPr>
          <w:rFonts w:hint="cs"/>
          <w:rtl/>
        </w:rPr>
        <w:t>ا</w:t>
      </w:r>
      <w:r w:rsidRPr="00926836">
        <w:rPr>
          <w:rtl/>
        </w:rPr>
        <w:t>فع</w:t>
      </w:r>
      <w:r>
        <w:rPr>
          <w:rFonts w:hint="cs"/>
          <w:rtl/>
        </w:rPr>
        <w:t>ين</w:t>
      </w:r>
      <w:r w:rsidRPr="00926836">
        <w:rPr>
          <w:rtl/>
        </w:rPr>
        <w:t xml:space="preserve"> عن حقوق </w:t>
      </w:r>
      <w:proofErr w:type="spellStart"/>
      <w:r w:rsidRPr="00926836">
        <w:rPr>
          <w:rtl/>
        </w:rPr>
        <w:t>المثليات</w:t>
      </w:r>
      <w:proofErr w:type="spellEnd"/>
      <w:r w:rsidRPr="00926836">
        <w:rPr>
          <w:rtl/>
        </w:rPr>
        <w:t xml:space="preserve"> والمثليين ومزدوجي الميل الجنسي ومغايري الهوية الجنسانية و</w:t>
      </w:r>
      <w:r>
        <w:rPr>
          <w:rFonts w:hint="cs"/>
          <w:rtl/>
          <w:lang w:val="fr-FR"/>
        </w:rPr>
        <w:t xml:space="preserve">تعمل </w:t>
      </w:r>
      <w:r w:rsidRPr="00926836">
        <w:rPr>
          <w:rtl/>
        </w:rPr>
        <w:t xml:space="preserve">مستشارة قانونية متطوعة لدى منظمة </w:t>
      </w:r>
      <w:proofErr w:type="spellStart"/>
      <w:r w:rsidRPr="00926836">
        <w:t>Vykhod</w:t>
      </w:r>
      <w:proofErr w:type="spellEnd"/>
      <w:r w:rsidRPr="00926836">
        <w:rPr>
          <w:rtl/>
        </w:rPr>
        <w:t xml:space="preserve">، إلى المساعدة في تنظيم مهرجان </w:t>
      </w:r>
      <w:proofErr w:type="spellStart"/>
      <w:r w:rsidRPr="00926836">
        <w:t>QueerFest</w:t>
      </w:r>
      <w:proofErr w:type="spellEnd"/>
      <w:r w:rsidRPr="00926836">
        <w:rPr>
          <w:rtl/>
        </w:rPr>
        <w:t xml:space="preserve"> </w:t>
      </w:r>
      <w:r>
        <w:rPr>
          <w:rFonts w:hint="cs"/>
          <w:rtl/>
        </w:rPr>
        <w:t>ل</w:t>
      </w:r>
      <w:r w:rsidRPr="00926836">
        <w:rPr>
          <w:rtl/>
        </w:rPr>
        <w:t xml:space="preserve">عام </w:t>
      </w:r>
      <w:r>
        <w:rPr>
          <w:rtl/>
        </w:rPr>
        <w:t>2013</w:t>
      </w:r>
      <w:r w:rsidRPr="00926836">
        <w:rPr>
          <w:rtl/>
        </w:rPr>
        <w:t xml:space="preserve">. ويوم </w:t>
      </w:r>
      <w:r>
        <w:rPr>
          <w:rtl/>
        </w:rPr>
        <w:t>19</w:t>
      </w:r>
      <w:r w:rsidRPr="00926836">
        <w:rPr>
          <w:rtl/>
        </w:rPr>
        <w:t xml:space="preserve"> أيلول/سبتمبر </w:t>
      </w:r>
      <w:r>
        <w:rPr>
          <w:rtl/>
        </w:rPr>
        <w:t>2013</w:t>
      </w:r>
      <w:r w:rsidRPr="00926836">
        <w:rPr>
          <w:rtl/>
        </w:rPr>
        <w:t>، عند مدخل المبنى الذي ن</w:t>
      </w:r>
      <w:r>
        <w:rPr>
          <w:rFonts w:hint="cs"/>
          <w:rtl/>
        </w:rPr>
        <w:t>ُ</w:t>
      </w:r>
      <w:r w:rsidRPr="00926836">
        <w:rPr>
          <w:rtl/>
        </w:rPr>
        <w:t>ظم فيه المهرجان</w:t>
      </w:r>
      <w:r>
        <w:rPr>
          <w:rFonts w:hint="cs"/>
          <w:rtl/>
        </w:rPr>
        <w:t>، رأت</w:t>
      </w:r>
      <w:r>
        <w:rPr>
          <w:rtl/>
        </w:rPr>
        <w:t xml:space="preserve"> نائب</w:t>
      </w:r>
      <w:r>
        <w:rPr>
          <w:rFonts w:hint="cs"/>
          <w:rtl/>
        </w:rPr>
        <w:t>اً</w:t>
      </w:r>
      <w:r w:rsidRPr="00926836">
        <w:rPr>
          <w:rtl/>
        </w:rPr>
        <w:t xml:space="preserve"> في الجمعية التشريعية لسانت بطرسبرغ، فيتالي </w:t>
      </w:r>
      <w:proofErr w:type="spellStart"/>
      <w:r w:rsidRPr="00926836">
        <w:rPr>
          <w:rtl/>
        </w:rPr>
        <w:t>ميلونوف</w:t>
      </w:r>
      <w:proofErr w:type="spellEnd"/>
      <w:r w:rsidRPr="00926836">
        <w:rPr>
          <w:rtl/>
        </w:rPr>
        <w:t xml:space="preserve">، يرافقه </w:t>
      </w:r>
      <w:r>
        <w:rPr>
          <w:rFonts w:hint="cs"/>
          <w:rtl/>
        </w:rPr>
        <w:t>أفراد من </w:t>
      </w:r>
      <w:r w:rsidRPr="00926836">
        <w:rPr>
          <w:rtl/>
        </w:rPr>
        <w:t>الشرطة وعدة رجال آخرين تبي</w:t>
      </w:r>
      <w:r>
        <w:rPr>
          <w:rFonts w:hint="cs"/>
          <w:rtl/>
        </w:rPr>
        <w:t>ّ</w:t>
      </w:r>
      <w:r>
        <w:rPr>
          <w:rtl/>
        </w:rPr>
        <w:t xml:space="preserve">نت أنهم </w:t>
      </w:r>
      <w:r>
        <w:rPr>
          <w:rFonts w:hint="cs"/>
          <w:rtl/>
        </w:rPr>
        <w:t xml:space="preserve">اعتدوا من قبل </w:t>
      </w:r>
      <w:r w:rsidRPr="00926836">
        <w:rPr>
          <w:rtl/>
        </w:rPr>
        <w:t xml:space="preserve">على مدافعين عن حقوق </w:t>
      </w:r>
      <w:proofErr w:type="spellStart"/>
      <w:r w:rsidRPr="00926836">
        <w:rPr>
          <w:rtl/>
        </w:rPr>
        <w:t>المثليات</w:t>
      </w:r>
      <w:proofErr w:type="spellEnd"/>
      <w:r w:rsidRPr="00926836">
        <w:rPr>
          <w:rtl/>
        </w:rPr>
        <w:t xml:space="preserve"> والمثليين ومزدوجي الميل الجنسي ومغايري الهوية الجنسانية. </w:t>
      </w:r>
      <w:r>
        <w:rPr>
          <w:rtl/>
        </w:rPr>
        <w:t xml:space="preserve">وبتعليمات من السيد </w:t>
      </w:r>
      <w:proofErr w:type="spellStart"/>
      <w:r>
        <w:rPr>
          <w:rtl/>
        </w:rPr>
        <w:t>ميلونوف</w:t>
      </w:r>
      <w:proofErr w:type="spellEnd"/>
      <w:r>
        <w:rPr>
          <w:rtl/>
        </w:rPr>
        <w:t>، طلب</w:t>
      </w:r>
      <w:r>
        <w:rPr>
          <w:rFonts w:hint="cs"/>
          <w:rtl/>
        </w:rPr>
        <w:t xml:space="preserve"> أفراد</w:t>
      </w:r>
      <w:r w:rsidRPr="00926836">
        <w:rPr>
          <w:rtl/>
        </w:rPr>
        <w:t xml:space="preserve"> الشرطة من</w:t>
      </w:r>
      <w:r>
        <w:rPr>
          <w:rFonts w:hint="cs"/>
          <w:rtl/>
        </w:rPr>
        <w:t> </w:t>
      </w:r>
      <w:r w:rsidRPr="00926836">
        <w:rPr>
          <w:rtl/>
        </w:rPr>
        <w:t xml:space="preserve">منظمي المهرجان الإدلاء بوثائق تثبت تأجير مكان </w:t>
      </w:r>
      <w:r>
        <w:rPr>
          <w:rFonts w:hint="cs"/>
          <w:rtl/>
        </w:rPr>
        <w:t>إقامة الحدث</w:t>
      </w:r>
      <w:r w:rsidRPr="00926836">
        <w:rPr>
          <w:rtl/>
        </w:rPr>
        <w:t xml:space="preserve">. فتدخلت صاحبة البلاغ لاستيضاح الجوانب القانونية للطلب. وفي تلك الأثناء، قاطع السيد </w:t>
      </w:r>
      <w:proofErr w:type="spellStart"/>
      <w:r w:rsidRPr="00926836">
        <w:rPr>
          <w:rtl/>
        </w:rPr>
        <w:t>ميلونوف</w:t>
      </w:r>
      <w:proofErr w:type="spellEnd"/>
      <w:r w:rsidRPr="00926836">
        <w:rPr>
          <w:rtl/>
        </w:rPr>
        <w:t xml:space="preserve"> </w:t>
      </w:r>
      <w:r>
        <w:rPr>
          <w:rFonts w:hint="cs"/>
          <w:rtl/>
        </w:rPr>
        <w:t>المحادثة</w:t>
      </w:r>
      <w:r w:rsidRPr="00926836">
        <w:rPr>
          <w:rtl/>
        </w:rPr>
        <w:t xml:space="preserve">، </w:t>
      </w:r>
      <w:r>
        <w:rPr>
          <w:rFonts w:hint="cs"/>
          <w:rtl/>
        </w:rPr>
        <w:t>قائلاً</w:t>
      </w:r>
      <w:r w:rsidRPr="00926836">
        <w:rPr>
          <w:rtl/>
        </w:rPr>
        <w:t xml:space="preserve"> إن صاحبة البلاغ ومن معها من المشاركين في هذا الحدث ليسوا </w:t>
      </w:r>
      <w:r>
        <w:rPr>
          <w:rFonts w:hint="cs"/>
          <w:rtl/>
        </w:rPr>
        <w:t xml:space="preserve">روساً </w:t>
      </w:r>
      <w:r w:rsidRPr="00926836">
        <w:rPr>
          <w:rtl/>
        </w:rPr>
        <w:t>وإنهم يخضعون لدبلوماسيين أجانب ويستجدون</w:t>
      </w:r>
      <w:r>
        <w:rPr>
          <w:rFonts w:hint="cs"/>
          <w:rtl/>
        </w:rPr>
        <w:t xml:space="preserve">هم طمعا في </w:t>
      </w:r>
      <w:r w:rsidRPr="00926836">
        <w:rPr>
          <w:rtl/>
        </w:rPr>
        <w:t xml:space="preserve">المال. ثم استرسل هو ومرافقوه في </w:t>
      </w:r>
      <w:r>
        <w:rPr>
          <w:rFonts w:hint="cs"/>
          <w:rtl/>
        </w:rPr>
        <w:t>كيل التهديدات والشتائم ل</w:t>
      </w:r>
      <w:r w:rsidRPr="00926836">
        <w:rPr>
          <w:rtl/>
        </w:rPr>
        <w:t xml:space="preserve">زوار المهرجان </w:t>
      </w:r>
      <w:proofErr w:type="spellStart"/>
      <w:r w:rsidRPr="00926836">
        <w:rPr>
          <w:rtl/>
        </w:rPr>
        <w:t>ومتطوعيه</w:t>
      </w:r>
      <w:proofErr w:type="spellEnd"/>
      <w:r w:rsidRPr="00926836">
        <w:rPr>
          <w:rtl/>
        </w:rPr>
        <w:t xml:space="preserve">. وكان يتلفظ خاصة بكلمات من قبيل </w:t>
      </w:r>
      <w:r>
        <w:rPr>
          <w:rFonts w:hint="cs"/>
          <w:i/>
          <w:iCs/>
          <w:rtl/>
        </w:rPr>
        <w:t>”</w:t>
      </w:r>
      <w:proofErr w:type="spellStart"/>
      <w:r w:rsidRPr="007D7A96">
        <w:rPr>
          <w:i/>
          <w:iCs/>
        </w:rPr>
        <w:t>spidozny</w:t>
      </w:r>
      <w:proofErr w:type="spellEnd"/>
      <w:r>
        <w:rPr>
          <w:rFonts w:hint="eastAsia"/>
          <w:rtl/>
        </w:rPr>
        <w:t>“</w:t>
      </w:r>
      <w:r>
        <w:rPr>
          <w:rFonts w:hint="cs"/>
          <w:rtl/>
        </w:rPr>
        <w:t xml:space="preserve"> و </w:t>
      </w:r>
      <w:r>
        <w:rPr>
          <w:rFonts w:hint="cs"/>
          <w:i/>
          <w:iCs/>
          <w:rtl/>
        </w:rPr>
        <w:t>”</w:t>
      </w:r>
      <w:proofErr w:type="spellStart"/>
      <w:r w:rsidRPr="007D7A96">
        <w:rPr>
          <w:i/>
          <w:iCs/>
        </w:rPr>
        <w:t>petukh</w:t>
      </w:r>
      <w:proofErr w:type="spellEnd"/>
      <w:r>
        <w:rPr>
          <w:rFonts w:hint="cs"/>
          <w:rtl/>
        </w:rPr>
        <w:t>“</w:t>
      </w:r>
      <w:r w:rsidRPr="00926836">
        <w:rPr>
          <w:rtl/>
        </w:rPr>
        <w:t xml:space="preserve"> و</w:t>
      </w:r>
      <w:r>
        <w:rPr>
          <w:rFonts w:hint="cs"/>
          <w:rtl/>
        </w:rPr>
        <w:t xml:space="preserve"> </w:t>
      </w:r>
      <w:r>
        <w:rPr>
          <w:rFonts w:hint="cs"/>
          <w:i/>
          <w:iCs/>
          <w:rtl/>
        </w:rPr>
        <w:t>”</w:t>
      </w:r>
      <w:proofErr w:type="spellStart"/>
      <w:r w:rsidRPr="007D7A96">
        <w:rPr>
          <w:i/>
          <w:iCs/>
        </w:rPr>
        <w:t>petushatnik</w:t>
      </w:r>
      <w:proofErr w:type="spellEnd"/>
      <w:r>
        <w:rPr>
          <w:rFonts w:hint="cs"/>
          <w:rtl/>
        </w:rPr>
        <w:t>“</w:t>
      </w:r>
      <w:r w:rsidRPr="00926836">
        <w:rPr>
          <w:rtl/>
        </w:rPr>
        <w:t>.</w:t>
      </w:r>
      <w:r>
        <w:rPr>
          <w:rFonts w:hint="cs"/>
          <w:rtl/>
        </w:rPr>
        <w:t xml:space="preserve"> </w:t>
      </w:r>
      <w:r w:rsidRPr="00926836">
        <w:rPr>
          <w:rtl/>
        </w:rPr>
        <w:t xml:space="preserve">أما النساء فكان يخاطبهن بعبارات مثل </w:t>
      </w:r>
      <w:r>
        <w:rPr>
          <w:rFonts w:hint="cs"/>
          <w:rtl/>
        </w:rPr>
        <w:t>”</w:t>
      </w:r>
      <w:r w:rsidRPr="00926836">
        <w:rPr>
          <w:rtl/>
        </w:rPr>
        <w:t>قصي شعرك، يا حيوان</w:t>
      </w:r>
      <w:r>
        <w:rPr>
          <w:rFonts w:hint="cs"/>
          <w:rtl/>
        </w:rPr>
        <w:t>“</w:t>
      </w:r>
      <w:r w:rsidRPr="00926836">
        <w:rPr>
          <w:rtl/>
        </w:rPr>
        <w:t xml:space="preserve"> و</w:t>
      </w:r>
      <w:r>
        <w:rPr>
          <w:rFonts w:hint="cs"/>
          <w:rtl/>
        </w:rPr>
        <w:t>”</w:t>
      </w:r>
      <w:r w:rsidRPr="00926836">
        <w:rPr>
          <w:rtl/>
        </w:rPr>
        <w:t>بهيمة</w:t>
      </w:r>
      <w:r>
        <w:rPr>
          <w:rFonts w:hint="cs"/>
          <w:rtl/>
        </w:rPr>
        <w:t>“</w:t>
      </w:r>
      <w:r w:rsidRPr="00926836">
        <w:rPr>
          <w:rtl/>
        </w:rPr>
        <w:t xml:space="preserve">، ونعت امرأة بأنها </w:t>
      </w:r>
      <w:r>
        <w:rPr>
          <w:rFonts w:hint="cs"/>
          <w:rtl/>
        </w:rPr>
        <w:t>”</w:t>
      </w:r>
      <w:r w:rsidRPr="00926836">
        <w:rPr>
          <w:rtl/>
        </w:rPr>
        <w:t>زوج</w:t>
      </w:r>
      <w:r>
        <w:rPr>
          <w:rFonts w:hint="cs"/>
          <w:rtl/>
        </w:rPr>
        <w:t>“</w:t>
      </w:r>
      <w:r w:rsidRPr="00926836">
        <w:rPr>
          <w:rtl/>
        </w:rPr>
        <w:t xml:space="preserve"> امرأة أخرى. وخاطب صاحبة البلاغ بكلمتي</w:t>
      </w:r>
      <w:r>
        <w:rPr>
          <w:rFonts w:hint="cs"/>
          <w:rtl/>
        </w:rPr>
        <w:t xml:space="preserve"> </w:t>
      </w:r>
      <w:r>
        <w:rPr>
          <w:rFonts w:hint="cs"/>
          <w:i/>
          <w:iCs/>
          <w:rtl/>
        </w:rPr>
        <w:t>”</w:t>
      </w:r>
      <w:proofErr w:type="spellStart"/>
      <w:r w:rsidRPr="007D7A96">
        <w:rPr>
          <w:i/>
          <w:iCs/>
        </w:rPr>
        <w:t>stukachka</w:t>
      </w:r>
      <w:proofErr w:type="spellEnd"/>
      <w:r>
        <w:rPr>
          <w:rFonts w:hint="cs"/>
          <w:rtl/>
        </w:rPr>
        <w:t>“</w:t>
      </w:r>
      <w:r w:rsidRPr="00926836">
        <w:rPr>
          <w:rtl/>
        </w:rPr>
        <w:t xml:space="preserve"> و</w:t>
      </w:r>
      <w:r>
        <w:rPr>
          <w:rFonts w:hint="cs"/>
          <w:rtl/>
        </w:rPr>
        <w:t xml:space="preserve"> </w:t>
      </w:r>
      <w:r>
        <w:rPr>
          <w:rFonts w:hint="cs"/>
          <w:i/>
          <w:iCs/>
          <w:rtl/>
        </w:rPr>
        <w:t>”</w:t>
      </w:r>
      <w:proofErr w:type="spellStart"/>
      <w:r w:rsidRPr="007D7A96">
        <w:rPr>
          <w:i/>
          <w:iCs/>
        </w:rPr>
        <w:t>kovyryalka</w:t>
      </w:r>
      <w:proofErr w:type="spellEnd"/>
      <w:r>
        <w:rPr>
          <w:rFonts w:hint="cs"/>
          <w:rtl/>
        </w:rPr>
        <w:t>“</w:t>
      </w:r>
      <w:r w:rsidRPr="00926836">
        <w:rPr>
          <w:rtl/>
        </w:rPr>
        <w:t>، لما رأت أحد رجال</w:t>
      </w:r>
      <w:r>
        <w:rPr>
          <w:rFonts w:hint="cs"/>
          <w:rtl/>
        </w:rPr>
        <w:t xml:space="preserve">ه </w:t>
      </w:r>
      <w:r w:rsidRPr="00926836">
        <w:rPr>
          <w:rtl/>
        </w:rPr>
        <w:t>يهمّ بت</w:t>
      </w:r>
      <w:r>
        <w:rPr>
          <w:rtl/>
        </w:rPr>
        <w:t>عنيف أحد المشاركين في المهرجان</w:t>
      </w:r>
      <w:r>
        <w:rPr>
          <w:rFonts w:hint="cs"/>
          <w:rtl/>
        </w:rPr>
        <w:t xml:space="preserve"> و</w:t>
      </w:r>
      <w:r w:rsidRPr="00926836">
        <w:rPr>
          <w:rtl/>
        </w:rPr>
        <w:t>طلبت من ضباط الشرطة أن يتدخلوا. غير أن</w:t>
      </w:r>
      <w:r>
        <w:rPr>
          <w:rFonts w:hint="cs"/>
          <w:rtl/>
        </w:rPr>
        <w:t xml:space="preserve"> أفراد</w:t>
      </w:r>
      <w:r>
        <w:rPr>
          <w:rtl/>
        </w:rPr>
        <w:t xml:space="preserve"> الشرطة لم </w:t>
      </w:r>
      <w:r>
        <w:rPr>
          <w:rFonts w:hint="cs"/>
          <w:rtl/>
        </w:rPr>
        <w:t>ي</w:t>
      </w:r>
      <w:r w:rsidRPr="00926836">
        <w:rPr>
          <w:rtl/>
        </w:rPr>
        <w:t>تخذ</w:t>
      </w:r>
      <w:r>
        <w:rPr>
          <w:rFonts w:hint="cs"/>
          <w:rtl/>
        </w:rPr>
        <w:t>وا</w:t>
      </w:r>
      <w:r w:rsidRPr="00926836">
        <w:rPr>
          <w:rtl/>
        </w:rPr>
        <w:t xml:space="preserve"> أي إجراء ردا على السلوك المسيء إلى صاحبة البلاغ</w:t>
      </w:r>
      <w:r>
        <w:rPr>
          <w:rtl/>
        </w:rPr>
        <w:t>.</w:t>
      </w:r>
    </w:p>
    <w:p w14:paraId="26E252B0" w14:textId="348D4829" w:rsidR="00A92EF0" w:rsidRDefault="00A92EF0" w:rsidP="00A92EF0">
      <w:pPr>
        <w:pStyle w:val="SingleTxt"/>
        <w:rPr>
          <w:rtl/>
        </w:rPr>
      </w:pPr>
      <w:r>
        <w:rPr>
          <w:rtl/>
        </w:rPr>
        <w:t>2-2</w:t>
      </w:r>
      <w:r>
        <w:rPr>
          <w:rtl/>
        </w:rPr>
        <w:tab/>
      </w:r>
      <w:r w:rsidRPr="0034574C">
        <w:rPr>
          <w:rtl/>
        </w:rPr>
        <w:t xml:space="preserve">وفي </w:t>
      </w:r>
      <w:r>
        <w:rPr>
          <w:rtl/>
        </w:rPr>
        <w:t>30</w:t>
      </w:r>
      <w:r w:rsidRPr="0034574C">
        <w:rPr>
          <w:rtl/>
        </w:rPr>
        <w:t xml:space="preserve"> أيلول/سبتمبر </w:t>
      </w:r>
      <w:r>
        <w:rPr>
          <w:rtl/>
        </w:rPr>
        <w:t>2013</w:t>
      </w:r>
      <w:r w:rsidRPr="0034574C">
        <w:rPr>
          <w:rtl/>
        </w:rPr>
        <w:t xml:space="preserve">، قدمت صاحبة البلاغ طلب </w:t>
      </w:r>
      <w:r>
        <w:rPr>
          <w:rFonts w:hint="cs"/>
          <w:rtl/>
        </w:rPr>
        <w:t>تحريك</w:t>
      </w:r>
      <w:r w:rsidRPr="0034574C">
        <w:rPr>
          <w:rtl/>
        </w:rPr>
        <w:t xml:space="preserve"> دعوى ضد السيد </w:t>
      </w:r>
      <w:proofErr w:type="spellStart"/>
      <w:r w:rsidRPr="0034574C">
        <w:rPr>
          <w:rtl/>
        </w:rPr>
        <w:t>ميلونوف</w:t>
      </w:r>
      <w:proofErr w:type="spellEnd"/>
      <w:r w:rsidRPr="0034574C">
        <w:rPr>
          <w:rtl/>
        </w:rPr>
        <w:t xml:space="preserve"> لدى مكتب المدعي العام في سانت بطرسبرغ ولدى مكتب المدعي العام </w:t>
      </w:r>
      <w:r>
        <w:rPr>
          <w:rFonts w:hint="cs"/>
          <w:rtl/>
        </w:rPr>
        <w:t xml:space="preserve">في </w:t>
      </w:r>
      <w:r w:rsidRPr="0034574C">
        <w:rPr>
          <w:rtl/>
        </w:rPr>
        <w:t xml:space="preserve">مقاطعة </w:t>
      </w:r>
      <w:proofErr w:type="spellStart"/>
      <w:r w:rsidRPr="0034574C">
        <w:rPr>
          <w:rtl/>
        </w:rPr>
        <w:t>بريمورسكي</w:t>
      </w:r>
      <w:proofErr w:type="spellEnd"/>
      <w:r w:rsidRPr="0034574C">
        <w:rPr>
          <w:rtl/>
        </w:rPr>
        <w:t>، بموجب المادتين 5-61 (</w:t>
      </w:r>
      <w:r>
        <w:rPr>
          <w:rFonts w:hint="cs"/>
          <w:rtl/>
        </w:rPr>
        <w:t>القذف</w:t>
      </w:r>
      <w:r w:rsidRPr="0034574C">
        <w:rPr>
          <w:rtl/>
        </w:rPr>
        <w:t>) و</w:t>
      </w:r>
      <w:r>
        <w:rPr>
          <w:rFonts w:hint="cs"/>
          <w:rtl/>
        </w:rPr>
        <w:t xml:space="preserve"> </w:t>
      </w:r>
      <w:r w:rsidRPr="0034574C">
        <w:rPr>
          <w:rtl/>
        </w:rPr>
        <w:t xml:space="preserve">5-62 (التمييز) من قانون الاتحاد الروسي المتعلق بالجرائم الإدارية. ورفض مكتب المدعي العام في مقاطعة </w:t>
      </w:r>
      <w:proofErr w:type="spellStart"/>
      <w:r w:rsidRPr="0034574C">
        <w:rPr>
          <w:rtl/>
        </w:rPr>
        <w:t>بريمورسكي</w:t>
      </w:r>
      <w:proofErr w:type="spellEnd"/>
      <w:r w:rsidRPr="0034574C">
        <w:rPr>
          <w:rtl/>
        </w:rPr>
        <w:t xml:space="preserve"> الطلب في </w:t>
      </w:r>
      <w:r>
        <w:rPr>
          <w:rtl/>
        </w:rPr>
        <w:t>17</w:t>
      </w:r>
      <w:r w:rsidRPr="0034574C">
        <w:rPr>
          <w:rtl/>
        </w:rPr>
        <w:t xml:space="preserve"> تشرين الأول/أكتوبر </w:t>
      </w:r>
      <w:r>
        <w:rPr>
          <w:rtl/>
        </w:rPr>
        <w:t>2013</w:t>
      </w:r>
      <w:r w:rsidRPr="0034574C">
        <w:rPr>
          <w:rtl/>
        </w:rPr>
        <w:t xml:space="preserve"> وجاء في </w:t>
      </w:r>
      <w:r>
        <w:rPr>
          <w:rFonts w:hint="cs"/>
          <w:rtl/>
        </w:rPr>
        <w:t>تعليل</w:t>
      </w:r>
      <w:r w:rsidRPr="0034574C">
        <w:rPr>
          <w:rtl/>
        </w:rPr>
        <w:t xml:space="preserve"> الرفض أن قانون الجرائم الإدارية لا يتضمن قواعد تنظيمية فيما يتعلق بمسؤولية النواب الإدارية، لأن نواب الجمعية التشريعية يتمتعون بالحصانة ولأن مقاضاتهم يجب أن تخضع لأحكام قانون اتحادي خاص لم يكن قد اعتُمد. وقدمت صاحبة البلاغ طعنا إلى محكمة </w:t>
      </w:r>
      <w:proofErr w:type="spellStart"/>
      <w:r w:rsidRPr="0034574C">
        <w:rPr>
          <w:rtl/>
        </w:rPr>
        <w:t>بريمورسكي</w:t>
      </w:r>
      <w:proofErr w:type="spellEnd"/>
      <w:r w:rsidRPr="0034574C">
        <w:rPr>
          <w:rtl/>
        </w:rPr>
        <w:t xml:space="preserve"> المحلية في سان</w:t>
      </w:r>
      <w:r>
        <w:rPr>
          <w:rFonts w:hint="cs"/>
          <w:rtl/>
        </w:rPr>
        <w:t>ت</w:t>
      </w:r>
      <w:r w:rsidRPr="0034574C">
        <w:rPr>
          <w:rtl/>
        </w:rPr>
        <w:t xml:space="preserve"> بطرسبورغ في </w:t>
      </w:r>
      <w:r>
        <w:rPr>
          <w:rtl/>
        </w:rPr>
        <w:t>30</w:t>
      </w:r>
      <w:r w:rsidRPr="0034574C">
        <w:rPr>
          <w:rtl/>
        </w:rPr>
        <w:t xml:space="preserve"> كانون الثاني/يناير </w:t>
      </w:r>
      <w:r>
        <w:rPr>
          <w:rtl/>
        </w:rPr>
        <w:t>2014</w:t>
      </w:r>
      <w:r w:rsidRPr="0034574C">
        <w:rPr>
          <w:rtl/>
        </w:rPr>
        <w:t xml:space="preserve">، طلبت فيه </w:t>
      </w:r>
      <w:r>
        <w:rPr>
          <w:rFonts w:hint="cs"/>
          <w:rtl/>
        </w:rPr>
        <w:t>إبطال</w:t>
      </w:r>
      <w:r w:rsidRPr="0034574C">
        <w:rPr>
          <w:rtl/>
        </w:rPr>
        <w:t xml:space="preserve"> قرار مكتب المدعي العام لمقاطعة </w:t>
      </w:r>
      <w:proofErr w:type="spellStart"/>
      <w:r w:rsidRPr="0034574C">
        <w:rPr>
          <w:rtl/>
        </w:rPr>
        <w:t>بريمورسكي</w:t>
      </w:r>
      <w:proofErr w:type="spellEnd"/>
      <w:r w:rsidRPr="0034574C">
        <w:rPr>
          <w:rtl/>
        </w:rPr>
        <w:t xml:space="preserve">. وفي </w:t>
      </w:r>
      <w:r>
        <w:rPr>
          <w:rtl/>
        </w:rPr>
        <w:t>20</w:t>
      </w:r>
      <w:r w:rsidRPr="0034574C">
        <w:rPr>
          <w:rtl/>
        </w:rPr>
        <w:t xml:space="preserve"> آذار/مارس </w:t>
      </w:r>
      <w:r>
        <w:rPr>
          <w:rtl/>
        </w:rPr>
        <w:t>2014</w:t>
      </w:r>
      <w:r w:rsidRPr="0034574C">
        <w:rPr>
          <w:rtl/>
        </w:rPr>
        <w:t xml:space="preserve">، قضت محكمة </w:t>
      </w:r>
      <w:proofErr w:type="spellStart"/>
      <w:r w:rsidRPr="0034574C">
        <w:rPr>
          <w:rtl/>
        </w:rPr>
        <w:t>بريمورسكي</w:t>
      </w:r>
      <w:proofErr w:type="spellEnd"/>
      <w:r w:rsidRPr="0034574C">
        <w:rPr>
          <w:rtl/>
        </w:rPr>
        <w:t xml:space="preserve"> المحلية في سانت بطرسبرغ برفض الطعن</w:t>
      </w:r>
      <w:r>
        <w:rPr>
          <w:rtl/>
        </w:rPr>
        <w:t>.</w:t>
      </w:r>
    </w:p>
    <w:p w14:paraId="538AEC19" w14:textId="22DB861D" w:rsidR="00A92EF0" w:rsidRDefault="00A92EF0" w:rsidP="00A92EF0">
      <w:pPr>
        <w:pStyle w:val="SingleTxt"/>
        <w:rPr>
          <w:rtl/>
        </w:rPr>
      </w:pPr>
      <w:r>
        <w:rPr>
          <w:rtl/>
        </w:rPr>
        <w:t>2-3</w:t>
      </w:r>
      <w:r>
        <w:rPr>
          <w:rtl/>
        </w:rPr>
        <w:tab/>
      </w:r>
      <w:r w:rsidRPr="0034574C">
        <w:rPr>
          <w:rtl/>
        </w:rPr>
        <w:t xml:space="preserve">وفي </w:t>
      </w:r>
      <w:r>
        <w:rPr>
          <w:rtl/>
        </w:rPr>
        <w:t>9</w:t>
      </w:r>
      <w:r w:rsidRPr="0034574C">
        <w:rPr>
          <w:rtl/>
        </w:rPr>
        <w:t xml:space="preserve"> تشرين الثاني/نوفمبر </w:t>
      </w:r>
      <w:r>
        <w:rPr>
          <w:rtl/>
        </w:rPr>
        <w:t>2013</w:t>
      </w:r>
      <w:r w:rsidRPr="0034574C">
        <w:rPr>
          <w:rtl/>
        </w:rPr>
        <w:t xml:space="preserve">، رفعت صاحبة البلاغ دعوى مدنية ضد السيد </w:t>
      </w:r>
      <w:proofErr w:type="spellStart"/>
      <w:r w:rsidRPr="0034574C">
        <w:rPr>
          <w:rtl/>
        </w:rPr>
        <w:t>ميلونوف</w:t>
      </w:r>
      <w:proofErr w:type="spellEnd"/>
      <w:r w:rsidRPr="0034574C">
        <w:rPr>
          <w:rtl/>
        </w:rPr>
        <w:t xml:space="preserve"> لدى محكمة </w:t>
      </w:r>
      <w:proofErr w:type="spellStart"/>
      <w:r w:rsidRPr="0034574C">
        <w:rPr>
          <w:rtl/>
        </w:rPr>
        <w:t>أوكتيابرسكي</w:t>
      </w:r>
      <w:proofErr w:type="spellEnd"/>
      <w:r w:rsidRPr="0034574C">
        <w:rPr>
          <w:rtl/>
        </w:rPr>
        <w:t xml:space="preserve"> المحلية في سانت بطرسبرغ والتمست من المحكمة أن تحمي شرفها وتصون </w:t>
      </w:r>
      <w:r w:rsidRPr="0034574C">
        <w:rPr>
          <w:rtl/>
        </w:rPr>
        <w:lastRenderedPageBreak/>
        <w:t>كرامتها وأن تقر بأن حقوقها المعنوية قد انتُهكت</w:t>
      </w:r>
      <w:r w:rsidRPr="00A92EF0">
        <w:rPr>
          <w:szCs w:val="30"/>
          <w:vertAlign w:val="superscript"/>
          <w:rtl/>
        </w:rPr>
        <w:t>(</w:t>
      </w:r>
      <w:r w:rsidRPr="00A92EF0">
        <w:rPr>
          <w:rStyle w:val="FootnoteReference"/>
          <w:szCs w:val="30"/>
          <w:rtl/>
        </w:rPr>
        <w:footnoteReference w:id="1"/>
      </w:r>
      <w:r w:rsidRPr="00A92EF0">
        <w:rPr>
          <w:szCs w:val="30"/>
          <w:vertAlign w:val="superscript"/>
          <w:rtl/>
        </w:rPr>
        <w:t>)</w:t>
      </w:r>
      <w:r w:rsidRPr="0034574C">
        <w:rPr>
          <w:rtl/>
        </w:rPr>
        <w:t>. و</w:t>
      </w:r>
      <w:r>
        <w:rPr>
          <w:rFonts w:hint="cs"/>
          <w:rtl/>
        </w:rPr>
        <w:t xml:space="preserve">قد </w:t>
      </w:r>
      <w:r w:rsidRPr="0034574C">
        <w:rPr>
          <w:rtl/>
        </w:rPr>
        <w:t xml:space="preserve">أحيلت القضية إلى محكمة </w:t>
      </w:r>
      <w:proofErr w:type="spellStart"/>
      <w:r w:rsidRPr="0034574C">
        <w:rPr>
          <w:rtl/>
        </w:rPr>
        <w:t>كيروفسكي</w:t>
      </w:r>
      <w:proofErr w:type="spellEnd"/>
      <w:r w:rsidRPr="0034574C">
        <w:rPr>
          <w:rtl/>
        </w:rPr>
        <w:t xml:space="preserve"> المحلية لأنها صاحبة الاختصاص. وفي </w:t>
      </w:r>
      <w:r>
        <w:rPr>
          <w:rtl/>
        </w:rPr>
        <w:t>29</w:t>
      </w:r>
      <w:r w:rsidRPr="0034574C">
        <w:rPr>
          <w:rtl/>
        </w:rPr>
        <w:t xml:space="preserve"> نيسان/أبريل </w:t>
      </w:r>
      <w:r>
        <w:rPr>
          <w:rtl/>
        </w:rPr>
        <w:t>2014</w:t>
      </w:r>
      <w:r w:rsidRPr="0034574C">
        <w:rPr>
          <w:rtl/>
        </w:rPr>
        <w:t>، رُفضت الدعوى، وجاء في الحكم الصادر أن</w:t>
      </w:r>
      <w:r>
        <w:rPr>
          <w:rFonts w:hint="eastAsia"/>
          <w:rtl/>
        </w:rPr>
        <w:t> </w:t>
      </w:r>
      <w:r>
        <w:rPr>
          <w:rFonts w:hint="cs"/>
          <w:rtl/>
        </w:rPr>
        <w:t>لا</w:t>
      </w:r>
      <w:r w:rsidRPr="0034574C">
        <w:rPr>
          <w:rtl/>
        </w:rPr>
        <w:t xml:space="preserve"> أدلة تثبت </w:t>
      </w:r>
      <w:r>
        <w:rPr>
          <w:rFonts w:hint="cs"/>
          <w:rtl/>
        </w:rPr>
        <w:t>تلفُّظ</w:t>
      </w:r>
      <w:r w:rsidRPr="0034574C">
        <w:rPr>
          <w:rtl/>
        </w:rPr>
        <w:t xml:space="preserve"> المدعى عليه بعبارات مسيئة</w:t>
      </w:r>
      <w:r>
        <w:rPr>
          <w:rtl/>
        </w:rPr>
        <w:t>.</w:t>
      </w:r>
    </w:p>
    <w:p w14:paraId="139063D6" w14:textId="144082F5" w:rsidR="00A92EF0" w:rsidRDefault="00A92EF0" w:rsidP="00A92EF0">
      <w:pPr>
        <w:pStyle w:val="SingleTxt"/>
        <w:rPr>
          <w:rtl/>
        </w:rPr>
      </w:pPr>
      <w:r>
        <w:rPr>
          <w:rtl/>
        </w:rPr>
        <w:t>2-4</w:t>
      </w:r>
      <w:r>
        <w:rPr>
          <w:rtl/>
        </w:rPr>
        <w:tab/>
      </w:r>
      <w:r w:rsidRPr="0034574C">
        <w:rPr>
          <w:rtl/>
        </w:rPr>
        <w:t xml:space="preserve">وفي </w:t>
      </w:r>
      <w:r>
        <w:rPr>
          <w:rtl/>
        </w:rPr>
        <w:t>28</w:t>
      </w:r>
      <w:r w:rsidRPr="0034574C">
        <w:rPr>
          <w:rtl/>
        </w:rPr>
        <w:t xml:space="preserve"> أيار/مايو </w:t>
      </w:r>
      <w:r>
        <w:rPr>
          <w:rtl/>
        </w:rPr>
        <w:t>2014</w:t>
      </w:r>
      <w:r w:rsidRPr="0034574C">
        <w:rPr>
          <w:rtl/>
        </w:rPr>
        <w:t xml:space="preserve">، قدمت صاحبة البلاغ طعنا لدى محكمة مدينة </w:t>
      </w:r>
      <w:r w:rsidRPr="000A2553">
        <w:rPr>
          <w:rtl/>
        </w:rPr>
        <w:t xml:space="preserve">سانت بطرسبرغ </w:t>
      </w:r>
      <w:r w:rsidRPr="0034574C">
        <w:rPr>
          <w:rtl/>
        </w:rPr>
        <w:t>ضد قرار محكمة</w:t>
      </w:r>
      <w:r>
        <w:rPr>
          <w:rFonts w:hint="cs"/>
          <w:rtl/>
        </w:rPr>
        <w:t xml:space="preserve"> </w:t>
      </w:r>
      <w:proofErr w:type="spellStart"/>
      <w:r w:rsidRPr="0034574C">
        <w:rPr>
          <w:rtl/>
        </w:rPr>
        <w:t>كيروفسكي</w:t>
      </w:r>
      <w:proofErr w:type="spellEnd"/>
      <w:r w:rsidRPr="0034574C">
        <w:rPr>
          <w:rtl/>
        </w:rPr>
        <w:t xml:space="preserve"> المحلية. وفي </w:t>
      </w:r>
      <w:r>
        <w:rPr>
          <w:rtl/>
        </w:rPr>
        <w:t>14</w:t>
      </w:r>
      <w:r w:rsidRPr="0034574C">
        <w:rPr>
          <w:rtl/>
        </w:rPr>
        <w:t xml:space="preserve"> تشرين الأول/أكتوبر </w:t>
      </w:r>
      <w:r>
        <w:rPr>
          <w:rtl/>
        </w:rPr>
        <w:t>2014</w:t>
      </w:r>
      <w:r w:rsidRPr="0034574C">
        <w:rPr>
          <w:rtl/>
        </w:rPr>
        <w:t xml:space="preserve">، رفضت محكمة مدينة </w:t>
      </w:r>
      <w:r w:rsidRPr="000A2553">
        <w:rPr>
          <w:rtl/>
        </w:rPr>
        <w:t>سانت بطرسبرغ</w:t>
      </w:r>
      <w:r w:rsidRPr="0034574C">
        <w:rPr>
          <w:rtl/>
        </w:rPr>
        <w:t xml:space="preserve"> الطعن</w:t>
      </w:r>
      <w:r>
        <w:rPr>
          <w:rtl/>
        </w:rPr>
        <w:t>.</w:t>
      </w:r>
    </w:p>
    <w:p w14:paraId="2552B9AC" w14:textId="4DE248AB" w:rsidR="00A92EF0" w:rsidRDefault="00A92EF0" w:rsidP="00A92EF0">
      <w:pPr>
        <w:pStyle w:val="SingleTxt"/>
        <w:rPr>
          <w:rtl/>
        </w:rPr>
      </w:pPr>
      <w:r>
        <w:rPr>
          <w:rtl/>
        </w:rPr>
        <w:t>2-5</w:t>
      </w:r>
      <w:r>
        <w:rPr>
          <w:rtl/>
        </w:rPr>
        <w:tab/>
      </w:r>
      <w:r w:rsidRPr="0034574C">
        <w:rPr>
          <w:rtl/>
        </w:rPr>
        <w:t xml:space="preserve">وفي تاريخ لم يذكر على وجه التحديد، رفعت صاحبة البلاغ دعوى نقض لدى هيئة </w:t>
      </w:r>
      <w:r>
        <w:rPr>
          <w:rFonts w:hint="cs"/>
          <w:rtl/>
        </w:rPr>
        <w:t xml:space="preserve">رئاسة </w:t>
      </w:r>
      <w:r w:rsidRPr="0034574C">
        <w:rPr>
          <w:rtl/>
        </w:rPr>
        <w:t xml:space="preserve">محكمة مدينة سانت بطرسبرغ. وفي </w:t>
      </w:r>
      <w:r>
        <w:rPr>
          <w:rtl/>
        </w:rPr>
        <w:t>27</w:t>
      </w:r>
      <w:r w:rsidRPr="0034574C">
        <w:rPr>
          <w:rtl/>
        </w:rPr>
        <w:t xml:space="preserve"> شباط/فبراير </w:t>
      </w:r>
      <w:r>
        <w:rPr>
          <w:rtl/>
        </w:rPr>
        <w:t>2015</w:t>
      </w:r>
      <w:r w:rsidRPr="0034574C">
        <w:rPr>
          <w:rtl/>
        </w:rPr>
        <w:t xml:space="preserve">، رفضت هيئة </w:t>
      </w:r>
      <w:r>
        <w:rPr>
          <w:rFonts w:hint="cs"/>
          <w:rtl/>
        </w:rPr>
        <w:t>الرئاسة</w:t>
      </w:r>
      <w:r w:rsidRPr="0034574C">
        <w:rPr>
          <w:rtl/>
        </w:rPr>
        <w:t xml:space="preserve"> الطعن، مصرحة بأن إلغاء حكم صادر عن محكمة بموجب دعوى النقض</w:t>
      </w:r>
      <w:r w:rsidRPr="00181ACB">
        <w:rPr>
          <w:rtl/>
        </w:rPr>
        <w:t xml:space="preserve"> أو تعديل</w:t>
      </w:r>
      <w:r>
        <w:rPr>
          <w:rFonts w:hint="cs"/>
          <w:rtl/>
        </w:rPr>
        <w:t xml:space="preserve">ه </w:t>
      </w:r>
      <w:r>
        <w:rPr>
          <w:rtl/>
        </w:rPr>
        <w:t>ي</w:t>
      </w:r>
      <w:r>
        <w:rPr>
          <w:rFonts w:hint="cs"/>
          <w:rtl/>
        </w:rPr>
        <w:t>جب أن يكون معللا ب</w:t>
      </w:r>
      <w:r w:rsidRPr="0034574C">
        <w:rPr>
          <w:rtl/>
        </w:rPr>
        <w:t xml:space="preserve">حدوث انتهاك </w:t>
      </w:r>
      <w:r>
        <w:rPr>
          <w:rFonts w:hint="cs"/>
          <w:rtl/>
        </w:rPr>
        <w:t>مادي</w:t>
      </w:r>
      <w:r w:rsidRPr="0034574C">
        <w:rPr>
          <w:rtl/>
        </w:rPr>
        <w:t xml:space="preserve"> لمعايير القانون الموضوعية والإجرائية، وهو </w:t>
      </w:r>
      <w:r>
        <w:rPr>
          <w:rFonts w:hint="cs"/>
          <w:rtl/>
        </w:rPr>
        <w:t>ما ينتفي</w:t>
      </w:r>
      <w:r w:rsidRPr="0034574C">
        <w:rPr>
          <w:rtl/>
        </w:rPr>
        <w:t xml:space="preserve"> في هذه القضية.</w:t>
      </w:r>
    </w:p>
    <w:p w14:paraId="71A9C669" w14:textId="77777777" w:rsidR="00A92EF0" w:rsidRPr="007C6CBA" w:rsidRDefault="00A92EF0" w:rsidP="00A92EF0">
      <w:pPr>
        <w:pStyle w:val="SingleTxt"/>
        <w:spacing w:after="0" w:line="120" w:lineRule="exact"/>
        <w:rPr>
          <w:sz w:val="10"/>
          <w:rtl/>
        </w:rPr>
      </w:pPr>
    </w:p>
    <w:p w14:paraId="192D9C90" w14:textId="77777777" w:rsidR="00A92EF0" w:rsidRDefault="00A92EF0" w:rsidP="00A92E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34574C">
        <w:rPr>
          <w:rtl/>
        </w:rPr>
        <w:t>الشكوى</w:t>
      </w:r>
    </w:p>
    <w:p w14:paraId="05DC01E1" w14:textId="5AB4CAA5" w:rsidR="00A92EF0" w:rsidRDefault="00A92EF0" w:rsidP="00A92EF0">
      <w:pPr>
        <w:pStyle w:val="SingleTxt"/>
        <w:rPr>
          <w:rtl/>
        </w:rPr>
      </w:pPr>
      <w:r>
        <w:rPr>
          <w:rtl/>
        </w:rPr>
        <w:t>3-1</w:t>
      </w:r>
      <w:r>
        <w:rPr>
          <w:rtl/>
        </w:rPr>
        <w:tab/>
      </w:r>
      <w:r w:rsidRPr="0034574C">
        <w:rPr>
          <w:rtl/>
        </w:rPr>
        <w:t xml:space="preserve">تدعي صاحبة البلاغ أن الدولة الطرف لم </w:t>
      </w:r>
      <w:r>
        <w:rPr>
          <w:rFonts w:hint="cs"/>
          <w:rtl/>
        </w:rPr>
        <w:t>تتح</w:t>
      </w:r>
      <w:r w:rsidRPr="0034574C">
        <w:rPr>
          <w:rtl/>
        </w:rPr>
        <w:t xml:space="preserve"> لها أدوات حماية قانونية فعالة ولم تعترف بانتها</w:t>
      </w:r>
      <w:r>
        <w:rPr>
          <w:rtl/>
        </w:rPr>
        <w:t>ك حقوقها ول</w:t>
      </w:r>
      <w:r>
        <w:rPr>
          <w:rFonts w:hint="cs"/>
          <w:rtl/>
        </w:rPr>
        <w:t>م</w:t>
      </w:r>
      <w:r w:rsidRPr="0034574C">
        <w:rPr>
          <w:rtl/>
        </w:rPr>
        <w:t xml:space="preserve"> </w:t>
      </w:r>
      <w:r>
        <w:rPr>
          <w:rFonts w:hint="cs"/>
          <w:rtl/>
        </w:rPr>
        <w:t>ت</w:t>
      </w:r>
      <w:r>
        <w:rPr>
          <w:rtl/>
        </w:rPr>
        <w:t>قدم</w:t>
      </w:r>
      <w:r w:rsidRPr="0034574C">
        <w:rPr>
          <w:rtl/>
        </w:rPr>
        <w:t xml:space="preserve"> لها </w:t>
      </w:r>
      <w:r>
        <w:rPr>
          <w:rFonts w:hint="cs"/>
          <w:rtl/>
        </w:rPr>
        <w:t xml:space="preserve">أي </w:t>
      </w:r>
      <w:r>
        <w:rPr>
          <w:rtl/>
        </w:rPr>
        <w:t xml:space="preserve">تعويض أو </w:t>
      </w:r>
      <w:r>
        <w:rPr>
          <w:rFonts w:hint="cs"/>
          <w:rtl/>
        </w:rPr>
        <w:t>تتخذ</w:t>
      </w:r>
      <w:r w:rsidRPr="0034574C">
        <w:rPr>
          <w:rtl/>
        </w:rPr>
        <w:t xml:space="preserve"> أي إجراءات أخرى تهدف إلى رد الاعتبار لحقوقها</w:t>
      </w:r>
      <w:r>
        <w:rPr>
          <w:rtl/>
        </w:rPr>
        <w:t>.</w:t>
      </w:r>
    </w:p>
    <w:p w14:paraId="6440C5BD" w14:textId="64CEFA0D" w:rsidR="00A92EF0" w:rsidRDefault="00A92EF0" w:rsidP="00A92EF0">
      <w:pPr>
        <w:pStyle w:val="SingleTxt"/>
        <w:rPr>
          <w:rtl/>
        </w:rPr>
      </w:pPr>
      <w:r>
        <w:rPr>
          <w:rtl/>
        </w:rPr>
        <w:t>3-2</w:t>
      </w:r>
      <w:r>
        <w:rPr>
          <w:rtl/>
        </w:rPr>
        <w:tab/>
      </w:r>
      <w:r w:rsidRPr="0034574C">
        <w:rPr>
          <w:rtl/>
        </w:rPr>
        <w:t>وتدعي صاحبة البلاغ انتهاك حقوقها بموجب الفقرات (ب) (د) و</w:t>
      </w:r>
      <w:r>
        <w:rPr>
          <w:rFonts w:hint="cs"/>
          <w:rtl/>
        </w:rPr>
        <w:t xml:space="preserve"> </w:t>
      </w:r>
      <w:r w:rsidRPr="0034574C">
        <w:rPr>
          <w:rtl/>
        </w:rPr>
        <w:t xml:space="preserve">(ه) من المادة </w:t>
      </w:r>
      <w:r>
        <w:rPr>
          <w:rtl/>
        </w:rPr>
        <w:t>2</w:t>
      </w:r>
      <w:r w:rsidRPr="0034574C">
        <w:rPr>
          <w:rtl/>
        </w:rPr>
        <w:t xml:space="preserve"> من الاتفاقية، جراء المس بشرفها وكرامتها وشتمها بسبب ميلها الجنسي وهويتها الجنسانية، وبسبب انتسابها إلى جماعات </w:t>
      </w:r>
      <w:proofErr w:type="spellStart"/>
      <w:r w:rsidRPr="0034574C">
        <w:rPr>
          <w:rtl/>
        </w:rPr>
        <w:t>المثليات</w:t>
      </w:r>
      <w:proofErr w:type="spellEnd"/>
      <w:r w:rsidRPr="0034574C">
        <w:rPr>
          <w:rtl/>
        </w:rPr>
        <w:t xml:space="preserve"> والمثليين ومزدوجي الميل </w:t>
      </w:r>
      <w:r>
        <w:rPr>
          <w:rtl/>
        </w:rPr>
        <w:t>الجنسي ومغايري الهوية الجنسانية.</w:t>
      </w:r>
    </w:p>
    <w:p w14:paraId="23EEDBEC" w14:textId="16C963DF" w:rsidR="00A92EF0" w:rsidRDefault="00A92EF0" w:rsidP="00A92EF0">
      <w:pPr>
        <w:pStyle w:val="SingleTxt"/>
        <w:rPr>
          <w:rtl/>
        </w:rPr>
      </w:pPr>
      <w:r>
        <w:rPr>
          <w:rtl/>
        </w:rPr>
        <w:t>3-3</w:t>
      </w:r>
      <w:r>
        <w:rPr>
          <w:rtl/>
        </w:rPr>
        <w:tab/>
      </w:r>
      <w:r w:rsidRPr="0034574C">
        <w:rPr>
          <w:rtl/>
        </w:rPr>
        <w:t xml:space="preserve">وتدعي صاحبة البلاغ أيضا انتهاك حقوقها بموجب الفقرة (أ) من المادة </w:t>
      </w:r>
      <w:r>
        <w:rPr>
          <w:rtl/>
        </w:rPr>
        <w:t>5</w:t>
      </w:r>
      <w:r w:rsidRPr="0034574C">
        <w:rPr>
          <w:rtl/>
        </w:rPr>
        <w:t xml:space="preserve"> من الاتفاقية، لأنها تعرضت للإهانة والشتم بسبب عدم تقيدها بالقوالب النمطية المتعلقة بالدور التقليدي للمرأة في العلاقات الجنسانية والأدوار الاجتماعية </w:t>
      </w:r>
      <w:proofErr w:type="spellStart"/>
      <w:r w:rsidRPr="0034574C">
        <w:rPr>
          <w:rtl/>
        </w:rPr>
        <w:t>للمثليات</w:t>
      </w:r>
      <w:proofErr w:type="spellEnd"/>
      <w:r w:rsidRPr="0034574C">
        <w:rPr>
          <w:rtl/>
        </w:rPr>
        <w:t xml:space="preserve"> ومزدوجات الميل الجنسي ومغايرات الهوية الجنسانية</w:t>
      </w:r>
      <w:r>
        <w:rPr>
          <w:rtl/>
        </w:rPr>
        <w:t>.</w:t>
      </w:r>
    </w:p>
    <w:p w14:paraId="1D77B4AB" w14:textId="735BA3F4" w:rsidR="00A92EF0" w:rsidRDefault="00A92EF0" w:rsidP="00A92EF0">
      <w:pPr>
        <w:pStyle w:val="SingleTxt"/>
        <w:rPr>
          <w:rtl/>
        </w:rPr>
      </w:pPr>
      <w:r>
        <w:rPr>
          <w:rtl/>
        </w:rPr>
        <w:t>3-4</w:t>
      </w:r>
      <w:r>
        <w:rPr>
          <w:rtl/>
        </w:rPr>
        <w:tab/>
        <w:t>و</w:t>
      </w:r>
      <w:r>
        <w:rPr>
          <w:rFonts w:hint="cs"/>
          <w:rtl/>
        </w:rPr>
        <w:t>بالإضافة إلى</w:t>
      </w:r>
      <w:r w:rsidRPr="0034574C">
        <w:rPr>
          <w:rtl/>
        </w:rPr>
        <w:t xml:space="preserve"> ذلك، تدعي صاحبة البلاغ انتهاك الفقرة (ج) من المادة </w:t>
      </w:r>
      <w:r>
        <w:rPr>
          <w:rtl/>
        </w:rPr>
        <w:t>7</w:t>
      </w:r>
      <w:r w:rsidRPr="0034574C">
        <w:rPr>
          <w:rtl/>
        </w:rPr>
        <w:t xml:space="preserve"> من الاتفاقية، بسبب ما تعرضت له من تمييز و</w:t>
      </w:r>
      <w:r>
        <w:rPr>
          <w:rFonts w:hint="cs"/>
          <w:rtl/>
        </w:rPr>
        <w:t xml:space="preserve">موقف عدواني نتيجة </w:t>
      </w:r>
      <w:r w:rsidRPr="0034574C">
        <w:rPr>
          <w:rtl/>
        </w:rPr>
        <w:t xml:space="preserve">نشاطها في مناصرة منظمة </w:t>
      </w:r>
      <w:proofErr w:type="spellStart"/>
      <w:r w:rsidRPr="0034574C">
        <w:rPr>
          <w:rtl/>
        </w:rPr>
        <w:t>للمثليات</w:t>
      </w:r>
      <w:proofErr w:type="spellEnd"/>
      <w:r w:rsidRPr="0034574C">
        <w:rPr>
          <w:rtl/>
        </w:rPr>
        <w:t xml:space="preserve"> والمثليين ومزدوجي الميل الجنسي ومغايري الهوية الجنسانية</w:t>
      </w:r>
      <w:r>
        <w:rPr>
          <w:rtl/>
        </w:rPr>
        <w:t>.</w:t>
      </w:r>
    </w:p>
    <w:p w14:paraId="1DADC2AD" w14:textId="2E122437" w:rsidR="00A92EF0" w:rsidRPr="00A92EF0" w:rsidRDefault="00A92EF0" w:rsidP="00A92EF0">
      <w:pPr>
        <w:pStyle w:val="SingleTxt"/>
        <w:spacing w:after="0" w:line="120" w:lineRule="exact"/>
        <w:rPr>
          <w:sz w:val="10"/>
          <w:rtl/>
        </w:rPr>
      </w:pPr>
    </w:p>
    <w:p w14:paraId="145AC5FC" w14:textId="2C823E2B" w:rsidR="00A92EF0" w:rsidRPr="0034574C" w:rsidRDefault="00A92EF0" w:rsidP="00A92E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34574C">
        <w:rPr>
          <w:rtl/>
        </w:rPr>
        <w:t>ملاحظات الدولة الطرف بشأن مقبولية البلاغ</w:t>
      </w:r>
    </w:p>
    <w:p w14:paraId="796A216C" w14:textId="2F8097E3" w:rsidR="00A92EF0" w:rsidRPr="004D46CB" w:rsidRDefault="00A92EF0" w:rsidP="00A92EF0">
      <w:pPr>
        <w:pStyle w:val="SingleTxt"/>
        <w:rPr>
          <w:rtl/>
        </w:rPr>
      </w:pPr>
      <w:r>
        <w:rPr>
          <w:rtl/>
        </w:rPr>
        <w:t>4-1</w:t>
      </w:r>
      <w:r>
        <w:rPr>
          <w:rtl/>
        </w:rPr>
        <w:tab/>
      </w:r>
      <w:r w:rsidRPr="00D07EB6">
        <w:rPr>
          <w:rtl/>
        </w:rPr>
        <w:t xml:space="preserve">في </w:t>
      </w:r>
      <w:r>
        <w:rPr>
          <w:rtl/>
        </w:rPr>
        <w:t>6</w:t>
      </w:r>
      <w:r w:rsidRPr="00D07EB6">
        <w:rPr>
          <w:rtl/>
        </w:rPr>
        <w:t xml:space="preserve"> أيار/مايو </w:t>
      </w:r>
      <w:r>
        <w:rPr>
          <w:rtl/>
        </w:rPr>
        <w:t>2016</w:t>
      </w:r>
      <w:r w:rsidRPr="00D07EB6">
        <w:rPr>
          <w:rtl/>
        </w:rPr>
        <w:t>، قدمت الدولة الطرف ملاحظاتها بشأن مقبولية البلاغ. وجاء في تلك الملاحظا</w:t>
      </w:r>
      <w:r>
        <w:rPr>
          <w:rtl/>
        </w:rPr>
        <w:t>ت أن البلاغ غير مقبول لأن صاحب</w:t>
      </w:r>
      <w:r>
        <w:rPr>
          <w:rFonts w:hint="cs"/>
          <w:rtl/>
        </w:rPr>
        <w:t xml:space="preserve">ته </w:t>
      </w:r>
      <w:r w:rsidRPr="00D07EB6">
        <w:rPr>
          <w:rtl/>
        </w:rPr>
        <w:t>لم تستنفد جميع سبل الانتصاف المحلية المتاحة، فهي لم</w:t>
      </w:r>
      <w:r>
        <w:rPr>
          <w:rFonts w:hint="cs"/>
          <w:rtl/>
        </w:rPr>
        <w:t> </w:t>
      </w:r>
      <w:r w:rsidRPr="00D07EB6">
        <w:rPr>
          <w:rtl/>
        </w:rPr>
        <w:t xml:space="preserve">تطعن في قرار محكمة </w:t>
      </w:r>
      <w:proofErr w:type="spellStart"/>
      <w:r w:rsidRPr="00D07EB6">
        <w:rPr>
          <w:rtl/>
        </w:rPr>
        <w:t>كيروفسكي</w:t>
      </w:r>
      <w:proofErr w:type="spellEnd"/>
      <w:r w:rsidRPr="00D07EB6">
        <w:rPr>
          <w:rtl/>
        </w:rPr>
        <w:t xml:space="preserve"> لدى محكمة الاتحاد الروسي العليا في إطار دعوى النقض. وتشير الدولة الطرف إلى أنه يجوز، وفقا لقانون الإجراءات المدنية، تقديم طعن بالنقض في غضون ستة أشهر من</w:t>
      </w:r>
      <w:r>
        <w:rPr>
          <w:rFonts w:hint="cs"/>
          <w:rtl/>
        </w:rPr>
        <w:t> </w:t>
      </w:r>
      <w:r w:rsidRPr="00D07EB6">
        <w:rPr>
          <w:rtl/>
        </w:rPr>
        <w:t xml:space="preserve">تاريخ بدء نفاذ قرار صادر عن محكمة، وأنه يجوز للطرف المستأنف في حال تخلفه عن تقديم الطعن في تلك المهلة أن يلتمس تمديدها من المحكمة. وتشير الدولة الطرف إلى </w:t>
      </w:r>
      <w:r w:rsidRPr="00707111">
        <w:rPr>
          <w:i/>
          <w:iCs/>
          <w:rtl/>
        </w:rPr>
        <w:t xml:space="preserve">قضية </w:t>
      </w:r>
      <w:proofErr w:type="spellStart"/>
      <w:r w:rsidRPr="00707111">
        <w:rPr>
          <w:i/>
          <w:iCs/>
          <w:rtl/>
        </w:rPr>
        <w:t>آبراميان</w:t>
      </w:r>
      <w:proofErr w:type="spellEnd"/>
      <w:r w:rsidRPr="00707111">
        <w:rPr>
          <w:i/>
          <w:iCs/>
          <w:rtl/>
        </w:rPr>
        <w:t xml:space="preserve"> ضد الاتحاد </w:t>
      </w:r>
      <w:r w:rsidRPr="00707111">
        <w:rPr>
          <w:i/>
          <w:iCs/>
          <w:rtl/>
        </w:rPr>
        <w:lastRenderedPageBreak/>
        <w:t>الروسي</w:t>
      </w:r>
      <w:r w:rsidRPr="00A92EF0">
        <w:rPr>
          <w:i/>
          <w:iCs/>
          <w:szCs w:val="30"/>
          <w:vertAlign w:val="superscript"/>
          <w:rtl/>
        </w:rPr>
        <w:t>(</w:t>
      </w:r>
      <w:r w:rsidRPr="00A92EF0">
        <w:rPr>
          <w:rStyle w:val="FootnoteReference"/>
          <w:i/>
          <w:iCs/>
          <w:szCs w:val="30"/>
          <w:rtl/>
        </w:rPr>
        <w:footnoteReference w:id="2"/>
      </w:r>
      <w:r w:rsidRPr="00A92EF0">
        <w:rPr>
          <w:i/>
          <w:iCs/>
          <w:szCs w:val="30"/>
          <w:vertAlign w:val="superscript"/>
          <w:rtl/>
        </w:rPr>
        <w:t>)</w:t>
      </w:r>
      <w:r w:rsidRPr="00D07EB6">
        <w:rPr>
          <w:rtl/>
        </w:rPr>
        <w:t>، التي قضت فيها المحكمة الأوروبية لحقوق الإنسان بأن على الطرف المستأنف، قبل تقديم شكواه إلى المحكمة، أن يستنفد طعون النقض، أي اللجوء إلى محكمة النقض الإقليمية ومحكمة الاتحاد الروسي العليا</w:t>
      </w:r>
      <w:r>
        <w:rPr>
          <w:rtl/>
        </w:rPr>
        <w:t>.</w:t>
      </w:r>
    </w:p>
    <w:p w14:paraId="77911402" w14:textId="542B9B04" w:rsidR="00A92EF0" w:rsidRPr="004D46CB" w:rsidRDefault="00A92EF0" w:rsidP="00A92EF0">
      <w:pPr>
        <w:pStyle w:val="SingleTxt"/>
        <w:rPr>
          <w:rtl/>
        </w:rPr>
      </w:pPr>
      <w:r>
        <w:rPr>
          <w:rtl/>
        </w:rPr>
        <w:t>4-2</w:t>
      </w:r>
      <w:r>
        <w:rPr>
          <w:rtl/>
        </w:rPr>
        <w:tab/>
      </w:r>
      <w:r w:rsidRPr="00D07EB6">
        <w:rPr>
          <w:rtl/>
        </w:rPr>
        <w:t>وتشير الدولة الطرف إلى أن صاحبة البلاغ كان في وسعها أيضا أن تقدم شكوى إلى أمين المظالم الاتحادي أو الإقليمي. ذلك أن أمين المظالم مستقل في إجراءاته وليس تابعا لأي سلطة من</w:t>
      </w:r>
      <w:r>
        <w:rPr>
          <w:rFonts w:hint="cs"/>
          <w:rtl/>
        </w:rPr>
        <w:t> </w:t>
      </w:r>
      <w:r w:rsidRPr="00D07EB6">
        <w:rPr>
          <w:rtl/>
        </w:rPr>
        <w:t>سلطات الدولة، ومن ثم بوسعه أن ينظر في شكوى صاح</w:t>
      </w:r>
      <w:r>
        <w:rPr>
          <w:rtl/>
        </w:rPr>
        <w:t>بة البلاغ بموضوعية.</w:t>
      </w:r>
    </w:p>
    <w:p w14:paraId="13B98099" w14:textId="27E6CE95" w:rsidR="00A92EF0" w:rsidRDefault="00A92EF0" w:rsidP="00A92EF0">
      <w:pPr>
        <w:pStyle w:val="SingleTxt"/>
        <w:rPr>
          <w:rtl/>
        </w:rPr>
      </w:pPr>
      <w:r>
        <w:rPr>
          <w:rtl/>
        </w:rPr>
        <w:t>4-3</w:t>
      </w:r>
      <w:r>
        <w:rPr>
          <w:rtl/>
        </w:rPr>
        <w:tab/>
      </w:r>
      <w:r w:rsidRPr="00D07EB6">
        <w:rPr>
          <w:rtl/>
        </w:rPr>
        <w:t>وتؤكد الدولة الطرف أن شكوى صاحبة البلاغ ليست مقبولة أيضا لأنها لا تستند إلى أدلة.</w:t>
      </w:r>
      <w:r w:rsidRPr="00D07EB6">
        <w:rPr>
          <w:rFonts w:cs="Times New Roman" w:hint="cs"/>
          <w:rtl/>
        </w:rPr>
        <w:t>‬</w:t>
      </w:r>
      <w:r w:rsidRPr="00D07EB6">
        <w:rPr>
          <w:rtl/>
        </w:rPr>
        <w:t xml:space="preserve"> </w:t>
      </w:r>
      <w:r w:rsidRPr="00D07EB6">
        <w:rPr>
          <w:rFonts w:ascii="Traditional Arabic" w:hAnsi="Traditional Arabic" w:hint="cs"/>
          <w:rtl/>
        </w:rPr>
        <w:t>وترى</w:t>
      </w:r>
      <w:r w:rsidRPr="00D07EB6">
        <w:rPr>
          <w:rtl/>
        </w:rPr>
        <w:t xml:space="preserve"> </w:t>
      </w:r>
      <w:r w:rsidRPr="00D07EB6">
        <w:rPr>
          <w:rFonts w:ascii="Traditional Arabic" w:hAnsi="Traditional Arabic" w:hint="cs"/>
          <w:rtl/>
        </w:rPr>
        <w:t>الدولة</w:t>
      </w:r>
      <w:r w:rsidRPr="00D07EB6">
        <w:rPr>
          <w:rtl/>
        </w:rPr>
        <w:t xml:space="preserve"> </w:t>
      </w:r>
      <w:r w:rsidRPr="00D07EB6">
        <w:rPr>
          <w:rFonts w:ascii="Traditional Arabic" w:hAnsi="Traditional Arabic" w:hint="cs"/>
          <w:rtl/>
        </w:rPr>
        <w:t>الطرف</w:t>
      </w:r>
      <w:r w:rsidRPr="00D07EB6">
        <w:rPr>
          <w:rtl/>
        </w:rPr>
        <w:t xml:space="preserve"> </w:t>
      </w:r>
      <w:r w:rsidRPr="00D07EB6">
        <w:rPr>
          <w:rFonts w:ascii="Traditional Arabic" w:hAnsi="Traditional Arabic" w:hint="cs"/>
          <w:rtl/>
        </w:rPr>
        <w:t>أن</w:t>
      </w:r>
      <w:r w:rsidRPr="00D07EB6">
        <w:rPr>
          <w:rtl/>
        </w:rPr>
        <w:t xml:space="preserve"> </w:t>
      </w:r>
      <w:r w:rsidRPr="00D07EB6">
        <w:rPr>
          <w:rFonts w:ascii="Traditional Arabic" w:hAnsi="Traditional Arabic" w:hint="cs"/>
          <w:rtl/>
        </w:rPr>
        <w:t>الوثائق</w:t>
      </w:r>
      <w:r w:rsidRPr="00D07EB6">
        <w:rPr>
          <w:rtl/>
        </w:rPr>
        <w:t xml:space="preserve"> </w:t>
      </w:r>
      <w:r w:rsidRPr="00D07EB6">
        <w:rPr>
          <w:rFonts w:ascii="Traditional Arabic" w:hAnsi="Traditional Arabic" w:hint="cs"/>
          <w:rtl/>
        </w:rPr>
        <w:t>المقدمة</w:t>
      </w:r>
      <w:r w:rsidRPr="00D07EB6">
        <w:rPr>
          <w:rtl/>
        </w:rPr>
        <w:t xml:space="preserve"> </w:t>
      </w:r>
      <w:r w:rsidRPr="00D07EB6">
        <w:rPr>
          <w:rFonts w:ascii="Traditional Arabic" w:hAnsi="Traditional Arabic" w:hint="cs"/>
          <w:rtl/>
        </w:rPr>
        <w:t>تبين</w:t>
      </w:r>
      <w:r w:rsidRPr="00D07EB6">
        <w:rPr>
          <w:rtl/>
        </w:rPr>
        <w:t xml:space="preserve"> </w:t>
      </w:r>
      <w:r w:rsidRPr="00D07EB6">
        <w:rPr>
          <w:rFonts w:ascii="Traditional Arabic" w:hAnsi="Traditional Arabic" w:hint="cs"/>
          <w:rtl/>
        </w:rPr>
        <w:t>أن</w:t>
      </w:r>
      <w:r w:rsidRPr="00D07EB6">
        <w:rPr>
          <w:rtl/>
        </w:rPr>
        <w:t xml:space="preserve"> </w:t>
      </w:r>
      <w:r w:rsidRPr="00D07EB6">
        <w:rPr>
          <w:rFonts w:ascii="Traditional Arabic" w:hAnsi="Traditional Arabic" w:hint="cs"/>
          <w:rtl/>
        </w:rPr>
        <w:t>السلطات</w:t>
      </w:r>
      <w:r w:rsidRPr="00D07EB6">
        <w:rPr>
          <w:rtl/>
        </w:rPr>
        <w:t xml:space="preserve"> </w:t>
      </w:r>
      <w:r w:rsidRPr="00D07EB6">
        <w:rPr>
          <w:rFonts w:ascii="Traditional Arabic" w:hAnsi="Traditional Arabic" w:hint="cs"/>
          <w:rtl/>
        </w:rPr>
        <w:t>الوطنية</w:t>
      </w:r>
      <w:r w:rsidRPr="00D07EB6">
        <w:rPr>
          <w:rtl/>
        </w:rPr>
        <w:t xml:space="preserve"> </w:t>
      </w:r>
      <w:r w:rsidRPr="00D07EB6">
        <w:rPr>
          <w:rFonts w:ascii="Traditional Arabic" w:hAnsi="Traditional Arabic" w:hint="cs"/>
          <w:rtl/>
        </w:rPr>
        <w:t>قدمت</w:t>
      </w:r>
      <w:r w:rsidRPr="00D07EB6">
        <w:rPr>
          <w:rtl/>
        </w:rPr>
        <w:t xml:space="preserve"> </w:t>
      </w:r>
      <w:r w:rsidRPr="00D07EB6">
        <w:rPr>
          <w:rFonts w:ascii="Traditional Arabic" w:hAnsi="Traditional Arabic" w:hint="cs"/>
          <w:rtl/>
        </w:rPr>
        <w:t>في</w:t>
      </w:r>
      <w:r w:rsidRPr="00D07EB6">
        <w:rPr>
          <w:rtl/>
        </w:rPr>
        <w:t xml:space="preserve"> </w:t>
      </w:r>
      <w:r w:rsidRPr="00D07EB6">
        <w:rPr>
          <w:rFonts w:ascii="Traditional Arabic" w:hAnsi="Traditional Arabic" w:hint="cs"/>
          <w:rtl/>
        </w:rPr>
        <w:t>الوقت</w:t>
      </w:r>
      <w:r w:rsidRPr="00D07EB6">
        <w:rPr>
          <w:rtl/>
        </w:rPr>
        <w:t xml:space="preserve"> </w:t>
      </w:r>
      <w:r w:rsidRPr="00D07EB6">
        <w:rPr>
          <w:rFonts w:ascii="Traditional Arabic" w:hAnsi="Traditional Arabic" w:hint="cs"/>
          <w:rtl/>
        </w:rPr>
        <w:t>المناسب</w:t>
      </w:r>
      <w:r w:rsidRPr="00D07EB6">
        <w:rPr>
          <w:rtl/>
        </w:rPr>
        <w:t xml:space="preserve"> </w:t>
      </w:r>
      <w:r w:rsidRPr="00D07EB6">
        <w:rPr>
          <w:rFonts w:ascii="Traditional Arabic" w:hAnsi="Traditional Arabic" w:hint="cs"/>
          <w:rtl/>
        </w:rPr>
        <w:t>ردودا</w:t>
      </w:r>
      <w:r w:rsidRPr="00D07EB6">
        <w:rPr>
          <w:rtl/>
        </w:rPr>
        <w:t xml:space="preserve"> </w:t>
      </w:r>
      <w:r w:rsidRPr="00D07EB6">
        <w:rPr>
          <w:rFonts w:ascii="Traditional Arabic" w:hAnsi="Traditional Arabic" w:hint="cs"/>
          <w:rtl/>
        </w:rPr>
        <w:t>قانونية</w:t>
      </w:r>
      <w:r w:rsidRPr="00D07EB6">
        <w:rPr>
          <w:rtl/>
        </w:rPr>
        <w:t xml:space="preserve"> </w:t>
      </w:r>
      <w:r w:rsidRPr="00D07EB6">
        <w:rPr>
          <w:rFonts w:ascii="Traditional Arabic" w:hAnsi="Traditional Arabic" w:hint="cs"/>
          <w:rtl/>
        </w:rPr>
        <w:t>على</w:t>
      </w:r>
      <w:r w:rsidRPr="00D07EB6">
        <w:rPr>
          <w:rtl/>
        </w:rPr>
        <w:t xml:space="preserve"> </w:t>
      </w:r>
      <w:r w:rsidRPr="00D07EB6">
        <w:rPr>
          <w:rFonts w:ascii="Traditional Arabic" w:hAnsi="Traditional Arabic" w:hint="cs"/>
          <w:rtl/>
        </w:rPr>
        <w:t>شكاوى</w:t>
      </w:r>
      <w:r w:rsidRPr="00D07EB6">
        <w:rPr>
          <w:rtl/>
        </w:rPr>
        <w:t xml:space="preserve"> </w:t>
      </w:r>
      <w:r w:rsidRPr="00D07EB6">
        <w:rPr>
          <w:rFonts w:ascii="Traditional Arabic" w:hAnsi="Traditional Arabic" w:hint="cs"/>
          <w:rtl/>
        </w:rPr>
        <w:t>صاحبة</w:t>
      </w:r>
      <w:r w:rsidRPr="00D07EB6">
        <w:rPr>
          <w:rtl/>
        </w:rPr>
        <w:t xml:space="preserve"> </w:t>
      </w:r>
      <w:r w:rsidRPr="00D07EB6">
        <w:rPr>
          <w:rFonts w:ascii="Traditional Arabic" w:hAnsi="Traditional Arabic" w:hint="cs"/>
          <w:rtl/>
        </w:rPr>
        <w:t>البلاغ</w:t>
      </w:r>
      <w:r w:rsidRPr="00D07EB6">
        <w:rPr>
          <w:rtl/>
        </w:rPr>
        <w:t xml:space="preserve"> </w:t>
      </w:r>
      <w:r w:rsidRPr="00D07EB6">
        <w:rPr>
          <w:rFonts w:ascii="Traditional Arabic" w:hAnsi="Traditional Arabic" w:hint="cs"/>
          <w:rtl/>
        </w:rPr>
        <w:t>معللةً</w:t>
      </w:r>
      <w:r w:rsidRPr="00D07EB6">
        <w:rPr>
          <w:rtl/>
        </w:rPr>
        <w:t xml:space="preserve"> </w:t>
      </w:r>
      <w:r w:rsidRPr="00D07EB6">
        <w:rPr>
          <w:rFonts w:ascii="Traditional Arabic" w:hAnsi="Traditional Arabic" w:hint="cs"/>
          <w:rtl/>
        </w:rPr>
        <w:t>بأسانيد</w:t>
      </w:r>
      <w:r w:rsidRPr="00D07EB6">
        <w:rPr>
          <w:rtl/>
        </w:rPr>
        <w:t xml:space="preserve"> </w:t>
      </w:r>
      <w:r w:rsidRPr="00D07EB6">
        <w:rPr>
          <w:rFonts w:ascii="Traditional Arabic" w:hAnsi="Traditional Arabic" w:hint="cs"/>
          <w:rtl/>
        </w:rPr>
        <w:t>منطقية</w:t>
      </w:r>
      <w:r w:rsidRPr="00D07EB6">
        <w:rPr>
          <w:rtl/>
        </w:rPr>
        <w:t xml:space="preserve"> </w:t>
      </w:r>
      <w:r w:rsidRPr="00D07EB6">
        <w:rPr>
          <w:rFonts w:ascii="Traditional Arabic" w:hAnsi="Traditional Arabic" w:hint="cs"/>
          <w:rtl/>
        </w:rPr>
        <w:t>وأن</w:t>
      </w:r>
      <w:r w:rsidRPr="00D07EB6">
        <w:rPr>
          <w:rtl/>
        </w:rPr>
        <w:t xml:space="preserve"> </w:t>
      </w:r>
      <w:r w:rsidRPr="00D07EB6">
        <w:rPr>
          <w:rFonts w:ascii="Traditional Arabic" w:hAnsi="Traditional Arabic" w:hint="cs"/>
          <w:rtl/>
        </w:rPr>
        <w:t>المحاكم</w:t>
      </w:r>
      <w:r w:rsidRPr="00D07EB6">
        <w:rPr>
          <w:rtl/>
        </w:rPr>
        <w:t xml:space="preserve"> </w:t>
      </w:r>
      <w:r w:rsidRPr="00D07EB6">
        <w:rPr>
          <w:rFonts w:ascii="Traditional Arabic" w:hAnsi="Traditional Arabic" w:hint="cs"/>
          <w:rtl/>
        </w:rPr>
        <w:t>أقامت</w:t>
      </w:r>
      <w:r w:rsidRPr="00D07EB6">
        <w:rPr>
          <w:rtl/>
        </w:rPr>
        <w:t xml:space="preserve"> </w:t>
      </w:r>
      <w:r w:rsidRPr="00D07EB6">
        <w:rPr>
          <w:rFonts w:ascii="Traditional Arabic" w:hAnsi="Traditional Arabic" w:hint="cs"/>
          <w:rtl/>
        </w:rPr>
        <w:t>العدالة</w:t>
      </w:r>
      <w:r w:rsidRPr="00D07EB6">
        <w:rPr>
          <w:rtl/>
        </w:rPr>
        <w:t xml:space="preserve"> استنادا إلى نهج الاختصام لدى هيئة قضائية ومبدأ المساواة بين الأطراف. وقد خلصت المحكمة الابتدائية إلى أن الألفاظ التي صدرت عن المدعى عليه لا يمكن أن تفسر بأنها شتائم، وأن هذا القرار أيدته محكمتا الاستئناف والنقض معاً. وتشير الدولة الطرف إلى أن المحكمتين فحصتا الأدلة التي قدمتها صاحبة البلاغ، بما في ذلك شهادات الشهود ومواد الفيديو، فحصا تاما وموضوعيا، وأن ذلك تجلى في قراريهما</w:t>
      </w:r>
      <w:r>
        <w:rPr>
          <w:rtl/>
        </w:rPr>
        <w:t>.</w:t>
      </w:r>
    </w:p>
    <w:p w14:paraId="5C8FF3B5" w14:textId="19854ED5" w:rsidR="00A92EF0" w:rsidRPr="00A92EF0" w:rsidRDefault="00A92EF0" w:rsidP="00A92EF0">
      <w:pPr>
        <w:pStyle w:val="SingleTxt"/>
        <w:spacing w:after="0" w:line="120" w:lineRule="exact"/>
        <w:rPr>
          <w:sz w:val="10"/>
          <w:rtl/>
        </w:rPr>
      </w:pPr>
    </w:p>
    <w:p w14:paraId="4E872866" w14:textId="1D7B0AE7" w:rsidR="00A92EF0" w:rsidRPr="00D07EB6" w:rsidRDefault="00A92EF0" w:rsidP="00A92E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34574C">
        <w:rPr>
          <w:rtl/>
        </w:rPr>
        <w:t>تعليقات صاحبة البلاغ على ملاحظات الدولة الطرف بشأن المقبولية</w:t>
      </w:r>
    </w:p>
    <w:p w14:paraId="3225C173" w14:textId="5B2331C1" w:rsidR="00A92EF0" w:rsidRPr="004D46CB" w:rsidRDefault="00A92EF0" w:rsidP="00A92EF0">
      <w:pPr>
        <w:pStyle w:val="SingleTxt"/>
        <w:rPr>
          <w:rtl/>
        </w:rPr>
      </w:pPr>
      <w:r>
        <w:rPr>
          <w:rtl/>
        </w:rPr>
        <w:t>5-1</w:t>
      </w:r>
      <w:r>
        <w:rPr>
          <w:rtl/>
        </w:rPr>
        <w:tab/>
      </w:r>
      <w:r w:rsidRPr="00D07EB6">
        <w:rPr>
          <w:rtl/>
        </w:rPr>
        <w:t>في 11تموز/يوليه 2016، قدمت صاحبة البلاغ تعليقاتها على ملاحظات الدولة الطرف بشأن المقبولية.</w:t>
      </w:r>
      <w:r w:rsidRPr="00D07EB6">
        <w:rPr>
          <w:rFonts w:cs="Times New Roman" w:hint="cs"/>
          <w:rtl/>
        </w:rPr>
        <w:t>‬</w:t>
      </w:r>
      <w:r w:rsidRPr="00D07EB6">
        <w:rPr>
          <w:rtl/>
        </w:rPr>
        <w:t xml:space="preserve"> </w:t>
      </w:r>
      <w:r w:rsidRPr="00D07EB6">
        <w:rPr>
          <w:rFonts w:ascii="Traditional Arabic" w:hAnsi="Traditional Arabic" w:hint="cs"/>
          <w:rtl/>
        </w:rPr>
        <w:t>وأقرت</w:t>
      </w:r>
      <w:r w:rsidRPr="00D07EB6">
        <w:rPr>
          <w:rtl/>
        </w:rPr>
        <w:t xml:space="preserve"> </w:t>
      </w:r>
      <w:r w:rsidRPr="00D07EB6">
        <w:rPr>
          <w:rFonts w:ascii="Traditional Arabic" w:hAnsi="Traditional Arabic" w:hint="cs"/>
          <w:rtl/>
        </w:rPr>
        <w:t>بأن</w:t>
      </w:r>
      <w:r w:rsidRPr="00D07EB6">
        <w:rPr>
          <w:rtl/>
        </w:rPr>
        <w:t xml:space="preserve"> </w:t>
      </w:r>
      <w:r w:rsidRPr="00D07EB6">
        <w:rPr>
          <w:rFonts w:ascii="Traditional Arabic" w:hAnsi="Traditional Arabic" w:hint="cs"/>
          <w:rtl/>
        </w:rPr>
        <w:t>قانون</w:t>
      </w:r>
      <w:r w:rsidRPr="00D07EB6">
        <w:rPr>
          <w:rtl/>
        </w:rPr>
        <w:t xml:space="preserve"> </w:t>
      </w:r>
      <w:r w:rsidRPr="00D07EB6">
        <w:rPr>
          <w:rFonts w:ascii="Traditional Arabic" w:hAnsi="Traditional Arabic" w:hint="cs"/>
          <w:rtl/>
        </w:rPr>
        <w:t>الإجراءات</w:t>
      </w:r>
      <w:r w:rsidRPr="00D07EB6">
        <w:rPr>
          <w:rtl/>
        </w:rPr>
        <w:t xml:space="preserve"> </w:t>
      </w:r>
      <w:r w:rsidRPr="00D07EB6">
        <w:rPr>
          <w:rFonts w:ascii="Traditional Arabic" w:hAnsi="Traditional Arabic" w:hint="cs"/>
          <w:rtl/>
        </w:rPr>
        <w:t>المدنية</w:t>
      </w:r>
      <w:r w:rsidRPr="00D07EB6">
        <w:rPr>
          <w:rtl/>
        </w:rPr>
        <w:t xml:space="preserve"> </w:t>
      </w:r>
      <w:r w:rsidRPr="00D07EB6">
        <w:rPr>
          <w:rFonts w:ascii="Traditional Arabic" w:hAnsi="Traditional Arabic" w:hint="cs"/>
          <w:rtl/>
        </w:rPr>
        <w:t>في</w:t>
      </w:r>
      <w:r w:rsidRPr="00D07EB6">
        <w:rPr>
          <w:rtl/>
        </w:rPr>
        <w:t xml:space="preserve"> </w:t>
      </w:r>
      <w:r w:rsidRPr="00D07EB6">
        <w:rPr>
          <w:rFonts w:ascii="Traditional Arabic" w:hAnsi="Traditional Arabic" w:hint="cs"/>
          <w:rtl/>
        </w:rPr>
        <w:t>الاتح</w:t>
      </w:r>
      <w:r w:rsidRPr="00D07EB6">
        <w:rPr>
          <w:rtl/>
        </w:rPr>
        <w:t>اد الروسي يجيز لها تقديم طعن بالنقض إلى محكمة الاتحاد الروسي العليا. بيد أن المادة 387 من قانون الإجراءات المدنية تنص على أن قرارات المحاكم الأدنى درجة لا يجوز تعديلها أو إلغاؤه</w:t>
      </w:r>
      <w:r>
        <w:rPr>
          <w:rtl/>
        </w:rPr>
        <w:t>ا بموجب إجراء الطعن إلا في حال</w:t>
      </w:r>
      <w:r>
        <w:rPr>
          <w:rFonts w:hint="cs"/>
          <w:rtl/>
        </w:rPr>
        <w:t xml:space="preserve"> حدوث </w:t>
      </w:r>
      <w:r w:rsidRPr="00D07EB6">
        <w:rPr>
          <w:rtl/>
        </w:rPr>
        <w:t xml:space="preserve">انتهاكات </w:t>
      </w:r>
      <w:r>
        <w:rPr>
          <w:rFonts w:hint="cs"/>
          <w:rtl/>
        </w:rPr>
        <w:t>جسيمة</w:t>
      </w:r>
      <w:r w:rsidRPr="00D07EB6">
        <w:rPr>
          <w:rtl/>
        </w:rPr>
        <w:t xml:space="preserve"> لقواعد القانون المادي أو لقواعد القانون الإجرائي تؤثر على مآل القضية. وتشير صاحبة البلاغ إلى أن</w:t>
      </w:r>
      <w:r>
        <w:rPr>
          <w:rFonts w:hint="cs"/>
          <w:rtl/>
        </w:rPr>
        <w:t> </w:t>
      </w:r>
      <w:r w:rsidRPr="00D07EB6">
        <w:rPr>
          <w:rtl/>
        </w:rPr>
        <w:t xml:space="preserve">دعواها المدنية رُفضت لأن المحكمة لم تعترف بأن المدعى عليه مس بكرامتها، أو بأن العبارات التي خاطبها بها يمكن أن تصنف في عداد الشتائم. وكما يتبين من القرار الصادر في 27 شباط/فبراير 2015 عن محكمة مدينة سانت بطرسبورغ، التي نظرت في الطعن بالنقض الذي قدمته صاحبة البلاغ، فقد سعت صاحبة البلاغ من خلال </w:t>
      </w:r>
      <w:r>
        <w:rPr>
          <w:rFonts w:hint="cs"/>
          <w:rtl/>
        </w:rPr>
        <w:t>ال</w:t>
      </w:r>
      <w:r>
        <w:rPr>
          <w:rtl/>
        </w:rPr>
        <w:t>حجج</w:t>
      </w:r>
      <w:r>
        <w:rPr>
          <w:rFonts w:hint="cs"/>
          <w:rtl/>
        </w:rPr>
        <w:t xml:space="preserve"> التي دفعت بها</w:t>
      </w:r>
      <w:r w:rsidRPr="00D07EB6">
        <w:rPr>
          <w:rtl/>
        </w:rPr>
        <w:t xml:space="preserve"> في </w:t>
      </w:r>
      <w:r>
        <w:rPr>
          <w:rtl/>
        </w:rPr>
        <w:t xml:space="preserve">الطعن المقدم إلى إعادة </w:t>
      </w:r>
      <w:r>
        <w:rPr>
          <w:rFonts w:hint="cs"/>
          <w:rtl/>
        </w:rPr>
        <w:t xml:space="preserve">تقييم أساس </w:t>
      </w:r>
      <w:r w:rsidRPr="00D07EB6">
        <w:rPr>
          <w:rtl/>
        </w:rPr>
        <w:t>استنتاجات المحكمة الابتدائية ومحكمة الاستئناف، و</w:t>
      </w:r>
      <w:r>
        <w:rPr>
          <w:rFonts w:hint="cs"/>
          <w:rtl/>
        </w:rPr>
        <w:t xml:space="preserve">لذلك لا يمكن أن يُنظر فيها </w:t>
      </w:r>
      <w:r w:rsidRPr="00D07EB6">
        <w:rPr>
          <w:rtl/>
        </w:rPr>
        <w:t>أمام محكمة الطعن</w:t>
      </w:r>
      <w:r>
        <w:rPr>
          <w:rtl/>
        </w:rPr>
        <w:t>.</w:t>
      </w:r>
      <w:r>
        <w:rPr>
          <w:rFonts w:hint="cs"/>
          <w:rtl/>
        </w:rPr>
        <w:t xml:space="preserve"> وبناء على ذلك، لم يكن اللجوء إلى المحكمة العليا ليتيح سبيل انتصاف قادر على تحقيق النتيجة المرجوة فضلا عن تعذر ذلك.</w:t>
      </w:r>
    </w:p>
    <w:p w14:paraId="6D7B1DEF" w14:textId="5CF276BA" w:rsidR="00A92EF0" w:rsidRPr="004D46CB" w:rsidRDefault="00A92EF0" w:rsidP="00A92EF0">
      <w:pPr>
        <w:pStyle w:val="SingleTxt"/>
        <w:rPr>
          <w:rtl/>
        </w:rPr>
      </w:pPr>
      <w:r>
        <w:rPr>
          <w:rtl/>
        </w:rPr>
        <w:t>5-2</w:t>
      </w:r>
      <w:r>
        <w:rPr>
          <w:rtl/>
        </w:rPr>
        <w:tab/>
        <w:t>وتشير صاحبة البلاغ أيضاً إلى أن</w:t>
      </w:r>
      <w:r>
        <w:rPr>
          <w:rFonts w:hint="cs"/>
          <w:rtl/>
        </w:rPr>
        <w:t xml:space="preserve"> كل طعن </w:t>
      </w:r>
      <w:r w:rsidRPr="00771DEC">
        <w:rPr>
          <w:rtl/>
        </w:rPr>
        <w:t xml:space="preserve">بالنقض </w:t>
      </w:r>
      <w:r>
        <w:rPr>
          <w:rFonts w:hint="cs"/>
          <w:rtl/>
        </w:rPr>
        <w:t xml:space="preserve">يجب أن يعرض بدايةً، قبل أن تنظر فيه المحاكم، على </w:t>
      </w:r>
      <w:r w:rsidRPr="00771DEC">
        <w:rPr>
          <w:rtl/>
        </w:rPr>
        <w:t>قاضٍ وحيد بمحكمة الطعن</w:t>
      </w:r>
      <w:r>
        <w:rPr>
          <w:rFonts w:hint="cs"/>
          <w:rtl/>
        </w:rPr>
        <w:t xml:space="preserve"> هو من</w:t>
      </w:r>
      <w:r w:rsidRPr="00771DEC">
        <w:rPr>
          <w:rtl/>
        </w:rPr>
        <w:t xml:space="preserve"> يحدد </w:t>
      </w:r>
      <w:r>
        <w:rPr>
          <w:rFonts w:hint="cs"/>
          <w:rtl/>
        </w:rPr>
        <w:t>إن</w:t>
      </w:r>
      <w:r w:rsidRPr="00771DEC">
        <w:rPr>
          <w:rtl/>
        </w:rPr>
        <w:t xml:space="preserve"> سيعرض على نظر هيئة</w:t>
      </w:r>
      <w:r>
        <w:rPr>
          <w:rFonts w:hint="cs"/>
          <w:rtl/>
        </w:rPr>
        <w:t xml:space="preserve"> المحكمة</w:t>
      </w:r>
      <w:r w:rsidRPr="00771DEC">
        <w:rPr>
          <w:rtl/>
        </w:rPr>
        <w:t xml:space="preserve">، وهو ما يجعل هذه </w:t>
      </w:r>
      <w:r>
        <w:rPr>
          <w:rFonts w:hint="cs"/>
          <w:rtl/>
        </w:rPr>
        <w:t xml:space="preserve">الإجراءات </w:t>
      </w:r>
      <w:r w:rsidRPr="00771DEC">
        <w:rPr>
          <w:rtl/>
        </w:rPr>
        <w:t>خاضعة للسلطة التقديرية</w:t>
      </w:r>
      <w:r w:rsidRPr="004D46CB">
        <w:rPr>
          <w:rtl/>
        </w:rPr>
        <w:t>.</w:t>
      </w:r>
    </w:p>
    <w:p w14:paraId="27384CC4" w14:textId="661233AD" w:rsidR="00A92EF0" w:rsidRPr="004D46CB" w:rsidRDefault="00A92EF0" w:rsidP="00A92EF0">
      <w:pPr>
        <w:pStyle w:val="SingleTxt"/>
        <w:rPr>
          <w:rtl/>
        </w:rPr>
      </w:pPr>
      <w:r>
        <w:rPr>
          <w:rtl/>
        </w:rPr>
        <w:t>5-3</w:t>
      </w:r>
      <w:r>
        <w:rPr>
          <w:rtl/>
        </w:rPr>
        <w:tab/>
      </w:r>
      <w:r w:rsidRPr="00771DEC">
        <w:rPr>
          <w:rtl/>
        </w:rPr>
        <w:t>وتدفع صاحبة البلاغ أيضاً بأن الموعد الأقصى لتقديم طعن بالنقض، في قضيتها، قد انقضى في</w:t>
      </w:r>
      <w:r>
        <w:rPr>
          <w:rFonts w:hint="cs"/>
          <w:rtl/>
        </w:rPr>
        <w:t> </w:t>
      </w:r>
      <w:r w:rsidRPr="00771DEC">
        <w:rPr>
          <w:rtl/>
        </w:rPr>
        <w:t xml:space="preserve">15 نيسان/أبريل 2015 (أي ستة أشهر منذ إصدار قرار محكمة الاستئناف)، وأن قرار المحكمة </w:t>
      </w:r>
      <w:r w:rsidRPr="00771DEC">
        <w:rPr>
          <w:rtl/>
        </w:rPr>
        <w:lastRenderedPageBreak/>
        <w:t xml:space="preserve">الأوروبية لحقوق الإنسان في </w:t>
      </w:r>
      <w:r w:rsidRPr="005B3005">
        <w:rPr>
          <w:i/>
          <w:iCs/>
          <w:rtl/>
        </w:rPr>
        <w:t xml:space="preserve">قضية </w:t>
      </w:r>
      <w:proofErr w:type="spellStart"/>
      <w:r w:rsidRPr="005B3005">
        <w:rPr>
          <w:i/>
          <w:iCs/>
          <w:rtl/>
        </w:rPr>
        <w:t>أبراميان</w:t>
      </w:r>
      <w:proofErr w:type="spellEnd"/>
      <w:r w:rsidRPr="005B3005">
        <w:rPr>
          <w:i/>
          <w:iCs/>
          <w:rtl/>
        </w:rPr>
        <w:t xml:space="preserve"> ضد الاتحاد الروسي</w:t>
      </w:r>
      <w:r w:rsidRPr="00771DEC">
        <w:rPr>
          <w:rtl/>
        </w:rPr>
        <w:t xml:space="preserve"> اعتُمد في 15 أيار/مايو 2015. وقبل تلك القضية، كانت المحكمة الأوروبية لحقوق الإنسان وهيئات معاهدات الأمم المتحدة </w:t>
      </w:r>
      <w:r>
        <w:rPr>
          <w:rFonts w:hint="cs"/>
          <w:rtl/>
        </w:rPr>
        <w:t>تدرج</w:t>
      </w:r>
      <w:r w:rsidRPr="00771DEC">
        <w:rPr>
          <w:rtl/>
        </w:rPr>
        <w:t xml:space="preserve"> المحاكم الابتدائية ومحاكم الاستئناف </w:t>
      </w:r>
      <w:r>
        <w:rPr>
          <w:rFonts w:hint="cs"/>
          <w:rtl/>
        </w:rPr>
        <w:t>في عداد</w:t>
      </w:r>
      <w:r w:rsidRPr="00771DEC">
        <w:rPr>
          <w:rtl/>
        </w:rPr>
        <w:t xml:space="preserve"> سبل </w:t>
      </w:r>
      <w:r>
        <w:rPr>
          <w:rFonts w:hint="cs"/>
          <w:rtl/>
        </w:rPr>
        <w:t>ال</w:t>
      </w:r>
      <w:r w:rsidRPr="00771DEC">
        <w:rPr>
          <w:rtl/>
        </w:rPr>
        <w:t xml:space="preserve">انتصاف </w:t>
      </w:r>
      <w:r>
        <w:rPr>
          <w:rFonts w:hint="cs"/>
          <w:rtl/>
        </w:rPr>
        <w:t>ال</w:t>
      </w:r>
      <w:r w:rsidRPr="00771DEC">
        <w:rPr>
          <w:rtl/>
        </w:rPr>
        <w:t xml:space="preserve">قانونية </w:t>
      </w:r>
      <w:r>
        <w:rPr>
          <w:rFonts w:hint="cs"/>
          <w:rtl/>
        </w:rPr>
        <w:t>ال</w:t>
      </w:r>
      <w:r w:rsidRPr="00771DEC">
        <w:rPr>
          <w:rtl/>
        </w:rPr>
        <w:t xml:space="preserve">فعالة في إطار الإجراءات المدنية للاتحاد الروسي، في حين </w:t>
      </w:r>
      <w:r>
        <w:rPr>
          <w:rFonts w:hint="cs"/>
          <w:rtl/>
        </w:rPr>
        <w:t xml:space="preserve">لا يسري ذلك على </w:t>
      </w:r>
      <w:r w:rsidRPr="00771DEC">
        <w:rPr>
          <w:rtl/>
        </w:rPr>
        <w:t>المحاكم الأعلى درجة</w:t>
      </w:r>
      <w:r>
        <w:rPr>
          <w:rtl/>
        </w:rPr>
        <w:t xml:space="preserve"> و</w:t>
      </w:r>
      <w:r w:rsidRPr="00771DEC">
        <w:rPr>
          <w:rtl/>
        </w:rPr>
        <w:t>إجراء</w:t>
      </w:r>
      <w:r>
        <w:rPr>
          <w:rFonts w:hint="cs"/>
          <w:rtl/>
        </w:rPr>
        <w:t>ات</w:t>
      </w:r>
      <w:r w:rsidRPr="00771DEC">
        <w:rPr>
          <w:rtl/>
        </w:rPr>
        <w:t xml:space="preserve"> </w:t>
      </w:r>
      <w:r>
        <w:rPr>
          <w:rtl/>
        </w:rPr>
        <w:t>الإشراف</w:t>
      </w:r>
      <w:r>
        <w:rPr>
          <w:rFonts w:hint="cs"/>
          <w:rtl/>
        </w:rPr>
        <w:t xml:space="preserve"> القضائي</w:t>
      </w:r>
      <w:r w:rsidRPr="00771DEC">
        <w:rPr>
          <w:rtl/>
        </w:rPr>
        <w:t xml:space="preserve"> ذي الصلة</w:t>
      </w:r>
      <w:r w:rsidRPr="00A92EF0">
        <w:rPr>
          <w:szCs w:val="30"/>
          <w:vertAlign w:val="superscript"/>
          <w:rtl/>
        </w:rPr>
        <w:t>(</w:t>
      </w:r>
      <w:r w:rsidRPr="00A92EF0">
        <w:rPr>
          <w:rStyle w:val="FootnoteReference"/>
          <w:szCs w:val="30"/>
          <w:rtl/>
        </w:rPr>
        <w:footnoteReference w:id="3"/>
      </w:r>
      <w:r w:rsidRPr="00A92EF0">
        <w:rPr>
          <w:szCs w:val="30"/>
          <w:vertAlign w:val="superscript"/>
          <w:rtl/>
        </w:rPr>
        <w:t>)</w:t>
      </w:r>
      <w:r w:rsidRPr="00771DEC">
        <w:rPr>
          <w:rtl/>
        </w:rPr>
        <w:t xml:space="preserve">. وتؤكد صاحبة البلاغ أن الدولة، بعد الحكم في قضية </w:t>
      </w:r>
      <w:proofErr w:type="spellStart"/>
      <w:r w:rsidRPr="00491590">
        <w:rPr>
          <w:i/>
          <w:iCs/>
          <w:rtl/>
        </w:rPr>
        <w:t>أبراميان</w:t>
      </w:r>
      <w:proofErr w:type="spellEnd"/>
      <w:r w:rsidRPr="00771DEC">
        <w:rPr>
          <w:rtl/>
        </w:rPr>
        <w:t xml:space="preserve">، عدلت قانون الإجراءات المدنية المحلية بإعادة تسمية هيئة الطعن بمحكمة الاستئناف، وهيئة </w:t>
      </w:r>
      <w:r w:rsidRPr="00491590">
        <w:rPr>
          <w:rtl/>
        </w:rPr>
        <w:t xml:space="preserve">الإشراف القضائي </w:t>
      </w:r>
      <w:r w:rsidRPr="00771DEC">
        <w:rPr>
          <w:rtl/>
        </w:rPr>
        <w:t xml:space="preserve">بمحكمة الطعن. وفي أثناء تقديم الرسالة الأولى في هذا البلاغ، اعتمدت صاحبة البلاغ على النهج القائم الذي يقضي بأن محكمة الاستئناف </w:t>
      </w:r>
      <w:r w:rsidRPr="00491590">
        <w:rPr>
          <w:rtl/>
        </w:rPr>
        <w:t xml:space="preserve">تشكل </w:t>
      </w:r>
      <w:r>
        <w:rPr>
          <w:rFonts w:hint="cs"/>
          <w:rtl/>
        </w:rPr>
        <w:t>وحدها</w:t>
      </w:r>
      <w:r w:rsidRPr="00771DEC">
        <w:rPr>
          <w:rtl/>
        </w:rPr>
        <w:t xml:space="preserve"> سبيل انتصاف قانوني فعال. وتشير صاحبة البلاغ إلى أن اللجنة المعنية بالقضاء على التمييز ضد المرأة سبق أن أقرت عدم فعالية </w:t>
      </w:r>
      <w:r>
        <w:rPr>
          <w:rFonts w:hint="cs"/>
          <w:rtl/>
        </w:rPr>
        <w:t>إجراءات</w:t>
      </w:r>
      <w:r w:rsidRPr="00771DEC">
        <w:rPr>
          <w:rtl/>
        </w:rPr>
        <w:t xml:space="preserve"> النقض والطعن </w:t>
      </w:r>
      <w:r>
        <w:rPr>
          <w:rFonts w:hint="cs"/>
          <w:rtl/>
        </w:rPr>
        <w:t xml:space="preserve">أمام </w:t>
      </w:r>
      <w:r w:rsidRPr="00555389">
        <w:rPr>
          <w:rtl/>
        </w:rPr>
        <w:t xml:space="preserve">هيئة الإشراف القضائي </w:t>
      </w:r>
      <w:r w:rsidRPr="00771DEC">
        <w:rPr>
          <w:rtl/>
        </w:rPr>
        <w:t>في إطار قانون الإجراءات المدنية المعدل للاتحاد الروسي</w:t>
      </w:r>
      <w:r w:rsidRPr="00A92EF0">
        <w:rPr>
          <w:szCs w:val="30"/>
          <w:vertAlign w:val="superscript"/>
          <w:rtl/>
        </w:rPr>
        <w:t>(</w:t>
      </w:r>
      <w:r w:rsidRPr="00A92EF0">
        <w:rPr>
          <w:rStyle w:val="FootnoteReference"/>
          <w:szCs w:val="30"/>
          <w:rtl/>
        </w:rPr>
        <w:footnoteReference w:id="4"/>
      </w:r>
      <w:r w:rsidRPr="00A92EF0">
        <w:rPr>
          <w:szCs w:val="30"/>
          <w:vertAlign w:val="superscript"/>
          <w:rtl/>
        </w:rPr>
        <w:t>)</w:t>
      </w:r>
      <w:r>
        <w:rPr>
          <w:rtl/>
        </w:rPr>
        <w:t>.</w:t>
      </w:r>
    </w:p>
    <w:p w14:paraId="35E5C742" w14:textId="2CDEFB7E" w:rsidR="00A92EF0" w:rsidRPr="004D46CB" w:rsidRDefault="00A92EF0" w:rsidP="00A92EF0">
      <w:pPr>
        <w:pStyle w:val="SingleTxt"/>
        <w:rPr>
          <w:rtl/>
        </w:rPr>
      </w:pPr>
      <w:r>
        <w:rPr>
          <w:rtl/>
        </w:rPr>
        <w:t>5-4</w:t>
      </w:r>
      <w:r>
        <w:rPr>
          <w:rtl/>
        </w:rPr>
        <w:tab/>
      </w:r>
      <w:r w:rsidRPr="00771DEC">
        <w:rPr>
          <w:rtl/>
        </w:rPr>
        <w:t xml:space="preserve">وفيما يتعلق بتقديم الطعن إلى أمين المظالم في الاتحاد الروسي، تدفع صاحبة البلاغ بأن هذا النوع من الطعن لا يشكل سبيل انتصاف فعال محلي ولا </w:t>
      </w:r>
      <w:r>
        <w:rPr>
          <w:rFonts w:hint="cs"/>
          <w:rtl/>
        </w:rPr>
        <w:t xml:space="preserve">تعتد </w:t>
      </w:r>
      <w:r w:rsidRPr="00771DEC">
        <w:rPr>
          <w:rtl/>
        </w:rPr>
        <w:t>به أي هيئة دولية. وعملاً بالمادة 27 من القانون الدستوري الاتحادي بشأن أمين مظالم حقوق الإنسان في الاتحاد الروسي، يُلزم أمين المظالم، استناداً إلى مآل الشكاوى المقدمة، بأن يحيل استنتاجات</w:t>
      </w:r>
      <w:r>
        <w:rPr>
          <w:rFonts w:hint="cs"/>
          <w:rtl/>
        </w:rPr>
        <w:t xml:space="preserve"> مشفوعة ب</w:t>
      </w:r>
      <w:r w:rsidRPr="00771DEC">
        <w:rPr>
          <w:rtl/>
        </w:rPr>
        <w:t>توصيات إلى تلك السلطات التي انتهكت أفعال</w:t>
      </w:r>
      <w:r>
        <w:rPr>
          <w:rFonts w:hint="cs"/>
          <w:rtl/>
        </w:rPr>
        <w:t>ُ</w:t>
      </w:r>
      <w:r w:rsidRPr="00771DEC">
        <w:rPr>
          <w:rtl/>
        </w:rPr>
        <w:t xml:space="preserve">ها حقوق المواطنين وحرياتهم. ولا تعيد تلك الاستنتاجات الحقوق المنتهكة ولا يعتد بها للاعتراف بحدوث انتهاك من جانب الدولة، ما دامت تلك السلطات لا تُمنح إلا للمحاكم والهيئات الإدارية. وتشير صاحبة البلاغ إلى أن المحكمة الأوروبية لحقوق الإنسان خلصت إلى أن اللجوء إلى أمين المظالم لا يشكل سبيل انتصاف محلي فعال في </w:t>
      </w:r>
      <w:r>
        <w:rPr>
          <w:rFonts w:hint="cs"/>
          <w:rtl/>
        </w:rPr>
        <w:t>نطاق</w:t>
      </w:r>
      <w:r w:rsidRPr="00771DEC">
        <w:rPr>
          <w:rtl/>
        </w:rPr>
        <w:t xml:space="preserve"> المعنى المقصود في المادة 35 من الاتفاقية الأوروبية لحقوق الإنسان</w:t>
      </w:r>
      <w:r w:rsidRPr="00A92EF0">
        <w:rPr>
          <w:szCs w:val="30"/>
          <w:vertAlign w:val="superscript"/>
          <w:rtl/>
        </w:rPr>
        <w:t>(</w:t>
      </w:r>
      <w:r w:rsidRPr="00A92EF0">
        <w:rPr>
          <w:rStyle w:val="FootnoteReference"/>
          <w:szCs w:val="30"/>
          <w:rtl/>
        </w:rPr>
        <w:footnoteReference w:id="5"/>
      </w:r>
      <w:r w:rsidRPr="00A92EF0">
        <w:rPr>
          <w:szCs w:val="30"/>
          <w:vertAlign w:val="superscript"/>
          <w:rtl/>
        </w:rPr>
        <w:t>)</w:t>
      </w:r>
      <w:r>
        <w:rPr>
          <w:rFonts w:hint="cs"/>
          <w:rtl/>
        </w:rPr>
        <w:t>.</w:t>
      </w:r>
    </w:p>
    <w:p w14:paraId="4B19F077" w14:textId="3E7BFF48" w:rsidR="00A92EF0" w:rsidRDefault="00A92EF0" w:rsidP="00A92EF0">
      <w:pPr>
        <w:pStyle w:val="SingleTxt"/>
        <w:rPr>
          <w:rtl/>
        </w:rPr>
      </w:pPr>
      <w:r>
        <w:rPr>
          <w:rtl/>
        </w:rPr>
        <w:t>5-5</w:t>
      </w:r>
      <w:r>
        <w:rPr>
          <w:rtl/>
        </w:rPr>
        <w:tab/>
      </w:r>
      <w:r w:rsidRPr="00771DEC">
        <w:rPr>
          <w:rtl/>
        </w:rPr>
        <w:t>وتشير صاح</w:t>
      </w:r>
      <w:r>
        <w:rPr>
          <w:rtl/>
        </w:rPr>
        <w:t xml:space="preserve">بة البلاغ إلى أن البلاغات التي </w:t>
      </w:r>
      <w:r w:rsidRPr="00771DEC">
        <w:rPr>
          <w:rtl/>
        </w:rPr>
        <w:t xml:space="preserve">قدمها أمين مظالم حقوق الإنسان في </w:t>
      </w:r>
      <w:r w:rsidRPr="000A2553">
        <w:rPr>
          <w:rtl/>
        </w:rPr>
        <w:t xml:space="preserve">سانت بطرسبرغ </w:t>
      </w:r>
      <w:r w:rsidRPr="00771DEC">
        <w:rPr>
          <w:rtl/>
        </w:rPr>
        <w:t xml:space="preserve">إلى السلطات المحلية، على غرار البلاغات التي يقدمها أمين المظالم الاتحادي، لم تلق أي اهتمام ولم تترتب عليها أي نتائج قانونية على مرتكبي الانتهاكات. </w:t>
      </w:r>
      <w:r>
        <w:rPr>
          <w:rFonts w:hint="cs"/>
          <w:rtl/>
        </w:rPr>
        <w:t>وعلى سبيل المثال</w:t>
      </w:r>
      <w:r w:rsidRPr="00771DEC">
        <w:rPr>
          <w:rtl/>
        </w:rPr>
        <w:t xml:space="preserve">، في أيلول/سبتمبر 2014، </w:t>
      </w:r>
      <w:r>
        <w:rPr>
          <w:rFonts w:hint="cs"/>
          <w:rtl/>
        </w:rPr>
        <w:t>راسل</w:t>
      </w:r>
      <w:r w:rsidRPr="00771DEC">
        <w:rPr>
          <w:rtl/>
        </w:rPr>
        <w:t xml:space="preserve"> أمين</w:t>
      </w:r>
      <w:r>
        <w:rPr>
          <w:rFonts w:hint="cs"/>
          <w:rtl/>
        </w:rPr>
        <w:t>ُ</w:t>
      </w:r>
      <w:r w:rsidRPr="00771DEC">
        <w:rPr>
          <w:rtl/>
        </w:rPr>
        <w:t xml:space="preserve"> مظالم </w:t>
      </w:r>
      <w:r w:rsidRPr="000A2553">
        <w:rPr>
          <w:rtl/>
        </w:rPr>
        <w:t xml:space="preserve">سانت بطرسبرغ </w:t>
      </w:r>
      <w:r w:rsidRPr="00771DEC">
        <w:rPr>
          <w:rtl/>
        </w:rPr>
        <w:t>رئيس</w:t>
      </w:r>
      <w:r>
        <w:rPr>
          <w:rFonts w:hint="cs"/>
          <w:rtl/>
        </w:rPr>
        <w:t>َ</w:t>
      </w:r>
      <w:r w:rsidRPr="00771DEC">
        <w:rPr>
          <w:rtl/>
        </w:rPr>
        <w:t xml:space="preserve"> الجمعية التشريعية في </w:t>
      </w:r>
      <w:r w:rsidRPr="000A2553">
        <w:rPr>
          <w:rtl/>
        </w:rPr>
        <w:t xml:space="preserve">سانت بطرسبرغ </w:t>
      </w:r>
      <w:r w:rsidRPr="00771DEC">
        <w:rPr>
          <w:rtl/>
        </w:rPr>
        <w:t>في</w:t>
      </w:r>
      <w:r>
        <w:rPr>
          <w:rFonts w:hint="cs"/>
          <w:rtl/>
        </w:rPr>
        <w:t xml:space="preserve"> موضوع </w:t>
      </w:r>
      <w:r w:rsidRPr="00771DEC">
        <w:rPr>
          <w:rtl/>
        </w:rPr>
        <w:t xml:space="preserve">قضية مجموعة أفراد تحت إمرة السيد </w:t>
      </w:r>
      <w:proofErr w:type="spellStart"/>
      <w:r w:rsidRPr="00771DEC">
        <w:rPr>
          <w:rtl/>
        </w:rPr>
        <w:t>ميلونوف</w:t>
      </w:r>
      <w:proofErr w:type="spellEnd"/>
      <w:r w:rsidRPr="00771DEC">
        <w:rPr>
          <w:rtl/>
        </w:rPr>
        <w:t xml:space="preserve"> كانوا قد أغلقوا مداخل القاعة التي </w:t>
      </w:r>
      <w:r>
        <w:rPr>
          <w:rFonts w:hint="cs"/>
          <w:rtl/>
        </w:rPr>
        <w:t>اح</w:t>
      </w:r>
      <w:r w:rsidRPr="00771DEC">
        <w:rPr>
          <w:rtl/>
        </w:rPr>
        <w:t>تضن</w:t>
      </w:r>
      <w:r>
        <w:rPr>
          <w:rFonts w:hint="cs"/>
          <w:rtl/>
        </w:rPr>
        <w:t>ت</w:t>
      </w:r>
      <w:r w:rsidRPr="00771DEC">
        <w:rPr>
          <w:rtl/>
        </w:rPr>
        <w:t xml:space="preserve"> مهرجان </w:t>
      </w:r>
      <w:proofErr w:type="spellStart"/>
      <w:r w:rsidRPr="00771DEC">
        <w:t>QueerFest</w:t>
      </w:r>
      <w:proofErr w:type="spellEnd"/>
      <w:r w:rsidRPr="00771DEC">
        <w:rPr>
          <w:rtl/>
        </w:rPr>
        <w:t xml:space="preserve"> </w:t>
      </w:r>
      <w:r>
        <w:rPr>
          <w:rFonts w:hint="cs"/>
          <w:rtl/>
        </w:rPr>
        <w:t>ل</w:t>
      </w:r>
      <w:r w:rsidRPr="00771DEC">
        <w:rPr>
          <w:rtl/>
        </w:rPr>
        <w:t xml:space="preserve">عام 2014، </w:t>
      </w:r>
      <w:r>
        <w:rPr>
          <w:rFonts w:hint="cs"/>
          <w:rtl/>
        </w:rPr>
        <w:t>و</w:t>
      </w:r>
      <w:r w:rsidRPr="00771DEC">
        <w:rPr>
          <w:rtl/>
        </w:rPr>
        <w:t xml:space="preserve">احتجزوا </w:t>
      </w:r>
      <w:r>
        <w:rPr>
          <w:rtl/>
        </w:rPr>
        <w:t>ب</w:t>
      </w:r>
      <w:r w:rsidRPr="00542346">
        <w:rPr>
          <w:rtl/>
        </w:rPr>
        <w:t>داخل</w:t>
      </w:r>
      <w:r>
        <w:rPr>
          <w:rFonts w:hint="cs"/>
          <w:rtl/>
        </w:rPr>
        <w:t>ها</w:t>
      </w:r>
      <w:r w:rsidRPr="00542346">
        <w:rPr>
          <w:rtl/>
        </w:rPr>
        <w:t xml:space="preserve"> </w:t>
      </w:r>
      <w:r w:rsidRPr="00771DEC">
        <w:rPr>
          <w:rtl/>
        </w:rPr>
        <w:t>ما يزيد عن 100 فرد، وقاموا برش غاز غير معروف ومادة ملونة في الموقع. ولم تلق تلك الرسالة أي تجاوب يذكر</w:t>
      </w:r>
      <w:r w:rsidRPr="004D46CB">
        <w:rPr>
          <w:rtl/>
        </w:rPr>
        <w:t>.</w:t>
      </w:r>
    </w:p>
    <w:p w14:paraId="3D2AD5A1" w14:textId="7AE96500" w:rsidR="00A92EF0" w:rsidRDefault="00A92EF0" w:rsidP="00A92EF0">
      <w:pPr>
        <w:pStyle w:val="SingleTxt"/>
        <w:rPr>
          <w:rtl/>
        </w:rPr>
      </w:pPr>
      <w:r>
        <w:rPr>
          <w:rtl/>
        </w:rPr>
        <w:t>5-6</w:t>
      </w:r>
      <w:r>
        <w:rPr>
          <w:rtl/>
        </w:rPr>
        <w:tab/>
      </w:r>
      <w:r w:rsidRPr="00771DEC">
        <w:rPr>
          <w:rtl/>
        </w:rPr>
        <w:t xml:space="preserve">وفيما يتعلق بحجة الدولة الطرف التي تفنِّد وجود </w:t>
      </w:r>
      <w:r>
        <w:rPr>
          <w:rFonts w:hint="cs"/>
          <w:rtl/>
        </w:rPr>
        <w:t>تعريض للسباب</w:t>
      </w:r>
      <w:r w:rsidRPr="00771DEC">
        <w:rPr>
          <w:rtl/>
        </w:rPr>
        <w:t xml:space="preserve">، تشير صاحبة البلاغ إلى الاستنتاج الذي خلصت إليه الخبرة الجنائية اللغوية في قضية أخرى، في الفترة 2015-2016، في محكمة مقاطعة </w:t>
      </w:r>
      <w:proofErr w:type="spellStart"/>
      <w:r w:rsidRPr="00771DEC">
        <w:rPr>
          <w:rtl/>
        </w:rPr>
        <w:t>كيروفسكي</w:t>
      </w:r>
      <w:proofErr w:type="spellEnd"/>
      <w:r w:rsidRPr="00771DEC">
        <w:rPr>
          <w:rtl/>
        </w:rPr>
        <w:t xml:space="preserve"> في </w:t>
      </w:r>
      <w:r>
        <w:rPr>
          <w:rtl/>
        </w:rPr>
        <w:t>سانت بطرسبرغ</w:t>
      </w:r>
      <w:r w:rsidRPr="00771DEC">
        <w:rPr>
          <w:rtl/>
        </w:rPr>
        <w:t>، ع</w:t>
      </w:r>
      <w:r>
        <w:rPr>
          <w:rFonts w:hint="cs"/>
          <w:rtl/>
        </w:rPr>
        <w:t>ُ</w:t>
      </w:r>
      <w:r w:rsidRPr="00771DEC">
        <w:rPr>
          <w:rtl/>
        </w:rPr>
        <w:t xml:space="preserve">رضت </w:t>
      </w:r>
      <w:r>
        <w:rPr>
          <w:rFonts w:hint="cs"/>
          <w:rtl/>
        </w:rPr>
        <w:t xml:space="preserve">فيها </w:t>
      </w:r>
      <w:r w:rsidRPr="00771DEC">
        <w:rPr>
          <w:rtl/>
        </w:rPr>
        <w:t xml:space="preserve">قضية مدنية ضد السيد </w:t>
      </w:r>
      <w:proofErr w:type="spellStart"/>
      <w:r w:rsidRPr="00771DEC">
        <w:rPr>
          <w:rtl/>
        </w:rPr>
        <w:t>ميلونوف</w:t>
      </w:r>
      <w:proofErr w:type="spellEnd"/>
      <w:r w:rsidRPr="00771DEC">
        <w:rPr>
          <w:rtl/>
        </w:rPr>
        <w:t xml:space="preserve"> </w:t>
      </w:r>
      <w:r>
        <w:rPr>
          <w:rFonts w:hint="cs"/>
          <w:rtl/>
        </w:rPr>
        <w:t xml:space="preserve">رفعها </w:t>
      </w:r>
      <w:r w:rsidRPr="00771DEC">
        <w:rPr>
          <w:rtl/>
        </w:rPr>
        <w:t>مدافع</w:t>
      </w:r>
      <w:r>
        <w:rPr>
          <w:rFonts w:hint="cs"/>
          <w:rtl/>
        </w:rPr>
        <w:t>و</w:t>
      </w:r>
      <w:r w:rsidRPr="00771DEC">
        <w:rPr>
          <w:rtl/>
        </w:rPr>
        <w:t>ن محلي</w:t>
      </w:r>
      <w:r>
        <w:rPr>
          <w:rFonts w:hint="cs"/>
          <w:rtl/>
        </w:rPr>
        <w:t>و</w:t>
      </w:r>
      <w:r w:rsidRPr="00771DEC">
        <w:rPr>
          <w:rtl/>
        </w:rPr>
        <w:t xml:space="preserve">ن عن حقوق </w:t>
      </w:r>
      <w:proofErr w:type="spellStart"/>
      <w:r w:rsidRPr="00771DEC">
        <w:rPr>
          <w:rtl/>
        </w:rPr>
        <w:t>المثليات</w:t>
      </w:r>
      <w:proofErr w:type="spellEnd"/>
      <w:r w:rsidRPr="00771DEC">
        <w:rPr>
          <w:rtl/>
        </w:rPr>
        <w:t xml:space="preserve"> والمثليين ومزدوجي الميل الجنسي ومغايري الهوية الجنسانية، من الذكور والإناث، بعد أن شتمهم بعبارات تنم عن كرهه للمثليين. و</w:t>
      </w:r>
      <w:r>
        <w:rPr>
          <w:rFonts w:hint="cs"/>
          <w:rtl/>
        </w:rPr>
        <w:t xml:space="preserve">قد </w:t>
      </w:r>
      <w:r w:rsidRPr="00771DEC">
        <w:rPr>
          <w:rtl/>
        </w:rPr>
        <w:t xml:space="preserve">قال الخبير الجنائي في تلك القضية أثناء </w:t>
      </w:r>
      <w:r w:rsidRPr="00771DEC">
        <w:rPr>
          <w:rtl/>
        </w:rPr>
        <w:lastRenderedPageBreak/>
        <w:t xml:space="preserve">شهادته بأن كلمة </w:t>
      </w:r>
      <w:r>
        <w:rPr>
          <w:rFonts w:hint="cs"/>
          <w:i/>
          <w:iCs/>
          <w:rtl/>
        </w:rPr>
        <w:t>”</w:t>
      </w:r>
      <w:proofErr w:type="spellStart"/>
      <w:r w:rsidRPr="00542346">
        <w:rPr>
          <w:i/>
          <w:iCs/>
        </w:rPr>
        <w:t>kovyryalka</w:t>
      </w:r>
      <w:proofErr w:type="spellEnd"/>
      <w:r>
        <w:rPr>
          <w:rFonts w:hint="cs"/>
          <w:rtl/>
        </w:rPr>
        <w:t>“</w:t>
      </w:r>
      <w:r w:rsidRPr="00771DEC">
        <w:rPr>
          <w:rtl/>
        </w:rPr>
        <w:t>، عندما يخاطب بها شخص معين، تستخدم كشتيمة وتحتفظ بمعناها القدحي تقريباً في كل سياق. وتشير صاحبة البلاغ إلى أن استنتاجات الخبير الجنائي لا تختلف عن</w:t>
      </w:r>
      <w:r>
        <w:rPr>
          <w:rFonts w:hint="cs"/>
          <w:rtl/>
        </w:rPr>
        <w:t> </w:t>
      </w:r>
      <w:r w:rsidRPr="00771DEC">
        <w:rPr>
          <w:rtl/>
        </w:rPr>
        <w:t xml:space="preserve">الاستنتاجات التي قدمها مختص فيما يتعلق بقضيتها، </w:t>
      </w:r>
      <w:r>
        <w:rPr>
          <w:rFonts w:hint="cs"/>
          <w:rtl/>
        </w:rPr>
        <w:t>لكن</w:t>
      </w:r>
      <w:r w:rsidRPr="00771DEC">
        <w:rPr>
          <w:rtl/>
        </w:rPr>
        <w:t xml:space="preserve"> الادّعاءات في كلتا القضيتين</w:t>
      </w:r>
      <w:r>
        <w:rPr>
          <w:rFonts w:hint="cs"/>
          <w:rtl/>
        </w:rPr>
        <w:t xml:space="preserve"> رفضت</w:t>
      </w:r>
      <w:r w:rsidRPr="00771DEC">
        <w:rPr>
          <w:rtl/>
        </w:rPr>
        <w:t>. وتدفع صاحبة البلاغ بأن ذلك يؤكد أن الاتحاد الروسي يفتقر تماماً إلى سبل انتصاف قانونية محلية من</w:t>
      </w:r>
      <w:r>
        <w:rPr>
          <w:rFonts w:hint="cs"/>
          <w:rtl/>
        </w:rPr>
        <w:t> </w:t>
      </w:r>
      <w:r w:rsidRPr="00771DEC">
        <w:rPr>
          <w:rtl/>
        </w:rPr>
        <w:t>الأفعال التمييزية التي ارتكبها النائب في الجمعية التشريعية ل</w:t>
      </w:r>
      <w:r w:rsidRPr="000A2553">
        <w:rPr>
          <w:rtl/>
        </w:rPr>
        <w:t>سانت بطرسبرغ</w:t>
      </w:r>
      <w:r>
        <w:rPr>
          <w:rtl/>
        </w:rPr>
        <w:t xml:space="preserve">، السيد </w:t>
      </w:r>
      <w:proofErr w:type="spellStart"/>
      <w:r>
        <w:rPr>
          <w:rtl/>
        </w:rPr>
        <w:t>ميلونوف</w:t>
      </w:r>
      <w:proofErr w:type="spellEnd"/>
      <w:r>
        <w:rPr>
          <w:rtl/>
        </w:rPr>
        <w:t>، ضد</w:t>
      </w:r>
      <w:r>
        <w:rPr>
          <w:rFonts w:hint="cs"/>
          <w:rtl/>
        </w:rPr>
        <w:t> </w:t>
      </w:r>
      <w:r>
        <w:rPr>
          <w:rtl/>
        </w:rPr>
        <w:t>مجموعات من</w:t>
      </w:r>
      <w:r>
        <w:rPr>
          <w:rFonts w:hint="cs"/>
          <w:rtl/>
        </w:rPr>
        <w:t xml:space="preserve"> فئات السكان المستضعفين </w:t>
      </w:r>
      <w:r>
        <w:rPr>
          <w:rtl/>
        </w:rPr>
        <w:t>اجتماعياً</w:t>
      </w:r>
      <w:r w:rsidRPr="00771DEC">
        <w:rPr>
          <w:rtl/>
        </w:rPr>
        <w:t xml:space="preserve">، مثل </w:t>
      </w:r>
      <w:proofErr w:type="spellStart"/>
      <w:r w:rsidRPr="00771DEC">
        <w:rPr>
          <w:rtl/>
        </w:rPr>
        <w:t>المثليات</w:t>
      </w:r>
      <w:proofErr w:type="spellEnd"/>
      <w:r w:rsidRPr="00771DEC">
        <w:rPr>
          <w:rtl/>
        </w:rPr>
        <w:t xml:space="preserve"> والمثليين ومزدوجي الميل الجنسي ومغايري الهوية الجنسانية والمدافعين عن حقوقهم</w:t>
      </w:r>
      <w:r>
        <w:rPr>
          <w:rtl/>
        </w:rPr>
        <w:t>.</w:t>
      </w:r>
    </w:p>
    <w:p w14:paraId="66D49BEC" w14:textId="056E8E5F" w:rsidR="00A92EF0" w:rsidRPr="00A92EF0" w:rsidRDefault="00A92EF0" w:rsidP="00A92EF0">
      <w:pPr>
        <w:pStyle w:val="SingleTxt"/>
        <w:spacing w:after="0" w:line="120" w:lineRule="exact"/>
        <w:rPr>
          <w:sz w:val="10"/>
          <w:rtl/>
        </w:rPr>
      </w:pPr>
    </w:p>
    <w:p w14:paraId="04F3DDC9" w14:textId="5E580CC1" w:rsidR="00A92EF0" w:rsidRDefault="00A92EF0" w:rsidP="00A92E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771DEC">
        <w:rPr>
          <w:rtl/>
        </w:rPr>
        <w:t>ملاحظات الدولة الطرف بشأن الأسس الموضوعية</w:t>
      </w:r>
    </w:p>
    <w:p w14:paraId="1A902D68" w14:textId="73393FB6" w:rsidR="00A92EF0" w:rsidRDefault="00A92EF0" w:rsidP="00A92EF0">
      <w:pPr>
        <w:pStyle w:val="SingleTxt"/>
        <w:rPr>
          <w:rtl/>
        </w:rPr>
      </w:pPr>
      <w:r>
        <w:rPr>
          <w:rtl/>
        </w:rPr>
        <w:t>6-1</w:t>
      </w:r>
      <w:r>
        <w:rPr>
          <w:rtl/>
        </w:rPr>
        <w:tab/>
      </w:r>
      <w:r w:rsidRPr="00771DEC">
        <w:rPr>
          <w:rtl/>
        </w:rPr>
        <w:t xml:space="preserve">في </w:t>
      </w:r>
      <w:r>
        <w:rPr>
          <w:rtl/>
        </w:rPr>
        <w:t>6</w:t>
      </w:r>
      <w:r w:rsidRPr="00771DEC">
        <w:rPr>
          <w:rtl/>
        </w:rPr>
        <w:t xml:space="preserve"> أيار/مايو </w:t>
      </w:r>
      <w:r>
        <w:rPr>
          <w:rtl/>
        </w:rPr>
        <w:t>2016</w:t>
      </w:r>
      <w:r w:rsidRPr="00771DEC">
        <w:rPr>
          <w:rtl/>
        </w:rPr>
        <w:t xml:space="preserve">، قدمت الدولة الطرف ملاحظاتها بشأن الأسس الموضوعية. وأشارت إلى أن محكمة مقاطعة </w:t>
      </w:r>
      <w:proofErr w:type="spellStart"/>
      <w:r w:rsidRPr="00771DEC">
        <w:rPr>
          <w:rtl/>
        </w:rPr>
        <w:t>كيروفسكي</w:t>
      </w:r>
      <w:proofErr w:type="spellEnd"/>
      <w:r w:rsidRPr="00771DEC">
        <w:rPr>
          <w:rtl/>
        </w:rPr>
        <w:t xml:space="preserve">، لدى بتها في دعوى صاحبة البلاغ ضد السيد </w:t>
      </w:r>
      <w:proofErr w:type="spellStart"/>
      <w:r w:rsidRPr="00771DEC">
        <w:rPr>
          <w:rtl/>
        </w:rPr>
        <w:t>ميلونوف</w:t>
      </w:r>
      <w:proofErr w:type="spellEnd"/>
      <w:r w:rsidRPr="00771DEC">
        <w:rPr>
          <w:rtl/>
        </w:rPr>
        <w:t>، استندت في</w:t>
      </w:r>
      <w:r>
        <w:rPr>
          <w:rFonts w:hint="cs"/>
          <w:rtl/>
        </w:rPr>
        <w:t> </w:t>
      </w:r>
      <w:r w:rsidRPr="00771DEC">
        <w:rPr>
          <w:rtl/>
        </w:rPr>
        <w:t xml:space="preserve">قرارها إلى دستور الاتحاد الروسي وقانون الإجراءات المدنية وقرارات المحكمة العليا وخلصت إلى </w:t>
      </w:r>
      <w:r>
        <w:rPr>
          <w:rFonts w:hint="cs"/>
          <w:rtl/>
        </w:rPr>
        <w:t>انتفاء سند ي</w:t>
      </w:r>
      <w:r w:rsidRPr="00771DEC">
        <w:rPr>
          <w:rtl/>
        </w:rPr>
        <w:t xml:space="preserve">ستدعي الحماية القضائية لحقوق صاحبة البلاغ، لأن السيد </w:t>
      </w:r>
      <w:proofErr w:type="spellStart"/>
      <w:r w:rsidRPr="00771DEC">
        <w:rPr>
          <w:rtl/>
        </w:rPr>
        <w:t>ميلونوف</w:t>
      </w:r>
      <w:proofErr w:type="spellEnd"/>
      <w:r w:rsidRPr="00771DEC">
        <w:rPr>
          <w:rtl/>
        </w:rPr>
        <w:t xml:space="preserve"> كان يعبر عن رأيه الشخصي. وتدفع الدولة الطرف بأن محكمة مقاطعة </w:t>
      </w:r>
      <w:proofErr w:type="spellStart"/>
      <w:r w:rsidRPr="00771DEC">
        <w:rPr>
          <w:rtl/>
        </w:rPr>
        <w:t>كيروفسكي</w:t>
      </w:r>
      <w:proofErr w:type="spellEnd"/>
      <w:r w:rsidRPr="00771DEC">
        <w:rPr>
          <w:rtl/>
        </w:rPr>
        <w:t xml:space="preserve">، لدى تحليلها للأدلة المجمَّعة، بما فيها صور الفيديو لأحداث 19 أيلول/سبتمبر 2013، واستنتاجات الطبيب النفسي والخبراء اللغويين وشهادات الشهود، لم تستنتج أن عبارات المدّعى عليه قدحية أو أنها تحط من شرف وكرامة صاحبة البلاغ، لأن </w:t>
      </w:r>
      <w:r>
        <w:rPr>
          <w:rFonts w:hint="cs"/>
          <w:rtl/>
        </w:rPr>
        <w:t xml:space="preserve">تلك </w:t>
      </w:r>
      <w:r w:rsidRPr="00771DEC">
        <w:rPr>
          <w:rtl/>
        </w:rPr>
        <w:t xml:space="preserve">الكلمات والعبارات ليست موجهة إلى شخص صاحبة البلاغ، ولا تتضمن أي كلمات قدحية أو مهينة وأنها تعبر ببساطة عن الرأي الذاتي للمدّعى عليه إزاء ما حدث، وهو حر في التعبير عن رأيه بموجب الدستور والقانون الدولي. وقالت المحكمة إن مجرد تعبير المدّعى عليه عن رأيه المنتقد وعدم احترامه لصاحبة البلاغ </w:t>
      </w:r>
      <w:r>
        <w:rPr>
          <w:rFonts w:hint="cs"/>
          <w:rtl/>
        </w:rPr>
        <w:t xml:space="preserve">بمخاطبتها </w:t>
      </w:r>
      <w:r w:rsidRPr="00771DEC">
        <w:rPr>
          <w:rtl/>
        </w:rPr>
        <w:t xml:space="preserve">بمفردة </w:t>
      </w:r>
      <w:r>
        <w:rPr>
          <w:rFonts w:hint="cs"/>
          <w:rtl/>
        </w:rPr>
        <w:t>”</w:t>
      </w:r>
      <w:proofErr w:type="spellStart"/>
      <w:r w:rsidRPr="00771DEC">
        <w:t>ti</w:t>
      </w:r>
      <w:proofErr w:type="spellEnd"/>
      <w:r>
        <w:rPr>
          <w:rFonts w:hint="eastAsia"/>
          <w:rtl/>
        </w:rPr>
        <w:t>“</w:t>
      </w:r>
      <w:r>
        <w:rPr>
          <w:rFonts w:hint="cs"/>
          <w:rtl/>
        </w:rPr>
        <w:t xml:space="preserve"> المتجردة من الكلفة</w:t>
      </w:r>
      <w:r w:rsidRPr="00771DEC">
        <w:rPr>
          <w:rtl/>
        </w:rPr>
        <w:t xml:space="preserve">، </w:t>
      </w:r>
      <w:r>
        <w:rPr>
          <w:rFonts w:hint="cs"/>
          <w:rtl/>
        </w:rPr>
        <w:t>لا يمكن أن يعتد به ل</w:t>
      </w:r>
      <w:r>
        <w:rPr>
          <w:rtl/>
        </w:rPr>
        <w:t>وصف</w:t>
      </w:r>
      <w:r>
        <w:rPr>
          <w:rFonts w:hint="cs"/>
          <w:rtl/>
        </w:rPr>
        <w:t xml:space="preserve"> كلماته</w:t>
      </w:r>
      <w:r w:rsidRPr="00771DEC">
        <w:rPr>
          <w:rtl/>
        </w:rPr>
        <w:t xml:space="preserve"> بأنها قدحية أو</w:t>
      </w:r>
      <w:r>
        <w:rPr>
          <w:rFonts w:hint="cs"/>
          <w:rtl/>
        </w:rPr>
        <w:t> </w:t>
      </w:r>
      <w:r w:rsidRPr="00771DEC">
        <w:rPr>
          <w:rtl/>
        </w:rPr>
        <w:t xml:space="preserve">بأنها تحط من شرف وكرامة أو سمعة صاحبة البلاغ. وتصرف المدّعى عليه يمكن أن يعزى إلى حالة </w:t>
      </w:r>
      <w:r>
        <w:rPr>
          <w:rFonts w:hint="cs"/>
          <w:rtl/>
        </w:rPr>
        <w:t>توتر</w:t>
      </w:r>
      <w:r w:rsidRPr="00771DEC">
        <w:rPr>
          <w:rtl/>
        </w:rPr>
        <w:t xml:space="preserve"> أو </w:t>
      </w:r>
      <w:r>
        <w:rPr>
          <w:rFonts w:hint="cs"/>
          <w:rtl/>
        </w:rPr>
        <w:t>بدافع</w:t>
      </w:r>
      <w:r>
        <w:rPr>
          <w:rtl/>
        </w:rPr>
        <w:t xml:space="preserve"> عوامل أخرى</w:t>
      </w:r>
      <w:r w:rsidRPr="00771DEC">
        <w:rPr>
          <w:rtl/>
        </w:rPr>
        <w:t xml:space="preserve">، بيد أن أفعاله لا </w:t>
      </w:r>
      <w:r>
        <w:rPr>
          <w:rFonts w:hint="cs"/>
          <w:rtl/>
        </w:rPr>
        <w:t xml:space="preserve">تشي بأي شعور بالتعصب للوطنية </w:t>
      </w:r>
      <w:r w:rsidRPr="00771DEC">
        <w:rPr>
          <w:rtl/>
        </w:rPr>
        <w:t xml:space="preserve">أو كره الجانب أو كره النساء، كما </w:t>
      </w:r>
      <w:r>
        <w:rPr>
          <w:rFonts w:hint="cs"/>
          <w:rtl/>
        </w:rPr>
        <w:t>جاء</w:t>
      </w:r>
      <w:r w:rsidRPr="00771DEC">
        <w:rPr>
          <w:rtl/>
        </w:rPr>
        <w:t xml:space="preserve"> في الدعوى</w:t>
      </w:r>
      <w:r>
        <w:rPr>
          <w:rtl/>
        </w:rPr>
        <w:t>.</w:t>
      </w:r>
    </w:p>
    <w:p w14:paraId="282AA9E7" w14:textId="422BA27A" w:rsidR="00A92EF0" w:rsidRDefault="00A92EF0" w:rsidP="00A92EF0">
      <w:pPr>
        <w:pStyle w:val="SingleTxt"/>
        <w:rPr>
          <w:rtl/>
        </w:rPr>
      </w:pPr>
      <w:r>
        <w:rPr>
          <w:rtl/>
        </w:rPr>
        <w:t>6-2</w:t>
      </w:r>
      <w:r>
        <w:rPr>
          <w:rtl/>
        </w:rPr>
        <w:tab/>
      </w:r>
      <w:r>
        <w:rPr>
          <w:rtl/>
          <w:lang w:val="en-GB" w:eastAsia="zh-TW"/>
        </w:rPr>
        <w:t xml:space="preserve">وتدفع الدولة الطرف أيضاً بأن </w:t>
      </w:r>
      <w:r>
        <w:rPr>
          <w:rFonts w:hint="cs"/>
          <w:rtl/>
          <w:lang w:val="en-GB" w:eastAsia="zh-TW"/>
        </w:rPr>
        <w:t xml:space="preserve">ادعاء </w:t>
      </w:r>
      <w:r>
        <w:rPr>
          <w:rtl/>
          <w:lang w:val="en-GB" w:eastAsia="zh-TW"/>
        </w:rPr>
        <w:t xml:space="preserve">صاحبة البلاغ بأن صور الفيديو تظهر الطريقة التي خاطبها بها مباشرة السيد </w:t>
      </w:r>
      <w:proofErr w:type="spellStart"/>
      <w:r>
        <w:rPr>
          <w:rtl/>
          <w:lang w:val="en-GB" w:eastAsia="zh-TW"/>
        </w:rPr>
        <w:t>ميلونوف</w:t>
      </w:r>
      <w:proofErr w:type="spellEnd"/>
      <w:r>
        <w:rPr>
          <w:rtl/>
          <w:lang w:val="en-GB" w:eastAsia="zh-TW"/>
        </w:rPr>
        <w:t xml:space="preserve"> ووصفه</w:t>
      </w:r>
      <w:r>
        <w:rPr>
          <w:rtl/>
          <w:lang w:eastAsia="zh-TW"/>
        </w:rPr>
        <w:t xml:space="preserve"> إياها</w:t>
      </w:r>
      <w:r>
        <w:rPr>
          <w:rtl/>
          <w:lang w:val="en-GB" w:eastAsia="zh-TW"/>
        </w:rPr>
        <w:t xml:space="preserve"> بعبارة </w:t>
      </w:r>
      <w:r>
        <w:rPr>
          <w:rFonts w:hint="cs"/>
          <w:i/>
          <w:iCs/>
          <w:sz w:val="24"/>
          <w:szCs w:val="24"/>
          <w:rtl/>
        </w:rPr>
        <w:t>”</w:t>
      </w:r>
      <w:proofErr w:type="spellStart"/>
      <w:r w:rsidRPr="00A92EF0">
        <w:rPr>
          <w:i/>
          <w:iCs/>
          <w:szCs w:val="20"/>
        </w:rPr>
        <w:t>kovyryalka</w:t>
      </w:r>
      <w:proofErr w:type="spellEnd"/>
      <w:r>
        <w:rPr>
          <w:rFonts w:hint="cs"/>
          <w:rtl/>
          <w:lang w:val="en-GB" w:eastAsia="zh-TW"/>
        </w:rPr>
        <w:t>“</w:t>
      </w:r>
      <w:r>
        <w:rPr>
          <w:rtl/>
          <w:lang w:val="en-GB" w:eastAsia="zh-TW"/>
        </w:rPr>
        <w:t>، وهي كلمة عامية تشير إلى علاقات</w:t>
      </w:r>
      <w:r>
        <w:rPr>
          <w:rFonts w:hint="cs"/>
          <w:rtl/>
          <w:lang w:val="en-GB" w:eastAsia="zh-TW"/>
        </w:rPr>
        <w:t>ها</w:t>
      </w:r>
      <w:r>
        <w:rPr>
          <w:rtl/>
          <w:lang w:val="en-GB" w:eastAsia="zh-TW"/>
        </w:rPr>
        <w:t xml:space="preserve"> الحميمية</w:t>
      </w:r>
      <w:r>
        <w:rPr>
          <w:rFonts w:hint="cs"/>
          <w:rtl/>
          <w:lang w:val="en-GB" w:eastAsia="zh-TW"/>
        </w:rPr>
        <w:t>،</w:t>
      </w:r>
      <w:r>
        <w:rPr>
          <w:rtl/>
          <w:lang w:val="en-GB" w:eastAsia="zh-TW"/>
        </w:rPr>
        <w:t xml:space="preserve"> إنما هو تخمين لا تؤيده الأدلة المقدمة.</w:t>
      </w:r>
      <w:r>
        <w:rPr>
          <w:rFonts w:hint="cs"/>
          <w:rtl/>
          <w:lang w:val="en-GB" w:eastAsia="zh-TW"/>
        </w:rPr>
        <w:t xml:space="preserve"> </w:t>
      </w:r>
      <w:r>
        <w:rPr>
          <w:rtl/>
          <w:lang w:val="en-GB" w:eastAsia="zh-TW"/>
        </w:rPr>
        <w:t>وقدم كلا الطرفين إلى المحكمة استنتاجات خبراء لغويين مختصين بشأن معنى تلك الكلمة.</w:t>
      </w:r>
      <w:r>
        <w:rPr>
          <w:lang w:val="en-GB" w:eastAsia="zh-TW"/>
        </w:rPr>
        <w:t xml:space="preserve"> </w:t>
      </w:r>
      <w:r>
        <w:rPr>
          <w:rtl/>
          <w:lang w:val="en-GB" w:eastAsia="zh-TW"/>
        </w:rPr>
        <w:t xml:space="preserve">وادّعت صاحبة البلاغ أنها تعني </w:t>
      </w:r>
      <w:r>
        <w:rPr>
          <w:rFonts w:hint="cs"/>
          <w:rtl/>
          <w:lang w:val="en-GB" w:eastAsia="zh-TW"/>
        </w:rPr>
        <w:t>”</w:t>
      </w:r>
      <w:r>
        <w:rPr>
          <w:rtl/>
          <w:lang w:val="en-GB" w:eastAsia="zh-TW"/>
        </w:rPr>
        <w:t>مثلية</w:t>
      </w:r>
      <w:r>
        <w:rPr>
          <w:rFonts w:hint="cs"/>
          <w:rtl/>
          <w:lang w:val="en-GB" w:eastAsia="zh-TW"/>
        </w:rPr>
        <w:t>“</w:t>
      </w:r>
      <w:r>
        <w:rPr>
          <w:rtl/>
          <w:lang w:val="en-GB" w:eastAsia="zh-TW"/>
        </w:rPr>
        <w:t xml:space="preserve"> واستخدمت بما</w:t>
      </w:r>
      <w:r>
        <w:rPr>
          <w:rFonts w:hint="cs"/>
          <w:rtl/>
          <w:lang w:val="en-GB" w:eastAsia="zh-TW"/>
        </w:rPr>
        <w:t> </w:t>
      </w:r>
      <w:r>
        <w:rPr>
          <w:rtl/>
          <w:lang w:val="en-GB" w:eastAsia="zh-TW"/>
        </w:rPr>
        <w:t>يفيد أقدح كلمة عامية تستخدم في سجون النساء.</w:t>
      </w:r>
      <w:r>
        <w:rPr>
          <w:lang w:val="en-GB" w:eastAsia="zh-TW"/>
        </w:rPr>
        <w:t xml:space="preserve"> </w:t>
      </w:r>
      <w:r>
        <w:rPr>
          <w:rtl/>
          <w:lang w:val="en-GB" w:eastAsia="zh-TW"/>
        </w:rPr>
        <w:t>بيد أن المحكمة الابتدائية خلصت إلى أن معنى الكلمة</w:t>
      </w:r>
      <w:r>
        <w:rPr>
          <w:rtl/>
          <w:lang w:eastAsia="zh-TW"/>
        </w:rPr>
        <w:t xml:space="preserve"> الذي ذهبت إليه صاحبة البلاغ في ادعائها</w:t>
      </w:r>
      <w:r>
        <w:rPr>
          <w:rtl/>
          <w:lang w:val="en-GB" w:eastAsia="zh-TW"/>
        </w:rPr>
        <w:t>، لم يكن شائعاً تداوله بين عامة الناس و</w:t>
      </w:r>
      <w:r>
        <w:rPr>
          <w:rFonts w:hint="cs"/>
          <w:rtl/>
          <w:lang w:val="en-GB" w:eastAsia="zh-TW"/>
        </w:rPr>
        <w:t>أنها لا ترى</w:t>
      </w:r>
      <w:r>
        <w:rPr>
          <w:rtl/>
          <w:lang w:val="en-GB" w:eastAsia="zh-TW"/>
        </w:rPr>
        <w:t xml:space="preserve"> </w:t>
      </w:r>
      <w:r>
        <w:rPr>
          <w:rFonts w:hint="cs"/>
          <w:rtl/>
          <w:lang w:val="en-GB" w:eastAsia="zh-TW"/>
        </w:rPr>
        <w:t>سندا</w:t>
      </w:r>
      <w:r>
        <w:rPr>
          <w:rtl/>
          <w:lang w:val="en-GB" w:eastAsia="zh-TW"/>
        </w:rPr>
        <w:t xml:space="preserve"> للاعتقاد بأن السيد </w:t>
      </w:r>
      <w:proofErr w:type="spellStart"/>
      <w:r>
        <w:rPr>
          <w:rtl/>
          <w:lang w:val="en-GB" w:eastAsia="zh-TW"/>
        </w:rPr>
        <w:t>ميلونوف</w:t>
      </w:r>
      <w:proofErr w:type="spellEnd"/>
      <w:r>
        <w:rPr>
          <w:rtl/>
          <w:lang w:val="en-GB" w:eastAsia="zh-TW"/>
        </w:rPr>
        <w:t xml:space="preserve"> يعرف ذلك المعنى المحدد للكلمة.</w:t>
      </w:r>
      <w:r>
        <w:rPr>
          <w:lang w:val="en-GB" w:eastAsia="zh-TW"/>
        </w:rPr>
        <w:t xml:space="preserve"> </w:t>
      </w:r>
      <w:r>
        <w:rPr>
          <w:rtl/>
          <w:lang w:val="en-GB" w:eastAsia="zh-TW"/>
        </w:rPr>
        <w:t xml:space="preserve">وأخذت المحكمة في اعتبارها استنتاج خبير لغوي مختص قال في شهادته إن </w:t>
      </w:r>
      <w:r>
        <w:rPr>
          <w:rFonts w:hint="cs"/>
          <w:rtl/>
          <w:lang w:val="en-GB" w:eastAsia="zh-TW"/>
        </w:rPr>
        <w:t>لفظة</w:t>
      </w:r>
      <w:r>
        <w:rPr>
          <w:rtl/>
          <w:lang w:val="en-GB" w:eastAsia="zh-TW"/>
        </w:rPr>
        <w:t xml:space="preserve"> </w:t>
      </w:r>
      <w:r>
        <w:rPr>
          <w:rFonts w:hint="cs"/>
          <w:i/>
          <w:iCs/>
          <w:rtl/>
          <w:lang w:val="en-GB" w:eastAsia="zh-TW"/>
        </w:rPr>
        <w:t>”</w:t>
      </w:r>
      <w:proofErr w:type="spellStart"/>
      <w:r>
        <w:rPr>
          <w:i/>
          <w:iCs/>
          <w:lang w:val="en-GB" w:eastAsia="zh-TW"/>
        </w:rPr>
        <w:t>kovyryalka</w:t>
      </w:r>
      <w:proofErr w:type="spellEnd"/>
      <w:r>
        <w:rPr>
          <w:rFonts w:hint="eastAsia"/>
          <w:rtl/>
          <w:lang w:val="en-GB" w:eastAsia="zh-TW"/>
        </w:rPr>
        <w:t>“</w:t>
      </w:r>
      <w:r>
        <w:rPr>
          <w:rFonts w:hint="cs"/>
          <w:rtl/>
          <w:lang w:val="en-GB" w:eastAsia="zh-TW"/>
        </w:rPr>
        <w:t xml:space="preserve"> تحمل</w:t>
      </w:r>
      <w:r>
        <w:rPr>
          <w:rtl/>
          <w:lang w:val="en-GB" w:eastAsia="zh-TW"/>
        </w:rPr>
        <w:t xml:space="preserve"> معانٍ متعددة ليست جميعها قدحية، و</w:t>
      </w:r>
      <w:r>
        <w:rPr>
          <w:rFonts w:hint="cs"/>
          <w:rtl/>
          <w:lang w:val="en-GB" w:eastAsia="zh-TW"/>
        </w:rPr>
        <w:t>إنها ترد في مختلف ال</w:t>
      </w:r>
      <w:r>
        <w:rPr>
          <w:rtl/>
          <w:lang w:val="en-GB" w:eastAsia="zh-TW"/>
        </w:rPr>
        <w:t xml:space="preserve">قواميس </w:t>
      </w:r>
      <w:r>
        <w:rPr>
          <w:rFonts w:hint="cs"/>
          <w:rtl/>
          <w:lang w:val="en-GB" w:eastAsia="zh-TW"/>
        </w:rPr>
        <w:t>المتاحة بمعان أبعد ما تكون عن ال</w:t>
      </w:r>
      <w:r>
        <w:rPr>
          <w:rtl/>
          <w:lang w:val="en-GB" w:eastAsia="zh-TW"/>
        </w:rPr>
        <w:t>قدح.</w:t>
      </w:r>
      <w:r>
        <w:rPr>
          <w:lang w:val="en-GB" w:eastAsia="zh-TW"/>
        </w:rPr>
        <w:t xml:space="preserve"> </w:t>
      </w:r>
      <w:r>
        <w:rPr>
          <w:rtl/>
          <w:lang w:val="en-GB" w:eastAsia="zh-TW"/>
        </w:rPr>
        <w:t>وخلصت المحكمة إلى أن المدّعى عليه تلفظ بالكلمة همساً ودون أن يعبر عن أي انفعال.</w:t>
      </w:r>
      <w:r>
        <w:rPr>
          <w:rFonts w:hint="cs"/>
          <w:rtl/>
          <w:lang w:val="en-GB" w:eastAsia="zh-TW"/>
        </w:rPr>
        <w:t xml:space="preserve"> </w:t>
      </w:r>
      <w:r>
        <w:rPr>
          <w:rtl/>
          <w:lang w:val="en-GB" w:eastAsia="zh-TW"/>
        </w:rPr>
        <w:t>وقال ممثله إنه لم يتذكر حتى تلفظه بتلك الكلمة، وإن فعل ذلك فإنه لا يقصد بها المعنى الذي ذهبت إليه صاحبة البلاغ</w:t>
      </w:r>
      <w:r>
        <w:rPr>
          <w:rtl/>
        </w:rPr>
        <w:t>.</w:t>
      </w:r>
    </w:p>
    <w:p w14:paraId="07C4C276" w14:textId="1D47A2B3" w:rsidR="00A92EF0" w:rsidRDefault="00A92EF0" w:rsidP="00A92EF0">
      <w:pPr>
        <w:pStyle w:val="SingleTxt"/>
        <w:rPr>
          <w:rtl/>
        </w:rPr>
      </w:pPr>
      <w:r>
        <w:rPr>
          <w:rtl/>
        </w:rPr>
        <w:lastRenderedPageBreak/>
        <w:t>6-3</w:t>
      </w:r>
      <w:r>
        <w:rPr>
          <w:rtl/>
        </w:rPr>
        <w:tab/>
      </w:r>
      <w:r w:rsidRPr="00771DEC">
        <w:rPr>
          <w:rtl/>
        </w:rPr>
        <w:t>وتشير الدولة الطرف إلى أنه وفقاً للمادة 1 من الاتفاقية، فإن التمييز ضد المرأة يعني أي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أو تمتعها بها وممارستها لها بغض النظر عن حالتها الزوجية. وقد خلصت المحاكم الوطنية في استنتاجاتها إلى أنه لم</w:t>
      </w:r>
      <w:r>
        <w:rPr>
          <w:rFonts w:hint="cs"/>
          <w:rtl/>
        </w:rPr>
        <w:t> </w:t>
      </w:r>
      <w:r w:rsidRPr="00771DEC">
        <w:rPr>
          <w:rtl/>
        </w:rPr>
        <w:t xml:space="preserve">يحدث أي انتهاك لحقوق صاحبة البلاغ الشخصية وغير المادية، بما في ذلك الحق في عدم التعرض للتمييز. وتشير الدولة الطرف أيضاً إلى أن تقييم الأدلة وتطبيق القانون الوطني يدخلان ضمن اختصاص السلطات الوطنية، بما فيها المحاكم. وبذلك فإنها ترى </w:t>
      </w:r>
      <w:r>
        <w:rPr>
          <w:rFonts w:hint="cs"/>
          <w:rtl/>
        </w:rPr>
        <w:t>عدم وجود أي انتهاك ل</w:t>
      </w:r>
      <w:r>
        <w:rPr>
          <w:rtl/>
        </w:rPr>
        <w:t>لاتفاقية في هذه القضية.</w:t>
      </w:r>
    </w:p>
    <w:p w14:paraId="2264DD8B" w14:textId="6039642C" w:rsidR="00A92EF0" w:rsidRPr="00A92EF0" w:rsidRDefault="00A92EF0" w:rsidP="00A92EF0">
      <w:pPr>
        <w:pStyle w:val="SingleTxt"/>
        <w:spacing w:after="0" w:line="120" w:lineRule="exact"/>
        <w:rPr>
          <w:sz w:val="10"/>
          <w:rtl/>
        </w:rPr>
      </w:pPr>
    </w:p>
    <w:p w14:paraId="4FC12438" w14:textId="4999D6D9" w:rsidR="00A92EF0" w:rsidRPr="00771DEC" w:rsidRDefault="00A92EF0" w:rsidP="00A92E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w w:val="103"/>
          <w:sz w:val="24"/>
          <w:rtl/>
          <w:lang w:val="en-GB" w:eastAsia="zh-TW"/>
        </w:rPr>
      </w:pPr>
      <w:r>
        <w:rPr>
          <w:w w:val="103"/>
          <w:rtl/>
          <w:lang w:val="en-GB" w:eastAsia="zh-TW"/>
        </w:rPr>
        <w:tab/>
      </w:r>
      <w:r>
        <w:rPr>
          <w:w w:val="103"/>
          <w:rtl/>
          <w:lang w:val="en-GB" w:eastAsia="zh-TW"/>
        </w:rPr>
        <w:tab/>
      </w:r>
      <w:r w:rsidRPr="00771DEC">
        <w:rPr>
          <w:w w:val="103"/>
          <w:rtl/>
          <w:lang w:val="en-GB" w:eastAsia="zh-TW"/>
        </w:rPr>
        <w:t>تعليقات صاحبة البلاغ على ملاحظات الدولة الطرف بشأن الأسس الموضوعية</w:t>
      </w:r>
    </w:p>
    <w:p w14:paraId="3F974C90" w14:textId="77777777" w:rsidR="00A92EF0" w:rsidRDefault="00A92EF0" w:rsidP="00A92EF0">
      <w:pPr>
        <w:pStyle w:val="SingleTxt"/>
        <w:rPr>
          <w:rtl/>
        </w:rPr>
      </w:pPr>
      <w:r>
        <w:rPr>
          <w:rFonts w:hint="cs"/>
          <w:rtl/>
        </w:rPr>
        <w:t>7</w:t>
      </w:r>
      <w:r>
        <w:rPr>
          <w:rtl/>
        </w:rPr>
        <w:t>-</w:t>
      </w:r>
      <w:r>
        <w:rPr>
          <w:rFonts w:hint="cs"/>
          <w:rtl/>
        </w:rPr>
        <w:t>1</w:t>
      </w:r>
      <w:r>
        <w:rPr>
          <w:rtl/>
        </w:rPr>
        <w:tab/>
      </w:r>
      <w:r w:rsidRPr="00771DEC">
        <w:rPr>
          <w:rtl/>
        </w:rPr>
        <w:t>كررت صاحبة البلاغ في تعليقاتها المؤرخة 25 تشرين الثاني/نوفمبر 2016 موقفها بأنها تعرضت، خلال حدث عام بشأن حقوق الإنسان، للتمييز من ممثل للسلطات الحكومية، جاء إلى مكان الحدث وأدلى بتصريحات تعتبرها صاحبة البلاغ مسيئة ومهينة. وتشدّد صاحبة البلاغ على أن إهانة شرفها و</w:t>
      </w:r>
      <w:r>
        <w:rPr>
          <w:rFonts w:hint="cs"/>
          <w:rtl/>
        </w:rPr>
        <w:t>المس ب</w:t>
      </w:r>
      <w:r w:rsidRPr="00771DEC">
        <w:rPr>
          <w:rtl/>
        </w:rPr>
        <w:t xml:space="preserve">كرامتها وتعريضها للشتائم على أساس ميلها الجنسي تشهد على التمييز ضدها بسبب انتمائها إلى فئة ضعيفة، أي فئة </w:t>
      </w:r>
      <w:proofErr w:type="spellStart"/>
      <w:r w:rsidRPr="00771DEC">
        <w:rPr>
          <w:rtl/>
        </w:rPr>
        <w:t>المثليات</w:t>
      </w:r>
      <w:proofErr w:type="spellEnd"/>
      <w:r w:rsidRPr="00771DEC">
        <w:rPr>
          <w:rtl/>
        </w:rPr>
        <w:t xml:space="preserve"> ومزدوجات الميل الجنسي ومغايرات الهوية الجنسانية، وبسبب ميلها الجنسي وهويتها الجنسانية وان</w:t>
      </w:r>
      <w:r>
        <w:rPr>
          <w:rFonts w:hint="cs"/>
          <w:rtl/>
        </w:rPr>
        <w:t xml:space="preserve">خراطها في </w:t>
      </w:r>
      <w:r w:rsidRPr="00771DEC">
        <w:rPr>
          <w:rtl/>
        </w:rPr>
        <w:t xml:space="preserve">الدفاع عن حقوق </w:t>
      </w:r>
      <w:proofErr w:type="spellStart"/>
      <w:r w:rsidRPr="00771DEC">
        <w:rPr>
          <w:rtl/>
        </w:rPr>
        <w:t>المثليات</w:t>
      </w:r>
      <w:proofErr w:type="spellEnd"/>
      <w:r w:rsidRPr="00771DEC">
        <w:rPr>
          <w:rtl/>
        </w:rPr>
        <w:t xml:space="preserve"> والمثليين ومزدوجي الميل الجنسي ومغايري الهوية الجنسانية. وتصرح صاحبة البلاغ أيضاً أنها </w:t>
      </w:r>
      <w:r>
        <w:rPr>
          <w:rFonts w:hint="cs"/>
          <w:rtl/>
        </w:rPr>
        <w:t xml:space="preserve">تعرضت للإهانة والشتم </w:t>
      </w:r>
      <w:r w:rsidRPr="00771DEC">
        <w:rPr>
          <w:rtl/>
        </w:rPr>
        <w:t xml:space="preserve">بسبب عدم تقيدها بالقوالب النمطية المتعلقة بالدور التقليدي للمرأة في العلاقات الجنسانية وفي الأسرة وفيما يتعلق بالدور الاجتماعي </w:t>
      </w:r>
      <w:proofErr w:type="spellStart"/>
      <w:r w:rsidRPr="00771DEC">
        <w:rPr>
          <w:rtl/>
        </w:rPr>
        <w:t>للمثليات</w:t>
      </w:r>
      <w:proofErr w:type="spellEnd"/>
      <w:r w:rsidRPr="00771DEC">
        <w:rPr>
          <w:rtl/>
        </w:rPr>
        <w:t xml:space="preserve"> ومزدوجات الميل الجنسي ومغايرات الهوية الجنسانية. وتدّعي بأن الكلمات المستخدمة ضدها، والتي ينحصر </w:t>
      </w:r>
      <w:r>
        <w:rPr>
          <w:rFonts w:hint="cs"/>
          <w:rtl/>
        </w:rPr>
        <w:t>سياق تداولها</w:t>
      </w:r>
      <w:r w:rsidRPr="00771DEC">
        <w:rPr>
          <w:rtl/>
        </w:rPr>
        <w:t xml:space="preserve"> في بيئة إجرامية في مرافق الاحتجاز، كانت موجهة لربطها بسياق تلك البيئة الإجرامية بغرض تهميشها وإعطاء الانطباع بأن أسلوب حياتها إجرامي</w:t>
      </w:r>
      <w:r>
        <w:rPr>
          <w:rtl/>
        </w:rPr>
        <w:t>.</w:t>
      </w:r>
    </w:p>
    <w:p w14:paraId="2A611072" w14:textId="7E905D52" w:rsidR="00A92EF0" w:rsidRDefault="00A92EF0" w:rsidP="00A92EF0">
      <w:pPr>
        <w:pStyle w:val="SingleTxt"/>
        <w:rPr>
          <w:rtl/>
        </w:rPr>
      </w:pPr>
      <w:r>
        <w:rPr>
          <w:rFonts w:hint="cs"/>
          <w:rtl/>
        </w:rPr>
        <w:t>7</w:t>
      </w:r>
      <w:r>
        <w:rPr>
          <w:rtl/>
        </w:rPr>
        <w:t>-</w:t>
      </w:r>
      <w:r>
        <w:rPr>
          <w:rFonts w:hint="cs"/>
          <w:rtl/>
        </w:rPr>
        <w:t>2</w:t>
      </w:r>
      <w:r>
        <w:rPr>
          <w:rtl/>
        </w:rPr>
        <w:tab/>
        <w:t>وتدفع صاحبة البلاغ بأن</w:t>
      </w:r>
      <w:r>
        <w:rPr>
          <w:rFonts w:hint="cs"/>
          <w:rtl/>
        </w:rPr>
        <w:t xml:space="preserve"> </w:t>
      </w:r>
      <w:r w:rsidRPr="00771DEC">
        <w:rPr>
          <w:rtl/>
        </w:rPr>
        <w:t xml:space="preserve">السلطات رفضت ادّعاءاتها </w:t>
      </w:r>
      <w:r>
        <w:rPr>
          <w:rFonts w:hint="cs"/>
          <w:rtl/>
        </w:rPr>
        <w:t>رغم لجوئها إلى</w:t>
      </w:r>
      <w:r w:rsidRPr="00771DEC">
        <w:rPr>
          <w:rtl/>
        </w:rPr>
        <w:t xml:space="preserve"> السلطات الوطنية </w:t>
      </w:r>
      <w:r>
        <w:rPr>
          <w:rFonts w:hint="cs"/>
          <w:rtl/>
        </w:rPr>
        <w:t>طلباً ل</w:t>
      </w:r>
      <w:r w:rsidRPr="00771DEC">
        <w:rPr>
          <w:rtl/>
        </w:rPr>
        <w:t xml:space="preserve">حماية حقوقها في المساواة وعدم التمييز واحترام حياتها الخاصة وشرفها وكرامتها، ولم توفر لها سبيل انتصاف قانوني فعال. وتدفع صاحبة البلاغ أيضاً بأن مبادئ عدم التمييز والمساواة تقتضي إعمال المساواة الفعلية، لا المساواة القانونية أو الرسمية فقط. وتقتضي المساواة الفعلية اتباع نهج فردي إزاء الاحتياجات الخاصة لفئات ضعيفة بعينها والقضاء على كل الحواجز التي قد تواجهها هذه الفئات. وتشير صاحبة البلاغ إلى أنها معرضة بوجه خاص للتمييز المحظور بموجب الاتفاقية بالنظر إلى أنها تنتمي إلى فئة </w:t>
      </w:r>
      <w:proofErr w:type="spellStart"/>
      <w:r w:rsidRPr="00771DEC">
        <w:rPr>
          <w:rtl/>
        </w:rPr>
        <w:t>المثليات</w:t>
      </w:r>
      <w:proofErr w:type="spellEnd"/>
      <w:r w:rsidRPr="00771DEC">
        <w:rPr>
          <w:rtl/>
        </w:rPr>
        <w:t xml:space="preserve"> ومزدوجات الميل الجنسي ومغايرات الهوية الجنسانية ولأنها من </w:t>
      </w:r>
      <w:r>
        <w:rPr>
          <w:rFonts w:hint="cs"/>
          <w:rtl/>
        </w:rPr>
        <w:t>المدافعين عن</w:t>
      </w:r>
      <w:r w:rsidRPr="00771DEC">
        <w:rPr>
          <w:rtl/>
        </w:rPr>
        <w:t xml:space="preserve"> حقوق الإنسان. ووفقاً لصاحبة البلاغ، </w:t>
      </w:r>
      <w:r>
        <w:rPr>
          <w:rFonts w:hint="cs"/>
          <w:rtl/>
        </w:rPr>
        <w:t>يرتبط</w:t>
      </w:r>
      <w:r w:rsidRPr="00771DEC">
        <w:rPr>
          <w:rtl/>
        </w:rPr>
        <w:t xml:space="preserve"> التمييز ضد النساء على أساس جنسهن وهويتهن الجنسانية ارتباطاً وثيقاً بعوامل أخرى تؤثر على النساء، من قبيل مركزهن الاجتماعي وميلهن الجنسي. ولذلك فإن على الدولة الطرف أن تقرّ وتحظر قانون</w:t>
      </w:r>
      <w:r>
        <w:rPr>
          <w:rFonts w:hint="cs"/>
          <w:rtl/>
        </w:rPr>
        <w:t>ي</w:t>
      </w:r>
      <w:r w:rsidRPr="00771DEC">
        <w:rPr>
          <w:rtl/>
        </w:rPr>
        <w:t xml:space="preserve">اً هذه الأشكال المتداخلة من التمييز وتأثيراتها السلبية المتراكمة على النساء. وتشير صاحبة البلاغ إلى أن لجنة حقوق الإنسان خلصت إلى أن الإشارة إلى </w:t>
      </w:r>
      <w:r>
        <w:rPr>
          <w:rFonts w:hint="cs"/>
          <w:rtl/>
        </w:rPr>
        <w:t>”</w:t>
      </w:r>
      <w:r w:rsidRPr="00771DEC">
        <w:rPr>
          <w:rtl/>
        </w:rPr>
        <w:t>الجنس</w:t>
      </w:r>
      <w:r>
        <w:rPr>
          <w:rFonts w:hint="cs"/>
          <w:rtl/>
        </w:rPr>
        <w:t>“</w:t>
      </w:r>
      <w:r w:rsidRPr="00771DEC">
        <w:rPr>
          <w:rtl/>
        </w:rPr>
        <w:t xml:space="preserve"> في</w:t>
      </w:r>
      <w:r>
        <w:rPr>
          <w:rFonts w:hint="cs"/>
          <w:rtl/>
        </w:rPr>
        <w:t> </w:t>
      </w:r>
      <w:r w:rsidRPr="00771DEC">
        <w:rPr>
          <w:rtl/>
        </w:rPr>
        <w:t xml:space="preserve">الفقرة 1 من المادة 2 والمادة 26 من العهد الدولي الخاص بالحقوق المدنية والسياسية تشمل الميل </w:t>
      </w:r>
      <w:r w:rsidRPr="00771DEC">
        <w:rPr>
          <w:rtl/>
        </w:rPr>
        <w:lastRenderedPageBreak/>
        <w:t>الجنسي</w:t>
      </w:r>
      <w:r w:rsidRPr="00A92EF0">
        <w:rPr>
          <w:szCs w:val="30"/>
          <w:vertAlign w:val="superscript"/>
          <w:rtl/>
        </w:rPr>
        <w:t>(</w:t>
      </w:r>
      <w:r w:rsidRPr="00A92EF0">
        <w:rPr>
          <w:rStyle w:val="FootnoteReference"/>
          <w:szCs w:val="30"/>
          <w:rtl/>
        </w:rPr>
        <w:footnoteReference w:id="6"/>
      </w:r>
      <w:r w:rsidRPr="00A92EF0">
        <w:rPr>
          <w:szCs w:val="30"/>
          <w:vertAlign w:val="superscript"/>
          <w:rtl/>
        </w:rPr>
        <w:t>)</w:t>
      </w:r>
      <w:r w:rsidRPr="00771DEC">
        <w:rPr>
          <w:rtl/>
        </w:rPr>
        <w:t xml:space="preserve">. </w:t>
      </w:r>
      <w:r w:rsidRPr="00771DEC">
        <w:rPr>
          <w:rFonts w:ascii="Traditional Arabic" w:hAnsi="Traditional Arabic" w:hint="cs"/>
          <w:rtl/>
        </w:rPr>
        <w:t>وعلى</w:t>
      </w:r>
      <w:r w:rsidRPr="00771DEC">
        <w:rPr>
          <w:rtl/>
        </w:rPr>
        <w:t xml:space="preserve"> </w:t>
      </w:r>
      <w:r w:rsidRPr="00771DEC">
        <w:rPr>
          <w:rFonts w:ascii="Traditional Arabic" w:hAnsi="Traditional Arabic" w:hint="cs"/>
          <w:rtl/>
        </w:rPr>
        <w:t>ضوء</w:t>
      </w:r>
      <w:r w:rsidRPr="00771DEC">
        <w:rPr>
          <w:rtl/>
        </w:rPr>
        <w:t xml:space="preserve"> </w:t>
      </w:r>
      <w:r w:rsidRPr="00771DEC">
        <w:rPr>
          <w:rFonts w:ascii="Traditional Arabic" w:hAnsi="Traditional Arabic" w:hint="cs"/>
          <w:rtl/>
        </w:rPr>
        <w:t>ما</w:t>
      </w:r>
      <w:r w:rsidRPr="00771DEC">
        <w:rPr>
          <w:rtl/>
        </w:rPr>
        <w:t xml:space="preserve"> </w:t>
      </w:r>
      <w:r w:rsidRPr="00771DEC">
        <w:rPr>
          <w:rFonts w:ascii="Traditional Arabic" w:hAnsi="Traditional Arabic" w:hint="cs"/>
          <w:rtl/>
        </w:rPr>
        <w:t>تقدم،</w:t>
      </w:r>
      <w:r w:rsidRPr="00771DEC">
        <w:rPr>
          <w:rtl/>
        </w:rPr>
        <w:t xml:space="preserve"> </w:t>
      </w:r>
      <w:r w:rsidRPr="00771DEC">
        <w:rPr>
          <w:rFonts w:ascii="Traditional Arabic" w:hAnsi="Traditional Arabic" w:hint="cs"/>
          <w:rtl/>
        </w:rPr>
        <w:t>ترى</w:t>
      </w:r>
      <w:r w:rsidRPr="00771DEC">
        <w:rPr>
          <w:rtl/>
        </w:rPr>
        <w:t xml:space="preserve"> </w:t>
      </w:r>
      <w:r w:rsidRPr="00771DEC">
        <w:rPr>
          <w:rFonts w:ascii="Traditional Arabic" w:hAnsi="Traditional Arabic" w:hint="cs"/>
          <w:rtl/>
        </w:rPr>
        <w:t>صاحبة</w:t>
      </w:r>
      <w:r w:rsidRPr="00771DEC">
        <w:rPr>
          <w:rtl/>
        </w:rPr>
        <w:t xml:space="preserve"> </w:t>
      </w:r>
      <w:r w:rsidRPr="00771DEC">
        <w:rPr>
          <w:rFonts w:ascii="Traditional Arabic" w:hAnsi="Traditional Arabic" w:hint="cs"/>
          <w:rtl/>
        </w:rPr>
        <w:t>البلاغ</w:t>
      </w:r>
      <w:r w:rsidRPr="00771DEC">
        <w:rPr>
          <w:rtl/>
        </w:rPr>
        <w:t xml:space="preserve"> </w:t>
      </w:r>
      <w:r w:rsidRPr="00771DEC">
        <w:rPr>
          <w:rFonts w:ascii="Traditional Arabic" w:hAnsi="Traditional Arabic" w:hint="cs"/>
          <w:rtl/>
        </w:rPr>
        <w:t>أنها</w:t>
      </w:r>
      <w:r w:rsidRPr="00771DEC">
        <w:rPr>
          <w:rtl/>
        </w:rPr>
        <w:t xml:space="preserve"> </w:t>
      </w:r>
      <w:r w:rsidRPr="00771DEC">
        <w:rPr>
          <w:rFonts w:ascii="Traditional Arabic" w:hAnsi="Traditional Arabic" w:hint="cs"/>
          <w:rtl/>
        </w:rPr>
        <w:t>كانت</w:t>
      </w:r>
      <w:r w:rsidRPr="00771DEC">
        <w:rPr>
          <w:rtl/>
        </w:rPr>
        <w:t xml:space="preserve"> </w:t>
      </w:r>
      <w:r w:rsidRPr="00771DEC">
        <w:rPr>
          <w:rFonts w:ascii="Traditional Arabic" w:hAnsi="Traditional Arabic" w:hint="cs"/>
          <w:rtl/>
        </w:rPr>
        <w:t>ضحية</w:t>
      </w:r>
      <w:r w:rsidRPr="00771DEC">
        <w:rPr>
          <w:rtl/>
        </w:rPr>
        <w:t xml:space="preserve"> </w:t>
      </w:r>
      <w:r w:rsidRPr="00771DEC">
        <w:rPr>
          <w:rFonts w:ascii="Traditional Arabic" w:hAnsi="Traditional Arabic" w:hint="cs"/>
          <w:rtl/>
        </w:rPr>
        <w:t>تمييز</w:t>
      </w:r>
      <w:r w:rsidRPr="00771DEC">
        <w:rPr>
          <w:rtl/>
        </w:rPr>
        <w:t xml:space="preserve"> </w:t>
      </w:r>
      <w:r w:rsidRPr="00771DEC">
        <w:rPr>
          <w:rFonts w:ascii="Traditional Arabic" w:hAnsi="Traditional Arabic" w:hint="cs"/>
          <w:rtl/>
        </w:rPr>
        <w:t>في</w:t>
      </w:r>
      <w:r w:rsidRPr="00771DEC">
        <w:rPr>
          <w:rtl/>
        </w:rPr>
        <w:t xml:space="preserve"> </w:t>
      </w:r>
      <w:r>
        <w:rPr>
          <w:rFonts w:ascii="Traditional Arabic" w:hAnsi="Traditional Arabic" w:hint="cs"/>
          <w:rtl/>
        </w:rPr>
        <w:t>نطاق</w:t>
      </w:r>
      <w:r w:rsidRPr="00771DEC">
        <w:rPr>
          <w:rtl/>
        </w:rPr>
        <w:t xml:space="preserve"> </w:t>
      </w:r>
      <w:r w:rsidRPr="00771DEC">
        <w:rPr>
          <w:rFonts w:ascii="Traditional Arabic" w:hAnsi="Traditional Arabic" w:hint="cs"/>
          <w:rtl/>
        </w:rPr>
        <w:t>المعنى</w:t>
      </w:r>
      <w:r w:rsidRPr="00771DEC">
        <w:rPr>
          <w:rtl/>
        </w:rPr>
        <w:t xml:space="preserve"> </w:t>
      </w:r>
      <w:r w:rsidRPr="00771DEC">
        <w:rPr>
          <w:rFonts w:ascii="Traditional Arabic" w:hAnsi="Traditional Arabic" w:hint="cs"/>
          <w:rtl/>
        </w:rPr>
        <w:t>المقصود</w:t>
      </w:r>
      <w:r w:rsidRPr="00771DEC">
        <w:rPr>
          <w:rtl/>
        </w:rPr>
        <w:t xml:space="preserve"> </w:t>
      </w:r>
      <w:r w:rsidRPr="00771DEC">
        <w:rPr>
          <w:rFonts w:ascii="Traditional Arabic" w:hAnsi="Traditional Arabic" w:hint="cs"/>
          <w:rtl/>
        </w:rPr>
        <w:t>في</w:t>
      </w:r>
      <w:r>
        <w:rPr>
          <w:rFonts w:hint="cs"/>
          <w:rtl/>
        </w:rPr>
        <w:t> </w:t>
      </w:r>
      <w:r w:rsidRPr="00771DEC">
        <w:rPr>
          <w:rFonts w:ascii="Traditional Arabic" w:hAnsi="Traditional Arabic" w:hint="cs"/>
          <w:rtl/>
        </w:rPr>
        <w:t>المادة</w:t>
      </w:r>
      <w:r w:rsidRPr="00771DEC">
        <w:rPr>
          <w:rtl/>
        </w:rPr>
        <w:t xml:space="preserve"> 1 </w:t>
      </w:r>
      <w:r w:rsidRPr="00771DEC">
        <w:rPr>
          <w:rFonts w:ascii="Traditional Arabic" w:hAnsi="Traditional Arabic" w:hint="cs"/>
          <w:rtl/>
        </w:rPr>
        <w:t>من</w:t>
      </w:r>
      <w:r w:rsidRPr="00771DEC">
        <w:rPr>
          <w:rtl/>
        </w:rPr>
        <w:t xml:space="preserve"> اتفاقية القضاء على جميع أشكال التمييز ضد المرأة</w:t>
      </w:r>
      <w:r>
        <w:rPr>
          <w:rtl/>
        </w:rPr>
        <w:t>.</w:t>
      </w:r>
    </w:p>
    <w:p w14:paraId="68C0C0F9" w14:textId="2779BD4B" w:rsidR="00A92EF0" w:rsidRDefault="00A92EF0" w:rsidP="00A92EF0">
      <w:pPr>
        <w:pStyle w:val="SingleTxt"/>
        <w:rPr>
          <w:rtl/>
        </w:rPr>
      </w:pPr>
      <w:r>
        <w:rPr>
          <w:rFonts w:hint="cs"/>
          <w:rtl/>
        </w:rPr>
        <w:t>7</w:t>
      </w:r>
      <w:r>
        <w:rPr>
          <w:rtl/>
        </w:rPr>
        <w:t>-</w:t>
      </w:r>
      <w:r>
        <w:rPr>
          <w:rFonts w:hint="cs"/>
          <w:rtl/>
        </w:rPr>
        <w:t>3</w:t>
      </w:r>
      <w:r>
        <w:rPr>
          <w:rtl/>
        </w:rPr>
        <w:tab/>
      </w:r>
      <w:r w:rsidRPr="00771DEC">
        <w:rPr>
          <w:rtl/>
        </w:rPr>
        <w:t xml:space="preserve">وتدفع صاحبة البلاغ بأن الهيئات الدولية دأبت بانتظام على التعبير عن قلقها إزاء تقارير عن حالات التمييز واستخدام خطاب الكراهية بما في ذلك ضد </w:t>
      </w:r>
      <w:proofErr w:type="spellStart"/>
      <w:r w:rsidRPr="00771DEC">
        <w:rPr>
          <w:rtl/>
        </w:rPr>
        <w:t>المثليات</w:t>
      </w:r>
      <w:proofErr w:type="spellEnd"/>
      <w:r w:rsidRPr="00771DEC">
        <w:rPr>
          <w:rtl/>
        </w:rPr>
        <w:t xml:space="preserve"> ومزدوجات الميل الجنسي ومغايرات الهوية الجنسانية. وتشير إلى الملاحظات الختامية للجنة بشأن التقرير الدوري الثامن للاتحاد الروسي (</w:t>
      </w:r>
      <w:hyperlink r:id="rId16" w:history="1">
        <w:r w:rsidRPr="00704756">
          <w:rPr>
            <w:rStyle w:val="Hyperlink"/>
            <w:szCs w:val="20"/>
          </w:rPr>
          <w:t>CEDAW/C/RUS/CO/8</w:t>
        </w:r>
      </w:hyperlink>
      <w:r w:rsidRPr="00771DEC">
        <w:rPr>
          <w:rtl/>
        </w:rPr>
        <w:t xml:space="preserve">)، حيث أعربت اللجنة عن قلقها إزاء تقارير عن التمييز والتحرش وخطاب الكراهية، استناداً إلى القوالب النمطية السلبية ضد </w:t>
      </w:r>
      <w:proofErr w:type="spellStart"/>
      <w:r w:rsidRPr="00771DEC">
        <w:rPr>
          <w:rtl/>
        </w:rPr>
        <w:t>المثليات</w:t>
      </w:r>
      <w:proofErr w:type="spellEnd"/>
      <w:r w:rsidRPr="00771DEC">
        <w:rPr>
          <w:rtl/>
        </w:rPr>
        <w:t xml:space="preserve"> ومزدوجات الميل الجنسي ومغايرات الهوية الجنسانية وحثت الدولة الطرف على تقديم الحماية اللازمة من التمييز لأولئك النساء (المرجع</w:t>
      </w:r>
      <w:r>
        <w:rPr>
          <w:rFonts w:hint="cs"/>
          <w:rtl/>
        </w:rPr>
        <w:t xml:space="preserve"> نفسه</w:t>
      </w:r>
      <w:r w:rsidRPr="00771DEC">
        <w:rPr>
          <w:rtl/>
        </w:rPr>
        <w:t xml:space="preserve">، الفقرتان 41 و42). وتشير صاحبة البلاغ إلى أن تعرضها </w:t>
      </w:r>
      <w:r>
        <w:rPr>
          <w:rFonts w:hint="cs"/>
          <w:rtl/>
        </w:rPr>
        <w:t>بوجه خاص</w:t>
      </w:r>
      <w:r w:rsidRPr="00771DEC">
        <w:rPr>
          <w:rtl/>
        </w:rPr>
        <w:t xml:space="preserve"> لشتى أنواع التمييز يفرض على الدولة الطرف التزاماً لا يقتصر على الكف عن تلك الأفعال بل أيضاً التحقيق بعناية في تقارير التمييز ضد صاحبة البلاغ باعتبارها عضواً من فئة ضعيفة. وتشير صاحبة البلاغ أيضاً إلى توصية لجنة وزراء مجلس أوروبا بشأن التدابير الرامية إلى مكافحة التمييز بأسباب الميل الجنسي أو الهوية الجنسانية</w:t>
      </w:r>
      <w:r w:rsidRPr="00A92EF0">
        <w:rPr>
          <w:szCs w:val="30"/>
          <w:vertAlign w:val="superscript"/>
          <w:rtl/>
        </w:rPr>
        <w:t>(</w:t>
      </w:r>
      <w:r w:rsidRPr="00A92EF0">
        <w:rPr>
          <w:rStyle w:val="FootnoteReference"/>
          <w:szCs w:val="30"/>
          <w:rtl/>
        </w:rPr>
        <w:footnoteReference w:id="7"/>
      </w:r>
      <w:r w:rsidRPr="00A92EF0">
        <w:rPr>
          <w:szCs w:val="30"/>
          <w:vertAlign w:val="superscript"/>
          <w:rtl/>
        </w:rPr>
        <w:t>)</w:t>
      </w:r>
      <w:r>
        <w:rPr>
          <w:rFonts w:hint="cs"/>
          <w:rtl/>
        </w:rPr>
        <w:t xml:space="preserve"> </w:t>
      </w:r>
      <w:r w:rsidRPr="00771DEC">
        <w:rPr>
          <w:rtl/>
        </w:rPr>
        <w:t>والاجتهاد القضائي للمحكمة الأوروبية لحقوق الإنسان</w:t>
      </w:r>
      <w:r w:rsidRPr="00A92EF0">
        <w:rPr>
          <w:szCs w:val="30"/>
          <w:vertAlign w:val="superscript"/>
          <w:rtl/>
        </w:rPr>
        <w:t>(</w:t>
      </w:r>
      <w:r w:rsidRPr="00A92EF0">
        <w:rPr>
          <w:rStyle w:val="FootnoteReference"/>
          <w:szCs w:val="30"/>
          <w:rtl/>
        </w:rPr>
        <w:footnoteReference w:id="8"/>
      </w:r>
      <w:r w:rsidRPr="00A92EF0">
        <w:rPr>
          <w:szCs w:val="30"/>
          <w:vertAlign w:val="superscript"/>
          <w:rtl/>
        </w:rPr>
        <w:t>)</w:t>
      </w:r>
      <w:r>
        <w:rPr>
          <w:rFonts w:hint="cs"/>
          <w:rtl/>
        </w:rPr>
        <w:t xml:space="preserve"> </w:t>
      </w:r>
      <w:r w:rsidRPr="00771DEC">
        <w:rPr>
          <w:rtl/>
        </w:rPr>
        <w:t xml:space="preserve">باعتبارها خطوات </w:t>
      </w:r>
      <w:r w:rsidRPr="00771DEC">
        <w:rPr>
          <w:rFonts w:hint="cs"/>
          <w:rtl/>
        </w:rPr>
        <w:t>تتخذها</w:t>
      </w:r>
      <w:r w:rsidRPr="00771DEC">
        <w:rPr>
          <w:rtl/>
        </w:rPr>
        <w:t xml:space="preserve"> هيئات دولية أخرى لمكافحة التمييز على أساس الم</w:t>
      </w:r>
      <w:r>
        <w:rPr>
          <w:rtl/>
        </w:rPr>
        <w:t xml:space="preserve">يل الجنسي أو الهوية الجنسانية. </w:t>
      </w:r>
      <w:r w:rsidRPr="00771DEC">
        <w:rPr>
          <w:rtl/>
        </w:rPr>
        <w:t>وترى صاحبة البلاغ أن الدولة الطرف لم</w:t>
      </w:r>
      <w:r>
        <w:rPr>
          <w:rFonts w:hint="cs"/>
          <w:rtl/>
        </w:rPr>
        <w:t> </w:t>
      </w:r>
      <w:r w:rsidRPr="00771DEC">
        <w:rPr>
          <w:rtl/>
        </w:rPr>
        <w:t>تقدم لها سبل انتصاف قانونية فعالة إزاء التمييز الذي تعرضت له من شخص يعمل بصفة مسؤول حكومي وأنها لم تعترف بانتهاك حقوق</w:t>
      </w:r>
      <w:r>
        <w:rPr>
          <w:rFonts w:hint="cs"/>
          <w:rtl/>
        </w:rPr>
        <w:t xml:space="preserve">ها </w:t>
      </w:r>
      <w:r w:rsidRPr="00771DEC">
        <w:rPr>
          <w:rtl/>
        </w:rPr>
        <w:t>ولم تدنه ول</w:t>
      </w:r>
      <w:r>
        <w:rPr>
          <w:rFonts w:hint="cs"/>
          <w:rtl/>
        </w:rPr>
        <w:t>م</w:t>
      </w:r>
      <w:r w:rsidRPr="00771DEC">
        <w:rPr>
          <w:rtl/>
        </w:rPr>
        <w:t xml:space="preserve"> </w:t>
      </w:r>
      <w:r>
        <w:rPr>
          <w:rFonts w:hint="cs"/>
          <w:rtl/>
        </w:rPr>
        <w:t>ت</w:t>
      </w:r>
      <w:r w:rsidRPr="00771DEC">
        <w:rPr>
          <w:rtl/>
        </w:rPr>
        <w:t>قدم</w:t>
      </w:r>
      <w:r>
        <w:rPr>
          <w:rFonts w:hint="cs"/>
          <w:rtl/>
        </w:rPr>
        <w:t xml:space="preserve"> لها</w:t>
      </w:r>
      <w:r w:rsidRPr="00771DEC">
        <w:rPr>
          <w:rtl/>
        </w:rPr>
        <w:t xml:space="preserve"> أي تعويض أو </w:t>
      </w:r>
      <w:r>
        <w:rPr>
          <w:rFonts w:hint="cs"/>
          <w:rtl/>
        </w:rPr>
        <w:t>تتخذ</w:t>
      </w:r>
      <w:r w:rsidRPr="00771DEC">
        <w:rPr>
          <w:rtl/>
        </w:rPr>
        <w:t xml:space="preserve"> أي إجراءات أخرى ترمي إلى استعادة الحقوق المنتهكة لصاحبة البلاغ. وتشير صاحبة البلاغ أيضاً إلى أن السيد </w:t>
      </w:r>
      <w:proofErr w:type="spellStart"/>
      <w:r w:rsidRPr="00771DEC">
        <w:rPr>
          <w:rtl/>
        </w:rPr>
        <w:t>ميلونوف</w:t>
      </w:r>
      <w:proofErr w:type="spellEnd"/>
      <w:r w:rsidRPr="00771DEC">
        <w:rPr>
          <w:rtl/>
        </w:rPr>
        <w:t xml:space="preserve"> يعمل حالياً عضواً في مجلس النواب </w:t>
      </w:r>
      <w:r>
        <w:rPr>
          <w:rFonts w:hint="cs"/>
          <w:rtl/>
        </w:rPr>
        <w:t>”</w:t>
      </w:r>
      <w:r w:rsidRPr="00771DEC">
        <w:rPr>
          <w:rtl/>
        </w:rPr>
        <w:t>الدوما</w:t>
      </w:r>
      <w:r>
        <w:rPr>
          <w:rFonts w:hint="cs"/>
          <w:rtl/>
        </w:rPr>
        <w:t>“</w:t>
      </w:r>
      <w:r w:rsidRPr="00771DEC">
        <w:rPr>
          <w:rtl/>
        </w:rPr>
        <w:t>، وهي الغرفة السفلى في البرلمان الفدرالي للاتحاد الروسي</w:t>
      </w:r>
      <w:r>
        <w:rPr>
          <w:rtl/>
        </w:rPr>
        <w:t>.</w:t>
      </w:r>
    </w:p>
    <w:p w14:paraId="7D579594" w14:textId="24124B60" w:rsidR="00A92EF0" w:rsidRPr="00A92EF0" w:rsidRDefault="00A92EF0" w:rsidP="00A92EF0">
      <w:pPr>
        <w:pStyle w:val="SingleTxt"/>
        <w:spacing w:after="0" w:line="120" w:lineRule="exact"/>
        <w:rPr>
          <w:sz w:val="10"/>
          <w:rtl/>
        </w:rPr>
      </w:pPr>
    </w:p>
    <w:p w14:paraId="45B80F50" w14:textId="28DE503E" w:rsidR="00A92EF0" w:rsidRPr="00B67914" w:rsidRDefault="00A92EF0" w:rsidP="00A92E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B67914">
        <w:rPr>
          <w:rtl/>
        </w:rPr>
        <w:t>المسائل والإجراءات المعروضة على اللجنة</w:t>
      </w:r>
    </w:p>
    <w:p w14:paraId="41303765" w14:textId="172B5AC6" w:rsidR="00A92EF0" w:rsidRDefault="00A92EF0" w:rsidP="00A92EF0">
      <w:pPr>
        <w:pStyle w:val="SingleTxt"/>
        <w:rPr>
          <w:rtl/>
        </w:rPr>
      </w:pPr>
      <w:r>
        <w:rPr>
          <w:rFonts w:hint="cs"/>
          <w:rtl/>
        </w:rPr>
        <w:t>8</w:t>
      </w:r>
      <w:r>
        <w:rPr>
          <w:rtl/>
        </w:rPr>
        <w:t>-</w:t>
      </w:r>
      <w:r>
        <w:rPr>
          <w:rFonts w:hint="cs"/>
          <w:rtl/>
        </w:rPr>
        <w:t>1</w:t>
      </w:r>
      <w:r>
        <w:rPr>
          <w:rtl/>
        </w:rPr>
        <w:tab/>
      </w:r>
      <w:r w:rsidRPr="00B67914">
        <w:rPr>
          <w:rtl/>
        </w:rPr>
        <w:t>يجب على اللجنة، عملا بالمادة 64 من نظامها الداخلي، أن تبتّ فيما إذا كان البلاغ مقبولاً بموجب البروتوكول الاختياري. ووفقاً للمادة 4</w:t>
      </w:r>
      <w:r>
        <w:rPr>
          <w:rFonts w:hint="cs"/>
          <w:rtl/>
        </w:rPr>
        <w:t xml:space="preserve"> </w:t>
      </w:r>
      <w:r w:rsidRPr="00B67914">
        <w:rPr>
          <w:rtl/>
        </w:rPr>
        <w:t>(2)</w:t>
      </w:r>
      <w:r>
        <w:rPr>
          <w:rFonts w:hint="cs"/>
          <w:rtl/>
        </w:rPr>
        <w:t xml:space="preserve"> </w:t>
      </w:r>
      <w:r w:rsidRPr="00B67914">
        <w:rPr>
          <w:rtl/>
        </w:rPr>
        <w:t>(أ) من البروتوكول الاختياري، ترى اللجنة أن المسألة ذاتها لم تعرض وليست معروضة في إطار إجراء آخر من إجراءات التحقيق أو التسوية الدولية</w:t>
      </w:r>
      <w:r>
        <w:rPr>
          <w:rtl/>
        </w:rPr>
        <w:t>.</w:t>
      </w:r>
    </w:p>
    <w:p w14:paraId="71C9F488" w14:textId="7211CF76" w:rsidR="00A92EF0" w:rsidRDefault="00A92EF0" w:rsidP="00A92EF0">
      <w:pPr>
        <w:pStyle w:val="SingleTxt"/>
        <w:rPr>
          <w:rtl/>
        </w:rPr>
      </w:pPr>
      <w:r>
        <w:rPr>
          <w:rFonts w:hint="cs"/>
          <w:rtl/>
        </w:rPr>
        <w:t>8</w:t>
      </w:r>
      <w:r>
        <w:rPr>
          <w:rtl/>
        </w:rPr>
        <w:t>-</w:t>
      </w:r>
      <w:r>
        <w:rPr>
          <w:rFonts w:hint="cs"/>
          <w:rtl/>
        </w:rPr>
        <w:t>2</w:t>
      </w:r>
      <w:r>
        <w:rPr>
          <w:rtl/>
        </w:rPr>
        <w:tab/>
      </w:r>
      <w:r w:rsidRPr="00B67914">
        <w:rPr>
          <w:rtl/>
        </w:rPr>
        <w:t>وتذكر اللجنة بأنه يُمنع عليها، بموجب المادة 4-1 من البروتوكول الاختياري، أن تنظر في بلاغ ما لم تتيقن من أن جميع سبل الانتصاف المحلية المتاحة قد استُنفدت أو أن التماس تلك السبل قد</w:t>
      </w:r>
      <w:r>
        <w:rPr>
          <w:rFonts w:hint="cs"/>
          <w:rtl/>
        </w:rPr>
        <w:t> </w:t>
      </w:r>
      <w:r w:rsidRPr="00B67914">
        <w:rPr>
          <w:rtl/>
        </w:rPr>
        <w:t>استغرق وقتاً طويلاً غير معقول أو من غير المرجّح أن يحقق انتصافاً فعالاً</w:t>
      </w:r>
      <w:r w:rsidRPr="00A92EF0">
        <w:rPr>
          <w:szCs w:val="30"/>
          <w:vertAlign w:val="superscript"/>
          <w:rtl/>
        </w:rPr>
        <w:t>(</w:t>
      </w:r>
      <w:r w:rsidRPr="00A92EF0">
        <w:rPr>
          <w:rStyle w:val="FootnoteReference"/>
          <w:szCs w:val="30"/>
          <w:rtl/>
        </w:rPr>
        <w:footnoteReference w:id="9"/>
      </w:r>
      <w:r w:rsidRPr="00A92EF0">
        <w:rPr>
          <w:szCs w:val="30"/>
          <w:vertAlign w:val="superscript"/>
          <w:rtl/>
        </w:rPr>
        <w:t>)</w:t>
      </w:r>
      <w:r w:rsidRPr="00B67914">
        <w:rPr>
          <w:rFonts w:cs="Times New Roman" w:hint="cs"/>
          <w:rtl/>
        </w:rPr>
        <w:t>‬</w:t>
      </w:r>
      <w:r w:rsidR="00A47CFD">
        <w:rPr>
          <w:rFonts w:hint="cs"/>
          <w:rtl/>
        </w:rPr>
        <w:t xml:space="preserve">. </w:t>
      </w:r>
      <w:r w:rsidRPr="00B67914">
        <w:rPr>
          <w:rFonts w:ascii="Traditional Arabic" w:hAnsi="Traditional Arabic" w:hint="cs"/>
          <w:rtl/>
        </w:rPr>
        <w:t>وف</w:t>
      </w:r>
      <w:r w:rsidRPr="00B67914">
        <w:rPr>
          <w:rtl/>
        </w:rPr>
        <w:t xml:space="preserve">ي هذا السياق، تحيط اللجنة علماً بحجة الدولة الطرف بأن البلاغ ينبغي إعلانه غير مقبول بموجب ذلك الحكم، لأن صاحبة البلاغ لم تقدم طعناً بالنقض لدى المحكمة العليا ضد قرار المحكمة الأدنى الصادر في 29 نيسان/أبريل </w:t>
      </w:r>
      <w:r w:rsidRPr="00B67914">
        <w:rPr>
          <w:rtl/>
        </w:rPr>
        <w:lastRenderedPageBreak/>
        <w:t xml:space="preserve">2014 وقرار محكمة الاستئناف الصادر في 14 تشرين الأول/أكتوبر 2014. وتحيط اللجنة علماً أيضاً بإشارة الدولة الطرف إلى قضية </w:t>
      </w:r>
      <w:proofErr w:type="spellStart"/>
      <w:r w:rsidRPr="008425FF">
        <w:rPr>
          <w:i/>
          <w:iCs/>
          <w:rtl/>
        </w:rPr>
        <w:t>أبراميان</w:t>
      </w:r>
      <w:proofErr w:type="spellEnd"/>
      <w:r>
        <w:rPr>
          <w:rtl/>
        </w:rPr>
        <w:t xml:space="preserve"> </w:t>
      </w:r>
      <w:r w:rsidRPr="00A76590">
        <w:rPr>
          <w:i/>
          <w:iCs/>
          <w:rtl/>
        </w:rPr>
        <w:t>ضد الاتحاد الروسي</w:t>
      </w:r>
      <w:r w:rsidR="00A47CFD" w:rsidRPr="00A47CFD">
        <w:rPr>
          <w:i/>
          <w:iCs/>
          <w:szCs w:val="30"/>
          <w:vertAlign w:val="superscript"/>
          <w:rtl/>
        </w:rPr>
        <w:t>(</w:t>
      </w:r>
      <w:r w:rsidR="00A47CFD" w:rsidRPr="00A47CFD">
        <w:rPr>
          <w:rStyle w:val="FootnoteReference"/>
          <w:i/>
          <w:iCs/>
          <w:szCs w:val="30"/>
          <w:rtl/>
        </w:rPr>
        <w:footnoteReference w:id="10"/>
      </w:r>
      <w:r w:rsidR="00A47CFD" w:rsidRPr="00A47CFD">
        <w:rPr>
          <w:i/>
          <w:iCs/>
          <w:szCs w:val="30"/>
          <w:vertAlign w:val="superscript"/>
          <w:rtl/>
        </w:rPr>
        <w:t>)</w:t>
      </w:r>
      <w:r w:rsidRPr="00B67914">
        <w:rPr>
          <w:rtl/>
        </w:rPr>
        <w:t xml:space="preserve">، التي قضت فيها المحكمة الأوروبية لحقوق الإنسان </w:t>
      </w:r>
      <w:r>
        <w:rPr>
          <w:rFonts w:hint="cs"/>
          <w:rtl/>
        </w:rPr>
        <w:t>بوجوب</w:t>
      </w:r>
      <w:r w:rsidRPr="00B67914">
        <w:rPr>
          <w:rtl/>
        </w:rPr>
        <w:t xml:space="preserve"> استنفاد طعون النقض، قبل تقديم شكوى بموجب الاتفاقية الأوروبية لحقوق الإنسان. وعلاوة على ذلك، تشير الدولة الطرف إلى أن صاحبة البلاغ كان بوسعها أيضا أن تقدم شكوى إلى أمين المظالم الاتحادي أو الإقليمي</w:t>
      </w:r>
      <w:r>
        <w:rPr>
          <w:rtl/>
        </w:rPr>
        <w:t>.</w:t>
      </w:r>
    </w:p>
    <w:p w14:paraId="6BB6F340" w14:textId="77777777" w:rsidR="00A92EF0" w:rsidRDefault="00A92EF0" w:rsidP="00A92EF0">
      <w:pPr>
        <w:pStyle w:val="SingleTxt"/>
        <w:rPr>
          <w:rtl/>
        </w:rPr>
      </w:pPr>
      <w:r>
        <w:rPr>
          <w:rFonts w:hint="cs"/>
          <w:rtl/>
        </w:rPr>
        <w:t>8</w:t>
      </w:r>
      <w:r>
        <w:rPr>
          <w:rtl/>
        </w:rPr>
        <w:t>-</w:t>
      </w:r>
      <w:r>
        <w:rPr>
          <w:rFonts w:hint="cs"/>
          <w:rtl/>
        </w:rPr>
        <w:t>3</w:t>
      </w:r>
      <w:r>
        <w:rPr>
          <w:rtl/>
        </w:rPr>
        <w:tab/>
      </w:r>
      <w:r w:rsidRPr="00B67914">
        <w:rPr>
          <w:rtl/>
        </w:rPr>
        <w:t>وت</w:t>
      </w:r>
      <w:r>
        <w:rPr>
          <w:rFonts w:hint="cs"/>
          <w:rtl/>
        </w:rPr>
        <w:t>حيط اللجنة علماً</w:t>
      </w:r>
      <w:r w:rsidRPr="00B67914">
        <w:rPr>
          <w:rtl/>
        </w:rPr>
        <w:t xml:space="preserve"> </w:t>
      </w:r>
      <w:r>
        <w:rPr>
          <w:rFonts w:hint="cs"/>
          <w:rtl/>
        </w:rPr>
        <w:t>ب</w:t>
      </w:r>
      <w:r w:rsidRPr="00B67914">
        <w:rPr>
          <w:rtl/>
        </w:rPr>
        <w:t>أن المادة 387 من قانون الإجراءات المدنية تنص على أن قرارات المحاكم الأدنى درجة لا يجوز تعديلها أو إلغاؤها بموجب إجراء الطعن إلا في حال</w:t>
      </w:r>
      <w:r>
        <w:rPr>
          <w:rFonts w:hint="cs"/>
          <w:rtl/>
        </w:rPr>
        <w:t xml:space="preserve"> حدوث </w:t>
      </w:r>
      <w:r w:rsidRPr="00B67914">
        <w:rPr>
          <w:rtl/>
        </w:rPr>
        <w:t xml:space="preserve">انتهاكات جسيمة لقواعد القانون المادي أو لقواعد القانون الإجرائي تؤثر على مآل القضية. وتحيط اللجنة علما بأن صاحبة البلاغ تشير إلى أن دعواها المدنية رُفضت لأن المحكمة لم تقر بأن المدّعى عليه </w:t>
      </w:r>
      <w:r>
        <w:rPr>
          <w:rFonts w:hint="cs"/>
          <w:rtl/>
        </w:rPr>
        <w:t xml:space="preserve">حط من </w:t>
      </w:r>
      <w:r w:rsidRPr="00B67914">
        <w:rPr>
          <w:rtl/>
        </w:rPr>
        <w:t xml:space="preserve">كرامتها أو </w:t>
      </w:r>
      <w:r>
        <w:rPr>
          <w:rFonts w:hint="cs"/>
          <w:rtl/>
        </w:rPr>
        <w:t>ب</w:t>
      </w:r>
      <w:r w:rsidRPr="00B67914">
        <w:rPr>
          <w:rtl/>
        </w:rPr>
        <w:t xml:space="preserve">أن العبارات التي </w:t>
      </w:r>
      <w:r>
        <w:rPr>
          <w:rFonts w:hint="cs"/>
          <w:rtl/>
        </w:rPr>
        <w:t>خاطبها بها</w:t>
      </w:r>
      <w:r w:rsidRPr="00B67914">
        <w:rPr>
          <w:rtl/>
        </w:rPr>
        <w:t xml:space="preserve"> يمكن </w:t>
      </w:r>
      <w:r>
        <w:rPr>
          <w:rFonts w:hint="cs"/>
          <w:rtl/>
        </w:rPr>
        <w:t xml:space="preserve">أن تصنف في عداد </w:t>
      </w:r>
      <w:r w:rsidRPr="00B67914">
        <w:rPr>
          <w:rtl/>
        </w:rPr>
        <w:t xml:space="preserve">الشتائم. وتحيط اللجنة علماً أيضاً بحجة صاحبة البلاغ بأن طعن النقض الذي قدمته إلى محكمة مدينة </w:t>
      </w:r>
      <w:r w:rsidRPr="000A2553">
        <w:rPr>
          <w:rtl/>
        </w:rPr>
        <w:t xml:space="preserve">سانت بطرسبرغ </w:t>
      </w:r>
      <w:r w:rsidRPr="00B67914">
        <w:rPr>
          <w:rtl/>
        </w:rPr>
        <w:t xml:space="preserve">لا يطعن في قانونية المحكمة الابتدائية ومحكمة الاستئناف بل في استنتاجاتهما، التي يتعذر النظر فيها لدى محكمة للنقض، وأن الاستمرار في تقديم طعن إلى المحكمة العليا ليس سبيل انتصاف قانوني </w:t>
      </w:r>
      <w:r>
        <w:rPr>
          <w:rFonts w:hint="cs"/>
          <w:rtl/>
        </w:rPr>
        <w:t>يمكنه أن يحقق</w:t>
      </w:r>
      <w:r w:rsidRPr="00B67914">
        <w:rPr>
          <w:rtl/>
        </w:rPr>
        <w:t xml:space="preserve"> النتيجة </w:t>
      </w:r>
      <w:r>
        <w:rPr>
          <w:rFonts w:hint="cs"/>
          <w:rtl/>
        </w:rPr>
        <w:t>المرجوة</w:t>
      </w:r>
      <w:r>
        <w:rPr>
          <w:rtl/>
        </w:rPr>
        <w:t>.</w:t>
      </w:r>
    </w:p>
    <w:p w14:paraId="649EC32D" w14:textId="2D0359BD" w:rsidR="00A92EF0" w:rsidRDefault="00A92EF0" w:rsidP="00A92EF0">
      <w:pPr>
        <w:pStyle w:val="SingleTxt"/>
        <w:rPr>
          <w:rtl/>
        </w:rPr>
      </w:pPr>
      <w:r>
        <w:rPr>
          <w:rFonts w:hint="cs"/>
          <w:rtl/>
        </w:rPr>
        <w:t>8</w:t>
      </w:r>
      <w:r>
        <w:rPr>
          <w:rtl/>
        </w:rPr>
        <w:t>-</w:t>
      </w:r>
      <w:r>
        <w:rPr>
          <w:rFonts w:hint="cs"/>
          <w:rtl/>
        </w:rPr>
        <w:t>4</w:t>
      </w:r>
      <w:r>
        <w:rPr>
          <w:rtl/>
        </w:rPr>
        <w:tab/>
      </w:r>
      <w:r w:rsidRPr="00B67914">
        <w:rPr>
          <w:rtl/>
        </w:rPr>
        <w:t>وتذكِّر اللجنة باجتهاداتها السابقة</w:t>
      </w:r>
      <w:r w:rsidR="00A47CFD" w:rsidRPr="00A47CFD">
        <w:rPr>
          <w:szCs w:val="30"/>
          <w:vertAlign w:val="superscript"/>
          <w:rtl/>
        </w:rPr>
        <w:t>(</w:t>
      </w:r>
      <w:r w:rsidR="00A47CFD" w:rsidRPr="00A47CFD">
        <w:rPr>
          <w:rStyle w:val="FootnoteReference"/>
          <w:szCs w:val="30"/>
          <w:rtl/>
        </w:rPr>
        <w:footnoteReference w:id="11"/>
      </w:r>
      <w:r w:rsidR="00A47CFD" w:rsidRPr="00A47CFD">
        <w:rPr>
          <w:szCs w:val="30"/>
          <w:vertAlign w:val="superscript"/>
          <w:rtl/>
        </w:rPr>
        <w:t>)</w:t>
      </w:r>
      <w:r w:rsidR="00A47CFD">
        <w:rPr>
          <w:rFonts w:hint="cs"/>
          <w:rtl/>
        </w:rPr>
        <w:t xml:space="preserve"> </w:t>
      </w:r>
      <w:r w:rsidRPr="00B67914">
        <w:rPr>
          <w:rtl/>
        </w:rPr>
        <w:t xml:space="preserve">التي قضت فيها </w:t>
      </w:r>
      <w:r>
        <w:rPr>
          <w:rFonts w:hint="cs"/>
          <w:rtl/>
        </w:rPr>
        <w:t>بأن إجراءات النقض تنظر في المقام الأول في مدى قانونية الأحكام الصادرة عن المحاكم الأدنى درجة.</w:t>
      </w:r>
      <w:r w:rsidRPr="00B67914">
        <w:rPr>
          <w:rtl/>
        </w:rPr>
        <w:t xml:space="preserve"> وبالنظر إلى </w:t>
      </w:r>
      <w:r>
        <w:rPr>
          <w:rFonts w:hint="cs"/>
          <w:rtl/>
        </w:rPr>
        <w:t xml:space="preserve">أن </w:t>
      </w:r>
      <w:r w:rsidRPr="00B67914">
        <w:rPr>
          <w:rtl/>
        </w:rPr>
        <w:t xml:space="preserve">صاحبة البلاغ، في هذه القضية، </w:t>
      </w:r>
      <w:r>
        <w:rPr>
          <w:rFonts w:hint="cs"/>
          <w:rtl/>
        </w:rPr>
        <w:t xml:space="preserve">التمست </w:t>
      </w:r>
      <w:r w:rsidRPr="00B67914">
        <w:rPr>
          <w:rtl/>
        </w:rPr>
        <w:t xml:space="preserve">من المحاكم الأعلى درجة أن تعيد تقييم الأدلة والوقائع المقدمة، </w:t>
      </w:r>
      <w:r>
        <w:rPr>
          <w:rFonts w:hint="cs"/>
          <w:rtl/>
        </w:rPr>
        <w:t xml:space="preserve">فإن </w:t>
      </w:r>
      <w:r w:rsidRPr="00B67914">
        <w:rPr>
          <w:rtl/>
        </w:rPr>
        <w:t xml:space="preserve">اللجنة </w:t>
      </w:r>
      <w:r>
        <w:rPr>
          <w:rFonts w:hint="cs"/>
          <w:rtl/>
        </w:rPr>
        <w:t xml:space="preserve">ترى </w:t>
      </w:r>
      <w:r w:rsidRPr="00B67914">
        <w:rPr>
          <w:rtl/>
        </w:rPr>
        <w:t xml:space="preserve">أن الانتقال إلى الطعن بالنقض لن يشكل سبيل انتصاف فعال لصاحبة البلاغ. وفيما يتعلق بادعاء الدولة الطرف بأن صاحبة البلاغ كان بوسعها تقديم شكاوى إلى أمين المظالم الإقليمي أو الاتحادي، تشير اللجنة إلى اجتهاد </w:t>
      </w:r>
      <w:r w:rsidRPr="00A76590">
        <w:rPr>
          <w:rtl/>
        </w:rPr>
        <w:t>اللجنة المعنية بحقوق الإنسان</w:t>
      </w:r>
      <w:r w:rsidR="00A47CFD" w:rsidRPr="00A47CFD">
        <w:rPr>
          <w:szCs w:val="30"/>
          <w:vertAlign w:val="superscript"/>
          <w:rtl/>
        </w:rPr>
        <w:t>(</w:t>
      </w:r>
      <w:r w:rsidR="00A47CFD" w:rsidRPr="00A47CFD">
        <w:rPr>
          <w:rStyle w:val="FootnoteReference"/>
          <w:szCs w:val="30"/>
          <w:rtl/>
        </w:rPr>
        <w:footnoteReference w:id="12"/>
      </w:r>
      <w:r w:rsidR="00A47CFD" w:rsidRPr="00A47CFD">
        <w:rPr>
          <w:szCs w:val="30"/>
          <w:vertAlign w:val="superscript"/>
          <w:rtl/>
        </w:rPr>
        <w:t>)</w:t>
      </w:r>
      <w:r w:rsidRPr="00A76590">
        <w:rPr>
          <w:rtl/>
        </w:rPr>
        <w:t xml:space="preserve"> </w:t>
      </w:r>
      <w:r w:rsidRPr="00B67914">
        <w:rPr>
          <w:rtl/>
        </w:rPr>
        <w:t>والمحكمة الأوروبية لحقوق الإنسان</w:t>
      </w:r>
      <w:r w:rsidR="00A47CFD" w:rsidRPr="00A47CFD">
        <w:rPr>
          <w:szCs w:val="30"/>
          <w:vertAlign w:val="superscript"/>
          <w:rtl/>
        </w:rPr>
        <w:t>(</w:t>
      </w:r>
      <w:r w:rsidR="00A47CFD" w:rsidRPr="00A47CFD">
        <w:rPr>
          <w:rStyle w:val="FootnoteReference"/>
          <w:szCs w:val="30"/>
          <w:rtl/>
        </w:rPr>
        <w:footnoteReference w:id="13"/>
      </w:r>
      <w:r w:rsidR="00A47CFD" w:rsidRPr="00A47CFD">
        <w:rPr>
          <w:szCs w:val="30"/>
          <w:vertAlign w:val="superscript"/>
          <w:rtl/>
        </w:rPr>
        <w:t>)</w:t>
      </w:r>
      <w:r w:rsidRPr="00B67914">
        <w:rPr>
          <w:rtl/>
        </w:rPr>
        <w:t>، اللتين ذهبتا إلى أن مؤسسة أمين المظالم لا تشكل سبيل انتصاف فعال. ولا ترى اللجنة سبباً في الانتهاء إلى استنتاج مختلف في المسألة المعروضة في هذه القضية</w:t>
      </w:r>
      <w:r>
        <w:rPr>
          <w:rtl/>
        </w:rPr>
        <w:t>.</w:t>
      </w:r>
    </w:p>
    <w:p w14:paraId="39B288F6" w14:textId="45B20852" w:rsidR="00A92EF0" w:rsidRDefault="00A92EF0" w:rsidP="00A92EF0">
      <w:pPr>
        <w:pStyle w:val="SingleTxt"/>
        <w:rPr>
          <w:rtl/>
        </w:rPr>
      </w:pPr>
      <w:r w:rsidRPr="00B67914">
        <w:rPr>
          <w:rtl/>
        </w:rPr>
        <w:t>8-</w:t>
      </w:r>
      <w:r>
        <w:rPr>
          <w:rFonts w:hint="cs"/>
          <w:rtl/>
        </w:rPr>
        <w:t>5</w:t>
      </w:r>
      <w:r w:rsidR="00973999">
        <w:rPr>
          <w:rtl/>
        </w:rPr>
        <w:tab/>
      </w:r>
      <w:r>
        <w:rPr>
          <w:rtl/>
          <w:lang w:val="en-GB" w:eastAsia="zh-TW"/>
        </w:rPr>
        <w:t>وتحيط اللجنة علما بأن صاحبة البلاغ تدعي انتهاك حقوقها المكفولة بموجب الفقرات (ب)</w:t>
      </w:r>
      <w:r w:rsidR="00973999">
        <w:rPr>
          <w:rFonts w:hint="cs"/>
          <w:rtl/>
          <w:lang w:val="en-GB" w:eastAsia="zh-TW"/>
        </w:rPr>
        <w:t xml:space="preserve"> </w:t>
      </w:r>
      <w:r>
        <w:rPr>
          <w:rtl/>
          <w:lang w:val="en-GB" w:eastAsia="zh-TW"/>
        </w:rPr>
        <w:t>و</w:t>
      </w:r>
      <w:r w:rsidR="00973999">
        <w:rPr>
          <w:rFonts w:hint="cs"/>
          <w:rtl/>
          <w:lang w:val="en-GB" w:eastAsia="zh-TW"/>
        </w:rPr>
        <w:t xml:space="preserve"> </w:t>
      </w:r>
      <w:r>
        <w:rPr>
          <w:rtl/>
          <w:lang w:val="en-GB" w:eastAsia="zh-TW"/>
        </w:rPr>
        <w:t>(د)</w:t>
      </w:r>
      <w:r w:rsidR="00973999">
        <w:rPr>
          <w:rFonts w:hint="cs"/>
          <w:rtl/>
          <w:lang w:val="en-GB" w:eastAsia="zh-TW"/>
        </w:rPr>
        <w:t xml:space="preserve"> </w:t>
      </w:r>
      <w:r>
        <w:rPr>
          <w:rtl/>
          <w:lang w:val="en-GB" w:eastAsia="zh-TW"/>
        </w:rPr>
        <w:t>و</w:t>
      </w:r>
      <w:r w:rsidR="00973999">
        <w:rPr>
          <w:rFonts w:hint="cs"/>
          <w:rtl/>
          <w:lang w:val="en-GB" w:eastAsia="zh-TW"/>
        </w:rPr>
        <w:t xml:space="preserve"> </w:t>
      </w:r>
      <w:r>
        <w:rPr>
          <w:rtl/>
          <w:lang w:val="en-GB" w:eastAsia="zh-TW"/>
        </w:rPr>
        <w:t>(ه) من المادة 2 والفقرة (أ) من المادة 5 والفقرة (ج) من المادة 7 من الاتفاقية.</w:t>
      </w:r>
      <w:r w:rsidR="00973999">
        <w:rPr>
          <w:rFonts w:hint="cs"/>
          <w:rtl/>
          <w:lang w:val="en-GB" w:eastAsia="zh-TW"/>
        </w:rPr>
        <w:t xml:space="preserve"> </w:t>
      </w:r>
      <w:r>
        <w:rPr>
          <w:rtl/>
          <w:lang w:val="en-GB" w:eastAsia="zh-TW"/>
        </w:rPr>
        <w:t>ووفقاً لصاحبة البلاغ، لم تقر الدولة الطرف بما تعرضت له من تمييز وإهانة بسبب ميلها الجنسي وهويتها الجنسانية.</w:t>
      </w:r>
      <w:r w:rsidR="00973999">
        <w:rPr>
          <w:rFonts w:hint="cs"/>
          <w:rtl/>
          <w:lang w:val="en-GB" w:eastAsia="zh-TW"/>
        </w:rPr>
        <w:t xml:space="preserve"> </w:t>
      </w:r>
      <w:r>
        <w:rPr>
          <w:rtl/>
          <w:lang w:val="en-GB" w:eastAsia="zh-TW"/>
        </w:rPr>
        <w:t>وت</w:t>
      </w:r>
      <w:r>
        <w:rPr>
          <w:rFonts w:hint="cs"/>
          <w:rtl/>
          <w:lang w:val="en-GB" w:eastAsia="zh-TW"/>
        </w:rPr>
        <w:t xml:space="preserve">حيط اللجنة علماً </w:t>
      </w:r>
      <w:r>
        <w:rPr>
          <w:rtl/>
          <w:lang w:val="en-GB" w:eastAsia="zh-TW"/>
        </w:rPr>
        <w:t xml:space="preserve">أيضا </w:t>
      </w:r>
      <w:r>
        <w:rPr>
          <w:rFonts w:hint="cs"/>
          <w:rtl/>
          <w:lang w:val="en-GB" w:eastAsia="zh-TW"/>
        </w:rPr>
        <w:t>ب</w:t>
      </w:r>
      <w:r>
        <w:rPr>
          <w:rtl/>
          <w:lang w:val="en-GB" w:eastAsia="zh-TW"/>
        </w:rPr>
        <w:t xml:space="preserve">أن للدولة الطرف دفعت، على إثر النظر في دعوى صاحبة البلاغ، بأن المحاكم الوطنية لم تستنتج أن عبارات المدّعى عليه قدحية أو </w:t>
      </w:r>
      <w:r>
        <w:rPr>
          <w:rFonts w:hint="cs"/>
          <w:rtl/>
          <w:lang w:val="en-GB" w:eastAsia="zh-TW"/>
        </w:rPr>
        <w:t xml:space="preserve">أنها </w:t>
      </w:r>
      <w:r>
        <w:rPr>
          <w:rtl/>
          <w:lang w:val="en-GB" w:eastAsia="zh-TW"/>
        </w:rPr>
        <w:t>تحط من شرف وكرامة صاحبة البلاغ، لأن تلك الكلمات والعبارات ل</w:t>
      </w:r>
      <w:r>
        <w:rPr>
          <w:rFonts w:hint="cs"/>
          <w:rtl/>
          <w:lang w:val="en-GB" w:eastAsia="zh-TW"/>
        </w:rPr>
        <w:t xml:space="preserve">يست موجهة إلى شخص </w:t>
      </w:r>
      <w:r>
        <w:rPr>
          <w:rtl/>
          <w:lang w:val="en-GB" w:eastAsia="zh-TW"/>
        </w:rPr>
        <w:t xml:space="preserve">صاحبة البلاغ، ولا تتضمن أي كلمات قدحية أو مهينة وأنها تعبر ببساطة عن الرأي </w:t>
      </w:r>
      <w:r>
        <w:rPr>
          <w:rFonts w:hint="cs"/>
          <w:rtl/>
          <w:lang w:val="en-GB" w:eastAsia="zh-TW"/>
        </w:rPr>
        <w:t>الشخصي</w:t>
      </w:r>
      <w:r>
        <w:rPr>
          <w:rtl/>
          <w:lang w:val="en-GB" w:eastAsia="zh-TW"/>
        </w:rPr>
        <w:t xml:space="preserve"> للمدّعى عليه إزاء ما حدث، وهو حر في التعبير عن رأيه بموجب الدستور والقانون الدولي.</w:t>
      </w:r>
      <w:r>
        <w:rPr>
          <w:lang w:val="en-GB" w:eastAsia="zh-TW"/>
        </w:rPr>
        <w:t xml:space="preserve"> </w:t>
      </w:r>
      <w:r>
        <w:rPr>
          <w:rtl/>
          <w:lang w:val="en-GB" w:eastAsia="zh-TW"/>
        </w:rPr>
        <w:t xml:space="preserve">وتحيط علما كذلك بأن الدولة الطرف أشارت إلى أن المحاكم الوطنية خلصت </w:t>
      </w:r>
      <w:r>
        <w:rPr>
          <w:rtl/>
          <w:lang w:val="en-GB" w:eastAsia="zh-TW"/>
        </w:rPr>
        <w:lastRenderedPageBreak/>
        <w:t>في استنتاجاتها أنه لم يحدث أي انتهاك لحقوق صاحبة البلاغ الشخصية وغير المادية، بما في ذلك الحق في</w:t>
      </w:r>
      <w:r w:rsidR="00973999">
        <w:rPr>
          <w:rFonts w:hint="cs"/>
          <w:rtl/>
          <w:lang w:val="en-GB" w:eastAsia="zh-TW"/>
        </w:rPr>
        <w:t> </w:t>
      </w:r>
      <w:r>
        <w:rPr>
          <w:rtl/>
          <w:lang w:val="en-GB" w:eastAsia="zh-TW"/>
        </w:rPr>
        <w:t>عدم التعرض للتمييز</w:t>
      </w:r>
      <w:r>
        <w:rPr>
          <w:rFonts w:hint="cs"/>
          <w:rtl/>
          <w:lang w:val="en-GB" w:eastAsia="zh-TW"/>
        </w:rPr>
        <w:t>.</w:t>
      </w:r>
    </w:p>
    <w:p w14:paraId="113D29A0" w14:textId="3ED27E97" w:rsidR="00A92EF0" w:rsidRDefault="00A92EF0" w:rsidP="00973999">
      <w:pPr>
        <w:pStyle w:val="SingleTxt"/>
        <w:rPr>
          <w:rFonts w:cs="Times New Roman"/>
          <w:rtl/>
        </w:rPr>
      </w:pPr>
      <w:r w:rsidRPr="00B67914">
        <w:rPr>
          <w:rtl/>
        </w:rPr>
        <w:t>8-</w:t>
      </w:r>
      <w:r>
        <w:rPr>
          <w:rFonts w:hint="cs"/>
          <w:rtl/>
        </w:rPr>
        <w:t>6</w:t>
      </w:r>
      <w:r w:rsidR="00973999">
        <w:rPr>
          <w:rtl/>
        </w:rPr>
        <w:tab/>
      </w:r>
      <w:r w:rsidRPr="00B67914">
        <w:rPr>
          <w:rtl/>
        </w:rPr>
        <w:t>وتشير اللجنة إلى أن ادعاءات صاحبة البلاغ ترمي، من حيث الجوهر، إلى الطعن في أسلوب تقييم المحاكم الوطنية لملابسات قضيتها وتطبيقها القانون الوطني. وتشدّد اللجنة على أنها لا تحل محل السلطات الوطنية في تقييم الوقائع، ولا تبت في المسؤولية الجنائية للجاني المدّعى عليه</w:t>
      </w:r>
      <w:r w:rsidR="00973999" w:rsidRPr="00973999">
        <w:rPr>
          <w:szCs w:val="30"/>
          <w:vertAlign w:val="superscript"/>
          <w:rtl/>
        </w:rPr>
        <w:t>(</w:t>
      </w:r>
      <w:r w:rsidR="00973999" w:rsidRPr="00973999">
        <w:rPr>
          <w:rStyle w:val="FootnoteReference"/>
          <w:szCs w:val="30"/>
          <w:rtl/>
        </w:rPr>
        <w:footnoteReference w:id="14"/>
      </w:r>
      <w:r w:rsidR="00973999" w:rsidRPr="00973999">
        <w:rPr>
          <w:szCs w:val="30"/>
          <w:vertAlign w:val="superscript"/>
          <w:rtl/>
        </w:rPr>
        <w:t>)</w:t>
      </w:r>
      <w:r w:rsidRPr="00B67914">
        <w:rPr>
          <w:rtl/>
        </w:rPr>
        <w:t xml:space="preserve">. وترى اللجنة أنه يؤول عموماً للمحاكم في الدول الأطراف في الاتفاقية أن تقيِّم الوقائع والأدلة وتطبق القانون الوطني في قضية بعينها ما لم يثبت لديها أن ذلك التقييم كان متحيزاً أو مستنداً إلى قوالب نمطية جنسانية ضارة تشكل تمييزاً ضد المرأة، أو كان متعسفاً تعسفاً سافراً أو </w:t>
      </w:r>
      <w:r>
        <w:rPr>
          <w:rFonts w:hint="cs"/>
          <w:rtl/>
        </w:rPr>
        <w:t>ي</w:t>
      </w:r>
      <w:r w:rsidRPr="00B67914">
        <w:rPr>
          <w:rtl/>
        </w:rPr>
        <w:t>رتقى إلى إنكار العدالة. وفي هذا السياق، تشير اللجنة إلى أن ما من شيء في المواد المعروضة عليها يدل على عناصر يرجّح أن تثبت أن نظر المحاكم في</w:t>
      </w:r>
      <w:r w:rsidR="00973999">
        <w:rPr>
          <w:rFonts w:hint="cs"/>
          <w:rtl/>
        </w:rPr>
        <w:t> </w:t>
      </w:r>
      <w:r w:rsidRPr="00B67914">
        <w:rPr>
          <w:rtl/>
        </w:rPr>
        <w:t xml:space="preserve">قضية صاحبة البلاغ، سواء فيما يتعلق بادعاءات تعرضها للشتم أو التمييز، </w:t>
      </w:r>
      <w:r>
        <w:rPr>
          <w:rFonts w:hint="cs"/>
          <w:rtl/>
        </w:rPr>
        <w:t xml:space="preserve">قد </w:t>
      </w:r>
      <w:proofErr w:type="spellStart"/>
      <w:r>
        <w:rPr>
          <w:rFonts w:hint="cs"/>
          <w:rtl/>
        </w:rPr>
        <w:t>شابته</w:t>
      </w:r>
      <w:proofErr w:type="spellEnd"/>
      <w:r>
        <w:rPr>
          <w:rFonts w:hint="cs"/>
          <w:rtl/>
        </w:rPr>
        <w:t xml:space="preserve"> </w:t>
      </w:r>
      <w:r w:rsidRPr="00B67914">
        <w:rPr>
          <w:rtl/>
        </w:rPr>
        <w:t xml:space="preserve">تلك العيوب. وتلاحظ اللجنة أن كلا طرفي الدعوى تمكنا من عرض آراء الخبراء الذين </w:t>
      </w:r>
      <w:r w:rsidRPr="00B67914">
        <w:rPr>
          <w:rFonts w:hint="cs"/>
          <w:rtl/>
        </w:rPr>
        <w:t>لج</w:t>
      </w:r>
      <w:r>
        <w:rPr>
          <w:rFonts w:hint="cs"/>
          <w:rtl/>
        </w:rPr>
        <w:t>آ</w:t>
      </w:r>
      <w:r w:rsidRPr="00B67914">
        <w:rPr>
          <w:rtl/>
        </w:rPr>
        <w:t xml:space="preserve"> إليهم بشأن معنى الكلمات المستخدمة </w:t>
      </w:r>
      <w:r>
        <w:rPr>
          <w:rFonts w:hint="cs"/>
          <w:rtl/>
        </w:rPr>
        <w:t>إزاء</w:t>
      </w:r>
      <w:r w:rsidRPr="00B67914">
        <w:rPr>
          <w:rtl/>
        </w:rPr>
        <w:t xml:space="preserve"> صاحبة البلاغ، وبعضها تعددت معانيه، بما في </w:t>
      </w:r>
      <w:r>
        <w:rPr>
          <w:rtl/>
        </w:rPr>
        <w:t>ذلك انطواؤها على معان مسيئة، و</w:t>
      </w:r>
      <w:r w:rsidRPr="00B67914">
        <w:rPr>
          <w:rtl/>
        </w:rPr>
        <w:t>أن المحكمة خلصت إلى أن ادعاءات صاحبة البلاغ بشأن تعرضها للتمييز والإهانة بسبب ميلها الجنسي لم</w:t>
      </w:r>
      <w:r w:rsidR="00973999">
        <w:rPr>
          <w:rFonts w:hint="cs"/>
          <w:rtl/>
        </w:rPr>
        <w:t> </w:t>
      </w:r>
      <w:r w:rsidRPr="00B67914">
        <w:rPr>
          <w:rtl/>
        </w:rPr>
        <w:t>تكن مدعومة بما يكفي من الأدلة. وعلى ضوء ما تقدم، وفي غياب أي معلومات أخرى بخصوص هذا الجانب من ملف القضية، ترى اللجنة أن البلاغ غير مشفوع بأدلة كافية، لأغراض المقبولية، ومن ثم فهو غير مقبول بموجب المادة 4 (2) (ج) من البروتوكول الاختياري.</w:t>
      </w:r>
      <w:r w:rsidRPr="00B67914">
        <w:rPr>
          <w:rFonts w:cs="Times New Roman" w:hint="cs"/>
          <w:rtl/>
        </w:rPr>
        <w:t>‬</w:t>
      </w:r>
    </w:p>
    <w:p w14:paraId="727293F2" w14:textId="77777777" w:rsidR="00A92EF0" w:rsidRDefault="00A92EF0" w:rsidP="00A92EF0">
      <w:pPr>
        <w:pStyle w:val="SingleTxt"/>
        <w:rPr>
          <w:rtl/>
        </w:rPr>
      </w:pPr>
      <w:r>
        <w:rPr>
          <w:rFonts w:hint="cs"/>
          <w:rtl/>
        </w:rPr>
        <w:t xml:space="preserve">9 </w:t>
      </w:r>
      <w:r>
        <w:rPr>
          <w:rtl/>
        </w:rPr>
        <w:t>-</w:t>
      </w:r>
      <w:r>
        <w:rPr>
          <w:rtl/>
        </w:rPr>
        <w:tab/>
        <w:t>وبناء على ذلك، تقرر اللجنة ما يلي:</w:t>
      </w:r>
    </w:p>
    <w:p w14:paraId="30A2AD4A" w14:textId="77777777" w:rsidR="00A92EF0" w:rsidRDefault="00A92EF0" w:rsidP="00A92EF0">
      <w:pPr>
        <w:pStyle w:val="SingleTxt"/>
        <w:rPr>
          <w:rtl/>
        </w:rPr>
      </w:pPr>
      <w:r>
        <w:rPr>
          <w:rtl/>
        </w:rPr>
        <w:tab/>
        <w:t>(أ)</w:t>
      </w:r>
      <w:r>
        <w:rPr>
          <w:rtl/>
        </w:rPr>
        <w:tab/>
        <w:t>أن البلاغ غير مقبول بموجب المادة 4 (2) (ج) من البروتوكول الاختياري؛</w:t>
      </w:r>
    </w:p>
    <w:p w14:paraId="6C5139CF" w14:textId="2207D346" w:rsidR="00A92EF0" w:rsidRDefault="00A92EF0" w:rsidP="00973999">
      <w:pPr>
        <w:pStyle w:val="SingleTxt"/>
        <w:rPr>
          <w:rtl/>
        </w:rPr>
      </w:pPr>
      <w:r>
        <w:rPr>
          <w:rtl/>
        </w:rPr>
        <w:tab/>
        <w:t>(ب)</w:t>
      </w:r>
      <w:r>
        <w:rPr>
          <w:rtl/>
        </w:rPr>
        <w:tab/>
        <w:t>أن تُبلَّغ الدولةُ الطرف وصاحبةُ البلاغ بهذا القرار.</w:t>
      </w:r>
    </w:p>
    <w:p w14:paraId="0AADD61D" w14:textId="74D9BC35" w:rsidR="00A92EF0" w:rsidRPr="00973999" w:rsidRDefault="00973999" w:rsidP="00973999">
      <w:pPr>
        <w:pStyle w:val="SingleTxt"/>
        <w:spacing w:after="0" w:line="240" w:lineRule="auto"/>
      </w:pPr>
      <w:r>
        <w:rPr>
          <w:rFonts w:hint="cs"/>
          <w:noProof/>
        </w:rPr>
        <mc:AlternateContent>
          <mc:Choice Requires="wps">
            <w:drawing>
              <wp:anchor distT="0" distB="0" distL="114300" distR="114300" simplePos="0" relativeHeight="251660288" behindDoc="0" locked="0" layoutInCell="1" allowOverlap="1" wp14:anchorId="601635E3" wp14:editId="69349A14">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63F4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A92EF0" w:rsidRPr="00973999" w:rsidSect="00A92EF0">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30T12:20:00Z" w:initials="Start">
    <w:p w14:paraId="70AC4C9C" w14:textId="77777777" w:rsidR="007343DA" w:rsidRDefault="007343D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NO&gt;&gt;N1910195A&lt;&lt;ODS JOB NO&gt;&gt;</w:t>
      </w:r>
    </w:p>
    <w:p w14:paraId="1D03DF81" w14:textId="77777777" w:rsidR="007343DA" w:rsidRDefault="007343DA">
      <w:pPr>
        <w:pStyle w:val="CommentText"/>
      </w:pPr>
      <w:r>
        <w:t>&lt;&lt;ODS DOC SYMBOL1&gt;&gt;CEDAW/C/72/D/98/2016&lt;&lt;ODS DOC SYMBOL1&gt;&gt;</w:t>
      </w:r>
    </w:p>
    <w:p w14:paraId="38A221D1" w14:textId="77777777" w:rsidR="007343DA" w:rsidRDefault="007343D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A221D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0214" w14:textId="77777777" w:rsidR="00A60C2F" w:rsidRDefault="00A60C2F" w:rsidP="00693CF9">
      <w:pPr>
        <w:spacing w:line="240" w:lineRule="auto"/>
      </w:pPr>
      <w:r>
        <w:separator/>
      </w:r>
    </w:p>
  </w:endnote>
  <w:endnote w:type="continuationSeparator" w:id="0">
    <w:p w14:paraId="4CA4795C" w14:textId="77777777" w:rsidR="00A60C2F" w:rsidRDefault="00A60C2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343DA" w14:paraId="0B1B03C4" w14:textId="77777777" w:rsidTr="007343DA">
      <w:tc>
        <w:tcPr>
          <w:tcW w:w="4920" w:type="dxa"/>
          <w:shd w:val="clear" w:color="auto" w:fill="auto"/>
        </w:tcPr>
        <w:p w14:paraId="0E037B3D" w14:textId="77777777" w:rsidR="007343DA" w:rsidRPr="007343DA" w:rsidRDefault="007343DA" w:rsidP="007343D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69B9E77" w14:textId="28CE1D08" w:rsidR="007343DA" w:rsidRPr="007343DA" w:rsidRDefault="007343DA" w:rsidP="007343D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34BF1">
            <w:rPr>
              <w:b w:val="0"/>
              <w:w w:val="103"/>
            </w:rPr>
            <w:t>19-05869</w:t>
          </w:r>
          <w:r>
            <w:rPr>
              <w:b w:val="0"/>
              <w:w w:val="103"/>
            </w:rPr>
            <w:fldChar w:fldCharType="end"/>
          </w:r>
        </w:p>
      </w:tc>
    </w:tr>
  </w:tbl>
  <w:p w14:paraId="266C2316" w14:textId="77777777" w:rsidR="007343DA" w:rsidRPr="007343DA" w:rsidRDefault="007343DA" w:rsidP="00734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343DA" w14:paraId="18DD4F49" w14:textId="77777777" w:rsidTr="007343DA">
      <w:tc>
        <w:tcPr>
          <w:tcW w:w="4920" w:type="dxa"/>
          <w:shd w:val="clear" w:color="auto" w:fill="auto"/>
        </w:tcPr>
        <w:p w14:paraId="7224561C" w14:textId="5AEDED37" w:rsidR="007343DA" w:rsidRPr="007343DA" w:rsidRDefault="007343DA" w:rsidP="007343D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34BF1">
            <w:rPr>
              <w:b w:val="0"/>
              <w:w w:val="103"/>
            </w:rPr>
            <w:t>19-05869</w:t>
          </w:r>
          <w:r>
            <w:rPr>
              <w:b w:val="0"/>
              <w:w w:val="103"/>
            </w:rPr>
            <w:fldChar w:fldCharType="end"/>
          </w:r>
        </w:p>
      </w:tc>
      <w:tc>
        <w:tcPr>
          <w:tcW w:w="4920" w:type="dxa"/>
          <w:shd w:val="clear" w:color="auto" w:fill="auto"/>
        </w:tcPr>
        <w:p w14:paraId="77086A27" w14:textId="77777777" w:rsidR="007343DA" w:rsidRPr="007343DA" w:rsidRDefault="007343DA" w:rsidP="007343DA">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D375365" w14:textId="77777777" w:rsidR="007343DA" w:rsidRPr="007343DA" w:rsidRDefault="007343DA" w:rsidP="00734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7343DA" w14:paraId="2A03CE21" w14:textId="77777777" w:rsidTr="007343DA">
      <w:trPr>
        <w:jc w:val="right"/>
      </w:trPr>
      <w:tc>
        <w:tcPr>
          <w:tcW w:w="3888" w:type="dxa"/>
        </w:tcPr>
        <w:p w14:paraId="39122CDF" w14:textId="77777777" w:rsidR="007343DA" w:rsidRDefault="007343DA" w:rsidP="007343D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A7760B0" wp14:editId="00C52B77">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72/D/98/201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98/201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DB4DEA5" wp14:editId="5ECE274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09503B4F" w14:textId="7C6EAB3C" w:rsidR="007343DA" w:rsidRDefault="007343DA" w:rsidP="007343DA">
          <w:pPr>
            <w:pStyle w:val="ReleaseDate"/>
          </w:pPr>
          <w:r>
            <w:t>300419    300419    19-05869</w:t>
          </w:r>
          <w:r w:rsidR="000E29FF">
            <w:t>X</w:t>
          </w:r>
          <w:r>
            <w:t xml:space="preserve"> (A)</w:t>
          </w:r>
        </w:p>
        <w:p w14:paraId="6600066F" w14:textId="762C95BF" w:rsidR="007343DA" w:rsidRPr="007343DA" w:rsidRDefault="007343DA" w:rsidP="007343DA">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34BF1">
            <w:rPr>
              <w:rFonts w:ascii="Barcode 3 of 9 by request" w:hAnsi="Barcode 3 of 9 by request"/>
              <w:sz w:val="24"/>
            </w:rPr>
            <w:t>*1905869*</w:t>
          </w:r>
          <w:r>
            <w:rPr>
              <w:rFonts w:ascii="Barcode 3 of 9 by request" w:hAnsi="Barcode 3 of 9 by request"/>
              <w:sz w:val="24"/>
            </w:rPr>
            <w:fldChar w:fldCharType="end"/>
          </w:r>
        </w:p>
      </w:tc>
    </w:tr>
  </w:tbl>
  <w:p w14:paraId="6F07A0DA" w14:textId="77777777" w:rsidR="007343DA" w:rsidRPr="007343DA" w:rsidRDefault="007343DA" w:rsidP="007343DA">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C661" w14:textId="657663BB" w:rsidR="00A60C2F" w:rsidRPr="00973999" w:rsidRDefault="00973999" w:rsidP="00973999">
      <w:pPr>
        <w:pStyle w:val="Footer"/>
        <w:bidi/>
        <w:spacing w:after="80"/>
        <w:ind w:left="792"/>
        <w:jc w:val="left"/>
        <w:rPr>
          <w:sz w:val="16"/>
        </w:rPr>
      </w:pPr>
      <w:r w:rsidRPr="00973999">
        <w:rPr>
          <w:sz w:val="16"/>
          <w:rtl/>
        </w:rPr>
        <w:t>__________</w:t>
      </w:r>
    </w:p>
  </w:footnote>
  <w:footnote w:type="continuationSeparator" w:id="0">
    <w:p w14:paraId="120BF46D" w14:textId="7BE290A9" w:rsidR="00A60C2F" w:rsidRPr="00973999" w:rsidRDefault="00973999" w:rsidP="00973999">
      <w:pPr>
        <w:pStyle w:val="Footer"/>
        <w:bidi/>
        <w:spacing w:after="80"/>
        <w:ind w:left="792"/>
        <w:jc w:val="left"/>
        <w:rPr>
          <w:sz w:val="16"/>
        </w:rPr>
      </w:pPr>
      <w:r w:rsidRPr="00973999">
        <w:rPr>
          <w:sz w:val="16"/>
          <w:rtl/>
        </w:rPr>
        <w:t>__________</w:t>
      </w:r>
    </w:p>
  </w:footnote>
  <w:footnote w:id="1">
    <w:p w14:paraId="2995BC13" w14:textId="5120C722"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Pr>
          <w:rtl/>
        </w:rPr>
        <w:tab/>
      </w:r>
      <w:r w:rsidRPr="00A92EF0">
        <w:rPr>
          <w:rtl/>
        </w:rPr>
        <w:t>(</w:t>
      </w:r>
      <w:r w:rsidRPr="00A92EF0">
        <w:rPr>
          <w:rStyle w:val="FootnoteReference"/>
          <w:spacing w:val="0"/>
          <w:w w:val="100"/>
          <w:szCs w:val="24"/>
          <w:vertAlign w:val="baseline"/>
          <w:rtl/>
        </w:rPr>
        <w:footnoteRef/>
      </w:r>
      <w:r w:rsidRPr="00A92EF0">
        <w:rPr>
          <w:rtl/>
        </w:rPr>
        <w:t>)</w:t>
      </w:r>
      <w:r w:rsidRPr="00A92EF0">
        <w:rPr>
          <w:rtl/>
        </w:rPr>
        <w:tab/>
        <w:t>بالإضافة إلى ذلك، التمست صاحبة البلاغ منع المدعى عليه من استخدام ألفاظ وعبارات بذيئة في حقها ودفع تعويض لها عن الضرر المعنوي مقداره 000 100 روبل</w:t>
      </w:r>
      <w:r>
        <w:rPr>
          <w:rFonts w:hint="cs"/>
          <w:rtl/>
        </w:rPr>
        <w:t>.</w:t>
      </w:r>
    </w:p>
  </w:footnote>
  <w:footnote w:id="2">
    <w:p w14:paraId="5B9C4CEE" w14:textId="2128A64D"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sidRPr="00A92EF0">
        <w:rPr>
          <w:rtl/>
        </w:rPr>
        <w:tab/>
        <w:t>(</w:t>
      </w:r>
      <w:r w:rsidRPr="00A92EF0">
        <w:rPr>
          <w:rStyle w:val="FootnoteReference"/>
          <w:spacing w:val="0"/>
          <w:w w:val="100"/>
          <w:szCs w:val="24"/>
          <w:vertAlign w:val="baseline"/>
          <w:rtl/>
        </w:rPr>
        <w:footnoteRef/>
      </w:r>
      <w:r w:rsidRPr="00A92EF0">
        <w:rPr>
          <w:rtl/>
        </w:rPr>
        <w:t>)</w:t>
      </w:r>
      <w:r w:rsidRPr="00A92EF0">
        <w:rPr>
          <w:rtl/>
        </w:rPr>
        <w:tab/>
        <w:t xml:space="preserve">انظر المحكمة الأوروبية لحقوق الإنسان، قضية </w:t>
      </w:r>
      <w:proofErr w:type="spellStart"/>
      <w:r w:rsidRPr="00A92EF0">
        <w:rPr>
          <w:i/>
          <w:iCs/>
          <w:rtl/>
        </w:rPr>
        <w:t>أبراميان</w:t>
      </w:r>
      <w:proofErr w:type="spellEnd"/>
      <w:r w:rsidRPr="00A92EF0">
        <w:rPr>
          <w:i/>
          <w:iCs/>
          <w:rtl/>
        </w:rPr>
        <w:t xml:space="preserve"> وآخرين ضد الاتحاد الروسي</w:t>
      </w:r>
      <w:r w:rsidRPr="00A92EF0">
        <w:rPr>
          <w:rtl/>
        </w:rPr>
        <w:t xml:space="preserve"> (الطلبان رقم 38951/13 ورقم 59611/13) الحكم الصادر في 12 أيار/مايو 2015.</w:t>
      </w:r>
    </w:p>
  </w:footnote>
  <w:footnote w:id="3">
    <w:p w14:paraId="4F788188" w14:textId="045FB84C"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Pr>
          <w:rtl/>
        </w:rPr>
        <w:tab/>
      </w:r>
      <w:r w:rsidRPr="00A92EF0">
        <w:rPr>
          <w:rtl/>
        </w:rPr>
        <w:t>(</w:t>
      </w:r>
      <w:r w:rsidRPr="00A92EF0">
        <w:rPr>
          <w:rStyle w:val="FootnoteReference"/>
          <w:spacing w:val="0"/>
          <w:w w:val="100"/>
          <w:szCs w:val="24"/>
          <w:vertAlign w:val="baseline"/>
          <w:rtl/>
        </w:rPr>
        <w:footnoteRef/>
      </w:r>
      <w:r w:rsidRPr="00A92EF0">
        <w:rPr>
          <w:rtl/>
        </w:rPr>
        <w:t>)</w:t>
      </w:r>
      <w:r w:rsidRPr="00A92EF0">
        <w:rPr>
          <w:rtl/>
        </w:rPr>
        <w:tab/>
        <w:t xml:space="preserve">قضية </w:t>
      </w:r>
      <w:r w:rsidRPr="00A92EF0">
        <w:rPr>
          <w:i/>
          <w:iCs/>
          <w:rtl/>
        </w:rPr>
        <w:t xml:space="preserve">نيكولاي </w:t>
      </w:r>
      <w:proofErr w:type="spellStart"/>
      <w:r w:rsidRPr="00A92EF0">
        <w:rPr>
          <w:i/>
          <w:iCs/>
          <w:rtl/>
        </w:rPr>
        <w:t>أليكسيف</w:t>
      </w:r>
      <w:proofErr w:type="spellEnd"/>
      <w:r w:rsidRPr="00A92EF0">
        <w:rPr>
          <w:i/>
          <w:iCs/>
          <w:rtl/>
        </w:rPr>
        <w:t xml:space="preserve"> ضد الاتحاد الروسي</w:t>
      </w:r>
      <w:r w:rsidRPr="00A92EF0">
        <w:rPr>
          <w:rtl/>
        </w:rPr>
        <w:t xml:space="preserve"> (</w:t>
      </w:r>
      <w:hyperlink r:id="rId1" w:history="1">
        <w:r w:rsidRPr="00704756">
          <w:rPr>
            <w:rStyle w:val="Hyperlink"/>
          </w:rPr>
          <w:t>CCPR/C/109/D/1873/2009</w:t>
        </w:r>
      </w:hyperlink>
      <w:r w:rsidRPr="00A92EF0">
        <w:rPr>
          <w:rtl/>
        </w:rPr>
        <w:t>)، الفقرة 8-4.</w:t>
      </w:r>
    </w:p>
  </w:footnote>
  <w:footnote w:id="4">
    <w:p w14:paraId="6AAC85FA" w14:textId="672DEB1D"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Pr>
          <w:rtl/>
        </w:rPr>
        <w:tab/>
      </w:r>
      <w:r w:rsidRPr="00A92EF0">
        <w:rPr>
          <w:rtl/>
        </w:rPr>
        <w:t>(</w:t>
      </w:r>
      <w:r w:rsidRPr="00A92EF0">
        <w:rPr>
          <w:rStyle w:val="FootnoteReference"/>
          <w:spacing w:val="0"/>
          <w:w w:val="100"/>
          <w:szCs w:val="24"/>
          <w:vertAlign w:val="baseline"/>
          <w:rtl/>
        </w:rPr>
        <w:footnoteRef/>
      </w:r>
      <w:r w:rsidRPr="00A92EF0">
        <w:rPr>
          <w:rtl/>
        </w:rPr>
        <w:t>)</w:t>
      </w:r>
      <w:r w:rsidRPr="00A92EF0">
        <w:rPr>
          <w:rtl/>
        </w:rPr>
        <w:tab/>
        <w:t xml:space="preserve">قضية </w:t>
      </w:r>
      <w:proofErr w:type="spellStart"/>
      <w:r w:rsidRPr="00A92EF0">
        <w:rPr>
          <w:i/>
          <w:iCs/>
          <w:rtl/>
        </w:rPr>
        <w:t>ميدفيديفا</w:t>
      </w:r>
      <w:proofErr w:type="spellEnd"/>
      <w:r w:rsidRPr="00A92EF0">
        <w:rPr>
          <w:i/>
          <w:iCs/>
          <w:rtl/>
        </w:rPr>
        <w:t xml:space="preserve"> ضد الاتحاد الروسي </w:t>
      </w:r>
      <w:r w:rsidRPr="00A92EF0">
        <w:rPr>
          <w:rtl/>
        </w:rPr>
        <w:t>(</w:t>
      </w:r>
      <w:hyperlink r:id="rId2" w:history="1">
        <w:r w:rsidRPr="00704756">
          <w:rPr>
            <w:rStyle w:val="Hyperlink"/>
          </w:rPr>
          <w:t>CEDAW/C/63/D/60/2013</w:t>
        </w:r>
      </w:hyperlink>
      <w:r w:rsidRPr="00A92EF0">
        <w:rPr>
          <w:rtl/>
        </w:rPr>
        <w:t>)، الفقرتان 10-3 و</w:t>
      </w:r>
      <w:r>
        <w:rPr>
          <w:rFonts w:hint="cs"/>
          <w:rtl/>
        </w:rPr>
        <w:t xml:space="preserve"> </w:t>
      </w:r>
      <w:r w:rsidRPr="00A92EF0">
        <w:rPr>
          <w:rtl/>
        </w:rPr>
        <w:t>10-5.</w:t>
      </w:r>
    </w:p>
  </w:footnote>
  <w:footnote w:id="5">
    <w:p w14:paraId="06F7139A" w14:textId="2E1CB92A"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Pr>
          <w:rtl/>
        </w:rPr>
        <w:tab/>
      </w:r>
      <w:r w:rsidRPr="00A92EF0">
        <w:rPr>
          <w:rtl/>
        </w:rPr>
        <w:t>(</w:t>
      </w:r>
      <w:r w:rsidRPr="00A92EF0">
        <w:rPr>
          <w:rStyle w:val="FootnoteReference"/>
          <w:spacing w:val="0"/>
          <w:w w:val="100"/>
          <w:szCs w:val="24"/>
          <w:vertAlign w:val="baseline"/>
          <w:rtl/>
        </w:rPr>
        <w:footnoteRef/>
      </w:r>
      <w:r w:rsidRPr="00A92EF0">
        <w:rPr>
          <w:rtl/>
        </w:rPr>
        <w:t>)</w:t>
      </w:r>
      <w:r w:rsidRPr="00A92EF0">
        <w:rPr>
          <w:rtl/>
        </w:rPr>
        <w:tab/>
        <w:t xml:space="preserve">المحكمة الأوروبية لحقوق الإنسان، قضية </w:t>
      </w:r>
      <w:proofErr w:type="spellStart"/>
      <w:r w:rsidRPr="00A92EF0">
        <w:rPr>
          <w:i/>
          <w:iCs/>
          <w:rtl/>
        </w:rPr>
        <w:t>ماكاروف</w:t>
      </w:r>
      <w:proofErr w:type="spellEnd"/>
      <w:r w:rsidRPr="00A92EF0">
        <w:rPr>
          <w:i/>
          <w:iCs/>
          <w:rtl/>
        </w:rPr>
        <w:t xml:space="preserve"> ضد الاتحاد الروسي</w:t>
      </w:r>
      <w:r w:rsidRPr="00A92EF0">
        <w:rPr>
          <w:rtl/>
        </w:rPr>
        <w:t xml:space="preserve"> (الطلب رقم 15217/07)، الحكم الصادر في</w:t>
      </w:r>
      <w:r>
        <w:rPr>
          <w:rFonts w:hint="cs"/>
          <w:rtl/>
        </w:rPr>
        <w:t> </w:t>
      </w:r>
      <w:r w:rsidRPr="00A92EF0">
        <w:rPr>
          <w:rtl/>
        </w:rPr>
        <w:t>12 آذار/مارس 2009، الفقرة 83.</w:t>
      </w:r>
    </w:p>
  </w:footnote>
  <w:footnote w:id="6">
    <w:p w14:paraId="760C0843" w14:textId="67A19784"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Pr>
          <w:rtl/>
        </w:rPr>
        <w:tab/>
      </w:r>
      <w:r w:rsidRPr="00A92EF0">
        <w:rPr>
          <w:rtl/>
        </w:rPr>
        <w:t>(</w:t>
      </w:r>
      <w:r w:rsidRPr="00A92EF0">
        <w:rPr>
          <w:rStyle w:val="FootnoteReference"/>
          <w:spacing w:val="0"/>
          <w:w w:val="100"/>
          <w:szCs w:val="24"/>
          <w:vertAlign w:val="baseline"/>
          <w:rtl/>
        </w:rPr>
        <w:footnoteRef/>
      </w:r>
      <w:r w:rsidRPr="00A92EF0">
        <w:rPr>
          <w:rtl/>
        </w:rPr>
        <w:t>)</w:t>
      </w:r>
      <w:r w:rsidRPr="00A92EF0">
        <w:rPr>
          <w:rtl/>
        </w:rPr>
        <w:tab/>
        <w:t xml:space="preserve">قضية </w:t>
      </w:r>
      <w:proofErr w:type="spellStart"/>
      <w:r w:rsidRPr="00A92EF0">
        <w:rPr>
          <w:i/>
          <w:iCs/>
          <w:rtl/>
        </w:rPr>
        <w:t>توونن</w:t>
      </w:r>
      <w:proofErr w:type="spellEnd"/>
      <w:r w:rsidRPr="00A92EF0">
        <w:rPr>
          <w:i/>
          <w:iCs/>
          <w:rtl/>
        </w:rPr>
        <w:t xml:space="preserve"> ضد أستراليا</w:t>
      </w:r>
      <w:r w:rsidRPr="00A92EF0">
        <w:rPr>
          <w:rtl/>
        </w:rPr>
        <w:t xml:space="preserve"> (</w:t>
      </w:r>
      <w:hyperlink r:id="rId3" w:history="1">
        <w:r w:rsidRPr="00704756">
          <w:rPr>
            <w:rStyle w:val="Hyperlink"/>
          </w:rPr>
          <w:t>CCPR/C/50/D/488/1992</w:t>
        </w:r>
      </w:hyperlink>
      <w:r w:rsidRPr="00A92EF0">
        <w:rPr>
          <w:rtl/>
        </w:rPr>
        <w:t>)، الفقرة 8-7.</w:t>
      </w:r>
    </w:p>
  </w:footnote>
  <w:footnote w:id="7">
    <w:p w14:paraId="0DEF5094" w14:textId="2EF1337A"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Pr>
          <w:rtl/>
        </w:rPr>
        <w:tab/>
      </w:r>
      <w:r w:rsidRPr="00A92EF0">
        <w:rPr>
          <w:rtl/>
        </w:rPr>
        <w:t>(</w:t>
      </w:r>
      <w:r w:rsidRPr="00A92EF0">
        <w:rPr>
          <w:rStyle w:val="FootnoteReference"/>
          <w:spacing w:val="0"/>
          <w:w w:val="100"/>
          <w:szCs w:val="24"/>
          <w:vertAlign w:val="baseline"/>
          <w:rtl/>
        </w:rPr>
        <w:footnoteRef/>
      </w:r>
      <w:r w:rsidRPr="00A92EF0">
        <w:rPr>
          <w:rtl/>
        </w:rPr>
        <w:t>)</w:t>
      </w:r>
      <w:r w:rsidRPr="00A92EF0">
        <w:rPr>
          <w:rtl/>
        </w:rPr>
        <w:tab/>
        <w:t xml:space="preserve">توصية لجنة وزراء مجلس أوروبا إلى دوله الأعضاء بشأن التدابير الرامية إلى مكافحة التمييز بأسباب الميل الجنسي أو الهوية الجنسانية، المؤرخة 31 آذار/مارس 2010. يمكن الاطلاع على هذه التوصية في الموقع: </w:t>
      </w:r>
      <w:r w:rsidRPr="00A92EF0">
        <w:t>www.coe.int/en/web/sogi/rec-2010-5</w:t>
      </w:r>
      <w:r w:rsidRPr="00A92EF0">
        <w:rPr>
          <w:rtl/>
        </w:rPr>
        <w:t>.</w:t>
      </w:r>
    </w:p>
  </w:footnote>
  <w:footnote w:id="8">
    <w:p w14:paraId="494E4C5A" w14:textId="4B592396"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Pr>
          <w:rtl/>
        </w:rPr>
        <w:tab/>
      </w:r>
      <w:r w:rsidRPr="00A92EF0">
        <w:rPr>
          <w:rtl/>
        </w:rPr>
        <w:t>(</w:t>
      </w:r>
      <w:r w:rsidRPr="00A92EF0">
        <w:rPr>
          <w:rStyle w:val="FootnoteReference"/>
          <w:spacing w:val="0"/>
          <w:w w:val="100"/>
          <w:szCs w:val="24"/>
          <w:vertAlign w:val="baseline"/>
          <w:rtl/>
        </w:rPr>
        <w:footnoteRef/>
      </w:r>
      <w:r w:rsidRPr="00A92EF0">
        <w:rPr>
          <w:rtl/>
        </w:rPr>
        <w:t>)</w:t>
      </w:r>
      <w:r w:rsidRPr="00A92EF0">
        <w:rPr>
          <w:rtl/>
        </w:rPr>
        <w:tab/>
        <w:t xml:space="preserve">المحكمة الأوروبية لحقوق الإنسان، قضية </w:t>
      </w:r>
      <w:proofErr w:type="spellStart"/>
      <w:r w:rsidRPr="00A92EF0">
        <w:rPr>
          <w:i/>
          <w:iCs/>
          <w:rtl/>
        </w:rPr>
        <w:t>فيجدلاند</w:t>
      </w:r>
      <w:proofErr w:type="spellEnd"/>
      <w:r w:rsidRPr="00A92EF0">
        <w:rPr>
          <w:i/>
          <w:iCs/>
          <w:rtl/>
        </w:rPr>
        <w:t xml:space="preserve"> وآخرين ضد السويد</w:t>
      </w:r>
      <w:r w:rsidRPr="00A92EF0">
        <w:rPr>
          <w:rtl/>
        </w:rPr>
        <w:t xml:space="preserve"> (الطلب رقم 1813/07)، الحكم الصادر في</w:t>
      </w:r>
      <w:r>
        <w:rPr>
          <w:rFonts w:hint="cs"/>
          <w:rtl/>
        </w:rPr>
        <w:t> </w:t>
      </w:r>
      <w:r w:rsidRPr="00A92EF0">
        <w:rPr>
          <w:rtl/>
        </w:rPr>
        <w:t>9</w:t>
      </w:r>
      <w:r>
        <w:rPr>
          <w:rFonts w:hint="cs"/>
          <w:rtl/>
        </w:rPr>
        <w:t> </w:t>
      </w:r>
      <w:r w:rsidRPr="00A92EF0">
        <w:rPr>
          <w:rtl/>
        </w:rPr>
        <w:t>شباط/فبراير 2012، الفقرتان 45 و</w:t>
      </w:r>
      <w:r>
        <w:rPr>
          <w:rFonts w:hint="cs"/>
          <w:rtl/>
        </w:rPr>
        <w:t xml:space="preserve"> </w:t>
      </w:r>
      <w:r w:rsidRPr="00A92EF0">
        <w:rPr>
          <w:rtl/>
        </w:rPr>
        <w:t>46.</w:t>
      </w:r>
    </w:p>
  </w:footnote>
  <w:footnote w:id="9">
    <w:p w14:paraId="153CE5AA" w14:textId="25317C49" w:rsidR="00A92EF0" w:rsidRPr="00A92EF0" w:rsidRDefault="00A92EF0" w:rsidP="00A92EF0">
      <w:pPr>
        <w:pStyle w:val="FootnoteText"/>
        <w:tabs>
          <w:tab w:val="clear" w:pos="418"/>
          <w:tab w:val="right" w:pos="1195"/>
          <w:tab w:val="left" w:pos="1267"/>
          <w:tab w:val="left" w:pos="1656"/>
          <w:tab w:val="left" w:pos="2088"/>
        </w:tabs>
        <w:spacing w:after="80"/>
        <w:ind w:left="1267" w:right="1267" w:hanging="547"/>
        <w:rPr>
          <w:rtl/>
        </w:rPr>
      </w:pPr>
      <w:r>
        <w:rPr>
          <w:rtl/>
        </w:rPr>
        <w:tab/>
      </w:r>
      <w:r w:rsidRPr="00A92EF0">
        <w:rPr>
          <w:rtl/>
        </w:rPr>
        <w:t>(</w:t>
      </w:r>
      <w:r w:rsidRPr="00A92EF0">
        <w:rPr>
          <w:rStyle w:val="FootnoteReference"/>
          <w:spacing w:val="0"/>
          <w:w w:val="100"/>
          <w:szCs w:val="24"/>
          <w:vertAlign w:val="baseline"/>
          <w:rtl/>
        </w:rPr>
        <w:footnoteRef/>
      </w:r>
      <w:r w:rsidRPr="00A92EF0">
        <w:rPr>
          <w:rtl/>
        </w:rPr>
        <w:t>)</w:t>
      </w:r>
      <w:r w:rsidRPr="00A92EF0">
        <w:rPr>
          <w:rtl/>
        </w:rPr>
        <w:tab/>
      </w:r>
      <w:r w:rsidR="00A47CFD" w:rsidRPr="00A47CFD">
        <w:rPr>
          <w:rtl/>
        </w:rPr>
        <w:t xml:space="preserve">قضية </w:t>
      </w:r>
      <w:r w:rsidR="00A47CFD" w:rsidRPr="00A47CFD">
        <w:rPr>
          <w:i/>
          <w:iCs/>
          <w:rtl/>
        </w:rPr>
        <w:t xml:space="preserve">إ. س. </w:t>
      </w:r>
      <w:proofErr w:type="spellStart"/>
      <w:r w:rsidR="00A47CFD" w:rsidRPr="00A47CFD">
        <w:rPr>
          <w:i/>
          <w:iCs/>
          <w:rtl/>
        </w:rPr>
        <w:t>وس</w:t>
      </w:r>
      <w:proofErr w:type="spellEnd"/>
      <w:r w:rsidR="00A47CFD" w:rsidRPr="00A47CFD">
        <w:rPr>
          <w:i/>
          <w:iCs/>
          <w:rtl/>
        </w:rPr>
        <w:t>. ش. ضد جمهورية تنزانيا المتحدة</w:t>
      </w:r>
      <w:r w:rsidR="00A47CFD" w:rsidRPr="00A47CFD">
        <w:rPr>
          <w:rtl/>
        </w:rPr>
        <w:t xml:space="preserve"> (</w:t>
      </w:r>
      <w:hyperlink r:id="rId4" w:history="1">
        <w:r w:rsidR="00A47CFD" w:rsidRPr="00704756">
          <w:rPr>
            <w:rStyle w:val="Hyperlink"/>
          </w:rPr>
          <w:t>CEDAW/C/60/D/48/2013</w:t>
        </w:r>
      </w:hyperlink>
      <w:r w:rsidR="00A47CFD" w:rsidRPr="00A47CFD">
        <w:rPr>
          <w:rtl/>
        </w:rPr>
        <w:t xml:space="preserve">)، الفقرة 6-3، وقضية </w:t>
      </w:r>
      <w:r w:rsidR="00A47CFD" w:rsidRPr="00A47CFD">
        <w:rPr>
          <w:i/>
          <w:iCs/>
          <w:rtl/>
        </w:rPr>
        <w:t>ل.</w:t>
      </w:r>
      <w:r w:rsidR="00A47CFD" w:rsidRPr="00A47CFD">
        <w:rPr>
          <w:rFonts w:hint="cs"/>
          <w:i/>
          <w:iCs/>
          <w:rtl/>
        </w:rPr>
        <w:t xml:space="preserve"> </w:t>
      </w:r>
      <w:r w:rsidR="00A47CFD" w:rsidRPr="00A47CFD">
        <w:rPr>
          <w:i/>
          <w:iCs/>
          <w:rtl/>
        </w:rPr>
        <w:t>ر.</w:t>
      </w:r>
      <w:r w:rsidR="00A47CFD" w:rsidRPr="00A47CFD">
        <w:rPr>
          <w:rFonts w:hint="cs"/>
          <w:i/>
          <w:iCs/>
          <w:rtl/>
        </w:rPr>
        <w:t xml:space="preserve"> </w:t>
      </w:r>
      <w:r w:rsidR="00A47CFD" w:rsidRPr="00A47CFD">
        <w:rPr>
          <w:i/>
          <w:iCs/>
          <w:rtl/>
        </w:rPr>
        <w:t>ف ضد جمهورية مولدوفا</w:t>
      </w:r>
      <w:r w:rsidR="00A47CFD" w:rsidRPr="00A47CFD">
        <w:rPr>
          <w:rtl/>
        </w:rPr>
        <w:t xml:space="preserve"> (</w:t>
      </w:r>
      <w:hyperlink r:id="rId5" w:history="1">
        <w:r w:rsidR="00A47CFD" w:rsidRPr="00704756">
          <w:rPr>
            <w:rStyle w:val="Hyperlink"/>
          </w:rPr>
          <w:t>CEDAW/C/66/D/58/2013</w:t>
        </w:r>
      </w:hyperlink>
      <w:r w:rsidR="00A47CFD" w:rsidRPr="00A47CFD">
        <w:rPr>
          <w:rtl/>
        </w:rPr>
        <w:t>)، الفقرة 12-2.</w:t>
      </w:r>
    </w:p>
  </w:footnote>
  <w:footnote w:id="10">
    <w:p w14:paraId="09DF64CA" w14:textId="38754379" w:rsidR="00A47CFD" w:rsidRPr="00A47CFD" w:rsidRDefault="00A47CFD" w:rsidP="00A47CFD">
      <w:pPr>
        <w:pStyle w:val="FootnoteText"/>
        <w:tabs>
          <w:tab w:val="clear" w:pos="418"/>
          <w:tab w:val="right" w:pos="1195"/>
          <w:tab w:val="left" w:pos="1267"/>
          <w:tab w:val="left" w:pos="1656"/>
          <w:tab w:val="left" w:pos="2088"/>
        </w:tabs>
        <w:spacing w:after="80"/>
        <w:ind w:left="1267" w:right="1267" w:hanging="547"/>
        <w:rPr>
          <w:rtl/>
        </w:rPr>
      </w:pPr>
      <w:r w:rsidRPr="00A47CFD">
        <w:rPr>
          <w:rtl/>
        </w:rPr>
        <w:tab/>
        <w:t>(</w:t>
      </w:r>
      <w:r w:rsidRPr="00A47CFD">
        <w:rPr>
          <w:rStyle w:val="FootnoteReference"/>
          <w:spacing w:val="0"/>
          <w:w w:val="100"/>
          <w:szCs w:val="24"/>
          <w:vertAlign w:val="baseline"/>
          <w:rtl/>
        </w:rPr>
        <w:footnoteRef/>
      </w:r>
      <w:r w:rsidRPr="00A47CFD">
        <w:rPr>
          <w:rtl/>
        </w:rPr>
        <w:t>)</w:t>
      </w:r>
      <w:r w:rsidRPr="00A47CFD">
        <w:rPr>
          <w:rtl/>
        </w:rPr>
        <w:tab/>
        <w:t xml:space="preserve">المحكمة الأوروبية لحقوق الإنسان، قضية </w:t>
      </w:r>
      <w:proofErr w:type="spellStart"/>
      <w:r w:rsidRPr="00A47CFD">
        <w:rPr>
          <w:i/>
          <w:iCs/>
          <w:rtl/>
        </w:rPr>
        <w:t>أبراميان</w:t>
      </w:r>
      <w:proofErr w:type="spellEnd"/>
      <w:r w:rsidRPr="00A47CFD">
        <w:rPr>
          <w:i/>
          <w:iCs/>
          <w:rtl/>
        </w:rPr>
        <w:t xml:space="preserve"> ضد الاتحاد الروسي</w:t>
      </w:r>
      <w:r w:rsidRPr="00A47CFD">
        <w:rPr>
          <w:rtl/>
        </w:rPr>
        <w:t>.</w:t>
      </w:r>
    </w:p>
  </w:footnote>
  <w:footnote w:id="11">
    <w:p w14:paraId="164F0615" w14:textId="068F016C" w:rsidR="00A47CFD" w:rsidRPr="00A47CFD" w:rsidRDefault="00A47CFD" w:rsidP="00A47CFD">
      <w:pPr>
        <w:pStyle w:val="FootnoteText"/>
        <w:tabs>
          <w:tab w:val="clear" w:pos="418"/>
          <w:tab w:val="right" w:pos="1195"/>
          <w:tab w:val="left" w:pos="1267"/>
          <w:tab w:val="left" w:pos="1656"/>
          <w:tab w:val="left" w:pos="2088"/>
        </w:tabs>
        <w:spacing w:after="80"/>
        <w:ind w:left="1267" w:right="1267" w:hanging="547"/>
        <w:rPr>
          <w:rtl/>
        </w:rPr>
      </w:pPr>
      <w:r>
        <w:rPr>
          <w:rtl/>
        </w:rPr>
        <w:tab/>
      </w:r>
      <w:r w:rsidRPr="00A47CFD">
        <w:rPr>
          <w:rtl/>
        </w:rPr>
        <w:t>(</w:t>
      </w:r>
      <w:r w:rsidRPr="00A47CFD">
        <w:rPr>
          <w:rStyle w:val="FootnoteReference"/>
          <w:spacing w:val="0"/>
          <w:w w:val="100"/>
          <w:szCs w:val="24"/>
          <w:vertAlign w:val="baseline"/>
          <w:rtl/>
        </w:rPr>
        <w:footnoteRef/>
      </w:r>
      <w:r w:rsidRPr="00A47CFD">
        <w:rPr>
          <w:rtl/>
        </w:rPr>
        <w:t>)</w:t>
      </w:r>
      <w:r w:rsidRPr="00A47CFD">
        <w:rPr>
          <w:rtl/>
        </w:rPr>
        <w:tab/>
        <w:t xml:space="preserve">قضية </w:t>
      </w:r>
      <w:proofErr w:type="spellStart"/>
      <w:r w:rsidRPr="00A47CFD">
        <w:rPr>
          <w:i/>
          <w:iCs/>
          <w:rtl/>
        </w:rPr>
        <w:t>ميدفيديفا</w:t>
      </w:r>
      <w:proofErr w:type="spellEnd"/>
      <w:r w:rsidRPr="00A47CFD">
        <w:rPr>
          <w:i/>
          <w:iCs/>
          <w:rtl/>
        </w:rPr>
        <w:t xml:space="preserve"> ضد الاتحاد الروسي</w:t>
      </w:r>
      <w:r w:rsidRPr="00A47CFD">
        <w:rPr>
          <w:rtl/>
        </w:rPr>
        <w:t>، الفقرة 10-4.</w:t>
      </w:r>
    </w:p>
  </w:footnote>
  <w:footnote w:id="12">
    <w:p w14:paraId="23212779" w14:textId="7679C319" w:rsidR="00A47CFD" w:rsidRPr="00A47CFD" w:rsidRDefault="00A47CFD" w:rsidP="00A47CFD">
      <w:pPr>
        <w:pStyle w:val="FootnoteText"/>
        <w:tabs>
          <w:tab w:val="clear" w:pos="418"/>
          <w:tab w:val="right" w:pos="1195"/>
          <w:tab w:val="left" w:pos="1267"/>
          <w:tab w:val="left" w:pos="1656"/>
          <w:tab w:val="left" w:pos="2088"/>
        </w:tabs>
        <w:spacing w:after="80"/>
        <w:ind w:left="1267" w:right="1267" w:hanging="547"/>
        <w:rPr>
          <w:rtl/>
        </w:rPr>
      </w:pPr>
      <w:r>
        <w:rPr>
          <w:rtl/>
        </w:rPr>
        <w:tab/>
      </w:r>
      <w:r w:rsidRPr="00A47CFD">
        <w:rPr>
          <w:rtl/>
        </w:rPr>
        <w:t>(</w:t>
      </w:r>
      <w:r w:rsidRPr="00A47CFD">
        <w:rPr>
          <w:rStyle w:val="FootnoteReference"/>
          <w:spacing w:val="0"/>
          <w:w w:val="100"/>
          <w:szCs w:val="24"/>
          <w:vertAlign w:val="baseline"/>
          <w:rtl/>
        </w:rPr>
        <w:footnoteRef/>
      </w:r>
      <w:r w:rsidRPr="00A47CFD">
        <w:rPr>
          <w:rtl/>
        </w:rPr>
        <w:t>)</w:t>
      </w:r>
      <w:r w:rsidRPr="00A47CFD">
        <w:rPr>
          <w:rtl/>
        </w:rPr>
        <w:tab/>
        <w:t xml:space="preserve">قضية </w:t>
      </w:r>
      <w:proofErr w:type="spellStart"/>
      <w:r w:rsidRPr="00A47CFD">
        <w:rPr>
          <w:i/>
          <w:iCs/>
          <w:rtl/>
        </w:rPr>
        <w:t>ساليخ</w:t>
      </w:r>
      <w:proofErr w:type="spellEnd"/>
      <w:r w:rsidRPr="00A47CFD">
        <w:rPr>
          <w:i/>
          <w:iCs/>
          <w:rtl/>
        </w:rPr>
        <w:t xml:space="preserve"> ضد أوزبكستان</w:t>
      </w:r>
      <w:r w:rsidRPr="00A47CFD">
        <w:rPr>
          <w:rtl/>
        </w:rPr>
        <w:t xml:space="preserve">، </w:t>
      </w:r>
      <w:hyperlink r:id="rId6" w:history="1">
        <w:r w:rsidRPr="00704756">
          <w:rPr>
            <w:rStyle w:val="Hyperlink"/>
          </w:rPr>
          <w:t>CCPR/C/95/D/1382/2005</w:t>
        </w:r>
      </w:hyperlink>
      <w:r w:rsidRPr="00A47CFD">
        <w:rPr>
          <w:rtl/>
        </w:rPr>
        <w:t>، الفقرة 6-3.</w:t>
      </w:r>
    </w:p>
  </w:footnote>
  <w:footnote w:id="13">
    <w:p w14:paraId="11EABECA" w14:textId="103DC6E1" w:rsidR="00A47CFD" w:rsidRPr="00A47CFD" w:rsidRDefault="00A47CFD" w:rsidP="00A47CFD">
      <w:pPr>
        <w:pStyle w:val="FootnoteText"/>
        <w:tabs>
          <w:tab w:val="clear" w:pos="418"/>
          <w:tab w:val="right" w:pos="1195"/>
          <w:tab w:val="left" w:pos="1267"/>
          <w:tab w:val="left" w:pos="1656"/>
          <w:tab w:val="left" w:pos="2088"/>
        </w:tabs>
        <w:spacing w:after="80"/>
        <w:ind w:left="1267" w:right="1267" w:hanging="547"/>
        <w:rPr>
          <w:rtl/>
        </w:rPr>
      </w:pPr>
      <w:r>
        <w:rPr>
          <w:rtl/>
        </w:rPr>
        <w:tab/>
      </w:r>
      <w:r w:rsidRPr="00A47CFD">
        <w:rPr>
          <w:rtl/>
        </w:rPr>
        <w:t>(</w:t>
      </w:r>
      <w:r w:rsidRPr="00A47CFD">
        <w:rPr>
          <w:rStyle w:val="FootnoteReference"/>
          <w:spacing w:val="0"/>
          <w:w w:val="100"/>
          <w:szCs w:val="24"/>
          <w:vertAlign w:val="baseline"/>
          <w:rtl/>
        </w:rPr>
        <w:footnoteRef/>
      </w:r>
      <w:r w:rsidRPr="00A47CFD">
        <w:rPr>
          <w:rtl/>
        </w:rPr>
        <w:t>)</w:t>
      </w:r>
      <w:r w:rsidRPr="00A47CFD">
        <w:rPr>
          <w:rtl/>
        </w:rPr>
        <w:tab/>
        <w:t xml:space="preserve">المحكمة الأوروبية لحقوق الإنسان، قضية </w:t>
      </w:r>
      <w:proofErr w:type="spellStart"/>
      <w:r w:rsidRPr="00A47CFD">
        <w:rPr>
          <w:i/>
          <w:iCs/>
          <w:rtl/>
        </w:rPr>
        <w:t>ماكاروف</w:t>
      </w:r>
      <w:proofErr w:type="spellEnd"/>
      <w:r w:rsidRPr="00A47CFD">
        <w:rPr>
          <w:i/>
          <w:iCs/>
          <w:rtl/>
        </w:rPr>
        <w:t xml:space="preserve"> ضد الاتحاد الروسي</w:t>
      </w:r>
      <w:r w:rsidRPr="00A47CFD">
        <w:rPr>
          <w:rtl/>
        </w:rPr>
        <w:t>، الفقرة 83.</w:t>
      </w:r>
    </w:p>
  </w:footnote>
  <w:footnote w:id="14">
    <w:p w14:paraId="7793DB30" w14:textId="383E9A55" w:rsidR="00973999" w:rsidRPr="00973999" w:rsidRDefault="00973999" w:rsidP="00973999">
      <w:pPr>
        <w:pStyle w:val="FootnoteText"/>
        <w:tabs>
          <w:tab w:val="clear" w:pos="418"/>
          <w:tab w:val="right" w:pos="1195"/>
          <w:tab w:val="left" w:pos="1267"/>
          <w:tab w:val="left" w:pos="1656"/>
          <w:tab w:val="left" w:pos="2088"/>
        </w:tabs>
        <w:spacing w:after="80"/>
        <w:ind w:left="1267" w:right="1267" w:hanging="547"/>
        <w:rPr>
          <w:rtl/>
        </w:rPr>
      </w:pPr>
      <w:r>
        <w:rPr>
          <w:rtl/>
        </w:rPr>
        <w:tab/>
      </w:r>
      <w:r w:rsidRPr="00973999">
        <w:rPr>
          <w:rtl/>
        </w:rPr>
        <w:t>(</w:t>
      </w:r>
      <w:r w:rsidRPr="00973999">
        <w:rPr>
          <w:rStyle w:val="FootnoteReference"/>
          <w:spacing w:val="0"/>
          <w:w w:val="100"/>
          <w:szCs w:val="24"/>
          <w:vertAlign w:val="baseline"/>
          <w:rtl/>
        </w:rPr>
        <w:footnoteRef/>
      </w:r>
      <w:r w:rsidRPr="00973999">
        <w:rPr>
          <w:rtl/>
        </w:rPr>
        <w:t>)</w:t>
      </w:r>
      <w:r w:rsidRPr="00973999">
        <w:rPr>
          <w:rtl/>
        </w:rPr>
        <w:tab/>
        <w:t xml:space="preserve">قضية </w:t>
      </w:r>
      <w:r w:rsidRPr="00973999">
        <w:rPr>
          <w:i/>
          <w:iCs/>
          <w:rtl/>
        </w:rPr>
        <w:t>ر. ب. ب. ضد الفلبين</w:t>
      </w:r>
      <w:r w:rsidRPr="00973999">
        <w:rPr>
          <w:rtl/>
        </w:rPr>
        <w:t xml:space="preserve"> (</w:t>
      </w:r>
      <w:hyperlink r:id="rId7" w:history="1">
        <w:r w:rsidRPr="00704756">
          <w:rPr>
            <w:rStyle w:val="Hyperlink"/>
          </w:rPr>
          <w:t>CEDAW/C/57/D/34/2011</w:t>
        </w:r>
      </w:hyperlink>
      <w:r w:rsidRPr="00973999">
        <w:rPr>
          <w:rtl/>
        </w:rPr>
        <w:t>)، الفقرة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343DA" w14:paraId="1A4572F5" w14:textId="77777777" w:rsidTr="007343DA">
      <w:trPr>
        <w:trHeight w:hRule="exact" w:val="864"/>
        <w:jc w:val="center"/>
      </w:trPr>
      <w:tc>
        <w:tcPr>
          <w:tcW w:w="4920" w:type="dxa"/>
          <w:shd w:val="clear" w:color="auto" w:fill="auto"/>
          <w:vAlign w:val="bottom"/>
        </w:tcPr>
        <w:p w14:paraId="47FE2491" w14:textId="77777777" w:rsidR="007343DA" w:rsidRDefault="007343DA" w:rsidP="007343DA">
          <w:pPr>
            <w:pStyle w:val="Header"/>
            <w:bidi/>
          </w:pPr>
        </w:p>
      </w:tc>
      <w:tc>
        <w:tcPr>
          <w:tcW w:w="4920" w:type="dxa"/>
          <w:shd w:val="clear" w:color="auto" w:fill="auto"/>
          <w:vAlign w:val="bottom"/>
        </w:tcPr>
        <w:p w14:paraId="7BCD9E79" w14:textId="510BB9CE" w:rsidR="007343DA" w:rsidRPr="007343DA" w:rsidRDefault="007343DA" w:rsidP="007343D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34BF1">
            <w:rPr>
              <w:w w:val="103"/>
            </w:rPr>
            <w:t>CEDAW/C/72/D/98/2016</w:t>
          </w:r>
          <w:r>
            <w:rPr>
              <w:w w:val="103"/>
            </w:rPr>
            <w:fldChar w:fldCharType="end"/>
          </w:r>
        </w:p>
      </w:tc>
    </w:tr>
  </w:tbl>
  <w:p w14:paraId="7557E32A" w14:textId="77777777" w:rsidR="007343DA" w:rsidRPr="007343DA" w:rsidRDefault="007343DA" w:rsidP="00734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343DA" w14:paraId="0817FC39" w14:textId="77777777" w:rsidTr="007343DA">
      <w:trPr>
        <w:trHeight w:hRule="exact" w:val="864"/>
        <w:jc w:val="center"/>
      </w:trPr>
      <w:tc>
        <w:tcPr>
          <w:tcW w:w="4920" w:type="dxa"/>
          <w:shd w:val="clear" w:color="auto" w:fill="auto"/>
          <w:vAlign w:val="bottom"/>
        </w:tcPr>
        <w:p w14:paraId="2C57432B" w14:textId="47869E81" w:rsidR="007343DA" w:rsidRPr="007343DA" w:rsidRDefault="007343DA" w:rsidP="007343D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34BF1">
            <w:rPr>
              <w:w w:val="103"/>
            </w:rPr>
            <w:t>CEDAW/C/72/D/98/2016</w:t>
          </w:r>
          <w:r>
            <w:rPr>
              <w:w w:val="103"/>
            </w:rPr>
            <w:fldChar w:fldCharType="end"/>
          </w:r>
        </w:p>
      </w:tc>
      <w:tc>
        <w:tcPr>
          <w:tcW w:w="4920" w:type="dxa"/>
          <w:shd w:val="clear" w:color="auto" w:fill="auto"/>
          <w:vAlign w:val="bottom"/>
        </w:tcPr>
        <w:p w14:paraId="2AB8A17D" w14:textId="77777777" w:rsidR="007343DA" w:rsidRDefault="007343DA" w:rsidP="007343DA">
          <w:pPr>
            <w:pStyle w:val="Header"/>
          </w:pPr>
        </w:p>
      </w:tc>
    </w:tr>
  </w:tbl>
  <w:p w14:paraId="1B33D8F2" w14:textId="77777777" w:rsidR="007343DA" w:rsidRPr="007343DA" w:rsidRDefault="007343DA" w:rsidP="00734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343DA" w14:paraId="3CC25E79" w14:textId="77777777" w:rsidTr="007343DA">
      <w:trPr>
        <w:gridAfter w:val="1"/>
        <w:wAfter w:w="18" w:type="dxa"/>
        <w:trHeight w:hRule="exact" w:val="864"/>
      </w:trPr>
      <w:tc>
        <w:tcPr>
          <w:tcW w:w="1282" w:type="dxa"/>
          <w:tcBorders>
            <w:bottom w:val="single" w:sz="4" w:space="0" w:color="auto"/>
          </w:tcBorders>
          <w:shd w:val="clear" w:color="auto" w:fill="auto"/>
          <w:vAlign w:val="bottom"/>
        </w:tcPr>
        <w:p w14:paraId="378F437D" w14:textId="77777777" w:rsidR="007343DA" w:rsidRDefault="007343DA" w:rsidP="007343DA">
          <w:pPr>
            <w:pStyle w:val="Header"/>
            <w:spacing w:after="120"/>
          </w:pPr>
        </w:p>
      </w:tc>
      <w:tc>
        <w:tcPr>
          <w:tcW w:w="1786" w:type="dxa"/>
          <w:tcBorders>
            <w:bottom w:val="single" w:sz="4" w:space="0" w:color="auto"/>
          </w:tcBorders>
          <w:shd w:val="clear" w:color="auto" w:fill="auto"/>
          <w:vAlign w:val="bottom"/>
        </w:tcPr>
        <w:p w14:paraId="0E1CDC98" w14:textId="77777777" w:rsidR="007343DA" w:rsidRPr="007343DA" w:rsidRDefault="007343DA" w:rsidP="007343D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4475FF4" w14:textId="77777777" w:rsidR="007343DA" w:rsidRDefault="007343DA" w:rsidP="007343DA">
          <w:pPr>
            <w:pStyle w:val="Header"/>
            <w:spacing w:after="120"/>
          </w:pPr>
        </w:p>
      </w:tc>
      <w:tc>
        <w:tcPr>
          <w:tcW w:w="6523" w:type="dxa"/>
          <w:gridSpan w:val="3"/>
          <w:tcBorders>
            <w:bottom w:val="single" w:sz="4" w:space="0" w:color="auto"/>
          </w:tcBorders>
          <w:shd w:val="clear" w:color="auto" w:fill="auto"/>
          <w:vAlign w:val="bottom"/>
        </w:tcPr>
        <w:p w14:paraId="4138D7FA" w14:textId="77777777" w:rsidR="007343DA" w:rsidRPr="007343DA" w:rsidRDefault="007343DA" w:rsidP="007343DA">
          <w:pPr>
            <w:spacing w:line="380" w:lineRule="exact"/>
            <w:jc w:val="right"/>
          </w:pPr>
          <w:r>
            <w:rPr>
              <w:sz w:val="40"/>
            </w:rPr>
            <w:t>CEDAW</w:t>
          </w:r>
          <w:r>
            <w:t>/C/72/D/98/2016</w:t>
          </w:r>
        </w:p>
      </w:tc>
    </w:tr>
    <w:tr w:rsidR="007343DA" w:rsidRPr="007343DA" w14:paraId="1C9DAD13" w14:textId="77777777" w:rsidTr="007343DA">
      <w:trPr>
        <w:trHeight w:hRule="exact" w:val="2880"/>
      </w:trPr>
      <w:tc>
        <w:tcPr>
          <w:tcW w:w="1282" w:type="dxa"/>
          <w:tcBorders>
            <w:top w:val="single" w:sz="4" w:space="0" w:color="auto"/>
            <w:bottom w:val="single" w:sz="12" w:space="0" w:color="auto"/>
          </w:tcBorders>
          <w:shd w:val="clear" w:color="auto" w:fill="auto"/>
        </w:tcPr>
        <w:p w14:paraId="07AF1AD5" w14:textId="77777777" w:rsidR="007343DA" w:rsidRDefault="007343DA" w:rsidP="007343DA">
          <w:pPr>
            <w:pStyle w:val="Header"/>
            <w:spacing w:before="120"/>
            <w:jc w:val="center"/>
          </w:pPr>
          <w:r>
            <w:t xml:space="preserve"> </w:t>
          </w:r>
          <w:r>
            <w:rPr>
              <w:noProof/>
            </w:rPr>
            <w:drawing>
              <wp:inline distT="0" distB="0" distL="0" distR="0" wp14:anchorId="11A36BA0" wp14:editId="45648E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63A50CCF" w14:textId="77777777" w:rsidR="007343DA" w:rsidRPr="007343DA" w:rsidRDefault="007343DA" w:rsidP="007343DA">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DE93A37" w14:textId="77777777" w:rsidR="007343DA" w:rsidRPr="007343DA" w:rsidRDefault="007343DA" w:rsidP="007343DA">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076B21BB" w14:textId="77777777" w:rsidR="007343DA" w:rsidRPr="007343DA" w:rsidRDefault="007343DA" w:rsidP="007343DA">
          <w:pPr>
            <w:pStyle w:val="Header"/>
            <w:spacing w:before="109"/>
          </w:pPr>
        </w:p>
      </w:tc>
      <w:tc>
        <w:tcPr>
          <w:tcW w:w="3100" w:type="dxa"/>
          <w:gridSpan w:val="2"/>
          <w:tcBorders>
            <w:top w:val="single" w:sz="4" w:space="0" w:color="auto"/>
            <w:bottom w:val="single" w:sz="12" w:space="0" w:color="auto"/>
          </w:tcBorders>
          <w:shd w:val="clear" w:color="auto" w:fill="auto"/>
        </w:tcPr>
        <w:p w14:paraId="33F9BCEE" w14:textId="77777777" w:rsidR="007343DA" w:rsidRDefault="007343DA" w:rsidP="007343DA">
          <w:pPr>
            <w:pStyle w:val="Distribution"/>
            <w:bidi w:val="0"/>
            <w:spacing w:before="240"/>
          </w:pPr>
          <w:r>
            <w:t>Distr.: General</w:t>
          </w:r>
        </w:p>
        <w:p w14:paraId="0ED1C091" w14:textId="77777777" w:rsidR="007343DA" w:rsidRDefault="007343DA" w:rsidP="007343DA">
          <w:pPr>
            <w:pStyle w:val="Publication"/>
            <w:bidi w:val="0"/>
          </w:pPr>
          <w:r>
            <w:t>8 April 2019</w:t>
          </w:r>
        </w:p>
        <w:p w14:paraId="1FD546CE" w14:textId="77777777" w:rsidR="007343DA" w:rsidRDefault="007343DA" w:rsidP="007343DA">
          <w:pPr>
            <w:bidi w:val="0"/>
            <w:spacing w:line="240" w:lineRule="exact"/>
            <w:jc w:val="left"/>
          </w:pPr>
          <w:r>
            <w:t>Arabic</w:t>
          </w:r>
        </w:p>
        <w:p w14:paraId="540A154A" w14:textId="77777777" w:rsidR="007343DA" w:rsidRDefault="007343DA" w:rsidP="007343DA">
          <w:pPr>
            <w:pStyle w:val="Original"/>
            <w:bidi w:val="0"/>
          </w:pPr>
          <w:r>
            <w:t>Original: English</w:t>
          </w:r>
        </w:p>
        <w:p w14:paraId="21DFAA86" w14:textId="77777777" w:rsidR="007343DA" w:rsidRPr="007343DA" w:rsidRDefault="007343DA" w:rsidP="007343DA">
          <w:pPr>
            <w:bidi w:val="0"/>
            <w:spacing w:line="240" w:lineRule="exact"/>
            <w:jc w:val="left"/>
          </w:pPr>
        </w:p>
      </w:tc>
    </w:tr>
  </w:tbl>
  <w:p w14:paraId="680575EF" w14:textId="77777777" w:rsidR="007343DA" w:rsidRPr="007343DA" w:rsidRDefault="007343DA" w:rsidP="007343D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9*"/>
    <w:docVar w:name="CreationDt" w:val="30/04/2019 12:20 PM"/>
    <w:docVar w:name="DocCategory" w:val="Doc"/>
    <w:docVar w:name="DocType" w:val="Final"/>
    <w:docVar w:name="DutyStation" w:val="New York"/>
    <w:docVar w:name="FooterJN" w:val="19-05869"/>
    <w:docVar w:name="jobn" w:val="19-05869 (A)"/>
    <w:docVar w:name="jobnDT" w:val="19-05869 (A)   300419"/>
    <w:docVar w:name="jobnDTDT" w:val="19-05869 (A)   300419   300419"/>
    <w:docVar w:name="JobNo" w:val="1905869A"/>
    <w:docVar w:name="LocalDrive" w:val="0"/>
    <w:docVar w:name="OandT" w:val=" "/>
    <w:docVar w:name="sss1" w:val="CEDAW/C/72/D/98/2016"/>
    <w:docVar w:name="sss2" w:val="-"/>
    <w:docVar w:name="Symbol1" w:val="CEDAW/C/72/D/98/2016"/>
    <w:docVar w:name="Symbol2" w:val="-"/>
  </w:docVars>
  <w:rsids>
    <w:rsidRoot w:val="00A60C2F"/>
    <w:rsid w:val="000020C4"/>
    <w:rsid w:val="0000693B"/>
    <w:rsid w:val="000170D3"/>
    <w:rsid w:val="00022F19"/>
    <w:rsid w:val="00024DD0"/>
    <w:rsid w:val="0002744A"/>
    <w:rsid w:val="000311C9"/>
    <w:rsid w:val="000344E4"/>
    <w:rsid w:val="00042425"/>
    <w:rsid w:val="00047F6A"/>
    <w:rsid w:val="00050883"/>
    <w:rsid w:val="0005137B"/>
    <w:rsid w:val="00056AA7"/>
    <w:rsid w:val="0006648F"/>
    <w:rsid w:val="00070E09"/>
    <w:rsid w:val="00087310"/>
    <w:rsid w:val="00092439"/>
    <w:rsid w:val="000927B5"/>
    <w:rsid w:val="0009732C"/>
    <w:rsid w:val="000974BE"/>
    <w:rsid w:val="000A4151"/>
    <w:rsid w:val="000B640C"/>
    <w:rsid w:val="000B7407"/>
    <w:rsid w:val="000C4EED"/>
    <w:rsid w:val="000D2CEC"/>
    <w:rsid w:val="000E29FF"/>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B6F89"/>
    <w:rsid w:val="001C6531"/>
    <w:rsid w:val="001D1606"/>
    <w:rsid w:val="001E2BD4"/>
    <w:rsid w:val="001E5A5A"/>
    <w:rsid w:val="001E5A7A"/>
    <w:rsid w:val="001F55E0"/>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B1EB7"/>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E40B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12939"/>
    <w:rsid w:val="00616E82"/>
    <w:rsid w:val="006218A3"/>
    <w:rsid w:val="00631D41"/>
    <w:rsid w:val="00633F4D"/>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B3E11"/>
    <w:rsid w:val="006C1E40"/>
    <w:rsid w:val="006C38EE"/>
    <w:rsid w:val="006D1A46"/>
    <w:rsid w:val="006D3170"/>
    <w:rsid w:val="006E7E51"/>
    <w:rsid w:val="006F4577"/>
    <w:rsid w:val="006F7BB7"/>
    <w:rsid w:val="007006FC"/>
    <w:rsid w:val="00700F06"/>
    <w:rsid w:val="007020AD"/>
    <w:rsid w:val="00704756"/>
    <w:rsid w:val="00714319"/>
    <w:rsid w:val="0071531E"/>
    <w:rsid w:val="0071645B"/>
    <w:rsid w:val="00716E9D"/>
    <w:rsid w:val="0073328E"/>
    <w:rsid w:val="007343DA"/>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A4C53"/>
    <w:rsid w:val="008C6270"/>
    <w:rsid w:val="008D1C04"/>
    <w:rsid w:val="008E739A"/>
    <w:rsid w:val="008F04A0"/>
    <w:rsid w:val="008F2949"/>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3999"/>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27978"/>
    <w:rsid w:val="00A31113"/>
    <w:rsid w:val="00A34BF1"/>
    <w:rsid w:val="00A376EC"/>
    <w:rsid w:val="00A37C4B"/>
    <w:rsid w:val="00A43192"/>
    <w:rsid w:val="00A47282"/>
    <w:rsid w:val="00A47CFD"/>
    <w:rsid w:val="00A50243"/>
    <w:rsid w:val="00A50991"/>
    <w:rsid w:val="00A51F13"/>
    <w:rsid w:val="00A56F63"/>
    <w:rsid w:val="00A6077A"/>
    <w:rsid w:val="00A60C2F"/>
    <w:rsid w:val="00A66F66"/>
    <w:rsid w:val="00A71AE5"/>
    <w:rsid w:val="00A7670F"/>
    <w:rsid w:val="00A777E2"/>
    <w:rsid w:val="00A77F16"/>
    <w:rsid w:val="00A82F84"/>
    <w:rsid w:val="00A84144"/>
    <w:rsid w:val="00A90909"/>
    <w:rsid w:val="00A92EF0"/>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047FB"/>
    <w:rsid w:val="00C05F8E"/>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192D"/>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57F46"/>
  <w15:chartTrackingRefBased/>
  <w15:docId w15:val="{1897470A-3989-45D7-97FA-640C1513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F19"/>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022F19"/>
    <w:pPr>
      <w:keepNext/>
      <w:outlineLvl w:val="0"/>
    </w:pPr>
    <w:rPr>
      <w:sz w:val="24"/>
      <w:szCs w:val="24"/>
    </w:rPr>
  </w:style>
  <w:style w:type="paragraph" w:styleId="Heading2">
    <w:name w:val="heading 2"/>
    <w:basedOn w:val="Normal"/>
    <w:next w:val="Normal"/>
    <w:link w:val="Heading2Char"/>
    <w:qFormat/>
    <w:rsid w:val="00022F19"/>
    <w:pPr>
      <w:outlineLvl w:val="1"/>
    </w:pPr>
  </w:style>
  <w:style w:type="paragraph" w:styleId="Heading3">
    <w:name w:val="heading 3"/>
    <w:basedOn w:val="Normal"/>
    <w:next w:val="Normal"/>
    <w:link w:val="Heading3Char"/>
    <w:qFormat/>
    <w:rsid w:val="00022F19"/>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22F19"/>
    <w:pPr>
      <w:keepNext/>
      <w:keepLines/>
      <w:spacing w:after="120" w:line="400" w:lineRule="exact"/>
      <w:outlineLvl w:val="0"/>
    </w:pPr>
    <w:rPr>
      <w:b/>
      <w:bCs/>
      <w:sz w:val="24"/>
      <w:szCs w:val="32"/>
    </w:rPr>
  </w:style>
  <w:style w:type="paragraph" w:customStyle="1" w:styleId="HCh">
    <w:name w:val="_ H _Ch"/>
    <w:basedOn w:val="H1"/>
    <w:next w:val="SingleTxt"/>
    <w:qFormat/>
    <w:rsid w:val="00022F19"/>
    <w:pPr>
      <w:spacing w:line="440" w:lineRule="exact"/>
    </w:pPr>
    <w:rPr>
      <w:spacing w:val="-2"/>
      <w:sz w:val="28"/>
      <w:szCs w:val="36"/>
    </w:rPr>
  </w:style>
  <w:style w:type="character" w:styleId="CommentReference">
    <w:name w:val="annotation reference"/>
    <w:basedOn w:val="DefaultParagraphFont"/>
    <w:semiHidden/>
    <w:rsid w:val="00022F19"/>
    <w:rPr>
      <w:sz w:val="6"/>
      <w:szCs w:val="9"/>
    </w:rPr>
  </w:style>
  <w:style w:type="paragraph" w:styleId="FootnoteText">
    <w:name w:val="footnote text"/>
    <w:basedOn w:val="Normal"/>
    <w:link w:val="FootnoteTextChar"/>
    <w:rsid w:val="00022F19"/>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022F1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22F1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22F19"/>
    <w:rPr>
      <w:rFonts w:ascii="Tahoma" w:hAnsi="Tahoma" w:cs="Tahoma"/>
      <w:sz w:val="16"/>
      <w:szCs w:val="16"/>
    </w:rPr>
  </w:style>
  <w:style w:type="paragraph" w:customStyle="1" w:styleId="HM">
    <w:name w:val="_ H __M"/>
    <w:basedOn w:val="HCh"/>
    <w:next w:val="Normal"/>
    <w:qFormat/>
    <w:rsid w:val="00022F19"/>
    <w:pPr>
      <w:suppressAutoHyphens/>
      <w:spacing w:line="520" w:lineRule="exact"/>
    </w:pPr>
    <w:rPr>
      <w:spacing w:val="-3"/>
      <w:sz w:val="34"/>
      <w:szCs w:val="48"/>
    </w:rPr>
  </w:style>
  <w:style w:type="paragraph" w:customStyle="1" w:styleId="SingleTxt">
    <w:name w:val="__Single Txt"/>
    <w:basedOn w:val="Normal"/>
    <w:qFormat/>
    <w:rsid w:val="00022F1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22F19"/>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22F19"/>
    <w:pPr>
      <w:keepNext/>
      <w:keepLines/>
      <w:suppressAutoHyphens/>
      <w:spacing w:after="120"/>
      <w:outlineLvl w:val="3"/>
    </w:pPr>
    <w:rPr>
      <w:i/>
      <w:iCs/>
    </w:rPr>
  </w:style>
  <w:style w:type="paragraph" w:customStyle="1" w:styleId="H56">
    <w:name w:val="_ H_5/6"/>
    <w:basedOn w:val="Normal"/>
    <w:next w:val="Normal"/>
    <w:qFormat/>
    <w:rsid w:val="00022F19"/>
    <w:pPr>
      <w:keepNext/>
      <w:keepLines/>
      <w:suppressAutoHyphens/>
      <w:spacing w:after="120"/>
      <w:outlineLvl w:val="4"/>
    </w:pPr>
  </w:style>
  <w:style w:type="paragraph" w:customStyle="1" w:styleId="DualTxt">
    <w:name w:val="__Dual Txt"/>
    <w:basedOn w:val="Normal"/>
    <w:qFormat/>
    <w:rsid w:val="00022F19"/>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22F1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22F19"/>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22F19"/>
    <w:rPr>
      <w:rFonts w:eastAsiaTheme="minorHAnsi"/>
      <w:b/>
      <w:bCs/>
      <w:kern w:val="14"/>
      <w:sz w:val="17"/>
      <w:szCs w:val="25"/>
      <w:lang w:eastAsia="en-US"/>
    </w:rPr>
  </w:style>
  <w:style w:type="paragraph" w:styleId="Header">
    <w:name w:val="header"/>
    <w:link w:val="HeaderChar"/>
    <w:qFormat/>
    <w:rsid w:val="00022F19"/>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22F19"/>
    <w:rPr>
      <w:rFonts w:eastAsiaTheme="minorHAnsi"/>
      <w:b/>
      <w:bCs/>
      <w:w w:val="105"/>
      <w:kern w:val="14"/>
      <w:sz w:val="17"/>
      <w:szCs w:val="25"/>
      <w:lang w:eastAsia="en-US"/>
    </w:rPr>
  </w:style>
  <w:style w:type="character" w:customStyle="1" w:styleId="Heading3Char">
    <w:name w:val="Heading 3 Char"/>
    <w:basedOn w:val="DefaultParagraphFont"/>
    <w:link w:val="Heading3"/>
    <w:rsid w:val="00022F19"/>
    <w:rPr>
      <w:rFonts w:ascii="Arial" w:eastAsiaTheme="majorEastAsia" w:hAnsi="Arial" w:cs="Arial"/>
      <w:b/>
      <w:bCs/>
      <w:kern w:val="14"/>
      <w:sz w:val="26"/>
      <w:szCs w:val="26"/>
      <w:lang w:eastAsia="en-US"/>
    </w:rPr>
  </w:style>
  <w:style w:type="paragraph" w:customStyle="1" w:styleId="JSingleTxt">
    <w:name w:val="J__Single Txt"/>
    <w:basedOn w:val="Normal"/>
    <w:qFormat/>
    <w:rsid w:val="00022F1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22F19"/>
    <w:pPr>
      <w:spacing w:after="120" w:line="440" w:lineRule="exact"/>
      <w:jc w:val="center"/>
    </w:pPr>
    <w:rPr>
      <w:b/>
      <w:bCs/>
      <w:sz w:val="25"/>
      <w:szCs w:val="38"/>
    </w:rPr>
  </w:style>
  <w:style w:type="paragraph" w:customStyle="1" w:styleId="JH1">
    <w:name w:val="J_H_1"/>
    <w:basedOn w:val="JCH"/>
    <w:qFormat/>
    <w:rsid w:val="00022F19"/>
    <w:pPr>
      <w:spacing w:line="420" w:lineRule="exact"/>
    </w:pPr>
    <w:rPr>
      <w:sz w:val="23"/>
      <w:szCs w:val="34"/>
    </w:rPr>
  </w:style>
  <w:style w:type="paragraph" w:customStyle="1" w:styleId="JH2">
    <w:name w:val="J_H_2"/>
    <w:basedOn w:val="JH1"/>
    <w:qFormat/>
    <w:rsid w:val="00022F19"/>
    <w:pPr>
      <w:spacing w:line="400" w:lineRule="exact"/>
    </w:pPr>
    <w:rPr>
      <w:sz w:val="20"/>
      <w:szCs w:val="30"/>
    </w:rPr>
  </w:style>
  <w:style w:type="paragraph" w:customStyle="1" w:styleId="JSmall">
    <w:name w:val="J_Small"/>
    <w:basedOn w:val="JSingleTxt"/>
    <w:next w:val="JSingleTxt"/>
    <w:qFormat/>
    <w:rsid w:val="00022F1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22F1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22F19"/>
    <w:rPr>
      <w:sz w:val="14"/>
      <w:szCs w:val="16"/>
    </w:rPr>
  </w:style>
  <w:style w:type="paragraph" w:customStyle="1" w:styleId="SmallX">
    <w:name w:val="SmallX"/>
    <w:basedOn w:val="Small"/>
    <w:next w:val="Normal"/>
    <w:qFormat/>
    <w:rsid w:val="00022F19"/>
    <w:pPr>
      <w:spacing w:line="240" w:lineRule="exact"/>
    </w:pPr>
    <w:rPr>
      <w:spacing w:val="6"/>
      <w:w w:val="106"/>
      <w:sz w:val="14"/>
      <w:szCs w:val="21"/>
    </w:rPr>
  </w:style>
  <w:style w:type="paragraph" w:customStyle="1" w:styleId="XLarge">
    <w:name w:val="XLarge"/>
    <w:basedOn w:val="HM"/>
    <w:qFormat/>
    <w:rsid w:val="00022F1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22F19"/>
    <w:pPr>
      <w:spacing w:line="820" w:lineRule="exact"/>
    </w:pPr>
    <w:rPr>
      <w:spacing w:val="-8"/>
      <w:w w:val="96"/>
      <w:sz w:val="57"/>
      <w:szCs w:val="86"/>
    </w:rPr>
  </w:style>
  <w:style w:type="paragraph" w:customStyle="1" w:styleId="Distribution">
    <w:name w:val="Distribution"/>
    <w:basedOn w:val="Normal"/>
    <w:next w:val="Normal"/>
    <w:qFormat/>
    <w:rsid w:val="00022F1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22F1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22F19"/>
    <w:pPr>
      <w:tabs>
        <w:tab w:val="left" w:pos="662"/>
        <w:tab w:val="left" w:pos="1267"/>
        <w:tab w:val="left" w:pos="1987"/>
        <w:tab w:val="left" w:pos="2650"/>
      </w:tabs>
      <w:spacing w:line="240" w:lineRule="exact"/>
    </w:pPr>
  </w:style>
  <w:style w:type="paragraph" w:customStyle="1" w:styleId="ReleaseDate">
    <w:name w:val="Release Date"/>
    <w:next w:val="Footer"/>
    <w:qFormat/>
    <w:rsid w:val="00022F19"/>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22F19"/>
    <w:pPr>
      <w:tabs>
        <w:tab w:val="left" w:pos="662"/>
        <w:tab w:val="left" w:pos="1267"/>
        <w:tab w:val="left" w:pos="1987"/>
        <w:tab w:val="left" w:pos="2650"/>
      </w:tabs>
      <w:spacing w:after="0"/>
      <w:ind w:left="662" w:hanging="662"/>
    </w:pPr>
  </w:style>
  <w:style w:type="paragraph" w:customStyle="1" w:styleId="Committee">
    <w:name w:val="Committee"/>
    <w:basedOn w:val="H1"/>
    <w:qFormat/>
    <w:rsid w:val="00022F19"/>
    <w:pPr>
      <w:tabs>
        <w:tab w:val="left" w:pos="662"/>
        <w:tab w:val="left" w:pos="1267"/>
        <w:tab w:val="left" w:pos="1987"/>
        <w:tab w:val="left" w:pos="2650"/>
      </w:tabs>
      <w:ind w:right="1264"/>
    </w:pPr>
  </w:style>
  <w:style w:type="paragraph" w:customStyle="1" w:styleId="AgendaItemNormal">
    <w:name w:val="Agenda_Item_Normal"/>
    <w:next w:val="Normal"/>
    <w:qFormat/>
    <w:rsid w:val="00022F19"/>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22F1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22F1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022F1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022F1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22F19"/>
    <w:rPr>
      <w:color w:val="0000FF"/>
      <w:u w:val="none"/>
    </w:rPr>
  </w:style>
  <w:style w:type="character" w:styleId="FollowedHyperlink">
    <w:name w:val="FollowedHyperlink"/>
    <w:basedOn w:val="DefaultParagraphFont"/>
    <w:rsid w:val="00022F19"/>
    <w:rPr>
      <w:i w:val="0"/>
      <w:color w:val="0000FF"/>
      <w:u w:val="none"/>
    </w:rPr>
  </w:style>
  <w:style w:type="paragraph" w:customStyle="1" w:styleId="Bullet1">
    <w:name w:val="Bullet 1"/>
    <w:basedOn w:val="Normal"/>
    <w:qFormat/>
    <w:rsid w:val="00022F19"/>
    <w:pPr>
      <w:numPr>
        <w:numId w:val="10"/>
      </w:numPr>
      <w:spacing w:after="120"/>
      <w:ind w:right="1264"/>
    </w:pPr>
  </w:style>
  <w:style w:type="paragraph" w:customStyle="1" w:styleId="Bullet2">
    <w:name w:val="Bullet 2"/>
    <w:basedOn w:val="Normal"/>
    <w:qFormat/>
    <w:rsid w:val="00022F19"/>
    <w:pPr>
      <w:numPr>
        <w:numId w:val="11"/>
      </w:numPr>
      <w:spacing w:after="120"/>
      <w:ind w:right="1264"/>
    </w:pPr>
  </w:style>
  <w:style w:type="character" w:styleId="EndnoteReference">
    <w:name w:val="endnote reference"/>
    <w:basedOn w:val="DefaultParagraphFont"/>
    <w:semiHidden/>
    <w:rsid w:val="00022F1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2F19"/>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22F19"/>
    <w:pPr>
      <w:ind w:right="5760"/>
      <w:outlineLvl w:val="1"/>
    </w:pPr>
    <w:rPr>
      <w:spacing w:val="2"/>
      <w:sz w:val="20"/>
      <w:szCs w:val="28"/>
    </w:rPr>
  </w:style>
  <w:style w:type="character" w:customStyle="1" w:styleId="BalloonTextChar">
    <w:name w:val="Balloon Text Char"/>
    <w:basedOn w:val="DefaultParagraphFont"/>
    <w:link w:val="BalloonText"/>
    <w:semiHidden/>
    <w:rsid w:val="00022F19"/>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22F19"/>
    <w:rPr>
      <w:rFonts w:eastAsiaTheme="minorHAnsi"/>
      <w:kern w:val="14"/>
      <w:sz w:val="17"/>
      <w:szCs w:val="24"/>
      <w:lang w:eastAsia="en-US"/>
    </w:rPr>
  </w:style>
  <w:style w:type="character" w:customStyle="1" w:styleId="EndnoteTextChar">
    <w:name w:val="Endnote Text Char"/>
    <w:basedOn w:val="DefaultParagraphFont"/>
    <w:link w:val="EndnoteText"/>
    <w:semiHidden/>
    <w:rsid w:val="00022F19"/>
    <w:rPr>
      <w:rFonts w:eastAsiaTheme="minorHAnsi"/>
      <w:kern w:val="14"/>
      <w:sz w:val="17"/>
      <w:szCs w:val="24"/>
      <w:lang w:eastAsia="en-US"/>
    </w:rPr>
  </w:style>
  <w:style w:type="character" w:customStyle="1" w:styleId="Heading1Char">
    <w:name w:val="Heading 1 Char"/>
    <w:basedOn w:val="DefaultParagraphFont"/>
    <w:link w:val="Heading1"/>
    <w:rsid w:val="00022F19"/>
    <w:rPr>
      <w:rFonts w:eastAsiaTheme="minorHAnsi"/>
      <w:kern w:val="14"/>
      <w:sz w:val="24"/>
      <w:szCs w:val="24"/>
      <w:lang w:eastAsia="en-US"/>
    </w:rPr>
  </w:style>
  <w:style w:type="character" w:customStyle="1" w:styleId="Heading2Char">
    <w:name w:val="Heading 2 Char"/>
    <w:basedOn w:val="DefaultParagraphFont"/>
    <w:link w:val="Heading2"/>
    <w:rsid w:val="00022F19"/>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7343DA"/>
    <w:pPr>
      <w:spacing w:line="240" w:lineRule="auto"/>
    </w:pPr>
    <w:rPr>
      <w:szCs w:val="20"/>
    </w:rPr>
  </w:style>
  <w:style w:type="character" w:customStyle="1" w:styleId="CommentTextChar">
    <w:name w:val="Comment Text Char"/>
    <w:basedOn w:val="DefaultParagraphFont"/>
    <w:link w:val="CommentText"/>
    <w:semiHidden/>
    <w:rsid w:val="007343DA"/>
    <w:rPr>
      <w:rFonts w:eastAsiaTheme="minorHAnsi"/>
      <w:kern w:val="14"/>
      <w:lang w:eastAsia="en-US"/>
    </w:rPr>
  </w:style>
  <w:style w:type="paragraph" w:styleId="CommentSubject">
    <w:name w:val="annotation subject"/>
    <w:basedOn w:val="CommentText"/>
    <w:next w:val="CommentText"/>
    <w:link w:val="CommentSubjectChar"/>
    <w:semiHidden/>
    <w:unhideWhenUsed/>
    <w:rsid w:val="007343DA"/>
    <w:rPr>
      <w:b/>
      <w:bCs/>
    </w:rPr>
  </w:style>
  <w:style w:type="character" w:customStyle="1" w:styleId="CommentSubjectChar">
    <w:name w:val="Comment Subject Char"/>
    <w:basedOn w:val="CommentTextChar"/>
    <w:link w:val="CommentSubject"/>
    <w:semiHidden/>
    <w:rsid w:val="007343DA"/>
    <w:rPr>
      <w:rFonts w:eastAsiaTheme="minorHAnsi"/>
      <w:b/>
      <w:bCs/>
      <w:kern w:val="14"/>
      <w:lang w:eastAsia="en-US"/>
    </w:rPr>
  </w:style>
  <w:style w:type="character" w:styleId="UnresolvedMention">
    <w:name w:val="Unresolved Mention"/>
    <w:basedOn w:val="DefaultParagraphFont"/>
    <w:uiPriority w:val="99"/>
    <w:semiHidden/>
    <w:unhideWhenUsed/>
    <w:rsid w:val="00A9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CEDAW/C/RUS/CO/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CPR/C/50/D/488/1992" TargetMode="External"/><Relationship Id="rId7" Type="http://schemas.openxmlformats.org/officeDocument/2006/relationships/hyperlink" Target="https://undocs.org/ar/CEDAW/C/57/D/34/2011" TargetMode="External"/><Relationship Id="rId2" Type="http://schemas.openxmlformats.org/officeDocument/2006/relationships/hyperlink" Target="https://undocs.org/ar/CEDAW/C/63/D/60/2013" TargetMode="External"/><Relationship Id="rId1" Type="http://schemas.openxmlformats.org/officeDocument/2006/relationships/hyperlink" Target="https://undocs.org/ar/CCPR/C/109/D/1873/2009" TargetMode="External"/><Relationship Id="rId6" Type="http://schemas.openxmlformats.org/officeDocument/2006/relationships/hyperlink" Target="https://undocs.org/ar/CCPR/C/95/D/1382/2005" TargetMode="External"/><Relationship Id="rId5" Type="http://schemas.openxmlformats.org/officeDocument/2006/relationships/hyperlink" Target="https://undocs.org/ar/CEDAW/C/66/D/58/2013" TargetMode="External"/><Relationship Id="rId4" Type="http://schemas.openxmlformats.org/officeDocument/2006/relationships/hyperlink" Target="https://undocs.org/ar/CEDAW/C/60/D/48/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7CA8-5739-469F-BB2C-E73A5C2E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Arabic Text Processing</cp:lastModifiedBy>
  <cp:revision>3</cp:revision>
  <cp:lastPrinted>2019-04-30T16:56:00Z</cp:lastPrinted>
  <dcterms:created xsi:type="dcterms:W3CDTF">2019-04-30T16:56:00Z</dcterms:created>
  <dcterms:modified xsi:type="dcterms:W3CDTF">2019-04-30T16:56:00Z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1905869</vt:lpwstr>
  </property>
  <property fmtid="{D5CDD505-2E9C-101B-9397-08002B2CF9AE}" pid="3" name="ODSRefJobNo">
    <vt:lpwstr>1910195A</vt:lpwstr>
  </property>
  <property fmtid="{D5CDD505-2E9C-101B-9397-08002B2CF9AE}" pid="4" name="Symbol1">
    <vt:lpwstr>CEDAW/C/72/D/98/2016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EXTERNAL </vt:lpwstr>
  </property>
  <property fmtid="{D5CDD505-2E9C-101B-9397-08002B2CF9AE}" pid="10" name="DraftPages">
    <vt:lpwstr>10 </vt:lpwstr>
  </property>
  <property fmtid="{D5CDD505-2E9C-101B-9397-08002B2CF9AE}" pid="11" name="Operator">
    <vt:lpwstr>Ahmad </vt:lpwstr>
  </property>
  <property fmtid="{D5CDD505-2E9C-101B-9397-08002B2CF9AE}" pid="12" name="Distribution">
    <vt:lpwstr>General</vt:lpwstr>
  </property>
  <property fmtid="{D5CDD505-2E9C-101B-9397-08002B2CF9AE}" pid="13" name="Publication Date">
    <vt:lpwstr>8 April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قرار اعتمدته اللجنة بموجب المادة 4 (2) (ج) من البروتوكول الاختياري، بشأن البلاغ رقم 98/2016*،**_x000d_</vt:lpwstr>
  </property>
</Properties>
</file>