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43" w:rsidRPr="00654868" w:rsidRDefault="00E93143" w:rsidP="00E93143">
      <w:pPr>
        <w:spacing w:line="240" w:lineRule="auto"/>
        <w:rPr>
          <w:sz w:val="6"/>
        </w:rPr>
        <w:sectPr w:rsidR="00E93143" w:rsidRPr="00654868" w:rsidSect="006E359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654868">
        <w:rPr>
          <w:rStyle w:val="CommentReference"/>
          <w:szCs w:val="20"/>
        </w:rPr>
        <w:commentReference w:id="0"/>
      </w:r>
    </w:p>
    <w:p w:rsidR="00654868" w:rsidRDefault="00654868" w:rsidP="006548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F57F2D">
        <w:rPr>
          <w:lang w:val="es-ES_tradnl"/>
        </w:rPr>
        <w:t xml:space="preserve">Comité para la Eliminación de la </w:t>
      </w:r>
    </w:p>
    <w:p w:rsidR="00654868" w:rsidRPr="00F57F2D" w:rsidRDefault="00654868" w:rsidP="006548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F57F2D">
        <w:rPr>
          <w:lang w:val="es-ES_tradnl"/>
        </w:rPr>
        <w:t>Discriminación contra la Mujer</w:t>
      </w:r>
    </w:p>
    <w:p w:rsidR="00654868" w:rsidRPr="00F57F2D" w:rsidRDefault="00654868" w:rsidP="006548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F57F2D">
        <w:rPr>
          <w:lang w:val="es-ES_tradnl"/>
        </w:rPr>
        <w:t>6</w:t>
      </w:r>
      <w:r>
        <w:rPr>
          <w:lang w:val="es-ES_tradnl"/>
        </w:rPr>
        <w:t>2</w:t>
      </w:r>
      <w:r w:rsidRPr="00F57F2D">
        <w:rPr>
          <w:lang w:val="es-ES_tradnl"/>
        </w:rPr>
        <w:t>º período de sesiones</w:t>
      </w:r>
    </w:p>
    <w:p w:rsidR="00654868" w:rsidRPr="00F57F2D" w:rsidRDefault="00654868" w:rsidP="00654868">
      <w:pPr>
        <w:rPr>
          <w:lang w:val="es-ES_tradnl"/>
        </w:rPr>
      </w:pPr>
      <w:r>
        <w:rPr>
          <w:lang w:val="es-ES_tradnl"/>
        </w:rPr>
        <w:t>26 de octubre</w:t>
      </w:r>
      <w:r w:rsidRPr="00F57F2D">
        <w:rPr>
          <w:lang w:val="es-ES_tradnl"/>
        </w:rPr>
        <w:t xml:space="preserve"> a 2</w:t>
      </w:r>
      <w:r>
        <w:rPr>
          <w:lang w:val="es-ES_tradnl"/>
        </w:rPr>
        <w:t>0</w:t>
      </w:r>
      <w:r w:rsidRPr="00F57F2D">
        <w:rPr>
          <w:lang w:val="es-ES_tradnl"/>
        </w:rPr>
        <w:t xml:space="preserve"> de </w:t>
      </w:r>
      <w:r>
        <w:rPr>
          <w:lang w:val="es-ES_tradnl"/>
        </w:rPr>
        <w:t>noviembre</w:t>
      </w:r>
      <w:r w:rsidRPr="00F57F2D">
        <w:rPr>
          <w:lang w:val="es-ES_tradnl"/>
        </w:rPr>
        <w:t xml:space="preserve"> de 2015</w:t>
      </w:r>
    </w:p>
    <w:p w:rsidR="00654868" w:rsidRPr="00F57F2D" w:rsidRDefault="00654868" w:rsidP="00654868">
      <w:pPr>
        <w:rPr>
          <w:lang w:val="es-ES_tradnl"/>
        </w:rPr>
      </w:pPr>
      <w:r w:rsidRPr="00F57F2D">
        <w:rPr>
          <w:lang w:val="es-ES_tradnl"/>
        </w:rPr>
        <w:t>Tema 4 del programa provisional*</w:t>
      </w:r>
    </w:p>
    <w:p w:rsidR="00654868" w:rsidRPr="00F57F2D" w:rsidRDefault="00654868" w:rsidP="00654868">
      <w:pPr>
        <w:tabs>
          <w:tab w:val="left" w:pos="475"/>
          <w:tab w:val="left" w:pos="965"/>
          <w:tab w:val="left" w:pos="1440"/>
          <w:tab w:val="left" w:pos="1915"/>
          <w:tab w:val="left" w:pos="2405"/>
          <w:tab w:val="left" w:pos="2880"/>
          <w:tab w:val="left" w:pos="3355"/>
        </w:tabs>
        <w:ind w:right="4899"/>
        <w:rPr>
          <w:b/>
          <w:lang w:val="es-ES_tradnl"/>
        </w:rPr>
      </w:pPr>
      <w:r w:rsidRPr="00F57F2D">
        <w:rPr>
          <w:b/>
          <w:lang w:val="es-ES_tradnl"/>
        </w:rPr>
        <w:t xml:space="preserve">Examen de los informes presentados por los Estados partes en virtud del artículo 18 de la Convención sobre la </w:t>
      </w:r>
      <w:r>
        <w:rPr>
          <w:b/>
          <w:lang w:val="es-ES_tradnl"/>
        </w:rPr>
        <w:t>E</w:t>
      </w:r>
      <w:r w:rsidRPr="00F57F2D">
        <w:rPr>
          <w:b/>
          <w:lang w:val="es-ES_tradnl"/>
        </w:rPr>
        <w:t xml:space="preserve">liminación de </w:t>
      </w:r>
      <w:r>
        <w:rPr>
          <w:b/>
          <w:lang w:val="es-ES_tradnl"/>
        </w:rPr>
        <w:t>T</w:t>
      </w:r>
      <w:r w:rsidRPr="00F57F2D">
        <w:rPr>
          <w:b/>
          <w:lang w:val="es-ES_tradnl"/>
        </w:rPr>
        <w:t xml:space="preserve">odas las </w:t>
      </w:r>
      <w:r>
        <w:rPr>
          <w:b/>
          <w:lang w:val="es-ES_tradnl"/>
        </w:rPr>
        <w:t>F</w:t>
      </w:r>
      <w:r w:rsidRPr="00F57F2D">
        <w:rPr>
          <w:b/>
          <w:lang w:val="es-ES_tradnl"/>
        </w:rPr>
        <w:t xml:space="preserve">ormas de </w:t>
      </w:r>
      <w:r>
        <w:rPr>
          <w:b/>
          <w:lang w:val="es-ES_tradnl"/>
        </w:rPr>
        <w:t>D</w:t>
      </w:r>
      <w:r w:rsidRPr="00F57F2D">
        <w:rPr>
          <w:b/>
          <w:lang w:val="es-ES_tradnl"/>
        </w:rPr>
        <w:t xml:space="preserve">iscriminación contra la </w:t>
      </w:r>
      <w:r>
        <w:rPr>
          <w:b/>
          <w:lang w:val="es-ES_tradnl"/>
        </w:rPr>
        <w:t>M</w:t>
      </w:r>
      <w:r w:rsidRPr="00F57F2D">
        <w:rPr>
          <w:b/>
          <w:lang w:val="es-ES_tradnl"/>
        </w:rPr>
        <w:t>ujer</w:t>
      </w:r>
    </w:p>
    <w:p w:rsidR="00654868" w:rsidRPr="00F57F2D" w:rsidRDefault="00654868" w:rsidP="00654868">
      <w:pPr>
        <w:pStyle w:val="SingleTxt"/>
        <w:spacing w:after="0" w:line="120" w:lineRule="exact"/>
        <w:rPr>
          <w:sz w:val="10"/>
          <w:lang w:val="es-ES_tradnl"/>
        </w:rPr>
      </w:pPr>
    </w:p>
    <w:p w:rsidR="00654868" w:rsidRPr="00F57F2D" w:rsidRDefault="00654868" w:rsidP="00654868">
      <w:pPr>
        <w:pStyle w:val="SingleTxt"/>
        <w:spacing w:after="0" w:line="120" w:lineRule="exact"/>
        <w:rPr>
          <w:sz w:val="10"/>
          <w:lang w:val="es-ES_tradnl"/>
        </w:rPr>
      </w:pPr>
    </w:p>
    <w:p w:rsidR="00654868" w:rsidRPr="00F57F2D" w:rsidRDefault="00654868" w:rsidP="00654868">
      <w:pPr>
        <w:pStyle w:val="SingleTxt"/>
        <w:spacing w:after="0" w:line="120" w:lineRule="exact"/>
        <w:rPr>
          <w:sz w:val="10"/>
          <w:lang w:val="es-ES_tradnl"/>
        </w:rPr>
      </w:pPr>
    </w:p>
    <w:p w:rsidR="00654868" w:rsidRPr="00F57F2D" w:rsidRDefault="00654868" w:rsidP="006548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7F2D">
        <w:rPr>
          <w:lang w:val="es-ES_tradnl"/>
        </w:rPr>
        <w:tab/>
      </w:r>
      <w:r w:rsidRPr="00F57F2D">
        <w:rPr>
          <w:lang w:val="es-ES_tradnl"/>
        </w:rPr>
        <w:tab/>
      </w:r>
      <w:r w:rsidRPr="007107E8">
        <w:rPr>
          <w:lang w:val="es-ES_tradnl"/>
        </w:rPr>
        <w:t>Lista de cuestiones y preguntas relativa al octavo informe periódico de la Federación de Rusia</w:t>
      </w:r>
    </w:p>
    <w:p w:rsidR="00654868" w:rsidRPr="00F57F2D" w:rsidRDefault="00654868" w:rsidP="00654868">
      <w:pPr>
        <w:pStyle w:val="SingleTxt"/>
        <w:spacing w:after="0" w:line="120" w:lineRule="exact"/>
        <w:rPr>
          <w:sz w:val="10"/>
          <w:lang w:val="es-ES_tradnl"/>
        </w:rPr>
      </w:pPr>
    </w:p>
    <w:p w:rsidR="00654868" w:rsidRPr="00F57F2D" w:rsidRDefault="00654868" w:rsidP="00654868">
      <w:pPr>
        <w:pStyle w:val="SingleTxt"/>
        <w:spacing w:after="0" w:line="120" w:lineRule="exact"/>
        <w:rPr>
          <w:sz w:val="10"/>
          <w:lang w:val="es-ES_tradnl"/>
        </w:rPr>
      </w:pPr>
    </w:p>
    <w:p w:rsidR="00654868" w:rsidRPr="00F57F2D" w:rsidRDefault="00654868" w:rsidP="006548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7F2D">
        <w:rPr>
          <w:lang w:val="es-ES_tradnl"/>
        </w:rPr>
        <w:tab/>
      </w:r>
      <w:r w:rsidRPr="00F57F2D">
        <w:rPr>
          <w:lang w:val="es-ES_tradnl"/>
        </w:rPr>
        <w:tab/>
        <w:t>Marco constitucional, legislativo e institucional</w:t>
      </w:r>
    </w:p>
    <w:p w:rsidR="00654868" w:rsidRPr="00F57F2D" w:rsidRDefault="00654868" w:rsidP="00654868">
      <w:pPr>
        <w:pStyle w:val="SingleTxt"/>
        <w:spacing w:after="0" w:line="120" w:lineRule="exact"/>
        <w:rPr>
          <w:sz w:val="10"/>
          <w:lang w:val="es-ES_tradnl"/>
        </w:rPr>
      </w:pPr>
    </w:p>
    <w:p w:rsidR="00654868" w:rsidRPr="00DB4386" w:rsidRDefault="00654868" w:rsidP="00445325">
      <w:pPr>
        <w:pStyle w:val="SingleTxt"/>
        <w:numPr>
          <w:ilvl w:val="0"/>
          <w:numId w:val="1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DB4386">
        <w:rPr>
          <w:lang w:val="es-ES_tradnl"/>
        </w:rPr>
        <w:t>En el informe (CEDAW/C/RUS/8) se indica que no se ha adoptado aún el proyecto de ley de igualdad de género, debido a que la Duma Estatal y el Gobierno han recibido numerosas observaciones en su contra (párr. 9)</w:t>
      </w:r>
      <w:r w:rsidRPr="007107E8">
        <w:rPr>
          <w:rStyle w:val="FootnoteReference"/>
          <w:szCs w:val="20"/>
          <w:lang w:val="es-ES_tradnl"/>
        </w:rPr>
        <w:footnoteReference w:id="1"/>
      </w:r>
      <w:r w:rsidRPr="00DB4386">
        <w:rPr>
          <w:lang w:val="es-ES_tradnl"/>
        </w:rPr>
        <w:t xml:space="preserve">. Sírvanse proporcionar información actualizada sobre su situación actual e indicar si dicho proyecto de ley, o cualquier otra ley, contiene una definición de la discriminación contra la mujer de conformidad con el artículo 1 de la Convención.  </w:t>
      </w:r>
    </w:p>
    <w:p w:rsidR="00654868" w:rsidRPr="00DB4386" w:rsidRDefault="00654868" w:rsidP="00445325">
      <w:pPr>
        <w:pStyle w:val="SingleTxt"/>
        <w:numPr>
          <w:ilvl w:val="0"/>
          <w:numId w:val="11"/>
        </w:numPr>
        <w:tabs>
          <w:tab w:val="clear" w:pos="475"/>
          <w:tab w:val="num" w:pos="1742"/>
        </w:tabs>
        <w:ind w:left="1267"/>
        <w:rPr>
          <w:lang w:val="es-ES_tradnl"/>
        </w:rPr>
      </w:pPr>
      <w:r w:rsidRPr="00DB4386">
        <w:rPr>
          <w:lang w:val="es-ES_tradnl"/>
        </w:rPr>
        <w:t>En sus observaciones finales anteriores (CEDAW/C/USR/CO/7, párr. 32), el Comité manifestó honda preocupación por las noticias fidedignas de hostigamiento, ataques violentos y asesinatos de mujeres periodistas y defensoras de los derechos humanos en el Estado parte.  Sírvanse proporcionar información detallada, además de la contenida en los párrafos 143 a 147, sobre las medidas adoptadas para garantizar la protección de las organizaciones no gubernamentales que trabajan en la esfera de los derechos humanos, en particular de los derechos de las mujeres, las mujeres periodistas y las defensoras de los derechos humanos.</w:t>
      </w:r>
      <w:r w:rsidRPr="00DB4386">
        <w:rPr>
          <w:rStyle w:val="tw4winMark"/>
          <w:vanish w:val="0"/>
          <w:szCs w:val="24"/>
          <w:lang w:val="es-ES_tradnl"/>
        </w:rPr>
        <w:tab/>
      </w:r>
      <w:r w:rsidRPr="00DB4386">
        <w:rPr>
          <w:lang w:val="es-ES_tradnl"/>
        </w:rPr>
        <w:t xml:space="preserve"> Sírvanse proporcionar también información sobre las consecuencias de la ley de agentes extranjeros de 2012 en el registro de organizaciones no gubernamentales especializadas en los derechos humanos de la mujer y que reciben fondos extranjeros. </w:t>
      </w:r>
    </w:p>
    <w:p w:rsidR="00654868" w:rsidRPr="00F57F2D" w:rsidRDefault="00654868" w:rsidP="00654868">
      <w:pPr>
        <w:pStyle w:val="SingleTxt"/>
        <w:spacing w:after="0" w:line="120" w:lineRule="exact"/>
        <w:rPr>
          <w:sz w:val="10"/>
          <w:lang w:val="es-ES_tradnl"/>
        </w:rPr>
      </w:pPr>
    </w:p>
    <w:p w:rsidR="00654868" w:rsidRPr="007107E8" w:rsidRDefault="00654868" w:rsidP="006548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 xml:space="preserve">Mecanismo jurídico de denuncia </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Se afirma que el Ombudsman no recibió ninguna denuncia de mujeres por motivos de discriminación contra ellas durante el período objeto de informe (párr. 23). Sírvanse proporcionar información detallada sobre la aplicación de la recomendación previa del Comité relativa al fortalecimiento de los mecanismos jurídicos de denuncia del Estado parte y, en particular, sobre el establecimiento de un departamento independiente para los derechos de las mujeres (CEDAW/C/USR/CO/7, párr. 17). Sírvanse proporcionar información relativa a las denuncias de casos de discriminación contra la mujer, incluidas las múltiples formas de discriminación.</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Mecanismo nacional encargado del adelanto de la mujer</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En sus observaciones finales anteriores (</w:t>
      </w:r>
      <w:r w:rsidRPr="00DB4386">
        <w:rPr>
          <w:i/>
          <w:lang w:val="es-ES_tradnl"/>
        </w:rPr>
        <w:t>ibid.</w:t>
      </w:r>
      <w:r w:rsidRPr="00DB4386">
        <w:rPr>
          <w:lang w:val="es-ES_tradnl"/>
        </w:rPr>
        <w:t xml:space="preserve">, párr. 18), el Comité expresó profunda preocupación por la falta de un mecanismo nacional encargado del adelanto de la mujer en el Estado parte. Se indica que el mecanismo nacional para la igualdad de género incluye la Comisión de Asuntos de la Familia, la Mujer y la Infancia de la Duma Estatal, así como los órganos ejecutivos federales (párr. 26). Sírvanse proporcionar información actualizada detallada con respecto al mandato de dichos órganos y sobre los recursos humanos y financieros que el presupuesto del Estado ha asignado a su funcionamiento. </w:t>
      </w: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Se indica que se han creado órganos a nivel ministerial y gubernamental para trabajar en cuestiones de igualdad de género (párrs. 27 a 32). Sírvanse explicar si esos órganos se han establecido con carácter permanente o según las necesidades. Sírvanse proporcionar también información sobre si se prevé el establecimiento de una estructura interdepartamental o interministerial para coordinar y supervisar el proceso de generalización de la perspectiva de género en todas las políticas y programas pertinentes, y para coordinar la aplicación de estas políticas y estos programas a escala federal y local.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Medidas especiales de carácter temporal</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El informe no proporciona información precisa sobre la posición del Estado parte con respecto de la necesidad de aplicar medidas especiales de carácter temporal para dar solución a la constante e insuficiente representación de la mujer en ciertos ámbitos de la Convención, especialmente la vida política y la adopción de decisiones en las esferas pública y privada.  Sírvanse facilitar ejemplos de medidas especiales de carácter temporal que se hayan adoptado para promover y acelerar el logro de la igualdad sustantiva de hombres y mujeres en ámbitos de la Convención donde las mujeres están en una situación de desventaja o insuficientemente representadas, y los resultados obtenidos o previstos con su aplicación, de conformidad con el artículo 4 de la Convención y la recomendación general núm. 25 del Comité sobre las medidas especiales de carácter temporal.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Es</w:t>
      </w:r>
      <w:r>
        <w:rPr>
          <w:lang w:val="es-ES_tradnl"/>
        </w:rPr>
        <w:t>tereotipos y prácticas nocivas</w:t>
      </w:r>
    </w:p>
    <w:p w:rsidR="00445325" w:rsidRPr="00F57F2D" w:rsidRDefault="00445325" w:rsidP="00445325">
      <w:pPr>
        <w:pStyle w:val="SingleTxt"/>
        <w:keepNext/>
        <w:keepLines/>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Se indica que, en el momento en el que se preparó el informe, se había elaborado un proyecto de marco para la política estatal en materia de familia, que incluía los principios de igualdad entre los miembros de la familia (párr. 93). Sírvanse proporcionar información actualizada sobre su situación actual, su contenido y las nuevas medidas que se adoptarán para su aplicación.  Sírvanse facilitar información relativa a los esfuerzos realizados para prevenir los estereotipos de género negativos, en particular en los libros de texto y los medios de difusión.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Violencia contra la mujer</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Se indica en el párrafo 105 que se elaboró, y posteriormente se examinó, un proyecto de ley sobre la violencia contra la mujer, teniendo en consideración las recomendaciones del Grupo de Trabajo sobre el Examen Periódico Universal (A/HRC/24/14). Sírvanse proporcionar información sobre su situación actual y sus disposiciones principales.  Sírvanse facilitar también información actualizada sobre la situación actual del proyecto de ley federal núm. 14704-6 relativo a las enmiendas del Código de Procedimiento Penal y el Código Penitenciario mencionados en el párrafo 107.</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Trata y explotación de la prostitución</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Sírvanse proporcionar información sobre el marco jurídico para prevenir y castigar la trata de personas, incluida la existencia de planes o estrategias nacionales, y sobre las sentencias impuestas a los traficantes.   Sírvanse describir las medidas para una identificación y protección precoz de las víctimas de la trata y los servicios de rehabilitación que están a su disposición, especialmente los financiados por el Estado.  </w:t>
      </w: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Sírvanse facilitar información sobre las sanciones impuestas a las mujeres que ejercen la prostitución en virtud del marco jurídico del Estado parte. Sírvanse proporcionar información sobre las repercusiones del artículo 6.11 del Código de Infracciones Administrativas en las mujeres implicadas en la prostitución, así como sobre las medidas adoptadas para proteger a dichas mujeres de la discriminación, la violencia, la detención arbitraria, la extorsión y las amenazas y el acoso por parte de la policía, y sírvanse revisar el artículo 6.11. Sírvanse proporcionar información detallada sobre la naturaleza de la disposición del Código Penal relativa a los delitos contra la inviolabilidad sexual.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Participación de la mujer en la vida política y pública</w:t>
      </w:r>
    </w:p>
    <w:p w:rsidR="00445325" w:rsidRPr="00F57F2D" w:rsidRDefault="00445325" w:rsidP="00445325">
      <w:pPr>
        <w:pStyle w:val="SingleTxt"/>
        <w:keepNext/>
        <w:keepLines/>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Se reconoce que la representación insuficiente de las mujeres sigue siendo un problema urgente y que en la sociedad y entre los diputados no se han entendido los intentos por introducir medidas legislativas para incrementar la representación de las mujeres (párr. 140).  Sírvanse proporcionar información sobre medidas específicas, incluidas medidas especiales de carácter temporal como las cuotas, que se hayan adoptado para aumentar la representación de las mujeres en las esferas política y pública y en las puestos de adopción de decisiones. Sírvanse indicar también si esas medidas incluyen campañas de sensibilización sobre la importancia que, para la sociedad en su conjunto, tiene la participación de la mujer en la adopción de decisiones, así como  mecanismos de seguimiento de las repercusiones de dichas medidas.</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Empleo</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Se indica que las mujeres siguen teniendo un margen de elección limitado en cuanto a profesiones, sobre la base del principio consagrado por la legislación según el cual las mujeres y los menores solo pueden recibir formación para aquellas profesiones, lugares de trabajo y empleos en los que se les permita trabajar (párr. 155). Sírvanse aclarar dichas limitaciones y proporcionar información sobre las medidas adoptadas para eliminarlas.  Sírvanse indicar también si el principio de igualdad de remuneración por trabajo de igual valor está garantizado en la ley, y facilitar información sobre las medidas adoptadas para resolver la segregación ocupacional entre los hombres y las mujeres. </w:t>
      </w: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Se indica que, en el momento de preparación del informe, se había elaborado un proyecto de ley federal para modificar algunos actos legislativos, a fin de extender a los ciudadanos extranjeros el seguro social obligatorio por discapacidad temporal y licencia por maternidad (párr. 124). Sírvanse facilitar información actualizada sobre su situación actual y contenido.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Salud</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Se indica que solo el 24,5% de las mujeres utilizan métodos anticonceptivos modernos en el Estado parte (párr. 193) y que en 2011 se llevó a cabo un estudio sobre salud reproductiva (párr. 195).  Sírvanse proporcionar información sobre el resultado del estudio, los problemas identificados y las medidas adoptadas para resolverlos. Sírvanse facilitar también información sobre las medidas adoptadas para hacer frente a la elevada tasa de aborto como consecuencia de la escasa utilización de los anticonceptivos, y para facilitar la accesibilidad, disponibilidad y asequibilidad de los métodos anticonceptivos y de planificación modernos y sensibilizar a las mujeres y las jóvenes sobre su utilización, así como para facilitar el acceso de las mujeres y las jóvenes a los servicios de salud y a los centros de salud reproductiva.  Sírvanse proporcionar también información sobre la situación sanitaria de las mujeres trabajadoras migratorias, las mujeres romaníes, indígenas y pertenecientes a minorías y las mujeres detenidas.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Mujeres lesbianas, bisexuales, trans e intersexuales</w:t>
      </w:r>
    </w:p>
    <w:p w:rsidR="00445325" w:rsidRPr="00F57F2D" w:rsidRDefault="00445325" w:rsidP="00445325">
      <w:pPr>
        <w:pStyle w:val="SingleTxt"/>
        <w:keepNext/>
        <w:keepLines/>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Se ha informado de que, en 2013, la Duma Estatal aprobó una ley que prohibía la "propaganda de relaciones sexuales no tradicionales", que podría discriminar a algunos grupos de mujeres.  Sírvanse proporcionar información sobre las medidas adoptadas para proteger a las mujeres lesbianas, bisexuales, trans e intersexuales de la discriminación. Con arreglo a la información a disposición del Comité, dichas mujeres se enfrentan a múltiples formas de discriminación y violencia en el Estado parte y hay casos de profesores que son despedidos por sus empleadores debido a su orientación sexual.  Sírvanse indicar las medidas que han adoptado para proteger a estas mujeres de la discriminación y la violencia, incluidos los discursos de odio y ataques homofóbicos. Sírvanse facilitar también información sobre los casos de despido de profesores.</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Mujeres indígenas y pertenecientes a minorías étnicas</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Este informe no hace referencia a la situación de las mujeres indígenas. Sírvanse proporcionar información sobre las medidas adoptadas para garantizar a las mujeres indígenas una protección jurídica eficaz, en particular con respecto a su derecho a la tierra, territorios, recursos y representación en los órganos decisorios locales, regionales y federales.  Sírvanse facilitar también datos sobre las mujeres y jóvenes indígenas. Sírvanse proporcionar información sobre la situación de las mujeres pertenecientes a minorías étnicas con respecto a su acceso a la educación, el cuidado de la salud, la participación política y pública y la adopción de decisiones.</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La mujer, la paz y la seguridad</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Sírvanse proporcionar información sobre las medidas adoptadas para reforzar y apoyar la participación de las mujeres en las iniciativas oficiales y oficiosas de prevención de conflictos e indiquen los pasos dados para la adopción de un plan de acción nacional de aplicación de la resolución 1325 (2000) del Consejo de Seguridad.  Sírvanse explicar si a las mujeres afectadas por conflictos se les ha proporcionado un acceso adecuado a la justicia, reparación y asistencia, incluida la asistencia psicológica, de conformidad con la recomendación general núm. 30 del Comité sobre las mujeres en la prevención de conflictos y en situaciones de conflicto y posteriores a conflictos.  Sírvanse facilitar información y datos sobre la situación de las mujeres solicitantes de asilo provenientes de zonas de guerra en Ucrania. Sírvanse proporcionar también información sobre las medidas adoptadas para asistir a estas mujeres, en particular aquellas que son víctimas de la violencia sexual y otras formas de maltrato.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Matrimonio y relaciones familiares</w:t>
      </w:r>
    </w:p>
    <w:p w:rsidR="00445325" w:rsidRPr="00F57F2D" w:rsidRDefault="00445325" w:rsidP="00445325">
      <w:pPr>
        <w:pStyle w:val="SingleTxt"/>
        <w:spacing w:after="0" w:line="120" w:lineRule="exact"/>
        <w:rPr>
          <w:sz w:val="10"/>
          <w:lang w:val="es-ES_tradnl"/>
        </w:rPr>
      </w:pPr>
    </w:p>
    <w:p w:rsidR="00445325" w:rsidRPr="00DB4386" w:rsidRDefault="00445325" w:rsidP="00445325">
      <w:pPr>
        <w:pStyle w:val="SingleTxt"/>
        <w:numPr>
          <w:ilvl w:val="0"/>
          <w:numId w:val="11"/>
        </w:numPr>
        <w:tabs>
          <w:tab w:val="clear" w:pos="475"/>
          <w:tab w:val="num" w:pos="1742"/>
        </w:tabs>
        <w:ind w:left="1267"/>
        <w:rPr>
          <w:lang w:val="es-ES_tradnl"/>
        </w:rPr>
      </w:pPr>
      <w:r w:rsidRPr="00DB4386">
        <w:rPr>
          <w:lang w:val="es-ES_tradnl"/>
        </w:rPr>
        <w:t xml:space="preserve">Se reconoce que las disposiciones del derecho de familia no se extienden a los bienes adquiridos por los convivientes en una unión consensual (párr. 266) y que estos no pueden heredar (párr. 271). También se reconoce que el número de parejas en uniones de hecho sigue aumentando (párr. 265). Sírvanse proporcionar información sobre las medidas legislativas adoptadas o previstas para proteger los derechos de las mujeres después de la disolución de dichas uniones de hecho, con independencia de que estén inscritas o no, de conformidad con la recomendación general núm. 29 del Comité relativa al artículo 16 de la Convención (consecuencias económicas del matrimonio, las relaciones familiares y su disolución). </w:t>
      </w:r>
    </w:p>
    <w:p w:rsidR="00445325" w:rsidRPr="00F57F2D" w:rsidRDefault="00445325" w:rsidP="00445325">
      <w:pPr>
        <w:pStyle w:val="SingleTxt"/>
        <w:spacing w:after="0" w:line="120" w:lineRule="exact"/>
        <w:rPr>
          <w:sz w:val="10"/>
          <w:lang w:val="es-ES_tradnl"/>
        </w:rPr>
      </w:pPr>
    </w:p>
    <w:p w:rsidR="00445325" w:rsidRPr="007107E8" w:rsidRDefault="00445325" w:rsidP="0044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107E8">
        <w:rPr>
          <w:lang w:val="es-ES_tradnl"/>
        </w:rPr>
        <w:tab/>
      </w:r>
      <w:r w:rsidRPr="007107E8">
        <w:rPr>
          <w:lang w:val="es-ES_tradnl"/>
        </w:rPr>
        <w:tab/>
        <w:t>Enmienda al artículo 20 1) de la Convención</w:t>
      </w:r>
    </w:p>
    <w:p w:rsidR="00445325" w:rsidRPr="00F57F2D" w:rsidRDefault="00445325" w:rsidP="00445325">
      <w:pPr>
        <w:pStyle w:val="SingleTxt"/>
        <w:spacing w:after="0" w:line="120" w:lineRule="exact"/>
        <w:rPr>
          <w:sz w:val="10"/>
          <w:lang w:val="es-ES_tradnl"/>
        </w:rPr>
      </w:pPr>
    </w:p>
    <w:p w:rsidR="00654868" w:rsidRPr="00445325" w:rsidRDefault="00445325" w:rsidP="00445325">
      <w:pPr>
        <w:pStyle w:val="SingleTxt"/>
        <w:numPr>
          <w:ilvl w:val="0"/>
          <w:numId w:val="11"/>
        </w:numPr>
        <w:tabs>
          <w:tab w:val="clear" w:pos="475"/>
          <w:tab w:val="num" w:pos="1742"/>
        </w:tabs>
        <w:suppressAutoHyphens w:val="0"/>
        <w:ind w:left="1267"/>
      </w:pPr>
      <w:r w:rsidRPr="00DB4386">
        <w:rPr>
          <w:lang w:val="es-ES_tradnl"/>
        </w:rPr>
        <w:t>Sírvanse indicar los progresos realizados con respecto a la aceptación de la enmienda al artículo 20 1) de la Convención, relativo al tiempo de las reuniones del Comité.</w:t>
      </w:r>
    </w:p>
    <w:p w:rsidR="00445325" w:rsidRPr="00654868" w:rsidRDefault="00445325" w:rsidP="00445325">
      <w:pPr>
        <w:pStyle w:val="SingleTxt"/>
        <w:suppressAutoHyphens w:val="0"/>
      </w:pPr>
      <w:r>
        <w:rPr>
          <w:noProof/>
          <w:w w:val="100"/>
          <w:lang w:val="en-US"/>
        </w:rPr>
        <w:pict>
          <v:line id="_x0000_s1026" style="position:absolute;left:0;text-align:left;z-index:1" from="210.2pt,24pt" to="282.2pt,24pt" strokecolor="#010000" strokeweight=".25pt"/>
        </w:pict>
      </w:r>
    </w:p>
    <w:sectPr w:rsidR="00445325" w:rsidRPr="00654868" w:rsidSect="006E359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1T19:27:00Z" w:initials="Start">
    <w:p w:rsidR="00E93143" w:rsidRPr="00654868" w:rsidRDefault="00E93143">
      <w:pPr>
        <w:pStyle w:val="CommentText"/>
        <w:rPr>
          <w:lang w:val="en-US"/>
        </w:rPr>
      </w:pPr>
      <w:r>
        <w:fldChar w:fldCharType="begin"/>
      </w:r>
      <w:r w:rsidRPr="00654868">
        <w:rPr>
          <w:rStyle w:val="CommentReference"/>
          <w:lang w:val="en-US"/>
        </w:rPr>
        <w:instrText xml:space="preserve"> </w:instrText>
      </w:r>
      <w:r w:rsidRPr="00654868">
        <w:rPr>
          <w:lang w:val="en-US"/>
        </w:rPr>
        <w:instrText>PAGE \# "'Page: '#'</w:instrText>
      </w:r>
      <w:r w:rsidRPr="00654868">
        <w:rPr>
          <w:lang w:val="en-US"/>
        </w:rPr>
        <w:br/>
        <w:instrText>'"</w:instrText>
      </w:r>
      <w:r w:rsidRPr="00654868">
        <w:rPr>
          <w:rStyle w:val="CommentReference"/>
          <w:lang w:val="en-US"/>
        </w:rPr>
        <w:instrText xml:space="preserve"> </w:instrText>
      </w:r>
      <w:r>
        <w:fldChar w:fldCharType="end"/>
      </w:r>
      <w:r>
        <w:rPr>
          <w:rStyle w:val="CommentReference"/>
        </w:rPr>
        <w:annotationRef/>
      </w:r>
      <w:r w:rsidRPr="00654868">
        <w:rPr>
          <w:lang w:val="en-US"/>
        </w:rPr>
        <w:t>&lt;&lt;ODS JOB NO&gt;&gt;N1507213S&lt;&lt;ODS JOB NO&gt;&gt;</w:t>
      </w:r>
    </w:p>
    <w:p w:rsidR="00E93143" w:rsidRPr="00654868" w:rsidRDefault="00E93143">
      <w:pPr>
        <w:pStyle w:val="CommentText"/>
        <w:rPr>
          <w:lang w:val="en-US"/>
        </w:rPr>
      </w:pPr>
      <w:r w:rsidRPr="00654868">
        <w:rPr>
          <w:lang w:val="en-US"/>
        </w:rPr>
        <w:t>&lt;&lt;ODS DOC SYMBOL1&gt;&gt;CEDAW/C/RUS/Q/8&lt;&lt;ODS DOC SYMBOL1&gt;&gt;</w:t>
      </w:r>
    </w:p>
    <w:p w:rsidR="00E93143" w:rsidRPr="00654868" w:rsidRDefault="00E93143">
      <w:pPr>
        <w:pStyle w:val="CommentText"/>
        <w:rPr>
          <w:lang w:val="en-US"/>
        </w:rPr>
      </w:pPr>
      <w:r w:rsidRPr="00654868">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EE" w:rsidRDefault="003775EE" w:rsidP="008F1E8F">
      <w:pPr>
        <w:spacing w:line="240" w:lineRule="auto"/>
      </w:pPr>
      <w:r>
        <w:separator/>
      </w:r>
    </w:p>
  </w:endnote>
  <w:endnote w:type="continuationSeparator" w:id="0">
    <w:p w:rsidR="003775EE" w:rsidRDefault="003775EE"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E93143" w:rsidTr="00E93143">
      <w:tblPrEx>
        <w:tblCellMar>
          <w:top w:w="0" w:type="dxa"/>
          <w:bottom w:w="0" w:type="dxa"/>
        </w:tblCellMar>
      </w:tblPrEx>
      <w:tc>
        <w:tcPr>
          <w:tcW w:w="5028" w:type="dxa"/>
          <w:shd w:val="clear" w:color="auto" w:fill="auto"/>
        </w:tcPr>
        <w:p w:rsidR="00E93143" w:rsidRPr="00E93143" w:rsidRDefault="00E93143" w:rsidP="00E93143">
          <w:pPr>
            <w:pStyle w:val="Footer"/>
            <w:jc w:val="right"/>
            <w:rPr>
              <w:b w:val="0"/>
              <w:color w:val="000000"/>
              <w:w w:val="103"/>
              <w:sz w:val="14"/>
            </w:rPr>
          </w:pPr>
          <w:fldSimple w:instr=" DOCVARIABLE &quot;FooterJN&quot; \* MERGEFORMAT ">
            <w:r w:rsidR="00F63E4B">
              <w:rPr>
                <w:b w:val="0"/>
                <w:color w:val="000000"/>
                <w:w w:val="103"/>
                <w:sz w:val="14"/>
              </w:rPr>
              <w:t>15-04038</w:t>
            </w:r>
          </w:fldSimple>
        </w:p>
      </w:tc>
      <w:tc>
        <w:tcPr>
          <w:tcW w:w="5028" w:type="dxa"/>
          <w:shd w:val="clear" w:color="auto" w:fill="auto"/>
        </w:tcPr>
        <w:p w:rsidR="00E93143" w:rsidRPr="00E93143" w:rsidRDefault="00E93143" w:rsidP="00E9314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63E4B">
            <w:rPr>
              <w:color w:val="000000"/>
              <w:w w:val="103"/>
            </w:rPr>
            <w:t>4</w:t>
          </w:r>
          <w:r>
            <w:rPr>
              <w:color w:val="000000"/>
              <w:w w:val="103"/>
            </w:rPr>
            <w:fldChar w:fldCharType="end"/>
          </w:r>
          <w:r>
            <w:rPr>
              <w:color w:val="000000"/>
              <w:w w:val="103"/>
            </w:rPr>
            <w:t>/</w:t>
          </w:r>
          <w:fldSimple w:instr=" NUMPAGES  \* Arabic  \* MERGEFORMAT ">
            <w:r w:rsidR="00F63E4B">
              <w:rPr>
                <w:color w:val="000000"/>
                <w:w w:val="103"/>
              </w:rPr>
              <w:t>5</w:t>
            </w:r>
          </w:fldSimple>
        </w:p>
      </w:tc>
    </w:tr>
  </w:tbl>
  <w:p w:rsidR="00E93143" w:rsidRPr="00E93143" w:rsidRDefault="00E93143" w:rsidP="00E93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E93143" w:rsidTr="00E93143">
      <w:tblPrEx>
        <w:tblCellMar>
          <w:top w:w="0" w:type="dxa"/>
          <w:bottom w:w="0" w:type="dxa"/>
        </w:tblCellMar>
      </w:tblPrEx>
      <w:tc>
        <w:tcPr>
          <w:tcW w:w="5028" w:type="dxa"/>
          <w:shd w:val="clear" w:color="auto" w:fill="auto"/>
        </w:tcPr>
        <w:p w:rsidR="00E93143" w:rsidRPr="00E93143" w:rsidRDefault="00E93143" w:rsidP="00E9314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63E4B">
            <w:rPr>
              <w:color w:val="000000"/>
              <w:w w:val="103"/>
            </w:rPr>
            <w:t>5</w:t>
          </w:r>
          <w:r>
            <w:rPr>
              <w:color w:val="000000"/>
              <w:w w:val="103"/>
            </w:rPr>
            <w:fldChar w:fldCharType="end"/>
          </w:r>
          <w:r>
            <w:rPr>
              <w:color w:val="000000"/>
              <w:w w:val="103"/>
            </w:rPr>
            <w:t>/</w:t>
          </w:r>
          <w:fldSimple w:instr=" NUMPAGES  \* Arabic  \* MERGEFORMAT ">
            <w:r w:rsidR="00F63E4B">
              <w:rPr>
                <w:color w:val="000000"/>
                <w:w w:val="103"/>
              </w:rPr>
              <w:t>5</w:t>
            </w:r>
          </w:fldSimple>
        </w:p>
      </w:tc>
      <w:tc>
        <w:tcPr>
          <w:tcW w:w="5028" w:type="dxa"/>
          <w:shd w:val="clear" w:color="auto" w:fill="auto"/>
        </w:tcPr>
        <w:p w:rsidR="00E93143" w:rsidRPr="00E93143" w:rsidRDefault="00E93143" w:rsidP="00E93143">
          <w:pPr>
            <w:pStyle w:val="Footer"/>
            <w:rPr>
              <w:b w:val="0"/>
              <w:color w:val="000000"/>
              <w:w w:val="103"/>
              <w:sz w:val="14"/>
            </w:rPr>
          </w:pPr>
          <w:fldSimple w:instr=" DOCVARIABLE &quot;FooterJN&quot; \* MERGEFORMAT ">
            <w:r w:rsidR="00F63E4B">
              <w:rPr>
                <w:b w:val="0"/>
                <w:color w:val="000000"/>
                <w:w w:val="103"/>
                <w:sz w:val="14"/>
              </w:rPr>
              <w:t>15-04038</w:t>
            </w:r>
          </w:fldSimple>
        </w:p>
      </w:tc>
    </w:tr>
  </w:tbl>
  <w:p w:rsidR="00E93143" w:rsidRPr="00E93143" w:rsidRDefault="00E93143" w:rsidP="00E931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43" w:rsidRPr="00E93143" w:rsidRDefault="00E93143" w:rsidP="00E93143">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2.95pt;width:54.7pt;height:54.7pt;z-index:1;mso-position-horizontal-relative:page;mso-position-vertical-relative:page" filled="t">
          <v:imagedata r:id="rId1" o:title="8&amp;Size =1&amp;Lang = S"/>
          <w10:wrap anchorx="page" anchory="page"/>
        </v:shape>
      </w:pict>
    </w:r>
  </w:p>
  <w:tbl>
    <w:tblPr>
      <w:tblW w:w="0" w:type="auto"/>
      <w:tblLayout w:type="fixed"/>
      <w:tblLook w:val="0000"/>
    </w:tblPr>
    <w:tblGrid>
      <w:gridCol w:w="3772"/>
      <w:gridCol w:w="5028"/>
    </w:tblGrid>
    <w:tr w:rsidR="00E93143" w:rsidTr="00E93143">
      <w:tblPrEx>
        <w:tblCellMar>
          <w:top w:w="0" w:type="dxa"/>
          <w:bottom w:w="0" w:type="dxa"/>
        </w:tblCellMar>
      </w:tblPrEx>
      <w:tc>
        <w:tcPr>
          <w:tcW w:w="3772" w:type="dxa"/>
        </w:tcPr>
        <w:p w:rsidR="00E93143" w:rsidRDefault="00C52B63" w:rsidP="00E93143">
          <w:pPr>
            <w:pStyle w:val="ReleaseDate"/>
          </w:pPr>
          <w:r w:rsidRPr="00C52B63">
            <w:t>15-04038</w:t>
          </w:r>
          <w:r>
            <w:t>X</w:t>
          </w:r>
          <w:r w:rsidRPr="00C52B63">
            <w:t xml:space="preserve"> (S)</w:t>
          </w:r>
          <w:r w:rsidR="00E93143">
            <w:t xml:space="preserve">  </w:t>
          </w:r>
        </w:p>
        <w:p w:rsidR="00E93143" w:rsidRPr="00E93143" w:rsidRDefault="00E93143" w:rsidP="00E9314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*1504038*</w:t>
          </w:r>
        </w:p>
      </w:tc>
      <w:tc>
        <w:tcPr>
          <w:tcW w:w="5028" w:type="dxa"/>
        </w:tcPr>
        <w:p w:rsidR="00E93143" w:rsidRDefault="00E93143" w:rsidP="00E93143">
          <w:pPr>
            <w:pStyle w:val="Footer"/>
            <w:jc w:val="right"/>
            <w:rPr>
              <w:b w:val="0"/>
              <w:sz w:val="20"/>
            </w:rPr>
          </w:pPr>
          <w:r>
            <w:rPr>
              <w:b w:val="0"/>
              <w:sz w:val="20"/>
            </w:rPr>
            <w:pict>
              <v:shape id="_x0000_i1026" type="#_x0000_t75" style="width:85.5pt;height:18pt">
                <v:imagedata r:id="rId2" o:title="recycle_Spanish"/>
              </v:shape>
            </w:pict>
          </w:r>
        </w:p>
      </w:tc>
    </w:tr>
  </w:tbl>
  <w:p w:rsidR="00E93143" w:rsidRPr="00E93143" w:rsidRDefault="00E93143" w:rsidP="00E93143">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EE" w:rsidRPr="00445325" w:rsidRDefault="003775EE" w:rsidP="00445325">
      <w:pPr>
        <w:pStyle w:val="Footer"/>
        <w:spacing w:after="80"/>
        <w:ind w:left="792"/>
        <w:rPr>
          <w:sz w:val="16"/>
        </w:rPr>
      </w:pPr>
      <w:r w:rsidRPr="00445325">
        <w:rPr>
          <w:sz w:val="16"/>
        </w:rPr>
        <w:t>__________________</w:t>
      </w:r>
    </w:p>
  </w:footnote>
  <w:footnote w:type="continuationSeparator" w:id="0">
    <w:p w:rsidR="003775EE" w:rsidRPr="00445325" w:rsidRDefault="003775EE" w:rsidP="00445325">
      <w:pPr>
        <w:pStyle w:val="Footer"/>
        <w:spacing w:after="80"/>
        <w:ind w:left="792"/>
        <w:rPr>
          <w:sz w:val="16"/>
        </w:rPr>
      </w:pPr>
      <w:r w:rsidRPr="00445325">
        <w:rPr>
          <w:sz w:val="16"/>
        </w:rPr>
        <w:t>__________________</w:t>
      </w:r>
    </w:p>
  </w:footnote>
  <w:footnote w:id="1">
    <w:p w:rsidR="00654868" w:rsidRDefault="00654868" w:rsidP="00445325">
      <w:pPr>
        <w:pStyle w:val="FootnoteText"/>
        <w:tabs>
          <w:tab w:val="clear" w:pos="418"/>
          <w:tab w:val="right" w:pos="1195"/>
          <w:tab w:val="left" w:pos="1267"/>
          <w:tab w:val="left" w:pos="1742"/>
          <w:tab w:val="left" w:pos="2218"/>
          <w:tab w:val="left" w:pos="2693"/>
        </w:tabs>
        <w:ind w:left="1267" w:right="1267" w:hanging="432"/>
      </w:pPr>
      <w:r>
        <w:rPr>
          <w:szCs w:val="24"/>
        </w:rPr>
        <w:tab/>
      </w:r>
      <w:r>
        <w:rPr>
          <w:rStyle w:val="FootnoteReference"/>
          <w:szCs w:val="24"/>
        </w:rPr>
        <w:footnoteRef/>
      </w:r>
      <w:r w:rsidRPr="00C11C0E">
        <w:rPr>
          <w:szCs w:val="24"/>
        </w:rPr>
        <w:tab/>
      </w:r>
      <w:r w:rsidRPr="00B83D88">
        <w:t xml:space="preserve">Salvo que se indique lo contrario, los números de los párrafos hacen referencia al octavo informe periódico de la Federación de Rusia.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E93143" w:rsidTr="00E93143">
      <w:tblPrEx>
        <w:tblCellMar>
          <w:top w:w="0" w:type="dxa"/>
          <w:bottom w:w="0" w:type="dxa"/>
        </w:tblCellMar>
      </w:tblPrEx>
      <w:trPr>
        <w:trHeight w:hRule="exact" w:val="864"/>
      </w:trPr>
      <w:tc>
        <w:tcPr>
          <w:tcW w:w="4838" w:type="dxa"/>
          <w:shd w:val="clear" w:color="auto" w:fill="auto"/>
          <w:vAlign w:val="bottom"/>
        </w:tcPr>
        <w:p w:rsidR="00E93143" w:rsidRPr="00E93143" w:rsidRDefault="00E93143" w:rsidP="00E93143">
          <w:pPr>
            <w:pStyle w:val="Header"/>
            <w:spacing w:after="80"/>
            <w:rPr>
              <w:b/>
              <w:color w:val="000000"/>
            </w:rPr>
          </w:pPr>
          <w:fldSimple w:instr=" DOCVARIABLE &quot;sss1&quot; \* MERGEFORMAT ">
            <w:r w:rsidR="00F63E4B">
              <w:rPr>
                <w:b/>
                <w:color w:val="000000"/>
              </w:rPr>
              <w:t>CEDAW/C/RUS/Q/8</w:t>
            </w:r>
          </w:fldSimple>
        </w:p>
      </w:tc>
      <w:tc>
        <w:tcPr>
          <w:tcW w:w="5028" w:type="dxa"/>
          <w:shd w:val="clear" w:color="auto" w:fill="auto"/>
          <w:vAlign w:val="bottom"/>
        </w:tcPr>
        <w:p w:rsidR="00E93143" w:rsidRDefault="00E93143" w:rsidP="00E93143">
          <w:pPr>
            <w:pStyle w:val="Header"/>
          </w:pPr>
        </w:p>
      </w:tc>
    </w:tr>
  </w:tbl>
  <w:p w:rsidR="00E93143" w:rsidRPr="00E93143" w:rsidRDefault="00E93143" w:rsidP="00E93143">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E93143" w:rsidTr="00E93143">
      <w:tblPrEx>
        <w:tblCellMar>
          <w:top w:w="0" w:type="dxa"/>
          <w:bottom w:w="0" w:type="dxa"/>
        </w:tblCellMar>
      </w:tblPrEx>
      <w:trPr>
        <w:trHeight w:hRule="exact" w:val="864"/>
      </w:trPr>
      <w:tc>
        <w:tcPr>
          <w:tcW w:w="4838" w:type="dxa"/>
          <w:shd w:val="clear" w:color="auto" w:fill="auto"/>
          <w:vAlign w:val="bottom"/>
        </w:tcPr>
        <w:p w:rsidR="00E93143" w:rsidRDefault="00E93143" w:rsidP="00E93143">
          <w:pPr>
            <w:pStyle w:val="Header"/>
          </w:pPr>
        </w:p>
      </w:tc>
      <w:tc>
        <w:tcPr>
          <w:tcW w:w="5028" w:type="dxa"/>
          <w:shd w:val="clear" w:color="auto" w:fill="auto"/>
          <w:vAlign w:val="bottom"/>
        </w:tcPr>
        <w:p w:rsidR="00E93143" w:rsidRPr="00E93143" w:rsidRDefault="00E93143" w:rsidP="00E93143">
          <w:pPr>
            <w:pStyle w:val="Header"/>
            <w:spacing w:after="80"/>
            <w:jc w:val="right"/>
            <w:rPr>
              <w:b/>
              <w:color w:val="000000"/>
            </w:rPr>
          </w:pPr>
          <w:fldSimple w:instr=" DOCVARIABLE &quot;sss1&quot; \* MERGEFORMAT ">
            <w:r w:rsidR="00F63E4B">
              <w:rPr>
                <w:b/>
                <w:color w:val="000000"/>
              </w:rPr>
              <w:t>CEDAW/C/RUS/Q/8</w:t>
            </w:r>
          </w:fldSimple>
        </w:p>
      </w:tc>
    </w:tr>
  </w:tbl>
  <w:p w:rsidR="00E93143" w:rsidRPr="00E93143" w:rsidRDefault="00E93143" w:rsidP="00E93143">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E93143" w:rsidTr="00E9314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93143" w:rsidRDefault="00E93143" w:rsidP="00E93143">
          <w:pPr>
            <w:pStyle w:val="Header"/>
            <w:spacing w:after="120"/>
          </w:pPr>
        </w:p>
      </w:tc>
      <w:tc>
        <w:tcPr>
          <w:tcW w:w="2059" w:type="dxa"/>
          <w:tcBorders>
            <w:bottom w:val="single" w:sz="4" w:space="0" w:color="auto"/>
          </w:tcBorders>
          <w:shd w:val="clear" w:color="auto" w:fill="auto"/>
          <w:vAlign w:val="bottom"/>
        </w:tcPr>
        <w:p w:rsidR="00E93143" w:rsidRPr="00E93143" w:rsidRDefault="00E93143" w:rsidP="00E9314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93143" w:rsidRDefault="00E93143" w:rsidP="00E93143">
          <w:pPr>
            <w:pStyle w:val="Header"/>
            <w:spacing w:after="120"/>
          </w:pPr>
        </w:p>
      </w:tc>
      <w:tc>
        <w:tcPr>
          <w:tcW w:w="6523" w:type="dxa"/>
          <w:gridSpan w:val="3"/>
          <w:tcBorders>
            <w:bottom w:val="single" w:sz="4" w:space="0" w:color="auto"/>
          </w:tcBorders>
          <w:shd w:val="clear" w:color="auto" w:fill="auto"/>
          <w:vAlign w:val="bottom"/>
        </w:tcPr>
        <w:p w:rsidR="00E93143" w:rsidRPr="00E93143" w:rsidRDefault="00E93143" w:rsidP="00E93143">
          <w:pPr>
            <w:spacing w:after="80" w:line="240" w:lineRule="auto"/>
            <w:jc w:val="right"/>
            <w:rPr>
              <w:position w:val="-4"/>
            </w:rPr>
          </w:pPr>
          <w:r>
            <w:rPr>
              <w:position w:val="-4"/>
              <w:sz w:val="40"/>
            </w:rPr>
            <w:t>CEDAW</w:t>
          </w:r>
          <w:r>
            <w:rPr>
              <w:position w:val="-4"/>
            </w:rPr>
            <w:t>/C/RUS/Q/8</w:t>
          </w:r>
        </w:p>
      </w:tc>
    </w:tr>
    <w:tr w:rsidR="00E93143" w:rsidRPr="00E93143" w:rsidTr="00E9314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93143" w:rsidRPr="00E93143" w:rsidRDefault="00E93143" w:rsidP="00E9314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E93143" w:rsidRPr="00E93143" w:rsidRDefault="00E93143" w:rsidP="00E93143">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E93143" w:rsidRPr="00654868" w:rsidRDefault="00E93143" w:rsidP="00E9314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93143" w:rsidRDefault="00E93143" w:rsidP="00E93143">
          <w:pPr>
            <w:pStyle w:val="Distribution"/>
            <w:spacing w:before="240"/>
          </w:pPr>
          <w:r>
            <w:t>Distr. general</w:t>
          </w:r>
        </w:p>
        <w:p w:rsidR="00E93143" w:rsidRDefault="00E93143" w:rsidP="00E93143">
          <w:pPr>
            <w:pStyle w:val="Publication"/>
          </w:pPr>
          <w:r>
            <w:t>1</w:t>
          </w:r>
          <w:r w:rsidR="00204A59">
            <w:t>6</w:t>
          </w:r>
          <w:r>
            <w:t xml:space="preserve"> de </w:t>
          </w:r>
          <w:r w:rsidR="00204A59">
            <w:t xml:space="preserve">marzo </w:t>
          </w:r>
          <w:r>
            <w:t>de 2015</w:t>
          </w:r>
        </w:p>
        <w:p w:rsidR="00E93143" w:rsidRDefault="00E93143" w:rsidP="00E93143">
          <w:r>
            <w:t>Español</w:t>
          </w:r>
        </w:p>
        <w:p w:rsidR="00E93143" w:rsidRDefault="00E93143" w:rsidP="00E93143">
          <w:pPr>
            <w:pStyle w:val="Original"/>
          </w:pPr>
          <w:r>
            <w:t>Original: inglés</w:t>
          </w:r>
        </w:p>
        <w:p w:rsidR="00E93143" w:rsidRPr="00E93143" w:rsidRDefault="00E93143" w:rsidP="00E93143"/>
      </w:tc>
    </w:tr>
  </w:tbl>
  <w:p w:rsidR="00E93143" w:rsidRPr="00E93143" w:rsidRDefault="00E93143" w:rsidP="00E9314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2457966"/>
    <w:multiLevelType w:val="singleLevel"/>
    <w:tmpl w:val="C27A6298"/>
    <w:lvl w:ilvl="0">
      <w:start w:val="1"/>
      <w:numFmt w:val="decimal"/>
      <w:lvlRestart w:val="0"/>
      <w:lvlText w:val="%1."/>
      <w:lvlJc w:val="left"/>
      <w:pPr>
        <w:tabs>
          <w:tab w:val="num" w:pos="475"/>
        </w:tabs>
        <w:ind w:left="0" w:firstLine="0"/>
      </w:pPr>
      <w:rPr>
        <w:spacing w:val="0"/>
        <w:w w:val="100"/>
      </w:rPr>
    </w:lvl>
  </w:abstractNum>
  <w:abstractNum w:abstractNumId="4">
    <w:nsid w:val="5B050D27"/>
    <w:multiLevelType w:val="hybridMultilevel"/>
    <w:tmpl w:val="87DC7F34"/>
    <w:lvl w:ilvl="0" w:tplc="C0AAC956">
      <w:start w:val="1"/>
      <w:numFmt w:val="decimal"/>
      <w:lvlText w:val="%1."/>
      <w:lvlJc w:val="left"/>
      <w:pPr>
        <w:ind w:left="1747"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5">
    <w:nsid w:val="5BBA4076"/>
    <w:multiLevelType w:val="singleLevel"/>
    <w:tmpl w:val="C27A6298"/>
    <w:lvl w:ilvl="0">
      <w:start w:val="1"/>
      <w:numFmt w:val="decimal"/>
      <w:lvlRestart w:val="0"/>
      <w:lvlText w:val="%1."/>
      <w:lvlJc w:val="left"/>
      <w:pPr>
        <w:tabs>
          <w:tab w:val="num" w:pos="475"/>
        </w:tabs>
        <w:ind w:left="0" w:firstLine="0"/>
      </w:pPr>
      <w:rPr>
        <w:spacing w:val="0"/>
        <w:w w:val="100"/>
      </w:rPr>
    </w:lvl>
  </w:abstractNum>
  <w:abstractNum w:abstractNumId="6">
    <w:nsid w:val="632F5434"/>
    <w:multiLevelType w:val="hybridMultilevel"/>
    <w:tmpl w:val="87DC7F34"/>
    <w:lvl w:ilvl="0" w:tplc="C0AAC956">
      <w:start w:val="1"/>
      <w:numFmt w:val="decimal"/>
      <w:lvlText w:val="%1."/>
      <w:lvlJc w:val="left"/>
      <w:pPr>
        <w:ind w:left="1747"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7">
    <w:nsid w:val="6A7B4279"/>
    <w:multiLevelType w:val="singleLevel"/>
    <w:tmpl w:val="C27A6298"/>
    <w:lvl w:ilvl="0">
      <w:start w:val="1"/>
      <w:numFmt w:val="decimal"/>
      <w:lvlRestart w:val="0"/>
      <w:lvlText w:val="%1."/>
      <w:lvlJc w:val="left"/>
      <w:pPr>
        <w:tabs>
          <w:tab w:val="num" w:pos="475"/>
        </w:tabs>
        <w:ind w:left="0" w:firstLine="0"/>
      </w:pPr>
      <w:rPr>
        <w:spacing w:val="0"/>
        <w:w w:val="100"/>
      </w:rPr>
    </w:lvl>
  </w:abstractNum>
  <w:abstractNum w:abstractNumId="8">
    <w:nsid w:val="79381B0B"/>
    <w:multiLevelType w:val="singleLevel"/>
    <w:tmpl w:val="DD86EC76"/>
    <w:lvl w:ilvl="0">
      <w:start w:val="1"/>
      <w:numFmt w:val="decimal"/>
      <w:lvlRestart w:val="0"/>
      <w:lvlText w:val="%1."/>
      <w:lvlJc w:val="left"/>
      <w:pPr>
        <w:tabs>
          <w:tab w:val="num" w:pos="475"/>
        </w:tabs>
        <w:ind w:left="0" w:firstLine="0"/>
      </w:pPr>
      <w:rPr>
        <w:spacing w:val="0"/>
        <w:w w:val="100"/>
      </w:rPr>
    </w:lvl>
  </w:abstractNum>
  <w:abstractNum w:abstractNumId="9">
    <w:nsid w:val="7BFA06EE"/>
    <w:multiLevelType w:val="singleLevel"/>
    <w:tmpl w:val="C27A6298"/>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7"/>
  </w:num>
  <w:num w:numId="8">
    <w:abstractNumId w:val="7"/>
    <w:lvlOverride w:ilvl="0">
      <w:lvl w:ilvl="0">
        <w:start w:val="1"/>
        <w:numFmt w:val="decimal"/>
        <w:lvlRestart w:val="0"/>
        <w:lvlText w:val="%1."/>
        <w:lvlJc w:val="left"/>
        <w:pPr>
          <w:tabs>
            <w:tab w:val="num" w:pos="475"/>
          </w:tabs>
          <w:ind w:left="0" w:firstLine="0"/>
        </w:pPr>
        <w:rPr>
          <w:spacing w:val="0"/>
          <w:w w:val="100"/>
        </w:rPr>
      </w:lvl>
    </w:lvlOverride>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8*"/>
    <w:docVar w:name="CreationDt" w:val="01/04/2015 7:27: PM"/>
    <w:docVar w:name="DocCategory" w:val="Doc"/>
    <w:docVar w:name="DocType" w:val="Final"/>
    <w:docVar w:name="DutyStation" w:val="New York"/>
    <w:docVar w:name="FooterJN" w:val="15-04038"/>
    <w:docVar w:name="jobn" w:val="15-04038 (S)"/>
    <w:docVar w:name="jobnDT" w:val="15-04038 (S)   010415"/>
    <w:docVar w:name="jobnDTDT" w:val="15-04038 (S)   010415   010415"/>
    <w:docVar w:name="JobNo" w:val="1504038S"/>
    <w:docVar w:name="JobNo2" w:val="15072137:27: PM"/>
    <w:docVar w:name="OandT" w:val=":Dag"/>
    <w:docVar w:name="PaperSize" w:val="Letter"/>
    <w:docVar w:name="sss1" w:val="CEDAW/C/RUS/Q/8"/>
    <w:docVar w:name="sss2" w:val="-"/>
    <w:docVar w:name="Symbol1" w:val="CEDAW/C/RUS/Q/8"/>
    <w:docVar w:name="Symbol2" w:val="-"/>
  </w:docVars>
  <w:rsids>
    <w:rsidRoot w:val="00EB0630"/>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1D4C"/>
    <w:rsid w:val="001F74B0"/>
    <w:rsid w:val="00200A61"/>
    <w:rsid w:val="00204A59"/>
    <w:rsid w:val="0020684C"/>
    <w:rsid w:val="002070C6"/>
    <w:rsid w:val="00215D28"/>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59DE"/>
    <w:rsid w:val="003452B8"/>
    <w:rsid w:val="0034771F"/>
    <w:rsid w:val="0035601E"/>
    <w:rsid w:val="00361134"/>
    <w:rsid w:val="003626AF"/>
    <w:rsid w:val="00363CCE"/>
    <w:rsid w:val="00364682"/>
    <w:rsid w:val="00364F73"/>
    <w:rsid w:val="00365806"/>
    <w:rsid w:val="00367739"/>
    <w:rsid w:val="0037429E"/>
    <w:rsid w:val="00374F29"/>
    <w:rsid w:val="003754AD"/>
    <w:rsid w:val="00375801"/>
    <w:rsid w:val="003775EE"/>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5325"/>
    <w:rsid w:val="004465F9"/>
    <w:rsid w:val="00451290"/>
    <w:rsid w:val="0045204A"/>
    <w:rsid w:val="0045650A"/>
    <w:rsid w:val="00460AD1"/>
    <w:rsid w:val="00466635"/>
    <w:rsid w:val="004713D8"/>
    <w:rsid w:val="00474F6E"/>
    <w:rsid w:val="00476219"/>
    <w:rsid w:val="004762F7"/>
    <w:rsid w:val="004843EE"/>
    <w:rsid w:val="00486DF8"/>
    <w:rsid w:val="00490E18"/>
    <w:rsid w:val="0049207E"/>
    <w:rsid w:val="004A146B"/>
    <w:rsid w:val="004A3174"/>
    <w:rsid w:val="004A7C6C"/>
    <w:rsid w:val="004B47A3"/>
    <w:rsid w:val="004B7559"/>
    <w:rsid w:val="004C1BCD"/>
    <w:rsid w:val="004C75AE"/>
    <w:rsid w:val="004D4AC0"/>
    <w:rsid w:val="004D6407"/>
    <w:rsid w:val="004D779E"/>
    <w:rsid w:val="004E50F6"/>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1D7B"/>
    <w:rsid w:val="005B68DB"/>
    <w:rsid w:val="005C547D"/>
    <w:rsid w:val="005D3721"/>
    <w:rsid w:val="005D63A4"/>
    <w:rsid w:val="005E4F7D"/>
    <w:rsid w:val="005E6371"/>
    <w:rsid w:val="005E6B39"/>
    <w:rsid w:val="005F430B"/>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54868"/>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593"/>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2B63"/>
    <w:rsid w:val="00C56024"/>
    <w:rsid w:val="00C6016B"/>
    <w:rsid w:val="00C71D8C"/>
    <w:rsid w:val="00C72875"/>
    <w:rsid w:val="00C72AD9"/>
    <w:rsid w:val="00C7369D"/>
    <w:rsid w:val="00C8131F"/>
    <w:rsid w:val="00C833E6"/>
    <w:rsid w:val="00C847F0"/>
    <w:rsid w:val="00C859E1"/>
    <w:rsid w:val="00C85D0D"/>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143"/>
    <w:rsid w:val="00E932A5"/>
    <w:rsid w:val="00E96210"/>
    <w:rsid w:val="00EA2C66"/>
    <w:rsid w:val="00EA425E"/>
    <w:rsid w:val="00EA60AF"/>
    <w:rsid w:val="00EB0630"/>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3E4B"/>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E93143"/>
    <w:rPr>
      <w:szCs w:val="20"/>
      <w:lang/>
    </w:rPr>
  </w:style>
  <w:style w:type="character" w:customStyle="1" w:styleId="CommentTextChar">
    <w:name w:val="Comment Text Char"/>
    <w:link w:val="CommentText"/>
    <w:rsid w:val="00E93143"/>
    <w:rPr>
      <w:rFonts w:ascii="Times New Roman" w:hAnsi="Times New Roman"/>
      <w:spacing w:val="4"/>
      <w:w w:val="103"/>
      <w:lang w:val="es-ES"/>
    </w:rPr>
  </w:style>
  <w:style w:type="paragraph" w:styleId="CommentSubject">
    <w:name w:val="annotation subject"/>
    <w:basedOn w:val="CommentText"/>
    <w:next w:val="CommentText"/>
    <w:link w:val="CommentSubjectChar"/>
    <w:rsid w:val="00E93143"/>
    <w:rPr>
      <w:b/>
      <w:bCs/>
    </w:rPr>
  </w:style>
  <w:style w:type="character" w:customStyle="1" w:styleId="CommentSubjectChar">
    <w:name w:val="Comment Subject Char"/>
    <w:link w:val="CommentSubject"/>
    <w:rsid w:val="00E93143"/>
    <w:rPr>
      <w:rFonts w:ascii="Times New Roman" w:hAnsi="Times New Roman"/>
      <w:b/>
      <w:bCs/>
      <w:spacing w:val="4"/>
      <w:w w:val="103"/>
      <w:lang w:val="es-ES"/>
    </w:rPr>
  </w:style>
  <w:style w:type="character" w:customStyle="1" w:styleId="FootnoteTextChar">
    <w:name w:val="Footnote Text Char"/>
    <w:aliases w:val="5_G Char"/>
    <w:link w:val="FootnoteText"/>
    <w:uiPriority w:val="99"/>
    <w:locked/>
    <w:rsid w:val="00654868"/>
    <w:rPr>
      <w:rFonts w:ascii="Times New Roman" w:hAnsi="Times New Roman"/>
      <w:spacing w:val="5"/>
      <w:w w:val="104"/>
      <w:sz w:val="17"/>
      <w:szCs w:val="22"/>
      <w:lang w:val="es-ES"/>
    </w:rPr>
  </w:style>
  <w:style w:type="character" w:customStyle="1" w:styleId="tw4winMark">
    <w:name w:val="tw4winMark"/>
    <w:rsid w:val="00654868"/>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2076</Words>
  <Characters>11606</Characters>
  <Application>Microsoft Office Outlook</Application>
  <DocSecurity>4</DocSecurity>
  <Lines>232</Lines>
  <Paragraphs>48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Test</cp:lastModifiedBy>
  <cp:revision>3</cp:revision>
  <cp:lastPrinted>2015-04-01T17:35:00Z</cp:lastPrinted>
  <dcterms:created xsi:type="dcterms:W3CDTF">2015-04-01T17:35:00Z</dcterms:created>
  <dcterms:modified xsi:type="dcterms:W3CDTF">2015-04-01T17:35:00Z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1504038</vt:lpwstr>
  </property>
  <property fmtid="{D5CDD505-2E9C-101B-9397-08002B2CF9AE}" pid="3" name="ODSRefJobNo">
    <vt:lpwstr>1507213</vt:lpwstr>
  </property>
  <property fmtid="{D5CDD505-2E9C-101B-9397-08002B2CF9AE}" pid="4" name="Symbol1">
    <vt:lpwstr>CEDAW/C/RUS/Q/8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abril de 2015</vt:lpwstr>
  </property>
  <property fmtid="{D5CDD505-2E9C-101B-9397-08002B2CF9AE}" pid="8" name="Original">
    <vt:lpwstr>inglés</vt:lpwstr>
  </property>
  <property fmtid="{D5CDD505-2E9C-101B-9397-08002B2CF9AE}" pid="9" name="Release Date">
    <vt:lpwstr>010415</vt:lpwstr>
  </property>
  <property fmtid="{D5CDD505-2E9C-101B-9397-08002B2CF9AE}" pid="10" name="Comment">
    <vt:lpwstr/>
  </property>
  <property fmtid="{D5CDD505-2E9C-101B-9397-08002B2CF9AE}" pid="11" name="DraftPages">
    <vt:lpwstr> </vt:lpwstr>
  </property>
  <property fmtid="{D5CDD505-2E9C-101B-9397-08002B2CF9AE}" pid="12" name="Operator">
    <vt:lpwstr>:Dag</vt:lpwstr>
  </property>
  <property fmtid="{D5CDD505-2E9C-101B-9397-08002B2CF9AE}" pid="13" name="Translator">
    <vt:lpwstr>:Dag</vt:lpwstr>
  </property>
</Properties>
</file>