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C0149" w:rsidRPr="00785DC5" w:rsidTr="009D5F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DC0149" w:rsidRPr="00785DC5" w:rsidRDefault="00DC0149" w:rsidP="00A07D6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0149" w:rsidRPr="00785DC5" w:rsidRDefault="00DC0149" w:rsidP="009D5F1A">
            <w:pPr>
              <w:spacing w:after="80" w:line="300" w:lineRule="exact"/>
              <w:rPr>
                <w:sz w:val="28"/>
              </w:rPr>
            </w:pPr>
            <w:r w:rsidRPr="00785DC5">
              <w:rPr>
                <w:sz w:val="28"/>
              </w:rPr>
              <w:t>Nations</w:t>
            </w:r>
            <w:r w:rsidR="0027585A" w:rsidRPr="00785DC5">
              <w:rPr>
                <w:sz w:val="28"/>
              </w:rPr>
              <w:t xml:space="preserve"> </w:t>
            </w:r>
            <w:r w:rsidRPr="00785DC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DC0149" w:rsidRPr="00785DC5" w:rsidRDefault="00A07D62" w:rsidP="00A07D62">
            <w:pPr>
              <w:jc w:val="right"/>
            </w:pPr>
            <w:r w:rsidRPr="00785DC5">
              <w:rPr>
                <w:sz w:val="40"/>
              </w:rPr>
              <w:t>CERD</w:t>
            </w:r>
            <w:r w:rsidRPr="00785DC5">
              <w:t>/C/HUN/CO/18-25</w:t>
            </w:r>
          </w:p>
        </w:tc>
      </w:tr>
      <w:tr w:rsidR="00DC0149" w:rsidRPr="00785DC5" w:rsidTr="009D5F1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785DC5" w:rsidRDefault="00DC0149" w:rsidP="009D5F1A">
            <w:pPr>
              <w:spacing w:before="120"/>
              <w:jc w:val="center"/>
            </w:pPr>
            <w:r w:rsidRPr="00785DC5">
              <w:rPr>
                <w:noProof/>
                <w:lang w:eastAsia="fr-CH"/>
              </w:rPr>
              <w:drawing>
                <wp:inline distT="0" distB="0" distL="0" distR="0" wp14:anchorId="19A0A5A9" wp14:editId="42FFFBE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C0149" w:rsidRPr="00785DC5" w:rsidRDefault="00DC0149" w:rsidP="009D5F1A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785DC5">
              <w:rPr>
                <w:b/>
                <w:sz w:val="34"/>
                <w:szCs w:val="34"/>
              </w:rPr>
              <w:t>Convention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internationale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sur</w:t>
            </w:r>
            <w:r w:rsidRPr="00785DC5">
              <w:rPr>
                <w:b/>
                <w:sz w:val="34"/>
                <w:szCs w:val="34"/>
              </w:rPr>
              <w:br/>
              <w:t>l’élimination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de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toutes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les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formes</w:t>
            </w:r>
            <w:r w:rsidRPr="00785DC5">
              <w:rPr>
                <w:b/>
                <w:sz w:val="34"/>
                <w:szCs w:val="34"/>
              </w:rPr>
              <w:br/>
              <w:t>de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discrimination</w:t>
            </w:r>
            <w:r w:rsidR="0027585A" w:rsidRPr="00785DC5">
              <w:rPr>
                <w:b/>
                <w:sz w:val="34"/>
                <w:szCs w:val="34"/>
              </w:rPr>
              <w:t xml:space="preserve"> </w:t>
            </w:r>
            <w:r w:rsidRPr="00785DC5">
              <w:rPr>
                <w:b/>
                <w:sz w:val="34"/>
                <w:szCs w:val="34"/>
              </w:rPr>
              <w:t>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C0149" w:rsidRPr="00785DC5" w:rsidRDefault="00A07D62" w:rsidP="009D5F1A">
            <w:pPr>
              <w:spacing w:before="240"/>
            </w:pPr>
            <w:r w:rsidRPr="00785DC5">
              <w:t>Distr.</w:t>
            </w:r>
            <w:r w:rsidR="0027585A" w:rsidRPr="00785DC5">
              <w:t xml:space="preserve"> </w:t>
            </w:r>
            <w:r w:rsidRPr="00785DC5">
              <w:t>générale</w:t>
            </w:r>
          </w:p>
          <w:p w:rsidR="00A07D62" w:rsidRPr="00785DC5" w:rsidRDefault="00A07D62" w:rsidP="00A07D62">
            <w:pPr>
              <w:spacing w:line="240" w:lineRule="exact"/>
            </w:pPr>
            <w:r w:rsidRPr="00785DC5">
              <w:t>6</w:t>
            </w:r>
            <w:r w:rsidR="0027585A" w:rsidRPr="00785DC5">
              <w:t xml:space="preserve"> </w:t>
            </w:r>
            <w:r w:rsidRPr="00785DC5">
              <w:t>juin</w:t>
            </w:r>
            <w:r w:rsidR="0027585A" w:rsidRPr="00785DC5">
              <w:t xml:space="preserve"> </w:t>
            </w:r>
            <w:r w:rsidRPr="00785DC5">
              <w:t>2019</w:t>
            </w:r>
          </w:p>
          <w:p w:rsidR="00A07D62" w:rsidRPr="00785DC5" w:rsidRDefault="00A07D62" w:rsidP="00A07D62">
            <w:pPr>
              <w:spacing w:line="240" w:lineRule="exact"/>
            </w:pPr>
            <w:r w:rsidRPr="00785DC5">
              <w:t>Français</w:t>
            </w:r>
          </w:p>
          <w:p w:rsidR="00A07D62" w:rsidRPr="00785DC5" w:rsidRDefault="00A07D62" w:rsidP="00A07D62">
            <w:pPr>
              <w:spacing w:line="240" w:lineRule="exact"/>
            </w:pPr>
            <w:r w:rsidRPr="00785DC5">
              <w:t>Original</w:t>
            </w:r>
            <w:r w:rsidR="0027585A" w:rsidRPr="00785DC5">
              <w:t xml:space="preserve"> : </w:t>
            </w:r>
            <w:r w:rsidRPr="00785DC5">
              <w:t>anglais</w:t>
            </w:r>
          </w:p>
        </w:tc>
      </w:tr>
    </w:tbl>
    <w:p w:rsidR="00623CA8" w:rsidRPr="00785DC5" w:rsidRDefault="00623CA8" w:rsidP="00623CA8">
      <w:pPr>
        <w:spacing w:before="120"/>
        <w:rPr>
          <w:b/>
          <w:sz w:val="24"/>
          <w:szCs w:val="24"/>
        </w:rPr>
      </w:pPr>
      <w:r w:rsidRPr="00785DC5">
        <w:rPr>
          <w:b/>
          <w:sz w:val="24"/>
          <w:szCs w:val="24"/>
        </w:rPr>
        <w:t>Comité</w:t>
      </w:r>
      <w:r w:rsidR="0027585A" w:rsidRPr="00785DC5">
        <w:rPr>
          <w:b/>
          <w:sz w:val="24"/>
          <w:szCs w:val="24"/>
        </w:rPr>
        <w:t xml:space="preserve"> </w:t>
      </w:r>
      <w:r w:rsidRPr="00785DC5">
        <w:rPr>
          <w:b/>
          <w:sz w:val="24"/>
          <w:szCs w:val="24"/>
        </w:rPr>
        <w:t>pour</w:t>
      </w:r>
      <w:r w:rsidR="0027585A" w:rsidRPr="00785DC5">
        <w:rPr>
          <w:b/>
          <w:sz w:val="24"/>
          <w:szCs w:val="24"/>
        </w:rPr>
        <w:t xml:space="preserve"> </w:t>
      </w:r>
      <w:r w:rsidRPr="00785DC5">
        <w:rPr>
          <w:b/>
          <w:sz w:val="24"/>
          <w:szCs w:val="24"/>
        </w:rPr>
        <w:t>l’élimination</w:t>
      </w:r>
      <w:r w:rsidR="0027585A" w:rsidRPr="00785DC5">
        <w:rPr>
          <w:b/>
          <w:sz w:val="24"/>
          <w:szCs w:val="24"/>
        </w:rPr>
        <w:t xml:space="preserve"> </w:t>
      </w:r>
      <w:r w:rsidRPr="00785DC5">
        <w:rPr>
          <w:b/>
          <w:sz w:val="24"/>
          <w:szCs w:val="24"/>
        </w:rPr>
        <w:t>de</w:t>
      </w:r>
      <w:r w:rsidR="0027585A" w:rsidRPr="00785DC5">
        <w:rPr>
          <w:b/>
          <w:sz w:val="24"/>
          <w:szCs w:val="24"/>
        </w:rPr>
        <w:t xml:space="preserve"> </w:t>
      </w:r>
      <w:r w:rsidRPr="00785DC5">
        <w:rPr>
          <w:b/>
          <w:sz w:val="24"/>
          <w:szCs w:val="24"/>
        </w:rPr>
        <w:t>la</w:t>
      </w:r>
      <w:r w:rsidR="0027585A" w:rsidRPr="00785DC5">
        <w:rPr>
          <w:b/>
          <w:sz w:val="24"/>
          <w:szCs w:val="24"/>
        </w:rPr>
        <w:t xml:space="preserve"> </w:t>
      </w:r>
      <w:r w:rsidRPr="00785DC5">
        <w:rPr>
          <w:b/>
          <w:sz w:val="24"/>
          <w:szCs w:val="24"/>
        </w:rPr>
        <w:t>discrimination</w:t>
      </w:r>
      <w:r w:rsidR="0027585A" w:rsidRPr="00785DC5">
        <w:rPr>
          <w:b/>
          <w:sz w:val="24"/>
          <w:szCs w:val="24"/>
        </w:rPr>
        <w:t xml:space="preserve"> </w:t>
      </w:r>
      <w:r w:rsidRPr="00785DC5">
        <w:rPr>
          <w:b/>
          <w:sz w:val="24"/>
          <w:szCs w:val="24"/>
        </w:rPr>
        <w:t>raciale</w:t>
      </w:r>
    </w:p>
    <w:p w:rsidR="00A07D62" w:rsidRPr="00785DC5" w:rsidRDefault="00A35C78" w:rsidP="00A07D62">
      <w:pPr>
        <w:pStyle w:val="HChG"/>
      </w:pPr>
      <w:r w:rsidRPr="00785DC5">
        <w:tab/>
      </w:r>
      <w:r w:rsidRPr="00785DC5">
        <w:tab/>
      </w:r>
      <w:r w:rsidR="00A07D62" w:rsidRPr="00785DC5">
        <w:t>Observations</w:t>
      </w:r>
      <w:r w:rsidR="0027585A" w:rsidRPr="00785DC5">
        <w:t xml:space="preserve"> </w:t>
      </w:r>
      <w:r w:rsidR="00A07D62" w:rsidRPr="00785DC5">
        <w:t>finales</w:t>
      </w:r>
      <w:r w:rsidR="0027585A" w:rsidRPr="00785DC5">
        <w:t xml:space="preserve"> </w:t>
      </w:r>
      <w:r w:rsidR="00A07D62" w:rsidRPr="00785DC5">
        <w:t>concernant</w:t>
      </w:r>
      <w:r w:rsidR="0027585A" w:rsidRPr="00785DC5">
        <w:t xml:space="preserve"> </w:t>
      </w:r>
      <w:r w:rsidR="00A07D62" w:rsidRPr="00785DC5">
        <w:t>le</w:t>
      </w:r>
      <w:r w:rsidR="0027585A" w:rsidRPr="00785DC5">
        <w:t xml:space="preserve"> </w:t>
      </w:r>
      <w:r w:rsidR="00A07D62" w:rsidRPr="00785DC5">
        <w:t>rapport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Hongrie</w:t>
      </w:r>
      <w:r w:rsidR="0027585A" w:rsidRPr="00785DC5">
        <w:t xml:space="preserve"> </w:t>
      </w:r>
      <w:r w:rsidR="00A07D62" w:rsidRPr="00785DC5">
        <w:t>valant</w:t>
      </w:r>
      <w:r w:rsidR="0027585A" w:rsidRPr="00785DC5">
        <w:t xml:space="preserve"> </w:t>
      </w:r>
      <w:r w:rsidR="00A07D62" w:rsidRPr="00785DC5">
        <w:t>dix-huitième</w:t>
      </w:r>
      <w:r w:rsidR="0027585A" w:rsidRPr="00785DC5">
        <w:t xml:space="preserve"> </w:t>
      </w:r>
      <w:r w:rsidR="00A07D62" w:rsidRPr="00785DC5">
        <w:t>à</w:t>
      </w:r>
      <w:r w:rsidR="0027585A" w:rsidRPr="00785DC5">
        <w:t xml:space="preserve"> </w:t>
      </w:r>
      <w:r w:rsidR="00A07D62" w:rsidRPr="00785DC5">
        <w:t>vingt-cinquième</w:t>
      </w:r>
      <w:r w:rsidR="0027585A" w:rsidRPr="00785DC5">
        <w:t xml:space="preserve"> </w:t>
      </w:r>
      <w:r w:rsidR="00A07D62" w:rsidRPr="00785DC5">
        <w:t>rapports</w:t>
      </w:r>
      <w:r w:rsidR="0027585A" w:rsidRPr="00785DC5">
        <w:t xml:space="preserve"> </w:t>
      </w:r>
      <w:r w:rsidR="00A07D62" w:rsidRPr="00785DC5">
        <w:t>périodique</w:t>
      </w:r>
      <w:bookmarkStart w:id="0" w:name="_Hlk20993383"/>
      <w:bookmarkStart w:id="1" w:name="_Hlk20993266"/>
      <w:r w:rsidR="00A07D62" w:rsidRPr="00785DC5">
        <w:t>s</w:t>
      </w:r>
      <w:r w:rsidR="0027585A" w:rsidRPr="00785DC5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bookmarkEnd w:id="0"/>
      <w:bookmarkEnd w:id="1"/>
    </w:p>
    <w:p w:rsidR="00A07D62" w:rsidRPr="00785DC5" w:rsidRDefault="00A07D62" w:rsidP="00A07D62">
      <w:pPr>
        <w:pStyle w:val="SingleTxtG"/>
      </w:pPr>
      <w:r w:rsidRPr="00785DC5">
        <w:t>1.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examiné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rapport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Hongrie</w:t>
      </w:r>
      <w:r w:rsidR="0027585A" w:rsidRPr="00785DC5">
        <w:t xml:space="preserve"> </w:t>
      </w:r>
      <w:r w:rsidRPr="00785DC5">
        <w:t>valant</w:t>
      </w:r>
      <w:r w:rsidR="0027585A" w:rsidRPr="00785DC5">
        <w:t xml:space="preserve"> </w:t>
      </w:r>
      <w:r w:rsidRPr="00785DC5">
        <w:t>dix-huitième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vingt-cinquième</w:t>
      </w:r>
      <w:r w:rsidR="0027585A" w:rsidRPr="00785DC5">
        <w:t xml:space="preserve"> </w:t>
      </w:r>
      <w:r w:rsidRPr="00785DC5">
        <w:t>rapports</w:t>
      </w:r>
      <w:r w:rsidR="0027585A" w:rsidRPr="00785DC5">
        <w:t xml:space="preserve"> </w:t>
      </w:r>
      <w:r w:rsidRPr="00785DC5">
        <w:t>périodiques</w:t>
      </w:r>
      <w:r w:rsidR="0027585A" w:rsidRPr="00785DC5">
        <w:t xml:space="preserve"> </w:t>
      </w:r>
      <w:r w:rsidRPr="00785DC5">
        <w:t>(CERD/C/HUN/18-25)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ses</w:t>
      </w:r>
      <w:r w:rsidR="0027585A" w:rsidRPr="00785DC5">
        <w:t xml:space="preserve"> </w:t>
      </w:r>
      <w:r w:rsidRPr="00785DC5">
        <w:rPr>
          <w:u w:color="FF0000"/>
        </w:rPr>
        <w:t>2719</w:t>
      </w:r>
      <w:r w:rsidRPr="00785DC5">
        <w:rPr>
          <w:u w:color="FF0000"/>
          <w:vertAlign w:val="superscript"/>
        </w:rPr>
        <w:t>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2720</w:t>
      </w:r>
      <w:r w:rsidRPr="00785DC5">
        <w:rPr>
          <w:vertAlign w:val="superscript"/>
        </w:rPr>
        <w:t>e</w:t>
      </w:r>
      <w:r w:rsidR="0027585A" w:rsidRPr="00785DC5">
        <w:t> </w:t>
      </w:r>
      <w:r w:rsidRPr="00785DC5">
        <w:t>séances</w:t>
      </w:r>
      <w:r w:rsidR="0027585A" w:rsidRPr="00785DC5">
        <w:t xml:space="preserve"> </w:t>
      </w:r>
      <w:r w:rsidRPr="00785DC5">
        <w:t>(voir</w:t>
      </w:r>
      <w:r w:rsidR="0027585A" w:rsidRPr="00785DC5">
        <w:rPr>
          <w:u w:color="FF0000"/>
        </w:rPr>
        <w:t xml:space="preserve"> </w:t>
      </w:r>
      <w:r w:rsidRPr="00785DC5">
        <w:t>CERD/C/SR.</w:t>
      </w:r>
      <w:r w:rsidRPr="00785DC5">
        <w:rPr>
          <w:u w:color="FF0000"/>
        </w:rPr>
        <w:t>2719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rPr>
          <w:u w:color="FF0000"/>
        </w:rPr>
        <w:t>2720</w:t>
      </w:r>
      <w:r w:rsidRPr="00785DC5">
        <w:t>),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rPr>
          <w:u w:color="FF0000"/>
        </w:rPr>
        <w:t>29</w:t>
      </w:r>
      <w:r w:rsidR="0027585A" w:rsidRPr="00785DC5">
        <w:rPr>
          <w:u w:color="FF0000"/>
        </w:rPr>
        <w:t xml:space="preserve"> </w:t>
      </w:r>
      <w:r w:rsidRPr="00785DC5">
        <w:rPr>
          <w:u w:color="FF0000"/>
        </w:rPr>
        <w:t>et</w:t>
      </w:r>
      <w:r w:rsidR="0027585A" w:rsidRPr="00785DC5">
        <w:rPr>
          <w:u w:color="FF0000"/>
        </w:rPr>
        <w:t xml:space="preserve"> </w:t>
      </w:r>
      <w:r w:rsidRPr="00785DC5">
        <w:rPr>
          <w:u w:color="FF0000"/>
        </w:rPr>
        <w:t>30</w:t>
      </w:r>
      <w:r w:rsidR="0027585A" w:rsidRPr="00785DC5">
        <w:rPr>
          <w:u w:color="FF0000"/>
        </w:rPr>
        <w:t> </w:t>
      </w:r>
      <w:r w:rsidRPr="00785DC5">
        <w:rPr>
          <w:u w:color="FF0000"/>
        </w:rPr>
        <w:t>avril</w:t>
      </w:r>
      <w:r w:rsidR="0027585A" w:rsidRPr="00785DC5">
        <w:rPr>
          <w:u w:color="FF0000"/>
        </w:rPr>
        <w:t xml:space="preserve"> </w:t>
      </w:r>
      <w:r w:rsidRPr="00785DC5">
        <w:rPr>
          <w:u w:color="FF0000"/>
        </w:rPr>
        <w:t>2019</w:t>
      </w:r>
      <w:r w:rsidRPr="00785DC5">
        <w:t>.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sa</w:t>
      </w:r>
      <w:r w:rsidR="0027585A" w:rsidRPr="00785DC5">
        <w:t xml:space="preserve"> </w:t>
      </w:r>
      <w:r w:rsidRPr="00785DC5">
        <w:t>2733</w:t>
      </w:r>
      <w:r w:rsidRPr="00785DC5">
        <w:rPr>
          <w:vertAlign w:val="superscript"/>
        </w:rPr>
        <w:t>e</w:t>
      </w:r>
      <w:r w:rsidR="0027585A" w:rsidRPr="00785DC5">
        <w:t> </w:t>
      </w:r>
      <w:r w:rsidRPr="00785DC5">
        <w:t>séance,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rPr>
          <w:u w:color="FF0000"/>
        </w:rPr>
        <w:t>8</w:t>
      </w:r>
      <w:r w:rsidR="0027585A" w:rsidRPr="00785DC5">
        <w:rPr>
          <w:u w:color="FF0000"/>
        </w:rPr>
        <w:t> </w:t>
      </w:r>
      <w:r w:rsidRPr="00785DC5">
        <w:rPr>
          <w:u w:color="FF0000"/>
        </w:rPr>
        <w:t>mai</w:t>
      </w:r>
      <w:r w:rsidR="0027585A" w:rsidRPr="00785DC5">
        <w:rPr>
          <w:u w:color="FF0000"/>
        </w:rPr>
        <w:t xml:space="preserve"> </w:t>
      </w:r>
      <w:r w:rsidRPr="00785DC5">
        <w:rPr>
          <w:u w:color="FF0000"/>
        </w:rPr>
        <w:t>2019</w:t>
      </w:r>
      <w:r w:rsidRPr="00785DC5">
        <w:t>,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adopté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observations</w:t>
      </w:r>
      <w:r w:rsidR="0027585A" w:rsidRPr="00785DC5">
        <w:t xml:space="preserve"> </w:t>
      </w:r>
      <w:r w:rsidRPr="00785DC5">
        <w:t>finales</w:t>
      </w:r>
      <w:r w:rsidR="0027585A" w:rsidRPr="00785DC5">
        <w:t xml:space="preserve"> </w:t>
      </w:r>
      <w:r w:rsidRPr="00785DC5">
        <w:t>ci-après.</w:t>
      </w:r>
    </w:p>
    <w:p w:rsidR="00A07D62" w:rsidRPr="00785DC5" w:rsidRDefault="00A07D62" w:rsidP="00A07D62">
      <w:pPr>
        <w:pStyle w:val="H1G"/>
      </w:pPr>
      <w:r w:rsidRPr="00785DC5">
        <w:tab/>
        <w:t>A.</w:t>
      </w:r>
      <w:r w:rsidRPr="00785DC5">
        <w:tab/>
        <w:t>Introduction</w:t>
      </w:r>
    </w:p>
    <w:p w:rsidR="00A07D62" w:rsidRPr="00785DC5" w:rsidRDefault="00A07D62" w:rsidP="00A07D62">
      <w:pPr>
        <w:pStyle w:val="SingleTxtG"/>
      </w:pPr>
      <w:r w:rsidRPr="00785DC5">
        <w:t>2.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accueille</w:t>
      </w:r>
      <w:r w:rsidR="0027585A" w:rsidRPr="00785DC5">
        <w:t xml:space="preserve"> </w:t>
      </w:r>
      <w:r w:rsidRPr="00785DC5">
        <w:t>avec</w:t>
      </w:r>
      <w:r w:rsidR="0027585A" w:rsidRPr="00785DC5">
        <w:t xml:space="preserve"> </w:t>
      </w:r>
      <w:r w:rsidRPr="00785DC5">
        <w:t>satisfaction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rapport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valant</w:t>
      </w:r>
      <w:r w:rsidR="0027585A" w:rsidRPr="00785DC5">
        <w:t xml:space="preserve"> </w:t>
      </w:r>
      <w:r w:rsidRPr="00785DC5">
        <w:t>dix-huitième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vingt-cinquième</w:t>
      </w:r>
      <w:r w:rsidR="0027585A" w:rsidRPr="00785DC5">
        <w:t xml:space="preserve"> </w:t>
      </w:r>
      <w:r w:rsidRPr="00785DC5">
        <w:t>rapports</w:t>
      </w:r>
      <w:r w:rsidR="0027585A" w:rsidRPr="00785DC5">
        <w:t xml:space="preserve"> </w:t>
      </w:r>
      <w:r w:rsidRPr="00785DC5">
        <w:t>périodiques,</w:t>
      </w:r>
      <w:r w:rsidR="0027585A" w:rsidRPr="00785DC5">
        <w:t xml:space="preserve"> </w:t>
      </w:r>
      <w:r w:rsidRPr="00785DC5">
        <w:t>mais</w:t>
      </w:r>
      <w:r w:rsidR="0027585A" w:rsidRPr="00785DC5">
        <w:t xml:space="preserve"> </w:t>
      </w:r>
      <w:r w:rsidRPr="00785DC5">
        <w:t>regrette</w:t>
      </w:r>
      <w:r w:rsidR="0027585A" w:rsidRPr="00785DC5">
        <w:t xml:space="preserve"> </w:t>
      </w:r>
      <w:r w:rsidRPr="00785DC5">
        <w:t>sa</w:t>
      </w:r>
      <w:r w:rsidR="0027585A" w:rsidRPr="00785DC5">
        <w:t xml:space="preserve"> </w:t>
      </w:r>
      <w:r w:rsidRPr="00785DC5">
        <w:t>soumission</w:t>
      </w:r>
      <w:r w:rsidR="0027585A" w:rsidRPr="00785DC5">
        <w:t xml:space="preserve"> </w:t>
      </w:r>
      <w:r w:rsidRPr="00785DC5">
        <w:t>tardive.</w:t>
      </w:r>
    </w:p>
    <w:p w:rsidR="00A07D62" w:rsidRPr="00785DC5" w:rsidRDefault="00A07D62" w:rsidP="00A07D62">
      <w:pPr>
        <w:pStyle w:val="SingleTxtG"/>
      </w:pPr>
      <w:r w:rsidRPr="00785DC5">
        <w:t>3.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se</w:t>
      </w:r>
      <w:r w:rsidR="0027585A" w:rsidRPr="00785DC5">
        <w:t xml:space="preserve"> </w:t>
      </w:r>
      <w:r w:rsidRPr="00785DC5">
        <w:t>félicite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dialogue</w:t>
      </w:r>
      <w:r w:rsidR="0027585A" w:rsidRPr="00785DC5">
        <w:t xml:space="preserve"> </w:t>
      </w:r>
      <w:r w:rsidRPr="00785DC5">
        <w:t>franc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constructif</w:t>
      </w:r>
      <w:r w:rsidR="0027585A" w:rsidRPr="00785DC5">
        <w:t xml:space="preserve"> </w:t>
      </w:r>
      <w:r w:rsidRPr="00785DC5">
        <w:t>tenu</w:t>
      </w:r>
      <w:r w:rsidR="0027585A" w:rsidRPr="00785DC5">
        <w:t xml:space="preserve"> </w:t>
      </w:r>
      <w:r w:rsidRPr="00785DC5">
        <w:t>avec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délégation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haut</w:t>
      </w:r>
      <w:r w:rsidR="0027585A" w:rsidRPr="00785DC5">
        <w:t xml:space="preserve"> </w:t>
      </w:r>
      <w:r w:rsidRPr="00785DC5">
        <w:t>niveau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remercie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délégation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renseignements</w:t>
      </w:r>
      <w:r w:rsidR="0027585A" w:rsidRPr="00785DC5">
        <w:t xml:space="preserve"> </w:t>
      </w:r>
      <w:r w:rsidRPr="00785DC5">
        <w:t>fournis</w:t>
      </w:r>
      <w:r w:rsidR="0027585A" w:rsidRPr="00785DC5">
        <w:t xml:space="preserve"> </w:t>
      </w:r>
      <w:r w:rsidRPr="00785DC5">
        <w:t>durant</w:t>
      </w:r>
      <w:r w:rsidR="0027585A" w:rsidRPr="00785DC5">
        <w:t xml:space="preserve"> </w:t>
      </w:r>
      <w:r w:rsidRPr="00785DC5">
        <w:t>l’examen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rapport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complémentaires</w:t>
      </w:r>
      <w:r w:rsidR="0027585A" w:rsidRPr="00785DC5">
        <w:t xml:space="preserve"> </w:t>
      </w:r>
      <w:r w:rsidRPr="00785DC5">
        <w:t>soumises</w:t>
      </w:r>
      <w:r w:rsidR="0027585A" w:rsidRPr="00785DC5">
        <w:t xml:space="preserve"> </w:t>
      </w:r>
      <w:r w:rsidRPr="00785DC5">
        <w:t>ensuite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écrit.</w:t>
      </w:r>
    </w:p>
    <w:p w:rsidR="00A07D62" w:rsidRPr="00785DC5" w:rsidRDefault="00A07D62" w:rsidP="00A07D62">
      <w:pPr>
        <w:pStyle w:val="H1G"/>
      </w:pPr>
      <w:r w:rsidRPr="00785DC5">
        <w:tab/>
        <w:t>B.</w:t>
      </w:r>
      <w:r w:rsidRPr="00785DC5">
        <w:tab/>
        <w:t>Aspects</w:t>
      </w:r>
      <w:r w:rsidR="0027585A" w:rsidRPr="00785DC5">
        <w:t xml:space="preserve"> </w:t>
      </w:r>
      <w:r w:rsidRPr="00785DC5">
        <w:t>positifs</w:t>
      </w:r>
    </w:p>
    <w:p w:rsidR="00A07D62" w:rsidRPr="00785DC5" w:rsidRDefault="00A07D62" w:rsidP="00A07D62">
      <w:pPr>
        <w:pStyle w:val="SingleTxtG"/>
      </w:pPr>
      <w:r w:rsidRPr="00785DC5">
        <w:t>4.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note</w:t>
      </w:r>
      <w:r w:rsidR="0027585A" w:rsidRPr="00785DC5">
        <w:t xml:space="preserve"> </w:t>
      </w:r>
      <w:r w:rsidRPr="00785DC5">
        <w:t>avec</w:t>
      </w:r>
      <w:r w:rsidR="0027585A" w:rsidRPr="00785DC5">
        <w:t xml:space="preserve"> </w:t>
      </w:r>
      <w:r w:rsidRPr="00785DC5">
        <w:t>satisfaction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ratifié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instruments</w:t>
      </w:r>
      <w:r w:rsidR="0027585A" w:rsidRPr="00785DC5">
        <w:t xml:space="preserve"> </w:t>
      </w:r>
      <w:r w:rsidRPr="00785DC5">
        <w:t>internationaux</w:t>
      </w:r>
      <w:r w:rsidR="0027585A" w:rsidRPr="00785DC5">
        <w:t xml:space="preserve"> </w:t>
      </w:r>
      <w:r w:rsidRPr="00785DC5">
        <w:t>relatifs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l’homme</w:t>
      </w:r>
      <w:r w:rsidR="0027585A" w:rsidRPr="00785DC5">
        <w:t xml:space="preserve"> </w:t>
      </w:r>
      <w:r w:rsidRPr="00785DC5">
        <w:t>ci-après,</w:t>
      </w:r>
      <w:r w:rsidR="0027585A" w:rsidRPr="00785DC5">
        <w:t xml:space="preserve"> </w:t>
      </w:r>
      <w:r w:rsidRPr="00785DC5">
        <w:t>ou</w:t>
      </w:r>
      <w:r w:rsidR="0027585A" w:rsidRPr="00785DC5">
        <w:t xml:space="preserve"> </w:t>
      </w:r>
      <w:r w:rsidRPr="00785DC5">
        <w:t>y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adhéré</w:t>
      </w:r>
      <w:r w:rsidR="0027585A" w:rsidRPr="00785DC5">
        <w:t> :</w:t>
      </w:r>
    </w:p>
    <w:p w:rsidR="00A07D62" w:rsidRPr="00785DC5" w:rsidRDefault="00A07D62" w:rsidP="00A35C78">
      <w:pPr>
        <w:pStyle w:val="SingleTxtG"/>
        <w:ind w:firstLine="567"/>
      </w:pPr>
      <w:r w:rsidRPr="00785DC5">
        <w:t>a)</w:t>
      </w:r>
      <w:r w:rsidRPr="00785DC5">
        <w:tab/>
        <w:t>La</w:t>
      </w:r>
      <w:r w:rsidR="0027585A" w:rsidRPr="00785DC5">
        <w:t xml:space="preserve"> </w:t>
      </w:r>
      <w:r w:rsidRPr="00785DC5">
        <w:t>Convention</w:t>
      </w:r>
      <w:r w:rsidR="0027585A" w:rsidRPr="00785DC5">
        <w:t xml:space="preserve"> </w:t>
      </w:r>
      <w:r w:rsidRPr="00785DC5">
        <w:t>relative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personnes</w:t>
      </w:r>
      <w:r w:rsidR="0027585A" w:rsidRPr="00785DC5">
        <w:t xml:space="preserve"> </w:t>
      </w:r>
      <w:r w:rsidRPr="00785DC5">
        <w:t>handicapées,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20</w:t>
      </w:r>
      <w:r w:rsidR="00A35C78" w:rsidRPr="00785DC5">
        <w:t> </w:t>
      </w:r>
      <w:r w:rsidRPr="00785DC5">
        <w:t>juillet</w:t>
      </w:r>
      <w:r w:rsidR="0027585A" w:rsidRPr="00785DC5">
        <w:t xml:space="preserve"> </w:t>
      </w:r>
      <w:r w:rsidRPr="00785DC5">
        <w:t>2007</w:t>
      </w:r>
      <w:r w:rsidR="0027585A" w:rsidRPr="00785DC5">
        <w:t> ;</w:t>
      </w:r>
    </w:p>
    <w:p w:rsidR="00A07D62" w:rsidRPr="00785DC5" w:rsidRDefault="00A07D62" w:rsidP="00A35C78">
      <w:pPr>
        <w:pStyle w:val="SingleTxtG"/>
        <w:ind w:firstLine="567"/>
      </w:pPr>
      <w:r w:rsidRPr="00785DC5">
        <w:t>b)</w:t>
      </w:r>
      <w:r w:rsidRPr="00785DC5">
        <w:tab/>
        <w:t>Le</w:t>
      </w:r>
      <w:r w:rsidR="0027585A" w:rsidRPr="00785DC5">
        <w:t xml:space="preserve"> </w:t>
      </w:r>
      <w:r w:rsidRPr="00785DC5">
        <w:t>Protocole</w:t>
      </w:r>
      <w:r w:rsidR="0027585A" w:rsidRPr="00785DC5">
        <w:t xml:space="preserve"> </w:t>
      </w:r>
      <w:r w:rsidRPr="00785DC5">
        <w:t>facultatif</w:t>
      </w:r>
      <w:r w:rsidR="0027585A" w:rsidRPr="00785DC5">
        <w:t xml:space="preserve"> </w:t>
      </w:r>
      <w:r w:rsidRPr="00785DC5">
        <w:t>se</w:t>
      </w:r>
      <w:r w:rsidR="0027585A" w:rsidRPr="00785DC5">
        <w:t xml:space="preserve"> </w:t>
      </w:r>
      <w:r w:rsidRPr="00785DC5">
        <w:t>rapportant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Convention</w:t>
      </w:r>
      <w:r w:rsidR="0027585A" w:rsidRPr="00785DC5">
        <w:t xml:space="preserve"> </w:t>
      </w:r>
      <w:r w:rsidRPr="00785DC5">
        <w:t>relative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personnes</w:t>
      </w:r>
      <w:r w:rsidR="0027585A" w:rsidRPr="00785DC5">
        <w:t xml:space="preserve"> </w:t>
      </w:r>
      <w:r w:rsidRPr="00785DC5">
        <w:t>handicapées,</w:t>
      </w:r>
      <w:r w:rsidR="0027585A" w:rsidRPr="00785DC5">
        <w:t xml:space="preserve"> </w:t>
      </w:r>
      <w:r w:rsidRPr="00785DC5">
        <w:t>ainsi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procédure</w:t>
      </w:r>
      <w:r w:rsidR="0027585A" w:rsidRPr="00785DC5">
        <w:t xml:space="preserve"> </w:t>
      </w:r>
      <w:r w:rsidRPr="00785DC5">
        <w:t>d’enquête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20</w:t>
      </w:r>
      <w:r w:rsidR="00A35C78" w:rsidRPr="00785DC5">
        <w:t> </w:t>
      </w:r>
      <w:r w:rsidRPr="00785DC5">
        <w:t>juillet</w:t>
      </w:r>
      <w:r w:rsidR="0027585A" w:rsidRPr="00785DC5">
        <w:t xml:space="preserve"> </w:t>
      </w:r>
      <w:r w:rsidRPr="00785DC5">
        <w:t>2007</w:t>
      </w:r>
      <w:r w:rsidR="0027585A" w:rsidRPr="00785DC5">
        <w:t> ;</w:t>
      </w:r>
    </w:p>
    <w:p w:rsidR="00A07D62" w:rsidRPr="00785DC5" w:rsidRDefault="00A07D62" w:rsidP="00A35C78">
      <w:pPr>
        <w:pStyle w:val="SingleTxtG"/>
        <w:ind w:firstLine="567"/>
      </w:pPr>
      <w:r w:rsidRPr="00785DC5">
        <w:t>c)</w:t>
      </w:r>
      <w:r w:rsidRPr="00785DC5">
        <w:tab/>
        <w:t>Le</w:t>
      </w:r>
      <w:r w:rsidR="0027585A" w:rsidRPr="00785DC5">
        <w:t xml:space="preserve"> </w:t>
      </w:r>
      <w:r w:rsidRPr="00785DC5">
        <w:t>Protocole</w:t>
      </w:r>
      <w:r w:rsidR="0027585A" w:rsidRPr="00785DC5">
        <w:t xml:space="preserve"> </w:t>
      </w:r>
      <w:r w:rsidRPr="00785DC5">
        <w:t>facultatif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Convention</w:t>
      </w:r>
      <w:r w:rsidR="0027585A" w:rsidRPr="00785DC5">
        <w:t xml:space="preserve"> </w:t>
      </w:r>
      <w:r w:rsidRPr="00785DC5">
        <w:t>relative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l’enfant,</w:t>
      </w:r>
      <w:r w:rsidR="0027585A" w:rsidRPr="00785DC5">
        <w:t xml:space="preserve"> </w:t>
      </w:r>
      <w:r w:rsidRPr="00785DC5">
        <w:t>concernant</w:t>
      </w:r>
      <w:r w:rsidR="0027585A" w:rsidRPr="00785DC5">
        <w:t xml:space="preserve"> </w:t>
      </w:r>
      <w:r w:rsidRPr="00785DC5">
        <w:t>l’implication</w:t>
      </w:r>
      <w:r w:rsidR="0027585A" w:rsidRPr="00785DC5">
        <w:t xml:space="preserve"> </w:t>
      </w:r>
      <w:r w:rsidRPr="00785DC5">
        <w:t>d’enfants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conflits</w:t>
      </w:r>
      <w:r w:rsidR="0027585A" w:rsidRPr="00785DC5">
        <w:t xml:space="preserve"> </w:t>
      </w:r>
      <w:r w:rsidRPr="00785DC5">
        <w:t>armés,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24</w:t>
      </w:r>
      <w:r w:rsidR="00A35C78" w:rsidRPr="00785DC5">
        <w:t> </w:t>
      </w:r>
      <w:r w:rsidRPr="00785DC5">
        <w:t>février</w:t>
      </w:r>
      <w:r w:rsidR="0027585A" w:rsidRPr="00785DC5">
        <w:t xml:space="preserve"> </w:t>
      </w:r>
      <w:r w:rsidRPr="00785DC5">
        <w:t>2010</w:t>
      </w:r>
      <w:r w:rsidR="0027585A" w:rsidRPr="00785DC5">
        <w:t> ;</w:t>
      </w:r>
    </w:p>
    <w:p w:rsidR="00A07D62" w:rsidRPr="00785DC5" w:rsidRDefault="00A07D62" w:rsidP="00A35C78">
      <w:pPr>
        <w:pStyle w:val="SingleTxtG"/>
        <w:ind w:firstLine="567"/>
      </w:pPr>
      <w:r w:rsidRPr="00785DC5">
        <w:t>d)</w:t>
      </w:r>
      <w:r w:rsidRPr="00785DC5">
        <w:tab/>
        <w:t>Le</w:t>
      </w:r>
      <w:r w:rsidR="0027585A" w:rsidRPr="00785DC5">
        <w:t xml:space="preserve"> </w:t>
      </w:r>
      <w:r w:rsidRPr="00785DC5">
        <w:t>Protocole</w:t>
      </w:r>
      <w:r w:rsidR="0027585A" w:rsidRPr="00785DC5">
        <w:t xml:space="preserve"> </w:t>
      </w:r>
      <w:r w:rsidRPr="00785DC5">
        <w:t>facultatif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Convention</w:t>
      </w:r>
      <w:r w:rsidR="0027585A" w:rsidRPr="00785DC5">
        <w:t xml:space="preserve"> </w:t>
      </w:r>
      <w:r w:rsidRPr="00785DC5">
        <w:t>relative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l’enfant,</w:t>
      </w:r>
      <w:r w:rsidR="0027585A" w:rsidRPr="00785DC5">
        <w:t xml:space="preserve"> </w:t>
      </w:r>
      <w:r w:rsidRPr="00785DC5">
        <w:t>concernant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vente</w:t>
      </w:r>
      <w:r w:rsidR="0027585A" w:rsidRPr="00785DC5">
        <w:t xml:space="preserve"> </w:t>
      </w:r>
      <w:r w:rsidRPr="00785DC5">
        <w:t>d’enfants,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prostitution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enfants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pornographie</w:t>
      </w:r>
      <w:r w:rsidR="0027585A" w:rsidRPr="00785DC5">
        <w:t xml:space="preserve"> </w:t>
      </w:r>
      <w:r w:rsidRPr="00785DC5">
        <w:t>mettant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scène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enfants,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24</w:t>
      </w:r>
      <w:r w:rsidR="00A35C78" w:rsidRPr="00785DC5">
        <w:t> </w:t>
      </w:r>
      <w:r w:rsidRPr="00785DC5">
        <w:t>février</w:t>
      </w:r>
      <w:r w:rsidR="0027585A" w:rsidRPr="00785DC5">
        <w:t xml:space="preserve"> </w:t>
      </w:r>
      <w:r w:rsidRPr="00785DC5">
        <w:t>2010</w:t>
      </w:r>
      <w:r w:rsidR="0027585A" w:rsidRPr="00785DC5">
        <w:t> ;</w:t>
      </w:r>
    </w:p>
    <w:p w:rsidR="00A07D62" w:rsidRPr="00785DC5" w:rsidRDefault="00A07D62" w:rsidP="00A35C78">
      <w:pPr>
        <w:pStyle w:val="SingleTxtG"/>
        <w:ind w:firstLine="567"/>
      </w:pPr>
      <w:r w:rsidRPr="00785DC5">
        <w:t>e)</w:t>
      </w:r>
      <w:r w:rsidRPr="00785DC5">
        <w:tab/>
        <w:t>Le</w:t>
      </w:r>
      <w:r w:rsidR="0027585A" w:rsidRPr="00785DC5">
        <w:t xml:space="preserve"> </w:t>
      </w:r>
      <w:r w:rsidRPr="00785DC5">
        <w:t>Protocole</w:t>
      </w:r>
      <w:r w:rsidR="0027585A" w:rsidRPr="00785DC5">
        <w:t xml:space="preserve"> </w:t>
      </w:r>
      <w:r w:rsidRPr="00785DC5">
        <w:t>facultatif</w:t>
      </w:r>
      <w:r w:rsidR="0027585A" w:rsidRPr="00785DC5">
        <w:t xml:space="preserve"> </w:t>
      </w:r>
      <w:r w:rsidRPr="00785DC5">
        <w:t>se</w:t>
      </w:r>
      <w:r w:rsidR="0027585A" w:rsidRPr="00785DC5">
        <w:t xml:space="preserve"> </w:t>
      </w:r>
      <w:r w:rsidRPr="00785DC5">
        <w:t>rapportant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Convention</w:t>
      </w:r>
      <w:r w:rsidR="0027585A" w:rsidRPr="00785DC5">
        <w:t xml:space="preserve"> </w:t>
      </w:r>
      <w:r w:rsidRPr="00785DC5">
        <w:t>contre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torture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autres</w:t>
      </w:r>
      <w:r w:rsidR="0027585A" w:rsidRPr="00785DC5">
        <w:t xml:space="preserve"> </w:t>
      </w:r>
      <w:r w:rsidRPr="00785DC5">
        <w:t>peines</w:t>
      </w:r>
      <w:r w:rsidR="0027585A" w:rsidRPr="00785DC5">
        <w:t xml:space="preserve"> </w:t>
      </w:r>
      <w:r w:rsidRPr="00785DC5">
        <w:t>ou</w:t>
      </w:r>
      <w:r w:rsidR="0027585A" w:rsidRPr="00785DC5">
        <w:t xml:space="preserve"> </w:t>
      </w:r>
      <w:r w:rsidRPr="00785DC5">
        <w:t>traitements</w:t>
      </w:r>
      <w:r w:rsidR="0027585A" w:rsidRPr="00785DC5">
        <w:t xml:space="preserve"> </w:t>
      </w:r>
      <w:r w:rsidRPr="00785DC5">
        <w:t>cruels,</w:t>
      </w:r>
      <w:r w:rsidR="0027585A" w:rsidRPr="00785DC5">
        <w:t xml:space="preserve"> </w:t>
      </w:r>
      <w:r w:rsidRPr="00785DC5">
        <w:t>inhumains</w:t>
      </w:r>
      <w:r w:rsidR="0027585A" w:rsidRPr="00785DC5">
        <w:t xml:space="preserve"> </w:t>
      </w:r>
      <w:r w:rsidRPr="00785DC5">
        <w:t>ou</w:t>
      </w:r>
      <w:r w:rsidR="0027585A" w:rsidRPr="00785DC5">
        <w:t xml:space="preserve"> </w:t>
      </w:r>
      <w:r w:rsidRPr="00785DC5">
        <w:t>dégradants,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12</w:t>
      </w:r>
      <w:r w:rsidR="00A35C78" w:rsidRPr="00785DC5">
        <w:t> </w:t>
      </w:r>
      <w:r w:rsidRPr="00785DC5">
        <w:t>janvier</w:t>
      </w:r>
      <w:r w:rsidR="0027585A" w:rsidRPr="00785DC5">
        <w:t xml:space="preserve"> </w:t>
      </w:r>
      <w:r w:rsidRPr="00785DC5">
        <w:t>2012.</w:t>
      </w:r>
    </w:p>
    <w:p w:rsidR="00A07D62" w:rsidRPr="00785DC5" w:rsidRDefault="00A35C78" w:rsidP="00A07D62">
      <w:pPr>
        <w:pStyle w:val="SingleTxtG"/>
      </w:pPr>
      <w:r w:rsidRPr="00785DC5">
        <w:t>5</w:t>
      </w:r>
      <w:r w:rsidR="00A07D62" w:rsidRPr="00785DC5">
        <w:t>.</w:t>
      </w:r>
      <w:r w:rsidR="00A07D62" w:rsidRPr="00785DC5">
        <w:tab/>
        <w:t>Le</w:t>
      </w:r>
      <w:r w:rsidR="0027585A" w:rsidRPr="00785DC5">
        <w:t xml:space="preserve"> </w:t>
      </w:r>
      <w:r w:rsidR="00A07D62" w:rsidRPr="00785DC5">
        <w:t>Comité</w:t>
      </w:r>
      <w:r w:rsidR="0027585A" w:rsidRPr="00785DC5">
        <w:t xml:space="preserve"> </w:t>
      </w:r>
      <w:r w:rsidR="00A07D62" w:rsidRPr="00785DC5">
        <w:t>salue</w:t>
      </w:r>
      <w:r w:rsidR="0027585A" w:rsidRPr="00785DC5">
        <w:t xml:space="preserve"> </w:t>
      </w:r>
      <w:r w:rsidR="00A07D62" w:rsidRPr="00785DC5">
        <w:t>également</w:t>
      </w:r>
      <w:r w:rsidR="0027585A" w:rsidRPr="00785DC5">
        <w:t xml:space="preserve"> </w:t>
      </w:r>
      <w:r w:rsidR="00A07D62" w:rsidRPr="00785DC5">
        <w:t>l’adoption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loi</w:t>
      </w:r>
      <w:r w:rsidR="0027585A" w:rsidRPr="00785DC5">
        <w:t xml:space="preserve"> </w:t>
      </w:r>
      <w:r w:rsidR="00A07D62" w:rsidRPr="00785DC5">
        <w:t>CXXV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2003</w:t>
      </w:r>
      <w:r w:rsidR="0027585A" w:rsidRPr="00785DC5">
        <w:t xml:space="preserve"> </w:t>
      </w:r>
      <w:r w:rsidR="00A07D62" w:rsidRPr="00785DC5">
        <w:t>relative</w:t>
      </w:r>
      <w:r w:rsidR="0027585A" w:rsidRPr="00785DC5">
        <w:t xml:space="preserve"> </w:t>
      </w:r>
      <w:r w:rsidR="00A07D62" w:rsidRPr="00785DC5">
        <w:t>à</w:t>
      </w:r>
      <w:r w:rsidR="0027585A" w:rsidRPr="00785DC5">
        <w:t xml:space="preserve"> </w:t>
      </w:r>
      <w:r w:rsidR="00A07D62" w:rsidRPr="00785DC5">
        <w:t>l’égalité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traitement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à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promotion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l’égalité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chances</w:t>
      </w:r>
      <w:r w:rsidR="0027585A" w:rsidRPr="00785DC5">
        <w:t xml:space="preserve"> </w:t>
      </w:r>
      <w:r w:rsidR="00A07D62" w:rsidRPr="00785DC5">
        <w:t>(loi</w:t>
      </w:r>
      <w:r w:rsidR="0027585A" w:rsidRPr="00785DC5">
        <w:t xml:space="preserve"> </w:t>
      </w:r>
      <w:r w:rsidR="00A07D62" w:rsidRPr="00785DC5">
        <w:t>sur</w:t>
      </w:r>
      <w:r w:rsidR="0027585A" w:rsidRPr="00785DC5">
        <w:t xml:space="preserve"> </w:t>
      </w:r>
      <w:r w:rsidR="00A07D62" w:rsidRPr="00785DC5">
        <w:t>l’égalité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traitement).</w:t>
      </w:r>
    </w:p>
    <w:p w:rsidR="00A07D62" w:rsidRPr="00785DC5" w:rsidRDefault="00A07D62" w:rsidP="00A07D62">
      <w:pPr>
        <w:pStyle w:val="H1G"/>
      </w:pPr>
      <w:r w:rsidRPr="00785DC5">
        <w:lastRenderedPageBreak/>
        <w:tab/>
        <w:t>C.</w:t>
      </w:r>
      <w:r w:rsidRPr="00785DC5">
        <w:tab/>
        <w:t>Préoccupations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recommandations</w:t>
      </w:r>
    </w:p>
    <w:p w:rsidR="00A07D62" w:rsidRPr="00785DC5" w:rsidRDefault="00A35C78" w:rsidP="00A35C78">
      <w:pPr>
        <w:pStyle w:val="H23G"/>
      </w:pPr>
      <w:r w:rsidRPr="00785DC5">
        <w:tab/>
      </w:r>
      <w:r w:rsidRPr="00785DC5">
        <w:tab/>
      </w:r>
      <w:r w:rsidR="00A07D62" w:rsidRPr="00785DC5">
        <w:t>Statistiques</w:t>
      </w:r>
    </w:p>
    <w:p w:rsidR="00A07D62" w:rsidRPr="00785DC5" w:rsidRDefault="00A07D62" w:rsidP="00A07D62">
      <w:pPr>
        <w:pStyle w:val="SingleTxtG"/>
      </w:pPr>
      <w:r w:rsidRPr="00785DC5">
        <w:t>6.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prend</w:t>
      </w:r>
      <w:r w:rsidR="0027585A" w:rsidRPr="00785DC5">
        <w:t xml:space="preserve"> </w:t>
      </w:r>
      <w:r w:rsidRPr="00785DC5">
        <w:t>note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statistiques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composition</w:t>
      </w:r>
      <w:r w:rsidR="0027585A" w:rsidRPr="00785DC5">
        <w:t xml:space="preserve"> </w:t>
      </w:r>
      <w:r w:rsidRPr="00785DC5">
        <w:t>ethnique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langue</w:t>
      </w:r>
      <w:r w:rsidR="0027585A" w:rsidRPr="00785DC5">
        <w:t xml:space="preserve"> </w:t>
      </w:r>
      <w:r w:rsidRPr="00785DC5">
        <w:t>maternelle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population</w:t>
      </w:r>
      <w:r w:rsidR="0027585A" w:rsidRPr="00785DC5">
        <w:rPr>
          <w:rStyle w:val="Marquedecommentaire"/>
        </w:rPr>
        <w:t xml:space="preserve"> </w:t>
      </w:r>
      <w:r w:rsidRPr="00785DC5">
        <w:t>provenant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recensement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2011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communiquées</w:t>
      </w:r>
      <w:r w:rsidR="0027585A" w:rsidRPr="00785DC5">
        <w:t xml:space="preserve"> </w:t>
      </w:r>
      <w:r w:rsidRPr="00785DC5">
        <w:t>après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dialogue.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prend</w:t>
      </w:r>
      <w:r w:rsidR="0027585A" w:rsidRPr="00785DC5">
        <w:t xml:space="preserve"> </w:t>
      </w:r>
      <w:r w:rsidRPr="00785DC5">
        <w:t>note</w:t>
      </w:r>
      <w:r w:rsidR="0027585A" w:rsidRPr="00785DC5">
        <w:t xml:space="preserve"> </w:t>
      </w:r>
      <w:r w:rsidRPr="00785DC5">
        <w:t>également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indicateurs</w:t>
      </w:r>
      <w:r w:rsidR="0027585A" w:rsidRPr="00785DC5">
        <w:t xml:space="preserve"> </w:t>
      </w:r>
      <w:r w:rsidRPr="00785DC5">
        <w:t>socioéconomiques</w:t>
      </w:r>
      <w:r w:rsidR="0027585A" w:rsidRPr="00785DC5">
        <w:t xml:space="preserve"> </w:t>
      </w:r>
      <w:r w:rsidRPr="00785DC5">
        <w:t>concernant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situation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Roms.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regrette</w:t>
      </w:r>
      <w:r w:rsidR="0027585A" w:rsidRPr="00785DC5">
        <w:t xml:space="preserve"> </w:t>
      </w:r>
      <w:r w:rsidRPr="00785DC5">
        <w:t>cependant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n’ait</w:t>
      </w:r>
      <w:r w:rsidR="0027585A" w:rsidRPr="00785DC5">
        <w:t xml:space="preserve"> </w:t>
      </w:r>
      <w:r w:rsidRPr="00785DC5">
        <w:t>pas</w:t>
      </w:r>
      <w:r w:rsidR="0027585A" w:rsidRPr="00785DC5">
        <w:t xml:space="preserve"> </w:t>
      </w:r>
      <w:r w:rsidRPr="00785DC5">
        <w:t>présenté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statistiques</w:t>
      </w:r>
      <w:r w:rsidR="0027585A" w:rsidRPr="00785DC5">
        <w:t xml:space="preserve"> </w:t>
      </w:r>
      <w:r w:rsidRPr="00785DC5">
        <w:t>ni</w:t>
      </w:r>
      <w:r w:rsidR="0027585A" w:rsidRPr="00785DC5">
        <w:t xml:space="preserve"> </w:t>
      </w:r>
      <w:r w:rsidRPr="00785DC5">
        <w:t>d’informations</w:t>
      </w:r>
      <w:r w:rsidR="0027585A" w:rsidRPr="00785DC5">
        <w:t xml:space="preserve"> </w:t>
      </w:r>
      <w:r w:rsidRPr="00785DC5">
        <w:t>complètes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sa</w:t>
      </w:r>
      <w:r w:rsidR="0027585A" w:rsidRPr="00785DC5">
        <w:t xml:space="preserve"> </w:t>
      </w:r>
      <w:r w:rsidRPr="00785DC5">
        <w:t>politique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collecte</w:t>
      </w:r>
      <w:r w:rsidR="0027585A" w:rsidRPr="00785DC5">
        <w:t xml:space="preserve"> </w:t>
      </w:r>
      <w:r w:rsidRPr="00785DC5">
        <w:t>d’indicateurs</w:t>
      </w:r>
      <w:r w:rsidR="0027585A" w:rsidRPr="00785DC5">
        <w:t xml:space="preserve"> </w:t>
      </w:r>
      <w:r w:rsidRPr="00785DC5">
        <w:t>socioéconomiques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d’autres</w:t>
      </w:r>
      <w:r w:rsidR="0027585A" w:rsidRPr="00785DC5">
        <w:t xml:space="preserve"> </w:t>
      </w:r>
      <w:r w:rsidRPr="00785DC5">
        <w:t>groupes</w:t>
      </w:r>
      <w:r w:rsidR="0027585A" w:rsidRPr="00785DC5">
        <w:t xml:space="preserve"> </w:t>
      </w:r>
      <w:r w:rsidRPr="00785DC5">
        <w:t>ethniques.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regrette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outre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statistiques</w:t>
      </w:r>
      <w:r w:rsidR="0027585A" w:rsidRPr="00785DC5">
        <w:t xml:space="preserve"> </w:t>
      </w:r>
      <w:r w:rsidRPr="00785DC5">
        <w:t>portant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plusieurs</w:t>
      </w:r>
      <w:r w:rsidR="0027585A" w:rsidRPr="00785DC5">
        <w:t xml:space="preserve"> </w:t>
      </w:r>
      <w:r w:rsidRPr="00785DC5">
        <w:t>années</w:t>
      </w:r>
      <w:r w:rsidR="0027585A" w:rsidRPr="00785DC5">
        <w:t xml:space="preserve"> </w:t>
      </w:r>
      <w:r w:rsidRPr="00785DC5">
        <w:t>au</w:t>
      </w:r>
      <w:r w:rsidR="0027585A" w:rsidRPr="00785DC5">
        <w:t xml:space="preserve"> </w:t>
      </w:r>
      <w:r w:rsidRPr="00785DC5">
        <w:t>sujet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migrants,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réfugiés</w:t>
      </w:r>
      <w:r w:rsidR="0027585A" w:rsidRPr="00785DC5">
        <w:t xml:space="preserve"> </w:t>
      </w:r>
      <w:r w:rsidRPr="00785DC5">
        <w:t>(art.</w:t>
      </w:r>
      <w:r w:rsidR="00A35C78" w:rsidRPr="00785DC5">
        <w:t> </w:t>
      </w:r>
      <w:r w:rsidRPr="00785DC5">
        <w:t>2).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rPr>
          <w:bCs/>
        </w:rPr>
        <w:t>7.</w:t>
      </w:r>
      <w:r w:rsidRPr="00785DC5">
        <w:rPr>
          <w:bCs/>
        </w:rPr>
        <w:tab/>
      </w:r>
      <w:r w:rsidRPr="00785DC5">
        <w:rPr>
          <w:b/>
          <w:bCs/>
        </w:rPr>
        <w:t>Rappelant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directives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l’établissement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document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(CERD/C/2007/1)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générale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</w:t>
      </w:r>
      <w:r w:rsidRPr="00785DC5">
        <w:rPr>
          <w:b/>
          <w:bCs/>
          <w:vertAlign w:val="superscript"/>
        </w:rPr>
        <w:t>o</w:t>
      </w:r>
      <w:r w:rsidR="00A35C78" w:rsidRPr="00785DC5">
        <w:rPr>
          <w:b/>
          <w:bCs/>
        </w:rPr>
        <w:t> </w:t>
      </w:r>
      <w:r w:rsidRPr="00785DC5">
        <w:rPr>
          <w:b/>
          <w:bCs/>
        </w:rPr>
        <w:t>8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(1990)</w:t>
      </w:r>
      <w:r w:rsidR="0027585A" w:rsidRPr="00785DC5">
        <w:t xml:space="preserve"> </w:t>
      </w:r>
      <w:r w:rsidRPr="00785DC5">
        <w:rPr>
          <w:b/>
          <w:bCs/>
        </w:rPr>
        <w:t>concernant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l’interprétation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l’application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paragraphes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4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l’article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premier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recueillir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statistiques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actualisées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composition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population,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ventilées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appartenance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origine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nationale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langues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parlées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mettre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point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indicateurs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socioéconomiques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réalisation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différents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groupes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ventilés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sexe,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genre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appartenance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notamment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faveur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d’un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dialogue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avec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minorités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diversifiant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activités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collecte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données,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utilisant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différents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indicateurs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diversité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permettant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intéressés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répondre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anonymement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s’identifier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eux-mêmes,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afin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d’une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base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empirique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adéquate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suivi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réalisation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énoncés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d’inclure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prochain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rapport,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plus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statistiques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migrants,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demandeurs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d’asile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réfugiés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portant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plusieurs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années,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statistiques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ainsi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actualisées.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Institution</w:t>
      </w:r>
      <w:r w:rsidR="0027585A" w:rsidRPr="00785DC5">
        <w:t xml:space="preserve"> </w:t>
      </w:r>
      <w:r w:rsidR="00A07D62" w:rsidRPr="00785DC5">
        <w:t>nationale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droits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l’homme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t>8.</w:t>
      </w:r>
      <w:r w:rsidRPr="00785DC5">
        <w:tab/>
        <w:t>Tout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saluant</w:t>
      </w:r>
      <w:r w:rsidR="0027585A" w:rsidRPr="00785DC5">
        <w:t xml:space="preserve"> </w:t>
      </w:r>
      <w:r w:rsidRPr="00785DC5">
        <w:t>l’institution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2011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bureau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Commissaire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fondamentaux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son</w:t>
      </w:r>
      <w:r w:rsidR="0027585A" w:rsidRPr="00785DC5">
        <w:t xml:space="preserve"> </w:t>
      </w:r>
      <w:r w:rsidRPr="00785DC5">
        <w:t>classement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catégorie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l’Alliance</w:t>
      </w:r>
      <w:r w:rsidR="0027585A" w:rsidRPr="00785DC5">
        <w:t xml:space="preserve"> </w:t>
      </w:r>
      <w:r w:rsidRPr="00785DC5">
        <w:t>globale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institutions</w:t>
      </w:r>
      <w:r w:rsidR="0027585A" w:rsidRPr="00785DC5">
        <w:t xml:space="preserve"> </w:t>
      </w:r>
      <w:r w:rsidRPr="00785DC5">
        <w:t>nationales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l’homme,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constate</w:t>
      </w:r>
      <w:r w:rsidR="0027585A" w:rsidRPr="00785DC5">
        <w:t xml:space="preserve"> </w:t>
      </w:r>
      <w:r w:rsidRPr="00785DC5">
        <w:t>avec</w:t>
      </w:r>
      <w:r w:rsidR="0027585A" w:rsidRPr="00785DC5">
        <w:t xml:space="preserve"> </w:t>
      </w:r>
      <w:r w:rsidRPr="00785DC5">
        <w:t>préoccupation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Commissaire</w:t>
      </w:r>
      <w:r w:rsidR="0027585A" w:rsidRPr="00785DC5">
        <w:t xml:space="preserve"> </w:t>
      </w:r>
      <w:r w:rsidRPr="00785DC5">
        <w:t>adjoint</w:t>
      </w:r>
      <w:r w:rsidR="0027585A" w:rsidRPr="00785DC5">
        <w:t xml:space="preserve"> </w:t>
      </w:r>
      <w:r w:rsidRPr="00785DC5">
        <w:t>responsable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minorités</w:t>
      </w:r>
      <w:r w:rsidR="0027585A" w:rsidRPr="00785DC5">
        <w:t xml:space="preserve"> </w:t>
      </w:r>
      <w:r w:rsidRPr="00785DC5">
        <w:t>nationales</w:t>
      </w:r>
      <w:r w:rsidR="0027585A" w:rsidRPr="00785DC5">
        <w:t xml:space="preserve"> </w:t>
      </w:r>
      <w:r w:rsidRPr="00785DC5">
        <w:t>dépend</w:t>
      </w:r>
      <w:r w:rsidR="0027585A" w:rsidRPr="00785DC5">
        <w:t xml:space="preserve"> </w:t>
      </w:r>
      <w:r w:rsidRPr="00785DC5">
        <w:t>hiérarchiquement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Commissaire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fondamentaux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chargé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prêter</w:t>
      </w:r>
      <w:r w:rsidR="0027585A" w:rsidRPr="00785DC5">
        <w:t xml:space="preserve"> </w:t>
      </w:r>
      <w:r w:rsidRPr="00785DC5">
        <w:t>une</w:t>
      </w:r>
      <w:r w:rsidR="0027585A" w:rsidRPr="00785DC5">
        <w:t xml:space="preserve"> </w:t>
      </w:r>
      <w:r w:rsidRPr="00785DC5">
        <w:t>attention</w:t>
      </w:r>
      <w:r w:rsidR="0027585A" w:rsidRPr="00785DC5">
        <w:t xml:space="preserve"> </w:t>
      </w:r>
      <w:r w:rsidRPr="00785DC5">
        <w:t>particulière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enfants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personnes</w:t>
      </w:r>
      <w:r w:rsidR="0027585A" w:rsidRPr="00785DC5">
        <w:t xml:space="preserve"> </w:t>
      </w:r>
      <w:r w:rsidRPr="00785DC5">
        <w:t>handicapées,</w:t>
      </w:r>
      <w:r w:rsidR="0027585A" w:rsidRPr="00785DC5">
        <w:t xml:space="preserve"> </w:t>
      </w:r>
      <w:r w:rsidRPr="00785DC5">
        <w:t>ce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risque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compromettre</w:t>
      </w:r>
      <w:r w:rsidR="0027585A" w:rsidRPr="00785DC5">
        <w:t xml:space="preserve"> </w:t>
      </w:r>
      <w:r w:rsidRPr="00785DC5">
        <w:t>sa</w:t>
      </w:r>
      <w:r w:rsidR="0027585A" w:rsidRPr="00785DC5">
        <w:t xml:space="preserve"> </w:t>
      </w:r>
      <w:r w:rsidRPr="00785DC5">
        <w:t>capacité</w:t>
      </w:r>
      <w:r w:rsidR="0027585A" w:rsidRPr="00785DC5">
        <w:t xml:space="preserve"> </w:t>
      </w:r>
      <w:r w:rsidRPr="00785DC5">
        <w:t>d’œuvrer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toute</w:t>
      </w:r>
      <w:r w:rsidR="0027585A" w:rsidRPr="00785DC5">
        <w:t xml:space="preserve"> </w:t>
      </w:r>
      <w:r w:rsidRPr="00785DC5">
        <w:t>indépendance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toute</w:t>
      </w:r>
      <w:r w:rsidR="0027585A" w:rsidRPr="00785DC5">
        <w:t xml:space="preserve"> </w:t>
      </w:r>
      <w:r w:rsidRPr="00785DC5">
        <w:t>impartialité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l’interdiction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raciale.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regrette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d’information</w:t>
      </w:r>
      <w:r w:rsidR="00091C1A">
        <w:t>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activités</w:t>
      </w:r>
      <w:r w:rsidR="0027585A" w:rsidRPr="00785DC5">
        <w:t xml:space="preserve"> </w:t>
      </w:r>
      <w:r w:rsidRPr="00785DC5">
        <w:t>menées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bureau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Commissaire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fondamentaux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prévenir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raciale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xénophobie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l’égard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minorités</w:t>
      </w:r>
      <w:r w:rsidR="0027585A" w:rsidRPr="00785DC5">
        <w:t xml:space="preserve"> </w:t>
      </w:r>
      <w:r w:rsidRPr="00785DC5">
        <w:t>ethniques</w:t>
      </w:r>
      <w:r w:rsidR="0027585A" w:rsidRPr="00785DC5">
        <w:t xml:space="preserve"> </w:t>
      </w:r>
      <w:r w:rsidRPr="00785DC5">
        <w:t>vulnérables,</w:t>
      </w:r>
      <w:r w:rsidR="0027585A" w:rsidRPr="00785DC5">
        <w:t xml:space="preserve"> </w:t>
      </w:r>
      <w:r w:rsidRPr="00785DC5">
        <w:t>notamment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l’égard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migrants,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réfugiés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d’asile.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prend</w:t>
      </w:r>
      <w:r w:rsidR="0027585A" w:rsidRPr="00785DC5">
        <w:t xml:space="preserve"> </w:t>
      </w:r>
      <w:r w:rsidRPr="00785DC5">
        <w:t>note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création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fonction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Commissaire</w:t>
      </w:r>
      <w:r w:rsidR="0027585A" w:rsidRPr="00785DC5">
        <w:t xml:space="preserve"> </w:t>
      </w:r>
      <w:r w:rsidRPr="00785DC5">
        <w:t>adjoint</w:t>
      </w:r>
      <w:r w:rsidR="0027585A" w:rsidRPr="00785DC5">
        <w:t xml:space="preserve"> </w:t>
      </w:r>
      <w:r w:rsidRPr="00785DC5">
        <w:t>chargé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protéger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intérêts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générations</w:t>
      </w:r>
      <w:r w:rsidR="0027585A" w:rsidRPr="00785DC5">
        <w:t xml:space="preserve"> </w:t>
      </w:r>
      <w:r w:rsidRPr="00785DC5">
        <w:t>futures.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rPr>
          <w:bCs/>
        </w:rPr>
        <w:t>9.</w:t>
      </w:r>
      <w:r w:rsidRPr="00785DC5">
        <w:rPr>
          <w:bCs/>
        </w:rPr>
        <w:tab/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sorte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Commissaire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fondamentaux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Commissaires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adjoints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soient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mesure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s’acquitter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pleinement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mandat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d’une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manière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indépendante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impartiale,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conformément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Principes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concernant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statut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institutions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nationales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promotion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protection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l’homme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(Principes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Paris).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également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bureau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Commissaire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renforce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activités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concernant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l’interdiction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xénophobie,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particulier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l’égard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minorités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vulnérables,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notamment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l’égard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migrants,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réfugiés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demandeurs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d’asile,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qu’il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aide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victimes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violations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accéder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justice.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outre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Commissaire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adjoint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chargé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protéger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intérêts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générations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futures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organise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programmes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sensibilisation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développement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durable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programmes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d’éducation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l’homme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l’intention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jeunes,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manière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favoriser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tolérance,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conformément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l’article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7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Le</w:t>
      </w:r>
      <w:r w:rsidR="0027585A" w:rsidRPr="00785DC5">
        <w:t xml:space="preserve"> </w:t>
      </w:r>
      <w:r w:rsidR="00A07D62" w:rsidRPr="00785DC5">
        <w:t>cadre</w:t>
      </w:r>
      <w:r w:rsidR="0027585A" w:rsidRPr="00785DC5">
        <w:t xml:space="preserve"> </w:t>
      </w:r>
      <w:r w:rsidR="00A07D62" w:rsidRPr="00785DC5">
        <w:t>juridique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lutte</w:t>
      </w:r>
      <w:r w:rsidR="0027585A" w:rsidRPr="00785DC5">
        <w:t xml:space="preserve"> </w:t>
      </w:r>
      <w:r w:rsidR="00A07D62" w:rsidRPr="00785DC5">
        <w:t>contre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discrimination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son</w:t>
      </w:r>
      <w:r w:rsidR="0027585A" w:rsidRPr="00785DC5">
        <w:t xml:space="preserve"> </w:t>
      </w:r>
      <w:r w:rsidR="00A07D62" w:rsidRPr="00785DC5">
        <w:t>application</w:t>
      </w:r>
    </w:p>
    <w:p w:rsidR="00A07D62" w:rsidRPr="00785DC5" w:rsidRDefault="00A07D62" w:rsidP="00A07D62">
      <w:pPr>
        <w:pStyle w:val="SingleTxtG"/>
      </w:pPr>
      <w:r w:rsidRPr="00785DC5">
        <w:t>10.</w:t>
      </w:r>
      <w:r w:rsidRPr="00785DC5">
        <w:tab/>
        <w:t>Tout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prenant</w:t>
      </w:r>
      <w:r w:rsidR="0027585A" w:rsidRPr="00785DC5">
        <w:t xml:space="preserve"> </w:t>
      </w:r>
      <w:r w:rsidRPr="00785DC5">
        <w:t>note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progrès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réalisés</w:t>
      </w:r>
      <w:r w:rsidR="0027585A" w:rsidRPr="00785DC5">
        <w:t xml:space="preserve"> </w:t>
      </w:r>
      <w:r w:rsidRPr="00785DC5">
        <w:t>depuis</w:t>
      </w:r>
      <w:r w:rsidR="0027585A" w:rsidRPr="00785DC5">
        <w:t xml:space="preserve"> </w:t>
      </w:r>
      <w:r w:rsidRPr="00785DC5">
        <w:t>2002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renforcer</w:t>
      </w:r>
      <w:r w:rsidR="0027585A" w:rsidRPr="00785DC5">
        <w:t xml:space="preserve"> </w:t>
      </w:r>
      <w:r w:rsidRPr="00785DC5">
        <w:t>son</w:t>
      </w:r>
      <w:r w:rsidR="0027585A" w:rsidRPr="00785DC5">
        <w:t xml:space="preserve"> </w:t>
      </w:r>
      <w:r w:rsidRPr="00785DC5">
        <w:t>cadre</w:t>
      </w:r>
      <w:r w:rsidR="0027585A" w:rsidRPr="00785DC5">
        <w:t xml:space="preserve"> </w:t>
      </w:r>
      <w:r w:rsidRPr="00785DC5">
        <w:t>juridique</w:t>
      </w:r>
      <w:r w:rsidR="0027585A" w:rsidRPr="00785DC5">
        <w:t xml:space="preserve"> </w:t>
      </w:r>
      <w:r w:rsidRPr="00785DC5">
        <w:t>contre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raciale,</w:t>
      </w:r>
      <w:r w:rsidR="0027585A" w:rsidRPr="00785DC5">
        <w:t xml:space="preserve"> </w:t>
      </w:r>
      <w:r w:rsidRPr="00785DC5">
        <w:t>avec</w:t>
      </w:r>
      <w:r w:rsidR="0027585A" w:rsidRPr="00785DC5">
        <w:t xml:space="preserve"> </w:t>
      </w:r>
      <w:r w:rsidRPr="00785DC5">
        <w:t>notamment</w:t>
      </w:r>
      <w:r w:rsidR="0027585A" w:rsidRPr="00785DC5">
        <w:t xml:space="preserve"> </w:t>
      </w:r>
      <w:r w:rsidRPr="00785DC5">
        <w:t>l’adoption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Loi</w:t>
      </w:r>
      <w:r w:rsidR="0027585A" w:rsidRPr="00785DC5">
        <w:t xml:space="preserve"> </w:t>
      </w:r>
      <w:r w:rsidRPr="00785DC5">
        <w:t>fondamentale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Hongrie,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loi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l’égalité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traitement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dispositions</w:t>
      </w:r>
      <w:r w:rsidR="0027585A" w:rsidRPr="00785DC5">
        <w:t xml:space="preserve"> </w:t>
      </w:r>
      <w:r w:rsidRPr="00785DC5">
        <w:t>spécifiques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Code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travail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favorisent</w:t>
      </w:r>
      <w:r w:rsidR="0027585A" w:rsidRPr="00785DC5">
        <w:t xml:space="preserve"> </w:t>
      </w:r>
      <w:r w:rsidRPr="00785DC5">
        <w:t>l’égalité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traitement,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constate</w:t>
      </w:r>
      <w:r w:rsidR="0027585A" w:rsidRPr="00785DC5">
        <w:t xml:space="preserve"> </w:t>
      </w:r>
      <w:r w:rsidRPr="00785DC5">
        <w:t>avec</w:t>
      </w:r>
      <w:r w:rsidR="0027585A" w:rsidRPr="00785DC5">
        <w:t xml:space="preserve"> </w:t>
      </w:r>
      <w:r w:rsidRPr="00785DC5">
        <w:t>préoccupation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dispositions</w:t>
      </w:r>
      <w:r w:rsidR="0027585A" w:rsidRPr="00785DC5">
        <w:t xml:space="preserve"> </w:t>
      </w:r>
      <w:r w:rsidRPr="00785DC5">
        <w:t>législatives</w:t>
      </w:r>
      <w:r w:rsidR="0027585A" w:rsidRPr="00785DC5">
        <w:t xml:space="preserve"> </w:t>
      </w:r>
      <w:r w:rsidRPr="00785DC5">
        <w:t>interdisant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ne</w:t>
      </w:r>
      <w:r w:rsidR="0027585A" w:rsidRPr="00785DC5">
        <w:t xml:space="preserve"> </w:t>
      </w:r>
      <w:r w:rsidRPr="00785DC5">
        <w:t>couvrent</w:t>
      </w:r>
      <w:r w:rsidR="0027585A" w:rsidRPr="00785DC5">
        <w:t xml:space="preserve"> </w:t>
      </w:r>
      <w:r w:rsidRPr="00785DC5">
        <w:t>pas</w:t>
      </w:r>
      <w:r w:rsidR="0027585A" w:rsidRPr="00785DC5">
        <w:t xml:space="preserve"> </w:t>
      </w:r>
      <w:r w:rsidRPr="00785DC5">
        <w:t>tous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motifs</w:t>
      </w:r>
      <w:r w:rsidR="0027585A" w:rsidRPr="00785DC5">
        <w:t xml:space="preserve"> </w:t>
      </w:r>
      <w:r w:rsidRPr="00785DC5">
        <w:t>prohibés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énoncés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l’article</w:t>
      </w:r>
      <w:r w:rsidR="0027585A" w:rsidRPr="00785DC5">
        <w:t xml:space="preserve"> </w:t>
      </w:r>
      <w:r w:rsidRPr="00785DC5">
        <w:t>premier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Convention.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s’inquiète</w:t>
      </w:r>
      <w:r w:rsidR="0027585A" w:rsidRPr="00785DC5">
        <w:t xml:space="preserve"> </w:t>
      </w:r>
      <w:r w:rsidRPr="00785DC5">
        <w:t>également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voir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dispositions</w:t>
      </w:r>
      <w:r w:rsidR="0027585A" w:rsidRPr="00785DC5">
        <w:t xml:space="preserve"> </w:t>
      </w:r>
      <w:r w:rsidRPr="00785DC5">
        <w:t>législatives</w:t>
      </w:r>
      <w:r w:rsidR="0027585A" w:rsidRPr="00785DC5">
        <w:t xml:space="preserve"> </w:t>
      </w:r>
      <w:r w:rsidRPr="00785DC5">
        <w:t>ne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pas</w:t>
      </w:r>
      <w:r w:rsidR="0027585A" w:rsidRPr="00785DC5">
        <w:t xml:space="preserve"> </w:t>
      </w:r>
      <w:r w:rsidRPr="00785DC5">
        <w:t>pleinement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systématiquement</w:t>
      </w:r>
      <w:r w:rsidR="0027585A" w:rsidRPr="00785DC5">
        <w:t xml:space="preserve"> </w:t>
      </w:r>
      <w:r w:rsidRPr="00785DC5">
        <w:t>appliquées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déplore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d’exemples</w:t>
      </w:r>
      <w:r w:rsidR="0027585A" w:rsidRPr="00785DC5">
        <w:t xml:space="preserve"> </w:t>
      </w:r>
      <w:r w:rsidRPr="00785DC5">
        <w:t>détaillés</w:t>
      </w:r>
      <w:r w:rsidR="0027585A" w:rsidRPr="00785DC5">
        <w:t xml:space="preserve"> </w:t>
      </w:r>
      <w:r w:rsidRPr="00785DC5">
        <w:t>indiquant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dispositions</w:t>
      </w:r>
      <w:r w:rsidR="0027585A" w:rsidRPr="00785DC5">
        <w:t xml:space="preserve"> </w:t>
      </w:r>
      <w:r w:rsidRPr="00785DC5">
        <w:t>législatives</w:t>
      </w:r>
      <w:r w:rsidR="0027585A" w:rsidRPr="00785DC5">
        <w:t xml:space="preserve"> </w:t>
      </w:r>
      <w:r w:rsidRPr="00785DC5">
        <w:t>interdisant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raciale</w:t>
      </w:r>
      <w:r w:rsidR="0027585A" w:rsidRPr="00785DC5">
        <w:t xml:space="preserve"> </w:t>
      </w:r>
      <w:r w:rsidRPr="00785DC5">
        <w:t>ont</w:t>
      </w:r>
      <w:r w:rsidR="0027585A" w:rsidRPr="00785DC5">
        <w:t xml:space="preserve"> </w:t>
      </w:r>
      <w:r w:rsidRPr="00785DC5">
        <w:t>été</w:t>
      </w:r>
      <w:r w:rsidR="0027585A" w:rsidRPr="00785DC5">
        <w:t xml:space="preserve"> </w:t>
      </w:r>
      <w:r w:rsidRPr="00785DC5">
        <w:t>expressément</w:t>
      </w:r>
      <w:r w:rsidR="0027585A" w:rsidRPr="00785DC5">
        <w:t xml:space="preserve"> </w:t>
      </w:r>
      <w:r w:rsidRPr="00785DC5">
        <w:t>invoquées</w:t>
      </w:r>
      <w:r w:rsidR="0027585A" w:rsidRPr="00785DC5">
        <w:t xml:space="preserve"> </w:t>
      </w:r>
      <w:r w:rsidRPr="00785DC5">
        <w:t>devant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tribunaux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mécanismes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plainte</w:t>
      </w:r>
      <w:r w:rsidR="0027585A" w:rsidRPr="00785DC5">
        <w:t xml:space="preserve"> </w:t>
      </w:r>
      <w:r w:rsidRPr="00785DC5">
        <w:t>compétents.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rPr>
          <w:bCs/>
        </w:rPr>
        <w:t>11.</w:t>
      </w:r>
      <w:r w:rsidRPr="00785DC5">
        <w:rPr>
          <w:bCs/>
        </w:rPr>
        <w:tab/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veiller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législatives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interdisant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couvrent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motifs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énoncés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paragraphe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l’article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premier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également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prendre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mesures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garantir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l’application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pleine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effective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législatives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existantes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interdisant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permettre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un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accès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effectif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justice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offrir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appropriés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victimes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figurer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prochain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rapport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périodique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exemples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détaillés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cas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incluant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une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analyse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données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concernant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l’application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l’invocation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législatives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pertinentes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décisions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judiciaires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administratives.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Plaintes</w:t>
      </w:r>
      <w:r w:rsidR="0027585A" w:rsidRPr="00785DC5">
        <w:t xml:space="preserve"> </w:t>
      </w:r>
      <w:r w:rsidR="00A07D62" w:rsidRPr="00785DC5">
        <w:t>pour</w:t>
      </w:r>
      <w:r w:rsidR="0027585A" w:rsidRPr="00785DC5">
        <w:t xml:space="preserve"> </w:t>
      </w:r>
      <w:r w:rsidR="00A07D62" w:rsidRPr="00785DC5">
        <w:t>discrimination</w:t>
      </w:r>
      <w:r w:rsidR="0027585A" w:rsidRPr="00785DC5">
        <w:t xml:space="preserve"> </w:t>
      </w:r>
      <w:r w:rsidR="00A07D62" w:rsidRPr="00785DC5">
        <w:t>raciale</w:t>
      </w:r>
    </w:p>
    <w:p w:rsidR="00A07D62" w:rsidRPr="00785DC5" w:rsidRDefault="00A07D62" w:rsidP="00A07D62">
      <w:pPr>
        <w:pStyle w:val="SingleTxtG"/>
        <w:rPr>
          <w:spacing w:val="-1"/>
          <w:shd w:val="clear" w:color="auto" w:fill="FFFFFF"/>
        </w:rPr>
      </w:pPr>
      <w:r w:rsidRPr="00785DC5">
        <w:rPr>
          <w:spacing w:val="-1"/>
        </w:rPr>
        <w:t>12.</w:t>
      </w:r>
      <w:r w:rsidRPr="00785DC5">
        <w:rPr>
          <w:spacing w:val="-1"/>
        </w:rPr>
        <w:tab/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Comité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note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l’Autorité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pour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l’égalité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traitement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Commissaire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aux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droits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fondamentaux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examinent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chacun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plaintes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pour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discrimination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raciale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dans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cadre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mandat,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prend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note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renseignements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fournis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à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la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suite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du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dialogue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différentes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catégories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d’affaires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examinées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mécanismes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système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judiciaire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national.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Il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regrette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cependant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sache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très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bien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quelle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entité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est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compétente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matière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pénale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que,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particulier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pour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poursuites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pénales,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dispose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d’informations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détaillées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critères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poursuites,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condamnation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d’application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peines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ventilées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selon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l’origine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nationale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ou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ethnique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auteurs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victimes.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Comité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rappelle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à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l’État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partie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fait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plaintes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sont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peu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nombreuses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signifie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nécessairement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qu’il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n’y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a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discrimination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raciale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dans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pays</w:t>
      </w:r>
      <w:r w:rsidR="0027585A" w:rsidRPr="00785DC5">
        <w:rPr>
          <w:spacing w:val="-1"/>
        </w:rPr>
        <w:t xml:space="preserve"> ; </w:t>
      </w:r>
      <w:r w:rsidRPr="00785DC5">
        <w:rPr>
          <w:spacing w:val="-1"/>
        </w:rPr>
        <w:t>cela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peut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signifier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obstacles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empêchent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d’invoquer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sur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plan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interne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droits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garantis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la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Convention,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exemple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que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victimes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n’ont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confiance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dans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institutions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justice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et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dans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les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autorités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de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l’État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</w:rPr>
        <w:t>partie</w:t>
      </w:r>
      <w:r w:rsidR="0027585A" w:rsidRPr="00785DC5">
        <w:rPr>
          <w:spacing w:val="-1"/>
        </w:rPr>
        <w:t xml:space="preserve"> </w:t>
      </w:r>
      <w:r w:rsidRPr="00785DC5">
        <w:rPr>
          <w:spacing w:val="-1"/>
          <w:shd w:val="clear" w:color="auto" w:fill="FFFFFF"/>
        </w:rPr>
        <w:t>(art.</w:t>
      </w:r>
      <w:r w:rsidR="00A35C78" w:rsidRPr="00785DC5">
        <w:rPr>
          <w:spacing w:val="-1"/>
          <w:shd w:val="clear" w:color="auto" w:fill="FFFFFF"/>
        </w:rPr>
        <w:t> </w:t>
      </w:r>
      <w:r w:rsidRPr="00785DC5">
        <w:rPr>
          <w:spacing w:val="-1"/>
          <w:shd w:val="clear" w:color="auto" w:fill="FFFFFF"/>
        </w:rPr>
        <w:t>6</w:t>
      </w:r>
      <w:r w:rsidR="0027585A" w:rsidRPr="00785DC5">
        <w:rPr>
          <w:spacing w:val="-1"/>
          <w:shd w:val="clear" w:color="auto" w:fill="FFFFFF"/>
        </w:rPr>
        <w:t xml:space="preserve"> </w:t>
      </w:r>
      <w:r w:rsidRPr="00785DC5">
        <w:rPr>
          <w:spacing w:val="-1"/>
          <w:shd w:val="clear" w:color="auto" w:fill="FFFFFF"/>
        </w:rPr>
        <w:t>et</w:t>
      </w:r>
      <w:r w:rsidR="0027585A" w:rsidRPr="00785DC5">
        <w:rPr>
          <w:spacing w:val="-1"/>
          <w:shd w:val="clear" w:color="auto" w:fill="FFFFFF"/>
        </w:rPr>
        <w:t xml:space="preserve"> </w:t>
      </w:r>
      <w:r w:rsidRPr="00785DC5">
        <w:rPr>
          <w:spacing w:val="-1"/>
          <w:shd w:val="clear" w:color="auto" w:fill="FFFFFF"/>
        </w:rPr>
        <w:t>7).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rPr>
          <w:bCs/>
        </w:rPr>
        <w:t>13.</w:t>
      </w:r>
      <w:r w:rsidRPr="00785DC5">
        <w:rPr>
          <w:bCs/>
        </w:rPr>
        <w:tab/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lui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fournir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renseignements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détaillés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plaintes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déposées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auprès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l’Autorité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l’égalité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traitement,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Commissaire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fondamentaux,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ainsi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tribunaux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autres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mécanismes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plainte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compétents,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notamment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statistiques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nombre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type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plaintes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déposées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poursuites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engagées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condamnations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prononcées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auteurs,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ventilées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âge,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sexe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origine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ethnique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victimes,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ainsi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informations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réparations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accordées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victimes.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également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faciliter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dépôt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plaintes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garantir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victimes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un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accès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justice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judiciaires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judiciaires.</w:t>
      </w:r>
    </w:p>
    <w:p w:rsidR="00A07D62" w:rsidRPr="00785DC5" w:rsidRDefault="00A35C78" w:rsidP="00A07D62">
      <w:pPr>
        <w:pStyle w:val="H23G"/>
        <w:rPr>
          <w:shd w:val="clear" w:color="auto" w:fill="FFFFFF"/>
        </w:rPr>
      </w:pPr>
      <w:r w:rsidRPr="00785DC5">
        <w:rPr>
          <w:shd w:val="clear" w:color="auto" w:fill="FFFFFF"/>
        </w:rPr>
        <w:tab/>
      </w:r>
      <w:r w:rsidRPr="00785DC5">
        <w:rPr>
          <w:shd w:val="clear" w:color="auto" w:fill="FFFFFF"/>
        </w:rPr>
        <w:tab/>
      </w:r>
      <w:r w:rsidR="00A07D62"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="00A07D62"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="00A07D62" w:rsidRPr="00785DC5">
        <w:rPr>
          <w:shd w:val="clear" w:color="auto" w:fill="FFFFFF"/>
        </w:rPr>
        <w:t>haine</w:t>
      </w:r>
      <w:r w:rsidR="0027585A" w:rsidRPr="00785DC5">
        <w:rPr>
          <w:shd w:val="clear" w:color="auto" w:fill="FFFFFF"/>
        </w:rPr>
        <w:t xml:space="preserve"> </w:t>
      </w:r>
      <w:r w:rsidR="00A07D62" w:rsidRPr="00785DC5">
        <w:rPr>
          <w:shd w:val="clear" w:color="auto" w:fill="FFFFFF"/>
        </w:rPr>
        <w:t>raciale</w:t>
      </w:r>
    </w:p>
    <w:p w:rsidR="00A07D62" w:rsidRPr="00785DC5" w:rsidRDefault="00A07D62" w:rsidP="00A07D62">
      <w:pPr>
        <w:pStyle w:val="SingleTxtG"/>
        <w:rPr>
          <w:shd w:val="clear" w:color="auto" w:fill="FFFFFF"/>
        </w:rPr>
      </w:pPr>
      <w:r w:rsidRPr="00785DC5">
        <w:rPr>
          <w:shd w:val="clear" w:color="auto" w:fill="FFFFFF"/>
        </w:rPr>
        <w:t>14.</w:t>
      </w:r>
      <w:r w:rsidRPr="00785DC5">
        <w:rPr>
          <w:shd w:val="clear" w:color="auto" w:fill="FFFFFF"/>
        </w:rPr>
        <w:tab/>
        <w:t>Le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Comité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prend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note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renseignements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fournis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sur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cadre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juridique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relatif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aux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haine,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mesures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adoptées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pour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former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policiers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sur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l’application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la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législation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pénale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récemment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modifiée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qui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ont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été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communiqués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après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dialogue,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mais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il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est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préoccupé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par</w:t>
      </w:r>
      <w:r w:rsidR="0027585A" w:rsidRPr="00785DC5">
        <w:rPr>
          <w:shd w:val="clear" w:color="auto" w:fill="FFFFFF"/>
        </w:rPr>
        <w:t> :</w:t>
      </w:r>
    </w:p>
    <w:p w:rsidR="00A07D62" w:rsidRPr="00785DC5" w:rsidRDefault="00A07D62" w:rsidP="00A35C78">
      <w:pPr>
        <w:pStyle w:val="SingleTxtG"/>
        <w:ind w:firstLine="567"/>
        <w:rPr>
          <w:shd w:val="clear" w:color="auto" w:fill="FFFFFF"/>
        </w:rPr>
      </w:pPr>
      <w:r w:rsidRPr="00785DC5">
        <w:rPr>
          <w:shd w:val="clear" w:color="auto" w:fill="FFFFFF"/>
        </w:rPr>
        <w:t>a)</w:t>
      </w:r>
      <w:r w:rsidRPr="00785DC5">
        <w:rPr>
          <w:shd w:val="clear" w:color="auto" w:fill="FFFFFF"/>
        </w:rPr>
        <w:tab/>
        <w:t>La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persistance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haine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raciale,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y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compris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violents,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particulier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contre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Roms</w:t>
      </w:r>
      <w:r w:rsidR="0027585A" w:rsidRPr="00785DC5">
        <w:rPr>
          <w:shd w:val="clear" w:color="auto" w:fill="FFFFFF"/>
        </w:rPr>
        <w:t> ;</w:t>
      </w:r>
    </w:p>
    <w:p w:rsidR="00A07D62" w:rsidRPr="00785DC5" w:rsidRDefault="00A07D62" w:rsidP="00A35C78">
      <w:pPr>
        <w:pStyle w:val="SingleTxtG"/>
        <w:ind w:firstLine="567"/>
      </w:pPr>
      <w:r w:rsidRPr="00785DC5">
        <w:rPr>
          <w:shd w:val="clear" w:color="auto" w:fill="FFFFFF"/>
        </w:rPr>
        <w:t>b)</w:t>
      </w:r>
      <w:r w:rsidRPr="00785DC5">
        <w:rPr>
          <w:shd w:val="clear" w:color="auto" w:fill="FFFFFF"/>
        </w:rPr>
        <w:tab/>
        <w:t>Le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manque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clarté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concernant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critères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utilisés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pour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choix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peines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appliquées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aux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auteurs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haine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autres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mesures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destinées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à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protéger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groupes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vulnérables</w:t>
      </w:r>
      <w:r w:rsidR="0027585A" w:rsidRPr="00785DC5">
        <w:rPr>
          <w:shd w:val="clear" w:color="auto" w:fill="FFFFFF"/>
        </w:rPr>
        <w:t> ;</w:t>
      </w:r>
    </w:p>
    <w:p w:rsidR="00A07D62" w:rsidRPr="00785DC5" w:rsidRDefault="00A07D62" w:rsidP="00A35C78">
      <w:pPr>
        <w:pStyle w:val="SingleTxtG"/>
        <w:ind w:firstLine="567"/>
        <w:rPr>
          <w:shd w:val="clear" w:color="auto" w:fill="FFFFFF"/>
        </w:rPr>
      </w:pPr>
      <w:r w:rsidRPr="00785DC5">
        <w:rPr>
          <w:shd w:val="clear" w:color="auto" w:fill="FFFFFF"/>
        </w:rPr>
        <w:t>c)</w:t>
      </w:r>
      <w:r w:rsidRPr="00785DC5">
        <w:rPr>
          <w:shd w:val="clear" w:color="auto" w:fill="FFFFFF"/>
        </w:rPr>
        <w:tab/>
        <w:t>L’impunité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auteurs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haine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du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fait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d’une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classification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d’un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enregistrement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inadéquats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l’absence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d’enquêtes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bonne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due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forme</w:t>
      </w:r>
      <w:r w:rsidR="0027585A" w:rsidRPr="00785DC5">
        <w:rPr>
          <w:shd w:val="clear" w:color="auto" w:fill="FFFFFF"/>
        </w:rPr>
        <w:t> ;</w:t>
      </w:r>
    </w:p>
    <w:p w:rsidR="00A07D62" w:rsidRPr="00785DC5" w:rsidRDefault="00A07D62" w:rsidP="00A35C78">
      <w:pPr>
        <w:pStyle w:val="SingleTxtG"/>
        <w:ind w:firstLine="567"/>
        <w:rPr>
          <w:shd w:val="clear" w:color="auto" w:fill="FFFFFF"/>
        </w:rPr>
      </w:pPr>
      <w:r w:rsidRPr="00785DC5">
        <w:rPr>
          <w:shd w:val="clear" w:color="auto" w:fill="FFFFFF"/>
        </w:rPr>
        <w:t>d)</w:t>
      </w:r>
      <w:r w:rsidRPr="00785DC5">
        <w:rPr>
          <w:shd w:val="clear" w:color="auto" w:fill="FFFFFF"/>
        </w:rPr>
        <w:tab/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informations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indiquant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que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dispositions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relatives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aux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crimes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haine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sont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appliquées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plus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souvent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pour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protéger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la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majorité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la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population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que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pour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protéger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les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groupes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ethniques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minoritaires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que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peines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plus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sévères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sont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appliquées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aux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auteurs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d’infractions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appartenant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à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des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groupes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ethniques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minoritaires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(art.</w:t>
      </w:r>
      <w:r w:rsidR="00A35C78" w:rsidRPr="00785DC5">
        <w:rPr>
          <w:shd w:val="clear" w:color="auto" w:fill="FFFFFF"/>
        </w:rPr>
        <w:t> </w:t>
      </w:r>
      <w:r w:rsidRPr="00785DC5">
        <w:rPr>
          <w:shd w:val="clear" w:color="auto" w:fill="FFFFFF"/>
        </w:rPr>
        <w:t>4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et</w:t>
      </w:r>
      <w:r w:rsidR="0027585A" w:rsidRPr="00785DC5">
        <w:rPr>
          <w:shd w:val="clear" w:color="auto" w:fill="FFFFFF"/>
        </w:rPr>
        <w:t xml:space="preserve"> </w:t>
      </w:r>
      <w:r w:rsidRPr="00785DC5">
        <w:rPr>
          <w:shd w:val="clear" w:color="auto" w:fill="FFFFFF"/>
        </w:rPr>
        <w:t>6).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rPr>
          <w:bCs/>
          <w:shd w:val="clear" w:color="auto" w:fill="FFFFFF"/>
        </w:rPr>
        <w:t>15.</w:t>
      </w:r>
      <w:r w:rsidRPr="00785DC5">
        <w:rPr>
          <w:bCs/>
          <w:shd w:val="clear" w:color="auto" w:fill="FFFFFF"/>
        </w:rPr>
        <w:tab/>
      </w:r>
      <w:r w:rsidRPr="00785DC5">
        <w:rPr>
          <w:b/>
          <w:bCs/>
          <w:shd w:val="clear" w:color="auto" w:fill="FFFFFF"/>
        </w:rPr>
        <w:t>À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la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lumière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de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sa</w:t>
      </w:r>
      <w:r w:rsidR="0027585A" w:rsidRPr="00785DC5">
        <w:rPr>
          <w:b/>
          <w:bCs/>
          <w:shd w:val="clear" w:color="auto" w:fill="FFFFFF"/>
        </w:rPr>
        <w:t xml:space="preserve"> </w:t>
      </w:r>
      <w:bookmarkStart w:id="2" w:name="_GoBack"/>
      <w:bookmarkEnd w:id="2"/>
      <w:r w:rsidRPr="00785DC5">
        <w:rPr>
          <w:b/>
          <w:bCs/>
          <w:shd w:val="clear" w:color="auto" w:fill="FFFFFF"/>
        </w:rPr>
        <w:t>recommandation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générale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n</w:t>
      </w:r>
      <w:r w:rsidRPr="00785DC5">
        <w:rPr>
          <w:b/>
          <w:bCs/>
          <w:shd w:val="clear" w:color="auto" w:fill="FFFFFF"/>
          <w:vertAlign w:val="superscript"/>
        </w:rPr>
        <w:t>o</w:t>
      </w:r>
      <w:r w:rsidR="00A35C78" w:rsidRPr="00785DC5">
        <w:rPr>
          <w:b/>
          <w:bCs/>
          <w:shd w:val="clear" w:color="auto" w:fill="FFFFFF"/>
        </w:rPr>
        <w:t> </w:t>
      </w:r>
      <w:r w:rsidRPr="00785DC5">
        <w:rPr>
          <w:b/>
          <w:bCs/>
          <w:shd w:val="clear" w:color="auto" w:fill="FFFFFF"/>
        </w:rPr>
        <w:t>7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(1985)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concernant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l’application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de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l’article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4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de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la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Convention,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Comité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recommande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à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l’État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partie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de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redoubler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d’efforts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pour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combattre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efficacement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les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crimes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de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haine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raciale,</w:t>
      </w:r>
      <w:r w:rsidR="0027585A" w:rsidRPr="00785DC5">
        <w:rPr>
          <w:b/>
          <w:bCs/>
          <w:shd w:val="clear" w:color="auto" w:fill="FFFFFF"/>
        </w:rPr>
        <w:t xml:space="preserve"> </w:t>
      </w:r>
      <w:r w:rsidRPr="00785DC5">
        <w:rPr>
          <w:b/>
          <w:bCs/>
          <w:shd w:val="clear" w:color="auto" w:fill="FFFFFF"/>
        </w:rPr>
        <w:t>notamment</w:t>
      </w:r>
      <w:r w:rsidR="0027585A" w:rsidRPr="00785DC5">
        <w:rPr>
          <w:b/>
          <w:bCs/>
          <w:shd w:val="clear" w:color="auto" w:fill="FFFFFF"/>
        </w:rPr>
        <w:t> :</w:t>
      </w:r>
    </w:p>
    <w:p w:rsidR="00A07D62" w:rsidRPr="00785DC5" w:rsidRDefault="00A07D62" w:rsidP="00A07D62">
      <w:pPr>
        <w:pStyle w:val="SingleTxtG"/>
        <w:ind w:firstLine="567"/>
        <w:rPr>
          <w:b/>
          <w:shd w:val="clear" w:color="auto" w:fill="FFFFFF"/>
        </w:rPr>
      </w:pPr>
      <w:r w:rsidRPr="00785DC5">
        <w:rPr>
          <w:b/>
          <w:shd w:val="clear" w:color="auto" w:fill="FFFFFF"/>
        </w:rPr>
        <w:t>a)</w:t>
      </w:r>
      <w:r w:rsidRPr="00785DC5">
        <w:rPr>
          <w:b/>
          <w:shd w:val="clear" w:color="auto" w:fill="FFFFFF"/>
        </w:rPr>
        <w:tab/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prendre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immédiatement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mesures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pour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prévenir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crimes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haine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raciale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la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violence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raciste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protéger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groupes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vulnérables</w:t>
      </w:r>
      <w:r w:rsidR="0027585A" w:rsidRPr="00785DC5">
        <w:rPr>
          <w:b/>
          <w:shd w:val="clear" w:color="auto" w:fill="FFFFFF"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  <w:shd w:val="clear" w:color="auto" w:fill="FFFFFF"/>
        </w:rPr>
      </w:pPr>
      <w:r w:rsidRPr="00785DC5">
        <w:rPr>
          <w:b/>
          <w:shd w:val="clear" w:color="auto" w:fill="FFFFFF"/>
        </w:rPr>
        <w:t>b)</w:t>
      </w:r>
      <w:r w:rsidRPr="00785DC5">
        <w:rPr>
          <w:b/>
          <w:shd w:val="clear" w:color="auto" w:fill="FFFFFF"/>
        </w:rPr>
        <w:tab/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fournir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informations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détaillées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l’application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la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législation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visant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prévenir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crimes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haine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raciale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autres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mesures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qui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ont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été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prises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pour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protéger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groupes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vulnérables,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efficacité,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y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compris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exemples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d’affaires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statistiques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nombre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type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plaintes,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enquêtes,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condamnations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peines,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ventilées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par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appartenance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ethnique,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âge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sexe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auteurs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victimes</w:t>
      </w:r>
      <w:r w:rsidR="0027585A" w:rsidRPr="00785DC5">
        <w:rPr>
          <w:b/>
          <w:shd w:val="clear" w:color="auto" w:fill="FFFFFF"/>
        </w:rPr>
        <w:t xml:space="preserve"> ;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donner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informations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critères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utilisés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pour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choix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peines</w:t>
      </w:r>
      <w:r w:rsidR="0027585A" w:rsidRPr="00785DC5">
        <w:rPr>
          <w:b/>
          <w:shd w:val="clear" w:color="auto" w:fill="FFFFFF"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  <w:shd w:val="clear" w:color="auto" w:fill="FFFFFF"/>
        </w:rPr>
      </w:pPr>
      <w:r w:rsidRPr="00785DC5">
        <w:rPr>
          <w:b/>
          <w:shd w:val="clear" w:color="auto" w:fill="FFFFFF"/>
        </w:rPr>
        <w:t>c)</w:t>
      </w:r>
      <w:r w:rsidRPr="00785DC5">
        <w:rPr>
          <w:b/>
          <w:shd w:val="clear" w:color="auto" w:fill="FFFFFF"/>
        </w:rPr>
        <w:tab/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continuer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dispenser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formations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policiers,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procureurs,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avocats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juges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la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bonne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manière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repérer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crimes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haine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raciale,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d’enregistrer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plaintes,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d’enquêter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mener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poursuites</w:t>
      </w:r>
      <w:r w:rsidR="0027585A" w:rsidRPr="00785DC5">
        <w:rPr>
          <w:b/>
          <w:shd w:val="clear" w:color="auto" w:fill="FFFFFF"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  <w:shd w:val="clear" w:color="auto" w:fill="FFFFFF"/>
        </w:rPr>
      </w:pPr>
      <w:bookmarkStart w:id="3" w:name="_Hlk21005736"/>
      <w:r w:rsidRPr="00785DC5">
        <w:rPr>
          <w:b/>
          <w:shd w:val="clear" w:color="auto" w:fill="FFFFFF"/>
        </w:rPr>
        <w:t>d)</w:t>
      </w:r>
      <w:r w:rsidRPr="00785DC5">
        <w:rPr>
          <w:b/>
          <w:shd w:val="clear" w:color="auto" w:fill="FFFFFF"/>
        </w:rPr>
        <w:tab/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veiller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que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tous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crimes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haine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signalés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soient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effectivement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enregistrés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donnent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lieu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une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enquête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poursuites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en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bonne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due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forme,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que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peines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appropriées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soient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appliquées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auteurs</w:t>
      </w:r>
      <w:r w:rsidR="0027585A" w:rsidRPr="00785DC5">
        <w:rPr>
          <w:b/>
          <w:shd w:val="clear" w:color="auto" w:fill="FFFFFF"/>
        </w:rPr>
        <w:t> ;</w:t>
      </w:r>
    </w:p>
    <w:bookmarkEnd w:id="3"/>
    <w:p w:rsidR="00A07D62" w:rsidRPr="00785DC5" w:rsidRDefault="00A07D62" w:rsidP="00A07D62">
      <w:pPr>
        <w:pStyle w:val="SingleTxtG"/>
        <w:ind w:firstLine="567"/>
        <w:rPr>
          <w:shd w:val="clear" w:color="auto" w:fill="FFFFFF"/>
        </w:rPr>
      </w:pPr>
      <w:r w:rsidRPr="00785DC5">
        <w:rPr>
          <w:b/>
          <w:shd w:val="clear" w:color="auto" w:fill="FFFFFF"/>
        </w:rPr>
        <w:t>e)</w:t>
      </w:r>
      <w:r w:rsidRPr="00785DC5">
        <w:rPr>
          <w:b/>
          <w:shd w:val="clear" w:color="auto" w:fill="FFFFFF"/>
        </w:rPr>
        <w:tab/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veiller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que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la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législation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relative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aux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crimes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haine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raciale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protège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façon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égale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groupes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majoritaires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groupes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minoritaires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contre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actes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caractère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raciste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que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choix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peines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réponde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à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critères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objectifs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ne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dépende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pas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l’appartenance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ethnique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l’auteur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ou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de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la</w:t>
      </w:r>
      <w:r w:rsidR="0027585A" w:rsidRPr="00785DC5">
        <w:rPr>
          <w:b/>
          <w:shd w:val="clear" w:color="auto" w:fill="FFFFFF"/>
        </w:rPr>
        <w:t xml:space="preserve"> </w:t>
      </w:r>
      <w:r w:rsidRPr="00785DC5">
        <w:rPr>
          <w:b/>
          <w:shd w:val="clear" w:color="auto" w:fill="FFFFFF"/>
        </w:rPr>
        <w:t>victime</w:t>
      </w:r>
      <w:r w:rsidRPr="00785DC5">
        <w:rPr>
          <w:shd w:val="clear" w:color="auto" w:fill="FFFFFF"/>
        </w:rPr>
        <w:t>.</w:t>
      </w:r>
    </w:p>
    <w:p w:rsidR="00A07D62" w:rsidRPr="00785DC5" w:rsidRDefault="00A07D62" w:rsidP="00A35C78">
      <w:pPr>
        <w:pStyle w:val="H23G"/>
      </w:pPr>
      <w:r w:rsidRPr="00785DC5">
        <w:tab/>
      </w:r>
      <w:r w:rsidR="00A35C78" w:rsidRPr="00785DC5">
        <w:tab/>
      </w:r>
      <w:r w:rsidRPr="00785DC5">
        <w:t>Discours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raciale</w:t>
      </w:r>
    </w:p>
    <w:p w:rsidR="00A07D62" w:rsidRPr="00785DC5" w:rsidRDefault="00A07D62" w:rsidP="00A07D62">
      <w:pPr>
        <w:pStyle w:val="SingleTxtG"/>
      </w:pPr>
      <w:r w:rsidRPr="00785DC5">
        <w:t>16.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vivement</w:t>
      </w:r>
      <w:r w:rsidR="0027585A" w:rsidRPr="00785DC5">
        <w:t xml:space="preserve"> </w:t>
      </w:r>
      <w:r w:rsidRPr="00785DC5">
        <w:t>alarmé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nombre</w:t>
      </w:r>
      <w:r w:rsidR="0027585A" w:rsidRPr="00785DC5">
        <w:t xml:space="preserve"> </w:t>
      </w:r>
      <w:r w:rsidRPr="00785DC5">
        <w:t>élevé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discours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raciale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prononcés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contre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Roms,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migrants,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réfugiés,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autres</w:t>
      </w:r>
      <w:r w:rsidR="0027585A" w:rsidRPr="00785DC5">
        <w:t xml:space="preserve"> </w:t>
      </w:r>
      <w:r w:rsidRPr="00785DC5">
        <w:t>minorités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attisent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l’intolérance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incitent</w:t>
      </w:r>
      <w:r w:rsidR="0027585A" w:rsidRPr="00785DC5">
        <w:t xml:space="preserve"> </w:t>
      </w:r>
      <w:r w:rsidRPr="00785DC5">
        <w:t>parfois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violence</w:t>
      </w:r>
      <w:r w:rsidR="0027585A" w:rsidRPr="00785DC5">
        <w:t xml:space="preserve"> </w:t>
      </w:r>
      <w:r w:rsidRPr="00785DC5">
        <w:t>contre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groupes,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particulier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part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personnalités</w:t>
      </w:r>
      <w:r w:rsidR="0027585A" w:rsidRPr="00785DC5">
        <w:t xml:space="preserve"> </w:t>
      </w:r>
      <w:r w:rsidRPr="00785DC5">
        <w:t>politiques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médias,</w:t>
      </w:r>
      <w:r w:rsidR="0027585A" w:rsidRPr="00785DC5">
        <w:t xml:space="preserve"> </w:t>
      </w:r>
      <w:r w:rsidRPr="00785DC5">
        <w:t>notamment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Internet.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particulier,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profondément</w:t>
      </w:r>
      <w:r w:rsidR="0027585A" w:rsidRPr="00785DC5">
        <w:t xml:space="preserve"> </w:t>
      </w:r>
      <w:r w:rsidRPr="00785DC5">
        <w:t>alarmé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personnalités</w:t>
      </w:r>
      <w:r w:rsidR="0027585A" w:rsidRPr="00785DC5">
        <w:t xml:space="preserve"> </w:t>
      </w:r>
      <w:r w:rsidRPr="00785DC5">
        <w:t>publiques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partie,</w:t>
      </w:r>
      <w:r w:rsidR="0027585A" w:rsidRPr="00785DC5">
        <w:t xml:space="preserve"> </w:t>
      </w:r>
      <w:r w:rsidRPr="00785DC5">
        <w:t>y</w:t>
      </w:r>
      <w:r w:rsidR="0027585A" w:rsidRPr="00785DC5">
        <w:t xml:space="preserve"> </w:t>
      </w:r>
      <w:r w:rsidRPr="00785DC5">
        <w:t>compris</w:t>
      </w:r>
      <w:r w:rsidR="0027585A" w:rsidRPr="00785DC5">
        <w:t xml:space="preserve"> </w:t>
      </w:r>
      <w:r w:rsidRPr="00785DC5">
        <w:t>au</w:t>
      </w:r>
      <w:r w:rsidR="0027585A" w:rsidRPr="00785DC5">
        <w:t xml:space="preserve"> </w:t>
      </w:r>
      <w:r w:rsidRPr="00785DC5">
        <w:t>plus</w:t>
      </w:r>
      <w:r w:rsidR="0027585A" w:rsidRPr="00785DC5">
        <w:t xml:space="preserve"> </w:t>
      </w:r>
      <w:r w:rsidRPr="00785DC5">
        <w:t>haut</w:t>
      </w:r>
      <w:r w:rsidR="0027585A" w:rsidRPr="00785DC5">
        <w:t xml:space="preserve"> </w:t>
      </w:r>
      <w:r w:rsidRPr="00785DC5">
        <w:t>niveau,</w:t>
      </w:r>
      <w:r w:rsidR="0027585A" w:rsidRPr="00785DC5">
        <w:t xml:space="preserve"> </w:t>
      </w:r>
      <w:r w:rsidRPr="00785DC5">
        <w:t>ont</w:t>
      </w:r>
      <w:r w:rsidR="0027585A" w:rsidRPr="00785DC5">
        <w:t xml:space="preserve"> </w:t>
      </w:r>
      <w:r w:rsidRPr="00785DC5">
        <w:t>fait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déclarations</w:t>
      </w:r>
      <w:r w:rsidR="0027585A" w:rsidRPr="00785DC5">
        <w:t xml:space="preserve"> </w:t>
      </w:r>
      <w:r w:rsidRPr="00785DC5">
        <w:t>susceptibles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promouvoir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raciale,</w:t>
      </w:r>
      <w:r w:rsidR="0027585A" w:rsidRPr="00785DC5">
        <w:t xml:space="preserve"> </w:t>
      </w:r>
      <w:r w:rsidRPr="00785DC5">
        <w:t>notamment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cadre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campagne</w:t>
      </w:r>
      <w:r w:rsidR="0027585A" w:rsidRPr="00785DC5">
        <w:t xml:space="preserve"> </w:t>
      </w:r>
      <w:r w:rsidRPr="00785DC5">
        <w:t>anti-immigrés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proofErr w:type="spellStart"/>
      <w:r w:rsidRPr="00785DC5">
        <w:t>antiréfugiés</w:t>
      </w:r>
      <w:proofErr w:type="spellEnd"/>
      <w:r w:rsidR="0027585A" w:rsidRPr="00785DC5">
        <w:t xml:space="preserve"> </w:t>
      </w:r>
      <w:r w:rsidRPr="00785DC5">
        <w:t>lancée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Gouvernement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2015.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outre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manque</w:t>
      </w:r>
      <w:r w:rsidR="0027585A" w:rsidRPr="00785DC5">
        <w:t xml:space="preserve"> </w:t>
      </w:r>
      <w:r w:rsidRPr="00785DC5">
        <w:t>d’informations</w:t>
      </w:r>
      <w:r w:rsidR="0027585A" w:rsidRPr="00785DC5">
        <w:t xml:space="preserve"> </w:t>
      </w:r>
      <w:r w:rsidRPr="00785DC5">
        <w:t>détaillées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enquêtes,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poursuites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condamnations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discours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raciale,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particulier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part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personnalités</w:t>
      </w:r>
      <w:r w:rsidR="0027585A" w:rsidRPr="00785DC5">
        <w:t xml:space="preserve"> </w:t>
      </w:r>
      <w:r w:rsidRPr="00785DC5">
        <w:t>publiques,</w:t>
      </w:r>
      <w:r w:rsidR="0027585A" w:rsidRPr="00785DC5">
        <w:t xml:space="preserve"> </w:t>
      </w:r>
      <w:r w:rsidRPr="00785DC5">
        <w:t>y</w:t>
      </w:r>
      <w:r w:rsidR="0027585A" w:rsidRPr="00785DC5">
        <w:t xml:space="preserve"> </w:t>
      </w:r>
      <w:r w:rsidRPr="00785DC5">
        <w:t>compris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membres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classe</w:t>
      </w:r>
      <w:r w:rsidR="0027585A" w:rsidRPr="00785DC5">
        <w:t xml:space="preserve"> </w:t>
      </w:r>
      <w:r w:rsidRPr="00785DC5">
        <w:t>politique</w:t>
      </w:r>
      <w:r w:rsidR="0027585A" w:rsidRPr="00785DC5">
        <w:t xml:space="preserve"> </w:t>
      </w:r>
      <w:r w:rsidRPr="00785DC5">
        <w:t>(art.</w:t>
      </w:r>
      <w:r w:rsidR="00A35C78" w:rsidRPr="00785DC5">
        <w:t> </w:t>
      </w:r>
      <w:r w:rsidRPr="00785DC5">
        <w:t>4).</w:t>
      </w:r>
    </w:p>
    <w:p w:rsidR="00A07D62" w:rsidRPr="00785DC5" w:rsidRDefault="00A07D62" w:rsidP="00A35C78">
      <w:pPr>
        <w:pStyle w:val="SingleTxtG"/>
        <w:keepNext/>
        <w:rPr>
          <w:b/>
        </w:rPr>
      </w:pPr>
      <w:r w:rsidRPr="00785DC5">
        <w:t>17.</w:t>
      </w:r>
      <w:r w:rsidRPr="00785DC5">
        <w:tab/>
      </w:r>
      <w:r w:rsidRPr="00785DC5">
        <w:rPr>
          <w:b/>
        </w:rPr>
        <w:t>Rappelant</w:t>
      </w:r>
      <w:r w:rsidR="0027585A" w:rsidRPr="00785DC5">
        <w:rPr>
          <w:b/>
        </w:rPr>
        <w:t xml:space="preserve"> </w:t>
      </w:r>
      <w:r w:rsidRPr="00785DC5">
        <w:rPr>
          <w:b/>
        </w:rPr>
        <w:t>sa</w:t>
      </w:r>
      <w:r w:rsidR="0027585A" w:rsidRPr="00785DC5">
        <w:rPr>
          <w:b/>
        </w:rPr>
        <w:t xml:space="preserve"> </w:t>
      </w:r>
      <w:r w:rsidRPr="000204A0">
        <w:rPr>
          <w:b/>
          <w:bCs/>
        </w:rPr>
        <w:t>recommandation</w:t>
      </w:r>
      <w:r w:rsidR="0027585A" w:rsidRPr="00785DC5">
        <w:rPr>
          <w:b/>
        </w:rPr>
        <w:t xml:space="preserve"> </w:t>
      </w:r>
      <w:r w:rsidRPr="00785DC5">
        <w:rPr>
          <w:b/>
        </w:rPr>
        <w:t>générale</w:t>
      </w:r>
      <w:r w:rsidR="0027585A" w:rsidRPr="00785DC5">
        <w:rPr>
          <w:b/>
        </w:rPr>
        <w:t xml:space="preserve"> </w:t>
      </w:r>
      <w:r w:rsidRPr="00785DC5">
        <w:rPr>
          <w:b/>
        </w:rPr>
        <w:t>n</w:t>
      </w:r>
      <w:r w:rsidRPr="00785DC5">
        <w:rPr>
          <w:b/>
          <w:vertAlign w:val="superscript"/>
        </w:rPr>
        <w:t>o</w:t>
      </w:r>
      <w:r w:rsidR="00A35C78" w:rsidRPr="00785DC5">
        <w:rPr>
          <w:b/>
        </w:rPr>
        <w:t> </w:t>
      </w:r>
      <w:r w:rsidRPr="00785DC5">
        <w:rPr>
          <w:b/>
        </w:rPr>
        <w:t>35</w:t>
      </w:r>
      <w:r w:rsidR="0027585A" w:rsidRPr="00785DC5">
        <w:rPr>
          <w:b/>
        </w:rPr>
        <w:t xml:space="preserve"> </w:t>
      </w:r>
      <w:r w:rsidRPr="00785DC5">
        <w:rPr>
          <w:b/>
        </w:rPr>
        <w:t>(2013)</w:t>
      </w:r>
      <w:r w:rsidR="0027585A" w:rsidRPr="00785DC5">
        <w:rPr>
          <w:b/>
        </w:rPr>
        <w:t xml:space="preserve"> </w:t>
      </w:r>
      <w:r w:rsidRPr="00785DC5">
        <w:rPr>
          <w:b/>
        </w:rPr>
        <w:t>concernant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lutte</w:t>
      </w:r>
      <w:r w:rsidR="0027585A" w:rsidRPr="00785DC5">
        <w:rPr>
          <w:b/>
        </w:rPr>
        <w:t xml:space="preserve"> </w:t>
      </w:r>
      <w:r w:rsidRPr="00785DC5">
        <w:rPr>
          <w:b/>
        </w:rPr>
        <w:t>contre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raciale,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> :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a)</w:t>
      </w:r>
      <w:r w:rsidRPr="00785DC5">
        <w:rPr>
          <w:b/>
        </w:rPr>
        <w:tab/>
        <w:t>D’adopter</w:t>
      </w:r>
      <w:r w:rsidR="0027585A" w:rsidRPr="00785DC5">
        <w:rPr>
          <w:b/>
        </w:rPr>
        <w:t xml:space="preserve"> </w:t>
      </w:r>
      <w:r w:rsidRPr="00785DC5">
        <w:rPr>
          <w:b/>
        </w:rPr>
        <w:t>immédiatement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nécessaires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mettre</w:t>
      </w:r>
      <w:r w:rsidR="0027585A" w:rsidRPr="00785DC5">
        <w:rPr>
          <w:b/>
        </w:rPr>
        <w:t xml:space="preserve"> </w:t>
      </w:r>
      <w:r w:rsidRPr="00785DC5">
        <w:rPr>
          <w:b/>
        </w:rPr>
        <w:t>fin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l’incitation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violence,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condamner</w:t>
      </w:r>
      <w:r w:rsidR="0027585A" w:rsidRPr="00785DC5">
        <w:rPr>
          <w:b/>
        </w:rPr>
        <w:t xml:space="preserve"> </w:t>
      </w:r>
      <w:r w:rsidRPr="00785DC5">
        <w:rPr>
          <w:b/>
        </w:rPr>
        <w:t>publiquement,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médias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Internet,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tenus</w:t>
      </w:r>
      <w:r w:rsidR="0027585A" w:rsidRPr="00785DC5">
        <w:rPr>
          <w:b/>
        </w:rPr>
        <w:t xml:space="preserve"> </w:t>
      </w:r>
      <w:r w:rsidRPr="00785DC5">
        <w:rPr>
          <w:b/>
        </w:rPr>
        <w:t>par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personnalités</w:t>
      </w:r>
      <w:r w:rsidR="0027585A" w:rsidRPr="00785DC5">
        <w:rPr>
          <w:b/>
        </w:rPr>
        <w:t xml:space="preserve"> </w:t>
      </w:r>
      <w:r w:rsidRPr="00785DC5">
        <w:rPr>
          <w:b/>
        </w:rPr>
        <w:t>publiques,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membres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classe</w:t>
      </w:r>
      <w:r w:rsidR="0027585A" w:rsidRPr="00785DC5">
        <w:rPr>
          <w:b/>
        </w:rPr>
        <w:t xml:space="preserve"> </w:t>
      </w:r>
      <w:r w:rsidRPr="00785DC5">
        <w:rPr>
          <w:b/>
        </w:rPr>
        <w:t>politique,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s’en</w:t>
      </w:r>
      <w:r w:rsidR="0027585A" w:rsidRPr="00785DC5">
        <w:rPr>
          <w:b/>
        </w:rPr>
        <w:t xml:space="preserve"> </w:t>
      </w:r>
      <w:r w:rsidRPr="00785DC5">
        <w:rPr>
          <w:b/>
        </w:rPr>
        <w:t>démarquer,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protéger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groupes</w:t>
      </w:r>
      <w:r w:rsidR="0027585A" w:rsidRPr="00785DC5">
        <w:rPr>
          <w:b/>
        </w:rPr>
        <w:t xml:space="preserve"> </w:t>
      </w:r>
      <w:r w:rsidRPr="00785DC5">
        <w:rPr>
          <w:b/>
        </w:rPr>
        <w:t>vulnérables</w:t>
      </w:r>
      <w:r w:rsidR="0027585A" w:rsidRPr="00785DC5">
        <w:rPr>
          <w:b/>
        </w:rPr>
        <w:t xml:space="preserve"> </w:t>
      </w:r>
      <w:r w:rsidRPr="00785DC5">
        <w:rPr>
          <w:b/>
        </w:rPr>
        <w:t>visés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b)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nécessaires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prises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prévenir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l’incitation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part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quiconque,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agents</w:t>
      </w:r>
      <w:r w:rsidR="0027585A" w:rsidRPr="00785DC5">
        <w:rPr>
          <w:b/>
        </w:rPr>
        <w:t xml:space="preserve"> </w:t>
      </w:r>
      <w:r w:rsidRPr="00785DC5">
        <w:rPr>
          <w:b/>
        </w:rPr>
        <w:t>publics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membres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classe</w:t>
      </w:r>
      <w:r w:rsidR="0027585A" w:rsidRPr="00785DC5">
        <w:rPr>
          <w:b/>
        </w:rPr>
        <w:t xml:space="preserve"> </w:t>
      </w:r>
      <w:r w:rsidRPr="00785DC5">
        <w:rPr>
          <w:b/>
        </w:rPr>
        <w:t>politique,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législation</w:t>
      </w:r>
      <w:r w:rsidR="0027585A" w:rsidRPr="00785DC5">
        <w:rPr>
          <w:b/>
        </w:rPr>
        <w:t xml:space="preserve"> </w:t>
      </w:r>
      <w:r w:rsidRPr="00785DC5">
        <w:rPr>
          <w:b/>
        </w:rPr>
        <w:t>pertinente</w:t>
      </w:r>
      <w:r w:rsidR="0027585A" w:rsidRPr="00785DC5">
        <w:rPr>
          <w:b/>
        </w:rPr>
        <w:t xml:space="preserve"> </w:t>
      </w:r>
      <w:r w:rsidRPr="00785DC5">
        <w:rPr>
          <w:b/>
        </w:rPr>
        <w:t>soit</w:t>
      </w:r>
      <w:r w:rsidR="0027585A" w:rsidRPr="00785DC5">
        <w:rPr>
          <w:b/>
        </w:rPr>
        <w:t xml:space="preserve"> </w:t>
      </w:r>
      <w:r w:rsidRPr="00785DC5">
        <w:rPr>
          <w:b/>
        </w:rPr>
        <w:t>durcie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appliquée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c)</w:t>
      </w:r>
      <w:r w:rsidRPr="00785DC5">
        <w:rPr>
          <w:b/>
        </w:rPr>
        <w:tab/>
      </w:r>
      <w:bookmarkStart w:id="4" w:name="_Hlk21005752"/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repérer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cas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ou</w:t>
      </w:r>
      <w:r w:rsidR="0027585A" w:rsidRPr="00785DC5">
        <w:rPr>
          <w:b/>
        </w:rPr>
        <w:t xml:space="preserve"> </w:t>
      </w:r>
      <w:r w:rsidRPr="00785DC5">
        <w:rPr>
          <w:b/>
        </w:rPr>
        <w:t>d’incitation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raciale,</w:t>
      </w:r>
      <w:r w:rsidR="0027585A" w:rsidRPr="00785DC5">
        <w:rPr>
          <w:b/>
        </w:rPr>
        <w:t xml:space="preserve"> </w:t>
      </w:r>
      <w:r w:rsidRPr="00785DC5">
        <w:rPr>
          <w:b/>
        </w:rPr>
        <w:t>d’enregistrer</w:t>
      </w:r>
      <w:r w:rsidR="0027585A" w:rsidRPr="00785DC5">
        <w:rPr>
          <w:b/>
        </w:rPr>
        <w:t xml:space="preserve"> </w:t>
      </w:r>
      <w:r w:rsidRPr="00785DC5">
        <w:rPr>
          <w:b/>
        </w:rPr>
        <w:t>valablement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plaintes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d’enquêter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leur</w:t>
      </w:r>
      <w:r w:rsidR="0027585A" w:rsidRPr="00785DC5">
        <w:rPr>
          <w:b/>
        </w:rPr>
        <w:t xml:space="preserve"> </w:t>
      </w:r>
      <w:r w:rsidRPr="00785DC5">
        <w:rPr>
          <w:b/>
        </w:rPr>
        <w:t>sujet,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mener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poursuites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sanctionner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responsables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manière</w:t>
      </w:r>
      <w:r w:rsidR="0027585A" w:rsidRPr="00785DC5">
        <w:rPr>
          <w:b/>
        </w:rPr>
        <w:t xml:space="preserve"> </w:t>
      </w:r>
      <w:r w:rsidRPr="00785DC5">
        <w:rPr>
          <w:b/>
        </w:rPr>
        <w:t>effective,</w:t>
      </w:r>
      <w:r w:rsidR="0027585A" w:rsidRPr="00785DC5">
        <w:rPr>
          <w:b/>
        </w:rPr>
        <w:t xml:space="preserve"> </w:t>
      </w:r>
      <w:bookmarkEnd w:id="4"/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membres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classe</w:t>
      </w:r>
      <w:r w:rsidR="0027585A" w:rsidRPr="00785DC5">
        <w:rPr>
          <w:b/>
        </w:rPr>
        <w:t xml:space="preserve"> </w:t>
      </w:r>
      <w:r w:rsidRPr="00785DC5">
        <w:rPr>
          <w:b/>
        </w:rPr>
        <w:t>politique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responsables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médias,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fournir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son</w:t>
      </w:r>
      <w:r w:rsidR="0027585A" w:rsidRPr="00785DC5">
        <w:rPr>
          <w:b/>
        </w:rPr>
        <w:t xml:space="preserve"> </w:t>
      </w:r>
      <w:r w:rsidRPr="00785DC5">
        <w:rPr>
          <w:b/>
        </w:rPr>
        <w:t>prochain</w:t>
      </w:r>
      <w:r w:rsidR="0027585A" w:rsidRPr="00785DC5">
        <w:rPr>
          <w:b/>
        </w:rPr>
        <w:t xml:space="preserve"> </w:t>
      </w:r>
      <w:r w:rsidRPr="00785DC5">
        <w:rPr>
          <w:b/>
        </w:rPr>
        <w:t>rapport</w:t>
      </w:r>
      <w:r w:rsidR="0027585A" w:rsidRPr="00785DC5">
        <w:rPr>
          <w:b/>
        </w:rPr>
        <w:t xml:space="preserve"> </w:t>
      </w:r>
      <w:r w:rsidRPr="00785DC5">
        <w:rPr>
          <w:b/>
        </w:rPr>
        <w:t>périodique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informations</w:t>
      </w:r>
      <w:r w:rsidR="0027585A" w:rsidRPr="00785DC5">
        <w:rPr>
          <w:b/>
        </w:rPr>
        <w:t xml:space="preserve"> </w:t>
      </w:r>
      <w:r w:rsidRPr="00785DC5">
        <w:rPr>
          <w:b/>
        </w:rPr>
        <w:t>détaillées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enquêtes,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poursuites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condamnations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raciale.</w:t>
      </w:r>
    </w:p>
    <w:p w:rsidR="00A07D62" w:rsidRPr="00785DC5" w:rsidRDefault="00A35C78" w:rsidP="00A35C78">
      <w:pPr>
        <w:pStyle w:val="H23G"/>
      </w:pPr>
      <w:r w:rsidRPr="00785DC5">
        <w:tab/>
      </w:r>
      <w:r w:rsidRPr="00785DC5">
        <w:tab/>
      </w:r>
      <w:r w:rsidR="00A07D62" w:rsidRPr="00785DC5">
        <w:t>Interdiction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organisations</w:t>
      </w:r>
      <w:r w:rsidR="0027585A" w:rsidRPr="00785DC5">
        <w:t xml:space="preserve"> </w:t>
      </w:r>
      <w:r w:rsidR="00A07D62" w:rsidRPr="00785DC5">
        <w:t>qui</w:t>
      </w:r>
      <w:r w:rsidR="0027585A" w:rsidRPr="00785DC5">
        <w:t xml:space="preserve"> </w:t>
      </w:r>
      <w:r w:rsidR="00A07D62" w:rsidRPr="00785DC5">
        <w:t>encouragent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discrimination</w:t>
      </w:r>
      <w:r w:rsidR="0027585A" w:rsidRPr="00785DC5">
        <w:t xml:space="preserve"> </w:t>
      </w:r>
      <w:r w:rsidR="00A07D62" w:rsidRPr="00785DC5">
        <w:t>raciale</w:t>
      </w:r>
    </w:p>
    <w:p w:rsidR="00A07D62" w:rsidRPr="00785DC5" w:rsidRDefault="00A07D62" w:rsidP="00A07D62">
      <w:pPr>
        <w:pStyle w:val="SingleTxtG"/>
      </w:pPr>
      <w:r w:rsidRPr="00785DC5">
        <w:t>18.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profondément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présence</w:t>
      </w:r>
      <w:r w:rsidR="0027585A" w:rsidRPr="00785DC5">
        <w:t xml:space="preserve"> </w:t>
      </w:r>
      <w:r w:rsidRPr="00785DC5">
        <w:t>d’organisations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encouragent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raciale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activités</w:t>
      </w:r>
      <w:r w:rsidR="0027585A" w:rsidRPr="00785DC5">
        <w:t xml:space="preserve"> </w:t>
      </w:r>
      <w:r w:rsidRPr="00785DC5">
        <w:t>qu’elles</w:t>
      </w:r>
      <w:r w:rsidR="0027585A" w:rsidRPr="00785DC5">
        <w:t xml:space="preserve"> </w:t>
      </w:r>
      <w:r w:rsidRPr="00785DC5">
        <w:t>mènent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cette</w:t>
      </w:r>
      <w:r w:rsidR="0027585A" w:rsidRPr="00785DC5">
        <w:t xml:space="preserve"> </w:t>
      </w:r>
      <w:r w:rsidRPr="00785DC5">
        <w:t>fin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également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d’informations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effets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loi</w:t>
      </w:r>
      <w:r w:rsidR="0027585A" w:rsidRPr="00785DC5">
        <w:t xml:space="preserve"> </w:t>
      </w:r>
      <w:r w:rsidRPr="00785DC5">
        <w:t>XL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2011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l’article</w:t>
      </w:r>
      <w:r w:rsidR="0027585A" w:rsidRPr="00785DC5">
        <w:t xml:space="preserve"> </w:t>
      </w:r>
      <w:r w:rsidRPr="00785DC5">
        <w:t>351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Code</w:t>
      </w:r>
      <w:r w:rsidR="0027585A" w:rsidRPr="00785DC5">
        <w:t xml:space="preserve"> </w:t>
      </w:r>
      <w:r w:rsidRPr="00785DC5">
        <w:t>pénal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création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activités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organisations,</w:t>
      </w:r>
      <w:r w:rsidR="0027585A" w:rsidRPr="00785DC5">
        <w:t xml:space="preserve"> </w:t>
      </w:r>
      <w:r w:rsidRPr="00785DC5">
        <w:t>ainsi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effets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mesures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a</w:t>
      </w:r>
      <w:r w:rsidR="0027585A" w:rsidRPr="00785DC5">
        <w:t xml:space="preserve"> </w:t>
      </w:r>
      <w:r w:rsidRPr="00785DC5">
        <w:t>adoptées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empêcher</w:t>
      </w:r>
      <w:r w:rsidR="0027585A" w:rsidRPr="00785DC5">
        <w:t xml:space="preserve"> </w:t>
      </w:r>
      <w:r w:rsidRPr="00785DC5">
        <w:t>d’encourager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raciale</w:t>
      </w:r>
      <w:r w:rsidR="0027585A" w:rsidRPr="00785DC5">
        <w:t xml:space="preserve"> </w:t>
      </w:r>
      <w:r w:rsidRPr="00785DC5">
        <w:t>(art.</w:t>
      </w:r>
      <w:r w:rsidR="00A35C78" w:rsidRPr="00785DC5">
        <w:t> </w:t>
      </w:r>
      <w:r w:rsidRPr="00785DC5">
        <w:t>4).</w:t>
      </w:r>
    </w:p>
    <w:p w:rsidR="00A07D62" w:rsidRPr="00785DC5" w:rsidRDefault="00A07D62" w:rsidP="00A07D62">
      <w:pPr>
        <w:pStyle w:val="SingleTxtG"/>
      </w:pPr>
      <w:r w:rsidRPr="00785DC5">
        <w:t>19.</w:t>
      </w:r>
      <w:r w:rsidRPr="00785DC5">
        <w:tab/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déclarer</w:t>
      </w:r>
      <w:r w:rsidR="0027585A" w:rsidRPr="00785DC5">
        <w:rPr>
          <w:b/>
        </w:rPr>
        <w:t xml:space="preserve"> </w:t>
      </w:r>
      <w:r w:rsidRPr="00785DC5">
        <w:rPr>
          <w:b/>
        </w:rPr>
        <w:t>illégales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d’interdire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organisations</w:t>
      </w:r>
      <w:r w:rsidR="0027585A" w:rsidRPr="00785DC5">
        <w:rPr>
          <w:b/>
        </w:rPr>
        <w:t xml:space="preserve"> </w:t>
      </w:r>
      <w:r w:rsidRPr="00785DC5">
        <w:rPr>
          <w:b/>
        </w:rPr>
        <w:t>qui</w:t>
      </w:r>
      <w:r w:rsidR="0027585A" w:rsidRPr="00785DC5">
        <w:rPr>
          <w:b/>
        </w:rPr>
        <w:t xml:space="preserve"> </w:t>
      </w:r>
      <w:r w:rsidRPr="00785DC5">
        <w:rPr>
          <w:b/>
        </w:rPr>
        <w:t>incitent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qui</w:t>
      </w:r>
      <w:r w:rsidR="0027585A" w:rsidRPr="00785DC5">
        <w:rPr>
          <w:b/>
        </w:rPr>
        <w:t xml:space="preserve"> </w:t>
      </w:r>
      <w:r w:rsidRPr="00785DC5">
        <w:rPr>
          <w:b/>
        </w:rPr>
        <w:t>l’encouragent,</w:t>
      </w:r>
      <w:r w:rsidR="0027585A" w:rsidRPr="00785DC5">
        <w:rPr>
          <w:b/>
        </w:rPr>
        <w:t xml:space="preserve"> </w:t>
      </w:r>
      <w:r w:rsidRPr="00785DC5">
        <w:rPr>
          <w:b/>
        </w:rPr>
        <w:t>conformément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obligations</w:t>
      </w:r>
      <w:r w:rsidR="0027585A" w:rsidRPr="00785DC5">
        <w:rPr>
          <w:b/>
        </w:rPr>
        <w:t xml:space="preserve"> </w:t>
      </w:r>
      <w:r w:rsidRPr="00785DC5">
        <w:rPr>
          <w:b/>
        </w:rPr>
        <w:t>qui</w:t>
      </w:r>
      <w:r w:rsidR="0027585A" w:rsidRPr="00785DC5">
        <w:rPr>
          <w:b/>
        </w:rPr>
        <w:t xml:space="preserve"> </w:t>
      </w:r>
      <w:r w:rsidRPr="00785DC5">
        <w:rPr>
          <w:b/>
        </w:rPr>
        <w:t>lui</w:t>
      </w:r>
      <w:r w:rsidR="0027585A" w:rsidRPr="00785DC5">
        <w:rPr>
          <w:b/>
        </w:rPr>
        <w:t xml:space="preserve"> </w:t>
      </w:r>
      <w:r w:rsidRPr="000204A0">
        <w:rPr>
          <w:b/>
          <w:bCs/>
        </w:rPr>
        <w:t>incombent</w:t>
      </w:r>
      <w:r w:rsidR="0027585A" w:rsidRPr="00785DC5">
        <w:rPr>
          <w:b/>
        </w:rPr>
        <w:t xml:space="preserve"> </w:t>
      </w:r>
      <w:r w:rsidRPr="00785DC5">
        <w:rPr>
          <w:b/>
        </w:rPr>
        <w:t>au</w:t>
      </w:r>
      <w:r w:rsidR="0027585A" w:rsidRPr="00785DC5">
        <w:rPr>
          <w:b/>
        </w:rPr>
        <w:t xml:space="preserve"> </w:t>
      </w:r>
      <w:r w:rsidRPr="00785DC5">
        <w:rPr>
          <w:b/>
        </w:rPr>
        <w:t>titre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l’alinéa</w:t>
      </w:r>
      <w:r w:rsidR="0027585A" w:rsidRPr="00785DC5">
        <w:rPr>
          <w:b/>
        </w:rPr>
        <w:t xml:space="preserve"> </w:t>
      </w:r>
      <w:r w:rsidRPr="00785DC5">
        <w:rPr>
          <w:b/>
        </w:rPr>
        <w:t>b)</w:t>
      </w:r>
      <w:r w:rsidR="0027585A" w:rsidRPr="00785DC5">
        <w:rPr>
          <w:b/>
          <w:i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l’article</w:t>
      </w:r>
      <w:r w:rsidR="0027585A" w:rsidRPr="00785DC5">
        <w:rPr>
          <w:b/>
        </w:rPr>
        <w:t xml:space="preserve"> </w:t>
      </w:r>
      <w:r w:rsidRPr="00785DC5">
        <w:rPr>
          <w:b/>
        </w:rPr>
        <w:t>4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Convention.</w:t>
      </w:r>
      <w:r w:rsidR="0027585A" w:rsidRPr="00785DC5">
        <w:rPr>
          <w:b/>
        </w:rPr>
        <w:t xml:space="preserve"> </w:t>
      </w:r>
      <w:r w:rsidRPr="00785DC5">
        <w:rPr>
          <w:b/>
        </w:rPr>
        <w:t>Il</w:t>
      </w:r>
      <w:r w:rsidR="0027585A" w:rsidRPr="00785DC5">
        <w:rPr>
          <w:b/>
        </w:rPr>
        <w:t xml:space="preserve"> </w:t>
      </w:r>
      <w:r w:rsidRPr="00785DC5">
        <w:rPr>
          <w:b/>
        </w:rPr>
        <w:t>lui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également</w:t>
      </w:r>
      <w:r w:rsidR="0027585A" w:rsidRPr="00785DC5">
        <w:rPr>
          <w:b/>
        </w:rPr>
        <w:t xml:space="preserve"> </w:t>
      </w:r>
      <w:r w:rsidRPr="00785DC5">
        <w:rPr>
          <w:b/>
        </w:rPr>
        <w:t>d’assurer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pleine</w:t>
      </w:r>
      <w:r w:rsidR="0027585A" w:rsidRPr="00785DC5">
        <w:rPr>
          <w:b/>
        </w:rPr>
        <w:t xml:space="preserve"> </w:t>
      </w:r>
      <w:r w:rsidRPr="00785DC5">
        <w:rPr>
          <w:b/>
        </w:rPr>
        <w:t>application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sa</w:t>
      </w:r>
      <w:r w:rsidR="0027585A" w:rsidRPr="00785DC5">
        <w:rPr>
          <w:b/>
        </w:rPr>
        <w:t xml:space="preserve"> </w:t>
      </w:r>
      <w:r w:rsidRPr="00785DC5">
        <w:rPr>
          <w:b/>
        </w:rPr>
        <w:t>législation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d’interdire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l’activité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groupes</w:t>
      </w:r>
      <w:r w:rsidR="0027585A" w:rsidRPr="00785DC5">
        <w:rPr>
          <w:b/>
        </w:rPr>
        <w:t xml:space="preserve"> </w:t>
      </w:r>
      <w:r w:rsidRPr="00785DC5">
        <w:rPr>
          <w:b/>
        </w:rPr>
        <w:t>qui</w:t>
      </w:r>
      <w:r w:rsidR="0027585A" w:rsidRPr="00785DC5">
        <w:rPr>
          <w:b/>
        </w:rPr>
        <w:t xml:space="preserve"> </w:t>
      </w:r>
      <w:r w:rsidRPr="00785DC5">
        <w:rPr>
          <w:b/>
        </w:rPr>
        <w:t>incitent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qui</w:t>
      </w:r>
      <w:r w:rsidR="0027585A" w:rsidRPr="00785DC5">
        <w:rPr>
          <w:b/>
        </w:rPr>
        <w:t xml:space="preserve"> </w:t>
      </w:r>
      <w:r w:rsidRPr="00785DC5">
        <w:rPr>
          <w:b/>
        </w:rPr>
        <w:t>l’encouragent,</w:t>
      </w:r>
      <w:r w:rsidR="0027585A" w:rsidRPr="00785DC5">
        <w:rPr>
          <w:b/>
        </w:rPr>
        <w:t xml:space="preserve"> </w:t>
      </w:r>
      <w:r w:rsidRPr="00785DC5">
        <w:rPr>
          <w:b/>
        </w:rPr>
        <w:t>comme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prévoit</w:t>
      </w:r>
      <w:r w:rsidR="0027585A" w:rsidRPr="00785DC5">
        <w:rPr>
          <w:b/>
        </w:rPr>
        <w:t xml:space="preserve"> </w:t>
      </w:r>
      <w:r w:rsidRPr="00785DC5">
        <w:rPr>
          <w:b/>
        </w:rPr>
        <w:t>l’article</w:t>
      </w:r>
      <w:r w:rsidR="0027585A" w:rsidRPr="00785DC5">
        <w:rPr>
          <w:b/>
        </w:rPr>
        <w:t xml:space="preserve"> </w:t>
      </w:r>
      <w:r w:rsidRPr="00785DC5">
        <w:rPr>
          <w:b/>
        </w:rPr>
        <w:t>4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Convention.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Situation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Roms</w:t>
      </w:r>
    </w:p>
    <w:p w:rsidR="00A07D62" w:rsidRPr="00785DC5" w:rsidRDefault="00A07D62" w:rsidP="00A07D62">
      <w:pPr>
        <w:pStyle w:val="SingleTxtG"/>
      </w:pPr>
      <w:r w:rsidRPr="00785DC5">
        <w:t>20.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prend</w:t>
      </w:r>
      <w:r w:rsidR="0027585A" w:rsidRPr="00785DC5">
        <w:t xml:space="preserve"> </w:t>
      </w:r>
      <w:r w:rsidRPr="00785DC5">
        <w:t>note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ont</w:t>
      </w:r>
      <w:r w:rsidR="0027585A" w:rsidRPr="00785DC5">
        <w:t xml:space="preserve"> </w:t>
      </w:r>
      <w:r w:rsidRPr="00785DC5">
        <w:t>été</w:t>
      </w:r>
      <w:r w:rsidR="0027585A" w:rsidRPr="00785DC5">
        <w:t xml:space="preserve"> </w:t>
      </w:r>
      <w:r w:rsidRPr="00785DC5">
        <w:t>fournies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mesures</w:t>
      </w:r>
      <w:r w:rsidR="0027585A" w:rsidRPr="00785DC5">
        <w:t xml:space="preserve"> </w:t>
      </w:r>
      <w:r w:rsidRPr="00785DC5">
        <w:t>adoptées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améliorer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situation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Roms,</w:t>
      </w:r>
      <w:r w:rsidR="0027585A" w:rsidRPr="00785DC5">
        <w:t xml:space="preserve"> </w:t>
      </w:r>
      <w:r w:rsidRPr="00785DC5">
        <w:t>notamment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domaines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santé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l’éducation</w:t>
      </w:r>
      <w:r w:rsidR="0027585A" w:rsidRPr="00785DC5">
        <w:t xml:space="preserve"> </w:t>
      </w:r>
      <w:r w:rsidRPr="00785DC5">
        <w:t>ainsi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cadre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Stratégie</w:t>
      </w:r>
      <w:r w:rsidR="0027585A" w:rsidRPr="00785DC5">
        <w:t xml:space="preserve"> </w:t>
      </w:r>
      <w:r w:rsidRPr="00785DC5">
        <w:t>nationale</w:t>
      </w:r>
      <w:r w:rsidR="0027585A" w:rsidRPr="00785DC5">
        <w:t xml:space="preserve"> </w:t>
      </w:r>
      <w:r w:rsidRPr="00785DC5">
        <w:t>d’inclusion</w:t>
      </w:r>
      <w:r w:rsidR="0027585A" w:rsidRPr="00785DC5">
        <w:t xml:space="preserve"> </w:t>
      </w:r>
      <w:r w:rsidRPr="00785DC5">
        <w:t>sociale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2011,</w:t>
      </w:r>
      <w:r w:rsidR="0027585A" w:rsidRPr="00785DC5">
        <w:t xml:space="preserve"> </w:t>
      </w:r>
      <w:r w:rsidRPr="00785DC5">
        <w:t>mais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demeure</w:t>
      </w:r>
      <w:r w:rsidR="0027585A" w:rsidRPr="00785DC5">
        <w:t xml:space="preserve"> </w:t>
      </w:r>
      <w:r w:rsidRPr="00785DC5">
        <w:t>vivement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discrimination,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ségrégation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l’extrême</w:t>
      </w:r>
      <w:r w:rsidR="0027585A" w:rsidRPr="00785DC5">
        <w:t xml:space="preserve"> </w:t>
      </w:r>
      <w:r w:rsidRPr="00785DC5">
        <w:t>pauvreté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continuent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subir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Roms.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particulièrement</w:t>
      </w:r>
      <w:r w:rsidR="0027585A" w:rsidRPr="00785DC5">
        <w:t xml:space="preserve"> </w:t>
      </w:r>
      <w:r w:rsidRPr="00785DC5">
        <w:t>préoccupé</w:t>
      </w:r>
      <w:r w:rsidR="0027585A" w:rsidRPr="00785DC5">
        <w:t> :</w:t>
      </w:r>
    </w:p>
    <w:p w:rsidR="00A07D62" w:rsidRPr="00785DC5" w:rsidRDefault="00A07D62" w:rsidP="00A07D62">
      <w:pPr>
        <w:pStyle w:val="SingleTxtG"/>
        <w:ind w:firstLine="567"/>
      </w:pPr>
      <w:r w:rsidRPr="00785DC5">
        <w:t>a)</w:t>
      </w:r>
      <w:r w:rsidRPr="00785DC5">
        <w:tab/>
        <w:t>Par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statistiques</w:t>
      </w:r>
      <w:r w:rsidR="0027585A" w:rsidRPr="00785DC5">
        <w:t xml:space="preserve"> </w:t>
      </w:r>
      <w:r w:rsidRPr="00785DC5">
        <w:t>systématiques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fiables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population</w:t>
      </w:r>
      <w:r w:rsidR="0027585A" w:rsidRPr="00785DC5">
        <w:t xml:space="preserve"> </w:t>
      </w:r>
      <w:r w:rsidRPr="00785DC5">
        <w:t>rom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nombre</w:t>
      </w:r>
      <w:r w:rsidR="0027585A" w:rsidRPr="00785DC5">
        <w:t xml:space="preserve"> </w:t>
      </w:r>
      <w:r w:rsidRPr="00785DC5">
        <w:t>d’élèves</w:t>
      </w:r>
      <w:r w:rsidR="0027585A" w:rsidRPr="00785DC5">
        <w:t xml:space="preserve"> </w:t>
      </w:r>
      <w:r w:rsidRPr="00785DC5">
        <w:t>roms,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risque</w:t>
      </w:r>
      <w:r w:rsidR="0027585A" w:rsidRPr="00785DC5">
        <w:t xml:space="preserve"> </w:t>
      </w:r>
      <w:r w:rsidRPr="00785DC5">
        <w:t>d’entraver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planification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mesures</w:t>
      </w:r>
      <w:r w:rsidR="0027585A" w:rsidRPr="00785DC5">
        <w:t xml:space="preserve"> </w:t>
      </w:r>
      <w:r w:rsidRPr="00785DC5">
        <w:t>efficaces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lutte</w:t>
      </w:r>
      <w:r w:rsidR="0027585A" w:rsidRPr="00785DC5">
        <w:t xml:space="preserve"> </w:t>
      </w:r>
      <w:r w:rsidRPr="00785DC5">
        <w:t>contre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b)</w:t>
      </w:r>
      <w:r w:rsidRPr="00785DC5">
        <w:tab/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persistance</w:t>
      </w:r>
      <w:r w:rsidR="0027585A" w:rsidRPr="00785DC5">
        <w:t xml:space="preserve"> </w:t>
      </w:r>
      <w:r w:rsidRPr="00785DC5">
        <w:t>d’une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structurelle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l’égard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Roms,</w:t>
      </w:r>
      <w:r w:rsidR="0027585A" w:rsidRPr="00785DC5">
        <w:t xml:space="preserve"> </w:t>
      </w:r>
      <w:r w:rsidRPr="00785DC5">
        <w:t>malgré</w:t>
      </w:r>
      <w:r w:rsidR="0027585A" w:rsidRPr="00785DC5">
        <w:t xml:space="preserve"> </w:t>
      </w:r>
      <w:r w:rsidRPr="00785DC5">
        <w:t>l’existence</w:t>
      </w:r>
      <w:r w:rsidR="0027585A" w:rsidRPr="00785DC5">
        <w:t xml:space="preserve"> </w:t>
      </w:r>
      <w:r w:rsidRPr="00785DC5">
        <w:t>d’un</w:t>
      </w:r>
      <w:r w:rsidR="0027585A" w:rsidRPr="00785DC5">
        <w:t xml:space="preserve"> </w:t>
      </w:r>
      <w:r w:rsidRPr="00785DC5">
        <w:t>certain</w:t>
      </w:r>
      <w:r w:rsidR="0027585A" w:rsidRPr="00785DC5">
        <w:t xml:space="preserve"> </w:t>
      </w:r>
      <w:r w:rsidRPr="00785DC5">
        <w:t>nombre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politiques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mesures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visent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y</w:t>
      </w:r>
      <w:r w:rsidR="0027585A" w:rsidRPr="00785DC5">
        <w:t xml:space="preserve"> </w:t>
      </w:r>
      <w:r w:rsidRPr="00785DC5">
        <w:t>remédier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c)</w:t>
      </w:r>
      <w:r w:rsidRPr="00785DC5">
        <w:tab/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persistance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ségrégation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l’égard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enfants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système</w:t>
      </w:r>
      <w:r w:rsidR="0027585A" w:rsidRPr="00785DC5">
        <w:t xml:space="preserve"> </w:t>
      </w:r>
      <w:r w:rsidRPr="00785DC5">
        <w:t>éducatif,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aurait</w:t>
      </w:r>
      <w:r w:rsidR="0027585A" w:rsidRPr="00785DC5">
        <w:t xml:space="preserve"> </w:t>
      </w:r>
      <w:r w:rsidRPr="00785DC5">
        <w:t>augmenté,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ses</w:t>
      </w:r>
      <w:r w:rsidR="0027585A" w:rsidRPr="00785DC5">
        <w:t xml:space="preserve"> </w:t>
      </w:r>
      <w:r w:rsidRPr="00785DC5">
        <w:t>répercussions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l’avenir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Roms,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nombreux</w:t>
      </w:r>
      <w:r w:rsidR="0027585A" w:rsidRPr="00785DC5">
        <w:t xml:space="preserve"> </w:t>
      </w:r>
      <w:r w:rsidRPr="00785DC5">
        <w:t>enfants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entrent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marché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travail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16</w:t>
      </w:r>
      <w:r w:rsidR="0027585A" w:rsidRPr="00785DC5">
        <w:t xml:space="preserve"> </w:t>
      </w:r>
      <w:r w:rsidRPr="00785DC5">
        <w:t>ans</w:t>
      </w:r>
      <w:r w:rsidR="0027585A" w:rsidRPr="00785DC5">
        <w:t xml:space="preserve"> </w:t>
      </w:r>
      <w:r w:rsidRPr="00785DC5">
        <w:t>au</w:t>
      </w:r>
      <w:r w:rsidR="0027585A" w:rsidRPr="00785DC5">
        <w:t xml:space="preserve"> </w:t>
      </w:r>
      <w:r w:rsidRPr="00785DC5">
        <w:t>lieu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poursuivre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études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d)</w:t>
      </w:r>
      <w:r w:rsidRPr="00785DC5">
        <w:tab/>
        <w:t>Par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fait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connaissent</w:t>
      </w:r>
      <w:r w:rsidR="0027585A" w:rsidRPr="00785DC5">
        <w:t xml:space="preserve"> </w:t>
      </w:r>
      <w:r w:rsidRPr="00785DC5">
        <w:t>une</w:t>
      </w:r>
      <w:r w:rsidR="0027585A" w:rsidRPr="00785DC5">
        <w:t xml:space="preserve"> </w:t>
      </w:r>
      <w:r w:rsidRPr="00785DC5">
        <w:t>extrême</w:t>
      </w:r>
      <w:r w:rsidR="0027585A" w:rsidRPr="00785DC5">
        <w:t xml:space="preserve"> </w:t>
      </w:r>
      <w:r w:rsidRPr="00785DC5">
        <w:t>pauvreté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vivent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quartiers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séparés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autres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dépourvus</w:t>
      </w:r>
      <w:r w:rsidR="0027585A" w:rsidRPr="00785DC5">
        <w:t xml:space="preserve"> </w:t>
      </w:r>
      <w:r w:rsidRPr="00785DC5">
        <w:t>d’infrastructures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services</w:t>
      </w:r>
      <w:r w:rsidR="0027585A" w:rsidRPr="00785DC5">
        <w:t xml:space="preserve"> </w:t>
      </w:r>
      <w:r w:rsidRPr="00785DC5">
        <w:t>appropriés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l’un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quartiers</w:t>
      </w:r>
      <w:r w:rsidR="0027585A" w:rsidRPr="00785DC5">
        <w:t xml:space="preserve"> </w:t>
      </w:r>
      <w:r w:rsidRPr="00785DC5">
        <w:t>aurait</w:t>
      </w:r>
      <w:r w:rsidR="0027585A" w:rsidRPr="00785DC5">
        <w:t xml:space="preserve"> </w:t>
      </w:r>
      <w:r w:rsidRPr="00785DC5">
        <w:t>été</w:t>
      </w:r>
      <w:r w:rsidR="0027585A" w:rsidRPr="00785DC5">
        <w:t xml:space="preserve"> </w:t>
      </w:r>
      <w:r w:rsidRPr="00785DC5">
        <w:t>illégalement</w:t>
      </w:r>
      <w:r w:rsidR="0027585A" w:rsidRPr="00785DC5">
        <w:t xml:space="preserve"> </w:t>
      </w:r>
      <w:r w:rsidRPr="00785DC5">
        <w:t>détruit,</w:t>
      </w:r>
      <w:r w:rsidR="0027585A" w:rsidRPr="00785DC5">
        <w:t xml:space="preserve"> </w:t>
      </w:r>
      <w:r w:rsidRPr="00785DC5">
        <w:t>sans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ses</w:t>
      </w:r>
      <w:r w:rsidR="0027585A" w:rsidRPr="00785DC5">
        <w:t xml:space="preserve"> </w:t>
      </w:r>
      <w:r w:rsidRPr="00785DC5">
        <w:t>habitants</w:t>
      </w:r>
      <w:r w:rsidR="0027585A" w:rsidRPr="00785DC5">
        <w:t xml:space="preserve"> </w:t>
      </w:r>
      <w:r w:rsidRPr="00785DC5">
        <w:t>aient</w:t>
      </w:r>
      <w:r w:rsidR="0027585A" w:rsidRPr="00785DC5">
        <w:t xml:space="preserve"> </w:t>
      </w:r>
      <w:r w:rsidRPr="00785DC5">
        <w:t>été</w:t>
      </w:r>
      <w:r w:rsidR="0027585A" w:rsidRPr="00785DC5">
        <w:t xml:space="preserve"> </w:t>
      </w:r>
      <w:r w:rsidRPr="00785DC5">
        <w:t>convenablement</w:t>
      </w:r>
      <w:r w:rsidR="0027585A" w:rsidRPr="00785DC5">
        <w:t xml:space="preserve"> </w:t>
      </w:r>
      <w:r w:rsidRPr="00785DC5">
        <w:t>relogés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e)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femmes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victimes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harcèlement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l’accès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soins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santé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f)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concernant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taux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chômage</w:t>
      </w:r>
      <w:r w:rsidR="0027585A" w:rsidRPr="00785DC5">
        <w:t xml:space="preserve"> </w:t>
      </w:r>
      <w:r w:rsidRPr="00785DC5">
        <w:t>élevés</w:t>
      </w:r>
      <w:r w:rsidR="0027585A" w:rsidRPr="00785DC5">
        <w:t xml:space="preserve"> </w:t>
      </w:r>
      <w:r w:rsidRPr="00785DC5">
        <w:t>parmi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l’immense</w:t>
      </w:r>
      <w:r w:rsidR="0027585A" w:rsidRPr="00785DC5">
        <w:t xml:space="preserve"> </w:t>
      </w:r>
      <w:r w:rsidRPr="00785DC5">
        <w:t>écart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revenu</w:t>
      </w:r>
      <w:r w:rsidR="0027585A" w:rsidRPr="00785DC5">
        <w:t xml:space="preserve"> </w:t>
      </w:r>
      <w:r w:rsidRPr="00785DC5">
        <w:t>entre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reste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société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g)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indiquant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Roms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victimes</w:t>
      </w:r>
      <w:r w:rsidR="0027585A" w:rsidRPr="00785DC5">
        <w:t xml:space="preserve"> </w:t>
      </w:r>
      <w:r w:rsidRPr="00785DC5">
        <w:t>d’un</w:t>
      </w:r>
      <w:r w:rsidR="0027585A" w:rsidRPr="00785DC5">
        <w:t xml:space="preserve"> </w:t>
      </w:r>
      <w:r w:rsidRPr="00785DC5">
        <w:t>grand</w:t>
      </w:r>
      <w:r w:rsidR="0027585A" w:rsidRPr="00785DC5">
        <w:t xml:space="preserve"> </w:t>
      </w:r>
      <w:r w:rsidRPr="00785DC5">
        <w:t>nombre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crimes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haine,</w:t>
      </w:r>
      <w:r w:rsidR="0027585A" w:rsidRPr="00785DC5">
        <w:t xml:space="preserve"> </w:t>
      </w:r>
      <w:r w:rsidRPr="00785DC5">
        <w:t>y</w:t>
      </w:r>
      <w:r w:rsidR="0027585A" w:rsidRPr="00785DC5">
        <w:t xml:space="preserve"> </w:t>
      </w:r>
      <w:r w:rsidRPr="00785DC5">
        <w:t>compris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crimes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violents,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agents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forces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l’ordre</w:t>
      </w:r>
      <w:r w:rsidR="0027585A" w:rsidRPr="00785DC5">
        <w:t xml:space="preserve"> </w:t>
      </w:r>
      <w:r w:rsidRPr="00785DC5">
        <w:t>n’apportent</w:t>
      </w:r>
      <w:r w:rsidR="0027585A" w:rsidRPr="00785DC5">
        <w:t xml:space="preserve"> </w:t>
      </w:r>
      <w:r w:rsidRPr="00785DC5">
        <w:t>pas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communautés</w:t>
      </w:r>
      <w:r w:rsidR="0027585A" w:rsidRPr="00785DC5">
        <w:t xml:space="preserve"> </w:t>
      </w:r>
      <w:r w:rsidRPr="00785DC5">
        <w:t>une</w:t>
      </w:r>
      <w:r w:rsidR="0027585A" w:rsidRPr="00785DC5">
        <w:t xml:space="preserve"> </w:t>
      </w:r>
      <w:r w:rsidRPr="00785DC5">
        <w:t>protection</w:t>
      </w:r>
      <w:r w:rsidR="0027585A" w:rsidRPr="00785DC5">
        <w:t xml:space="preserve"> </w:t>
      </w:r>
      <w:r w:rsidRPr="00785DC5">
        <w:t>suffisante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h)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forces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l’ordre</w:t>
      </w:r>
      <w:r w:rsidR="0027585A" w:rsidRPr="00785DC5">
        <w:t xml:space="preserve"> </w:t>
      </w:r>
      <w:r w:rsidRPr="00785DC5">
        <w:t>ont</w:t>
      </w:r>
      <w:r w:rsidR="0027585A" w:rsidRPr="00785DC5">
        <w:t xml:space="preserve"> </w:t>
      </w:r>
      <w:r w:rsidRPr="00785DC5">
        <w:t>recours</w:t>
      </w:r>
      <w:r w:rsidR="0027585A" w:rsidRPr="00785DC5">
        <w:t xml:space="preserve"> </w:t>
      </w:r>
      <w:r w:rsidRPr="00785DC5">
        <w:t>au</w:t>
      </w:r>
      <w:r w:rsidR="0027585A" w:rsidRPr="00785DC5">
        <w:t xml:space="preserve"> </w:t>
      </w:r>
      <w:r w:rsidRPr="00785DC5">
        <w:t>profilage</w:t>
      </w:r>
      <w:r w:rsidR="0027585A" w:rsidRPr="00785DC5">
        <w:t xml:space="preserve"> </w:t>
      </w:r>
      <w:r w:rsidRPr="00785DC5">
        <w:t>ethnique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Roms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i)</w:t>
      </w:r>
      <w:r w:rsidRPr="00785DC5">
        <w:tab/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persistance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discours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l’égard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Roms,</w:t>
      </w:r>
      <w:r w:rsidR="0027585A" w:rsidRPr="00785DC5">
        <w:t xml:space="preserve"> </w:t>
      </w:r>
      <w:r w:rsidRPr="00785DC5">
        <w:t>y</w:t>
      </w:r>
      <w:r w:rsidR="0027585A" w:rsidRPr="00785DC5">
        <w:t xml:space="preserve"> </w:t>
      </w:r>
      <w:r w:rsidRPr="00785DC5">
        <w:t>compris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part</w:t>
      </w:r>
      <w:r w:rsidR="0027585A" w:rsidRPr="00785DC5">
        <w:t xml:space="preserve"> </w:t>
      </w:r>
      <w:r w:rsidRPr="00785DC5">
        <w:t>d’agents</w:t>
      </w:r>
      <w:r w:rsidR="0027585A" w:rsidRPr="00785DC5">
        <w:t xml:space="preserve"> </w:t>
      </w:r>
      <w:r w:rsidRPr="00785DC5">
        <w:t>publics.</w:t>
      </w:r>
    </w:p>
    <w:p w:rsidR="00A07D62" w:rsidRPr="00785DC5" w:rsidRDefault="00A07D62" w:rsidP="00A07D62">
      <w:pPr>
        <w:pStyle w:val="SingleTxtG"/>
        <w:rPr>
          <w:b/>
        </w:rPr>
      </w:pPr>
      <w:r w:rsidRPr="00785DC5">
        <w:t>21.</w:t>
      </w:r>
      <w:r w:rsidRPr="00785DC5">
        <w:tab/>
      </w:r>
      <w:r w:rsidRPr="00785DC5">
        <w:rPr>
          <w:b/>
        </w:rPr>
        <w:t>Rappelant</w:t>
      </w:r>
      <w:r w:rsidR="0027585A" w:rsidRPr="00785DC5">
        <w:rPr>
          <w:b/>
        </w:rPr>
        <w:t xml:space="preserve"> </w:t>
      </w:r>
      <w:r w:rsidRPr="00785DC5">
        <w:rPr>
          <w:b/>
        </w:rPr>
        <w:t>sa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recommandation</w:t>
      </w:r>
      <w:r w:rsidR="0027585A" w:rsidRPr="00785DC5">
        <w:rPr>
          <w:b/>
        </w:rPr>
        <w:t xml:space="preserve"> </w:t>
      </w:r>
      <w:r w:rsidRPr="00785DC5">
        <w:rPr>
          <w:b/>
        </w:rPr>
        <w:t>générale</w:t>
      </w:r>
      <w:r w:rsidR="0027585A" w:rsidRPr="00785DC5">
        <w:rPr>
          <w:b/>
        </w:rPr>
        <w:t xml:space="preserve"> </w:t>
      </w:r>
      <w:r w:rsidRPr="00785DC5">
        <w:rPr>
          <w:b/>
        </w:rPr>
        <w:t>n</w:t>
      </w:r>
      <w:r w:rsidRPr="00785DC5">
        <w:rPr>
          <w:b/>
          <w:vertAlign w:val="superscript"/>
        </w:rPr>
        <w:t>o</w:t>
      </w:r>
      <w:r w:rsidR="00A35C78" w:rsidRPr="00785DC5">
        <w:rPr>
          <w:b/>
        </w:rPr>
        <w:t> </w:t>
      </w:r>
      <w:r w:rsidRPr="00785DC5">
        <w:rPr>
          <w:b/>
        </w:rPr>
        <w:t>27</w:t>
      </w:r>
      <w:r w:rsidR="0027585A" w:rsidRPr="00785DC5">
        <w:rPr>
          <w:b/>
        </w:rPr>
        <w:t xml:space="preserve"> </w:t>
      </w:r>
      <w:r w:rsidRPr="00785DC5">
        <w:rPr>
          <w:b/>
        </w:rPr>
        <w:t>(2000)</w:t>
      </w:r>
      <w:r w:rsidR="0027585A" w:rsidRPr="00785DC5">
        <w:rPr>
          <w:b/>
        </w:rPr>
        <w:t xml:space="preserve"> </w:t>
      </w:r>
      <w:r w:rsidRPr="00785DC5">
        <w:rPr>
          <w:b/>
        </w:rPr>
        <w:t>concernant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discrimination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t xml:space="preserve"> </w:t>
      </w:r>
      <w:r w:rsidRPr="00785DC5">
        <w:rPr>
          <w:b/>
        </w:rPr>
        <w:t>l’égard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0204A0">
        <w:rPr>
          <w:b/>
          <w:bCs/>
        </w:rPr>
        <w:t>Roms</w:t>
      </w:r>
      <w:r w:rsidRPr="00785DC5">
        <w:rPr>
          <w:b/>
        </w:rPr>
        <w:t>,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demande</w:t>
      </w:r>
      <w:r w:rsidR="0027585A" w:rsidRPr="00785DC5">
        <w:rPr>
          <w:b/>
        </w:rPr>
        <w:t xml:space="preserve"> </w:t>
      </w:r>
      <w:r w:rsidRPr="00785DC5">
        <w:rPr>
          <w:b/>
        </w:rPr>
        <w:t>instamment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 xml:space="preserve"> </w:t>
      </w:r>
      <w:r w:rsidRPr="00785DC5">
        <w:rPr>
          <w:b/>
        </w:rPr>
        <w:t>d’améliorer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situation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Roms,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en</w:t>
      </w:r>
      <w:r w:rsidR="0027585A" w:rsidRPr="00785DC5">
        <w:rPr>
          <w:b/>
        </w:rPr>
        <w:t xml:space="preserve"> </w:t>
      </w:r>
      <w:r w:rsidRPr="00785DC5">
        <w:rPr>
          <w:b/>
        </w:rPr>
        <w:t>veillant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une</w:t>
      </w:r>
      <w:r w:rsidR="0027585A" w:rsidRPr="00785DC5">
        <w:rPr>
          <w:b/>
        </w:rPr>
        <w:t xml:space="preserve"> </w:t>
      </w:r>
      <w:r w:rsidRPr="00785DC5">
        <w:rPr>
          <w:b/>
        </w:rPr>
        <w:t>coordination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tous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niveaux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pouvoirs</w:t>
      </w:r>
      <w:r w:rsidR="0027585A" w:rsidRPr="00785DC5">
        <w:rPr>
          <w:b/>
        </w:rPr>
        <w:t xml:space="preserve"> </w:t>
      </w:r>
      <w:r w:rsidRPr="00785DC5">
        <w:rPr>
          <w:b/>
        </w:rPr>
        <w:t>publics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en</w:t>
      </w:r>
      <w:r w:rsidR="0027585A" w:rsidRPr="00785DC5">
        <w:rPr>
          <w:b/>
        </w:rPr>
        <w:t xml:space="preserve"> </w:t>
      </w:r>
      <w:r w:rsidRPr="00785DC5">
        <w:rPr>
          <w:b/>
        </w:rPr>
        <w:t>associant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communautés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conception,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l’application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l’évaluation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plans</w:t>
      </w:r>
      <w:r w:rsidR="0027585A" w:rsidRPr="00785DC5">
        <w:rPr>
          <w:b/>
        </w:rPr>
        <w:t xml:space="preserve"> </w:t>
      </w:r>
      <w:r w:rsidRPr="00785DC5">
        <w:rPr>
          <w:b/>
        </w:rPr>
        <w:t>d’action</w:t>
      </w:r>
      <w:r w:rsidR="0027585A" w:rsidRPr="00785DC5">
        <w:rPr>
          <w:b/>
        </w:rPr>
        <w:t xml:space="preserve"> </w:t>
      </w:r>
      <w:r w:rsidRPr="00785DC5">
        <w:rPr>
          <w:b/>
        </w:rPr>
        <w:t>en</w:t>
      </w:r>
      <w:r w:rsidR="0027585A" w:rsidRPr="00785DC5">
        <w:rPr>
          <w:b/>
        </w:rPr>
        <w:t xml:space="preserve"> </w:t>
      </w:r>
      <w:r w:rsidRPr="00785DC5">
        <w:rPr>
          <w:b/>
        </w:rPr>
        <w:t>faveur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leur</w:t>
      </w:r>
      <w:r w:rsidR="0027585A" w:rsidRPr="00785DC5">
        <w:rPr>
          <w:b/>
        </w:rPr>
        <w:t xml:space="preserve"> </w:t>
      </w:r>
      <w:r w:rsidRPr="00785DC5">
        <w:rPr>
          <w:b/>
        </w:rPr>
        <w:t>intégration.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> :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a)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statistiques</w:t>
      </w:r>
      <w:r w:rsidR="0027585A" w:rsidRPr="00785DC5">
        <w:rPr>
          <w:b/>
        </w:rPr>
        <w:t xml:space="preserve"> </w:t>
      </w:r>
      <w:r w:rsidRPr="00785DC5">
        <w:rPr>
          <w:b/>
        </w:rPr>
        <w:t>fiables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disponibles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population</w:t>
      </w:r>
      <w:r w:rsidR="0027585A" w:rsidRPr="00785DC5">
        <w:rPr>
          <w:b/>
        </w:rPr>
        <w:t xml:space="preserve"> </w:t>
      </w:r>
      <w:r w:rsidRPr="00785DC5">
        <w:rPr>
          <w:b/>
        </w:rPr>
        <w:t>rom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élèves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écoles,</w:t>
      </w:r>
      <w:r w:rsidR="0027585A" w:rsidRPr="00785DC5">
        <w:rPr>
          <w:b/>
        </w:rPr>
        <w:t xml:space="preserve"> </w:t>
      </w:r>
      <w:r w:rsidRPr="00785DC5">
        <w:rPr>
          <w:b/>
        </w:rPr>
        <w:t>selon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principe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l’auto-identification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b)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nécessaires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éliminer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discrimination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structurelle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l’égard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c)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mettre</w:t>
      </w:r>
      <w:r w:rsidR="0027585A" w:rsidRPr="00785DC5">
        <w:rPr>
          <w:b/>
        </w:rPr>
        <w:t xml:space="preserve"> </w:t>
      </w:r>
      <w:r w:rsidRPr="00785DC5">
        <w:rPr>
          <w:b/>
        </w:rPr>
        <w:t>fin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formes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ségrégation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l’égard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enfants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système</w:t>
      </w:r>
      <w:r w:rsidR="0027585A" w:rsidRPr="00785DC5">
        <w:rPr>
          <w:b/>
        </w:rPr>
        <w:t xml:space="preserve"> </w:t>
      </w:r>
      <w:r w:rsidRPr="00785DC5">
        <w:rPr>
          <w:b/>
        </w:rPr>
        <w:t>éducatif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efficaces,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spéciales</w:t>
      </w:r>
      <w:r w:rsidR="0027585A" w:rsidRPr="00785DC5">
        <w:rPr>
          <w:b/>
        </w:rPr>
        <w:t xml:space="preserve"> </w:t>
      </w:r>
      <w:r w:rsidRPr="00785DC5">
        <w:rPr>
          <w:b/>
        </w:rPr>
        <w:t>conformes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sa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recommandation</w:t>
      </w:r>
      <w:r w:rsidR="0027585A" w:rsidRPr="00785DC5">
        <w:rPr>
          <w:b/>
        </w:rPr>
        <w:t xml:space="preserve"> </w:t>
      </w:r>
      <w:r w:rsidRPr="00785DC5">
        <w:rPr>
          <w:b/>
        </w:rPr>
        <w:t>générale</w:t>
      </w:r>
      <w:r w:rsidR="0027585A" w:rsidRPr="00785DC5">
        <w:rPr>
          <w:b/>
        </w:rPr>
        <w:t xml:space="preserve"> </w:t>
      </w:r>
      <w:r w:rsidRPr="00785DC5">
        <w:rPr>
          <w:b/>
        </w:rPr>
        <w:t>n</w:t>
      </w:r>
      <w:r w:rsidRPr="00785DC5">
        <w:rPr>
          <w:b/>
          <w:vertAlign w:val="superscript"/>
        </w:rPr>
        <w:t>o</w:t>
      </w:r>
      <w:r w:rsidR="00A35C78" w:rsidRPr="00785DC5">
        <w:rPr>
          <w:b/>
        </w:rPr>
        <w:t> </w:t>
      </w:r>
      <w:r w:rsidRPr="00785DC5">
        <w:rPr>
          <w:b/>
        </w:rPr>
        <w:t>32</w:t>
      </w:r>
      <w:r w:rsidR="0027585A" w:rsidRPr="00785DC5">
        <w:rPr>
          <w:b/>
        </w:rPr>
        <w:t xml:space="preserve"> </w:t>
      </w:r>
      <w:r w:rsidRPr="00785DC5">
        <w:rPr>
          <w:b/>
        </w:rPr>
        <w:t>(2009)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signification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portée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spéciales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Convention,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faire</w:t>
      </w:r>
      <w:r w:rsidR="0027585A" w:rsidRPr="00785DC5">
        <w:rPr>
          <w:b/>
        </w:rPr>
        <w:t xml:space="preserve"> </w:t>
      </w:r>
      <w:r w:rsidRPr="00785DC5">
        <w:rPr>
          <w:b/>
        </w:rPr>
        <w:t>augmenter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taux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fréquentation</w:t>
      </w:r>
      <w:r w:rsidR="0027585A" w:rsidRPr="00785DC5">
        <w:rPr>
          <w:b/>
        </w:rPr>
        <w:t xml:space="preserve"> </w:t>
      </w:r>
      <w:r w:rsidRPr="00785DC5">
        <w:rPr>
          <w:b/>
        </w:rPr>
        <w:t>scolaire,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établissements</w:t>
      </w:r>
      <w:r w:rsidR="0027585A" w:rsidRPr="00785DC5">
        <w:rPr>
          <w:b/>
        </w:rPr>
        <w:t xml:space="preserve"> </w:t>
      </w:r>
      <w:r w:rsidRPr="00785DC5">
        <w:rPr>
          <w:b/>
        </w:rPr>
        <w:t>d’enseignement</w:t>
      </w:r>
      <w:r w:rsidR="0027585A" w:rsidRPr="00785DC5">
        <w:rPr>
          <w:b/>
        </w:rPr>
        <w:t xml:space="preserve"> </w:t>
      </w:r>
      <w:r w:rsidRPr="00785DC5">
        <w:rPr>
          <w:b/>
        </w:rPr>
        <w:t>supérieur,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taux</w:t>
      </w:r>
      <w:r w:rsidR="0027585A" w:rsidRPr="00785DC5">
        <w:rPr>
          <w:b/>
        </w:rPr>
        <w:t xml:space="preserve"> </w:t>
      </w:r>
      <w:r w:rsidRPr="00785DC5">
        <w:rPr>
          <w:b/>
        </w:rPr>
        <w:t>d’achèvement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études</w:t>
      </w:r>
      <w:r w:rsidR="0027585A" w:rsidRPr="00785DC5">
        <w:rPr>
          <w:b/>
        </w:rPr>
        <w:t xml:space="preserve"> </w:t>
      </w:r>
      <w:r w:rsidRPr="00785DC5">
        <w:rPr>
          <w:b/>
        </w:rPr>
        <w:t>chez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enfants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améliorer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chances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ces</w:t>
      </w:r>
      <w:r w:rsidR="0027585A" w:rsidRPr="00785DC5">
        <w:rPr>
          <w:b/>
        </w:rPr>
        <w:t xml:space="preserve"> </w:t>
      </w:r>
      <w:r w:rsidRPr="00785DC5">
        <w:rPr>
          <w:b/>
        </w:rPr>
        <w:t>enfants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suivre</w:t>
      </w:r>
      <w:r w:rsidR="0027585A" w:rsidRPr="00785DC5">
        <w:rPr>
          <w:b/>
        </w:rPr>
        <w:t xml:space="preserve"> </w:t>
      </w:r>
      <w:r w:rsidRPr="00785DC5">
        <w:rPr>
          <w:b/>
        </w:rPr>
        <w:t>un</w:t>
      </w:r>
      <w:r w:rsidR="0027585A" w:rsidRPr="00785DC5">
        <w:rPr>
          <w:b/>
        </w:rPr>
        <w:t xml:space="preserve"> </w:t>
      </w:r>
      <w:r w:rsidRPr="00785DC5">
        <w:rPr>
          <w:b/>
        </w:rPr>
        <w:t>enseignement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d’élever</w:t>
      </w:r>
      <w:r w:rsidR="0027585A" w:rsidRPr="00785DC5">
        <w:rPr>
          <w:b/>
        </w:rPr>
        <w:t xml:space="preserve"> </w:t>
      </w:r>
      <w:r w:rsidRPr="00785DC5">
        <w:rPr>
          <w:b/>
        </w:rPr>
        <w:t>leur</w:t>
      </w:r>
      <w:r w:rsidR="0027585A" w:rsidRPr="00785DC5">
        <w:rPr>
          <w:b/>
        </w:rPr>
        <w:t xml:space="preserve"> </w:t>
      </w:r>
      <w:r w:rsidRPr="00785DC5">
        <w:rPr>
          <w:b/>
        </w:rPr>
        <w:t>niveau</w:t>
      </w:r>
      <w:r w:rsidR="0027585A" w:rsidRPr="00785DC5">
        <w:rPr>
          <w:b/>
        </w:rPr>
        <w:t xml:space="preserve"> </w:t>
      </w:r>
      <w:r w:rsidRPr="00785DC5">
        <w:rPr>
          <w:b/>
        </w:rPr>
        <w:t>d’instruction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d)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mettre</w:t>
      </w:r>
      <w:r w:rsidR="0027585A" w:rsidRPr="00785DC5">
        <w:rPr>
          <w:b/>
        </w:rPr>
        <w:t xml:space="preserve"> </w:t>
      </w:r>
      <w:r w:rsidRPr="00785DC5">
        <w:rPr>
          <w:b/>
        </w:rPr>
        <w:t>fin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l’extrême</w:t>
      </w:r>
      <w:r w:rsidR="0027585A" w:rsidRPr="00785DC5">
        <w:rPr>
          <w:b/>
        </w:rPr>
        <w:t xml:space="preserve"> </w:t>
      </w:r>
      <w:r w:rsidRPr="00785DC5">
        <w:rPr>
          <w:b/>
        </w:rPr>
        <w:t>pauvreté</w:t>
      </w:r>
      <w:r w:rsidR="0027585A" w:rsidRPr="00785DC5">
        <w:rPr>
          <w:b/>
        </w:rPr>
        <w:t xml:space="preserve"> </w:t>
      </w:r>
      <w:r w:rsidRPr="00785DC5">
        <w:rPr>
          <w:b/>
        </w:rPr>
        <w:t>parmi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Roms,</w:t>
      </w:r>
      <w:r w:rsidR="0027585A" w:rsidRPr="00785DC5">
        <w:rPr>
          <w:b/>
        </w:rPr>
        <w:t xml:space="preserve"> </w:t>
      </w:r>
      <w:r w:rsidRPr="00785DC5">
        <w:rPr>
          <w:b/>
        </w:rPr>
        <w:t>d’apporter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véritables</w:t>
      </w:r>
      <w:r w:rsidR="0027585A" w:rsidRPr="00785DC5">
        <w:rPr>
          <w:b/>
        </w:rPr>
        <w:t xml:space="preserve"> </w:t>
      </w:r>
      <w:r w:rsidRPr="00785DC5">
        <w:rPr>
          <w:b/>
        </w:rPr>
        <w:t>solutions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problèmes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logement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communautés</w:t>
      </w:r>
      <w:r w:rsidR="0027585A" w:rsidRPr="00785DC5">
        <w:rPr>
          <w:b/>
        </w:rPr>
        <w:t xml:space="preserve"> </w:t>
      </w:r>
      <w:r w:rsidRPr="00785DC5">
        <w:rPr>
          <w:b/>
        </w:rPr>
        <w:t>roms,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en</w:t>
      </w:r>
      <w:r w:rsidR="0027585A" w:rsidRPr="00785DC5">
        <w:rPr>
          <w:b/>
        </w:rPr>
        <w:t xml:space="preserve"> </w:t>
      </w:r>
      <w:r w:rsidRPr="00785DC5">
        <w:rPr>
          <w:b/>
        </w:rPr>
        <w:t>améliorant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infrastructures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services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base</w:t>
      </w:r>
      <w:r w:rsidR="0027585A" w:rsidRPr="00785DC5">
        <w:rPr>
          <w:b/>
        </w:rPr>
        <w:t xml:space="preserve"> </w:t>
      </w:r>
      <w:r w:rsidRPr="00785DC5">
        <w:rPr>
          <w:b/>
        </w:rPr>
        <w:t>disponibles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leurs</w:t>
      </w:r>
      <w:r w:rsidR="0027585A" w:rsidRPr="00785DC5">
        <w:rPr>
          <w:b/>
        </w:rPr>
        <w:t xml:space="preserve"> </w:t>
      </w:r>
      <w:r w:rsidRPr="00785DC5">
        <w:rPr>
          <w:b/>
        </w:rPr>
        <w:t>campements,</w:t>
      </w:r>
      <w:r w:rsidR="0027585A" w:rsidRPr="00785DC5">
        <w:rPr>
          <w:b/>
        </w:rPr>
        <w:t xml:space="preserve"> </w:t>
      </w:r>
      <w:r w:rsidRPr="00785DC5">
        <w:rPr>
          <w:b/>
        </w:rPr>
        <w:t>avec</w:t>
      </w:r>
      <w:r w:rsidR="0027585A" w:rsidRPr="00785DC5">
        <w:rPr>
          <w:b/>
        </w:rPr>
        <w:t xml:space="preserve"> </w:t>
      </w:r>
      <w:r w:rsidRPr="00785DC5">
        <w:rPr>
          <w:b/>
        </w:rPr>
        <w:t>leur</w:t>
      </w:r>
      <w:r w:rsidR="0027585A" w:rsidRPr="00785DC5">
        <w:rPr>
          <w:b/>
        </w:rPr>
        <w:t xml:space="preserve"> </w:t>
      </w:r>
      <w:r w:rsidRPr="00785DC5">
        <w:rPr>
          <w:b/>
        </w:rPr>
        <w:t>participation,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mettre</w:t>
      </w:r>
      <w:r w:rsidR="0027585A" w:rsidRPr="00785DC5">
        <w:rPr>
          <w:b/>
        </w:rPr>
        <w:t xml:space="preserve"> </w:t>
      </w:r>
      <w:r w:rsidRPr="00785DC5">
        <w:rPr>
          <w:b/>
        </w:rPr>
        <w:t>fin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expulsions</w:t>
      </w:r>
      <w:r w:rsidR="0027585A" w:rsidRPr="00785DC5">
        <w:rPr>
          <w:b/>
        </w:rPr>
        <w:t xml:space="preserve"> </w:t>
      </w:r>
      <w:r w:rsidRPr="00785DC5">
        <w:rPr>
          <w:b/>
        </w:rPr>
        <w:t>forcées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démolition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leurs</w:t>
      </w:r>
      <w:r w:rsidR="0027585A" w:rsidRPr="00785DC5">
        <w:rPr>
          <w:b/>
        </w:rPr>
        <w:t xml:space="preserve"> </w:t>
      </w:r>
      <w:r w:rsidRPr="00785DC5">
        <w:rPr>
          <w:b/>
        </w:rPr>
        <w:t>logements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e)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tous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aient</w:t>
      </w:r>
      <w:r w:rsidR="0027585A" w:rsidRPr="00785DC5">
        <w:rPr>
          <w:b/>
        </w:rPr>
        <w:t xml:space="preserve"> </w:t>
      </w:r>
      <w:r w:rsidRPr="00785DC5">
        <w:rPr>
          <w:b/>
        </w:rPr>
        <w:t>pleinement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librement</w:t>
      </w:r>
      <w:r w:rsidR="0027585A" w:rsidRPr="00785DC5">
        <w:rPr>
          <w:b/>
        </w:rPr>
        <w:t xml:space="preserve"> </w:t>
      </w:r>
      <w:r w:rsidRPr="00785DC5">
        <w:rPr>
          <w:b/>
        </w:rPr>
        <w:t>accès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soins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santé,</w:t>
      </w:r>
      <w:r w:rsidR="0027585A" w:rsidRPr="00785DC5">
        <w:rPr>
          <w:b/>
        </w:rPr>
        <w:t xml:space="preserve"> </w:t>
      </w:r>
      <w:r w:rsidRPr="00785DC5">
        <w:rPr>
          <w:b/>
        </w:rPr>
        <w:t>sans</w:t>
      </w:r>
      <w:r w:rsidR="0027585A" w:rsidRPr="00785DC5">
        <w:rPr>
          <w:b/>
        </w:rPr>
        <w:t xml:space="preserve"> </w:t>
      </w:r>
      <w:r w:rsidRPr="00785DC5">
        <w:rPr>
          <w:b/>
        </w:rPr>
        <w:t>subir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discrimination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ni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harcèlement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f)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efficaces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mettre</w:t>
      </w:r>
      <w:r w:rsidR="0027585A" w:rsidRPr="00785DC5">
        <w:rPr>
          <w:b/>
        </w:rPr>
        <w:t xml:space="preserve"> </w:t>
      </w:r>
      <w:r w:rsidRPr="00785DC5">
        <w:rPr>
          <w:b/>
        </w:rPr>
        <w:t>fin</w:t>
      </w:r>
      <w:r w:rsidR="0027585A" w:rsidRPr="00785DC5">
        <w:rPr>
          <w:b/>
        </w:rPr>
        <w:t xml:space="preserve"> </w:t>
      </w:r>
      <w:r w:rsidRPr="00785DC5">
        <w:rPr>
          <w:b/>
        </w:rPr>
        <w:t>au</w:t>
      </w:r>
      <w:r w:rsidR="0027585A" w:rsidRPr="00785DC5">
        <w:rPr>
          <w:b/>
        </w:rPr>
        <w:t xml:space="preserve"> </w:t>
      </w:r>
      <w:r w:rsidRPr="00785DC5">
        <w:rPr>
          <w:b/>
        </w:rPr>
        <w:t>chômage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combler</w:t>
      </w:r>
      <w:r w:rsidR="0027585A" w:rsidRPr="00785DC5">
        <w:rPr>
          <w:b/>
        </w:rPr>
        <w:t xml:space="preserve"> </w:t>
      </w:r>
      <w:r w:rsidRPr="00785DC5">
        <w:rPr>
          <w:b/>
        </w:rPr>
        <w:t>l’écart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revenu</w:t>
      </w:r>
      <w:r w:rsidR="0027585A" w:rsidRPr="00785DC5">
        <w:rPr>
          <w:b/>
        </w:rPr>
        <w:t xml:space="preserve"> </w:t>
      </w:r>
      <w:r w:rsidRPr="00785DC5">
        <w:rPr>
          <w:b/>
        </w:rPr>
        <w:t>entre</w:t>
      </w:r>
      <w:r w:rsidR="0027585A" w:rsidRPr="00785DC5">
        <w:rPr>
          <w:b/>
        </w:rPr>
        <w:t xml:space="preserve"> </w:t>
      </w:r>
      <w:r w:rsidRPr="00785DC5">
        <w:rPr>
          <w:b/>
        </w:rPr>
        <w:t>eux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reste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population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g)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mettre</w:t>
      </w:r>
      <w:r w:rsidR="0027585A" w:rsidRPr="00785DC5">
        <w:rPr>
          <w:b/>
        </w:rPr>
        <w:t xml:space="preserve"> </w:t>
      </w:r>
      <w:r w:rsidRPr="00785DC5">
        <w:rPr>
          <w:b/>
        </w:rPr>
        <w:t>fin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crimes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l’égard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Roms,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protéger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Roms</w:t>
      </w:r>
      <w:r w:rsidR="0027585A" w:rsidRPr="00785DC5">
        <w:rPr>
          <w:b/>
        </w:rPr>
        <w:t xml:space="preserve"> </w:t>
      </w:r>
      <w:r w:rsidRPr="00785DC5">
        <w:rPr>
          <w:b/>
        </w:rPr>
        <w:t>contre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crimes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violences</w:t>
      </w:r>
      <w:r w:rsidR="0027585A" w:rsidRPr="00785DC5">
        <w:rPr>
          <w:b/>
        </w:rPr>
        <w:t xml:space="preserve"> </w:t>
      </w:r>
      <w:r w:rsidRPr="00785DC5">
        <w:rPr>
          <w:b/>
        </w:rPr>
        <w:t>motivés</w:t>
      </w:r>
      <w:r w:rsidR="0027585A" w:rsidRPr="00785DC5">
        <w:rPr>
          <w:b/>
        </w:rPr>
        <w:t xml:space="preserve"> </w:t>
      </w:r>
      <w:r w:rsidRPr="00785DC5">
        <w:rPr>
          <w:b/>
        </w:rPr>
        <w:t>par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haine,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plaintes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crimes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enregistrées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fassent</w:t>
      </w:r>
      <w:r w:rsidR="0027585A" w:rsidRPr="00785DC5">
        <w:rPr>
          <w:b/>
        </w:rPr>
        <w:t xml:space="preserve"> </w:t>
      </w:r>
      <w:r w:rsidRPr="00785DC5">
        <w:rPr>
          <w:b/>
        </w:rPr>
        <w:t>l’objet</w:t>
      </w:r>
      <w:r w:rsidR="0027585A" w:rsidRPr="00785DC5">
        <w:rPr>
          <w:b/>
        </w:rPr>
        <w:t xml:space="preserve"> </w:t>
      </w:r>
      <w:r w:rsidRPr="00785DC5">
        <w:rPr>
          <w:b/>
        </w:rPr>
        <w:t>d’enquêtes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auteurs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poursuivis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condamnés,</w:t>
      </w:r>
      <w:r w:rsidR="0027585A" w:rsidRPr="00785DC5">
        <w:rPr>
          <w:b/>
        </w:rPr>
        <w:t xml:space="preserve"> </w:t>
      </w:r>
      <w:r w:rsidRPr="00785DC5">
        <w:rPr>
          <w:b/>
        </w:rPr>
        <w:t>comme</w:t>
      </w:r>
      <w:r w:rsidR="0027585A" w:rsidRPr="00785DC5">
        <w:rPr>
          <w:b/>
        </w:rPr>
        <w:t xml:space="preserve"> </w:t>
      </w:r>
      <w:r w:rsidRPr="00785DC5">
        <w:rPr>
          <w:b/>
        </w:rPr>
        <w:t>il</w:t>
      </w:r>
      <w:r w:rsidR="0027585A" w:rsidRPr="00785DC5">
        <w:rPr>
          <w:b/>
        </w:rPr>
        <w:t xml:space="preserve"> </w:t>
      </w:r>
      <w:r w:rsidRPr="00785DC5">
        <w:rPr>
          <w:b/>
        </w:rPr>
        <w:t>se</w:t>
      </w:r>
      <w:r w:rsidR="0027585A" w:rsidRPr="00785DC5">
        <w:rPr>
          <w:b/>
        </w:rPr>
        <w:t xml:space="preserve"> </w:t>
      </w:r>
      <w:r w:rsidRPr="00785DC5">
        <w:rPr>
          <w:b/>
        </w:rPr>
        <w:t>doit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h)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prévenir</w:t>
      </w:r>
      <w:r w:rsidR="0027585A" w:rsidRPr="00785DC5">
        <w:rPr>
          <w:b/>
        </w:rPr>
        <w:t xml:space="preserve"> </w:t>
      </w:r>
      <w:r w:rsidRPr="00785DC5">
        <w:rPr>
          <w:b/>
        </w:rPr>
        <w:t>toute</w:t>
      </w:r>
      <w:r w:rsidR="0027585A" w:rsidRPr="00785DC5">
        <w:rPr>
          <w:b/>
        </w:rPr>
        <w:t xml:space="preserve"> </w:t>
      </w:r>
      <w:r w:rsidRPr="00785DC5">
        <w:rPr>
          <w:b/>
        </w:rPr>
        <w:t>forme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profilage</w:t>
      </w:r>
      <w:r w:rsidR="0027585A" w:rsidRPr="00785DC5">
        <w:rPr>
          <w:b/>
        </w:rPr>
        <w:t xml:space="preserve"> </w:t>
      </w:r>
      <w:r w:rsidRPr="00785DC5">
        <w:rPr>
          <w:b/>
        </w:rPr>
        <w:t>ethnique</w:t>
      </w:r>
      <w:r w:rsidR="0027585A" w:rsidRPr="00785DC5">
        <w:rPr>
          <w:b/>
        </w:rPr>
        <w:t xml:space="preserve"> </w:t>
      </w:r>
      <w:r w:rsidRPr="00785DC5">
        <w:rPr>
          <w:b/>
        </w:rPr>
        <w:t>par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forces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l’ordre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d’organiser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qu’il</w:t>
      </w:r>
      <w:r w:rsidR="0027585A" w:rsidRPr="00785DC5">
        <w:rPr>
          <w:b/>
        </w:rPr>
        <w:t xml:space="preserve"> </w:t>
      </w:r>
      <w:r w:rsidRPr="00785DC5">
        <w:rPr>
          <w:b/>
        </w:rPr>
        <w:t>ne</w:t>
      </w:r>
      <w:r w:rsidR="0027585A" w:rsidRPr="00785DC5">
        <w:rPr>
          <w:b/>
        </w:rPr>
        <w:t xml:space="preserve"> </w:t>
      </w:r>
      <w:r w:rsidRPr="00785DC5">
        <w:rPr>
          <w:b/>
        </w:rPr>
        <w:t>soit</w:t>
      </w:r>
      <w:r w:rsidR="0027585A" w:rsidRPr="00785DC5">
        <w:rPr>
          <w:b/>
        </w:rPr>
        <w:t xml:space="preserve"> </w:t>
      </w:r>
      <w:r w:rsidRPr="00785DC5">
        <w:rPr>
          <w:b/>
        </w:rPr>
        <w:t>pas</w:t>
      </w:r>
      <w:r w:rsidR="0027585A" w:rsidRPr="00785DC5">
        <w:rPr>
          <w:b/>
        </w:rPr>
        <w:t xml:space="preserve"> </w:t>
      </w:r>
      <w:r w:rsidRPr="00785DC5">
        <w:rPr>
          <w:b/>
        </w:rPr>
        <w:t>recouru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telles</w:t>
      </w:r>
      <w:r w:rsidR="0027585A" w:rsidRPr="00785DC5">
        <w:rPr>
          <w:b/>
        </w:rPr>
        <w:t xml:space="preserve"> </w:t>
      </w:r>
      <w:r w:rsidRPr="00785DC5">
        <w:rPr>
          <w:b/>
        </w:rPr>
        <w:t>pratiques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rPr>
          <w:b/>
        </w:rPr>
        <w:t>i)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prévenir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contre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Roms,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en</w:t>
      </w:r>
      <w:r w:rsidR="0027585A" w:rsidRPr="00785DC5">
        <w:rPr>
          <w:b/>
        </w:rPr>
        <w:t xml:space="preserve"> </w:t>
      </w:r>
      <w:r w:rsidRPr="00785DC5">
        <w:rPr>
          <w:b/>
        </w:rPr>
        <w:t>menant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campagnes</w:t>
      </w:r>
      <w:r w:rsidR="0027585A" w:rsidRPr="00785DC5">
        <w:rPr>
          <w:b/>
        </w:rPr>
        <w:t xml:space="preserve"> </w:t>
      </w:r>
      <w:r w:rsidRPr="00785DC5">
        <w:rPr>
          <w:b/>
        </w:rPr>
        <w:t>d’éducation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tolérance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l’élimination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stéréotypes</w:t>
      </w:r>
      <w:r w:rsidR="0027585A" w:rsidRPr="00785DC5">
        <w:rPr>
          <w:b/>
        </w:rPr>
        <w:t xml:space="preserve"> </w:t>
      </w:r>
      <w:r w:rsidRPr="00785DC5">
        <w:rPr>
          <w:b/>
        </w:rPr>
        <w:t>sociaux,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en</w:t>
      </w:r>
      <w:r w:rsidR="0027585A" w:rsidRPr="00785DC5">
        <w:rPr>
          <w:b/>
        </w:rPr>
        <w:t xml:space="preserve"> </w:t>
      </w:r>
      <w:r w:rsidRPr="00785DC5">
        <w:rPr>
          <w:b/>
        </w:rPr>
        <w:t>veillant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plaintes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discours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haine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enregistrées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fassent</w:t>
      </w:r>
      <w:r w:rsidR="0027585A" w:rsidRPr="00785DC5">
        <w:rPr>
          <w:b/>
        </w:rPr>
        <w:t xml:space="preserve"> </w:t>
      </w:r>
      <w:r w:rsidRPr="00785DC5">
        <w:rPr>
          <w:b/>
        </w:rPr>
        <w:t>l’objet</w:t>
      </w:r>
      <w:r w:rsidR="0027585A" w:rsidRPr="00785DC5">
        <w:rPr>
          <w:b/>
        </w:rPr>
        <w:t xml:space="preserve"> </w:t>
      </w:r>
      <w:r w:rsidRPr="00785DC5">
        <w:rPr>
          <w:b/>
        </w:rPr>
        <w:t>d’enquêtes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auteurs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poursuivis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condamnés,</w:t>
      </w:r>
      <w:r w:rsidR="0027585A" w:rsidRPr="00785DC5">
        <w:rPr>
          <w:b/>
        </w:rPr>
        <w:t xml:space="preserve"> </w:t>
      </w:r>
      <w:r w:rsidRPr="00785DC5">
        <w:rPr>
          <w:b/>
        </w:rPr>
        <w:t>comme</w:t>
      </w:r>
      <w:r w:rsidR="0027585A" w:rsidRPr="00785DC5">
        <w:rPr>
          <w:b/>
        </w:rPr>
        <w:t xml:space="preserve"> </w:t>
      </w:r>
      <w:r w:rsidRPr="00785DC5">
        <w:rPr>
          <w:b/>
        </w:rPr>
        <w:t>il</w:t>
      </w:r>
      <w:r w:rsidR="0027585A" w:rsidRPr="00785DC5">
        <w:rPr>
          <w:b/>
        </w:rPr>
        <w:t xml:space="preserve"> </w:t>
      </w:r>
      <w:r w:rsidRPr="00785DC5">
        <w:rPr>
          <w:b/>
        </w:rPr>
        <w:t>se</w:t>
      </w:r>
      <w:r w:rsidR="0027585A" w:rsidRPr="00785DC5">
        <w:rPr>
          <w:b/>
        </w:rPr>
        <w:t xml:space="preserve"> </w:t>
      </w:r>
      <w:r w:rsidRPr="00785DC5">
        <w:rPr>
          <w:b/>
        </w:rPr>
        <w:t>doit.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Situation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demandeurs</w:t>
      </w:r>
      <w:r w:rsidR="0027585A" w:rsidRPr="00785DC5">
        <w:t xml:space="preserve"> </w:t>
      </w:r>
      <w:r w:rsidR="00A07D62" w:rsidRPr="00785DC5">
        <w:t>d’asile,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migrants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réfugiés</w:t>
      </w:r>
    </w:p>
    <w:p w:rsidR="00A07D62" w:rsidRPr="00785DC5" w:rsidRDefault="00A07D62" w:rsidP="00A07D62">
      <w:pPr>
        <w:pStyle w:val="SingleTxtG"/>
      </w:pPr>
      <w:r w:rsidRPr="00785DC5">
        <w:t>22.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profondément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situation</w:t>
      </w:r>
      <w:r w:rsidR="0027585A" w:rsidRPr="00785DC5">
        <w:t xml:space="preserve"> </w:t>
      </w:r>
      <w:r w:rsidRPr="00785DC5">
        <w:t>alarmante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d’asile,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réfugiés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migrants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partie,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particulier</w:t>
      </w:r>
      <w:r w:rsidR="0027585A" w:rsidRPr="00785DC5">
        <w:t xml:space="preserve"> </w:t>
      </w:r>
      <w:r w:rsidRPr="00785DC5">
        <w:t>depuis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déclaration,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2015,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d’urgence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toujours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vigueur,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notamment</w:t>
      </w:r>
      <w:r w:rsidR="0027585A" w:rsidRPr="00785DC5">
        <w:t> :</w:t>
      </w:r>
    </w:p>
    <w:p w:rsidR="00A07D62" w:rsidRPr="00785DC5" w:rsidRDefault="00A07D62" w:rsidP="00A07D62">
      <w:pPr>
        <w:pStyle w:val="SingleTxtG"/>
        <w:ind w:firstLine="567"/>
      </w:pPr>
      <w:r w:rsidRPr="00785DC5">
        <w:t>a)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modifications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réforme</w:t>
      </w:r>
      <w:r w:rsidR="0027585A" w:rsidRPr="00785DC5">
        <w:t xml:space="preserve"> </w:t>
      </w:r>
      <w:r w:rsidRPr="00785DC5">
        <w:t>législatives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2017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ont</w:t>
      </w:r>
      <w:r w:rsidR="0027585A" w:rsidRPr="00785DC5">
        <w:t xml:space="preserve"> </w:t>
      </w:r>
      <w:r w:rsidRPr="00785DC5">
        <w:t>conduit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détention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une</w:t>
      </w:r>
      <w:r w:rsidR="0027585A" w:rsidRPr="00785DC5">
        <w:t xml:space="preserve"> </w:t>
      </w:r>
      <w:r w:rsidRPr="00785DC5">
        <w:t>durée</w:t>
      </w:r>
      <w:r w:rsidR="0027585A" w:rsidRPr="00785DC5">
        <w:t xml:space="preserve"> </w:t>
      </w:r>
      <w:r w:rsidRPr="00785DC5">
        <w:t>indéterminée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tous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d’asile,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l’exception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mineurs</w:t>
      </w:r>
      <w:r w:rsidR="0027585A" w:rsidRPr="00785DC5">
        <w:t xml:space="preserve"> </w:t>
      </w:r>
      <w:r w:rsidRPr="00785DC5">
        <w:t>âgés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moins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14</w:t>
      </w:r>
      <w:r w:rsidR="0027585A" w:rsidRPr="00785DC5">
        <w:t xml:space="preserve"> </w:t>
      </w:r>
      <w:r w:rsidRPr="00785DC5">
        <w:t>ans,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zones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transit</w:t>
      </w:r>
      <w:r w:rsidR="0027585A" w:rsidRPr="00785DC5">
        <w:t xml:space="preserve"> </w:t>
      </w:r>
      <w:r w:rsidRPr="00785DC5">
        <w:t>coupées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société</w:t>
      </w:r>
      <w:r w:rsidR="0027585A" w:rsidRPr="00785DC5">
        <w:t xml:space="preserve"> </w:t>
      </w:r>
      <w:r w:rsidRPr="00785DC5">
        <w:t>hongroise,</w:t>
      </w:r>
      <w:r w:rsidR="0027585A" w:rsidRPr="00785DC5">
        <w:t xml:space="preserve"> </w:t>
      </w:r>
      <w:r w:rsidRPr="00785DC5">
        <w:t>tout</w:t>
      </w:r>
      <w:r w:rsidR="0027585A" w:rsidRPr="00785DC5">
        <w:t xml:space="preserve"> </w:t>
      </w:r>
      <w:r w:rsidRPr="00785DC5">
        <w:t>au</w:t>
      </w:r>
      <w:r w:rsidR="0027585A" w:rsidRPr="00785DC5">
        <w:t xml:space="preserve"> </w:t>
      </w:r>
      <w:r w:rsidRPr="00785DC5">
        <w:t>long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procédure</w:t>
      </w:r>
      <w:r w:rsidR="0027585A" w:rsidRPr="00785DC5">
        <w:t xml:space="preserve"> </w:t>
      </w:r>
      <w:r w:rsidRPr="00785DC5">
        <w:t>d’asile,</w:t>
      </w:r>
      <w:r w:rsidR="0027585A" w:rsidRPr="00785DC5">
        <w:t xml:space="preserve"> </w:t>
      </w:r>
      <w:r w:rsidRPr="00785DC5">
        <w:t>sans</w:t>
      </w:r>
      <w:r w:rsidR="0027585A" w:rsidRPr="00785DC5">
        <w:t xml:space="preserve"> </w:t>
      </w:r>
      <w:r w:rsidRPr="00785DC5">
        <w:t>aucune</w:t>
      </w:r>
      <w:r w:rsidR="0027585A" w:rsidRPr="00785DC5">
        <w:t xml:space="preserve"> </w:t>
      </w:r>
      <w:r w:rsidRPr="00785DC5">
        <w:t>mesure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protection</w:t>
      </w:r>
      <w:r w:rsidR="0027585A" w:rsidRPr="00785DC5">
        <w:t xml:space="preserve"> </w:t>
      </w:r>
      <w:r w:rsidRPr="00785DC5">
        <w:t>permettant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contester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refoulement</w:t>
      </w:r>
      <w:r w:rsidR="0027585A" w:rsidRPr="00785DC5">
        <w:t xml:space="preserve"> </w:t>
      </w:r>
      <w:r w:rsidRPr="00785DC5">
        <w:t>vers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zones</w:t>
      </w:r>
      <w:r w:rsidR="0027585A" w:rsidRPr="00785DC5">
        <w:t> ;</w:t>
      </w:r>
    </w:p>
    <w:p w:rsidR="00A07D62" w:rsidRPr="00785DC5" w:rsidRDefault="00A07D62" w:rsidP="00A35C78">
      <w:pPr>
        <w:pStyle w:val="SingleTxtG"/>
        <w:keepLines/>
        <w:ind w:firstLine="567"/>
      </w:pPr>
      <w:r w:rsidRPr="00785DC5">
        <w:t>b)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conditions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zones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transit</w:t>
      </w:r>
      <w:r w:rsidR="0027585A" w:rsidRPr="00785DC5">
        <w:t xml:space="preserve"> </w:t>
      </w:r>
      <w:r w:rsidRPr="00785DC5">
        <w:t>ne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pas</w:t>
      </w:r>
      <w:r w:rsidR="0027585A" w:rsidRPr="00785DC5">
        <w:t xml:space="preserve"> </w:t>
      </w:r>
      <w:r w:rsidRPr="00785DC5">
        <w:t>adaptées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séjours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longue</w:t>
      </w:r>
      <w:r w:rsidR="0027585A" w:rsidRPr="00785DC5">
        <w:t xml:space="preserve"> </w:t>
      </w:r>
      <w:r w:rsidRPr="00785DC5">
        <w:t>durée,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particulier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femmes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enfants,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difficultés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présenterait</w:t>
      </w:r>
      <w:r w:rsidR="0027585A" w:rsidRPr="00785DC5">
        <w:t xml:space="preserve"> </w:t>
      </w:r>
      <w:r w:rsidRPr="00785DC5">
        <w:t>l’accès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services</w:t>
      </w:r>
      <w:r w:rsidR="0027585A" w:rsidRPr="00785DC5">
        <w:t xml:space="preserve"> </w:t>
      </w:r>
      <w:r w:rsidRPr="00785DC5">
        <w:t>médicaux,</w:t>
      </w:r>
      <w:r w:rsidR="0027585A" w:rsidRPr="00785DC5">
        <w:t xml:space="preserve"> </w:t>
      </w:r>
      <w:r w:rsidRPr="00785DC5">
        <w:t>éducatifs,</w:t>
      </w:r>
      <w:r w:rsidR="0027585A" w:rsidRPr="00785DC5">
        <w:t xml:space="preserve"> </w:t>
      </w:r>
      <w:r w:rsidRPr="00785DC5">
        <w:t>sociaux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psychologiques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une</w:t>
      </w:r>
      <w:r w:rsidR="0027585A" w:rsidRPr="00785DC5">
        <w:t xml:space="preserve"> </w:t>
      </w:r>
      <w:r w:rsidRPr="00785DC5">
        <w:t>aide</w:t>
      </w:r>
      <w:r w:rsidR="0027585A" w:rsidRPr="00785DC5">
        <w:t xml:space="preserve"> </w:t>
      </w:r>
      <w:r w:rsidRPr="00785DC5">
        <w:t>juridique</w:t>
      </w:r>
      <w:r w:rsidR="0027585A" w:rsidRPr="00785DC5">
        <w:t xml:space="preserve"> </w:t>
      </w:r>
      <w:r w:rsidRPr="00785DC5">
        <w:t>adéquats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zones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transit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c)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personnes</w:t>
      </w:r>
      <w:r w:rsidR="0027585A" w:rsidRPr="00785DC5">
        <w:t xml:space="preserve"> </w:t>
      </w:r>
      <w:r w:rsidRPr="00785DC5">
        <w:t>détenues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zones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transit</w:t>
      </w:r>
      <w:r w:rsidR="0027585A" w:rsidRPr="00785DC5">
        <w:t xml:space="preserve"> </w:t>
      </w:r>
      <w:r w:rsidRPr="00785DC5">
        <w:t>ne</w:t>
      </w:r>
      <w:r w:rsidR="0027585A" w:rsidRPr="00785DC5">
        <w:t xml:space="preserve"> </w:t>
      </w:r>
      <w:r w:rsidRPr="00785DC5">
        <w:t>sont</w:t>
      </w:r>
      <w:r w:rsidR="0027585A" w:rsidRPr="00785DC5">
        <w:t xml:space="preserve"> </w:t>
      </w:r>
      <w:r w:rsidRPr="00785DC5">
        <w:t>plus</w:t>
      </w:r>
      <w:r w:rsidR="0027585A" w:rsidRPr="00785DC5">
        <w:t xml:space="preserve"> </w:t>
      </w:r>
      <w:r w:rsidRPr="00785DC5">
        <w:t>nourries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partir</w:t>
      </w:r>
      <w:r w:rsidR="0027585A" w:rsidRPr="00785DC5">
        <w:t xml:space="preserve"> </w:t>
      </w:r>
      <w:r w:rsidRPr="00785DC5">
        <w:t>du</w:t>
      </w:r>
      <w:r w:rsidR="0027585A" w:rsidRPr="00785DC5">
        <w:t xml:space="preserve"> </w:t>
      </w:r>
      <w:r w:rsidRPr="00785DC5">
        <w:t>moment</w:t>
      </w:r>
      <w:r w:rsidR="0027585A" w:rsidRPr="00785DC5">
        <w:t xml:space="preserve"> </w:t>
      </w:r>
      <w:r w:rsidRPr="00785DC5">
        <w:t>où</w:t>
      </w:r>
      <w:r w:rsidR="0027585A" w:rsidRPr="00785DC5">
        <w:t xml:space="preserve"> </w:t>
      </w:r>
      <w:r w:rsidRPr="00785DC5">
        <w:t>leur</w:t>
      </w:r>
      <w:r w:rsidR="0027585A" w:rsidRPr="00785DC5">
        <w:t xml:space="preserve"> </w:t>
      </w:r>
      <w:r w:rsidRPr="00785DC5">
        <w:t>demande</w:t>
      </w:r>
      <w:r w:rsidR="0027585A" w:rsidRPr="00785DC5">
        <w:t xml:space="preserve"> </w:t>
      </w:r>
      <w:r w:rsidRPr="00785DC5">
        <w:t>d’asile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rejetée</w:t>
      </w:r>
      <w:r w:rsidR="0027585A" w:rsidRPr="00785DC5"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t>d)</w:t>
      </w:r>
      <w:r w:rsidRPr="00785DC5">
        <w:tab/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concernant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discours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crimes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haine,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préjugés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stéréotypes</w:t>
      </w:r>
      <w:r w:rsidR="0027585A" w:rsidRPr="00785DC5">
        <w:t xml:space="preserve"> </w:t>
      </w:r>
      <w:r w:rsidRPr="00785DC5">
        <w:t>sociaux</w:t>
      </w:r>
      <w:r w:rsidR="0027585A" w:rsidRPr="00785DC5">
        <w:t xml:space="preserve"> </w:t>
      </w:r>
      <w:r w:rsidRPr="00785DC5">
        <w:t>que</w:t>
      </w:r>
      <w:r w:rsidR="0027585A" w:rsidRPr="00785DC5">
        <w:t xml:space="preserve"> </w:t>
      </w:r>
      <w:r w:rsidRPr="00785DC5">
        <w:t>continuent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subir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réfugiés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migrants.</w:t>
      </w:r>
    </w:p>
    <w:p w:rsidR="00A07D62" w:rsidRPr="00785DC5" w:rsidRDefault="00A07D62" w:rsidP="00A07D62">
      <w:pPr>
        <w:pStyle w:val="SingleTxtG"/>
        <w:rPr>
          <w:b/>
        </w:rPr>
      </w:pPr>
      <w:r w:rsidRPr="00785DC5">
        <w:t>23.</w:t>
      </w:r>
      <w:r w:rsidRPr="00785DC5">
        <w:tab/>
      </w:r>
      <w:r w:rsidRPr="00785DC5">
        <w:rPr>
          <w:b/>
        </w:rPr>
        <w:t>Rappelant</w:t>
      </w:r>
      <w:r w:rsidR="0027585A" w:rsidRPr="00785DC5">
        <w:rPr>
          <w:b/>
        </w:rPr>
        <w:t xml:space="preserve"> </w:t>
      </w:r>
      <w:r w:rsidRPr="00785DC5">
        <w:rPr>
          <w:b/>
        </w:rPr>
        <w:t>sa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recommandation</w:t>
      </w:r>
      <w:r w:rsidR="0027585A" w:rsidRPr="00785DC5">
        <w:rPr>
          <w:b/>
        </w:rPr>
        <w:t xml:space="preserve"> </w:t>
      </w:r>
      <w:r w:rsidRPr="00785DC5">
        <w:rPr>
          <w:b/>
        </w:rPr>
        <w:t>générale</w:t>
      </w:r>
      <w:r w:rsidR="0027585A" w:rsidRPr="00785DC5">
        <w:rPr>
          <w:b/>
        </w:rPr>
        <w:t xml:space="preserve"> </w:t>
      </w:r>
      <w:r w:rsidRPr="00785DC5">
        <w:rPr>
          <w:b/>
        </w:rPr>
        <w:t>n</w:t>
      </w:r>
      <w:r w:rsidRPr="00785DC5">
        <w:rPr>
          <w:b/>
          <w:vertAlign w:val="superscript"/>
        </w:rPr>
        <w:t>o</w:t>
      </w:r>
      <w:r w:rsidR="00A35C78" w:rsidRPr="00785DC5">
        <w:rPr>
          <w:b/>
        </w:rPr>
        <w:t> </w:t>
      </w:r>
      <w:r w:rsidRPr="00785DC5">
        <w:rPr>
          <w:b/>
        </w:rPr>
        <w:t>22</w:t>
      </w:r>
      <w:r w:rsidR="0027585A" w:rsidRPr="00785DC5">
        <w:rPr>
          <w:b/>
        </w:rPr>
        <w:t xml:space="preserve"> </w:t>
      </w:r>
      <w:r w:rsidRPr="00785DC5">
        <w:rPr>
          <w:b/>
        </w:rPr>
        <w:t>(1996)</w:t>
      </w:r>
      <w:r w:rsidR="0027585A" w:rsidRPr="00785DC5">
        <w:rPr>
          <w:b/>
        </w:rPr>
        <w:t xml:space="preserve"> </w:t>
      </w:r>
      <w:r w:rsidRPr="00785DC5">
        <w:rPr>
          <w:b/>
        </w:rPr>
        <w:t>concernant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réfugiés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personnes</w:t>
      </w:r>
      <w:r w:rsidR="0027585A" w:rsidRPr="00785DC5">
        <w:rPr>
          <w:b/>
        </w:rPr>
        <w:t xml:space="preserve"> </w:t>
      </w:r>
      <w:r w:rsidRPr="00785DC5">
        <w:rPr>
          <w:b/>
        </w:rPr>
        <w:t>déplacées</w:t>
      </w:r>
      <w:r w:rsidR="0027585A" w:rsidRPr="00785DC5">
        <w:rPr>
          <w:b/>
        </w:rPr>
        <w:t xml:space="preserve"> </w:t>
      </w:r>
      <w:r w:rsidRPr="00785DC5">
        <w:rPr>
          <w:b/>
        </w:rPr>
        <w:t>au</w:t>
      </w:r>
      <w:r w:rsidR="0027585A" w:rsidRPr="00785DC5">
        <w:rPr>
          <w:b/>
        </w:rPr>
        <w:t xml:space="preserve"> </w:t>
      </w:r>
      <w:r w:rsidRPr="00785DC5">
        <w:rPr>
          <w:b/>
        </w:rPr>
        <w:t>regard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l’article</w:t>
      </w:r>
      <w:r w:rsidR="0027585A" w:rsidRPr="00785DC5">
        <w:rPr>
          <w:b/>
        </w:rPr>
        <w:t xml:space="preserve"> </w:t>
      </w:r>
      <w:r w:rsidRPr="00785DC5">
        <w:rPr>
          <w:b/>
        </w:rPr>
        <w:t>5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Convention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sa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recommandation</w:t>
      </w:r>
      <w:r w:rsidR="0027585A" w:rsidRPr="00785DC5">
        <w:rPr>
          <w:b/>
        </w:rPr>
        <w:t xml:space="preserve"> </w:t>
      </w:r>
      <w:r w:rsidRPr="00785DC5">
        <w:rPr>
          <w:b/>
        </w:rPr>
        <w:t>générale</w:t>
      </w:r>
      <w:r w:rsidR="0027585A" w:rsidRPr="00785DC5">
        <w:rPr>
          <w:b/>
        </w:rPr>
        <w:t xml:space="preserve"> </w:t>
      </w:r>
      <w:r w:rsidRPr="00785DC5">
        <w:rPr>
          <w:b/>
        </w:rPr>
        <w:t>n</w:t>
      </w:r>
      <w:r w:rsidRPr="00785DC5">
        <w:rPr>
          <w:b/>
          <w:vertAlign w:val="superscript"/>
        </w:rPr>
        <w:t>o</w:t>
      </w:r>
      <w:r w:rsidR="00A35C78" w:rsidRPr="00785DC5">
        <w:rPr>
          <w:b/>
        </w:rPr>
        <w:t> </w:t>
      </w:r>
      <w:r w:rsidRPr="00785DC5">
        <w:rPr>
          <w:b/>
        </w:rPr>
        <w:t>30</w:t>
      </w:r>
      <w:r w:rsidR="0027585A" w:rsidRPr="00785DC5">
        <w:rPr>
          <w:b/>
        </w:rPr>
        <w:t xml:space="preserve"> </w:t>
      </w:r>
      <w:r w:rsidRPr="00785DC5">
        <w:rPr>
          <w:b/>
        </w:rPr>
        <w:t>(2004)</w:t>
      </w:r>
      <w:r w:rsidR="0027585A" w:rsidRPr="00785DC5">
        <w:rPr>
          <w:b/>
        </w:rPr>
        <w:t xml:space="preserve"> </w:t>
      </w:r>
      <w:r w:rsidRPr="00785DC5">
        <w:rPr>
          <w:b/>
        </w:rPr>
        <w:t>concernant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discrimination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l’égard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non</w:t>
      </w:r>
      <w:r w:rsidR="00AF495E">
        <w:rPr>
          <w:b/>
        </w:rPr>
        <w:noBreakHyphen/>
      </w:r>
      <w:r w:rsidRPr="00785DC5">
        <w:rPr>
          <w:b/>
        </w:rPr>
        <w:t>ressortissants,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 xml:space="preserve"> </w:t>
      </w:r>
      <w:r w:rsidRPr="00785DC5">
        <w:rPr>
          <w:b/>
        </w:rPr>
        <w:t>d’adopter</w:t>
      </w:r>
      <w:r w:rsidR="0027585A" w:rsidRPr="00785DC5">
        <w:rPr>
          <w:b/>
        </w:rPr>
        <w:t xml:space="preserve"> </w:t>
      </w:r>
      <w:r w:rsidRPr="00785DC5">
        <w:rPr>
          <w:b/>
        </w:rPr>
        <w:t>immédiatement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politiques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l’égard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réfugiés,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demandeurs</w:t>
      </w:r>
      <w:r w:rsidR="0027585A" w:rsidRPr="00785DC5">
        <w:rPr>
          <w:b/>
        </w:rPr>
        <w:t xml:space="preserve"> </w:t>
      </w:r>
      <w:r w:rsidRPr="00785DC5">
        <w:rPr>
          <w:b/>
        </w:rPr>
        <w:t>d’asile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migrants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conformes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ses</w:t>
      </w:r>
      <w:r w:rsidR="0027585A" w:rsidRPr="00785DC5">
        <w:rPr>
          <w:b/>
        </w:rPr>
        <w:t xml:space="preserve"> </w:t>
      </w:r>
      <w:r w:rsidRPr="00785DC5">
        <w:rPr>
          <w:b/>
        </w:rPr>
        <w:t>obligations</w:t>
      </w:r>
      <w:r w:rsidR="0027585A" w:rsidRPr="00785DC5">
        <w:rPr>
          <w:b/>
        </w:rPr>
        <w:t xml:space="preserve"> </w:t>
      </w:r>
      <w:r w:rsidRPr="00785DC5">
        <w:rPr>
          <w:b/>
        </w:rPr>
        <w:t>internationales,</w:t>
      </w:r>
      <w:r w:rsidR="0027585A" w:rsidRPr="00785DC5">
        <w:rPr>
          <w:b/>
        </w:rPr>
        <w:t xml:space="preserve"> </w:t>
      </w:r>
      <w:r w:rsidRPr="00785DC5">
        <w:rPr>
          <w:b/>
        </w:rPr>
        <w:t>notamment</w:t>
      </w:r>
      <w:r w:rsidR="0027585A" w:rsidRPr="00785DC5">
        <w:rPr>
          <w:b/>
        </w:rPr>
        <w:t xml:space="preserve"> </w:t>
      </w:r>
      <w:r w:rsidRPr="00785DC5">
        <w:rPr>
          <w:b/>
        </w:rPr>
        <w:t>au</w:t>
      </w:r>
      <w:r w:rsidR="0027585A" w:rsidRPr="00785DC5">
        <w:rPr>
          <w:b/>
        </w:rPr>
        <w:t xml:space="preserve"> </w:t>
      </w:r>
      <w:r w:rsidRPr="00785DC5">
        <w:rPr>
          <w:b/>
        </w:rPr>
        <w:t>titre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Convention,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> :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a)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ne</w:t>
      </w:r>
      <w:r w:rsidR="0027585A" w:rsidRPr="00785DC5">
        <w:rPr>
          <w:b/>
        </w:rPr>
        <w:t xml:space="preserve"> </w:t>
      </w:r>
      <w:r w:rsidRPr="00785DC5">
        <w:rPr>
          <w:b/>
        </w:rPr>
        <w:t>recourir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détention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demandeurs</w:t>
      </w:r>
      <w:r w:rsidR="0027585A" w:rsidRPr="00785DC5">
        <w:rPr>
          <w:b/>
        </w:rPr>
        <w:t xml:space="preserve"> </w:t>
      </w:r>
      <w:r w:rsidRPr="00785DC5">
        <w:rPr>
          <w:b/>
        </w:rPr>
        <w:t>d’asile</w:t>
      </w:r>
      <w:r w:rsidR="0027585A" w:rsidRPr="00785DC5">
        <w:rPr>
          <w:b/>
        </w:rPr>
        <w:t xml:space="preserve"> </w:t>
      </w:r>
      <w:r w:rsidRPr="00785DC5">
        <w:rPr>
          <w:b/>
        </w:rPr>
        <w:t>qu’en</w:t>
      </w:r>
      <w:r w:rsidR="0027585A" w:rsidRPr="00785DC5">
        <w:rPr>
          <w:b/>
        </w:rPr>
        <w:t xml:space="preserve"> </w:t>
      </w:r>
      <w:r w:rsidRPr="00785DC5">
        <w:rPr>
          <w:b/>
        </w:rPr>
        <w:t>dernier</w:t>
      </w:r>
      <w:r w:rsidR="0027585A" w:rsidRPr="00785DC5">
        <w:rPr>
          <w:b/>
        </w:rPr>
        <w:t xml:space="preserve"> </w:t>
      </w:r>
      <w:r w:rsidRPr="00785DC5">
        <w:rPr>
          <w:b/>
        </w:rPr>
        <w:t>ressort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une</w:t>
      </w:r>
      <w:r w:rsidR="0027585A" w:rsidRPr="00785DC5">
        <w:rPr>
          <w:b/>
        </w:rPr>
        <w:t xml:space="preserve"> </w:t>
      </w:r>
      <w:r w:rsidRPr="00785DC5">
        <w:rPr>
          <w:b/>
        </w:rPr>
        <w:t>durée</w:t>
      </w:r>
      <w:r w:rsidR="0027585A" w:rsidRPr="00785DC5">
        <w:rPr>
          <w:b/>
        </w:rPr>
        <w:t xml:space="preserve"> </w:t>
      </w:r>
      <w:r w:rsidRPr="00785DC5">
        <w:rPr>
          <w:b/>
        </w:rPr>
        <w:t>aussi</w:t>
      </w:r>
      <w:r w:rsidR="0027585A" w:rsidRPr="00785DC5">
        <w:rPr>
          <w:b/>
        </w:rPr>
        <w:t xml:space="preserve"> </w:t>
      </w:r>
      <w:r w:rsidRPr="00785DC5">
        <w:rPr>
          <w:b/>
        </w:rPr>
        <w:t>brève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possible,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donner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priorité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substitution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détention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b)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demandes</w:t>
      </w:r>
      <w:r w:rsidR="0027585A" w:rsidRPr="00785DC5">
        <w:rPr>
          <w:b/>
        </w:rPr>
        <w:t xml:space="preserve"> </w:t>
      </w:r>
      <w:r w:rsidRPr="00785DC5">
        <w:rPr>
          <w:b/>
        </w:rPr>
        <w:t>d’asile</w:t>
      </w:r>
      <w:r w:rsidR="0027585A" w:rsidRPr="00785DC5">
        <w:rPr>
          <w:b/>
        </w:rPr>
        <w:t xml:space="preserve"> </w:t>
      </w:r>
      <w:r w:rsidRPr="00785DC5">
        <w:rPr>
          <w:b/>
        </w:rPr>
        <w:t>soient</w:t>
      </w:r>
      <w:r w:rsidR="0027585A" w:rsidRPr="00785DC5">
        <w:rPr>
          <w:b/>
        </w:rPr>
        <w:t xml:space="preserve"> </w:t>
      </w:r>
      <w:r w:rsidRPr="00785DC5">
        <w:rPr>
          <w:b/>
        </w:rPr>
        <w:t>dûment</w:t>
      </w:r>
      <w:r w:rsidR="0027585A" w:rsidRPr="00785DC5">
        <w:rPr>
          <w:b/>
        </w:rPr>
        <w:t xml:space="preserve"> </w:t>
      </w:r>
      <w:r w:rsidRPr="00785DC5">
        <w:rPr>
          <w:b/>
        </w:rPr>
        <w:t>examinées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c)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garantir</w:t>
      </w:r>
      <w:r w:rsidR="0027585A" w:rsidRPr="00785DC5">
        <w:rPr>
          <w:b/>
        </w:rPr>
        <w:t xml:space="preserve"> </w:t>
      </w:r>
      <w:r w:rsidRPr="00785DC5">
        <w:rPr>
          <w:b/>
        </w:rPr>
        <w:t>un</w:t>
      </w:r>
      <w:r w:rsidR="0027585A" w:rsidRPr="00785DC5">
        <w:rPr>
          <w:b/>
        </w:rPr>
        <w:t xml:space="preserve"> </w:t>
      </w:r>
      <w:r w:rsidRPr="00785DC5">
        <w:rPr>
          <w:b/>
        </w:rPr>
        <w:t>accès</w:t>
      </w:r>
      <w:r w:rsidR="0027585A" w:rsidRPr="00785DC5">
        <w:rPr>
          <w:b/>
        </w:rPr>
        <w:t xml:space="preserve"> </w:t>
      </w:r>
      <w:r w:rsidRPr="00785DC5">
        <w:rPr>
          <w:b/>
        </w:rPr>
        <w:t>effectif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procédures</w:t>
      </w:r>
      <w:r w:rsidR="0027585A" w:rsidRPr="00785DC5">
        <w:rPr>
          <w:b/>
        </w:rPr>
        <w:t xml:space="preserve"> </w:t>
      </w:r>
      <w:r w:rsidRPr="00785DC5">
        <w:rPr>
          <w:b/>
        </w:rPr>
        <w:t>d’asile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d)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afin</w:t>
      </w:r>
      <w:r w:rsidR="0027585A" w:rsidRPr="00785DC5">
        <w:rPr>
          <w:b/>
        </w:rPr>
        <w:t xml:space="preserve"> </w:t>
      </w:r>
      <w:r w:rsidRPr="00785DC5">
        <w:rPr>
          <w:b/>
        </w:rPr>
        <w:t>d’améliorer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conditions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zones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transit,</w:t>
      </w:r>
      <w:r w:rsidR="0027585A" w:rsidRPr="00785DC5">
        <w:rPr>
          <w:b/>
        </w:rPr>
        <w:t xml:space="preserve"> </w:t>
      </w:r>
      <w:r w:rsidRPr="00785DC5">
        <w:rPr>
          <w:b/>
        </w:rPr>
        <w:t>notamment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femmes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enfants,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garantir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plein</w:t>
      </w:r>
      <w:r w:rsidR="0027585A" w:rsidRPr="00785DC5">
        <w:rPr>
          <w:b/>
        </w:rPr>
        <w:t xml:space="preserve"> </w:t>
      </w:r>
      <w:r w:rsidRPr="00785DC5">
        <w:rPr>
          <w:b/>
        </w:rPr>
        <w:t>accès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services</w:t>
      </w:r>
      <w:r w:rsidR="0027585A" w:rsidRPr="00785DC5">
        <w:rPr>
          <w:b/>
        </w:rPr>
        <w:t xml:space="preserve"> </w:t>
      </w:r>
      <w:r w:rsidRPr="00785DC5">
        <w:rPr>
          <w:b/>
        </w:rPr>
        <w:t>médicaux,</w:t>
      </w:r>
      <w:r w:rsidR="0027585A" w:rsidRPr="00785DC5">
        <w:rPr>
          <w:b/>
        </w:rPr>
        <w:t xml:space="preserve"> </w:t>
      </w:r>
      <w:r w:rsidRPr="00785DC5">
        <w:rPr>
          <w:b/>
        </w:rPr>
        <w:t>éducatifs,</w:t>
      </w:r>
      <w:r w:rsidR="0027585A" w:rsidRPr="00785DC5">
        <w:rPr>
          <w:b/>
        </w:rPr>
        <w:t xml:space="preserve"> </w:t>
      </w:r>
      <w:r w:rsidRPr="00785DC5">
        <w:rPr>
          <w:b/>
        </w:rPr>
        <w:t>sociaux,</w:t>
      </w:r>
      <w:r w:rsidR="0027585A" w:rsidRPr="00785DC5">
        <w:rPr>
          <w:b/>
        </w:rPr>
        <w:t xml:space="preserve"> </w:t>
      </w:r>
      <w:r w:rsidRPr="00785DC5">
        <w:rPr>
          <w:b/>
        </w:rPr>
        <w:t>psychologiques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une</w:t>
      </w:r>
      <w:r w:rsidR="0027585A" w:rsidRPr="00785DC5">
        <w:rPr>
          <w:b/>
        </w:rPr>
        <w:t xml:space="preserve"> </w:t>
      </w:r>
      <w:r w:rsidRPr="00785DC5">
        <w:rPr>
          <w:b/>
        </w:rPr>
        <w:t>aide</w:t>
      </w:r>
      <w:r w:rsidR="0027585A" w:rsidRPr="00785DC5">
        <w:rPr>
          <w:b/>
        </w:rPr>
        <w:t xml:space="preserve"> </w:t>
      </w:r>
      <w:r w:rsidRPr="00785DC5">
        <w:rPr>
          <w:b/>
        </w:rPr>
        <w:t>juridique</w:t>
      </w:r>
      <w:r w:rsidR="0027585A" w:rsidRPr="00785DC5">
        <w:rPr>
          <w:b/>
        </w:rPr>
        <w:t xml:space="preserve"> </w:t>
      </w:r>
      <w:r w:rsidRPr="00785DC5">
        <w:rPr>
          <w:b/>
        </w:rPr>
        <w:t>adéquats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  <w:rPr>
          <w:b/>
        </w:rPr>
      </w:pPr>
      <w:r w:rsidRPr="00785DC5">
        <w:rPr>
          <w:b/>
        </w:rPr>
        <w:t>e)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ce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chacun</w:t>
      </w:r>
      <w:r w:rsidR="0027585A" w:rsidRPr="00785DC5">
        <w:rPr>
          <w:b/>
        </w:rPr>
        <w:t xml:space="preserve"> </w:t>
      </w:r>
      <w:r w:rsidRPr="00785DC5">
        <w:rPr>
          <w:b/>
        </w:rPr>
        <w:t>reçoive</w:t>
      </w:r>
      <w:r w:rsidR="0027585A" w:rsidRPr="00785DC5">
        <w:rPr>
          <w:b/>
        </w:rPr>
        <w:t xml:space="preserve"> </w:t>
      </w:r>
      <w:r w:rsidRPr="00785DC5">
        <w:rPr>
          <w:b/>
        </w:rPr>
        <w:t>une</w:t>
      </w:r>
      <w:r w:rsidR="0027585A" w:rsidRPr="00785DC5">
        <w:rPr>
          <w:b/>
        </w:rPr>
        <w:t xml:space="preserve"> </w:t>
      </w:r>
      <w:r w:rsidRPr="00785DC5">
        <w:rPr>
          <w:b/>
        </w:rPr>
        <w:t>quantité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nourriture</w:t>
      </w:r>
      <w:r w:rsidR="0027585A" w:rsidRPr="00785DC5">
        <w:rPr>
          <w:b/>
        </w:rPr>
        <w:t xml:space="preserve"> </w:t>
      </w:r>
      <w:r w:rsidRPr="00785DC5">
        <w:rPr>
          <w:b/>
        </w:rPr>
        <w:t>suffisante</w:t>
      </w:r>
      <w:r w:rsidR="0027585A" w:rsidRPr="00785DC5">
        <w:rPr>
          <w:b/>
        </w:rPr>
        <w:t> ;</w:t>
      </w:r>
    </w:p>
    <w:p w:rsidR="00A07D62" w:rsidRPr="00785DC5" w:rsidRDefault="00A07D62" w:rsidP="00A07D62">
      <w:pPr>
        <w:pStyle w:val="SingleTxtG"/>
        <w:ind w:firstLine="567"/>
      </w:pPr>
      <w:r w:rsidRPr="00785DC5">
        <w:rPr>
          <w:b/>
        </w:rPr>
        <w:t>f)</w:t>
      </w:r>
      <w:r w:rsidRPr="00785DC5">
        <w:rPr>
          <w:b/>
        </w:rPr>
        <w:tab/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mener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campagnes</w:t>
      </w:r>
      <w:r w:rsidR="0027585A" w:rsidRPr="00785DC5">
        <w:rPr>
          <w:b/>
        </w:rPr>
        <w:t xml:space="preserve"> </w:t>
      </w:r>
      <w:r w:rsidRPr="00785DC5">
        <w:rPr>
          <w:b/>
        </w:rPr>
        <w:t>publiques</w:t>
      </w:r>
      <w:r w:rsidR="0027585A" w:rsidRPr="00785DC5">
        <w:rPr>
          <w:b/>
        </w:rPr>
        <w:t xml:space="preserve"> </w:t>
      </w:r>
      <w:r w:rsidRPr="00785DC5">
        <w:rPr>
          <w:b/>
        </w:rPr>
        <w:t>visant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favoriser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compréhension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tolérance.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Refoulement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recours</w:t>
      </w:r>
      <w:r w:rsidR="0027585A" w:rsidRPr="00785DC5">
        <w:t xml:space="preserve"> </w:t>
      </w:r>
      <w:r w:rsidR="00A07D62" w:rsidRPr="00785DC5">
        <w:t>à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force</w:t>
      </w:r>
      <w:r w:rsidR="0027585A" w:rsidRPr="00785DC5">
        <w:t xml:space="preserve"> </w:t>
      </w:r>
      <w:r w:rsidR="00A07D62" w:rsidRPr="00785DC5">
        <w:t>contre</w:t>
      </w:r>
      <w:r w:rsidR="0027585A" w:rsidRPr="00785DC5">
        <w:t xml:space="preserve"> </w:t>
      </w:r>
      <w:r w:rsidR="00A07D62" w:rsidRPr="00785DC5">
        <w:t>les</w:t>
      </w:r>
      <w:r w:rsidR="0027585A" w:rsidRPr="00785DC5">
        <w:t xml:space="preserve"> </w:t>
      </w:r>
      <w:r w:rsidR="00A07D62" w:rsidRPr="00785DC5">
        <w:t>demandeurs</w:t>
      </w:r>
      <w:r w:rsidR="0027585A" w:rsidRPr="00785DC5">
        <w:t xml:space="preserve"> </w:t>
      </w:r>
      <w:r w:rsidR="00A07D62" w:rsidRPr="00785DC5">
        <w:t>d’asile</w:t>
      </w:r>
    </w:p>
    <w:p w:rsidR="00A07D62" w:rsidRPr="00785DC5" w:rsidRDefault="00A07D62" w:rsidP="00A07D62">
      <w:pPr>
        <w:pStyle w:val="SingleTxtG"/>
      </w:pPr>
      <w:r w:rsidRPr="00785DC5">
        <w:t>24.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profondément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principe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non-refoulement</w:t>
      </w:r>
      <w:r w:rsidR="0027585A" w:rsidRPr="00785DC5">
        <w:t xml:space="preserve"> </w:t>
      </w:r>
      <w:r w:rsidRPr="00785DC5">
        <w:t>n’est</w:t>
      </w:r>
      <w:r w:rsidR="0027585A" w:rsidRPr="00785DC5">
        <w:t xml:space="preserve"> </w:t>
      </w:r>
      <w:r w:rsidRPr="00785DC5">
        <w:t>pas</w:t>
      </w:r>
      <w:r w:rsidR="0027585A" w:rsidRPr="00785DC5">
        <w:t xml:space="preserve"> </w:t>
      </w:r>
      <w:r w:rsidRPr="00785DC5">
        <w:t>pleinement</w:t>
      </w:r>
      <w:r w:rsidR="0027585A" w:rsidRPr="00785DC5">
        <w:t xml:space="preserve"> </w:t>
      </w:r>
      <w:r w:rsidRPr="00785DC5">
        <w:t>respecté,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droit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pratique.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se</w:t>
      </w:r>
      <w:r w:rsidR="0027585A" w:rsidRPr="00785DC5">
        <w:t xml:space="preserve"> </w:t>
      </w:r>
      <w:r w:rsidRPr="00785DC5">
        <w:t>déclare</w:t>
      </w:r>
      <w:r w:rsidR="0027585A" w:rsidRPr="00785DC5">
        <w:t xml:space="preserve"> </w:t>
      </w:r>
      <w:r w:rsidRPr="00785DC5">
        <w:t>vivement</w:t>
      </w:r>
      <w:r w:rsidR="0027585A" w:rsidRPr="00785DC5">
        <w:t xml:space="preserve"> </w:t>
      </w:r>
      <w:r w:rsidRPr="00785DC5">
        <w:t>alarmé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informations</w:t>
      </w:r>
      <w:r w:rsidR="0027585A" w:rsidRPr="00785DC5">
        <w:t xml:space="preserve"> </w:t>
      </w:r>
      <w:r w:rsidRPr="00785DC5">
        <w:t>selon</w:t>
      </w:r>
      <w:r w:rsidR="0027585A" w:rsidRPr="00785DC5">
        <w:t xml:space="preserve"> </w:t>
      </w:r>
      <w:r w:rsidRPr="00785DC5">
        <w:t>lesquelles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agents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forces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l’ordre</w:t>
      </w:r>
      <w:r w:rsidR="0027585A" w:rsidRPr="00785DC5">
        <w:t xml:space="preserve"> </w:t>
      </w:r>
      <w:r w:rsidRPr="00785DC5">
        <w:t>auraient</w:t>
      </w:r>
      <w:r w:rsidR="0027585A" w:rsidRPr="00785DC5">
        <w:t xml:space="preserve"> </w:t>
      </w:r>
      <w:r w:rsidRPr="00785DC5">
        <w:t>fait</w:t>
      </w:r>
      <w:r w:rsidR="0027585A" w:rsidRPr="00785DC5">
        <w:t xml:space="preserve"> </w:t>
      </w:r>
      <w:r w:rsidRPr="00785DC5">
        <w:t>un</w:t>
      </w:r>
      <w:r w:rsidR="0027585A" w:rsidRPr="00785DC5">
        <w:t xml:space="preserve"> </w:t>
      </w:r>
      <w:r w:rsidRPr="00785DC5">
        <w:t>usage</w:t>
      </w:r>
      <w:r w:rsidR="0027585A" w:rsidRPr="00785DC5">
        <w:t xml:space="preserve"> </w:t>
      </w:r>
      <w:r w:rsidRPr="00785DC5">
        <w:t>excessif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force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violence</w:t>
      </w:r>
      <w:r w:rsidR="0027585A" w:rsidRPr="00785DC5">
        <w:t xml:space="preserve"> </w:t>
      </w:r>
      <w:r w:rsidRPr="00785DC5">
        <w:t>contre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ressortissants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pays</w:t>
      </w:r>
      <w:r w:rsidR="0027585A" w:rsidRPr="00785DC5">
        <w:t xml:space="preserve"> </w:t>
      </w:r>
      <w:r w:rsidRPr="00785DC5">
        <w:t>tiers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tout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territoire</w:t>
      </w:r>
      <w:r w:rsidR="0027585A" w:rsidRPr="00785DC5">
        <w:t xml:space="preserve"> </w:t>
      </w:r>
      <w:r w:rsidRPr="00785DC5">
        <w:t>hongrois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auraient</w:t>
      </w:r>
      <w:r w:rsidR="0027585A" w:rsidRPr="00785DC5">
        <w:t xml:space="preserve"> </w:t>
      </w:r>
      <w:r w:rsidRPr="00785DC5">
        <w:t>«</w:t>
      </w:r>
      <w:r w:rsidR="00A35C78" w:rsidRPr="00785DC5">
        <w:t> </w:t>
      </w:r>
      <w:r w:rsidRPr="00785DC5">
        <w:t>repoussé</w:t>
      </w:r>
      <w:r w:rsidR="00A35C78" w:rsidRPr="00785DC5">
        <w:t> </w:t>
      </w:r>
      <w:r w:rsidRPr="00785DC5">
        <w:t>»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Serbie</w:t>
      </w:r>
      <w:r w:rsidR="0027585A" w:rsidRPr="00785DC5">
        <w:t xml:space="preserve"> </w:t>
      </w:r>
      <w:r w:rsidRPr="00785DC5">
        <w:t>ceux</w:t>
      </w:r>
      <w:r w:rsidR="0027585A" w:rsidRPr="00785DC5">
        <w:t xml:space="preserve"> </w:t>
      </w:r>
      <w:r w:rsidRPr="00785DC5">
        <w:t>qui</w:t>
      </w:r>
      <w:r w:rsidR="0027585A" w:rsidRPr="00785DC5">
        <w:t xml:space="preserve"> </w:t>
      </w:r>
      <w:r w:rsidRPr="00785DC5">
        <w:t>se</w:t>
      </w:r>
      <w:r w:rsidR="0027585A" w:rsidRPr="00785DC5">
        <w:t xml:space="preserve"> </w:t>
      </w:r>
      <w:r w:rsidRPr="00785DC5">
        <w:t>trouvaient</w:t>
      </w:r>
      <w:r w:rsidR="0027585A" w:rsidRPr="00785DC5">
        <w:t xml:space="preserve"> </w:t>
      </w:r>
      <w:r w:rsidRPr="00785DC5">
        <w:t>près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frontière,</w:t>
      </w:r>
      <w:r w:rsidR="0027585A" w:rsidRPr="00785DC5">
        <w:t xml:space="preserve"> </w:t>
      </w:r>
      <w:r w:rsidRPr="00785DC5">
        <w:t>faisant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blessés</w:t>
      </w:r>
      <w:r w:rsidR="0027585A" w:rsidRPr="00785DC5">
        <w:t xml:space="preserve"> </w:t>
      </w:r>
      <w:r w:rsidRPr="00785DC5">
        <w:t>parmi</w:t>
      </w:r>
      <w:r w:rsidR="0027585A" w:rsidRPr="00785DC5">
        <w:t xml:space="preserve"> </w:t>
      </w:r>
      <w:r w:rsidRPr="00785DC5">
        <w:t>eux.</w:t>
      </w:r>
    </w:p>
    <w:p w:rsidR="00A07D62" w:rsidRPr="00785DC5" w:rsidRDefault="00A07D62" w:rsidP="00A07D62">
      <w:pPr>
        <w:pStyle w:val="SingleTxtG"/>
      </w:pPr>
      <w:r w:rsidRPr="00785DC5">
        <w:t>25.</w:t>
      </w:r>
      <w:r w:rsidRPr="00785DC5">
        <w:tab/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prendre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nécessaires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garantir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plein</w:t>
      </w:r>
      <w:r w:rsidR="0027585A" w:rsidRPr="00785DC5">
        <w:rPr>
          <w:b/>
        </w:rPr>
        <w:t xml:space="preserve"> </w:t>
      </w:r>
      <w:r w:rsidRPr="00785DC5">
        <w:rPr>
          <w:b/>
        </w:rPr>
        <w:t>respect</w:t>
      </w:r>
      <w:r w:rsidR="0027585A" w:rsidRPr="00785DC5">
        <w:rPr>
          <w:b/>
        </w:rPr>
        <w:t xml:space="preserve"> </w:t>
      </w:r>
      <w:r w:rsidRPr="00785DC5">
        <w:rPr>
          <w:b/>
        </w:rPr>
        <w:t>du</w:t>
      </w:r>
      <w:r w:rsidR="0027585A" w:rsidRPr="00785DC5">
        <w:rPr>
          <w:b/>
        </w:rPr>
        <w:t xml:space="preserve"> </w:t>
      </w:r>
      <w:r w:rsidRPr="00785DC5">
        <w:rPr>
          <w:b/>
        </w:rPr>
        <w:t>principe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non-refoulement.</w:t>
      </w:r>
      <w:r w:rsidR="0027585A" w:rsidRPr="00785DC5">
        <w:rPr>
          <w:b/>
        </w:rPr>
        <w:t xml:space="preserve"> </w:t>
      </w:r>
      <w:r w:rsidRPr="00785DC5">
        <w:rPr>
          <w:b/>
        </w:rPr>
        <w:t>Il</w:t>
      </w:r>
      <w:r w:rsidR="0027585A" w:rsidRPr="00785DC5">
        <w:rPr>
          <w:b/>
        </w:rPr>
        <w:t xml:space="preserve"> </w:t>
      </w:r>
      <w:r w:rsidRPr="00785DC5">
        <w:rPr>
          <w:b/>
        </w:rPr>
        <w:t>lui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également</w:t>
      </w:r>
      <w:r w:rsidR="0027585A" w:rsidRPr="00785DC5">
        <w:rPr>
          <w:b/>
        </w:rPr>
        <w:t xml:space="preserve"> </w:t>
      </w:r>
      <w:r w:rsidRPr="000204A0">
        <w:rPr>
          <w:b/>
          <w:bCs/>
        </w:rPr>
        <w:t>d’empêcher</w:t>
      </w:r>
      <w:r w:rsidR="0027585A" w:rsidRPr="00785DC5">
        <w:rPr>
          <w:b/>
        </w:rPr>
        <w:t xml:space="preserve"> </w:t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recours</w:t>
      </w:r>
      <w:r w:rsidR="0027585A" w:rsidRPr="00785DC5">
        <w:rPr>
          <w:b/>
        </w:rPr>
        <w:t xml:space="preserve"> </w:t>
      </w:r>
      <w:r w:rsidRPr="00785DC5">
        <w:rPr>
          <w:b/>
        </w:rPr>
        <w:t>excessif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force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veiller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un</w:t>
      </w:r>
      <w:r w:rsidR="0027585A" w:rsidRPr="00785DC5">
        <w:rPr>
          <w:b/>
        </w:rPr>
        <w:t xml:space="preserve"> </w:t>
      </w:r>
      <w:r w:rsidRPr="00785DC5">
        <w:rPr>
          <w:b/>
        </w:rPr>
        <w:t>contrôle</w:t>
      </w:r>
      <w:r w:rsidR="0027585A" w:rsidRPr="00785DC5">
        <w:rPr>
          <w:b/>
        </w:rPr>
        <w:t xml:space="preserve"> </w:t>
      </w:r>
      <w:r w:rsidRPr="00785DC5">
        <w:rPr>
          <w:b/>
        </w:rPr>
        <w:t>indépendant</w:t>
      </w:r>
      <w:r w:rsidR="0027585A" w:rsidRPr="00785DC5">
        <w:rPr>
          <w:b/>
        </w:rPr>
        <w:t xml:space="preserve"> </w:t>
      </w:r>
      <w:r w:rsidRPr="00785DC5">
        <w:rPr>
          <w:b/>
        </w:rPr>
        <w:t>effectif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agents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forces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l’ordre</w:t>
      </w:r>
      <w:r w:rsidR="0027585A" w:rsidRPr="00785DC5">
        <w:rPr>
          <w:b/>
        </w:rPr>
        <w:t xml:space="preserve"> </w:t>
      </w:r>
      <w:r w:rsidRPr="00785DC5">
        <w:rPr>
          <w:b/>
        </w:rPr>
        <w:t>qui</w:t>
      </w:r>
      <w:r w:rsidR="0027585A" w:rsidRPr="00785DC5">
        <w:rPr>
          <w:b/>
        </w:rPr>
        <w:t xml:space="preserve"> </w:t>
      </w:r>
      <w:r w:rsidRPr="00785DC5">
        <w:rPr>
          <w:b/>
        </w:rPr>
        <w:t>s’occupent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réfugiés,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migrants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demandeurs</w:t>
      </w:r>
      <w:r w:rsidR="0027585A" w:rsidRPr="00785DC5">
        <w:rPr>
          <w:b/>
        </w:rPr>
        <w:t xml:space="preserve"> </w:t>
      </w:r>
      <w:r w:rsidRPr="00785DC5">
        <w:rPr>
          <w:b/>
        </w:rPr>
        <w:t>d’asile,</w:t>
      </w:r>
      <w:r w:rsidR="0027585A" w:rsidRPr="00785DC5">
        <w:rPr>
          <w:b/>
        </w:rPr>
        <w:t xml:space="preserve"> </w:t>
      </w:r>
      <w:r w:rsidRPr="00785DC5">
        <w:rPr>
          <w:b/>
        </w:rPr>
        <w:t>afin</w:t>
      </w:r>
      <w:r w:rsidR="0027585A" w:rsidRPr="00785DC5">
        <w:rPr>
          <w:b/>
        </w:rPr>
        <w:t xml:space="preserve"> </w:t>
      </w:r>
      <w:r w:rsidRPr="00785DC5">
        <w:rPr>
          <w:b/>
        </w:rPr>
        <w:t>que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mauvais</w:t>
      </w:r>
      <w:r w:rsidR="0027585A" w:rsidRPr="00785DC5">
        <w:rPr>
          <w:b/>
        </w:rPr>
        <w:t xml:space="preserve"> </w:t>
      </w:r>
      <w:r w:rsidRPr="00785DC5">
        <w:rPr>
          <w:b/>
        </w:rPr>
        <w:t>traitements</w:t>
      </w:r>
      <w:r w:rsidR="0027585A" w:rsidRPr="00785DC5">
        <w:rPr>
          <w:b/>
        </w:rPr>
        <w:t xml:space="preserve"> </w:t>
      </w:r>
      <w:r w:rsidRPr="00785DC5">
        <w:rPr>
          <w:b/>
        </w:rPr>
        <w:t>cessent.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Formation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éducation</w:t>
      </w:r>
      <w:r w:rsidR="0027585A" w:rsidRPr="00785DC5">
        <w:t xml:space="preserve"> </w:t>
      </w:r>
      <w:r w:rsidR="00A07D62" w:rsidRPr="00785DC5">
        <w:t>concernant</w:t>
      </w:r>
      <w:r w:rsidR="0027585A" w:rsidRPr="00785DC5">
        <w:t xml:space="preserve"> </w:t>
      </w:r>
      <w:r w:rsidR="00A07D62" w:rsidRPr="00785DC5">
        <w:t>les</w:t>
      </w:r>
      <w:r w:rsidR="0027585A" w:rsidRPr="00785DC5">
        <w:t xml:space="preserve"> </w:t>
      </w:r>
      <w:r w:rsidR="00A07D62" w:rsidRPr="00785DC5">
        <w:t>droits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l’homme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discrimination</w:t>
      </w:r>
      <w:r w:rsidR="0027585A" w:rsidRPr="00785DC5">
        <w:t xml:space="preserve"> </w:t>
      </w:r>
      <w:r w:rsidR="00A07D62" w:rsidRPr="00785DC5">
        <w:t>raciale</w:t>
      </w:r>
    </w:p>
    <w:p w:rsidR="00A07D62" w:rsidRPr="00785DC5" w:rsidRDefault="00A07D62" w:rsidP="00A07D62">
      <w:pPr>
        <w:pStyle w:val="SingleTxtG"/>
      </w:pPr>
      <w:r w:rsidRPr="00785DC5">
        <w:t>26.</w:t>
      </w:r>
      <w:r w:rsidRPr="00785DC5">
        <w:tab/>
        <w:t>Le</w:t>
      </w:r>
      <w:r w:rsidR="0027585A" w:rsidRPr="00785DC5">
        <w:t xml:space="preserve"> </w:t>
      </w:r>
      <w:r w:rsidRPr="00785DC5">
        <w:t>Comité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renseignements</w:t>
      </w:r>
      <w:r w:rsidR="0027585A" w:rsidRPr="00785DC5">
        <w:t xml:space="preserve"> </w:t>
      </w:r>
      <w:r w:rsidRPr="00785DC5">
        <w:t>détaillés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programmes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formation</w:t>
      </w:r>
      <w:r w:rsidR="0027585A" w:rsidRPr="00785DC5">
        <w:t xml:space="preserve"> </w:t>
      </w:r>
      <w:r w:rsidRPr="00785DC5">
        <w:t>réalisés</w:t>
      </w:r>
      <w:r w:rsidR="0027585A" w:rsidRPr="00785DC5">
        <w:t xml:space="preserve"> </w:t>
      </w:r>
      <w:r w:rsidRPr="00785DC5">
        <w:t>à</w:t>
      </w:r>
      <w:r w:rsidR="0027585A" w:rsidRPr="00785DC5">
        <w:t xml:space="preserve"> </w:t>
      </w:r>
      <w:r w:rsidRPr="00785DC5">
        <w:t>l’intention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juges,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procureurs,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avocats,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fonctionnaires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des</w:t>
      </w:r>
      <w:r w:rsidR="0027585A" w:rsidRPr="00785DC5">
        <w:t xml:space="preserve"> </w:t>
      </w:r>
      <w:r w:rsidRPr="00785DC5">
        <w:t>agents</w:t>
      </w:r>
      <w:r w:rsidR="0027585A" w:rsidRPr="00785DC5">
        <w:t xml:space="preserve"> </w:t>
      </w:r>
      <w:r w:rsidRPr="00785DC5">
        <w:t>publics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prévention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discrimination</w:t>
      </w:r>
      <w:r w:rsidR="0027585A" w:rsidRPr="00785DC5">
        <w:t xml:space="preserve"> </w:t>
      </w:r>
      <w:r w:rsidRPr="00785DC5">
        <w:t>raciale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consacrés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Convention.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est</w:t>
      </w:r>
      <w:r w:rsidR="0027585A" w:rsidRPr="00785DC5">
        <w:t xml:space="preserve"> </w:t>
      </w:r>
      <w:r w:rsidRPr="00785DC5">
        <w:t>également</w:t>
      </w:r>
      <w:r w:rsidR="0027585A" w:rsidRPr="00785DC5">
        <w:t xml:space="preserve"> </w:t>
      </w:r>
      <w:r w:rsidRPr="00785DC5">
        <w:t>préoccupé</w:t>
      </w:r>
      <w:r w:rsidR="0027585A" w:rsidRPr="00785DC5">
        <w:t xml:space="preserve"> </w:t>
      </w:r>
      <w:r w:rsidRPr="00785DC5">
        <w:t>par</w:t>
      </w:r>
      <w:r w:rsidR="0027585A" w:rsidRPr="00785DC5">
        <w:t xml:space="preserve"> </w:t>
      </w:r>
      <w:r w:rsidRPr="00785DC5">
        <w:t>le</w:t>
      </w:r>
      <w:r w:rsidR="0027585A" w:rsidRPr="00785DC5">
        <w:t xml:space="preserve"> </w:t>
      </w:r>
      <w:r w:rsidRPr="00785DC5">
        <w:t>manque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renseignements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formations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l’éducation</w:t>
      </w:r>
      <w:r w:rsidR="0027585A" w:rsidRPr="00785DC5">
        <w:t xml:space="preserve"> </w:t>
      </w:r>
      <w:r w:rsidRPr="00785DC5">
        <w:t>aux</w:t>
      </w:r>
      <w:r w:rsidR="0027585A" w:rsidRPr="00785DC5">
        <w:t xml:space="preserve"> </w:t>
      </w:r>
      <w:r w:rsidRPr="00785DC5">
        <w:t>droits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l’homme</w:t>
      </w:r>
      <w:r w:rsidR="0027585A" w:rsidRPr="00785DC5">
        <w:t xml:space="preserve"> </w:t>
      </w:r>
      <w:r w:rsidRPr="00785DC5">
        <w:t>figurant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programmes</w:t>
      </w:r>
      <w:r w:rsidR="0027585A" w:rsidRPr="00785DC5">
        <w:t xml:space="preserve"> </w:t>
      </w:r>
      <w:r w:rsidRPr="00785DC5">
        <w:t>scolaires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universitaires,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l’utilité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ces</w:t>
      </w:r>
      <w:r w:rsidR="0027585A" w:rsidRPr="00785DC5">
        <w:t xml:space="preserve"> </w:t>
      </w:r>
      <w:r w:rsidRPr="00785DC5">
        <w:t>formations.</w:t>
      </w:r>
      <w:r w:rsidR="0027585A" w:rsidRPr="00785DC5">
        <w:t xml:space="preserve"> </w:t>
      </w:r>
      <w:r w:rsidRPr="00785DC5">
        <w:t>Il</w:t>
      </w:r>
      <w:r w:rsidR="0027585A" w:rsidRPr="00785DC5">
        <w:t xml:space="preserve"> </w:t>
      </w:r>
      <w:r w:rsidRPr="00785DC5">
        <w:t>s’inquiète</w:t>
      </w:r>
      <w:r w:rsidR="0027585A" w:rsidRPr="00785DC5">
        <w:t xml:space="preserve"> </w:t>
      </w:r>
      <w:r w:rsidRPr="00785DC5">
        <w:t>en</w:t>
      </w:r>
      <w:r w:rsidR="0027585A" w:rsidRPr="00785DC5">
        <w:t xml:space="preserve"> </w:t>
      </w:r>
      <w:r w:rsidRPr="00785DC5">
        <w:t>outre</w:t>
      </w:r>
      <w:r w:rsidR="0027585A" w:rsidRPr="00785DC5">
        <w:t xml:space="preserve"> </w:t>
      </w:r>
      <w:r w:rsidRPr="00785DC5">
        <w:t>de</w:t>
      </w:r>
      <w:r w:rsidR="0027585A" w:rsidRPr="00785DC5">
        <w:t xml:space="preserve"> </w:t>
      </w:r>
      <w:r w:rsidRPr="00785DC5">
        <w:t>l’absence</w:t>
      </w:r>
      <w:r w:rsidR="0027585A" w:rsidRPr="00785DC5">
        <w:t xml:space="preserve"> </w:t>
      </w:r>
      <w:r w:rsidRPr="00785DC5">
        <w:t>d’informations</w:t>
      </w:r>
      <w:r w:rsidR="0027585A" w:rsidRPr="00785DC5">
        <w:t xml:space="preserve"> </w:t>
      </w:r>
      <w:r w:rsidRPr="00785DC5">
        <w:t>sur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mesures</w:t>
      </w:r>
      <w:r w:rsidR="0027585A" w:rsidRPr="00785DC5">
        <w:t xml:space="preserve"> </w:t>
      </w:r>
      <w:r w:rsidRPr="00785DC5">
        <w:t>spécifiques</w:t>
      </w:r>
      <w:r w:rsidR="0027585A" w:rsidRPr="00785DC5">
        <w:t xml:space="preserve"> </w:t>
      </w:r>
      <w:r w:rsidRPr="00785DC5">
        <w:t>prises</w:t>
      </w:r>
      <w:r w:rsidR="0027585A" w:rsidRPr="00785DC5">
        <w:t xml:space="preserve"> </w:t>
      </w:r>
      <w:r w:rsidRPr="00785DC5">
        <w:t>pour</w:t>
      </w:r>
      <w:r w:rsidR="0027585A" w:rsidRPr="00785DC5">
        <w:t xml:space="preserve"> </w:t>
      </w:r>
      <w:r w:rsidRPr="00785DC5">
        <w:t>favoriser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promouvoir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compréhension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la</w:t>
      </w:r>
      <w:r w:rsidR="0027585A" w:rsidRPr="00785DC5">
        <w:t xml:space="preserve"> </w:t>
      </w:r>
      <w:r w:rsidRPr="00785DC5">
        <w:t>tolérance</w:t>
      </w:r>
      <w:r w:rsidR="0027585A" w:rsidRPr="00785DC5">
        <w:t xml:space="preserve"> </w:t>
      </w:r>
      <w:r w:rsidRPr="00785DC5">
        <w:t>entre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différents</w:t>
      </w:r>
      <w:r w:rsidR="0027585A" w:rsidRPr="00785DC5">
        <w:t xml:space="preserve"> </w:t>
      </w:r>
      <w:r w:rsidRPr="00785DC5">
        <w:t>groupes</w:t>
      </w:r>
      <w:r w:rsidR="0027585A" w:rsidRPr="00785DC5">
        <w:t xml:space="preserve"> </w:t>
      </w:r>
      <w:r w:rsidRPr="00785DC5">
        <w:t>ethniques,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réfugiés,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migrants</w:t>
      </w:r>
      <w:r w:rsidR="0027585A" w:rsidRPr="00785DC5">
        <w:t xml:space="preserve"> </w:t>
      </w:r>
      <w:r w:rsidRPr="00785DC5">
        <w:t>et</w:t>
      </w:r>
      <w:r w:rsidR="0027585A" w:rsidRPr="00785DC5">
        <w:t xml:space="preserve"> </w:t>
      </w:r>
      <w:r w:rsidRPr="00785DC5">
        <w:t>les</w:t>
      </w:r>
      <w:r w:rsidR="0027585A" w:rsidRPr="00785DC5">
        <w:t xml:space="preserve"> </w:t>
      </w:r>
      <w:r w:rsidRPr="00785DC5">
        <w:t>demandeurs</w:t>
      </w:r>
      <w:r w:rsidR="0027585A" w:rsidRPr="00785DC5">
        <w:t xml:space="preserve"> </w:t>
      </w:r>
      <w:r w:rsidRPr="00785DC5">
        <w:t>d’asile</w:t>
      </w:r>
      <w:r w:rsidR="0027585A" w:rsidRPr="00785DC5">
        <w:t xml:space="preserve"> </w:t>
      </w:r>
      <w:r w:rsidRPr="00785DC5">
        <w:t>dans</w:t>
      </w:r>
      <w:r w:rsidR="0027585A" w:rsidRPr="00785DC5">
        <w:t xml:space="preserve"> </w:t>
      </w:r>
      <w:r w:rsidRPr="00785DC5">
        <w:t>l’État</w:t>
      </w:r>
      <w:r w:rsidR="0027585A" w:rsidRPr="00785DC5">
        <w:t xml:space="preserve"> </w:t>
      </w:r>
      <w:r w:rsidRPr="00785DC5">
        <w:t>partie</w:t>
      </w:r>
      <w:r w:rsidR="0027585A" w:rsidRPr="00785DC5">
        <w:t xml:space="preserve"> </w:t>
      </w:r>
      <w:r w:rsidRPr="00785DC5">
        <w:t>(art.</w:t>
      </w:r>
      <w:r w:rsidR="00A35C78" w:rsidRPr="00785DC5">
        <w:t> </w:t>
      </w:r>
      <w:r w:rsidRPr="00785DC5">
        <w:t>7).</w:t>
      </w:r>
    </w:p>
    <w:p w:rsidR="00A07D62" w:rsidRPr="00785DC5" w:rsidRDefault="00A07D62" w:rsidP="00A07D62">
      <w:pPr>
        <w:pStyle w:val="SingleTxtG"/>
      </w:pPr>
      <w:r w:rsidRPr="00785DC5">
        <w:t>27.</w:t>
      </w:r>
      <w:r w:rsidRPr="00785DC5">
        <w:tab/>
      </w:r>
      <w:r w:rsidRPr="00785DC5">
        <w:rPr>
          <w:b/>
        </w:rPr>
        <w:t>Le</w:t>
      </w:r>
      <w:r w:rsidR="0027585A" w:rsidRPr="00785DC5">
        <w:rPr>
          <w:b/>
        </w:rPr>
        <w:t xml:space="preserve"> </w:t>
      </w:r>
      <w:r w:rsidRPr="00785DC5">
        <w:rPr>
          <w:b/>
        </w:rPr>
        <w:t>Comité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l’État</w:t>
      </w:r>
      <w:r w:rsidR="0027585A" w:rsidRPr="00785DC5">
        <w:rPr>
          <w:b/>
        </w:rPr>
        <w:t xml:space="preserve"> </w:t>
      </w:r>
      <w:r w:rsidRPr="00785DC5">
        <w:rPr>
          <w:b/>
        </w:rPr>
        <w:t>partie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réaliser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programmes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</w:t>
      </w:r>
      <w:r w:rsidR="0027585A" w:rsidRPr="00785DC5">
        <w:rPr>
          <w:b/>
        </w:rPr>
        <w:t xml:space="preserve"> </w:t>
      </w:r>
      <w:r w:rsidRPr="00785DC5">
        <w:rPr>
          <w:b/>
        </w:rPr>
        <w:t>à</w:t>
      </w:r>
      <w:r w:rsidR="0027585A" w:rsidRPr="00785DC5">
        <w:rPr>
          <w:b/>
        </w:rPr>
        <w:t xml:space="preserve"> </w:t>
      </w:r>
      <w:r w:rsidRPr="00785DC5">
        <w:rPr>
          <w:b/>
        </w:rPr>
        <w:t>l’intention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agents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forces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l’ordre,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juges,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procureurs,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avocats,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fonctionnaires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agents</w:t>
      </w:r>
      <w:r w:rsidR="0027585A" w:rsidRPr="00785DC5">
        <w:rPr>
          <w:b/>
        </w:rPr>
        <w:t xml:space="preserve"> </w:t>
      </w:r>
      <w:r w:rsidRPr="00785DC5">
        <w:rPr>
          <w:b/>
        </w:rPr>
        <w:t>publics,</w:t>
      </w:r>
      <w:r w:rsidR="0027585A" w:rsidRPr="00785DC5">
        <w:rPr>
          <w:b/>
        </w:rPr>
        <w:t xml:space="preserve"> </w:t>
      </w:r>
      <w:r w:rsidRPr="00785DC5">
        <w:rPr>
          <w:b/>
        </w:rPr>
        <w:t>y</w:t>
      </w:r>
      <w:r w:rsidR="0027585A" w:rsidRPr="00785DC5">
        <w:rPr>
          <w:b/>
        </w:rPr>
        <w:t xml:space="preserve"> </w:t>
      </w:r>
      <w:r w:rsidRPr="00785DC5">
        <w:rPr>
          <w:b/>
        </w:rPr>
        <w:t>compris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formations</w:t>
      </w:r>
      <w:r w:rsidR="0027585A" w:rsidRPr="00785DC5">
        <w:rPr>
          <w:b/>
        </w:rPr>
        <w:t xml:space="preserve"> </w:t>
      </w:r>
      <w:r w:rsidRPr="00785DC5">
        <w:rPr>
          <w:b/>
        </w:rPr>
        <w:t>spécialisées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prévention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discrimination</w:t>
      </w:r>
      <w:r w:rsidR="0027585A" w:rsidRPr="00785DC5">
        <w:rPr>
          <w:b/>
        </w:rPr>
        <w:t xml:space="preserve"> </w:t>
      </w:r>
      <w:r w:rsidRPr="00785DC5">
        <w:rPr>
          <w:b/>
        </w:rPr>
        <w:t>raciale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droits</w:t>
      </w:r>
      <w:r w:rsidR="0027585A" w:rsidRPr="00785DC5">
        <w:rPr>
          <w:b/>
        </w:rPr>
        <w:t xml:space="preserve"> </w:t>
      </w:r>
      <w:r w:rsidRPr="00785DC5">
        <w:rPr>
          <w:b/>
        </w:rPr>
        <w:t>consacrés</w:t>
      </w:r>
      <w:r w:rsidR="0027585A" w:rsidRPr="00785DC5">
        <w:rPr>
          <w:b/>
        </w:rPr>
        <w:t xml:space="preserve"> </w:t>
      </w:r>
      <w:r w:rsidRPr="00785DC5">
        <w:rPr>
          <w:b/>
        </w:rPr>
        <w:t>par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Convention.</w:t>
      </w:r>
      <w:r w:rsidR="0027585A" w:rsidRPr="00785DC5">
        <w:rPr>
          <w:b/>
        </w:rPr>
        <w:t xml:space="preserve"> </w:t>
      </w:r>
      <w:r w:rsidRPr="00785DC5">
        <w:rPr>
          <w:b/>
        </w:rPr>
        <w:t>Il</w:t>
      </w:r>
      <w:r w:rsidR="0027585A" w:rsidRPr="00785DC5">
        <w:rPr>
          <w:b/>
        </w:rPr>
        <w:t xml:space="preserve"> </w:t>
      </w:r>
      <w:r w:rsidRPr="00785DC5">
        <w:rPr>
          <w:b/>
        </w:rPr>
        <w:t>lui</w:t>
      </w:r>
      <w:r w:rsidR="0027585A" w:rsidRPr="00785DC5">
        <w:rPr>
          <w:b/>
        </w:rPr>
        <w:t xml:space="preserve"> </w:t>
      </w:r>
      <w:r w:rsidRPr="00785DC5">
        <w:rPr>
          <w:b/>
        </w:rPr>
        <w:t>demande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fournir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son</w:t>
      </w:r>
      <w:r w:rsidR="0027585A" w:rsidRPr="00785DC5">
        <w:rPr>
          <w:b/>
        </w:rPr>
        <w:t xml:space="preserve"> </w:t>
      </w:r>
      <w:r w:rsidRPr="00785DC5">
        <w:rPr>
          <w:b/>
        </w:rPr>
        <w:t>prochain</w:t>
      </w:r>
      <w:r w:rsidR="0027585A" w:rsidRPr="00785DC5">
        <w:rPr>
          <w:b/>
        </w:rPr>
        <w:t xml:space="preserve"> </w:t>
      </w:r>
      <w:r w:rsidRPr="00785DC5">
        <w:rPr>
          <w:b/>
        </w:rPr>
        <w:t>rapport</w:t>
      </w:r>
      <w:r w:rsidR="0027585A" w:rsidRPr="00785DC5">
        <w:rPr>
          <w:b/>
        </w:rPr>
        <w:t xml:space="preserve"> </w:t>
      </w:r>
      <w:r w:rsidRPr="00785DC5">
        <w:rPr>
          <w:b/>
        </w:rPr>
        <w:t>périodique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renseignements</w:t>
      </w:r>
      <w:r w:rsidR="0027585A" w:rsidRPr="00785DC5">
        <w:rPr>
          <w:b/>
        </w:rPr>
        <w:t xml:space="preserve"> </w:t>
      </w:r>
      <w:r w:rsidRPr="00785DC5">
        <w:rPr>
          <w:b/>
        </w:rPr>
        <w:t>détaillés</w:t>
      </w:r>
      <w:r w:rsidR="0027585A" w:rsidRPr="00785DC5">
        <w:rPr>
          <w:b/>
        </w:rPr>
        <w:t xml:space="preserve"> </w:t>
      </w:r>
      <w:r w:rsidRPr="00785DC5">
        <w:rPr>
          <w:b/>
        </w:rPr>
        <w:t>au</w:t>
      </w:r>
      <w:r w:rsidR="0027585A" w:rsidRPr="00785DC5">
        <w:rPr>
          <w:b/>
        </w:rPr>
        <w:t xml:space="preserve"> </w:t>
      </w:r>
      <w:r w:rsidRPr="00785DC5">
        <w:rPr>
          <w:b/>
        </w:rPr>
        <w:t>sujet</w:t>
      </w:r>
      <w:r w:rsidR="0027585A" w:rsidRPr="00785DC5">
        <w:rPr>
          <w:b/>
        </w:rPr>
        <w:t xml:space="preserve"> </w:t>
      </w:r>
      <w:r w:rsidRPr="000204A0">
        <w:rPr>
          <w:b/>
          <w:bCs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ces</w:t>
      </w:r>
      <w:r w:rsidR="0027585A" w:rsidRPr="00785DC5">
        <w:rPr>
          <w:b/>
        </w:rPr>
        <w:t xml:space="preserve"> </w:t>
      </w:r>
      <w:r w:rsidRPr="00785DC5">
        <w:rPr>
          <w:b/>
        </w:rPr>
        <w:t>programmes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leurs</w:t>
      </w:r>
      <w:r w:rsidR="0027585A" w:rsidRPr="00785DC5">
        <w:rPr>
          <w:b/>
        </w:rPr>
        <w:t xml:space="preserve"> </w:t>
      </w:r>
      <w:r w:rsidRPr="00785DC5">
        <w:rPr>
          <w:b/>
        </w:rPr>
        <w:t>effets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situation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minorités</w:t>
      </w:r>
      <w:r w:rsidR="0027585A" w:rsidRPr="00785DC5">
        <w:rPr>
          <w:b/>
        </w:rPr>
        <w:t xml:space="preserve"> </w:t>
      </w:r>
      <w:r w:rsidRPr="00785DC5">
        <w:rPr>
          <w:b/>
        </w:rPr>
        <w:t>ethniques.</w:t>
      </w:r>
      <w:r w:rsidR="0027585A" w:rsidRPr="00785DC5">
        <w:rPr>
          <w:b/>
        </w:rPr>
        <w:t xml:space="preserve"> </w:t>
      </w:r>
      <w:r w:rsidRPr="00785DC5">
        <w:rPr>
          <w:b/>
        </w:rPr>
        <w:t>Il</w:t>
      </w:r>
      <w:r w:rsidR="0027585A" w:rsidRPr="00785DC5">
        <w:rPr>
          <w:b/>
        </w:rPr>
        <w:t xml:space="preserve"> </w:t>
      </w:r>
      <w:r w:rsidRPr="00785DC5">
        <w:rPr>
          <w:b/>
        </w:rPr>
        <w:t>lui</w:t>
      </w:r>
      <w:r w:rsidR="0027585A" w:rsidRPr="00785DC5">
        <w:rPr>
          <w:b/>
        </w:rPr>
        <w:t xml:space="preserve"> </w:t>
      </w:r>
      <w:r w:rsidRPr="00785DC5">
        <w:rPr>
          <w:b/>
        </w:rPr>
        <w:t>recommande</w:t>
      </w:r>
      <w:r w:rsidR="0027585A" w:rsidRPr="00785DC5">
        <w:rPr>
          <w:b/>
        </w:rPr>
        <w:t xml:space="preserve"> </w:t>
      </w:r>
      <w:r w:rsidRPr="00785DC5">
        <w:rPr>
          <w:b/>
        </w:rPr>
        <w:t>aussi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fournir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renseignements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formation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l’éducation</w:t>
      </w:r>
      <w:r w:rsidR="0027585A" w:rsidRPr="00785DC5">
        <w:rPr>
          <w:b/>
        </w:rPr>
        <w:t xml:space="preserve"> </w:t>
      </w:r>
      <w:r w:rsidRPr="00785DC5">
        <w:rPr>
          <w:b/>
        </w:rPr>
        <w:t>aux</w:t>
      </w:r>
      <w:r w:rsidR="0027585A" w:rsidRPr="00785DC5">
        <w:rPr>
          <w:b/>
        </w:rPr>
        <w:t xml:space="preserve"> </w:t>
      </w:r>
      <w:r w:rsidRPr="00785DC5">
        <w:rPr>
          <w:b/>
        </w:rPr>
        <w:t>droits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l’homme</w:t>
      </w:r>
      <w:r w:rsidR="0027585A" w:rsidRPr="00785DC5">
        <w:rPr>
          <w:b/>
        </w:rPr>
        <w:t xml:space="preserve"> </w:t>
      </w:r>
      <w:r w:rsidRPr="00785DC5">
        <w:rPr>
          <w:b/>
        </w:rPr>
        <w:t>figurant</w:t>
      </w:r>
      <w:r w:rsidR="0027585A" w:rsidRPr="00785DC5">
        <w:rPr>
          <w:b/>
        </w:rPr>
        <w:t xml:space="preserve"> </w:t>
      </w:r>
      <w:r w:rsidRPr="00785DC5">
        <w:rPr>
          <w:b/>
        </w:rPr>
        <w:t>dans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programmes</w:t>
      </w:r>
      <w:r w:rsidR="0027585A" w:rsidRPr="00785DC5">
        <w:rPr>
          <w:b/>
        </w:rPr>
        <w:t xml:space="preserve"> </w:t>
      </w:r>
      <w:r w:rsidRPr="00785DC5">
        <w:rPr>
          <w:b/>
        </w:rPr>
        <w:t>de</w:t>
      </w:r>
      <w:r w:rsidR="0027585A" w:rsidRPr="00785DC5">
        <w:rPr>
          <w:b/>
        </w:rPr>
        <w:t xml:space="preserve"> </w:t>
      </w:r>
      <w:r w:rsidRPr="00785DC5">
        <w:rPr>
          <w:b/>
        </w:rPr>
        <w:t>toutes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écoles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des</w:t>
      </w:r>
      <w:r w:rsidR="0027585A" w:rsidRPr="00785DC5">
        <w:rPr>
          <w:b/>
        </w:rPr>
        <w:t xml:space="preserve"> </w:t>
      </w:r>
      <w:r w:rsidRPr="00785DC5">
        <w:rPr>
          <w:b/>
        </w:rPr>
        <w:t>universités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mesures</w:t>
      </w:r>
      <w:r w:rsidR="0027585A" w:rsidRPr="00785DC5">
        <w:rPr>
          <w:b/>
        </w:rPr>
        <w:t xml:space="preserve"> </w:t>
      </w:r>
      <w:r w:rsidRPr="00785DC5">
        <w:rPr>
          <w:b/>
        </w:rPr>
        <w:t>prises</w:t>
      </w:r>
      <w:r w:rsidR="0027585A" w:rsidRPr="00785DC5">
        <w:rPr>
          <w:b/>
        </w:rPr>
        <w:t xml:space="preserve"> </w:t>
      </w:r>
      <w:r w:rsidRPr="00785DC5">
        <w:rPr>
          <w:b/>
        </w:rPr>
        <w:t>pour</w:t>
      </w:r>
      <w:r w:rsidR="0027585A" w:rsidRPr="00785DC5">
        <w:rPr>
          <w:b/>
        </w:rPr>
        <w:t xml:space="preserve"> </w:t>
      </w:r>
      <w:r w:rsidRPr="00785DC5">
        <w:rPr>
          <w:b/>
        </w:rPr>
        <w:t>promouvoir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favoriser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tolérance</w:t>
      </w:r>
      <w:r w:rsidR="0027585A" w:rsidRPr="00785DC5">
        <w:rPr>
          <w:b/>
        </w:rPr>
        <w:t xml:space="preserve"> </w:t>
      </w:r>
      <w:r w:rsidRPr="00785DC5">
        <w:rPr>
          <w:b/>
        </w:rPr>
        <w:t>et</w:t>
      </w:r>
      <w:r w:rsidR="0027585A" w:rsidRPr="00785DC5">
        <w:rPr>
          <w:b/>
        </w:rPr>
        <w:t xml:space="preserve"> </w:t>
      </w:r>
      <w:r w:rsidRPr="00785DC5">
        <w:rPr>
          <w:b/>
        </w:rPr>
        <w:t>la</w:t>
      </w:r>
      <w:r w:rsidR="0027585A" w:rsidRPr="00785DC5">
        <w:rPr>
          <w:b/>
        </w:rPr>
        <w:t xml:space="preserve"> </w:t>
      </w:r>
      <w:r w:rsidRPr="00785DC5">
        <w:rPr>
          <w:b/>
        </w:rPr>
        <w:t>compréhension</w:t>
      </w:r>
      <w:r w:rsidR="0027585A" w:rsidRPr="00785DC5">
        <w:rPr>
          <w:b/>
        </w:rPr>
        <w:t xml:space="preserve"> </w:t>
      </w:r>
      <w:r w:rsidRPr="00785DC5">
        <w:rPr>
          <w:b/>
        </w:rPr>
        <w:t>entre</w:t>
      </w:r>
      <w:r w:rsidR="0027585A" w:rsidRPr="00785DC5">
        <w:rPr>
          <w:b/>
        </w:rPr>
        <w:t xml:space="preserve"> </w:t>
      </w:r>
      <w:r w:rsidRPr="00785DC5">
        <w:rPr>
          <w:b/>
        </w:rPr>
        <w:t>les</w:t>
      </w:r>
      <w:r w:rsidR="0027585A" w:rsidRPr="00785DC5">
        <w:rPr>
          <w:b/>
        </w:rPr>
        <w:t xml:space="preserve"> </w:t>
      </w:r>
      <w:r w:rsidRPr="00785DC5">
        <w:rPr>
          <w:b/>
        </w:rPr>
        <w:t>différents</w:t>
      </w:r>
      <w:r w:rsidR="0027585A" w:rsidRPr="00785DC5">
        <w:rPr>
          <w:b/>
        </w:rPr>
        <w:t xml:space="preserve"> </w:t>
      </w:r>
      <w:r w:rsidRPr="00785DC5">
        <w:rPr>
          <w:b/>
        </w:rPr>
        <w:t>groupes</w:t>
      </w:r>
      <w:r w:rsidR="0027585A" w:rsidRPr="00785DC5">
        <w:rPr>
          <w:b/>
        </w:rPr>
        <w:t xml:space="preserve"> </w:t>
      </w:r>
      <w:r w:rsidRPr="00785DC5">
        <w:rPr>
          <w:b/>
        </w:rPr>
        <w:t>ethniques</w:t>
      </w:r>
      <w:r w:rsidR="0027585A" w:rsidRPr="00785DC5">
        <w:rPr>
          <w:b/>
        </w:rPr>
        <w:t xml:space="preserve"> </w:t>
      </w:r>
      <w:r w:rsidRPr="00785DC5">
        <w:rPr>
          <w:b/>
        </w:rPr>
        <w:t>sur</w:t>
      </w:r>
      <w:r w:rsidR="0027585A" w:rsidRPr="00785DC5">
        <w:rPr>
          <w:b/>
        </w:rPr>
        <w:t xml:space="preserve"> </w:t>
      </w:r>
      <w:r w:rsidRPr="00785DC5">
        <w:rPr>
          <w:b/>
        </w:rPr>
        <w:t>son</w:t>
      </w:r>
      <w:r w:rsidR="0027585A" w:rsidRPr="00785DC5">
        <w:rPr>
          <w:b/>
        </w:rPr>
        <w:t xml:space="preserve"> </w:t>
      </w:r>
      <w:r w:rsidRPr="00785DC5">
        <w:rPr>
          <w:b/>
        </w:rPr>
        <w:t>territoire.</w:t>
      </w:r>
    </w:p>
    <w:p w:rsidR="00A07D62" w:rsidRPr="00785DC5" w:rsidRDefault="00A07D62" w:rsidP="00A07D62">
      <w:pPr>
        <w:pStyle w:val="H1G"/>
      </w:pPr>
      <w:r w:rsidRPr="00785DC5">
        <w:tab/>
        <w:t>D.</w:t>
      </w:r>
      <w:r w:rsidRPr="00785DC5">
        <w:tab/>
        <w:t>Autres</w:t>
      </w:r>
      <w:r w:rsidR="0027585A" w:rsidRPr="00785DC5">
        <w:t xml:space="preserve"> </w:t>
      </w:r>
      <w:r w:rsidRPr="00785DC5">
        <w:t>recommandations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Ratification</w:t>
      </w:r>
      <w:r w:rsidR="0027585A" w:rsidRPr="00785DC5">
        <w:t xml:space="preserve"> </w:t>
      </w:r>
      <w:r w:rsidR="00A07D62" w:rsidRPr="00785DC5">
        <w:t>d’autres</w:t>
      </w:r>
      <w:r w:rsidR="0027585A" w:rsidRPr="00785DC5">
        <w:t xml:space="preserve"> </w:t>
      </w:r>
      <w:r w:rsidR="00A07D62" w:rsidRPr="00785DC5">
        <w:t>instruments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t>28.</w:t>
      </w:r>
      <w:r w:rsidRPr="00785DC5">
        <w:tab/>
      </w:r>
      <w:r w:rsidRPr="00785DC5">
        <w:rPr>
          <w:b/>
          <w:bCs/>
        </w:rPr>
        <w:t>Compte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tenu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caractère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indivisible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l’homme,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encourage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envisager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ratifier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instruments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internationaux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relatifs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l’homme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auxquels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n’est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encore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particulier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ceux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intéressent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directement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communautés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peuvent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faire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l’objet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internationale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protection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travailleurs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migrants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membres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famille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internationale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protection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personnes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disparitions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forcées.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Amendement</w:t>
      </w:r>
      <w:r w:rsidR="0027585A" w:rsidRPr="00785DC5">
        <w:t xml:space="preserve"> </w:t>
      </w:r>
      <w:r w:rsidR="00A07D62" w:rsidRPr="00785DC5">
        <w:t>à</w:t>
      </w:r>
      <w:r w:rsidR="0027585A" w:rsidRPr="00785DC5">
        <w:t xml:space="preserve"> </w:t>
      </w:r>
      <w:r w:rsidR="00A07D62" w:rsidRPr="00785DC5">
        <w:t>l’article</w:t>
      </w:r>
      <w:r w:rsidR="0027585A" w:rsidRPr="00785DC5">
        <w:t xml:space="preserve"> </w:t>
      </w:r>
      <w:r w:rsidR="00A07D62" w:rsidRPr="00785DC5">
        <w:t>8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Convention</w:t>
      </w:r>
    </w:p>
    <w:p w:rsidR="00A07D62" w:rsidRPr="00785DC5" w:rsidRDefault="00A07D62" w:rsidP="00A07D62">
      <w:pPr>
        <w:pStyle w:val="SingleTxtG"/>
      </w:pPr>
      <w:r w:rsidRPr="00785DC5">
        <w:t>29.</w:t>
      </w:r>
      <w:r w:rsidRPr="00785DC5">
        <w:tab/>
      </w:r>
      <w:r w:rsidRPr="00785DC5">
        <w:rPr>
          <w:b/>
          <w:bCs/>
          <w:spacing w:val="-2"/>
        </w:rPr>
        <w:t>Le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Comité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recommande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à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l’État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partie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de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ratifier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l’amendement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au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paragraphe</w:t>
      </w:r>
      <w:r w:rsidR="0027585A" w:rsidRPr="00785DC5">
        <w:rPr>
          <w:b/>
          <w:bCs/>
          <w:spacing w:val="-2"/>
        </w:rPr>
        <w:t xml:space="preserve"> </w:t>
      </w:r>
      <w:r w:rsidRPr="00785DC5">
        <w:rPr>
          <w:b/>
          <w:bCs/>
          <w:spacing w:val="-2"/>
        </w:rPr>
        <w:t>6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l’article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8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adopté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15</w:t>
      </w:r>
      <w:r w:rsidR="00A35C78" w:rsidRPr="00785DC5">
        <w:rPr>
          <w:b/>
          <w:bCs/>
        </w:rPr>
        <w:t> </w:t>
      </w:r>
      <w:r w:rsidRPr="00785DC5">
        <w:rPr>
          <w:b/>
          <w:bCs/>
        </w:rPr>
        <w:t>janvier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1992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quatorzième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Réunion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États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approuvé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l’Assemblée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générale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résolution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47/111.</w:t>
      </w:r>
    </w:p>
    <w:p w:rsidR="00A07D62" w:rsidRPr="00785DC5" w:rsidRDefault="00A35C78" w:rsidP="00A07D62">
      <w:pPr>
        <w:pStyle w:val="H23G"/>
      </w:pPr>
      <w:r w:rsidRPr="00785DC5">
        <w:tab/>
      </w:r>
      <w:r w:rsidR="005B5DDB">
        <w:tab/>
      </w:r>
      <w:r w:rsidR="00A07D62" w:rsidRPr="00785DC5">
        <w:t>Suite</w:t>
      </w:r>
      <w:r w:rsidR="0027585A" w:rsidRPr="00785DC5">
        <w:t xml:space="preserve"> </w:t>
      </w:r>
      <w:r w:rsidR="00A07D62" w:rsidRPr="00785DC5">
        <w:t>donnée</w:t>
      </w:r>
      <w:r w:rsidR="0027585A" w:rsidRPr="00785DC5">
        <w:t xml:space="preserve"> </w:t>
      </w:r>
      <w:r w:rsidR="00A07D62" w:rsidRPr="00785DC5">
        <w:t>à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Déclaration</w:t>
      </w:r>
      <w:r w:rsidR="0027585A" w:rsidRPr="00785DC5">
        <w:t xml:space="preserve"> </w:t>
      </w:r>
      <w:r w:rsidR="00A07D62" w:rsidRPr="00785DC5">
        <w:t>et</w:t>
      </w:r>
      <w:r w:rsidR="0027585A" w:rsidRPr="00785DC5">
        <w:t xml:space="preserve"> </w:t>
      </w:r>
      <w:r w:rsidR="00A07D62" w:rsidRPr="00785DC5">
        <w:t>au</w:t>
      </w:r>
      <w:r w:rsidR="0027585A" w:rsidRPr="00785DC5">
        <w:t xml:space="preserve"> </w:t>
      </w:r>
      <w:r w:rsidR="00A07D62" w:rsidRPr="00785DC5">
        <w:t>Programme</w:t>
      </w:r>
      <w:r w:rsidR="0027585A" w:rsidRPr="00785DC5">
        <w:t xml:space="preserve"> </w:t>
      </w:r>
      <w:r w:rsidR="00A07D62" w:rsidRPr="00785DC5">
        <w:t>d’action</w:t>
      </w:r>
      <w:r w:rsidR="0027585A" w:rsidRPr="00785DC5">
        <w:t xml:space="preserve"> </w:t>
      </w:r>
      <w:r w:rsidR="00A07D62" w:rsidRPr="00785DC5">
        <w:t>de</w:t>
      </w:r>
      <w:r w:rsidR="0027585A" w:rsidRPr="00785DC5">
        <w:t xml:space="preserve"> </w:t>
      </w:r>
      <w:r w:rsidR="00A07D62" w:rsidRPr="00785DC5">
        <w:t>Durban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t>30.</w:t>
      </w:r>
      <w:r w:rsidRPr="00785DC5">
        <w:tab/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lumière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générale</w:t>
      </w:r>
      <w:r w:rsidR="0027585A" w:rsidRPr="00785DC5">
        <w:rPr>
          <w:b/>
          <w:bCs/>
        </w:rPr>
        <w:t xml:space="preserve"> </w:t>
      </w:r>
      <w:r w:rsidR="00A35C78" w:rsidRPr="00785DC5">
        <w:rPr>
          <w:rFonts w:eastAsia="MS Mincho"/>
          <w:b/>
          <w:bCs/>
        </w:rPr>
        <w:t>n</w:t>
      </w:r>
      <w:r w:rsidR="00A35C78" w:rsidRPr="00785DC5">
        <w:rPr>
          <w:rFonts w:eastAsia="MS Mincho"/>
          <w:b/>
          <w:bCs/>
          <w:vertAlign w:val="superscript"/>
        </w:rPr>
        <w:t>o</w:t>
      </w:r>
      <w:r w:rsidR="00A35C78" w:rsidRPr="00785DC5">
        <w:rPr>
          <w:b/>
          <w:bCs/>
        </w:rPr>
        <w:t> </w:t>
      </w:r>
      <w:r w:rsidRPr="00785DC5">
        <w:rPr>
          <w:b/>
          <w:bCs/>
        </w:rPr>
        <w:t>33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(2009)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suivi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Conférence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d’examen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Durban,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donner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effet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Déclaration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Programme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d’action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Durban,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adoptés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septembre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2001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Conférence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mondiale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racisme,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xénophobie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l’intolérance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y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est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associée,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tenant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compte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document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final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Conférence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d’examen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Durban,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tenue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Genève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avril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2009,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quand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applique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Convention.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d’inclure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prochain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rapport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périodique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renseignements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précis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plans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d’action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qu’il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aura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adoptés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autres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mesures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qu’il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aura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prises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mettre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œuvre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Déclaration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Programme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d’action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Durban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niveau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national.</w:t>
      </w:r>
    </w:p>
    <w:p w:rsidR="00A07D62" w:rsidRPr="00785DC5" w:rsidRDefault="00A35C78" w:rsidP="00A07D62">
      <w:pPr>
        <w:pStyle w:val="H23G"/>
      </w:pPr>
      <w:r w:rsidRPr="00785DC5">
        <w:tab/>
      </w:r>
      <w:r w:rsidR="005B5DDB">
        <w:tab/>
      </w:r>
      <w:r w:rsidR="00A07D62" w:rsidRPr="00785DC5">
        <w:t>Décennie</w:t>
      </w:r>
      <w:r w:rsidR="0027585A" w:rsidRPr="00785DC5">
        <w:t xml:space="preserve"> </w:t>
      </w:r>
      <w:r w:rsidR="00A07D62" w:rsidRPr="00785DC5">
        <w:t>internationale</w:t>
      </w:r>
      <w:r w:rsidR="0027585A" w:rsidRPr="00785DC5">
        <w:t xml:space="preserve"> </w:t>
      </w:r>
      <w:r w:rsidR="00A07D62" w:rsidRPr="00785DC5">
        <w:t>des</w:t>
      </w:r>
      <w:r w:rsidR="0027585A" w:rsidRPr="00785DC5">
        <w:t xml:space="preserve"> </w:t>
      </w:r>
      <w:r w:rsidR="00A07D62" w:rsidRPr="00785DC5">
        <w:t>personnes</w:t>
      </w:r>
      <w:r w:rsidR="0027585A" w:rsidRPr="00785DC5">
        <w:t xml:space="preserve"> </w:t>
      </w:r>
      <w:r w:rsidR="00A07D62" w:rsidRPr="00785DC5">
        <w:t>d’ascendance</w:t>
      </w:r>
      <w:r w:rsidR="0027585A" w:rsidRPr="00785DC5">
        <w:t xml:space="preserve"> </w:t>
      </w:r>
      <w:r w:rsidR="00A07D62" w:rsidRPr="00785DC5">
        <w:t>africaine</w:t>
      </w:r>
    </w:p>
    <w:p w:rsidR="00A07D62" w:rsidRPr="00785DC5" w:rsidRDefault="00A07D62" w:rsidP="00A07D62">
      <w:pPr>
        <w:pStyle w:val="SingleTxtG"/>
        <w:rPr>
          <w:lang w:eastAsia="en-GB"/>
        </w:rPr>
      </w:pPr>
      <w:r w:rsidRPr="00785DC5">
        <w:t>31.</w:t>
      </w:r>
      <w:r w:rsidRPr="00785DC5">
        <w:tab/>
      </w:r>
      <w:r w:rsidRPr="00785DC5">
        <w:rPr>
          <w:b/>
          <w:bCs/>
          <w:lang w:eastAsia="en-GB"/>
        </w:rPr>
        <w:t>À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lumière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résolution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68/237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l’Assemblée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générale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proclamant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Décennie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internationale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personnes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d’ascendance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africaine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pour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2015</w:t>
      </w:r>
      <w:r w:rsidR="00A35C78" w:rsidRPr="00785DC5">
        <w:rPr>
          <w:b/>
          <w:bCs/>
          <w:lang w:eastAsia="en-GB"/>
        </w:rPr>
        <w:t>-</w:t>
      </w:r>
      <w:r w:rsidRPr="00785DC5">
        <w:rPr>
          <w:b/>
          <w:bCs/>
          <w:lang w:eastAsia="en-GB"/>
        </w:rPr>
        <w:t>2024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résolution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69/16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sur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programme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d’activités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Décennie,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Comité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recommande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à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l’État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partie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d’élaborer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</w:rPr>
        <w:t>mettre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œuvre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un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programme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adapté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mesures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politiques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collaboration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avec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organisations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personnes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d’ascendance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africaine.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Comité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demande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à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l’État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partie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d’inclure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dans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son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prochain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rapport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renseignements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précis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sur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mesures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concrètes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qu’il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aura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adoptées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dans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cadre,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compte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tenu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sa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recommandation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générale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n</w:t>
      </w:r>
      <w:r w:rsidR="00A35C78" w:rsidRPr="00785DC5">
        <w:rPr>
          <w:b/>
          <w:bCs/>
          <w:vertAlign w:val="superscript"/>
          <w:lang w:eastAsia="en-GB"/>
        </w:rPr>
        <w:t>o</w:t>
      </w:r>
      <w:r w:rsidR="00A35C78" w:rsidRPr="00785DC5">
        <w:rPr>
          <w:b/>
          <w:bCs/>
          <w:lang w:eastAsia="en-GB"/>
        </w:rPr>
        <w:t> </w:t>
      </w:r>
      <w:r w:rsidRPr="00785DC5">
        <w:rPr>
          <w:b/>
          <w:bCs/>
          <w:lang w:eastAsia="en-GB"/>
        </w:rPr>
        <w:t>34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(2011)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sur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la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discrimination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raciale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envers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les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personnes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d’ascendance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en-GB"/>
        </w:rPr>
        <w:t>africaine.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Consultations</w:t>
      </w:r>
      <w:r w:rsidR="0027585A" w:rsidRPr="00785DC5">
        <w:t xml:space="preserve"> </w:t>
      </w:r>
      <w:r w:rsidR="00A07D62" w:rsidRPr="00785DC5">
        <w:t>avec</w:t>
      </w:r>
      <w:r w:rsidR="0027585A" w:rsidRPr="00785DC5">
        <w:t xml:space="preserve"> </w:t>
      </w:r>
      <w:r w:rsidR="00A07D62" w:rsidRPr="00785DC5">
        <w:t>la</w:t>
      </w:r>
      <w:r w:rsidR="0027585A" w:rsidRPr="00785DC5">
        <w:t xml:space="preserve"> </w:t>
      </w:r>
      <w:r w:rsidR="00A07D62" w:rsidRPr="00785DC5">
        <w:t>société</w:t>
      </w:r>
      <w:r w:rsidR="0027585A" w:rsidRPr="00785DC5">
        <w:t xml:space="preserve"> </w:t>
      </w:r>
      <w:r w:rsidR="00A07D62" w:rsidRPr="00785DC5">
        <w:t>civile</w:t>
      </w:r>
    </w:p>
    <w:p w:rsidR="00A07D62" w:rsidRPr="00785DC5" w:rsidRDefault="00A07D62" w:rsidP="00A35C78">
      <w:pPr>
        <w:pStyle w:val="SingleTxtG"/>
        <w:keepLines/>
      </w:pPr>
      <w:r w:rsidRPr="00785DC5">
        <w:t>32.</w:t>
      </w:r>
      <w:r w:rsidRPr="00785DC5">
        <w:tab/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poursuivre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d’élargir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dialogue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avec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organisations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société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civile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travaillent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domaine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protection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droits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l’homme,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particulier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celles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luttent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cadre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l’élaboration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prochain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rapport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périodique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suivi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présentes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observations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finales.</w:t>
      </w:r>
    </w:p>
    <w:p w:rsidR="00A07D62" w:rsidRPr="00785DC5" w:rsidRDefault="00A35C78" w:rsidP="00A07D62">
      <w:pPr>
        <w:pStyle w:val="H23G"/>
      </w:pPr>
      <w:r w:rsidRPr="00785DC5">
        <w:tab/>
      </w:r>
      <w:r w:rsidRPr="00785DC5">
        <w:tab/>
      </w:r>
      <w:r w:rsidR="00A07D62" w:rsidRPr="00785DC5">
        <w:t>Diffusion</w:t>
      </w:r>
      <w:r w:rsidR="0027585A" w:rsidRPr="00785DC5">
        <w:t xml:space="preserve"> </w:t>
      </w:r>
      <w:r w:rsidR="00A07D62" w:rsidRPr="00785DC5">
        <w:t>d’information</w:t>
      </w:r>
      <w:r w:rsidR="00D82EB2">
        <w:t>s</w:t>
      </w:r>
    </w:p>
    <w:p w:rsidR="00A07D62" w:rsidRPr="00785DC5" w:rsidRDefault="00A07D62" w:rsidP="00A07D62">
      <w:pPr>
        <w:pStyle w:val="SingleTxtG"/>
        <w:rPr>
          <w:b/>
          <w:bCs/>
        </w:rPr>
      </w:pPr>
      <w:r w:rsidRPr="00785DC5">
        <w:t>33.</w:t>
      </w:r>
      <w:r w:rsidRPr="00785DC5">
        <w:tab/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mettre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rapports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disposition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public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dès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soumission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diffuser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également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observations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finales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s’y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rapportent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auprès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tous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organes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chargés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mise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œuvre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y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compris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municipalités,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langues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officielles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autres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langues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couramment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utilisées,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selon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qu’il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conviendra.</w:t>
      </w:r>
    </w:p>
    <w:p w:rsidR="00A07D62" w:rsidRPr="00785DC5" w:rsidRDefault="00A35C78" w:rsidP="00A07D62">
      <w:pPr>
        <w:pStyle w:val="H23G"/>
        <w:rPr>
          <w:bCs/>
          <w:lang w:eastAsia="zh-CN"/>
        </w:rPr>
      </w:pPr>
      <w:r w:rsidRPr="00785DC5">
        <w:tab/>
      </w:r>
      <w:r w:rsidRPr="00785DC5">
        <w:tab/>
      </w:r>
      <w:r w:rsidR="00A07D62" w:rsidRPr="00785DC5">
        <w:t>D</w:t>
      </w:r>
      <w:r w:rsidR="00A07D62" w:rsidRPr="00785DC5">
        <w:rPr>
          <w:bCs/>
          <w:lang w:eastAsia="zh-CN"/>
        </w:rPr>
        <w:t>ocument</w:t>
      </w:r>
      <w:r w:rsidR="0027585A" w:rsidRPr="00785DC5">
        <w:rPr>
          <w:bCs/>
          <w:lang w:eastAsia="zh-CN"/>
        </w:rPr>
        <w:t xml:space="preserve"> </w:t>
      </w:r>
      <w:r w:rsidR="00A07D62" w:rsidRPr="00785DC5">
        <w:rPr>
          <w:bCs/>
          <w:lang w:eastAsia="zh-CN"/>
        </w:rPr>
        <w:t>de</w:t>
      </w:r>
      <w:r w:rsidR="0027585A" w:rsidRPr="00785DC5">
        <w:rPr>
          <w:bCs/>
          <w:lang w:eastAsia="zh-CN"/>
        </w:rPr>
        <w:t xml:space="preserve"> </w:t>
      </w:r>
      <w:r w:rsidR="00A07D62" w:rsidRPr="00785DC5">
        <w:rPr>
          <w:bCs/>
          <w:lang w:eastAsia="zh-CN"/>
        </w:rPr>
        <w:t>base</w:t>
      </w:r>
      <w:r w:rsidR="0027585A" w:rsidRPr="00785DC5">
        <w:rPr>
          <w:bCs/>
          <w:lang w:eastAsia="zh-CN"/>
        </w:rPr>
        <w:t xml:space="preserve"> </w:t>
      </w:r>
      <w:r w:rsidR="00A07D62" w:rsidRPr="00785DC5">
        <w:rPr>
          <w:bCs/>
          <w:lang w:eastAsia="zh-CN"/>
        </w:rPr>
        <w:t>commun</w:t>
      </w:r>
    </w:p>
    <w:p w:rsidR="00A07D62" w:rsidRPr="00785DC5" w:rsidRDefault="00A07D62" w:rsidP="00A07D62">
      <w:pPr>
        <w:pStyle w:val="SingleTxtG"/>
        <w:rPr>
          <w:b/>
        </w:rPr>
      </w:pPr>
      <w:r w:rsidRPr="00785DC5">
        <w:rPr>
          <w:lang w:eastAsia="zh-CN"/>
        </w:rPr>
        <w:t>34.</w:t>
      </w:r>
      <w:r w:rsidRPr="00785DC5">
        <w:rPr>
          <w:lang w:eastAsia="zh-CN"/>
        </w:rPr>
        <w:tab/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encourage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  <w:lang w:eastAsia="zh-CN"/>
        </w:rPr>
        <w:t>soumettre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un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document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base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commun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et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à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mettre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à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jour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régulièrement,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conformément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aux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Directives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harmonisées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concernant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l’établissement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rapports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destinés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aux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organes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créés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en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vertu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d’instruments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internationaux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relatifs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aux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droits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l’homme,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en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particulier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celles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concernant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document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base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commun,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</w:rPr>
        <w:t>adoptées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à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la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cinquième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réunion</w:t>
      </w:r>
      <w:r w:rsidR="0027585A" w:rsidRPr="00785DC5">
        <w:rPr>
          <w:b/>
          <w:bCs/>
          <w:lang w:eastAsia="zh-CN"/>
        </w:rPr>
        <w:t xml:space="preserve"> </w:t>
      </w:r>
      <w:proofErr w:type="spellStart"/>
      <w:r w:rsidRPr="00785DC5">
        <w:rPr>
          <w:b/>
          <w:bCs/>
          <w:lang w:eastAsia="zh-CN"/>
        </w:rPr>
        <w:t>intercomités</w:t>
      </w:r>
      <w:proofErr w:type="spellEnd"/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organes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créés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en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vertu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d’instruments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internationaux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relatifs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aux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droits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l’homme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tenue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en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juin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2006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(HRI/GEN/2/Rev.6,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chap.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I).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en-GB"/>
        </w:rPr>
        <w:t>À</w:t>
      </w:r>
      <w:r w:rsidR="0027585A" w:rsidRPr="00785DC5">
        <w:rPr>
          <w:b/>
          <w:bCs/>
          <w:lang w:eastAsia="en-GB"/>
        </w:rPr>
        <w:t xml:space="preserve"> </w:t>
      </w:r>
      <w:r w:rsidRPr="00785DC5">
        <w:rPr>
          <w:b/>
          <w:bCs/>
          <w:lang w:eastAsia="zh-CN"/>
        </w:rPr>
        <w:t>la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lumière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la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résolution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68/268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l’Assemblée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générale,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Comité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demande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instamment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à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l’État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partie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respecter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la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limite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42</w:t>
      </w:r>
      <w:r w:rsidR="00A35C78" w:rsidRPr="00785DC5">
        <w:rPr>
          <w:b/>
          <w:bCs/>
          <w:lang w:eastAsia="zh-CN"/>
        </w:rPr>
        <w:t> </w:t>
      </w:r>
      <w:r w:rsidRPr="00785DC5">
        <w:rPr>
          <w:b/>
          <w:bCs/>
          <w:lang w:eastAsia="zh-CN"/>
        </w:rPr>
        <w:t>400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mots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fixée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pour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ce</w:t>
      </w:r>
      <w:r w:rsidR="0027585A" w:rsidRPr="00785DC5">
        <w:rPr>
          <w:b/>
          <w:bCs/>
          <w:lang w:eastAsia="zh-CN"/>
        </w:rPr>
        <w:t xml:space="preserve"> </w:t>
      </w:r>
      <w:r w:rsidRPr="00785DC5">
        <w:rPr>
          <w:b/>
          <w:bCs/>
          <w:lang w:eastAsia="zh-CN"/>
        </w:rPr>
        <w:t>document.</w:t>
      </w:r>
    </w:p>
    <w:p w:rsidR="00A07D62" w:rsidRPr="00785DC5" w:rsidRDefault="00A35C78" w:rsidP="000204A0">
      <w:pPr>
        <w:pStyle w:val="H23G"/>
      </w:pPr>
      <w:r w:rsidRPr="00785DC5">
        <w:tab/>
      </w:r>
      <w:r w:rsidRPr="00785DC5">
        <w:tab/>
      </w:r>
      <w:r w:rsidR="00A07D62" w:rsidRPr="00785DC5">
        <w:t>Suite</w:t>
      </w:r>
      <w:r w:rsidR="0027585A" w:rsidRPr="00785DC5">
        <w:t xml:space="preserve"> </w:t>
      </w:r>
      <w:r w:rsidR="00A07D62" w:rsidRPr="00785DC5">
        <w:t>donnée</w:t>
      </w:r>
      <w:r w:rsidR="0027585A" w:rsidRPr="00785DC5">
        <w:t xml:space="preserve"> </w:t>
      </w:r>
      <w:r w:rsidR="00A07D62" w:rsidRPr="00785DC5">
        <w:t>aux</w:t>
      </w:r>
      <w:r w:rsidR="0027585A" w:rsidRPr="00785DC5">
        <w:t xml:space="preserve"> </w:t>
      </w:r>
      <w:r w:rsidR="00A07D62" w:rsidRPr="00785DC5">
        <w:t>présentes</w:t>
      </w:r>
      <w:r w:rsidR="0027585A" w:rsidRPr="00785DC5">
        <w:t xml:space="preserve"> </w:t>
      </w:r>
      <w:r w:rsidR="00A07D62" w:rsidRPr="00785DC5">
        <w:t>observations</w:t>
      </w:r>
      <w:r w:rsidR="0027585A" w:rsidRPr="00785DC5">
        <w:t xml:space="preserve"> </w:t>
      </w:r>
      <w:r w:rsidR="00A07D62" w:rsidRPr="00785DC5">
        <w:t>finales</w:t>
      </w:r>
    </w:p>
    <w:p w:rsidR="00A07D62" w:rsidRPr="00785DC5" w:rsidRDefault="00A07D62" w:rsidP="00A07D62">
      <w:pPr>
        <w:pStyle w:val="SingleTxtG"/>
      </w:pPr>
      <w:r w:rsidRPr="00785DC5">
        <w:t>35.</w:t>
      </w:r>
      <w:r w:rsidRPr="00785DC5">
        <w:tab/>
      </w:r>
      <w:r w:rsidRPr="00785DC5">
        <w:rPr>
          <w:b/>
          <w:bCs/>
        </w:rPr>
        <w:t>Conformément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paragraphe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l’article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9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Convention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l’article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65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règlement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intérieur,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Comité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demande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l’État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partie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fournir,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un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délai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d’un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à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compter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l’adoption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présentes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observations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finales,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renseignements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suite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qu’il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aura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donnée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aux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recommandations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figurant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dans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les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paragraphes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13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(plaintes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pour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discrimination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raciale),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15</w:t>
      </w:r>
      <w:r w:rsidR="00A35C78" w:rsidRPr="00785DC5">
        <w:rPr>
          <w:b/>
          <w:bCs/>
        </w:rPr>
        <w:t> </w:t>
      </w:r>
      <w:r w:rsidRPr="00785DC5">
        <w:rPr>
          <w:b/>
          <w:bCs/>
        </w:rPr>
        <w:t>b)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(crimes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haine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raciale)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et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21</w:t>
      </w:r>
      <w:r w:rsidR="00A35C78" w:rsidRPr="00785DC5">
        <w:rPr>
          <w:b/>
          <w:bCs/>
        </w:rPr>
        <w:t> </w:t>
      </w:r>
      <w:r w:rsidRPr="00785DC5">
        <w:rPr>
          <w:b/>
          <w:bCs/>
        </w:rPr>
        <w:t>a)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(situation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des</w:t>
      </w:r>
      <w:r w:rsidR="0027585A" w:rsidRPr="00785DC5">
        <w:rPr>
          <w:b/>
          <w:bCs/>
        </w:rPr>
        <w:t xml:space="preserve"> </w:t>
      </w:r>
      <w:r w:rsidRPr="00785DC5">
        <w:rPr>
          <w:b/>
          <w:bCs/>
        </w:rPr>
        <w:t>Roms).</w:t>
      </w:r>
    </w:p>
    <w:p w:rsidR="00A07D62" w:rsidRPr="00785DC5" w:rsidRDefault="00A35C78" w:rsidP="0027585A">
      <w:pPr>
        <w:pStyle w:val="H23G"/>
      </w:pPr>
      <w:r w:rsidRPr="00785DC5">
        <w:tab/>
      </w:r>
      <w:r w:rsidRPr="00785DC5">
        <w:tab/>
      </w:r>
      <w:r w:rsidR="00A07D62" w:rsidRPr="00785DC5">
        <w:t>Paragraphes</w:t>
      </w:r>
      <w:r w:rsidR="0027585A" w:rsidRPr="00785DC5">
        <w:t xml:space="preserve"> </w:t>
      </w:r>
      <w:r w:rsidR="00A07D62" w:rsidRPr="00785DC5">
        <w:t>d’importance</w:t>
      </w:r>
      <w:r w:rsidR="0027585A" w:rsidRPr="00785DC5">
        <w:t xml:space="preserve"> </w:t>
      </w:r>
      <w:r w:rsidR="00A07D62" w:rsidRPr="00785DC5">
        <w:t>particulière</w:t>
      </w:r>
    </w:p>
    <w:p w:rsidR="00A07D62" w:rsidRPr="000204A0" w:rsidRDefault="00A07D62" w:rsidP="000204A0">
      <w:pPr>
        <w:pStyle w:val="SingleTxtG"/>
        <w:rPr>
          <w:b/>
          <w:bCs/>
        </w:rPr>
      </w:pPr>
      <w:r w:rsidRPr="00785DC5">
        <w:t>36.</w:t>
      </w:r>
      <w:r w:rsidRPr="00785DC5">
        <w:tab/>
      </w:r>
      <w:r w:rsidRPr="000204A0">
        <w:rPr>
          <w:b/>
          <w:bCs/>
        </w:rPr>
        <w:t>Le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Comité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souhaite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appeler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l’attention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l’État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partie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sur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l’importance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particulière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recommandations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figurant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dans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paragraphes</w:t>
      </w:r>
      <w:r w:rsidR="0027585A" w:rsidRPr="000204A0">
        <w:rPr>
          <w:b/>
          <w:bCs/>
          <w:sz w:val="24"/>
          <w:szCs w:val="24"/>
        </w:rPr>
        <w:t xml:space="preserve"> </w:t>
      </w:r>
      <w:r w:rsidRPr="000204A0">
        <w:rPr>
          <w:b/>
          <w:bCs/>
        </w:rPr>
        <w:t>17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(discours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haine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raciale),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21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(situation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Roms)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27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(formation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éducation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concernant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droits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l’homme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discrimination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raciale)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lui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demande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faire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figurer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dans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prochain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rapport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périodique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renseignements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détaillés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sur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mesures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concrètes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qu’il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aura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prises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pour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y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donner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suite.</w:t>
      </w:r>
    </w:p>
    <w:p w:rsidR="00A07D62" w:rsidRPr="00785DC5" w:rsidRDefault="00A35C78" w:rsidP="000204A0">
      <w:pPr>
        <w:pStyle w:val="H23G"/>
      </w:pPr>
      <w:r w:rsidRPr="00785DC5">
        <w:tab/>
      </w:r>
      <w:r w:rsidRPr="00785DC5">
        <w:tab/>
      </w:r>
      <w:r w:rsidR="00A07D62" w:rsidRPr="00785DC5">
        <w:t>Élaboration</w:t>
      </w:r>
      <w:r w:rsidR="0027585A" w:rsidRPr="00785DC5">
        <w:t xml:space="preserve"> </w:t>
      </w:r>
      <w:r w:rsidR="00A07D62" w:rsidRPr="00785DC5">
        <w:t>du</w:t>
      </w:r>
      <w:r w:rsidR="0027585A" w:rsidRPr="00785DC5">
        <w:t xml:space="preserve"> </w:t>
      </w:r>
      <w:r w:rsidR="00A07D62" w:rsidRPr="00785DC5">
        <w:t>prochain</w:t>
      </w:r>
      <w:r w:rsidR="0027585A" w:rsidRPr="00785DC5">
        <w:t xml:space="preserve"> </w:t>
      </w:r>
      <w:r w:rsidR="00A07D62" w:rsidRPr="00785DC5">
        <w:t>rapport</w:t>
      </w:r>
      <w:r w:rsidR="0027585A" w:rsidRPr="00785DC5">
        <w:t xml:space="preserve"> </w:t>
      </w:r>
      <w:r w:rsidR="00A07D62" w:rsidRPr="00785DC5">
        <w:t>périodique</w:t>
      </w:r>
    </w:p>
    <w:p w:rsidR="00A07D62" w:rsidRPr="000204A0" w:rsidRDefault="00A07D62" w:rsidP="000204A0">
      <w:pPr>
        <w:pStyle w:val="SingleTxtG"/>
        <w:rPr>
          <w:b/>
          <w:bCs/>
        </w:rPr>
      </w:pPr>
      <w:r w:rsidRPr="00785DC5">
        <w:t>37.</w:t>
      </w:r>
      <w:r w:rsidRPr="000204A0">
        <w:rPr>
          <w:b/>
          <w:bCs/>
        </w:rPr>
        <w:tab/>
        <w:t>Le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Comité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recommande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à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l’État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partie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soumettre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rapport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valant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vingt-sixième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vingt-septième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rapports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périodiques,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d’ici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au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4</w:t>
      </w:r>
      <w:r w:rsidR="00A35C78" w:rsidRPr="000204A0">
        <w:rPr>
          <w:b/>
          <w:bCs/>
        </w:rPr>
        <w:t> </w:t>
      </w:r>
      <w:r w:rsidRPr="000204A0">
        <w:rPr>
          <w:b/>
          <w:bCs/>
        </w:rPr>
        <w:t>juin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2022,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tenant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compte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directives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pour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l’établissement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du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document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rapportant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spécifiquement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à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Convention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adoptées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par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Comité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à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soixante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onzième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session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(CERD/C/2007/1)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en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traitant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tous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points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soulevés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dans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présentes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observations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finales.</w:t>
      </w:r>
      <w:r w:rsidR="0027585A" w:rsidRPr="000204A0">
        <w:rPr>
          <w:b/>
          <w:bCs/>
          <w:sz w:val="24"/>
          <w:szCs w:val="24"/>
        </w:rPr>
        <w:t xml:space="preserve"> </w:t>
      </w:r>
      <w:r w:rsidRPr="000204A0">
        <w:rPr>
          <w:b/>
          <w:bCs/>
          <w:lang w:eastAsia="en-GB"/>
        </w:rPr>
        <w:t>À</w:t>
      </w:r>
      <w:r w:rsidR="0027585A" w:rsidRPr="000204A0">
        <w:rPr>
          <w:b/>
          <w:bCs/>
          <w:lang w:eastAsia="en-GB"/>
        </w:rPr>
        <w:t xml:space="preserve"> </w:t>
      </w:r>
      <w:r w:rsidRPr="000204A0">
        <w:rPr>
          <w:b/>
          <w:bCs/>
        </w:rPr>
        <w:t>la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lumière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résolution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68/268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l’Assemblée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générale,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Comité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demande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instamment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à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l’État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partie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respecter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la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limite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de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21</w:t>
      </w:r>
      <w:r w:rsidR="00A35C78" w:rsidRPr="000204A0">
        <w:rPr>
          <w:b/>
          <w:bCs/>
        </w:rPr>
        <w:t> </w:t>
      </w:r>
      <w:r w:rsidRPr="000204A0">
        <w:rPr>
          <w:b/>
          <w:bCs/>
        </w:rPr>
        <w:t>200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mots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fixée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pour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les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rapports</w:t>
      </w:r>
      <w:r w:rsidR="0027585A" w:rsidRPr="000204A0">
        <w:rPr>
          <w:b/>
          <w:bCs/>
        </w:rPr>
        <w:t xml:space="preserve"> </w:t>
      </w:r>
      <w:r w:rsidRPr="000204A0">
        <w:rPr>
          <w:b/>
          <w:bCs/>
        </w:rPr>
        <w:t>périodiques.</w:t>
      </w:r>
    </w:p>
    <w:p w:rsidR="00984B29" w:rsidRPr="00785DC5" w:rsidRDefault="00A35C78" w:rsidP="00A07D62">
      <w:pPr>
        <w:pStyle w:val="SingleTxtG"/>
        <w:spacing w:before="240" w:after="0"/>
        <w:jc w:val="center"/>
        <w:rPr>
          <w:u w:val="single"/>
        </w:rPr>
      </w:pPr>
      <w:r w:rsidRPr="00785DC5">
        <w:rPr>
          <w:u w:val="single"/>
        </w:rPr>
        <w:tab/>
      </w:r>
      <w:r w:rsidRPr="00785DC5">
        <w:rPr>
          <w:u w:val="single"/>
        </w:rPr>
        <w:tab/>
      </w:r>
      <w:r w:rsidR="00A07D62" w:rsidRPr="00785DC5">
        <w:rPr>
          <w:u w:val="single"/>
        </w:rPr>
        <w:tab/>
      </w:r>
    </w:p>
    <w:sectPr w:rsidR="00984B29" w:rsidRPr="00785DC5" w:rsidSect="00A07D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5A" w:rsidRDefault="0027585A" w:rsidP="00F95C08">
      <w:pPr>
        <w:spacing w:line="240" w:lineRule="auto"/>
      </w:pPr>
    </w:p>
  </w:endnote>
  <w:endnote w:type="continuationSeparator" w:id="0">
    <w:p w:rsidR="0027585A" w:rsidRPr="00AC3823" w:rsidRDefault="0027585A" w:rsidP="00AC3823">
      <w:pPr>
        <w:pStyle w:val="Pieddepage"/>
      </w:pPr>
    </w:p>
  </w:endnote>
  <w:endnote w:type="continuationNotice" w:id="1">
    <w:p w:rsidR="0027585A" w:rsidRDefault="002758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5A" w:rsidRPr="00A07D62" w:rsidRDefault="0027585A" w:rsidP="00A07D62">
    <w:pPr>
      <w:pStyle w:val="Pieddepage"/>
      <w:tabs>
        <w:tab w:val="right" w:pos="9638"/>
      </w:tabs>
    </w:pPr>
    <w:r w:rsidRPr="00A07D62">
      <w:rPr>
        <w:b/>
        <w:sz w:val="18"/>
      </w:rPr>
      <w:fldChar w:fldCharType="begin"/>
    </w:r>
    <w:r w:rsidRPr="00A07D62">
      <w:rPr>
        <w:b/>
        <w:sz w:val="18"/>
      </w:rPr>
      <w:instrText xml:space="preserve"> PAGE  \* MERGEFORMAT </w:instrText>
    </w:r>
    <w:r w:rsidRPr="00A07D62">
      <w:rPr>
        <w:b/>
        <w:sz w:val="18"/>
      </w:rPr>
      <w:fldChar w:fldCharType="separate"/>
    </w:r>
    <w:r w:rsidRPr="00A07D62">
      <w:rPr>
        <w:b/>
        <w:noProof/>
        <w:sz w:val="18"/>
      </w:rPr>
      <w:t>2</w:t>
    </w:r>
    <w:r w:rsidRPr="00A07D62">
      <w:rPr>
        <w:b/>
        <w:sz w:val="18"/>
      </w:rPr>
      <w:fldChar w:fldCharType="end"/>
    </w:r>
    <w:r>
      <w:rPr>
        <w:b/>
        <w:sz w:val="18"/>
      </w:rPr>
      <w:tab/>
    </w:r>
    <w:r>
      <w:t>GE.19-09131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5A" w:rsidRPr="00A07D62" w:rsidRDefault="0027585A" w:rsidP="00A07D62">
    <w:pPr>
      <w:pStyle w:val="Pieddepage"/>
      <w:tabs>
        <w:tab w:val="right" w:pos="9638"/>
      </w:tabs>
      <w:rPr>
        <w:b/>
        <w:sz w:val="18"/>
      </w:rPr>
    </w:pPr>
    <w:r>
      <w:t>GE.19-09131</w:t>
    </w:r>
    <w:r>
      <w:tab/>
    </w:r>
    <w:r w:rsidRPr="00A07D62">
      <w:rPr>
        <w:b/>
        <w:sz w:val="18"/>
      </w:rPr>
      <w:fldChar w:fldCharType="begin"/>
    </w:r>
    <w:r w:rsidRPr="00A07D62">
      <w:rPr>
        <w:b/>
        <w:sz w:val="18"/>
      </w:rPr>
      <w:instrText xml:space="preserve"> PAGE  \* MERGEFORMAT </w:instrText>
    </w:r>
    <w:r w:rsidRPr="00A07D62">
      <w:rPr>
        <w:b/>
        <w:sz w:val="18"/>
      </w:rPr>
      <w:fldChar w:fldCharType="separate"/>
    </w:r>
    <w:r w:rsidRPr="00A07D62">
      <w:rPr>
        <w:b/>
        <w:noProof/>
        <w:sz w:val="18"/>
      </w:rPr>
      <w:t>3</w:t>
    </w:r>
    <w:r w:rsidRPr="00A07D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5A" w:rsidRPr="00A07D62" w:rsidRDefault="0027585A" w:rsidP="00A07D62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45B402" wp14:editId="6E1792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19-09131  (F)</w:t>
    </w:r>
    <w:r w:rsidR="00A35C78">
      <w:rPr>
        <w:sz w:val="20"/>
      </w:rPr>
      <w:t xml:space="preserve">    251019    281019</w:t>
    </w:r>
    <w:r>
      <w:rPr>
        <w:sz w:val="20"/>
      </w:rPr>
      <w:br/>
    </w:r>
    <w:r w:rsidRPr="00A07D62">
      <w:rPr>
        <w:rFonts w:ascii="C39T30Lfz" w:hAnsi="C39T30Lfz"/>
        <w:sz w:val="56"/>
      </w:rPr>
      <w:t></w:t>
    </w:r>
    <w:r w:rsidRPr="00A07D62">
      <w:rPr>
        <w:rFonts w:ascii="C39T30Lfz" w:hAnsi="C39T30Lfz"/>
        <w:sz w:val="56"/>
      </w:rPr>
      <w:t></w:t>
    </w:r>
    <w:r w:rsidRPr="00A07D62">
      <w:rPr>
        <w:rFonts w:ascii="C39T30Lfz" w:hAnsi="C39T30Lfz"/>
        <w:sz w:val="56"/>
      </w:rPr>
      <w:t></w:t>
    </w:r>
    <w:r w:rsidRPr="00A07D62">
      <w:rPr>
        <w:rFonts w:ascii="C39T30Lfz" w:hAnsi="C39T30Lfz"/>
        <w:sz w:val="56"/>
      </w:rPr>
      <w:t></w:t>
    </w:r>
    <w:r w:rsidRPr="00A07D62">
      <w:rPr>
        <w:rFonts w:ascii="C39T30Lfz" w:hAnsi="C39T30Lfz"/>
        <w:sz w:val="56"/>
      </w:rPr>
      <w:t></w:t>
    </w:r>
    <w:r w:rsidRPr="00A07D62">
      <w:rPr>
        <w:rFonts w:ascii="C39T30Lfz" w:hAnsi="C39T30Lfz"/>
        <w:sz w:val="56"/>
      </w:rPr>
      <w:t></w:t>
    </w:r>
    <w:r w:rsidRPr="00A07D62">
      <w:rPr>
        <w:rFonts w:ascii="C39T30Lfz" w:hAnsi="C39T30Lfz"/>
        <w:sz w:val="56"/>
      </w:rPr>
      <w:t></w:t>
    </w:r>
    <w:r w:rsidRPr="00A07D62">
      <w:rPr>
        <w:rFonts w:ascii="C39T30Lfz" w:hAnsi="C39T30Lfz"/>
        <w:sz w:val="56"/>
      </w:rPr>
      <w:t></w:t>
    </w:r>
    <w:r w:rsidRPr="00A07D6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ERD/C/HUN/CO/18-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HUN/CO/18-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5A" w:rsidRPr="00AC3823" w:rsidRDefault="002758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585A" w:rsidRPr="00AC3823" w:rsidRDefault="0027585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585A" w:rsidRPr="00AC3823" w:rsidRDefault="0027585A">
      <w:pPr>
        <w:spacing w:line="240" w:lineRule="auto"/>
        <w:rPr>
          <w:sz w:val="2"/>
          <w:szCs w:val="2"/>
        </w:rPr>
      </w:pPr>
    </w:p>
  </w:footnote>
  <w:footnote w:id="2">
    <w:p w:rsidR="0027585A" w:rsidRPr="0027585A" w:rsidRDefault="0027585A">
      <w:pPr>
        <w:pStyle w:val="Notedebasdepage"/>
      </w:pPr>
      <w:r>
        <w:rPr>
          <w:rStyle w:val="Appelnotedebasdep"/>
        </w:rPr>
        <w:tab/>
      </w:r>
      <w:r w:rsidRPr="0027585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Adoptées par le Comité à sa quatre-vingt-dix-huitième session (23 avril-10 mai 2019)</w:t>
      </w:r>
      <w:r w:rsidRPr="00680FC6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5A" w:rsidRPr="00A07D62" w:rsidRDefault="0027585A">
    <w:pPr>
      <w:pStyle w:val="En-tte"/>
    </w:pPr>
    <w:fldSimple w:instr=" TITLE  \* MERGEFORMAT ">
      <w:r w:rsidR="00781380">
        <w:t>CERD/C/HUN/CO/18-25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85A" w:rsidRPr="00A07D62" w:rsidRDefault="0027585A" w:rsidP="00A07D62">
    <w:pPr>
      <w:pStyle w:val="En-tte"/>
      <w:jc w:val="right"/>
    </w:pPr>
    <w:fldSimple w:instr=" TITLE  \* MERGEFORMAT ">
      <w:r w:rsidR="00781380">
        <w:t>CERD/C/HUN/CO/18-25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34CE6D4"/>
    <w:lvl w:ilvl="0" w:tplc="F560206C">
      <w:start w:val="1"/>
      <w:numFmt w:val="decimal"/>
      <w:pStyle w:val="HChGChar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6D84B900"/>
    <w:lvl w:ilvl="0" w:tplc="78607ACC">
      <w:start w:val="1"/>
      <w:numFmt w:val="bullet"/>
      <w:pStyle w:val="HCh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31A52E4"/>
    <w:lvl w:ilvl="0" w:tplc="3B64B33E">
      <w:start w:val="1"/>
      <w:numFmt w:val="bullet"/>
      <w:pStyle w:val="HM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661D"/>
    <w:rsid w:val="00017F94"/>
    <w:rsid w:val="000204A0"/>
    <w:rsid w:val="00023842"/>
    <w:rsid w:val="000334F9"/>
    <w:rsid w:val="0007796D"/>
    <w:rsid w:val="00091C1A"/>
    <w:rsid w:val="000B7790"/>
    <w:rsid w:val="00111F2F"/>
    <w:rsid w:val="0014365E"/>
    <w:rsid w:val="00176178"/>
    <w:rsid w:val="001F525A"/>
    <w:rsid w:val="00215BEC"/>
    <w:rsid w:val="00223272"/>
    <w:rsid w:val="0024779E"/>
    <w:rsid w:val="0027585A"/>
    <w:rsid w:val="00446FE5"/>
    <w:rsid w:val="00452396"/>
    <w:rsid w:val="004F094E"/>
    <w:rsid w:val="005505B7"/>
    <w:rsid w:val="00573BE5"/>
    <w:rsid w:val="00586ED3"/>
    <w:rsid w:val="00596AA9"/>
    <w:rsid w:val="005B5DDB"/>
    <w:rsid w:val="00623CA8"/>
    <w:rsid w:val="00712E6E"/>
    <w:rsid w:val="0071601D"/>
    <w:rsid w:val="00780585"/>
    <w:rsid w:val="00781380"/>
    <w:rsid w:val="00783E9F"/>
    <w:rsid w:val="00785DC5"/>
    <w:rsid w:val="007A62E6"/>
    <w:rsid w:val="0080684C"/>
    <w:rsid w:val="00871C75"/>
    <w:rsid w:val="008776DC"/>
    <w:rsid w:val="009705C8"/>
    <w:rsid w:val="00984B29"/>
    <w:rsid w:val="009D5F1A"/>
    <w:rsid w:val="00A07D62"/>
    <w:rsid w:val="00A30353"/>
    <w:rsid w:val="00A35C78"/>
    <w:rsid w:val="00AC3823"/>
    <w:rsid w:val="00AE323C"/>
    <w:rsid w:val="00AF495E"/>
    <w:rsid w:val="00B00181"/>
    <w:rsid w:val="00B765F7"/>
    <w:rsid w:val="00BA0CA9"/>
    <w:rsid w:val="00BB0B66"/>
    <w:rsid w:val="00C02897"/>
    <w:rsid w:val="00C43E93"/>
    <w:rsid w:val="00D3439C"/>
    <w:rsid w:val="00D71E9B"/>
    <w:rsid w:val="00D82EB2"/>
    <w:rsid w:val="00DB1831"/>
    <w:rsid w:val="00DC0149"/>
    <w:rsid w:val="00DD3BFD"/>
    <w:rsid w:val="00DF6678"/>
    <w:rsid w:val="00F660DF"/>
    <w:rsid w:val="00F95C08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14783"/>
  <w15:docId w15:val="{0F43A9BA-96F5-4501-9E7D-22F57B63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4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F094E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F094E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locked/>
    <w:rsid w:val="0078058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4F094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-tte">
    <w:name w:val="header"/>
    <w:aliases w:val="6_G"/>
    <w:basedOn w:val="Normal"/>
    <w:next w:val="Normal"/>
    <w:link w:val="En-tteCar"/>
    <w:qFormat/>
    <w:rsid w:val="004F094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F094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F094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F094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F094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7805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H1G">
    <w:name w:val="_ H_1_G"/>
    <w:basedOn w:val="Normal"/>
    <w:next w:val="Normal"/>
    <w:qFormat/>
    <w:rsid w:val="004F094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F094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4F094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F094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F094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F094E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F094E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F094E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F094E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F094E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F094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F094E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F094E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F094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F094E"/>
  </w:style>
  <w:style w:type="character" w:customStyle="1" w:styleId="NotedefinCar">
    <w:name w:val="Note de fin Car"/>
    <w:aliases w:val="2_G Car"/>
    <w:basedOn w:val="Policepardfaut"/>
    <w:link w:val="Notedefin"/>
    <w:rsid w:val="004F094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F094E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49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7D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9</Pages>
  <Words>4081</Words>
  <Characters>28574</Characters>
  <Application>Microsoft Office Word</Application>
  <DocSecurity>0</DocSecurity>
  <Lines>1904</Lines>
  <Paragraphs>694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CERD/C/HUN/CO/18-25</vt:lpstr>
    </vt:vector>
  </TitlesOfParts>
  <Company>DCM</Company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CERD/C/HUN/CO/18-25</dc:title>
  <dc:subject/>
  <dc:creator>Nicolas MORIN</dc:creator>
  <cp:keywords/>
  <cp:lastModifiedBy>Nicolas MORIN</cp:lastModifiedBy>
  <cp:revision>2</cp:revision>
  <cp:lastPrinted>2019-10-28T07:58:00Z</cp:lastPrinted>
  <dcterms:created xsi:type="dcterms:W3CDTF">2019-10-28T09:47:00Z</dcterms:created>
  <dcterms:modified xsi:type="dcterms:W3CDTF">2019-10-28T09:47:00Z</dcterms:modified>
</cp:coreProperties>
</file>