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655E1B" w:rsidP="00655E1B">
            <w:pPr>
              <w:suppressAutoHyphens w:val="0"/>
              <w:spacing w:after="20"/>
              <w:jc w:val="right"/>
            </w:pPr>
            <w:r w:rsidRPr="00655E1B">
              <w:rPr>
                <w:sz w:val="40"/>
              </w:rPr>
              <w:t>CERD</w:t>
            </w:r>
            <w:r>
              <w:t>/C/HUN/CO/18-25</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D60575" w:rsidRDefault="00307688" w:rsidP="00D6057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307688" w:rsidRDefault="00655E1B" w:rsidP="00655E1B">
            <w:pPr>
              <w:spacing w:before="240"/>
            </w:pPr>
            <w:r>
              <w:t>Distr.: General</w:t>
            </w:r>
          </w:p>
          <w:p w:rsidR="00655E1B" w:rsidRDefault="00A33037" w:rsidP="00655E1B">
            <w:pPr>
              <w:suppressAutoHyphens w:val="0"/>
            </w:pPr>
            <w:r>
              <w:t>6</w:t>
            </w:r>
            <w:r w:rsidR="00655E1B">
              <w:t xml:space="preserve"> June 2019</w:t>
            </w:r>
          </w:p>
          <w:p w:rsidR="00655E1B" w:rsidRDefault="00655E1B" w:rsidP="00655E1B">
            <w:pPr>
              <w:suppressAutoHyphens w:val="0"/>
            </w:pPr>
          </w:p>
          <w:p w:rsidR="00655E1B" w:rsidRDefault="00655E1B" w:rsidP="00655E1B">
            <w:pPr>
              <w:suppressAutoHyphens w:val="0"/>
            </w:pPr>
            <w:r>
              <w:t>Original: English</w:t>
            </w:r>
          </w:p>
        </w:tc>
      </w:tr>
    </w:tbl>
    <w:p w:rsidR="00655E1B" w:rsidRPr="006B7DB0" w:rsidRDefault="00655E1B">
      <w:pPr>
        <w:spacing w:before="120"/>
        <w:rPr>
          <w:b/>
          <w:sz w:val="24"/>
          <w:szCs w:val="24"/>
        </w:rPr>
      </w:pPr>
      <w:r w:rsidRPr="006B7DB0">
        <w:rPr>
          <w:b/>
          <w:sz w:val="24"/>
          <w:szCs w:val="24"/>
        </w:rPr>
        <w:t>Committee on the Elimination of Racial Discrimination</w:t>
      </w:r>
    </w:p>
    <w:p w:rsidR="00655E1B" w:rsidRPr="006B7DB0" w:rsidRDefault="00655E1B" w:rsidP="00B328A1">
      <w:pPr>
        <w:pStyle w:val="HChG"/>
      </w:pPr>
      <w:r w:rsidRPr="006B7DB0">
        <w:tab/>
      </w:r>
      <w:r w:rsidRPr="006B7DB0">
        <w:tab/>
        <w:t>Concluding observations on the combined eighteenth to twenty-fifth periodic reports of Hungary</w:t>
      </w:r>
      <w:r w:rsidRPr="006B7DB0">
        <w:rPr>
          <w:b w:val="0"/>
          <w:bCs/>
          <w:sz w:val="20"/>
        </w:rPr>
        <w:footnoteReference w:customMarkFollows="1" w:id="1"/>
        <w:t>*</w:t>
      </w:r>
    </w:p>
    <w:p w:rsidR="00655E1B" w:rsidRPr="006B7DB0" w:rsidRDefault="00655E1B" w:rsidP="00B328A1">
      <w:pPr>
        <w:pStyle w:val="SingleTxtG"/>
      </w:pPr>
      <w:r w:rsidRPr="006B7DB0">
        <w:t>1.</w:t>
      </w:r>
      <w:r w:rsidRPr="006B7DB0">
        <w:tab/>
        <w:t xml:space="preserve">The Committee considered the combined eighteenth to twenty-fifth periodic reports </w:t>
      </w:r>
      <w:bookmarkStart w:id="0" w:name="_GoBack"/>
      <w:r w:rsidRPr="006B7DB0">
        <w:t>o</w:t>
      </w:r>
      <w:bookmarkEnd w:id="0"/>
      <w:r w:rsidRPr="006B7DB0">
        <w:t>f Hungary (CERD/C/HUN/18-25), submitted in one document, at its 2719th and 2720th meetings (see CERD/C/SR.2719 and 2720), held on 29 and 30 April 2019. At its 2733rd meeting, held on 8 May 2019, it adopted the present concluding observations.</w:t>
      </w:r>
    </w:p>
    <w:p w:rsidR="00655E1B" w:rsidRPr="006B7DB0" w:rsidRDefault="00655E1B" w:rsidP="00B328A1">
      <w:pPr>
        <w:pStyle w:val="H1G"/>
      </w:pPr>
      <w:r w:rsidRPr="006B7DB0">
        <w:tab/>
        <w:t>A.</w:t>
      </w:r>
      <w:r w:rsidRPr="006B7DB0">
        <w:tab/>
        <w:t>Introduction</w:t>
      </w:r>
    </w:p>
    <w:p w:rsidR="00655E1B" w:rsidRPr="006B7DB0" w:rsidRDefault="00655E1B" w:rsidP="00B328A1">
      <w:pPr>
        <w:pStyle w:val="SingleTxtG"/>
      </w:pPr>
      <w:r w:rsidRPr="006B7DB0">
        <w:t>2.</w:t>
      </w:r>
      <w:r w:rsidRPr="006B7DB0">
        <w:tab/>
        <w:t xml:space="preserve">The Committee welcomes the submission of the eighteenth to twenty-fifth periodic reports of the State party, while regretting the delay in their submission. </w:t>
      </w:r>
    </w:p>
    <w:p w:rsidR="00655E1B" w:rsidRPr="006B7DB0" w:rsidRDefault="00655E1B" w:rsidP="00B328A1">
      <w:pPr>
        <w:pStyle w:val="SingleTxtG"/>
      </w:pPr>
      <w:r w:rsidRPr="006B7DB0">
        <w:t>3.</w:t>
      </w:r>
      <w:r w:rsidRPr="006B7DB0">
        <w:tab/>
        <w:t>The Committee expresses its appreciation for the frank and constructive dialogue with the State party</w:t>
      </w:r>
      <w:r w:rsidR="006B7DB0">
        <w:t>’</w:t>
      </w:r>
      <w:r w:rsidRPr="006B7DB0">
        <w:t>s high-level delegation. It thanks the delegation for the information provided during the consideration of the report, and for the additional written information submitted after the dialogue.</w:t>
      </w:r>
    </w:p>
    <w:p w:rsidR="00655E1B" w:rsidRPr="006B7DB0" w:rsidRDefault="00655E1B" w:rsidP="00B328A1">
      <w:pPr>
        <w:pStyle w:val="H1G"/>
      </w:pPr>
      <w:r w:rsidRPr="006B7DB0">
        <w:tab/>
        <w:t>B.</w:t>
      </w:r>
      <w:r w:rsidRPr="006B7DB0">
        <w:tab/>
        <w:t>Positive aspects</w:t>
      </w:r>
    </w:p>
    <w:p w:rsidR="00655E1B" w:rsidRPr="006B7DB0" w:rsidRDefault="00655E1B" w:rsidP="00B328A1">
      <w:pPr>
        <w:pStyle w:val="SingleTxtG"/>
      </w:pPr>
      <w:r w:rsidRPr="006B7DB0">
        <w:t>4.</w:t>
      </w:r>
      <w:r w:rsidRPr="006B7DB0">
        <w:tab/>
        <w:t>The Committee welcomes the State party</w:t>
      </w:r>
      <w:r w:rsidR="006B7DB0">
        <w:t>’</w:t>
      </w:r>
      <w:r w:rsidRPr="006B7DB0">
        <w:t xml:space="preserve">s ratification of or accession to the following international human rights instruments: </w:t>
      </w:r>
    </w:p>
    <w:p w:rsidR="00655E1B" w:rsidRPr="006B7DB0" w:rsidRDefault="00655E1B" w:rsidP="00B328A1">
      <w:pPr>
        <w:pStyle w:val="SingleTxtG"/>
      </w:pPr>
      <w:r w:rsidRPr="006B7DB0">
        <w:tab/>
        <w:t>(a)</w:t>
      </w:r>
      <w:r w:rsidRPr="006B7DB0">
        <w:tab/>
        <w:t>The Convention on the Rights of Persons with Disabilities, on 20 July 2007;</w:t>
      </w:r>
    </w:p>
    <w:p w:rsidR="00655E1B" w:rsidRPr="006B7DB0" w:rsidRDefault="00655E1B" w:rsidP="00B328A1">
      <w:pPr>
        <w:pStyle w:val="SingleTxtG"/>
      </w:pPr>
      <w:r w:rsidRPr="006B7DB0">
        <w:tab/>
        <w:t>(b)</w:t>
      </w:r>
      <w:r w:rsidRPr="006B7DB0">
        <w:tab/>
        <w:t>The Optional Protocol to the Convention on the Rights of Persons with Disabilities, on 20 July 2007, including acceptance of the inquiry procedure;</w:t>
      </w:r>
    </w:p>
    <w:p w:rsidR="00655E1B" w:rsidRPr="006B7DB0" w:rsidRDefault="00655E1B" w:rsidP="00B328A1">
      <w:pPr>
        <w:pStyle w:val="SingleTxtG"/>
      </w:pPr>
      <w:r w:rsidRPr="006B7DB0">
        <w:tab/>
        <w:t>(c)</w:t>
      </w:r>
      <w:r w:rsidRPr="006B7DB0">
        <w:tab/>
        <w:t>The Optional Protocol to the Convention on the Rights of the Child on the involvement of children in armed conflict, on 24 February 2010;</w:t>
      </w:r>
    </w:p>
    <w:p w:rsidR="00655E1B" w:rsidRPr="006B7DB0" w:rsidRDefault="00655E1B" w:rsidP="00B328A1">
      <w:pPr>
        <w:pStyle w:val="SingleTxtG"/>
      </w:pPr>
      <w:r w:rsidRPr="006B7DB0">
        <w:tab/>
        <w:t>(d)</w:t>
      </w:r>
      <w:r w:rsidRPr="006B7DB0">
        <w:tab/>
        <w:t>The Optional Protocol to the Convention on the Rights of the Child on the sale of children, child prostitution and child pornography, on 24 February 2010;</w:t>
      </w:r>
    </w:p>
    <w:p w:rsidR="00655E1B" w:rsidRPr="006B7DB0" w:rsidRDefault="00655E1B" w:rsidP="00B328A1">
      <w:pPr>
        <w:pStyle w:val="SingleTxtG"/>
      </w:pPr>
      <w:r w:rsidRPr="006B7DB0">
        <w:tab/>
        <w:t>(e)</w:t>
      </w:r>
      <w:r w:rsidRPr="006B7DB0">
        <w:tab/>
        <w:t xml:space="preserve">The Optional Protocol to the Convention against Torture and Other Cruel, Inhuman or Degrading Treatment or Punishment, on 12 January 2012. </w:t>
      </w:r>
    </w:p>
    <w:p w:rsidR="00655E1B" w:rsidRPr="006B7DB0" w:rsidRDefault="00655E1B" w:rsidP="00B328A1">
      <w:pPr>
        <w:pStyle w:val="SingleTxtG"/>
      </w:pPr>
      <w:r w:rsidRPr="006B7DB0">
        <w:t>5.</w:t>
      </w:r>
      <w:r w:rsidRPr="006B7DB0">
        <w:tab/>
        <w:t xml:space="preserve">The Committee also welcomes the adoption of Act CXXV of 2003 on equal treatment and on promotion of equal opportunities (Equal Treatment Act). </w:t>
      </w:r>
    </w:p>
    <w:p w:rsidR="00655E1B" w:rsidRPr="006B7DB0" w:rsidRDefault="00655E1B" w:rsidP="00B328A1">
      <w:pPr>
        <w:pStyle w:val="H1G"/>
      </w:pPr>
      <w:r w:rsidRPr="006B7DB0">
        <w:lastRenderedPageBreak/>
        <w:tab/>
      </w:r>
      <w:r w:rsidR="00B328A1" w:rsidRPr="006B7DB0">
        <w:t>C.</w:t>
      </w:r>
      <w:r w:rsidR="00B328A1" w:rsidRPr="006B7DB0">
        <w:tab/>
        <w:t>Concerns and recommendations</w:t>
      </w:r>
    </w:p>
    <w:p w:rsidR="00655E1B" w:rsidRPr="006B7DB0" w:rsidRDefault="00655E1B" w:rsidP="00713E53">
      <w:pPr>
        <w:pStyle w:val="H23G"/>
      </w:pPr>
      <w:r w:rsidRPr="006B7DB0">
        <w:tab/>
      </w:r>
      <w:r w:rsidRPr="006B7DB0">
        <w:tab/>
        <w:t>Statistics</w:t>
      </w:r>
    </w:p>
    <w:p w:rsidR="00655E1B" w:rsidRPr="006B7DB0" w:rsidRDefault="00655E1B" w:rsidP="00B328A1">
      <w:pPr>
        <w:pStyle w:val="SingleTxtG"/>
      </w:pPr>
      <w:r w:rsidRPr="006B7DB0">
        <w:t>6.</w:t>
      </w:r>
      <w:r w:rsidRPr="006B7DB0">
        <w:tab/>
        <w:t xml:space="preserve">The Committee takes note of the statistics provided by the State party, after the dialogue, on the ethnic composition and mother tongue of the population from the 2011 census. It also takes note of some socioeconomic indicators on the situation of Roma. The Committee regrets, however, that the State party has not provided statistics or comprehensive information on the policy for the collection of socioeconomic indicators for other ethnic groups. It also regrets the lack of statistics on migrants, asylum seekers and refugees encompassing multiple years (art. 2). </w:t>
      </w:r>
    </w:p>
    <w:p w:rsidR="00655E1B" w:rsidRPr="006B7DB0" w:rsidRDefault="00655E1B" w:rsidP="00B328A1">
      <w:pPr>
        <w:pStyle w:val="SingleTxtG"/>
        <w:rPr>
          <w:b/>
          <w:bCs/>
        </w:rPr>
      </w:pPr>
      <w:r w:rsidRPr="006B7DB0">
        <w:t>7.</w:t>
      </w:r>
      <w:r w:rsidRPr="006B7DB0">
        <w:tab/>
      </w:r>
      <w:r w:rsidRPr="006B7DB0">
        <w:rPr>
          <w:b/>
          <w:bCs/>
        </w:rPr>
        <w:t xml:space="preserve">Recalling its reporting guidelines (CERD/C/2007/1) and its general recommendation No. 8 (1990) concerning the interpretation and application of article 1 (1) and (4) of the Convention, the Committee recommends that the State party gather updated statistics on the ethnic composition of its population, disaggregated by ethnicity, national origin and languages spoken, and develop socioeconomic indicators on the enjoyment of rights by various ethnic groups, disaggregated by sex, gender and ethnicity, including through dialogue with ethnic minorities and by diversifying its data-collection activities, using various indicators of ethnic diversity and allowing respondents to report anonymously and to choose self-identification in order to provide an adequate empirical basis for monitoring the enjoyment of all the rights enshrined in the Convention. The Committee requests that the State party include the updated statistics in its next periodic report, along with statistics on migrants, asylum seekers and refugees encompassing multiple years. </w:t>
      </w:r>
    </w:p>
    <w:p w:rsidR="00655E1B" w:rsidRPr="006B7DB0" w:rsidRDefault="00655E1B" w:rsidP="00713E53">
      <w:pPr>
        <w:pStyle w:val="H23G"/>
      </w:pPr>
      <w:r w:rsidRPr="006B7DB0">
        <w:tab/>
      </w:r>
      <w:r w:rsidRPr="006B7DB0">
        <w:tab/>
        <w:t>National human rights institution</w:t>
      </w:r>
    </w:p>
    <w:p w:rsidR="00655E1B" w:rsidRPr="006B7DB0" w:rsidRDefault="00655E1B" w:rsidP="00B328A1">
      <w:pPr>
        <w:pStyle w:val="SingleTxtG"/>
      </w:pPr>
      <w:r w:rsidRPr="006B7DB0">
        <w:t>8.</w:t>
      </w:r>
      <w:r w:rsidRPr="006B7DB0">
        <w:tab/>
        <w:t xml:space="preserve">While welcoming the establishment of the Commissioner for Fundamental Rights in 2011, and the attribution of A status to the institution by the Global Alliance of National Human Rights Institutions, the Committee is concerned that the Deputy Commissioner responsible for the rights of national minorities is placed under the Commissioner for Fundamental Rights with special regard to the rights of the child and disabled people, which may impede the Deputy Commissioner from carrying out the work to prohibit racial discrimination in a fully independent and impartial manner. The Committee regrets the lack of information on the work of the Office of the Commissioner for Fundamental Rights to prevent racial discrimination and xenophobia against vulnerable ethnic minorities including migrants, refugees and asylum seekers. The Committee takes note of the establishment of the Deputy Commissioner responsible for protecting the interests of future generations. </w:t>
      </w:r>
    </w:p>
    <w:p w:rsidR="00655E1B" w:rsidRPr="006B7DB0" w:rsidRDefault="00655E1B" w:rsidP="00B328A1">
      <w:pPr>
        <w:pStyle w:val="SingleTxtG"/>
        <w:rPr>
          <w:b/>
          <w:bCs/>
        </w:rPr>
      </w:pPr>
      <w:r w:rsidRPr="006B7DB0">
        <w:t>9.</w:t>
      </w:r>
      <w:r w:rsidRPr="006B7DB0">
        <w:tab/>
      </w:r>
      <w:r w:rsidRPr="006B7DB0">
        <w:rPr>
          <w:b/>
          <w:bCs/>
        </w:rPr>
        <w:t>The Committee recommends that the State party ensure that the Commissioner for Fundamental Rights and the Deputy Commissioners are able to fully discharge their mandates in an independent and impartial manner, in accordance with the principles relating to the status of national institutions for the promotion and protection of human rights (the Paris Principles). It also recommends that the Commissioner</w:t>
      </w:r>
      <w:r w:rsidR="006B7DB0">
        <w:rPr>
          <w:b/>
          <w:bCs/>
        </w:rPr>
        <w:t>’</w:t>
      </w:r>
      <w:r w:rsidRPr="006B7DB0">
        <w:rPr>
          <w:b/>
          <w:bCs/>
        </w:rPr>
        <w:t xml:space="preserve">s Office increase its work on the prohibition of racial discrimination and xenophobia, particularly with regard to vulnerable ethnic minorities, including migrants, refugees and asylum seekers, and that it assist all victims of violations under the Convention in gaining access to justice. The Committee further recommends that awareness-raising programmes be carried out by the Deputy Commissioner responsible for protecting the interests of future generations on sustainable development and human rights education for young people, with a view to promoting tolerance, as set out in article 7 of the Convention. </w:t>
      </w:r>
    </w:p>
    <w:p w:rsidR="00655E1B" w:rsidRPr="006B7DB0" w:rsidRDefault="00655E1B" w:rsidP="00713E53">
      <w:pPr>
        <w:pStyle w:val="H23G"/>
      </w:pPr>
      <w:r w:rsidRPr="006B7DB0">
        <w:tab/>
      </w:r>
      <w:r w:rsidRPr="006B7DB0">
        <w:tab/>
        <w:t xml:space="preserve">Anti-discrimination legal framework and its enforcement </w:t>
      </w:r>
    </w:p>
    <w:p w:rsidR="00655E1B" w:rsidRPr="006B7DB0" w:rsidRDefault="00655E1B" w:rsidP="00B328A1">
      <w:pPr>
        <w:pStyle w:val="SingleTxtG"/>
      </w:pPr>
      <w:r w:rsidRPr="006B7DB0">
        <w:t>10.</w:t>
      </w:r>
      <w:r w:rsidRPr="006B7DB0">
        <w:tab/>
        <w:t>While noting the State party</w:t>
      </w:r>
      <w:r w:rsidR="006B7DB0">
        <w:t>’</w:t>
      </w:r>
      <w:r w:rsidRPr="006B7DB0">
        <w:t xml:space="preserve">s progress in strengthening its legal framework against racial discrimination since 2002, including through the adoption of the Fundamental Law of Hungary, the Equal Treatment Act and specific provisions of the Labour Code that promote equal treatment, the Committee is concerned that the legal provisions prohibiting discrimination do not include all prohibited grounds of discrimination as specified in article </w:t>
      </w:r>
      <w:r w:rsidRPr="006B7DB0">
        <w:lastRenderedPageBreak/>
        <w:t xml:space="preserve">1 of the Convention. The Committee is also concerned at the lack of full and consistent implementation of those legal provisions and the lack of detailed examples of the specific invocation of legal provisions prohibiting racial discrimination in courts and relevant complaint mechanisms. </w:t>
      </w:r>
    </w:p>
    <w:p w:rsidR="00655E1B" w:rsidRPr="006B7DB0" w:rsidRDefault="00655E1B" w:rsidP="00B328A1">
      <w:pPr>
        <w:pStyle w:val="SingleTxtG"/>
        <w:rPr>
          <w:b/>
          <w:bCs/>
        </w:rPr>
      </w:pPr>
      <w:r w:rsidRPr="006B7DB0">
        <w:t>11.</w:t>
      </w:r>
      <w:r w:rsidRPr="006B7DB0">
        <w:tab/>
      </w:r>
      <w:r w:rsidRPr="006B7DB0">
        <w:rPr>
          <w:b/>
          <w:bCs/>
        </w:rPr>
        <w:t>The Committee recommends that the State party ensure that all legislation prohibiting racial discrimination includes all grounds of discrimination, as stipulated in article 1 (1) of the Convention. It also recommends that the State party take measures to ensure the full and effective implementation of existing legal provisions prohibiting racial discrimination and facilitate effective access to justice and provide appropriate remedies for all victims of racial discrimination. The Committee requests the State party to provide in its next periodic report detailed examples of cases of racial discrimination, including an analysis of and data on the application of the Convention through relevant legal provisions in judicial and administrative decisions.</w:t>
      </w:r>
    </w:p>
    <w:p w:rsidR="00655E1B" w:rsidRPr="006B7DB0" w:rsidRDefault="00655E1B" w:rsidP="00EA77DF">
      <w:pPr>
        <w:pStyle w:val="H23G"/>
      </w:pPr>
      <w:r w:rsidRPr="006B7DB0">
        <w:tab/>
      </w:r>
      <w:r w:rsidRPr="006B7DB0">
        <w:tab/>
        <w:t xml:space="preserve">Complaints of racial discrimination </w:t>
      </w:r>
    </w:p>
    <w:p w:rsidR="00655E1B" w:rsidRPr="006B7DB0" w:rsidRDefault="00655E1B" w:rsidP="006B7DB0">
      <w:pPr>
        <w:pStyle w:val="SingleTxtG"/>
      </w:pPr>
      <w:r w:rsidRPr="006B7DB0">
        <w:t>12.</w:t>
      </w:r>
      <w:r w:rsidRPr="006B7DB0">
        <w:tab/>
        <w:t>The Committee notes that the Equal Treatment Authority and the Commissioner for Fundamental Rights each consider complaints on racial discrimination under their mandates, and it takes note of the information provided following the dialogue on some categories of cases considered by these mechanisms and by the national judiciary. However, the Committee regrets the lack of clarity regarding which entity holds the jurisdiction for complaints in criminal cases and, particularly in the area of criminal prosecution, the lack of comprehensive information on the criteria for indictment, conviction and the imposition of penalties, disaggregated by the national or ethnic origin of the perpetrators and the victims. The Committee reminds the State party that a low number of complaints does not necessarily signify the absence of racial discrimination in the State party; it may signify the existence of barriers to the invocation of the rights in the Convention domestically, such as a lack of trust among victims in the State party</w:t>
      </w:r>
      <w:r w:rsidR="006B7DB0">
        <w:t>’</w:t>
      </w:r>
      <w:r w:rsidRPr="006B7DB0">
        <w:t>s justice institutions and authorities (arts. 6</w:t>
      </w:r>
      <w:r w:rsidR="006B7DB0">
        <w:t>–</w:t>
      </w:r>
      <w:r w:rsidRPr="006B7DB0">
        <w:t xml:space="preserve">7). </w:t>
      </w:r>
    </w:p>
    <w:p w:rsidR="00655E1B" w:rsidRPr="006B7DB0" w:rsidRDefault="00655E1B" w:rsidP="00B328A1">
      <w:pPr>
        <w:pStyle w:val="SingleTxtG"/>
        <w:rPr>
          <w:b/>
          <w:bCs/>
        </w:rPr>
      </w:pPr>
      <w:r w:rsidRPr="006B7DB0">
        <w:t>13.</w:t>
      </w:r>
      <w:r w:rsidRPr="006B7DB0">
        <w:tab/>
      </w:r>
      <w:r w:rsidRPr="006B7DB0">
        <w:rPr>
          <w:b/>
          <w:bCs/>
        </w:rPr>
        <w:t xml:space="preserve">The Committee recommends that the State party provide it with detailed information on complaints of racial discrimination lodged with the Equal Treatment Authority, the Commissioner for Fundamental Rights, the courts or other relevant complaint mechanisms, including statistics on the number and type of complaints of racial discrimination and prosecutions and convictions of perpetrators, disaggregated by the age, gender and ethnic origin of the victim, as well as information on compensation to victims. It also recommends that the State party facilitate the lodging of complaints and ensure access to justice for all victims of racial discrimination through judicial and non-judicial recourse. </w:t>
      </w:r>
    </w:p>
    <w:p w:rsidR="00655E1B" w:rsidRPr="006B7DB0" w:rsidRDefault="00655E1B" w:rsidP="00EA77DF">
      <w:pPr>
        <w:pStyle w:val="H23G"/>
      </w:pPr>
      <w:r w:rsidRPr="006B7DB0">
        <w:tab/>
      </w:r>
      <w:r w:rsidRPr="006B7DB0">
        <w:tab/>
        <w:t xml:space="preserve">Racist hate crimes </w:t>
      </w:r>
    </w:p>
    <w:p w:rsidR="00655E1B" w:rsidRPr="006B7DB0" w:rsidRDefault="00655E1B" w:rsidP="00B328A1">
      <w:pPr>
        <w:pStyle w:val="SingleTxtG"/>
      </w:pPr>
      <w:r w:rsidRPr="006B7DB0">
        <w:t>14.</w:t>
      </w:r>
      <w:r w:rsidRPr="006B7DB0">
        <w:tab/>
        <w:t xml:space="preserve">While taking note of information provided on the legal framework on hate crimes, measures taken to train the police and the application of the recently amended criminal legislation, submitted after the dialogue, the Committee is concerned: </w:t>
      </w:r>
    </w:p>
    <w:p w:rsidR="00655E1B" w:rsidRPr="006B7DB0" w:rsidRDefault="00655E1B" w:rsidP="00B328A1">
      <w:pPr>
        <w:pStyle w:val="SingleTxtG"/>
      </w:pPr>
      <w:r w:rsidRPr="006B7DB0">
        <w:tab/>
        <w:t>(a)</w:t>
      </w:r>
      <w:r w:rsidRPr="006B7DB0">
        <w:tab/>
        <w:t xml:space="preserve">By the persistence of racist hate crimes, including violent racist hate crimes, in particular against Roma; </w:t>
      </w:r>
    </w:p>
    <w:p w:rsidR="00655E1B" w:rsidRPr="006B7DB0" w:rsidRDefault="00655E1B" w:rsidP="00B328A1">
      <w:pPr>
        <w:pStyle w:val="SingleTxtG"/>
      </w:pPr>
      <w:r w:rsidRPr="006B7DB0">
        <w:tab/>
        <w:t>(b)</w:t>
      </w:r>
      <w:r w:rsidRPr="006B7DB0">
        <w:tab/>
        <w:t xml:space="preserve">About the lack of clarity on the criteria for the imposition of penalties for perpetrators of hate crimes and other measures for the protection of vulnerable groups; </w:t>
      </w:r>
    </w:p>
    <w:p w:rsidR="00655E1B" w:rsidRPr="006B7DB0" w:rsidRDefault="00655E1B" w:rsidP="00B328A1">
      <w:pPr>
        <w:pStyle w:val="SingleTxtG"/>
      </w:pPr>
      <w:r w:rsidRPr="006B7DB0">
        <w:tab/>
        <w:t>(c)</w:t>
      </w:r>
      <w:r w:rsidRPr="006B7DB0">
        <w:tab/>
        <w:t xml:space="preserve">That the improper classification and recording of cases of hate crime and the lack of proper investigations lead to a lack of accountability for the perpetrators; </w:t>
      </w:r>
    </w:p>
    <w:p w:rsidR="00655E1B" w:rsidRPr="006B7DB0" w:rsidRDefault="00655E1B" w:rsidP="00B328A1">
      <w:pPr>
        <w:pStyle w:val="SingleTxtG"/>
      </w:pPr>
      <w:r w:rsidRPr="006B7DB0">
        <w:tab/>
        <w:t>(d)</w:t>
      </w:r>
      <w:r w:rsidRPr="006B7DB0">
        <w:tab/>
        <w:t>By reports that the hate crime provisions are applied more frequently to protect the majority rather than ethnic minority groups, and more severe punishments are applied in cases where the offenders belong to ethnic minority groups (arts. 4 and 6).</w:t>
      </w:r>
    </w:p>
    <w:p w:rsidR="00655E1B" w:rsidRPr="006B7DB0" w:rsidRDefault="00655E1B" w:rsidP="00B328A1">
      <w:pPr>
        <w:pStyle w:val="SingleTxtG"/>
        <w:rPr>
          <w:b/>
          <w:bCs/>
        </w:rPr>
      </w:pPr>
      <w:r w:rsidRPr="006B7DB0">
        <w:t>15.</w:t>
      </w:r>
      <w:r w:rsidRPr="006B7DB0">
        <w:tab/>
      </w:r>
      <w:r w:rsidRPr="006B7DB0">
        <w:rPr>
          <w:b/>
          <w:bCs/>
        </w:rPr>
        <w:t xml:space="preserve">In the light of its general recommendation No. 7 (1985) relating to the implementation of article 4 of the Convention, the Committee recommends that the State party strengthen its efforts to combat racist hate crimes effectively, including by: </w:t>
      </w:r>
    </w:p>
    <w:p w:rsidR="00655E1B" w:rsidRPr="006B7DB0" w:rsidRDefault="00EA77DF" w:rsidP="00B328A1">
      <w:pPr>
        <w:pStyle w:val="SingleTxtG"/>
        <w:rPr>
          <w:b/>
          <w:bCs/>
        </w:rPr>
      </w:pPr>
      <w:r w:rsidRPr="006B7DB0">
        <w:lastRenderedPageBreak/>
        <w:tab/>
      </w:r>
      <w:r w:rsidR="00655E1B" w:rsidRPr="006B7DB0">
        <w:t>(a)</w:t>
      </w:r>
      <w:r w:rsidR="00655E1B" w:rsidRPr="006B7DB0">
        <w:tab/>
      </w:r>
      <w:r w:rsidR="00655E1B" w:rsidRPr="006B7DB0">
        <w:rPr>
          <w:b/>
          <w:bCs/>
        </w:rPr>
        <w:t>Taking immediate measures to prevent racist hate crimes and racist violence, and to protect vulnerable groups;</w:t>
      </w:r>
    </w:p>
    <w:p w:rsidR="00655E1B" w:rsidRPr="006B7DB0" w:rsidRDefault="00EA77DF" w:rsidP="00B328A1">
      <w:pPr>
        <w:pStyle w:val="SingleTxtG"/>
        <w:rPr>
          <w:b/>
          <w:bCs/>
        </w:rPr>
      </w:pPr>
      <w:r w:rsidRPr="006B7DB0">
        <w:rPr>
          <w:b/>
          <w:bCs/>
        </w:rPr>
        <w:tab/>
      </w:r>
      <w:r w:rsidR="00655E1B" w:rsidRPr="006B7DB0">
        <w:t>(b)</w:t>
      </w:r>
      <w:r w:rsidR="00655E1B" w:rsidRPr="006B7DB0">
        <w:rPr>
          <w:b/>
          <w:bCs/>
        </w:rPr>
        <w:tab/>
        <w:t>Providing detailed information on the implementation of legislation to prevent racist hate crimes and other measures taken to protect vulnerable groups and their impact, including examples of cases and statistics on the number and types of complaints, investigations, convictions and sanctions, disaggregated by ethnicity, age and gender of the perpetrators and the victims and information on the criteria for imposing sanctions;</w:t>
      </w:r>
    </w:p>
    <w:p w:rsidR="00655E1B" w:rsidRPr="006B7DB0" w:rsidRDefault="00EA77DF" w:rsidP="00B328A1">
      <w:pPr>
        <w:pStyle w:val="SingleTxtG"/>
        <w:rPr>
          <w:b/>
          <w:bCs/>
        </w:rPr>
      </w:pPr>
      <w:r w:rsidRPr="006B7DB0">
        <w:rPr>
          <w:b/>
          <w:bCs/>
        </w:rPr>
        <w:tab/>
      </w:r>
      <w:r w:rsidR="00655E1B" w:rsidRPr="006B7DB0">
        <w:t>(c)</w:t>
      </w:r>
      <w:r w:rsidR="00655E1B" w:rsidRPr="006B7DB0">
        <w:rPr>
          <w:b/>
          <w:bCs/>
        </w:rPr>
        <w:tab/>
        <w:t xml:space="preserve">Continuing to provide training to police officers, prosecutors, lawyers and the judiciary on the proper identification, registration, investigation and prosecution of racist hate crimes; </w:t>
      </w:r>
    </w:p>
    <w:p w:rsidR="00655E1B" w:rsidRPr="006B7DB0" w:rsidRDefault="00EA77DF" w:rsidP="00B328A1">
      <w:pPr>
        <w:pStyle w:val="SingleTxtG"/>
        <w:rPr>
          <w:b/>
          <w:bCs/>
        </w:rPr>
      </w:pPr>
      <w:r w:rsidRPr="006B7DB0">
        <w:rPr>
          <w:b/>
          <w:bCs/>
        </w:rPr>
        <w:tab/>
      </w:r>
      <w:r w:rsidR="00655E1B" w:rsidRPr="006B7DB0">
        <w:t>(d)</w:t>
      </w:r>
      <w:r w:rsidR="00655E1B" w:rsidRPr="006B7DB0">
        <w:rPr>
          <w:b/>
          <w:bCs/>
        </w:rPr>
        <w:tab/>
        <w:t>Ensuring the effective registration, investigation and prosecution of all reported hate crimes and the imposition of appropriate penalties on perpetrators;</w:t>
      </w:r>
    </w:p>
    <w:p w:rsidR="00655E1B" w:rsidRPr="006B7DB0" w:rsidRDefault="00EA77DF" w:rsidP="00B328A1">
      <w:pPr>
        <w:pStyle w:val="SingleTxtG"/>
        <w:rPr>
          <w:b/>
          <w:bCs/>
        </w:rPr>
      </w:pPr>
      <w:r w:rsidRPr="006B7DB0">
        <w:rPr>
          <w:b/>
          <w:bCs/>
        </w:rPr>
        <w:tab/>
      </w:r>
      <w:r w:rsidR="00655E1B" w:rsidRPr="006B7DB0">
        <w:t>(d)</w:t>
      </w:r>
      <w:r w:rsidR="00655E1B" w:rsidRPr="006B7DB0">
        <w:rPr>
          <w:b/>
          <w:bCs/>
        </w:rPr>
        <w:tab/>
        <w:t xml:space="preserve">Ensuring that legislation on racist hate crime protects the majority and minority groups from racist incidents in an equal manner and that penalties are imposed on the basis of objective criteria and not on the basis of the ethnicity of the perpetrator or victim. </w:t>
      </w:r>
    </w:p>
    <w:p w:rsidR="00655E1B" w:rsidRPr="006B7DB0" w:rsidRDefault="00655E1B" w:rsidP="00EA77DF">
      <w:pPr>
        <w:pStyle w:val="H23G"/>
      </w:pPr>
      <w:r w:rsidRPr="006B7DB0">
        <w:tab/>
      </w:r>
      <w:r w:rsidRPr="006B7DB0">
        <w:tab/>
        <w:t xml:space="preserve">Racist hate speech </w:t>
      </w:r>
    </w:p>
    <w:p w:rsidR="00655E1B" w:rsidRPr="006B7DB0" w:rsidRDefault="00655E1B" w:rsidP="00B328A1">
      <w:pPr>
        <w:pStyle w:val="SingleTxtG"/>
      </w:pPr>
      <w:r w:rsidRPr="006B7DB0">
        <w:t>16.</w:t>
      </w:r>
      <w:r w:rsidRPr="006B7DB0">
        <w:tab/>
        <w:t>The Committee is deeply alarmed by the prevalence of racist hate speech in the State party against Roma, migrants, refugees, asylum seekers and other minorities, which fuels hatred and intolerance and at times incites violence towards such groups, in particular from leading politicians and in the media, including on the Internet. It is especially deeply alarmed at reports that public figures in the State party, including at the highest levels, have made statements that may promote racial hatred, in particular as part of the Government</w:t>
      </w:r>
      <w:r w:rsidR="006B7DB0">
        <w:t>’</w:t>
      </w:r>
      <w:r w:rsidRPr="006B7DB0">
        <w:t>s anti-immigrant and anti-refugee campaign started in 2015. Furthermore, the Committee is concerned by the lack of detailed information on investigations and prosecutions of, and convictions for, racist hate speech, especially by public figures, including politicians (art. 4).</w:t>
      </w:r>
    </w:p>
    <w:p w:rsidR="00655E1B" w:rsidRPr="006B7DB0" w:rsidRDefault="00655E1B" w:rsidP="00B328A1">
      <w:pPr>
        <w:pStyle w:val="SingleTxtG"/>
        <w:rPr>
          <w:b/>
          <w:bCs/>
        </w:rPr>
      </w:pPr>
      <w:r w:rsidRPr="006B7DB0">
        <w:t>17.</w:t>
      </w:r>
      <w:r w:rsidRPr="006B7DB0">
        <w:tab/>
      </w:r>
      <w:r w:rsidRPr="006B7DB0">
        <w:rPr>
          <w:b/>
          <w:bCs/>
        </w:rPr>
        <w:t>Recalling its general recommendation No. 35 (2013) on combating racist hate speech, the Committee recommends that the State party:</w:t>
      </w:r>
    </w:p>
    <w:p w:rsidR="00655E1B" w:rsidRPr="006B7DB0" w:rsidRDefault="00857846" w:rsidP="00B328A1">
      <w:pPr>
        <w:pStyle w:val="SingleTxtG"/>
        <w:rPr>
          <w:b/>
          <w:bCs/>
        </w:rPr>
      </w:pPr>
      <w:r w:rsidRPr="006B7DB0">
        <w:rPr>
          <w:b/>
          <w:bCs/>
        </w:rPr>
        <w:tab/>
      </w:r>
      <w:r w:rsidR="00655E1B" w:rsidRPr="006B7DB0">
        <w:t>(a)</w:t>
      </w:r>
      <w:r w:rsidR="00655E1B" w:rsidRPr="006B7DB0">
        <w:rPr>
          <w:b/>
          <w:bCs/>
        </w:rPr>
        <w:tab/>
        <w:t>Take all immediate measures to stop racist hate speech and incitement to violence, publicly condemn and distance itself, including in the media and on the Internet, from racist hate speech by public figures, including politicians, and take measures to protect vulnerable affected groups;</w:t>
      </w:r>
    </w:p>
    <w:p w:rsidR="00655E1B" w:rsidRPr="006B7DB0" w:rsidRDefault="00857846" w:rsidP="00B328A1">
      <w:pPr>
        <w:pStyle w:val="SingleTxtG"/>
        <w:rPr>
          <w:b/>
          <w:bCs/>
        </w:rPr>
      </w:pPr>
      <w:r w:rsidRPr="006B7DB0">
        <w:rPr>
          <w:b/>
          <w:bCs/>
        </w:rPr>
        <w:tab/>
      </w:r>
      <w:r w:rsidR="00655E1B" w:rsidRPr="006B7DB0">
        <w:t>(b)</w:t>
      </w:r>
      <w:r w:rsidR="00655E1B" w:rsidRPr="006B7DB0">
        <w:rPr>
          <w:b/>
          <w:bCs/>
        </w:rPr>
        <w:tab/>
        <w:t>Ensure that all measures are taken to prevent racist hate speech and incitement to racial hatred by all persons, including public officials and politicians, and strengthen and implement relevant legislation;</w:t>
      </w:r>
    </w:p>
    <w:p w:rsidR="00655E1B" w:rsidRPr="006B7DB0" w:rsidRDefault="00857846" w:rsidP="00B328A1">
      <w:pPr>
        <w:pStyle w:val="SingleTxtG"/>
        <w:rPr>
          <w:b/>
          <w:bCs/>
        </w:rPr>
      </w:pPr>
      <w:r w:rsidRPr="006B7DB0">
        <w:rPr>
          <w:b/>
          <w:bCs/>
        </w:rPr>
        <w:tab/>
      </w:r>
      <w:r w:rsidR="00655E1B" w:rsidRPr="006B7DB0">
        <w:t>(c)</w:t>
      </w:r>
      <w:r w:rsidR="00655E1B" w:rsidRPr="006B7DB0">
        <w:rPr>
          <w:b/>
          <w:bCs/>
        </w:rPr>
        <w:tab/>
        <w:t xml:space="preserve">Effectively identify, register, investigate and prosecute cases of racist hate speech or incitement to racial hatred, sanction those responsible, including politicians and media officials, and provide detailed information on investigations and prosecutions of and convictions for racist hate speech in its next periodic report. </w:t>
      </w:r>
    </w:p>
    <w:p w:rsidR="00655E1B" w:rsidRPr="006B7DB0" w:rsidRDefault="00655E1B" w:rsidP="00857846">
      <w:pPr>
        <w:pStyle w:val="H23G"/>
      </w:pPr>
      <w:r w:rsidRPr="006B7DB0">
        <w:tab/>
      </w:r>
      <w:r w:rsidRPr="006B7DB0">
        <w:tab/>
        <w:t xml:space="preserve">Prohibition of organizations that promote racial discrimination </w:t>
      </w:r>
    </w:p>
    <w:p w:rsidR="00655E1B" w:rsidRPr="006B7DB0" w:rsidRDefault="00655E1B" w:rsidP="00B328A1">
      <w:pPr>
        <w:pStyle w:val="SingleTxtG"/>
      </w:pPr>
      <w:r w:rsidRPr="006B7DB0">
        <w:t>18.</w:t>
      </w:r>
      <w:r w:rsidRPr="006B7DB0">
        <w:tab/>
        <w:t xml:space="preserve">The Committee is deeply concerned at the presence and operation of organizations that promote racial hatred in the State party. It is also concerned by the lack of information on the impact of Act XL of 2011 and section 351 of the Criminal Code on the formation and operation of such organizations, and the lack of information on the impact of any measures taken by the State party to prevent incitement to hatred generated by such organizations (art. 4). </w:t>
      </w:r>
    </w:p>
    <w:p w:rsidR="00655E1B" w:rsidRPr="006B7DB0" w:rsidRDefault="00655E1B" w:rsidP="00B328A1">
      <w:pPr>
        <w:pStyle w:val="SingleTxtG"/>
        <w:rPr>
          <w:b/>
          <w:bCs/>
        </w:rPr>
      </w:pPr>
      <w:r w:rsidRPr="006B7DB0">
        <w:t>19.</w:t>
      </w:r>
      <w:r w:rsidRPr="006B7DB0">
        <w:tab/>
      </w:r>
      <w:r w:rsidRPr="006B7DB0">
        <w:rPr>
          <w:b/>
          <w:bCs/>
        </w:rPr>
        <w:t xml:space="preserve">The Committee recommends that the State party declare illegal and prohibit organizations that promote and incite racial hatred, in line with its obligations under article 4 (b) of the Convention. It also recommends that the State party ensure the full implementation of its legislation and prohibit the organization and operation of groups that promote and incite racial hatred, in line with article 4 of the Convention. </w:t>
      </w:r>
    </w:p>
    <w:p w:rsidR="00655E1B" w:rsidRPr="006B7DB0" w:rsidRDefault="00655E1B" w:rsidP="00857846">
      <w:pPr>
        <w:pStyle w:val="H23G"/>
      </w:pPr>
      <w:r w:rsidRPr="006B7DB0">
        <w:lastRenderedPageBreak/>
        <w:tab/>
      </w:r>
      <w:r w:rsidRPr="006B7DB0">
        <w:tab/>
        <w:t>Situation of Roma</w:t>
      </w:r>
    </w:p>
    <w:p w:rsidR="00655E1B" w:rsidRPr="006B7DB0" w:rsidRDefault="00655E1B" w:rsidP="00B328A1">
      <w:pPr>
        <w:pStyle w:val="SingleTxtG"/>
      </w:pPr>
      <w:r w:rsidRPr="006B7DB0">
        <w:t>20.</w:t>
      </w:r>
      <w:r w:rsidRPr="006B7DB0">
        <w:tab/>
        <w:t xml:space="preserve">While taking note of the information provided on measures taken to improve the situation of Roma, including in the fields of health and education, as well as through the National Social Inclusion Strategy of 2011, the Committee remains highly concerned at the persistence of discrimination against Roma and the segregation and extreme poverty that they face. The Committee is particularly concerned about: </w:t>
      </w:r>
    </w:p>
    <w:p w:rsidR="00655E1B" w:rsidRPr="006B7DB0" w:rsidRDefault="00857846" w:rsidP="00B328A1">
      <w:pPr>
        <w:pStyle w:val="SingleTxtG"/>
      </w:pPr>
      <w:r w:rsidRPr="006B7DB0">
        <w:tab/>
      </w:r>
      <w:r w:rsidR="00655E1B" w:rsidRPr="006B7DB0">
        <w:t>(a)</w:t>
      </w:r>
      <w:r w:rsidR="00655E1B" w:rsidRPr="006B7DB0">
        <w:tab/>
        <w:t>The absence of consistent and reliable statistics on the Roma population, and on the numbers of Roma students in schools, which may hinder the planning of effective measures to address discrimination;</w:t>
      </w:r>
    </w:p>
    <w:p w:rsidR="00655E1B" w:rsidRPr="006B7DB0" w:rsidRDefault="00857846" w:rsidP="00B328A1">
      <w:pPr>
        <w:pStyle w:val="SingleTxtG"/>
      </w:pPr>
      <w:r w:rsidRPr="006B7DB0">
        <w:tab/>
      </w:r>
      <w:r w:rsidR="00655E1B" w:rsidRPr="006B7DB0">
        <w:t>(b)</w:t>
      </w:r>
      <w:r w:rsidR="00655E1B" w:rsidRPr="006B7DB0">
        <w:tab/>
        <w:t xml:space="preserve">The persistence of structural discrimination against Roma despite the existence of some policies and measures to address such discrimination; </w:t>
      </w:r>
    </w:p>
    <w:p w:rsidR="00655E1B" w:rsidRPr="006B7DB0" w:rsidRDefault="00857846" w:rsidP="00B328A1">
      <w:pPr>
        <w:pStyle w:val="SingleTxtG"/>
      </w:pPr>
      <w:r w:rsidRPr="006B7DB0">
        <w:tab/>
      </w:r>
      <w:r w:rsidR="00655E1B" w:rsidRPr="006B7DB0">
        <w:t>(c)</w:t>
      </w:r>
      <w:r w:rsidR="00655E1B" w:rsidRPr="006B7DB0">
        <w:tab/>
        <w:t xml:space="preserve">The persistence of segregation in education faced by Roma children, which has reportedly increased, and its impact on the future of Roma, and by reports that many Roma children enter the workforce at age 16 instead of pursuing higher education; </w:t>
      </w:r>
    </w:p>
    <w:p w:rsidR="00655E1B" w:rsidRPr="006B7DB0" w:rsidRDefault="00857846" w:rsidP="00B328A1">
      <w:pPr>
        <w:pStyle w:val="SingleTxtG"/>
      </w:pPr>
      <w:r w:rsidRPr="006B7DB0">
        <w:tab/>
      </w:r>
      <w:r w:rsidR="00655E1B" w:rsidRPr="006B7DB0">
        <w:t>(d)</w:t>
      </w:r>
      <w:r w:rsidR="00655E1B" w:rsidRPr="006B7DB0">
        <w:tab/>
        <w:t>The fact that Roma face extreme poverty and live in segregated neighbourhoods that lack proper infrastructure and services, and the reported unlawful destruction of one such segregated neighbourhood without providing adequate alternative housing to the inhabitants;</w:t>
      </w:r>
    </w:p>
    <w:p w:rsidR="00655E1B" w:rsidRPr="006B7DB0" w:rsidRDefault="00857846" w:rsidP="00B328A1">
      <w:pPr>
        <w:pStyle w:val="SingleTxtG"/>
      </w:pPr>
      <w:r w:rsidRPr="006B7DB0">
        <w:tab/>
      </w:r>
      <w:r w:rsidR="00655E1B" w:rsidRPr="006B7DB0">
        <w:t>(e)</w:t>
      </w:r>
      <w:r w:rsidR="00655E1B" w:rsidRPr="006B7DB0">
        <w:tab/>
        <w:t>Reports that Roma women face discrimination and harassment in accessing health care;</w:t>
      </w:r>
    </w:p>
    <w:p w:rsidR="00655E1B" w:rsidRPr="006B7DB0" w:rsidRDefault="00857846" w:rsidP="00B328A1">
      <w:pPr>
        <w:pStyle w:val="SingleTxtG"/>
      </w:pPr>
      <w:r w:rsidRPr="006B7DB0">
        <w:tab/>
      </w:r>
      <w:r w:rsidR="00655E1B" w:rsidRPr="006B7DB0">
        <w:t>(f)</w:t>
      </w:r>
      <w:r w:rsidR="00655E1B" w:rsidRPr="006B7DB0">
        <w:tab/>
        <w:t xml:space="preserve">Reports of high levels of unemployment among Roma, and the extreme income gap between Roma and the rest of society; </w:t>
      </w:r>
    </w:p>
    <w:p w:rsidR="00655E1B" w:rsidRPr="006B7DB0" w:rsidRDefault="00857846" w:rsidP="00B328A1">
      <w:pPr>
        <w:pStyle w:val="SingleTxtG"/>
      </w:pPr>
      <w:r w:rsidRPr="006B7DB0">
        <w:tab/>
      </w:r>
      <w:r w:rsidR="00655E1B" w:rsidRPr="006B7DB0">
        <w:t>(g)</w:t>
      </w:r>
      <w:r w:rsidR="00655E1B" w:rsidRPr="006B7DB0">
        <w:tab/>
        <w:t xml:space="preserve">Reports that Roma are subjected to a high number of hate crimes, including violent hate crimes, and reports that adequate protection is not provided to Roma communities by law enforcement; </w:t>
      </w:r>
    </w:p>
    <w:p w:rsidR="00655E1B" w:rsidRPr="006B7DB0" w:rsidRDefault="00857846" w:rsidP="00B328A1">
      <w:pPr>
        <w:pStyle w:val="SingleTxtG"/>
      </w:pPr>
      <w:r w:rsidRPr="006B7DB0">
        <w:tab/>
      </w:r>
      <w:r w:rsidR="00655E1B" w:rsidRPr="006B7DB0">
        <w:t>(h)</w:t>
      </w:r>
      <w:r w:rsidR="00655E1B" w:rsidRPr="006B7DB0">
        <w:tab/>
        <w:t>Reports that Roma are subjected to ethnic profiling by law enforcement officers;</w:t>
      </w:r>
    </w:p>
    <w:p w:rsidR="00655E1B" w:rsidRPr="006B7DB0" w:rsidRDefault="00857846" w:rsidP="00B328A1">
      <w:pPr>
        <w:pStyle w:val="SingleTxtG"/>
      </w:pPr>
      <w:r w:rsidRPr="006B7DB0">
        <w:tab/>
      </w:r>
      <w:r w:rsidR="00655E1B" w:rsidRPr="006B7DB0">
        <w:t>(</w:t>
      </w:r>
      <w:proofErr w:type="spellStart"/>
      <w:r w:rsidR="00655E1B" w:rsidRPr="006B7DB0">
        <w:t>i</w:t>
      </w:r>
      <w:proofErr w:type="spellEnd"/>
      <w:r w:rsidR="00655E1B" w:rsidRPr="006B7DB0">
        <w:t>)</w:t>
      </w:r>
      <w:r w:rsidR="00655E1B" w:rsidRPr="006B7DB0">
        <w:tab/>
        <w:t xml:space="preserve">The persistence of hate speech against Roma, including by public officials. </w:t>
      </w:r>
    </w:p>
    <w:p w:rsidR="00655E1B" w:rsidRPr="006B7DB0" w:rsidRDefault="00655E1B" w:rsidP="00B328A1">
      <w:pPr>
        <w:pStyle w:val="SingleTxtG"/>
        <w:rPr>
          <w:b/>
          <w:bCs/>
        </w:rPr>
      </w:pPr>
      <w:r w:rsidRPr="006B7DB0">
        <w:t>21.</w:t>
      </w:r>
      <w:r w:rsidRPr="006B7DB0">
        <w:tab/>
      </w:r>
      <w:r w:rsidRPr="006B7DB0">
        <w:rPr>
          <w:b/>
          <w:bCs/>
        </w:rPr>
        <w:t xml:space="preserve">Recalling its general recommendation No. 27 (2000) on discrimination against Roma, the Committee urges the State party to improve the situation of Roma, including through coordination at all levels of government and by engaging with Roma communities in the design, implementation and evaluation of inclusion policies and action plans. The Committee recommends that the State party: </w:t>
      </w:r>
    </w:p>
    <w:p w:rsidR="00655E1B" w:rsidRPr="006B7DB0" w:rsidRDefault="00857846" w:rsidP="00B328A1">
      <w:pPr>
        <w:pStyle w:val="SingleTxtG"/>
        <w:rPr>
          <w:b/>
          <w:bCs/>
        </w:rPr>
      </w:pPr>
      <w:r w:rsidRPr="006B7DB0">
        <w:tab/>
      </w:r>
      <w:r w:rsidR="00655E1B" w:rsidRPr="006B7DB0">
        <w:t>(a)</w:t>
      </w:r>
      <w:r w:rsidR="00655E1B" w:rsidRPr="006B7DB0">
        <w:tab/>
      </w:r>
      <w:r w:rsidR="00655E1B" w:rsidRPr="006B7DB0">
        <w:rPr>
          <w:b/>
          <w:bCs/>
        </w:rPr>
        <w:t>Ensure the availability of reliable statistics on the Roma population and Roma students in schools, through means of self-identification;</w:t>
      </w:r>
    </w:p>
    <w:p w:rsidR="00655E1B" w:rsidRPr="006B7DB0" w:rsidRDefault="00857846" w:rsidP="00B328A1">
      <w:pPr>
        <w:pStyle w:val="SingleTxtG"/>
        <w:rPr>
          <w:b/>
          <w:bCs/>
        </w:rPr>
      </w:pPr>
      <w:r w:rsidRPr="006B7DB0">
        <w:rPr>
          <w:b/>
          <w:bCs/>
        </w:rPr>
        <w:tab/>
      </w:r>
      <w:r w:rsidR="00655E1B" w:rsidRPr="006B7DB0">
        <w:t>(b)</w:t>
      </w:r>
      <w:r w:rsidR="00655E1B" w:rsidRPr="006B7DB0">
        <w:rPr>
          <w:b/>
          <w:bCs/>
        </w:rPr>
        <w:tab/>
        <w:t>Take all measures to eliminate structural discrimination against Roma;</w:t>
      </w:r>
    </w:p>
    <w:p w:rsidR="00655E1B" w:rsidRPr="006B7DB0" w:rsidRDefault="00857846" w:rsidP="00B328A1">
      <w:pPr>
        <w:pStyle w:val="SingleTxtG"/>
        <w:rPr>
          <w:b/>
          <w:bCs/>
        </w:rPr>
      </w:pPr>
      <w:r w:rsidRPr="006B7DB0">
        <w:rPr>
          <w:b/>
          <w:bCs/>
        </w:rPr>
        <w:tab/>
      </w:r>
      <w:r w:rsidR="00655E1B" w:rsidRPr="006B7DB0">
        <w:t>(c)</w:t>
      </w:r>
      <w:r w:rsidR="00655E1B" w:rsidRPr="006B7DB0">
        <w:rPr>
          <w:b/>
          <w:bCs/>
        </w:rPr>
        <w:tab/>
        <w:t>End all segregation in education faced by Roma children and take effective measures, including special measures in accordance with its general recommendation No. 32 (2009) on the meaning and scope of special measures in the Convention, to enhance rates of school attendance, including in institutions of higher education, and rates of school completion among Roma children and to improve their educational opportunities and achievements;</w:t>
      </w:r>
    </w:p>
    <w:p w:rsidR="00655E1B" w:rsidRPr="006B7DB0" w:rsidRDefault="00857846" w:rsidP="00857846">
      <w:pPr>
        <w:pStyle w:val="SingleTxtG"/>
        <w:rPr>
          <w:b/>
          <w:bCs/>
        </w:rPr>
      </w:pPr>
      <w:r w:rsidRPr="006B7DB0">
        <w:rPr>
          <w:b/>
          <w:bCs/>
        </w:rPr>
        <w:tab/>
      </w:r>
      <w:r w:rsidR="00655E1B" w:rsidRPr="006B7DB0">
        <w:t>(d)</w:t>
      </w:r>
      <w:r w:rsidR="00655E1B" w:rsidRPr="006B7DB0">
        <w:rPr>
          <w:b/>
          <w:bCs/>
        </w:rPr>
        <w:tab/>
        <w:t>Take measures to end extreme poverty among Roma, provide genuine solutions for housing problems, including by improving infrastructure and basic services available in Roma settlements with the engagement of Roma communities, and end forced evictions of Roma and housing demolitions;</w:t>
      </w:r>
    </w:p>
    <w:p w:rsidR="00655E1B" w:rsidRPr="006B7DB0" w:rsidRDefault="00857846" w:rsidP="00B328A1">
      <w:pPr>
        <w:pStyle w:val="SingleTxtG"/>
        <w:rPr>
          <w:b/>
          <w:bCs/>
        </w:rPr>
      </w:pPr>
      <w:r w:rsidRPr="006B7DB0">
        <w:rPr>
          <w:b/>
          <w:bCs/>
        </w:rPr>
        <w:tab/>
      </w:r>
      <w:r w:rsidR="00655E1B" w:rsidRPr="006B7DB0">
        <w:t>(e)</w:t>
      </w:r>
      <w:r w:rsidR="00655E1B" w:rsidRPr="006B7DB0">
        <w:rPr>
          <w:b/>
          <w:bCs/>
        </w:rPr>
        <w:tab/>
        <w:t xml:space="preserve">Ensure that all Roma have full and unhindered access to health care without discrimination and harassment; </w:t>
      </w:r>
    </w:p>
    <w:p w:rsidR="00655E1B" w:rsidRPr="006B7DB0" w:rsidRDefault="00857846" w:rsidP="00B328A1">
      <w:pPr>
        <w:pStyle w:val="SingleTxtG"/>
        <w:rPr>
          <w:b/>
          <w:bCs/>
        </w:rPr>
      </w:pPr>
      <w:r w:rsidRPr="006B7DB0">
        <w:rPr>
          <w:b/>
          <w:bCs/>
        </w:rPr>
        <w:tab/>
      </w:r>
      <w:r w:rsidR="00655E1B" w:rsidRPr="006B7DB0">
        <w:t>(f)</w:t>
      </w:r>
      <w:r w:rsidR="00655E1B" w:rsidRPr="006B7DB0">
        <w:rPr>
          <w:b/>
          <w:bCs/>
        </w:rPr>
        <w:tab/>
        <w:t>Take effective measures to end unemployment among Roma and to eliminate the income gap;</w:t>
      </w:r>
    </w:p>
    <w:p w:rsidR="00655E1B" w:rsidRPr="006B7DB0" w:rsidRDefault="00347F93" w:rsidP="00B328A1">
      <w:pPr>
        <w:pStyle w:val="SingleTxtG"/>
        <w:rPr>
          <w:b/>
          <w:bCs/>
        </w:rPr>
      </w:pPr>
      <w:r w:rsidRPr="006B7DB0">
        <w:lastRenderedPageBreak/>
        <w:tab/>
      </w:r>
      <w:r w:rsidR="00655E1B" w:rsidRPr="006B7DB0">
        <w:t>(g)</w:t>
      </w:r>
      <w:r w:rsidR="00655E1B" w:rsidRPr="006B7DB0">
        <w:tab/>
      </w:r>
      <w:r w:rsidR="00655E1B" w:rsidRPr="006B7DB0">
        <w:rPr>
          <w:b/>
          <w:bCs/>
        </w:rPr>
        <w:t>Take measures to end hate crimes against Roma, provide them with protection from hate crimes and violence, and ensure the proper registration, investigation, prosecution and conviction of perpetrators of any cases of hate crime;</w:t>
      </w:r>
    </w:p>
    <w:p w:rsidR="00655E1B" w:rsidRPr="006B7DB0" w:rsidRDefault="00347F93" w:rsidP="00B328A1">
      <w:pPr>
        <w:pStyle w:val="SingleTxtG"/>
        <w:rPr>
          <w:b/>
          <w:bCs/>
        </w:rPr>
      </w:pPr>
      <w:r w:rsidRPr="006B7DB0">
        <w:rPr>
          <w:b/>
          <w:bCs/>
        </w:rPr>
        <w:tab/>
      </w:r>
      <w:r w:rsidR="00655E1B" w:rsidRPr="006B7DB0">
        <w:t>(h)</w:t>
      </w:r>
      <w:r w:rsidR="00655E1B" w:rsidRPr="006B7DB0">
        <w:rPr>
          <w:b/>
          <w:bCs/>
        </w:rPr>
        <w:tab/>
        <w:t>Prevent all ethnic profiling by law enforcement and conduct training to ensure such practices are not utilized;</w:t>
      </w:r>
    </w:p>
    <w:p w:rsidR="00655E1B" w:rsidRPr="006B7DB0" w:rsidRDefault="00347F93" w:rsidP="00B328A1">
      <w:pPr>
        <w:pStyle w:val="SingleTxtG"/>
        <w:rPr>
          <w:b/>
          <w:bCs/>
        </w:rPr>
      </w:pPr>
      <w:r w:rsidRPr="006B7DB0">
        <w:rPr>
          <w:b/>
          <w:bCs/>
        </w:rPr>
        <w:tab/>
      </w:r>
      <w:r w:rsidR="00655E1B" w:rsidRPr="006B7DB0">
        <w:t>(</w:t>
      </w:r>
      <w:proofErr w:type="spellStart"/>
      <w:r w:rsidR="00655E1B" w:rsidRPr="006B7DB0">
        <w:t>i</w:t>
      </w:r>
      <w:proofErr w:type="spellEnd"/>
      <w:r w:rsidR="00655E1B" w:rsidRPr="006B7DB0">
        <w:t>)</w:t>
      </w:r>
      <w:r w:rsidR="00655E1B" w:rsidRPr="006B7DB0">
        <w:rPr>
          <w:b/>
          <w:bCs/>
        </w:rPr>
        <w:tab/>
        <w:t>Prevent hate speech against Roma, including through educational campaigns on tolerance and the elimination of societal stereotypes, as well as the proper registration, investigation, prosecution and conviction of perpetrators of hate speech.</w:t>
      </w:r>
    </w:p>
    <w:p w:rsidR="00655E1B" w:rsidRPr="006B7DB0" w:rsidRDefault="00655E1B" w:rsidP="00347F93">
      <w:pPr>
        <w:pStyle w:val="H23G"/>
      </w:pPr>
      <w:r w:rsidRPr="006B7DB0">
        <w:tab/>
      </w:r>
      <w:r w:rsidRPr="006B7DB0">
        <w:tab/>
        <w:t>Situation of asylum seekers, migrants and refugees</w:t>
      </w:r>
    </w:p>
    <w:p w:rsidR="00655E1B" w:rsidRPr="006B7DB0" w:rsidRDefault="00655E1B" w:rsidP="00B328A1">
      <w:pPr>
        <w:pStyle w:val="SingleTxtG"/>
      </w:pPr>
      <w:r w:rsidRPr="006B7DB0">
        <w:t>22.</w:t>
      </w:r>
      <w:r w:rsidRPr="006B7DB0">
        <w:tab/>
        <w:t>The Committee is deeply concerned by the alarming situation of asylum seekers, refugees and migrants in the State party, especially following the declaration of a state of emergency, still in force, in 2015, including:</w:t>
      </w:r>
    </w:p>
    <w:p w:rsidR="00655E1B" w:rsidRPr="006B7DB0" w:rsidRDefault="00347F93" w:rsidP="00B328A1">
      <w:pPr>
        <w:pStyle w:val="SingleTxtG"/>
      </w:pPr>
      <w:r w:rsidRPr="006B7DB0">
        <w:tab/>
      </w:r>
      <w:r w:rsidR="00655E1B" w:rsidRPr="006B7DB0">
        <w:t>(a)</w:t>
      </w:r>
      <w:r w:rsidR="00655E1B" w:rsidRPr="006B7DB0">
        <w:tab/>
        <w:t>The legislative amendments and reform in 2017 that led to the indefinite holding of all asylum applicants, except for minors below the age of 14, for the duration of the asylum process in transit zones separated from Hungarian society, without sufficient legal safeguards to challenge their removal to such transit zones;</w:t>
      </w:r>
    </w:p>
    <w:p w:rsidR="00655E1B" w:rsidRPr="006B7DB0" w:rsidRDefault="00347F93" w:rsidP="00B328A1">
      <w:pPr>
        <w:pStyle w:val="SingleTxtG"/>
      </w:pPr>
      <w:r w:rsidRPr="006B7DB0">
        <w:tab/>
      </w:r>
      <w:r w:rsidR="00655E1B" w:rsidRPr="006B7DB0">
        <w:t>(b)</w:t>
      </w:r>
      <w:r w:rsidR="00655E1B" w:rsidRPr="006B7DB0">
        <w:tab/>
        <w:t>Reports that the conditions in transit zones are not adequate for the long-term stay of individuals, especially women and children, and reported challenges faced in accessing adequate medical services, education, social and psychological services and legal aid in the transit zones;</w:t>
      </w:r>
    </w:p>
    <w:p w:rsidR="00655E1B" w:rsidRPr="006B7DB0" w:rsidRDefault="00347F93" w:rsidP="00B328A1">
      <w:pPr>
        <w:pStyle w:val="SingleTxtG"/>
      </w:pPr>
      <w:r w:rsidRPr="006B7DB0">
        <w:tab/>
      </w:r>
      <w:r w:rsidR="00655E1B" w:rsidRPr="006B7DB0">
        <w:t>(c)</w:t>
      </w:r>
      <w:r w:rsidR="00655E1B" w:rsidRPr="006B7DB0">
        <w:tab/>
        <w:t>Reports that food is not provided to individuals held in the transit zone once their asylum applications are denied;</w:t>
      </w:r>
    </w:p>
    <w:p w:rsidR="00655E1B" w:rsidRPr="006B7DB0" w:rsidRDefault="00347F93" w:rsidP="00B328A1">
      <w:pPr>
        <w:pStyle w:val="SingleTxtG"/>
      </w:pPr>
      <w:r w:rsidRPr="006B7DB0">
        <w:tab/>
      </w:r>
      <w:r w:rsidR="00655E1B" w:rsidRPr="006B7DB0">
        <w:t>(d)</w:t>
      </w:r>
      <w:r w:rsidR="00655E1B" w:rsidRPr="006B7DB0">
        <w:tab/>
        <w:t>Reports of the persistence of hate speech, hate crimes, prejudice and social stereotypes against asylum seekers, refugees and migrants.</w:t>
      </w:r>
    </w:p>
    <w:p w:rsidR="00655E1B" w:rsidRPr="006B7DB0" w:rsidRDefault="00655E1B" w:rsidP="00B328A1">
      <w:pPr>
        <w:pStyle w:val="SingleTxtG"/>
        <w:rPr>
          <w:b/>
          <w:bCs/>
        </w:rPr>
      </w:pPr>
      <w:r w:rsidRPr="006B7DB0">
        <w:t>23.</w:t>
      </w:r>
      <w:r w:rsidRPr="006B7DB0">
        <w:tab/>
      </w:r>
      <w:r w:rsidRPr="006B7DB0">
        <w:rPr>
          <w:b/>
          <w:bCs/>
        </w:rPr>
        <w:t>Recalling its general recommendation No. 22 (1996) on refugees and displaced persons in the context of article 5 of the Convention, and its general recommendation No. 30 (2004) on discrimination against non-citizens, the Committee recommends that the State party take immediate measures to ensure that policies regarding refugees, asylum seekers and migrants are in line with its international obligations, including under the Convention, and:</w:t>
      </w:r>
    </w:p>
    <w:p w:rsidR="00655E1B" w:rsidRPr="006B7DB0" w:rsidRDefault="00347F93" w:rsidP="00B328A1">
      <w:pPr>
        <w:pStyle w:val="SingleTxtG"/>
        <w:rPr>
          <w:b/>
          <w:bCs/>
        </w:rPr>
      </w:pPr>
      <w:r w:rsidRPr="006B7DB0">
        <w:tab/>
      </w:r>
      <w:r w:rsidR="00655E1B" w:rsidRPr="006B7DB0">
        <w:t>(a)</w:t>
      </w:r>
      <w:r w:rsidR="00655E1B" w:rsidRPr="006B7DB0">
        <w:tab/>
      </w:r>
      <w:r w:rsidR="00655E1B" w:rsidRPr="006B7DB0">
        <w:rPr>
          <w:b/>
          <w:bCs/>
        </w:rPr>
        <w:t>Ensure that detention of asylum seekers is used as a measure of last resort and for the shortest period of time, and prioritize alternative measures to detention;</w:t>
      </w:r>
    </w:p>
    <w:p w:rsidR="00655E1B" w:rsidRPr="006B7DB0" w:rsidRDefault="00347F93" w:rsidP="00B328A1">
      <w:pPr>
        <w:pStyle w:val="SingleTxtG"/>
        <w:rPr>
          <w:b/>
          <w:bCs/>
        </w:rPr>
      </w:pPr>
      <w:r w:rsidRPr="006B7DB0">
        <w:rPr>
          <w:b/>
          <w:bCs/>
        </w:rPr>
        <w:tab/>
      </w:r>
      <w:r w:rsidR="00655E1B" w:rsidRPr="006B7DB0">
        <w:t>(b)</w:t>
      </w:r>
      <w:r w:rsidR="00655E1B" w:rsidRPr="006B7DB0">
        <w:rPr>
          <w:b/>
          <w:bCs/>
        </w:rPr>
        <w:tab/>
        <w:t>Ensure that all applications for asylum status receive appropriate consideration;</w:t>
      </w:r>
    </w:p>
    <w:p w:rsidR="00655E1B" w:rsidRPr="006B7DB0" w:rsidRDefault="00347F93" w:rsidP="00B328A1">
      <w:pPr>
        <w:pStyle w:val="SingleTxtG"/>
        <w:rPr>
          <w:b/>
          <w:bCs/>
        </w:rPr>
      </w:pPr>
      <w:r w:rsidRPr="006B7DB0">
        <w:rPr>
          <w:b/>
          <w:bCs/>
        </w:rPr>
        <w:tab/>
      </w:r>
      <w:r w:rsidR="00655E1B" w:rsidRPr="006B7DB0">
        <w:t>(c)</w:t>
      </w:r>
      <w:r w:rsidR="00655E1B" w:rsidRPr="006B7DB0">
        <w:rPr>
          <w:b/>
          <w:bCs/>
        </w:rPr>
        <w:tab/>
        <w:t>Ensure effective access to asylum procedures;</w:t>
      </w:r>
    </w:p>
    <w:p w:rsidR="00655E1B" w:rsidRPr="006B7DB0" w:rsidRDefault="00347F93" w:rsidP="00B328A1">
      <w:pPr>
        <w:pStyle w:val="SingleTxtG"/>
        <w:rPr>
          <w:b/>
          <w:bCs/>
        </w:rPr>
      </w:pPr>
      <w:r w:rsidRPr="006B7DB0">
        <w:rPr>
          <w:b/>
          <w:bCs/>
        </w:rPr>
        <w:tab/>
      </w:r>
      <w:r w:rsidR="00655E1B" w:rsidRPr="006B7DB0">
        <w:t>(d)</w:t>
      </w:r>
      <w:r w:rsidR="00655E1B" w:rsidRPr="006B7DB0">
        <w:rPr>
          <w:b/>
          <w:bCs/>
        </w:rPr>
        <w:tab/>
        <w:t>Take measures to improve conditions in transit zones, including for women and children, and ensure full access to adequate medical services, education, social and psychological services and legal aid;</w:t>
      </w:r>
    </w:p>
    <w:p w:rsidR="00655E1B" w:rsidRPr="006B7DB0" w:rsidRDefault="00347F93" w:rsidP="00B328A1">
      <w:pPr>
        <w:pStyle w:val="SingleTxtG"/>
        <w:rPr>
          <w:b/>
          <w:bCs/>
        </w:rPr>
      </w:pPr>
      <w:r w:rsidRPr="006B7DB0">
        <w:rPr>
          <w:b/>
          <w:bCs/>
        </w:rPr>
        <w:tab/>
      </w:r>
      <w:r w:rsidR="00655E1B" w:rsidRPr="006B7DB0">
        <w:t>(e)</w:t>
      </w:r>
      <w:r w:rsidR="00655E1B" w:rsidRPr="006B7DB0">
        <w:rPr>
          <w:b/>
          <w:bCs/>
        </w:rPr>
        <w:tab/>
        <w:t>Ensure that all persons are provided with adequate food;</w:t>
      </w:r>
    </w:p>
    <w:p w:rsidR="00655E1B" w:rsidRPr="006B7DB0" w:rsidRDefault="00347F93" w:rsidP="00B328A1">
      <w:pPr>
        <w:pStyle w:val="SingleTxtG"/>
        <w:rPr>
          <w:b/>
          <w:bCs/>
        </w:rPr>
      </w:pPr>
      <w:r w:rsidRPr="006B7DB0">
        <w:rPr>
          <w:b/>
          <w:bCs/>
        </w:rPr>
        <w:tab/>
      </w:r>
      <w:r w:rsidR="00655E1B" w:rsidRPr="006B7DB0">
        <w:t>(f)</w:t>
      </w:r>
      <w:r w:rsidR="00655E1B" w:rsidRPr="006B7DB0">
        <w:rPr>
          <w:b/>
          <w:bCs/>
        </w:rPr>
        <w:tab/>
        <w:t>Conduct public campaigns to promote understanding and tolerance.</w:t>
      </w:r>
    </w:p>
    <w:p w:rsidR="00655E1B" w:rsidRPr="006B7DB0" w:rsidRDefault="00655E1B" w:rsidP="000A1E8F">
      <w:pPr>
        <w:pStyle w:val="H23G"/>
      </w:pPr>
      <w:r w:rsidRPr="006B7DB0">
        <w:tab/>
      </w:r>
      <w:r w:rsidRPr="006B7DB0">
        <w:tab/>
      </w:r>
      <w:proofErr w:type="spellStart"/>
      <w:r w:rsidRPr="006B7DB0">
        <w:t>Refoulement</w:t>
      </w:r>
      <w:proofErr w:type="spellEnd"/>
      <w:r w:rsidRPr="006B7DB0">
        <w:t xml:space="preserve"> and the use of force against asylum seekers </w:t>
      </w:r>
    </w:p>
    <w:p w:rsidR="00655E1B" w:rsidRPr="006B7DB0" w:rsidRDefault="00655E1B" w:rsidP="00B328A1">
      <w:pPr>
        <w:pStyle w:val="SingleTxtG"/>
      </w:pPr>
      <w:r w:rsidRPr="006B7DB0">
        <w:t>24.</w:t>
      </w:r>
      <w:r w:rsidRPr="006B7DB0">
        <w:tab/>
        <w:t>The Committee is deeply concerned at the reports that the principle of non-</w:t>
      </w:r>
      <w:proofErr w:type="spellStart"/>
      <w:r w:rsidRPr="006B7DB0">
        <w:t>refoulement</w:t>
      </w:r>
      <w:proofErr w:type="spellEnd"/>
      <w:r w:rsidRPr="006B7DB0">
        <w:t xml:space="preserve"> is not fully respected in law and in practice. It expresses deep alarm at the reported excessive use of force and violence by law enforcement officers against third country nationals found anywhere in Hungary, while </w:t>
      </w:r>
      <w:r w:rsidR="006B7DB0">
        <w:t>“</w:t>
      </w:r>
      <w:r w:rsidRPr="006B7DB0">
        <w:t>pushing back</w:t>
      </w:r>
      <w:r w:rsidR="006B7DB0">
        <w:t>”</w:t>
      </w:r>
      <w:r w:rsidRPr="006B7DB0">
        <w:t xml:space="preserve"> those found near the border to Serbia, resulting in injuries and bodily harm. </w:t>
      </w:r>
    </w:p>
    <w:p w:rsidR="00655E1B" w:rsidRPr="006B7DB0" w:rsidRDefault="00655E1B" w:rsidP="00B328A1">
      <w:pPr>
        <w:pStyle w:val="SingleTxtG"/>
        <w:rPr>
          <w:b/>
          <w:bCs/>
        </w:rPr>
      </w:pPr>
      <w:r w:rsidRPr="006B7DB0">
        <w:lastRenderedPageBreak/>
        <w:t>25.</w:t>
      </w:r>
      <w:r w:rsidRPr="006B7DB0">
        <w:tab/>
      </w:r>
      <w:r w:rsidRPr="006B7DB0">
        <w:rPr>
          <w:b/>
          <w:bCs/>
        </w:rPr>
        <w:t>The Committee recommends that the State party take all measures to ensure the full respect of the principle of non-</w:t>
      </w:r>
      <w:proofErr w:type="spellStart"/>
      <w:r w:rsidRPr="006B7DB0">
        <w:rPr>
          <w:b/>
          <w:bCs/>
        </w:rPr>
        <w:t>refoulement</w:t>
      </w:r>
      <w:proofErr w:type="spellEnd"/>
      <w:r w:rsidRPr="006B7DB0">
        <w:rPr>
          <w:b/>
          <w:bCs/>
        </w:rPr>
        <w:t xml:space="preserve">. It also recommends that the State party prevent the excessive use of force and ensure training for, and effective and independent monitoring of, law enforcement personnel involved with refugees, migrants and asylum seekers, to eliminate ill-treatment. </w:t>
      </w:r>
    </w:p>
    <w:p w:rsidR="00655E1B" w:rsidRPr="006B7DB0" w:rsidRDefault="00655E1B" w:rsidP="00413A5E">
      <w:pPr>
        <w:pStyle w:val="H23G"/>
      </w:pPr>
      <w:r w:rsidRPr="006B7DB0">
        <w:tab/>
      </w:r>
      <w:r w:rsidRPr="006B7DB0">
        <w:tab/>
        <w:t>Training and education on human rights and racial discrimination</w:t>
      </w:r>
    </w:p>
    <w:p w:rsidR="00655E1B" w:rsidRPr="006B7DB0" w:rsidRDefault="00655E1B" w:rsidP="00B328A1">
      <w:pPr>
        <w:pStyle w:val="SingleTxtG"/>
      </w:pPr>
      <w:r w:rsidRPr="006B7DB0">
        <w:t>26.</w:t>
      </w:r>
      <w:r w:rsidRPr="006B7DB0">
        <w:tab/>
        <w:t xml:space="preserve">The Committee is concerned at the lack of detailed information on training programmes conducted for judges, prosecutors, lawyers and State and public officials on the prevention of racial discrimination and on the rights enshrined in the Convention. It is also concerned by the lack of information on human rights training and education in the curricula taught in school and at the university level, and the impact of such training. The Committee is further concerned about the absence of information on specific measures aimed at fostering and promoting understanding and tolerance among different ethnic groups, refugees, migrants and asylum seekers in the State party (art. 7). </w:t>
      </w:r>
    </w:p>
    <w:p w:rsidR="00655E1B" w:rsidRPr="006B7DB0" w:rsidRDefault="00655E1B" w:rsidP="00B328A1">
      <w:pPr>
        <w:pStyle w:val="SingleTxtG"/>
        <w:rPr>
          <w:b/>
          <w:bCs/>
        </w:rPr>
      </w:pPr>
      <w:r w:rsidRPr="006B7DB0">
        <w:t>27.</w:t>
      </w:r>
      <w:r w:rsidRPr="006B7DB0">
        <w:tab/>
      </w:r>
      <w:r w:rsidRPr="006B7DB0">
        <w:rPr>
          <w:b/>
          <w:bCs/>
        </w:rPr>
        <w:t>The Committee recommends that the State party conduct training programmes for law enforcement officers, judges, prosecutors, lawyers and State and public officials, including specialized training on the prevention of racial discrimination and the rights enshrined in the Convention. It requests that the State party provide detailed information in its next periodic report on such training programmes and the impact of such training on the situation of ethnic minorities. The Committee also recommends that the State party provide information on human rights training and education in the curricula of all schools and at university level and on the measures taken to promote and foster tolerance and understanding among different ethnic groups in its territory.</w:t>
      </w:r>
    </w:p>
    <w:p w:rsidR="00655E1B" w:rsidRPr="006B7DB0" w:rsidRDefault="00655E1B" w:rsidP="00413A5E">
      <w:pPr>
        <w:pStyle w:val="H1G"/>
      </w:pPr>
      <w:r w:rsidRPr="006B7DB0">
        <w:tab/>
        <w:t>D.</w:t>
      </w:r>
      <w:r w:rsidRPr="006B7DB0">
        <w:tab/>
        <w:t>Other recommendations</w:t>
      </w:r>
    </w:p>
    <w:p w:rsidR="00655E1B" w:rsidRPr="006B7DB0" w:rsidRDefault="00655E1B" w:rsidP="00413A5E">
      <w:pPr>
        <w:pStyle w:val="H23G"/>
      </w:pPr>
      <w:r w:rsidRPr="006B7DB0">
        <w:tab/>
      </w:r>
      <w:r w:rsidRPr="006B7DB0">
        <w:tab/>
        <w:t xml:space="preserve">Ratification of other treaties </w:t>
      </w:r>
    </w:p>
    <w:p w:rsidR="00655E1B" w:rsidRPr="006B7DB0" w:rsidRDefault="00655E1B" w:rsidP="00B328A1">
      <w:pPr>
        <w:pStyle w:val="SingleTxtG"/>
        <w:rPr>
          <w:b/>
          <w:bCs/>
        </w:rPr>
      </w:pPr>
      <w:r w:rsidRPr="006B7DB0">
        <w:t>28.</w:t>
      </w:r>
      <w:r w:rsidRPr="006B7DB0">
        <w:tab/>
      </w:r>
      <w:r w:rsidRPr="006B7DB0">
        <w:rPr>
          <w:b/>
          <w:bCs/>
        </w:rPr>
        <w:t xml:space="preserve">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and the International Convention for the Protection of All Persons from Enforced Disappearance. </w:t>
      </w:r>
    </w:p>
    <w:p w:rsidR="00655E1B" w:rsidRPr="006B7DB0" w:rsidRDefault="00655E1B" w:rsidP="00413A5E">
      <w:pPr>
        <w:pStyle w:val="H23G"/>
      </w:pPr>
      <w:r w:rsidRPr="006B7DB0">
        <w:tab/>
      </w:r>
      <w:r w:rsidRPr="006B7DB0">
        <w:tab/>
        <w:t>Amendment to article 8 of the Convention</w:t>
      </w:r>
    </w:p>
    <w:p w:rsidR="00655E1B" w:rsidRPr="006B7DB0" w:rsidRDefault="00655E1B" w:rsidP="00B328A1">
      <w:pPr>
        <w:pStyle w:val="SingleTxtG"/>
        <w:rPr>
          <w:b/>
          <w:bCs/>
        </w:rPr>
      </w:pPr>
      <w:r w:rsidRPr="006B7DB0">
        <w:t>29.</w:t>
      </w:r>
      <w:r w:rsidRPr="006B7DB0">
        <w:tab/>
      </w:r>
      <w:r w:rsidRPr="006B7DB0">
        <w:rPr>
          <w:b/>
          <w:bCs/>
        </w:rPr>
        <w:t xml:space="preserve">The Committee recommends that the State party ratify the amendment to article 8 (6) of the Convention adopted on 15 January 1992 at the fourteenth meeting of States parties to the Convention and endorsed by the General Assembly in its resolution 47/111. </w:t>
      </w:r>
    </w:p>
    <w:p w:rsidR="00655E1B" w:rsidRPr="006B7DB0" w:rsidRDefault="00655E1B" w:rsidP="00413A5E">
      <w:pPr>
        <w:pStyle w:val="H23G"/>
      </w:pPr>
      <w:r w:rsidRPr="006B7DB0">
        <w:tab/>
      </w:r>
      <w:r w:rsidRPr="006B7DB0">
        <w:tab/>
        <w:t>Follow-up to the Durban Declaration and Programme of Action</w:t>
      </w:r>
    </w:p>
    <w:p w:rsidR="00655E1B" w:rsidRPr="006B7DB0" w:rsidRDefault="00655E1B" w:rsidP="00B328A1">
      <w:pPr>
        <w:pStyle w:val="SingleTxtG"/>
        <w:rPr>
          <w:b/>
          <w:bCs/>
        </w:rPr>
      </w:pPr>
      <w:r w:rsidRPr="006B7DB0">
        <w:t>30.</w:t>
      </w:r>
      <w:r w:rsidRPr="006B7DB0">
        <w:tab/>
      </w:r>
      <w:r w:rsidRPr="006B7DB0">
        <w:rPr>
          <w:b/>
          <w:bCs/>
        </w:rPr>
        <w:t xml:space="preserve">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 </w:t>
      </w:r>
    </w:p>
    <w:p w:rsidR="00655E1B" w:rsidRPr="006B7DB0" w:rsidRDefault="00655E1B" w:rsidP="00D55FC2">
      <w:pPr>
        <w:pStyle w:val="H23G"/>
      </w:pPr>
      <w:r w:rsidRPr="006B7DB0">
        <w:lastRenderedPageBreak/>
        <w:tab/>
      </w:r>
      <w:r w:rsidRPr="006B7DB0">
        <w:tab/>
        <w:t xml:space="preserve">International Decade for People of African Descent </w:t>
      </w:r>
    </w:p>
    <w:p w:rsidR="00655E1B" w:rsidRPr="006B7DB0" w:rsidRDefault="00655E1B" w:rsidP="00B328A1">
      <w:pPr>
        <w:pStyle w:val="SingleTxtG"/>
        <w:rPr>
          <w:b/>
          <w:bCs/>
        </w:rPr>
      </w:pPr>
      <w:r w:rsidRPr="006B7DB0">
        <w:t>31.</w:t>
      </w:r>
      <w:r w:rsidRPr="006B7DB0">
        <w:tab/>
      </w:r>
      <w:r w:rsidRPr="006B7DB0">
        <w:rPr>
          <w:b/>
          <w:bCs/>
        </w:rPr>
        <w:t xml:space="preserve">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in collaboration with organizations and peoples of African descent. The Committee requests that the State party include in its next report precise information on the concrete measures adopted in that framework, taking into account its general recommendation No. 34 (2011) on racial discrimination against people of African descent. </w:t>
      </w:r>
    </w:p>
    <w:p w:rsidR="00655E1B" w:rsidRPr="006B7DB0" w:rsidRDefault="00655E1B" w:rsidP="00D55FC2">
      <w:pPr>
        <w:pStyle w:val="H23G"/>
      </w:pPr>
      <w:r w:rsidRPr="006B7DB0">
        <w:tab/>
      </w:r>
      <w:r w:rsidRPr="006B7DB0">
        <w:tab/>
        <w:t>Consultations with civil society</w:t>
      </w:r>
    </w:p>
    <w:p w:rsidR="00655E1B" w:rsidRPr="006B7DB0" w:rsidRDefault="00655E1B" w:rsidP="00B328A1">
      <w:pPr>
        <w:pStyle w:val="SingleTxtG"/>
        <w:rPr>
          <w:b/>
          <w:bCs/>
        </w:rPr>
      </w:pPr>
      <w:r w:rsidRPr="006B7DB0">
        <w:t>32.</w:t>
      </w:r>
      <w:r w:rsidRPr="006B7DB0">
        <w:tab/>
      </w:r>
      <w:r w:rsidRPr="006B7DB0">
        <w:rPr>
          <w:b/>
          <w:bCs/>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655E1B" w:rsidRPr="006B7DB0" w:rsidRDefault="00655E1B" w:rsidP="00D55FC2">
      <w:pPr>
        <w:pStyle w:val="H23G"/>
      </w:pPr>
      <w:r w:rsidRPr="006B7DB0">
        <w:tab/>
      </w:r>
      <w:r w:rsidRPr="006B7DB0">
        <w:tab/>
        <w:t>Dissemination of information</w:t>
      </w:r>
    </w:p>
    <w:p w:rsidR="00655E1B" w:rsidRPr="006B7DB0" w:rsidRDefault="00655E1B" w:rsidP="00B328A1">
      <w:pPr>
        <w:pStyle w:val="SingleTxtG"/>
        <w:rPr>
          <w:b/>
          <w:bCs/>
        </w:rPr>
      </w:pPr>
      <w:r w:rsidRPr="006B7DB0">
        <w:t>33.</w:t>
      </w:r>
      <w:r w:rsidRPr="006B7DB0">
        <w:tab/>
      </w:r>
      <w:r w:rsidRPr="006B7DB0">
        <w:rPr>
          <w:b/>
          <w:bCs/>
        </w:rPr>
        <w:t>The Committee recommends that the State party</w:t>
      </w:r>
      <w:r w:rsidR="006B7DB0">
        <w:rPr>
          <w:b/>
          <w:bCs/>
        </w:rPr>
        <w:t>’</w:t>
      </w:r>
      <w:r w:rsidRPr="006B7DB0">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including municipalities, in the official and other commonly used languages, as appropriate.</w:t>
      </w:r>
    </w:p>
    <w:p w:rsidR="00655E1B" w:rsidRPr="006B7DB0" w:rsidRDefault="00655E1B" w:rsidP="00D55FC2">
      <w:pPr>
        <w:pStyle w:val="H23G"/>
      </w:pPr>
      <w:r w:rsidRPr="006B7DB0">
        <w:tab/>
      </w:r>
      <w:r w:rsidRPr="006B7DB0">
        <w:tab/>
        <w:t xml:space="preserve">Common core document </w:t>
      </w:r>
    </w:p>
    <w:p w:rsidR="00655E1B" w:rsidRPr="006B7DB0" w:rsidRDefault="00655E1B" w:rsidP="00B328A1">
      <w:pPr>
        <w:pStyle w:val="SingleTxtG"/>
        <w:rPr>
          <w:b/>
          <w:bCs/>
        </w:rPr>
      </w:pPr>
      <w:r w:rsidRPr="006B7DB0">
        <w:t>34.</w:t>
      </w:r>
      <w:r w:rsidRPr="006B7DB0">
        <w:tab/>
      </w:r>
      <w:r w:rsidRPr="006B7DB0">
        <w:rPr>
          <w:b/>
          <w:bCs/>
        </w:rPr>
        <w:t>The Committee encourages the State party to submit a core document and to regularly update it, in accordance with the harmonized guidelines on reporting under the international human rights treaties, in particular those on the common core document, as adopted at the fifth inter-committee meeting of the human rights treaty bodies held in June 2006 (HRI/GEN/2/Rev.6, chap. I). In the light of General Assembly resolution 68/268, the Committee urges the State party to observe the limit of 42,400 words for such documents.</w:t>
      </w:r>
    </w:p>
    <w:p w:rsidR="00655E1B" w:rsidRPr="006B7DB0" w:rsidRDefault="00655E1B" w:rsidP="00D55FC2">
      <w:pPr>
        <w:pStyle w:val="H23G"/>
      </w:pPr>
      <w:r w:rsidRPr="006B7DB0">
        <w:tab/>
      </w:r>
      <w:r w:rsidRPr="006B7DB0">
        <w:tab/>
        <w:t>Follow-up to the present concluding observations</w:t>
      </w:r>
    </w:p>
    <w:p w:rsidR="00655E1B" w:rsidRPr="006B7DB0" w:rsidRDefault="00655E1B" w:rsidP="00B328A1">
      <w:pPr>
        <w:pStyle w:val="SingleTxtG"/>
        <w:rPr>
          <w:b/>
          <w:bCs/>
        </w:rPr>
      </w:pPr>
      <w:r w:rsidRPr="006B7DB0">
        <w:t>35.</w:t>
      </w:r>
      <w:r w:rsidRPr="006B7DB0">
        <w:tab/>
      </w:r>
      <w:r w:rsidRPr="006B7DB0">
        <w:rPr>
          <w:b/>
          <w:bCs/>
        </w:rPr>
        <w:t>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13 (complaints of racial discrimination), 15 (b) (racist hate crimes) and 21 (a) (situation of Roma) above.</w:t>
      </w:r>
    </w:p>
    <w:p w:rsidR="00655E1B" w:rsidRPr="006B7DB0" w:rsidRDefault="00655E1B" w:rsidP="00D55FC2">
      <w:pPr>
        <w:pStyle w:val="H23G"/>
      </w:pPr>
      <w:r w:rsidRPr="006B7DB0">
        <w:tab/>
      </w:r>
      <w:r w:rsidRPr="006B7DB0">
        <w:tab/>
        <w:t>Paragraphs of particular importance</w:t>
      </w:r>
    </w:p>
    <w:p w:rsidR="00655E1B" w:rsidRPr="006B7DB0" w:rsidRDefault="00655E1B" w:rsidP="00B328A1">
      <w:pPr>
        <w:pStyle w:val="SingleTxtG"/>
        <w:rPr>
          <w:b/>
          <w:bCs/>
        </w:rPr>
      </w:pPr>
      <w:r w:rsidRPr="006B7DB0">
        <w:t>36.</w:t>
      </w:r>
      <w:r w:rsidRPr="006B7DB0">
        <w:tab/>
      </w:r>
      <w:r w:rsidRPr="006B7DB0">
        <w:rPr>
          <w:b/>
          <w:bCs/>
        </w:rPr>
        <w:t>The Committee wishes to draw the attention of the State party to the particular importance of the recommendations contained in paragraphs 17 (racist hate speech), 21 (situation of Roma) and 27 (training and education on human rights and racial discrimination) above and requests the State party to provide detailed information in its next periodic report on the concrete measures taken to implement those recommendations.</w:t>
      </w:r>
    </w:p>
    <w:p w:rsidR="00655E1B" w:rsidRPr="006B7DB0" w:rsidRDefault="00655E1B" w:rsidP="00F4078F">
      <w:pPr>
        <w:pStyle w:val="H23G"/>
      </w:pPr>
      <w:r w:rsidRPr="006B7DB0">
        <w:lastRenderedPageBreak/>
        <w:tab/>
      </w:r>
      <w:r w:rsidRPr="006B7DB0">
        <w:tab/>
        <w:t>Preparation of the next periodic report</w:t>
      </w:r>
    </w:p>
    <w:p w:rsidR="00655E1B" w:rsidRPr="006B7DB0" w:rsidRDefault="00655E1B" w:rsidP="00F4078F">
      <w:pPr>
        <w:pStyle w:val="SingleTxtG"/>
        <w:keepNext/>
        <w:keepLines/>
        <w:rPr>
          <w:b/>
          <w:bCs/>
        </w:rPr>
      </w:pPr>
      <w:r w:rsidRPr="006B7DB0">
        <w:t>37.</w:t>
      </w:r>
      <w:r w:rsidRPr="006B7DB0">
        <w:tab/>
      </w:r>
      <w:r w:rsidRPr="006B7DB0">
        <w:rPr>
          <w:b/>
          <w:bCs/>
        </w:rPr>
        <w:t>The Committee recommends that the State party submit its combined twenty-sixth to twenty-seventh periodic reports, as a single document, by 4 June 2022,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F4078F" w:rsidRPr="006B7DB0" w:rsidRDefault="00F4078F" w:rsidP="00F4078F">
      <w:pPr>
        <w:pStyle w:val="SingleTxtG"/>
        <w:spacing w:before="240"/>
        <w:jc w:val="center"/>
      </w:pPr>
      <w:r w:rsidRPr="006B7DB0">
        <w:rPr>
          <w:u w:val="single"/>
        </w:rPr>
        <w:tab/>
      </w:r>
      <w:r w:rsidRPr="006B7DB0">
        <w:rPr>
          <w:u w:val="single"/>
        </w:rPr>
        <w:tab/>
      </w:r>
      <w:r w:rsidRPr="006B7DB0">
        <w:rPr>
          <w:u w:val="single"/>
        </w:rPr>
        <w:tab/>
      </w:r>
    </w:p>
    <w:sectPr w:rsidR="00F4078F" w:rsidRPr="006B7DB0" w:rsidSect="00CB1FB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15" w:rsidRPr="00A0297D" w:rsidRDefault="00012A15" w:rsidP="00A0297D">
      <w:pPr>
        <w:pStyle w:val="Footer"/>
      </w:pPr>
    </w:p>
  </w:endnote>
  <w:endnote w:type="continuationSeparator" w:id="0">
    <w:p w:rsidR="00012A15" w:rsidRPr="00A0297D" w:rsidRDefault="00012A1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1B" w:rsidRDefault="00655E1B" w:rsidP="00B328A1">
    <w:pPr>
      <w:pStyle w:val="Footer"/>
      <w:tabs>
        <w:tab w:val="right" w:pos="9638"/>
      </w:tabs>
    </w:pPr>
    <w:r w:rsidRPr="00655E1B">
      <w:rPr>
        <w:b/>
        <w:bCs/>
        <w:sz w:val="18"/>
      </w:rPr>
      <w:fldChar w:fldCharType="begin"/>
    </w:r>
    <w:r w:rsidRPr="00655E1B">
      <w:rPr>
        <w:b/>
        <w:bCs/>
        <w:sz w:val="18"/>
      </w:rPr>
      <w:instrText xml:space="preserve"> PAGE  \* MERGEFORMAT </w:instrText>
    </w:r>
    <w:r w:rsidRPr="00655E1B">
      <w:rPr>
        <w:b/>
        <w:bCs/>
        <w:sz w:val="18"/>
      </w:rPr>
      <w:fldChar w:fldCharType="separate"/>
    </w:r>
    <w:r w:rsidR="00C0743D">
      <w:rPr>
        <w:b/>
        <w:bCs/>
        <w:noProof/>
        <w:sz w:val="18"/>
      </w:rPr>
      <w:t>2</w:t>
    </w:r>
    <w:r w:rsidRPr="00655E1B">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1B" w:rsidRDefault="00655E1B" w:rsidP="00655E1B">
    <w:pPr>
      <w:pStyle w:val="Footer"/>
      <w:tabs>
        <w:tab w:val="right" w:pos="9638"/>
      </w:tabs>
    </w:pPr>
    <w:r>
      <w:tab/>
    </w:r>
    <w:r w:rsidRPr="00655E1B">
      <w:rPr>
        <w:b/>
        <w:bCs/>
        <w:sz w:val="18"/>
      </w:rPr>
      <w:fldChar w:fldCharType="begin"/>
    </w:r>
    <w:r w:rsidRPr="00655E1B">
      <w:rPr>
        <w:b/>
        <w:bCs/>
        <w:sz w:val="18"/>
      </w:rPr>
      <w:instrText xml:space="preserve"> PAGE  \* MERGEFORMAT </w:instrText>
    </w:r>
    <w:r w:rsidRPr="00655E1B">
      <w:rPr>
        <w:b/>
        <w:bCs/>
        <w:sz w:val="18"/>
      </w:rPr>
      <w:fldChar w:fldCharType="separate"/>
    </w:r>
    <w:r w:rsidR="00C0743D">
      <w:rPr>
        <w:b/>
        <w:bCs/>
        <w:noProof/>
        <w:sz w:val="18"/>
      </w:rPr>
      <w:t>9</w:t>
    </w:r>
    <w:r w:rsidRPr="00655E1B">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3D" w:rsidRDefault="00C0743D" w:rsidP="00C0743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0743D" w:rsidRDefault="00C0743D" w:rsidP="00C0743D">
    <w:pPr>
      <w:pStyle w:val="Footer"/>
      <w:ind w:right="1134"/>
      <w:rPr>
        <w:sz w:val="20"/>
      </w:rPr>
    </w:pPr>
    <w:r>
      <w:rPr>
        <w:sz w:val="20"/>
      </w:rPr>
      <w:t>GE.19-09131(E)</w:t>
    </w:r>
  </w:p>
  <w:p w:rsidR="00C0743D" w:rsidRPr="00C0743D" w:rsidRDefault="00C0743D" w:rsidP="00C0743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3270" cy="563270"/>
          <wp:effectExtent l="0" t="0" r="8255" b="8255"/>
          <wp:wrapNone/>
          <wp:docPr id="2" name="Picture 1" descr="https://undocs.org/m2/QRCode.ashx?DS=CERD/C/HUN/CO/18-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HUN/CO/18-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70" cy="56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15" w:rsidRPr="00A0297D" w:rsidRDefault="00012A15" w:rsidP="00A0297D">
      <w:pPr>
        <w:tabs>
          <w:tab w:val="right" w:pos="2155"/>
        </w:tabs>
        <w:spacing w:after="80" w:line="240" w:lineRule="auto"/>
        <w:ind w:left="680"/>
      </w:pPr>
      <w:r>
        <w:rPr>
          <w:u w:val="single"/>
        </w:rPr>
        <w:tab/>
      </w:r>
    </w:p>
  </w:footnote>
  <w:footnote w:type="continuationSeparator" w:id="0">
    <w:p w:rsidR="00012A15" w:rsidRPr="00A0297D" w:rsidRDefault="00012A15" w:rsidP="00A0297D">
      <w:pPr>
        <w:tabs>
          <w:tab w:val="right" w:pos="2155"/>
        </w:tabs>
        <w:spacing w:after="80" w:line="240" w:lineRule="auto"/>
        <w:ind w:left="680"/>
      </w:pPr>
      <w:r>
        <w:rPr>
          <w:u w:val="single"/>
        </w:rPr>
        <w:tab/>
      </w:r>
    </w:p>
  </w:footnote>
  <w:footnote w:id="1">
    <w:p w:rsidR="00655E1B" w:rsidRPr="00B328A1" w:rsidRDefault="00655E1B" w:rsidP="00655E1B">
      <w:pPr>
        <w:pStyle w:val="FootnoteText"/>
        <w:spacing w:line="240" w:lineRule="auto"/>
      </w:pPr>
      <w:r w:rsidRPr="00B328A1">
        <w:rPr>
          <w:sz w:val="20"/>
        </w:rPr>
        <w:tab/>
      </w:r>
      <w:r w:rsidRPr="00B328A1">
        <w:rPr>
          <w:rStyle w:val="FootnoteReference"/>
          <w:sz w:val="20"/>
          <w:vertAlign w:val="baseline"/>
        </w:rPr>
        <w:t>*</w:t>
      </w:r>
      <w:r w:rsidRPr="00B328A1">
        <w:rPr>
          <w:sz w:val="20"/>
        </w:rPr>
        <w:tab/>
      </w:r>
      <w:r w:rsidRPr="00B328A1">
        <w:t>Adopted by the Committee at its ninety-eighth session (23 April–10 May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1B" w:rsidRDefault="00655E1B" w:rsidP="00655E1B">
    <w:pPr>
      <w:pStyle w:val="Header"/>
    </w:pPr>
    <w:r>
      <w:t>CERD/C/HUN/CO/18-25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1B" w:rsidRDefault="00655E1B" w:rsidP="00655E1B">
    <w:pPr>
      <w:pStyle w:val="Header"/>
      <w:jc w:val="right"/>
    </w:pPr>
    <w:r>
      <w:t>CERD/C/HUN/CO/18-25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8" w:nlCheck="1" w:checkStyle="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2A15"/>
    <w:rsid w:val="00012A15"/>
    <w:rsid w:val="00046E92"/>
    <w:rsid w:val="000A1E8F"/>
    <w:rsid w:val="00247E2C"/>
    <w:rsid w:val="002D6C53"/>
    <w:rsid w:val="002F5595"/>
    <w:rsid w:val="00307688"/>
    <w:rsid w:val="00334F6A"/>
    <w:rsid w:val="00340BCC"/>
    <w:rsid w:val="00342AC8"/>
    <w:rsid w:val="00347F93"/>
    <w:rsid w:val="003B4550"/>
    <w:rsid w:val="00413A5E"/>
    <w:rsid w:val="00461253"/>
    <w:rsid w:val="005042C2"/>
    <w:rsid w:val="00557F19"/>
    <w:rsid w:val="00655E1B"/>
    <w:rsid w:val="00671529"/>
    <w:rsid w:val="006B7DB0"/>
    <w:rsid w:val="00702911"/>
    <w:rsid w:val="00713E53"/>
    <w:rsid w:val="007268F9"/>
    <w:rsid w:val="00735147"/>
    <w:rsid w:val="007C52B0"/>
    <w:rsid w:val="00857846"/>
    <w:rsid w:val="00883988"/>
    <w:rsid w:val="008E0F96"/>
    <w:rsid w:val="009411B4"/>
    <w:rsid w:val="009D0139"/>
    <w:rsid w:val="009F5CDC"/>
    <w:rsid w:val="00A0297D"/>
    <w:rsid w:val="00A33037"/>
    <w:rsid w:val="00A775CF"/>
    <w:rsid w:val="00B06045"/>
    <w:rsid w:val="00B328A1"/>
    <w:rsid w:val="00C01462"/>
    <w:rsid w:val="00C0743D"/>
    <w:rsid w:val="00C35A27"/>
    <w:rsid w:val="00CA3E0E"/>
    <w:rsid w:val="00CB1FB9"/>
    <w:rsid w:val="00D55FC2"/>
    <w:rsid w:val="00D60575"/>
    <w:rsid w:val="00DA7116"/>
    <w:rsid w:val="00E02C2B"/>
    <w:rsid w:val="00EA77DF"/>
    <w:rsid w:val="00ED6C48"/>
    <w:rsid w:val="00F4078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88C2-A335-427D-BBE1-17A20693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4216</Words>
  <Characters>23966</Characters>
  <Application>Microsoft Office Word</Application>
  <DocSecurity>0</DocSecurity>
  <Lines>396</Lines>
  <Paragraphs>115</Paragraphs>
  <ScaleCrop>false</ScaleCrop>
  <HeadingPairs>
    <vt:vector size="2" baseType="variant">
      <vt:variant>
        <vt:lpstr>Title</vt:lpstr>
      </vt:variant>
      <vt:variant>
        <vt:i4>1</vt:i4>
      </vt:variant>
    </vt:vector>
  </HeadingPairs>
  <TitlesOfParts>
    <vt:vector size="1" baseType="lpstr">
      <vt:lpstr>CERD/C/HUN/CO/18-25</vt:lpstr>
    </vt:vector>
  </TitlesOfParts>
  <Company>DCM</Company>
  <LinksUpToDate>false</LinksUpToDate>
  <CharactersWithSpaces>28206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CERD/C/HUN/CO/18-25</dc:title>
  <dc:subject>1909131</dc:subject>
  <dc:creator>Giltsoff</dc:creator>
  <cp:keywords/>
  <dc:description/>
  <cp:lastModifiedBy>Scaner eng</cp:lastModifiedBy>
  <cp:revision>2</cp:revision>
  <dcterms:created xsi:type="dcterms:W3CDTF">2019-06-06T12:53:00Z</dcterms:created>
  <dcterms:modified xsi:type="dcterms:W3CDTF">2019-06-06T12:53:00Z</dcterms:modified>
</cp:coreProperties>
</file>