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1AD4DA76" w14:textId="77777777" w:rsidTr="00BA5E8B">
        <w:trPr>
          <w:trHeight w:hRule="exact" w:val="851"/>
        </w:trPr>
        <w:tc>
          <w:tcPr>
            <w:tcW w:w="1274" w:type="dxa"/>
            <w:tcBorders>
              <w:bottom w:val="single" w:sz="4" w:space="0" w:color="auto"/>
            </w:tcBorders>
          </w:tcPr>
          <w:p w14:paraId="0F5F327C" w14:textId="77777777" w:rsidR="006B3E27" w:rsidRPr="003E159A" w:rsidRDefault="006B3E27" w:rsidP="00BA5E8B">
            <w:pPr>
              <w:pStyle w:val="H4GA"/>
              <w:bidi w:val="0"/>
            </w:pPr>
          </w:p>
        </w:tc>
        <w:tc>
          <w:tcPr>
            <w:tcW w:w="4963" w:type="dxa"/>
            <w:tcBorders>
              <w:bottom w:val="single" w:sz="4" w:space="0" w:color="auto"/>
            </w:tcBorders>
            <w:vAlign w:val="bottom"/>
          </w:tcPr>
          <w:p w14:paraId="52206F86"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41635586" w14:textId="77777777" w:rsidR="006B3E27" w:rsidRPr="003E159A" w:rsidRDefault="001A0AEB" w:rsidP="00DE73EF">
            <w:pPr>
              <w:bidi w:val="0"/>
              <w:spacing w:after="20"/>
              <w:jc w:val="left"/>
              <w:rPr>
                <w:szCs w:val="20"/>
              </w:rPr>
            </w:pPr>
            <w:r w:rsidRPr="001A0AEB">
              <w:rPr>
                <w:sz w:val="40"/>
                <w:szCs w:val="20"/>
              </w:rPr>
              <w:t>C</w:t>
            </w:r>
            <w:r w:rsidRPr="00474F4B">
              <w:rPr>
                <w:sz w:val="40"/>
                <w:szCs w:val="40"/>
              </w:rPr>
              <w:t>ERD</w:t>
            </w:r>
            <w:r>
              <w:rPr>
                <w:szCs w:val="20"/>
              </w:rPr>
              <w:t>/C/HUN/CO/18-25</w:t>
            </w:r>
          </w:p>
        </w:tc>
      </w:tr>
      <w:tr w:rsidR="006B3E27" w:rsidRPr="00ED7442" w14:paraId="4A97D075" w14:textId="77777777" w:rsidTr="00BA5E8B">
        <w:trPr>
          <w:trHeight w:hRule="exact" w:val="2835"/>
        </w:trPr>
        <w:tc>
          <w:tcPr>
            <w:tcW w:w="1274" w:type="dxa"/>
            <w:tcBorders>
              <w:top w:val="single" w:sz="4" w:space="0" w:color="auto"/>
              <w:bottom w:val="single" w:sz="12" w:space="0" w:color="auto"/>
            </w:tcBorders>
          </w:tcPr>
          <w:p w14:paraId="72CDA01B" w14:textId="77777777" w:rsidR="006B3E27" w:rsidRPr="00ED7442" w:rsidRDefault="0059622A" w:rsidP="00BA5E8B">
            <w:pPr>
              <w:jc w:val="center"/>
              <w:rPr>
                <w:sz w:val="56"/>
                <w:szCs w:val="56"/>
                <w:rtl/>
              </w:rPr>
            </w:pPr>
            <w:r w:rsidRPr="00ED7442">
              <w:rPr>
                <w:noProof/>
                <w:sz w:val="56"/>
                <w:szCs w:val="56"/>
              </w:rPr>
              <w:drawing>
                <wp:inline distT="0" distB="0" distL="0" distR="0" wp14:anchorId="2B56A6AF" wp14:editId="3645447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5841156" w14:textId="77777777" w:rsidR="00A2772A" w:rsidRPr="00A85A54" w:rsidRDefault="00A2772A" w:rsidP="00963637">
            <w:pPr>
              <w:spacing w:before="120" w:line="600" w:lineRule="exact"/>
              <w:ind w:right="279"/>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14:paraId="4699EEE0" w14:textId="77777777" w:rsidR="006B3E27" w:rsidRPr="00A2772A" w:rsidRDefault="006B3E27" w:rsidP="00BA5E8B">
            <w:pPr>
              <w:spacing w:before="120" w:after="40" w:line="640" w:lineRule="exact"/>
              <w:jc w:val="left"/>
              <w:rPr>
                <w:b/>
                <w:bCs/>
                <w:sz w:val="56"/>
                <w:szCs w:val="56"/>
              </w:rPr>
            </w:pPr>
          </w:p>
        </w:tc>
        <w:tc>
          <w:tcPr>
            <w:tcW w:w="3402" w:type="dxa"/>
            <w:tcBorders>
              <w:top w:val="single" w:sz="4" w:space="0" w:color="auto"/>
              <w:bottom w:val="single" w:sz="12" w:space="0" w:color="auto"/>
            </w:tcBorders>
          </w:tcPr>
          <w:p w14:paraId="1A6DF107" w14:textId="77777777" w:rsidR="006B3E27" w:rsidRDefault="00DE73EF" w:rsidP="00DE73EF">
            <w:pPr>
              <w:bidi w:val="0"/>
              <w:spacing w:before="240"/>
              <w:jc w:val="left"/>
              <w:rPr>
                <w:szCs w:val="20"/>
              </w:rPr>
            </w:pPr>
            <w:r>
              <w:rPr>
                <w:szCs w:val="20"/>
              </w:rPr>
              <w:t>Distr.: General</w:t>
            </w:r>
          </w:p>
          <w:p w14:paraId="06C4515E" w14:textId="77777777" w:rsidR="00DE73EF" w:rsidRDefault="00A5320D" w:rsidP="00DE73EF">
            <w:pPr>
              <w:bidi w:val="0"/>
              <w:jc w:val="left"/>
              <w:rPr>
                <w:szCs w:val="20"/>
              </w:rPr>
            </w:pPr>
            <w:r>
              <w:rPr>
                <w:szCs w:val="20"/>
              </w:rPr>
              <w:t xml:space="preserve">6 June </w:t>
            </w:r>
            <w:r w:rsidR="00DE73EF">
              <w:rPr>
                <w:szCs w:val="20"/>
              </w:rPr>
              <w:t>2019</w:t>
            </w:r>
          </w:p>
          <w:p w14:paraId="347242FD" w14:textId="77777777" w:rsidR="00DE73EF" w:rsidRDefault="00DE73EF" w:rsidP="00DE73EF">
            <w:pPr>
              <w:bidi w:val="0"/>
              <w:jc w:val="left"/>
              <w:rPr>
                <w:szCs w:val="20"/>
              </w:rPr>
            </w:pPr>
            <w:r>
              <w:rPr>
                <w:szCs w:val="20"/>
              </w:rPr>
              <w:t>Arabic</w:t>
            </w:r>
          </w:p>
          <w:p w14:paraId="1E80B476" w14:textId="77777777" w:rsidR="00DE73EF" w:rsidRPr="003E159A" w:rsidRDefault="00DE73EF" w:rsidP="00DE73EF">
            <w:pPr>
              <w:bidi w:val="0"/>
              <w:jc w:val="left"/>
              <w:rPr>
                <w:szCs w:val="20"/>
              </w:rPr>
            </w:pPr>
            <w:r>
              <w:rPr>
                <w:szCs w:val="20"/>
              </w:rPr>
              <w:t>Original: English</w:t>
            </w:r>
          </w:p>
        </w:tc>
      </w:tr>
    </w:tbl>
    <w:p w14:paraId="3D24FE2F" w14:textId="77777777" w:rsidR="00DE73EF" w:rsidRPr="00F67ADA" w:rsidRDefault="00DE73EF" w:rsidP="00A5320D">
      <w:pPr>
        <w:spacing w:before="120" w:line="380" w:lineRule="exact"/>
        <w:jc w:val="left"/>
        <w:rPr>
          <w:b/>
          <w:bCs/>
          <w:sz w:val="36"/>
          <w:szCs w:val="36"/>
          <w:rtl/>
        </w:rPr>
      </w:pPr>
      <w:r w:rsidRPr="00F67ADA">
        <w:rPr>
          <w:rFonts w:hint="cs"/>
          <w:b/>
          <w:bCs/>
          <w:sz w:val="36"/>
          <w:szCs w:val="36"/>
          <w:rtl/>
        </w:rPr>
        <w:t>لجنة القضاء على التمييز العنصري</w:t>
      </w:r>
    </w:p>
    <w:p w14:paraId="4F381735" w14:textId="77777777" w:rsidR="00DE73EF" w:rsidRDefault="00DE73EF" w:rsidP="00DE73EF">
      <w:pPr>
        <w:pStyle w:val="HChGA"/>
        <w:rPr>
          <w:rtl/>
          <w:lang w:bidi="ar-DZ"/>
        </w:rPr>
      </w:pPr>
      <w:r>
        <w:rPr>
          <w:rtl/>
        </w:rPr>
        <w:tab/>
      </w:r>
      <w:r>
        <w:rPr>
          <w:rtl/>
        </w:rPr>
        <w:tab/>
      </w:r>
      <w:r>
        <w:rPr>
          <w:rFonts w:hint="cs"/>
          <w:rtl/>
        </w:rPr>
        <w:t>الملاحظات الختامية بشأن التقرير الجامع للتقارير الدورية من الثامن عشر إلى الخامس والعشرين لهنغاريا</w:t>
      </w:r>
      <w:r w:rsidRPr="0087630C">
        <w:rPr>
          <w:rStyle w:val="FootnoteReference"/>
          <w:sz w:val="20"/>
          <w:vertAlign w:val="baseline"/>
          <w:rtl/>
        </w:rPr>
        <w:footnoteReference w:customMarkFollows="1" w:id="1"/>
        <w:t>*</w:t>
      </w:r>
    </w:p>
    <w:p w14:paraId="35DF26B1" w14:textId="77777777" w:rsidR="00DE73EF" w:rsidRDefault="00DE73EF" w:rsidP="00DE73EF">
      <w:pPr>
        <w:pStyle w:val="SingleTxtGA"/>
        <w:rPr>
          <w:rtl/>
        </w:rPr>
      </w:pPr>
      <w:r>
        <w:rPr>
          <w:rFonts w:hint="cs"/>
          <w:rtl/>
        </w:rPr>
        <w:t>1-</w:t>
      </w:r>
      <w:r>
        <w:rPr>
          <w:rtl/>
        </w:rPr>
        <w:tab/>
      </w:r>
      <w:r>
        <w:rPr>
          <w:rFonts w:hint="cs"/>
          <w:rtl/>
        </w:rPr>
        <w:t>نظرت اللجنة في التقرير الجامع للتقارير الدورية من الثامن عشر إلى الخامس والعشرين لهنغاريا (</w:t>
      </w:r>
      <w:r w:rsidRPr="006B7DB0">
        <w:t>CERD/C/HUN/18-25</w:t>
      </w:r>
      <w:r>
        <w:rPr>
          <w:rFonts w:hint="cs"/>
          <w:rtl/>
        </w:rPr>
        <w:t>) المقدمة في وثيقة واحدة، في جلستيها 2719 و2720 (انظر</w:t>
      </w:r>
      <w:r w:rsidR="00806E94">
        <w:rPr>
          <w:rFonts w:hint="eastAsia"/>
          <w:rtl/>
        </w:rPr>
        <w:t> </w:t>
      </w:r>
      <w:r>
        <w:rPr>
          <w:rFonts w:hint="cs"/>
          <w:rtl/>
        </w:rPr>
        <w:t xml:space="preserve">الوثيقتين </w:t>
      </w:r>
      <w:r w:rsidRPr="006B7DB0">
        <w:t>CERD/C/SR.2719</w:t>
      </w:r>
      <w:r>
        <w:rPr>
          <w:rFonts w:hint="cs"/>
          <w:rtl/>
        </w:rPr>
        <w:t xml:space="preserve"> و</w:t>
      </w:r>
      <w:r w:rsidRPr="006B7DB0">
        <w:t>2720</w:t>
      </w:r>
      <w:r>
        <w:rPr>
          <w:rFonts w:hint="cs"/>
          <w:rtl/>
        </w:rPr>
        <w:t xml:space="preserve">) المعقودتين في 29 و30 نيسان/أبريل 2019. واعتمدت في جلستها 2733، المعقودة في 8 أيار/مايو 2019، هذه الملاحظات الختامية. </w:t>
      </w:r>
    </w:p>
    <w:p w14:paraId="4CDC375B" w14:textId="77777777" w:rsidR="00DE73EF" w:rsidRDefault="00DE73EF" w:rsidP="00DE73EF">
      <w:pPr>
        <w:pStyle w:val="H1GA"/>
        <w:rPr>
          <w:rtl/>
        </w:rPr>
      </w:pPr>
      <w:r>
        <w:rPr>
          <w:rtl/>
        </w:rPr>
        <w:tab/>
      </w:r>
      <w:r>
        <w:rPr>
          <w:rFonts w:hint="cs"/>
          <w:rtl/>
        </w:rPr>
        <w:t>ألف-</w:t>
      </w:r>
      <w:r>
        <w:rPr>
          <w:rtl/>
        </w:rPr>
        <w:tab/>
      </w:r>
      <w:r>
        <w:rPr>
          <w:rFonts w:hint="cs"/>
          <w:rtl/>
        </w:rPr>
        <w:t xml:space="preserve">مقدمة </w:t>
      </w:r>
    </w:p>
    <w:p w14:paraId="37447CD8" w14:textId="77777777" w:rsidR="00DE73EF" w:rsidRDefault="00DE73EF" w:rsidP="00DE73EF">
      <w:pPr>
        <w:pStyle w:val="SingleTxtGA"/>
        <w:rPr>
          <w:rtl/>
        </w:rPr>
      </w:pPr>
      <w:r>
        <w:rPr>
          <w:rFonts w:hint="cs"/>
          <w:rtl/>
        </w:rPr>
        <w:t>2-</w:t>
      </w:r>
      <w:r>
        <w:rPr>
          <w:rtl/>
        </w:rPr>
        <w:tab/>
      </w:r>
      <w:r>
        <w:rPr>
          <w:rFonts w:hint="cs"/>
          <w:rtl/>
        </w:rPr>
        <w:t xml:space="preserve">ترحب اللجنة بتقديم التقارير الدورية من الثامن عشر إلى الخامس والعشرين للدولة الطرف، وإن كانت تأسف لتأخر تقديمها. </w:t>
      </w:r>
    </w:p>
    <w:p w14:paraId="59763BB1" w14:textId="77777777" w:rsidR="00DE73EF" w:rsidRDefault="00DE73EF" w:rsidP="00DE73EF">
      <w:pPr>
        <w:pStyle w:val="SingleTxtGA"/>
        <w:rPr>
          <w:rtl/>
        </w:rPr>
      </w:pPr>
      <w:r>
        <w:rPr>
          <w:rFonts w:hint="cs"/>
          <w:rtl/>
        </w:rPr>
        <w:t>3-</w:t>
      </w:r>
      <w:r>
        <w:rPr>
          <w:rtl/>
        </w:rPr>
        <w:tab/>
      </w:r>
      <w:r>
        <w:rPr>
          <w:rFonts w:hint="cs"/>
          <w:rtl/>
        </w:rPr>
        <w:t>وتعرب اللجنة عن تقديرها للحوار الصريح والبنّاء الذي أجرته مع وفد الدولة الطرف الرفيع المستوى. وتشكر الوفد على ما قدمه من معلومات أثناء النظر في التقرير وما وافاها به</w:t>
      </w:r>
      <w:r w:rsidR="00D07F11">
        <w:rPr>
          <w:rFonts w:hint="eastAsia"/>
          <w:rtl/>
        </w:rPr>
        <w:t> </w:t>
      </w:r>
      <w:r>
        <w:rPr>
          <w:rFonts w:hint="cs"/>
          <w:rtl/>
        </w:rPr>
        <w:t xml:space="preserve">كتابة من معلومات إضافية بعد الحوار. </w:t>
      </w:r>
    </w:p>
    <w:p w14:paraId="27DCCB3F" w14:textId="77777777" w:rsidR="00DE73EF" w:rsidRDefault="00DE73EF" w:rsidP="00DE73EF">
      <w:pPr>
        <w:pStyle w:val="H1GA"/>
        <w:rPr>
          <w:rtl/>
        </w:rPr>
      </w:pPr>
      <w:r>
        <w:rPr>
          <w:rtl/>
        </w:rPr>
        <w:tab/>
      </w:r>
      <w:r>
        <w:rPr>
          <w:rFonts w:hint="cs"/>
          <w:rtl/>
        </w:rPr>
        <w:t>باء-</w:t>
      </w:r>
      <w:r>
        <w:rPr>
          <w:rtl/>
        </w:rPr>
        <w:tab/>
      </w:r>
      <w:r>
        <w:rPr>
          <w:rFonts w:hint="cs"/>
          <w:rtl/>
        </w:rPr>
        <w:t>الجوانب الإيجابية</w:t>
      </w:r>
    </w:p>
    <w:p w14:paraId="5C6DF079" w14:textId="77777777" w:rsidR="00DE73EF" w:rsidRDefault="00DE73EF" w:rsidP="00DE73EF">
      <w:pPr>
        <w:pStyle w:val="SingleTxtGA"/>
        <w:rPr>
          <w:rtl/>
        </w:rPr>
      </w:pPr>
      <w:r>
        <w:rPr>
          <w:rFonts w:hint="cs"/>
          <w:rtl/>
        </w:rPr>
        <w:t>4-</w:t>
      </w:r>
      <w:r>
        <w:rPr>
          <w:rtl/>
        </w:rPr>
        <w:tab/>
      </w:r>
      <w:r>
        <w:rPr>
          <w:rFonts w:hint="cs"/>
          <w:rtl/>
        </w:rPr>
        <w:t>ترحب اللجنة بتصديق الدولة الطرف على الصكوك الدولية التالية لحقوق الإنسان أو</w:t>
      </w:r>
      <w:r w:rsidR="00471331">
        <w:rPr>
          <w:rFonts w:hint="eastAsia"/>
          <w:rtl/>
        </w:rPr>
        <w:t> </w:t>
      </w:r>
      <w:r>
        <w:rPr>
          <w:rFonts w:hint="cs"/>
          <w:rtl/>
        </w:rPr>
        <w:t xml:space="preserve">بانضمامها إليها: </w:t>
      </w:r>
    </w:p>
    <w:p w14:paraId="00AF41D4" w14:textId="77777777" w:rsidR="00DE73EF" w:rsidRDefault="00DE73EF" w:rsidP="00DE73EF">
      <w:pPr>
        <w:pStyle w:val="SingleTxtGA"/>
        <w:rPr>
          <w:rtl/>
        </w:rPr>
      </w:pPr>
      <w:r>
        <w:rPr>
          <w:rtl/>
        </w:rPr>
        <w:tab/>
      </w:r>
      <w:r>
        <w:rPr>
          <w:rFonts w:hint="cs"/>
          <w:rtl/>
        </w:rPr>
        <w:t>(أ)</w:t>
      </w:r>
      <w:r>
        <w:rPr>
          <w:rtl/>
        </w:rPr>
        <w:tab/>
      </w:r>
      <w:r>
        <w:rPr>
          <w:rFonts w:hint="cs"/>
          <w:rtl/>
        </w:rPr>
        <w:t xml:space="preserve">اتفاقية حقوق الأشخاص ذوي الإعاقة، في 20 تموز/يوليه 2007؛ </w:t>
      </w:r>
    </w:p>
    <w:p w14:paraId="5E7D1CC2" w14:textId="77777777" w:rsidR="00DE73EF" w:rsidRDefault="00DE73EF" w:rsidP="00DE73EF">
      <w:pPr>
        <w:pStyle w:val="SingleTxtGA"/>
        <w:rPr>
          <w:rtl/>
        </w:rPr>
      </w:pPr>
      <w:r>
        <w:rPr>
          <w:rtl/>
        </w:rPr>
        <w:tab/>
      </w:r>
      <w:r>
        <w:rPr>
          <w:rFonts w:hint="cs"/>
          <w:rtl/>
        </w:rPr>
        <w:t>(ب)</w:t>
      </w:r>
      <w:r>
        <w:rPr>
          <w:rtl/>
        </w:rPr>
        <w:tab/>
      </w:r>
      <w:r>
        <w:rPr>
          <w:rFonts w:hint="cs"/>
          <w:rtl/>
        </w:rPr>
        <w:t xml:space="preserve">البروتوكول الاختياري لاتفاقية حقوق الأشخاص ذوي الإعاقة، في 20 تموز/يوليه 2007، بما في ذلك قبول إجراء التحري؛ </w:t>
      </w:r>
    </w:p>
    <w:p w14:paraId="00C527E8" w14:textId="77777777" w:rsidR="00DE73EF" w:rsidRDefault="00DE73EF" w:rsidP="00DE73EF">
      <w:pPr>
        <w:pStyle w:val="SingleTxtGA"/>
        <w:rPr>
          <w:rtl/>
        </w:rPr>
      </w:pPr>
      <w:r>
        <w:rPr>
          <w:rtl/>
        </w:rPr>
        <w:tab/>
      </w:r>
      <w:r>
        <w:rPr>
          <w:rFonts w:hint="cs"/>
          <w:rtl/>
        </w:rPr>
        <w:t>(ج)</w:t>
      </w:r>
      <w:r>
        <w:rPr>
          <w:rtl/>
        </w:rPr>
        <w:tab/>
      </w:r>
      <w:r>
        <w:rPr>
          <w:rFonts w:hint="cs"/>
          <w:rtl/>
        </w:rPr>
        <w:t xml:space="preserve">البروتوكول الاختياري لاتفاقية حقوق الطفل بشأن اشتراك الأطفال في المنازعات المسلحة، في 24 شباط/فبراير 2010؛ </w:t>
      </w:r>
    </w:p>
    <w:p w14:paraId="26989DAA" w14:textId="77777777" w:rsidR="00DE73EF" w:rsidRDefault="00DE73EF" w:rsidP="00DE73EF">
      <w:pPr>
        <w:pStyle w:val="SingleTxtGA"/>
        <w:rPr>
          <w:rtl/>
        </w:rPr>
      </w:pPr>
      <w:r>
        <w:rPr>
          <w:rtl/>
        </w:rPr>
        <w:lastRenderedPageBreak/>
        <w:tab/>
      </w:r>
      <w:r>
        <w:rPr>
          <w:rFonts w:hint="cs"/>
          <w:rtl/>
        </w:rPr>
        <w:t>(د)</w:t>
      </w:r>
      <w:r>
        <w:rPr>
          <w:rtl/>
        </w:rPr>
        <w:tab/>
      </w:r>
      <w:r>
        <w:rPr>
          <w:rFonts w:hint="cs"/>
          <w:rtl/>
        </w:rPr>
        <w:t xml:space="preserve">البروتوكول الاختياري لاتفاقية حقوق الطفل بشأن بيع الأطفال واستغلال الأطفال في البغاء وفي المواد الإباحية، في 24 شباط/فبراير 2010؛ </w:t>
      </w:r>
    </w:p>
    <w:p w14:paraId="47E546F2" w14:textId="77777777" w:rsidR="00DE73EF" w:rsidRDefault="00DE73EF" w:rsidP="00DE73EF">
      <w:pPr>
        <w:pStyle w:val="SingleTxtGA"/>
        <w:rPr>
          <w:rtl/>
        </w:rPr>
      </w:pPr>
      <w:r>
        <w:rPr>
          <w:rtl/>
        </w:rPr>
        <w:tab/>
      </w:r>
      <w:r>
        <w:rPr>
          <w:rFonts w:hint="cs"/>
          <w:rtl/>
        </w:rPr>
        <w:t>(ه)</w:t>
      </w:r>
      <w:r>
        <w:rPr>
          <w:rtl/>
        </w:rPr>
        <w:tab/>
      </w:r>
      <w:r>
        <w:rPr>
          <w:rFonts w:hint="cs"/>
          <w:rtl/>
        </w:rPr>
        <w:t>البروتوكول الاختياري لاتفاقية مناهضة التعذيب وغيره من ضروب المعاملة أو</w:t>
      </w:r>
      <w:r w:rsidR="008B70C1">
        <w:rPr>
          <w:rFonts w:hint="eastAsia"/>
          <w:rtl/>
        </w:rPr>
        <w:t> </w:t>
      </w:r>
      <w:r>
        <w:rPr>
          <w:rFonts w:hint="cs"/>
          <w:rtl/>
        </w:rPr>
        <w:t xml:space="preserve">العقوبة القاسية أو اللاإنسانية أو المهينة، في 12 كانون الثاني/يناير 2012. </w:t>
      </w:r>
    </w:p>
    <w:p w14:paraId="41DF7C21" w14:textId="77777777" w:rsidR="00DE73EF" w:rsidRDefault="00DE73EF" w:rsidP="00DE73EF">
      <w:pPr>
        <w:pStyle w:val="SingleTxtGA"/>
        <w:rPr>
          <w:rtl/>
        </w:rPr>
      </w:pPr>
      <w:r>
        <w:rPr>
          <w:rFonts w:hint="cs"/>
          <w:rtl/>
        </w:rPr>
        <w:t>5-</w:t>
      </w:r>
      <w:r>
        <w:rPr>
          <w:rtl/>
        </w:rPr>
        <w:tab/>
      </w:r>
      <w:r>
        <w:rPr>
          <w:rFonts w:hint="cs"/>
          <w:rtl/>
        </w:rPr>
        <w:t xml:space="preserve">وترحب اللجنة أيضاً باعتماد القانون الخامس والعشرين بعد المائة لعام 2003 المتعلق بالمساواة في المعاملة وبتعزيز تكافؤ الفرص (قانون المساواة في المعاملة). </w:t>
      </w:r>
    </w:p>
    <w:p w14:paraId="35A9E7CA" w14:textId="77777777" w:rsidR="00DE73EF" w:rsidRDefault="00DE73EF" w:rsidP="00DE73EF">
      <w:pPr>
        <w:pStyle w:val="H1GA"/>
        <w:rPr>
          <w:rtl/>
        </w:rPr>
      </w:pPr>
      <w:r>
        <w:rPr>
          <w:rtl/>
        </w:rPr>
        <w:tab/>
      </w:r>
      <w:r>
        <w:rPr>
          <w:rFonts w:hint="cs"/>
          <w:rtl/>
        </w:rPr>
        <w:t>جيم-</w:t>
      </w:r>
      <w:r>
        <w:rPr>
          <w:rtl/>
        </w:rPr>
        <w:tab/>
      </w:r>
      <w:r>
        <w:rPr>
          <w:rFonts w:hint="cs"/>
          <w:rtl/>
        </w:rPr>
        <w:t>دواعي القلق والتوصيات</w:t>
      </w:r>
    </w:p>
    <w:p w14:paraId="522DF624" w14:textId="77777777" w:rsidR="00DE73EF" w:rsidRDefault="00DE73EF" w:rsidP="00DE73EF">
      <w:pPr>
        <w:pStyle w:val="H23GA"/>
        <w:rPr>
          <w:rtl/>
        </w:rPr>
      </w:pPr>
      <w:r>
        <w:rPr>
          <w:rtl/>
        </w:rPr>
        <w:tab/>
      </w:r>
      <w:r>
        <w:rPr>
          <w:rtl/>
        </w:rPr>
        <w:tab/>
      </w:r>
      <w:r>
        <w:rPr>
          <w:rFonts w:hint="cs"/>
          <w:rtl/>
        </w:rPr>
        <w:t>الإحصاءات</w:t>
      </w:r>
    </w:p>
    <w:p w14:paraId="4848A10A" w14:textId="77777777" w:rsidR="00DE73EF" w:rsidRDefault="00DE73EF" w:rsidP="00DE73EF">
      <w:pPr>
        <w:pStyle w:val="SingleTxtGA"/>
        <w:rPr>
          <w:rtl/>
        </w:rPr>
      </w:pPr>
      <w:r>
        <w:rPr>
          <w:rFonts w:hint="cs"/>
          <w:rtl/>
        </w:rPr>
        <w:t>6-</w:t>
      </w:r>
      <w:r>
        <w:rPr>
          <w:rtl/>
        </w:rPr>
        <w:tab/>
      </w:r>
      <w:r>
        <w:rPr>
          <w:rFonts w:hint="cs"/>
          <w:rtl/>
        </w:rPr>
        <w:t xml:space="preserve">تحيط اللجنة علماً بالإحصاءات المقدمة من الدولة الطرف، في أعقاب الحوار، والمتعلقة بالتركيبة الإثنية للسكان ولغة أمهم وفقاً لتعداد عام 2011. وتحيط علماً أيضاً ببعض المؤشرات الاجتماعية الاقتصادية المتعلقة بحالة </w:t>
      </w:r>
      <w:proofErr w:type="spellStart"/>
      <w:r>
        <w:rPr>
          <w:rFonts w:hint="cs"/>
          <w:rtl/>
        </w:rPr>
        <w:t>الروما</w:t>
      </w:r>
      <w:proofErr w:type="spellEnd"/>
      <w:r>
        <w:rPr>
          <w:rFonts w:hint="cs"/>
          <w:rtl/>
        </w:rPr>
        <w:t xml:space="preserve">. وتعرب اللجنة عن أسفها مع ذلك لأن الدولة الطرف لم تقدم إحصاءات أو معلومات شاملة عن سياسة جمع المؤشرات الاجتماعية الاقتصادية فيما يتعلق بمجموعات إثنية أخرى. كما تعرب عن أسفها لعدم توافر إحصاءات متعددة السنوات بشأن المهاجرين وملتمسي اللجوء واللاجئين (الفقرة 2). </w:t>
      </w:r>
    </w:p>
    <w:p w14:paraId="2556CDEF" w14:textId="77777777" w:rsidR="00DE73EF" w:rsidRDefault="00DE73EF" w:rsidP="00DE73EF">
      <w:pPr>
        <w:pStyle w:val="SingleTxtGA"/>
        <w:rPr>
          <w:b/>
          <w:bCs/>
          <w:rtl/>
        </w:rPr>
      </w:pPr>
      <w:r>
        <w:rPr>
          <w:rFonts w:hint="cs"/>
          <w:rtl/>
        </w:rPr>
        <w:t>7-</w:t>
      </w:r>
      <w:r>
        <w:rPr>
          <w:rtl/>
        </w:rPr>
        <w:tab/>
      </w:r>
      <w:r w:rsidRPr="0087630C">
        <w:rPr>
          <w:rFonts w:hint="cs"/>
          <w:b/>
          <w:bCs/>
          <w:rtl/>
        </w:rPr>
        <w:t xml:space="preserve">إذ </w:t>
      </w:r>
      <w:r>
        <w:rPr>
          <w:rFonts w:hint="cs"/>
          <w:b/>
          <w:bCs/>
          <w:rtl/>
        </w:rPr>
        <w:t>تشير اللجنة إلى مبادئها التوجيهية المتعلقة بتقديم التقارير (</w:t>
      </w:r>
      <w:r w:rsidRPr="00CF23D9">
        <w:rPr>
          <w:b/>
          <w:bCs/>
          <w:lang w:val="en-GB"/>
        </w:rPr>
        <w:t>CERD/C/2007/1</w:t>
      </w:r>
      <w:r>
        <w:rPr>
          <w:rFonts w:hint="cs"/>
          <w:b/>
          <w:bCs/>
          <w:rtl/>
        </w:rPr>
        <w:t xml:space="preserve">) وإلى توصياتها العامة رقم 8(1990) بشأن تفسير وتطبيق الفقرتين 1 و4 من المادة 1 من الاتفاقية، توصي بأن تجمع الدولة الطرف إحصاءات محدثة عن التركيبة الإثنية لسكانها، تكون مصنفة بحسب الإثنية والأصل الوطني واللغة المستخدمة، وأن تضع مؤشرات اجتماعية اقتصادية بشأن تمتع مختلف المجموعات الإثنية بالحقوق، تكون مصنفة بحسب الجنس ونوع الجنس والإثنية، وذلك بطرق منها الحوار مع الأقليات الإثنية وبتنويع أنشطتها المتعلقة بجمع البيانات، واستخدام مؤشرات مختلفة للتنوع الإثني وتمكين المجيبين من إخفاء هويتهم واختيار التعريف بذواتهم على نحو يتيح أساساً عملياً ملائماً لرصد التمتع بجميع الحقوق المكرسة في الاتفاقية. وتطلب اللجنة إلى الدولة الطرف تضمين تقريرها الدوري المقبل إحصاءات محدثة إلى جانب إحصاءات متعددة السنوات بشأن المهاجرين وملتمسي اللجوء واللاجئين. </w:t>
      </w:r>
    </w:p>
    <w:p w14:paraId="0E270060" w14:textId="77777777" w:rsidR="00DE73EF" w:rsidRDefault="00DE73EF" w:rsidP="00DE73EF">
      <w:pPr>
        <w:pStyle w:val="H23GA"/>
        <w:rPr>
          <w:rtl/>
        </w:rPr>
      </w:pPr>
      <w:r>
        <w:rPr>
          <w:rtl/>
        </w:rPr>
        <w:tab/>
      </w:r>
      <w:r>
        <w:rPr>
          <w:rtl/>
        </w:rPr>
        <w:tab/>
      </w:r>
      <w:r>
        <w:rPr>
          <w:rFonts w:hint="cs"/>
          <w:rtl/>
        </w:rPr>
        <w:t xml:space="preserve">المؤسسة الوطنية لحقوق الإنسان </w:t>
      </w:r>
    </w:p>
    <w:p w14:paraId="09461F59" w14:textId="77777777" w:rsidR="00DE73EF" w:rsidRPr="0087630C" w:rsidRDefault="00DE73EF" w:rsidP="00DE73EF">
      <w:pPr>
        <w:pStyle w:val="SingleTxtGA"/>
        <w:rPr>
          <w:rtl/>
        </w:rPr>
      </w:pPr>
      <w:r w:rsidRPr="008609B9">
        <w:rPr>
          <w:rFonts w:hint="cs"/>
          <w:rtl/>
        </w:rPr>
        <w:t>8-</w:t>
      </w:r>
      <w:r w:rsidRPr="008609B9">
        <w:rPr>
          <w:rtl/>
        </w:rPr>
        <w:tab/>
      </w:r>
      <w:r w:rsidRPr="0087630C">
        <w:rPr>
          <w:rFonts w:hint="cs"/>
          <w:rtl/>
        </w:rPr>
        <w:t xml:space="preserve">إذ ترحب اللجنة بإنشاء وظيفة المفوض المعني بالحقوق الأساسية في عام 2011، وتصنيف التحالف العالمي للمؤسسات الوطنية لحقوق الإنسان هذه المؤسسة ضمن الفئة ألف، يساور اللجنة القلق لأن نائب المفوض المسؤول عن حقوق الأقليات الوطنية يخضع لسلطة المفوض المعني بالحقوق الأساسية فيما يتعلق بحقوق الطفل والأشخاص ذوي الإعاقة خصوصاً، ما قد يعرقل اضطلاع نائب المفوض بعمله في مجال حظر التمييز العنصري في كنف الاستقلالية والحياد الكاملين. وتعرب اللجنة عن أسفها لعدم توافر معلومات عن عمل مفوضية الحقوق الأساسية في سبيل منع التمييز العنصري وكره الأجانب اللذين يستهدفان الأقليات الإثنية </w:t>
      </w:r>
      <w:r w:rsidRPr="0087630C">
        <w:rPr>
          <w:rFonts w:hint="cs"/>
          <w:rtl/>
        </w:rPr>
        <w:lastRenderedPageBreak/>
        <w:t xml:space="preserve">الضعيفة بمن فيها المهاجرون واللاجئون وملتمسو اللجوء. وتحيط اللجنة علماً بإنشاء وظيفة نائب المفوض المسؤول عن حماية مصالح الأجيال المقبلة. </w:t>
      </w:r>
    </w:p>
    <w:p w14:paraId="622D3CD9" w14:textId="77777777" w:rsidR="00DE73EF" w:rsidRDefault="00DE73EF" w:rsidP="00DE73EF">
      <w:pPr>
        <w:pStyle w:val="SingleTxtGA"/>
        <w:rPr>
          <w:b/>
          <w:bCs/>
          <w:rtl/>
        </w:rPr>
      </w:pPr>
      <w:r w:rsidRPr="0087630C">
        <w:rPr>
          <w:rFonts w:hint="cs"/>
          <w:rtl/>
        </w:rPr>
        <w:t>9-</w:t>
      </w:r>
      <w:r w:rsidRPr="0087630C">
        <w:rPr>
          <w:rtl/>
        </w:rPr>
        <w:tab/>
      </w:r>
      <w:r>
        <w:rPr>
          <w:rFonts w:hint="cs"/>
          <w:b/>
          <w:bCs/>
          <w:rtl/>
        </w:rPr>
        <w:t xml:space="preserve">توصي اللجنة بأن تكفل الدولة الطرف قدرة المفوض المعني بالحقوق الأساسية ونوابه على تنفيذ ولاياتهم بالكامل في كنف الاستقلالية والحياد، وفقاً للمبادئ المتعلقة بمركز المؤسسات الوطنية لتعزيز وحماية حقوق الإنسان (مبادئ باريس). وتوصي أيضاً بأن تكثف المفوضية عملها في مجال حظر التمييز العنصري وكره الأجانب، لا سيما فيما يتصل بالأقليات الإثنية الضعيفة، بمن فيها المهاجرون واللاجئون وملتمسو اللجوء، وأن تساعد جميع ضحايا انتهاكات الاتفاقية على الوصول إلى العدالة. وتوصي اللجنة كذلك بأن ينفذ نائب المفوض المسؤول عن حماية مصالح الأجيال المقبلة برامج توعية بشأن التنمية المستدامة وحقوق الإنسان لفائدة الشباب، بغية تعزيز التسامح، على النحو المنصوص عليه في المادة 7 من الاتفاقية. </w:t>
      </w:r>
    </w:p>
    <w:p w14:paraId="7C842E6A" w14:textId="77777777" w:rsidR="00DE73EF" w:rsidRDefault="00DE73EF" w:rsidP="00DE73EF">
      <w:pPr>
        <w:pStyle w:val="H23GA"/>
        <w:rPr>
          <w:rtl/>
        </w:rPr>
      </w:pPr>
      <w:r>
        <w:rPr>
          <w:rtl/>
        </w:rPr>
        <w:tab/>
      </w:r>
      <w:r>
        <w:rPr>
          <w:rtl/>
        </w:rPr>
        <w:tab/>
      </w:r>
      <w:r>
        <w:rPr>
          <w:rFonts w:hint="cs"/>
          <w:rtl/>
        </w:rPr>
        <w:t>الإطار القانوني لمكافحة التمييز وإنفاذه</w:t>
      </w:r>
    </w:p>
    <w:p w14:paraId="75F593B0" w14:textId="77777777" w:rsidR="00DE73EF" w:rsidRDefault="00DE73EF" w:rsidP="00DE73EF">
      <w:pPr>
        <w:pStyle w:val="SingleTxtGA"/>
        <w:rPr>
          <w:rtl/>
        </w:rPr>
      </w:pPr>
      <w:r>
        <w:rPr>
          <w:rFonts w:hint="cs"/>
          <w:rtl/>
        </w:rPr>
        <w:t>10-</w:t>
      </w:r>
      <w:r>
        <w:rPr>
          <w:rtl/>
        </w:rPr>
        <w:tab/>
      </w:r>
      <w:r>
        <w:rPr>
          <w:rFonts w:hint="cs"/>
          <w:rtl/>
        </w:rPr>
        <w:t>إذ تلاحظ اللجنة التقدم الذي أحرزته الدولة الطرف في تدعيم إطارها القانوني لمكافحة التمييز العنصري منذ عام 2002، بسبل منها اعتماد القانون الأساسي لهنغاريا وقانون المساواة في المعاملة وأحكام محددة من قانون العمل تشجع المساواة في المعاملة، يساورها القلق لأن الأحكام القانونية التي تحظر التمييز لا تتضمن جميع أسس التمييز المحظورة المبينة في المادة 1 من الاتفاقية. واللجنة منشغلة أيضاً إزاء عدم تنفيذ تلك الأحكام القانونية تنفيذاً كاملاً ومتسقاً، وعدم وجود أمثلة مفصلة على حالات محددة اعتُدّ فيها أمام المحاكم بالأحكام القانونية التي تحظر التمييز العنصري، و</w:t>
      </w:r>
      <w:r>
        <w:rPr>
          <w:rFonts w:hint="cs"/>
          <w:rtl/>
          <w:lang w:val="es-ES"/>
        </w:rPr>
        <w:t xml:space="preserve">إزاء </w:t>
      </w:r>
      <w:r>
        <w:rPr>
          <w:rFonts w:hint="cs"/>
          <w:rtl/>
        </w:rPr>
        <w:t xml:space="preserve">الافتقار إلى آليات تظلم ذات صلة. </w:t>
      </w:r>
    </w:p>
    <w:p w14:paraId="692FB874" w14:textId="77777777" w:rsidR="00DE73EF" w:rsidRPr="00FD7DE3" w:rsidRDefault="00DE73EF" w:rsidP="00DE73EF">
      <w:pPr>
        <w:pStyle w:val="SingleTxtGA"/>
        <w:rPr>
          <w:b/>
          <w:bCs/>
          <w:rtl/>
        </w:rPr>
      </w:pPr>
      <w:r>
        <w:rPr>
          <w:rFonts w:hint="cs"/>
          <w:rtl/>
        </w:rPr>
        <w:t>11-</w:t>
      </w:r>
      <w:r>
        <w:rPr>
          <w:rtl/>
        </w:rPr>
        <w:tab/>
      </w:r>
      <w:r w:rsidRPr="00FD7DE3">
        <w:rPr>
          <w:rFonts w:hint="cs"/>
          <w:b/>
          <w:bCs/>
          <w:rtl/>
        </w:rPr>
        <w:t xml:space="preserve">توصي اللجنة بأن تكفل الدولة الطرف احتواء كل التشريعات التي تحظر التمييز العنصري جميع أسس التمييز المنصوص عليها في المادة 1(1) من الاتفاقية. كما توصي بأن تتخذ الدولة الطرف تدابير لتنفيذ الأحكام القانونية القائمة التي تحظر التمييز العنصري تنفيذاً كاملاً وفعالاً، وأن تيسر الوصول الفعلي إلى العدالة، وتتيح سبل الانتصاف الملائمة لجميع ضحايا التمييز العنصري. وتطلب اللجنة إلى الدولة الطرف تضمين تقريرها الدوري المقبل أمثلة مفصلة على حالات تمييز عنصري، بما في ذلك تحاليل وبيانات عن تطبيق الاتفاقية بواسطة الأحكام القانونية ذات الصلة في القرارات القضائية والإدارية. </w:t>
      </w:r>
    </w:p>
    <w:p w14:paraId="66C41B2C" w14:textId="77777777" w:rsidR="00DE73EF" w:rsidRDefault="00DE73EF" w:rsidP="00DE73EF">
      <w:pPr>
        <w:pStyle w:val="H23GA"/>
        <w:rPr>
          <w:rtl/>
        </w:rPr>
      </w:pPr>
      <w:r>
        <w:rPr>
          <w:rtl/>
        </w:rPr>
        <w:tab/>
      </w:r>
      <w:r>
        <w:rPr>
          <w:rtl/>
        </w:rPr>
        <w:tab/>
      </w:r>
      <w:r>
        <w:rPr>
          <w:rFonts w:hint="cs"/>
          <w:rtl/>
        </w:rPr>
        <w:t>الشكاوى المتعلقة بالتمييز العنصري</w:t>
      </w:r>
    </w:p>
    <w:p w14:paraId="0C534972" w14:textId="77777777" w:rsidR="00DE73EF" w:rsidRDefault="00DE73EF" w:rsidP="00DE73EF">
      <w:pPr>
        <w:pStyle w:val="SingleTxtGA"/>
        <w:rPr>
          <w:rtl/>
        </w:rPr>
      </w:pPr>
      <w:r>
        <w:rPr>
          <w:rFonts w:hint="cs"/>
          <w:rtl/>
        </w:rPr>
        <w:t>12-</w:t>
      </w:r>
      <w:r>
        <w:rPr>
          <w:rtl/>
        </w:rPr>
        <w:tab/>
      </w:r>
      <w:r>
        <w:rPr>
          <w:rFonts w:hint="cs"/>
          <w:rtl/>
        </w:rPr>
        <w:t xml:space="preserve">تلاحظ اللجنة أن هيئة المساواة في المعاملة والمفوض المعني بالحقوق الأساسية ينظران كلاهما في شكاوى التمييز العنصري كلّا في إطار ولايته، وتحيط علماً بالمعلومات المقدمة في أعقاب الحوار عن بعض فئات الحالات التي نظرت فيها هاتان الآليتان والسلطة القضائية الوطنية. وتعرب اللجنة عن أسفها مع ذلك لنقص الوضوح بشأن الكيان المختص في الشكاوى الجنائية، ولعدم توافر معلومات شاملة، لا سيما في مجال الملاحقة الجنائية، عن معايير الاتهام والإدانة وفرض العقوبات، تكون مصنفة بحسب الأصل الوطني أو الإثني للجناة والضحايا. وتذكّر اللجنة الدولة الطرف بأن انخفاض عدد الشكاوى لا يعني بالضرورة عدم وجود تمييز عنصري في الدولة الطرف؛ فقد يُفهم منه أن الاعتداد بالحقوق الواردة في العهد أمام السلطات </w:t>
      </w:r>
      <w:r>
        <w:rPr>
          <w:rFonts w:hint="cs"/>
          <w:rtl/>
        </w:rPr>
        <w:lastRenderedPageBreak/>
        <w:t xml:space="preserve">المحلية يصطدم بعقبات مثل انعدام ثقة الضحايا في المؤسسات والسلطات القضائية في الدولة الطرف (المادتان 6 و7). </w:t>
      </w:r>
    </w:p>
    <w:p w14:paraId="72354173" w14:textId="77777777" w:rsidR="00DE73EF" w:rsidRDefault="00DE73EF" w:rsidP="00DE73EF">
      <w:pPr>
        <w:pStyle w:val="SingleTxtGA"/>
        <w:rPr>
          <w:b/>
          <w:bCs/>
          <w:rtl/>
        </w:rPr>
      </w:pPr>
      <w:r>
        <w:rPr>
          <w:rFonts w:hint="cs"/>
          <w:rtl/>
        </w:rPr>
        <w:t>13-</w:t>
      </w:r>
      <w:r>
        <w:rPr>
          <w:rtl/>
        </w:rPr>
        <w:tab/>
      </w:r>
      <w:r>
        <w:rPr>
          <w:rFonts w:hint="cs"/>
          <w:b/>
          <w:bCs/>
          <w:rtl/>
        </w:rPr>
        <w:t>توصي اللجنة بأن توافيها الدولة الطرف بمعلومات مفصلة عن شكاوى التمييز العنصري المقدمة إلى هيئة المساواة في المعاملة، أو المفوض المعني بالحقوق الأساسية، أو</w:t>
      </w:r>
      <w:r w:rsidR="00EE1146">
        <w:rPr>
          <w:rFonts w:hint="eastAsia"/>
          <w:b/>
          <w:bCs/>
          <w:rtl/>
        </w:rPr>
        <w:t> </w:t>
      </w:r>
      <w:r>
        <w:rPr>
          <w:rFonts w:hint="cs"/>
          <w:b/>
          <w:bCs/>
          <w:rtl/>
        </w:rPr>
        <w:t>المحاكم، أو هيئات التظلم الأخرى ذات الصلة، بما في ذلك إحصاءات عن عدد ونوع شكاوى التمييز العنصري وحالات ملاحقة الجناة وإدانتهم، تكون مصنفة بحسب السن ونوع الجنس والأصل الإثني للضحية، وكذلك معلومات عن التعويضات المقدمة إلى الضحايا. كما توصي بأن تيسر الدولة الطرف تقديم الشكاوى وتكفل لجميع ضحايا التمييز العنصري إمكانية الوصول إلى العدالة بواسطة سبل الانتصاف القضائية وغير</w:t>
      </w:r>
      <w:r w:rsidR="001B05FB">
        <w:rPr>
          <w:rFonts w:hint="eastAsia"/>
          <w:b/>
          <w:bCs/>
          <w:rtl/>
        </w:rPr>
        <w:t> </w:t>
      </w:r>
      <w:r>
        <w:rPr>
          <w:rFonts w:hint="cs"/>
          <w:b/>
          <w:bCs/>
          <w:rtl/>
        </w:rPr>
        <w:t xml:space="preserve">القضائية. </w:t>
      </w:r>
    </w:p>
    <w:p w14:paraId="001CCAF9" w14:textId="77777777" w:rsidR="00DE73EF" w:rsidRDefault="00DE73EF" w:rsidP="00DE73EF">
      <w:pPr>
        <w:pStyle w:val="H23GA"/>
        <w:rPr>
          <w:rtl/>
        </w:rPr>
      </w:pPr>
      <w:r>
        <w:rPr>
          <w:rtl/>
        </w:rPr>
        <w:tab/>
      </w:r>
      <w:r>
        <w:rPr>
          <w:rtl/>
        </w:rPr>
        <w:tab/>
      </w:r>
      <w:r>
        <w:rPr>
          <w:rFonts w:hint="cs"/>
          <w:rtl/>
        </w:rPr>
        <w:t>جرائم الكراهية العنصرية</w:t>
      </w:r>
    </w:p>
    <w:p w14:paraId="6BA35F09" w14:textId="77777777" w:rsidR="00DE73EF" w:rsidRDefault="00DE73EF" w:rsidP="00DE73EF">
      <w:pPr>
        <w:pStyle w:val="SingleTxtGA"/>
        <w:rPr>
          <w:rtl/>
        </w:rPr>
      </w:pPr>
      <w:r>
        <w:rPr>
          <w:rFonts w:hint="cs"/>
          <w:rtl/>
        </w:rPr>
        <w:t>14-</w:t>
      </w:r>
      <w:r>
        <w:rPr>
          <w:rtl/>
        </w:rPr>
        <w:tab/>
      </w:r>
      <w:r>
        <w:rPr>
          <w:rFonts w:hint="cs"/>
          <w:rtl/>
        </w:rPr>
        <w:t xml:space="preserve">إذ </w:t>
      </w:r>
      <w:r>
        <w:rPr>
          <w:rtl/>
        </w:rPr>
        <w:t xml:space="preserve">تحيط اللجنة علماً بالمعلومات المقدمة </w:t>
      </w:r>
      <w:r>
        <w:rPr>
          <w:rFonts w:hint="cs"/>
          <w:rtl/>
        </w:rPr>
        <w:t xml:space="preserve">في أعقاب الحوار عن </w:t>
      </w:r>
      <w:r>
        <w:rPr>
          <w:rtl/>
        </w:rPr>
        <w:t xml:space="preserve">الإطار القانوني </w:t>
      </w:r>
      <w:r>
        <w:rPr>
          <w:rFonts w:hint="cs"/>
          <w:rtl/>
        </w:rPr>
        <w:t>المتعلق ب</w:t>
      </w:r>
      <w:r>
        <w:rPr>
          <w:rtl/>
        </w:rPr>
        <w:t>جرائم الكراهية</w:t>
      </w:r>
      <w:r>
        <w:rPr>
          <w:rFonts w:hint="cs"/>
          <w:rtl/>
        </w:rPr>
        <w:t>،</w:t>
      </w:r>
      <w:r>
        <w:rPr>
          <w:rtl/>
        </w:rPr>
        <w:t xml:space="preserve"> والتدابير المتخذة لتدريب الشرطة</w:t>
      </w:r>
      <w:r>
        <w:rPr>
          <w:rFonts w:hint="cs"/>
          <w:rtl/>
        </w:rPr>
        <w:t>،</w:t>
      </w:r>
      <w:r>
        <w:rPr>
          <w:rtl/>
        </w:rPr>
        <w:t xml:space="preserve"> وتطبيق التشريعات الجنائية المعدلة </w:t>
      </w:r>
      <w:r>
        <w:rPr>
          <w:rFonts w:hint="cs"/>
          <w:rtl/>
        </w:rPr>
        <w:t xml:space="preserve">في الفترة الأخيرة، يساورها القلق </w:t>
      </w:r>
      <w:r>
        <w:rPr>
          <w:rtl/>
        </w:rPr>
        <w:t>إزاء ما يلي:</w:t>
      </w:r>
    </w:p>
    <w:p w14:paraId="7581DF64" w14:textId="77777777" w:rsidR="00DE73EF" w:rsidRDefault="00DE73EF" w:rsidP="00DE73EF">
      <w:pPr>
        <w:pStyle w:val="SingleTxtGA"/>
        <w:rPr>
          <w:rtl/>
        </w:rPr>
      </w:pPr>
      <w:r>
        <w:rPr>
          <w:rtl/>
        </w:rPr>
        <w:tab/>
        <w:t>(أ)</w:t>
      </w:r>
      <w:r>
        <w:rPr>
          <w:rtl/>
        </w:rPr>
        <w:tab/>
        <w:t>استمرار جرائم الكراهية العنصرية، بما في</w:t>
      </w:r>
      <w:r>
        <w:rPr>
          <w:rFonts w:hint="cs"/>
          <w:rtl/>
        </w:rPr>
        <w:t xml:space="preserve">ها </w:t>
      </w:r>
      <w:r>
        <w:rPr>
          <w:rtl/>
        </w:rPr>
        <w:t>جرائم الكراهية العنصرية العنيفة، لا</w:t>
      </w:r>
      <w:r>
        <w:rPr>
          <w:rFonts w:hint="cs"/>
          <w:rtl/>
        </w:rPr>
        <w:t> </w:t>
      </w:r>
      <w:r>
        <w:rPr>
          <w:rtl/>
        </w:rPr>
        <w:t xml:space="preserve">سيما </w:t>
      </w:r>
      <w:r>
        <w:rPr>
          <w:rFonts w:hint="cs"/>
          <w:rtl/>
        </w:rPr>
        <w:t xml:space="preserve">في حق </w:t>
      </w:r>
      <w:proofErr w:type="spellStart"/>
      <w:r>
        <w:rPr>
          <w:rtl/>
        </w:rPr>
        <w:t>الروما</w:t>
      </w:r>
      <w:proofErr w:type="spellEnd"/>
      <w:r>
        <w:rPr>
          <w:rtl/>
        </w:rPr>
        <w:t>؛</w:t>
      </w:r>
    </w:p>
    <w:p w14:paraId="126408F9" w14:textId="77777777" w:rsidR="00DE73EF" w:rsidRDefault="00DE73EF" w:rsidP="00DE73EF">
      <w:pPr>
        <w:pStyle w:val="SingleTxtGA"/>
        <w:rPr>
          <w:rtl/>
        </w:rPr>
      </w:pPr>
      <w:r>
        <w:rPr>
          <w:rtl/>
        </w:rPr>
        <w:tab/>
        <w:t>(ب)</w:t>
      </w:r>
      <w:r>
        <w:rPr>
          <w:rtl/>
        </w:rPr>
        <w:tab/>
      </w:r>
      <w:r>
        <w:rPr>
          <w:rFonts w:hint="cs"/>
          <w:rtl/>
        </w:rPr>
        <w:t xml:space="preserve">عدم وضوح </w:t>
      </w:r>
      <w:r>
        <w:rPr>
          <w:rtl/>
        </w:rPr>
        <w:t xml:space="preserve">معايير فرض العقوبات على مرتكبي جرائم الكراهية </w:t>
      </w:r>
      <w:r>
        <w:rPr>
          <w:rFonts w:hint="cs"/>
          <w:rtl/>
        </w:rPr>
        <w:t>و</w:t>
      </w:r>
      <w:r>
        <w:rPr>
          <w:rtl/>
        </w:rPr>
        <w:t xml:space="preserve">التدابير </w:t>
      </w:r>
      <w:r>
        <w:rPr>
          <w:rFonts w:hint="cs"/>
          <w:rtl/>
        </w:rPr>
        <w:t xml:space="preserve">الأخرى الرامية إلى </w:t>
      </w:r>
      <w:r>
        <w:rPr>
          <w:rtl/>
        </w:rPr>
        <w:t>حماية الفئات الضعيفة؛</w:t>
      </w:r>
    </w:p>
    <w:p w14:paraId="22B905DC" w14:textId="77777777" w:rsidR="00DE73EF" w:rsidRDefault="00DE73EF" w:rsidP="00DE73EF">
      <w:pPr>
        <w:pStyle w:val="SingleTxtGA"/>
        <w:rPr>
          <w:rtl/>
        </w:rPr>
      </w:pPr>
      <w:r>
        <w:rPr>
          <w:rtl/>
        </w:rPr>
        <w:tab/>
        <w:t>(ج)</w:t>
      </w:r>
      <w:r>
        <w:rPr>
          <w:rtl/>
        </w:rPr>
        <w:tab/>
      </w:r>
      <w:r>
        <w:rPr>
          <w:rFonts w:hint="cs"/>
          <w:rtl/>
        </w:rPr>
        <w:t xml:space="preserve">عدم محاسبة الجناة جراء سوء تصنيف وتسجيل </w:t>
      </w:r>
      <w:r>
        <w:rPr>
          <w:rtl/>
        </w:rPr>
        <w:t xml:space="preserve">جرائم الكراهية وعدم إجراء </w:t>
      </w:r>
      <w:r>
        <w:rPr>
          <w:rFonts w:hint="cs"/>
          <w:rtl/>
        </w:rPr>
        <w:t>ال</w:t>
      </w:r>
      <w:r>
        <w:rPr>
          <w:rtl/>
        </w:rPr>
        <w:t xml:space="preserve">تحقيقات </w:t>
      </w:r>
      <w:r>
        <w:rPr>
          <w:rFonts w:hint="cs"/>
          <w:rtl/>
        </w:rPr>
        <w:t>ال</w:t>
      </w:r>
      <w:r>
        <w:rPr>
          <w:rtl/>
        </w:rPr>
        <w:t>مناسبة؛</w:t>
      </w:r>
    </w:p>
    <w:p w14:paraId="2F2294C0" w14:textId="77777777" w:rsidR="00DE73EF" w:rsidRDefault="00DE73EF" w:rsidP="00DE73EF">
      <w:pPr>
        <w:pStyle w:val="SingleTxtGA"/>
        <w:rPr>
          <w:rtl/>
        </w:rPr>
      </w:pPr>
      <w:r>
        <w:rPr>
          <w:rtl/>
        </w:rPr>
        <w:tab/>
        <w:t>(د)</w:t>
      </w:r>
      <w:r>
        <w:rPr>
          <w:rtl/>
        </w:rPr>
        <w:tab/>
        <w:t xml:space="preserve">التقارير التي تفيد </w:t>
      </w:r>
      <w:r>
        <w:rPr>
          <w:rFonts w:hint="cs"/>
          <w:rtl/>
        </w:rPr>
        <w:t xml:space="preserve">بأن </w:t>
      </w:r>
      <w:r>
        <w:rPr>
          <w:rtl/>
        </w:rPr>
        <w:t xml:space="preserve">أحكام جرائم الكراهية </w:t>
      </w:r>
      <w:r>
        <w:rPr>
          <w:rFonts w:hint="cs"/>
          <w:rtl/>
        </w:rPr>
        <w:t xml:space="preserve">كثيراً ما تطبق لحماية </w:t>
      </w:r>
      <w:r>
        <w:rPr>
          <w:rtl/>
        </w:rPr>
        <w:t xml:space="preserve">الأغلبية بدلاً من الأقليات </w:t>
      </w:r>
      <w:r>
        <w:rPr>
          <w:rFonts w:hint="cs"/>
          <w:rtl/>
        </w:rPr>
        <w:t>الإثنية</w:t>
      </w:r>
      <w:r>
        <w:rPr>
          <w:rtl/>
        </w:rPr>
        <w:t xml:space="preserve">، </w:t>
      </w:r>
      <w:r>
        <w:rPr>
          <w:rFonts w:hint="cs"/>
          <w:rtl/>
        </w:rPr>
        <w:t>وبأن ال</w:t>
      </w:r>
      <w:r>
        <w:rPr>
          <w:rtl/>
        </w:rPr>
        <w:t xml:space="preserve">عقوبات </w:t>
      </w:r>
      <w:r>
        <w:rPr>
          <w:rFonts w:hint="cs"/>
          <w:rtl/>
        </w:rPr>
        <w:t xml:space="preserve">المطبقة تشدد </w:t>
      </w:r>
      <w:r>
        <w:rPr>
          <w:rtl/>
        </w:rPr>
        <w:t xml:space="preserve">في الحالات التي </w:t>
      </w:r>
      <w:r>
        <w:rPr>
          <w:rFonts w:hint="cs"/>
          <w:rtl/>
        </w:rPr>
        <w:t xml:space="preserve">يكون </w:t>
      </w:r>
      <w:r>
        <w:rPr>
          <w:rtl/>
        </w:rPr>
        <w:t xml:space="preserve">فيها الجناة </w:t>
      </w:r>
      <w:r>
        <w:rPr>
          <w:rFonts w:hint="cs"/>
          <w:rtl/>
        </w:rPr>
        <w:t xml:space="preserve">منتمين </w:t>
      </w:r>
      <w:r>
        <w:rPr>
          <w:rtl/>
        </w:rPr>
        <w:t xml:space="preserve">إلى </w:t>
      </w:r>
      <w:r>
        <w:rPr>
          <w:rFonts w:hint="cs"/>
          <w:rtl/>
        </w:rPr>
        <w:t xml:space="preserve">أقليات إثنية </w:t>
      </w:r>
      <w:r>
        <w:rPr>
          <w:rtl/>
        </w:rPr>
        <w:t>(المادتان 4 و6).</w:t>
      </w:r>
    </w:p>
    <w:p w14:paraId="5CB15CB2" w14:textId="77777777" w:rsidR="00DE73EF" w:rsidRPr="00D42882" w:rsidRDefault="00DE73EF" w:rsidP="00DE73EF">
      <w:pPr>
        <w:pStyle w:val="SingleTxtGA"/>
        <w:rPr>
          <w:b/>
          <w:bCs/>
          <w:rtl/>
        </w:rPr>
      </w:pPr>
      <w:r>
        <w:rPr>
          <w:rtl/>
        </w:rPr>
        <w:t>15-</w:t>
      </w:r>
      <w:r>
        <w:rPr>
          <w:rtl/>
        </w:rPr>
        <w:tab/>
      </w:r>
      <w:r w:rsidRPr="00D42882">
        <w:rPr>
          <w:rFonts w:hint="cs"/>
          <w:b/>
          <w:bCs/>
          <w:rtl/>
        </w:rPr>
        <w:t xml:space="preserve">توصي اللجنة، في ضوء توصيتها العامة </w:t>
      </w:r>
      <w:r w:rsidRPr="00D42882">
        <w:rPr>
          <w:b/>
          <w:bCs/>
          <w:rtl/>
        </w:rPr>
        <w:t xml:space="preserve">رقم 7(1985) </w:t>
      </w:r>
      <w:r w:rsidRPr="00D42882">
        <w:rPr>
          <w:rFonts w:hint="cs"/>
          <w:b/>
          <w:bCs/>
          <w:rtl/>
        </w:rPr>
        <w:t xml:space="preserve">بشأن </w:t>
      </w:r>
      <w:r w:rsidRPr="00D42882">
        <w:rPr>
          <w:b/>
          <w:bCs/>
          <w:rtl/>
        </w:rPr>
        <w:t>تنفيذ المادة 4 من الاتفاقية، ب</w:t>
      </w:r>
      <w:r w:rsidRPr="00D42882">
        <w:rPr>
          <w:rFonts w:hint="cs"/>
          <w:b/>
          <w:bCs/>
          <w:rtl/>
        </w:rPr>
        <w:t xml:space="preserve">أن تعزز الدولة الطرف </w:t>
      </w:r>
      <w:r w:rsidRPr="00D42882">
        <w:rPr>
          <w:b/>
          <w:bCs/>
          <w:rtl/>
        </w:rPr>
        <w:t xml:space="preserve">جهودها </w:t>
      </w:r>
      <w:r w:rsidRPr="00D42882">
        <w:rPr>
          <w:rFonts w:hint="cs"/>
          <w:b/>
          <w:bCs/>
          <w:rtl/>
        </w:rPr>
        <w:t xml:space="preserve">الرامية إلى </w:t>
      </w:r>
      <w:r w:rsidRPr="00D42882">
        <w:rPr>
          <w:b/>
          <w:bCs/>
          <w:rtl/>
        </w:rPr>
        <w:t>مكافحة جرائم الكراهية العنصرية ب</w:t>
      </w:r>
      <w:r w:rsidRPr="00D42882">
        <w:rPr>
          <w:rFonts w:hint="cs"/>
          <w:b/>
          <w:bCs/>
          <w:rtl/>
        </w:rPr>
        <w:t>صورة فعالة</w:t>
      </w:r>
      <w:r w:rsidRPr="00D42882">
        <w:rPr>
          <w:b/>
          <w:bCs/>
          <w:rtl/>
        </w:rPr>
        <w:t xml:space="preserve">، </w:t>
      </w:r>
      <w:r w:rsidRPr="00D42882">
        <w:rPr>
          <w:rFonts w:hint="cs"/>
          <w:b/>
          <w:bCs/>
          <w:rtl/>
        </w:rPr>
        <w:t>وذلك بسبل منها التالية</w:t>
      </w:r>
      <w:r w:rsidRPr="00D42882">
        <w:rPr>
          <w:b/>
          <w:bCs/>
          <w:rtl/>
        </w:rPr>
        <w:t>:</w:t>
      </w:r>
    </w:p>
    <w:p w14:paraId="1B3DF56E" w14:textId="77777777" w:rsidR="00DE73EF" w:rsidRPr="00D42882" w:rsidRDefault="00DE73EF" w:rsidP="00DE73EF">
      <w:pPr>
        <w:pStyle w:val="SingleTxtGA"/>
        <w:rPr>
          <w:b/>
          <w:bCs/>
          <w:rtl/>
        </w:rPr>
      </w:pPr>
      <w:r>
        <w:rPr>
          <w:rtl/>
        </w:rPr>
        <w:tab/>
        <w:t>(أ)</w:t>
      </w:r>
      <w:r>
        <w:rPr>
          <w:rtl/>
        </w:rPr>
        <w:tab/>
      </w:r>
      <w:r w:rsidRPr="00D42882">
        <w:rPr>
          <w:b/>
          <w:bCs/>
          <w:rtl/>
        </w:rPr>
        <w:t xml:space="preserve">اتخاذ </w:t>
      </w:r>
      <w:r w:rsidRPr="00D42882">
        <w:rPr>
          <w:rFonts w:hint="cs"/>
          <w:b/>
          <w:bCs/>
          <w:rtl/>
        </w:rPr>
        <w:t>إجراءات</w:t>
      </w:r>
      <w:r w:rsidRPr="00D42882">
        <w:rPr>
          <w:b/>
          <w:bCs/>
          <w:rtl/>
        </w:rPr>
        <w:t xml:space="preserve"> فورية لمنع جرائم الكراهية العنصرية والعنف </w:t>
      </w:r>
      <w:r w:rsidRPr="00D42882">
        <w:rPr>
          <w:rFonts w:hint="cs"/>
          <w:b/>
          <w:bCs/>
          <w:rtl/>
        </w:rPr>
        <w:t xml:space="preserve">بدافع </w:t>
      </w:r>
      <w:r w:rsidRPr="00D42882">
        <w:rPr>
          <w:b/>
          <w:bCs/>
          <w:rtl/>
        </w:rPr>
        <w:t>العنصري</w:t>
      </w:r>
      <w:r w:rsidRPr="00D42882">
        <w:rPr>
          <w:rFonts w:hint="cs"/>
          <w:b/>
          <w:bCs/>
          <w:rtl/>
        </w:rPr>
        <w:t>ة</w:t>
      </w:r>
      <w:r w:rsidRPr="00D42882">
        <w:rPr>
          <w:b/>
          <w:bCs/>
          <w:rtl/>
        </w:rPr>
        <w:t>، و</w:t>
      </w:r>
      <w:r w:rsidRPr="00D42882">
        <w:rPr>
          <w:rFonts w:hint="cs"/>
          <w:b/>
          <w:bCs/>
          <w:rtl/>
        </w:rPr>
        <w:t>ل</w:t>
      </w:r>
      <w:r w:rsidRPr="00D42882">
        <w:rPr>
          <w:b/>
          <w:bCs/>
          <w:rtl/>
        </w:rPr>
        <w:t>حماية الفئات الضعيفة؛</w:t>
      </w:r>
    </w:p>
    <w:p w14:paraId="32FD2B7E" w14:textId="77777777" w:rsidR="00DE73EF" w:rsidRPr="00D42882" w:rsidRDefault="00DE73EF" w:rsidP="00DE73EF">
      <w:pPr>
        <w:pStyle w:val="SingleTxtGA"/>
        <w:rPr>
          <w:b/>
          <w:bCs/>
          <w:rtl/>
        </w:rPr>
      </w:pPr>
      <w:r>
        <w:rPr>
          <w:rtl/>
        </w:rPr>
        <w:tab/>
        <w:t>(ب)</w:t>
      </w:r>
      <w:r>
        <w:rPr>
          <w:rtl/>
        </w:rPr>
        <w:tab/>
      </w:r>
      <w:r w:rsidRPr="00D42882">
        <w:rPr>
          <w:b/>
          <w:bCs/>
          <w:rtl/>
        </w:rPr>
        <w:t xml:space="preserve">تقديم معلومات مفصلة عن تنفيذ التشريعات </w:t>
      </w:r>
      <w:r w:rsidRPr="00D42882">
        <w:rPr>
          <w:rFonts w:hint="cs"/>
          <w:b/>
          <w:bCs/>
          <w:rtl/>
        </w:rPr>
        <w:t xml:space="preserve">الرامية إلى </w:t>
      </w:r>
      <w:r w:rsidRPr="00D42882">
        <w:rPr>
          <w:b/>
          <w:bCs/>
          <w:rtl/>
        </w:rPr>
        <w:t xml:space="preserve">منع جرائم الكراهية العنصرية </w:t>
      </w:r>
      <w:r w:rsidRPr="00D42882">
        <w:rPr>
          <w:rFonts w:hint="cs"/>
          <w:b/>
          <w:bCs/>
          <w:rtl/>
        </w:rPr>
        <w:t>و</w:t>
      </w:r>
      <w:r w:rsidRPr="00D42882">
        <w:rPr>
          <w:b/>
          <w:bCs/>
          <w:rtl/>
        </w:rPr>
        <w:t xml:space="preserve">التدابير </w:t>
      </w:r>
      <w:r w:rsidRPr="00D42882">
        <w:rPr>
          <w:rFonts w:hint="cs"/>
          <w:b/>
          <w:bCs/>
          <w:rtl/>
        </w:rPr>
        <w:t xml:space="preserve">الأخرى </w:t>
      </w:r>
      <w:r w:rsidRPr="00D42882">
        <w:rPr>
          <w:b/>
          <w:bCs/>
          <w:rtl/>
        </w:rPr>
        <w:t xml:space="preserve">المتخذة لحماية الفئات الضعيفة </w:t>
      </w:r>
      <w:r w:rsidRPr="00D42882">
        <w:rPr>
          <w:rFonts w:hint="cs"/>
          <w:b/>
          <w:bCs/>
          <w:rtl/>
        </w:rPr>
        <w:t>وأثر تلك التدابير</w:t>
      </w:r>
      <w:r w:rsidRPr="00D42882">
        <w:rPr>
          <w:b/>
          <w:bCs/>
          <w:rtl/>
        </w:rPr>
        <w:t>، بما</w:t>
      </w:r>
      <w:r w:rsidR="00D07F11">
        <w:rPr>
          <w:rFonts w:hint="cs"/>
          <w:b/>
          <w:bCs/>
          <w:rtl/>
        </w:rPr>
        <w:t> </w:t>
      </w:r>
      <w:r w:rsidRPr="00D42882">
        <w:rPr>
          <w:b/>
          <w:bCs/>
          <w:rtl/>
        </w:rPr>
        <w:t xml:space="preserve">في ذلك لحالات وإحصاءات </w:t>
      </w:r>
      <w:r w:rsidRPr="00D42882">
        <w:rPr>
          <w:rFonts w:hint="cs"/>
          <w:b/>
          <w:bCs/>
          <w:rtl/>
        </w:rPr>
        <w:t xml:space="preserve">بشأن </w:t>
      </w:r>
      <w:r w:rsidRPr="00D42882">
        <w:rPr>
          <w:b/>
          <w:bCs/>
          <w:rtl/>
        </w:rPr>
        <w:t xml:space="preserve">عدد </w:t>
      </w:r>
      <w:r w:rsidRPr="00D42882">
        <w:rPr>
          <w:rFonts w:hint="cs"/>
          <w:b/>
          <w:bCs/>
          <w:rtl/>
        </w:rPr>
        <w:t xml:space="preserve">ونوع </w:t>
      </w:r>
      <w:r w:rsidRPr="00D42882">
        <w:rPr>
          <w:b/>
          <w:bCs/>
          <w:rtl/>
        </w:rPr>
        <w:t xml:space="preserve">الشكاوى والتحقيقات والإدانات والعقوبات، </w:t>
      </w:r>
      <w:r w:rsidRPr="00D42882">
        <w:rPr>
          <w:rFonts w:hint="cs"/>
          <w:b/>
          <w:bCs/>
          <w:rtl/>
        </w:rPr>
        <w:t>تكون مصنفة ب</w:t>
      </w:r>
      <w:r w:rsidRPr="00D42882">
        <w:rPr>
          <w:b/>
          <w:bCs/>
          <w:rtl/>
        </w:rPr>
        <w:t xml:space="preserve">حسب إثنية </w:t>
      </w:r>
      <w:r w:rsidRPr="00D42882">
        <w:rPr>
          <w:rFonts w:hint="cs"/>
          <w:b/>
          <w:bCs/>
          <w:rtl/>
        </w:rPr>
        <w:t xml:space="preserve">الجناة والضحايا وسنهم ونوع جنسهم، </w:t>
      </w:r>
      <w:r w:rsidRPr="00D42882">
        <w:rPr>
          <w:b/>
          <w:bCs/>
          <w:rtl/>
        </w:rPr>
        <w:t xml:space="preserve">ومعلومات </w:t>
      </w:r>
      <w:r w:rsidRPr="00D42882">
        <w:rPr>
          <w:rFonts w:hint="cs"/>
          <w:b/>
          <w:bCs/>
          <w:rtl/>
        </w:rPr>
        <w:t xml:space="preserve">عن </w:t>
      </w:r>
      <w:r w:rsidRPr="00D42882">
        <w:rPr>
          <w:b/>
          <w:bCs/>
          <w:rtl/>
        </w:rPr>
        <w:t>معايير فرض العقوبات؛</w:t>
      </w:r>
    </w:p>
    <w:p w14:paraId="357A52E5" w14:textId="77777777" w:rsidR="00DE73EF" w:rsidRPr="00D42882" w:rsidRDefault="00DE73EF" w:rsidP="00DE73EF">
      <w:pPr>
        <w:pStyle w:val="SingleTxtGA"/>
        <w:rPr>
          <w:b/>
          <w:bCs/>
          <w:rtl/>
        </w:rPr>
      </w:pPr>
      <w:r>
        <w:rPr>
          <w:rtl/>
        </w:rPr>
        <w:lastRenderedPageBreak/>
        <w:tab/>
        <w:t>(ج)</w:t>
      </w:r>
      <w:r>
        <w:rPr>
          <w:rtl/>
        </w:rPr>
        <w:tab/>
      </w:r>
      <w:r w:rsidRPr="00D42882">
        <w:rPr>
          <w:rFonts w:hint="cs"/>
          <w:b/>
          <w:bCs/>
          <w:rtl/>
        </w:rPr>
        <w:t xml:space="preserve">المضي في </w:t>
      </w:r>
      <w:r w:rsidRPr="00D42882">
        <w:rPr>
          <w:b/>
          <w:bCs/>
          <w:rtl/>
        </w:rPr>
        <w:t>توفير التدريب لضباط الشرطة والمدعين العامين والمحامين والقضا</w:t>
      </w:r>
      <w:r w:rsidRPr="00D42882">
        <w:rPr>
          <w:rFonts w:hint="cs"/>
          <w:b/>
          <w:bCs/>
          <w:rtl/>
        </w:rPr>
        <w:t>ة</w:t>
      </w:r>
      <w:r w:rsidRPr="00D42882">
        <w:rPr>
          <w:b/>
          <w:bCs/>
          <w:rtl/>
        </w:rPr>
        <w:t xml:space="preserve"> </w:t>
      </w:r>
      <w:r w:rsidRPr="00D42882">
        <w:rPr>
          <w:rFonts w:hint="cs"/>
          <w:b/>
          <w:bCs/>
          <w:rtl/>
        </w:rPr>
        <w:t xml:space="preserve">فيما يتعلق بالإجراءات السليمة للتعرف على </w:t>
      </w:r>
      <w:r w:rsidRPr="00D42882">
        <w:rPr>
          <w:b/>
          <w:bCs/>
          <w:rtl/>
        </w:rPr>
        <w:t xml:space="preserve">جرائم الكراهية </w:t>
      </w:r>
      <w:r>
        <w:rPr>
          <w:rFonts w:hint="cs"/>
          <w:b/>
          <w:bCs/>
          <w:rtl/>
        </w:rPr>
        <w:t>العنصر</w:t>
      </w:r>
      <w:r w:rsidRPr="00D42882">
        <w:rPr>
          <w:rFonts w:hint="cs"/>
          <w:b/>
          <w:bCs/>
          <w:rtl/>
        </w:rPr>
        <w:t xml:space="preserve">ية </w:t>
      </w:r>
      <w:r w:rsidRPr="00D42882">
        <w:rPr>
          <w:b/>
          <w:bCs/>
          <w:rtl/>
        </w:rPr>
        <w:t>وتسجيلها والتحقيق فيها وملاحق</w:t>
      </w:r>
      <w:r w:rsidRPr="00D42882">
        <w:rPr>
          <w:rFonts w:hint="cs"/>
          <w:b/>
          <w:bCs/>
          <w:rtl/>
        </w:rPr>
        <w:t>ة مرتكبيها</w:t>
      </w:r>
      <w:r w:rsidRPr="00D42882">
        <w:rPr>
          <w:b/>
          <w:bCs/>
          <w:rtl/>
        </w:rPr>
        <w:t>؛</w:t>
      </w:r>
    </w:p>
    <w:p w14:paraId="30CAF807" w14:textId="77777777" w:rsidR="00DE73EF" w:rsidRPr="00D42882" w:rsidRDefault="00DE73EF" w:rsidP="00DE73EF">
      <w:pPr>
        <w:pStyle w:val="SingleTxtGA"/>
        <w:rPr>
          <w:b/>
          <w:bCs/>
          <w:rtl/>
        </w:rPr>
      </w:pPr>
      <w:r>
        <w:rPr>
          <w:rtl/>
        </w:rPr>
        <w:tab/>
        <w:t>(د)</w:t>
      </w:r>
      <w:r>
        <w:rPr>
          <w:rtl/>
        </w:rPr>
        <w:tab/>
      </w:r>
      <w:r w:rsidRPr="00D42882">
        <w:rPr>
          <w:b/>
          <w:bCs/>
          <w:rtl/>
        </w:rPr>
        <w:t>ضمان الفعال</w:t>
      </w:r>
      <w:r w:rsidRPr="00D42882">
        <w:rPr>
          <w:rFonts w:hint="cs"/>
          <w:b/>
          <w:bCs/>
          <w:rtl/>
        </w:rPr>
        <w:t xml:space="preserve">ية في تسجيل </w:t>
      </w:r>
      <w:r w:rsidRPr="00D42882">
        <w:rPr>
          <w:b/>
          <w:bCs/>
          <w:rtl/>
        </w:rPr>
        <w:t>جميع جرائم الكراهية المبلغ عنها والتحقيق فيها ومقاضاة مرتكبيها وفرض عقوبات مناسبة على الجناة؛</w:t>
      </w:r>
    </w:p>
    <w:p w14:paraId="759A0067" w14:textId="77777777" w:rsidR="00DE73EF" w:rsidRPr="00D42882" w:rsidRDefault="00DE73EF" w:rsidP="00DE73EF">
      <w:pPr>
        <w:pStyle w:val="SingleTxtGA"/>
        <w:rPr>
          <w:b/>
          <w:bCs/>
          <w:rtl/>
        </w:rPr>
      </w:pPr>
      <w:r>
        <w:rPr>
          <w:rtl/>
        </w:rPr>
        <w:tab/>
        <w:t>(</w:t>
      </w:r>
      <w:r w:rsidR="00EE1146">
        <w:rPr>
          <w:rFonts w:hint="cs"/>
          <w:rtl/>
        </w:rPr>
        <w:t>ه</w:t>
      </w:r>
      <w:r>
        <w:rPr>
          <w:rtl/>
        </w:rPr>
        <w:t>)</w:t>
      </w:r>
      <w:r>
        <w:rPr>
          <w:rtl/>
        </w:rPr>
        <w:tab/>
      </w:r>
      <w:r w:rsidRPr="00D42882">
        <w:rPr>
          <w:b/>
          <w:bCs/>
          <w:rtl/>
        </w:rPr>
        <w:t xml:space="preserve">ضمان </w:t>
      </w:r>
      <w:r w:rsidRPr="00D42882">
        <w:rPr>
          <w:rFonts w:hint="cs"/>
          <w:b/>
          <w:bCs/>
          <w:rtl/>
        </w:rPr>
        <w:t xml:space="preserve">أن تحمي </w:t>
      </w:r>
      <w:r w:rsidRPr="00D42882">
        <w:rPr>
          <w:b/>
          <w:bCs/>
          <w:rtl/>
        </w:rPr>
        <w:t>التشريع</w:t>
      </w:r>
      <w:r>
        <w:rPr>
          <w:b/>
          <w:bCs/>
          <w:rtl/>
        </w:rPr>
        <w:t>ات المتعلقة بجرائم الكراهية</w:t>
      </w:r>
      <w:r>
        <w:rPr>
          <w:rFonts w:hint="cs"/>
          <w:b/>
          <w:bCs/>
          <w:rtl/>
        </w:rPr>
        <w:t xml:space="preserve"> العنصرية </w:t>
      </w:r>
      <w:r w:rsidRPr="00D42882">
        <w:rPr>
          <w:b/>
          <w:bCs/>
          <w:rtl/>
        </w:rPr>
        <w:t xml:space="preserve">أغلبية </w:t>
      </w:r>
      <w:r w:rsidRPr="00D42882">
        <w:rPr>
          <w:rFonts w:hint="cs"/>
          <w:b/>
          <w:bCs/>
          <w:rtl/>
        </w:rPr>
        <w:t xml:space="preserve">السكان والأقليات </w:t>
      </w:r>
      <w:r w:rsidRPr="00D42882">
        <w:rPr>
          <w:b/>
          <w:bCs/>
          <w:rtl/>
        </w:rPr>
        <w:t>من الحوادث العنصرية على قدم المساواة</w:t>
      </w:r>
      <w:r w:rsidRPr="00D42882">
        <w:rPr>
          <w:rFonts w:hint="cs"/>
          <w:b/>
          <w:bCs/>
          <w:rtl/>
        </w:rPr>
        <w:t xml:space="preserve">، وأن تفرض </w:t>
      </w:r>
      <w:r w:rsidRPr="00D42882">
        <w:rPr>
          <w:b/>
          <w:bCs/>
          <w:rtl/>
        </w:rPr>
        <w:t xml:space="preserve">العقوبات على أساس معايير موضوعية وليس على أساس إثنية </w:t>
      </w:r>
      <w:r w:rsidRPr="00D42882">
        <w:rPr>
          <w:rFonts w:hint="cs"/>
          <w:b/>
          <w:bCs/>
          <w:rtl/>
        </w:rPr>
        <w:t xml:space="preserve">الجاني أو </w:t>
      </w:r>
      <w:r w:rsidRPr="00D42882">
        <w:rPr>
          <w:b/>
          <w:bCs/>
          <w:rtl/>
        </w:rPr>
        <w:t>الضحية.</w:t>
      </w:r>
    </w:p>
    <w:p w14:paraId="300E63C8" w14:textId="77777777" w:rsidR="00DE73EF" w:rsidRDefault="00DE73EF" w:rsidP="00DE73EF">
      <w:pPr>
        <w:pStyle w:val="H23GA"/>
        <w:rPr>
          <w:rtl/>
        </w:rPr>
      </w:pPr>
      <w:r>
        <w:rPr>
          <w:rtl/>
        </w:rPr>
        <w:tab/>
      </w:r>
      <w:r>
        <w:rPr>
          <w:rtl/>
        </w:rPr>
        <w:tab/>
        <w:t>خطاب الكراهية العنصرية</w:t>
      </w:r>
    </w:p>
    <w:p w14:paraId="3316CCF1" w14:textId="77777777" w:rsidR="00DE73EF" w:rsidRDefault="00DE73EF" w:rsidP="00DE73EF">
      <w:pPr>
        <w:pStyle w:val="SingleTxtGA"/>
        <w:rPr>
          <w:rtl/>
        </w:rPr>
      </w:pPr>
      <w:r>
        <w:rPr>
          <w:rtl/>
        </w:rPr>
        <w:t>16-</w:t>
      </w:r>
      <w:r>
        <w:rPr>
          <w:rtl/>
        </w:rPr>
        <w:tab/>
      </w:r>
      <w:r>
        <w:rPr>
          <w:rFonts w:hint="cs"/>
          <w:rtl/>
        </w:rPr>
        <w:t xml:space="preserve">يساور </w:t>
      </w:r>
      <w:r>
        <w:rPr>
          <w:rtl/>
        </w:rPr>
        <w:t xml:space="preserve">اللجنة قلق بالغ إزاء </w:t>
      </w:r>
      <w:r>
        <w:rPr>
          <w:rFonts w:hint="cs"/>
          <w:rtl/>
        </w:rPr>
        <w:t xml:space="preserve">تفشي </w:t>
      </w:r>
      <w:r>
        <w:rPr>
          <w:rtl/>
        </w:rPr>
        <w:t>خطاب الكراهية العنصرية في الدولة الطرف</w:t>
      </w:r>
      <w:r>
        <w:rPr>
          <w:rFonts w:hint="cs"/>
          <w:rtl/>
        </w:rPr>
        <w:t xml:space="preserve">، وهو خطاب يستهدف </w:t>
      </w:r>
      <w:proofErr w:type="spellStart"/>
      <w:r>
        <w:rPr>
          <w:rtl/>
        </w:rPr>
        <w:t>الروما</w:t>
      </w:r>
      <w:proofErr w:type="spellEnd"/>
      <w:r>
        <w:rPr>
          <w:rtl/>
        </w:rPr>
        <w:t xml:space="preserve"> والمهاجرين واللاجئين </w:t>
      </w:r>
      <w:r>
        <w:rPr>
          <w:rFonts w:hint="cs"/>
          <w:rtl/>
        </w:rPr>
        <w:t xml:space="preserve">وملتمسي </w:t>
      </w:r>
      <w:r>
        <w:rPr>
          <w:rtl/>
        </w:rPr>
        <w:t xml:space="preserve">اللجوء </w:t>
      </w:r>
      <w:r>
        <w:rPr>
          <w:rFonts w:hint="cs"/>
          <w:rtl/>
        </w:rPr>
        <w:t>و</w:t>
      </w:r>
      <w:r>
        <w:rPr>
          <w:rtl/>
        </w:rPr>
        <w:t>الأقليات</w:t>
      </w:r>
      <w:r>
        <w:rPr>
          <w:rFonts w:hint="cs"/>
          <w:rtl/>
        </w:rPr>
        <w:t xml:space="preserve"> الأخرى</w:t>
      </w:r>
      <w:r>
        <w:rPr>
          <w:rtl/>
        </w:rPr>
        <w:t xml:space="preserve">، </w:t>
      </w:r>
      <w:r>
        <w:rPr>
          <w:rFonts w:hint="cs"/>
          <w:rtl/>
        </w:rPr>
        <w:t xml:space="preserve">ويغذي العداوة والتعصب </w:t>
      </w:r>
      <w:r>
        <w:rPr>
          <w:rtl/>
        </w:rPr>
        <w:t xml:space="preserve">ويحرض أحياناً على العنف </w:t>
      </w:r>
      <w:r>
        <w:rPr>
          <w:rFonts w:hint="cs"/>
          <w:rtl/>
        </w:rPr>
        <w:t>تجاه تلك الفئات</w:t>
      </w:r>
      <w:r>
        <w:rPr>
          <w:rtl/>
        </w:rPr>
        <w:t xml:space="preserve">، لا سيما </w:t>
      </w:r>
      <w:r>
        <w:rPr>
          <w:rFonts w:hint="cs"/>
          <w:rtl/>
        </w:rPr>
        <w:t xml:space="preserve">عندما يكون صادراً عن زعماء </w:t>
      </w:r>
      <w:r>
        <w:rPr>
          <w:rtl/>
        </w:rPr>
        <w:t>سياسيين</w:t>
      </w:r>
      <w:r>
        <w:rPr>
          <w:rFonts w:hint="cs"/>
          <w:rtl/>
        </w:rPr>
        <w:t xml:space="preserve"> ومروجاً في وسائط الإعلام، </w:t>
      </w:r>
      <w:r>
        <w:rPr>
          <w:rtl/>
        </w:rPr>
        <w:t xml:space="preserve">بما في ذلك شبكة الإنترنت. </w:t>
      </w:r>
      <w:r>
        <w:rPr>
          <w:rFonts w:hint="cs"/>
          <w:rtl/>
        </w:rPr>
        <w:t xml:space="preserve">وعلى وجه الخصوص، تشعر اللجنة بانشغال </w:t>
      </w:r>
      <w:r>
        <w:rPr>
          <w:rtl/>
        </w:rPr>
        <w:t>بالغ إزاء التقارير التي تفيد ب</w:t>
      </w:r>
      <w:r>
        <w:rPr>
          <w:rFonts w:hint="cs"/>
          <w:rtl/>
        </w:rPr>
        <w:t xml:space="preserve">إدلاء شخصيات </w:t>
      </w:r>
      <w:r>
        <w:rPr>
          <w:rtl/>
        </w:rPr>
        <w:t xml:space="preserve">عامة في الدولة الطرف، </w:t>
      </w:r>
      <w:r>
        <w:rPr>
          <w:rFonts w:hint="cs"/>
          <w:rtl/>
        </w:rPr>
        <w:t xml:space="preserve">منها شخصيات </w:t>
      </w:r>
      <w:r>
        <w:rPr>
          <w:rtl/>
        </w:rPr>
        <w:t xml:space="preserve">على أعلى المستويات، </w:t>
      </w:r>
      <w:r>
        <w:rPr>
          <w:rFonts w:hint="cs"/>
          <w:rtl/>
        </w:rPr>
        <w:t xml:space="preserve">ببيانات تشجع </w:t>
      </w:r>
      <w:r>
        <w:rPr>
          <w:rtl/>
        </w:rPr>
        <w:t xml:space="preserve">الكراهية </w:t>
      </w:r>
      <w:r>
        <w:rPr>
          <w:rFonts w:hint="cs"/>
          <w:rtl/>
        </w:rPr>
        <w:t>العرقية</w:t>
      </w:r>
      <w:r>
        <w:rPr>
          <w:rtl/>
        </w:rPr>
        <w:t xml:space="preserve">، لا سيما </w:t>
      </w:r>
      <w:r>
        <w:rPr>
          <w:rFonts w:hint="cs"/>
          <w:rtl/>
        </w:rPr>
        <w:t xml:space="preserve">في إطار الحملة الحكومية </w:t>
      </w:r>
      <w:r>
        <w:rPr>
          <w:rtl/>
        </w:rPr>
        <w:t xml:space="preserve">المناهضة للمهاجرين </w:t>
      </w:r>
      <w:r>
        <w:rPr>
          <w:rFonts w:hint="cs"/>
          <w:rtl/>
        </w:rPr>
        <w:t>و</w:t>
      </w:r>
      <w:r>
        <w:rPr>
          <w:rtl/>
        </w:rPr>
        <w:t xml:space="preserve">اللاجئين التي </w:t>
      </w:r>
      <w:r>
        <w:rPr>
          <w:rFonts w:hint="cs"/>
          <w:rtl/>
        </w:rPr>
        <w:t xml:space="preserve">انطلقت </w:t>
      </w:r>
      <w:r>
        <w:rPr>
          <w:rtl/>
        </w:rPr>
        <w:t>في عام 2015. وعلاوة على ذلك</w:t>
      </w:r>
      <w:r>
        <w:rPr>
          <w:rFonts w:hint="cs"/>
          <w:rtl/>
        </w:rPr>
        <w:t xml:space="preserve">، يساور </w:t>
      </w:r>
      <w:r>
        <w:rPr>
          <w:rtl/>
        </w:rPr>
        <w:t xml:space="preserve">اللجنة القلق إزاء عدم </w:t>
      </w:r>
      <w:r>
        <w:rPr>
          <w:rFonts w:hint="cs"/>
          <w:rtl/>
        </w:rPr>
        <w:t xml:space="preserve">توافر </w:t>
      </w:r>
      <w:r>
        <w:rPr>
          <w:rtl/>
        </w:rPr>
        <w:t xml:space="preserve">معلومات مفصلة عن التحقيقات </w:t>
      </w:r>
      <w:r>
        <w:rPr>
          <w:rFonts w:hint="cs"/>
          <w:rtl/>
        </w:rPr>
        <w:t xml:space="preserve">والملاحقات </w:t>
      </w:r>
      <w:r>
        <w:rPr>
          <w:rtl/>
        </w:rPr>
        <w:t>والإدان</w:t>
      </w:r>
      <w:r>
        <w:rPr>
          <w:rFonts w:hint="cs"/>
          <w:rtl/>
        </w:rPr>
        <w:t>ات</w:t>
      </w:r>
      <w:r>
        <w:rPr>
          <w:rtl/>
        </w:rPr>
        <w:t xml:space="preserve"> </w:t>
      </w:r>
      <w:r>
        <w:rPr>
          <w:rFonts w:hint="cs"/>
          <w:rtl/>
        </w:rPr>
        <w:t>المتصلة ب</w:t>
      </w:r>
      <w:r>
        <w:rPr>
          <w:rtl/>
        </w:rPr>
        <w:t xml:space="preserve">خطاب الكراهية العنصرية، </w:t>
      </w:r>
      <w:r>
        <w:rPr>
          <w:rFonts w:hint="cs"/>
          <w:rtl/>
        </w:rPr>
        <w:t xml:space="preserve">الصادر خصوصاً عن شخصيات عامة، بمن فيها السياسيون </w:t>
      </w:r>
      <w:r>
        <w:rPr>
          <w:rtl/>
        </w:rPr>
        <w:t>(المادة 4).</w:t>
      </w:r>
    </w:p>
    <w:p w14:paraId="0CC118DD" w14:textId="77777777" w:rsidR="00DE73EF" w:rsidRPr="00D42882" w:rsidRDefault="00DE73EF" w:rsidP="00DE73EF">
      <w:pPr>
        <w:pStyle w:val="SingleTxtGA"/>
        <w:rPr>
          <w:b/>
          <w:bCs/>
          <w:rtl/>
        </w:rPr>
      </w:pPr>
      <w:r>
        <w:rPr>
          <w:rtl/>
        </w:rPr>
        <w:t>17-</w:t>
      </w:r>
      <w:r>
        <w:rPr>
          <w:rtl/>
        </w:rPr>
        <w:tab/>
      </w:r>
      <w:r w:rsidRPr="00D42882">
        <w:rPr>
          <w:b/>
          <w:bCs/>
          <w:rtl/>
        </w:rPr>
        <w:t xml:space="preserve">إذ تشير اللجنة إلى </w:t>
      </w:r>
      <w:r w:rsidRPr="00D42882">
        <w:rPr>
          <w:rFonts w:hint="cs"/>
          <w:b/>
          <w:bCs/>
          <w:rtl/>
        </w:rPr>
        <w:t xml:space="preserve">تعليقها </w:t>
      </w:r>
      <w:r w:rsidRPr="00D42882">
        <w:rPr>
          <w:b/>
          <w:bCs/>
          <w:rtl/>
        </w:rPr>
        <w:t xml:space="preserve">العام رقم 35(2013) بشأن مكافحة خطاب الكراهية العنصرية، توصي </w:t>
      </w:r>
      <w:r w:rsidRPr="00D42882">
        <w:rPr>
          <w:rFonts w:hint="cs"/>
          <w:b/>
          <w:bCs/>
          <w:rtl/>
        </w:rPr>
        <w:t xml:space="preserve">بأن تقوم </w:t>
      </w:r>
      <w:r w:rsidRPr="00D42882">
        <w:rPr>
          <w:b/>
          <w:bCs/>
          <w:rtl/>
        </w:rPr>
        <w:t>الدولة الطرف بما يلي:</w:t>
      </w:r>
    </w:p>
    <w:p w14:paraId="66E38B8F" w14:textId="77777777" w:rsidR="00DE73EF" w:rsidRPr="00D42882" w:rsidRDefault="00DE73EF" w:rsidP="00DE73EF">
      <w:pPr>
        <w:pStyle w:val="SingleTxtGA"/>
        <w:rPr>
          <w:b/>
          <w:bCs/>
          <w:rtl/>
        </w:rPr>
      </w:pPr>
      <w:r>
        <w:rPr>
          <w:rtl/>
        </w:rPr>
        <w:tab/>
        <w:t>(أ)</w:t>
      </w:r>
      <w:r>
        <w:rPr>
          <w:rtl/>
        </w:rPr>
        <w:tab/>
      </w:r>
      <w:r w:rsidRPr="00D42882">
        <w:rPr>
          <w:b/>
          <w:bCs/>
          <w:rtl/>
        </w:rPr>
        <w:t xml:space="preserve">اتخاذ جميع التدابير </w:t>
      </w:r>
      <w:r w:rsidRPr="00D42882">
        <w:rPr>
          <w:rFonts w:hint="cs"/>
          <w:b/>
          <w:bCs/>
          <w:rtl/>
        </w:rPr>
        <w:t xml:space="preserve">الفورية لوقف خطابات </w:t>
      </w:r>
      <w:r w:rsidRPr="00D42882">
        <w:rPr>
          <w:b/>
          <w:bCs/>
          <w:rtl/>
        </w:rPr>
        <w:t xml:space="preserve">الكراهية العنصرية والتحريض على العنف، </w:t>
      </w:r>
      <w:r w:rsidRPr="00D42882">
        <w:rPr>
          <w:rFonts w:hint="cs"/>
          <w:b/>
          <w:bCs/>
          <w:rtl/>
        </w:rPr>
        <w:t xml:space="preserve">وبث رسائل في وسائط الإعلام وعلى شبكة الإنترنت للتنديد بخطاب </w:t>
      </w:r>
      <w:r w:rsidRPr="00D42882">
        <w:rPr>
          <w:b/>
          <w:bCs/>
          <w:rtl/>
        </w:rPr>
        <w:t xml:space="preserve">الكراهية العنصرية </w:t>
      </w:r>
      <w:r w:rsidRPr="00D42882">
        <w:rPr>
          <w:rFonts w:hint="cs"/>
          <w:b/>
          <w:bCs/>
          <w:rtl/>
        </w:rPr>
        <w:t xml:space="preserve">الصادر عن </w:t>
      </w:r>
      <w:r w:rsidRPr="00D42882">
        <w:rPr>
          <w:b/>
          <w:bCs/>
          <w:rtl/>
        </w:rPr>
        <w:t xml:space="preserve">الشخصيات العامة، </w:t>
      </w:r>
      <w:r w:rsidRPr="00D42882">
        <w:rPr>
          <w:rFonts w:hint="cs"/>
          <w:b/>
          <w:bCs/>
          <w:rtl/>
        </w:rPr>
        <w:t xml:space="preserve">بمن </w:t>
      </w:r>
      <w:r w:rsidRPr="00D42882">
        <w:rPr>
          <w:b/>
          <w:bCs/>
          <w:rtl/>
        </w:rPr>
        <w:t xml:space="preserve">في ذلك السياسيون، </w:t>
      </w:r>
      <w:r w:rsidRPr="00D42882">
        <w:rPr>
          <w:rFonts w:hint="cs"/>
          <w:b/>
          <w:bCs/>
          <w:rtl/>
        </w:rPr>
        <w:t xml:space="preserve">والنأي بنفسها عنه، واتخاذ </w:t>
      </w:r>
      <w:r w:rsidRPr="00D42882">
        <w:rPr>
          <w:b/>
          <w:bCs/>
          <w:rtl/>
        </w:rPr>
        <w:t xml:space="preserve">تدابير لحماية </w:t>
      </w:r>
      <w:r w:rsidRPr="00D42882">
        <w:rPr>
          <w:rFonts w:hint="cs"/>
          <w:b/>
          <w:bCs/>
          <w:rtl/>
        </w:rPr>
        <w:t>الفئات المتضررة الضعيفة؛</w:t>
      </w:r>
    </w:p>
    <w:p w14:paraId="426DCC68" w14:textId="77777777" w:rsidR="00DE73EF" w:rsidRPr="00D42882" w:rsidRDefault="00DE73EF" w:rsidP="00DE73EF">
      <w:pPr>
        <w:pStyle w:val="SingleTxtGA"/>
        <w:rPr>
          <w:b/>
          <w:bCs/>
          <w:rtl/>
        </w:rPr>
      </w:pPr>
      <w:r>
        <w:rPr>
          <w:rtl/>
        </w:rPr>
        <w:tab/>
        <w:t>(ب)</w:t>
      </w:r>
      <w:r>
        <w:rPr>
          <w:rtl/>
        </w:rPr>
        <w:tab/>
      </w:r>
      <w:r w:rsidRPr="00D42882">
        <w:rPr>
          <w:b/>
          <w:bCs/>
          <w:rtl/>
        </w:rPr>
        <w:t xml:space="preserve">ضمان اتخاذ جميع التدابير لمنع خطاب الكراهية </w:t>
      </w:r>
      <w:r w:rsidRPr="00D42882">
        <w:rPr>
          <w:rFonts w:hint="cs"/>
          <w:b/>
          <w:bCs/>
          <w:rtl/>
        </w:rPr>
        <w:t xml:space="preserve">العنصرية </w:t>
      </w:r>
      <w:r w:rsidRPr="00D42882">
        <w:rPr>
          <w:b/>
          <w:bCs/>
          <w:rtl/>
        </w:rPr>
        <w:t>والتحريض ع</w:t>
      </w:r>
      <w:r w:rsidRPr="00D42882">
        <w:rPr>
          <w:rFonts w:hint="cs"/>
          <w:b/>
          <w:bCs/>
          <w:rtl/>
        </w:rPr>
        <w:t>ليها من جانب كل الأفراد</w:t>
      </w:r>
      <w:r w:rsidRPr="00D42882">
        <w:rPr>
          <w:b/>
          <w:bCs/>
          <w:rtl/>
        </w:rPr>
        <w:t xml:space="preserve">، بمن فيهم </w:t>
      </w:r>
      <w:r w:rsidRPr="00D42882">
        <w:rPr>
          <w:rFonts w:hint="cs"/>
          <w:b/>
          <w:bCs/>
          <w:rtl/>
        </w:rPr>
        <w:t xml:space="preserve">المسؤولون الحكوميون </w:t>
      </w:r>
      <w:r w:rsidRPr="00D42882">
        <w:rPr>
          <w:b/>
          <w:bCs/>
          <w:rtl/>
        </w:rPr>
        <w:t xml:space="preserve">والسياسيون، </w:t>
      </w:r>
      <w:r w:rsidRPr="00D42882">
        <w:rPr>
          <w:rFonts w:hint="cs"/>
          <w:b/>
          <w:bCs/>
          <w:rtl/>
        </w:rPr>
        <w:t xml:space="preserve">وتدعيم </w:t>
      </w:r>
      <w:r w:rsidRPr="00D42882">
        <w:rPr>
          <w:b/>
          <w:bCs/>
          <w:rtl/>
        </w:rPr>
        <w:t xml:space="preserve">التشريعات ذات الصلة </w:t>
      </w:r>
      <w:r w:rsidRPr="00D42882">
        <w:rPr>
          <w:rFonts w:hint="cs"/>
          <w:b/>
          <w:bCs/>
          <w:rtl/>
        </w:rPr>
        <w:t>وتنفيذها</w:t>
      </w:r>
      <w:r w:rsidRPr="00D42882">
        <w:rPr>
          <w:b/>
          <w:bCs/>
          <w:rtl/>
        </w:rPr>
        <w:t>؛</w:t>
      </w:r>
    </w:p>
    <w:p w14:paraId="09479B5C" w14:textId="77777777" w:rsidR="00DE73EF" w:rsidRPr="00DE73EF" w:rsidRDefault="00DE73EF" w:rsidP="00DE73EF">
      <w:pPr>
        <w:pStyle w:val="SingleTxtGA"/>
        <w:rPr>
          <w:b/>
          <w:bCs/>
          <w:spacing w:val="-4"/>
          <w:rtl/>
        </w:rPr>
      </w:pPr>
      <w:r w:rsidRPr="00DE73EF">
        <w:rPr>
          <w:spacing w:val="-4"/>
          <w:rtl/>
        </w:rPr>
        <w:tab/>
        <w:t>(ج)</w:t>
      </w:r>
      <w:r w:rsidRPr="00DE73EF">
        <w:rPr>
          <w:spacing w:val="-4"/>
          <w:rtl/>
        </w:rPr>
        <w:tab/>
      </w:r>
      <w:r w:rsidRPr="00DE73EF">
        <w:rPr>
          <w:rFonts w:hint="cs"/>
          <w:b/>
          <w:bCs/>
          <w:spacing w:val="-4"/>
          <w:rtl/>
        </w:rPr>
        <w:t>العمل بفعالية على التعرف على حالات خطاب الكراهية العنصرية أو</w:t>
      </w:r>
      <w:r w:rsidR="00EE1146">
        <w:rPr>
          <w:rFonts w:hint="eastAsia"/>
          <w:b/>
          <w:bCs/>
          <w:spacing w:val="-4"/>
          <w:rtl/>
        </w:rPr>
        <w:t> </w:t>
      </w:r>
      <w:r w:rsidRPr="00DE73EF">
        <w:rPr>
          <w:rFonts w:hint="cs"/>
          <w:b/>
          <w:bCs/>
          <w:spacing w:val="-4"/>
          <w:rtl/>
        </w:rPr>
        <w:t xml:space="preserve">التحريض على </w:t>
      </w:r>
      <w:r w:rsidRPr="00DE73EF">
        <w:rPr>
          <w:b/>
          <w:bCs/>
          <w:spacing w:val="-4"/>
          <w:rtl/>
        </w:rPr>
        <w:t xml:space="preserve">الكراهية </w:t>
      </w:r>
      <w:r w:rsidRPr="00DE73EF">
        <w:rPr>
          <w:rFonts w:hint="cs"/>
          <w:b/>
          <w:bCs/>
          <w:spacing w:val="-4"/>
          <w:rtl/>
        </w:rPr>
        <w:t>العرقية وتسجيل تلك الحالات والتحقيق فيها وملاحقة المسؤولين عنها ومعاقبتهم</w:t>
      </w:r>
      <w:r w:rsidRPr="00DE73EF">
        <w:rPr>
          <w:b/>
          <w:bCs/>
          <w:spacing w:val="-4"/>
          <w:rtl/>
        </w:rPr>
        <w:t xml:space="preserve">، </w:t>
      </w:r>
      <w:r w:rsidRPr="00DE73EF">
        <w:rPr>
          <w:rFonts w:hint="cs"/>
          <w:b/>
          <w:bCs/>
          <w:spacing w:val="-4"/>
          <w:rtl/>
        </w:rPr>
        <w:t xml:space="preserve">بما يشمل </w:t>
      </w:r>
      <w:r w:rsidRPr="00DE73EF">
        <w:rPr>
          <w:b/>
          <w:bCs/>
          <w:spacing w:val="-4"/>
          <w:rtl/>
        </w:rPr>
        <w:t>السياسي</w:t>
      </w:r>
      <w:r w:rsidRPr="00DE73EF">
        <w:rPr>
          <w:rFonts w:hint="cs"/>
          <w:b/>
          <w:bCs/>
          <w:spacing w:val="-4"/>
          <w:rtl/>
        </w:rPr>
        <w:t>ي</w:t>
      </w:r>
      <w:r w:rsidRPr="00DE73EF">
        <w:rPr>
          <w:b/>
          <w:bCs/>
          <w:spacing w:val="-4"/>
          <w:rtl/>
        </w:rPr>
        <w:t xml:space="preserve">ن </w:t>
      </w:r>
      <w:r w:rsidRPr="00DE73EF">
        <w:rPr>
          <w:rFonts w:hint="cs"/>
          <w:b/>
          <w:bCs/>
          <w:spacing w:val="-4"/>
          <w:rtl/>
        </w:rPr>
        <w:t xml:space="preserve">والإعلاميين، وتضمين تقريرها الدوري المقبل معلومات مفصلة عن </w:t>
      </w:r>
      <w:r w:rsidRPr="00DE73EF">
        <w:rPr>
          <w:b/>
          <w:bCs/>
          <w:spacing w:val="-4"/>
          <w:rtl/>
        </w:rPr>
        <w:t xml:space="preserve">التحقيقات والملاحقات والإدانات </w:t>
      </w:r>
      <w:r w:rsidRPr="00DE73EF">
        <w:rPr>
          <w:rFonts w:hint="cs"/>
          <w:b/>
          <w:bCs/>
          <w:spacing w:val="-4"/>
          <w:rtl/>
        </w:rPr>
        <w:t xml:space="preserve">المتصلة </w:t>
      </w:r>
      <w:r w:rsidRPr="00DE73EF">
        <w:rPr>
          <w:b/>
          <w:bCs/>
          <w:spacing w:val="-4"/>
          <w:rtl/>
        </w:rPr>
        <w:t>بخطاب الكراهية العنصرية</w:t>
      </w:r>
      <w:r w:rsidRPr="00DE73EF">
        <w:rPr>
          <w:rFonts w:hint="cs"/>
          <w:b/>
          <w:bCs/>
          <w:spacing w:val="-4"/>
          <w:rtl/>
        </w:rPr>
        <w:t>.</w:t>
      </w:r>
    </w:p>
    <w:p w14:paraId="1B1FC947" w14:textId="77777777" w:rsidR="00DE73EF" w:rsidRDefault="00DE73EF" w:rsidP="00DE73EF">
      <w:pPr>
        <w:pStyle w:val="H23GA"/>
        <w:rPr>
          <w:rtl/>
        </w:rPr>
      </w:pPr>
      <w:r>
        <w:rPr>
          <w:rtl/>
        </w:rPr>
        <w:lastRenderedPageBreak/>
        <w:tab/>
      </w:r>
      <w:r>
        <w:rPr>
          <w:rtl/>
        </w:rPr>
        <w:tab/>
        <w:t xml:space="preserve">حظر المنظمات التي </w:t>
      </w:r>
      <w:r>
        <w:rPr>
          <w:rFonts w:hint="cs"/>
          <w:rtl/>
        </w:rPr>
        <w:t>تروج ل</w:t>
      </w:r>
      <w:r>
        <w:rPr>
          <w:rtl/>
        </w:rPr>
        <w:t>لتمييز العنصري</w:t>
      </w:r>
    </w:p>
    <w:p w14:paraId="2D796CC1" w14:textId="77777777" w:rsidR="00DE73EF" w:rsidRDefault="00DE73EF" w:rsidP="00DE73EF">
      <w:pPr>
        <w:pStyle w:val="SingleTxtGA"/>
        <w:rPr>
          <w:rtl/>
        </w:rPr>
      </w:pPr>
      <w:r>
        <w:rPr>
          <w:rtl/>
        </w:rPr>
        <w:t>18-</w:t>
      </w:r>
      <w:r>
        <w:rPr>
          <w:rtl/>
        </w:rPr>
        <w:tab/>
      </w:r>
      <w:r>
        <w:rPr>
          <w:rFonts w:hint="cs"/>
          <w:rtl/>
        </w:rPr>
        <w:t xml:space="preserve">يساور </w:t>
      </w:r>
      <w:r>
        <w:rPr>
          <w:rtl/>
        </w:rPr>
        <w:t>اللجنة ق</w:t>
      </w:r>
      <w:bookmarkStart w:id="0" w:name="_GoBack"/>
      <w:bookmarkEnd w:id="0"/>
      <w:r>
        <w:rPr>
          <w:rtl/>
        </w:rPr>
        <w:t xml:space="preserve">لق </w:t>
      </w:r>
      <w:r>
        <w:rPr>
          <w:rFonts w:hint="cs"/>
          <w:rtl/>
        </w:rPr>
        <w:t xml:space="preserve">بالغ </w:t>
      </w:r>
      <w:r>
        <w:rPr>
          <w:rtl/>
        </w:rPr>
        <w:t xml:space="preserve">إزاء وجود </w:t>
      </w:r>
      <w:r>
        <w:rPr>
          <w:rFonts w:hint="cs"/>
          <w:rtl/>
        </w:rPr>
        <w:t>منظمات تعمل على الترويج للكراهية العنصرية في الدولة الطرف</w:t>
      </w:r>
      <w:r>
        <w:rPr>
          <w:rtl/>
        </w:rPr>
        <w:t xml:space="preserve">. </w:t>
      </w:r>
      <w:r>
        <w:rPr>
          <w:rFonts w:hint="cs"/>
          <w:rtl/>
        </w:rPr>
        <w:t xml:space="preserve">واللجنة منشغلة أيضاً لعدم توافر معلومات عن أثر القانون الأربعين لعام </w:t>
      </w:r>
      <w:r>
        <w:rPr>
          <w:rtl/>
        </w:rPr>
        <w:t xml:space="preserve">2011 والمادة 351 من القانون الجنائي </w:t>
      </w:r>
      <w:r>
        <w:rPr>
          <w:rFonts w:hint="cs"/>
          <w:rtl/>
        </w:rPr>
        <w:t xml:space="preserve">على تشكيل تلك </w:t>
      </w:r>
      <w:r>
        <w:rPr>
          <w:rtl/>
        </w:rPr>
        <w:t xml:space="preserve">المنظمات وتشغيلها، </w:t>
      </w:r>
      <w:r>
        <w:rPr>
          <w:rFonts w:hint="cs"/>
          <w:rtl/>
        </w:rPr>
        <w:t xml:space="preserve">وعن أثر أي تدابير اتخذتها الدولة الطرف لمنع أعمال </w:t>
      </w:r>
      <w:r>
        <w:rPr>
          <w:rtl/>
        </w:rPr>
        <w:t xml:space="preserve">التحريض على الكراهية </w:t>
      </w:r>
      <w:r>
        <w:rPr>
          <w:rFonts w:hint="cs"/>
          <w:rtl/>
        </w:rPr>
        <w:t xml:space="preserve">التي تقوم بها تلك </w:t>
      </w:r>
      <w:r>
        <w:rPr>
          <w:rtl/>
        </w:rPr>
        <w:t>المنظمات (المادة</w:t>
      </w:r>
      <w:r>
        <w:rPr>
          <w:rFonts w:hint="cs"/>
          <w:rtl/>
        </w:rPr>
        <w:t> </w:t>
      </w:r>
      <w:r>
        <w:rPr>
          <w:rtl/>
        </w:rPr>
        <w:t>4).</w:t>
      </w:r>
    </w:p>
    <w:p w14:paraId="264DF84A" w14:textId="77777777" w:rsidR="00DE73EF" w:rsidRPr="00D42882" w:rsidRDefault="00DE73EF" w:rsidP="00DE73EF">
      <w:pPr>
        <w:pStyle w:val="SingleTxtGA"/>
        <w:rPr>
          <w:b/>
          <w:bCs/>
          <w:rtl/>
        </w:rPr>
      </w:pPr>
      <w:r>
        <w:rPr>
          <w:rtl/>
        </w:rPr>
        <w:t>19-</w:t>
      </w:r>
      <w:r>
        <w:rPr>
          <w:rtl/>
        </w:rPr>
        <w:tab/>
      </w:r>
      <w:r w:rsidRPr="00D42882">
        <w:rPr>
          <w:b/>
          <w:bCs/>
          <w:rtl/>
        </w:rPr>
        <w:t xml:space="preserve">توصي اللجنة بأن تعلن </w:t>
      </w:r>
      <w:r>
        <w:rPr>
          <w:rFonts w:hint="cs"/>
          <w:b/>
          <w:bCs/>
          <w:rtl/>
        </w:rPr>
        <w:t xml:space="preserve">الدولة الطرف </w:t>
      </w:r>
      <w:r w:rsidRPr="00D42882">
        <w:rPr>
          <w:rFonts w:hint="cs"/>
          <w:b/>
          <w:bCs/>
          <w:rtl/>
        </w:rPr>
        <w:t xml:space="preserve">أن المنظمات التي تروج للكراهية العرقية وتحرض عليها منظمات غير قانونية ومحظورة، </w:t>
      </w:r>
      <w:r w:rsidRPr="00D42882">
        <w:rPr>
          <w:b/>
          <w:bCs/>
          <w:rtl/>
        </w:rPr>
        <w:t>تمشياً مع التزامات</w:t>
      </w:r>
      <w:r w:rsidRPr="00D42882">
        <w:rPr>
          <w:rFonts w:hint="cs"/>
          <w:b/>
          <w:bCs/>
          <w:rtl/>
        </w:rPr>
        <w:t xml:space="preserve"> الدولة </w:t>
      </w:r>
      <w:r w:rsidRPr="00D42882">
        <w:rPr>
          <w:b/>
          <w:bCs/>
          <w:rtl/>
        </w:rPr>
        <w:t>بموجب المادة</w:t>
      </w:r>
      <w:r w:rsidR="001B05FB">
        <w:rPr>
          <w:rFonts w:hint="cs"/>
          <w:b/>
          <w:bCs/>
          <w:rtl/>
        </w:rPr>
        <w:t> </w:t>
      </w:r>
      <w:r w:rsidRPr="00D42882">
        <w:rPr>
          <w:b/>
          <w:bCs/>
          <w:rtl/>
        </w:rPr>
        <w:t xml:space="preserve">4(ب) من الاتفاقية. </w:t>
      </w:r>
      <w:r w:rsidRPr="00D42882">
        <w:rPr>
          <w:rFonts w:hint="cs"/>
          <w:b/>
          <w:bCs/>
          <w:rtl/>
        </w:rPr>
        <w:t xml:space="preserve">كما توصيها بضمان تنفيذ تشريعاتها تنفيذاً تاماً وحظر تنظيم وتشغيل المجموعات التي تروج للكراهية العرقية وتحرض عليها، عملاً بالمادة 4 من الاتفاقية. </w:t>
      </w:r>
    </w:p>
    <w:p w14:paraId="183AF000" w14:textId="77777777" w:rsidR="00DE73EF" w:rsidRDefault="00DE73EF" w:rsidP="00DE73EF">
      <w:pPr>
        <w:pStyle w:val="H23GA"/>
        <w:rPr>
          <w:rtl/>
        </w:rPr>
      </w:pPr>
      <w:r>
        <w:rPr>
          <w:rtl/>
        </w:rPr>
        <w:tab/>
      </w:r>
      <w:r>
        <w:rPr>
          <w:rtl/>
        </w:rPr>
        <w:tab/>
      </w:r>
      <w:r>
        <w:rPr>
          <w:rFonts w:hint="cs"/>
          <w:rtl/>
        </w:rPr>
        <w:t xml:space="preserve">حالة </w:t>
      </w:r>
      <w:proofErr w:type="spellStart"/>
      <w:r>
        <w:rPr>
          <w:rFonts w:hint="cs"/>
          <w:rtl/>
        </w:rPr>
        <w:t>الروما</w:t>
      </w:r>
      <w:proofErr w:type="spellEnd"/>
    </w:p>
    <w:p w14:paraId="2815DD8F" w14:textId="77777777" w:rsidR="00DE73EF" w:rsidRDefault="00DE73EF" w:rsidP="00DE73EF">
      <w:pPr>
        <w:pStyle w:val="SingleTxtGA"/>
        <w:rPr>
          <w:rtl/>
        </w:rPr>
      </w:pPr>
      <w:r>
        <w:rPr>
          <w:rtl/>
        </w:rPr>
        <w:t>20-</w:t>
      </w:r>
      <w:r>
        <w:rPr>
          <w:rtl/>
        </w:rPr>
        <w:tab/>
      </w:r>
      <w:r>
        <w:rPr>
          <w:rFonts w:hint="cs"/>
          <w:rtl/>
        </w:rPr>
        <w:t xml:space="preserve">إذ </w:t>
      </w:r>
      <w:r>
        <w:rPr>
          <w:rtl/>
        </w:rPr>
        <w:t xml:space="preserve">تحيط اللجنة علماً بالمعلومات المقدمة </w:t>
      </w:r>
      <w:r>
        <w:rPr>
          <w:rFonts w:hint="cs"/>
          <w:rtl/>
        </w:rPr>
        <w:t xml:space="preserve">عن </w:t>
      </w:r>
      <w:r>
        <w:rPr>
          <w:rtl/>
        </w:rPr>
        <w:t xml:space="preserve">التدابير المتخذة لتحسين حالة </w:t>
      </w:r>
      <w:proofErr w:type="spellStart"/>
      <w:r>
        <w:rPr>
          <w:rtl/>
        </w:rPr>
        <w:t>الروما</w:t>
      </w:r>
      <w:proofErr w:type="spellEnd"/>
      <w:r>
        <w:rPr>
          <w:rtl/>
        </w:rPr>
        <w:t xml:space="preserve">، </w:t>
      </w:r>
      <w:r>
        <w:rPr>
          <w:rFonts w:hint="cs"/>
          <w:rtl/>
        </w:rPr>
        <w:t xml:space="preserve">في مجالات منها </w:t>
      </w:r>
      <w:r>
        <w:rPr>
          <w:rtl/>
        </w:rPr>
        <w:t xml:space="preserve">الصحة والتعليم، وكذلك </w:t>
      </w:r>
      <w:r>
        <w:rPr>
          <w:rFonts w:hint="cs"/>
          <w:rtl/>
        </w:rPr>
        <w:t xml:space="preserve">بواسطة </w:t>
      </w:r>
      <w:r>
        <w:rPr>
          <w:rtl/>
        </w:rPr>
        <w:t>الاستراتيجية الوطنية للإدماج الاجتماعي لعام</w:t>
      </w:r>
      <w:r>
        <w:rPr>
          <w:rFonts w:hint="cs"/>
          <w:rtl/>
        </w:rPr>
        <w:t> </w:t>
      </w:r>
      <w:r>
        <w:rPr>
          <w:rtl/>
        </w:rPr>
        <w:t xml:space="preserve">2011، </w:t>
      </w:r>
      <w:r>
        <w:rPr>
          <w:rFonts w:hint="cs"/>
          <w:rtl/>
        </w:rPr>
        <w:t xml:space="preserve">تظل منشغلة إلى حد كبير </w:t>
      </w:r>
      <w:r>
        <w:rPr>
          <w:rtl/>
        </w:rPr>
        <w:t xml:space="preserve">إزاء استمرار التمييز ضد </w:t>
      </w:r>
      <w:proofErr w:type="spellStart"/>
      <w:r>
        <w:rPr>
          <w:rFonts w:hint="cs"/>
          <w:rtl/>
        </w:rPr>
        <w:t>الروما</w:t>
      </w:r>
      <w:proofErr w:type="spellEnd"/>
      <w:r>
        <w:rPr>
          <w:rFonts w:hint="cs"/>
          <w:rtl/>
        </w:rPr>
        <w:t xml:space="preserve"> وما </w:t>
      </w:r>
      <w:proofErr w:type="spellStart"/>
      <w:r>
        <w:rPr>
          <w:rFonts w:hint="cs"/>
          <w:rtl/>
        </w:rPr>
        <w:t>يواجهونه</w:t>
      </w:r>
      <w:proofErr w:type="spellEnd"/>
      <w:r>
        <w:rPr>
          <w:rFonts w:hint="cs"/>
          <w:rtl/>
        </w:rPr>
        <w:t xml:space="preserve"> من </w:t>
      </w:r>
      <w:r>
        <w:rPr>
          <w:rtl/>
        </w:rPr>
        <w:t>عزل وفقر مدقع</w:t>
      </w:r>
      <w:r>
        <w:rPr>
          <w:rFonts w:hint="cs"/>
          <w:rtl/>
        </w:rPr>
        <w:t>.</w:t>
      </w:r>
      <w:r>
        <w:rPr>
          <w:rtl/>
        </w:rPr>
        <w:t xml:space="preserve"> </w:t>
      </w:r>
      <w:r>
        <w:rPr>
          <w:rFonts w:hint="cs"/>
          <w:rtl/>
        </w:rPr>
        <w:t>ويساور اللجنة قلق خاص إزاء ما يلي</w:t>
      </w:r>
      <w:r>
        <w:rPr>
          <w:rtl/>
        </w:rPr>
        <w:t>:</w:t>
      </w:r>
    </w:p>
    <w:p w14:paraId="69E17B35" w14:textId="77777777" w:rsidR="00DE73EF" w:rsidRDefault="00DE73EF" w:rsidP="00DE73EF">
      <w:pPr>
        <w:pStyle w:val="SingleTxtGA"/>
        <w:rPr>
          <w:rtl/>
        </w:rPr>
      </w:pPr>
      <w:r>
        <w:rPr>
          <w:rtl/>
        </w:rPr>
        <w:tab/>
        <w:t>(أ)</w:t>
      </w:r>
      <w:r>
        <w:rPr>
          <w:rtl/>
        </w:rPr>
        <w:tab/>
        <w:t xml:space="preserve">عدم وجود إحصاءات متسقة </w:t>
      </w:r>
      <w:r>
        <w:rPr>
          <w:rFonts w:hint="cs"/>
          <w:rtl/>
        </w:rPr>
        <w:t xml:space="preserve">وجديرة بالثقة بشأن </w:t>
      </w:r>
      <w:r>
        <w:rPr>
          <w:rtl/>
        </w:rPr>
        <w:t xml:space="preserve">السكان </w:t>
      </w:r>
      <w:proofErr w:type="spellStart"/>
      <w:r>
        <w:rPr>
          <w:rFonts w:hint="cs"/>
          <w:rtl/>
        </w:rPr>
        <w:t>الروما</w:t>
      </w:r>
      <w:proofErr w:type="spellEnd"/>
      <w:r>
        <w:rPr>
          <w:rtl/>
        </w:rPr>
        <w:t xml:space="preserve"> </w:t>
      </w:r>
      <w:r>
        <w:rPr>
          <w:rFonts w:hint="cs"/>
          <w:rtl/>
        </w:rPr>
        <w:t>و</w:t>
      </w:r>
      <w:r>
        <w:rPr>
          <w:rtl/>
        </w:rPr>
        <w:t xml:space="preserve">أعداد </w:t>
      </w:r>
      <w:r>
        <w:rPr>
          <w:rFonts w:hint="cs"/>
          <w:rtl/>
        </w:rPr>
        <w:t xml:space="preserve">الأطفال </w:t>
      </w:r>
      <w:proofErr w:type="spellStart"/>
      <w:r>
        <w:rPr>
          <w:rFonts w:hint="cs"/>
          <w:rtl/>
        </w:rPr>
        <w:t>الروما</w:t>
      </w:r>
      <w:proofErr w:type="spellEnd"/>
      <w:r>
        <w:rPr>
          <w:rFonts w:hint="cs"/>
          <w:rtl/>
        </w:rPr>
        <w:t xml:space="preserve"> </w:t>
      </w:r>
      <w:r>
        <w:rPr>
          <w:rtl/>
        </w:rPr>
        <w:t xml:space="preserve">في المدارس، </w:t>
      </w:r>
      <w:r>
        <w:rPr>
          <w:rFonts w:hint="cs"/>
          <w:rtl/>
        </w:rPr>
        <w:t xml:space="preserve">ما يمكن أن يعرقل </w:t>
      </w:r>
      <w:r>
        <w:rPr>
          <w:rtl/>
        </w:rPr>
        <w:t xml:space="preserve">تخطيط التدابير الفعالة </w:t>
      </w:r>
      <w:r>
        <w:rPr>
          <w:rFonts w:hint="cs"/>
          <w:rtl/>
        </w:rPr>
        <w:t>الرامية إلى ا</w:t>
      </w:r>
      <w:r>
        <w:rPr>
          <w:rtl/>
        </w:rPr>
        <w:t xml:space="preserve">لتصدي </w:t>
      </w:r>
      <w:r>
        <w:rPr>
          <w:rFonts w:hint="cs"/>
          <w:rtl/>
        </w:rPr>
        <w:t>إلى</w:t>
      </w:r>
      <w:r>
        <w:rPr>
          <w:rFonts w:hint="eastAsia"/>
          <w:rtl/>
        </w:rPr>
        <w:t> </w:t>
      </w:r>
      <w:r>
        <w:rPr>
          <w:rFonts w:hint="cs"/>
          <w:rtl/>
        </w:rPr>
        <w:t>ا</w:t>
      </w:r>
      <w:r>
        <w:rPr>
          <w:rtl/>
        </w:rPr>
        <w:t>لتمييز؛</w:t>
      </w:r>
    </w:p>
    <w:p w14:paraId="0A408C4E" w14:textId="77777777" w:rsidR="00DE73EF" w:rsidRDefault="00DE73EF" w:rsidP="00DE73EF">
      <w:pPr>
        <w:pStyle w:val="SingleTxtGA"/>
        <w:rPr>
          <w:rtl/>
        </w:rPr>
      </w:pPr>
      <w:r>
        <w:rPr>
          <w:rtl/>
        </w:rPr>
        <w:tab/>
        <w:t>(ب)</w:t>
      </w:r>
      <w:r>
        <w:rPr>
          <w:rtl/>
        </w:rPr>
        <w:tab/>
        <w:t xml:space="preserve">استمرار التمييز الهيكلي ضد </w:t>
      </w:r>
      <w:proofErr w:type="spellStart"/>
      <w:r>
        <w:rPr>
          <w:rtl/>
        </w:rPr>
        <w:t>الروما</w:t>
      </w:r>
      <w:proofErr w:type="spellEnd"/>
      <w:r>
        <w:rPr>
          <w:rtl/>
        </w:rPr>
        <w:t xml:space="preserve"> رغم وجود بعض السياسات والتدابير الرامية إلى التصدي </w:t>
      </w:r>
      <w:r>
        <w:rPr>
          <w:rFonts w:hint="cs"/>
          <w:rtl/>
        </w:rPr>
        <w:t xml:space="preserve">لذلك </w:t>
      </w:r>
      <w:r>
        <w:rPr>
          <w:rtl/>
        </w:rPr>
        <w:t>التمييز؛</w:t>
      </w:r>
    </w:p>
    <w:p w14:paraId="69533CF6" w14:textId="77777777" w:rsidR="00DE73EF" w:rsidRDefault="00DE73EF" w:rsidP="00DE73EF">
      <w:pPr>
        <w:pStyle w:val="SingleTxtGA"/>
        <w:rPr>
          <w:rtl/>
        </w:rPr>
      </w:pPr>
      <w:r>
        <w:rPr>
          <w:rtl/>
        </w:rPr>
        <w:tab/>
        <w:t>(ج)</w:t>
      </w:r>
      <w:r>
        <w:rPr>
          <w:rtl/>
        </w:rPr>
        <w:tab/>
        <w:t xml:space="preserve">استمرار </w:t>
      </w:r>
      <w:r>
        <w:rPr>
          <w:rFonts w:hint="cs"/>
          <w:rtl/>
        </w:rPr>
        <w:t xml:space="preserve">عزل الأطفال </w:t>
      </w:r>
      <w:proofErr w:type="spellStart"/>
      <w:r>
        <w:rPr>
          <w:rFonts w:hint="cs"/>
          <w:rtl/>
        </w:rPr>
        <w:t>الروما</w:t>
      </w:r>
      <w:proofErr w:type="spellEnd"/>
      <w:r>
        <w:rPr>
          <w:rFonts w:hint="cs"/>
          <w:rtl/>
        </w:rPr>
        <w:t xml:space="preserve"> </w:t>
      </w:r>
      <w:r>
        <w:rPr>
          <w:rtl/>
        </w:rPr>
        <w:t>في التعليم</w:t>
      </w:r>
      <w:r>
        <w:rPr>
          <w:rFonts w:hint="cs"/>
          <w:rtl/>
        </w:rPr>
        <w:t xml:space="preserve">، وهي ظاهرة يُقال إنها تفاقمت، وأثر ذلك </w:t>
      </w:r>
      <w:r>
        <w:rPr>
          <w:rtl/>
        </w:rPr>
        <w:t xml:space="preserve">على مستقبل </w:t>
      </w:r>
      <w:proofErr w:type="spellStart"/>
      <w:r>
        <w:rPr>
          <w:rtl/>
        </w:rPr>
        <w:t>الروما</w:t>
      </w:r>
      <w:proofErr w:type="spellEnd"/>
      <w:r>
        <w:rPr>
          <w:rtl/>
        </w:rPr>
        <w:t>، و</w:t>
      </w:r>
      <w:r>
        <w:rPr>
          <w:rFonts w:hint="cs"/>
          <w:rtl/>
        </w:rPr>
        <w:t xml:space="preserve">ورود </w:t>
      </w:r>
      <w:r>
        <w:rPr>
          <w:rtl/>
        </w:rPr>
        <w:t xml:space="preserve">تقارير </w:t>
      </w:r>
      <w:r>
        <w:rPr>
          <w:rFonts w:hint="cs"/>
          <w:rtl/>
        </w:rPr>
        <w:t xml:space="preserve">مفادها </w:t>
      </w:r>
      <w:r>
        <w:rPr>
          <w:rtl/>
        </w:rPr>
        <w:t xml:space="preserve">أن </w:t>
      </w:r>
      <w:r>
        <w:rPr>
          <w:rFonts w:hint="cs"/>
          <w:rtl/>
        </w:rPr>
        <w:t xml:space="preserve">أطفال كثيرين من </w:t>
      </w:r>
      <w:proofErr w:type="spellStart"/>
      <w:r>
        <w:rPr>
          <w:rtl/>
        </w:rPr>
        <w:t>الروما</w:t>
      </w:r>
      <w:proofErr w:type="spellEnd"/>
      <w:r>
        <w:rPr>
          <w:rtl/>
        </w:rPr>
        <w:t xml:space="preserve"> </w:t>
      </w:r>
      <w:r>
        <w:rPr>
          <w:rFonts w:hint="cs"/>
          <w:rtl/>
        </w:rPr>
        <w:t xml:space="preserve">يلتحقون بالقوة العاملة في </w:t>
      </w:r>
      <w:r>
        <w:rPr>
          <w:rtl/>
        </w:rPr>
        <w:t>سن 16 بدلاً من مواصلة التعليم العالي؛</w:t>
      </w:r>
    </w:p>
    <w:p w14:paraId="3956A526" w14:textId="77777777" w:rsidR="00DE73EF" w:rsidRDefault="00DE73EF" w:rsidP="00DE73EF">
      <w:pPr>
        <w:pStyle w:val="SingleTxtGA"/>
        <w:rPr>
          <w:rtl/>
        </w:rPr>
      </w:pPr>
      <w:r>
        <w:rPr>
          <w:rtl/>
        </w:rPr>
        <w:tab/>
        <w:t>(د)</w:t>
      </w:r>
      <w:r>
        <w:rPr>
          <w:rtl/>
        </w:rPr>
        <w:tab/>
      </w:r>
      <w:r>
        <w:rPr>
          <w:rFonts w:hint="cs"/>
          <w:rtl/>
        </w:rPr>
        <w:t xml:space="preserve">عيش </w:t>
      </w:r>
      <w:proofErr w:type="spellStart"/>
      <w:r>
        <w:rPr>
          <w:rFonts w:hint="cs"/>
          <w:rtl/>
        </w:rPr>
        <w:t>الروما</w:t>
      </w:r>
      <w:proofErr w:type="spellEnd"/>
      <w:r>
        <w:rPr>
          <w:rFonts w:hint="cs"/>
          <w:rtl/>
        </w:rPr>
        <w:t xml:space="preserve"> في فقر مدقع وفي أحياء معزولة تفتقر إلى البنية </w:t>
      </w:r>
      <w:r>
        <w:rPr>
          <w:rtl/>
        </w:rPr>
        <w:t>ال</w:t>
      </w:r>
      <w:r>
        <w:rPr>
          <w:rFonts w:hint="cs"/>
          <w:rtl/>
        </w:rPr>
        <w:t>تحت</w:t>
      </w:r>
      <w:r>
        <w:rPr>
          <w:rtl/>
        </w:rPr>
        <w:t xml:space="preserve">ية والخدمات المناسبة، </w:t>
      </w:r>
      <w:r>
        <w:rPr>
          <w:rFonts w:hint="cs"/>
          <w:rtl/>
        </w:rPr>
        <w:t xml:space="preserve">وورود تقارير عن أعمال هدم غير قانوني لتلك الأحياء المعزولة دون توفير </w:t>
      </w:r>
      <w:r>
        <w:rPr>
          <w:rtl/>
        </w:rPr>
        <w:t xml:space="preserve">سكن بديل </w:t>
      </w:r>
      <w:r>
        <w:rPr>
          <w:rFonts w:hint="cs"/>
          <w:rtl/>
        </w:rPr>
        <w:t xml:space="preserve">ملائم </w:t>
      </w:r>
      <w:r>
        <w:rPr>
          <w:rtl/>
        </w:rPr>
        <w:t>لسكان</w:t>
      </w:r>
      <w:r>
        <w:rPr>
          <w:rFonts w:hint="cs"/>
          <w:rtl/>
        </w:rPr>
        <w:t>ها</w:t>
      </w:r>
      <w:r>
        <w:rPr>
          <w:rtl/>
        </w:rPr>
        <w:t>؛</w:t>
      </w:r>
    </w:p>
    <w:p w14:paraId="4C0A7F57" w14:textId="77777777" w:rsidR="00DE73EF" w:rsidRDefault="00DE73EF" w:rsidP="00DE73EF">
      <w:pPr>
        <w:pStyle w:val="SingleTxtGA"/>
        <w:rPr>
          <w:rtl/>
        </w:rPr>
      </w:pPr>
      <w:r>
        <w:rPr>
          <w:rtl/>
        </w:rPr>
        <w:tab/>
        <w:t>(هـ)</w:t>
      </w:r>
      <w:r>
        <w:rPr>
          <w:rtl/>
        </w:rPr>
        <w:tab/>
        <w:t xml:space="preserve">التقارير التي تفيد بأن </w:t>
      </w:r>
      <w:r>
        <w:rPr>
          <w:rFonts w:hint="cs"/>
          <w:rtl/>
        </w:rPr>
        <w:t>ال</w:t>
      </w:r>
      <w:r>
        <w:rPr>
          <w:rtl/>
        </w:rPr>
        <w:t xml:space="preserve">نساء </w:t>
      </w:r>
      <w:proofErr w:type="spellStart"/>
      <w:r>
        <w:rPr>
          <w:rtl/>
        </w:rPr>
        <w:t>الروما</w:t>
      </w:r>
      <w:proofErr w:type="spellEnd"/>
      <w:r>
        <w:rPr>
          <w:rtl/>
        </w:rPr>
        <w:t xml:space="preserve"> </w:t>
      </w:r>
      <w:r>
        <w:rPr>
          <w:rFonts w:hint="cs"/>
          <w:rtl/>
        </w:rPr>
        <w:t>يتعرضن ل</w:t>
      </w:r>
      <w:r>
        <w:rPr>
          <w:rtl/>
        </w:rPr>
        <w:t xml:space="preserve">لتمييز </w:t>
      </w:r>
      <w:r>
        <w:rPr>
          <w:rFonts w:hint="cs"/>
          <w:rtl/>
        </w:rPr>
        <w:t xml:space="preserve">والمضايقة </w:t>
      </w:r>
      <w:r>
        <w:rPr>
          <w:rtl/>
        </w:rPr>
        <w:t>في الحصول على الرعاية الصحية؛</w:t>
      </w:r>
    </w:p>
    <w:p w14:paraId="49C412F5" w14:textId="77777777" w:rsidR="00DE73EF" w:rsidRDefault="00DE73EF" w:rsidP="00DE73EF">
      <w:pPr>
        <w:pStyle w:val="SingleTxtGA"/>
        <w:rPr>
          <w:rtl/>
        </w:rPr>
      </w:pPr>
      <w:r>
        <w:rPr>
          <w:rtl/>
        </w:rPr>
        <w:tab/>
        <w:t>(و)</w:t>
      </w:r>
      <w:r>
        <w:rPr>
          <w:rtl/>
        </w:rPr>
        <w:tab/>
      </w:r>
      <w:r>
        <w:rPr>
          <w:rFonts w:hint="cs"/>
          <w:rtl/>
        </w:rPr>
        <w:t>ال</w:t>
      </w:r>
      <w:r>
        <w:rPr>
          <w:rtl/>
        </w:rPr>
        <w:t xml:space="preserve">تقارير </w:t>
      </w:r>
      <w:r>
        <w:rPr>
          <w:rFonts w:hint="cs"/>
          <w:rtl/>
        </w:rPr>
        <w:t>التي تفيد ب</w:t>
      </w:r>
      <w:r>
        <w:rPr>
          <w:rtl/>
        </w:rPr>
        <w:t xml:space="preserve">ارتفاع مستويات البطالة </w:t>
      </w:r>
      <w:r>
        <w:rPr>
          <w:rFonts w:hint="cs"/>
          <w:rtl/>
        </w:rPr>
        <w:t xml:space="preserve">في صفوف </w:t>
      </w:r>
      <w:proofErr w:type="spellStart"/>
      <w:r>
        <w:rPr>
          <w:rtl/>
        </w:rPr>
        <w:t>الروما</w:t>
      </w:r>
      <w:proofErr w:type="spellEnd"/>
      <w:r>
        <w:rPr>
          <w:rtl/>
        </w:rPr>
        <w:t>، و</w:t>
      </w:r>
      <w:r>
        <w:rPr>
          <w:rFonts w:hint="cs"/>
          <w:rtl/>
        </w:rPr>
        <w:t xml:space="preserve">الفارق الشاسع </w:t>
      </w:r>
      <w:r>
        <w:rPr>
          <w:rtl/>
        </w:rPr>
        <w:t xml:space="preserve">في الدخل بين </w:t>
      </w:r>
      <w:proofErr w:type="spellStart"/>
      <w:r>
        <w:rPr>
          <w:rtl/>
        </w:rPr>
        <w:t>الروما</w:t>
      </w:r>
      <w:proofErr w:type="spellEnd"/>
      <w:r>
        <w:rPr>
          <w:rtl/>
        </w:rPr>
        <w:t xml:space="preserve"> و</w:t>
      </w:r>
      <w:r>
        <w:rPr>
          <w:rFonts w:hint="cs"/>
          <w:rtl/>
        </w:rPr>
        <w:t xml:space="preserve">سائر أطياف </w:t>
      </w:r>
      <w:r>
        <w:rPr>
          <w:rtl/>
        </w:rPr>
        <w:t>المجتمع؛</w:t>
      </w:r>
    </w:p>
    <w:p w14:paraId="02181F7E" w14:textId="77777777" w:rsidR="00DE73EF" w:rsidRDefault="00DE73EF" w:rsidP="00DE73EF">
      <w:pPr>
        <w:pStyle w:val="SingleTxtGA"/>
        <w:rPr>
          <w:rtl/>
        </w:rPr>
      </w:pPr>
      <w:r>
        <w:rPr>
          <w:rtl/>
        </w:rPr>
        <w:tab/>
        <w:t>(ز)</w:t>
      </w:r>
      <w:r>
        <w:rPr>
          <w:rtl/>
        </w:rPr>
        <w:tab/>
        <w:t xml:space="preserve">التقارير التي تفيد </w:t>
      </w:r>
      <w:r>
        <w:rPr>
          <w:rFonts w:hint="cs"/>
          <w:rtl/>
        </w:rPr>
        <w:t xml:space="preserve">بتعرض </w:t>
      </w:r>
      <w:proofErr w:type="spellStart"/>
      <w:r>
        <w:rPr>
          <w:rtl/>
        </w:rPr>
        <w:t>الروما</w:t>
      </w:r>
      <w:proofErr w:type="spellEnd"/>
      <w:r>
        <w:rPr>
          <w:rtl/>
        </w:rPr>
        <w:t xml:space="preserve"> لعدد </w:t>
      </w:r>
      <w:r>
        <w:rPr>
          <w:rFonts w:hint="cs"/>
          <w:rtl/>
        </w:rPr>
        <w:t xml:space="preserve">أكبر </w:t>
      </w:r>
      <w:r>
        <w:rPr>
          <w:rtl/>
        </w:rPr>
        <w:t>من جرائم الكراهية، بما ف</w:t>
      </w:r>
      <w:r>
        <w:rPr>
          <w:rFonts w:hint="cs"/>
          <w:rtl/>
        </w:rPr>
        <w:t xml:space="preserve">يها جرائم </w:t>
      </w:r>
      <w:r>
        <w:rPr>
          <w:rtl/>
        </w:rPr>
        <w:t>الكراهية العنيفة، و</w:t>
      </w:r>
      <w:r>
        <w:rPr>
          <w:rFonts w:hint="cs"/>
          <w:rtl/>
        </w:rPr>
        <w:t xml:space="preserve">بعدم توفير </w:t>
      </w:r>
      <w:r>
        <w:rPr>
          <w:rtl/>
        </w:rPr>
        <w:t xml:space="preserve">الحماية الكافية لمجتمعات </w:t>
      </w:r>
      <w:proofErr w:type="spellStart"/>
      <w:r>
        <w:rPr>
          <w:rtl/>
        </w:rPr>
        <w:t>الروما</w:t>
      </w:r>
      <w:proofErr w:type="spellEnd"/>
      <w:r>
        <w:rPr>
          <w:rtl/>
        </w:rPr>
        <w:t xml:space="preserve"> عن طريق إنفاذ القانون؛</w:t>
      </w:r>
    </w:p>
    <w:p w14:paraId="727CDA1F" w14:textId="77777777" w:rsidR="00DE73EF" w:rsidRDefault="00DE73EF" w:rsidP="00DE73EF">
      <w:pPr>
        <w:pStyle w:val="SingleTxtGA"/>
        <w:rPr>
          <w:rtl/>
        </w:rPr>
      </w:pPr>
      <w:r>
        <w:rPr>
          <w:rtl/>
        </w:rPr>
        <w:lastRenderedPageBreak/>
        <w:tab/>
        <w:t>(ح)</w:t>
      </w:r>
      <w:r>
        <w:rPr>
          <w:rtl/>
        </w:rPr>
        <w:tab/>
        <w:t xml:space="preserve">التقارير التي تفيد </w:t>
      </w:r>
      <w:r>
        <w:rPr>
          <w:rFonts w:hint="cs"/>
          <w:rtl/>
        </w:rPr>
        <w:t xml:space="preserve">بتعرض </w:t>
      </w:r>
      <w:proofErr w:type="spellStart"/>
      <w:r>
        <w:rPr>
          <w:rFonts w:hint="cs"/>
          <w:rtl/>
        </w:rPr>
        <w:t>الروما</w:t>
      </w:r>
      <w:proofErr w:type="spellEnd"/>
      <w:r>
        <w:rPr>
          <w:rFonts w:hint="cs"/>
          <w:rtl/>
        </w:rPr>
        <w:t xml:space="preserve"> </w:t>
      </w:r>
      <w:r>
        <w:rPr>
          <w:rtl/>
        </w:rPr>
        <w:t xml:space="preserve">للتنميط </w:t>
      </w:r>
      <w:r>
        <w:rPr>
          <w:rFonts w:hint="cs"/>
          <w:rtl/>
        </w:rPr>
        <w:t xml:space="preserve">الإثني على أيدي </w:t>
      </w:r>
      <w:r>
        <w:rPr>
          <w:rtl/>
        </w:rPr>
        <w:t>موظفي إنفاذ</w:t>
      </w:r>
      <w:r w:rsidR="001B05FB">
        <w:rPr>
          <w:rFonts w:hint="cs"/>
          <w:rtl/>
        </w:rPr>
        <w:t> </w:t>
      </w:r>
      <w:r>
        <w:rPr>
          <w:rtl/>
        </w:rPr>
        <w:t>القانون؛</w:t>
      </w:r>
    </w:p>
    <w:p w14:paraId="3AC8BDB1" w14:textId="77777777" w:rsidR="00DE73EF" w:rsidRDefault="00DE73EF" w:rsidP="00DE73EF">
      <w:pPr>
        <w:pStyle w:val="SingleTxtGA"/>
        <w:rPr>
          <w:rtl/>
        </w:rPr>
      </w:pPr>
      <w:r>
        <w:rPr>
          <w:rtl/>
        </w:rPr>
        <w:tab/>
        <w:t>(ط)</w:t>
      </w:r>
      <w:r>
        <w:rPr>
          <w:rtl/>
        </w:rPr>
        <w:tab/>
        <w:t>استمرار خطاب</w:t>
      </w:r>
      <w:r>
        <w:rPr>
          <w:rFonts w:hint="cs"/>
          <w:rtl/>
        </w:rPr>
        <w:t>ات</w:t>
      </w:r>
      <w:r>
        <w:rPr>
          <w:rtl/>
        </w:rPr>
        <w:t xml:space="preserve"> الكراهية </w:t>
      </w:r>
      <w:r>
        <w:rPr>
          <w:rFonts w:hint="cs"/>
          <w:rtl/>
        </w:rPr>
        <w:t xml:space="preserve">التي تستهدف </w:t>
      </w:r>
      <w:proofErr w:type="spellStart"/>
      <w:r>
        <w:rPr>
          <w:rtl/>
        </w:rPr>
        <w:t>الروما</w:t>
      </w:r>
      <w:proofErr w:type="spellEnd"/>
      <w:r>
        <w:rPr>
          <w:rtl/>
        </w:rPr>
        <w:t>، بما ف</w:t>
      </w:r>
      <w:r>
        <w:rPr>
          <w:rFonts w:hint="cs"/>
          <w:rtl/>
        </w:rPr>
        <w:t xml:space="preserve">يها تلك الصادرة عن </w:t>
      </w:r>
      <w:r>
        <w:rPr>
          <w:rtl/>
        </w:rPr>
        <w:t>موظفين عموميين.</w:t>
      </w:r>
    </w:p>
    <w:p w14:paraId="42220565" w14:textId="77777777" w:rsidR="00DE73EF" w:rsidRPr="00D47EE9" w:rsidRDefault="00DE73EF" w:rsidP="00DE73EF">
      <w:pPr>
        <w:pStyle w:val="SingleTxtGA"/>
        <w:rPr>
          <w:b/>
          <w:bCs/>
          <w:rtl/>
        </w:rPr>
      </w:pPr>
      <w:r>
        <w:rPr>
          <w:rtl/>
        </w:rPr>
        <w:t>21-</w:t>
      </w:r>
      <w:r>
        <w:rPr>
          <w:rtl/>
        </w:rPr>
        <w:tab/>
      </w:r>
      <w:r w:rsidRPr="00D47EE9">
        <w:rPr>
          <w:b/>
          <w:bCs/>
          <w:rtl/>
        </w:rPr>
        <w:t xml:space="preserve">إذ تشير اللجنة إلى توصيتها العامة رقم 27(2000) بشأن التمييز ضد </w:t>
      </w:r>
      <w:r w:rsidRPr="00D47EE9">
        <w:rPr>
          <w:rFonts w:hint="cs"/>
          <w:b/>
          <w:bCs/>
          <w:rtl/>
        </w:rPr>
        <w:t>الغجر</w:t>
      </w:r>
      <w:r w:rsidRPr="00D47EE9">
        <w:rPr>
          <w:b/>
          <w:bCs/>
          <w:rtl/>
        </w:rPr>
        <w:t xml:space="preserve">، تحث الدولة الطرف على تحسين </w:t>
      </w:r>
      <w:r w:rsidRPr="00D47EE9">
        <w:rPr>
          <w:rFonts w:hint="cs"/>
          <w:b/>
          <w:bCs/>
          <w:rtl/>
        </w:rPr>
        <w:t xml:space="preserve">حالة </w:t>
      </w:r>
      <w:proofErr w:type="spellStart"/>
      <w:r w:rsidRPr="00D47EE9">
        <w:rPr>
          <w:b/>
          <w:bCs/>
          <w:rtl/>
        </w:rPr>
        <w:t>الروما</w:t>
      </w:r>
      <w:proofErr w:type="spellEnd"/>
      <w:r w:rsidRPr="00D47EE9">
        <w:rPr>
          <w:b/>
          <w:bCs/>
          <w:rtl/>
        </w:rPr>
        <w:t xml:space="preserve">، </w:t>
      </w:r>
      <w:r w:rsidRPr="00D47EE9">
        <w:rPr>
          <w:rFonts w:hint="cs"/>
          <w:b/>
          <w:bCs/>
          <w:rtl/>
        </w:rPr>
        <w:t xml:space="preserve">بسبل منها التنسيق على </w:t>
      </w:r>
      <w:r w:rsidRPr="00D47EE9">
        <w:rPr>
          <w:b/>
          <w:bCs/>
          <w:rtl/>
        </w:rPr>
        <w:t>جميع مستويات الحك</w:t>
      </w:r>
      <w:r w:rsidRPr="00D47EE9">
        <w:rPr>
          <w:rFonts w:hint="cs"/>
          <w:b/>
          <w:bCs/>
          <w:rtl/>
        </w:rPr>
        <w:t>م</w:t>
      </w:r>
      <w:r w:rsidRPr="00D47EE9">
        <w:rPr>
          <w:b/>
          <w:bCs/>
          <w:rtl/>
        </w:rPr>
        <w:t xml:space="preserve"> </w:t>
      </w:r>
      <w:r w:rsidRPr="00D47EE9">
        <w:rPr>
          <w:rFonts w:hint="cs"/>
          <w:b/>
          <w:bCs/>
          <w:rtl/>
        </w:rPr>
        <w:t xml:space="preserve">والتفاعل مع </w:t>
      </w:r>
      <w:r w:rsidRPr="00D47EE9">
        <w:rPr>
          <w:b/>
          <w:bCs/>
          <w:rtl/>
        </w:rPr>
        <w:t xml:space="preserve">مجتمعات </w:t>
      </w:r>
      <w:proofErr w:type="spellStart"/>
      <w:r w:rsidRPr="00D47EE9">
        <w:rPr>
          <w:b/>
          <w:bCs/>
          <w:rtl/>
        </w:rPr>
        <w:t>الروما</w:t>
      </w:r>
      <w:proofErr w:type="spellEnd"/>
      <w:r w:rsidRPr="00D47EE9">
        <w:rPr>
          <w:b/>
          <w:bCs/>
          <w:rtl/>
        </w:rPr>
        <w:t xml:space="preserve"> في تصميم وتنفيذ وتقييم سياسات </w:t>
      </w:r>
      <w:r w:rsidRPr="00D47EE9">
        <w:rPr>
          <w:rFonts w:hint="cs"/>
          <w:b/>
          <w:bCs/>
          <w:rtl/>
        </w:rPr>
        <w:t xml:space="preserve">الإدماج </w:t>
      </w:r>
      <w:r w:rsidRPr="00D47EE9">
        <w:rPr>
          <w:b/>
          <w:bCs/>
          <w:rtl/>
        </w:rPr>
        <w:t xml:space="preserve">وخطط العمل. </w:t>
      </w:r>
      <w:r w:rsidRPr="00D47EE9">
        <w:rPr>
          <w:rFonts w:hint="cs"/>
          <w:b/>
          <w:bCs/>
          <w:rtl/>
        </w:rPr>
        <w:t>و</w:t>
      </w:r>
      <w:r w:rsidRPr="00D47EE9">
        <w:rPr>
          <w:b/>
          <w:bCs/>
          <w:rtl/>
        </w:rPr>
        <w:t>توصي اللجنة الدولة الطرف بما يلي:</w:t>
      </w:r>
    </w:p>
    <w:p w14:paraId="2E35C238" w14:textId="77777777" w:rsidR="00DE73EF" w:rsidRPr="00D47EE9" w:rsidRDefault="00DE73EF" w:rsidP="00DE73EF">
      <w:pPr>
        <w:pStyle w:val="SingleTxtGA"/>
        <w:rPr>
          <w:b/>
          <w:bCs/>
          <w:rtl/>
        </w:rPr>
      </w:pPr>
      <w:r>
        <w:rPr>
          <w:rtl/>
        </w:rPr>
        <w:tab/>
        <w:t>(أ)</w:t>
      </w:r>
      <w:r>
        <w:rPr>
          <w:rtl/>
        </w:rPr>
        <w:tab/>
      </w:r>
      <w:r w:rsidRPr="00D47EE9">
        <w:rPr>
          <w:b/>
          <w:bCs/>
          <w:rtl/>
        </w:rPr>
        <w:t xml:space="preserve">ضمان توافر إحصاءات </w:t>
      </w:r>
      <w:r w:rsidRPr="00D47EE9">
        <w:rPr>
          <w:rFonts w:hint="cs"/>
          <w:b/>
          <w:bCs/>
          <w:rtl/>
        </w:rPr>
        <w:t xml:space="preserve">جديرة بالثقة بشأن </w:t>
      </w:r>
      <w:r w:rsidRPr="00D47EE9">
        <w:rPr>
          <w:b/>
          <w:bCs/>
          <w:rtl/>
        </w:rPr>
        <w:t xml:space="preserve">السكان </w:t>
      </w:r>
      <w:proofErr w:type="spellStart"/>
      <w:r w:rsidRPr="00D47EE9">
        <w:rPr>
          <w:b/>
          <w:bCs/>
          <w:rtl/>
        </w:rPr>
        <w:t>الروما</w:t>
      </w:r>
      <w:proofErr w:type="spellEnd"/>
      <w:r w:rsidRPr="00D47EE9">
        <w:rPr>
          <w:b/>
          <w:bCs/>
          <w:rtl/>
        </w:rPr>
        <w:t xml:space="preserve"> و</w:t>
      </w:r>
      <w:r w:rsidRPr="00D47EE9">
        <w:rPr>
          <w:rFonts w:hint="cs"/>
          <w:b/>
          <w:bCs/>
          <w:rtl/>
        </w:rPr>
        <w:t>ال</w:t>
      </w:r>
      <w:r w:rsidRPr="00D47EE9">
        <w:rPr>
          <w:b/>
          <w:bCs/>
          <w:rtl/>
        </w:rPr>
        <w:t xml:space="preserve">طلاب </w:t>
      </w:r>
      <w:proofErr w:type="spellStart"/>
      <w:r w:rsidRPr="00D47EE9">
        <w:rPr>
          <w:b/>
          <w:bCs/>
          <w:rtl/>
        </w:rPr>
        <w:t>الروما</w:t>
      </w:r>
      <w:proofErr w:type="spellEnd"/>
      <w:r w:rsidRPr="00D47EE9">
        <w:rPr>
          <w:b/>
          <w:bCs/>
          <w:rtl/>
        </w:rPr>
        <w:t xml:space="preserve"> في المدارس، </w:t>
      </w:r>
      <w:r w:rsidRPr="00D47EE9">
        <w:rPr>
          <w:rFonts w:hint="cs"/>
          <w:b/>
          <w:bCs/>
          <w:rtl/>
        </w:rPr>
        <w:t>بواسطة تحديد الهوية الذاتية</w:t>
      </w:r>
      <w:r w:rsidRPr="00D47EE9">
        <w:rPr>
          <w:b/>
          <w:bCs/>
          <w:rtl/>
        </w:rPr>
        <w:t>؛</w:t>
      </w:r>
    </w:p>
    <w:p w14:paraId="5F689F9B" w14:textId="77777777" w:rsidR="00DE73EF" w:rsidRPr="00D47EE9" w:rsidRDefault="00DE73EF" w:rsidP="00DE73EF">
      <w:pPr>
        <w:pStyle w:val="SingleTxtGA"/>
        <w:rPr>
          <w:b/>
          <w:bCs/>
          <w:rtl/>
        </w:rPr>
      </w:pPr>
      <w:r>
        <w:rPr>
          <w:rtl/>
        </w:rPr>
        <w:tab/>
        <w:t>(ب)</w:t>
      </w:r>
      <w:r>
        <w:rPr>
          <w:rtl/>
        </w:rPr>
        <w:tab/>
      </w:r>
      <w:r w:rsidRPr="00D47EE9">
        <w:rPr>
          <w:b/>
          <w:bCs/>
          <w:rtl/>
        </w:rPr>
        <w:t xml:space="preserve">اتخاذ جميع التدابير </w:t>
      </w:r>
      <w:r w:rsidRPr="00D47EE9">
        <w:rPr>
          <w:rFonts w:hint="cs"/>
          <w:b/>
          <w:bCs/>
          <w:rtl/>
        </w:rPr>
        <w:t>من أجل ا</w:t>
      </w:r>
      <w:r w:rsidRPr="00D47EE9">
        <w:rPr>
          <w:b/>
          <w:bCs/>
          <w:rtl/>
        </w:rPr>
        <w:t xml:space="preserve">لقضاء على التمييز الهيكلي ضد </w:t>
      </w:r>
      <w:proofErr w:type="spellStart"/>
      <w:r w:rsidRPr="00D47EE9">
        <w:rPr>
          <w:b/>
          <w:bCs/>
          <w:rtl/>
        </w:rPr>
        <w:t>الروما</w:t>
      </w:r>
      <w:proofErr w:type="spellEnd"/>
      <w:r w:rsidRPr="00D47EE9">
        <w:rPr>
          <w:b/>
          <w:bCs/>
          <w:rtl/>
        </w:rPr>
        <w:t>؛</w:t>
      </w:r>
    </w:p>
    <w:p w14:paraId="4BBFDF2A" w14:textId="77777777" w:rsidR="00DE73EF" w:rsidRPr="00D47EE9" w:rsidRDefault="00DE73EF" w:rsidP="00DE73EF">
      <w:pPr>
        <w:pStyle w:val="SingleTxtGA"/>
        <w:rPr>
          <w:b/>
          <w:bCs/>
          <w:rtl/>
        </w:rPr>
      </w:pPr>
      <w:r>
        <w:rPr>
          <w:rtl/>
        </w:rPr>
        <w:tab/>
        <w:t>(ج)</w:t>
      </w:r>
      <w:r>
        <w:rPr>
          <w:rtl/>
        </w:rPr>
        <w:tab/>
      </w:r>
      <w:r w:rsidRPr="00D47EE9">
        <w:rPr>
          <w:rFonts w:hint="cs"/>
          <w:b/>
          <w:bCs/>
          <w:rtl/>
        </w:rPr>
        <w:t>وضع حدٍ ل</w:t>
      </w:r>
      <w:r w:rsidRPr="00D47EE9">
        <w:rPr>
          <w:b/>
          <w:bCs/>
          <w:rtl/>
        </w:rPr>
        <w:t xml:space="preserve">جميع أشكال </w:t>
      </w:r>
      <w:r w:rsidRPr="00D47EE9">
        <w:rPr>
          <w:rFonts w:hint="cs"/>
          <w:b/>
          <w:bCs/>
          <w:rtl/>
        </w:rPr>
        <w:t xml:space="preserve">عزل الأطفال </w:t>
      </w:r>
      <w:proofErr w:type="spellStart"/>
      <w:r w:rsidRPr="00D47EE9">
        <w:rPr>
          <w:rFonts w:hint="cs"/>
          <w:b/>
          <w:bCs/>
          <w:rtl/>
        </w:rPr>
        <w:t>الروما</w:t>
      </w:r>
      <w:proofErr w:type="spellEnd"/>
      <w:r w:rsidRPr="00D47EE9">
        <w:rPr>
          <w:rFonts w:hint="cs"/>
          <w:b/>
          <w:bCs/>
          <w:rtl/>
        </w:rPr>
        <w:t xml:space="preserve"> </w:t>
      </w:r>
      <w:r w:rsidRPr="00D47EE9">
        <w:rPr>
          <w:b/>
          <w:bCs/>
          <w:rtl/>
        </w:rPr>
        <w:t xml:space="preserve">في التعليم واتخاذ تدابير فعالة، بما في ذلك تدابير خاصة وفقاً </w:t>
      </w:r>
      <w:r w:rsidRPr="00D47EE9">
        <w:rPr>
          <w:rFonts w:hint="cs"/>
          <w:b/>
          <w:bCs/>
          <w:rtl/>
        </w:rPr>
        <w:t xml:space="preserve">للتوصية </w:t>
      </w:r>
      <w:r w:rsidRPr="00D47EE9">
        <w:rPr>
          <w:b/>
          <w:bCs/>
          <w:rtl/>
        </w:rPr>
        <w:t xml:space="preserve">العامة رقم 32(2009) بشأن معنى ونطاق التدابير الخاصة </w:t>
      </w:r>
      <w:r w:rsidRPr="00D47EE9">
        <w:rPr>
          <w:rFonts w:hint="cs"/>
          <w:b/>
          <w:bCs/>
          <w:rtl/>
        </w:rPr>
        <w:t xml:space="preserve">الواردة </w:t>
      </w:r>
      <w:r w:rsidRPr="00D47EE9">
        <w:rPr>
          <w:b/>
          <w:bCs/>
          <w:rtl/>
        </w:rPr>
        <w:t xml:space="preserve">في الاتفاقية، </w:t>
      </w:r>
      <w:r w:rsidRPr="00D47EE9">
        <w:rPr>
          <w:rFonts w:hint="cs"/>
          <w:b/>
          <w:bCs/>
          <w:rtl/>
        </w:rPr>
        <w:t xml:space="preserve">بغية زيادة </w:t>
      </w:r>
      <w:r w:rsidRPr="00D47EE9">
        <w:rPr>
          <w:b/>
          <w:bCs/>
          <w:rtl/>
        </w:rPr>
        <w:t xml:space="preserve">معدلات </w:t>
      </w:r>
      <w:r w:rsidRPr="00D47EE9">
        <w:rPr>
          <w:rFonts w:hint="cs"/>
          <w:b/>
          <w:bCs/>
          <w:rtl/>
        </w:rPr>
        <w:t xml:space="preserve">المواظبة على الدراسة، </w:t>
      </w:r>
      <w:r w:rsidRPr="00D47EE9">
        <w:rPr>
          <w:b/>
          <w:bCs/>
          <w:rtl/>
        </w:rPr>
        <w:t xml:space="preserve">بما في ذلك في مؤسسات التعليم العالي، ومعدلات إتمام الدراسة </w:t>
      </w:r>
      <w:r w:rsidRPr="00D47EE9">
        <w:rPr>
          <w:rFonts w:hint="cs"/>
          <w:b/>
          <w:bCs/>
          <w:rtl/>
        </w:rPr>
        <w:t xml:space="preserve">في صفوف الأطفال </w:t>
      </w:r>
      <w:proofErr w:type="spellStart"/>
      <w:r w:rsidRPr="00D47EE9">
        <w:rPr>
          <w:b/>
          <w:bCs/>
          <w:rtl/>
        </w:rPr>
        <w:t>الروما</w:t>
      </w:r>
      <w:proofErr w:type="spellEnd"/>
      <w:r w:rsidRPr="00D47EE9">
        <w:rPr>
          <w:rFonts w:hint="cs"/>
          <w:b/>
          <w:bCs/>
          <w:rtl/>
        </w:rPr>
        <w:t>،</w:t>
      </w:r>
      <w:r w:rsidRPr="00D47EE9">
        <w:rPr>
          <w:b/>
          <w:bCs/>
          <w:rtl/>
        </w:rPr>
        <w:t xml:space="preserve"> وتحسين </w:t>
      </w:r>
      <w:r w:rsidRPr="00D47EE9">
        <w:rPr>
          <w:rFonts w:hint="cs"/>
          <w:b/>
          <w:bCs/>
          <w:rtl/>
        </w:rPr>
        <w:t xml:space="preserve">فرص التعلم المتاحة لهم </w:t>
      </w:r>
      <w:r w:rsidRPr="00D47EE9">
        <w:rPr>
          <w:b/>
          <w:bCs/>
          <w:rtl/>
        </w:rPr>
        <w:t>و</w:t>
      </w:r>
      <w:r>
        <w:rPr>
          <w:rFonts w:hint="cs"/>
          <w:b/>
          <w:bCs/>
          <w:rtl/>
        </w:rPr>
        <w:t>النهوض ب</w:t>
      </w:r>
      <w:r w:rsidRPr="00D47EE9">
        <w:rPr>
          <w:b/>
          <w:bCs/>
          <w:rtl/>
        </w:rPr>
        <w:t>إنجازاتهم التعليمية؛</w:t>
      </w:r>
    </w:p>
    <w:p w14:paraId="1AE130A4" w14:textId="77777777" w:rsidR="00DE73EF" w:rsidRPr="00D47EE9" w:rsidRDefault="00DE73EF" w:rsidP="00DE73EF">
      <w:pPr>
        <w:pStyle w:val="SingleTxtGA"/>
        <w:rPr>
          <w:b/>
          <w:bCs/>
          <w:rtl/>
        </w:rPr>
      </w:pPr>
      <w:r>
        <w:rPr>
          <w:rtl/>
        </w:rPr>
        <w:tab/>
        <w:t>(د)</w:t>
      </w:r>
      <w:r>
        <w:rPr>
          <w:rtl/>
        </w:rPr>
        <w:tab/>
      </w:r>
      <w:r w:rsidRPr="00D47EE9">
        <w:rPr>
          <w:b/>
          <w:bCs/>
          <w:rtl/>
        </w:rPr>
        <w:t xml:space="preserve">اتخاذ تدابير </w:t>
      </w:r>
      <w:r w:rsidRPr="00D47EE9">
        <w:rPr>
          <w:rFonts w:hint="cs"/>
          <w:b/>
          <w:bCs/>
          <w:rtl/>
        </w:rPr>
        <w:t xml:space="preserve">للقضاء على </w:t>
      </w:r>
      <w:r w:rsidRPr="00D47EE9">
        <w:rPr>
          <w:b/>
          <w:bCs/>
          <w:rtl/>
        </w:rPr>
        <w:t xml:space="preserve">الفقر المدقع </w:t>
      </w:r>
      <w:r w:rsidRPr="00D47EE9">
        <w:rPr>
          <w:rFonts w:hint="cs"/>
          <w:b/>
          <w:bCs/>
          <w:rtl/>
        </w:rPr>
        <w:t xml:space="preserve">في صفوف </w:t>
      </w:r>
      <w:proofErr w:type="spellStart"/>
      <w:r w:rsidRPr="00D47EE9">
        <w:rPr>
          <w:b/>
          <w:bCs/>
          <w:rtl/>
        </w:rPr>
        <w:t>الروما</w:t>
      </w:r>
      <w:proofErr w:type="spellEnd"/>
      <w:r w:rsidRPr="00D47EE9">
        <w:rPr>
          <w:b/>
          <w:bCs/>
          <w:rtl/>
        </w:rPr>
        <w:t xml:space="preserve">، وتوفير حلول حقيقية لمشاكل </w:t>
      </w:r>
      <w:r w:rsidRPr="00D47EE9">
        <w:rPr>
          <w:rFonts w:hint="cs"/>
          <w:b/>
          <w:bCs/>
          <w:rtl/>
        </w:rPr>
        <w:t>السكن</w:t>
      </w:r>
      <w:r w:rsidRPr="00D47EE9">
        <w:rPr>
          <w:b/>
          <w:bCs/>
          <w:rtl/>
        </w:rPr>
        <w:t xml:space="preserve">، </w:t>
      </w:r>
      <w:r w:rsidRPr="00D47EE9">
        <w:rPr>
          <w:rFonts w:hint="cs"/>
          <w:b/>
          <w:bCs/>
          <w:rtl/>
        </w:rPr>
        <w:t xml:space="preserve">بسبل منها </w:t>
      </w:r>
      <w:r w:rsidRPr="00D47EE9">
        <w:rPr>
          <w:b/>
          <w:bCs/>
          <w:rtl/>
        </w:rPr>
        <w:t xml:space="preserve">تحسين </w:t>
      </w:r>
      <w:r w:rsidRPr="00D47EE9">
        <w:rPr>
          <w:rFonts w:hint="cs"/>
          <w:b/>
          <w:bCs/>
          <w:rtl/>
        </w:rPr>
        <w:t xml:space="preserve">البنية التحتية والخدمات </w:t>
      </w:r>
      <w:r w:rsidRPr="00D47EE9">
        <w:rPr>
          <w:b/>
          <w:bCs/>
          <w:rtl/>
        </w:rPr>
        <w:t xml:space="preserve">الأساسية المتاحة في مستوطنات </w:t>
      </w:r>
      <w:proofErr w:type="spellStart"/>
      <w:r w:rsidRPr="00D47EE9">
        <w:rPr>
          <w:b/>
          <w:bCs/>
          <w:rtl/>
        </w:rPr>
        <w:t>الروما</w:t>
      </w:r>
      <w:proofErr w:type="spellEnd"/>
      <w:r w:rsidRPr="00D47EE9">
        <w:rPr>
          <w:b/>
          <w:bCs/>
          <w:rtl/>
        </w:rPr>
        <w:t xml:space="preserve"> بمشاركة مجتمعات </w:t>
      </w:r>
      <w:proofErr w:type="spellStart"/>
      <w:r w:rsidRPr="00D47EE9">
        <w:rPr>
          <w:b/>
          <w:bCs/>
          <w:rtl/>
        </w:rPr>
        <w:t>الروما</w:t>
      </w:r>
      <w:proofErr w:type="spellEnd"/>
      <w:r w:rsidRPr="00D47EE9">
        <w:rPr>
          <w:b/>
          <w:bCs/>
          <w:rtl/>
        </w:rPr>
        <w:t>، و</w:t>
      </w:r>
      <w:r w:rsidRPr="00D47EE9">
        <w:rPr>
          <w:rFonts w:hint="cs"/>
          <w:b/>
          <w:bCs/>
          <w:rtl/>
        </w:rPr>
        <w:t>وضع حدٍ ل</w:t>
      </w:r>
      <w:r w:rsidRPr="00D47EE9">
        <w:rPr>
          <w:b/>
          <w:bCs/>
          <w:rtl/>
        </w:rPr>
        <w:t xml:space="preserve">عمليات الإخلاء القسري وهدم </w:t>
      </w:r>
      <w:r w:rsidRPr="00D47EE9">
        <w:rPr>
          <w:rFonts w:hint="cs"/>
          <w:b/>
          <w:bCs/>
          <w:rtl/>
        </w:rPr>
        <w:t xml:space="preserve">المساكن التي تستهدف </w:t>
      </w:r>
      <w:proofErr w:type="spellStart"/>
      <w:r w:rsidRPr="00D47EE9">
        <w:rPr>
          <w:rFonts w:hint="cs"/>
          <w:b/>
          <w:bCs/>
          <w:rtl/>
        </w:rPr>
        <w:t>الروما</w:t>
      </w:r>
      <w:proofErr w:type="spellEnd"/>
      <w:r w:rsidRPr="00D47EE9">
        <w:rPr>
          <w:b/>
          <w:bCs/>
          <w:rtl/>
        </w:rPr>
        <w:t>؛</w:t>
      </w:r>
    </w:p>
    <w:p w14:paraId="4C13CA03" w14:textId="77777777" w:rsidR="00DE73EF" w:rsidRPr="00D47EE9" w:rsidRDefault="00DE73EF" w:rsidP="00DE73EF">
      <w:pPr>
        <w:pStyle w:val="SingleTxtGA"/>
        <w:rPr>
          <w:b/>
          <w:bCs/>
          <w:rtl/>
        </w:rPr>
      </w:pPr>
      <w:r>
        <w:rPr>
          <w:rtl/>
        </w:rPr>
        <w:tab/>
        <w:t>(هـ)</w:t>
      </w:r>
      <w:r>
        <w:rPr>
          <w:rtl/>
        </w:rPr>
        <w:tab/>
      </w:r>
      <w:r w:rsidRPr="00D47EE9">
        <w:rPr>
          <w:b/>
          <w:bCs/>
          <w:rtl/>
        </w:rPr>
        <w:t xml:space="preserve">ضمان </w:t>
      </w:r>
      <w:r w:rsidRPr="00D47EE9">
        <w:rPr>
          <w:rFonts w:hint="cs"/>
          <w:b/>
          <w:bCs/>
          <w:rtl/>
        </w:rPr>
        <w:t xml:space="preserve">إمكانية </w:t>
      </w:r>
      <w:r w:rsidRPr="00D47EE9">
        <w:rPr>
          <w:b/>
          <w:bCs/>
          <w:rtl/>
        </w:rPr>
        <w:t xml:space="preserve">حصول جميع </w:t>
      </w:r>
      <w:proofErr w:type="spellStart"/>
      <w:r w:rsidRPr="00D47EE9">
        <w:rPr>
          <w:b/>
          <w:bCs/>
          <w:rtl/>
        </w:rPr>
        <w:t>الروما</w:t>
      </w:r>
      <w:proofErr w:type="spellEnd"/>
      <w:r w:rsidRPr="00D47EE9">
        <w:rPr>
          <w:b/>
          <w:bCs/>
          <w:rtl/>
        </w:rPr>
        <w:t xml:space="preserve"> </w:t>
      </w:r>
      <w:r w:rsidRPr="00D47EE9">
        <w:rPr>
          <w:rFonts w:hint="cs"/>
          <w:b/>
          <w:bCs/>
          <w:rtl/>
        </w:rPr>
        <w:t xml:space="preserve">حصولاً كاملاً وغير مقيد </w:t>
      </w:r>
      <w:r w:rsidRPr="00D47EE9">
        <w:rPr>
          <w:b/>
          <w:bCs/>
          <w:rtl/>
        </w:rPr>
        <w:t xml:space="preserve">على الرعاية الصحية </w:t>
      </w:r>
      <w:r w:rsidRPr="00D47EE9">
        <w:rPr>
          <w:rFonts w:hint="cs"/>
          <w:b/>
          <w:bCs/>
          <w:rtl/>
        </w:rPr>
        <w:t xml:space="preserve">بلا </w:t>
      </w:r>
      <w:r w:rsidRPr="00D47EE9">
        <w:rPr>
          <w:b/>
          <w:bCs/>
          <w:rtl/>
        </w:rPr>
        <w:t>تمييز ومضايقة؛</w:t>
      </w:r>
    </w:p>
    <w:p w14:paraId="2E39A50A" w14:textId="77777777" w:rsidR="00DE73EF" w:rsidRPr="00D47EE9" w:rsidRDefault="00DE73EF" w:rsidP="00DE73EF">
      <w:pPr>
        <w:pStyle w:val="SingleTxtGA"/>
        <w:rPr>
          <w:b/>
          <w:bCs/>
          <w:rtl/>
        </w:rPr>
      </w:pPr>
      <w:r>
        <w:rPr>
          <w:rtl/>
        </w:rPr>
        <w:tab/>
        <w:t>(و)</w:t>
      </w:r>
      <w:r>
        <w:rPr>
          <w:rtl/>
        </w:rPr>
        <w:tab/>
      </w:r>
      <w:r w:rsidRPr="00D47EE9">
        <w:rPr>
          <w:b/>
          <w:bCs/>
          <w:rtl/>
        </w:rPr>
        <w:t xml:space="preserve">اتخاذ تدابير فعالة </w:t>
      </w:r>
      <w:r w:rsidRPr="00D47EE9">
        <w:rPr>
          <w:rFonts w:hint="cs"/>
          <w:b/>
          <w:bCs/>
          <w:rtl/>
        </w:rPr>
        <w:t xml:space="preserve">للقضاء على </w:t>
      </w:r>
      <w:r w:rsidRPr="00D47EE9">
        <w:rPr>
          <w:b/>
          <w:bCs/>
          <w:rtl/>
        </w:rPr>
        <w:t xml:space="preserve">بطالة </w:t>
      </w:r>
      <w:proofErr w:type="spellStart"/>
      <w:r w:rsidRPr="00D47EE9">
        <w:rPr>
          <w:b/>
          <w:bCs/>
          <w:rtl/>
        </w:rPr>
        <w:t>الروما</w:t>
      </w:r>
      <w:proofErr w:type="spellEnd"/>
      <w:r w:rsidRPr="00D47EE9">
        <w:rPr>
          <w:b/>
          <w:bCs/>
          <w:rtl/>
        </w:rPr>
        <w:t xml:space="preserve"> و</w:t>
      </w:r>
      <w:r w:rsidRPr="00D47EE9">
        <w:rPr>
          <w:rFonts w:hint="cs"/>
          <w:b/>
          <w:bCs/>
          <w:rtl/>
        </w:rPr>
        <w:t xml:space="preserve">إزالة فارق </w:t>
      </w:r>
      <w:r w:rsidRPr="00D47EE9">
        <w:rPr>
          <w:b/>
          <w:bCs/>
          <w:rtl/>
        </w:rPr>
        <w:t>الدخل؛</w:t>
      </w:r>
    </w:p>
    <w:p w14:paraId="747D4333" w14:textId="77777777" w:rsidR="00DE73EF" w:rsidRPr="00D47EE9" w:rsidRDefault="00DE73EF" w:rsidP="00DE73EF">
      <w:pPr>
        <w:pStyle w:val="SingleTxtGA"/>
        <w:rPr>
          <w:b/>
          <w:bCs/>
          <w:rtl/>
        </w:rPr>
      </w:pPr>
      <w:r>
        <w:rPr>
          <w:rtl/>
        </w:rPr>
        <w:tab/>
        <w:t>(ز)</w:t>
      </w:r>
      <w:r>
        <w:rPr>
          <w:rtl/>
        </w:rPr>
        <w:tab/>
      </w:r>
      <w:r w:rsidRPr="00D47EE9">
        <w:rPr>
          <w:b/>
          <w:bCs/>
          <w:rtl/>
        </w:rPr>
        <w:t xml:space="preserve">اتخاذ تدابير </w:t>
      </w:r>
      <w:r w:rsidRPr="00D47EE9">
        <w:rPr>
          <w:rFonts w:hint="cs"/>
          <w:b/>
          <w:bCs/>
          <w:rtl/>
        </w:rPr>
        <w:t xml:space="preserve">للقضاء على </w:t>
      </w:r>
      <w:r w:rsidRPr="00D47EE9">
        <w:rPr>
          <w:b/>
          <w:bCs/>
          <w:rtl/>
        </w:rPr>
        <w:t xml:space="preserve">جرائم الكراهية </w:t>
      </w:r>
      <w:r w:rsidRPr="00D47EE9">
        <w:rPr>
          <w:rFonts w:hint="cs"/>
          <w:b/>
          <w:bCs/>
          <w:rtl/>
        </w:rPr>
        <w:t xml:space="preserve">التي تستهدف </w:t>
      </w:r>
      <w:proofErr w:type="spellStart"/>
      <w:r w:rsidRPr="00D47EE9">
        <w:rPr>
          <w:rFonts w:hint="cs"/>
          <w:b/>
          <w:bCs/>
          <w:rtl/>
        </w:rPr>
        <w:t>الروما</w:t>
      </w:r>
      <w:proofErr w:type="spellEnd"/>
      <w:r w:rsidRPr="00D47EE9">
        <w:rPr>
          <w:b/>
          <w:bCs/>
          <w:rtl/>
        </w:rPr>
        <w:t xml:space="preserve">، </w:t>
      </w:r>
      <w:r w:rsidRPr="00D47EE9">
        <w:rPr>
          <w:rFonts w:hint="cs"/>
          <w:b/>
          <w:bCs/>
          <w:rtl/>
        </w:rPr>
        <w:t xml:space="preserve">وحمايتهم من </w:t>
      </w:r>
      <w:r w:rsidRPr="00D47EE9">
        <w:rPr>
          <w:b/>
          <w:bCs/>
          <w:rtl/>
        </w:rPr>
        <w:t xml:space="preserve">جرائم الكراهية والعنف، وضمان تسجيل جرائم الكراهية والتحقيق </w:t>
      </w:r>
      <w:r w:rsidRPr="00D47EE9">
        <w:rPr>
          <w:rFonts w:hint="cs"/>
          <w:b/>
          <w:bCs/>
          <w:rtl/>
        </w:rPr>
        <w:t xml:space="preserve">فيها على النحو السليم وملاحقة مرتكبيها </w:t>
      </w:r>
      <w:r w:rsidRPr="00D47EE9">
        <w:rPr>
          <w:b/>
          <w:bCs/>
          <w:rtl/>
        </w:rPr>
        <w:t>وإدانتهم؛</w:t>
      </w:r>
    </w:p>
    <w:p w14:paraId="0488022D" w14:textId="77777777" w:rsidR="00DE73EF" w:rsidRPr="00D47EE9" w:rsidRDefault="00DE73EF" w:rsidP="00DE73EF">
      <w:pPr>
        <w:pStyle w:val="SingleTxtGA"/>
        <w:rPr>
          <w:b/>
          <w:bCs/>
          <w:rtl/>
        </w:rPr>
      </w:pPr>
      <w:r>
        <w:rPr>
          <w:rtl/>
        </w:rPr>
        <w:tab/>
        <w:t>(ح)</w:t>
      </w:r>
      <w:r>
        <w:rPr>
          <w:rtl/>
        </w:rPr>
        <w:tab/>
      </w:r>
      <w:r w:rsidRPr="00D47EE9">
        <w:rPr>
          <w:b/>
          <w:bCs/>
          <w:rtl/>
        </w:rPr>
        <w:t xml:space="preserve">منع جميع </w:t>
      </w:r>
      <w:r w:rsidRPr="00D47EE9">
        <w:rPr>
          <w:rFonts w:hint="cs"/>
          <w:b/>
          <w:bCs/>
          <w:rtl/>
        </w:rPr>
        <w:t xml:space="preserve">أشكال </w:t>
      </w:r>
      <w:r w:rsidRPr="00D47EE9">
        <w:rPr>
          <w:b/>
          <w:bCs/>
          <w:rtl/>
        </w:rPr>
        <w:t xml:space="preserve">التنميط </w:t>
      </w:r>
      <w:r w:rsidRPr="00D47EE9">
        <w:rPr>
          <w:rFonts w:hint="cs"/>
          <w:b/>
          <w:bCs/>
          <w:rtl/>
        </w:rPr>
        <w:t>الإثني من جانب موظفي إنفاذ القانون وتوفير التدريب لضمان عدم استخدام تلك الممارسات</w:t>
      </w:r>
      <w:r w:rsidRPr="00D47EE9">
        <w:rPr>
          <w:b/>
          <w:bCs/>
          <w:rtl/>
        </w:rPr>
        <w:t>؛</w:t>
      </w:r>
    </w:p>
    <w:p w14:paraId="70C83B8E" w14:textId="77777777" w:rsidR="00DE73EF" w:rsidRPr="00D47EE9" w:rsidRDefault="00DE73EF" w:rsidP="00DE73EF">
      <w:pPr>
        <w:pStyle w:val="SingleTxtGA"/>
        <w:rPr>
          <w:b/>
          <w:bCs/>
          <w:rtl/>
        </w:rPr>
      </w:pPr>
      <w:r>
        <w:rPr>
          <w:rtl/>
        </w:rPr>
        <w:tab/>
        <w:t>(ط)</w:t>
      </w:r>
      <w:r>
        <w:rPr>
          <w:rtl/>
        </w:rPr>
        <w:tab/>
      </w:r>
      <w:r w:rsidRPr="00D47EE9">
        <w:rPr>
          <w:b/>
          <w:bCs/>
          <w:rtl/>
        </w:rPr>
        <w:t xml:space="preserve">منع خطاب الكراهية </w:t>
      </w:r>
      <w:r w:rsidRPr="00D47EE9">
        <w:rPr>
          <w:rFonts w:hint="cs"/>
          <w:b/>
          <w:bCs/>
          <w:rtl/>
        </w:rPr>
        <w:t xml:space="preserve">الذي يستهدف </w:t>
      </w:r>
      <w:proofErr w:type="spellStart"/>
      <w:r w:rsidRPr="00D47EE9">
        <w:rPr>
          <w:b/>
          <w:bCs/>
          <w:rtl/>
        </w:rPr>
        <w:t>الروما</w:t>
      </w:r>
      <w:proofErr w:type="spellEnd"/>
      <w:r w:rsidRPr="00D47EE9">
        <w:rPr>
          <w:b/>
          <w:bCs/>
          <w:rtl/>
        </w:rPr>
        <w:t xml:space="preserve">، </w:t>
      </w:r>
      <w:r w:rsidRPr="00D47EE9">
        <w:rPr>
          <w:rFonts w:hint="cs"/>
          <w:b/>
          <w:bCs/>
          <w:rtl/>
        </w:rPr>
        <w:t xml:space="preserve">بسبل منها تنظيم </w:t>
      </w:r>
      <w:r w:rsidRPr="00D47EE9">
        <w:rPr>
          <w:b/>
          <w:bCs/>
          <w:rtl/>
        </w:rPr>
        <w:t xml:space="preserve">حملات تثقيفية بشأن التسامح والقضاء على القوالب النمطية </w:t>
      </w:r>
      <w:r w:rsidRPr="00D47EE9">
        <w:rPr>
          <w:rFonts w:hint="cs"/>
          <w:b/>
          <w:bCs/>
          <w:rtl/>
        </w:rPr>
        <w:t>الاجتماعية</w:t>
      </w:r>
      <w:r w:rsidRPr="00D47EE9">
        <w:rPr>
          <w:b/>
          <w:bCs/>
          <w:rtl/>
        </w:rPr>
        <w:t xml:space="preserve">، </w:t>
      </w:r>
      <w:r w:rsidRPr="00D47EE9">
        <w:rPr>
          <w:rFonts w:hint="cs"/>
          <w:b/>
          <w:bCs/>
          <w:rtl/>
        </w:rPr>
        <w:t xml:space="preserve">وكذلك </w:t>
      </w:r>
      <w:r w:rsidRPr="00D47EE9">
        <w:rPr>
          <w:b/>
          <w:bCs/>
          <w:rtl/>
        </w:rPr>
        <w:t xml:space="preserve">تسجيل </w:t>
      </w:r>
      <w:r w:rsidRPr="00D47EE9">
        <w:rPr>
          <w:rFonts w:hint="cs"/>
          <w:b/>
          <w:bCs/>
          <w:rtl/>
        </w:rPr>
        <w:t>حالات خطابات الكراهية والتحقيق فيها وملاحقة المسؤولين عنها وإدانتهم.</w:t>
      </w:r>
    </w:p>
    <w:p w14:paraId="4CA1B42A" w14:textId="77777777" w:rsidR="00DE73EF" w:rsidRDefault="00DE73EF" w:rsidP="00DE73EF">
      <w:pPr>
        <w:pStyle w:val="H23GA"/>
        <w:rPr>
          <w:rtl/>
        </w:rPr>
      </w:pPr>
      <w:r>
        <w:rPr>
          <w:rtl/>
        </w:rPr>
        <w:lastRenderedPageBreak/>
        <w:tab/>
      </w:r>
      <w:r>
        <w:rPr>
          <w:rtl/>
        </w:rPr>
        <w:tab/>
      </w:r>
      <w:r>
        <w:rPr>
          <w:rFonts w:hint="cs"/>
          <w:rtl/>
        </w:rPr>
        <w:t>حالة ملتمسي اللجوء والمهاجرين واللاجئين</w:t>
      </w:r>
    </w:p>
    <w:p w14:paraId="72899994" w14:textId="77777777" w:rsidR="00DE73EF" w:rsidRDefault="00DE73EF" w:rsidP="00DE73EF">
      <w:pPr>
        <w:pStyle w:val="SingleTxtGA"/>
        <w:rPr>
          <w:rtl/>
        </w:rPr>
      </w:pPr>
      <w:r>
        <w:rPr>
          <w:rFonts w:hint="cs"/>
          <w:rtl/>
        </w:rPr>
        <w:t>22-</w:t>
      </w:r>
      <w:r>
        <w:rPr>
          <w:rFonts w:hint="cs"/>
          <w:rtl/>
        </w:rPr>
        <w:tab/>
        <w:t>يساور اللجنة قلق بالغ إزاء حالة ملتمسي اللجوء واللاجئين والمهاجرين المثيرة للجزع في</w:t>
      </w:r>
      <w:r w:rsidR="001B05FB">
        <w:rPr>
          <w:rFonts w:hint="eastAsia"/>
          <w:rtl/>
        </w:rPr>
        <w:t> </w:t>
      </w:r>
      <w:r>
        <w:rPr>
          <w:rFonts w:hint="cs"/>
          <w:rtl/>
        </w:rPr>
        <w:t>الدولة الطرف، لا سيما بعد أن أُعلنت في عام 2015 حالة طوارئ لا تزال سارية. ويشمل</w:t>
      </w:r>
      <w:r w:rsidR="001B05FB">
        <w:rPr>
          <w:rFonts w:hint="eastAsia"/>
          <w:rtl/>
        </w:rPr>
        <w:t> </w:t>
      </w:r>
      <w:r>
        <w:rPr>
          <w:rFonts w:hint="cs"/>
          <w:rtl/>
        </w:rPr>
        <w:t xml:space="preserve">ذلك: </w:t>
      </w:r>
    </w:p>
    <w:p w14:paraId="23D5B94E" w14:textId="77777777" w:rsidR="00DE73EF" w:rsidRDefault="00DE73EF" w:rsidP="00DE73EF">
      <w:pPr>
        <w:pStyle w:val="SingleTxtGA"/>
        <w:rPr>
          <w:rtl/>
        </w:rPr>
      </w:pPr>
      <w:r>
        <w:rPr>
          <w:rtl/>
        </w:rPr>
        <w:tab/>
      </w:r>
      <w:r>
        <w:rPr>
          <w:rFonts w:hint="cs"/>
          <w:rtl/>
        </w:rPr>
        <w:t>(أ)</w:t>
      </w:r>
      <w:r>
        <w:rPr>
          <w:rFonts w:hint="cs"/>
          <w:rtl/>
        </w:rPr>
        <w:tab/>
        <w:t xml:space="preserve">التعديلات والإصلاحات التشريعية المدخلة في عام 2017، التي أدت إلى احتجاز جميع ملتمسي اللجوء، فيما عدا القصّر دون سن الرابعة عشرة، لأجل غير مسمى وطيلة فترة عملية اللجوء، في مناطق عبور معزولة عن المجتمع الهنغاري، ودون توافر الضمانات القانونية الكافية للطعن في إبعادهم إلى مناطق العبور تلك؛ </w:t>
      </w:r>
    </w:p>
    <w:p w14:paraId="5932A699" w14:textId="77777777" w:rsidR="00DE73EF" w:rsidRDefault="00DE73EF" w:rsidP="00DE73EF">
      <w:pPr>
        <w:pStyle w:val="SingleTxtGA"/>
        <w:rPr>
          <w:rtl/>
        </w:rPr>
      </w:pPr>
      <w:r>
        <w:rPr>
          <w:rtl/>
        </w:rPr>
        <w:tab/>
      </w:r>
      <w:r>
        <w:rPr>
          <w:rFonts w:hint="cs"/>
          <w:rtl/>
        </w:rPr>
        <w:t>(ب)</w:t>
      </w:r>
      <w:r>
        <w:rPr>
          <w:rFonts w:hint="cs"/>
          <w:rtl/>
        </w:rPr>
        <w:tab/>
        <w:t>التقارير التي تفيد بأن الظروف السائدة في مناطق العبور ليست ملائمة لبقاء</w:t>
      </w:r>
      <w:r w:rsidR="001B05FB">
        <w:rPr>
          <w:rFonts w:hint="eastAsia"/>
          <w:rtl/>
        </w:rPr>
        <w:t> </w:t>
      </w:r>
      <w:r>
        <w:rPr>
          <w:rFonts w:hint="cs"/>
          <w:rtl/>
        </w:rPr>
        <w:t>الأفراد فيها مدة طويلة، لا سيما في حالة النساء والأطفال، والصعوبات المبلغ عنها في الحصول على الخدمات الطبية والتعليمية والاجتماعية والنفسية والمساعدة القانونية الكافية في مناطق العبور؛</w:t>
      </w:r>
    </w:p>
    <w:p w14:paraId="072E1D71" w14:textId="77777777" w:rsidR="00DE73EF" w:rsidRDefault="00DE73EF" w:rsidP="00DE73EF">
      <w:pPr>
        <w:pStyle w:val="SingleTxtGA"/>
        <w:rPr>
          <w:rtl/>
        </w:rPr>
      </w:pPr>
      <w:r>
        <w:rPr>
          <w:rtl/>
        </w:rPr>
        <w:tab/>
      </w:r>
      <w:r>
        <w:rPr>
          <w:rFonts w:hint="cs"/>
          <w:rtl/>
        </w:rPr>
        <w:t>(ج)</w:t>
      </w:r>
      <w:r>
        <w:rPr>
          <w:rFonts w:hint="cs"/>
          <w:rtl/>
        </w:rPr>
        <w:tab/>
        <w:t>التقارير التي تفيد بأن توفير الغذاء للأفراد المحتجزين في منطقة العبور يتوقف عند رفض طلبات لجوئهم؛</w:t>
      </w:r>
    </w:p>
    <w:p w14:paraId="0F2C3412" w14:textId="77777777" w:rsidR="00DE73EF" w:rsidRDefault="00DE73EF" w:rsidP="00DE73EF">
      <w:pPr>
        <w:pStyle w:val="SingleTxtGA"/>
        <w:rPr>
          <w:rtl/>
        </w:rPr>
      </w:pPr>
      <w:r>
        <w:rPr>
          <w:rtl/>
        </w:rPr>
        <w:tab/>
      </w:r>
      <w:r>
        <w:rPr>
          <w:rFonts w:hint="cs"/>
          <w:rtl/>
        </w:rPr>
        <w:t>(د)</w:t>
      </w:r>
      <w:r>
        <w:rPr>
          <w:rFonts w:hint="cs"/>
          <w:rtl/>
        </w:rPr>
        <w:tab/>
        <w:t xml:space="preserve">التقارير التي تفيد باستمرار خطاب الكراهية وجرائم الكراهية والتحيز والقوالب النمطية الاجتماعية التي تستهدف ملتمسي اللجوء واللاجئين والمهاجرين. </w:t>
      </w:r>
    </w:p>
    <w:p w14:paraId="2DD65CF9" w14:textId="77777777" w:rsidR="00DE73EF" w:rsidRPr="005B3330" w:rsidRDefault="00DE73EF" w:rsidP="00DE73EF">
      <w:pPr>
        <w:pStyle w:val="SingleTxtGA"/>
        <w:rPr>
          <w:b/>
          <w:bCs/>
          <w:rtl/>
        </w:rPr>
      </w:pPr>
      <w:r w:rsidRPr="00885D51">
        <w:rPr>
          <w:rFonts w:hint="cs"/>
          <w:rtl/>
        </w:rPr>
        <w:t>23-</w:t>
      </w:r>
      <w:r w:rsidRPr="005B3330">
        <w:rPr>
          <w:rFonts w:hint="cs"/>
          <w:b/>
          <w:bCs/>
          <w:rtl/>
        </w:rPr>
        <w:tab/>
        <w:t>إذ تشير اللجنة إلى توصيتها العامة رقم 22(1996) بشأن اللاجئين والمشردين في سياق المادة 5 من الاتفاقية، وتوصيتها العامة رقم 30(2004) بشأن التمييز ضد غير المواطنين، توصي بأن تتخذ الدولة الطرف تدابير فورية لضمان توافق السياسات المتعلقة باللاجئين وملتمسي اللجوء والمهاجرين مع التزاماتها الدولية، بما فيها التزاماتها بموجب الاتفاقية، كما توصي بما يلي:</w:t>
      </w:r>
    </w:p>
    <w:p w14:paraId="13B98C69" w14:textId="77777777" w:rsidR="00DE73EF" w:rsidRPr="005B3330" w:rsidRDefault="00DE73EF" w:rsidP="00DE73EF">
      <w:pPr>
        <w:pStyle w:val="SingleTxtGA"/>
        <w:rPr>
          <w:b/>
          <w:bCs/>
          <w:rtl/>
        </w:rPr>
      </w:pPr>
      <w:r w:rsidRPr="001B05FB">
        <w:rPr>
          <w:rtl/>
        </w:rPr>
        <w:tab/>
      </w:r>
      <w:r w:rsidRPr="001B05FB">
        <w:rPr>
          <w:rFonts w:hint="cs"/>
          <w:rtl/>
        </w:rPr>
        <w:t>(أ)</w:t>
      </w:r>
      <w:r w:rsidRPr="001B05FB">
        <w:rPr>
          <w:rFonts w:hint="cs"/>
          <w:rtl/>
        </w:rPr>
        <w:tab/>
      </w:r>
      <w:r w:rsidRPr="005B3330">
        <w:rPr>
          <w:rFonts w:hint="cs"/>
          <w:b/>
          <w:bCs/>
          <w:rtl/>
        </w:rPr>
        <w:t xml:space="preserve">ضمان عدم استخدام احتجاز ملتمسي اللجوء إلا كحل أخير ولأقصر فترة زمنية ممكنة، وإعطاء الأولوية للتدابير البديلة غير الحبسية؛ </w:t>
      </w:r>
    </w:p>
    <w:p w14:paraId="504C445A" w14:textId="77777777" w:rsidR="00DE73EF" w:rsidRPr="005B3330" w:rsidRDefault="00DE73EF" w:rsidP="00DE73EF">
      <w:pPr>
        <w:pStyle w:val="SingleTxtGA"/>
        <w:rPr>
          <w:b/>
          <w:bCs/>
          <w:rtl/>
        </w:rPr>
      </w:pPr>
      <w:r w:rsidRPr="001B05FB">
        <w:rPr>
          <w:rtl/>
        </w:rPr>
        <w:tab/>
      </w:r>
      <w:r w:rsidRPr="001B05FB">
        <w:rPr>
          <w:rFonts w:hint="cs"/>
          <w:rtl/>
        </w:rPr>
        <w:t>(ب)</w:t>
      </w:r>
      <w:r w:rsidRPr="005B3330">
        <w:rPr>
          <w:rFonts w:hint="cs"/>
          <w:b/>
          <w:bCs/>
          <w:rtl/>
        </w:rPr>
        <w:tab/>
        <w:t>ضمان النظر على النحو المناسب في جميع طلبات الحصول على صفة اللاجئ؛</w:t>
      </w:r>
    </w:p>
    <w:p w14:paraId="18E710FB" w14:textId="77777777" w:rsidR="00DE73EF" w:rsidRPr="005B3330" w:rsidRDefault="00DE73EF" w:rsidP="00DE73EF">
      <w:pPr>
        <w:pStyle w:val="SingleTxtGA"/>
        <w:rPr>
          <w:b/>
          <w:bCs/>
          <w:rtl/>
        </w:rPr>
      </w:pPr>
      <w:r w:rsidRPr="001B05FB">
        <w:rPr>
          <w:rtl/>
        </w:rPr>
        <w:tab/>
      </w:r>
      <w:r w:rsidRPr="001B05FB">
        <w:rPr>
          <w:rFonts w:hint="cs"/>
          <w:rtl/>
        </w:rPr>
        <w:t>(ج)</w:t>
      </w:r>
      <w:r w:rsidRPr="005B3330">
        <w:rPr>
          <w:rFonts w:hint="cs"/>
          <w:b/>
          <w:bCs/>
          <w:rtl/>
        </w:rPr>
        <w:tab/>
        <w:t>ضمان الوصول الفعلي إلى إجراءات اللجوء؛</w:t>
      </w:r>
    </w:p>
    <w:p w14:paraId="73833051" w14:textId="77777777" w:rsidR="00DE73EF" w:rsidRPr="005B3330" w:rsidRDefault="00DE73EF" w:rsidP="00DE73EF">
      <w:pPr>
        <w:pStyle w:val="SingleTxtGA"/>
        <w:rPr>
          <w:b/>
          <w:bCs/>
          <w:rtl/>
        </w:rPr>
      </w:pPr>
      <w:r w:rsidRPr="005B3330">
        <w:rPr>
          <w:b/>
          <w:bCs/>
          <w:rtl/>
        </w:rPr>
        <w:tab/>
      </w:r>
      <w:r w:rsidRPr="001B05FB">
        <w:rPr>
          <w:rFonts w:hint="cs"/>
          <w:rtl/>
        </w:rPr>
        <w:t>(د)</w:t>
      </w:r>
      <w:r w:rsidRPr="001B05FB">
        <w:rPr>
          <w:rFonts w:hint="cs"/>
          <w:rtl/>
        </w:rPr>
        <w:tab/>
      </w:r>
      <w:r w:rsidRPr="005B3330">
        <w:rPr>
          <w:rFonts w:hint="cs"/>
          <w:b/>
          <w:bCs/>
          <w:rtl/>
        </w:rPr>
        <w:t>اتخاذ تدابير لتحسين الأوضاع في مناطق العبور، لا سيما في حالة النساء والأطفال، وضمان إمكانية الحصول الكامل على الخدمات الطبية والتعليمية والاجتماعية والنفسية والمساعدة القانونية الكافية؛</w:t>
      </w:r>
    </w:p>
    <w:p w14:paraId="0AE18A0A" w14:textId="77777777" w:rsidR="00DE73EF" w:rsidRPr="005B3330" w:rsidRDefault="00DE73EF" w:rsidP="00DE73EF">
      <w:pPr>
        <w:pStyle w:val="SingleTxtGA"/>
        <w:rPr>
          <w:b/>
          <w:bCs/>
          <w:rtl/>
        </w:rPr>
      </w:pPr>
      <w:r w:rsidRPr="001B05FB">
        <w:rPr>
          <w:rtl/>
        </w:rPr>
        <w:tab/>
      </w:r>
      <w:r w:rsidRPr="001B05FB">
        <w:rPr>
          <w:rFonts w:hint="cs"/>
          <w:rtl/>
        </w:rPr>
        <w:t>(ه)</w:t>
      </w:r>
      <w:r w:rsidRPr="005B3330">
        <w:rPr>
          <w:rFonts w:hint="cs"/>
          <w:b/>
          <w:bCs/>
          <w:rtl/>
        </w:rPr>
        <w:tab/>
        <w:t>ضمان حصول جميع الأفراد على الغذاء؛</w:t>
      </w:r>
    </w:p>
    <w:p w14:paraId="097969CB" w14:textId="77777777" w:rsidR="00DE73EF" w:rsidRPr="005B3330" w:rsidRDefault="00DE73EF" w:rsidP="00DE73EF">
      <w:pPr>
        <w:pStyle w:val="SingleTxtGA"/>
        <w:rPr>
          <w:b/>
          <w:bCs/>
          <w:rtl/>
        </w:rPr>
      </w:pPr>
      <w:r w:rsidRPr="001B05FB">
        <w:rPr>
          <w:rtl/>
        </w:rPr>
        <w:tab/>
      </w:r>
      <w:r w:rsidRPr="001B05FB">
        <w:rPr>
          <w:rFonts w:hint="cs"/>
          <w:rtl/>
        </w:rPr>
        <w:t>(و)</w:t>
      </w:r>
      <w:r w:rsidRPr="005B3330">
        <w:rPr>
          <w:rFonts w:hint="cs"/>
          <w:b/>
          <w:bCs/>
          <w:rtl/>
        </w:rPr>
        <w:tab/>
        <w:t xml:space="preserve">تنظيم حملات عامة لتعزيز التفاهم والتسامح. </w:t>
      </w:r>
    </w:p>
    <w:p w14:paraId="11DC4127" w14:textId="77777777" w:rsidR="00DE73EF" w:rsidRDefault="00DE73EF" w:rsidP="00DE73EF">
      <w:pPr>
        <w:pStyle w:val="H23GA"/>
        <w:rPr>
          <w:rtl/>
        </w:rPr>
      </w:pPr>
      <w:r>
        <w:rPr>
          <w:rtl/>
        </w:rPr>
        <w:lastRenderedPageBreak/>
        <w:tab/>
      </w:r>
      <w:r>
        <w:rPr>
          <w:rtl/>
        </w:rPr>
        <w:tab/>
      </w:r>
      <w:r>
        <w:rPr>
          <w:rFonts w:hint="cs"/>
          <w:rtl/>
        </w:rPr>
        <w:t>الرد واستعمال القوة ضد ملتمسي اللجوء</w:t>
      </w:r>
    </w:p>
    <w:p w14:paraId="49BC35AE" w14:textId="77777777" w:rsidR="00DE73EF" w:rsidRDefault="00DE73EF" w:rsidP="00DE73EF">
      <w:pPr>
        <w:pStyle w:val="SingleTxtGA"/>
        <w:rPr>
          <w:rtl/>
          <w:lang w:eastAsia="ar-SA"/>
        </w:rPr>
      </w:pPr>
      <w:r>
        <w:rPr>
          <w:rFonts w:hint="cs"/>
          <w:rtl/>
          <w:lang w:eastAsia="ar-SA"/>
        </w:rPr>
        <w:t>24-</w:t>
      </w:r>
      <w:r>
        <w:rPr>
          <w:rFonts w:hint="cs"/>
          <w:rtl/>
          <w:lang w:eastAsia="ar-SA"/>
        </w:rPr>
        <w:tab/>
        <w:t>يساور اللجنة قلق بالغ إزاء التقارير التي تفيد بأن مبدأ عدم الرد لا يُحترم بالكامل في القانون والممارسة. وتعرب اللجنة عن جزع شديد إزاء التقارير المتعلقة بإفراط موظفي إنفاذ القانون في استعمال القوة والعنف ضد رعايا البلدان الأخرى الذين يجدونهم في أي مكان في هنغاريا، بينما يصد نحو صربيا من يُعثر عليهم بالقرب من الحدود، ما يسفر عن إصابات وأذى</w:t>
      </w:r>
      <w:r w:rsidR="00EE1146">
        <w:rPr>
          <w:rFonts w:hint="eastAsia"/>
          <w:rtl/>
          <w:lang w:eastAsia="ar-SA"/>
        </w:rPr>
        <w:t> </w:t>
      </w:r>
      <w:r>
        <w:rPr>
          <w:rFonts w:hint="cs"/>
          <w:rtl/>
          <w:lang w:eastAsia="ar-SA"/>
        </w:rPr>
        <w:t xml:space="preserve">جسدي. </w:t>
      </w:r>
    </w:p>
    <w:p w14:paraId="54643D1C" w14:textId="77777777" w:rsidR="00DE73EF" w:rsidRPr="005B3330" w:rsidRDefault="00DE73EF" w:rsidP="00DE73EF">
      <w:pPr>
        <w:pStyle w:val="SingleTxtGA"/>
        <w:rPr>
          <w:b/>
          <w:bCs/>
          <w:rtl/>
          <w:lang w:eastAsia="ar-SA"/>
        </w:rPr>
      </w:pPr>
      <w:r w:rsidRPr="00DE73EF">
        <w:rPr>
          <w:rFonts w:hint="cs"/>
          <w:rtl/>
          <w:lang w:eastAsia="ar-SA"/>
        </w:rPr>
        <w:t>25-</w:t>
      </w:r>
      <w:r w:rsidRPr="00DE73EF">
        <w:rPr>
          <w:rFonts w:hint="cs"/>
          <w:rtl/>
          <w:lang w:eastAsia="ar-SA"/>
        </w:rPr>
        <w:tab/>
      </w:r>
      <w:r w:rsidRPr="005B3330">
        <w:rPr>
          <w:rFonts w:hint="cs"/>
          <w:b/>
          <w:bCs/>
          <w:rtl/>
          <w:lang w:eastAsia="ar-SA"/>
        </w:rPr>
        <w:t xml:space="preserve">توصي اللجنة بأن تتخذ الدولة الطرف جميع التدابير اللازمة لضمان احترام مبدأ عدم الرد احتراماً تاماً. كما توصيها بمنع الإفراط في استعمال القوة وضمان توفير التدريب لموظفي إنفاذ القانون </w:t>
      </w:r>
      <w:proofErr w:type="spellStart"/>
      <w:r w:rsidRPr="005B3330">
        <w:rPr>
          <w:rFonts w:hint="cs"/>
          <w:b/>
          <w:bCs/>
          <w:rtl/>
          <w:lang w:eastAsia="ar-SA"/>
        </w:rPr>
        <w:t>المحتكين</w:t>
      </w:r>
      <w:proofErr w:type="spellEnd"/>
      <w:r w:rsidRPr="005B3330">
        <w:rPr>
          <w:rFonts w:hint="cs"/>
          <w:b/>
          <w:bCs/>
          <w:rtl/>
          <w:lang w:eastAsia="ar-SA"/>
        </w:rPr>
        <w:t xml:space="preserve"> باللاجئين والمهاجرين وملتمسي اللجوء، ورصد عملهم بفعالية واستقلال، بغية القضاء على إساءة المعاملة. </w:t>
      </w:r>
    </w:p>
    <w:p w14:paraId="24894067" w14:textId="77777777" w:rsidR="00DE73EF" w:rsidRDefault="00DE73EF" w:rsidP="00DE73EF">
      <w:pPr>
        <w:pStyle w:val="H23GA"/>
        <w:rPr>
          <w:rtl/>
        </w:rPr>
      </w:pPr>
      <w:r>
        <w:rPr>
          <w:rtl/>
        </w:rPr>
        <w:tab/>
      </w:r>
      <w:r>
        <w:rPr>
          <w:rtl/>
        </w:rPr>
        <w:tab/>
      </w:r>
      <w:r>
        <w:rPr>
          <w:rFonts w:hint="cs"/>
          <w:rtl/>
        </w:rPr>
        <w:t>التدريب والتثقيف في مجال حقوق الإنسان والتمييز العنصري</w:t>
      </w:r>
    </w:p>
    <w:p w14:paraId="4078721B" w14:textId="77777777" w:rsidR="00DE73EF" w:rsidRPr="005B3330" w:rsidRDefault="00DE73EF" w:rsidP="00DE73EF">
      <w:pPr>
        <w:pStyle w:val="SingleTxtGA"/>
        <w:rPr>
          <w:b/>
          <w:bCs/>
          <w:rtl/>
          <w:lang w:eastAsia="ar-SA"/>
        </w:rPr>
      </w:pPr>
      <w:r>
        <w:rPr>
          <w:rFonts w:hint="cs"/>
          <w:rtl/>
          <w:lang w:eastAsia="ar-SA"/>
        </w:rPr>
        <w:t>26-</w:t>
      </w:r>
      <w:r>
        <w:rPr>
          <w:rFonts w:hint="cs"/>
          <w:rtl/>
          <w:lang w:eastAsia="ar-SA"/>
        </w:rPr>
        <w:tab/>
        <w:t>يساور اللجنة القلق إزاء عدم توافر معلومات مفصلة عن برامج تدريب القضاة والنواب العامين والمحامين والمسؤولين الحكوميين والموظفين العموميين فيما يتعلق بمنع التمييز العنصري وبالحقوق المكرسة في الاتفاقية. وهي منشغلة أيضاً إزاء عدم توافر معلومات عن التثقيف في مجال حقوق الإنسان في إطار المناهج المقررة في المدارس وعلى المستوى الجامعي، وعن أثر هذا التدريب. وهي قلقة كذلك إزاء عدم توافر معلومات عن التدابير المحددة الرامية إلى تعزيز وترويج التفاهم والتسامح بين مختلف الفئات الإثنية واللاجئين والمهاجرين وملتمسي اللجوء في الدولة الطرف (المادة 7).</w:t>
      </w:r>
      <w:r w:rsidRPr="005B3330">
        <w:rPr>
          <w:rFonts w:hint="cs"/>
          <w:b/>
          <w:bCs/>
          <w:rtl/>
          <w:lang w:eastAsia="ar-SA"/>
        </w:rPr>
        <w:t xml:space="preserve"> </w:t>
      </w:r>
    </w:p>
    <w:p w14:paraId="67BE429C" w14:textId="77777777" w:rsidR="00DE73EF" w:rsidRPr="005B3330" w:rsidRDefault="00DE73EF" w:rsidP="00DE73EF">
      <w:pPr>
        <w:pStyle w:val="SingleTxtGA"/>
        <w:rPr>
          <w:b/>
          <w:bCs/>
          <w:rtl/>
          <w:lang w:eastAsia="ar-SA"/>
        </w:rPr>
      </w:pPr>
      <w:r w:rsidRPr="00DE73EF">
        <w:rPr>
          <w:rFonts w:hint="cs"/>
          <w:rtl/>
          <w:lang w:eastAsia="ar-SA"/>
        </w:rPr>
        <w:t>27-</w:t>
      </w:r>
      <w:r w:rsidRPr="00DE73EF">
        <w:rPr>
          <w:rFonts w:hint="cs"/>
          <w:rtl/>
          <w:lang w:eastAsia="ar-SA"/>
        </w:rPr>
        <w:tab/>
      </w:r>
      <w:r w:rsidRPr="005B3330">
        <w:rPr>
          <w:rFonts w:hint="cs"/>
          <w:b/>
          <w:bCs/>
          <w:rtl/>
          <w:lang w:eastAsia="ar-SA"/>
        </w:rPr>
        <w:t xml:space="preserve">توصي اللجنة بأن تنفذ الدولة الطرف برامج لتدريب موظفي إنفاذ القانون والقضاة والمدعين العامين والمحامين والمسؤولين الحكوميين والموظفين العموميين، بما يشمل التدريب المتخصص </w:t>
      </w:r>
      <w:r>
        <w:rPr>
          <w:rFonts w:hint="cs"/>
          <w:b/>
          <w:bCs/>
          <w:rtl/>
          <w:lang w:eastAsia="ar-SA"/>
        </w:rPr>
        <w:t>بشأن</w:t>
      </w:r>
      <w:r w:rsidRPr="005B3330">
        <w:rPr>
          <w:rFonts w:hint="cs"/>
          <w:b/>
          <w:bCs/>
          <w:rtl/>
          <w:lang w:eastAsia="ar-SA"/>
        </w:rPr>
        <w:t xml:space="preserve"> منع التمييز العنصري والحقوق المكرسة في الاتفاقية. وتطلب اللجنة أن تقدم الدولة الطرف في تقريرها الدوري المقبل معلومات مفصلة عن برامج التدريب تلك وأثر هذا التدريب على حالة الأقليات الإثنية. وتوصي اللجنة أيضاً بأن تقدم الدولة الطرف معلومات عن التدريب والتثقيف في مجال حقوق الإنسان في سياق المناهج المدرسية والجامعية كلها، وعن التدابير المتخذة لترويج وتعزيز التسامح والتفاهم بين مختلف الفئات </w:t>
      </w:r>
      <w:proofErr w:type="spellStart"/>
      <w:r w:rsidRPr="005B3330">
        <w:rPr>
          <w:rFonts w:hint="cs"/>
          <w:b/>
          <w:bCs/>
          <w:rtl/>
          <w:lang w:eastAsia="ar-SA"/>
        </w:rPr>
        <w:t>الإثينة</w:t>
      </w:r>
      <w:proofErr w:type="spellEnd"/>
      <w:r w:rsidRPr="005B3330">
        <w:rPr>
          <w:rFonts w:hint="cs"/>
          <w:b/>
          <w:bCs/>
          <w:rtl/>
          <w:lang w:eastAsia="ar-SA"/>
        </w:rPr>
        <w:t xml:space="preserve"> الموجودة في إقليمها. </w:t>
      </w:r>
    </w:p>
    <w:p w14:paraId="090E3B7C" w14:textId="77777777" w:rsidR="00DE73EF" w:rsidRPr="00E87EF2" w:rsidRDefault="00DE73EF" w:rsidP="00DE73EF">
      <w:pPr>
        <w:pStyle w:val="H1GA"/>
        <w:rPr>
          <w:rtl/>
          <w:lang w:val="ar-SA" w:eastAsia="zh-TW"/>
        </w:rPr>
      </w:pPr>
      <w:r>
        <w:rPr>
          <w:rtl/>
        </w:rPr>
        <w:tab/>
      </w:r>
      <w:r w:rsidRPr="00E87EF2">
        <w:rPr>
          <w:rtl/>
        </w:rPr>
        <w:t>دال</w:t>
      </w:r>
      <w:r>
        <w:rPr>
          <w:rFonts w:hint="cs"/>
          <w:rtl/>
        </w:rPr>
        <w:t>-</w:t>
      </w:r>
      <w:r>
        <w:rPr>
          <w:rtl/>
        </w:rPr>
        <w:tab/>
      </w:r>
      <w:r w:rsidRPr="00E87EF2">
        <w:rPr>
          <w:rtl/>
        </w:rPr>
        <w:t>توصيات أخرى</w:t>
      </w:r>
    </w:p>
    <w:p w14:paraId="020CAB3D" w14:textId="77777777" w:rsidR="00DE73EF" w:rsidRPr="00E87EF2" w:rsidRDefault="00DE73EF" w:rsidP="00DE73EF">
      <w:pPr>
        <w:pStyle w:val="H23GA"/>
        <w:rPr>
          <w:rtl/>
          <w:lang w:val="ar-SA" w:eastAsia="zh-TW"/>
        </w:rPr>
      </w:pPr>
      <w:r>
        <w:rPr>
          <w:rtl/>
        </w:rPr>
        <w:tab/>
      </w:r>
      <w:r>
        <w:rPr>
          <w:rtl/>
        </w:rPr>
        <w:tab/>
      </w:r>
      <w:r w:rsidRPr="00E87EF2">
        <w:rPr>
          <w:rtl/>
        </w:rPr>
        <w:t>التصديق على المعاهدات الأخرى</w:t>
      </w:r>
      <w:r w:rsidRPr="00E87EF2">
        <w:t xml:space="preserve"> </w:t>
      </w:r>
    </w:p>
    <w:p w14:paraId="3B11F690" w14:textId="77777777" w:rsidR="00DE73EF" w:rsidRPr="00DE73EF" w:rsidRDefault="00DE73EF" w:rsidP="00DE73EF">
      <w:pPr>
        <w:pStyle w:val="SingleTxtGA"/>
        <w:rPr>
          <w:b/>
          <w:bCs/>
          <w:rtl/>
          <w:lang w:val="ar-SA" w:eastAsia="zh-TW"/>
        </w:rPr>
      </w:pPr>
      <w:r w:rsidRPr="001B05FB">
        <w:rPr>
          <w:rtl/>
        </w:rPr>
        <w:t>٢٨-</w:t>
      </w:r>
      <w:r w:rsidRPr="001B05FB">
        <w:rPr>
          <w:rtl/>
        </w:rPr>
        <w:tab/>
      </w:r>
      <w:r w:rsidRPr="00DE73EF">
        <w:rPr>
          <w:b/>
          <w:bCs/>
          <w:rtl/>
        </w:rPr>
        <w:t>إذ تضع اللجنة في اعتبارها أن جميع حقوق الإنسان غير قابلة للتجزئة، تشجع الدولةَ الطرف على أن تنظر في التصديق على المعاهدات الدولية لحقوق الإنسان التي لم</w:t>
      </w:r>
      <w:r>
        <w:rPr>
          <w:rFonts w:hint="cs"/>
          <w:b/>
          <w:bCs/>
          <w:rtl/>
        </w:rPr>
        <w:t> </w:t>
      </w:r>
      <w:r w:rsidRPr="00DE73EF">
        <w:rPr>
          <w:b/>
          <w:bCs/>
          <w:rtl/>
        </w:rPr>
        <w:t xml:space="preserve">تصدِّق عليها بعد، ولا سيما المعاهدات التي تتصل أحكامها اتصالاً مباشراً بمجتمعاتٍ محلية قد تتعرض للتمييز العنصري، بما في ذلك الاتفاقية الدولية لحماية حقوق جميع العمال المهاجرين وأفراد أسرهم والاتفاقية الدولية لحماية جميع الأشخاص من الاختفاء </w:t>
      </w:r>
      <w:proofErr w:type="gramStart"/>
      <w:r w:rsidRPr="00DE73EF">
        <w:rPr>
          <w:b/>
          <w:bCs/>
          <w:rtl/>
        </w:rPr>
        <w:t>القسري.</w:t>
      </w:r>
      <w:r w:rsidRPr="00DE73EF">
        <w:rPr>
          <w:b/>
          <w:bCs/>
        </w:rPr>
        <w:t>‬</w:t>
      </w:r>
      <w:r w:rsidRPr="00DE73EF">
        <w:rPr>
          <w:b/>
          <w:bCs/>
        </w:rPr>
        <w:t>‬</w:t>
      </w:r>
      <w:proofErr w:type="gramEnd"/>
      <w:r w:rsidRPr="00DE73EF">
        <w:rPr>
          <w:b/>
          <w:bCs/>
        </w:rPr>
        <w:t xml:space="preserve"> </w:t>
      </w:r>
      <w:r w:rsidRPr="00DE73EF">
        <w:rPr>
          <w:b/>
          <w:bCs/>
        </w:rPr>
        <w:t>‬</w:t>
      </w:r>
      <w:r w:rsidRPr="00DE73EF">
        <w:rPr>
          <w:b/>
          <w:bCs/>
        </w:rPr>
        <w:t>‬</w:t>
      </w:r>
      <w:r w:rsidRPr="00DE73EF">
        <w:rPr>
          <w:b/>
          <w:bCs/>
        </w:rPr>
        <w:t>‬</w:t>
      </w:r>
      <w:r w:rsidRPr="00DE73EF">
        <w:rPr>
          <w:b/>
          <w:bCs/>
        </w:rPr>
        <w:t xml:space="preserve">‬ </w:t>
      </w:r>
    </w:p>
    <w:p w14:paraId="3B2CBD05" w14:textId="77777777" w:rsidR="00DE73EF" w:rsidRPr="00FC6FFA" w:rsidRDefault="00DE73EF" w:rsidP="00DE73EF">
      <w:pPr>
        <w:pStyle w:val="H23GA"/>
        <w:rPr>
          <w:rtl/>
          <w:lang w:val="ar-SA" w:eastAsia="zh-TW"/>
        </w:rPr>
      </w:pPr>
      <w:r>
        <w:rPr>
          <w:rtl/>
        </w:rPr>
        <w:lastRenderedPageBreak/>
        <w:tab/>
      </w:r>
      <w:r>
        <w:rPr>
          <w:rtl/>
        </w:rPr>
        <w:tab/>
      </w:r>
      <w:r w:rsidRPr="00E87EF2">
        <w:rPr>
          <w:rtl/>
        </w:rPr>
        <w:t xml:space="preserve">تعديل المادة 8 من </w:t>
      </w:r>
      <w:r w:rsidRPr="00FC6FFA">
        <w:rPr>
          <w:rtl/>
        </w:rPr>
        <w:t>الاتفاقية</w:t>
      </w:r>
    </w:p>
    <w:p w14:paraId="3E5C36F8" w14:textId="77777777" w:rsidR="00DE73EF" w:rsidRPr="00DE73EF" w:rsidRDefault="00DE73EF" w:rsidP="00DE73EF">
      <w:pPr>
        <w:pStyle w:val="SingleTxtGA"/>
        <w:rPr>
          <w:b/>
          <w:bCs/>
          <w:rtl/>
          <w:lang w:val="ar-SA" w:eastAsia="zh-TW"/>
        </w:rPr>
      </w:pPr>
      <w:r w:rsidRPr="00FC6FFA">
        <w:rPr>
          <w:rtl/>
        </w:rPr>
        <w:t>٢٩-</w:t>
      </w:r>
      <w:r>
        <w:rPr>
          <w:rtl/>
        </w:rPr>
        <w:tab/>
      </w:r>
      <w:r w:rsidRPr="00DE73EF">
        <w:rPr>
          <w:b/>
          <w:bCs/>
          <w:rtl/>
        </w:rPr>
        <w:t>توصي اللجنة بأن تصدِّق الدولة الطرف على التعديل الذي أُدخل على الفقرة</w:t>
      </w:r>
      <w:r w:rsidRPr="00DE73EF">
        <w:rPr>
          <w:b/>
          <w:bCs/>
        </w:rPr>
        <w:t xml:space="preserve"> </w:t>
      </w:r>
      <w:r w:rsidRPr="00DE73EF">
        <w:rPr>
          <w:b/>
          <w:bCs/>
          <w:rtl/>
        </w:rPr>
        <w:t>6 من المادة</w:t>
      </w:r>
      <w:r w:rsidRPr="00DE73EF">
        <w:rPr>
          <w:b/>
          <w:bCs/>
        </w:rPr>
        <w:t xml:space="preserve"> </w:t>
      </w:r>
      <w:r w:rsidRPr="00DE73EF">
        <w:rPr>
          <w:b/>
          <w:bCs/>
          <w:rtl/>
        </w:rPr>
        <w:t xml:space="preserve">8 من الاتفاقية، والذي اعتُمد في الاجتماع الرابع عشر للدول الأطراف في الاتفاقية </w:t>
      </w:r>
      <w:r w:rsidRPr="00DE73EF">
        <w:rPr>
          <w:rFonts w:ascii="Traditional Arabic" w:hAnsi="Traditional Arabic"/>
          <w:b/>
          <w:bCs/>
          <w:color w:val="333333"/>
          <w:sz w:val="30"/>
          <w:shd w:val="clear" w:color="auto" w:fill="FFFFFF"/>
          <w:rtl/>
        </w:rPr>
        <w:t>في 15 كانون الثاني/يناير 1992 وأقرته الجمعية العامة في قرارها 47/111</w:t>
      </w:r>
      <w:r w:rsidRPr="00DE73EF">
        <w:rPr>
          <w:rFonts w:ascii="Traditional Arabic" w:hAnsi="Traditional Arabic"/>
          <w:b/>
          <w:bCs/>
          <w:color w:val="333333"/>
          <w:sz w:val="30"/>
          <w:shd w:val="clear" w:color="auto" w:fill="FFFFFF"/>
        </w:rPr>
        <w:t>.</w:t>
      </w:r>
    </w:p>
    <w:p w14:paraId="72B58CE0" w14:textId="77777777" w:rsidR="00DE73EF" w:rsidRPr="00E87EF2" w:rsidRDefault="00DE73EF" w:rsidP="00DE73EF">
      <w:pPr>
        <w:pStyle w:val="H23GA"/>
        <w:rPr>
          <w:rtl/>
          <w:lang w:val="ar-SA" w:eastAsia="zh-TW"/>
        </w:rPr>
      </w:pPr>
      <w:r>
        <w:rPr>
          <w:rtl/>
        </w:rPr>
        <w:tab/>
      </w:r>
      <w:r>
        <w:rPr>
          <w:rtl/>
        </w:rPr>
        <w:tab/>
      </w:r>
      <w:r w:rsidRPr="00E87EF2">
        <w:rPr>
          <w:rtl/>
        </w:rPr>
        <w:t xml:space="preserve">متابعة إعلان وبرنامج عمل </w:t>
      </w:r>
      <w:proofErr w:type="spellStart"/>
      <w:r w:rsidRPr="00E87EF2">
        <w:rPr>
          <w:rtl/>
        </w:rPr>
        <w:t>ديربان</w:t>
      </w:r>
      <w:proofErr w:type="spellEnd"/>
    </w:p>
    <w:p w14:paraId="39EA63D6" w14:textId="77777777" w:rsidR="00DE73EF" w:rsidRPr="00DE73EF" w:rsidRDefault="00DE73EF" w:rsidP="00DE73EF">
      <w:pPr>
        <w:pStyle w:val="SingleTxtGA"/>
        <w:rPr>
          <w:b/>
          <w:bCs/>
          <w:rtl/>
          <w:lang w:val="ar-SA" w:eastAsia="zh-TW"/>
        </w:rPr>
      </w:pPr>
      <w:r w:rsidRPr="00FC6FFA">
        <w:rPr>
          <w:rtl/>
        </w:rPr>
        <w:t>٣٠-</w:t>
      </w:r>
      <w:r>
        <w:rPr>
          <w:shd w:val="clear" w:color="auto" w:fill="FFFFFF"/>
          <w:rtl/>
          <w:lang w:bidi="ar-DZ"/>
        </w:rPr>
        <w:tab/>
      </w:r>
      <w:r w:rsidRPr="00DE73EF">
        <w:rPr>
          <w:b/>
          <w:bCs/>
          <w:shd w:val="clear" w:color="auto" w:fill="FFFFFF"/>
          <w:rtl/>
        </w:rPr>
        <w:t>في ضوء التوصية العامة للجنة رقم 33(2009) بشأن متابعة نتائج مؤتمر</w:t>
      </w:r>
      <w:r>
        <w:rPr>
          <w:rFonts w:hint="cs"/>
          <w:b/>
          <w:bCs/>
          <w:shd w:val="clear" w:color="auto" w:fill="FFFFFF"/>
          <w:rtl/>
        </w:rPr>
        <w:t> </w:t>
      </w:r>
      <w:r w:rsidRPr="00DE73EF">
        <w:rPr>
          <w:b/>
          <w:bCs/>
          <w:shd w:val="clear" w:color="auto" w:fill="FFFFFF"/>
          <w:rtl/>
        </w:rPr>
        <w:t xml:space="preserve">استعراض </w:t>
      </w:r>
      <w:proofErr w:type="spellStart"/>
      <w:r w:rsidRPr="00DE73EF">
        <w:rPr>
          <w:b/>
          <w:bCs/>
          <w:shd w:val="clear" w:color="auto" w:fill="FFFFFF"/>
          <w:rtl/>
        </w:rPr>
        <w:t>ديربان</w:t>
      </w:r>
      <w:proofErr w:type="spellEnd"/>
      <w:r w:rsidRPr="00DE73EF">
        <w:rPr>
          <w:b/>
          <w:bCs/>
          <w:shd w:val="clear" w:color="auto" w:fill="FFFFFF"/>
          <w:rtl/>
        </w:rPr>
        <w:t>، توصي اللجنة بأن تفعِّل الدولة الطرف، في سياق تنفيذ الاتفاقية في</w:t>
      </w:r>
      <w:r>
        <w:rPr>
          <w:rFonts w:hint="cs"/>
          <w:b/>
          <w:bCs/>
          <w:shd w:val="clear" w:color="auto" w:fill="FFFFFF"/>
          <w:rtl/>
        </w:rPr>
        <w:t> </w:t>
      </w:r>
      <w:r w:rsidRPr="00DE73EF">
        <w:rPr>
          <w:b/>
          <w:bCs/>
          <w:shd w:val="clear" w:color="auto" w:fill="FFFFFF"/>
          <w:rtl/>
        </w:rPr>
        <w:t xml:space="preserve">نظامها القانوني المحلي، إعلان وبرنامج عمل </w:t>
      </w:r>
      <w:proofErr w:type="spellStart"/>
      <w:r w:rsidRPr="00DE73EF">
        <w:rPr>
          <w:b/>
          <w:bCs/>
          <w:shd w:val="clear" w:color="auto" w:fill="FFFFFF"/>
          <w:rtl/>
        </w:rPr>
        <w:t>ديربان</w:t>
      </w:r>
      <w:proofErr w:type="spellEnd"/>
      <w:r w:rsidRPr="00DE73EF">
        <w:rPr>
          <w:b/>
          <w:bCs/>
          <w:shd w:val="clear" w:color="auto" w:fill="FFFFFF"/>
          <w:rtl/>
        </w:rPr>
        <w:t xml:space="preserve"> اللذين اعتمدهما في أيلول/ </w:t>
      </w:r>
      <w:r>
        <w:rPr>
          <w:rFonts w:hint="cs"/>
          <w:b/>
          <w:bCs/>
          <w:shd w:val="clear" w:color="auto" w:fill="FFFFFF"/>
          <w:rtl/>
        </w:rPr>
        <w:t xml:space="preserve">    </w:t>
      </w:r>
      <w:r w:rsidRPr="00DE73EF">
        <w:rPr>
          <w:b/>
          <w:bCs/>
          <w:shd w:val="clear" w:color="auto" w:fill="FFFFFF"/>
          <w:rtl/>
        </w:rPr>
        <w:t>سبتمبر 2001 المؤتمر العالمي لمناهضة العنصرية والتمييز العنصري وكره الأجانب وما</w:t>
      </w:r>
      <w:r w:rsidR="00D07F11">
        <w:rPr>
          <w:rFonts w:hint="cs"/>
          <w:b/>
          <w:bCs/>
          <w:shd w:val="clear" w:color="auto" w:fill="FFFFFF"/>
          <w:rtl/>
        </w:rPr>
        <w:t> </w:t>
      </w:r>
      <w:r w:rsidRPr="00DE73EF">
        <w:rPr>
          <w:b/>
          <w:bCs/>
          <w:shd w:val="clear" w:color="auto" w:fill="FFFFFF"/>
          <w:rtl/>
        </w:rPr>
        <w:t xml:space="preserve">يتصل بذلك من تعصب، مع مراعاة الوثيقة الختامية لمؤتمر استعراض </w:t>
      </w:r>
      <w:proofErr w:type="spellStart"/>
      <w:r w:rsidRPr="00DE73EF">
        <w:rPr>
          <w:b/>
          <w:bCs/>
          <w:shd w:val="clear" w:color="auto" w:fill="FFFFFF"/>
          <w:rtl/>
        </w:rPr>
        <w:t>ديربان</w:t>
      </w:r>
      <w:proofErr w:type="spellEnd"/>
      <w:r w:rsidRPr="00DE73EF">
        <w:rPr>
          <w:b/>
          <w:bCs/>
          <w:shd w:val="clear" w:color="auto" w:fill="FFFFFF"/>
          <w:rtl/>
        </w:rPr>
        <w:t xml:space="preserve"> المعقود في جنيف في نيسان/أبريل 2009.</w:t>
      </w:r>
      <w:r w:rsidRPr="00DE73EF">
        <w:rPr>
          <w:b/>
          <w:bCs/>
        </w:rPr>
        <w:t xml:space="preserve"> </w:t>
      </w:r>
      <w:r w:rsidRPr="00DE73EF">
        <w:rPr>
          <w:b/>
          <w:bCs/>
          <w:shd w:val="clear" w:color="auto" w:fill="FFFFFF"/>
          <w:rtl/>
        </w:rPr>
        <w:t xml:space="preserve">وتطلب اللجنة إلى الدولة الطرف أن تدرج في تقريرها الدوري المقبل معلومات محددة عن خطط العمل والتدابير الأخرى المتخذة لتنفيذ إعلان وبرنامج عمل </w:t>
      </w:r>
      <w:proofErr w:type="spellStart"/>
      <w:r w:rsidRPr="00DE73EF">
        <w:rPr>
          <w:b/>
          <w:bCs/>
          <w:shd w:val="clear" w:color="auto" w:fill="FFFFFF"/>
          <w:rtl/>
        </w:rPr>
        <w:t>ديربان</w:t>
      </w:r>
      <w:proofErr w:type="spellEnd"/>
      <w:r w:rsidRPr="00DE73EF">
        <w:rPr>
          <w:b/>
          <w:bCs/>
          <w:shd w:val="clear" w:color="auto" w:fill="FFFFFF"/>
          <w:rtl/>
        </w:rPr>
        <w:t xml:space="preserve"> على الصعيد الوطني.</w:t>
      </w:r>
      <w:r w:rsidRPr="00DE73EF">
        <w:rPr>
          <w:b/>
          <w:bCs/>
          <w:lang w:val="ar-SA" w:eastAsia="zh-TW"/>
        </w:rPr>
        <w:t xml:space="preserve"> </w:t>
      </w:r>
    </w:p>
    <w:p w14:paraId="7004E952" w14:textId="77777777" w:rsidR="00DE73EF" w:rsidRPr="00E87EF2" w:rsidRDefault="00DE73EF" w:rsidP="00DE73EF">
      <w:pPr>
        <w:pStyle w:val="H23GA"/>
        <w:rPr>
          <w:rtl/>
          <w:lang w:val="ar-SA" w:eastAsia="zh-TW"/>
        </w:rPr>
      </w:pPr>
      <w:r>
        <w:rPr>
          <w:rtl/>
        </w:rPr>
        <w:tab/>
      </w:r>
      <w:r>
        <w:rPr>
          <w:rtl/>
        </w:rPr>
        <w:tab/>
      </w:r>
      <w:r w:rsidRPr="00E87EF2">
        <w:rPr>
          <w:rtl/>
        </w:rPr>
        <w:t>العقد الدولي للمنحدرين من أصل أفريقي</w:t>
      </w:r>
      <w:r w:rsidRPr="00E87EF2">
        <w:t xml:space="preserve"> </w:t>
      </w:r>
    </w:p>
    <w:p w14:paraId="0777F42A" w14:textId="77777777" w:rsidR="00DE73EF" w:rsidRPr="00DE73EF" w:rsidRDefault="00DE73EF" w:rsidP="00DE73EF">
      <w:pPr>
        <w:pStyle w:val="SingleTxtGA"/>
        <w:rPr>
          <w:b/>
          <w:bCs/>
          <w:sz w:val="39"/>
          <w:szCs w:val="39"/>
          <w:shd w:val="clear" w:color="auto" w:fill="FFFFFF"/>
          <w:rtl/>
        </w:rPr>
      </w:pPr>
      <w:r w:rsidRPr="00DE73EF">
        <w:rPr>
          <w:b/>
          <w:rtl/>
        </w:rPr>
        <w:t>٣١-</w:t>
      </w:r>
      <w:r>
        <w:rPr>
          <w:shd w:val="clear" w:color="auto" w:fill="FFFFFF"/>
          <w:rtl/>
        </w:rPr>
        <w:tab/>
      </w:r>
      <w:r w:rsidRPr="00DE73EF">
        <w:rPr>
          <w:b/>
          <w:bCs/>
          <w:shd w:val="clear" w:color="auto" w:fill="FFFFFF"/>
          <w:rtl/>
        </w:rPr>
        <w:t>في ضوء قرار الجمعية العامة 68/237، الذي أعلنت فيه الجمعية الفترة</w:t>
      </w:r>
      <w:r>
        <w:rPr>
          <w:rFonts w:hint="cs"/>
          <w:b/>
          <w:bCs/>
          <w:shd w:val="clear" w:color="auto" w:fill="FFFFFF"/>
          <w:rtl/>
        </w:rPr>
        <w:t> </w:t>
      </w:r>
      <w:r w:rsidRPr="00DE73EF">
        <w:rPr>
          <w:b/>
          <w:bCs/>
          <w:shd w:val="clear" w:color="auto" w:fill="FFFFFF"/>
          <w:rtl/>
        </w:rPr>
        <w:t>2015-2024 عقداً دولياً للمنحدرين من أصل أفريقي، وقرار الجمعية العامة</w:t>
      </w:r>
      <w:r>
        <w:rPr>
          <w:rFonts w:hint="cs"/>
          <w:b/>
          <w:bCs/>
          <w:shd w:val="clear" w:color="auto" w:fill="FFFFFF"/>
          <w:rtl/>
        </w:rPr>
        <w:t> </w:t>
      </w:r>
      <w:r w:rsidRPr="00DE73EF">
        <w:rPr>
          <w:b/>
          <w:bCs/>
          <w:shd w:val="clear" w:color="auto" w:fill="FFFFFF"/>
          <w:rtl/>
        </w:rPr>
        <w:t>69/16 المتعلق ببرنامج الأنشطة لتنفيذ العقد، توصي اللجنة بأن تعد الدولة الطرف وتنفذ برنامجاً مناسباً للتدابير والسياسات بالتعاون مع المنظمات والشعوب المنحدرة من أصل أفريقي</w:t>
      </w:r>
      <w:r w:rsidRPr="00DE73EF">
        <w:rPr>
          <w:b/>
          <w:bCs/>
          <w:shd w:val="clear" w:color="auto" w:fill="FFFFFF"/>
        </w:rPr>
        <w:t>.</w:t>
      </w:r>
      <w:r w:rsidRPr="00DE73EF">
        <w:rPr>
          <w:b/>
          <w:bCs/>
          <w:shd w:val="clear" w:color="auto" w:fill="FFFFFF"/>
          <w:rtl/>
        </w:rPr>
        <w:t xml:space="preserve"> وتطلب اللجنة أن تدرج الدولة الطرف في تقريرها المقبل معلومات دقيقة</w:t>
      </w:r>
      <w:r>
        <w:rPr>
          <w:rFonts w:hint="cs"/>
          <w:b/>
          <w:bCs/>
          <w:shd w:val="clear" w:color="auto" w:fill="FFFFFF"/>
          <w:rtl/>
        </w:rPr>
        <w:t> </w:t>
      </w:r>
      <w:r w:rsidRPr="00DE73EF">
        <w:rPr>
          <w:b/>
          <w:bCs/>
          <w:shd w:val="clear" w:color="auto" w:fill="FFFFFF"/>
          <w:rtl/>
        </w:rPr>
        <w:t>عن التدابير العملية التي اعتمدتها في ذلك الإطار، مع مراعاة توصيتها العامة رقم</w:t>
      </w:r>
      <w:r>
        <w:rPr>
          <w:rFonts w:hint="cs"/>
          <w:b/>
          <w:bCs/>
          <w:shd w:val="clear" w:color="auto" w:fill="FFFFFF"/>
          <w:rtl/>
        </w:rPr>
        <w:t> </w:t>
      </w:r>
      <w:r w:rsidRPr="00DE73EF">
        <w:rPr>
          <w:b/>
          <w:bCs/>
          <w:shd w:val="clear" w:color="auto" w:fill="FFFFFF"/>
          <w:rtl/>
        </w:rPr>
        <w:t>34(2011) بشأن التمييز العنصري ضد المنحدرين من أصل أفريقي</w:t>
      </w:r>
      <w:r w:rsidRPr="00DE73EF">
        <w:rPr>
          <w:b/>
          <w:bCs/>
          <w:shd w:val="clear" w:color="auto" w:fill="FFFFFF"/>
        </w:rPr>
        <w:t>.</w:t>
      </w:r>
    </w:p>
    <w:p w14:paraId="1FDEAF06" w14:textId="77777777" w:rsidR="00DE73EF" w:rsidRPr="00E87EF2" w:rsidRDefault="00DE73EF" w:rsidP="00DE73EF">
      <w:pPr>
        <w:pStyle w:val="H23GA"/>
        <w:rPr>
          <w:rtl/>
          <w:lang w:val="ar-SA" w:eastAsia="zh-TW"/>
        </w:rPr>
      </w:pPr>
      <w:r>
        <w:rPr>
          <w:rtl/>
        </w:rPr>
        <w:tab/>
      </w:r>
      <w:r>
        <w:rPr>
          <w:rtl/>
        </w:rPr>
        <w:tab/>
      </w:r>
      <w:r w:rsidRPr="00E87EF2">
        <w:rPr>
          <w:rtl/>
        </w:rPr>
        <w:t>التشاور مع المجتمع المدني</w:t>
      </w:r>
    </w:p>
    <w:p w14:paraId="3CED42C3" w14:textId="77777777" w:rsidR="00DE73EF" w:rsidRPr="00DE73EF" w:rsidRDefault="00DE73EF" w:rsidP="00DE73EF">
      <w:pPr>
        <w:pStyle w:val="SingleTxtGA"/>
        <w:rPr>
          <w:b/>
          <w:bCs/>
          <w:rtl/>
          <w:lang w:val="ar-SA" w:eastAsia="zh-TW"/>
        </w:rPr>
      </w:pPr>
      <w:r w:rsidRPr="00E87EF2">
        <w:rPr>
          <w:rtl/>
        </w:rPr>
        <w:t>٣٢-</w:t>
      </w:r>
      <w:r>
        <w:rPr>
          <w:rtl/>
          <w:lang w:bidi="ar-DZ"/>
        </w:rPr>
        <w:tab/>
      </w:r>
      <w:r w:rsidRPr="00DE73EF">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14:paraId="7526F48D" w14:textId="77777777" w:rsidR="00DE73EF" w:rsidRPr="00E87EF2" w:rsidRDefault="00DE73EF" w:rsidP="00DE73EF">
      <w:pPr>
        <w:pStyle w:val="H23GA"/>
        <w:rPr>
          <w:rtl/>
          <w:lang w:val="ar-SA" w:eastAsia="zh-TW"/>
        </w:rPr>
      </w:pPr>
      <w:r>
        <w:rPr>
          <w:rtl/>
        </w:rPr>
        <w:tab/>
      </w:r>
      <w:r>
        <w:rPr>
          <w:rtl/>
        </w:rPr>
        <w:tab/>
      </w:r>
      <w:r w:rsidRPr="00E87EF2">
        <w:rPr>
          <w:rtl/>
        </w:rPr>
        <w:t>نشر المعلومات</w:t>
      </w:r>
    </w:p>
    <w:p w14:paraId="7280AA86" w14:textId="77777777" w:rsidR="00DE73EF" w:rsidRPr="00DE73EF" w:rsidRDefault="00DE73EF" w:rsidP="00DE73EF">
      <w:pPr>
        <w:pStyle w:val="SingleTxtGA"/>
        <w:rPr>
          <w:b/>
          <w:bCs/>
          <w:rtl/>
          <w:lang w:val="ar-SA" w:eastAsia="zh-TW"/>
        </w:rPr>
      </w:pPr>
      <w:r w:rsidRPr="00E87EF2">
        <w:rPr>
          <w:rtl/>
        </w:rPr>
        <w:t>٣٣-</w:t>
      </w:r>
      <w:r>
        <w:rPr>
          <w:rtl/>
        </w:rPr>
        <w:tab/>
      </w:r>
      <w:r w:rsidRPr="00DE73EF">
        <w:rPr>
          <w:b/>
          <w:bCs/>
          <w:rtl/>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 باللغات الرسمية وغيرها من اللغات الشائع استخدامها في البلد، حسب الاقتضاء.</w:t>
      </w:r>
      <w:r w:rsidRPr="00DE73EF">
        <w:rPr>
          <w:b/>
          <w:bCs/>
        </w:rPr>
        <w:t>‬</w:t>
      </w:r>
    </w:p>
    <w:p w14:paraId="4D1AC6B2" w14:textId="77777777" w:rsidR="00DE73EF" w:rsidRPr="00E87EF2" w:rsidRDefault="00DE73EF" w:rsidP="00DE73EF">
      <w:pPr>
        <w:pStyle w:val="H23GA"/>
        <w:rPr>
          <w:rtl/>
          <w:lang w:val="ar-SA" w:eastAsia="zh-TW"/>
        </w:rPr>
      </w:pPr>
      <w:r>
        <w:rPr>
          <w:rtl/>
        </w:rPr>
        <w:lastRenderedPageBreak/>
        <w:tab/>
      </w:r>
      <w:r>
        <w:rPr>
          <w:rtl/>
        </w:rPr>
        <w:tab/>
      </w:r>
      <w:r w:rsidRPr="00E87EF2">
        <w:rPr>
          <w:rtl/>
        </w:rPr>
        <w:t>الوثيقة الأساسية الموحدة</w:t>
      </w:r>
      <w:r w:rsidRPr="00E87EF2">
        <w:t xml:space="preserve"> </w:t>
      </w:r>
    </w:p>
    <w:p w14:paraId="174589C9" w14:textId="77777777" w:rsidR="00DE73EF" w:rsidRPr="0094003E" w:rsidRDefault="00DE73EF" w:rsidP="00DE73EF">
      <w:pPr>
        <w:pStyle w:val="SingleTxtGA"/>
        <w:rPr>
          <w:b/>
          <w:bCs/>
          <w:spacing w:val="-6"/>
          <w:sz w:val="39"/>
          <w:szCs w:val="39"/>
          <w:shd w:val="clear" w:color="auto" w:fill="FFFFFF"/>
          <w:rtl/>
        </w:rPr>
      </w:pPr>
      <w:r w:rsidRPr="00E87EF2">
        <w:rPr>
          <w:rtl/>
        </w:rPr>
        <w:t>٣٤-</w:t>
      </w:r>
      <w:r>
        <w:rPr>
          <w:rtl/>
        </w:rPr>
        <w:tab/>
      </w:r>
      <w:r w:rsidRPr="00DE73EF">
        <w:rPr>
          <w:b/>
          <w:bCs/>
          <w:shd w:val="clear" w:color="auto" w:fill="FFFFFF"/>
          <w:rtl/>
        </w:rPr>
        <w:t>تشجع اللجنة الدولة الطرف على تقديم وثيقة أساسية وتحديثها بانتظام، وفقاً للمبادئ التوجيهية المنسقة لتقديم التقارير بموجب المعاهدات الدولية لحقوق الإنسان، لا</w:t>
      </w:r>
      <w:r>
        <w:rPr>
          <w:rFonts w:hint="cs"/>
          <w:b/>
          <w:bCs/>
          <w:shd w:val="clear" w:color="auto" w:fill="FFFFFF"/>
          <w:rtl/>
        </w:rPr>
        <w:t> </w:t>
      </w:r>
      <w:r w:rsidRPr="00DE73EF">
        <w:rPr>
          <w:b/>
          <w:bCs/>
          <w:shd w:val="clear" w:color="auto" w:fill="FFFFFF"/>
          <w:rtl/>
        </w:rPr>
        <w:t xml:space="preserve">سيما المبادئ المتعلقة بالوثيقة الأساسية الموحدة، التي اعتمدها الاجتماع الخامس </w:t>
      </w:r>
      <w:r w:rsidRPr="00DE73EF">
        <w:rPr>
          <w:b/>
          <w:bCs/>
          <w:spacing w:val="-4"/>
          <w:shd w:val="clear" w:color="auto" w:fill="FFFFFF"/>
          <w:rtl/>
        </w:rPr>
        <w:t>المشترك بين لجان هيئات معاهدات حقوق الإنسان، المعقود في حزيران/</w:t>
      </w:r>
      <w:proofErr w:type="gramStart"/>
      <w:r w:rsidRPr="00DE73EF">
        <w:rPr>
          <w:b/>
          <w:bCs/>
          <w:spacing w:val="-4"/>
          <w:shd w:val="clear" w:color="auto" w:fill="FFFFFF"/>
          <w:rtl/>
        </w:rPr>
        <w:t>يونيه</w:t>
      </w:r>
      <w:proofErr w:type="gramEnd"/>
      <w:r w:rsidRPr="00DE73EF">
        <w:rPr>
          <w:b/>
          <w:bCs/>
          <w:spacing w:val="-4"/>
          <w:shd w:val="clear" w:color="auto" w:fill="FFFFFF"/>
          <w:rtl/>
        </w:rPr>
        <w:t xml:space="preserve"> 2006 (</w:t>
      </w:r>
      <w:r w:rsidRPr="00DE73EF">
        <w:rPr>
          <w:b/>
          <w:bCs/>
          <w:spacing w:val="-4"/>
          <w:shd w:val="clear" w:color="auto" w:fill="FFFFFF"/>
        </w:rPr>
        <w:t>HRI/GEN/2/Rev.6</w:t>
      </w:r>
      <w:r w:rsidRPr="00DE73EF">
        <w:rPr>
          <w:b/>
          <w:bCs/>
          <w:spacing w:val="-4"/>
          <w:shd w:val="clear" w:color="auto" w:fill="FFFFFF"/>
          <w:rtl/>
        </w:rPr>
        <w:t xml:space="preserve">، الفصل الأول). وفي ضوء قرار الجمعية العامة 68/268، تحث اللجنة </w:t>
      </w:r>
      <w:r w:rsidRPr="0094003E">
        <w:rPr>
          <w:b/>
          <w:bCs/>
          <w:spacing w:val="-6"/>
          <w:shd w:val="clear" w:color="auto" w:fill="FFFFFF"/>
          <w:rtl/>
        </w:rPr>
        <w:t xml:space="preserve">الدولة الطرف على التقيد بالحد الأقصى لعدد الكلمات في هذه الوثائق، وهو </w:t>
      </w:r>
      <w:r w:rsidRPr="0094003E">
        <w:rPr>
          <w:rStyle w:val="inline-validation1"/>
          <w:rFonts w:ascii="Traditional Arabic" w:hAnsi="Traditional Arabic"/>
          <w:b/>
          <w:bCs/>
          <w:color w:val="333333"/>
          <w:spacing w:val="-6"/>
          <w:sz w:val="30"/>
          <w:rtl/>
        </w:rPr>
        <w:t>400 42</w:t>
      </w:r>
      <w:r w:rsidRPr="0094003E">
        <w:rPr>
          <w:b/>
          <w:bCs/>
          <w:spacing w:val="-6"/>
          <w:shd w:val="clear" w:color="auto" w:fill="FFFFFF"/>
          <w:rtl/>
        </w:rPr>
        <w:t xml:space="preserve"> كلمة.</w:t>
      </w:r>
    </w:p>
    <w:p w14:paraId="61C3A5CE" w14:textId="77777777" w:rsidR="00DE73EF" w:rsidRPr="00E87EF2" w:rsidRDefault="00DE73EF" w:rsidP="00DE73EF">
      <w:pPr>
        <w:pStyle w:val="H23GA"/>
        <w:rPr>
          <w:rtl/>
          <w:lang w:val="ar-SA" w:eastAsia="zh-TW"/>
        </w:rPr>
      </w:pPr>
      <w:r>
        <w:rPr>
          <w:rtl/>
        </w:rPr>
        <w:tab/>
      </w:r>
      <w:r>
        <w:rPr>
          <w:rtl/>
        </w:rPr>
        <w:tab/>
      </w:r>
      <w:r w:rsidRPr="00E87EF2">
        <w:rPr>
          <w:rtl/>
        </w:rPr>
        <w:t>متابعة هذه الملاحظات الختامية</w:t>
      </w:r>
    </w:p>
    <w:p w14:paraId="29BCBC1C" w14:textId="77777777" w:rsidR="00DE73EF" w:rsidRPr="0094003E" w:rsidRDefault="00DE73EF" w:rsidP="00DE73EF">
      <w:pPr>
        <w:pStyle w:val="SingleTxtGA"/>
        <w:rPr>
          <w:b/>
          <w:bCs/>
          <w:spacing w:val="-4"/>
          <w:rtl/>
          <w:lang w:val="ar-SA" w:eastAsia="zh-TW"/>
        </w:rPr>
      </w:pPr>
      <w:r w:rsidRPr="00E87EF2">
        <w:rPr>
          <w:rtl/>
        </w:rPr>
        <w:t>٣٥-</w:t>
      </w:r>
      <w:r>
        <w:rPr>
          <w:rtl/>
        </w:rPr>
        <w:tab/>
      </w:r>
      <w:r w:rsidRPr="00DE73EF">
        <w:rPr>
          <w:b/>
          <w:bCs/>
          <w:rtl/>
        </w:rPr>
        <w:t>تطلب اللجنة إلى الدولة الطرف، وفقاً للفقرة 1 من المادة 9 من الاتفاقية والمادة</w:t>
      </w:r>
      <w:r w:rsidR="00885D51">
        <w:rPr>
          <w:rFonts w:hint="cs"/>
          <w:b/>
          <w:bCs/>
          <w:rtl/>
        </w:rPr>
        <w:t> </w:t>
      </w:r>
      <w:r w:rsidRPr="00DE73EF">
        <w:rPr>
          <w:b/>
          <w:bCs/>
          <w:rtl/>
        </w:rPr>
        <w:t xml:space="preserve">65 من نظامها الداخلي، أن تقدم، في غضون سنة واحدة من اعتماد هذه </w:t>
      </w:r>
      <w:r w:rsidRPr="0094003E">
        <w:rPr>
          <w:b/>
          <w:bCs/>
          <w:spacing w:val="-4"/>
          <w:rtl/>
        </w:rPr>
        <w:t xml:space="preserve">الملاحظات الختامية، معلومات عن تنفيذها التوصيات الواردة في الفقرات 13 (الشكاوى المتعلقة بالتمييز العنصري) و15(ب) (جرائم الكراهية العنصرية) و21(أ) (حالة </w:t>
      </w:r>
      <w:proofErr w:type="spellStart"/>
      <w:r w:rsidRPr="0094003E">
        <w:rPr>
          <w:b/>
          <w:bCs/>
          <w:spacing w:val="-4"/>
          <w:rtl/>
        </w:rPr>
        <w:t>الروما</w:t>
      </w:r>
      <w:proofErr w:type="spellEnd"/>
      <w:r w:rsidRPr="0094003E">
        <w:rPr>
          <w:b/>
          <w:bCs/>
          <w:spacing w:val="-4"/>
          <w:rtl/>
        </w:rPr>
        <w:t xml:space="preserve">) </w:t>
      </w:r>
      <w:proofErr w:type="gramStart"/>
      <w:r w:rsidRPr="0094003E">
        <w:rPr>
          <w:b/>
          <w:bCs/>
          <w:spacing w:val="-4"/>
          <w:rtl/>
        </w:rPr>
        <w:t>أعلاه</w:t>
      </w:r>
      <w:r w:rsidRPr="0094003E">
        <w:rPr>
          <w:b/>
          <w:bCs/>
          <w:spacing w:val="-4"/>
        </w:rPr>
        <w:t>.</w:t>
      </w:r>
      <w:r w:rsidRPr="0094003E">
        <w:rPr>
          <w:b/>
          <w:bCs/>
          <w:spacing w:val="-4"/>
        </w:rPr>
        <w:t>‬</w:t>
      </w:r>
      <w:r w:rsidRPr="0094003E">
        <w:rPr>
          <w:b/>
          <w:bCs/>
          <w:spacing w:val="-4"/>
        </w:rPr>
        <w:t>‬</w:t>
      </w:r>
      <w:proofErr w:type="gramEnd"/>
      <w:r w:rsidRPr="0094003E">
        <w:rPr>
          <w:b/>
          <w:bCs/>
          <w:spacing w:val="-4"/>
        </w:rPr>
        <w:t>‬</w:t>
      </w:r>
      <w:r w:rsidRPr="0094003E">
        <w:rPr>
          <w:b/>
          <w:bCs/>
          <w:spacing w:val="-4"/>
        </w:rPr>
        <w:t>‬</w:t>
      </w:r>
      <w:r w:rsidRPr="0094003E">
        <w:rPr>
          <w:b/>
          <w:bCs/>
          <w:spacing w:val="-4"/>
        </w:rPr>
        <w:t>‬</w:t>
      </w:r>
      <w:r w:rsidRPr="0094003E">
        <w:rPr>
          <w:b/>
          <w:bCs/>
          <w:spacing w:val="-4"/>
        </w:rPr>
        <w:t>‬</w:t>
      </w:r>
      <w:r w:rsidRPr="0094003E">
        <w:rPr>
          <w:b/>
          <w:bCs/>
          <w:spacing w:val="-4"/>
        </w:rPr>
        <w:t>‬</w:t>
      </w:r>
      <w:r w:rsidRPr="0094003E">
        <w:rPr>
          <w:b/>
          <w:bCs/>
          <w:spacing w:val="-4"/>
        </w:rPr>
        <w:t>‬</w:t>
      </w:r>
      <w:r w:rsidRPr="0094003E">
        <w:rPr>
          <w:b/>
          <w:bCs/>
          <w:spacing w:val="-4"/>
        </w:rPr>
        <w:t>‬</w:t>
      </w:r>
      <w:r w:rsidRPr="0094003E">
        <w:rPr>
          <w:b/>
          <w:bCs/>
          <w:spacing w:val="-4"/>
        </w:rPr>
        <w:t>‬</w:t>
      </w:r>
    </w:p>
    <w:p w14:paraId="488943B5" w14:textId="77777777" w:rsidR="00DE73EF" w:rsidRPr="00E87EF2" w:rsidRDefault="00DE73EF" w:rsidP="00DE73EF">
      <w:pPr>
        <w:pStyle w:val="H23GA"/>
        <w:rPr>
          <w:rtl/>
          <w:lang w:val="ar-SA" w:eastAsia="zh-TW"/>
        </w:rPr>
      </w:pPr>
      <w:r>
        <w:rPr>
          <w:rtl/>
        </w:rPr>
        <w:tab/>
      </w:r>
      <w:r>
        <w:rPr>
          <w:rtl/>
        </w:rPr>
        <w:tab/>
      </w:r>
      <w:r w:rsidRPr="00E87EF2">
        <w:rPr>
          <w:rtl/>
        </w:rPr>
        <w:t>الفقرات ذات الأهمية الخاصة</w:t>
      </w:r>
    </w:p>
    <w:p w14:paraId="54F73FCF" w14:textId="77777777" w:rsidR="00DE73EF" w:rsidRPr="00DE73EF" w:rsidRDefault="00DE73EF" w:rsidP="00DE73EF">
      <w:pPr>
        <w:pStyle w:val="SingleTxtGA"/>
        <w:rPr>
          <w:b/>
          <w:bCs/>
          <w:rtl/>
        </w:rPr>
      </w:pPr>
      <w:r w:rsidRPr="00E87EF2">
        <w:rPr>
          <w:rtl/>
        </w:rPr>
        <w:t>٣٦-</w:t>
      </w:r>
      <w:r>
        <w:rPr>
          <w:rtl/>
        </w:rPr>
        <w:tab/>
      </w:r>
      <w:r w:rsidRPr="00DE73EF">
        <w:rPr>
          <w:b/>
          <w:bCs/>
          <w:rtl/>
        </w:rPr>
        <w:t xml:space="preserve">تود اللجنة أن توجه انتباه الدولة الطرف إلى الأهمية الخاصة للتوصيات الواردة في الفقرات 17 (خطاب الكراهية العنصرية)، و21 (حالة </w:t>
      </w:r>
      <w:proofErr w:type="spellStart"/>
      <w:r w:rsidRPr="00DE73EF">
        <w:rPr>
          <w:b/>
          <w:bCs/>
          <w:rtl/>
        </w:rPr>
        <w:t>الروما</w:t>
      </w:r>
      <w:proofErr w:type="spellEnd"/>
      <w:r w:rsidRPr="00DE73EF">
        <w:rPr>
          <w:b/>
          <w:bCs/>
          <w:rtl/>
        </w:rPr>
        <w:t>)، و27 (التدريب والتثقيف بشأن حقوق الإنسان والتمييز العنصري)، وتطلب إلى الدولة الطرف أن تقدم في تقريرها الدوري المقبل معلومات مفصلة عن التدابير الملموسة المتخذة لتنفيذ تلك التوصيا</w:t>
      </w:r>
      <w:r w:rsidR="00EE1146">
        <w:rPr>
          <w:rFonts w:hint="cs"/>
          <w:b/>
          <w:bCs/>
          <w:rtl/>
        </w:rPr>
        <w:t>ت.</w:t>
      </w:r>
    </w:p>
    <w:p w14:paraId="2C57C5DC" w14:textId="77777777" w:rsidR="00DE73EF" w:rsidRPr="0013245F" w:rsidRDefault="00DE73EF" w:rsidP="00DE73EF">
      <w:pPr>
        <w:pStyle w:val="H23GA"/>
        <w:rPr>
          <w:rFonts w:ascii="Traditional Arabic" w:hAnsi="Traditional Arabic"/>
          <w:color w:val="333333"/>
          <w:sz w:val="30"/>
          <w:rtl/>
        </w:rPr>
      </w:pPr>
      <w:r>
        <w:rPr>
          <w:rtl/>
        </w:rPr>
        <w:tab/>
      </w:r>
      <w:r>
        <w:rPr>
          <w:rtl/>
        </w:rPr>
        <w:tab/>
        <w:t>إع</w:t>
      </w:r>
      <w:r w:rsidRPr="00E87EF2">
        <w:rPr>
          <w:rtl/>
        </w:rPr>
        <w:t>داد التقرير الدوري المقبل</w:t>
      </w:r>
    </w:p>
    <w:p w14:paraId="3E4E64B6" w14:textId="77777777" w:rsidR="00DE73EF" w:rsidRPr="00DE73EF" w:rsidRDefault="00DE73EF" w:rsidP="00DE73EF">
      <w:pPr>
        <w:pStyle w:val="SingleTxtGA"/>
        <w:rPr>
          <w:b/>
          <w:bCs/>
          <w:rtl/>
        </w:rPr>
      </w:pPr>
      <w:r w:rsidRPr="00032187">
        <w:rPr>
          <w:rtl/>
        </w:rPr>
        <w:t>٣٧-</w:t>
      </w:r>
      <w:r w:rsidR="00032187" w:rsidRPr="00032187">
        <w:rPr>
          <w:rtl/>
        </w:rPr>
        <w:tab/>
      </w:r>
      <w:r w:rsidRPr="00DE73EF">
        <w:rPr>
          <w:b/>
          <w:bCs/>
          <w:rtl/>
        </w:rPr>
        <w:t>توصي اللجنة الدولة الطرف بأن تقدم تقريرها الجامع للتقريرين الدوريين السادس والعشرين والسابع والعشرين، في وثيقة واحدة، بحلول</w:t>
      </w:r>
      <w:r w:rsidR="005358F8">
        <w:rPr>
          <w:rFonts w:hint="cs"/>
          <w:b/>
          <w:bCs/>
          <w:rtl/>
        </w:rPr>
        <w:t xml:space="preserve"> </w:t>
      </w:r>
      <w:r w:rsidRPr="00DE73EF">
        <w:rPr>
          <w:b/>
          <w:bCs/>
          <w:rtl/>
        </w:rPr>
        <w:t>4 حزيران/</w:t>
      </w:r>
      <w:proofErr w:type="gramStart"/>
      <w:r w:rsidRPr="00DE73EF">
        <w:rPr>
          <w:b/>
          <w:bCs/>
          <w:rtl/>
        </w:rPr>
        <w:t>يونيه</w:t>
      </w:r>
      <w:proofErr w:type="gramEnd"/>
      <w:r w:rsidRPr="00DE73EF">
        <w:rPr>
          <w:b/>
          <w:bCs/>
          <w:rtl/>
        </w:rPr>
        <w:t xml:space="preserve"> 2022، مع مراعاة المبادئ التوجيهية لتقديم التقارير التي اعتمدتها اللجنة أثناء دورتها الحادية والسبعين (</w:t>
      </w:r>
      <w:r w:rsidRPr="00DE73EF">
        <w:rPr>
          <w:b/>
          <w:bCs/>
        </w:rPr>
        <w:t>CERD/C/2007/1</w:t>
      </w:r>
      <w:r w:rsidRPr="00DE73EF">
        <w:rPr>
          <w:b/>
          <w:bCs/>
          <w:rtl/>
        </w:rPr>
        <w:t xml:space="preserve">)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w:t>
      </w:r>
      <w:r w:rsidRPr="00DE73EF">
        <w:rPr>
          <w:rStyle w:val="inline-validation1"/>
          <w:rFonts w:ascii="Traditional Arabic" w:hAnsi="Traditional Arabic"/>
          <w:b/>
          <w:bCs/>
          <w:color w:val="333333"/>
          <w:sz w:val="30"/>
          <w:rtl/>
        </w:rPr>
        <w:t>200 21</w:t>
      </w:r>
      <w:r w:rsidRPr="00DE73EF">
        <w:rPr>
          <w:b/>
          <w:bCs/>
          <w:rtl/>
        </w:rPr>
        <w:t xml:space="preserve"> كلمة للتقارير الدورية.</w:t>
      </w:r>
    </w:p>
    <w:p w14:paraId="607A6126" w14:textId="77777777" w:rsidR="00DE73EF" w:rsidRPr="00DE73EF" w:rsidRDefault="00DE73EF" w:rsidP="00DE73EF">
      <w:pPr>
        <w:spacing w:before="120"/>
        <w:jc w:val="center"/>
        <w:rPr>
          <w:u w:val="single"/>
          <w:rtl/>
        </w:rPr>
      </w:pPr>
      <w:r>
        <w:rPr>
          <w:u w:val="single"/>
          <w:rtl/>
        </w:rPr>
        <w:tab/>
      </w:r>
      <w:r>
        <w:rPr>
          <w:u w:val="single"/>
          <w:rtl/>
        </w:rPr>
        <w:tab/>
      </w:r>
      <w:r>
        <w:rPr>
          <w:u w:val="single"/>
          <w:rtl/>
        </w:rPr>
        <w:tab/>
      </w:r>
    </w:p>
    <w:p w14:paraId="51EDD023" w14:textId="77777777" w:rsidR="00B54045" w:rsidRPr="003E159A" w:rsidRDefault="00B54045" w:rsidP="001773DB">
      <w:pPr>
        <w:spacing w:line="380" w:lineRule="exact"/>
        <w:jc w:val="left"/>
        <w:rPr>
          <w:sz w:val="30"/>
          <w:rtl/>
          <w:lang w:bidi="ar-DZ"/>
        </w:rPr>
      </w:pPr>
    </w:p>
    <w:sectPr w:rsidR="00B54045" w:rsidRPr="003E159A" w:rsidSect="001A0A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EFFA" w14:textId="77777777" w:rsidR="00713C3A" w:rsidRPr="002901D9" w:rsidRDefault="00713C3A" w:rsidP="002901D9">
      <w:pPr>
        <w:spacing w:after="60" w:line="240" w:lineRule="auto"/>
        <w:rPr>
          <w:i/>
          <w:iCs/>
        </w:rPr>
      </w:pPr>
      <w:r>
        <w:rPr>
          <w:rFonts w:hint="cs"/>
          <w:i/>
          <w:iCs/>
          <w:rtl/>
        </w:rPr>
        <w:t>الحواشي</w:t>
      </w:r>
    </w:p>
  </w:endnote>
  <w:endnote w:type="continuationSeparator" w:id="0">
    <w:p w14:paraId="11A5FA21" w14:textId="77777777" w:rsidR="00713C3A" w:rsidRDefault="00713C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36E5" w14:textId="77777777" w:rsidR="001A0AEB" w:rsidRPr="00DE73EF" w:rsidRDefault="00DE73EF" w:rsidP="00DE73EF">
    <w:pPr>
      <w:pStyle w:val="Footer"/>
      <w:tabs>
        <w:tab w:val="right" w:pos="9598"/>
      </w:tabs>
      <w:rPr>
        <w:sz w:val="17"/>
      </w:rPr>
    </w:pPr>
    <w:r>
      <w:rPr>
        <w:sz w:val="17"/>
      </w:rPr>
      <w:t>GE.19-09131</w:t>
    </w:r>
    <w:r>
      <w:rPr>
        <w:sz w:val="17"/>
      </w:rPr>
      <w:tab/>
    </w:r>
    <w:r w:rsidRPr="00DE73EF">
      <w:rPr>
        <w:b/>
        <w:sz w:val="18"/>
      </w:rPr>
      <w:fldChar w:fldCharType="begin"/>
    </w:r>
    <w:r w:rsidRPr="00DE73EF">
      <w:rPr>
        <w:b/>
        <w:sz w:val="18"/>
      </w:rPr>
      <w:instrText xml:space="preserve"> PAGE  \* MERGEFORMAT </w:instrText>
    </w:r>
    <w:r w:rsidRPr="00DE73EF">
      <w:rPr>
        <w:b/>
        <w:sz w:val="18"/>
      </w:rPr>
      <w:fldChar w:fldCharType="separate"/>
    </w:r>
    <w:r>
      <w:rPr>
        <w:b/>
        <w:sz w:val="18"/>
      </w:rPr>
      <w:t>2</w:t>
    </w:r>
    <w:r w:rsidRPr="00DE73E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12" w14:textId="77777777" w:rsidR="006959B0" w:rsidRPr="00DE73EF" w:rsidRDefault="00DE73EF" w:rsidP="006959B0">
    <w:pPr>
      <w:pStyle w:val="Footer"/>
      <w:tabs>
        <w:tab w:val="right" w:pos="9599"/>
      </w:tabs>
      <w:jc w:val="left"/>
      <w:rPr>
        <w:b/>
        <w:sz w:val="18"/>
        <w:lang w:val="en-US"/>
      </w:rPr>
    </w:pPr>
    <w:r w:rsidRPr="00DE73EF">
      <w:rPr>
        <w:b/>
        <w:sz w:val="18"/>
        <w:lang w:val="en-US"/>
      </w:rPr>
      <w:fldChar w:fldCharType="begin"/>
    </w:r>
    <w:r w:rsidRPr="00DE73EF">
      <w:rPr>
        <w:b/>
        <w:sz w:val="18"/>
        <w:lang w:val="en-US"/>
      </w:rPr>
      <w:instrText xml:space="preserve"> PAGE  \* MERGEFORMAT </w:instrText>
    </w:r>
    <w:r w:rsidRPr="00DE73EF">
      <w:rPr>
        <w:b/>
        <w:sz w:val="18"/>
        <w:lang w:val="en-US"/>
      </w:rPr>
      <w:fldChar w:fldCharType="separate"/>
    </w:r>
    <w:r w:rsidRPr="00DE73EF">
      <w:rPr>
        <w:b/>
        <w:noProof/>
        <w:sz w:val="18"/>
        <w:lang w:val="en-US"/>
      </w:rPr>
      <w:t>3</w:t>
    </w:r>
    <w:r w:rsidRPr="00DE73EF">
      <w:rPr>
        <w:b/>
        <w:sz w:val="18"/>
        <w:lang w:val="en-US"/>
      </w:rPr>
      <w:fldChar w:fldCharType="end"/>
    </w:r>
    <w:r>
      <w:rPr>
        <w:b/>
        <w:sz w:val="18"/>
        <w:lang w:val="en-US"/>
      </w:rPr>
      <w:tab/>
    </w:r>
    <w:r>
      <w:rPr>
        <w:sz w:val="17"/>
        <w:lang w:val="en-US"/>
      </w:rPr>
      <w:t>GE.19-09131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D9B7" w14:textId="77777777" w:rsidR="00FD4BC9" w:rsidRDefault="001A0AEB" w:rsidP="00F6741C">
    <w:pPr>
      <w:pStyle w:val="Footer"/>
      <w:spacing w:before="360"/>
      <w:jc w:val="right"/>
      <w:rPr>
        <w:sz w:val="20"/>
        <w:szCs w:val="20"/>
      </w:rPr>
    </w:pPr>
    <w:r>
      <w:rPr>
        <w:sz w:val="20"/>
        <w:szCs w:val="20"/>
      </w:rPr>
      <w:t>GE.19-09131</w:t>
    </w:r>
    <w:r w:rsidR="00FD4BC9">
      <w:rPr>
        <w:noProof/>
        <w:lang w:val="en-US"/>
      </w:rPr>
      <w:drawing>
        <wp:anchor distT="0" distB="0" distL="114300" distR="114300" simplePos="0" relativeHeight="251664384" behindDoc="1" locked="1" layoutInCell="0" allowOverlap="1" wp14:anchorId="6E8D865A" wp14:editId="466822F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B9F2911" w14:textId="77777777" w:rsidR="001A0AEB" w:rsidRPr="001A0AEB" w:rsidRDefault="001A0AEB" w:rsidP="001A0AE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411D903" wp14:editId="5BBF10EB">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A14E" w14:textId="77777777" w:rsidR="00713C3A" w:rsidRPr="0054762C" w:rsidRDefault="00713C3A" w:rsidP="000E524A">
      <w:pPr>
        <w:pStyle w:val="Footer"/>
        <w:bidi/>
        <w:spacing w:after="80" w:line="200" w:lineRule="exact"/>
        <w:ind w:left="680"/>
      </w:pPr>
      <w:r>
        <w:rPr>
          <w:rtl/>
        </w:rPr>
        <w:t>__________</w:t>
      </w:r>
    </w:p>
  </w:footnote>
  <w:footnote w:type="continuationSeparator" w:id="0">
    <w:p w14:paraId="2CE5BFCE" w14:textId="77777777" w:rsidR="00713C3A" w:rsidRDefault="00713C3A" w:rsidP="00656392">
      <w:pPr>
        <w:spacing w:line="240" w:lineRule="auto"/>
      </w:pPr>
      <w:r>
        <w:continuationSeparator/>
      </w:r>
    </w:p>
  </w:footnote>
  <w:footnote w:id="1">
    <w:p w14:paraId="4BF8F67D" w14:textId="77777777" w:rsidR="00DE73EF" w:rsidRPr="0087630C" w:rsidRDefault="00DE73EF" w:rsidP="00DE73EF">
      <w:pPr>
        <w:pStyle w:val="FootnoteText1"/>
        <w:rPr>
          <w:rtl/>
        </w:rPr>
      </w:pPr>
      <w:r>
        <w:rPr>
          <w:rtl/>
        </w:rPr>
        <w:t>*</w:t>
      </w:r>
      <w:r>
        <w:rPr>
          <w:rtl/>
        </w:rPr>
        <w:tab/>
      </w:r>
      <w:r>
        <w:rPr>
          <w:rFonts w:hint="cs"/>
          <w:rtl/>
        </w:rPr>
        <w:t xml:space="preserve">اعتمدتها اللجنة في دورتها الثامنة والتسعين (23 نيسان/أبريل - 10 أيار/مايو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8F0" w14:textId="77777777" w:rsidR="001A0AEB" w:rsidRPr="00DE73EF" w:rsidRDefault="00DE73EF" w:rsidP="00DE73EF">
    <w:pPr>
      <w:pStyle w:val="Header"/>
      <w:jc w:val="right"/>
    </w:pPr>
    <w:r w:rsidRPr="00DE73EF">
      <w:t>CERD/C/HUN/CO/18-25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0036" w14:textId="77777777" w:rsidR="001A0AEB" w:rsidRPr="00DE73EF" w:rsidRDefault="00DE73EF" w:rsidP="00DE73EF">
    <w:pPr>
      <w:pStyle w:val="Header"/>
      <w:jc w:val="left"/>
    </w:pPr>
    <w:r w:rsidRPr="00DE73EF">
      <w:t>CERD/C/HUN/CO/18-25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13C3A"/>
    <w:rsid w:val="000076D5"/>
    <w:rsid w:val="00032187"/>
    <w:rsid w:val="00043663"/>
    <w:rsid w:val="000505CF"/>
    <w:rsid w:val="000D701C"/>
    <w:rsid w:val="000E2A71"/>
    <w:rsid w:val="000E524A"/>
    <w:rsid w:val="00151B49"/>
    <w:rsid w:val="00160263"/>
    <w:rsid w:val="00172520"/>
    <w:rsid w:val="001773DB"/>
    <w:rsid w:val="00181F96"/>
    <w:rsid w:val="001A0AEB"/>
    <w:rsid w:val="001A1371"/>
    <w:rsid w:val="001B05FB"/>
    <w:rsid w:val="001B346A"/>
    <w:rsid w:val="001E1CAD"/>
    <w:rsid w:val="001E290D"/>
    <w:rsid w:val="002144FA"/>
    <w:rsid w:val="0023469A"/>
    <w:rsid w:val="00243C8A"/>
    <w:rsid w:val="00267A0E"/>
    <w:rsid w:val="002901D9"/>
    <w:rsid w:val="00295C73"/>
    <w:rsid w:val="002976C2"/>
    <w:rsid w:val="002B2C62"/>
    <w:rsid w:val="00325CC1"/>
    <w:rsid w:val="003260FF"/>
    <w:rsid w:val="00343D95"/>
    <w:rsid w:val="00374341"/>
    <w:rsid w:val="003D1062"/>
    <w:rsid w:val="003E159A"/>
    <w:rsid w:val="004205C7"/>
    <w:rsid w:val="00420D7B"/>
    <w:rsid w:val="00440CD2"/>
    <w:rsid w:val="00450B21"/>
    <w:rsid w:val="00453B63"/>
    <w:rsid w:val="00455780"/>
    <w:rsid w:val="00471331"/>
    <w:rsid w:val="00474F4B"/>
    <w:rsid w:val="004B0A1C"/>
    <w:rsid w:val="004D298E"/>
    <w:rsid w:val="004E124E"/>
    <w:rsid w:val="004E32F4"/>
    <w:rsid w:val="005056FF"/>
    <w:rsid w:val="00517BC9"/>
    <w:rsid w:val="005212F8"/>
    <w:rsid w:val="00527E4C"/>
    <w:rsid w:val="005358F8"/>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13C3A"/>
    <w:rsid w:val="00733704"/>
    <w:rsid w:val="00740188"/>
    <w:rsid w:val="00773867"/>
    <w:rsid w:val="0078071A"/>
    <w:rsid w:val="007A70BB"/>
    <w:rsid w:val="00806E94"/>
    <w:rsid w:val="00852A9A"/>
    <w:rsid w:val="00871544"/>
    <w:rsid w:val="00885D51"/>
    <w:rsid w:val="008930DB"/>
    <w:rsid w:val="00895D16"/>
    <w:rsid w:val="008B70C1"/>
    <w:rsid w:val="008F49E1"/>
    <w:rsid w:val="0090370F"/>
    <w:rsid w:val="009269D2"/>
    <w:rsid w:val="0094003E"/>
    <w:rsid w:val="00942135"/>
    <w:rsid w:val="009521B0"/>
    <w:rsid w:val="00963637"/>
    <w:rsid w:val="009A7E9F"/>
    <w:rsid w:val="009E5018"/>
    <w:rsid w:val="00A12B37"/>
    <w:rsid w:val="00A2772A"/>
    <w:rsid w:val="00A50EC0"/>
    <w:rsid w:val="00A5320D"/>
    <w:rsid w:val="00A74331"/>
    <w:rsid w:val="00AA49D7"/>
    <w:rsid w:val="00AB6758"/>
    <w:rsid w:val="00AC6F6A"/>
    <w:rsid w:val="00B13763"/>
    <w:rsid w:val="00B477A4"/>
    <w:rsid w:val="00B54045"/>
    <w:rsid w:val="00B8473A"/>
    <w:rsid w:val="00BA1C7A"/>
    <w:rsid w:val="00BA5E8B"/>
    <w:rsid w:val="00BE7AC3"/>
    <w:rsid w:val="00C022F5"/>
    <w:rsid w:val="00C438D7"/>
    <w:rsid w:val="00C53FE8"/>
    <w:rsid w:val="00C75883"/>
    <w:rsid w:val="00C81B50"/>
    <w:rsid w:val="00CA655B"/>
    <w:rsid w:val="00CB3C3C"/>
    <w:rsid w:val="00CD1801"/>
    <w:rsid w:val="00D07F11"/>
    <w:rsid w:val="00D10EF1"/>
    <w:rsid w:val="00D42810"/>
    <w:rsid w:val="00D914A7"/>
    <w:rsid w:val="00DD13C3"/>
    <w:rsid w:val="00DD596E"/>
    <w:rsid w:val="00DD621E"/>
    <w:rsid w:val="00DE73EF"/>
    <w:rsid w:val="00DF0575"/>
    <w:rsid w:val="00E00F6D"/>
    <w:rsid w:val="00E70E04"/>
    <w:rsid w:val="00E9416D"/>
    <w:rsid w:val="00EC05A7"/>
    <w:rsid w:val="00EC4B6B"/>
    <w:rsid w:val="00ED7442"/>
    <w:rsid w:val="00EE0B18"/>
    <w:rsid w:val="00EE1146"/>
    <w:rsid w:val="00EF1EE5"/>
    <w:rsid w:val="00F6741C"/>
    <w:rsid w:val="00F67ADA"/>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26CB3E"/>
  <w15:docId w15:val="{A009DCA6-A09A-49F6-A38D-775A402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DE73E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E73E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DE73EF"/>
    <w:pPr>
      <w:suppressAutoHyphens/>
      <w:bidi w:val="0"/>
      <w:spacing w:after="120"/>
      <w:ind w:left="1134" w:right="1134"/>
      <w:jc w:val="both"/>
    </w:pPr>
    <w:rPr>
      <w:rFonts w:eastAsia="SimSun" w:hAnsiTheme="minorHAnsi" w:hint="cs"/>
      <w:lang w:val="en-GB" w:eastAsia="zh-CN"/>
    </w:rPr>
  </w:style>
  <w:style w:type="character" w:customStyle="1" w:styleId="inline-validation1">
    <w:name w:val="inline-validation1"/>
    <w:basedOn w:val="DefaultParagraphFont"/>
    <w:rsid w:val="00DE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634B-F2DC-4E55-8DFC-8E755E73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11</Pages>
  <Words>3464</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CERD/C/HUN/CO/18-25</vt:lpstr>
    </vt:vector>
  </TitlesOfParts>
  <Company>DCM</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CERD/C/HUN/CO/18-25</dc:title>
  <dc:subject>GE.1909131A</dc:subject>
  <dc:creator>MBU, OZA</dc:creator>
  <cp:keywords>ODS No. 1915289</cp:keywords>
  <dc:description>Original: English _x000d_
Distribution: General_x000d_
Date: 6 June 2019</dc:description>
  <cp:lastModifiedBy>Muntaha BUHNAM</cp:lastModifiedBy>
  <cp:revision>3</cp:revision>
  <cp:lastPrinted>2019-12-02T12:56:00Z</cp:lastPrinted>
  <dcterms:created xsi:type="dcterms:W3CDTF">2019-12-02T12:56:00Z</dcterms:created>
  <dcterms:modified xsi:type="dcterms:W3CDTF">2019-12-02T12:58:00Z</dcterms:modified>
  <cp:category>Final</cp:category>
</cp:coreProperties>
</file>