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71523A">
        <w:trPr>
          <w:trHeight w:hRule="exact" w:val="851"/>
        </w:trPr>
        <w:tc>
          <w:tcPr>
            <w:tcW w:w="1280" w:type="dxa"/>
            <w:tcBorders>
              <w:bottom w:val="single" w:sz="4" w:space="0" w:color="auto"/>
            </w:tcBorders>
          </w:tcPr>
          <w:p w:rsidR="002D5AAC" w:rsidRPr="003067C5" w:rsidRDefault="002D5AAC" w:rsidP="0071523A">
            <w:pPr>
              <w:kinsoku w:val="0"/>
              <w:overflowPunct w:val="0"/>
              <w:autoSpaceDE w:val="0"/>
              <w:autoSpaceDN w:val="0"/>
              <w:adjustRightInd w:val="0"/>
              <w:snapToGrid w:val="0"/>
              <w:rPr>
                <w:rStyle w:val="Emph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1523A" w:rsidP="0071523A">
            <w:pPr>
              <w:jc w:val="right"/>
            </w:pPr>
            <w:r w:rsidRPr="0071523A">
              <w:rPr>
                <w:sz w:val="40"/>
              </w:rPr>
              <w:t>CAT</w:t>
            </w:r>
            <w:r>
              <w:t>/C/DNK/QPR/8</w:t>
            </w:r>
          </w:p>
        </w:tc>
      </w:tr>
      <w:tr w:rsidR="002D5AAC" w:rsidTr="0071523A">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14:anchorId="1B0612FF" wp14:editId="53138A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976" w:type="dxa"/>
            <w:tcBorders>
              <w:top w:val="single" w:sz="4" w:space="0" w:color="auto"/>
              <w:bottom w:val="single" w:sz="12" w:space="0" w:color="auto"/>
            </w:tcBorders>
          </w:tcPr>
          <w:p w:rsidR="002D5AAC" w:rsidRDefault="0071523A" w:rsidP="00462E81">
            <w:pPr>
              <w:spacing w:before="240"/>
            </w:pPr>
            <w:r>
              <w:t>Distr. general</w:t>
            </w:r>
          </w:p>
          <w:p w:rsidR="0071523A" w:rsidRDefault="0071523A" w:rsidP="0071523A">
            <w:pPr>
              <w:spacing w:line="240" w:lineRule="exact"/>
            </w:pPr>
            <w:r>
              <w:t>13 de junio de 2018</w:t>
            </w:r>
          </w:p>
          <w:p w:rsidR="0071523A" w:rsidRDefault="0071523A" w:rsidP="0071523A">
            <w:pPr>
              <w:spacing w:line="240" w:lineRule="exact"/>
            </w:pPr>
            <w:r>
              <w:t>Español</w:t>
            </w:r>
          </w:p>
          <w:p w:rsidR="0071523A" w:rsidRDefault="0071523A" w:rsidP="0071523A">
            <w:pPr>
              <w:spacing w:line="240" w:lineRule="exact"/>
            </w:pPr>
            <w:r>
              <w:t>Original: inglés</w:t>
            </w:r>
          </w:p>
          <w:p w:rsidR="0071523A" w:rsidRDefault="0071523A" w:rsidP="0071523A">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71523A" w:rsidRPr="0071523A" w:rsidRDefault="0071523A" w:rsidP="00B41E5C">
      <w:pPr>
        <w:pStyle w:val="HChG"/>
      </w:pPr>
      <w:r>
        <w:tab/>
      </w:r>
      <w:r w:rsidRPr="0071523A">
        <w:tab/>
        <w:t>Lista de cuestiones previa a la presentación del octavo informe periódico de Dinamarca</w:t>
      </w:r>
      <w:r w:rsidRPr="0071523A">
        <w:rPr>
          <w:bCs/>
          <w:sz w:val="20"/>
        </w:rPr>
        <w:footnoteReference w:customMarkFollows="1" w:id="1"/>
        <w:t>*</w:t>
      </w:r>
    </w:p>
    <w:p w:rsidR="0071523A" w:rsidRPr="0071523A" w:rsidRDefault="0071523A" w:rsidP="0071523A">
      <w:pPr>
        <w:pStyle w:val="H1G"/>
      </w:pPr>
      <w:r>
        <w:tab/>
      </w:r>
      <w:r w:rsidRPr="0071523A">
        <w:tab/>
        <w:t xml:space="preserve">Información específica sobre la aplicación de los artículos 1 a 16 </w:t>
      </w:r>
      <w:r>
        <w:br/>
      </w:r>
      <w:r w:rsidRPr="0071523A">
        <w:t>de la Convención, en particular respecto de las recomendaciones anteriores del Comité</w:t>
      </w:r>
    </w:p>
    <w:p w:rsidR="0071523A" w:rsidRPr="0071523A" w:rsidRDefault="0071523A" w:rsidP="0071523A">
      <w:pPr>
        <w:pStyle w:val="H23G"/>
      </w:pPr>
      <w:r>
        <w:tab/>
      </w:r>
      <w:r w:rsidRPr="0071523A">
        <w:tab/>
        <w:t>Seguimiento de las cuestiones del anterior ciclo de presentación de informes</w:t>
      </w:r>
    </w:p>
    <w:p w:rsidR="0071523A" w:rsidRPr="0071523A" w:rsidRDefault="0071523A" w:rsidP="0071523A">
      <w:pPr>
        <w:pStyle w:val="SingleTxtG"/>
      </w:pPr>
      <w:r w:rsidRPr="0071523A">
        <w:t>1.</w:t>
      </w:r>
      <w:r w:rsidRPr="0071523A">
        <w:tab/>
        <w:t xml:space="preserve">En sus anteriores observaciones finales (véase </w:t>
      </w:r>
      <w:r>
        <w:t>CAT/C/DNK/CO/6-7, párr. 50)</w:t>
      </w:r>
      <w:r w:rsidRPr="0071523A">
        <w:rPr>
          <w:sz w:val="18"/>
          <w:szCs w:val="18"/>
          <w:vertAlign w:val="superscript"/>
        </w:rPr>
        <w:footnoteReference w:id="2"/>
      </w:r>
      <w:r>
        <w:t>,</w:t>
      </w:r>
      <w:r w:rsidRPr="0071523A">
        <w:t xml:space="preserve"> el Comité pidió al Estado parte que proporcionase información adicional sobre una serie de cuestiones de especial preocupación señaladas por el Comité, a saber, la incorporación de la Convención en </w:t>
      </w:r>
      <w:r>
        <w:t>el derecho interno</w:t>
      </w:r>
      <w:r w:rsidRPr="0071523A">
        <w:t xml:space="preserve">; la </w:t>
      </w:r>
      <w:r>
        <w:t xml:space="preserve">expulsión </w:t>
      </w:r>
      <w:r w:rsidRPr="0071523A">
        <w:t>de personas vulnerables; la identificación de los solicitantes de asilo que son víctimas de tortura</w:t>
      </w:r>
      <w:r>
        <w:t>s</w:t>
      </w:r>
      <w:r w:rsidRPr="0071523A">
        <w:t xml:space="preserve"> y la asistencia a estos; y la separación entre presos </w:t>
      </w:r>
      <w:r>
        <w:t xml:space="preserve">que cumplen condena </w:t>
      </w:r>
      <w:r w:rsidRPr="0071523A">
        <w:t xml:space="preserve">y </w:t>
      </w:r>
      <w:r>
        <w:t xml:space="preserve">presos </w:t>
      </w:r>
      <w:r w:rsidRPr="0071523A">
        <w:t>preventivos (párrs. 13, 21, 23 y 37). Habida cuenta de que, el 9 de diciembre de 2016, se recibió una respuesta en relación con la información que había solicitado el Comité (CAT/C/DNK/CO/6-7/Add.1), y en relación con la carta de 10 de mayo de 2018 del Relator del Comité para el seguimiento de las observaciones finales, el Comité considera que las recomendaciones que figuran en los párrafos 13, 21 y 37 no se han aplicado aún (véanse los párrs. 3, 9 y 20, respectivamente, del presente documento). Se considera que la recomendación que figura en el párrafo 23 de las anteriores observaciones finales se ha aplicado parcialmente.</w:t>
      </w:r>
    </w:p>
    <w:p w:rsidR="0071523A" w:rsidRPr="0071523A" w:rsidRDefault="0071523A" w:rsidP="0071523A">
      <w:pPr>
        <w:pStyle w:val="H23G"/>
      </w:pPr>
      <w:r>
        <w:tab/>
      </w:r>
      <w:r w:rsidRPr="0071523A">
        <w:tab/>
        <w:t>Artículos 1 y 4</w:t>
      </w:r>
    </w:p>
    <w:p w:rsidR="0071523A" w:rsidRPr="0071523A" w:rsidRDefault="0071523A" w:rsidP="0071523A">
      <w:pPr>
        <w:pStyle w:val="SingleTxtG"/>
        <w:rPr>
          <w:b/>
        </w:rPr>
      </w:pPr>
      <w:r w:rsidRPr="0071523A">
        <w:t>2.</w:t>
      </w:r>
      <w:r w:rsidRPr="0071523A">
        <w:tab/>
        <w:t>En relación con las anteriores observaciones finales del Comité (párrs. 10 y 11), sírvanse proporcionar información sobre las medidas adoptadas para tipificar la tortura como delito independiente y específico en la legislación nacional</w:t>
      </w:r>
      <w:r w:rsidRPr="0071523A">
        <w:rPr>
          <w:sz w:val="18"/>
          <w:szCs w:val="18"/>
          <w:vertAlign w:val="superscript"/>
        </w:rPr>
        <w:footnoteReference w:id="3"/>
      </w:r>
      <w:r>
        <w:t>.</w:t>
      </w:r>
    </w:p>
    <w:p w:rsidR="0071523A" w:rsidRPr="0071523A" w:rsidRDefault="0071523A" w:rsidP="0071523A">
      <w:pPr>
        <w:pStyle w:val="H23G"/>
      </w:pPr>
      <w:r>
        <w:lastRenderedPageBreak/>
        <w:tab/>
      </w:r>
      <w:r w:rsidRPr="0071523A">
        <w:tab/>
        <w:t>Artículo 2</w:t>
      </w:r>
      <w:r w:rsidRPr="0071523A">
        <w:rPr>
          <w:b w:val="0"/>
          <w:bCs/>
          <w:sz w:val="18"/>
          <w:szCs w:val="18"/>
          <w:vertAlign w:val="superscript"/>
        </w:rPr>
        <w:footnoteReference w:id="4"/>
      </w:r>
    </w:p>
    <w:p w:rsidR="0071523A" w:rsidRPr="0071523A" w:rsidRDefault="0071523A" w:rsidP="0071523A">
      <w:pPr>
        <w:pStyle w:val="SingleTxtG"/>
      </w:pPr>
      <w:r w:rsidRPr="0071523A">
        <w:t>3.</w:t>
      </w:r>
      <w:r w:rsidRPr="0071523A">
        <w:tab/>
        <w:t>En relación con las anteriores observaciones finales del Comité (párrs. 12 y 13) y las respuestas de seguimiento del Estado parte</w:t>
      </w:r>
      <w:r w:rsidRPr="0071523A">
        <w:rPr>
          <w:sz w:val="18"/>
          <w:szCs w:val="18"/>
          <w:vertAlign w:val="superscript"/>
        </w:rPr>
        <w:footnoteReference w:id="5"/>
      </w:r>
      <w:r>
        <w:t>,</w:t>
      </w:r>
      <w:r w:rsidRPr="0071523A">
        <w:t xml:space="preserve"> </w:t>
      </w:r>
      <w:r>
        <w:t xml:space="preserve">rogamos </w:t>
      </w:r>
      <w:r w:rsidRPr="0071523A">
        <w:t>proporcion</w:t>
      </w:r>
      <w:r>
        <w:t>en</w:t>
      </w:r>
      <w:r w:rsidRPr="0071523A">
        <w:t xml:space="preserve"> información actualizada sobre los cambios que se hayan producido en la posición del Estado parte acerca de la incorporación de la Convención en </w:t>
      </w:r>
      <w:r>
        <w:t>el derecho danés</w:t>
      </w:r>
      <w:r w:rsidRPr="0071523A">
        <w:t xml:space="preserve">, tal como recomendó el Comité. </w:t>
      </w:r>
      <w:r>
        <w:t xml:space="preserve">Faciliten </w:t>
      </w:r>
      <w:r w:rsidRPr="0071523A">
        <w:t>también información sobre los casos en que se haya invocado la Convención ante los tribunales nacionales.</w:t>
      </w:r>
    </w:p>
    <w:p w:rsidR="0071523A" w:rsidRPr="0071523A" w:rsidRDefault="0071523A" w:rsidP="0071523A">
      <w:pPr>
        <w:pStyle w:val="SingleTxtG"/>
      </w:pPr>
      <w:r w:rsidRPr="0071523A">
        <w:t>4.</w:t>
      </w:r>
      <w:r w:rsidRPr="0071523A">
        <w:tab/>
        <w:t>En relación con las anteriores observaciones finales del Comité (párrs. 14 y 15), sírvanse proporcionar información sobre las medidas adoptadas por el Estado parte y los procedimientos vigentes para que tod</w:t>
      </w:r>
      <w:r>
        <w:t>as la</w:t>
      </w:r>
      <w:r w:rsidRPr="0071523A">
        <w:t xml:space="preserve">s </w:t>
      </w:r>
      <w:r>
        <w:t xml:space="preserve">personas recluidas </w:t>
      </w:r>
      <w:r w:rsidRPr="0071523A">
        <w:t xml:space="preserve">gocen en la práctica de todas las salvaguardias legales fundamentales desde el comienzo mismo de </w:t>
      </w:r>
      <w:r>
        <w:t xml:space="preserve">la </w:t>
      </w:r>
      <w:r w:rsidRPr="0071523A">
        <w:t xml:space="preserve">privación de libertad, en particular </w:t>
      </w:r>
      <w:r>
        <w:t>d</w:t>
      </w:r>
      <w:r w:rsidRPr="0071523A">
        <w:t xml:space="preserve">el derecho </w:t>
      </w:r>
      <w:r>
        <w:t>a ser informadas</w:t>
      </w:r>
      <w:r w:rsidRPr="0071523A">
        <w:t xml:space="preserve"> de sus derechos, a recibir asistencia letrada, a solicitar y </w:t>
      </w:r>
      <w:r>
        <w:t xml:space="preserve">que se les realice </w:t>
      </w:r>
      <w:r w:rsidRPr="0071523A">
        <w:t>un examen médico por un facultativo independiente con plena confidencialidad y a informar de su detención a un familiar o a cualquier otra persona de su elección.</w:t>
      </w:r>
    </w:p>
    <w:p w:rsidR="0071523A" w:rsidRPr="0071523A" w:rsidRDefault="0071523A" w:rsidP="0071523A">
      <w:pPr>
        <w:pStyle w:val="SingleTxtG"/>
      </w:pPr>
      <w:r w:rsidRPr="0071523A">
        <w:t>5.</w:t>
      </w:r>
      <w:r w:rsidRPr="0071523A">
        <w:tab/>
        <w:t xml:space="preserve">En vista de la designación, en 2007, del Ombudsman del Parlamento como mecanismo nacional de prevención con arreglo al Protocolo Facultativo de la Convención contra la Tortura, sírvanse facilitar información sobre las actividades y los logros del Ombudsman en </w:t>
      </w:r>
      <w:r>
        <w:t xml:space="preserve">lo que se refiere </w:t>
      </w:r>
      <w:r w:rsidRPr="0071523A">
        <w:t xml:space="preserve">a la prevención de la tortura y los malos tratos durante el período objeto de examen. A este respecto, </w:t>
      </w:r>
      <w:r>
        <w:t xml:space="preserve">aporten </w:t>
      </w:r>
      <w:r w:rsidRPr="0071523A">
        <w:t xml:space="preserve">datos sobre las visitas a los lugares de </w:t>
      </w:r>
      <w:r>
        <w:t xml:space="preserve">reclusión </w:t>
      </w:r>
      <w:r w:rsidRPr="0071523A">
        <w:t xml:space="preserve">realizadas por el mecanismo nacional de prevención durante el período que se examina y sobre el resultado de esas visitas. Proporcionen igualmente información actualizada sobre los recursos materiales, humanos y presupuestarios </w:t>
      </w:r>
      <w:r>
        <w:t xml:space="preserve">asignados para </w:t>
      </w:r>
      <w:r w:rsidRPr="0071523A">
        <w:t>el funcionamiento efectivo del mecanismo nacional de prevención.</w:t>
      </w:r>
    </w:p>
    <w:p w:rsidR="0071523A" w:rsidRPr="0071523A" w:rsidRDefault="0071523A" w:rsidP="0071523A">
      <w:pPr>
        <w:pStyle w:val="SingleTxtG"/>
      </w:pPr>
      <w:r w:rsidRPr="0071523A">
        <w:t>6.</w:t>
      </w:r>
      <w:r w:rsidRPr="0071523A">
        <w:tab/>
        <w:t xml:space="preserve">En relación con las anteriores observaciones finales del Comité (párrs. 44 y 45), </w:t>
      </w:r>
      <w:r>
        <w:t xml:space="preserve">rogamos </w:t>
      </w:r>
      <w:r w:rsidRPr="0071523A">
        <w:t>proporcion</w:t>
      </w:r>
      <w:r>
        <w:t>en</w:t>
      </w:r>
      <w:r w:rsidRPr="0071523A">
        <w:t xml:space="preserve"> información sobre las medidas adoptadas para combatir todas las formas de violencia contra la mujer, en particular con respecto a los casos en que </w:t>
      </w:r>
      <w:r>
        <w:t xml:space="preserve">haya habido </w:t>
      </w:r>
      <w:r w:rsidRPr="0071523A">
        <w:t xml:space="preserve">acciones u omisiones de autoridades del Estado </w:t>
      </w:r>
      <w:r>
        <w:t>u</w:t>
      </w:r>
      <w:r w:rsidRPr="0071523A">
        <w:t xml:space="preserve"> otras entidades </w:t>
      </w:r>
      <w:r>
        <w:t xml:space="preserve">que den lugar a </w:t>
      </w:r>
      <w:r w:rsidRPr="0071523A">
        <w:t xml:space="preserve">la responsabilidad internacional del Estado parte </w:t>
      </w:r>
      <w:r>
        <w:t xml:space="preserve">con arreglo a </w:t>
      </w:r>
      <w:r w:rsidRPr="0071523A">
        <w:t xml:space="preserve">la Convención. </w:t>
      </w:r>
      <w:r>
        <w:t>P</w:t>
      </w:r>
      <w:r w:rsidRPr="0071523A">
        <w:t>roporcion</w:t>
      </w:r>
      <w:r>
        <w:t>en</w:t>
      </w:r>
      <w:r w:rsidRPr="0071523A">
        <w:t xml:space="preserve"> también información actualizada sobre los servicios de protección y apoyo de que disponen las víctimas de todas las formas de violencia contra la mujer relacionadas con acciones u omisiones de las autoridades del Estado</w:t>
      </w:r>
      <w:r w:rsidRPr="0071523A">
        <w:rPr>
          <w:sz w:val="18"/>
          <w:szCs w:val="18"/>
          <w:vertAlign w:val="superscript"/>
        </w:rPr>
        <w:footnoteReference w:id="6"/>
      </w:r>
      <w:r>
        <w:t>. I</w:t>
      </w:r>
      <w:r w:rsidRPr="0071523A">
        <w:t xml:space="preserve">ndiquen </w:t>
      </w:r>
      <w:r>
        <w:t xml:space="preserve">asimismo </w:t>
      </w:r>
      <w:r w:rsidRPr="0071523A">
        <w:t>si el Estado parte ha adoptado medidas para que haya suficientes centros de acogida para mujeres y niños víctimas de violencia doméstica. Incluyan datos estadísticos, desglosados por edad y origen étnico o nacionalidad de las víctimas, sobre el número de denuncias, investigaciones, enjuiciamientos, condenas y sentencias dictadas en casos de violencia de género desde el examen del anterior informe periódico de Dinamarca</w:t>
      </w:r>
      <w:r w:rsidRPr="0071523A">
        <w:rPr>
          <w:sz w:val="18"/>
          <w:szCs w:val="18"/>
          <w:vertAlign w:val="superscript"/>
        </w:rPr>
        <w:footnoteReference w:id="7"/>
      </w:r>
      <w:r>
        <w:t>.</w:t>
      </w:r>
      <w:r w:rsidRPr="0071523A">
        <w:t xml:space="preserve"> Sírvanse proporcionar información actualizada sobre las medidas adoptadas para reforzar los programas de formación orientados a sensibilizar a los funcionarios encargados de hacer cumplir la ley sobre la violencia sexual y doméstica.</w:t>
      </w:r>
    </w:p>
    <w:p w:rsidR="0071523A" w:rsidRPr="0071523A" w:rsidRDefault="0071523A" w:rsidP="0071523A">
      <w:pPr>
        <w:pStyle w:val="SingleTxtG"/>
      </w:pPr>
      <w:r w:rsidRPr="0071523A">
        <w:t>7.</w:t>
      </w:r>
      <w:r w:rsidRPr="0071523A">
        <w:tab/>
        <w:t xml:space="preserve">Faciliten datos actualizados, desglosados por edad, sexo, origen étnico y nacionalidad de las víctimas, sobre el número de denuncias, investigaciones, enjuiciamientos y </w:t>
      </w:r>
      <w:r>
        <w:t xml:space="preserve">sentencias dictadas en </w:t>
      </w:r>
      <w:r w:rsidRPr="0071523A">
        <w:t>casos de trata de personas desde el examen del anterior informe periódico del Estado parte</w:t>
      </w:r>
      <w:r w:rsidRPr="0071523A">
        <w:rPr>
          <w:sz w:val="18"/>
          <w:szCs w:val="18"/>
          <w:vertAlign w:val="superscript"/>
        </w:rPr>
        <w:footnoteReference w:id="8"/>
      </w:r>
      <w:r>
        <w:t>.</w:t>
      </w:r>
      <w:r w:rsidRPr="0071523A">
        <w:t xml:space="preserve"> Faciliten asimismo información sobre:</w:t>
      </w:r>
    </w:p>
    <w:p w:rsidR="0071523A" w:rsidRPr="0071523A" w:rsidRDefault="0071523A" w:rsidP="0050317A">
      <w:pPr>
        <w:pStyle w:val="SingleTxtG"/>
      </w:pPr>
      <w:r w:rsidRPr="0071523A">
        <w:tab/>
        <w:t>a)</w:t>
      </w:r>
      <w:r w:rsidRPr="0071523A">
        <w:tab/>
        <w:t xml:space="preserve">Cualquier nueva ley o medida que se haya adoptado para prevenir, combatir </w:t>
      </w:r>
      <w:r w:rsidR="0050317A">
        <w:t>o</w:t>
      </w:r>
      <w:r w:rsidRPr="0071523A">
        <w:t xml:space="preserve"> tipificar como delito la trata de personas</w:t>
      </w:r>
      <w:r w:rsidRPr="0071523A">
        <w:rPr>
          <w:sz w:val="18"/>
          <w:szCs w:val="18"/>
          <w:vertAlign w:val="superscript"/>
        </w:rPr>
        <w:footnoteReference w:id="9"/>
      </w:r>
      <w:r w:rsidR="0050317A">
        <w:t>;</w:t>
      </w:r>
    </w:p>
    <w:p w:rsidR="0071523A" w:rsidRPr="0071523A" w:rsidRDefault="0071523A" w:rsidP="0050317A">
      <w:pPr>
        <w:pStyle w:val="SingleTxtG"/>
      </w:pPr>
      <w:r w:rsidRPr="0071523A">
        <w:tab/>
        <w:t>b)</w:t>
      </w:r>
      <w:r w:rsidRPr="0071523A">
        <w:tab/>
        <w:t xml:space="preserve">Las medidas adoptadas para que las víctimas de la trata tengan acceso a recursos efectivos y </w:t>
      </w:r>
      <w:r w:rsidR="0050317A">
        <w:t xml:space="preserve">a una </w:t>
      </w:r>
      <w:r w:rsidRPr="0071523A">
        <w:t>reparación;</w:t>
      </w:r>
    </w:p>
    <w:p w:rsidR="0071523A" w:rsidRPr="0071523A" w:rsidRDefault="0071523A" w:rsidP="0050317A">
      <w:pPr>
        <w:pStyle w:val="SingleTxtG"/>
      </w:pPr>
      <w:r w:rsidRPr="0071523A">
        <w:tab/>
        <w:t>c)</w:t>
      </w:r>
      <w:r w:rsidRPr="0071523A">
        <w:tab/>
        <w:t xml:space="preserve">Las medidas adoptadas para que se proporcione alojamiento </w:t>
      </w:r>
      <w:r w:rsidR="0050317A">
        <w:t xml:space="preserve">en régimen </w:t>
      </w:r>
      <w:r w:rsidRPr="0071523A">
        <w:t xml:space="preserve">de libertad y con pleno acceso a un apoyo médico y psicológico adecuado a las posibles víctimas de la trata mientras </w:t>
      </w:r>
      <w:r w:rsidR="0050317A">
        <w:t xml:space="preserve">se llevan a cabo </w:t>
      </w:r>
      <w:r w:rsidRPr="0071523A">
        <w:t>los procesos de identificación</w:t>
      </w:r>
      <w:r w:rsidRPr="0071523A">
        <w:rPr>
          <w:sz w:val="18"/>
          <w:szCs w:val="18"/>
          <w:vertAlign w:val="superscript"/>
        </w:rPr>
        <w:footnoteReference w:id="10"/>
      </w:r>
      <w:r w:rsidR="0050317A">
        <w:t>;</w:t>
      </w:r>
    </w:p>
    <w:p w:rsidR="0071523A" w:rsidRPr="0071523A" w:rsidRDefault="0071523A" w:rsidP="0071523A">
      <w:pPr>
        <w:pStyle w:val="SingleTxtG"/>
      </w:pPr>
      <w:r w:rsidRPr="0071523A">
        <w:tab/>
        <w:t>d)</w:t>
      </w:r>
      <w:r w:rsidRPr="0071523A">
        <w:tab/>
        <w:t>La firma de acuerdos con países interesados para prevenir y combatir la trata de personas.</w:t>
      </w:r>
    </w:p>
    <w:p w:rsidR="0071523A" w:rsidRPr="0071523A" w:rsidRDefault="0050317A" w:rsidP="0050317A">
      <w:pPr>
        <w:pStyle w:val="H23G"/>
      </w:pPr>
      <w:r>
        <w:tab/>
      </w:r>
      <w:r w:rsidR="0071523A" w:rsidRPr="0071523A">
        <w:tab/>
        <w:t>Artículo 3</w:t>
      </w:r>
    </w:p>
    <w:p w:rsidR="0071523A" w:rsidRPr="0071523A" w:rsidRDefault="0071523A" w:rsidP="0050317A">
      <w:pPr>
        <w:pStyle w:val="SingleTxtG"/>
      </w:pPr>
      <w:r w:rsidRPr="0071523A">
        <w:t>8.</w:t>
      </w:r>
      <w:r w:rsidRPr="0071523A">
        <w:tab/>
        <w:t xml:space="preserve">Sírvanse explicar las medidas adoptadas durante el período que se examina para que no se devuelva a ninguna persona a un país en que corra el riesgo de ser víctima de tortura. Indiquen si se informa a las personas objeto de una orden de expulsión, devolución o extradición sobre su derecho a solicitar asilo y a </w:t>
      </w:r>
      <w:r w:rsidR="0050317A">
        <w:t xml:space="preserve">recurrir </w:t>
      </w:r>
      <w:r w:rsidRPr="0071523A">
        <w:t>una decisión de expulsión, y si ese recurso tiene efecto suspensivo. ¿De qué manera garantiza el Estado parte el acceso de los solicitantes de asilo a asistencia jurídica y servicios de interpretación independientes, cualificados y gratuitos, durante todo el procedimiento de asilo?</w:t>
      </w:r>
    </w:p>
    <w:p w:rsidR="0071523A" w:rsidRPr="0071523A" w:rsidRDefault="0071523A" w:rsidP="0050317A">
      <w:pPr>
        <w:pStyle w:val="SingleTxtG"/>
      </w:pPr>
      <w:r w:rsidRPr="0071523A">
        <w:t>9.</w:t>
      </w:r>
      <w:r w:rsidRPr="0071523A">
        <w:tab/>
        <w:t xml:space="preserve">Sírvanse informar sobre el número de solicitudes de asilo recibidas durante el período examinado, el número de solicitudes aceptadas y cuántas de ellas fueron aceptadas por considerarse que el solicitante había sido torturado o podría serlo en caso de </w:t>
      </w:r>
      <w:r w:rsidR="0050317A">
        <w:t xml:space="preserve">ser devuelto </w:t>
      </w:r>
      <w:r w:rsidRPr="0071523A">
        <w:t xml:space="preserve">a su país de origen. Incluyan información, desglosada por sexo, edad y país de origen, sobre el número de personas que han sido devueltas, extraditadas o expulsadas desde el examen del informe anterior. </w:t>
      </w:r>
      <w:r w:rsidR="0050317A">
        <w:t>D</w:t>
      </w:r>
      <w:r w:rsidRPr="0071523A">
        <w:t>etall</w:t>
      </w:r>
      <w:r w:rsidR="0050317A">
        <w:t>en</w:t>
      </w:r>
      <w:r w:rsidRPr="0071523A">
        <w:t xml:space="preserve"> los motivos por los que esas personas fueron objeto de esas medidas</w:t>
      </w:r>
      <w:r w:rsidRPr="0071523A">
        <w:rPr>
          <w:sz w:val="18"/>
          <w:szCs w:val="18"/>
          <w:vertAlign w:val="superscript"/>
        </w:rPr>
        <w:footnoteReference w:id="11"/>
      </w:r>
      <w:r w:rsidR="0050317A">
        <w:t>,</w:t>
      </w:r>
      <w:r w:rsidRPr="0071523A">
        <w:t xml:space="preserve"> con inclusión de una lista de los países a los que fueron devueltas. Indiquen si el Estado parte ha puesto en marcha mecanismos para </w:t>
      </w:r>
      <w:r w:rsidR="0050317A">
        <w:t xml:space="preserve">hacer un seguimiento de </w:t>
      </w:r>
      <w:r w:rsidRPr="0071523A">
        <w:t>la situación de las personas y los grupos vulnerables en los países receptores después de su expulsión (párrs. 20 y 21).</w:t>
      </w:r>
    </w:p>
    <w:p w:rsidR="0071523A" w:rsidRPr="0071523A" w:rsidRDefault="0071523A" w:rsidP="0050317A">
      <w:pPr>
        <w:pStyle w:val="SingleTxtG"/>
      </w:pPr>
      <w:r w:rsidRPr="0071523A">
        <w:t>10.</w:t>
      </w:r>
      <w:r w:rsidRPr="0071523A">
        <w:tab/>
        <w:t>A la luz de las anteriores observaciones finales del Comité (párrs. 22 y 23), faciliten información detallada sobre las medidas adoptadas para que se tomen plenamente en consideración y se atiendan oportunamente las necesidades específicas de las personas vulnerables que solicitan asilo en Dinamarca, incluidas las que han sufrido torturas o traumas</w:t>
      </w:r>
      <w:r w:rsidRPr="0071523A">
        <w:rPr>
          <w:sz w:val="18"/>
          <w:szCs w:val="18"/>
          <w:vertAlign w:val="superscript"/>
        </w:rPr>
        <w:footnoteReference w:id="12"/>
      </w:r>
      <w:r w:rsidR="0050317A">
        <w:t>.</w:t>
      </w:r>
      <w:r w:rsidRPr="0071523A">
        <w:t xml:space="preserve"> En este sentido, proporcion</w:t>
      </w:r>
      <w:r w:rsidR="0050317A">
        <w:t>en</w:t>
      </w:r>
      <w:r w:rsidRPr="0071523A">
        <w:t xml:space="preserve"> información actualizada sobre las medidas adoptadas para autorizar sistemáticamente reconocimientos médicos para detectar </w:t>
      </w:r>
      <w:r w:rsidR="0050317A">
        <w:t xml:space="preserve">indicios </w:t>
      </w:r>
      <w:r w:rsidRPr="0071523A">
        <w:t xml:space="preserve">de tortura a fin de corroborar las denuncias de tortura durante los procedimientos de asilo, </w:t>
      </w:r>
      <w:r w:rsidR="0050317A">
        <w:t xml:space="preserve">habida cuenta </w:t>
      </w:r>
      <w:r w:rsidRPr="0071523A">
        <w:t>de la decisión adoptada por el Comité en la comunicación núm. 634/2014</w:t>
      </w:r>
      <w:r w:rsidRPr="0071523A">
        <w:rPr>
          <w:sz w:val="18"/>
          <w:szCs w:val="18"/>
          <w:vertAlign w:val="superscript"/>
        </w:rPr>
        <w:footnoteReference w:id="13"/>
      </w:r>
      <w:r w:rsidR="0050317A">
        <w:t>.</w:t>
      </w:r>
    </w:p>
    <w:p w:rsidR="0071523A" w:rsidRPr="0071523A" w:rsidRDefault="0071523A" w:rsidP="0050317A">
      <w:pPr>
        <w:pStyle w:val="SingleTxtG"/>
      </w:pPr>
      <w:r w:rsidRPr="0071523A">
        <w:t>11.</w:t>
      </w:r>
      <w:r w:rsidRPr="0071523A">
        <w:tab/>
      </w:r>
      <w:r w:rsidR="0050317A">
        <w:t xml:space="preserve">Indiquen </w:t>
      </w:r>
      <w:r w:rsidRPr="0071523A">
        <w:t xml:space="preserve">el número de devoluciones, extradiciones y expulsiones llevadas a cabo por el Estado parte durante el período que abarca el informe tras </w:t>
      </w:r>
      <w:r w:rsidR="0050317A">
        <w:t xml:space="preserve">recibir seguridades </w:t>
      </w:r>
      <w:r w:rsidRPr="0071523A">
        <w:t xml:space="preserve">diplomáticas o su equivalente, así como los casos en que el Estado parte haya ofrecido dichas </w:t>
      </w:r>
      <w:r w:rsidR="0050317A">
        <w:t xml:space="preserve">seguridades o </w:t>
      </w:r>
      <w:r w:rsidRPr="0071523A">
        <w:t>garantías diplomáticas</w:t>
      </w:r>
      <w:r w:rsidR="0050317A">
        <w:t xml:space="preserve">. Indiquen también las </w:t>
      </w:r>
      <w:r w:rsidRPr="0071523A">
        <w:t xml:space="preserve">medidas </w:t>
      </w:r>
      <w:r w:rsidR="0050317A">
        <w:t xml:space="preserve">que </w:t>
      </w:r>
      <w:r w:rsidRPr="0071523A">
        <w:t>se han adoptado en esos casos</w:t>
      </w:r>
      <w:r w:rsidR="0050317A">
        <w:t xml:space="preserve"> respecto del seguimiento ulterior</w:t>
      </w:r>
      <w:r w:rsidRPr="0071523A">
        <w:t>.</w:t>
      </w:r>
    </w:p>
    <w:p w:rsidR="0071523A" w:rsidRPr="0071523A" w:rsidRDefault="0050317A" w:rsidP="0050317A">
      <w:pPr>
        <w:pStyle w:val="H23G"/>
      </w:pPr>
      <w:r>
        <w:tab/>
      </w:r>
      <w:r w:rsidR="0071523A" w:rsidRPr="0071523A">
        <w:tab/>
        <w:t>Artículos 5 a 9</w:t>
      </w:r>
    </w:p>
    <w:p w:rsidR="0071523A" w:rsidRPr="0071523A" w:rsidRDefault="0071523A" w:rsidP="002938D7">
      <w:pPr>
        <w:pStyle w:val="SingleTxtG"/>
      </w:pPr>
      <w:r w:rsidRPr="0071523A">
        <w:t>12.</w:t>
      </w:r>
      <w:r w:rsidRPr="0071523A">
        <w:tab/>
        <w:t xml:space="preserve">Sírvanse proporcionar información sobre las nuevas medidas </w:t>
      </w:r>
      <w:r w:rsidR="002938D7">
        <w:t xml:space="preserve">o legislación </w:t>
      </w:r>
      <w:r w:rsidRPr="0071523A">
        <w:t xml:space="preserve">que se hayan adoptado para dar cumplimiento al artículo 5 de la Convención. </w:t>
      </w:r>
      <w:r w:rsidR="002938D7">
        <w:t>I</w:t>
      </w:r>
      <w:r w:rsidRPr="0071523A">
        <w:t xml:space="preserve">nformen al Comité sobre los tratados de extradición celebrados con otros Estados partes e indiquen si los delitos mencionados en el artículo 4 de la Convención están </w:t>
      </w:r>
      <w:r w:rsidR="002938D7">
        <w:t xml:space="preserve">incluidos </w:t>
      </w:r>
      <w:r w:rsidRPr="0071523A">
        <w:t xml:space="preserve">en esos tratados como delitos </w:t>
      </w:r>
      <w:r w:rsidR="002938D7">
        <w:t>que permiten l</w:t>
      </w:r>
      <w:r w:rsidRPr="0071523A">
        <w:t>a extradición.</w:t>
      </w:r>
    </w:p>
    <w:p w:rsidR="0071523A" w:rsidRPr="0071523A" w:rsidRDefault="0071523A" w:rsidP="002938D7">
      <w:pPr>
        <w:pStyle w:val="SingleTxtG"/>
      </w:pPr>
      <w:r w:rsidRPr="0071523A">
        <w:t>13.</w:t>
      </w:r>
      <w:r w:rsidRPr="0071523A">
        <w:tab/>
      </w:r>
      <w:r w:rsidR="002938D7">
        <w:t>Rogamos indiquen</w:t>
      </w:r>
      <w:r w:rsidRPr="0071523A">
        <w:t xml:space="preserve"> si, desde que el Comité examinó el anterior informe del Estado parte, este ha </w:t>
      </w:r>
      <w:r w:rsidR="002938D7">
        <w:t>denegado</w:t>
      </w:r>
      <w:r w:rsidRPr="0071523A">
        <w:t xml:space="preserve">, por cualquier motivo, la solicitud de un Estado de extraditar a una persona sospechosa de haber cometido actos de tortura y si, </w:t>
      </w:r>
      <w:r w:rsidR="002938D7">
        <w:t>a razón de ello</w:t>
      </w:r>
      <w:r w:rsidRPr="0071523A">
        <w:t>, ha iniciado actuaciones judiciales contra esa persona. De ser así, faciliten información sobre la situación y los resultados de dichas actuaciones.</w:t>
      </w:r>
    </w:p>
    <w:p w:rsidR="0071523A" w:rsidRPr="0071523A" w:rsidRDefault="0071523A" w:rsidP="002938D7">
      <w:pPr>
        <w:pStyle w:val="SingleTxtG"/>
      </w:pPr>
      <w:r w:rsidRPr="0071523A">
        <w:t>14.</w:t>
      </w:r>
      <w:r w:rsidRPr="0071523A">
        <w:tab/>
      </w:r>
      <w:r w:rsidR="002938D7">
        <w:t xml:space="preserve">Rogamos aclaren </w:t>
      </w:r>
      <w:r w:rsidRPr="0071523A">
        <w:t>qué tratados o acuerdos de asistencia mutua ha suscrito el Estado parte con otras entidades, ya sean países, tribunales internacionales o instituciones internacionales, y si esos instrumentos han dado lugar en la práctica a que se remitan pruebas en relación con proces</w:t>
      </w:r>
      <w:r w:rsidR="002938D7">
        <w:t>amientos</w:t>
      </w:r>
      <w:r w:rsidRPr="0071523A">
        <w:t xml:space="preserve"> por tortura </w:t>
      </w:r>
      <w:r w:rsidR="002938D7">
        <w:t>y</w:t>
      </w:r>
      <w:r w:rsidRPr="0071523A">
        <w:t xml:space="preserve"> malos tratos. Se ruega proporcionen ejemplos.</w:t>
      </w:r>
    </w:p>
    <w:p w:rsidR="0071523A" w:rsidRPr="0071523A" w:rsidRDefault="0071523A" w:rsidP="002938D7">
      <w:pPr>
        <w:pStyle w:val="H23G"/>
      </w:pPr>
      <w:r w:rsidRPr="0071523A">
        <w:tab/>
      </w:r>
      <w:r w:rsidR="002938D7">
        <w:tab/>
      </w:r>
      <w:r w:rsidRPr="0071523A">
        <w:t>Artículo 10</w:t>
      </w:r>
    </w:p>
    <w:p w:rsidR="0071523A" w:rsidRPr="0071523A" w:rsidRDefault="0071523A" w:rsidP="002938D7">
      <w:pPr>
        <w:pStyle w:val="SingleTxtG"/>
      </w:pPr>
      <w:r w:rsidRPr="0071523A">
        <w:t>15.</w:t>
      </w:r>
      <w:r w:rsidRPr="0071523A">
        <w:tab/>
        <w:t xml:space="preserve">Sírvanse proporcionar información actualizada sobre los programas educativos establecidos por el Estado parte para que todos los funcionarios encargados de hacer cumplir la ley, </w:t>
      </w:r>
      <w:r w:rsidR="002938D7">
        <w:t xml:space="preserve">incluidos </w:t>
      </w:r>
      <w:r w:rsidRPr="0071523A">
        <w:t>el personal penitenciario y los guardias de fronteras, conozcan plenamente las disposiciones de la Convención y sean conscientes de que no se tolerarán las infracciones, que estas se</w:t>
      </w:r>
      <w:r w:rsidR="002938D7">
        <w:t>rán</w:t>
      </w:r>
      <w:r w:rsidRPr="0071523A">
        <w:t xml:space="preserve"> investiga</w:t>
      </w:r>
      <w:r w:rsidR="002938D7">
        <w:t>das</w:t>
      </w:r>
      <w:r w:rsidRPr="0071523A">
        <w:t xml:space="preserve">, y que </w:t>
      </w:r>
      <w:r w:rsidR="002938D7">
        <w:t xml:space="preserve">los </w:t>
      </w:r>
      <w:r w:rsidRPr="0071523A">
        <w:t xml:space="preserve">responsables serán enjuiciados. </w:t>
      </w:r>
      <w:r w:rsidR="002938D7">
        <w:t>I</w:t>
      </w:r>
      <w:r w:rsidRPr="0071523A">
        <w:t>ndi</w:t>
      </w:r>
      <w:r w:rsidR="002938D7">
        <w:t>quen</w:t>
      </w:r>
      <w:r w:rsidRPr="0071523A">
        <w:t xml:space="preserve"> si el Estado parte ha elaborado alguna metodología </w:t>
      </w:r>
      <w:r w:rsidR="002938D7">
        <w:t xml:space="preserve">al objeto de evaluar </w:t>
      </w:r>
      <w:r w:rsidRPr="0071523A">
        <w:t xml:space="preserve">la </w:t>
      </w:r>
      <w:r w:rsidR="002938D7">
        <w:t xml:space="preserve">efectividad </w:t>
      </w:r>
      <w:r w:rsidRPr="0071523A">
        <w:t xml:space="preserve">de </w:t>
      </w:r>
      <w:r w:rsidR="002938D7">
        <w:t xml:space="preserve">los </w:t>
      </w:r>
      <w:r w:rsidRPr="0071523A">
        <w:t xml:space="preserve">programas educativos y formativos </w:t>
      </w:r>
      <w:r w:rsidR="002938D7">
        <w:t xml:space="preserve">para reducir el </w:t>
      </w:r>
      <w:r w:rsidRPr="0071523A">
        <w:t>número de casos de tortura y malos tratos y, de ser así, faciliten información sobre dicha metodología.</w:t>
      </w:r>
    </w:p>
    <w:p w:rsidR="0071523A" w:rsidRPr="0071523A" w:rsidRDefault="0071523A" w:rsidP="00CA3181">
      <w:pPr>
        <w:pStyle w:val="SingleTxtG"/>
      </w:pPr>
      <w:r w:rsidRPr="0071523A">
        <w:t>16.</w:t>
      </w:r>
      <w:r w:rsidRPr="0071523A">
        <w:tab/>
        <w:t>En relación con las anteriores observaciones finales del Comité (párrs. 46 y 47), sírvanse proporcionar información detallada sobre los programas de formación para jueces, fiscales, médicos forenses y profesionales sanitarios que se ocupan de las personas privadas de libertad a fin de que puedan detectar y documentar las secuelas físicas y psicológicas de la tortura, entre otras cosas si esos programas contienen capacitación específica sobre el Manual para la investigación y documentación eficaces de la tortura y otros tratos o penas crueles, inhumanos o degradantes (Protocolo de Estambul).</w:t>
      </w:r>
    </w:p>
    <w:p w:rsidR="0071523A" w:rsidRPr="0071523A" w:rsidRDefault="002938D7" w:rsidP="002938D7">
      <w:pPr>
        <w:pStyle w:val="H23G"/>
      </w:pPr>
      <w:r>
        <w:tab/>
      </w:r>
      <w:r w:rsidR="0071523A" w:rsidRPr="0071523A">
        <w:tab/>
        <w:t>Artículo 11</w:t>
      </w:r>
    </w:p>
    <w:p w:rsidR="0071523A" w:rsidRPr="0071523A" w:rsidRDefault="0071523A" w:rsidP="00CA3181">
      <w:pPr>
        <w:pStyle w:val="SingleTxtG"/>
      </w:pPr>
      <w:r w:rsidRPr="0071523A">
        <w:t>17.</w:t>
      </w:r>
      <w:r w:rsidRPr="0071523A">
        <w:tab/>
      </w:r>
      <w:r w:rsidR="00CA3181">
        <w:t xml:space="preserve">Rogamos describan </w:t>
      </w:r>
      <w:r w:rsidRPr="0071523A">
        <w:t xml:space="preserve">los procedimientos </w:t>
      </w:r>
      <w:r w:rsidR="00CA3181">
        <w:t xml:space="preserve">existentes </w:t>
      </w:r>
      <w:r w:rsidRPr="0071523A">
        <w:t xml:space="preserve">para </w:t>
      </w:r>
      <w:r w:rsidR="00CA3181">
        <w:t xml:space="preserve">asegurar </w:t>
      </w:r>
      <w:r w:rsidRPr="0071523A">
        <w:t>el cumplimiento del artículo 11 de la Convención e inform</w:t>
      </w:r>
      <w:r w:rsidR="00CA3181">
        <w:t>en</w:t>
      </w:r>
      <w:r w:rsidRPr="0071523A">
        <w:t xml:space="preserve"> sobre las normas, instrucciones, métodos y prácticas o disposiciones en materia de reclusión que se hayan adoptado desde el examen del informe periódico anterior, e indiquen la frecuencia con que se revisan.</w:t>
      </w:r>
    </w:p>
    <w:p w:rsidR="0071523A" w:rsidRPr="0071523A" w:rsidRDefault="0071523A" w:rsidP="00CA3181">
      <w:pPr>
        <w:pStyle w:val="SingleTxtG"/>
      </w:pPr>
      <w:r w:rsidRPr="0071523A">
        <w:t>18.</w:t>
      </w:r>
      <w:r w:rsidRPr="0071523A">
        <w:tab/>
        <w:t xml:space="preserve">Proporcionen datos estadísticos, desglosados por sexo, edad y origen étnico o nacionalidad, sobre el número de personas en prisión preventiva y de </w:t>
      </w:r>
      <w:r w:rsidR="00CA3181">
        <w:t>reclusos que cumplen condena</w:t>
      </w:r>
      <w:r w:rsidRPr="0071523A">
        <w:t>, así como sobre la tasa de ocupación de</w:t>
      </w:r>
      <w:r w:rsidR="002938D7">
        <w:t xml:space="preserve"> todos los centros de reclusión</w:t>
      </w:r>
      <w:r w:rsidRPr="0071523A">
        <w:rPr>
          <w:sz w:val="18"/>
          <w:szCs w:val="18"/>
          <w:vertAlign w:val="superscript"/>
        </w:rPr>
        <w:footnoteReference w:id="14"/>
      </w:r>
      <w:r w:rsidR="002938D7">
        <w:t>.</w:t>
      </w:r>
      <w:r w:rsidRPr="0071523A">
        <w:t xml:space="preserve"> </w:t>
      </w:r>
    </w:p>
    <w:p w:rsidR="0071523A" w:rsidRPr="0071523A" w:rsidRDefault="0071523A" w:rsidP="00CA3181">
      <w:pPr>
        <w:pStyle w:val="SingleTxtG"/>
      </w:pPr>
      <w:r w:rsidRPr="0071523A">
        <w:t>19.</w:t>
      </w:r>
      <w:r w:rsidRPr="0071523A">
        <w:tab/>
        <w:t xml:space="preserve">Habida cuenta de las anteriores observaciones finales (párrs. 34 y 35), sírvanse proporcionar información sobre la labor realizada por el Estado parte para atender las necesidades especiales de los menores y las mujeres privados de libertad. </w:t>
      </w:r>
      <w:r w:rsidR="00CA3181">
        <w:t>A</w:t>
      </w:r>
      <w:r w:rsidRPr="0071523A">
        <w:t>clar</w:t>
      </w:r>
      <w:r w:rsidR="00CA3181">
        <w:t>en</w:t>
      </w:r>
      <w:r w:rsidRPr="0071523A">
        <w:t xml:space="preserve"> la legislación y las políticas actuales en relación con los menores en prisión preventiva. En lo que respecta a las instituciones penitenciarias de Groenlandia, inform</w:t>
      </w:r>
      <w:r w:rsidR="00CA3181">
        <w:t>en</w:t>
      </w:r>
      <w:r w:rsidRPr="0071523A">
        <w:t xml:space="preserve"> al Comité sobre las medidas adoptadas para </w:t>
      </w:r>
      <w:r w:rsidR="00CA3181">
        <w:t xml:space="preserve">dar respuesta a </w:t>
      </w:r>
      <w:r w:rsidRPr="0071523A">
        <w:t xml:space="preserve">las preocupaciones </w:t>
      </w:r>
      <w:r w:rsidR="00CA3181">
        <w:t xml:space="preserve">expresadas sobre </w:t>
      </w:r>
      <w:r w:rsidRPr="0071523A">
        <w:t xml:space="preserve">las condiciones de </w:t>
      </w:r>
      <w:r w:rsidR="00CA3181">
        <w:t xml:space="preserve">reclusión </w:t>
      </w:r>
      <w:r w:rsidRPr="0071523A">
        <w:t xml:space="preserve">y, en particular, sobre si se han adoptado medidas para </w:t>
      </w:r>
      <w:r w:rsidR="00CA3181">
        <w:t xml:space="preserve">asegurar </w:t>
      </w:r>
      <w:r w:rsidRPr="0071523A">
        <w:t xml:space="preserve">la separación </w:t>
      </w:r>
      <w:r w:rsidR="00CA3181">
        <w:t xml:space="preserve">de los hombres y las mujeres </w:t>
      </w:r>
      <w:r w:rsidRPr="0071523A">
        <w:t xml:space="preserve">en todos los lugares de </w:t>
      </w:r>
      <w:r w:rsidR="00CA3181">
        <w:t>reclusión</w:t>
      </w:r>
      <w:r w:rsidRPr="0071523A">
        <w:t>.</w:t>
      </w:r>
    </w:p>
    <w:p w:rsidR="0071523A" w:rsidRPr="0071523A" w:rsidRDefault="0071523A" w:rsidP="00CA3181">
      <w:pPr>
        <w:pStyle w:val="SingleTxtG"/>
      </w:pPr>
      <w:r w:rsidRPr="0071523A">
        <w:t>20.</w:t>
      </w:r>
      <w:r w:rsidRPr="0071523A">
        <w:tab/>
        <w:t>Teniendo en cuenta las anteriores observaciones finales del Comité (párrs. 36 y 37) y las respuestas de seguimiento del Estado parte</w:t>
      </w:r>
      <w:r w:rsidRPr="0071523A">
        <w:rPr>
          <w:sz w:val="18"/>
          <w:szCs w:val="18"/>
          <w:vertAlign w:val="superscript"/>
        </w:rPr>
        <w:footnoteReference w:id="15"/>
      </w:r>
      <w:r w:rsidR="00CA3181">
        <w:t>,</w:t>
      </w:r>
      <w:r w:rsidRPr="0071523A">
        <w:t xml:space="preserve"> </w:t>
      </w:r>
      <w:r w:rsidR="00CA3181">
        <w:t xml:space="preserve">rogamos indiquen </w:t>
      </w:r>
      <w:r w:rsidRPr="0071523A">
        <w:t xml:space="preserve">las medidas adoptadas para que </w:t>
      </w:r>
      <w:r w:rsidR="00CA3181">
        <w:t xml:space="preserve">las personas recluidas en espera de juicio </w:t>
      </w:r>
      <w:r w:rsidRPr="0071523A">
        <w:t>estén separad</w:t>
      </w:r>
      <w:r w:rsidR="00CA3181">
        <w:t>a</w:t>
      </w:r>
      <w:r w:rsidRPr="0071523A">
        <w:t xml:space="preserve">s de </w:t>
      </w:r>
      <w:r w:rsidR="00CA3181">
        <w:t>las que cumplen condena</w:t>
      </w:r>
      <w:r w:rsidRPr="0071523A">
        <w:t xml:space="preserve">, y que los menores estén separados de los adultos en todos los </w:t>
      </w:r>
      <w:r w:rsidR="00CA3181">
        <w:t>centros de reclusión</w:t>
      </w:r>
      <w:r w:rsidRPr="0071523A">
        <w:rPr>
          <w:sz w:val="18"/>
          <w:szCs w:val="18"/>
          <w:vertAlign w:val="superscript"/>
        </w:rPr>
        <w:footnoteReference w:id="16"/>
      </w:r>
      <w:r w:rsidR="00CA3181">
        <w:t>.</w:t>
      </w:r>
      <w:r w:rsidRPr="0071523A">
        <w:t xml:space="preserve"> </w:t>
      </w:r>
      <w:r w:rsidR="00CA3181">
        <w:t xml:space="preserve">Formulen observaciones sobre </w:t>
      </w:r>
      <w:r w:rsidRPr="0071523A">
        <w:t xml:space="preserve">la información que indica que los </w:t>
      </w:r>
      <w:r w:rsidR="00CA3181">
        <w:t xml:space="preserve">reclusos </w:t>
      </w:r>
      <w:r w:rsidRPr="0071523A">
        <w:t xml:space="preserve">en régimen preventivo son objeto de severas restricciones en </w:t>
      </w:r>
      <w:r w:rsidR="00CA3181">
        <w:t xml:space="preserve">lo que se refiere a </w:t>
      </w:r>
      <w:r w:rsidRPr="0071523A">
        <w:t xml:space="preserve">los contactos con el mundo exterior. </w:t>
      </w:r>
      <w:r w:rsidR="00CA3181">
        <w:t>I</w:t>
      </w:r>
      <w:r w:rsidRPr="0071523A">
        <w:t>ndi</w:t>
      </w:r>
      <w:r w:rsidR="00CA3181">
        <w:t>quen</w:t>
      </w:r>
      <w:r w:rsidRPr="0071523A">
        <w:t xml:space="preserve"> si el Estado parte ha adoptado medidas para ajustar </w:t>
      </w:r>
      <w:r w:rsidR="00CA3181">
        <w:t xml:space="preserve">la </w:t>
      </w:r>
      <w:r w:rsidRPr="0071523A">
        <w:t xml:space="preserve">legislación y </w:t>
      </w:r>
      <w:r w:rsidR="00CA3181">
        <w:t xml:space="preserve">la </w:t>
      </w:r>
      <w:r w:rsidRPr="0071523A">
        <w:t xml:space="preserve">práctica </w:t>
      </w:r>
      <w:r w:rsidR="00CA3181">
        <w:t xml:space="preserve">sobre el </w:t>
      </w:r>
      <w:r w:rsidRPr="0071523A">
        <w:t xml:space="preserve">régimen de aislamiento a las normas internacionales. </w:t>
      </w:r>
      <w:r w:rsidR="00CA3181">
        <w:t>D</w:t>
      </w:r>
      <w:r w:rsidRPr="0071523A">
        <w:t>ebe</w:t>
      </w:r>
      <w:r w:rsidR="00CA3181">
        <w:t>n</w:t>
      </w:r>
      <w:r w:rsidRPr="0071523A">
        <w:t xml:space="preserve"> incluir</w:t>
      </w:r>
      <w:r w:rsidR="00CA3181">
        <w:t>se</w:t>
      </w:r>
      <w:r w:rsidRPr="0071523A">
        <w:t xml:space="preserve"> datos sobre el </w:t>
      </w:r>
      <w:r w:rsidR="00CA3181">
        <w:t xml:space="preserve">recurso al </w:t>
      </w:r>
      <w:r w:rsidRPr="0071523A">
        <w:t>régimen de aislamiento durante el período que se examina, así como una indicación de su duración (párrs. 32 y 33)</w:t>
      </w:r>
      <w:r w:rsidRPr="0071523A">
        <w:rPr>
          <w:sz w:val="18"/>
          <w:szCs w:val="18"/>
          <w:vertAlign w:val="superscript"/>
        </w:rPr>
        <w:footnoteReference w:id="17"/>
      </w:r>
      <w:r w:rsidR="00CA3181">
        <w:t>.</w:t>
      </w:r>
      <w:r w:rsidRPr="0071523A">
        <w:t xml:space="preserve"> </w:t>
      </w:r>
      <w:r w:rsidR="00CA3181">
        <w:t xml:space="preserve">Informen </w:t>
      </w:r>
      <w:r w:rsidRPr="0071523A">
        <w:t xml:space="preserve">al Comité sobre las medidas adoptadas para </w:t>
      </w:r>
      <w:r w:rsidR="00CA3181">
        <w:t xml:space="preserve">dar respuesta a las preocupaciones expresadas acerca del </w:t>
      </w:r>
      <w:r w:rsidRPr="0071523A">
        <w:t xml:space="preserve">elevado número de reclusos con problemas de salud mental en las instituciones del Servicio de Prisiones y Libertad Condicional. </w:t>
      </w:r>
    </w:p>
    <w:p w:rsidR="0071523A" w:rsidRPr="0071523A" w:rsidRDefault="0071523A" w:rsidP="00CA3181">
      <w:pPr>
        <w:pStyle w:val="SingleTxtG"/>
      </w:pPr>
      <w:r w:rsidRPr="0071523A">
        <w:t>21.</w:t>
      </w:r>
      <w:r w:rsidRPr="0071523A">
        <w:tab/>
        <w:t>Sírvanse informar sobre la frecuencia con que se producen incidentes violentos entre reclusos, incluidos casos de posible negligencia del</w:t>
      </w:r>
      <w:r w:rsidR="00CA3181">
        <w:t xml:space="preserve"> personal encargado de mantener el </w:t>
      </w:r>
      <w:r w:rsidRPr="0071523A">
        <w:t xml:space="preserve">orden, así como sobre el número de denuncias presentadas al respecto y sus resultados. Indiquen </w:t>
      </w:r>
      <w:r w:rsidR="00CA3181">
        <w:t xml:space="preserve">las </w:t>
      </w:r>
      <w:r w:rsidRPr="0071523A">
        <w:t xml:space="preserve">medidas preventivas </w:t>
      </w:r>
      <w:r w:rsidR="00CA3181">
        <w:t xml:space="preserve">que </w:t>
      </w:r>
      <w:r w:rsidRPr="0071523A">
        <w:t>se han adoptado.</w:t>
      </w:r>
    </w:p>
    <w:p w:rsidR="0071523A" w:rsidRPr="0071523A" w:rsidRDefault="0071523A" w:rsidP="00CA3181">
      <w:pPr>
        <w:pStyle w:val="SingleTxtG"/>
      </w:pPr>
      <w:r w:rsidRPr="0071523A">
        <w:t>22.</w:t>
      </w:r>
      <w:r w:rsidRPr="0071523A">
        <w:tab/>
      </w:r>
      <w:r w:rsidR="00CA3181">
        <w:t xml:space="preserve">Se ruega </w:t>
      </w:r>
      <w:r w:rsidRPr="0071523A">
        <w:t>facilit</w:t>
      </w:r>
      <w:r w:rsidR="00CA3181">
        <w:t>en</w:t>
      </w:r>
      <w:r w:rsidRPr="0071523A">
        <w:t xml:space="preserve"> datos estadísticos sobre el número de muertes de personas recluidas, </w:t>
      </w:r>
      <w:r w:rsidR="00CA3181">
        <w:t xml:space="preserve">también </w:t>
      </w:r>
      <w:r w:rsidRPr="0071523A">
        <w:t>en instituciones de salud mental y centros de detención policial, durante el período que abarca el informe, desglosados por lugar de reclusión, sexo, edad y origen étnico o nacionalidad del fallecido y causa del</w:t>
      </w:r>
      <w:r w:rsidR="00CA3181">
        <w:t xml:space="preserve"> fallecimiento</w:t>
      </w:r>
      <w:r w:rsidRPr="0071523A">
        <w:t>. Apórtese información sobre los resultados de las investigaciones de esas muertes y las medidas adoptadas para evitar que se produzcan casos similares en el futuro. Indiquen si en algún caso se indemnizó a los familiares.</w:t>
      </w:r>
    </w:p>
    <w:p w:rsidR="0071523A" w:rsidRPr="0071523A" w:rsidRDefault="0071523A" w:rsidP="00CA3181">
      <w:pPr>
        <w:pStyle w:val="SingleTxtG"/>
      </w:pPr>
      <w:r w:rsidRPr="0071523A">
        <w:t>23.</w:t>
      </w:r>
      <w:r w:rsidRPr="0071523A">
        <w:tab/>
        <w:t xml:space="preserve">Teniendo en cuenta las anteriores observaciones finales del Comité (párrs. 30 y 31), </w:t>
      </w:r>
      <w:r w:rsidR="00CA3181">
        <w:t xml:space="preserve">aclaren </w:t>
      </w:r>
      <w:r w:rsidRPr="0071523A">
        <w:t xml:space="preserve">si el Estado parte ha revisado las normas que regulan el uso de gas pimienta por la policía y el personal </w:t>
      </w:r>
      <w:r w:rsidR="00CA3181">
        <w:t>de prisiones</w:t>
      </w:r>
      <w:r w:rsidRPr="0071523A">
        <w:t>.</w:t>
      </w:r>
    </w:p>
    <w:p w:rsidR="0071523A" w:rsidRPr="0071523A" w:rsidRDefault="0071523A" w:rsidP="00B11F27">
      <w:pPr>
        <w:pStyle w:val="SingleTxtG"/>
      </w:pPr>
      <w:r w:rsidRPr="0071523A">
        <w:t>24.</w:t>
      </w:r>
      <w:r w:rsidRPr="0071523A">
        <w:tab/>
        <w:t xml:space="preserve">Habida cuenta de las anteriores observaciones finales (párrs. 22 a 25), </w:t>
      </w:r>
      <w:r w:rsidR="00CA3181">
        <w:t xml:space="preserve">rogamos indiquen </w:t>
      </w:r>
      <w:r w:rsidRPr="0071523A">
        <w:t xml:space="preserve">las medidas adoptadas por el Estado parte para que solo se </w:t>
      </w:r>
      <w:r w:rsidR="00CA3181">
        <w:t xml:space="preserve">recurra a </w:t>
      </w:r>
      <w:r w:rsidRPr="0071523A">
        <w:t xml:space="preserve">la detención de solicitantes de asilo, incluidos los niños no acompañados, </w:t>
      </w:r>
      <w:r w:rsidR="00CA3181">
        <w:t>en última instancia</w:t>
      </w:r>
      <w:r w:rsidRPr="0071523A">
        <w:t>, cuando sea necesario, y por el período más br</w:t>
      </w:r>
      <w:r w:rsidR="00CA3181">
        <w:t>eve posible, y para que se siga</w:t>
      </w:r>
      <w:r w:rsidRPr="0071523A">
        <w:t xml:space="preserve"> </w:t>
      </w:r>
      <w:r w:rsidR="00CA3181">
        <w:t xml:space="preserve">recurriendo </w:t>
      </w:r>
      <w:r w:rsidRPr="0071523A">
        <w:t xml:space="preserve">en la práctica </w:t>
      </w:r>
      <w:r w:rsidR="00CA3181">
        <w:t xml:space="preserve">a </w:t>
      </w:r>
      <w:r w:rsidRPr="0071523A">
        <w:t>solucio</w:t>
      </w:r>
      <w:r w:rsidR="0034479A">
        <w:t>nes alternativas a la detención</w:t>
      </w:r>
      <w:r w:rsidRPr="0071523A">
        <w:rPr>
          <w:sz w:val="18"/>
          <w:szCs w:val="18"/>
          <w:vertAlign w:val="superscript"/>
        </w:rPr>
        <w:footnoteReference w:id="18"/>
      </w:r>
      <w:r w:rsidR="0034479A">
        <w:t>.</w:t>
      </w:r>
      <w:r w:rsidRPr="0071523A">
        <w:t xml:space="preserve"> Faciliten datos estadísticos, desglosados por sexo, edad y nacionalidad, sobre el número de personas detenidas en aplicación de la Ley de Extranjería de Dinamarca. ¿Qué medidas concretas se han adoptado para </w:t>
      </w:r>
      <w:r w:rsidR="00CA3181">
        <w:t>dar respuesta a las inquietudes expresadas acerca de</w:t>
      </w:r>
      <w:r w:rsidRPr="0071523A">
        <w:t xml:space="preserve"> la modificación de la Ley de Extranjería aprobada en noviembre de 2015, que permite la suspensión temporal de salvaguardias legales fundamentales, </w:t>
      </w:r>
      <w:r w:rsidR="00CA3181">
        <w:t xml:space="preserve">incluida </w:t>
      </w:r>
      <w:r w:rsidRPr="0071523A">
        <w:t>la supervisión judicial de la detención, en situaciones de gran afluencia de migrantes y solicitantes de asilo calificadas como “circunstancias especiales”</w:t>
      </w:r>
      <w:r w:rsidRPr="0071523A">
        <w:rPr>
          <w:sz w:val="18"/>
          <w:szCs w:val="18"/>
          <w:vertAlign w:val="superscript"/>
        </w:rPr>
        <w:footnoteReference w:id="19"/>
      </w:r>
      <w:r w:rsidR="00B11F27">
        <w:t>?</w:t>
      </w:r>
      <w:r w:rsidRPr="0071523A">
        <w:t xml:space="preserve"> Proporciónese información </w:t>
      </w:r>
      <w:r w:rsidR="00B11F27">
        <w:t xml:space="preserve">también </w:t>
      </w:r>
      <w:r w:rsidRPr="0071523A">
        <w:t xml:space="preserve">sobre las medidas adoptadas para </w:t>
      </w:r>
      <w:r w:rsidR="00B11F27">
        <w:t xml:space="preserve">asegurar </w:t>
      </w:r>
      <w:r w:rsidRPr="0071523A">
        <w:t>la pronta identificación de las víctimas de tortura</w:t>
      </w:r>
      <w:r w:rsidR="00B11F27">
        <w:t>s</w:t>
      </w:r>
      <w:r w:rsidRPr="0071523A">
        <w:t xml:space="preserve">, y </w:t>
      </w:r>
      <w:r w:rsidR="00B11F27">
        <w:t xml:space="preserve">de </w:t>
      </w:r>
      <w:r w:rsidRPr="0071523A">
        <w:t>otras personas y grupos vulnerables, y para que esas personas no sean detenidas en el marco de los procedimientos de asilo</w:t>
      </w:r>
      <w:r w:rsidR="00B11F27">
        <w:t xml:space="preserve"> (párrs. 22 y 23)</w:t>
      </w:r>
      <w:r w:rsidRPr="0071523A">
        <w:rPr>
          <w:sz w:val="18"/>
          <w:szCs w:val="18"/>
          <w:vertAlign w:val="superscript"/>
        </w:rPr>
        <w:footnoteReference w:id="20"/>
      </w:r>
      <w:r w:rsidR="00B11F27">
        <w:t>.</w:t>
      </w:r>
      <w:r w:rsidRPr="0071523A">
        <w:t xml:space="preserve"> Indíquese qué medidas concretas se han adoptado para mejorar las condiciones de detención en los centros de expulsión, en particular en el centro de detención de Vridsløselille</w:t>
      </w:r>
      <w:r w:rsidRPr="0071523A">
        <w:rPr>
          <w:sz w:val="18"/>
          <w:szCs w:val="18"/>
          <w:vertAlign w:val="superscript"/>
        </w:rPr>
        <w:footnoteReference w:id="21"/>
      </w:r>
      <w:r w:rsidR="00B11F27">
        <w:t>.</w:t>
      </w:r>
      <w:r w:rsidRPr="0071523A">
        <w:t xml:space="preserve"> Sírvanse proporcionar información sobre las actividades educativas y recreativas en los centros para solicitantes de asilo y sobre si estos disponen de servicios sociales y sanitarios adecuados</w:t>
      </w:r>
      <w:r w:rsidRPr="0071523A">
        <w:rPr>
          <w:sz w:val="18"/>
          <w:szCs w:val="18"/>
          <w:vertAlign w:val="superscript"/>
        </w:rPr>
        <w:footnoteReference w:id="22"/>
      </w:r>
      <w:r w:rsidR="00B11F27">
        <w:t>.</w:t>
      </w:r>
    </w:p>
    <w:p w:rsidR="0071523A" w:rsidRPr="0071523A" w:rsidRDefault="0071523A" w:rsidP="00B11F27">
      <w:pPr>
        <w:pStyle w:val="SingleTxtG"/>
      </w:pPr>
      <w:r w:rsidRPr="0071523A">
        <w:t>25.</w:t>
      </w:r>
      <w:r w:rsidRPr="0071523A">
        <w:tab/>
        <w:t xml:space="preserve">En relación con las anteriores observaciones finales del Comité (párrs. 40 y 41), sírvanse proporcionar información sobre las prácticas del Estado parte en relación con el uso de medios físicos y químicos de inmovilización y otras medidas médicas coercitivas no consentidas aplicables a las personas ingresadas en instituciones psiquiátricas. </w:t>
      </w:r>
      <w:r w:rsidR="00B11F27">
        <w:t>P</w:t>
      </w:r>
      <w:r w:rsidRPr="0071523A">
        <w:t>roporcion</w:t>
      </w:r>
      <w:r w:rsidR="00B11F27">
        <w:t xml:space="preserve">en también </w:t>
      </w:r>
      <w:r w:rsidRPr="0071523A">
        <w:t xml:space="preserve">información sobre las medidas adoptadas para que solo se </w:t>
      </w:r>
      <w:r w:rsidR="00B11F27">
        <w:t xml:space="preserve">recurra a </w:t>
      </w:r>
      <w:r w:rsidRPr="0071523A">
        <w:t xml:space="preserve">la inmovilización de pacientes ingresados en instituciones psiquiátricas </w:t>
      </w:r>
      <w:r w:rsidR="00B11F27">
        <w:t>en última</w:t>
      </w:r>
      <w:r w:rsidRPr="0071523A">
        <w:t xml:space="preserve"> </w:t>
      </w:r>
      <w:r w:rsidR="00B11F27">
        <w:t xml:space="preserve">instancia </w:t>
      </w:r>
      <w:r w:rsidRPr="0071523A">
        <w:t>y exclusivamente para evitar lesiones</w:t>
      </w:r>
      <w:r w:rsidRPr="0071523A">
        <w:rPr>
          <w:sz w:val="18"/>
          <w:szCs w:val="18"/>
          <w:vertAlign w:val="superscript"/>
        </w:rPr>
        <w:footnoteReference w:id="23"/>
      </w:r>
      <w:r w:rsidR="00B11F27">
        <w:t>.</w:t>
      </w:r>
      <w:r w:rsidRPr="0071523A">
        <w:t xml:space="preserve"> </w:t>
      </w:r>
      <w:r w:rsidR="00B11F27">
        <w:t>P</w:t>
      </w:r>
      <w:r w:rsidRPr="0071523A">
        <w:t>roporcion</w:t>
      </w:r>
      <w:r w:rsidR="00B11F27">
        <w:t xml:space="preserve">en </w:t>
      </w:r>
      <w:r w:rsidRPr="0071523A">
        <w:t xml:space="preserve">información sobre las </w:t>
      </w:r>
      <w:r w:rsidR="00B11F27">
        <w:t xml:space="preserve">salvaguardias </w:t>
      </w:r>
      <w:r w:rsidRPr="0071523A">
        <w:t>procesales y sustantivas aplicables en situaciones de internamiento involuntario o no consentido de personas con discapacidad, incluidos niños,</w:t>
      </w:r>
      <w:r w:rsidR="00B11F27">
        <w:t xml:space="preserve"> por motivos de atención médica</w:t>
      </w:r>
      <w:r w:rsidRPr="0071523A">
        <w:rPr>
          <w:sz w:val="18"/>
          <w:szCs w:val="18"/>
          <w:vertAlign w:val="superscript"/>
        </w:rPr>
        <w:footnoteReference w:id="24"/>
      </w:r>
      <w:r w:rsidR="00B11F27">
        <w:t>.</w:t>
      </w:r>
      <w:r w:rsidRPr="0071523A">
        <w:t xml:space="preserve"> </w:t>
      </w:r>
      <w:r w:rsidR="00B11F27">
        <w:t xml:space="preserve">Especifiquen </w:t>
      </w:r>
      <w:r w:rsidRPr="0071523A">
        <w:t xml:space="preserve">el número de personas privadas de libertad internadas en hospitales psiquiátricos y otras instituciones para personas con discapacidad psicosocial, incluidas residencias. Indiquen cuál es la situación en lo que se refiere a formas </w:t>
      </w:r>
      <w:r w:rsidR="00B11F27">
        <w:t xml:space="preserve">alternativas </w:t>
      </w:r>
      <w:r w:rsidRPr="0071523A">
        <w:t>de tratamiento, como servicios comunitarios de rehabilitación y otros programas de tratamiento ambulatorio.</w:t>
      </w:r>
    </w:p>
    <w:p w:rsidR="0071523A" w:rsidRPr="0071523A" w:rsidRDefault="00B11F27" w:rsidP="00B11F27">
      <w:pPr>
        <w:pStyle w:val="H23G"/>
      </w:pPr>
      <w:r>
        <w:tab/>
      </w:r>
      <w:r w:rsidR="0071523A" w:rsidRPr="0071523A">
        <w:tab/>
        <w:t>Artículos 12 y 13</w:t>
      </w:r>
    </w:p>
    <w:p w:rsidR="0071523A" w:rsidRPr="0071523A" w:rsidRDefault="0071523A" w:rsidP="001F3908">
      <w:pPr>
        <w:pStyle w:val="SingleTxtG"/>
      </w:pPr>
      <w:r w:rsidRPr="0071523A">
        <w:t>26.</w:t>
      </w:r>
      <w:r w:rsidRPr="0071523A">
        <w:tab/>
        <w:t xml:space="preserve">A la luz de las anteriores observaciones finales del Comité (párr. </w:t>
      </w:r>
      <w:r w:rsidR="001F3908">
        <w:t>48</w:t>
      </w:r>
      <w:r w:rsidRPr="0071523A">
        <w:t xml:space="preserve">), sírvanse aportar datos estadísticos actualizados, desglosados por sexo, edad, origen étnico o nacionalidad y lugar de reclusión, sobre las denuncias de tortura y malos tratos </w:t>
      </w:r>
      <w:r w:rsidR="00B11F27">
        <w:t xml:space="preserve">presentadas </w:t>
      </w:r>
      <w:r w:rsidRPr="0071523A">
        <w:t xml:space="preserve">durante el período que abarca el informe. Incluyan información sobre las investigaciones, los procedimientos disciplinarios y penales, las condenas y las sanciones penales o disciplinarias impuestas. </w:t>
      </w:r>
      <w:r w:rsidR="00B11F27">
        <w:t xml:space="preserve">Faciliten </w:t>
      </w:r>
      <w:r w:rsidRPr="0071523A">
        <w:t xml:space="preserve">ejemplos de </w:t>
      </w:r>
      <w:r w:rsidR="00B11F27">
        <w:t xml:space="preserve">casos </w:t>
      </w:r>
      <w:r w:rsidRPr="0071523A">
        <w:t>o decisiones judiciales pertinentes.</w:t>
      </w:r>
    </w:p>
    <w:p w:rsidR="0071523A" w:rsidRPr="0071523A" w:rsidRDefault="0071523A" w:rsidP="00B11F27">
      <w:pPr>
        <w:pStyle w:val="SingleTxtG"/>
      </w:pPr>
      <w:r w:rsidRPr="0071523A">
        <w:t>27.</w:t>
      </w:r>
      <w:r w:rsidRPr="0071523A">
        <w:tab/>
        <w:t xml:space="preserve">Con respecto a las anteriores observaciones finales del Comité (párrs. 18 y 19), </w:t>
      </w:r>
      <w:r w:rsidR="00B11F27">
        <w:t xml:space="preserve">se ruega indiquen </w:t>
      </w:r>
      <w:r w:rsidRPr="0071523A">
        <w:t xml:space="preserve">qué medidas ha adoptado el Estado parte para que se aborden e investiguen a fondo todas las presuntas </w:t>
      </w:r>
      <w:r w:rsidR="00B11F27">
        <w:t xml:space="preserve">vulneraciones </w:t>
      </w:r>
      <w:r w:rsidRPr="0071523A">
        <w:t>de la Convención ocurridas durante la transferencia de la custodia de prisioneros por el contingente danés de la Fuerza Internacional de Asistencia para la Seguridad en el Afganistán</w:t>
      </w:r>
      <w:r w:rsidR="00B11F27">
        <w:t xml:space="preserve"> a las fuerzas de otros Estados</w:t>
      </w:r>
      <w:r w:rsidRPr="0071523A">
        <w:rPr>
          <w:sz w:val="18"/>
          <w:szCs w:val="18"/>
          <w:vertAlign w:val="superscript"/>
        </w:rPr>
        <w:footnoteReference w:id="25"/>
      </w:r>
      <w:r w:rsidR="00B11F27">
        <w:t>.</w:t>
      </w:r>
    </w:p>
    <w:p w:rsidR="0071523A" w:rsidRPr="0071523A" w:rsidRDefault="0071523A" w:rsidP="00B11F27">
      <w:pPr>
        <w:pStyle w:val="SingleTxtG"/>
      </w:pPr>
      <w:r w:rsidRPr="0071523A">
        <w:t>28.</w:t>
      </w:r>
      <w:r w:rsidRPr="0071523A">
        <w:tab/>
      </w:r>
      <w:r w:rsidR="00B11F27">
        <w:t>I</w:t>
      </w:r>
      <w:r w:rsidRPr="0071523A">
        <w:t>ndi</w:t>
      </w:r>
      <w:r w:rsidR="00B11F27">
        <w:t xml:space="preserve">quen </w:t>
      </w:r>
      <w:r w:rsidRPr="0071523A">
        <w:t xml:space="preserve">si el Estado parte ha </w:t>
      </w:r>
      <w:r w:rsidR="00B11F27">
        <w:t xml:space="preserve">establecido la obligación de </w:t>
      </w:r>
      <w:r w:rsidRPr="0071523A">
        <w:t>todos los profesionales médicos de denunciar la tortura y los malos tratos cometidos contra personas privadas de libertad, como recomendó el Comité en sus anteriores obs</w:t>
      </w:r>
      <w:r w:rsidR="00B11F27">
        <w:t>ervaciones finales (párrs. 38 y </w:t>
      </w:r>
      <w:r w:rsidRPr="0071523A">
        <w:t>39).</w:t>
      </w:r>
    </w:p>
    <w:p w:rsidR="0071523A" w:rsidRPr="0071523A" w:rsidRDefault="00B11F27" w:rsidP="00B11F27">
      <w:pPr>
        <w:pStyle w:val="H23G"/>
      </w:pPr>
      <w:r>
        <w:tab/>
      </w:r>
      <w:r w:rsidR="0071523A" w:rsidRPr="0071523A">
        <w:tab/>
        <w:t>Artículo 14</w:t>
      </w:r>
    </w:p>
    <w:p w:rsidR="0071523A" w:rsidRPr="0071523A" w:rsidRDefault="0071523A" w:rsidP="008D51BA">
      <w:pPr>
        <w:pStyle w:val="SingleTxtG"/>
      </w:pPr>
      <w:r w:rsidRPr="0071523A">
        <w:t>29.</w:t>
      </w:r>
      <w:r w:rsidRPr="0071523A">
        <w:tab/>
        <w:t xml:space="preserve">Habida cuenta de las anteriores observaciones finales del Comité (párrs. 16 y 17) y del párrafo 46 de la observación general núm. 3 (2012) del Comité sobre la aplicación del artículo 14, </w:t>
      </w:r>
      <w:r w:rsidR="008D51BA">
        <w:t xml:space="preserve">faciliten </w:t>
      </w:r>
      <w:r w:rsidRPr="0071523A">
        <w:t xml:space="preserve">información sobre las medidas adoptadas para que los procedimientos civiles relacionados con la tortura y los malos tratos no estén sujetos a prescripción. Faciliten también información sobre las medidas de reparación e indemnización, incluidos medios de rehabilitación, </w:t>
      </w:r>
      <w:r w:rsidR="008D51BA">
        <w:t xml:space="preserve">ordenadas </w:t>
      </w:r>
      <w:r w:rsidRPr="0071523A">
        <w:t xml:space="preserve">por los tribunales y proporcionadas efectivamente a las víctimas de tortura, o a sus familiares, desde el examen del informe anterior. </w:t>
      </w:r>
      <w:r w:rsidR="008D51BA">
        <w:t xml:space="preserve">Incluyan </w:t>
      </w:r>
      <w:r w:rsidRPr="0071523A">
        <w:t>en esa información el número de solicitudes de indemnización presentadas, el número de solicitudes aceptadas y las sumas concedidas y efectivamente desembolsadas en cada caso. En particular, proporcion</w:t>
      </w:r>
      <w:r w:rsidR="008D51BA">
        <w:t>en</w:t>
      </w:r>
      <w:r w:rsidRPr="0071523A">
        <w:t xml:space="preserve"> información sobre el resultado de la demanda civil por daños y perjuicios presentada contra el Ministerio de Defensa por 11 ciudadanos iraquíes, quienes denunciaron haber sido torturados por soldados iraquíes durante una operación militar dirigida por soldados daneses en Basora (Iraq), en 2004.</w:t>
      </w:r>
    </w:p>
    <w:p w:rsidR="0071523A" w:rsidRPr="0071523A" w:rsidRDefault="0071523A" w:rsidP="0071523A">
      <w:pPr>
        <w:pStyle w:val="SingleTxtG"/>
      </w:pPr>
      <w:r w:rsidRPr="0071523A">
        <w:t>30.</w:t>
      </w:r>
      <w:r w:rsidRPr="0071523A">
        <w:tab/>
        <w:t>Informen además sobre los programas de reparación en curso, incluidos el tratamiento de traumas y otras modalidades de rehabilitación proporcionadas a las víctimas de tortura y malos tratos, así como sobre los recursos materiales, humanos y presupuestarios asignados a esos programas para que su funcionamiento sea efectivo.</w:t>
      </w:r>
    </w:p>
    <w:p w:rsidR="0071523A" w:rsidRPr="0071523A" w:rsidRDefault="008D51BA" w:rsidP="008D51BA">
      <w:pPr>
        <w:pStyle w:val="H23G"/>
      </w:pPr>
      <w:r>
        <w:tab/>
      </w:r>
      <w:r w:rsidR="0071523A" w:rsidRPr="0071523A">
        <w:tab/>
        <w:t>Artículo 15</w:t>
      </w:r>
    </w:p>
    <w:p w:rsidR="0071523A" w:rsidRPr="0071523A" w:rsidRDefault="0071523A" w:rsidP="008D51BA">
      <w:pPr>
        <w:pStyle w:val="SingleTxtG"/>
      </w:pPr>
      <w:r w:rsidRPr="0071523A">
        <w:t>31.</w:t>
      </w:r>
      <w:r w:rsidRPr="0071523A">
        <w:tab/>
        <w:t xml:space="preserve">Sírvanse facilitar información sobre las medidas concretas adoptadas para que, tanto en la legislación como en la práctica, se respete el principio de inadmisibilidad de pruebas obtenidas mediante tortura. Proporcionen ejemplos de </w:t>
      </w:r>
      <w:r w:rsidR="008D51BA">
        <w:t xml:space="preserve">asuntos </w:t>
      </w:r>
      <w:r w:rsidRPr="0071523A">
        <w:t xml:space="preserve">que hayan sido </w:t>
      </w:r>
      <w:r w:rsidR="008D51BA">
        <w:t>desestimado</w:t>
      </w:r>
      <w:r w:rsidRPr="0071523A">
        <w:t xml:space="preserve">s por los tribunales debido a la presentación de pruebas o testimonios obtenidos mediante tortura o malos tratos. </w:t>
      </w:r>
    </w:p>
    <w:p w:rsidR="0071523A" w:rsidRPr="0071523A" w:rsidRDefault="008D51BA" w:rsidP="008D51BA">
      <w:pPr>
        <w:pStyle w:val="H23G"/>
      </w:pPr>
      <w:r>
        <w:tab/>
      </w:r>
      <w:r w:rsidR="0071523A" w:rsidRPr="0071523A">
        <w:tab/>
        <w:t>Artículo 16</w:t>
      </w:r>
      <w:r w:rsidR="0071523A" w:rsidRPr="008D51BA">
        <w:rPr>
          <w:b w:val="0"/>
          <w:bCs/>
          <w:sz w:val="18"/>
          <w:szCs w:val="18"/>
          <w:vertAlign w:val="superscript"/>
        </w:rPr>
        <w:footnoteReference w:id="26"/>
      </w:r>
    </w:p>
    <w:p w:rsidR="0071523A" w:rsidRPr="0071523A" w:rsidRDefault="0071523A" w:rsidP="0071523A">
      <w:pPr>
        <w:pStyle w:val="SingleTxtG"/>
      </w:pPr>
      <w:r w:rsidRPr="0071523A">
        <w:t>32.</w:t>
      </w:r>
      <w:r w:rsidRPr="0071523A">
        <w:tab/>
        <w:t>A la luz de las anteriores observaciones finales (párrs. 42 y 43), indiquen qué medidas ha adoptado el Estado parte para garantizar que se respete la integridad física y la autonomía de las personas intersexuales y que nadie sea sometido durante la infancia a tratamientos médicos o quirúrgicos no urgentes para determinar su sexo. Indiquen el número de niños intersexuales que han sido sometidos a operaciones de asignación de se</w:t>
      </w:r>
      <w:r w:rsidR="00B83011">
        <w:t>xo durante el período examinado</w:t>
      </w:r>
      <w:r w:rsidRPr="0071523A">
        <w:rPr>
          <w:sz w:val="18"/>
          <w:szCs w:val="18"/>
          <w:vertAlign w:val="superscript"/>
        </w:rPr>
        <w:footnoteReference w:id="27"/>
      </w:r>
      <w:r w:rsidR="00B83011">
        <w:t>.</w:t>
      </w:r>
    </w:p>
    <w:p w:rsidR="0071523A" w:rsidRPr="0071523A" w:rsidRDefault="0071523A" w:rsidP="00B83011">
      <w:pPr>
        <w:pStyle w:val="SingleTxtG"/>
      </w:pPr>
      <w:r w:rsidRPr="0071523A">
        <w:t>33.</w:t>
      </w:r>
      <w:r w:rsidRPr="0071523A">
        <w:tab/>
      </w:r>
      <w:r w:rsidR="00B83011">
        <w:t>P</w:t>
      </w:r>
      <w:r w:rsidRPr="0071523A">
        <w:t>roporcion</w:t>
      </w:r>
      <w:r w:rsidR="00B83011">
        <w:t>en</w:t>
      </w:r>
      <w:r w:rsidRPr="0071523A">
        <w:t xml:space="preserve"> información sobre las medidas adoptadas para combatir los delitos por motivos raciales contra personas pertenecientes a grupos minoritarios y no </w:t>
      </w:r>
      <w:r w:rsidR="00B83011">
        <w:t xml:space="preserve">nacionales </w:t>
      </w:r>
      <w:r w:rsidRPr="0071523A">
        <w:t xml:space="preserve">y la violencia contra personas pertenecientes a las comunidades romaní y </w:t>
      </w:r>
      <w:r w:rsidR="00B83011">
        <w:t>judía</w:t>
      </w:r>
      <w:r w:rsidRPr="0071523A">
        <w:rPr>
          <w:sz w:val="18"/>
          <w:szCs w:val="18"/>
          <w:vertAlign w:val="superscript"/>
        </w:rPr>
        <w:footnoteReference w:id="28"/>
      </w:r>
      <w:r w:rsidR="00B83011">
        <w:t>.</w:t>
      </w:r>
      <w:r w:rsidRPr="0071523A">
        <w:t xml:space="preserve"> </w:t>
      </w:r>
    </w:p>
    <w:p w:rsidR="0071523A" w:rsidRPr="0071523A" w:rsidRDefault="0071523A" w:rsidP="00B83011">
      <w:pPr>
        <w:pStyle w:val="H23G"/>
      </w:pPr>
      <w:r w:rsidRPr="0071523A">
        <w:tab/>
      </w:r>
      <w:r w:rsidR="00B83011">
        <w:tab/>
      </w:r>
      <w:r w:rsidRPr="0071523A">
        <w:t>Otras cuestiones</w:t>
      </w:r>
    </w:p>
    <w:p w:rsidR="0071523A" w:rsidRPr="0071523A" w:rsidRDefault="0071523A" w:rsidP="0071523A">
      <w:pPr>
        <w:pStyle w:val="SingleTxtG"/>
      </w:pPr>
      <w:r w:rsidRPr="0071523A">
        <w:t>34.</w:t>
      </w:r>
      <w:r w:rsidRPr="0071523A">
        <w:tab/>
        <w:t>Sírvanse explicar de qué manera garantiza el Estado parte la protección de los derechos consagrados en la Convención en las Islas Feroe y Groenlandia.</w:t>
      </w:r>
    </w:p>
    <w:p w:rsidR="0071523A" w:rsidRPr="0071523A" w:rsidRDefault="0071523A" w:rsidP="00B83011">
      <w:pPr>
        <w:pStyle w:val="SingleTxtG"/>
      </w:pPr>
      <w:r w:rsidRPr="0071523A">
        <w:t>35.</w:t>
      </w:r>
      <w:r w:rsidRPr="0071523A">
        <w:tab/>
        <w:t xml:space="preserve">Faciliten información actualizada sobre las medidas adoptadas por el Estado parte para responder a las amenazas de terrorismo y describan, en su caso, cómo </w:t>
      </w:r>
      <w:r w:rsidR="00B83011" w:rsidRPr="0071523A">
        <w:t xml:space="preserve">han afectado </w:t>
      </w:r>
      <w:r w:rsidRPr="0071523A">
        <w:t>esas medidas de lucha contra el terrorismo a las salvaguardias que protegen los derechos humanos en la legislación y en la práctica. Expliquen la forma en que el Estado parte se ha asegurado de que esas medidas sean compatibles con todas sus obligaciones en virtud del derecho internacional, especialmente la Convención, de conformidad con las resoluciones pertinentes del Consejo de Seguridad, en parti</w:t>
      </w:r>
      <w:r w:rsidR="00B83011">
        <w:t>cular la resolución 1624 (2005)</w:t>
      </w:r>
      <w:r w:rsidRPr="0071523A">
        <w:rPr>
          <w:sz w:val="18"/>
          <w:szCs w:val="18"/>
          <w:vertAlign w:val="superscript"/>
        </w:rPr>
        <w:footnoteReference w:id="29"/>
      </w:r>
      <w:r w:rsidR="00B83011">
        <w:t>.</w:t>
      </w:r>
      <w:r w:rsidRPr="0071523A">
        <w:t xml:space="preserve"> </w:t>
      </w:r>
      <w:r w:rsidR="00B83011">
        <w:t>P</w:t>
      </w:r>
      <w:r w:rsidRPr="0071523A">
        <w:t xml:space="preserve">roporcionen información sobre la formación pertinente </w:t>
      </w:r>
      <w:r w:rsidR="00B83011">
        <w:t xml:space="preserve">que se imparte </w:t>
      </w:r>
      <w:r w:rsidRPr="0071523A">
        <w:t xml:space="preserve">a los agentes del orden; el número de personas condenadas en aplicación de legislación aprobada para combatir el terrorismo; los recursos legales y las salvaguardias disponibles en la legislación y en la práctica para las personas </w:t>
      </w:r>
      <w:r w:rsidR="00B83011">
        <w:t xml:space="preserve">contra las que se adoptan </w:t>
      </w:r>
      <w:r w:rsidRPr="0071523A">
        <w:t xml:space="preserve">medidas de lucha contra el terrorismo; si ha habido alguna </w:t>
      </w:r>
      <w:r w:rsidR="00B83011">
        <w:t xml:space="preserve">denuncia por </w:t>
      </w:r>
      <w:r w:rsidRPr="0071523A">
        <w:t xml:space="preserve">incumplimiento de las normas internacionales; y el resultado de esas </w:t>
      </w:r>
      <w:r w:rsidR="00B83011">
        <w:t>denuncias</w:t>
      </w:r>
      <w:r w:rsidRPr="0071523A">
        <w:rPr>
          <w:sz w:val="18"/>
          <w:szCs w:val="18"/>
          <w:vertAlign w:val="superscript"/>
        </w:rPr>
        <w:footnoteReference w:id="30"/>
      </w:r>
      <w:r w:rsidR="00B83011">
        <w:t>.</w:t>
      </w:r>
    </w:p>
    <w:p w:rsidR="0071523A" w:rsidRPr="0071523A" w:rsidRDefault="00B83011" w:rsidP="00B83011">
      <w:pPr>
        <w:pStyle w:val="H1G"/>
      </w:pPr>
      <w:r>
        <w:tab/>
      </w:r>
      <w:r w:rsidR="0071523A" w:rsidRPr="0071523A">
        <w:tab/>
        <w:t xml:space="preserve">Información general sobre otras medidas y acontecimientos relacionados con la aplicación de la Convención en el Estado </w:t>
      </w:r>
      <w:r>
        <w:br/>
      </w:r>
      <w:r w:rsidR="0071523A" w:rsidRPr="0071523A">
        <w:t>parte</w:t>
      </w:r>
    </w:p>
    <w:p w:rsidR="0071523A" w:rsidRDefault="0071523A" w:rsidP="0071523A">
      <w:pPr>
        <w:pStyle w:val="SingleTxtG"/>
      </w:pPr>
      <w:r w:rsidRPr="0071523A">
        <w:t>36.</w:t>
      </w:r>
      <w:r w:rsidRPr="0071523A">
        <w:tab/>
        <w:t>Sírvanse proporcionar información detallada sobre otras medidas pertinentes legislativas, administrativas, judiciales o de otra índole que se hayan adoptado desde el examen del informe anterior para aplicar las disposiciones de la Convención o las recomendaciones del Comité, incluidos cambios, planes o programas institucionales. Indíquense los recursos asignados y los datos estadísticos conexos. Facilítese también cualquier otra información que el Estado parte considere oportuna.</w:t>
      </w:r>
    </w:p>
    <w:p w:rsidR="00B83011" w:rsidRPr="00B83011" w:rsidRDefault="00B83011" w:rsidP="00B83011">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B83011" w:rsidRPr="00B83011" w:rsidSect="0071523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44" w:rsidRPr="00A312BC" w:rsidRDefault="005C3744" w:rsidP="00A312BC">
      <w:pPr>
        <w:pStyle w:val="Footer"/>
      </w:pPr>
    </w:p>
  </w:endnote>
  <w:endnote w:type="continuationSeparator" w:id="0">
    <w:p w:rsidR="005C3744" w:rsidRPr="00A312BC" w:rsidRDefault="005C3744"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3A" w:rsidRPr="0071523A" w:rsidRDefault="0071523A" w:rsidP="0071523A">
    <w:pPr>
      <w:pStyle w:val="Footer"/>
      <w:tabs>
        <w:tab w:val="right" w:pos="9638"/>
      </w:tabs>
    </w:pPr>
    <w:r w:rsidRPr="0071523A">
      <w:rPr>
        <w:b/>
        <w:sz w:val="18"/>
      </w:rPr>
      <w:fldChar w:fldCharType="begin"/>
    </w:r>
    <w:r w:rsidRPr="0071523A">
      <w:rPr>
        <w:b/>
        <w:sz w:val="18"/>
      </w:rPr>
      <w:instrText xml:space="preserve"> PAGE  \* MERGEFORMAT </w:instrText>
    </w:r>
    <w:r w:rsidRPr="0071523A">
      <w:rPr>
        <w:b/>
        <w:sz w:val="18"/>
      </w:rPr>
      <w:fldChar w:fldCharType="separate"/>
    </w:r>
    <w:r w:rsidR="009561F2">
      <w:rPr>
        <w:b/>
        <w:noProof/>
        <w:sz w:val="18"/>
      </w:rPr>
      <w:t>6</w:t>
    </w:r>
    <w:r w:rsidRPr="0071523A">
      <w:rPr>
        <w:b/>
        <w:sz w:val="18"/>
      </w:rPr>
      <w:fldChar w:fldCharType="end"/>
    </w:r>
    <w:r>
      <w:rPr>
        <w:b/>
        <w:sz w:val="18"/>
      </w:rPr>
      <w:tab/>
    </w:r>
    <w:r>
      <w:t>GE.18-09727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3A" w:rsidRPr="0071523A" w:rsidRDefault="0071523A" w:rsidP="0071523A">
    <w:pPr>
      <w:pStyle w:val="Footer"/>
      <w:tabs>
        <w:tab w:val="right" w:pos="9638"/>
      </w:tabs>
      <w:rPr>
        <w:b/>
        <w:sz w:val="18"/>
      </w:rPr>
    </w:pPr>
    <w:r>
      <w:t>GE.18-09727</w:t>
    </w:r>
    <w:r>
      <w:tab/>
    </w:r>
    <w:r w:rsidRPr="0071523A">
      <w:rPr>
        <w:b/>
        <w:sz w:val="18"/>
      </w:rPr>
      <w:fldChar w:fldCharType="begin"/>
    </w:r>
    <w:r w:rsidRPr="0071523A">
      <w:rPr>
        <w:b/>
        <w:sz w:val="18"/>
      </w:rPr>
      <w:instrText xml:space="preserve"> PAGE  \* MERGEFORMAT </w:instrText>
    </w:r>
    <w:r w:rsidRPr="0071523A">
      <w:rPr>
        <w:b/>
        <w:sz w:val="18"/>
      </w:rPr>
      <w:fldChar w:fldCharType="separate"/>
    </w:r>
    <w:r w:rsidR="009561F2">
      <w:rPr>
        <w:b/>
        <w:noProof/>
        <w:sz w:val="18"/>
      </w:rPr>
      <w:t>7</w:t>
    </w:r>
    <w:r w:rsidRPr="007152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1523A" w:rsidRDefault="0071523A" w:rsidP="0071523A">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18-09727  (S)    250718    260718</w:t>
    </w:r>
    <w:r>
      <w:rPr>
        <w:sz w:val="20"/>
      </w:rPr>
      <w:br/>
    </w:r>
    <w:r w:rsidRPr="0071523A">
      <w:rPr>
        <w:rFonts w:ascii="C39T30Lfz" w:hAnsi="C39T30Lfz"/>
        <w:sz w:val="56"/>
      </w:rPr>
      <w:t></w:t>
    </w:r>
    <w:r w:rsidRPr="0071523A">
      <w:rPr>
        <w:rFonts w:ascii="C39T30Lfz" w:hAnsi="C39T30Lfz"/>
        <w:sz w:val="56"/>
      </w:rPr>
      <w:t></w:t>
    </w:r>
    <w:r w:rsidRPr="0071523A">
      <w:rPr>
        <w:rFonts w:ascii="C39T30Lfz" w:hAnsi="C39T30Lfz"/>
        <w:sz w:val="56"/>
      </w:rPr>
      <w:t></w:t>
    </w:r>
    <w:r w:rsidRPr="0071523A">
      <w:rPr>
        <w:rFonts w:ascii="C39T30Lfz" w:hAnsi="C39T30Lfz"/>
        <w:sz w:val="56"/>
      </w:rPr>
      <w:t></w:t>
    </w:r>
    <w:r w:rsidRPr="0071523A">
      <w:rPr>
        <w:rFonts w:ascii="C39T30Lfz" w:hAnsi="C39T30Lfz"/>
        <w:sz w:val="56"/>
      </w:rPr>
      <w:t></w:t>
    </w:r>
    <w:r w:rsidRPr="0071523A">
      <w:rPr>
        <w:rFonts w:ascii="C39T30Lfz" w:hAnsi="C39T30Lfz"/>
        <w:sz w:val="56"/>
      </w:rPr>
      <w:t></w:t>
    </w:r>
    <w:r w:rsidRPr="0071523A">
      <w:rPr>
        <w:rFonts w:ascii="C39T30Lfz" w:hAnsi="C39T30Lfz"/>
        <w:sz w:val="56"/>
      </w:rPr>
      <w:t></w:t>
    </w:r>
    <w:r w:rsidRPr="0071523A">
      <w:rPr>
        <w:rFonts w:ascii="C39T30Lfz" w:hAnsi="C39T30Lfz"/>
        <w:sz w:val="56"/>
      </w:rPr>
      <w:t></w:t>
    </w:r>
    <w:r w:rsidRPr="0071523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DNK/QPR/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NK/QPR/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44" w:rsidRPr="001075E9" w:rsidRDefault="005C3744" w:rsidP="001075E9">
      <w:pPr>
        <w:tabs>
          <w:tab w:val="right" w:pos="2155"/>
        </w:tabs>
        <w:spacing w:after="80" w:line="240" w:lineRule="auto"/>
        <w:ind w:left="680"/>
        <w:rPr>
          <w:u w:val="single"/>
        </w:rPr>
      </w:pPr>
      <w:r>
        <w:rPr>
          <w:u w:val="single"/>
        </w:rPr>
        <w:tab/>
      </w:r>
    </w:p>
  </w:footnote>
  <w:footnote w:type="continuationSeparator" w:id="0">
    <w:p w:rsidR="005C3744" w:rsidRDefault="005C3744" w:rsidP="00407B78">
      <w:pPr>
        <w:tabs>
          <w:tab w:val="right" w:pos="2155"/>
        </w:tabs>
        <w:spacing w:after="80"/>
        <w:ind w:left="680"/>
        <w:rPr>
          <w:u w:val="single"/>
        </w:rPr>
      </w:pPr>
      <w:r>
        <w:rPr>
          <w:u w:val="single"/>
        </w:rPr>
        <w:tab/>
      </w:r>
    </w:p>
  </w:footnote>
  <w:footnote w:id="1">
    <w:p w:rsidR="0071523A" w:rsidRPr="006E2BFC" w:rsidRDefault="0071523A" w:rsidP="00B41E5C">
      <w:pPr>
        <w:pStyle w:val="FootnoteText"/>
      </w:pPr>
      <w:r w:rsidRPr="006E2BFC">
        <w:tab/>
      </w:r>
      <w:r w:rsidRPr="0071523A">
        <w:rPr>
          <w:sz w:val="20"/>
        </w:rPr>
        <w:t>*</w:t>
      </w:r>
      <w:r w:rsidRPr="006E2BFC">
        <w:tab/>
        <w:t>Aprobada por el Comité en su 63</w:t>
      </w:r>
      <w:r w:rsidR="00B41E5C" w:rsidRPr="00B41E5C">
        <w:rPr>
          <w:vertAlign w:val="superscript"/>
        </w:rPr>
        <w:t>er</w:t>
      </w:r>
      <w:r w:rsidRPr="006E2BFC">
        <w:t xml:space="preserve"> período de sesiones (23 de abril a 18 de mayo de 2018).</w:t>
      </w:r>
    </w:p>
  </w:footnote>
  <w:footnote w:id="2">
    <w:p w:rsidR="0071523A" w:rsidRPr="006E2BFC" w:rsidRDefault="0071523A" w:rsidP="0071523A">
      <w:pPr>
        <w:pStyle w:val="FootnoteText"/>
      </w:pPr>
      <w:r w:rsidRPr="006E2BFC">
        <w:tab/>
      </w:r>
      <w:r w:rsidRPr="0071523A">
        <w:rPr>
          <w:rStyle w:val="FootnoteReference"/>
        </w:rPr>
        <w:footnoteRef/>
      </w:r>
      <w:r w:rsidRPr="006E2BFC">
        <w:tab/>
        <w:t>Salvo indicación en contrario, los números de párrafo que figuran entre paréntesis se refieren a las anteriores observaciones finales aprobadas por el Comité.</w:t>
      </w:r>
    </w:p>
  </w:footnote>
  <w:footnote w:id="3">
    <w:p w:rsidR="0071523A" w:rsidRPr="006E2BFC" w:rsidRDefault="0071523A" w:rsidP="0071523A">
      <w:pPr>
        <w:pStyle w:val="FootnoteText"/>
      </w:pPr>
      <w:r w:rsidRPr="006E2BFC">
        <w:tab/>
      </w:r>
      <w:r w:rsidRPr="0071523A">
        <w:rPr>
          <w:rStyle w:val="FootnoteReference"/>
        </w:rPr>
        <w:footnoteRef/>
      </w:r>
      <w:r w:rsidRPr="006E2BFC">
        <w:rPr>
          <w:lang w:val="en-US"/>
        </w:rPr>
        <w:tab/>
        <w:t xml:space="preserve">Véase CCPR/C/DNK/CO/6, párrs. </w:t>
      </w:r>
      <w:r w:rsidR="00B41E5C">
        <w:t>21 y 22.</w:t>
      </w:r>
    </w:p>
  </w:footnote>
  <w:footnote w:id="4">
    <w:p w:rsidR="0071523A" w:rsidRPr="006E2BFC" w:rsidRDefault="0071523A" w:rsidP="0071523A">
      <w:pPr>
        <w:pStyle w:val="FootnoteText"/>
        <w:rPr>
          <w:szCs w:val="18"/>
        </w:rPr>
      </w:pPr>
      <w:r w:rsidRPr="006E2BFC">
        <w:rPr>
          <w:szCs w:val="18"/>
        </w:rPr>
        <w:tab/>
      </w:r>
      <w:r w:rsidRPr="0071523A">
        <w:rPr>
          <w:rStyle w:val="FootnoteReference"/>
          <w:szCs w:val="18"/>
        </w:rPr>
        <w:footnoteRef/>
      </w:r>
      <w:r w:rsidRPr="006E2BFC">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5">
    <w:p w:rsidR="0071523A" w:rsidRPr="00E230F1" w:rsidRDefault="0071523A" w:rsidP="0071523A">
      <w:pPr>
        <w:pStyle w:val="FootnoteText"/>
        <w:rPr>
          <w:szCs w:val="18"/>
          <w:lang w:val="en-US"/>
        </w:rPr>
      </w:pPr>
      <w:r w:rsidRPr="006E2BFC">
        <w:rPr>
          <w:szCs w:val="18"/>
        </w:rPr>
        <w:tab/>
      </w:r>
      <w:r w:rsidRPr="0071523A">
        <w:rPr>
          <w:rStyle w:val="FootnoteReference"/>
          <w:szCs w:val="18"/>
        </w:rPr>
        <w:footnoteRef/>
      </w:r>
      <w:r w:rsidRPr="006E2BFC">
        <w:rPr>
          <w:lang w:val="en-US"/>
        </w:rPr>
        <w:tab/>
        <w:t>Véase CAT/C/DNK/CO/6-7/Add.1, párrs. 2 a 7.</w:t>
      </w:r>
    </w:p>
  </w:footnote>
  <w:footnote w:id="6">
    <w:p w:rsidR="0071523A" w:rsidRPr="00E230F1" w:rsidRDefault="0071523A" w:rsidP="0071523A">
      <w:pPr>
        <w:pStyle w:val="FootnoteText"/>
        <w:rPr>
          <w:lang w:val="en-US"/>
        </w:rPr>
      </w:pPr>
      <w:r w:rsidRPr="006E2BFC">
        <w:rPr>
          <w:lang w:val="en-US"/>
        </w:rPr>
        <w:tab/>
      </w:r>
      <w:r w:rsidRPr="0071523A">
        <w:rPr>
          <w:rStyle w:val="FootnoteReference"/>
        </w:rPr>
        <w:footnoteRef/>
      </w:r>
      <w:r w:rsidRPr="006E2BFC">
        <w:rPr>
          <w:lang w:val="en-US"/>
        </w:rPr>
        <w:tab/>
        <w:t>Véas</w:t>
      </w:r>
      <w:r w:rsidR="00B41E5C">
        <w:rPr>
          <w:lang w:val="en-US"/>
        </w:rPr>
        <w:t>e CERD/C/DNK/CO/20-21, párr. 16.</w:t>
      </w:r>
    </w:p>
  </w:footnote>
  <w:footnote w:id="7">
    <w:p w:rsidR="0071523A" w:rsidRPr="006E2BFC" w:rsidRDefault="0071523A" w:rsidP="0071523A">
      <w:pPr>
        <w:pStyle w:val="FootnoteText"/>
      </w:pPr>
      <w:r w:rsidRPr="006E2BFC">
        <w:rPr>
          <w:lang w:val="en-US"/>
        </w:rPr>
        <w:tab/>
      </w:r>
      <w:r w:rsidRPr="0071523A">
        <w:rPr>
          <w:rStyle w:val="FootnoteReference"/>
        </w:rPr>
        <w:footnoteRef/>
      </w:r>
      <w:r w:rsidRPr="006E2BFC">
        <w:rPr>
          <w:lang w:val="en-US"/>
        </w:rPr>
        <w:tab/>
        <w:t xml:space="preserve">Véase A/HRC/32/10, párrs. 120.105 a 110 y 120.114; CCPR/C/DNK/CO/6, párrs. 19 y 20; CEDAW/C/DNK/CO/8, párrs. 17 y 18; y CRC/C/DNK/CO/5, párr. </w:t>
      </w:r>
      <w:r w:rsidRPr="006E2BFC">
        <w:t>22.</w:t>
      </w:r>
    </w:p>
  </w:footnote>
  <w:footnote w:id="8">
    <w:p w:rsidR="0071523A" w:rsidRPr="00E230F1" w:rsidRDefault="0071523A" w:rsidP="0071523A">
      <w:pPr>
        <w:pStyle w:val="FootnoteText"/>
        <w:rPr>
          <w:lang w:val="en-US"/>
        </w:rPr>
      </w:pPr>
      <w:r w:rsidRPr="006E2BFC">
        <w:tab/>
      </w:r>
      <w:r w:rsidRPr="0071523A">
        <w:rPr>
          <w:rStyle w:val="FootnoteReference"/>
        </w:rPr>
        <w:footnoteRef/>
      </w:r>
      <w:r w:rsidRPr="006E2BFC">
        <w:tab/>
        <w:t xml:space="preserve">Véanse A/HRC/32/10, párrs. 120.115, 120.116, 120.119 a 120.125 y 120.196; y CCPR/C/DNK/CO/6, párrs. </w:t>
      </w:r>
      <w:r w:rsidRPr="006E2BFC">
        <w:rPr>
          <w:lang w:val="en-US"/>
        </w:rPr>
        <w:t>29 y 30.</w:t>
      </w:r>
    </w:p>
  </w:footnote>
  <w:footnote w:id="9">
    <w:p w:rsidR="0071523A" w:rsidRPr="00E230F1" w:rsidRDefault="0071523A" w:rsidP="0071523A">
      <w:pPr>
        <w:pStyle w:val="FootnoteText"/>
        <w:rPr>
          <w:lang w:val="en-US"/>
        </w:rPr>
      </w:pPr>
      <w:r w:rsidRPr="006E2BFC">
        <w:rPr>
          <w:lang w:val="en-US"/>
        </w:rPr>
        <w:tab/>
      </w:r>
      <w:r w:rsidRPr="0071523A">
        <w:rPr>
          <w:rStyle w:val="FootnoteReference"/>
        </w:rPr>
        <w:footnoteRef/>
      </w:r>
      <w:r w:rsidRPr="006E2BFC">
        <w:rPr>
          <w:lang w:val="en-US"/>
        </w:rPr>
        <w:tab/>
        <w:t>Véase CRC/C/DNK/CO/5, párr. 43.</w:t>
      </w:r>
    </w:p>
  </w:footnote>
  <w:footnote w:id="10">
    <w:p w:rsidR="0071523A" w:rsidRPr="006E2BFC" w:rsidRDefault="0071523A" w:rsidP="0071523A">
      <w:pPr>
        <w:pStyle w:val="FootnoteText"/>
      </w:pPr>
      <w:r w:rsidRPr="006E2BFC">
        <w:rPr>
          <w:lang w:val="en-US"/>
        </w:rPr>
        <w:tab/>
      </w:r>
      <w:r w:rsidRPr="0071523A">
        <w:rPr>
          <w:rStyle w:val="FootnoteReference"/>
        </w:rPr>
        <w:footnoteRef/>
      </w:r>
      <w:r w:rsidRPr="006E2BFC">
        <w:rPr>
          <w:lang w:val="en-US"/>
        </w:rPr>
        <w:tab/>
        <w:t xml:space="preserve">Véase CEDAW/C/DNK/CO/8, párrs. </w:t>
      </w:r>
      <w:r w:rsidRPr="006E2BFC">
        <w:t>19 a 21.</w:t>
      </w:r>
    </w:p>
  </w:footnote>
  <w:footnote w:id="11">
    <w:p w:rsidR="0071523A" w:rsidRPr="006E2BFC" w:rsidRDefault="0071523A" w:rsidP="0071523A">
      <w:pPr>
        <w:pStyle w:val="FootnoteText"/>
      </w:pPr>
      <w:r w:rsidRPr="006E2BFC">
        <w:tab/>
      </w:r>
      <w:r w:rsidRPr="0071523A">
        <w:rPr>
          <w:rStyle w:val="FootnoteReference"/>
        </w:rPr>
        <w:footnoteRef/>
      </w:r>
      <w:r w:rsidRPr="006E2BFC">
        <w:tab/>
        <w:t>Véase A/HRC/32/10, párrs. 120.174, 120.177, 120.183 y 120.184.</w:t>
      </w:r>
    </w:p>
  </w:footnote>
  <w:footnote w:id="12">
    <w:p w:rsidR="0071523A" w:rsidRPr="006E2BFC" w:rsidRDefault="0071523A" w:rsidP="0071523A">
      <w:pPr>
        <w:pStyle w:val="FootnoteText"/>
      </w:pPr>
      <w:r w:rsidRPr="006E2BFC">
        <w:tab/>
      </w:r>
      <w:r w:rsidRPr="0071523A">
        <w:rPr>
          <w:rStyle w:val="FootnoteReference"/>
        </w:rPr>
        <w:footnoteRef/>
      </w:r>
      <w:r w:rsidRPr="006E2BFC">
        <w:rPr>
          <w:lang w:val="en-US"/>
        </w:rPr>
        <w:tab/>
        <w:t xml:space="preserve">Véase CRC/C/DNK/CO/5, párr. </w:t>
      </w:r>
      <w:r w:rsidRPr="006E2BFC">
        <w:t>39.</w:t>
      </w:r>
    </w:p>
  </w:footnote>
  <w:footnote w:id="13">
    <w:p w:rsidR="0071523A" w:rsidRPr="006E2BFC" w:rsidRDefault="0071523A" w:rsidP="006A0CA4">
      <w:pPr>
        <w:pStyle w:val="FootnoteText"/>
      </w:pPr>
      <w:r w:rsidRPr="006E2BFC">
        <w:tab/>
      </w:r>
      <w:r w:rsidRPr="0071523A">
        <w:rPr>
          <w:rStyle w:val="FootnoteReference"/>
        </w:rPr>
        <w:footnoteRef/>
      </w:r>
      <w:r w:rsidRPr="006E2BFC">
        <w:tab/>
      </w:r>
      <w:r w:rsidRPr="006E2BFC">
        <w:rPr>
          <w:i/>
          <w:iCs/>
        </w:rPr>
        <w:t>M.</w:t>
      </w:r>
      <w:r w:rsidR="0050317A">
        <w:rPr>
          <w:i/>
          <w:iCs/>
        </w:rPr>
        <w:t xml:space="preserve"> </w:t>
      </w:r>
      <w:r w:rsidRPr="006E2BFC">
        <w:rPr>
          <w:i/>
          <w:iCs/>
        </w:rPr>
        <w:t xml:space="preserve">B. </w:t>
      </w:r>
      <w:r w:rsidR="006A0CA4">
        <w:rPr>
          <w:i/>
          <w:iCs/>
        </w:rPr>
        <w:t xml:space="preserve">y otros </w:t>
      </w:r>
      <w:r w:rsidRPr="006E2BFC">
        <w:rPr>
          <w:i/>
          <w:iCs/>
        </w:rPr>
        <w:t>c. Dinamarca</w:t>
      </w:r>
      <w:r w:rsidRPr="006E2BFC">
        <w:t xml:space="preserve"> (CAT/C/59/D/634/2014).</w:t>
      </w:r>
    </w:p>
  </w:footnote>
  <w:footnote w:id="14">
    <w:p w:rsidR="0071523A" w:rsidRPr="006E2BFC" w:rsidRDefault="0071523A" w:rsidP="0071523A">
      <w:pPr>
        <w:pStyle w:val="FootnoteText"/>
      </w:pPr>
      <w:r w:rsidRPr="006E2BFC">
        <w:tab/>
      </w:r>
      <w:r w:rsidRPr="0071523A">
        <w:rPr>
          <w:rStyle w:val="FootnoteReference"/>
        </w:rPr>
        <w:footnoteRef/>
      </w:r>
      <w:r w:rsidRPr="006E2BFC">
        <w:tab/>
        <w:t>Véase A/HRC/32/10, párrs. 120.104 y 120.131.</w:t>
      </w:r>
    </w:p>
  </w:footnote>
  <w:footnote w:id="15">
    <w:p w:rsidR="0071523A" w:rsidRPr="006E2BFC" w:rsidRDefault="0071523A" w:rsidP="00B41E5C">
      <w:pPr>
        <w:pStyle w:val="FootnoteText"/>
      </w:pPr>
      <w:r w:rsidRPr="006E2BFC">
        <w:tab/>
      </w:r>
      <w:r w:rsidRPr="0071523A">
        <w:rPr>
          <w:rStyle w:val="FootnoteReference"/>
        </w:rPr>
        <w:footnoteRef/>
      </w:r>
      <w:r w:rsidRPr="006E2BFC">
        <w:rPr>
          <w:lang w:val="en-US"/>
        </w:rPr>
        <w:tab/>
      </w:r>
      <w:r w:rsidR="00B41E5C" w:rsidRPr="006E2BFC">
        <w:rPr>
          <w:lang w:val="en-US"/>
        </w:rPr>
        <w:t xml:space="preserve">Véase CAT/C/DNK/CO/6-7/Add.1, párrs. </w:t>
      </w:r>
      <w:r w:rsidR="00B41E5C" w:rsidRPr="006E2BFC">
        <w:t>29 a 37.</w:t>
      </w:r>
    </w:p>
  </w:footnote>
  <w:footnote w:id="16">
    <w:p w:rsidR="0071523A" w:rsidRPr="006E2BFC" w:rsidRDefault="0071523A" w:rsidP="00B41E5C">
      <w:pPr>
        <w:pStyle w:val="FootnoteText"/>
        <w:rPr>
          <w:szCs w:val="18"/>
        </w:rPr>
      </w:pPr>
      <w:r w:rsidRPr="009561F2">
        <w:rPr>
          <w:szCs w:val="18"/>
        </w:rPr>
        <w:tab/>
      </w:r>
      <w:r w:rsidRPr="0071523A">
        <w:rPr>
          <w:rStyle w:val="FootnoteReference"/>
          <w:szCs w:val="18"/>
        </w:rPr>
        <w:footnoteRef/>
      </w:r>
      <w:r w:rsidRPr="009561F2">
        <w:tab/>
      </w:r>
      <w:r w:rsidR="00B41E5C" w:rsidRPr="009561F2">
        <w:t>Véase A/HRC/32/10, párr. 120.132.</w:t>
      </w:r>
    </w:p>
  </w:footnote>
  <w:footnote w:id="17">
    <w:p w:rsidR="0071523A" w:rsidRPr="006E2BFC" w:rsidRDefault="0071523A" w:rsidP="0071523A">
      <w:pPr>
        <w:pStyle w:val="FootnoteText"/>
        <w:rPr>
          <w:szCs w:val="18"/>
        </w:rPr>
      </w:pPr>
      <w:r w:rsidRPr="006E2BFC">
        <w:rPr>
          <w:szCs w:val="18"/>
        </w:rPr>
        <w:tab/>
      </w:r>
      <w:r w:rsidRPr="0071523A">
        <w:rPr>
          <w:rStyle w:val="FootnoteReference"/>
          <w:szCs w:val="18"/>
        </w:rPr>
        <w:footnoteRef/>
      </w:r>
      <w:r w:rsidRPr="006E2BFC">
        <w:tab/>
        <w:t>Véanse también CCPR/C/DNK/CO/6, párrs. 23 y 24; CRC/C/DNK/CO/5, párr. 17; y A/HRC/32/10, párrs. 120.129 y 120.133 a 120.136.</w:t>
      </w:r>
    </w:p>
  </w:footnote>
  <w:footnote w:id="18">
    <w:p w:rsidR="0071523A" w:rsidRPr="006E2BFC" w:rsidRDefault="0071523A" w:rsidP="0071523A">
      <w:pPr>
        <w:pStyle w:val="FootnoteText"/>
      </w:pPr>
      <w:r w:rsidRPr="006E2BFC">
        <w:tab/>
      </w:r>
      <w:r w:rsidRPr="0071523A">
        <w:rPr>
          <w:rStyle w:val="FootnoteReference"/>
        </w:rPr>
        <w:footnoteRef/>
      </w:r>
      <w:r w:rsidRPr="009561F2">
        <w:tab/>
        <w:t xml:space="preserve">Véanse A/HRC/32/10, párr. 120.179; CCPR/C/DNK/CO/6, párrs. </w:t>
      </w:r>
      <w:r w:rsidRPr="006E2BFC">
        <w:t>31 y 32; y CRC/C/DNK/CO/5, párr. 41.</w:t>
      </w:r>
    </w:p>
  </w:footnote>
  <w:footnote w:id="19">
    <w:p w:rsidR="0071523A" w:rsidRPr="006E2BFC" w:rsidRDefault="0071523A" w:rsidP="0071523A">
      <w:pPr>
        <w:pStyle w:val="FootnoteText"/>
      </w:pPr>
      <w:r w:rsidRPr="006E2BFC">
        <w:tab/>
      </w:r>
      <w:r w:rsidRPr="0071523A">
        <w:rPr>
          <w:rStyle w:val="FootnoteReference"/>
        </w:rPr>
        <w:footnoteRef/>
      </w:r>
      <w:r w:rsidRPr="006E2BFC">
        <w:tab/>
        <w:t>Véase CCPR/C/DNK/CO/6, párrs. 31 y 32.</w:t>
      </w:r>
    </w:p>
  </w:footnote>
  <w:footnote w:id="20">
    <w:p w:rsidR="0071523A" w:rsidRPr="006E2BFC" w:rsidRDefault="0071523A" w:rsidP="0071523A">
      <w:pPr>
        <w:pStyle w:val="FootnoteText"/>
      </w:pPr>
      <w:r w:rsidRPr="006E2BFC">
        <w:tab/>
      </w:r>
      <w:r w:rsidRPr="0071523A">
        <w:rPr>
          <w:rStyle w:val="FootnoteReference"/>
        </w:rPr>
        <w:footnoteRef/>
      </w:r>
      <w:r w:rsidRPr="006E2BFC">
        <w:tab/>
      </w:r>
      <w:r w:rsidRPr="00B41E5C">
        <w:rPr>
          <w:i/>
          <w:iCs/>
        </w:rPr>
        <w:t>Ibid.</w:t>
      </w:r>
      <w:r w:rsidRPr="006E2BFC">
        <w:t>, párrs. 33 y 34.</w:t>
      </w:r>
    </w:p>
  </w:footnote>
  <w:footnote w:id="21">
    <w:p w:rsidR="0071523A" w:rsidRPr="006E2BFC" w:rsidRDefault="0071523A" w:rsidP="0071523A">
      <w:pPr>
        <w:pStyle w:val="FootnoteText"/>
      </w:pPr>
      <w:r w:rsidRPr="006E2BFC">
        <w:tab/>
      </w:r>
      <w:r w:rsidRPr="0071523A">
        <w:rPr>
          <w:rStyle w:val="FootnoteReference"/>
        </w:rPr>
        <w:footnoteRef/>
      </w:r>
      <w:r w:rsidRPr="006E2BFC">
        <w:tab/>
      </w:r>
      <w:r w:rsidRPr="00B41E5C">
        <w:rPr>
          <w:i/>
          <w:iCs/>
        </w:rPr>
        <w:t>Ibid.</w:t>
      </w:r>
      <w:r w:rsidRPr="006E2BFC">
        <w:t>, párrs. 31 y 32.</w:t>
      </w:r>
    </w:p>
  </w:footnote>
  <w:footnote w:id="22">
    <w:p w:rsidR="0071523A" w:rsidRPr="006E2BFC" w:rsidRDefault="0071523A" w:rsidP="0071523A">
      <w:pPr>
        <w:pStyle w:val="FootnoteText"/>
      </w:pPr>
      <w:r w:rsidRPr="006E2BFC">
        <w:tab/>
      </w:r>
      <w:r w:rsidRPr="0071523A">
        <w:rPr>
          <w:rStyle w:val="FootnoteReference"/>
        </w:rPr>
        <w:footnoteRef/>
      </w:r>
      <w:r w:rsidRPr="006E2BFC">
        <w:tab/>
      </w:r>
      <w:r w:rsidRPr="00B41E5C">
        <w:rPr>
          <w:i/>
          <w:iCs/>
        </w:rPr>
        <w:t>Ibid.</w:t>
      </w:r>
    </w:p>
  </w:footnote>
  <w:footnote w:id="23">
    <w:p w:rsidR="0071523A" w:rsidRPr="006E2BFC" w:rsidRDefault="0071523A" w:rsidP="0071523A">
      <w:pPr>
        <w:pStyle w:val="FootnoteText"/>
      </w:pPr>
      <w:r w:rsidRPr="006E2BFC">
        <w:tab/>
      </w:r>
      <w:r w:rsidRPr="0071523A">
        <w:rPr>
          <w:rStyle w:val="FootnoteReference"/>
        </w:rPr>
        <w:footnoteRef/>
      </w:r>
      <w:r w:rsidRPr="006E2BFC">
        <w:tab/>
        <w:t xml:space="preserve">Véanse A/HRC/32/10, párr. </w:t>
      </w:r>
      <w:r w:rsidRPr="006E2BFC">
        <w:rPr>
          <w:lang w:val="en-US"/>
        </w:rPr>
        <w:t xml:space="preserve">120.130; CCPR/C/DNK/CO/6, párrs. </w:t>
      </w:r>
      <w:r w:rsidRPr="006E2BFC">
        <w:t>25 y 26; y CRC/C/DNK/CO/5, párrs. 28 y 29.</w:t>
      </w:r>
    </w:p>
  </w:footnote>
  <w:footnote w:id="24">
    <w:p w:rsidR="0071523A" w:rsidRPr="006E2BFC" w:rsidRDefault="0071523A" w:rsidP="0071523A">
      <w:pPr>
        <w:pStyle w:val="FootnoteText"/>
      </w:pPr>
      <w:r w:rsidRPr="006E2BFC">
        <w:tab/>
      </w:r>
      <w:r w:rsidRPr="0071523A">
        <w:rPr>
          <w:rStyle w:val="FootnoteReference"/>
        </w:rPr>
        <w:footnoteRef/>
      </w:r>
      <w:r w:rsidRPr="006E2BFC">
        <w:tab/>
        <w:t>Véanse CRPD/C/DNK/CO/1, párrs. 20 y 21; y CRC/C/DNK/CO/5, párr. 29 a).</w:t>
      </w:r>
    </w:p>
  </w:footnote>
  <w:footnote w:id="25">
    <w:p w:rsidR="0071523A" w:rsidRPr="006E2BFC" w:rsidRDefault="0071523A" w:rsidP="0071523A">
      <w:pPr>
        <w:pStyle w:val="FootnoteText"/>
      </w:pPr>
      <w:r w:rsidRPr="006E2BFC">
        <w:tab/>
      </w:r>
      <w:r w:rsidRPr="0071523A">
        <w:rPr>
          <w:rStyle w:val="FootnoteReference"/>
        </w:rPr>
        <w:footnoteRef/>
      </w:r>
      <w:r w:rsidRPr="006E2BFC">
        <w:tab/>
        <w:t>Véase A/HRC/32/10, párr. 120.126.</w:t>
      </w:r>
    </w:p>
  </w:footnote>
  <w:footnote w:id="26">
    <w:p w:rsidR="0071523A" w:rsidRPr="006E2BFC" w:rsidRDefault="0071523A" w:rsidP="0071523A">
      <w:pPr>
        <w:pStyle w:val="FootnoteText"/>
      </w:pPr>
      <w:r w:rsidRPr="006E2BFC">
        <w:tab/>
      </w:r>
      <w:r w:rsidRPr="0071523A">
        <w:rPr>
          <w:rStyle w:val="FootnoteReference"/>
        </w:rPr>
        <w:footnoteRef/>
      </w:r>
      <w:r w:rsidRPr="006E2BFC">
        <w:t xml:space="preserve"> </w:t>
      </w:r>
      <w:r w:rsidRPr="006E2BFC">
        <w:tab/>
        <w:t>Las cuestiones que se plantean en el marco del artículo 16 pueden tener relación también con cuestiones que se plantean en el marco de otros artículos de la Convención, como el artículo 2.</w:t>
      </w:r>
    </w:p>
  </w:footnote>
  <w:footnote w:id="27">
    <w:p w:rsidR="0071523A" w:rsidRPr="006E2BFC" w:rsidRDefault="0071523A" w:rsidP="0071523A">
      <w:pPr>
        <w:pStyle w:val="FootnoteText"/>
        <w:rPr>
          <w:szCs w:val="18"/>
        </w:rPr>
      </w:pPr>
      <w:r w:rsidRPr="006E2BFC">
        <w:tab/>
      </w:r>
      <w:r w:rsidRPr="0071523A">
        <w:rPr>
          <w:rStyle w:val="FootnoteReference"/>
        </w:rPr>
        <w:footnoteRef/>
      </w:r>
      <w:r w:rsidRPr="006E2BFC">
        <w:tab/>
        <w:t>Véase A/HRC/32/10, párr. 120.101.</w:t>
      </w:r>
    </w:p>
  </w:footnote>
  <w:footnote w:id="28">
    <w:p w:rsidR="0071523A" w:rsidRPr="006E2BFC" w:rsidRDefault="0071523A" w:rsidP="0071523A">
      <w:pPr>
        <w:pStyle w:val="FootnoteText"/>
      </w:pPr>
      <w:r w:rsidRPr="006E2BFC">
        <w:tab/>
      </w:r>
      <w:r w:rsidRPr="0071523A">
        <w:rPr>
          <w:rStyle w:val="FootnoteReference"/>
        </w:rPr>
        <w:footnoteRef/>
      </w:r>
      <w:r w:rsidRPr="006E2BFC">
        <w:tab/>
        <w:t>Véase CERD/C/DNK/CO/20-21, párr. 10; y A/HRC/32/10, párr. 120.95.</w:t>
      </w:r>
    </w:p>
  </w:footnote>
  <w:footnote w:id="29">
    <w:p w:rsidR="0071523A" w:rsidRPr="006E2BFC" w:rsidRDefault="0071523A" w:rsidP="0071523A">
      <w:pPr>
        <w:pStyle w:val="FootnoteText"/>
      </w:pPr>
      <w:r w:rsidRPr="006E2BFC">
        <w:tab/>
      </w:r>
      <w:r w:rsidRPr="0071523A">
        <w:rPr>
          <w:rStyle w:val="FootnoteReference"/>
        </w:rPr>
        <w:footnoteRef/>
      </w:r>
      <w:r w:rsidRPr="006E2BFC">
        <w:tab/>
        <w:t>Véase CCPR/C/DNK/CO/6, párrs. 27 y 28.</w:t>
      </w:r>
    </w:p>
  </w:footnote>
  <w:footnote w:id="30">
    <w:p w:rsidR="0071523A" w:rsidRPr="006E2BFC" w:rsidRDefault="0071523A" w:rsidP="0071523A">
      <w:pPr>
        <w:pStyle w:val="FootnoteText"/>
      </w:pPr>
      <w:r w:rsidRPr="006E2BFC">
        <w:tab/>
      </w:r>
      <w:r w:rsidRPr="0071523A">
        <w:rPr>
          <w:rStyle w:val="FootnoteReference"/>
        </w:rPr>
        <w:footnoteRef/>
      </w:r>
      <w:r w:rsidRPr="006E2BFC">
        <w:tab/>
        <w:t xml:space="preserve">Véanse A/HRC/32/10, párr. 120.40; y </w:t>
      </w:r>
      <w:r w:rsidRPr="006E2BFC">
        <w:rPr>
          <w:i/>
          <w:iCs/>
        </w:rPr>
        <w:t>Amnistía Internacional, Informe 2016/17</w:t>
      </w:r>
      <w:r w:rsidRPr="006E2BFC">
        <w:t xml:space="preserve"> (Londres, Amnistía Internacional, 2017), págs. 141 y 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3A" w:rsidRPr="0071523A" w:rsidRDefault="00DB7FAA">
    <w:pPr>
      <w:pStyle w:val="Header"/>
    </w:pPr>
    <w:fldSimple w:instr=" TITLE  \* MERGEFORMAT ">
      <w:r w:rsidR="009561F2">
        <w:t>CAT/C/DNK/QPR/8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3A" w:rsidRPr="0071523A" w:rsidRDefault="00DB7FAA" w:rsidP="0071523A">
    <w:pPr>
      <w:pStyle w:val="Header"/>
      <w:jc w:val="right"/>
    </w:pPr>
    <w:fldSimple w:instr=" TITLE  \* MERGEFORMAT ">
      <w:r w:rsidR="009561F2">
        <w:t>CAT/C/DNK/QPR/8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44"/>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F3908"/>
    <w:rsid w:val="00217D36"/>
    <w:rsid w:val="002938D7"/>
    <w:rsid w:val="002A2EFC"/>
    <w:rsid w:val="002C0E18"/>
    <w:rsid w:val="002D5AAC"/>
    <w:rsid w:val="002F405F"/>
    <w:rsid w:val="00301299"/>
    <w:rsid w:val="003067C5"/>
    <w:rsid w:val="00307FB6"/>
    <w:rsid w:val="00317339"/>
    <w:rsid w:val="00322004"/>
    <w:rsid w:val="003402C2"/>
    <w:rsid w:val="0034479A"/>
    <w:rsid w:val="00381C24"/>
    <w:rsid w:val="003958D0"/>
    <w:rsid w:val="003B00E5"/>
    <w:rsid w:val="00407B78"/>
    <w:rsid w:val="00424203"/>
    <w:rsid w:val="00452493"/>
    <w:rsid w:val="00454E07"/>
    <w:rsid w:val="00462E81"/>
    <w:rsid w:val="0049755C"/>
    <w:rsid w:val="0050108D"/>
    <w:rsid w:val="0050317A"/>
    <w:rsid w:val="00505971"/>
    <w:rsid w:val="00513081"/>
    <w:rsid w:val="00517901"/>
    <w:rsid w:val="00526683"/>
    <w:rsid w:val="005709E0"/>
    <w:rsid w:val="00572E19"/>
    <w:rsid w:val="005961C8"/>
    <w:rsid w:val="005C3744"/>
    <w:rsid w:val="005D7914"/>
    <w:rsid w:val="005F0B42"/>
    <w:rsid w:val="00681A10"/>
    <w:rsid w:val="006A0CA4"/>
    <w:rsid w:val="006C2031"/>
    <w:rsid w:val="006D461A"/>
    <w:rsid w:val="006E7495"/>
    <w:rsid w:val="006F35EE"/>
    <w:rsid w:val="007021FF"/>
    <w:rsid w:val="00712895"/>
    <w:rsid w:val="0071523A"/>
    <w:rsid w:val="00740428"/>
    <w:rsid w:val="00757357"/>
    <w:rsid w:val="00825F8D"/>
    <w:rsid w:val="00834B71"/>
    <w:rsid w:val="00844557"/>
    <w:rsid w:val="0086445C"/>
    <w:rsid w:val="00894693"/>
    <w:rsid w:val="008A08D7"/>
    <w:rsid w:val="008B6909"/>
    <w:rsid w:val="008D51BA"/>
    <w:rsid w:val="00906890"/>
    <w:rsid w:val="00911BE4"/>
    <w:rsid w:val="00951972"/>
    <w:rsid w:val="009561F2"/>
    <w:rsid w:val="009608F3"/>
    <w:rsid w:val="00A312BC"/>
    <w:rsid w:val="00A84021"/>
    <w:rsid w:val="00A917B3"/>
    <w:rsid w:val="00AB4B51"/>
    <w:rsid w:val="00AC611E"/>
    <w:rsid w:val="00B10CC7"/>
    <w:rsid w:val="00B11F27"/>
    <w:rsid w:val="00B4174A"/>
    <w:rsid w:val="00B41E5C"/>
    <w:rsid w:val="00B539E7"/>
    <w:rsid w:val="00B62458"/>
    <w:rsid w:val="00B83011"/>
    <w:rsid w:val="00BC6C8F"/>
    <w:rsid w:val="00BD33EE"/>
    <w:rsid w:val="00C106D6"/>
    <w:rsid w:val="00C60F0C"/>
    <w:rsid w:val="00C805C9"/>
    <w:rsid w:val="00C92939"/>
    <w:rsid w:val="00CA1679"/>
    <w:rsid w:val="00CA3181"/>
    <w:rsid w:val="00CB151C"/>
    <w:rsid w:val="00CE5A1A"/>
    <w:rsid w:val="00CF55F6"/>
    <w:rsid w:val="00D33D63"/>
    <w:rsid w:val="00D8412A"/>
    <w:rsid w:val="00D90138"/>
    <w:rsid w:val="00DB7FAA"/>
    <w:rsid w:val="00E230F1"/>
    <w:rsid w:val="00E73F76"/>
    <w:rsid w:val="00EA2C9F"/>
    <w:rsid w:val="00ED0BDA"/>
    <w:rsid w:val="00EE7EDE"/>
    <w:rsid w:val="00EF1360"/>
    <w:rsid w:val="00EF3220"/>
    <w:rsid w:val="00F4145E"/>
    <w:rsid w:val="00F94155"/>
    <w:rsid w:val="00FC3ECA"/>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503BEB-D9BB-4C19-B083-155FF23E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F564-4AAC-448D-B2C8-B7232E79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3552</Words>
  <Characters>19540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CAT/C/DNK/QPR/8</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CAT/C/DNK/QPR/8</dc:title>
  <dc:subject/>
  <dc:creator>Javier RODRIGUEZ PEREZ</dc:creator>
  <cp:keywords/>
  <cp:lastModifiedBy>Maria Luisa Zeballos Moreno</cp:lastModifiedBy>
  <cp:revision>3</cp:revision>
  <cp:lastPrinted>2018-07-26T10:10:00Z</cp:lastPrinted>
  <dcterms:created xsi:type="dcterms:W3CDTF">2018-07-26T10:10:00Z</dcterms:created>
  <dcterms:modified xsi:type="dcterms:W3CDTF">2018-07-26T10:10:00Z</dcterms:modified>
</cp:coreProperties>
</file>