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3575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CAT/C/DNK/CO/5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6 July 2007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ПРОТИВ ПЫТОК</w:t>
      </w:r>
    </w:p>
    <w:p w:rsidR="00000000" w:rsidRDefault="00000000">
      <w:r>
        <w:t>Тридцать восьмая сессия</w:t>
      </w:r>
    </w:p>
    <w:p w:rsidR="00000000" w:rsidRDefault="00000000">
      <w:r>
        <w:t>30 апреля - 18 мая 2007 года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УЧАСТНИКАМИ В СООТВЕТСТВИИ СО СТАТЬЕЙ 19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и рекомендации Комитета против пыток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ДАНИЯ</w:t>
      </w:r>
    </w:p>
    <w:p w:rsidR="00000000" w:rsidRDefault="00000000"/>
    <w:p w:rsidR="00000000" w:rsidRDefault="00000000">
      <w:r>
        <w:t>1.</w:t>
      </w:r>
      <w:r>
        <w:tab/>
        <w:t>Комитет рассмотрел пятый периодический доклад Дании, включая Гренландию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/81/</w:t>
      </w:r>
      <w:r>
        <w:rPr>
          <w:lang w:val="en-US"/>
        </w:rPr>
        <w:t>Add</w:t>
      </w:r>
      <w:r>
        <w:t xml:space="preserve">.1 (часть </w:t>
      </w:r>
      <w:r>
        <w:rPr>
          <w:lang w:val="en-US"/>
        </w:rPr>
        <w:t>I</w:t>
      </w:r>
      <w:r>
        <w:t xml:space="preserve">) и 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/81/</w:t>
      </w:r>
      <w:r>
        <w:rPr>
          <w:lang w:val="en-US"/>
        </w:rPr>
        <w:t>Add</w:t>
      </w:r>
      <w:r>
        <w:t xml:space="preserve">.2 (часть </w:t>
      </w:r>
      <w:r>
        <w:rPr>
          <w:lang w:val="en-US"/>
        </w:rPr>
        <w:t>II</w:t>
      </w:r>
      <w:r>
        <w:t>)), на своих 757-м и 760-м заседаниях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 xml:space="preserve">.757 и 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.760), состоявшихся 2 и 3 мая 2007 года, и на своем 773-м заседании, состоявшемся 14 мая 2007 года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.773), принял следующие заключительные замечания и рекомендации.</w:t>
      </w:r>
    </w:p>
    <w:p w:rsidR="00000000" w:rsidRDefault="00000000"/>
    <w:p w:rsidR="00000000" w:rsidRDefault="00000000">
      <w:pPr>
        <w:jc w:val="center"/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/>
    <w:p w:rsidR="00000000" w:rsidRDefault="00000000">
      <w:r>
        <w:t>2.</w:t>
      </w:r>
      <w:r>
        <w:tab/>
        <w:t>Комитет приветствует своевременное представление государством-участником пятого периодического доклада, который соответствует руководящим принципам Комитета в отношении подготовки докладов.  Комитет приветствует представление информации о мерах, принятых в порядке выполнения предыдущих рекомендаций Комитета, равно как о действующей в Гренландии судебной системе и о ходе ее реформирования, содержащейся во второй части доклада государства-участника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/81/</w:t>
      </w:r>
      <w:r>
        <w:rPr>
          <w:lang w:val="en-US"/>
        </w:rPr>
        <w:t>Add</w:t>
      </w:r>
      <w:r>
        <w:t xml:space="preserve">.2, часть </w:t>
      </w:r>
      <w:r>
        <w:rPr>
          <w:lang w:val="en-US"/>
        </w:rPr>
        <w:t>II</w:t>
      </w:r>
      <w:r>
        <w:t>).  Комитет также приветствует обстоятельные письменные ответы государства-участника на перечень вопросов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DNK</w:t>
      </w:r>
      <w:r>
        <w:t>/</w:t>
      </w:r>
      <w:r>
        <w:rPr>
          <w:lang w:val="en-US"/>
        </w:rPr>
        <w:t>Q</w:t>
      </w:r>
      <w:r>
        <w:t>/5/</w:t>
      </w:r>
      <w:r>
        <w:rPr>
          <w:lang w:val="en-US"/>
        </w:rPr>
        <w:t>Rev</w:t>
      </w:r>
      <w:r>
        <w:t>.1/</w:t>
      </w:r>
      <w:r>
        <w:rPr>
          <w:lang w:val="en-US"/>
        </w:rPr>
        <w:t>Add</w:t>
      </w:r>
      <w:r>
        <w:t xml:space="preserve">.1), позволяющие почерпнуть дополнительную информацию относительно принятых государством-участником законодательных, административных, судебных и прочих мер по предотвращению актов пыток и </w:t>
      </w:r>
      <w:r>
        <w:rPr>
          <w:color w:val="000000"/>
          <w:szCs w:val="22"/>
          <w:lang w:eastAsia="ru-RU"/>
        </w:rPr>
        <w:t>других жестоких, бесчеловечных или унижающих достоинство видов</w:t>
      </w:r>
      <w:r>
        <w:rPr>
          <w:b/>
          <w:bCs/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Cs w:val="22"/>
          <w:lang w:eastAsia="ru-RU"/>
        </w:rPr>
        <w:t>обращения и наказания.</w:t>
      </w:r>
    </w:p>
    <w:p w:rsidR="00000000" w:rsidRDefault="00000000"/>
    <w:p w:rsidR="00000000" w:rsidRDefault="00000000">
      <w:r>
        <w:t>3.</w:t>
      </w:r>
      <w:r>
        <w:tab/>
        <w:t>Комитет с удовлетворением отмечает предпринятые многопрофильной делегацией государства-участника в ходе диалога конструктивные усилия, направленные на то, чтобы представить дополнительную информацию и дать соответствующие пояснения.</w:t>
      </w:r>
    </w:p>
    <w:p w:rsidR="00000000" w:rsidRDefault="00000000"/>
    <w:p w:rsidR="00000000" w:rsidRDefault="00000000">
      <w:pPr>
        <w:jc w:val="center"/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/>
    <w:p w:rsidR="00000000" w:rsidRDefault="00000000">
      <w:r>
        <w:t>4.</w:t>
      </w:r>
      <w:r>
        <w:tab/>
        <w:t>Комитет приветствует текущие усилия государства-участника по улучшению условий содержания в тюрьмах, включая выделение дополнительных средств для решения проблемы переполненности тюремных учреждений.  В частности, Комитет приветствует усилия государства-участника по введению мер, альтернативных лишению свободы, как, например, использование т.н. электронных бирок контроля передвижения.</w:t>
      </w:r>
    </w:p>
    <w:p w:rsidR="00000000" w:rsidRDefault="00000000"/>
    <w:p w:rsidR="00000000" w:rsidRDefault="00000000">
      <w:r>
        <w:t>5.</w:t>
      </w:r>
      <w:r>
        <w:tab/>
        <w:t>Что касается проживающих в Дании травмированных беженцев и членов их семей, то Комитет с удовлетворением отмечает выделение средств под специальные проекты, рассчитанные на период до 2010 года, которые призваны содействовать реабилитации и улучшению условий жизни таких лиц.</w:t>
      </w:r>
    </w:p>
    <w:p w:rsidR="00000000" w:rsidRDefault="00000000"/>
    <w:p w:rsidR="00000000" w:rsidRDefault="00000000">
      <w:r>
        <w:t>6.</w:t>
      </w:r>
      <w:r>
        <w:tab/>
        <w:t>Комитет также с удовлетворением отмечает решение государства-участника выделить дополнительные средства с целью улучшения условий жизни в датских центрах для просителей убежища, в частности условий для семей с детьми.</w:t>
      </w:r>
    </w:p>
    <w:p w:rsidR="00000000" w:rsidRDefault="00000000"/>
    <w:p w:rsidR="00000000" w:rsidRDefault="00000000">
      <w:r>
        <w:t>7.</w:t>
      </w:r>
      <w:r>
        <w:tab/>
        <w:t>Комитет приветствует сотрудничество государства-участника с неправительственными организациями, деятельность которых направлена на искоренение пыток, оказание помощи жертвам пыток в Дании и во всем мире и их реабилитацию.</w:t>
      </w:r>
    </w:p>
    <w:p w:rsidR="00000000" w:rsidRDefault="00000000"/>
    <w:p w:rsidR="00000000" w:rsidRDefault="00000000">
      <w:r>
        <w:t>8.</w:t>
      </w:r>
      <w:r>
        <w:tab/>
        <w:t>Комитет дает высокую оценку предпринимаемым государством-участником глобальным усилиям по поощрению уважения прав человека, в частности по борьбе с пытками и их искоренению, а именно: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a</w:t>
      </w:r>
      <w:r>
        <w:t>)</w:t>
      </w:r>
      <w:r>
        <w:tab/>
        <w:t>обретение статуса одного из основных мировых двусторонних доноров (с точки зрения объема помощи на цели развития в расчете на душу населения), и разработку в этой связи общенациональной платформы для двустороннего сотрудничества по борьбе с пытками;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оказание содействия учреждениям системы Организации Объединенных Наций, соответствующим программам и фондам, в том числе Фонду добровольных взносов Организации Объединенных Наций для жертв пыток;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c</w:t>
      </w:r>
      <w:r>
        <w:t>)</w:t>
      </w:r>
      <w:r>
        <w:tab/>
        <w:t>стимулирование всеобщей ратификации Факультативного протокола к Конвенции, в том числе посредством оперативной ратификации государством-участником Факультативного протокола в 2004 году и выступления в поддержку осуществления его положений;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d</w:t>
      </w:r>
      <w:r>
        <w:t>)</w:t>
      </w:r>
      <w:r>
        <w:tab/>
        <w:t>представление в Третьем комитете Генеральной Ассамблеи Организации Объединенных Наций, а также в бывшей Комиссии по правам человека проекта резолюций против пыток и выдвижение инициатив по структуризации и укреплению платформы действий вновь созданного Совета по правам человека, направленных на пресечение пыток;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e</w:t>
      </w:r>
      <w:r>
        <w:t>)</w:t>
      </w:r>
      <w:r>
        <w:tab/>
        <w:t>самое активное участие в осуществлении руководящих принципов политики Европейского союза применительно к третьим странам, в том что касается борьбы с пытками и другими видами жестокого, бесчеловечного или унижающего достоинство обращения и наказания.</w:t>
      </w:r>
    </w:p>
    <w:p w:rsidR="00000000" w:rsidRDefault="00000000"/>
    <w:p w:rsidR="00000000" w:rsidRDefault="00000000">
      <w:pPr>
        <w:jc w:val="center"/>
      </w:pPr>
      <w:r>
        <w:rPr>
          <w:b/>
          <w:bCs/>
        </w:rPr>
        <w:t>С.</w:t>
      </w:r>
      <w:r>
        <w:rPr>
          <w:b/>
          <w:bCs/>
        </w:rPr>
        <w:tab/>
        <w:t>Основные вопросы, вызывающие озабоченность, и рекомендации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Включение Конвенции</w:t>
      </w:r>
    </w:p>
    <w:p w:rsidR="00000000" w:rsidRDefault="00000000"/>
    <w:p w:rsidR="00000000" w:rsidRDefault="00000000">
      <w:r>
        <w:t>9.</w:t>
      </w:r>
      <w:r>
        <w:tab/>
        <w:t>Комитет выражает сожаление в связи с тем, что государство-участник не пересмотрело свою позицию относительно включения Конвенции во внутреннее законодательство.  По мнению Комитета, включение Конвенции в датское законодательство было бы не просто символическим шагом, но способствовало бы усилению защиты лиц, обеспечивая им возможность непосредственно ссылаться на ее положения в судах.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Комитет рекомендует государству-участнику включить Конвенцию во внутреннее законодательство Дании в порядке обеспечения гражданам страны возможности непосредственно ссылаться на ее положения в судах, придания Конвенции должного веса, а также повышения уровня информированности о ее положениях среди работников судебной системы и представителей широкой общественности.</w:t>
      </w:r>
    </w:p>
    <w:p w:rsidR="00000000" w:rsidRDefault="00000000">
      <w:pPr>
        <w:rPr>
          <w:b/>
          <w:bCs/>
        </w:rPr>
      </w:pPr>
    </w:p>
    <w:p w:rsidR="00000000" w:rsidRDefault="00000000">
      <w:r>
        <w:rPr>
          <w:b/>
          <w:bCs/>
        </w:rPr>
        <w:t>Определение понятия "пытка"</w:t>
      </w:r>
    </w:p>
    <w:p w:rsidR="00000000" w:rsidRDefault="00000000"/>
    <w:p w:rsidR="00000000" w:rsidRDefault="00000000">
      <w:r>
        <w:t>10.</w:t>
      </w:r>
      <w:r>
        <w:tab/>
        <w:t>Как отмечает Комитет, недавно министерство юстиции просило Постоянный комитет по вопросам уголовного права рассмотреть возможность включения в Уголовный кодекс специального положения о пытках.  Несмотря на предпринимаемые государством-участником усилия по изучению данного вопроса и пересмотру ныне действующих положений Уголовного кодекса, Комитет повторяет выраженную им в своих предыдущих выводах и рекомендациях (CAT/C/CR/28/1, пункт 6 а)) обеспокоенность по поводу отсутствия в уголовном законодательстве страны конкретного преступления в виде пытки, как это предусматривается статьей 1 и пунктом 2 статьи 4 Конвенции.  Отмечая введение в действие директивы руководства оборонного ведомства о запрещении пыток и других жестоких, бесчеловечных или унижающих достоинство видов обращения и наказания в вооруженных силах, Комитет выражает сожаление в связи с решением государства-участника не включать отдельное положение о запрещении пыток в новый Военно-уголовный кодекс (статьи 1 и 4).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Комитет призывает государство-участника включить в свой Уголовный кодекс, а также Военно-уголовный кодекс конкретное преступление в виде пытки, как оно определено в статье 1 Конвенции, и придать практике применения пыток характер уголовно наказуемого деяния в соответствии с пунктом 2 статьи 4 Конвенции.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>Срок давности</w:t>
      </w:r>
    </w:p>
    <w:p w:rsidR="00000000" w:rsidRDefault="00000000"/>
    <w:p w:rsidR="00000000" w:rsidRDefault="00000000">
      <w:r>
        <w:t>11.</w:t>
      </w:r>
      <w:r>
        <w:tab/>
        <w:t>Комитет с обеспокоенностью отмечает, что преступление в виде пытки, которое как таковое в Уголовном кодексе Дании не фигурирует, наказывается на основании других положений Уголовного кодекса, вследствие чего на него распространяется срок давности.  Хотя акты пыток, приравниваемые - согласно Римскому статуту Международного уголовного суда, ратифицированному государством-участником 21 июня 2001 года - к военным преступлениям или преступлениям против человечности, не подпадают под какой-либо срок давности в силу статьи 93 а) Уголовного кодекса, Комитет встревожен тем обстоятельством, что применительно к другим соответствующим положениям Уголовного кодекса действие срока давности может воспрепятствовать надлежащему расследованию, судебному преследованию и наказанию за эти тяжкие преступления, в частности когда уголовно наказуемое деяние было совершено за границей.  Принимая во внимание весьма тяжкий характер актов пыток, Комитет считает, что на преступление в виде пытки не может распространяться никакой срок давности (статьи 1 и 4).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Государству-участнику надлежит пересмотреть свои нормы и положения, касающиеся применения срока давности, и привести их в полное соответствие с обязательствами по Конвенции, с тем чтобы акты пыток, покушения на совершение пыток и действия любого лица, квалифицируемые как соучастие в пытках или причастность к ним, подлежали расследованию, судебному преследованию и наказанию без каких-либо временны</w:t>
      </w:r>
      <w:r>
        <w:rPr>
          <w:rFonts w:ascii="Tahoma" w:hAnsi="Tahoma" w:cs="Tahoma"/>
          <w:b/>
          <w:bCs/>
        </w:rPr>
        <w:t></w:t>
      </w:r>
      <w:r>
        <w:rPr>
          <w:b/>
          <w:bCs/>
        </w:rPr>
        <w:t>х ограничений.</w:t>
      </w:r>
    </w:p>
    <w:p w:rsidR="00000000" w:rsidRDefault="00000000"/>
    <w:p w:rsidR="00000000" w:rsidRDefault="00000000">
      <w:r>
        <w:rPr>
          <w:b/>
          <w:bCs/>
        </w:rPr>
        <w:t>Недопустимость принудительного возвращения</w:t>
      </w:r>
    </w:p>
    <w:p w:rsidR="00000000" w:rsidRDefault="00000000"/>
    <w:p w:rsidR="00000000" w:rsidRDefault="00000000">
      <w:r>
        <w:t>12.</w:t>
      </w:r>
      <w:r>
        <w:tab/>
        <w:t>Комитет принимает к сведению поступившую информацию, согласно которой захваченные датским контингентом в Афганистане в феврале-марте 2002 года в ходе совместной военной операции 32 боевика, переданные союзным силам, согласно заявлениям, впоследствии стали жертвами жестокого обращения со стороны последних.  Комитет также отмечает заверение государства-участника о проведении им обстоятельного расследования данного инцидента, по результатам которого был сделан вывод о том, что в передаче задержанных лиц не усматривается факта нарушения статьи 12 Третьей Женевской конвенции.  Наконец, Комитет принимает к сведению заверения государства-участника о том, что вскоре после вверения их попечению союзных сил все задержанные были освобождены и в период содержания под стражей никто из них не подвергался жестокому обращению.</w:t>
      </w:r>
    </w:p>
    <w:p w:rsidR="00000000" w:rsidRDefault="00000000"/>
    <w:p w:rsidR="00000000" w:rsidRDefault="00000000">
      <w:r>
        <w:t>13.</w:t>
      </w:r>
      <w:r>
        <w:tab/>
        <w:t xml:space="preserve">Комитет напоминает о своей неизменной позиции (CAT/C/CR/33/3, подпункты </w:t>
      </w:r>
      <w:r>
        <w:rPr>
          <w:lang w:val="en-US"/>
        </w:rPr>
        <w:t>b</w:t>
      </w:r>
      <w:r>
        <w:t xml:space="preserve">) и </w:t>
      </w:r>
      <w:r>
        <w:rPr>
          <w:lang w:val="en-US"/>
        </w:rPr>
        <w:t>d</w:t>
      </w:r>
      <w:r>
        <w:t xml:space="preserve">) пункта 4;  </w:t>
      </w:r>
      <w:r>
        <w:rPr>
          <w:rFonts w:eastAsia="SimSun"/>
          <w:szCs w:val="24"/>
          <w:lang w:val="en-US" w:eastAsia="zh-CN"/>
        </w:rPr>
        <w:t>CAT</w:t>
      </w:r>
      <w:r>
        <w:rPr>
          <w:rFonts w:eastAsia="SimSun"/>
          <w:szCs w:val="24"/>
          <w:lang w:eastAsia="zh-CN"/>
        </w:rPr>
        <w:t>/</w:t>
      </w:r>
      <w:r>
        <w:rPr>
          <w:rFonts w:eastAsia="SimSun"/>
          <w:szCs w:val="24"/>
          <w:lang w:val="en-US" w:eastAsia="zh-CN"/>
        </w:rPr>
        <w:t>C</w:t>
      </w:r>
      <w:r>
        <w:rPr>
          <w:rFonts w:eastAsia="SimSun"/>
          <w:szCs w:val="24"/>
          <w:lang w:eastAsia="zh-CN"/>
        </w:rPr>
        <w:t>/</w:t>
      </w:r>
      <w:r>
        <w:rPr>
          <w:rFonts w:eastAsia="SimSun"/>
          <w:szCs w:val="24"/>
          <w:lang w:val="en-US" w:eastAsia="zh-CN"/>
        </w:rPr>
        <w:t>USA</w:t>
      </w:r>
      <w:r>
        <w:rPr>
          <w:rFonts w:eastAsia="SimSun"/>
          <w:szCs w:val="24"/>
          <w:lang w:eastAsia="zh-CN"/>
        </w:rPr>
        <w:t>/</w:t>
      </w:r>
      <w:r>
        <w:rPr>
          <w:rFonts w:eastAsia="SimSun"/>
          <w:szCs w:val="24"/>
          <w:lang w:val="en-US" w:eastAsia="zh-CN"/>
        </w:rPr>
        <w:t>CO</w:t>
      </w:r>
      <w:r>
        <w:rPr>
          <w:rFonts w:eastAsia="SimSun"/>
          <w:szCs w:val="24"/>
          <w:lang w:eastAsia="zh-CN"/>
        </w:rPr>
        <w:t xml:space="preserve">/2, подпункты </w:t>
      </w:r>
      <w:r>
        <w:rPr>
          <w:rFonts w:eastAsia="SimSun"/>
          <w:szCs w:val="24"/>
          <w:lang w:val="en-US" w:eastAsia="zh-CN"/>
        </w:rPr>
        <w:t>e</w:t>
      </w:r>
      <w:r>
        <w:rPr>
          <w:rFonts w:eastAsia="SimSun"/>
          <w:szCs w:val="24"/>
          <w:lang w:eastAsia="zh-CN"/>
        </w:rPr>
        <w:t xml:space="preserve">) и </w:t>
      </w:r>
      <w:r>
        <w:rPr>
          <w:rFonts w:eastAsia="SimSun"/>
          <w:szCs w:val="24"/>
          <w:lang w:val="en-US" w:eastAsia="zh-CN"/>
        </w:rPr>
        <w:t>f</w:t>
      </w:r>
      <w:r>
        <w:rPr>
          <w:rFonts w:eastAsia="SimSun"/>
          <w:szCs w:val="24"/>
          <w:lang w:eastAsia="zh-CN"/>
        </w:rPr>
        <w:t>) пункта 5)</w:t>
      </w:r>
      <w:r>
        <w:t>, согласно которой положения статьи 3 Конвенции и закрепленное в ней обязательство относительно недопустимости принудительного возвращения распространяются также на вооруженные силы любого государства-участника, где бы они ни находились, когда они осуществляют реальный контроль над тем или иным лицом.  Аналогичное требование предъявляется даже в том случае, если воинский контингент государства-участника находится в оперативном подчинении другого государства.  Следовательно, недопустима передача захваченного лица другому государству, если передающее государство сознает или в состоянии предвидеть реальную опасность применения к нему пыток (статья 3).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Что касается передачи государством-участником задержанных лиц какому-либо другому государству, то при любых обстоятельствах это государство-участник должно обеспечивать полное соблюдение положений статьи 3 Конвенции.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Одиночное заключение</w:t>
      </w:r>
    </w:p>
    <w:p w:rsidR="00000000" w:rsidRDefault="00000000"/>
    <w:p w:rsidR="00000000" w:rsidRDefault="00000000">
      <w:r>
        <w:t>14.</w:t>
      </w:r>
      <w:r>
        <w:tab/>
        <w:t>Комитет с удовлетворением отмечает, что максимальный срок одиночного заключения лиц в возрасте до 18 лет сокращен с восьми до четырех недель.  Несмотря на поправки к Закону об отправлении правосудия, принятые с целью добиться сокращения масштабов использования практики одиночного заключения в целом и в отношении лиц в возрасте до 18 лет в частности, Комитет по-прежнему обеспокоен случаями продолжительного одиночного содержания лиц в предварительном заключении до суда.  Он особо встревожен тем обстоятельством, что лица, в том числе не достигшие 18-летнего возраста, подозреваемые в совершении преступлений против независимости и безопасности государства (глава 12 Уголовного кодекса) или против Конституции и верховных органов власти государства (глава 13 Уголовного кодекса), могут содержаться в предварительном одиночном заключении до суда неопределенно долгое время.  Вместе с тем Комитет отмечает, что имеется механизм судебного контроля для рассмотрения вопроса о необходимости продолжения одиночного заключения (статья 11).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Государству-участнику надлежит продолжать контролировать последствия одиночного заключения для задержанных и действенность поправок 2000</w:t>
      </w:r>
      <w:r>
        <w:rPr>
          <w:b/>
          <w:bCs/>
        </w:rPr>
        <w:noBreakHyphen/>
        <w:t>2006 годов к Закону об отправлении правосудия, которые сократили количество оснований, по которым может быть применено одиночное заключение, и его продолжительность.  Государству-участнику следует прибегать к использованию одиночного заключения лишь в качестве крайней меры, причем на как можно более короткий срок, а также под строгим надзором и при обеспечении возможности судебного пересмотра такой меры пресечения.  Помещение в условия одиночного заключения лиц в возрасте до 18 лет должно ограничиваться самыми исключительными случаями.  Государству-участнику надлежит стремиться к отмене в конечном итоге подобной меры (CRC/C/DNK/CO/3, пункты 58-59).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Что касается лиц, подозреваемых в совершении преступлений против независимости и безопасности государства (глава 12 Уголовного кодекса) или против Конституции и верховных органов власти государства (глава 13 Уголовного кодекса), которые могут содержаться в предварительном одиночном заключении до суда неопределенно долгое время, то государству-участнику следует обеспечить уважение принципа соразмерности и ввести жесткие рамки использования соответствующего режима.  Кроме того, применительно к лицам, содержащимся в одиночном заключении, государству-участнику надлежит наращивать психологическое воздействие за счет налаживания действенных социальных контактов.</w:t>
      </w:r>
    </w:p>
    <w:p w:rsidR="00000000" w:rsidRDefault="00000000"/>
    <w:p w:rsidR="00000000" w:rsidRDefault="00000000">
      <w:r>
        <w:rPr>
          <w:b/>
          <w:bCs/>
        </w:rPr>
        <w:t>Оперативное и беспристрастное расследование</w:t>
      </w:r>
    </w:p>
    <w:p w:rsidR="00000000" w:rsidRDefault="00000000"/>
    <w:p w:rsidR="00000000" w:rsidRDefault="00000000">
      <w:r>
        <w:t>15.</w:t>
      </w:r>
      <w:r>
        <w:tab/>
        <w:t>Комитет отмечает, что государство-участник откликнулось на критические замечания, высказанные по поводу случая смерти Йенса Арне Эрскова в июне 2002 года, наступившей во время его нахождения под стражей в полицейском участке, а также других отдельных случаев, учредив полномочный комитет по обзору и анализу существующей системы рассмотрения жалоб на действия полиции и производства по уголовным делам против сотрудников полиции.  Вместе с тем, Комитет обеспокоен заявлениями о нарушениях, совершенных сотрудниками правоохранительных органов, в частности тем фактом, что беспристрастность проведенных впоследствии расследований вызывает сомнения (статьи 12, 13 и 14).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Государству-участнику надлежит обеспечить условия к тому, чтобы все заявления о нарушениях, совершенных сотрудниками правоохранительных структур, и в особенности любые случаи смерти в период содержания под стражей, становились предметом оперативного, независимого и беспристрастного расследования.  Следует также обеспечить право жертв полицейских злоупотреблений на получение возмещения и справедливой и адекватной компенсации, как это предусмотрено в статье 14 Конвенции.  Государству-участнику надлежит ускорить текущий процесс пересмотра и по его итогам представить Комитету соответствующую подробную информацию.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Чрезмерное применение силы, включая случаи убийства людей, со стороны сотрудников правоохранительных структур</w:t>
      </w:r>
    </w:p>
    <w:p w:rsidR="00000000" w:rsidRDefault="00000000"/>
    <w:p w:rsidR="00000000" w:rsidRDefault="00000000">
      <w:r>
        <w:t>16.</w:t>
      </w:r>
      <w:r>
        <w:tab/>
        <w:t>Обеспокоенность Комитета вызывают поступающие сообщения с обвинениями сотрудников правоохранительных органов в чрезмерном применении силы, включая рукоприкладство и использование слезоточивого газа, во время молодежных волнений ("</w:t>
      </w:r>
      <w:r>
        <w:rPr>
          <w:rFonts w:eastAsia="SimSun"/>
          <w:szCs w:val="24"/>
          <w:lang w:val="en-US" w:eastAsia="zh-CN"/>
        </w:rPr>
        <w:t>Ungdomshus</w:t>
      </w:r>
      <w:r>
        <w:rPr>
          <w:rFonts w:eastAsia="SimSun"/>
          <w:szCs w:val="24"/>
          <w:lang w:eastAsia="zh-CN"/>
        </w:rPr>
        <w:t>"</w:t>
      </w:r>
      <w:r>
        <w:t>) в Копенгагене в марте 2007 года.  Комитет также с озабоченностью обращает внимание на сообщения, согласно которым за последние два года сотрудниками датских правоохранительных структур был убит целый ряд лиц (статьи 10, 12, 13, 14 и 16).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Государству-участнику надлежит пересмотреть существующий механизм и порядок рассмотрения заявлений о чрезмерном применении силы, включая использование оружия, со стороны сотрудников правоохранительных органов и обеспечить их соответствие положениям Конвенции.  Государству-участнику следует добиваться проведения оперативного и беспристрастного расследования всех жалоб или заявлений относительно неправомерных действий, особенно если какое-либо лицо погибает или получает тяжелые телесные повреждения в результате вмешательства сотрудников полиции.  Кроме того, государству-участнику надлежит пересмотреть и усилить свои программы обучения и подготовки по вопросам применения силы, включая использование оружия со стороны сотрудников правоохранительных органов, с</w:t>
      </w:r>
      <w:r>
        <w:t> </w:t>
      </w:r>
      <w:r>
        <w:rPr>
          <w:b/>
          <w:bCs/>
        </w:rPr>
        <w:t>тем чтобы применение ими силы строго ограничивалось рамками их служебных обязанностей.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keepNext/>
        <w:ind w:left="567" w:hanging="567"/>
        <w:rPr>
          <w:b/>
          <w:bCs/>
        </w:rPr>
      </w:pPr>
      <w:r>
        <w:rPr>
          <w:b/>
          <w:bCs/>
        </w:rPr>
        <w:t>Продолжительные периоды пребывания в центрах для просителей убежища</w:t>
      </w:r>
    </w:p>
    <w:p w:rsidR="00000000" w:rsidRDefault="00000000">
      <w:pPr>
        <w:keepNext/>
      </w:pPr>
    </w:p>
    <w:p w:rsidR="00000000" w:rsidRDefault="00000000">
      <w:pPr>
        <w:keepNext/>
      </w:pPr>
      <w:r>
        <w:t>17.</w:t>
      </w:r>
      <w:r>
        <w:tab/>
        <w:t>Несмотря на меры, принятые с целью улучшения условий проживания и организации мероприятий в центрах для просителей убежища, включая, в частности, условия для семей с детьми, Комитет выражает обеспокоенность по поводу чрезмерно продолжительных периодов пребывания в таких центрах, а также связанных с этим негативных психологических последствий, равно как и неопределенности статуса и бытовой неустроенности просителей убежища (статья 16).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  <w:t>Государству-участнику - наряду с улучшением условий проживания в центрах для просителей убежища - надлежит принимать во внимание последствия, связанные с длительным пребыванием в них, и предлагать как детям, так и взрослым из числа лиц, содержащихся в центрах для просителей убежища, учебные и рекреационные мероприятия, а также обеспечивать оказание надлежащих социальных и медицинских услуг.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>Реформа судебной системы Гренландии</w:t>
      </w:r>
    </w:p>
    <w:p w:rsidR="00000000" w:rsidRDefault="00000000"/>
    <w:p w:rsidR="00000000" w:rsidRDefault="00000000">
      <w:r>
        <w:t>18.</w:t>
      </w:r>
      <w:r>
        <w:tab/>
        <w:t>Комитет с интересом отмечает предложения и рекомендации Комиссии по судебной системе Гренландии (доклад № 1442/2004), в частности в отношении обращения с лицами, содержащимися в предварительном заключении, и другими задержанными лицами;  подготовки докладов о личности подсудимого перед вынесением приговора;  передачи или представления суду документов и других материалов, имеющих важное значение для ведения уголовного процесса;  и пенитенциарной структуры.  Он также проявляет интерес к текущему процессу разработки нового специального уголовного кодекса и нового специального закона об отправлении правосудия для Гренландии.</w:t>
      </w:r>
    </w:p>
    <w:p w:rsidR="00000000" w:rsidRDefault="00000000"/>
    <w:p w:rsidR="00000000" w:rsidRDefault="00000000">
      <w:pPr>
        <w:ind w:left="567" w:hanging="567"/>
      </w:pPr>
      <w:r>
        <w:tab/>
      </w:r>
      <w:r>
        <w:rPr>
          <w:b/>
          <w:bCs/>
        </w:rPr>
        <w:t>Государству-участнику надлежит форсировать текущий процесс разработки и принятия нового специального уголовного кодекса и нового специального закона об отправлении правосудия для Гренландии, обеспечивая при этом, чтобы все положения указанных новых законодательных актов полностью отвечали Конвенции и другим соответствующим международным стандартам.</w:t>
      </w:r>
    </w:p>
    <w:p w:rsidR="00000000" w:rsidRDefault="00000000"/>
    <w:p w:rsidR="00000000" w:rsidRDefault="00000000">
      <w:r>
        <w:t>19.</w:t>
      </w:r>
      <w:r>
        <w:tab/>
        <w:t>Комитет просит государство-участник представить подробные статистические данные в разбивке по типу преступлений, этнической принадлежности, возрасту и полу жертв относительно жалоб, касающихся актов пыток и жестокого обращения, предположительно совершенных сотрудниками правоохранительных структур, а также о соответствующих расследованиях, судебных преследованиях, уголовных и дисциплинарных наказаниях.  Также запрашивается информация о любой компенсации и реабилитации, предоставленной жертвам.</w:t>
      </w:r>
    </w:p>
    <w:p w:rsidR="00000000" w:rsidRDefault="00000000"/>
    <w:p w:rsidR="00000000" w:rsidRDefault="00000000">
      <w:r>
        <w:t>20.</w:t>
      </w:r>
      <w:r>
        <w:tab/>
        <w:t>Комитет призывает государство-участник обеспечить широкое распространение докладов, представляемых Данией Комитету, а также заключительных замечаний и рекомендаций последнего на всех соответствующих языках через официальные вебсайты, средства массовой информации и неправительственные организации.</w:t>
      </w:r>
    </w:p>
    <w:p w:rsidR="00000000" w:rsidRDefault="00000000"/>
    <w:p w:rsidR="00000000" w:rsidRDefault="00000000">
      <w:r>
        <w:t>21.</w:t>
      </w:r>
      <w:r>
        <w:tab/>
        <w:t>Комитет предлагает государству-участнику представить свой базовый документ в соответствии с требованиями, предъявляемыми в отношении общего базового документа, согласно унифицированным руководящим принципам представления докладов в рамках международных договоров по правам человека, утвержденным Пятым межкомитетским совещанием договорных органов по правам человека в июне 2006 года (HRI/MC/2006/3 и Corr.1).</w:t>
      </w:r>
    </w:p>
    <w:p w:rsidR="00000000" w:rsidRDefault="00000000"/>
    <w:p w:rsidR="00000000" w:rsidRDefault="00000000">
      <w:r>
        <w:t>22.</w:t>
      </w:r>
      <w:r>
        <w:tab/>
        <w:t>Комитет просит государство-участник представить в течение одного года информацию о мерах, принятых им в порядке выполнения рекомендаций, содержащиеся в пунктах 15, 16 и 19.</w:t>
      </w:r>
    </w:p>
    <w:p w:rsidR="00000000" w:rsidRDefault="00000000"/>
    <w:p w:rsidR="00000000" w:rsidRDefault="00000000">
      <w:r>
        <w:t>23.</w:t>
      </w:r>
      <w:r>
        <w:tab/>
        <w:t>Государству-участнику предлагается представить свой седьмой периодический доклад к 30 июня 2011 года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</w:t>
      </w:r>
    </w:p>
    <w:sectPr w:rsidR="0000000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851" w:right="851" w:bottom="1701" w:left="1701" w:header="851" w:footer="851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5pt;margin-top:-149.15pt;width:28.05pt;height:146.05pt;z-index:1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9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lang w:val="en-US"/>
      </w:rPr>
      <w:t>GE.07-43156   (R)</w:t>
    </w:r>
    <w:r>
      <w:t xml:space="preserve">     </w:t>
    </w:r>
    <w:r>
      <w:rPr>
        <w:lang w:val="en-US"/>
      </w:rPr>
      <w:t>070807     070807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2.55pt;margin-top:42.5pt;width:28.05pt;height:146.05pt;z-index:2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8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lang w:val="en-US"/>
      </w:rPr>
      <w:t>CAT/C/DNK/CO/5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sz w:val="20"/>
        <w:lang w:val="en-US"/>
      </w:rPr>
    </w:pPr>
  </w:p>
  <w:p w:rsidR="00000000" w:rsidRDefault="00000000">
    <w:pPr>
      <w:pStyle w:val="Header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ind w:firstLine="7293"/>
      <w:rPr>
        <w:lang w:val="en-US"/>
      </w:rPr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682.55pt;margin-top:42.5pt;width:28.05pt;height:146.05pt;z-index:3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9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lang w:val="en-US"/>
      </w:rPr>
      <w:t>CAT/C/DNK/CO/5</w:t>
    </w:r>
  </w:p>
  <w:p w:rsidR="00000000" w:rsidRDefault="00000000">
    <w:pPr>
      <w:pStyle w:val="Header"/>
      <w:ind w:firstLine="7293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sz w:val="20"/>
        <w:lang w:val="en-US"/>
      </w:rPr>
    </w:pPr>
  </w:p>
  <w:p w:rsidR="00000000" w:rsidRDefault="00000000">
    <w:pPr>
      <w:pStyle w:val="Head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NotTrackMoves/>
  <w:defaultTabStop w:val="567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2755</Words>
  <Characters>15708</Characters>
  <Application>Microsoft Office Word</Application>
  <DocSecurity>4</DocSecurity>
  <Lines>130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/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кат</dc:creator>
  <cp:keywords/>
  <dc:description/>
  <cp:lastModifiedBy>Любовь Катаева</cp:lastModifiedBy>
  <cp:revision>3</cp:revision>
  <cp:lastPrinted>2007-08-07T08:31:00Z</cp:lastPrinted>
  <dcterms:created xsi:type="dcterms:W3CDTF">2007-08-07T08:31:00Z</dcterms:created>
  <dcterms:modified xsi:type="dcterms:W3CDTF">2007-08-07T08:31:00Z</dcterms:modified>
</cp:coreProperties>
</file>