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168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16825" w:rsidP="00416825">
            <w:pPr>
              <w:jc w:val="right"/>
            </w:pPr>
            <w:r w:rsidRPr="00416825">
              <w:rPr>
                <w:sz w:val="40"/>
              </w:rPr>
              <w:t>CRPD</w:t>
            </w:r>
            <w:r>
              <w:t>/C/HTI/CO/1</w:t>
            </w:r>
          </w:p>
        </w:tc>
      </w:tr>
      <w:tr w:rsidR="002D5AAC" w:rsidRPr="00703034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16825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16825" w:rsidRDefault="00416825" w:rsidP="004168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April 2018</w:t>
            </w:r>
          </w:p>
          <w:p w:rsidR="00416825" w:rsidRDefault="00416825" w:rsidP="004168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16825" w:rsidRPr="008934D2" w:rsidRDefault="00416825" w:rsidP="004168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16825" w:rsidRPr="00703034" w:rsidRDefault="00416825" w:rsidP="00416825">
      <w:pPr>
        <w:spacing w:before="120"/>
        <w:rPr>
          <w:sz w:val="24"/>
          <w:szCs w:val="24"/>
        </w:rPr>
      </w:pPr>
      <w:r w:rsidRPr="00416825">
        <w:rPr>
          <w:b/>
          <w:sz w:val="24"/>
          <w:szCs w:val="24"/>
        </w:rPr>
        <w:t>Комитет по правам инвалидов</w:t>
      </w:r>
    </w:p>
    <w:p w:rsidR="00416825" w:rsidRPr="0018555C" w:rsidRDefault="00416825" w:rsidP="00416825">
      <w:pPr>
        <w:pStyle w:val="HChGR"/>
      </w:pPr>
      <w:r>
        <w:tab/>
      </w:r>
      <w:r>
        <w:tab/>
      </w:r>
      <w:r>
        <w:tab/>
        <w:t>Заключительные замечания по первоначальному докладу Гаити</w:t>
      </w:r>
      <w:r w:rsidRPr="00416825">
        <w:rPr>
          <w:b w:val="0"/>
          <w:bCs/>
          <w:position w:val="6"/>
          <w:sz w:val="18"/>
          <w:szCs w:val="18"/>
        </w:rPr>
        <w:footnoteReference w:customMarkFollows="1" w:id="1"/>
        <w:t>*</w:t>
      </w:r>
    </w:p>
    <w:p w:rsidR="00416825" w:rsidRPr="00416825" w:rsidRDefault="00416825" w:rsidP="00416825">
      <w:pPr>
        <w:pStyle w:val="HChGR"/>
      </w:pPr>
      <w:r>
        <w:tab/>
        <w:t>I.</w:t>
      </w:r>
      <w:r>
        <w:tab/>
      </w:r>
      <w:r>
        <w:tab/>
        <w:t>Введение</w:t>
      </w:r>
    </w:p>
    <w:p w:rsidR="00416825" w:rsidRPr="00416825" w:rsidRDefault="00416825" w:rsidP="00416825">
      <w:pPr>
        <w:pStyle w:val="SingleTxtGR"/>
      </w:pPr>
      <w:r w:rsidRPr="00416825">
        <w:t>1.</w:t>
      </w:r>
      <w:r w:rsidRPr="00416825">
        <w:tab/>
        <w:t>Комитет рассмотрел первоначальный доклад Гаити (CRPD/C/HTI/1) на своих 363-м и 365-м заседаниях (см. CRPD/C/SR.363 и 365), состоявшихся 15 и 16 февраля 2018 года. На своем 381-м заседании, состоявшемся 28 февраля 2018 года, он принял настоящие заключительные замечания.</w:t>
      </w:r>
    </w:p>
    <w:p w:rsidR="00416825" w:rsidRPr="00416825" w:rsidRDefault="00416825" w:rsidP="00416825">
      <w:pPr>
        <w:pStyle w:val="SingleTxtGR"/>
      </w:pPr>
      <w:r w:rsidRPr="00416825">
        <w:t>2.</w:t>
      </w:r>
      <w:r w:rsidRPr="00416825">
        <w:tab/>
        <w:t>Комитет приветствует первоначальный доклад Гаити, который был подготовлен в соответствии с руководящими принципами Комитета в отношении представления докладов, и выражает государству-участнику признательность за его письменные ответы (CRPD/C/HTI/Q/1/Add.1) на перечень вопросов, подготовленный Комитетом (CRPD/C/HTI/Q/1).</w:t>
      </w:r>
    </w:p>
    <w:p w:rsidR="00416825" w:rsidRPr="00416825" w:rsidRDefault="00416825" w:rsidP="00416825">
      <w:pPr>
        <w:pStyle w:val="HChGR"/>
      </w:pPr>
      <w:r>
        <w:tab/>
      </w:r>
      <w:r w:rsidRPr="00416825">
        <w:t>II.</w:t>
      </w:r>
      <w:r w:rsidRPr="00416825">
        <w:tab/>
      </w:r>
      <w:r w:rsidRPr="00416825">
        <w:tab/>
        <w:t>Позитивные аспекты</w:t>
      </w:r>
    </w:p>
    <w:p w:rsidR="00416825" w:rsidRPr="00416825" w:rsidRDefault="00416825" w:rsidP="00416825">
      <w:pPr>
        <w:pStyle w:val="SingleTxtGR"/>
      </w:pPr>
      <w:r w:rsidRPr="00416825">
        <w:t>3.</w:t>
      </w:r>
      <w:r w:rsidRPr="00416825">
        <w:tab/>
        <w:t xml:space="preserve">Комитет приветствует принятие ряда законодательных мер и мер государственной политики в целях осуществления Конвенции с момента ее ратификации государством-участником, в частности принятие в 2015 году Декрета о выборах с целью поощрения участия инвалидов, а также включение компонента по охране психического здоровья в Национальную политику в области здравоохранения 2014 года, направленную на содействие </w:t>
      </w:r>
      <w:proofErr w:type="spellStart"/>
      <w:r w:rsidRPr="00416825">
        <w:t>деинституционализации</w:t>
      </w:r>
      <w:proofErr w:type="spellEnd"/>
      <w:r w:rsidRPr="00416825">
        <w:t>. Комитет с удовлетворением отмечает использование в государстве-участнике разработанного Вашингтонской группой краткого набора вопросов по инвалидности.</w:t>
      </w:r>
    </w:p>
    <w:p w:rsidR="00416825" w:rsidRPr="00416825" w:rsidRDefault="00416825" w:rsidP="00416825">
      <w:pPr>
        <w:pStyle w:val="HChGR"/>
      </w:pPr>
      <w:r>
        <w:tab/>
      </w:r>
      <w:r w:rsidRPr="00416825">
        <w:t>III.</w:t>
      </w:r>
      <w:r w:rsidRPr="00416825">
        <w:tab/>
      </w:r>
      <w:r w:rsidRPr="00416825">
        <w:tab/>
        <w:t>Основные вопро</w:t>
      </w:r>
      <w:r>
        <w:t>сы, вызывающие обеспокоенность,</w:t>
      </w:r>
      <w:r>
        <w:br/>
      </w:r>
      <w:r w:rsidRPr="00416825">
        <w:t>и рекомендации</w:t>
      </w:r>
    </w:p>
    <w:p w:rsidR="00416825" w:rsidRPr="00416825" w:rsidRDefault="00416825" w:rsidP="00416825">
      <w:pPr>
        <w:pStyle w:val="H1GR"/>
      </w:pPr>
      <w:r>
        <w:tab/>
      </w:r>
      <w:r w:rsidRPr="00416825">
        <w:t>A.</w:t>
      </w:r>
      <w:r w:rsidRPr="00416825">
        <w:tab/>
      </w:r>
      <w:r w:rsidRPr="00416825">
        <w:tab/>
        <w:t>Общие принципы и обязательства (статьи 1–4)</w:t>
      </w:r>
    </w:p>
    <w:p w:rsidR="00416825" w:rsidRPr="00416825" w:rsidRDefault="00416825" w:rsidP="00416825">
      <w:pPr>
        <w:pStyle w:val="SingleTxtGR"/>
      </w:pPr>
      <w:r w:rsidRPr="00416825">
        <w:t>4.</w:t>
      </w:r>
      <w:r w:rsidRPr="00416825">
        <w:tab/>
        <w:t>Комитет с обеспокоенностью отмечает существующие в разных частях государства-участника противоречия в отношении понимания, принятия и применения правозащитного подхода к инвалидности и ее меняющейся концепции. О</w:t>
      </w:r>
      <w:r w:rsidR="00326CE2">
        <w:t>н </w:t>
      </w:r>
      <w:r>
        <w:t>особенно обеспокоен тем, что: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 xml:space="preserve">несмотря на фактическое включение положений Конвенции в национальное законодательство после ее ратификации государством-участником, </w:t>
      </w:r>
      <w:r w:rsidRPr="00416825">
        <w:lastRenderedPageBreak/>
        <w:t>законы, принятые до и после ратификации Конвенции и допускающие дискриминацию по признаку инвалид</w:t>
      </w:r>
      <w:r>
        <w:t>ности, по-прежнему применяются;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использование оскорбительной и уничижительной терминологии в законодательстве и на практике в отношении инвалидов по-прежнему является широко распространенным явлением, которое не влеч</w:t>
      </w:r>
      <w:r>
        <w:t>ет за собой никакого наказания;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</w:r>
      <w:r w:rsidR="000F160E">
        <w:t>«</w:t>
      </w:r>
      <w:r w:rsidRPr="00416825">
        <w:t>стратегии профилактики инвалидности</w:t>
      </w:r>
      <w:r w:rsidR="000F160E">
        <w:t>»</w:t>
      </w:r>
      <w:r w:rsidRPr="00416825">
        <w:t>, предусмотренные в главе III Закона об</w:t>
      </w:r>
      <w:r w:rsidR="00326CE2">
        <w:t xml:space="preserve"> интеграции инвалидов (2012 год</w:t>
      </w:r>
      <w:r w:rsidRPr="00416825">
        <w:t>), неверно воспринимаются как одна из мер по осуществлению Конвенции и приводят к дискриминации в отношении инвалидов.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5.</w:t>
      </w:r>
      <w:r w:rsidRPr="00416825">
        <w:tab/>
      </w:r>
      <w:r w:rsidRPr="00416825">
        <w:rPr>
          <w:b/>
          <w:bCs/>
        </w:rPr>
        <w:t>Комитет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 xml:space="preserve">провести всеобъемлющий </w:t>
      </w:r>
      <w:proofErr w:type="spellStart"/>
      <w:r w:rsidRPr="00416825">
        <w:rPr>
          <w:b/>
        </w:rPr>
        <w:t>межсекторальный</w:t>
      </w:r>
      <w:proofErr w:type="spellEnd"/>
      <w:r w:rsidRPr="00416825">
        <w:rPr>
          <w:b/>
        </w:rPr>
        <w:t xml:space="preserve"> обзор своего законодательства и стратегий для приведения их в соответствие с Конвенцией и обеспечения того, чтобы существующая правовая основа гарантировала защиту инвалидов от дискриминации по признаку инвалидности;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искоренить практику использования оскорбительных и уничижительных формулировок, когда речь идет об инвалидах;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 xml:space="preserve">отменить все стратегии, направленные на </w:t>
      </w:r>
      <w:proofErr w:type="spellStart"/>
      <w:r w:rsidRPr="00416825">
        <w:rPr>
          <w:b/>
        </w:rPr>
        <w:t>легитимизацию</w:t>
      </w:r>
      <w:proofErr w:type="spellEnd"/>
      <w:r w:rsidRPr="00416825">
        <w:rPr>
          <w:b/>
        </w:rPr>
        <w:t xml:space="preserve"> профилактики инвалидности в качестве одной из мер по осуществлению Конвенции;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d)</w:t>
      </w:r>
      <w:r w:rsidRPr="00416825">
        <w:rPr>
          <w:b/>
        </w:rPr>
        <w:tab/>
        <w:t>вовлекать в вышеуказанные процессы инвалидов через представляющие их организации, а также национальные правозащитные учреждения.</w:t>
      </w:r>
    </w:p>
    <w:p w:rsidR="00416825" w:rsidRPr="00416825" w:rsidRDefault="00416825" w:rsidP="00416825">
      <w:pPr>
        <w:pStyle w:val="SingleTxtGR"/>
      </w:pPr>
      <w:r w:rsidRPr="00416825">
        <w:t>6.</w:t>
      </w:r>
      <w:r w:rsidRPr="00416825">
        <w:tab/>
        <w:t>Комитет обеспокоен тем, что: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Национальный совет по реабилитации инвалидов прекратил функционировать;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ресурсов, выделяемых Канцелярии Государственного секретаря по вопросам интеграции инвалидов, недостаточно для выполнения ею своего мандата;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с инвалидами, в том числе с женщинами-инвалидами и детьми-инвалидами, не проводятся активные, достаточные и предметные консультации через представляющие их организации при разработке законов, государственных стратегий, планов действий и мероприятий по подготовке кадров и повышению осведомленности во всех секторах.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7.</w:t>
      </w:r>
      <w:r w:rsidRPr="00416825">
        <w:tab/>
      </w:r>
      <w:r w:rsidRPr="00416825">
        <w:rPr>
          <w:b/>
          <w:bCs/>
        </w:rPr>
        <w:t>Комитет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>возобновить работу Национального совета по реабилитации инвалидов с четким определением его роли и мандата и выделением ему надлежащих ресурсов;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выделять достаточные кадровые, технические и финансовые ресурсы для обеспечения того, чтобы Канцелярия Государственного секретаря по вопросам интеграции инвалидов могла</w:t>
      </w:r>
      <w:r w:rsidR="000F160E">
        <w:rPr>
          <w:b/>
        </w:rPr>
        <w:t xml:space="preserve"> выполнять свой мандат;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проводить эффективные и предметные консультации с инвалидами через представляющие их организации при разработке всех законов, стратегий и программ, касающихся инвалидов, независимо от их возраста, пола, вероисповедания, расовой принадлежности, гендерной идентичности и сексуальной ориентации, а также</w:t>
      </w:r>
      <w:r w:rsidR="000F160E">
        <w:rPr>
          <w:b/>
        </w:rPr>
        <w:t xml:space="preserve"> миграционного и иного статуса.</w:t>
      </w:r>
    </w:p>
    <w:p w:rsidR="00416825" w:rsidRPr="00416825" w:rsidRDefault="00416825" w:rsidP="00326CE2">
      <w:pPr>
        <w:pStyle w:val="H1GR"/>
        <w:pageBreakBefore/>
      </w:pPr>
      <w:r>
        <w:tab/>
      </w:r>
      <w:r w:rsidRPr="00416825">
        <w:t>B.</w:t>
      </w:r>
      <w:r w:rsidRPr="00416825">
        <w:tab/>
      </w:r>
      <w:r w:rsidRPr="00416825">
        <w:tab/>
        <w:t>Конкретные права (статьи 5–30)</w:t>
      </w:r>
    </w:p>
    <w:p w:rsidR="00416825" w:rsidRPr="00416825" w:rsidRDefault="00416825" w:rsidP="00416825">
      <w:pPr>
        <w:pStyle w:val="H23GR"/>
      </w:pPr>
      <w:r w:rsidRPr="00416825">
        <w:tab/>
      </w:r>
      <w:r w:rsidRPr="00416825">
        <w:tab/>
        <w:t xml:space="preserve">Равенство и </w:t>
      </w:r>
      <w:proofErr w:type="spellStart"/>
      <w:r w:rsidRPr="00416825">
        <w:t>недискриминация</w:t>
      </w:r>
      <w:proofErr w:type="spellEnd"/>
      <w:r w:rsidRPr="00416825">
        <w:t xml:space="preserve"> (статья 5)</w:t>
      </w:r>
    </w:p>
    <w:p w:rsidR="00416825" w:rsidRPr="00416825" w:rsidRDefault="00416825" w:rsidP="00416825">
      <w:pPr>
        <w:pStyle w:val="SingleTxtGR"/>
      </w:pPr>
      <w:r w:rsidRPr="00416825">
        <w:t>8.</w:t>
      </w:r>
      <w:r w:rsidRPr="00416825">
        <w:tab/>
        <w:t>Комитет выражает обеспокоенность в связи с: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отсутствием законодательства, запрещающего дискриминацию по признаку инвалидности, в частности квалифицирующего отказ в разумном приспособлении как одну из форм дискриминации, а также содержащего конкретные положения о признании множественных и перекрестных форм дискриминации;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отсутствием у инвалидов, подвергшихся дискриминации по признаку инвалидности, доступа к средствам правовой защиты, а также отсутствием механизмов возме</w:t>
      </w:r>
      <w:r>
        <w:t>щения ущерба и мер компенсации;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отсутствием специализированного независимого механизма для рассмотрения жалоб на дискриминацию по признаку инвалидности, а также отсутствием информации о количестве такого рода жалоб, по которым были проведены расследования и отслеживался ход их рассмотрения.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9.</w:t>
      </w:r>
      <w:r w:rsidRPr="00416825">
        <w:tab/>
      </w:r>
      <w:r w:rsidRPr="00416825">
        <w:rPr>
          <w:b/>
          <w:bCs/>
        </w:rPr>
        <w:t>Комитет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ab/>
      </w:r>
      <w:r w:rsidRPr="00416825">
        <w:rPr>
          <w:b/>
        </w:rPr>
        <w:t>а)</w:t>
      </w:r>
      <w:r w:rsidRPr="00416825">
        <w:rPr>
          <w:b/>
        </w:rPr>
        <w:tab/>
        <w:t xml:space="preserve">включить в национальное законодательство о дискриминации прямой запрет на дискриминацию по признаку инвалидности и положения о квалификации отказа в предоставлении разумного приспособления в качестве одной из форм дискриминации по признаку инвалидности и о признании перекрестных и множественных </w:t>
      </w:r>
      <w:r w:rsidR="00326CE2">
        <w:rPr>
          <w:b/>
        </w:rPr>
        <w:t>форм дискриминации, в частности</w:t>
      </w:r>
      <w:r w:rsidRPr="00416825">
        <w:rPr>
          <w:b/>
        </w:rPr>
        <w:t xml:space="preserve"> по признаку пола, гендерной принадлежности, возраста, инвалидности, национального происхождения, этнической принадлежнос</w:t>
      </w:r>
      <w:r>
        <w:rPr>
          <w:b/>
        </w:rPr>
        <w:t>ти и иммиграционного статуса, а </w:t>
      </w:r>
      <w:r w:rsidRPr="00416825">
        <w:rPr>
          <w:b/>
        </w:rPr>
        <w:t>также предусмотреть в нем эффективные меры в</w:t>
      </w:r>
      <w:r w:rsidR="000F160E">
        <w:rPr>
          <w:b/>
        </w:rPr>
        <w:t>озмещения ущерба и компенсации;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обеспечить жертвам дискриминации по признаку инвалидности доступ к средствам правовой защиты, а также механизмам в</w:t>
      </w:r>
      <w:r w:rsidR="000F160E">
        <w:rPr>
          <w:b/>
        </w:rPr>
        <w:t>озмещения ущерба и компенсации;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создать независимый механизм или укрепить потенциал существующего национального правозащитного учреждения с целью рассмотрения жалоб на дискриминацию по признаку инвалидности и оценки и мониторинга хода их рассмотрения, а также сбора и обновления соответствующих данных.</w:t>
      </w:r>
    </w:p>
    <w:p w:rsidR="00416825" w:rsidRPr="00416825" w:rsidRDefault="00416825" w:rsidP="00416825">
      <w:pPr>
        <w:pStyle w:val="H23GR"/>
      </w:pPr>
      <w:r w:rsidRPr="00416825">
        <w:tab/>
      </w:r>
      <w:r w:rsidRPr="00416825">
        <w:tab/>
        <w:t>Женщины-инвалиды (статья 6)</w:t>
      </w:r>
    </w:p>
    <w:p w:rsidR="00416825" w:rsidRPr="00416825" w:rsidRDefault="00416825" w:rsidP="00416825">
      <w:pPr>
        <w:pStyle w:val="SingleTxtGR"/>
      </w:pPr>
      <w:r w:rsidRPr="00416825">
        <w:t>10.</w:t>
      </w:r>
      <w:r w:rsidRPr="00416825">
        <w:tab/>
        <w:t xml:space="preserve">Комитет выражает обеспокоенность в связи с: 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отягченными формами дискрим</w:t>
      </w:r>
      <w:r w:rsidR="00326CE2">
        <w:t>инации, которым подвергаются, в </w:t>
      </w:r>
      <w:r w:rsidRPr="00416825">
        <w:t>частности, женщины-инвалиды и девочки-инвалиды, включая множественные и перекрестные формы дискриминации, а также дискриминацию по ассоциативному признаку;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</w:r>
      <w:proofErr w:type="spellStart"/>
      <w:r w:rsidRPr="00416825">
        <w:t>маргинализацией</w:t>
      </w:r>
      <w:proofErr w:type="spellEnd"/>
      <w:r w:rsidRPr="00416825">
        <w:t xml:space="preserve"> женщин-инвалидов и девочек-инвалидов и исключением их из существующих программ и стратегий по поощрению прав женщин, включая Национальную политику по вопросам равенства между женщинами и мужчинами на 2014–2020 годы;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неоказанием конкретной и адресной поддержки организациям женщин-инвалидов и девочек-инвалидов, недостаточным участием женщин-инвалидов и девочек-инвалидов в процессах принятия решений по затрагивающим их вопросам и отсутствием программ расширения их прав и возможностей.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11.</w:t>
      </w:r>
      <w:r w:rsidRPr="00416825">
        <w:tab/>
      </w:r>
      <w:r w:rsidRPr="00416825">
        <w:rPr>
          <w:b/>
          <w:bCs/>
        </w:rPr>
        <w:t>Комитет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ab/>
      </w:r>
      <w:r w:rsidRPr="00416825">
        <w:rPr>
          <w:b/>
        </w:rPr>
        <w:t>а)</w:t>
      </w:r>
      <w:r w:rsidRPr="00416825">
        <w:rPr>
          <w:b/>
        </w:rPr>
        <w:tab/>
        <w:t>включать положения о правах женщин-инвалидов и девочек-инвалидов в законодательство по вопросам гендерного равенства, а также в законы и стратегии по вопросам инвалидности и проводить среди населения информационно-просветительские кампании по борьбе со стереотипными представлениями, предрассудками и заблуждениями в отношении женщин</w:t>
      </w:r>
      <w:r w:rsidR="000F160E">
        <w:rPr>
          <w:b/>
        </w:rPr>
        <w:t>-инвалидов и девочек-инвалидов;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внести в Национальную политику по вопросам равенства между женщинами и мужчинами на 2014–2020 годы поправки, охватывающие женщин-инвалидов и девочек-инвалидов и предусматривающие создание механизма для последующего взаимодействия между Министерством по положению и правам женщин и организациями женщин-инвалидов;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принять стратегию, направленную на содействие расширению прав и возможностей женщин-инвалидов и девочек-инвалидов, и обеспечивать проведение консультаций с представляющими их организациями, а также их участие в разработке и осуществлении мер политики, затрагивающих их интересы.</w:t>
      </w:r>
    </w:p>
    <w:p w:rsidR="00416825" w:rsidRPr="00416825" w:rsidRDefault="00416825" w:rsidP="00416825">
      <w:pPr>
        <w:pStyle w:val="H23GR"/>
      </w:pPr>
      <w:r w:rsidRPr="00416825">
        <w:tab/>
      </w:r>
      <w:r w:rsidRPr="00416825">
        <w:tab/>
        <w:t xml:space="preserve">Дети-инвалиды (статья 7) </w:t>
      </w:r>
    </w:p>
    <w:p w:rsidR="00416825" w:rsidRPr="00416825" w:rsidRDefault="00416825" w:rsidP="00416825">
      <w:pPr>
        <w:pStyle w:val="SingleTxtGR"/>
      </w:pPr>
      <w:r w:rsidRPr="00416825">
        <w:t>12.</w:t>
      </w:r>
      <w:r w:rsidRPr="00416825">
        <w:tab/>
        <w:t xml:space="preserve">Комитет серьезно обеспокоен случаями оставления детей-инвалидов, лишения их ухода и применения к ним насилия, включая неправомерное обращение и телесные наказания, в семьях, школах и учреждениях </w:t>
      </w:r>
      <w:proofErr w:type="spellStart"/>
      <w:r w:rsidRPr="00416825">
        <w:t>интернатного</w:t>
      </w:r>
      <w:proofErr w:type="spellEnd"/>
      <w:r w:rsidRPr="00416825">
        <w:t xml:space="preserve"> типа по альтернативному уходу. Ко</w:t>
      </w:r>
      <w:r>
        <w:t>митет в особенности обеспокоен: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</w:r>
      <w:proofErr w:type="spellStart"/>
      <w:r w:rsidRPr="00416825">
        <w:t>непроведением</w:t>
      </w:r>
      <w:proofErr w:type="spellEnd"/>
      <w:r w:rsidRPr="00416825">
        <w:t xml:space="preserve"> консультаций с Канцелярией Государственного секретаря по вопросам интеграции инвалидов в ходе разработки национальной стра</w:t>
      </w:r>
      <w:r>
        <w:t>тегии по вопросам защиты детей;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тем обстоятельством, что детям-инвалидам и их семьям не предоставляются социальные, медицинские, образовательные и экономически услуги и не оказывает</w:t>
      </w:r>
      <w:r>
        <w:t>ся поддержка наравне с другими;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 xml:space="preserve">нехваткой ресурсов, в том числе квалифицированных кадров и доступных объектов в учреждениях </w:t>
      </w:r>
      <w:proofErr w:type="spellStart"/>
      <w:r w:rsidRPr="00416825">
        <w:t>интернатного</w:t>
      </w:r>
      <w:proofErr w:type="spellEnd"/>
      <w:r w:rsidRPr="00416825">
        <w:t xml:space="preserve"> типа по альтернативному уходу.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326CE2">
        <w:t>13.</w:t>
      </w:r>
      <w:r w:rsidRPr="00416825">
        <w:rPr>
          <w:b/>
        </w:rPr>
        <w:tab/>
        <w:t>Комитет рекомендует государству-участнику принять конкретные правовые и другие меры для защиты детей-инвалидов от оставления, лишения их ухода и надругательств, в том числе путем прямого запрещения телесных наказаний в любых обстоятельствах. Он также рекомендует государству-участнику собирать и анализировать разукрупненные данные о положении детей-инвалидов, включая данные о случаях оставления детей и лишения их ухода, с целью разработки надлежащих ответных мер.</w:t>
      </w:r>
      <w:r w:rsidRPr="00416825">
        <w:t xml:space="preserve"> </w:t>
      </w:r>
      <w:r w:rsidRPr="00416825">
        <w:rPr>
          <w:b/>
          <w:bCs/>
        </w:rPr>
        <w:t>В частности, Комитет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ab/>
      </w:r>
      <w:r w:rsidRPr="00416825">
        <w:rPr>
          <w:b/>
        </w:rPr>
        <w:t>а)</w:t>
      </w:r>
      <w:r w:rsidRPr="00416825">
        <w:rPr>
          <w:b/>
        </w:rPr>
        <w:tab/>
        <w:t>обеспечить охват детей-инвалидов в рамках национальной стратегии по вопросам защиты детей;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расширить объем ресурсов, доступных родителям и семьям детей-инвалидов, и обеспечить предоставление им социальных, медицинских, образовательных и экономических услуг, а так</w:t>
      </w:r>
      <w:r w:rsidR="000F160E">
        <w:rPr>
          <w:b/>
        </w:rPr>
        <w:t>же поддержки наравне с другими;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 xml:space="preserve">развивать альтернативные формы ухода за детьми-инвалидами, предусматривающие воспитание в условиях семьи, и тем временем обеспечивать, чтобы учреждения </w:t>
      </w:r>
      <w:proofErr w:type="spellStart"/>
      <w:r w:rsidRPr="00416825">
        <w:rPr>
          <w:b/>
        </w:rPr>
        <w:t>интернатного</w:t>
      </w:r>
      <w:proofErr w:type="spellEnd"/>
      <w:r w:rsidRPr="00416825">
        <w:rPr>
          <w:b/>
        </w:rPr>
        <w:t xml:space="preserve"> типа по альтернативному уходу были укомплектованы квалифицированными кадрами и располагали достаточными финансовыми ресурсами для обеспечения реализации прав детей-инвалидов в этих учреждениях.</w:t>
      </w:r>
    </w:p>
    <w:p w:rsidR="00416825" w:rsidRPr="00416825" w:rsidRDefault="00416825" w:rsidP="00416825">
      <w:pPr>
        <w:pStyle w:val="H23GR"/>
      </w:pPr>
      <w:r w:rsidRPr="00416825">
        <w:tab/>
      </w:r>
      <w:r w:rsidRPr="00416825">
        <w:tab/>
        <w:t>Просветительно-воспитательная работа (статья 8)</w:t>
      </w:r>
    </w:p>
    <w:p w:rsidR="00416825" w:rsidRPr="00416825" w:rsidRDefault="00416825" w:rsidP="00416825">
      <w:pPr>
        <w:pStyle w:val="SingleTxtGR"/>
      </w:pPr>
      <w:r w:rsidRPr="00416825">
        <w:t>14.</w:t>
      </w:r>
      <w:r w:rsidRPr="00416825">
        <w:tab/>
        <w:t xml:space="preserve">Комитет с обеспокоенностью отмечает, что: 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широко распространены табу и негативные стереотипы, связанные с инвалидностью, в том числе чреватые дискриминацией суеверия о том, что инвалидность имеет сверхъестественное п</w:t>
      </w:r>
      <w:r w:rsidR="000F160E">
        <w:t>роисхождение или заразна;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 xml:space="preserve">в обществе широко распространены негативные стереотипы, которые приводят к стигматизации по признаку пола, сексуальной ориентации, гендерной идентичности, альбинизма и сочетания этих факторов с инвалидностью и существенно сдерживают </w:t>
      </w:r>
      <w:r w:rsidR="000F160E">
        <w:t>участие и интеграцию инвалидов;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из-за отсутствия последовательной национальной стратегии и политики повышения уровня осведомленности о применении правозащитного подхода к инвалидности, а также надлежащего участия</w:t>
      </w:r>
      <w:r w:rsidR="000F160E">
        <w:t xml:space="preserve"> </w:t>
      </w:r>
      <w:r w:rsidRPr="00416825">
        <w:t>организаций инвалидов негативное отношение к инвалидам укореняется и усиливается.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15.</w:t>
      </w:r>
      <w:r w:rsidRPr="00416825">
        <w:tab/>
      </w:r>
      <w:r w:rsidRPr="00416825">
        <w:rPr>
          <w:b/>
          <w:bCs/>
        </w:rPr>
        <w:t>Комитет рекомендует государству-участнику:</w:t>
      </w:r>
      <w:r w:rsidRPr="00416825">
        <w:rPr>
          <w:b/>
        </w:rPr>
        <w:t xml:space="preserve"> 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 xml:space="preserve">принять и применять правозащитный подход к инвалидности в целях борьбы с боязнью инвалидов, а также предрассудками </w:t>
      </w:r>
      <w:r w:rsidR="000F160E">
        <w:rPr>
          <w:b/>
        </w:rPr>
        <w:t>и стереотипами в отношении них;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разработать национальную стратегию по повышению уровня осведомленности и план ее осуществления в целях борьбы на практике со стереотипами, связанными с инвалидностью, а также с обусловленной негативными воззрениями стигматизацией, с тем чтобы предупреждать и искоренять дискриминацию, включая множественные и перекрестные формы дискриминации, в отношении инвалидов;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 xml:space="preserve">проводить на постоянной основе просветительские кампании с участием всех заинтересованных сторон, включая религиозных и </w:t>
      </w:r>
      <w:proofErr w:type="gramStart"/>
      <w:r w:rsidRPr="00416825">
        <w:rPr>
          <w:b/>
        </w:rPr>
        <w:t>авторитетных общинных лидеров</w:t>
      </w:r>
      <w:proofErr w:type="gramEnd"/>
      <w:r w:rsidRPr="00416825">
        <w:rPr>
          <w:b/>
        </w:rPr>
        <w:t xml:space="preserve"> и организации, представляющие интересы </w:t>
      </w:r>
      <w:r w:rsidR="000F160E">
        <w:rPr>
          <w:b/>
        </w:rPr>
        <w:t>инвалидов;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d)</w:t>
      </w:r>
      <w:r w:rsidRPr="00416825">
        <w:rPr>
          <w:b/>
        </w:rPr>
        <w:tab/>
        <w:t>повышать осведомленность о положении</w:t>
      </w:r>
      <w:r w:rsidR="00326CE2">
        <w:rPr>
          <w:b/>
        </w:rPr>
        <w:t xml:space="preserve"> инвалидов в обществе, в </w:t>
      </w:r>
      <w:r w:rsidRPr="00416825">
        <w:rPr>
          <w:b/>
        </w:rPr>
        <w:t>том числе путем более активного освещения в средствах массовой информации проблемы неправо</w:t>
      </w:r>
      <w:r w:rsidR="000F160E">
        <w:rPr>
          <w:b/>
        </w:rPr>
        <w:t>мерного обращения с инвалидами.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Доступность (статья 9)</w:t>
      </w:r>
    </w:p>
    <w:p w:rsidR="00416825" w:rsidRPr="00416825" w:rsidRDefault="00416825" w:rsidP="00416825">
      <w:pPr>
        <w:pStyle w:val="SingleTxtGR"/>
      </w:pPr>
      <w:r w:rsidRPr="00416825">
        <w:t>16.</w:t>
      </w:r>
      <w:r w:rsidRPr="00416825">
        <w:tab/>
        <w:t>Комит</w:t>
      </w:r>
      <w:r w:rsidR="000F160E">
        <w:t>ет с обеспокоенностью отмечает: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отсутствие законодательной основы, регламентирующей вопросы доступности антропогенной и физической среды, а также информацион</w:t>
      </w:r>
      <w:r w:rsidR="000F160E">
        <w:t>но-коммуникационных технологий;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отсутствие механизма контроля за соблюдением принципа доступности;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отсутствие ориентированных на всех инвалидов мер политики по вопросам доступности.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17.</w:t>
      </w:r>
      <w:r w:rsidRPr="00416825">
        <w:tab/>
      </w:r>
      <w:proofErr w:type="gramStart"/>
      <w:r w:rsidRPr="00416825">
        <w:rPr>
          <w:b/>
        </w:rPr>
        <w:t>В</w:t>
      </w:r>
      <w:proofErr w:type="gramEnd"/>
      <w:r w:rsidRPr="00416825">
        <w:rPr>
          <w:b/>
        </w:rPr>
        <w:t xml:space="preserve"> соответствии со своим замечан</w:t>
      </w:r>
      <w:r w:rsidR="000F160E">
        <w:rPr>
          <w:b/>
        </w:rPr>
        <w:t>ием общего порядка № 2 (2014</w:t>
      </w:r>
      <w:r w:rsidR="00326CE2">
        <w:rPr>
          <w:b/>
        </w:rPr>
        <w:t xml:space="preserve"> год</w:t>
      </w:r>
      <w:r w:rsidR="000F160E">
        <w:rPr>
          <w:b/>
        </w:rPr>
        <w:t>) о</w:t>
      </w:r>
      <w:r w:rsidR="00326CE2">
        <w:rPr>
          <w:b/>
        </w:rPr>
        <w:t> </w:t>
      </w:r>
      <w:r w:rsidRPr="00416825">
        <w:rPr>
          <w:b/>
        </w:rPr>
        <w:t>доступности Комитет рек</w:t>
      </w:r>
      <w:r w:rsidR="000F160E">
        <w:rPr>
          <w:b/>
        </w:rPr>
        <w:t>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 xml:space="preserve">ускорить принятие законодательных мер в целях обеспечения соблюдения статьи 9 Конвенции, в том числе положений о доступности антропогенной среды, транспорта, зданий и объектов, а также информационно-коммуникационных технологий, и предусмотреть меры наказания </w:t>
      </w:r>
      <w:r w:rsidR="000F160E">
        <w:rPr>
          <w:b/>
        </w:rPr>
        <w:t>в случае их несоблюдения;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создать надлежащую структуру для оценки и мониторинга соблюдения статьи 9;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принять и реализовать всеобъемлющий план действий по вопросам доступности, предусматривающий подготовку по различным аспектам доступности на основе использования универсального</w:t>
      </w:r>
      <w:r w:rsidR="000F160E">
        <w:rPr>
          <w:b/>
        </w:rPr>
        <w:t xml:space="preserve"> дизайна;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d)</w:t>
      </w:r>
      <w:r w:rsidRPr="00416825">
        <w:rPr>
          <w:b/>
        </w:rPr>
        <w:tab/>
        <w:t>принять во внимание связи между статьей 9 Ко</w:t>
      </w:r>
      <w:r w:rsidR="00326CE2">
        <w:rPr>
          <w:b/>
        </w:rPr>
        <w:t>нвенции и задачами </w:t>
      </w:r>
      <w:r w:rsidRPr="00416825">
        <w:rPr>
          <w:b/>
        </w:rPr>
        <w:t xml:space="preserve">11.2 и 11.7 Целей в области устойчивого развития с целью обеспечить, чтобы все могли пользоваться безопасными, недорогими, доступными и экологически устойчивыми транспортными системами, на основе повышения безопасности дорожного движения, а также обеспечить всеобщий доступ к безопасным, доступным и </w:t>
      </w:r>
      <w:proofErr w:type="gramStart"/>
      <w:r w:rsidRPr="00416825">
        <w:rPr>
          <w:b/>
        </w:rPr>
        <w:t>открытым для всех зеленым зонам</w:t>
      </w:r>
      <w:proofErr w:type="gramEnd"/>
      <w:r w:rsidRPr="00416825">
        <w:rPr>
          <w:b/>
        </w:rPr>
        <w:t xml:space="preserve"> и общественным местам.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Право на жизнь (статья 10)</w:t>
      </w:r>
    </w:p>
    <w:p w:rsidR="00416825" w:rsidRPr="00416825" w:rsidRDefault="00416825" w:rsidP="00416825">
      <w:pPr>
        <w:pStyle w:val="SingleTxtGR"/>
      </w:pPr>
      <w:r w:rsidRPr="00416825">
        <w:t>18.</w:t>
      </w:r>
      <w:r w:rsidRPr="00416825">
        <w:tab/>
        <w:t>Комитет глубоко обеспокоен существованием особой угрозы для права на жизнь инвалидов, в частности женщин, в связи с насилием и преступлениями, которым они подвергаются, что усугубляется суевериями и негативными представлениями об инвалидности. Комитет выражает сожален</w:t>
      </w:r>
      <w:r w:rsidR="000F160E">
        <w:t>ие в связи с сообщениями о том,</w:t>
      </w:r>
      <w:r w:rsidR="000F160E">
        <w:br/>
      </w:r>
      <w:r w:rsidRPr="00416825">
        <w:t>что в 2016 году три женщины с нарушениями слуха были зверски убиты за то, что, как считалось, в них вселились злые духи. Комитет также с сожалением отмечает, что виновные до сих пор не были привлечены к ответственности и наказаны.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19.</w:t>
      </w:r>
      <w:r w:rsidRPr="00416825">
        <w:tab/>
      </w:r>
      <w:r w:rsidRPr="00416825">
        <w:rPr>
          <w:b/>
        </w:rPr>
        <w:t>Комитет настоятельно призывает государство-участник принять все законодательные и иные меры, необходимые для предоставления инвалидам возможности пользоваться своим правом</w:t>
      </w:r>
      <w:r w:rsidR="00326CE2">
        <w:rPr>
          <w:b/>
        </w:rPr>
        <w:t xml:space="preserve"> на жизнь наравне с другими. Он </w:t>
      </w:r>
      <w:r w:rsidRPr="00416825">
        <w:rPr>
          <w:b/>
        </w:rPr>
        <w:t>рекомендует государству-участнику обеспечить, чтобы все сотрудники системы отправления правосудия располагали необходимыми ресурсами для судебного преследования и наказания виновных в совершении преступлений, связанных с посягательством на право инвалидов на жизнь.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Ситуации риска и чрезвычайные гуманитарные ситуации (статья 11)</w:t>
      </w:r>
    </w:p>
    <w:p w:rsidR="00416825" w:rsidRPr="00416825" w:rsidRDefault="00416825" w:rsidP="00416825">
      <w:pPr>
        <w:pStyle w:val="SingleTxtGR"/>
      </w:pPr>
      <w:r w:rsidRPr="00416825">
        <w:t>20.</w:t>
      </w:r>
      <w:r w:rsidRPr="00416825">
        <w:tab/>
        <w:t xml:space="preserve">Комитет с </w:t>
      </w:r>
      <w:r w:rsidR="000F160E">
        <w:t>обеспокоенностью отмечает, что: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в существующем национальном стратегическом плане снижения риска бедствий не содержится положений об инвалидности, предусматривающих защиту инвалидов</w:t>
      </w:r>
      <w:r w:rsidR="000F160E">
        <w:t xml:space="preserve"> </w:t>
      </w:r>
      <w:r w:rsidRPr="00416825">
        <w:t>в ситуациях риска, включая стихийные бедствия, и в случае стихийных бедствий</w:t>
      </w:r>
      <w:r w:rsidR="000F160E">
        <w:t xml:space="preserve"> </w:t>
      </w:r>
      <w:r w:rsidRPr="00416825">
        <w:t>государство-участник опирается на ситуативную мобилизацию усилий волонтеров</w:t>
      </w:r>
      <w:r w:rsidR="000F160E">
        <w:t xml:space="preserve"> для оказания помощи инвалидам;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организации инвалидов не привлекались к разработке национального стратегического пла</w:t>
      </w:r>
      <w:r w:rsidR="000F160E">
        <w:t>на снижения риска бедствий;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инвалиды не имеют равного доступа к гуманитарной и чрезвычайной помощи, в том числе к механизмам распределения гуманитарной помощи, а приюты, центры и объекты и</w:t>
      </w:r>
      <w:r w:rsidR="000F160E">
        <w:t>нфраструктуры часто недоступны.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21.</w:t>
      </w:r>
      <w:r w:rsidRPr="00416825">
        <w:tab/>
      </w:r>
      <w:r w:rsidRPr="00416825">
        <w:rPr>
          <w:b/>
          <w:bCs/>
        </w:rPr>
        <w:t>Комитет рекомендует государству-участнику в консультации с инвалидами и представляющими их организациями: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ab/>
      </w:r>
      <w:r w:rsidRPr="00416825">
        <w:rPr>
          <w:b/>
        </w:rPr>
        <w:t>а)</w:t>
      </w:r>
      <w:r w:rsidRPr="00416825">
        <w:rPr>
          <w:b/>
        </w:rPr>
        <w:tab/>
        <w:t>ускорить пересмотр национального стратегического плана снижения риска бедствий с целью включения четких руководящих указаний и протоколов действий, охватывающих инвалидо</w:t>
      </w:r>
      <w:r w:rsidR="00326CE2">
        <w:rPr>
          <w:b/>
        </w:rPr>
        <w:t>в, в доступной для них форме, а </w:t>
      </w:r>
      <w:r w:rsidRPr="00416825">
        <w:rPr>
          <w:b/>
        </w:rPr>
        <w:t xml:space="preserve">также принимать их интересы во внимание во всех ситуациях риска в соответствии с </w:t>
      </w:r>
      <w:proofErr w:type="spellStart"/>
      <w:r w:rsidRPr="00416825">
        <w:rPr>
          <w:b/>
        </w:rPr>
        <w:t>Сендайской</w:t>
      </w:r>
      <w:proofErr w:type="spellEnd"/>
      <w:r w:rsidRPr="00416825">
        <w:rPr>
          <w:b/>
        </w:rPr>
        <w:t xml:space="preserve"> рамочной программой по снижению риска бедствий на 2015–2030 годы и повышать уровень осведомленности, в том числе с помощью проводимых в средствах массовой информации кампаний, знакомящих население с этими протоколами действий в случае стихийных бедствий;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гарантировать, чтобы инвалиды на практике привлекались к разработке и осуществлению мер по обеспечению их защиты и безопасности в ситуациях риска и чрезв</w:t>
      </w:r>
      <w:r w:rsidR="000F160E">
        <w:rPr>
          <w:b/>
        </w:rPr>
        <w:t>ычайных гуманитарных ситуациях;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принять меры для улучшения доступа к гуманитарной и чрезвычайной помощи, в том числе к мех</w:t>
      </w:r>
      <w:r w:rsidR="000F160E">
        <w:rPr>
          <w:b/>
        </w:rPr>
        <w:t>анизмам распределения помощи, а </w:t>
      </w:r>
      <w:r w:rsidRPr="00416825">
        <w:rPr>
          <w:b/>
        </w:rPr>
        <w:t>также к приютам и объектам инфраструктуры.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Равенство перед законом (статья 12)</w:t>
      </w:r>
    </w:p>
    <w:p w:rsidR="00416825" w:rsidRPr="00416825" w:rsidRDefault="00416825" w:rsidP="00416825">
      <w:pPr>
        <w:pStyle w:val="SingleTxtGR"/>
      </w:pPr>
      <w:r w:rsidRPr="00416825">
        <w:t>22.</w:t>
      </w:r>
      <w:r w:rsidRPr="00416825">
        <w:tab/>
        <w:t xml:space="preserve">Комитет с обеспокоенностью отмечает такие действующие законодательные положения, как, например, статьи 399–424 Гражданского кодекса и статью 266 Уголовно-процессуального кодекса, которые были приняты до вступления Конвенции в силу и на основании которых инвалиды лишаются права на осуществление своей правоспособности. Он обеспокоен тем, что лица, находящиеся под опекой и попечительством, в частности лица с психосоциальными или умственными расстройствами, лишены права на осуществление своей правоспособности. Он также обеспокоен неосведомленностью о режимах </w:t>
      </w:r>
      <w:proofErr w:type="spellStart"/>
      <w:r w:rsidRPr="00416825">
        <w:t>суппортивног</w:t>
      </w:r>
      <w:r w:rsidR="000F160E">
        <w:t>о</w:t>
      </w:r>
      <w:proofErr w:type="spellEnd"/>
      <w:r w:rsidR="000F160E">
        <w:t xml:space="preserve"> принятия решений.</w:t>
      </w:r>
    </w:p>
    <w:p w:rsidR="00416825" w:rsidRPr="00416825" w:rsidRDefault="00416825" w:rsidP="00326CE2">
      <w:pPr>
        <w:pStyle w:val="SingleTxtGR"/>
        <w:pageBreakBefore/>
        <w:rPr>
          <w:b/>
          <w:bCs/>
        </w:rPr>
      </w:pPr>
      <w:r w:rsidRPr="00416825">
        <w:t>23.</w:t>
      </w:r>
      <w:r w:rsidRPr="00416825">
        <w:tab/>
      </w:r>
      <w:proofErr w:type="gramStart"/>
      <w:r w:rsidRPr="00416825">
        <w:rPr>
          <w:b/>
        </w:rPr>
        <w:t>В</w:t>
      </w:r>
      <w:proofErr w:type="gramEnd"/>
      <w:r w:rsidRPr="00416825">
        <w:rPr>
          <w:b/>
        </w:rPr>
        <w:t xml:space="preserve"> соответствии со своим замечанием общего порядка № 1 (2014</w:t>
      </w:r>
      <w:r w:rsidR="00326CE2">
        <w:rPr>
          <w:b/>
        </w:rPr>
        <w:t xml:space="preserve"> год) о </w:t>
      </w:r>
      <w:r w:rsidRPr="00416825">
        <w:rPr>
          <w:b/>
        </w:rPr>
        <w:t>равенстве перед законом Комитет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 xml:space="preserve">отменить все правовые положения, ограничивающие правоспособность инвалидов, в частности лиц с психосоциальными </w:t>
      </w:r>
      <w:r w:rsidR="000F160E">
        <w:rPr>
          <w:b/>
        </w:rPr>
        <w:t>или умственными расстройствами;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 xml:space="preserve">заменить все режимы опеки над инвалидами на режимы </w:t>
      </w:r>
      <w:proofErr w:type="spellStart"/>
      <w:r w:rsidRPr="00416825">
        <w:rPr>
          <w:b/>
        </w:rPr>
        <w:t>суппортивного</w:t>
      </w:r>
      <w:proofErr w:type="spellEnd"/>
      <w:r w:rsidRPr="00416825">
        <w:rPr>
          <w:b/>
        </w:rPr>
        <w:t xml:space="preserve"> принятия решений, при которых обеспечивается уважение самостоятельности, прав, воли и предпочтений этой категории лиц;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 xml:space="preserve">разработать программы по укреплению потенциала государственных должностных лиц, посвященные правам инвалидов, равенству перед законом и системе </w:t>
      </w:r>
      <w:proofErr w:type="spellStart"/>
      <w:r w:rsidRPr="00416825">
        <w:rPr>
          <w:b/>
        </w:rPr>
        <w:t>суппортивного</w:t>
      </w:r>
      <w:proofErr w:type="spellEnd"/>
      <w:r w:rsidRPr="00416825">
        <w:rPr>
          <w:b/>
        </w:rPr>
        <w:t xml:space="preserve"> принятия решений, а также повысить уровень осведомленности об этих вопросах среди инвалидов, их семей и общества в целом.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 xml:space="preserve">Доступ к правосудию (статья 13) </w:t>
      </w:r>
    </w:p>
    <w:p w:rsidR="00416825" w:rsidRPr="00416825" w:rsidRDefault="00416825" w:rsidP="00416825">
      <w:pPr>
        <w:pStyle w:val="SingleTxtGR"/>
      </w:pPr>
      <w:r w:rsidRPr="00416825">
        <w:t>24.</w:t>
      </w:r>
      <w:r w:rsidRPr="00416825">
        <w:tab/>
      </w:r>
      <w:r w:rsidRPr="00326CE2">
        <w:rPr>
          <w:bCs/>
        </w:rPr>
        <w:t>Комитет выражает обеспокоенность в связи с: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факторами, затрудняющими эффективное участие инвалидов в системе правосудия, включая отсутствие процессуальных ко</w:t>
      </w:r>
      <w:r w:rsidR="000F160E">
        <w:t>ррективов и юридической помощи;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серьезными проблемами в системе правосудия, которые еще острее ощущаются в случае инвалидов, в частности дискриминацией, физическими барьерами, мешающими доступу к полицейским участкам, зданиям судов и местам содержания под стражей, и недоступностью информации;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нехваткой квалифицированных кадров, специализирующихся на правах инвалидов, и низким уровнем осведомленности сотрудников судебных и правоохранительных орган</w:t>
      </w:r>
      <w:r w:rsidR="000F160E">
        <w:t>ов о правах человека инвалидов.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25.</w:t>
      </w:r>
      <w:r w:rsidRPr="00416825">
        <w:tab/>
      </w:r>
      <w:r w:rsidRPr="00416825">
        <w:rPr>
          <w:b/>
          <w:bCs/>
        </w:rPr>
        <w:t>Комитет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>принять надлежащее законодательство с целью устранения факторов, ограничивающих доступ к правосудию, и обеспечения предоставления процессуальных и соответствующих полу и возрасту коррективов с учетом свободного выбора и предпочтений инвалидов, а также предусмотреть соответствующие гарантии для обеспечения участия инвалидов во всех стадиях юридического процесса наравне с другими;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 xml:space="preserve">обеспечить всем инвалидам, в особенности лицам с умственными или психосоциальными расстройствами, а также глухим и слабослышащим лицам, доступ к правосудию и к информации и средствам общения в доступных форматах, включая азбуку Брайля, тактильные форматы общения, простой язык, </w:t>
      </w:r>
      <w:proofErr w:type="spellStart"/>
      <w:r w:rsidRPr="00416825">
        <w:rPr>
          <w:b/>
        </w:rPr>
        <w:t>легкочитаемый</w:t>
      </w:r>
      <w:proofErr w:type="spellEnd"/>
      <w:r w:rsidRPr="00416825">
        <w:rPr>
          <w:b/>
        </w:rPr>
        <w:t xml:space="preserve"> формат и жестовый язык;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в полном объеме выполнять положения статей 51 и 54 Закона об интеграции ин</w:t>
      </w:r>
      <w:r w:rsidR="00326CE2">
        <w:rPr>
          <w:b/>
        </w:rPr>
        <w:t>валидов (2012 год</w:t>
      </w:r>
      <w:r w:rsidRPr="00416825">
        <w:rPr>
          <w:b/>
        </w:rPr>
        <w:t>) с целью разработки и проведения обязательных и непрерывных программ по укреплению потенциала, включая программы подготовки, для ознакомления сотрудников судебных и правоохранительных органов, включая судей, прокуроров, сотрудников полиции и пенитенциарных учреждений, с положениями Конвенции о правах инвалидов, в частности лиц с умственными или п</w:t>
      </w:r>
      <w:r w:rsidR="000F160E">
        <w:rPr>
          <w:b/>
        </w:rPr>
        <w:t>сихосоциальными расстройствами;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d)</w:t>
      </w:r>
      <w:r w:rsidRPr="00416825">
        <w:rPr>
          <w:b/>
        </w:rPr>
        <w:tab/>
        <w:t xml:space="preserve">принять меры для повышения уровня правовой грамотности инвалидов, решения проблемы </w:t>
      </w:r>
      <w:proofErr w:type="spellStart"/>
      <w:r w:rsidRPr="00416825">
        <w:rPr>
          <w:b/>
        </w:rPr>
        <w:t>недопредставленности</w:t>
      </w:r>
      <w:proofErr w:type="spellEnd"/>
      <w:r w:rsidRPr="00416825">
        <w:rPr>
          <w:b/>
        </w:rPr>
        <w:t xml:space="preserve"> инвалидов в системе правосудия и предоставления им возможности работать в качестве судей или прокуроров;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е)</w:t>
      </w:r>
      <w:r w:rsidRPr="00416825">
        <w:rPr>
          <w:b/>
        </w:rPr>
        <w:tab/>
        <w:t>уделять внимание взаимосвязи между статьей 13 Конвенции и задачей 16.3 Целей в области устойчивого развития.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Свобода и личная неприкосновенность (статья 14)</w:t>
      </w:r>
    </w:p>
    <w:p w:rsidR="00416825" w:rsidRPr="00416825" w:rsidRDefault="00416825" w:rsidP="00416825">
      <w:pPr>
        <w:pStyle w:val="SingleTxtGR"/>
      </w:pPr>
      <w:r w:rsidRPr="00416825">
        <w:t>26.</w:t>
      </w:r>
      <w:r w:rsidRPr="00416825">
        <w:tab/>
        <w:t xml:space="preserve">Комитет с </w:t>
      </w:r>
      <w:r w:rsidR="00326CE2">
        <w:t>обеспокоенностью отмечает, что: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 xml:space="preserve">действующее законодательство не соответствует положениям Конвенции, в частности лица с психосоциальными или умственными расстройствами могут быть признаны </w:t>
      </w:r>
      <w:r w:rsidR="000F160E">
        <w:t>«</w:t>
      </w:r>
      <w:r w:rsidRPr="00416825">
        <w:t>ограниченно дееспособными</w:t>
      </w:r>
      <w:r w:rsidR="000F160E">
        <w:t>»</w:t>
      </w:r>
      <w:r w:rsidRPr="00416825">
        <w:t xml:space="preserve"> и непригодными для участия в обычных процедурах, в результате чего они могут быть лишены свободы на неограниченный срок;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допускается принудительное лишение свободы на основании инвалидности, в частности в соответствии с</w:t>
      </w:r>
      <w:r w:rsidR="000F160E">
        <w:t xml:space="preserve"> </w:t>
      </w:r>
      <w:r w:rsidRPr="00416825">
        <w:t xml:space="preserve">новым проектом о внесении изменений в Уголовный кодекс и </w:t>
      </w:r>
      <w:r w:rsidR="000F160E">
        <w:t>Уголовно-процессуальный кодекс;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инвалиды, подозреваемые в совершении преступления, содержатся в предварительном заключении в течение длительных периодов времени и не имеют права на освобождение под залог на том основании, что представляют опасность для самих себя и для окружающих;</w:t>
      </w:r>
    </w:p>
    <w:p w:rsidR="00416825" w:rsidRPr="00416825" w:rsidRDefault="00416825" w:rsidP="00416825">
      <w:pPr>
        <w:pStyle w:val="SingleTxtGR"/>
      </w:pPr>
      <w:r w:rsidRPr="00416825">
        <w:tab/>
        <w:t>d)</w:t>
      </w:r>
      <w:r w:rsidRPr="00416825">
        <w:tab/>
        <w:t>лица с психосоциальными расстройствами могут быть принудительно помещены в психиатрические больницы и подвергаться психиатрическому лечению без их согла</w:t>
      </w:r>
      <w:r w:rsidR="000F160E">
        <w:t>сия по причине их инвалидности;</w:t>
      </w:r>
    </w:p>
    <w:p w:rsidR="00416825" w:rsidRPr="00416825" w:rsidRDefault="00416825" w:rsidP="00416825">
      <w:pPr>
        <w:pStyle w:val="SingleTxtGR"/>
      </w:pPr>
      <w:r w:rsidRPr="00416825">
        <w:tab/>
        <w:t>е)</w:t>
      </w:r>
      <w:r w:rsidRPr="00416825">
        <w:tab/>
        <w:t xml:space="preserve">план </w:t>
      </w:r>
      <w:proofErr w:type="spellStart"/>
      <w:r w:rsidRPr="00416825">
        <w:t>деинституционализации</w:t>
      </w:r>
      <w:proofErr w:type="spellEnd"/>
      <w:r w:rsidRPr="00416825">
        <w:t>, предусмотренный Национальной политикой в области здравоохранения 2014 года, не был выполнен.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27.</w:t>
      </w:r>
      <w:r w:rsidRPr="00416825">
        <w:tab/>
      </w:r>
      <w:r w:rsidRPr="00416825">
        <w:rPr>
          <w:b/>
        </w:rPr>
        <w:t>Комитет напоминает о своих Руководящих принципах относительно права инвалидов на свободу и личную неприкосновенность (см. A/72/55, приложение I) и рек</w:t>
      </w:r>
      <w:r w:rsidR="000F160E">
        <w:rPr>
          <w:b/>
        </w:rPr>
        <w:t>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>принять законодательные и иные меры, необходимые для обеспечения того, чтобы инвалиды, обвиняемые в совершении преступления, имели право на справедливое судебное разбирательство и гарантии надлежащей правовой процедуры наравне с другими лицами;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пересмотреть и отменить законодательные положения, узаконивающие принудительное помещение в специальные учреждения и принудительное психиатрическое леч</w:t>
      </w:r>
      <w:r w:rsidR="00326CE2">
        <w:rPr>
          <w:b/>
        </w:rPr>
        <w:t>ение по причине инвалидности, и </w:t>
      </w:r>
      <w:r w:rsidRPr="00416825">
        <w:rPr>
          <w:b/>
        </w:rPr>
        <w:t>обеспечить, чтобы все законопроекты соотве</w:t>
      </w:r>
      <w:r w:rsidR="000F160E">
        <w:rPr>
          <w:b/>
        </w:rPr>
        <w:t>тствовали положениям Конвенции;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провести исследование влияния на право на личную неприкосновенность лишенных свободы лиц, которые подвергаются госпитализации или помещаются в пенитенциарное учреждение или иные режимные учреждения на основании инвалидности без их свободного и осознанного согласия, с те</w:t>
      </w:r>
      <w:r w:rsidR="000F160E">
        <w:rPr>
          <w:b/>
        </w:rPr>
        <w:t>м положить конец этой практике;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d)</w:t>
      </w:r>
      <w:r w:rsidRPr="00416825">
        <w:rPr>
          <w:b/>
        </w:rPr>
        <w:tab/>
        <w:t xml:space="preserve">ускорить процесс осуществления плана </w:t>
      </w:r>
      <w:proofErr w:type="spellStart"/>
      <w:r w:rsidRPr="00416825">
        <w:rPr>
          <w:b/>
        </w:rPr>
        <w:t>деинституционализации</w:t>
      </w:r>
      <w:proofErr w:type="spellEnd"/>
      <w:r w:rsidRPr="00416825">
        <w:rPr>
          <w:b/>
        </w:rPr>
        <w:t xml:space="preserve"> инвалидов, предусмотренного национальной политикой в области здравоохранения 2014 года.</w:t>
      </w:r>
    </w:p>
    <w:p w:rsidR="00416825" w:rsidRPr="00416825" w:rsidRDefault="00416825" w:rsidP="00326CE2">
      <w:pPr>
        <w:pStyle w:val="H23GR"/>
      </w:pPr>
      <w:r w:rsidRPr="00416825">
        <w:tab/>
      </w:r>
      <w:r w:rsidRPr="00416825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416825" w:rsidRPr="00416825" w:rsidRDefault="00416825" w:rsidP="00416825">
      <w:pPr>
        <w:pStyle w:val="SingleTxtGR"/>
      </w:pPr>
      <w:r w:rsidRPr="00416825">
        <w:t>28.</w:t>
      </w:r>
      <w:r w:rsidRPr="00416825">
        <w:tab/>
        <w:t xml:space="preserve">Комитет обеспокоен положением инвалидов, в особенности женщин и детей, брошенных семьями и по причине их инвалидности помещаемых без их свободного и осознанного согласия в центры длительного пребывания </w:t>
      </w:r>
      <w:proofErr w:type="spellStart"/>
      <w:r w:rsidRPr="00416825">
        <w:t>интернатного</w:t>
      </w:r>
      <w:proofErr w:type="spellEnd"/>
      <w:r w:rsidRPr="00416825">
        <w:t xml:space="preserve"> типа или частные приюты, где их подвергают пыткам или жестоким, бесчеловечным или унижающим достоинство видам обращения и наказани</w:t>
      </w:r>
      <w:r w:rsidR="000F160E">
        <w:t xml:space="preserve">я, </w:t>
      </w:r>
      <w:proofErr w:type="gramStart"/>
      <w:r w:rsidR="000F160E">
        <w:t>например</w:t>
      </w:r>
      <w:proofErr w:type="gramEnd"/>
      <w:r w:rsidR="000F160E">
        <w:t xml:space="preserve"> приковывают цепями.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326CE2">
        <w:t>29.</w:t>
      </w:r>
      <w:r w:rsidRPr="00416825">
        <w:rPr>
          <w:b/>
        </w:rPr>
        <w:tab/>
        <w:t>Комитет рекомендует государству-участнику запретить</w:t>
      </w:r>
      <w:r w:rsidR="000F160E">
        <w:rPr>
          <w:b/>
        </w:rPr>
        <w:t xml:space="preserve"> </w:t>
      </w:r>
      <w:r w:rsidRPr="00416825">
        <w:rPr>
          <w:b/>
        </w:rPr>
        <w:t xml:space="preserve">в отношении совершеннолетних и несовершеннолетних лиц с инвалидностью, в частности лиц, находящихся в центрах длительного пребывания </w:t>
      </w:r>
      <w:proofErr w:type="spellStart"/>
      <w:r w:rsidRPr="00416825">
        <w:rPr>
          <w:b/>
        </w:rPr>
        <w:t>интернатного</w:t>
      </w:r>
      <w:proofErr w:type="spellEnd"/>
      <w:r w:rsidRPr="00416825">
        <w:rPr>
          <w:b/>
        </w:rPr>
        <w:t xml:space="preserve"> типа или частных </w:t>
      </w:r>
      <w:proofErr w:type="gramStart"/>
      <w:r w:rsidRPr="00416825">
        <w:rPr>
          <w:b/>
        </w:rPr>
        <w:t>приютах</w:t>
      </w:r>
      <w:proofErr w:type="gramEnd"/>
      <w:r w:rsidRPr="00416825">
        <w:rPr>
          <w:b/>
        </w:rPr>
        <w:t xml:space="preserve"> или иным образом лишенных свободы, все виды принудительной практики, включая физическое принуждение и изоляцию. Кроме того, он рекомендует создать независимый механизм мониторинга интернатов для инвалидов, в том числе центров для детей и частных приютов, для предупреждения действий, которые могут быть квалифицированы как пытки или другие жестокие, бесчеловечные или унижающие достоинство виды обращения и наказания, и для защиты от таких действий.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Свобода от эксплуатации, насилия и надругательства (статья 16)</w:t>
      </w:r>
    </w:p>
    <w:p w:rsidR="00416825" w:rsidRPr="00416825" w:rsidRDefault="00416825" w:rsidP="00416825">
      <w:pPr>
        <w:pStyle w:val="SingleTxtGR"/>
      </w:pPr>
      <w:r w:rsidRPr="00416825">
        <w:t>30.</w:t>
      </w:r>
      <w:r w:rsidRPr="00416825">
        <w:tab/>
        <w:t>Комитет с обеспокоенностью отмечает, что инвалиды, в частности женщины и дети, сталкиваются с перекрестной дискриминацией, надругательствами, эксплуатацией, торговлей людьми и насилием, в особенности с сексуальными посягательствами и насилием в специализированных учреждениях и лагерях для лиц, пострадавших в ходе землетрясени</w:t>
      </w:r>
      <w:r w:rsidR="000F160E">
        <w:t>й. Комитет особенно обеспокоен: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 xml:space="preserve">отсутствием законов о защите от насилия, отражающих проблематику инвалидности, и отсутствием механизмов контроля для выявления, </w:t>
      </w:r>
      <w:r w:rsidR="00A72490" w:rsidRPr="00416825">
        <w:t>предупреждения</w:t>
      </w:r>
      <w:r w:rsidRPr="00416825">
        <w:t xml:space="preserve"> и пресечения нас</w:t>
      </w:r>
      <w:r w:rsidR="000F160E">
        <w:t>илия в семье и за ее пределами;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отсутствием механизмов возмещения ущерба и компенсации для жертв, недоступностью приютов для жертв насилия в семье и неоказанием надлежащей медицинской, психосоциальной и юридической помощи;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отсутствием у персонала, лиц, ухаживающих за инвалидами, и членов их семьи, медицинских работников и сотрудников правоохранительных органов надлежащей подготовки, позволяющей выявлять все формы эксплуатации, насилия и надругательств, которым подвергаются, в частности, дети-инвалиды из числа сирот, работающие в качестве домашней прислуги;</w:t>
      </w:r>
    </w:p>
    <w:p w:rsidR="00416825" w:rsidRPr="00416825" w:rsidRDefault="00416825" w:rsidP="00416825">
      <w:pPr>
        <w:pStyle w:val="SingleTxtGR"/>
      </w:pPr>
      <w:r w:rsidRPr="00416825">
        <w:tab/>
        <w:t>d)</w:t>
      </w:r>
      <w:r w:rsidRPr="00416825">
        <w:tab/>
        <w:t>отсутствием конкретных, представленных в разбивке по полу и возрасту данных о случаях насилия и надругательств в отношении инвалид</w:t>
      </w:r>
      <w:r w:rsidR="000F160E">
        <w:t>ов, в частности женщин и детей;</w:t>
      </w:r>
    </w:p>
    <w:p w:rsidR="00416825" w:rsidRPr="00416825" w:rsidRDefault="00416825" w:rsidP="00416825">
      <w:pPr>
        <w:pStyle w:val="SingleTxtGR"/>
      </w:pPr>
      <w:r w:rsidRPr="00416825">
        <w:tab/>
        <w:t>е)</w:t>
      </w:r>
      <w:r w:rsidRPr="00416825">
        <w:tab/>
        <w:t>отсутствием мер по защите женщин-инвалидов и девочек-инвалидов от гендерного насилия и предоставлению им поддержки в любых условиях.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326CE2">
        <w:t>31.</w:t>
      </w:r>
      <w:r w:rsidRPr="00416825">
        <w:rPr>
          <w:b/>
        </w:rPr>
        <w:tab/>
        <w:t>Комитет рекомендует государству-участнику разработать и принять стратегию, предусматривающую конкретные сроки выполнения и надлежащее финансирование, для обеспечения безопасности, охраны здоровья и защиты женщин-инвалидов и детей-инвалидов в лагерях для пострадавших в ходе землетрясения. В частности, он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>ввести в действие законодательство, в том числе механизмы мониторинга, для выявления, предупреждения</w:t>
      </w:r>
      <w:r w:rsidR="000F160E">
        <w:rPr>
          <w:b/>
        </w:rPr>
        <w:t xml:space="preserve"> </w:t>
      </w:r>
      <w:r w:rsidRPr="00416825">
        <w:rPr>
          <w:b/>
        </w:rPr>
        <w:t>и пресечения насилия в отношении инвалидов, особенно женщин-инвалидов и детей-инвалидов, в семье и</w:t>
      </w:r>
      <w:r w:rsidR="000F160E">
        <w:rPr>
          <w:b/>
        </w:rPr>
        <w:t xml:space="preserve"> за ее пределами;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обеспечить наличие доступных и инклюзивных услуг по поддержке лиц, подвергшихся насилию, включая регистрацию заявлений в полицию, независимые механизмы рассмотрения жалоб, доступные приюты и други</w:t>
      </w:r>
      <w:r w:rsidR="00326CE2">
        <w:rPr>
          <w:b/>
        </w:rPr>
        <w:t>е меры поддержки, и принять меры</w:t>
      </w:r>
      <w:r w:rsidRPr="00416825">
        <w:rPr>
          <w:b/>
        </w:rPr>
        <w:t xml:space="preserve"> к тому, чтобы в связи со всеми сообщениями о случаях надругательств или насилия проводились надлежащие расследования, жертвы имели и реализовывали законные права на возмещение ущерба и получение компенсации, а виновные </w:t>
      </w:r>
      <w:r w:rsidR="000F160E">
        <w:rPr>
          <w:b/>
        </w:rPr>
        <w:t>привлекались к ответственности;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 xml:space="preserve">проводить программы непрерывной подготовки для семей инвалидов, лиц, осуществляющих уход за ними, медицинских работников и сотрудников правоохранительных органов для обучения их способам выявления всех форм эксплуатации, насилия и </w:t>
      </w:r>
      <w:proofErr w:type="gramStart"/>
      <w:r w:rsidRPr="00416825">
        <w:rPr>
          <w:b/>
        </w:rPr>
        <w:t>надругательств</w:t>
      </w:r>
      <w:proofErr w:type="gramEnd"/>
      <w:r w:rsidRPr="00416825">
        <w:rPr>
          <w:b/>
        </w:rPr>
        <w:t xml:space="preserve"> и налаживания общения и более эффективной работы с инвали</w:t>
      </w:r>
      <w:r w:rsidR="000F160E">
        <w:rPr>
          <w:b/>
        </w:rPr>
        <w:t>дами, подвергнувшимися насилию;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d)</w:t>
      </w:r>
      <w:r w:rsidRPr="00416825">
        <w:rPr>
          <w:b/>
        </w:rPr>
        <w:tab/>
        <w:t>собирать и публиковать данные о перекрестной дискриминации, надругательствах, эксплуатации, торговли людьми и насилии, включая сексуальное насилие в отношении женщин-инвали</w:t>
      </w:r>
      <w:r w:rsidR="00326CE2">
        <w:rPr>
          <w:b/>
        </w:rPr>
        <w:t>дов и детей-инвалидов,</w:t>
      </w:r>
      <w:r w:rsidR="00326CE2">
        <w:rPr>
          <w:b/>
        </w:rPr>
        <w:br/>
      </w:r>
      <w:r w:rsidRPr="00416825">
        <w:rPr>
          <w:b/>
        </w:rPr>
        <w:t>и с учетом таких данных проводить дальнейшую работу по реализации национальных инициатив по борьбе с насилием в тесном сотрудничестве с инвалидами и представляющими их организациями с целью разр</w:t>
      </w:r>
      <w:r w:rsidR="000F160E">
        <w:rPr>
          <w:b/>
        </w:rPr>
        <w:t>аботки надлежащих ответных мер;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е)</w:t>
      </w:r>
      <w:r w:rsidRPr="00416825">
        <w:rPr>
          <w:b/>
        </w:rPr>
        <w:tab/>
        <w:t xml:space="preserve">внедрять эффективные механизмы обеспечения защиты женщин-инвалидов и девочек-инвалидов, которые подвергаются насилию и надругательствам, а также предоставлять им возможности для получения медицинской, психологической и юридической помощи в целях содействия их реабилитации и </w:t>
      </w:r>
      <w:proofErr w:type="spellStart"/>
      <w:r w:rsidRPr="00416825">
        <w:rPr>
          <w:b/>
        </w:rPr>
        <w:t>реинтеграции</w:t>
      </w:r>
      <w:proofErr w:type="spellEnd"/>
      <w:r w:rsidRPr="00416825">
        <w:rPr>
          <w:b/>
        </w:rPr>
        <w:t>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f)</w:t>
      </w:r>
      <w:r w:rsidRPr="00416825">
        <w:rPr>
          <w:b/>
        </w:rPr>
        <w:tab/>
        <w:t>в соответствии со своим замечан</w:t>
      </w:r>
      <w:r w:rsidR="000F160E">
        <w:rPr>
          <w:b/>
        </w:rPr>
        <w:t>ием общего порядка № 3 (2016</w:t>
      </w:r>
      <w:r w:rsidR="00326CE2">
        <w:rPr>
          <w:b/>
        </w:rPr>
        <w:t xml:space="preserve"> год</w:t>
      </w:r>
      <w:r w:rsidR="000F160E">
        <w:rPr>
          <w:b/>
        </w:rPr>
        <w:t>) о </w:t>
      </w:r>
      <w:r w:rsidRPr="00416825">
        <w:rPr>
          <w:b/>
        </w:rPr>
        <w:t>женщинах-инвалидах и девочках-инвалидах и с учетом задачи 5.2 Целей в области устойчивого развития принять меры, с тем чтобы ликвидировать все формы насилия в отношении всех женщин и девочек в публичной и частной сферах, включая торговлю людьми и сексуальную и иные формы эксплуатации.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Защита личной целостности (статья 17)</w:t>
      </w:r>
    </w:p>
    <w:p w:rsidR="00416825" w:rsidRPr="00416825" w:rsidRDefault="00416825" w:rsidP="00416825">
      <w:pPr>
        <w:pStyle w:val="SingleTxtGR"/>
      </w:pPr>
      <w:r w:rsidRPr="00416825">
        <w:t>32.</w:t>
      </w:r>
      <w:r w:rsidRPr="00416825">
        <w:tab/>
        <w:t>Комитет обеспокоен тем, что инвалиды, особенно женщины с умственными расстройствами, подвергаются контрацепции не с их согласия, а с согласия третьих лиц. Комитет обеспокоен отсутствием в стране структуры контроля или надзора за соблюдением запрета на проведение медицинских или научных опытов без фактического согласия соответствующего лица, как это предусмотрено в Законе об ин</w:t>
      </w:r>
      <w:r w:rsidR="00326CE2">
        <w:t>теграции инвалидов (2012 год</w:t>
      </w:r>
      <w:r w:rsidR="000F160E">
        <w:t>).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326CE2">
        <w:t>33.</w:t>
      </w:r>
      <w:r w:rsidRPr="00416825">
        <w:rPr>
          <w:b/>
        </w:rPr>
        <w:tab/>
        <w:t xml:space="preserve">Комитет рекомендует государству-участнику принять необходимые меры для обеспечения того, чтобы любые медицинские процедуры и курсы лечения проводились только при условии свободного и осознанного согласия инвалидов. Комитет также рекомендует государству-участнику следить за соблюдением законов, запрещающих принудительное проведение медицинских или научных экспериментов без фактического </w:t>
      </w:r>
      <w:r w:rsidR="000F160E">
        <w:rPr>
          <w:b/>
        </w:rPr>
        <w:t>согласия соответствующего лица.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Свобода передвижения и гражданство (статья 18)</w:t>
      </w:r>
    </w:p>
    <w:p w:rsidR="00416825" w:rsidRPr="00416825" w:rsidRDefault="00416825" w:rsidP="00416825">
      <w:pPr>
        <w:pStyle w:val="SingleTxtGR"/>
      </w:pPr>
      <w:r w:rsidRPr="00416825">
        <w:t>34.</w:t>
      </w:r>
      <w:r w:rsidRPr="00416825">
        <w:tab/>
        <w:t>Комитет обеспокоен тем, что на всей территории страны не обеспечивается обязательная регистрация всех новорожденных детей-инвалидов. Кроме того</w:t>
      </w:r>
      <w:r w:rsidR="00043B92" w:rsidRPr="00043B92">
        <w:t>,</w:t>
      </w:r>
      <w:bookmarkStart w:id="0" w:name="_GoBack"/>
      <w:bookmarkEnd w:id="0"/>
      <w:r w:rsidRPr="00416825">
        <w:t xml:space="preserve"> он обеспокоен тем, что инвалидам сложно получить документы, удостоверяющие личность, особенно в сельских и удаленных районах, в частности с учетом стоимости национального удостоверения личности. Он отмечает, что кампании по поощрению регистрации </w:t>
      </w:r>
      <w:r w:rsidR="000F160E">
        <w:t>населения недоступны инвалидам.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326CE2">
        <w:t>35.</w:t>
      </w:r>
      <w:r w:rsidRPr="00416825">
        <w:rPr>
          <w:b/>
        </w:rPr>
        <w:tab/>
        <w:t>Комитет рекомендует государству-участнику укрепить систему регистрации рождений, с тем чтобы все новорожденные дети-инвалиды бесплатно</w:t>
      </w:r>
      <w:r w:rsidR="000F160E">
        <w:rPr>
          <w:b/>
        </w:rPr>
        <w:t xml:space="preserve"> </w:t>
      </w:r>
      <w:r w:rsidRPr="00416825">
        <w:rPr>
          <w:b/>
        </w:rPr>
        <w:t>регистрировались в государстве-участнике сразу же после рождения. Кроме того, он рекомендует государству-участнику расширить доступ к кампаниям, направленным на получение документов, удостоверяющих личность, особенно в отдаленных и сельских районах, а также обесп</w:t>
      </w:r>
      <w:r w:rsidR="00326CE2">
        <w:rPr>
          <w:b/>
        </w:rPr>
        <w:t>ечить, чтобы все инвалиды имели по меньшей мере</w:t>
      </w:r>
      <w:r w:rsidRPr="00416825">
        <w:rPr>
          <w:b/>
        </w:rPr>
        <w:t xml:space="preserve"> оно удостоверение личности. Комитет рекомендует государству-участнику рассмотреть возможность выдачи инвалидам бесплатного национального удостоверения личности.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Самостоятельный образ жизни и вов</w:t>
      </w:r>
      <w:r w:rsidR="000F160E">
        <w:t>леченность в местное сообщество</w:t>
      </w:r>
      <w:r w:rsidR="000F160E">
        <w:br/>
      </w:r>
      <w:r w:rsidRPr="00416825">
        <w:t>(статья 19)</w:t>
      </w:r>
    </w:p>
    <w:p w:rsidR="00416825" w:rsidRPr="00416825" w:rsidRDefault="00416825" w:rsidP="00416825">
      <w:pPr>
        <w:pStyle w:val="SingleTxtGR"/>
      </w:pPr>
      <w:r w:rsidRPr="00416825">
        <w:t>36.</w:t>
      </w:r>
      <w:r w:rsidRPr="00416825">
        <w:tab/>
        <w:t>Комитет обеспокоен тем, что в законодательстве государства-участника самостоятельный образ жизни и вовлеченность в местное сообщество не признаются в качестве права человека, неотъемлемыми аспектами которого являются личная самостоятельность, контроль и свобода выбора. Кроме того, Комитет обеспокоен отсутствием стратегий, приоритетов и мер, направленных на поощрение способности вести самостоятельный об</w:t>
      </w:r>
      <w:r w:rsidR="000F160E">
        <w:t>раз жизни в местном сообществе.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326CE2">
        <w:t>37.</w:t>
      </w:r>
      <w:r w:rsidRPr="00416825">
        <w:rPr>
          <w:b/>
        </w:rPr>
        <w:tab/>
      </w:r>
      <w:proofErr w:type="gramStart"/>
      <w:r w:rsidRPr="00416825">
        <w:rPr>
          <w:b/>
        </w:rPr>
        <w:t>В</w:t>
      </w:r>
      <w:proofErr w:type="gramEnd"/>
      <w:r w:rsidRPr="00416825">
        <w:rPr>
          <w:b/>
        </w:rPr>
        <w:t xml:space="preserve"> соответствии со своим замечанием общего порядка № 5 (2017</w:t>
      </w:r>
      <w:r w:rsidR="00326CE2">
        <w:rPr>
          <w:b/>
        </w:rPr>
        <w:t xml:space="preserve"> год) о </w:t>
      </w:r>
      <w:r w:rsidRPr="00416825">
        <w:rPr>
          <w:b/>
        </w:rPr>
        <w:t>самостоятельном образе жизни и вовлеченности в местное сообщество Комитет рекомендует государству-участнику признать самостоятельный образ жизни и вовлеченность в местное сообщество в качестве субъективного права, все элементы которого подлежат обязательному соблюдению, и принять в этой связи основанные на правозащитном подходе меры политики, нормативно-правовые акты и руководящие указания для обеспечения его осуществления. Кроме того, Комитет рекомендует государству-участнику разработать</w:t>
      </w:r>
      <w:r w:rsidR="000F160E">
        <w:rPr>
          <w:b/>
        </w:rPr>
        <w:t xml:space="preserve"> </w:t>
      </w:r>
      <w:r w:rsidRPr="00416825">
        <w:rPr>
          <w:b/>
        </w:rPr>
        <w:t>в тесном сотрудничестве с организациями инвалидов всеобъемлющий план и выделить для его реализации достаточные целевые финансовые средства, с тем чтобы позволить инвалидам вести самостоятельный образ жизни и быть во</w:t>
      </w:r>
      <w:r w:rsidR="00326CE2">
        <w:rPr>
          <w:b/>
        </w:rPr>
        <w:t>влеченными в местное сообщество</w:t>
      </w:r>
      <w:r w:rsidRPr="00416825">
        <w:rPr>
          <w:b/>
        </w:rPr>
        <w:t xml:space="preserve"> как в сельских районах, так и в городах, а также обеспечить </w:t>
      </w:r>
      <w:proofErr w:type="spellStart"/>
      <w:r w:rsidRPr="00416825">
        <w:rPr>
          <w:b/>
        </w:rPr>
        <w:t>деинституционализацию</w:t>
      </w:r>
      <w:proofErr w:type="spellEnd"/>
      <w:r w:rsidRPr="00416825">
        <w:rPr>
          <w:b/>
        </w:rPr>
        <w:t xml:space="preserve"> инвалидов.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Свобода выражения мнения и убеждений и доступ к информации (статья 21)</w:t>
      </w:r>
    </w:p>
    <w:p w:rsidR="00416825" w:rsidRPr="00416825" w:rsidRDefault="000F160E" w:rsidP="00416825">
      <w:pPr>
        <w:pStyle w:val="SingleTxtGR"/>
      </w:pPr>
      <w:r>
        <w:t>38.</w:t>
      </w:r>
      <w:r>
        <w:tab/>
        <w:t>Комитет обеспокоен: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задержкой в разработке и признании гаитянского жестового языка и ограниченным число</w:t>
      </w:r>
      <w:r w:rsidR="000F160E">
        <w:t>м переводчиков жестового языка;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 xml:space="preserve">предоставлением лишь скудной информации в доступных инвалидам форматах и с использованием соответствующих технологий, в том числе таких как </w:t>
      </w:r>
      <w:proofErr w:type="spellStart"/>
      <w:r w:rsidRPr="00416825">
        <w:t>легкочитаемые</w:t>
      </w:r>
      <w:proofErr w:type="spellEnd"/>
      <w:r w:rsidRPr="00416825">
        <w:t xml:space="preserve"> сообщения, простой язык, субтитры, жестовый язык, азбука Брайля и </w:t>
      </w:r>
      <w:proofErr w:type="spellStart"/>
      <w:r w:rsidRPr="00416825">
        <w:t>аудиодубляж</w:t>
      </w:r>
      <w:proofErr w:type="spellEnd"/>
      <w:r w:rsidRPr="00416825">
        <w:t>, в частн</w:t>
      </w:r>
      <w:r w:rsidR="000F160E">
        <w:t>ости при официальных сношениях;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недоступностью информации, размещаемой в средствах массовой информации, включая радио, телевидение</w:t>
      </w:r>
      <w:r w:rsidR="000F160E">
        <w:t>, газеты и публичные веб-сайты.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39.</w:t>
      </w:r>
      <w:r w:rsidRPr="00416825">
        <w:tab/>
      </w:r>
      <w:r w:rsidRPr="00416825">
        <w:rPr>
          <w:b/>
          <w:bCs/>
        </w:rPr>
        <w:t>Комитет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>кодифицировать гаитянский жестовый язык и ускорить процесс принятия закона о признании его в качестве официального языка д</w:t>
      </w:r>
      <w:r w:rsidR="000F160E">
        <w:rPr>
          <w:b/>
        </w:rPr>
        <w:t>ля целей официального перевода;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 xml:space="preserve">принять меры по повышению доступности информационно-коммуникационных форматов и технологий, подходящих для инвалидов, включая доступный Интернет, жестовый язык, субтитры, азбуку Брайля, удобные для чтения и простые форматы, применительно ко всем государственным услугам и проводить программы по укреплению потенциала лиц, предоставляющих услуги инвалидам, включая обучение использованию азбуки Брайля, </w:t>
      </w:r>
      <w:proofErr w:type="spellStart"/>
      <w:r w:rsidRPr="00416825">
        <w:rPr>
          <w:b/>
        </w:rPr>
        <w:t>легкочитаемых</w:t>
      </w:r>
      <w:proofErr w:type="spellEnd"/>
      <w:r w:rsidRPr="00416825">
        <w:rPr>
          <w:b/>
        </w:rPr>
        <w:t xml:space="preserve"> сообщений, средств тактиль</w:t>
      </w:r>
      <w:r w:rsidR="000F160E">
        <w:rPr>
          <w:b/>
        </w:rPr>
        <w:t>ного общения и жестового языка;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повысить доступность информации, транслируемой средствами массовой информации</w:t>
      </w:r>
      <w:r w:rsidR="000F160E">
        <w:rPr>
          <w:b/>
        </w:rPr>
        <w:t>, в особенности в прямом эфире.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Уважение дома и семьи (статья 23)</w:t>
      </w:r>
    </w:p>
    <w:p w:rsidR="00416825" w:rsidRPr="00416825" w:rsidRDefault="000F160E" w:rsidP="00416825">
      <w:pPr>
        <w:pStyle w:val="SingleTxtGR"/>
      </w:pPr>
      <w:r>
        <w:t>40.</w:t>
      </w:r>
      <w:r>
        <w:tab/>
        <w:t>Комитет обеспокоен: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дискриминационным законодательством, в частности статьей 8 Закона об</w:t>
      </w:r>
      <w:r w:rsidR="00326CE2">
        <w:t xml:space="preserve"> интеграции инвалидов (2012 год</w:t>
      </w:r>
      <w:r w:rsidRPr="00416825">
        <w:t xml:space="preserve">), которая предусматривает исключительное лишение инвалида опеки над ребенком, а также положением Гражданского кодекса, запрещающим лицам, признанным </w:t>
      </w:r>
      <w:r w:rsidR="000F160E">
        <w:t>«</w:t>
      </w:r>
      <w:r w:rsidRPr="00416825">
        <w:t>ограниченно дееспособными</w:t>
      </w:r>
      <w:r w:rsidR="000F160E">
        <w:t>»</w:t>
      </w:r>
      <w:r w:rsidRPr="00416825">
        <w:t xml:space="preserve">, вступать в гражданско-правовые отношения, в том числе в </w:t>
      </w:r>
      <w:r w:rsidR="000F160E">
        <w:t>брак;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ненадлежащим качеством услуг по оказанию поддержки в целях укрепления потенциала родителей детей-инвалидов и членов их семьи, в частности одиноких матерей детей-инвал</w:t>
      </w:r>
      <w:r w:rsidR="000F160E">
        <w:t>идов;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усилением медицинского подхода к инвалидности за счет введения юридического требования о предоставлении партнерами перед вступлением в брак соответствующей справки</w:t>
      </w:r>
      <w:r w:rsidR="000F160E">
        <w:t xml:space="preserve"> для недопущения инвалидности;</w:t>
      </w:r>
    </w:p>
    <w:p w:rsidR="00416825" w:rsidRPr="00416825" w:rsidRDefault="00416825" w:rsidP="00416825">
      <w:pPr>
        <w:pStyle w:val="SingleTxtGR"/>
      </w:pPr>
      <w:r w:rsidRPr="00416825">
        <w:tab/>
        <w:t>d)</w:t>
      </w:r>
      <w:r w:rsidRPr="00416825">
        <w:tab/>
        <w:t>отсутствием разработанных в доступных для инвалидов, в частности для женщин и девочек, форматах информационно-просветительских программ по вопросам сексуального и репродуктивного здоровья и соответствующих пр</w:t>
      </w:r>
      <w:r w:rsidR="000F160E">
        <w:t>ав, а также планирования семьи.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41.</w:t>
      </w:r>
      <w:r w:rsidRPr="00416825">
        <w:tab/>
      </w:r>
      <w:r w:rsidRPr="00416825">
        <w:rPr>
          <w:b/>
          <w:bCs/>
        </w:rPr>
        <w:t>Комитет настоятельно призывает государство-участник: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ab/>
      </w:r>
      <w:r w:rsidRPr="00416825">
        <w:rPr>
          <w:b/>
        </w:rPr>
        <w:t>а)</w:t>
      </w:r>
      <w:r w:rsidRPr="00416825">
        <w:rPr>
          <w:b/>
        </w:rPr>
        <w:tab/>
        <w:t>принять все необходимые меры для отмены или изменения законодательства, дискриминирующего инвалидов, в частности статьи 8 Закона об</w:t>
      </w:r>
      <w:r w:rsidR="00326CE2">
        <w:rPr>
          <w:b/>
        </w:rPr>
        <w:t xml:space="preserve"> интеграции инвалидов (2012 год</w:t>
      </w:r>
      <w:r w:rsidRPr="00416825">
        <w:rPr>
          <w:b/>
        </w:rPr>
        <w:t>) и соответствующих положений Гражданского кодекса;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выделять достаточные ресурсы для оказания поддержки родителям детей-инвалидов и членам их семьи, в частности одиноким матер</w:t>
      </w:r>
      <w:r w:rsidR="000F160E">
        <w:rPr>
          <w:b/>
        </w:rPr>
        <w:t>ям и родителям с инвалидностью;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рассмотреть вопрос об ограничении практики добрачного медицинского осмотра на предмет выявления заболеваний, передаваемых половым пу</w:t>
      </w:r>
      <w:r w:rsidR="000F160E">
        <w:rPr>
          <w:b/>
        </w:rPr>
        <w:t>тем;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d)</w:t>
      </w:r>
      <w:r w:rsidRPr="00416825">
        <w:rPr>
          <w:b/>
        </w:rPr>
        <w:tab/>
        <w:t>обеспечить равный доступ к услугам по охране сексуального и репродуктивного здоровья, как это предусмотрено задачей 3.7 Целей в области устойчивого развития, а также предоставлять информацию и проводить подготовку по вопросам сексуального и репродуктивного здоровья и соответствующих прав, а также планирования семьи для инвалидов в доступных для них форматах,</w:t>
      </w:r>
      <w:r w:rsidR="000F160E">
        <w:rPr>
          <w:b/>
        </w:rPr>
        <w:t xml:space="preserve"> включая </w:t>
      </w:r>
      <w:proofErr w:type="spellStart"/>
      <w:r w:rsidR="000F160E">
        <w:rPr>
          <w:b/>
        </w:rPr>
        <w:t>легкочитаемые</w:t>
      </w:r>
      <w:proofErr w:type="spellEnd"/>
      <w:r w:rsidR="000F160E">
        <w:rPr>
          <w:b/>
        </w:rPr>
        <w:t xml:space="preserve"> форматы.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Образование (статья 24)</w:t>
      </w:r>
    </w:p>
    <w:p w:rsidR="00416825" w:rsidRPr="00416825" w:rsidRDefault="00416825" w:rsidP="00416825">
      <w:pPr>
        <w:pStyle w:val="SingleTxtGR"/>
      </w:pPr>
      <w:r w:rsidRPr="00416825">
        <w:t>42.</w:t>
      </w:r>
      <w:r w:rsidRPr="00416825">
        <w:tab/>
        <w:t>Комитет обеспокоен тем, что некоторые законодательные положения, включая статью 38 Закона об</w:t>
      </w:r>
      <w:r w:rsidR="00326CE2">
        <w:t xml:space="preserve"> интеграции инвалидов (2012 год</w:t>
      </w:r>
      <w:r w:rsidRPr="00416825">
        <w:t>), по-прежнему допускают раздельное обучение, в частности в случае учащихся с умственными расстройствами. Кроме того, он обеспокоен: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отсутствием установленной законом процедуры обеспечения разумного приспособления и приема на работу лиц, оказывающих вспомогательные услуги на уроках как в государственных, так и в частных школа</w:t>
      </w:r>
      <w:r w:rsidR="000F160E">
        <w:t>х, особенно в сельских районах;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 xml:space="preserve">факторами, не позволяющими учащимся-инвалидам посещать общеобразовательную школу из-за отсутствия доступа к объектам школьной инфраструктуры, дискриминации в отношении учащихся-инвалидов и негативного отношения населения к учебе в школе детей-инвалидов, а также из-за нехватки преподавателей и других сотрудников школы, имеющих надлежащую подготовку для работы в </w:t>
      </w:r>
      <w:r w:rsidR="000F160E">
        <w:t>сфере инклюзивного образования;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отсутствием обновленных данных об обучении детей-инвалидов и низкой долей детей-инвалидов, особенно девочек, в системе общего образования;</w:t>
      </w:r>
    </w:p>
    <w:p w:rsidR="00416825" w:rsidRPr="00416825" w:rsidRDefault="00416825" w:rsidP="00416825">
      <w:pPr>
        <w:pStyle w:val="SingleTxtGR"/>
      </w:pPr>
      <w:r w:rsidRPr="00416825">
        <w:tab/>
        <w:t>d)</w:t>
      </w:r>
      <w:r w:rsidRPr="00416825">
        <w:tab/>
        <w:t>недостаточными инвестициями в поощрение инклюзивного образования вместо развития специальных школ;</w:t>
      </w:r>
    </w:p>
    <w:p w:rsidR="00416825" w:rsidRPr="00416825" w:rsidRDefault="00416825" w:rsidP="00416825">
      <w:pPr>
        <w:pStyle w:val="SingleTxtGR"/>
      </w:pPr>
      <w:r w:rsidRPr="00416825">
        <w:tab/>
        <w:t>е)</w:t>
      </w:r>
      <w:r w:rsidRPr="00416825">
        <w:tab/>
        <w:t>отсутствием надлежащих школьных грантов для детей-инвалидов и их семей.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0F160E">
        <w:t>43.</w:t>
      </w:r>
      <w:r w:rsidRPr="00416825">
        <w:rPr>
          <w:b/>
        </w:rPr>
        <w:tab/>
        <w:t>Ссылаясь на свое замечание общего порядка № 4 (2016</w:t>
      </w:r>
      <w:r w:rsidR="00326CE2">
        <w:rPr>
          <w:b/>
        </w:rPr>
        <w:t xml:space="preserve"> год</w:t>
      </w:r>
      <w:r w:rsidRPr="00416825">
        <w:rPr>
          <w:b/>
        </w:rPr>
        <w:t>) о праве на инклюзивное образование, а также на цель 4 Целей в области устойчивого развития, особенно на задачи 4.5 и 4.8, Комитет рекомендует государству-участнику внести поправки в Закон об</w:t>
      </w:r>
      <w:r w:rsidR="00326CE2">
        <w:rPr>
          <w:b/>
        </w:rPr>
        <w:t xml:space="preserve"> интеграции инвалидов (2012 год</w:t>
      </w:r>
      <w:r w:rsidRPr="00416825">
        <w:rPr>
          <w:b/>
        </w:rPr>
        <w:t>) для обеспечения того, чтобы ни одному учащемуся не могли отказать в приеме в общеобразовательную школу на основании инвалидности. Кроме того, он рек</w:t>
      </w:r>
      <w:r w:rsidR="000F160E">
        <w:rPr>
          <w:b/>
        </w:rPr>
        <w:t>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>установить в законодательном порядке процедуру обеспечения разумного приспособления на всех уровнях образования и выделять ресурсы, необходимые для ее осуществления;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разработать и реализовать план действий в области инклюзивного образования с установлением объема надлежащих ресурсов, конкретных сроков осуществления</w:t>
      </w:r>
      <w:r w:rsidR="000F160E">
        <w:rPr>
          <w:b/>
        </w:rPr>
        <w:t xml:space="preserve"> </w:t>
      </w:r>
      <w:r w:rsidRPr="00416825">
        <w:rPr>
          <w:b/>
        </w:rPr>
        <w:t>и конкретных целей в отношении доступности, адаптации учебных программ, учебных материалов, персональной помощи и оказания поддержки в обычных школах, а также информационно-просветительских инициатив, обязательной подготовки по вопросам инклюзивного образования и ее прохождения преподавателями, ассистентами и сотрудниками, не входящими в преподавательский состав;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активизи</w:t>
      </w:r>
      <w:r w:rsidR="00326CE2">
        <w:rPr>
          <w:b/>
        </w:rPr>
        <w:t>ровать сбор данных, в частности</w:t>
      </w:r>
      <w:r w:rsidRPr="00416825">
        <w:rPr>
          <w:b/>
        </w:rPr>
        <w:t xml:space="preserve"> об осуществлении законов и стратегий по вопросам инклюзивного образования, а также о досту</w:t>
      </w:r>
      <w:r w:rsidR="000F160E">
        <w:rPr>
          <w:b/>
        </w:rPr>
        <w:t>пности школьной инфраструктуры;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d)</w:t>
      </w:r>
      <w:r w:rsidRPr="00416825">
        <w:rPr>
          <w:b/>
        </w:rPr>
        <w:tab/>
        <w:t>увеличить объем кадровых, технических и финансовых ресурсов для обеспечения инклюзивного образования и проводить регулярные информационные кампании в доступных инвалидам форматах, включая удобные для чтения и простые форматы, с целью поощрения обучения всех инвалидов, в частности женщин и детей, и инвалидов, живущих в сельских районах;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е)</w:t>
      </w:r>
      <w:r w:rsidRPr="00416825">
        <w:rPr>
          <w:b/>
        </w:rPr>
        <w:tab/>
        <w:t>увеличить объем ресурсов, выделяемых на школьные гранты и стипендии для обеспе</w:t>
      </w:r>
      <w:r w:rsidR="000F160E">
        <w:rPr>
          <w:b/>
        </w:rPr>
        <w:t>чения обучения детей-инвалидов.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Здоровье (статья 25)</w:t>
      </w:r>
    </w:p>
    <w:p w:rsidR="00416825" w:rsidRPr="00416825" w:rsidRDefault="00416825" w:rsidP="00416825">
      <w:pPr>
        <w:pStyle w:val="SingleTxtGR"/>
      </w:pPr>
      <w:r w:rsidRPr="00416825">
        <w:t>44.</w:t>
      </w:r>
      <w:r w:rsidRPr="00416825">
        <w:tab/>
        <w:t xml:space="preserve">Комитет обеспокоен: 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 xml:space="preserve">системными физическими, </w:t>
      </w:r>
      <w:proofErr w:type="spellStart"/>
      <w:r w:rsidRPr="00416825">
        <w:t>отношенческими</w:t>
      </w:r>
      <w:proofErr w:type="spellEnd"/>
      <w:r w:rsidRPr="00416825">
        <w:t xml:space="preserve"> и коммуникационными факторами, ограничивающими возможности инвалидов, в частности лиц с психосоциальными и/или умственными расстройствами, для получения медицинских услуг наравне с другими людьми, особенно в сельских </w:t>
      </w:r>
      <w:r w:rsidR="000F160E">
        <w:t>районах;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отсутствием медицинских услуг, оборудования и информационно-коммуникационных технологий, удовлетворяющих потребности инвалидов, а также нехваткой квалифицированного персонала, способного устранять многочисленные барьеры, с которыми сталкивают</w:t>
      </w:r>
      <w:r w:rsidR="000F160E">
        <w:t>ся инвалиды;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 xml:space="preserve">недоступностью программ по охране здоровья и кампаний по профилактике ВИЧ/СПИДа и болезней, передаваемых половым путем, а также отсутствием надлежащего доступа к услугам по охране репродуктивного здоровья. 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45.</w:t>
      </w:r>
      <w:r w:rsidRPr="00416825">
        <w:tab/>
      </w:r>
      <w:r w:rsidRPr="00416825">
        <w:rPr>
          <w:b/>
          <w:bCs/>
        </w:rPr>
        <w:t>Комитет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 xml:space="preserve">разработать целенаправленный, поддающийся оценке и адекватно финансируемый план действий по устранению факторов, препятствующих инвалидам, в частности лицам с психосоциальными и/или умственными расстройствами, в получении доступа к медицинским услугам; 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 xml:space="preserve">активизировать усилия по предоставлению инвалидам доступа к медицинским услугам, </w:t>
      </w:r>
      <w:r w:rsidR="000F160E">
        <w:rPr>
          <w:b/>
        </w:rPr>
        <w:t>в частности в сельских районах;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повышать уровень информированности медицинских работников о правах инвалидов, предусмотренных Конвенцией, путем установления этических норм и проведения регулярных обязательных программ под</w:t>
      </w:r>
      <w:r w:rsidR="000F160E">
        <w:rPr>
          <w:b/>
        </w:rPr>
        <w:t>готовки медицинского персонала;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d)</w:t>
      </w:r>
      <w:r w:rsidRPr="00416825">
        <w:rPr>
          <w:b/>
        </w:rPr>
        <w:tab/>
        <w:t>принять меры по предоставлению инвалидам, в частности женщинам, информации в доступных для них форматах о медицинских услугах и учреждениях, в том числе об охране сексуального и репродуктивного здоровья, их праве на свободное и осознанное согласие, их сексуальном и репродуктивном здоровье и соответствующих правах, а также о ВИЧ/СПИДе и других инфекци</w:t>
      </w:r>
      <w:r w:rsidR="000F160E">
        <w:rPr>
          <w:b/>
        </w:rPr>
        <w:t>ях, передаваемых половым путем;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е)</w:t>
      </w:r>
      <w:r w:rsidRPr="00416825">
        <w:rPr>
          <w:b/>
        </w:rPr>
        <w:tab/>
        <w:t xml:space="preserve">руководствоваться статьей 25 Конвенции для выполнения задач 3.7 и 3.8 Целей </w:t>
      </w:r>
      <w:r w:rsidR="000F160E">
        <w:rPr>
          <w:b/>
        </w:rPr>
        <w:t>в области устойчивого развития.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</w:r>
      <w:proofErr w:type="spellStart"/>
      <w:r w:rsidRPr="00416825">
        <w:t>Абилитация</w:t>
      </w:r>
      <w:proofErr w:type="spellEnd"/>
      <w:r w:rsidRPr="00416825">
        <w:t xml:space="preserve"> и реабилитация (статья 26)</w:t>
      </w:r>
    </w:p>
    <w:p w:rsidR="00416825" w:rsidRPr="00416825" w:rsidRDefault="00416825" w:rsidP="00416825">
      <w:pPr>
        <w:pStyle w:val="SingleTxtGR"/>
      </w:pPr>
      <w:r w:rsidRPr="00416825">
        <w:t>46.</w:t>
      </w:r>
      <w:r w:rsidRPr="00416825">
        <w:tab/>
        <w:t xml:space="preserve">Комитет обеспокоен тем, что в государстве-участнике отсутствует национальный план действий по </w:t>
      </w:r>
      <w:proofErr w:type="spellStart"/>
      <w:r w:rsidRPr="00416825">
        <w:t>абилитации</w:t>
      </w:r>
      <w:proofErr w:type="spellEnd"/>
      <w:r w:rsidRPr="00416825">
        <w:t xml:space="preserve"> и реабилитации всех инвалидов, нуждающихся в таких услугах, особенно после землетрясения 2010 года и прохождения урагана </w:t>
      </w:r>
      <w:r w:rsidR="000F160E">
        <w:t>«</w:t>
      </w:r>
      <w:r w:rsidRPr="00416825">
        <w:t>Мэтью</w:t>
      </w:r>
      <w:r w:rsidR="000F160E">
        <w:t>»</w:t>
      </w:r>
      <w:r w:rsidRPr="00416825">
        <w:t>. Он также обеспокоен тем, что организации инвалидов не участвуют в разработке и осуществлении прог</w:t>
      </w:r>
      <w:r w:rsidR="000F160E">
        <w:t xml:space="preserve">рамм </w:t>
      </w:r>
      <w:proofErr w:type="spellStart"/>
      <w:r w:rsidR="000F160E">
        <w:t>абилитации</w:t>
      </w:r>
      <w:proofErr w:type="spellEnd"/>
      <w:r w:rsidR="000F160E">
        <w:t xml:space="preserve"> и реабилитации.</w:t>
      </w:r>
    </w:p>
    <w:p w:rsidR="00416825" w:rsidRPr="00416825" w:rsidRDefault="00416825" w:rsidP="00416825">
      <w:pPr>
        <w:pStyle w:val="SingleTxtGR"/>
      </w:pPr>
      <w:r w:rsidRPr="00416825">
        <w:t>47.</w:t>
      </w:r>
      <w:r w:rsidRPr="00416825">
        <w:tab/>
      </w:r>
      <w:r w:rsidRPr="00416825">
        <w:rPr>
          <w:b/>
        </w:rPr>
        <w:t xml:space="preserve">Комитет рекомендует государству-участнику в тесном сотрудничестве с организациями инвалидов принять национальный план действий по </w:t>
      </w:r>
      <w:proofErr w:type="spellStart"/>
      <w:r w:rsidRPr="00416825">
        <w:rPr>
          <w:b/>
        </w:rPr>
        <w:t>абилитации</w:t>
      </w:r>
      <w:proofErr w:type="spellEnd"/>
      <w:r w:rsidRPr="00416825">
        <w:rPr>
          <w:b/>
        </w:rPr>
        <w:t xml:space="preserve"> и реабилитации в соответствии с положениями Конвенции. Кроме того, он рекомендует государству-участнику включить вопросы о предоставлении средств, облегчающих мобильность, устройств и </w:t>
      </w:r>
      <w:proofErr w:type="spellStart"/>
      <w:r w:rsidRPr="00416825">
        <w:rPr>
          <w:b/>
        </w:rPr>
        <w:t>ассистивных</w:t>
      </w:r>
      <w:proofErr w:type="spellEnd"/>
      <w:r w:rsidRPr="00416825">
        <w:rPr>
          <w:b/>
        </w:rPr>
        <w:t xml:space="preserve"> технологий в деятельность в рамках международного сотрудничества.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Труд и занятость (статья 27)</w:t>
      </w:r>
    </w:p>
    <w:p w:rsidR="00416825" w:rsidRPr="00416825" w:rsidRDefault="00416825" w:rsidP="00416825">
      <w:pPr>
        <w:pStyle w:val="SingleTxtGR"/>
      </w:pPr>
      <w:r w:rsidRPr="00416825">
        <w:t>48.</w:t>
      </w:r>
      <w:r w:rsidRPr="00416825">
        <w:tab/>
        <w:t>Комитет с обеспокоенностью отмечает: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отсутствие в Законе об интеграции инвалидов (2012 год) положений о правовом обязательстве обеспечивать разумное при</w:t>
      </w:r>
      <w:r w:rsidR="00326CE2">
        <w:t>способление на рабочем месте, а </w:t>
      </w:r>
      <w:r w:rsidRPr="00416825">
        <w:t>также о механизмах</w:t>
      </w:r>
      <w:r w:rsidR="000F160E">
        <w:t xml:space="preserve"> </w:t>
      </w:r>
      <w:r w:rsidRPr="00416825">
        <w:t xml:space="preserve">мониторинга соблюдения принципа </w:t>
      </w:r>
      <w:r w:rsidR="000F160E">
        <w:t>«</w:t>
      </w:r>
      <w:r w:rsidRPr="00416825">
        <w:t>надлежащего приспособления</w:t>
      </w:r>
      <w:r w:rsidR="000F160E">
        <w:t>»;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крайне низкую долю инвалидов, работающих в государственном и частном секторах, что приводит к высоким показа</w:t>
      </w:r>
      <w:r w:rsidR="000F160E">
        <w:t>телям бедности среди инвалидов;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>отсутствие назначенного органа по мониторингу соблюдения трудовых квот в государственном и частном секторах и наказанию виновных, отсутствие конкретных мер по увеличению доли инвалидов, работающих в государственном и частном секторах, а также задержку</w:t>
      </w:r>
      <w:r w:rsidR="000F160E">
        <w:t xml:space="preserve"> </w:t>
      </w:r>
      <w:r w:rsidRPr="00416825">
        <w:t>с созданием на</w:t>
      </w:r>
      <w:r w:rsidR="000F160E">
        <w:t>ционального фонда солидарности;</w:t>
      </w:r>
    </w:p>
    <w:p w:rsidR="00416825" w:rsidRPr="00703034" w:rsidRDefault="00416825" w:rsidP="00416825">
      <w:pPr>
        <w:pStyle w:val="SingleTxtGR"/>
      </w:pPr>
      <w:r w:rsidRPr="00416825">
        <w:tab/>
        <w:t>d)</w:t>
      </w:r>
      <w:r w:rsidRPr="00416825">
        <w:tab/>
        <w:t>отсутствие официальных данн</w:t>
      </w:r>
      <w:r w:rsidR="00703034">
        <w:t>ых о трудоустройстве инвалидов</w:t>
      </w:r>
      <w:r w:rsidR="00703034" w:rsidRPr="00703034">
        <w:t>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326CE2">
        <w:t>49.</w:t>
      </w:r>
      <w:r w:rsidRPr="00416825">
        <w:rPr>
          <w:b/>
        </w:rPr>
        <w:tab/>
        <w:t>В соответствии с положениями Конвенции и с учетом задачи 8.5 Целей в области устойчивого развития Комитет рекомендует государству-участнику обеспечить полную и производительную занятость и достойную работу для всех, в том числе инвалидов, и равную оплату за труд равной ценности. Кроме того, он рекомендует государству-участнику принять правовые и иные меры для недопущения дискриминации в отношении инвалидов с точки зрения и</w:t>
      </w:r>
      <w:r w:rsidR="000F160E">
        <w:rPr>
          <w:b/>
        </w:rPr>
        <w:t>х права на труд</w:t>
      </w:r>
      <w:r w:rsidR="00326CE2">
        <w:rPr>
          <w:b/>
        </w:rPr>
        <w:t>, и</w:t>
      </w:r>
      <w:r w:rsidR="000F160E">
        <w:rPr>
          <w:b/>
        </w:rPr>
        <w:t xml:space="preserve"> в частности: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>уточнить правовое обязательство обеспечивать разумное приспособление на рабочем месте и принять меры для обеспечения эффективного контроля за его выполнением с предоставлением надлежащих средств правовой защиты от отказа в удовлетворении просьбы о таком приспособлении;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принять меры, такие как долгосрочный план с установленными целями и конкретными сроками выполнения по увеличению</w:t>
      </w:r>
      <w:r w:rsidR="00326CE2">
        <w:rPr>
          <w:b/>
        </w:rPr>
        <w:t xml:space="preserve"> доли инвалидов, в </w:t>
      </w:r>
      <w:r w:rsidRPr="00416825">
        <w:rPr>
          <w:b/>
        </w:rPr>
        <w:t>частности женщин и молодежи с инвалидностью, работающих как в частном, так и в государственном секторах, на открытом рынке труда;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назначить орган по мониторингу соблюдения трудовых квот в государственном и частном секторах и наказанию виновных в их несоблюдении, ускорить процесс создания национального фонда солидарности, проводить профессионально-техническую подготовку и создавать стимулы для самостоятельной занятости инвалидов, в частности женщин-инвалидов;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d)</w:t>
      </w:r>
      <w:r w:rsidRPr="00416825">
        <w:rPr>
          <w:b/>
        </w:rPr>
        <w:tab/>
        <w:t>проводить сбор разукрупненных данных о числе трудоустроенных инвалидов.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Достаточный жизненный уровень и социальная защита (статья 28)</w:t>
      </w:r>
    </w:p>
    <w:p w:rsidR="00416825" w:rsidRPr="00416825" w:rsidRDefault="00416825" w:rsidP="00416825">
      <w:pPr>
        <w:pStyle w:val="SingleTxtGR"/>
      </w:pPr>
      <w:r w:rsidRPr="00416825">
        <w:t>50.</w:t>
      </w:r>
      <w:r w:rsidRPr="00416825">
        <w:tab/>
        <w:t>Комитет обеспокоен значительным числом инвалидов, живущих в условиях бедности и не имеющих постоянного источника дохода, а также отсутствием всеобъемлющей системы социальной защиты, гарантирующей инвалидам и их семьям возможности для достижения достаточного жизненного уровня, в том числе получения надлежащих ресурсов для покрытия расходов, связанных с инвалидностью. Кроме того, Комитет обеспокоен отсутствием доступа к питьевой воде и санитарным услугам, а также тем, что большинство инициатив по содействию достижению достаточного жизненного уровня реализуются в столице и ее окрестностях или в крупных городах, а не в</w:t>
      </w:r>
      <w:r w:rsidR="000F160E">
        <w:t xml:space="preserve"> сельских и отдаленных районах.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326CE2">
        <w:t>51.</w:t>
      </w:r>
      <w:r w:rsidRPr="00416825">
        <w:rPr>
          <w:b/>
        </w:rPr>
        <w:tab/>
        <w:t>Напоминая о связях между статьей 28 Конвенции и задачей 10.2 Целей в области устойчивого развития, направленной на то, чтобы поддержать законодательным путем и поощрять активное участие всех людей в экономической жизни независимо от их инвалидности, Комитет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>разработать стратегии социальной защиты инвалидов и сокращени</w:t>
      </w:r>
      <w:r w:rsidR="000F160E">
        <w:rPr>
          <w:b/>
        </w:rPr>
        <w:t>я масштабов бедности среди них;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>создать механизм социальной защиты с целью обеспечения достаточного жизненного уровня для инвалидов, в том числе посредством систем компенсации в виде пособий, которые позволят им покрывать расх</w:t>
      </w:r>
      <w:r w:rsidR="000F160E">
        <w:rPr>
          <w:b/>
        </w:rPr>
        <w:t>оды, связанные с инвалидностью;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включить проблематику инвалидности в программы содействия достижению достаточного жизненного уровня, в том числе программы, направленные на расширение доступа к безопасной и доступной питьевой воде, включая соответствующие инициативы в сельских и отдаленных районах.</w:t>
      </w:r>
    </w:p>
    <w:p w:rsidR="00416825" w:rsidRPr="00416825" w:rsidRDefault="00416825" w:rsidP="000F160E">
      <w:pPr>
        <w:pStyle w:val="H23GR"/>
      </w:pPr>
      <w:r w:rsidRPr="00416825">
        <w:tab/>
      </w:r>
      <w:r w:rsidRPr="00416825">
        <w:tab/>
        <w:t>Участие в политической и общественной жизни (статья 29)</w:t>
      </w:r>
    </w:p>
    <w:p w:rsidR="00416825" w:rsidRPr="00416825" w:rsidRDefault="000F160E" w:rsidP="00416825">
      <w:pPr>
        <w:pStyle w:val="SingleTxtGR"/>
      </w:pPr>
      <w:r>
        <w:t>52.</w:t>
      </w:r>
      <w:r>
        <w:tab/>
        <w:t>Комитет обеспокоен:</w:t>
      </w:r>
    </w:p>
    <w:p w:rsidR="00416825" w:rsidRPr="00416825" w:rsidRDefault="00416825" w:rsidP="00416825">
      <w:pPr>
        <w:pStyle w:val="SingleTxtGR"/>
      </w:pPr>
      <w:r w:rsidRPr="00416825">
        <w:tab/>
        <w:t>а)</w:t>
      </w:r>
      <w:r w:rsidRPr="00416825">
        <w:tab/>
        <w:t>тем, что Декрет о выборах 2015 года (статьи 29, 87.2 и 157) ограничивает право инвалидов участвовать в политической жизни, осуществлять свое право голосовать и вступать в политические партии в качестве ч</w:t>
      </w:r>
      <w:r w:rsidR="000F160E">
        <w:t>ленов или избранных кандидатов;</w:t>
      </w:r>
    </w:p>
    <w:p w:rsidR="00416825" w:rsidRPr="00416825" w:rsidRDefault="00416825" w:rsidP="00416825">
      <w:pPr>
        <w:pStyle w:val="SingleTxtGR"/>
      </w:pPr>
      <w:r w:rsidRPr="00416825">
        <w:tab/>
        <w:t>b)</w:t>
      </w:r>
      <w:r w:rsidRPr="00416825">
        <w:tab/>
        <w:t>недоступностью избирательных участков и каждого этапа избирательного процесса, включая внесение избирателей в список избирателей и избирательные процедуры, отсутствием информации в доступных инвалидам форматах и отсутствием программ профессиональной подготовки по правам инвалидов для сотрудников избирательных комиссий;</w:t>
      </w:r>
    </w:p>
    <w:p w:rsidR="00416825" w:rsidRPr="00416825" w:rsidRDefault="00416825" w:rsidP="00416825">
      <w:pPr>
        <w:pStyle w:val="SingleTxtGR"/>
      </w:pPr>
      <w:r w:rsidRPr="00416825">
        <w:tab/>
        <w:t>c)</w:t>
      </w:r>
      <w:r w:rsidRPr="00416825">
        <w:tab/>
        <w:t xml:space="preserve">низкой долей инвалидов, выдвигающих свою кандидатуру на выборные государственные должности </w:t>
      </w:r>
      <w:r w:rsidR="000F160E">
        <w:t>или занимающих такие должности.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53.</w:t>
      </w:r>
      <w:r w:rsidRPr="00416825">
        <w:tab/>
      </w:r>
      <w:r w:rsidRPr="00416825">
        <w:rPr>
          <w:b/>
          <w:bCs/>
        </w:rPr>
        <w:t>Комитет настоятельно призывает государство-участник: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 xml:space="preserve">отменить законы и нормы, ограничивающие право инвалидов на участие в общественной и политической жизни, в частности аннулировать </w:t>
      </w:r>
      <w:r w:rsidR="00A72490">
        <w:rPr>
          <w:b/>
        </w:rPr>
        <w:t>статьи </w:t>
      </w:r>
      <w:r w:rsidR="00326CE2">
        <w:rPr>
          <w:b/>
        </w:rPr>
        <w:t>29, 87.</w:t>
      </w:r>
      <w:r w:rsidRPr="00416825">
        <w:rPr>
          <w:b/>
        </w:rPr>
        <w:t>2 и 157 Декрета о выборах 2015 года;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 xml:space="preserve">устранить все физические и иные барьеры и обеспечивать разумное приспособление на всех этапах избирательного процесса, в том числе путем предоставления информации и материалов в </w:t>
      </w:r>
      <w:r w:rsidR="00A72490">
        <w:rPr>
          <w:b/>
        </w:rPr>
        <w:t>доступных инвалидам форматах, а </w:t>
      </w:r>
      <w:r w:rsidRPr="00416825">
        <w:rPr>
          <w:b/>
        </w:rPr>
        <w:t>также обеспечить надлежащую профессиональную подготовку сотрудников избирательных комиссий по правам инвалидов на всех этапах избирательного процесса;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принять меры для увеличения числа инвалидов, участвующих в общественной и политической жизни, а также собирать и публиковать разукрупненные данные о числе таких лиц.</w:t>
      </w:r>
    </w:p>
    <w:p w:rsidR="00416825" w:rsidRPr="00416825" w:rsidRDefault="00416825" w:rsidP="00A72490">
      <w:pPr>
        <w:pStyle w:val="H23GR"/>
      </w:pPr>
      <w:r w:rsidRPr="00416825">
        <w:tab/>
      </w:r>
      <w:r w:rsidRPr="00416825">
        <w:tab/>
        <w:t>Участие в культурной жизни, проведении досуга и отдыха и занятии спортом (статья 30)</w:t>
      </w:r>
    </w:p>
    <w:p w:rsidR="00416825" w:rsidRPr="00416825" w:rsidRDefault="00416825" w:rsidP="00416825">
      <w:pPr>
        <w:pStyle w:val="SingleTxtGR"/>
      </w:pPr>
      <w:r w:rsidRPr="00416825">
        <w:t>54.</w:t>
      </w:r>
      <w:r w:rsidRPr="00416825">
        <w:tab/>
        <w:t xml:space="preserve">Комитет обеспокоен тем, что инвалиды сталкиваются с факторами, препятствующими их участию в культурной жизни, проведении досуга и отдыха и занятии спортом наравне с другими. Кроме того, он обеспокоен тем, что государство-участник все еще не ратифицировало </w:t>
      </w:r>
      <w:proofErr w:type="spellStart"/>
      <w:r w:rsidRPr="00416825">
        <w:t>Марракешский</w:t>
      </w:r>
      <w:proofErr w:type="spellEnd"/>
      <w:r w:rsidRPr="00416825">
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="00A72490">
        <w:t>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326CE2">
        <w:t>55.</w:t>
      </w:r>
      <w:r w:rsidRPr="00416825">
        <w:rPr>
          <w:b/>
        </w:rPr>
        <w:tab/>
        <w:t xml:space="preserve">Комитет рекомендует государству-участнику составить детализированный бюджет в интересах поощрения и защиты права инвалидов на участие в культурной жизни, проведении досуга и отдыха и занятии спортом наравне с другими. Он призывает государство-участник принять все необходимые меры для того, чтобы как можно скорее ратифицировать и начать применять </w:t>
      </w:r>
      <w:proofErr w:type="spellStart"/>
      <w:r w:rsidRPr="00416825">
        <w:rPr>
          <w:b/>
        </w:rPr>
        <w:t>Марракешский</w:t>
      </w:r>
      <w:proofErr w:type="spellEnd"/>
      <w:r w:rsidRPr="00416825">
        <w:rPr>
          <w:b/>
        </w:rPr>
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:rsidR="00416825" w:rsidRPr="00416825" w:rsidRDefault="000109E5" w:rsidP="000109E5">
      <w:pPr>
        <w:pStyle w:val="H1GR"/>
      </w:pPr>
      <w:r>
        <w:tab/>
      </w:r>
      <w:r w:rsidR="00416825" w:rsidRPr="00416825">
        <w:t>C.</w:t>
      </w:r>
      <w:r w:rsidR="00416825" w:rsidRPr="00416825">
        <w:tab/>
      </w:r>
      <w:r w:rsidR="00416825" w:rsidRPr="00416825">
        <w:tab/>
        <w:t>Конкретные обязательства (статьи 31–33)</w:t>
      </w:r>
    </w:p>
    <w:p w:rsidR="00416825" w:rsidRPr="00416825" w:rsidRDefault="00416825" w:rsidP="00A72490">
      <w:pPr>
        <w:pStyle w:val="H23GR"/>
      </w:pPr>
      <w:r w:rsidRPr="00416825">
        <w:tab/>
      </w:r>
      <w:r w:rsidRPr="00416825">
        <w:tab/>
        <w:t>Статистика и сбор данных (статья 31)</w:t>
      </w:r>
    </w:p>
    <w:p w:rsidR="00416825" w:rsidRPr="00416825" w:rsidRDefault="00416825" w:rsidP="00416825">
      <w:pPr>
        <w:pStyle w:val="SingleTxtGR"/>
      </w:pPr>
      <w:r w:rsidRPr="00416825">
        <w:t>56.</w:t>
      </w:r>
      <w:r w:rsidRPr="00416825">
        <w:tab/>
        <w:t>Комитет обеспокоен отсутствием систематического сбора разукрупненных данных о положении инвалидов во всех областях, что затрудняет процесс разработки государством-участн</w:t>
      </w:r>
      <w:r w:rsidR="00A72490">
        <w:t>иком соответствующих стратегий.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A72490">
        <w:t>57.</w:t>
      </w:r>
      <w:r w:rsidRPr="00416825">
        <w:rPr>
          <w:b/>
        </w:rPr>
        <w:tab/>
        <w:t xml:space="preserve">Комитет рекомендует государству-участнику в полной мере включить проблематику инвалидности в показатели мониторинга достижения Целей в области устойчивого развития и обратить внимание на взаимосвязь между статьей 31 Конвенции и задачей 17.18 Целей в </w:t>
      </w:r>
      <w:r w:rsidR="00326CE2">
        <w:rPr>
          <w:b/>
        </w:rPr>
        <w:t>области устойчивого развития, с </w:t>
      </w:r>
      <w:r w:rsidRPr="00416825">
        <w:rPr>
          <w:b/>
        </w:rPr>
        <w:t>тем чтобы значительно повысить доступность высококачественных, актуальных и достоверных данных, дезагрегированных по уровню доходов, гендерной принадлежности, возрасту, расе, национальности, миграционному статусу, инвалидности, географическому местонахождению и другим характеристикам, значимым с учетом национальных условий. Комитет также рекомендует государству-участнику продолжать разрабатывать средства использования полного перечня вопросов, предложенного Вашингтонской группой по статистике инвалидности, при проведении следующей переписи населения и следующих обследований домашних хозяйств.</w:t>
      </w:r>
    </w:p>
    <w:p w:rsidR="00416825" w:rsidRPr="00416825" w:rsidRDefault="00416825" w:rsidP="00A72490">
      <w:pPr>
        <w:pStyle w:val="H23GR"/>
      </w:pPr>
      <w:r w:rsidRPr="00416825">
        <w:tab/>
      </w:r>
      <w:r w:rsidRPr="00416825">
        <w:tab/>
        <w:t>Международное сотрудничество (статья 32)</w:t>
      </w:r>
    </w:p>
    <w:p w:rsidR="00416825" w:rsidRPr="00416825" w:rsidRDefault="00416825" w:rsidP="00416825">
      <w:pPr>
        <w:pStyle w:val="SingleTxtGR"/>
      </w:pPr>
      <w:r w:rsidRPr="00416825">
        <w:t>58.</w:t>
      </w:r>
      <w:r w:rsidRPr="00416825">
        <w:tab/>
        <w:t>Комитет обеспокоен отсутствием разработанной совместно с организациями, представляющими инвалидов, последовательной стратегии расширения прав и возможностей инвалидов для использования на практике своих основных прав, закрепленных в Конвенции. Кроме того, он обеспокоен тем, что большинство проектов, реализуемых в рамках международного сотрудничества, ориентированы главным образом на столицу и ее окрестности. Он с обеспокоенностью отмечает, что с инвалидами не проводятся систематические и конструктивные консультации через представляющие их организации и что, как следствие, они не участвуют надлежащим образом в программах международного сотрудничества и не включены в них.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t>59.</w:t>
      </w:r>
      <w:r w:rsidRPr="00416825">
        <w:tab/>
      </w:r>
      <w:r w:rsidRPr="00416825">
        <w:rPr>
          <w:b/>
          <w:bCs/>
        </w:rPr>
        <w:t>Комитет рекомендует государству-участнику: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 xml:space="preserve">включить политику в области развития в соответствии с Конвенцией во все свои стратегии и программы по вопросам развития сотрудничества; 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 xml:space="preserve">обеспечить учет проблематики инвалидности путем содействия участию инвалидов через представляющие их организации; 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принять меры для обеспечения конструктивного участия инвалидов через представляющие их организации в создании, осуществлении, мониторинге и оценке программ и проектов, разработанных в рамках международного сотрудничества.</w:t>
      </w:r>
    </w:p>
    <w:p w:rsidR="00416825" w:rsidRPr="00416825" w:rsidRDefault="00416825" w:rsidP="000109E5">
      <w:pPr>
        <w:pStyle w:val="H23GR"/>
      </w:pPr>
      <w:r w:rsidRPr="00416825">
        <w:tab/>
      </w:r>
      <w:r w:rsidRPr="00416825">
        <w:tab/>
        <w:t>Национальное осуществление и мониторинг (статья 33)</w:t>
      </w:r>
    </w:p>
    <w:p w:rsidR="00416825" w:rsidRPr="00416825" w:rsidRDefault="00416825" w:rsidP="00416825">
      <w:pPr>
        <w:pStyle w:val="SingleTxtGR"/>
      </w:pPr>
      <w:r w:rsidRPr="00416825">
        <w:t>60.</w:t>
      </w:r>
      <w:r w:rsidRPr="00416825">
        <w:tab/>
        <w:t>Комитет обеспокоен недостаточно четким определением мандата Управления Омбудсмена и его сферой охвата. Он с сожалением констатирует, что еще не был назначен никакой независимый механизм мониторинга в соответствии с требованиями пункта 2 статьи 33. Кроме того, он обеспокоен отсутствием механизмов обеспечения участия инвалидов в процессах мониторинга через</w:t>
      </w:r>
      <w:r w:rsidR="00A72490">
        <w:t xml:space="preserve"> представляющие их организации.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A72490">
        <w:t>61.</w:t>
      </w:r>
      <w:r w:rsidRPr="00416825">
        <w:rPr>
          <w:b/>
        </w:rPr>
        <w:tab/>
        <w:t>Ссылаясь на свои Руководящие принципы в отношении независимых структур мониторинга и их участия в работе Комитета по правам инвалидов</w:t>
      </w:r>
      <w:r w:rsidR="00326CE2">
        <w:rPr>
          <w:b/>
        </w:rPr>
        <w:t xml:space="preserve"> (см. </w:t>
      </w:r>
      <w:r w:rsidRPr="00416825">
        <w:rPr>
          <w:b/>
        </w:rPr>
        <w:t>CRPD/C/1/Rev.1, приложение), Комитет рек</w:t>
      </w:r>
      <w:r w:rsidR="00A72490">
        <w:rPr>
          <w:b/>
        </w:rPr>
        <w:t>омендует государству-участнику:</w:t>
      </w:r>
    </w:p>
    <w:p w:rsidR="00416825" w:rsidRPr="00416825" w:rsidRDefault="00416825" w:rsidP="00326CE2">
      <w:pPr>
        <w:pStyle w:val="SingleTxtGR"/>
        <w:rPr>
          <w:b/>
          <w:bCs/>
        </w:rPr>
      </w:pPr>
      <w:r w:rsidRPr="00416825">
        <w:rPr>
          <w:b/>
        </w:rPr>
        <w:tab/>
        <w:t>а)</w:t>
      </w:r>
      <w:r w:rsidRPr="00416825">
        <w:rPr>
          <w:b/>
        </w:rPr>
        <w:tab/>
        <w:t xml:space="preserve">принять необходимые меры для назначения координаторов во всех сферах деятельности правительства с целью </w:t>
      </w:r>
      <w:r w:rsidR="00326CE2">
        <w:rPr>
          <w:b/>
        </w:rPr>
        <w:t>учета проблематики</w:t>
      </w:r>
      <w:r w:rsidRPr="00416825">
        <w:rPr>
          <w:b/>
        </w:rPr>
        <w:t xml:space="preserve"> инвалидности в</w:t>
      </w:r>
      <w:r w:rsidR="00A72490">
        <w:rPr>
          <w:b/>
        </w:rPr>
        <w:t>о всех программах и стратегиях;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b)</w:t>
      </w:r>
      <w:r w:rsidRPr="00416825">
        <w:rPr>
          <w:b/>
        </w:rPr>
        <w:tab/>
        <w:t xml:space="preserve">ускорить процесс назначения независимого механизма мониторинга осуществления Конвенции </w:t>
      </w:r>
      <w:r w:rsidR="00A72490">
        <w:rPr>
          <w:b/>
        </w:rPr>
        <w:t>и обеспечить его независимость;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416825">
        <w:rPr>
          <w:b/>
        </w:rPr>
        <w:tab/>
        <w:t>c)</w:t>
      </w:r>
      <w:r w:rsidRPr="00416825">
        <w:rPr>
          <w:b/>
        </w:rPr>
        <w:tab/>
        <w:t>обеспечить полноценное участие инвалидов и организаций гражданского общества в процессе мониторинга осуществления Конвенции.</w:t>
      </w:r>
    </w:p>
    <w:p w:rsidR="00416825" w:rsidRPr="00416825" w:rsidRDefault="00A72490" w:rsidP="00A72490">
      <w:pPr>
        <w:pStyle w:val="HChGR"/>
      </w:pPr>
      <w:r>
        <w:tab/>
      </w:r>
      <w:r w:rsidR="00416825" w:rsidRPr="00416825">
        <w:t>IV.</w:t>
      </w:r>
      <w:r w:rsidR="00416825" w:rsidRPr="00416825">
        <w:tab/>
      </w:r>
      <w:r w:rsidR="00416825" w:rsidRPr="00416825">
        <w:tab/>
        <w:t>Последующая деятельность</w:t>
      </w:r>
    </w:p>
    <w:p w:rsidR="00416825" w:rsidRPr="00416825" w:rsidRDefault="00416825" w:rsidP="00A72490">
      <w:pPr>
        <w:pStyle w:val="H23GR"/>
      </w:pPr>
      <w:r w:rsidRPr="00416825">
        <w:tab/>
      </w:r>
      <w:r w:rsidRPr="00416825">
        <w:tab/>
        <w:t>Распространение информации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A72490">
        <w:t>62.</w:t>
      </w:r>
      <w:r w:rsidRPr="00416825">
        <w:rPr>
          <w:b/>
        </w:rPr>
        <w:tab/>
        <w:t>Комитет просит государство-участник в течение 12 месяцев после принятия настоящих заключительных замечаний в соответствии с пунктом 2 статьи 35 Конвенции представить информацию о мерах, принятых для выполнения содержащихся в пункте 57 рекомендаций Комитета о сборе статистической информации и иных данных.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A72490">
        <w:t>63.</w:t>
      </w:r>
      <w:r w:rsidRPr="00416825">
        <w:rPr>
          <w:b/>
        </w:rPr>
        <w:tab/>
        <w:t>Комитет просит государство-участник выполнить рекомендации, содержащиеся в настоящих заключительных замечаниях. Он рекомендует государству-участнику</w:t>
      </w:r>
      <w:r w:rsidR="000F160E">
        <w:rPr>
          <w:b/>
        </w:rPr>
        <w:t xml:space="preserve"> </w:t>
      </w:r>
      <w:r w:rsidRPr="00416825">
        <w:rPr>
          <w:b/>
        </w:rPr>
        <w:t xml:space="preserve">препроводить настоящие заключительные замечания для рассмотрения и принятия решений членам правительства и парламента, должностным лицам соответствующих министерств и судебных органов и членам соответствующих профессиональных групп, таких как работники сферы образования, медики и юристы, а также местным органам власти, представителям частного сектора и средствам массовой информации с использованием современных стратегий социальной коммуникации. 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A72490">
        <w:t>64.</w:t>
      </w:r>
      <w:r w:rsidRPr="00416825">
        <w:rPr>
          <w:b/>
        </w:rPr>
        <w:tab/>
        <w:t>Комитет настоятельно рекомендует государству-участнику привлекать организации гражданского общества, в частности организации инвалидов,</w:t>
      </w:r>
      <w:r w:rsidR="00A72490">
        <w:rPr>
          <w:b/>
        </w:rPr>
        <w:t xml:space="preserve"> к </w:t>
      </w:r>
      <w:r w:rsidRPr="00416825">
        <w:rPr>
          <w:b/>
        </w:rPr>
        <w:t>подготовке своего периодического доклада.</w:t>
      </w:r>
    </w:p>
    <w:p w:rsidR="00416825" w:rsidRPr="00416825" w:rsidRDefault="00416825" w:rsidP="00416825">
      <w:pPr>
        <w:pStyle w:val="SingleTxtGR"/>
        <w:rPr>
          <w:b/>
          <w:bCs/>
        </w:rPr>
      </w:pPr>
      <w:r w:rsidRPr="00A72490">
        <w:t>65.</w:t>
      </w:r>
      <w:r w:rsidRPr="00416825">
        <w:rPr>
          <w:b/>
        </w:rPr>
        <w:tab/>
        <w:t>Комитет просит государство-участник широко распространить настоящие заключительные замечания, в том числе среди неправительственных организаций и организаций инвалидов, а также среди самих инвалидов и членов их семей на национальных языках и языках меньшинств, включая жестовый язык, и в других доступных форматах, в том чи</w:t>
      </w:r>
      <w:r w:rsidR="00A72490">
        <w:rPr>
          <w:b/>
        </w:rPr>
        <w:t xml:space="preserve">сле в </w:t>
      </w:r>
      <w:proofErr w:type="spellStart"/>
      <w:r w:rsidR="00A72490">
        <w:rPr>
          <w:b/>
        </w:rPr>
        <w:t>легкочитаемых</w:t>
      </w:r>
      <w:proofErr w:type="spellEnd"/>
      <w:r w:rsidR="00A72490">
        <w:rPr>
          <w:b/>
        </w:rPr>
        <w:t xml:space="preserve"> форматах, а </w:t>
      </w:r>
      <w:r w:rsidRPr="00416825">
        <w:rPr>
          <w:b/>
        </w:rPr>
        <w:t>также разместить их на правительственном веб-сайте, посвященном правам человека.</w:t>
      </w:r>
    </w:p>
    <w:p w:rsidR="00416825" w:rsidRPr="00416825" w:rsidRDefault="00416825" w:rsidP="00A72490">
      <w:pPr>
        <w:pStyle w:val="H23GR"/>
      </w:pPr>
      <w:r w:rsidRPr="00416825">
        <w:tab/>
      </w:r>
      <w:r w:rsidRPr="00416825">
        <w:tab/>
        <w:t>Следующий периодический доклад</w:t>
      </w:r>
    </w:p>
    <w:p w:rsidR="000F160E" w:rsidRDefault="00416825" w:rsidP="00416825">
      <w:pPr>
        <w:pStyle w:val="SingleTxtGR"/>
        <w:rPr>
          <w:b/>
          <w:bCs/>
        </w:rPr>
      </w:pPr>
      <w:r w:rsidRPr="00A72490">
        <w:t>66.</w:t>
      </w:r>
      <w:r w:rsidRPr="00416825">
        <w:rPr>
          <w:b/>
        </w:rPr>
        <w:tab/>
        <w:t>Комитет просит государство-участник представить свои объединенные второй, третий и четвертый периодически</w:t>
      </w:r>
      <w:r w:rsidR="00326CE2">
        <w:rPr>
          <w:b/>
        </w:rPr>
        <w:t>е доклады не позднее 23 августа</w:t>
      </w:r>
      <w:r w:rsidR="00043B92" w:rsidRPr="00043B92">
        <w:rPr>
          <w:b/>
        </w:rPr>
        <w:t xml:space="preserve"> </w:t>
      </w:r>
      <w:r w:rsidRPr="00416825">
        <w:rPr>
          <w:b/>
        </w:rPr>
        <w:t>2023</w:t>
      </w:r>
      <w:r w:rsidR="00043B92">
        <w:rPr>
          <w:b/>
          <w:lang w:val="en-US"/>
        </w:rPr>
        <w:t> </w:t>
      </w:r>
      <w:r w:rsidRPr="00416825">
        <w:rPr>
          <w:b/>
        </w:rPr>
        <w:t>года и включить в них информацию о выполнении рекомендаций, содержащихся в настоящих заключительных замечаниях. Он также просит государство-участник рассмотреть возможность представления вышеупомянутых докладов в рамках разработанной Комитетом упрощенной процедуры представления докладов, согласно которой Комитет готовит перечень вопросов не менее чем за год до назначенной даты представления доклада государства-участника. Ответы государства-участника на такой перечень вопросов являются его докладом.</w:t>
      </w:r>
    </w:p>
    <w:p w:rsidR="00381C24" w:rsidRPr="00A72490" w:rsidRDefault="00A72490" w:rsidP="00A7249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72490" w:rsidSect="0041682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E1" w:rsidRPr="00A312BC" w:rsidRDefault="007524E1" w:rsidP="00A312BC"/>
  </w:endnote>
  <w:endnote w:type="continuationSeparator" w:id="0">
    <w:p w:rsidR="007524E1" w:rsidRPr="00A312BC" w:rsidRDefault="007524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25" w:rsidRPr="00416825" w:rsidRDefault="00416825">
    <w:pPr>
      <w:pStyle w:val="a8"/>
    </w:pPr>
    <w:r w:rsidRPr="00416825">
      <w:rPr>
        <w:b/>
        <w:sz w:val="18"/>
      </w:rPr>
      <w:fldChar w:fldCharType="begin"/>
    </w:r>
    <w:r w:rsidRPr="00416825">
      <w:rPr>
        <w:b/>
        <w:sz w:val="18"/>
      </w:rPr>
      <w:instrText xml:space="preserve"> PAGE  \* MERGEFORMAT </w:instrText>
    </w:r>
    <w:r w:rsidRPr="00416825">
      <w:rPr>
        <w:b/>
        <w:sz w:val="18"/>
      </w:rPr>
      <w:fldChar w:fldCharType="separate"/>
    </w:r>
    <w:r w:rsidR="007E0CC8">
      <w:rPr>
        <w:b/>
        <w:noProof/>
        <w:sz w:val="18"/>
      </w:rPr>
      <w:t>18</w:t>
    </w:r>
    <w:r w:rsidRPr="00416825">
      <w:rPr>
        <w:b/>
        <w:sz w:val="18"/>
      </w:rPr>
      <w:fldChar w:fldCharType="end"/>
    </w:r>
    <w:r>
      <w:rPr>
        <w:b/>
        <w:sz w:val="18"/>
      </w:rPr>
      <w:tab/>
    </w:r>
    <w:r>
      <w:t>GE.18-05898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25" w:rsidRPr="00416825" w:rsidRDefault="00416825" w:rsidP="00416825">
    <w:pPr>
      <w:pStyle w:val="a8"/>
      <w:tabs>
        <w:tab w:val="clear" w:pos="9639"/>
        <w:tab w:val="right" w:pos="9638"/>
      </w:tabs>
      <w:rPr>
        <w:b/>
        <w:sz w:val="18"/>
      </w:rPr>
    </w:pPr>
    <w:r>
      <w:t>GE.18-05898</w:t>
    </w:r>
    <w:r>
      <w:tab/>
    </w:r>
    <w:r w:rsidRPr="00416825">
      <w:rPr>
        <w:b/>
        <w:sz w:val="18"/>
      </w:rPr>
      <w:fldChar w:fldCharType="begin"/>
    </w:r>
    <w:r w:rsidRPr="00416825">
      <w:rPr>
        <w:b/>
        <w:sz w:val="18"/>
      </w:rPr>
      <w:instrText xml:space="preserve"> PAGE  \* MERGEFORMAT </w:instrText>
    </w:r>
    <w:r w:rsidRPr="00416825">
      <w:rPr>
        <w:b/>
        <w:sz w:val="18"/>
      </w:rPr>
      <w:fldChar w:fldCharType="separate"/>
    </w:r>
    <w:r w:rsidR="007E0CC8">
      <w:rPr>
        <w:b/>
        <w:noProof/>
        <w:sz w:val="18"/>
      </w:rPr>
      <w:t>17</w:t>
    </w:r>
    <w:r w:rsidRPr="004168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16825" w:rsidRDefault="00416825" w:rsidP="0041682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18-05898  (R)</w:t>
    </w:r>
    <w:r w:rsidR="00C70D65">
      <w:t xml:space="preserve">  </w:t>
    </w:r>
    <w:r w:rsidR="00C70D65">
      <w:rPr>
        <w:lang w:val="en-US"/>
      </w:rPr>
      <w:t>020518  030518</w:t>
    </w:r>
    <w:r>
      <w:br/>
    </w:r>
    <w:r w:rsidRPr="00416825">
      <w:rPr>
        <w:rFonts w:ascii="C39T30Lfz" w:hAnsi="C39T30Lfz"/>
        <w:kern w:val="14"/>
        <w:sz w:val="56"/>
      </w:rPr>
      <w:t></w:t>
    </w:r>
    <w:r w:rsidRPr="00416825">
      <w:rPr>
        <w:rFonts w:ascii="C39T30Lfz" w:hAnsi="C39T30Lfz"/>
        <w:kern w:val="14"/>
        <w:sz w:val="56"/>
      </w:rPr>
      <w:t></w:t>
    </w:r>
    <w:r w:rsidRPr="00416825">
      <w:rPr>
        <w:rFonts w:ascii="C39T30Lfz" w:hAnsi="C39T30Lfz"/>
        <w:kern w:val="14"/>
        <w:sz w:val="56"/>
      </w:rPr>
      <w:t></w:t>
    </w:r>
    <w:r w:rsidRPr="00416825">
      <w:rPr>
        <w:rFonts w:ascii="C39T30Lfz" w:hAnsi="C39T30Lfz"/>
        <w:kern w:val="14"/>
        <w:sz w:val="56"/>
      </w:rPr>
      <w:t></w:t>
    </w:r>
    <w:r w:rsidRPr="00416825">
      <w:rPr>
        <w:rFonts w:ascii="C39T30Lfz" w:hAnsi="C39T30Lfz"/>
        <w:kern w:val="14"/>
        <w:sz w:val="56"/>
      </w:rPr>
      <w:t></w:t>
    </w:r>
    <w:r w:rsidRPr="00416825">
      <w:rPr>
        <w:rFonts w:ascii="C39T30Lfz" w:hAnsi="C39T30Lfz"/>
        <w:kern w:val="14"/>
        <w:sz w:val="56"/>
      </w:rPr>
      <w:t></w:t>
    </w:r>
    <w:r w:rsidRPr="00416825">
      <w:rPr>
        <w:rFonts w:ascii="C39T30Lfz" w:hAnsi="C39T30Lfz"/>
        <w:kern w:val="14"/>
        <w:sz w:val="56"/>
      </w:rPr>
      <w:t></w:t>
    </w:r>
    <w:r w:rsidRPr="00416825">
      <w:rPr>
        <w:rFonts w:ascii="C39T30Lfz" w:hAnsi="C39T30Lfz"/>
        <w:kern w:val="14"/>
        <w:sz w:val="56"/>
      </w:rPr>
      <w:t></w:t>
    </w:r>
    <w:r w:rsidRPr="0041682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HTI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HTI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E1" w:rsidRPr="001075E9" w:rsidRDefault="007524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24E1" w:rsidRDefault="007524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16825" w:rsidRPr="0018555C" w:rsidRDefault="00416825" w:rsidP="00416825">
      <w:pPr>
        <w:pStyle w:val="ad"/>
        <w:rPr>
          <w:sz w:val="20"/>
        </w:rPr>
      </w:pPr>
      <w:r>
        <w:tab/>
        <w:t>*</w:t>
      </w:r>
      <w:r>
        <w:tab/>
        <w:t>Приняты Комитетом на его девятнадцатой сессии (14 февраля – 9 марта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25" w:rsidRPr="00416825" w:rsidRDefault="007E0CC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CRPD/C/HTI/CO/1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25" w:rsidRPr="00416825" w:rsidRDefault="007E0CC8" w:rsidP="0041682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CRPD/C/HTI/CO/1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1"/>
    <w:rsid w:val="000109E5"/>
    <w:rsid w:val="00026643"/>
    <w:rsid w:val="00033EE1"/>
    <w:rsid w:val="00042B72"/>
    <w:rsid w:val="00043B92"/>
    <w:rsid w:val="000558BD"/>
    <w:rsid w:val="00094698"/>
    <w:rsid w:val="000B57E7"/>
    <w:rsid w:val="000B6373"/>
    <w:rsid w:val="000B732B"/>
    <w:rsid w:val="000F09DF"/>
    <w:rsid w:val="000F160E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CE2"/>
    <w:rsid w:val="003349E4"/>
    <w:rsid w:val="003402C2"/>
    <w:rsid w:val="00381C24"/>
    <w:rsid w:val="003958D0"/>
    <w:rsid w:val="003B00E5"/>
    <w:rsid w:val="00407B78"/>
    <w:rsid w:val="00416825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60059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03034"/>
    <w:rsid w:val="00712895"/>
    <w:rsid w:val="007524E1"/>
    <w:rsid w:val="00757357"/>
    <w:rsid w:val="007C3F50"/>
    <w:rsid w:val="007E0CC8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72490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70D65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2F9E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278B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A1481"/>
  <w15:docId w15:val="{D8473FDF-7548-46DA-8EE2-F65C45B2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FE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single space,Char Char Char,Footnote Text Char Char,Char,f,Текст сноски Знак1 Знак Знак,Текст сноски Знак1 Знак,ft,Geneva 9,Font: Geneva 9,Boston 10,Текст сноски Знак1,Текст сноски Знак1 Char Char Char Char Char Char"/>
    <w:basedOn w:val="a"/>
    <w:link w:val="ae"/>
    <w:uiPriority w:val="99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,single space Знак,Char Char Char Знак,Footnote Text Char Char Знак,Char Знак,f Знак,Текст сноски Знак1 Знак Знак Знак,Текст сноски Знак1 Знак Знак1,ft Знак,Geneva 9 Знак,Font: Geneva 9 Знак,Boston 10 Знак"/>
    <w:basedOn w:val="a0"/>
    <w:link w:val="ad"/>
    <w:uiPriority w:val="99"/>
    <w:rsid w:val="00E92F1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92F15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41682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236C-E399-4664-934E-1A86B966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18</Pages>
  <Words>6393</Words>
  <Characters>45583</Characters>
  <Application>Microsoft Office Word</Application>
  <DocSecurity>0</DocSecurity>
  <Lines>850</Lines>
  <Paragraphs>248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CRPD/C/HTI/CO/1</vt:lpstr>
      <vt:lpstr>A/</vt:lpstr>
      <vt:lpstr>A/</vt:lpstr>
    </vt:vector>
  </TitlesOfParts>
  <Company>DCM</Company>
  <LinksUpToDate>false</LinksUpToDate>
  <CharactersWithSpaces>51947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CRPD/C/HTI/CO/1</dc:title>
  <dc:subject/>
  <dc:creator>Anna KISSELEVA</dc:creator>
  <cp:keywords/>
  <cp:lastModifiedBy>Generic TPSRUS2</cp:lastModifiedBy>
  <cp:revision>3</cp:revision>
  <cp:lastPrinted>2018-05-03T13:08:00Z</cp:lastPrinted>
  <dcterms:created xsi:type="dcterms:W3CDTF">2018-05-03T13:08:00Z</dcterms:created>
  <dcterms:modified xsi:type="dcterms:W3CDTF">2018-05-03T13:10:00Z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