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F7364A2" w14:textId="77777777" w:rsidTr="00A704A8">
        <w:trPr>
          <w:trHeight w:hRule="exact" w:val="851"/>
        </w:trPr>
        <w:tc>
          <w:tcPr>
            <w:tcW w:w="1276" w:type="dxa"/>
            <w:tcBorders>
              <w:bottom w:val="single" w:sz="4" w:space="0" w:color="auto"/>
            </w:tcBorders>
          </w:tcPr>
          <w:p w14:paraId="4D3A846E" w14:textId="77777777" w:rsidR="00807D21" w:rsidRPr="00DB58B5" w:rsidRDefault="00807D21" w:rsidP="002A5EB2"/>
        </w:tc>
        <w:tc>
          <w:tcPr>
            <w:tcW w:w="2268" w:type="dxa"/>
            <w:tcBorders>
              <w:bottom w:val="single" w:sz="4" w:space="0" w:color="auto"/>
            </w:tcBorders>
            <w:vAlign w:val="bottom"/>
          </w:tcPr>
          <w:p w14:paraId="58F74A9F"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F6ADB9" w14:textId="77777777" w:rsidR="00807D21" w:rsidRPr="00DB58B5" w:rsidRDefault="002A5EB2" w:rsidP="002A5EB2">
            <w:pPr>
              <w:jc w:val="right"/>
            </w:pPr>
            <w:r w:rsidRPr="002A5EB2">
              <w:rPr>
                <w:sz w:val="40"/>
              </w:rPr>
              <w:t>CAT</w:t>
            </w:r>
            <w:r>
              <w:t>/C/SVN/4</w:t>
            </w:r>
          </w:p>
        </w:tc>
      </w:tr>
      <w:tr w:rsidR="00807D21" w:rsidRPr="00DB58B5" w14:paraId="2110B9BB" w14:textId="77777777" w:rsidTr="00A704A8">
        <w:trPr>
          <w:trHeight w:hRule="exact" w:val="2835"/>
        </w:trPr>
        <w:tc>
          <w:tcPr>
            <w:tcW w:w="1276" w:type="dxa"/>
            <w:tcBorders>
              <w:top w:val="single" w:sz="4" w:space="0" w:color="auto"/>
              <w:bottom w:val="single" w:sz="12" w:space="0" w:color="auto"/>
            </w:tcBorders>
          </w:tcPr>
          <w:p w14:paraId="58E846D5" w14:textId="77777777" w:rsidR="00807D21" w:rsidRPr="00DB58B5" w:rsidRDefault="00807D21" w:rsidP="00A704A8">
            <w:pPr>
              <w:spacing w:before="120"/>
              <w:jc w:val="center"/>
            </w:pPr>
            <w:r>
              <w:rPr>
                <w:noProof/>
                <w:lang w:eastAsia="fr-CH"/>
              </w:rPr>
              <w:drawing>
                <wp:inline distT="0" distB="0" distL="0" distR="0" wp14:anchorId="34CF107B" wp14:editId="06B80F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F24B1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738B3C3" w14:textId="77777777" w:rsidR="00807D21" w:rsidRDefault="002A5EB2" w:rsidP="00A704A8">
            <w:pPr>
              <w:spacing w:before="240"/>
            </w:pPr>
            <w:proofErr w:type="spellStart"/>
            <w:r>
              <w:t>Distr</w:t>
            </w:r>
            <w:proofErr w:type="spellEnd"/>
            <w:r>
              <w:t>. générale</w:t>
            </w:r>
          </w:p>
          <w:p w14:paraId="45550EF7" w14:textId="77777777" w:rsidR="002A5EB2" w:rsidRDefault="002A5EB2" w:rsidP="002A5EB2">
            <w:pPr>
              <w:spacing w:line="240" w:lineRule="exact"/>
            </w:pPr>
            <w:r>
              <w:t>10 mars 2020</w:t>
            </w:r>
          </w:p>
          <w:p w14:paraId="6B2BEC60" w14:textId="77777777" w:rsidR="002A5EB2" w:rsidRDefault="002A5EB2" w:rsidP="002A5EB2">
            <w:pPr>
              <w:spacing w:line="240" w:lineRule="exact"/>
            </w:pPr>
            <w:r>
              <w:t>Français</w:t>
            </w:r>
          </w:p>
          <w:p w14:paraId="0F180621" w14:textId="77777777" w:rsidR="002A5EB2" w:rsidRDefault="002A5EB2" w:rsidP="002A5EB2">
            <w:pPr>
              <w:spacing w:line="240" w:lineRule="exact"/>
            </w:pPr>
            <w:r>
              <w:t>Original : anglais</w:t>
            </w:r>
          </w:p>
          <w:p w14:paraId="27AFDF28" w14:textId="77777777" w:rsidR="002A5EB2" w:rsidRPr="00DB58B5" w:rsidRDefault="002A5EB2" w:rsidP="002A5EB2">
            <w:pPr>
              <w:spacing w:line="240" w:lineRule="exact"/>
            </w:pPr>
            <w:r>
              <w:t>Anglais, espagnol et français seulement</w:t>
            </w:r>
          </w:p>
        </w:tc>
      </w:tr>
    </w:tbl>
    <w:p w14:paraId="19B1F74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B67348E" w14:textId="77777777" w:rsidR="002A5EB2" w:rsidRPr="001A3179" w:rsidRDefault="002A5EB2" w:rsidP="002A5EB2">
      <w:pPr>
        <w:pStyle w:val="HMG"/>
        <w:rPr>
          <w:lang w:val="fr-FR"/>
        </w:rPr>
      </w:pPr>
      <w:r>
        <w:rPr>
          <w:lang w:val="fr-FR"/>
        </w:rPr>
        <w:tab/>
      </w:r>
      <w:r>
        <w:rPr>
          <w:lang w:val="fr-FR"/>
        </w:rPr>
        <w:tab/>
      </w:r>
      <w:r w:rsidRPr="001A3179">
        <w:rPr>
          <w:lang w:val="fr-FR"/>
        </w:rPr>
        <w:t xml:space="preserve">Quatrième rapport périodique soumis par </w:t>
      </w:r>
      <w:r>
        <w:rPr>
          <w:lang w:val="fr-FR"/>
        </w:rPr>
        <w:br/>
      </w:r>
      <w:r w:rsidRPr="001A3179">
        <w:rPr>
          <w:lang w:val="fr-FR"/>
        </w:rPr>
        <w:t xml:space="preserve">la Slovénie </w:t>
      </w:r>
      <w:r w:rsidRPr="001A3179">
        <w:rPr>
          <w:shd w:val="clear" w:color="auto" w:fill="FFFFFF"/>
          <w:lang w:val="fr-FR"/>
        </w:rPr>
        <w:t>en application de l</w:t>
      </w:r>
      <w:r>
        <w:rPr>
          <w:shd w:val="clear" w:color="auto" w:fill="FFFFFF"/>
          <w:lang w:val="fr-FR"/>
        </w:rPr>
        <w:t>’</w:t>
      </w:r>
      <w:r w:rsidRPr="001A3179">
        <w:rPr>
          <w:shd w:val="clear" w:color="auto" w:fill="FFFFFF"/>
          <w:lang w:val="fr-FR"/>
        </w:rPr>
        <w:t xml:space="preserve">article 19 </w:t>
      </w:r>
      <w:r>
        <w:rPr>
          <w:shd w:val="clear" w:color="auto" w:fill="FFFFFF"/>
          <w:lang w:val="fr-FR"/>
        </w:rPr>
        <w:br/>
      </w:r>
      <w:r w:rsidRPr="001A3179">
        <w:rPr>
          <w:shd w:val="clear" w:color="auto" w:fill="FFFFFF"/>
          <w:lang w:val="fr-FR"/>
        </w:rPr>
        <w:t>de la Convention selon la procédure simplifiée d</w:t>
      </w:r>
      <w:r>
        <w:rPr>
          <w:shd w:val="clear" w:color="auto" w:fill="FFFFFF"/>
          <w:lang w:val="fr-FR"/>
        </w:rPr>
        <w:t>’</w:t>
      </w:r>
      <w:r w:rsidRPr="001A3179">
        <w:rPr>
          <w:shd w:val="clear" w:color="auto" w:fill="FFFFFF"/>
          <w:lang w:val="fr-FR"/>
        </w:rPr>
        <w:t>établissement des rapports, attendu en</w:t>
      </w:r>
      <w:r w:rsidRPr="001A3179">
        <w:rPr>
          <w:lang w:val="fr-FR"/>
        </w:rPr>
        <w:t xml:space="preserve"> 2015</w:t>
      </w:r>
      <w:r w:rsidRPr="002A5EB2">
        <w:rPr>
          <w:rStyle w:val="Appelnotedebasdep"/>
          <w:b w:val="0"/>
          <w:sz w:val="20"/>
          <w:vertAlign w:val="baseline"/>
        </w:rPr>
        <w:footnoteReference w:customMarkFollows="1" w:id="2"/>
        <w:t>*</w:t>
      </w:r>
      <w:r w:rsidRPr="002A5EB2">
        <w:rPr>
          <w:rStyle w:val="Appelnotedebasdep"/>
          <w:b w:val="0"/>
          <w:bCs/>
          <w:position w:val="8"/>
          <w:sz w:val="20"/>
          <w:szCs w:val="22"/>
          <w:vertAlign w:val="subscript"/>
          <w:lang w:val="fr-FR"/>
        </w:rPr>
        <w:t>,</w:t>
      </w:r>
      <w:r w:rsidRPr="002A5EB2">
        <w:rPr>
          <w:rStyle w:val="Appelnotedebasdep"/>
          <w:b w:val="0"/>
          <w:bCs/>
          <w:sz w:val="20"/>
          <w:szCs w:val="22"/>
          <w:vertAlign w:val="baseline"/>
          <w:lang w:val="fr-FR"/>
        </w:rPr>
        <w:t xml:space="preserve"> </w:t>
      </w:r>
      <w:r w:rsidRPr="002A5EB2">
        <w:rPr>
          <w:rStyle w:val="Appelnotedebasdep"/>
          <w:b w:val="0"/>
          <w:bCs/>
          <w:sz w:val="20"/>
          <w:szCs w:val="22"/>
          <w:vertAlign w:val="baseline"/>
        </w:rPr>
        <w:footnoteReference w:customMarkFollows="1" w:id="3"/>
        <w:t>**</w:t>
      </w:r>
    </w:p>
    <w:p w14:paraId="2158116A" w14:textId="77777777" w:rsidR="002A5EB2" w:rsidRPr="001A3179" w:rsidRDefault="002A5EB2" w:rsidP="002A5EB2">
      <w:pPr>
        <w:pStyle w:val="SingleTxtG"/>
        <w:jc w:val="right"/>
        <w:rPr>
          <w:lang w:val="fr-FR"/>
        </w:rPr>
      </w:pPr>
      <w:r w:rsidRPr="001A3179">
        <w:rPr>
          <w:lang w:val="fr-FR"/>
        </w:rPr>
        <w:t>[</w:t>
      </w:r>
      <w:r w:rsidRPr="001A3179">
        <w:rPr>
          <w:rFonts w:eastAsia="Dotum"/>
          <w:lang w:val="fr-FR"/>
        </w:rPr>
        <w:t>Date de réception</w:t>
      </w:r>
      <w:r>
        <w:rPr>
          <w:rFonts w:eastAsia="Dotum"/>
          <w:lang w:val="fr-FR"/>
        </w:rPr>
        <w:t> </w:t>
      </w:r>
      <w:r w:rsidRPr="001A3179">
        <w:rPr>
          <w:lang w:val="fr-FR"/>
        </w:rPr>
        <w:t>: 11 octobre 2019]</w:t>
      </w:r>
    </w:p>
    <w:p w14:paraId="4AA0E394" w14:textId="77777777" w:rsidR="002A5EB2" w:rsidRPr="001A3179" w:rsidRDefault="002A5EB2" w:rsidP="002A5EB2">
      <w:pPr>
        <w:pStyle w:val="HChG"/>
        <w:rPr>
          <w:lang w:val="fr-FR"/>
        </w:rPr>
      </w:pPr>
      <w:r w:rsidRPr="001A3179">
        <w:rPr>
          <w:lang w:val="fr-FR"/>
        </w:rPr>
        <w:br w:type="page"/>
      </w:r>
      <w:r>
        <w:rPr>
          <w:lang w:val="fr-FR"/>
        </w:rPr>
        <w:lastRenderedPageBreak/>
        <w:tab/>
      </w:r>
      <w:r w:rsidRPr="001A3179">
        <w:rPr>
          <w:lang w:val="fr-FR"/>
        </w:rPr>
        <w:t>I.</w:t>
      </w:r>
      <w:r w:rsidRPr="001A3179">
        <w:rPr>
          <w:lang w:val="fr-FR"/>
        </w:rPr>
        <w:tab/>
        <w:t>Introduction</w:t>
      </w:r>
    </w:p>
    <w:p w14:paraId="194776F7" w14:textId="77777777" w:rsidR="002A5EB2" w:rsidRPr="001A3179" w:rsidRDefault="002A5EB2" w:rsidP="002A5EB2">
      <w:pPr>
        <w:pStyle w:val="SingleTxtG"/>
        <w:rPr>
          <w:lang w:val="fr-FR"/>
        </w:rPr>
      </w:pPr>
      <w:r w:rsidRPr="001A3179">
        <w:rPr>
          <w:lang w:val="fr-FR"/>
        </w:rPr>
        <w:t>1.</w:t>
      </w:r>
      <w:r w:rsidRPr="001A3179">
        <w:rPr>
          <w:lang w:val="fr-FR"/>
        </w:rPr>
        <w:tab/>
        <w:t>Conformément aux dispositions du paragraphe 1 de l</w:t>
      </w:r>
      <w:r>
        <w:rPr>
          <w:lang w:val="fr-FR"/>
        </w:rPr>
        <w:t>’</w:t>
      </w:r>
      <w:r w:rsidRPr="001A3179">
        <w:rPr>
          <w:lang w:val="fr-FR"/>
        </w:rPr>
        <w:t>article 19 de la Convention contre la torture et autres peines ou traitements cruels, inhumains ou dégradants, la République de Slovénie, en tant qu</w:t>
      </w:r>
      <w:r>
        <w:rPr>
          <w:lang w:val="fr-FR"/>
        </w:rPr>
        <w:t>’</w:t>
      </w:r>
      <w:r w:rsidRPr="001A3179">
        <w:rPr>
          <w:lang w:val="fr-FR"/>
        </w:rPr>
        <w:t>État partie à la Convention contre la torture, soumet son quatrième rapport sur l</w:t>
      </w:r>
      <w:r>
        <w:rPr>
          <w:lang w:val="fr-FR"/>
        </w:rPr>
        <w:t>’</w:t>
      </w:r>
      <w:r w:rsidRPr="001A3179">
        <w:rPr>
          <w:lang w:val="fr-FR"/>
        </w:rPr>
        <w:t>application de la Convention. Le Gouvernement slovène a adressé son rapport initial au Comité contre la torture en 1999 (</w:t>
      </w:r>
      <w:r>
        <w:rPr>
          <w:lang w:val="fr-FR"/>
        </w:rPr>
        <w:t>a</w:t>
      </w:r>
      <w:r w:rsidRPr="001A3179">
        <w:rPr>
          <w:lang w:val="fr-FR"/>
        </w:rPr>
        <w:t>dditif au rapport initial, examiné en mai 2000), son deuxième rapport périodique en 2001 et son troisième en 2009, ce dernier ayant été examiné par le Comité contre la torture les 10 et 11 mai 2011.</w:t>
      </w:r>
    </w:p>
    <w:p w14:paraId="65AB9F2B" w14:textId="77777777" w:rsidR="002A5EB2" w:rsidRPr="001A3179" w:rsidRDefault="002A5EB2" w:rsidP="002A5EB2">
      <w:pPr>
        <w:pStyle w:val="SingleTxtG"/>
        <w:rPr>
          <w:lang w:val="fr-FR"/>
        </w:rPr>
      </w:pPr>
      <w:r w:rsidRPr="001A3179">
        <w:rPr>
          <w:lang w:val="fr-FR"/>
        </w:rPr>
        <w:t>2.</w:t>
      </w:r>
      <w:r w:rsidRPr="001A3179">
        <w:rPr>
          <w:lang w:val="fr-FR"/>
        </w:rPr>
        <w:tab/>
        <w:t>À sa 46</w:t>
      </w:r>
      <w:r w:rsidRPr="001A3179">
        <w:rPr>
          <w:vertAlign w:val="superscript"/>
          <w:lang w:val="fr-FR"/>
        </w:rPr>
        <w:t>e</w:t>
      </w:r>
      <w:r w:rsidRPr="001A3179">
        <w:rPr>
          <w:lang w:val="fr-FR"/>
        </w:rPr>
        <w:t xml:space="preserve"> session, le 3 juin 2011 le Comité contre la torture a adopté ses observations finales concernant le troisième rapport périodique de la Slovénie. Le quatrième rapport périodique était attendu pour le 3 juin 2015. Le présent rapport périodique couvre la période allant du 11 mai 2011 (date d</w:t>
      </w:r>
      <w:r>
        <w:rPr>
          <w:lang w:val="fr-FR"/>
        </w:rPr>
        <w:t>’</w:t>
      </w:r>
      <w:r w:rsidRPr="001A3179">
        <w:rPr>
          <w:lang w:val="fr-FR"/>
        </w:rPr>
        <w:t>examen du troisième rapport périodique) au 31 août 2018.</w:t>
      </w:r>
    </w:p>
    <w:p w14:paraId="040632BB" w14:textId="77777777" w:rsidR="002A5EB2" w:rsidRPr="001A3179" w:rsidRDefault="002A5EB2" w:rsidP="002A5EB2">
      <w:pPr>
        <w:pStyle w:val="SingleTxtG"/>
        <w:rPr>
          <w:lang w:val="fr-FR"/>
        </w:rPr>
      </w:pPr>
      <w:r w:rsidRPr="001A3179">
        <w:rPr>
          <w:lang w:val="fr-FR"/>
        </w:rPr>
        <w:t>3.</w:t>
      </w:r>
      <w:r w:rsidRPr="001A3179">
        <w:rPr>
          <w:lang w:val="fr-FR"/>
        </w:rPr>
        <w:tab/>
        <w:t>À sa 38</w:t>
      </w:r>
      <w:r w:rsidRPr="001A3179">
        <w:rPr>
          <w:vertAlign w:val="superscript"/>
          <w:lang w:val="fr-FR"/>
        </w:rPr>
        <w:t>e</w:t>
      </w:r>
      <w:r w:rsidRPr="001A3179">
        <w:rPr>
          <w:lang w:val="fr-FR"/>
        </w:rPr>
        <w:t xml:space="preserve"> session (A/62/44, par. 23 et 24), le Comité contre la torture a adopté à titre d</w:t>
      </w:r>
      <w:r>
        <w:rPr>
          <w:lang w:val="fr-FR"/>
        </w:rPr>
        <w:t>’</w:t>
      </w:r>
      <w:r w:rsidRPr="001A3179">
        <w:rPr>
          <w:lang w:val="fr-FR"/>
        </w:rPr>
        <w:t>essai une nouvelle procédure consistant à élaborer et adopter une liste de points à traiter à transmettre aux États parties avant la présentation de leur rapport périodique. Les réponses de l</w:t>
      </w:r>
      <w:r>
        <w:rPr>
          <w:lang w:val="fr-FR"/>
        </w:rPr>
        <w:t>’</w:t>
      </w:r>
      <w:r w:rsidRPr="001A3179">
        <w:rPr>
          <w:lang w:val="fr-FR"/>
        </w:rPr>
        <w:t>État partie et la liste des points à traiter devant être considérées comme le rapport périodique de l</w:t>
      </w:r>
      <w:r>
        <w:rPr>
          <w:lang w:val="fr-FR"/>
        </w:rPr>
        <w:t>’</w:t>
      </w:r>
      <w:r w:rsidRPr="001A3179">
        <w:rPr>
          <w:lang w:val="fr-FR"/>
        </w:rPr>
        <w:t>État partie en vertu de l</w:t>
      </w:r>
      <w:r>
        <w:rPr>
          <w:lang w:val="fr-FR"/>
        </w:rPr>
        <w:t>’</w:t>
      </w:r>
      <w:r w:rsidRPr="001A3179">
        <w:rPr>
          <w:lang w:val="fr-FR"/>
        </w:rPr>
        <w:t>article 19 de la Convention. Dans le présent document figurent des informations spécifiques sur l</w:t>
      </w:r>
      <w:r>
        <w:rPr>
          <w:lang w:val="fr-FR"/>
        </w:rPr>
        <w:t>’</w:t>
      </w:r>
      <w:r w:rsidRPr="001A3179">
        <w:rPr>
          <w:lang w:val="fr-FR"/>
        </w:rPr>
        <w:t xml:space="preserve">application </w:t>
      </w:r>
      <w:r w:rsidRPr="007D119D">
        <w:rPr>
          <w:lang w:val="fr-FR"/>
        </w:rPr>
        <w:t>des articles 1</w:t>
      </w:r>
      <w:r w:rsidRPr="001A3179">
        <w:rPr>
          <w:lang w:val="fr-FR"/>
        </w:rPr>
        <w:t xml:space="preserve"> à 16 de la Convention, y compris en relation avec les précédentes recommandations du Comité.</w:t>
      </w:r>
    </w:p>
    <w:p w14:paraId="7CD4D7F1" w14:textId="77777777" w:rsidR="002A5EB2" w:rsidRPr="001A3179" w:rsidRDefault="002A5EB2" w:rsidP="002A5EB2">
      <w:pPr>
        <w:pStyle w:val="SingleTxtG"/>
        <w:rPr>
          <w:lang w:val="fr-FR"/>
        </w:rPr>
      </w:pPr>
      <w:r w:rsidRPr="001A3179">
        <w:rPr>
          <w:lang w:val="fr-FR"/>
        </w:rPr>
        <w:t>4.</w:t>
      </w:r>
      <w:r w:rsidRPr="001A3179">
        <w:rPr>
          <w:lang w:val="fr-FR"/>
        </w:rPr>
        <w:tab/>
        <w:t>Les autorités ci-après ont participé à l</w:t>
      </w:r>
      <w:r>
        <w:rPr>
          <w:lang w:val="fr-FR"/>
        </w:rPr>
        <w:t>’</w:t>
      </w:r>
      <w:r w:rsidRPr="001A3179">
        <w:rPr>
          <w:lang w:val="fr-FR"/>
        </w:rPr>
        <w:t>élaboration du présent rapport</w:t>
      </w:r>
      <w:r w:rsidR="008F5532">
        <w:rPr>
          <w:lang w:val="fr-FR"/>
        </w:rPr>
        <w:t> </w:t>
      </w:r>
      <w:r w:rsidRPr="001A3179">
        <w:rPr>
          <w:lang w:val="fr-FR"/>
        </w:rPr>
        <w:t>: Ministère de la justice ; Ministère des affaires étrangères ; Ministère de l</w:t>
      </w:r>
      <w:r>
        <w:rPr>
          <w:lang w:val="fr-FR"/>
        </w:rPr>
        <w:t>’</w:t>
      </w:r>
      <w:r w:rsidRPr="001A3179">
        <w:rPr>
          <w:lang w:val="fr-FR"/>
        </w:rPr>
        <w:t>intérieur ; Ministère de la santé ; Ministère du travail, de la famille, des affaires sociales et de l</w:t>
      </w:r>
      <w:r>
        <w:rPr>
          <w:lang w:val="fr-FR"/>
        </w:rPr>
        <w:t>’</w:t>
      </w:r>
      <w:r w:rsidRPr="001A3179">
        <w:rPr>
          <w:lang w:val="fr-FR"/>
        </w:rPr>
        <w:t>égalité des chances</w:t>
      </w:r>
      <w:r w:rsidR="008F5532">
        <w:rPr>
          <w:lang w:val="fr-FR"/>
        </w:rPr>
        <w:t> </w:t>
      </w:r>
      <w:r w:rsidRPr="001A3179">
        <w:rPr>
          <w:lang w:val="fr-FR"/>
        </w:rPr>
        <w:t>; Bureau d</w:t>
      </w:r>
      <w:r>
        <w:rPr>
          <w:lang w:val="fr-FR"/>
        </w:rPr>
        <w:t>’</w:t>
      </w:r>
      <w:r w:rsidRPr="001A3179">
        <w:rPr>
          <w:lang w:val="fr-FR"/>
        </w:rPr>
        <w:t>État pour les minorités nationales ; Médiateur des droits de l</w:t>
      </w:r>
      <w:r>
        <w:rPr>
          <w:lang w:val="fr-FR"/>
        </w:rPr>
        <w:t>’</w:t>
      </w:r>
      <w:r w:rsidRPr="001A3179">
        <w:rPr>
          <w:lang w:val="fr-FR"/>
        </w:rPr>
        <w:t>homme de la République de Slovénie ; Bureau d</w:t>
      </w:r>
      <w:r>
        <w:rPr>
          <w:lang w:val="fr-FR"/>
        </w:rPr>
        <w:t>’</w:t>
      </w:r>
      <w:r w:rsidRPr="001A3179">
        <w:rPr>
          <w:lang w:val="fr-FR"/>
        </w:rPr>
        <w:t>État pour le soutien et l</w:t>
      </w:r>
      <w:r>
        <w:rPr>
          <w:lang w:val="fr-FR"/>
        </w:rPr>
        <w:t>’</w:t>
      </w:r>
      <w:r w:rsidRPr="001A3179">
        <w:rPr>
          <w:lang w:val="fr-FR"/>
        </w:rPr>
        <w:t xml:space="preserve">intégration des migrants ; Cour suprême de la République de Slovénie ; Bureau du Procureur général de la République de Slovénie. Leurs contributions sont résumées dans le présent rapport. Ce document a été affiché sur le site </w:t>
      </w:r>
      <w:r w:rsidR="008F5532">
        <w:rPr>
          <w:lang w:val="fr-FR"/>
        </w:rPr>
        <w:t>W</w:t>
      </w:r>
      <w:r w:rsidRPr="001A3179">
        <w:rPr>
          <w:lang w:val="fr-FR"/>
        </w:rPr>
        <w:t>eb du Ministère de la justice et la possibilité a été offerte de soumettre des commentaires à son sujet pendant un mois</w:t>
      </w:r>
      <w:r w:rsidR="008F5532">
        <w:rPr>
          <w:lang w:val="fr-FR"/>
        </w:rPr>
        <w:t> </w:t>
      </w:r>
      <w:r w:rsidRPr="001A3179">
        <w:rPr>
          <w:lang w:val="fr-FR"/>
        </w:rPr>
        <w:t>; ce document a été de plus envoyé directement aux ONG pour examen. Aucun commentaire n</w:t>
      </w:r>
      <w:r>
        <w:rPr>
          <w:lang w:val="fr-FR"/>
        </w:rPr>
        <w:t>’</w:t>
      </w:r>
      <w:r w:rsidRPr="001A3179">
        <w:rPr>
          <w:lang w:val="fr-FR"/>
        </w:rPr>
        <w:t>a été soumis. Le rapport a été approuvé par le Groupe de travail interministériel pour les droits de l</w:t>
      </w:r>
      <w:r>
        <w:rPr>
          <w:lang w:val="fr-FR"/>
        </w:rPr>
        <w:t>’</w:t>
      </w:r>
      <w:r w:rsidRPr="001A3179">
        <w:rPr>
          <w:lang w:val="fr-FR"/>
        </w:rPr>
        <w:t>homme, organe chargé de coordonner l</w:t>
      </w:r>
      <w:r>
        <w:rPr>
          <w:lang w:val="fr-FR"/>
        </w:rPr>
        <w:t>’</w:t>
      </w:r>
      <w:r w:rsidRPr="001A3179">
        <w:rPr>
          <w:lang w:val="fr-FR"/>
        </w:rPr>
        <w:t>établissement des rapports que la Slovénie est tenue de soumettre en vertu des instruments internationaux relatifs à la protection des droits de l</w:t>
      </w:r>
      <w:r>
        <w:rPr>
          <w:lang w:val="fr-FR"/>
        </w:rPr>
        <w:t>’</w:t>
      </w:r>
      <w:r w:rsidRPr="001A3179">
        <w:rPr>
          <w:lang w:val="fr-FR"/>
        </w:rPr>
        <w:t xml:space="preserve">homme et des libertés fondamentales auxquels elle est </w:t>
      </w:r>
      <w:r>
        <w:rPr>
          <w:lang w:val="fr-FR"/>
        </w:rPr>
        <w:t>p</w:t>
      </w:r>
      <w:r w:rsidRPr="001A3179">
        <w:rPr>
          <w:lang w:val="fr-FR"/>
        </w:rPr>
        <w:t>artie. Le Groupe de travail coordonne en outre l</w:t>
      </w:r>
      <w:r>
        <w:rPr>
          <w:lang w:val="fr-FR"/>
        </w:rPr>
        <w:t>’</w:t>
      </w:r>
      <w:r w:rsidRPr="001A3179">
        <w:rPr>
          <w:lang w:val="fr-FR"/>
        </w:rPr>
        <w:t>établissement des rapports au titre d</w:t>
      </w:r>
      <w:r>
        <w:rPr>
          <w:lang w:val="fr-FR"/>
        </w:rPr>
        <w:t>’</w:t>
      </w:r>
      <w:r w:rsidRPr="001A3179">
        <w:rPr>
          <w:lang w:val="fr-FR"/>
        </w:rPr>
        <w:t>autres mécanismes que les organes conventionnels et surveille le respect des obligations auxquelles a souscrit la Slovénie dans le domaine des droits de l</w:t>
      </w:r>
      <w:r>
        <w:rPr>
          <w:lang w:val="fr-FR"/>
        </w:rPr>
        <w:t>’</w:t>
      </w:r>
      <w:r w:rsidRPr="001A3179">
        <w:rPr>
          <w:lang w:val="fr-FR"/>
        </w:rPr>
        <w:t>homme. Le Groupe de travail est composé de représentants de ministères et de bureaux d</w:t>
      </w:r>
      <w:r>
        <w:rPr>
          <w:lang w:val="fr-FR"/>
        </w:rPr>
        <w:t>’</w:t>
      </w:r>
      <w:r w:rsidRPr="001A3179">
        <w:rPr>
          <w:lang w:val="fr-FR"/>
        </w:rPr>
        <w:t>État ainsi que de la société civile et du monde universitaire.</w:t>
      </w:r>
    </w:p>
    <w:p w14:paraId="0C6D389B" w14:textId="77777777" w:rsidR="002A5EB2" w:rsidRPr="001A3179" w:rsidRDefault="002A5EB2" w:rsidP="00C637D8">
      <w:pPr>
        <w:pStyle w:val="HChG"/>
        <w:rPr>
          <w:lang w:val="fr-FR"/>
        </w:rPr>
      </w:pPr>
      <w:r w:rsidRPr="001A3179">
        <w:rPr>
          <w:lang w:val="fr-FR"/>
        </w:rPr>
        <w:tab/>
        <w:t>II.</w:t>
      </w:r>
      <w:r w:rsidRPr="001A3179">
        <w:rPr>
          <w:lang w:val="fr-FR"/>
        </w:rPr>
        <w:tab/>
        <w:t>Nouvelles informations relatives à l</w:t>
      </w:r>
      <w:r>
        <w:rPr>
          <w:lang w:val="fr-FR"/>
        </w:rPr>
        <w:t>’</w:t>
      </w:r>
      <w:r w:rsidRPr="001A3179">
        <w:rPr>
          <w:lang w:val="fr-FR"/>
        </w:rPr>
        <w:t>application</w:t>
      </w:r>
    </w:p>
    <w:p w14:paraId="5521561E" w14:textId="77777777" w:rsidR="002A5EB2" w:rsidRPr="001A3179" w:rsidRDefault="002A5EB2" w:rsidP="00C637D8">
      <w:pPr>
        <w:pStyle w:val="H1G"/>
        <w:rPr>
          <w:lang w:val="fr-FR"/>
        </w:rPr>
      </w:pPr>
      <w:r w:rsidRPr="001A3179">
        <w:rPr>
          <w:lang w:val="fr-FR"/>
        </w:rPr>
        <w:tab/>
      </w:r>
      <w:r w:rsidRPr="001A3179">
        <w:rPr>
          <w:lang w:val="fr-FR"/>
        </w:rPr>
        <w:tab/>
      </w:r>
      <w:r w:rsidRPr="007D119D">
        <w:rPr>
          <w:lang w:val="fr-FR"/>
        </w:rPr>
        <w:t>Articles 1 et 4</w:t>
      </w:r>
      <w:r w:rsidRPr="001A3179">
        <w:rPr>
          <w:lang w:val="fr-FR"/>
        </w:rPr>
        <w:t xml:space="preserve"> </w:t>
      </w:r>
    </w:p>
    <w:p w14:paraId="7AF1A57F" w14:textId="77777777" w:rsidR="002A5EB2" w:rsidRPr="001A3179" w:rsidRDefault="002A5EB2" w:rsidP="00C637D8">
      <w:pPr>
        <w:pStyle w:val="H23G"/>
        <w:rPr>
          <w:lang w:val="fr-FR"/>
        </w:rPr>
      </w:pPr>
      <w:r w:rsidRPr="001A3179">
        <w:rPr>
          <w:lang w:val="fr-FR"/>
        </w:rPr>
        <w:tab/>
      </w:r>
      <w:r w:rsidRPr="001A3179">
        <w:rPr>
          <w:lang w:val="fr-FR"/>
        </w:rPr>
        <w:tab/>
        <w:t xml:space="preserve">Réponse au paragraphe 1 de la liste </w:t>
      </w:r>
      <w:bookmarkStart w:id="0" w:name="_Hlk38356057"/>
      <w:r w:rsidRPr="001A3179">
        <w:rPr>
          <w:lang w:val="fr-FR"/>
        </w:rPr>
        <w:t xml:space="preserve">des points à traiter </w:t>
      </w:r>
      <w:bookmarkEnd w:id="0"/>
      <w:r w:rsidRPr="001A3179">
        <w:rPr>
          <w:lang w:val="fr-FR"/>
        </w:rPr>
        <w:t>(CAT/C/SVN/QPR/4)</w:t>
      </w:r>
    </w:p>
    <w:p w14:paraId="2366E8DB" w14:textId="77777777" w:rsidR="002A5EB2" w:rsidRPr="001A3179" w:rsidRDefault="002A5EB2" w:rsidP="002A5EB2">
      <w:pPr>
        <w:pStyle w:val="SingleTxtG"/>
        <w:rPr>
          <w:lang w:val="fr-FR"/>
        </w:rPr>
      </w:pPr>
      <w:r w:rsidRPr="001A3179">
        <w:rPr>
          <w:lang w:val="fr-FR"/>
        </w:rPr>
        <w:t>5.</w:t>
      </w:r>
      <w:r w:rsidRPr="001A3179">
        <w:rPr>
          <w:lang w:val="fr-FR"/>
        </w:rPr>
        <w:tab/>
        <w:t xml:space="preserve">En </w:t>
      </w:r>
      <w:r w:rsidRPr="007D119D">
        <w:rPr>
          <w:lang w:val="fr-FR"/>
        </w:rPr>
        <w:t>complément aux informations sur</w:t>
      </w:r>
      <w:r w:rsidRPr="001A3179">
        <w:rPr>
          <w:lang w:val="fr-FR"/>
        </w:rPr>
        <w:t xml:space="preserve"> le Code pénal modifié (KZ-1)</w:t>
      </w:r>
      <w:r w:rsidRPr="0017324C">
        <w:rPr>
          <w:rStyle w:val="Appelnotedebasdep"/>
        </w:rPr>
        <w:footnoteReference w:id="4"/>
      </w:r>
      <w:r w:rsidRPr="001A3179">
        <w:rPr>
          <w:lang w:val="fr-FR"/>
        </w:rPr>
        <w:t xml:space="preserve"> fournies au paragraphe 144 du </w:t>
      </w:r>
      <w:r>
        <w:rPr>
          <w:lang w:val="fr-FR"/>
        </w:rPr>
        <w:t>d</w:t>
      </w:r>
      <w:r w:rsidRPr="001A3179">
        <w:rPr>
          <w:lang w:val="fr-FR"/>
        </w:rPr>
        <w:t>ocument de base commun de la Slovénie (HRI/CORE/SVN/2014, consultable dans la base de données de l</w:t>
      </w:r>
      <w:r>
        <w:rPr>
          <w:lang w:val="fr-FR"/>
        </w:rPr>
        <w:t>’</w:t>
      </w:r>
      <w:r w:rsidRPr="001A3179">
        <w:rPr>
          <w:lang w:val="fr-FR"/>
        </w:rPr>
        <w:t>ONU), il convient de signaler que l</w:t>
      </w:r>
      <w:r>
        <w:rPr>
          <w:lang w:val="fr-FR"/>
        </w:rPr>
        <w:t>’</w:t>
      </w:r>
      <w:r w:rsidRPr="001A3179">
        <w:rPr>
          <w:lang w:val="fr-FR"/>
        </w:rPr>
        <w:t>infraction pénale de torture, auparavant inscrite dans le chapitre consacré aux infractions pénales contre les fonctions et les pouvoirs officiels a été transférée à un chapitre plus approprié dans l</w:t>
      </w:r>
      <w:r>
        <w:rPr>
          <w:lang w:val="fr-FR"/>
        </w:rPr>
        <w:t>’</w:t>
      </w:r>
      <w:r w:rsidRPr="001A3179">
        <w:rPr>
          <w:lang w:val="fr-FR"/>
        </w:rPr>
        <w:t>optique de la protection des valeurs que sont l</w:t>
      </w:r>
      <w:r>
        <w:rPr>
          <w:lang w:val="fr-FR"/>
        </w:rPr>
        <w:t>’</w:t>
      </w:r>
      <w:r w:rsidRPr="001A3179">
        <w:rPr>
          <w:lang w:val="fr-FR"/>
        </w:rPr>
        <w:t>intégrité et la dignité humaines, à savoir au chapitre d</w:t>
      </w:r>
      <w:r>
        <w:rPr>
          <w:lang w:val="fr-FR"/>
        </w:rPr>
        <w:t>’</w:t>
      </w:r>
      <w:r w:rsidRPr="001A3179">
        <w:rPr>
          <w:lang w:val="fr-FR"/>
        </w:rPr>
        <w:t xml:space="preserve">un rang hiérarchique supérieur consacré aux infractions pénales contre </w:t>
      </w:r>
      <w:r w:rsidRPr="001A3179">
        <w:rPr>
          <w:lang w:val="fr-FR"/>
        </w:rPr>
        <w:lastRenderedPageBreak/>
        <w:t>les droits de l</w:t>
      </w:r>
      <w:r>
        <w:rPr>
          <w:lang w:val="fr-FR"/>
        </w:rPr>
        <w:t>’</w:t>
      </w:r>
      <w:r w:rsidRPr="001A3179">
        <w:rPr>
          <w:lang w:val="fr-FR"/>
        </w:rPr>
        <w:t>homme et les libertés fondamentales. Une infraction peut être commise sous sa forme fondamentale par toute personne. La Slovénie a ainsi suivi l</w:t>
      </w:r>
      <w:r>
        <w:rPr>
          <w:lang w:val="fr-FR"/>
        </w:rPr>
        <w:t>’</w:t>
      </w:r>
      <w:r w:rsidRPr="001A3179">
        <w:rPr>
          <w:lang w:val="fr-FR"/>
        </w:rPr>
        <w:t>approche de la doctrine moderne, selon laquelle la violation des droits de l</w:t>
      </w:r>
      <w:r>
        <w:rPr>
          <w:lang w:val="fr-FR"/>
        </w:rPr>
        <w:t>’</w:t>
      </w:r>
      <w:r w:rsidRPr="001A3179">
        <w:rPr>
          <w:lang w:val="fr-FR"/>
        </w:rPr>
        <w:t>homme que constitue la torture doit être incriminée sans considération du statut du perpétrateur. Le champ des perpétrateurs potentiels a été élargi pour inclure non seulement toute autre personne ayant un statut officiel mais aussi toute personne investie de pouvoirs officiels, ce qui a permis de définir pénalement en termes plus clairs l</w:t>
      </w:r>
      <w:r>
        <w:rPr>
          <w:lang w:val="fr-FR"/>
        </w:rPr>
        <w:t>’</w:t>
      </w:r>
      <w:r w:rsidRPr="001A3179">
        <w:rPr>
          <w:lang w:val="fr-FR"/>
        </w:rPr>
        <w:t>infraction de torture.</w:t>
      </w:r>
    </w:p>
    <w:p w14:paraId="3DFFECCE" w14:textId="77777777" w:rsidR="002A5EB2" w:rsidRPr="001A3179" w:rsidRDefault="002A5EB2" w:rsidP="002A5EB2">
      <w:pPr>
        <w:pStyle w:val="SingleTxtG"/>
        <w:rPr>
          <w:lang w:val="fr-FR"/>
        </w:rPr>
      </w:pPr>
      <w:bookmarkStart w:id="1" w:name="_Hlk21432316"/>
      <w:r w:rsidRPr="001A3179">
        <w:rPr>
          <w:lang w:val="fr-FR"/>
        </w:rPr>
        <w:t>6.</w:t>
      </w:r>
      <w:r w:rsidRPr="001A3179">
        <w:rPr>
          <w:lang w:val="fr-FR"/>
        </w:rPr>
        <w:tab/>
      </w:r>
      <w:bookmarkEnd w:id="1"/>
      <w:r w:rsidRPr="001A3179">
        <w:rPr>
          <w:lang w:val="fr-FR"/>
        </w:rPr>
        <w:t xml:space="preserve">Le nouvel article 135a du </w:t>
      </w:r>
      <w:bookmarkStart w:id="2" w:name="_Hlk37755623"/>
      <w:r w:rsidRPr="001A3179">
        <w:rPr>
          <w:lang w:val="fr-FR"/>
        </w:rPr>
        <w:t xml:space="preserve">Code pénal modifié </w:t>
      </w:r>
      <w:bookmarkEnd w:id="2"/>
      <w:r w:rsidRPr="001A3179">
        <w:rPr>
          <w:lang w:val="fr-FR"/>
        </w:rPr>
        <w:t>incrimine la torture et toute autre forme de traitement cruel (le texte de cet article figure à l</w:t>
      </w:r>
      <w:r>
        <w:rPr>
          <w:lang w:val="fr-FR"/>
        </w:rPr>
        <w:t>’a</w:t>
      </w:r>
      <w:r w:rsidRPr="001A3179">
        <w:rPr>
          <w:lang w:val="fr-FR"/>
        </w:rPr>
        <w:t>nnexe</w:t>
      </w:r>
      <w:r w:rsidR="008F5532">
        <w:rPr>
          <w:lang w:val="fr-FR"/>
        </w:rPr>
        <w:t> </w:t>
      </w:r>
      <w:r w:rsidRPr="001A3179">
        <w:rPr>
          <w:lang w:val="fr-FR"/>
        </w:rPr>
        <w:t>1).</w:t>
      </w:r>
    </w:p>
    <w:p w14:paraId="1E2C6D1C" w14:textId="77777777" w:rsidR="002A5EB2" w:rsidRPr="001A3179" w:rsidRDefault="002A5EB2" w:rsidP="002A5EB2">
      <w:pPr>
        <w:pStyle w:val="SingleTxtG"/>
        <w:rPr>
          <w:bCs/>
          <w:lang w:val="fr-FR"/>
        </w:rPr>
      </w:pPr>
      <w:r w:rsidRPr="001A3179">
        <w:rPr>
          <w:lang w:val="fr-FR"/>
        </w:rPr>
        <w:t>7.</w:t>
      </w:r>
      <w:r w:rsidRPr="001A3179">
        <w:rPr>
          <w:lang w:val="fr-FR"/>
        </w:rPr>
        <w:tab/>
        <w:t>Au sujet de la prescription, la Slovénie tient à faire savoir au Comité qu</w:t>
      </w:r>
      <w:r>
        <w:rPr>
          <w:lang w:val="fr-FR"/>
        </w:rPr>
        <w:t>’</w:t>
      </w:r>
      <w:r w:rsidRPr="001A3179">
        <w:rPr>
          <w:lang w:val="fr-FR"/>
        </w:rPr>
        <w:t>elle a examiné cette question tout en estimant qu</w:t>
      </w:r>
      <w:r>
        <w:rPr>
          <w:lang w:val="fr-FR"/>
        </w:rPr>
        <w:t>’</w:t>
      </w:r>
      <w:r w:rsidRPr="001A3179">
        <w:rPr>
          <w:lang w:val="fr-FR"/>
        </w:rPr>
        <w:t xml:space="preserve">aucune obligation en la matière ne découle de la Convention en ce que son texte ne contient aucune disposition expresse dans ce sens ; dans les </w:t>
      </w:r>
      <w:r w:rsidRPr="001A3179">
        <w:rPr>
          <w:i/>
          <w:iCs/>
          <w:lang w:val="fr-FR"/>
        </w:rPr>
        <w:t>Travaux préparatoires</w:t>
      </w:r>
      <w:r w:rsidRPr="001A3179">
        <w:rPr>
          <w:lang w:val="fr-FR"/>
        </w:rPr>
        <w:t xml:space="preserve"> il est certes consigné qu</w:t>
      </w:r>
      <w:r>
        <w:rPr>
          <w:lang w:val="fr-FR"/>
        </w:rPr>
        <w:t>’</w:t>
      </w:r>
      <w:r w:rsidRPr="001A3179">
        <w:rPr>
          <w:lang w:val="fr-FR"/>
        </w:rPr>
        <w:t>une proposition spécifique tendant à fixer le délai de prescription le plus long possible pour les infractions pénales de torture et autres traitements cruels a été présentée, mais cette proposition n</w:t>
      </w:r>
      <w:r>
        <w:rPr>
          <w:lang w:val="fr-FR"/>
        </w:rPr>
        <w:t>’</w:t>
      </w:r>
      <w:r w:rsidRPr="001A3179">
        <w:rPr>
          <w:lang w:val="fr-FR"/>
        </w:rPr>
        <w:t>a pas été retenue (proposition relative à l</w:t>
      </w:r>
      <w:r>
        <w:rPr>
          <w:lang w:val="fr-FR"/>
        </w:rPr>
        <w:t>’</w:t>
      </w:r>
      <w:r w:rsidRPr="001A3179">
        <w:rPr>
          <w:lang w:val="fr-FR"/>
        </w:rPr>
        <w:t>article</w:t>
      </w:r>
      <w:r w:rsidR="008F5532">
        <w:rPr>
          <w:lang w:val="fr-FR"/>
        </w:rPr>
        <w:t> </w:t>
      </w:r>
      <w:r w:rsidRPr="001A3179">
        <w:rPr>
          <w:lang w:val="fr-FR"/>
        </w:rPr>
        <w:t>VIII de l</w:t>
      </w:r>
      <w:r>
        <w:rPr>
          <w:lang w:val="fr-FR"/>
        </w:rPr>
        <w:t>’</w:t>
      </w:r>
      <w:r w:rsidRPr="001A3179">
        <w:rPr>
          <w:lang w:val="fr-FR"/>
        </w:rPr>
        <w:t>époque)</w:t>
      </w:r>
      <w:r w:rsidRPr="0017324C">
        <w:rPr>
          <w:rStyle w:val="Appelnotedebasdep"/>
        </w:rPr>
        <w:footnoteReference w:id="5"/>
      </w:r>
      <w:r w:rsidRPr="001A3179">
        <w:rPr>
          <w:lang w:val="fr-FR"/>
        </w:rPr>
        <w:t>.</w:t>
      </w:r>
    </w:p>
    <w:p w14:paraId="29628F95" w14:textId="77777777" w:rsidR="002A5EB2" w:rsidRPr="001A3179" w:rsidRDefault="002A5EB2" w:rsidP="002A5EB2">
      <w:pPr>
        <w:pStyle w:val="SingleTxtG"/>
        <w:rPr>
          <w:lang w:val="fr-FR"/>
        </w:rPr>
      </w:pPr>
      <w:r w:rsidRPr="001A3179">
        <w:rPr>
          <w:lang w:val="fr-FR"/>
        </w:rPr>
        <w:t>8.</w:t>
      </w:r>
      <w:r w:rsidRPr="001A3179">
        <w:rPr>
          <w:lang w:val="fr-FR"/>
        </w:rPr>
        <w:tab/>
        <w:t>L</w:t>
      </w:r>
      <w:r>
        <w:rPr>
          <w:lang w:val="fr-FR"/>
        </w:rPr>
        <w:t>’</w:t>
      </w:r>
      <w:r w:rsidRPr="001A3179">
        <w:rPr>
          <w:lang w:val="fr-FR"/>
        </w:rPr>
        <w:t>infraction pénale de torture visée à l</w:t>
      </w:r>
      <w:r>
        <w:rPr>
          <w:lang w:val="fr-FR"/>
        </w:rPr>
        <w:t>’</w:t>
      </w:r>
      <w:r w:rsidRPr="001A3179">
        <w:rPr>
          <w:lang w:val="fr-FR"/>
        </w:rPr>
        <w:t>article 135a du Code pénal modifié est soumise aux règles générales de prescription en matière de poursuites pénales ou d</w:t>
      </w:r>
      <w:r>
        <w:rPr>
          <w:lang w:val="fr-FR"/>
        </w:rPr>
        <w:t>’</w:t>
      </w:r>
      <w:r w:rsidRPr="001A3179">
        <w:rPr>
          <w:lang w:val="fr-FR"/>
        </w:rPr>
        <w:t xml:space="preserve">exécution des peines, qui sont énoncées aux </w:t>
      </w:r>
      <w:bookmarkStart w:id="3" w:name="_Hlk37757063"/>
      <w:r w:rsidRPr="001A3179">
        <w:rPr>
          <w:lang w:val="fr-FR"/>
        </w:rPr>
        <w:t>articles 90 et 92 du Code pénal</w:t>
      </w:r>
      <w:bookmarkEnd w:id="3"/>
      <w:r w:rsidR="008F5532">
        <w:rPr>
          <w:lang w:val="fr-FR"/>
        </w:rPr>
        <w:t xml:space="preserve"> </w:t>
      </w:r>
      <w:r w:rsidRPr="001A3179">
        <w:rPr>
          <w:lang w:val="fr-FR"/>
        </w:rPr>
        <w:t>modifié et en application desquelles les poursuites pénales et l</w:t>
      </w:r>
      <w:r>
        <w:rPr>
          <w:lang w:val="fr-FR"/>
        </w:rPr>
        <w:t>’</w:t>
      </w:r>
      <w:r w:rsidRPr="001A3179">
        <w:rPr>
          <w:lang w:val="fr-FR"/>
        </w:rPr>
        <w:t xml:space="preserve">exécution de la peine du chef de ladite infraction pénale ne sont plus autorisées si </w:t>
      </w:r>
      <w:r w:rsidR="008F5532">
        <w:rPr>
          <w:lang w:val="fr-FR"/>
        </w:rPr>
        <w:t>vingt</w:t>
      </w:r>
      <w:r w:rsidRPr="001A3179">
        <w:rPr>
          <w:lang w:val="fr-FR"/>
        </w:rPr>
        <w:t xml:space="preserve"> ans (ou </w:t>
      </w:r>
      <w:r w:rsidR="008F5532">
        <w:rPr>
          <w:lang w:val="fr-FR"/>
        </w:rPr>
        <w:t>trente</w:t>
      </w:r>
      <w:r w:rsidRPr="001A3179">
        <w:rPr>
          <w:lang w:val="fr-FR"/>
        </w:rPr>
        <w:t xml:space="preserve"> si l</w:t>
      </w:r>
      <w:r>
        <w:rPr>
          <w:lang w:val="fr-FR"/>
        </w:rPr>
        <w:t>’</w:t>
      </w:r>
      <w:r w:rsidRPr="001A3179">
        <w:rPr>
          <w:lang w:val="fr-FR"/>
        </w:rPr>
        <w:t>infraction a été commise par une personne dotée d</w:t>
      </w:r>
      <w:r>
        <w:rPr>
          <w:lang w:val="fr-FR"/>
        </w:rPr>
        <w:t>’</w:t>
      </w:r>
      <w:r w:rsidRPr="001A3179">
        <w:rPr>
          <w:lang w:val="fr-FR"/>
        </w:rPr>
        <w:t>un statut officiel) se sont écoulés depuis la commission de l</w:t>
      </w:r>
      <w:r>
        <w:rPr>
          <w:lang w:val="fr-FR"/>
        </w:rPr>
        <w:t>’</w:t>
      </w:r>
      <w:r w:rsidRPr="001A3179">
        <w:rPr>
          <w:lang w:val="fr-FR"/>
        </w:rPr>
        <w:t>infraction ou la reconnaissance de culpabilité. Si les actes de torture ont été commis dans le cadre d</w:t>
      </w:r>
      <w:r>
        <w:rPr>
          <w:lang w:val="fr-FR"/>
        </w:rPr>
        <w:t>’</w:t>
      </w:r>
      <w:r w:rsidRPr="001A3179">
        <w:rPr>
          <w:lang w:val="fr-FR"/>
        </w:rPr>
        <w:t>un crime contre l</w:t>
      </w:r>
      <w:r>
        <w:rPr>
          <w:lang w:val="fr-FR"/>
        </w:rPr>
        <w:t>’</w:t>
      </w:r>
      <w:r w:rsidRPr="001A3179">
        <w:rPr>
          <w:lang w:val="fr-FR"/>
        </w:rPr>
        <w:t>humanité tombant sous le coup de l</w:t>
      </w:r>
      <w:r>
        <w:rPr>
          <w:lang w:val="fr-FR"/>
        </w:rPr>
        <w:t>’</w:t>
      </w:r>
      <w:r w:rsidRPr="001A3179">
        <w:rPr>
          <w:lang w:val="fr-FR"/>
        </w:rPr>
        <w:t>article 101 du Code pénal modifié ou d</w:t>
      </w:r>
      <w:r>
        <w:rPr>
          <w:lang w:val="fr-FR"/>
        </w:rPr>
        <w:t>’</w:t>
      </w:r>
      <w:r w:rsidRPr="001A3179">
        <w:rPr>
          <w:lang w:val="fr-FR"/>
        </w:rPr>
        <w:t>un crime de guerre tombant sous le coup de l</w:t>
      </w:r>
      <w:r>
        <w:rPr>
          <w:lang w:val="fr-FR"/>
        </w:rPr>
        <w:t>’</w:t>
      </w:r>
      <w:r w:rsidRPr="001A3179">
        <w:rPr>
          <w:lang w:val="fr-FR"/>
        </w:rPr>
        <w:t>article 102 dudit Code, ils constituent un crime imprescriptible. À ce propos, il convient de souligner que le Code pénal entré en vigueur le 1</w:t>
      </w:r>
      <w:r w:rsidRPr="001A3179">
        <w:rPr>
          <w:vertAlign w:val="superscript"/>
          <w:lang w:val="fr-FR"/>
        </w:rPr>
        <w:t>er</w:t>
      </w:r>
      <w:r w:rsidRPr="001A3179">
        <w:rPr>
          <w:lang w:val="fr-FR"/>
        </w:rPr>
        <w:t xml:space="preserve"> novembre 2008 avait doublé la durée du délai de prescription</w:t>
      </w:r>
      <w:r w:rsidRPr="0017324C">
        <w:rPr>
          <w:rStyle w:val="Appelnotedebasdep"/>
        </w:rPr>
        <w:footnoteReference w:id="6"/>
      </w:r>
      <w:r w:rsidRPr="001A3179">
        <w:rPr>
          <w:lang w:val="fr-FR"/>
        </w:rPr>
        <w:t>. La Slovénie estime qu</w:t>
      </w:r>
      <w:r>
        <w:rPr>
          <w:lang w:val="fr-FR"/>
        </w:rPr>
        <w:t>’</w:t>
      </w:r>
      <w:r w:rsidRPr="001A3179">
        <w:rPr>
          <w:lang w:val="fr-FR"/>
        </w:rPr>
        <w:t>avec les modifications les plus récentes la durée du délai de prescription en la matière a été portée à un seuil demeurant compatible avec son ordre constitutionnel, eu égard au principe fondamental de proportionnalité énoncé à l</w:t>
      </w:r>
      <w:r>
        <w:rPr>
          <w:lang w:val="fr-FR"/>
        </w:rPr>
        <w:t>’</w:t>
      </w:r>
      <w:r w:rsidRPr="001A3179">
        <w:rPr>
          <w:lang w:val="fr-FR"/>
        </w:rPr>
        <w:t>article</w:t>
      </w:r>
      <w:r w:rsidR="008F5532">
        <w:rPr>
          <w:lang w:val="fr-FR"/>
        </w:rPr>
        <w:t> </w:t>
      </w:r>
      <w:r w:rsidRPr="001A3179">
        <w:rPr>
          <w:lang w:val="fr-FR"/>
        </w:rPr>
        <w:t>2 et au paragraphe 3 de l</w:t>
      </w:r>
      <w:r>
        <w:rPr>
          <w:lang w:val="fr-FR"/>
        </w:rPr>
        <w:t>’</w:t>
      </w:r>
      <w:r w:rsidRPr="001A3179">
        <w:rPr>
          <w:lang w:val="fr-FR"/>
        </w:rPr>
        <w:t>article 15 de la Constitution slovène</w:t>
      </w:r>
      <w:r w:rsidRPr="0017324C">
        <w:rPr>
          <w:rStyle w:val="Appelnotedebasdep"/>
        </w:rPr>
        <w:footnoteReference w:id="7"/>
      </w:r>
      <w:r w:rsidRPr="001A3179">
        <w:rPr>
          <w:lang w:val="fr-FR"/>
        </w:rPr>
        <w:t>. Il faut aussi avoir à l</w:t>
      </w:r>
      <w:r>
        <w:rPr>
          <w:lang w:val="fr-FR"/>
        </w:rPr>
        <w:t>’</w:t>
      </w:r>
      <w:r w:rsidRPr="001A3179">
        <w:rPr>
          <w:lang w:val="fr-FR"/>
        </w:rPr>
        <w:t>esprit que dans le système juridique de la Slovénie la durée du délai de prescription est fixée selon la sévérité de la peine emportée par l</w:t>
      </w:r>
      <w:r>
        <w:rPr>
          <w:lang w:val="fr-FR"/>
        </w:rPr>
        <w:t>’</w:t>
      </w:r>
      <w:r w:rsidRPr="001A3179">
        <w:rPr>
          <w:lang w:val="fr-FR"/>
        </w:rPr>
        <w:t>infraction pénale en cause, compte tenu en particulier de la gravité ou de la nature de l</w:t>
      </w:r>
      <w:r>
        <w:rPr>
          <w:lang w:val="fr-FR"/>
        </w:rPr>
        <w:t>’</w:t>
      </w:r>
      <w:r w:rsidRPr="001A3179">
        <w:rPr>
          <w:lang w:val="fr-FR"/>
        </w:rPr>
        <w:t>infraction (ou indirectement en fonction des biens juridiques protégés par le droit pénal)</w:t>
      </w:r>
      <w:r w:rsidR="008F5532">
        <w:rPr>
          <w:lang w:val="fr-FR"/>
        </w:rPr>
        <w:t> </w:t>
      </w:r>
      <w:r w:rsidRPr="001A3179">
        <w:rPr>
          <w:lang w:val="fr-FR"/>
        </w:rPr>
        <w:t xml:space="preserve">; </w:t>
      </w:r>
      <w:r w:rsidRPr="00FD0853">
        <w:rPr>
          <w:lang w:val="fr-FR"/>
        </w:rPr>
        <w:t>apporter dans le système des modifications de la durée du délai de prescription « poussant » le corpus de règles</w:t>
      </w:r>
      <w:r w:rsidRPr="001A3179">
        <w:rPr>
          <w:lang w:val="fr-FR"/>
        </w:rPr>
        <w:t xml:space="preserve"> vers l</w:t>
      </w:r>
      <w:r>
        <w:rPr>
          <w:lang w:val="fr-FR"/>
        </w:rPr>
        <w:t>’</w:t>
      </w:r>
      <w:r w:rsidRPr="001A3179">
        <w:rPr>
          <w:lang w:val="fr-FR"/>
        </w:rPr>
        <w:t>une ou l</w:t>
      </w:r>
      <w:r>
        <w:rPr>
          <w:lang w:val="fr-FR"/>
        </w:rPr>
        <w:t>’</w:t>
      </w:r>
      <w:r w:rsidRPr="001A3179">
        <w:rPr>
          <w:lang w:val="fr-FR"/>
        </w:rPr>
        <w:t>autre extrémité de l</w:t>
      </w:r>
      <w:r>
        <w:rPr>
          <w:lang w:val="fr-FR"/>
        </w:rPr>
        <w:t>’</w:t>
      </w:r>
      <w:r w:rsidRPr="001A3179">
        <w:rPr>
          <w:lang w:val="fr-FR"/>
        </w:rPr>
        <w:t>échelle n</w:t>
      </w:r>
      <w:r>
        <w:rPr>
          <w:lang w:val="fr-FR"/>
        </w:rPr>
        <w:t>’</w:t>
      </w:r>
      <w:r w:rsidRPr="001A3179">
        <w:rPr>
          <w:lang w:val="fr-FR"/>
        </w:rPr>
        <w:t>est donc pas possible. La Slovénie estime que le nouveau Code pénal a apporté une modification appropriée.</w:t>
      </w:r>
    </w:p>
    <w:p w14:paraId="452B1AC0" w14:textId="77777777" w:rsidR="002A5EB2" w:rsidRPr="001A3179" w:rsidRDefault="002A5EB2" w:rsidP="00C637D8">
      <w:pPr>
        <w:pStyle w:val="H1G"/>
        <w:rPr>
          <w:lang w:val="fr-FR"/>
        </w:rPr>
      </w:pPr>
      <w:r w:rsidRPr="001A3179">
        <w:rPr>
          <w:lang w:val="fr-FR"/>
        </w:rPr>
        <w:lastRenderedPageBreak/>
        <w:tab/>
      </w:r>
      <w:r w:rsidRPr="001A3179">
        <w:rPr>
          <w:lang w:val="fr-FR"/>
        </w:rPr>
        <w:tab/>
        <w:t>Article 2</w:t>
      </w:r>
      <w:r w:rsidRPr="007F4F65">
        <w:rPr>
          <w:rStyle w:val="Appelnotedebasdep"/>
          <w:b w:val="0"/>
        </w:rPr>
        <w:footnoteReference w:id="8"/>
      </w:r>
    </w:p>
    <w:p w14:paraId="21AE0680" w14:textId="77777777" w:rsidR="002A5EB2" w:rsidRPr="001A3179" w:rsidRDefault="002A5EB2" w:rsidP="00C637D8">
      <w:pPr>
        <w:pStyle w:val="H23G"/>
        <w:rPr>
          <w:lang w:val="fr-FR"/>
        </w:rPr>
      </w:pPr>
      <w:r w:rsidRPr="001A3179">
        <w:rPr>
          <w:lang w:val="fr-FR"/>
        </w:rPr>
        <w:tab/>
      </w:r>
      <w:r w:rsidRPr="001A3179">
        <w:rPr>
          <w:lang w:val="fr-FR"/>
        </w:rPr>
        <w:tab/>
        <w:t>Réponse au paragraphe 2 de la liste des points à traiter</w:t>
      </w:r>
    </w:p>
    <w:p w14:paraId="2C3C32AB" w14:textId="77777777" w:rsidR="002A5EB2" w:rsidRPr="001A3179" w:rsidRDefault="002A5EB2" w:rsidP="002A5EB2">
      <w:pPr>
        <w:pStyle w:val="SingleTxtG"/>
        <w:rPr>
          <w:lang w:val="fr-FR"/>
        </w:rPr>
      </w:pPr>
      <w:r w:rsidRPr="001A3179">
        <w:rPr>
          <w:lang w:val="fr-FR"/>
        </w:rPr>
        <w:t>9.</w:t>
      </w:r>
      <w:r w:rsidRPr="001A3179">
        <w:rPr>
          <w:lang w:val="fr-FR"/>
        </w:rPr>
        <w:tab/>
        <w:t>Le Code de procédure pénale</w:t>
      </w:r>
      <w:r w:rsidRPr="0017324C">
        <w:rPr>
          <w:rStyle w:val="Appelnotedebasdep"/>
        </w:rPr>
        <w:footnoteReference w:id="9"/>
      </w:r>
      <w:r w:rsidRPr="001A3179">
        <w:rPr>
          <w:lang w:val="fr-FR"/>
        </w:rPr>
        <w:t xml:space="preserve"> prévoit la possibilité, mais non l</w:t>
      </w:r>
      <w:r>
        <w:rPr>
          <w:lang w:val="fr-FR"/>
        </w:rPr>
        <w:t>’</w:t>
      </w:r>
      <w:r w:rsidRPr="001A3179">
        <w:rPr>
          <w:lang w:val="fr-FR"/>
        </w:rPr>
        <w:t>obligation, d</w:t>
      </w:r>
      <w:r>
        <w:rPr>
          <w:lang w:val="fr-FR"/>
        </w:rPr>
        <w:t>’</w:t>
      </w:r>
      <w:r w:rsidRPr="001A3179">
        <w:rPr>
          <w:lang w:val="fr-FR"/>
        </w:rPr>
        <w:t>enregistrer les interrogatoires des suspects. Son article 84 dispose que le juge d</w:t>
      </w:r>
      <w:r>
        <w:rPr>
          <w:lang w:val="fr-FR"/>
        </w:rPr>
        <w:t>’</w:t>
      </w:r>
      <w:r w:rsidRPr="001A3179">
        <w:rPr>
          <w:lang w:val="fr-FR"/>
        </w:rPr>
        <w:t>instruction peut ordonner que les actes d</w:t>
      </w:r>
      <w:r>
        <w:rPr>
          <w:lang w:val="fr-FR"/>
        </w:rPr>
        <w:t>’</w:t>
      </w:r>
      <w:r w:rsidRPr="001A3179">
        <w:rPr>
          <w:lang w:val="fr-FR"/>
        </w:rPr>
        <w:t>enquête, y compris l</w:t>
      </w:r>
      <w:r>
        <w:rPr>
          <w:lang w:val="fr-FR"/>
        </w:rPr>
        <w:t>’</w:t>
      </w:r>
      <w:r w:rsidRPr="001A3179">
        <w:rPr>
          <w:lang w:val="fr-FR"/>
        </w:rPr>
        <w:t>interrogatoire d</w:t>
      </w:r>
      <w:r>
        <w:rPr>
          <w:lang w:val="fr-FR"/>
        </w:rPr>
        <w:t>’</w:t>
      </w:r>
      <w:r w:rsidRPr="001A3179">
        <w:rPr>
          <w:lang w:val="fr-FR"/>
        </w:rPr>
        <w:t>un suspect, soient enregistrés sur un support audio ou vidéo approprié. Le juge d</w:t>
      </w:r>
      <w:r>
        <w:rPr>
          <w:lang w:val="fr-FR"/>
        </w:rPr>
        <w:t>’</w:t>
      </w:r>
      <w:r w:rsidRPr="001A3179">
        <w:rPr>
          <w:lang w:val="fr-FR"/>
        </w:rPr>
        <w:t>instruction est tenu d</w:t>
      </w:r>
      <w:r>
        <w:rPr>
          <w:lang w:val="fr-FR"/>
        </w:rPr>
        <w:t>’</w:t>
      </w:r>
      <w:r w:rsidRPr="001A3179">
        <w:rPr>
          <w:lang w:val="fr-FR"/>
        </w:rPr>
        <w:t>informer à l</w:t>
      </w:r>
      <w:r>
        <w:rPr>
          <w:lang w:val="fr-FR"/>
        </w:rPr>
        <w:t>’</w:t>
      </w:r>
      <w:r w:rsidRPr="001A3179">
        <w:rPr>
          <w:lang w:val="fr-FR"/>
        </w:rPr>
        <w:t>avance la personne à interroger qu</w:t>
      </w:r>
      <w:r>
        <w:rPr>
          <w:lang w:val="fr-FR"/>
        </w:rPr>
        <w:t>’</w:t>
      </w:r>
      <w:r w:rsidRPr="001A3179">
        <w:rPr>
          <w:lang w:val="fr-FR"/>
        </w:rPr>
        <w:t>il sera procédé à un enregistrement.</w:t>
      </w:r>
    </w:p>
    <w:p w14:paraId="1C709F9E" w14:textId="77777777" w:rsidR="002A5EB2" w:rsidRPr="001A3179" w:rsidRDefault="002A5EB2" w:rsidP="002A5EB2">
      <w:pPr>
        <w:pStyle w:val="SingleTxtG"/>
        <w:rPr>
          <w:lang w:val="fr-FR"/>
        </w:rPr>
      </w:pPr>
      <w:r w:rsidRPr="001A3179">
        <w:rPr>
          <w:lang w:val="fr-FR"/>
        </w:rPr>
        <w:t>10.</w:t>
      </w:r>
      <w:r w:rsidRPr="001A3179">
        <w:rPr>
          <w:lang w:val="fr-FR"/>
        </w:rPr>
        <w:tab/>
        <w:t>Le paragraphe 6 de l</w:t>
      </w:r>
      <w:r>
        <w:rPr>
          <w:lang w:val="fr-FR"/>
        </w:rPr>
        <w:t>’</w:t>
      </w:r>
      <w:r w:rsidRPr="001A3179">
        <w:rPr>
          <w:lang w:val="fr-FR"/>
        </w:rPr>
        <w:t>article 148 et le paragraphe 2 de l</w:t>
      </w:r>
      <w:r>
        <w:rPr>
          <w:lang w:val="fr-FR"/>
        </w:rPr>
        <w:t>’</w:t>
      </w:r>
      <w:r w:rsidRPr="001A3179">
        <w:rPr>
          <w:lang w:val="fr-FR"/>
        </w:rPr>
        <w:t>article 148a du Code de procédure pénale prévoient la possibilité de procéder à l</w:t>
      </w:r>
      <w:r>
        <w:rPr>
          <w:lang w:val="fr-FR"/>
        </w:rPr>
        <w:t>’</w:t>
      </w:r>
      <w:r w:rsidRPr="001A3179">
        <w:rPr>
          <w:lang w:val="fr-FR"/>
        </w:rPr>
        <w:t>enregistrement sur un support audio ou vidéo approprié de l</w:t>
      </w:r>
      <w:r>
        <w:rPr>
          <w:lang w:val="fr-FR"/>
        </w:rPr>
        <w:t>’</w:t>
      </w:r>
      <w:r w:rsidRPr="001A3179">
        <w:rPr>
          <w:lang w:val="fr-FR"/>
        </w:rPr>
        <w:t>interrogatoire par la police d</w:t>
      </w:r>
      <w:r>
        <w:rPr>
          <w:lang w:val="fr-FR"/>
        </w:rPr>
        <w:t>’</w:t>
      </w:r>
      <w:r w:rsidRPr="001A3179">
        <w:rPr>
          <w:lang w:val="fr-FR"/>
        </w:rPr>
        <w:t>un suspect après notification à l</w:t>
      </w:r>
      <w:r>
        <w:rPr>
          <w:lang w:val="fr-FR"/>
        </w:rPr>
        <w:t>’</w:t>
      </w:r>
      <w:r w:rsidRPr="001A3179">
        <w:rPr>
          <w:lang w:val="fr-FR"/>
        </w:rPr>
        <w:t>intéressé. Cette option a été introduite dans le droit slovène par une modification à cet effet apportée au Code de procédure pénale</w:t>
      </w:r>
      <w:r w:rsidRPr="0017324C">
        <w:rPr>
          <w:rStyle w:val="Appelnotedebasdep"/>
        </w:rPr>
        <w:footnoteReference w:id="10"/>
      </w:r>
      <w:r w:rsidRPr="001A3179">
        <w:rPr>
          <w:lang w:val="fr-FR"/>
        </w:rPr>
        <w:t>, mais cette disposition ne garantit pas en soi qu</w:t>
      </w:r>
      <w:r>
        <w:rPr>
          <w:lang w:val="fr-FR"/>
        </w:rPr>
        <w:t>’</w:t>
      </w:r>
      <w:r w:rsidRPr="001A3179">
        <w:rPr>
          <w:lang w:val="fr-FR"/>
        </w:rPr>
        <w:t>un tribunal puisse fonder son jugement sur une déclaration obtenue de cette façon. Le Code de procédure pénale précise qu</w:t>
      </w:r>
      <w:r>
        <w:rPr>
          <w:lang w:val="fr-FR"/>
        </w:rPr>
        <w:t>’</w:t>
      </w:r>
      <w:r w:rsidRPr="001A3179">
        <w:rPr>
          <w:lang w:val="fr-FR"/>
        </w:rPr>
        <w:t>un tribunal ne peut fonder son jugement sur l</w:t>
      </w:r>
      <w:r>
        <w:rPr>
          <w:lang w:val="fr-FR"/>
        </w:rPr>
        <w:t>’</w:t>
      </w:r>
      <w:r w:rsidRPr="001A3179">
        <w:rPr>
          <w:lang w:val="fr-FR"/>
        </w:rPr>
        <w:t>interrogatoire d</w:t>
      </w:r>
      <w:r>
        <w:rPr>
          <w:lang w:val="fr-FR"/>
        </w:rPr>
        <w:t>’</w:t>
      </w:r>
      <w:r w:rsidRPr="001A3179">
        <w:rPr>
          <w:lang w:val="fr-FR"/>
        </w:rPr>
        <w:t>un suspect que si les conditions suivantes sont remplies : les droits du suspect lui ont été dûment notifiés ; cette notification légale (ainsi que la déclaration du suspect concernant son avocat) a été consignée dans le procès-verbal officiel ; aucun abus n</w:t>
      </w:r>
      <w:r>
        <w:rPr>
          <w:lang w:val="fr-FR"/>
        </w:rPr>
        <w:t>’</w:t>
      </w:r>
      <w:r w:rsidRPr="001A3179">
        <w:rPr>
          <w:lang w:val="fr-FR"/>
        </w:rPr>
        <w:t>a été commis au cours de l</w:t>
      </w:r>
      <w:r>
        <w:rPr>
          <w:lang w:val="fr-FR"/>
        </w:rPr>
        <w:t>’</w:t>
      </w:r>
      <w:r w:rsidRPr="001A3179">
        <w:rPr>
          <w:lang w:val="fr-FR"/>
        </w:rPr>
        <w:t>interrogatoire ; l</w:t>
      </w:r>
      <w:r>
        <w:rPr>
          <w:lang w:val="fr-FR"/>
        </w:rPr>
        <w:t>’</w:t>
      </w:r>
      <w:r w:rsidRPr="001A3179">
        <w:rPr>
          <w:lang w:val="fr-FR"/>
        </w:rPr>
        <w:t>avocat du suspect était présent à l</w:t>
      </w:r>
      <w:r>
        <w:rPr>
          <w:lang w:val="fr-FR"/>
        </w:rPr>
        <w:t>’</w:t>
      </w:r>
      <w:r w:rsidRPr="001A3179">
        <w:rPr>
          <w:lang w:val="fr-FR"/>
        </w:rPr>
        <w:t>interrogatoire.</w:t>
      </w:r>
    </w:p>
    <w:p w14:paraId="27A82D8B" w14:textId="77777777" w:rsidR="002A5EB2" w:rsidRPr="001A3179" w:rsidRDefault="002A5EB2" w:rsidP="002A5EB2">
      <w:pPr>
        <w:pStyle w:val="SingleTxtG"/>
        <w:rPr>
          <w:lang w:val="fr-FR"/>
        </w:rPr>
      </w:pPr>
      <w:r w:rsidRPr="001A3179">
        <w:rPr>
          <w:lang w:val="fr-FR"/>
        </w:rPr>
        <w:t>11.</w:t>
      </w:r>
      <w:r w:rsidRPr="001A3179">
        <w:rPr>
          <w:lang w:val="fr-FR"/>
        </w:rPr>
        <w:tab/>
        <w:t>Le Code de procédure pénale exige la présence d</w:t>
      </w:r>
      <w:r>
        <w:rPr>
          <w:lang w:val="fr-FR"/>
        </w:rPr>
        <w:t>’</w:t>
      </w:r>
      <w:r w:rsidRPr="001A3179">
        <w:rPr>
          <w:lang w:val="fr-FR"/>
        </w:rPr>
        <w:t>un avocat lors de tout interrogatoire par la police (à défaut un tel interrogatoire n</w:t>
      </w:r>
      <w:r>
        <w:rPr>
          <w:lang w:val="fr-FR"/>
        </w:rPr>
        <w:t>’</w:t>
      </w:r>
      <w:r w:rsidRPr="001A3179">
        <w:rPr>
          <w:lang w:val="fr-FR"/>
        </w:rPr>
        <w:t>est pas recevable comme élément de preuve devant le tribunal), ce qui offre une garantie supplémentaire contre le traitement inapproprié ou illégal de personnes dans le cadre de procédures policières. Au vu des considérations précédentes, la Slovénie convient que le recours à des appareils d</w:t>
      </w:r>
      <w:r>
        <w:rPr>
          <w:lang w:val="fr-FR"/>
        </w:rPr>
        <w:t>’</w:t>
      </w:r>
      <w:r w:rsidRPr="001A3179">
        <w:rPr>
          <w:lang w:val="fr-FR"/>
        </w:rPr>
        <w:t>enregistrement pendant les interrogatoires de police est une garantie supplémentaire contre les mauvais traitements, les traitements cruels ou illégaux au cours de tels interrogatoires et c</w:t>
      </w:r>
      <w:r>
        <w:rPr>
          <w:lang w:val="fr-FR"/>
        </w:rPr>
        <w:t>’</w:t>
      </w:r>
      <w:r w:rsidRPr="001A3179">
        <w:rPr>
          <w:lang w:val="fr-FR"/>
        </w:rPr>
        <w:t xml:space="preserve">est </w:t>
      </w:r>
      <w:r>
        <w:rPr>
          <w:lang w:val="fr-FR"/>
        </w:rPr>
        <w:t xml:space="preserve">pourquoi </w:t>
      </w:r>
      <w:r w:rsidRPr="001A3179">
        <w:rPr>
          <w:lang w:val="fr-FR"/>
        </w:rPr>
        <w:t>des lignes directrices à l</w:t>
      </w:r>
      <w:r>
        <w:rPr>
          <w:lang w:val="fr-FR"/>
        </w:rPr>
        <w:t>’</w:t>
      </w:r>
      <w:r w:rsidRPr="001A3179">
        <w:rPr>
          <w:lang w:val="fr-FR"/>
        </w:rPr>
        <w:t xml:space="preserve">usage des </w:t>
      </w:r>
      <w:r>
        <w:rPr>
          <w:lang w:val="fr-FR"/>
        </w:rPr>
        <w:t xml:space="preserve">policiers </w:t>
      </w:r>
      <w:r w:rsidRPr="001A3179">
        <w:rPr>
          <w:lang w:val="fr-FR"/>
        </w:rPr>
        <w:t>ont été élaborées en vue de les encourager à utiliser des appareils d</w:t>
      </w:r>
      <w:r>
        <w:rPr>
          <w:lang w:val="fr-FR"/>
        </w:rPr>
        <w:t>’</w:t>
      </w:r>
      <w:r w:rsidRPr="001A3179">
        <w:rPr>
          <w:lang w:val="fr-FR"/>
        </w:rPr>
        <w:t>enregistrement électroniques pendant les interrogatoires de police, dans la mesure du possible.</w:t>
      </w:r>
    </w:p>
    <w:p w14:paraId="79E7E95C" w14:textId="77777777" w:rsidR="002A5EB2" w:rsidRPr="001A3179" w:rsidRDefault="002A5EB2" w:rsidP="002A5EB2">
      <w:pPr>
        <w:pStyle w:val="SingleTxtG"/>
        <w:rPr>
          <w:u w:val="single"/>
          <w:lang w:val="fr-FR"/>
        </w:rPr>
      </w:pPr>
      <w:r w:rsidRPr="001A3179">
        <w:rPr>
          <w:lang w:val="fr-FR"/>
        </w:rPr>
        <w:t>12.</w:t>
      </w:r>
      <w:r w:rsidRPr="001A3179">
        <w:rPr>
          <w:lang w:val="fr-FR"/>
        </w:rPr>
        <w:tab/>
        <w:t>Le nouveau manuel sur la conduite des interrogatoires par les polic</w:t>
      </w:r>
      <w:r>
        <w:rPr>
          <w:lang w:val="fr-FR"/>
        </w:rPr>
        <w:t>iers</w:t>
      </w:r>
      <w:r w:rsidRPr="001A3179">
        <w:rPr>
          <w:lang w:val="fr-FR"/>
        </w:rPr>
        <w:t xml:space="preserve"> introduit au début de 2012 porte, tout comme les Instructions relatives aux modalités de la garde à vue, une attention particulière à la protection des droits de l</w:t>
      </w:r>
      <w:r>
        <w:rPr>
          <w:lang w:val="fr-FR"/>
        </w:rPr>
        <w:t>’</w:t>
      </w:r>
      <w:r w:rsidRPr="001A3179">
        <w:rPr>
          <w:lang w:val="fr-FR"/>
        </w:rPr>
        <w:t>homme dans le cadre des procédures en précisant dans quels cas il est recommandé de procéder à un enregistrement audio ou vidéo de l</w:t>
      </w:r>
      <w:r>
        <w:rPr>
          <w:lang w:val="fr-FR"/>
        </w:rPr>
        <w:t>’</w:t>
      </w:r>
      <w:r w:rsidRPr="001A3179">
        <w:rPr>
          <w:lang w:val="fr-FR"/>
        </w:rPr>
        <w:t>audition ou de l</w:t>
      </w:r>
      <w:r>
        <w:rPr>
          <w:lang w:val="fr-FR"/>
        </w:rPr>
        <w:t>’</w:t>
      </w:r>
      <w:r w:rsidRPr="001A3179">
        <w:rPr>
          <w:lang w:val="fr-FR"/>
        </w:rPr>
        <w:t>interrogatoire d</w:t>
      </w:r>
      <w:r>
        <w:rPr>
          <w:lang w:val="fr-FR"/>
        </w:rPr>
        <w:t>’</w:t>
      </w:r>
      <w:r w:rsidRPr="001A3179">
        <w:rPr>
          <w:lang w:val="fr-FR"/>
        </w:rPr>
        <w:t>un suspect.</w:t>
      </w:r>
    </w:p>
    <w:p w14:paraId="50F073A5" w14:textId="77777777" w:rsidR="002A5EB2" w:rsidRPr="001A3179" w:rsidRDefault="002A5EB2" w:rsidP="00C637D8">
      <w:pPr>
        <w:pStyle w:val="H23G"/>
        <w:rPr>
          <w:lang w:val="fr-FR"/>
        </w:rPr>
      </w:pPr>
      <w:r w:rsidRPr="001A3179">
        <w:rPr>
          <w:lang w:val="fr-FR"/>
        </w:rPr>
        <w:tab/>
      </w:r>
      <w:r w:rsidRPr="001A3179">
        <w:rPr>
          <w:lang w:val="fr-FR"/>
        </w:rPr>
        <w:tab/>
        <w:t>Réponse au paragraphe 3 a) de la liste des points à traiter</w:t>
      </w:r>
    </w:p>
    <w:p w14:paraId="33915948" w14:textId="77777777" w:rsidR="002A5EB2" w:rsidRPr="001A3179" w:rsidRDefault="002A5EB2" w:rsidP="002A5EB2">
      <w:pPr>
        <w:pStyle w:val="SingleTxtG"/>
        <w:rPr>
          <w:lang w:val="fr-FR"/>
        </w:rPr>
      </w:pPr>
      <w:r w:rsidRPr="001A3179">
        <w:rPr>
          <w:lang w:val="fr-FR"/>
        </w:rPr>
        <w:t>13.</w:t>
      </w:r>
      <w:r w:rsidRPr="001A3179">
        <w:rPr>
          <w:lang w:val="fr-FR"/>
        </w:rPr>
        <w:tab/>
        <w:t>La Slovénie tient tout d</w:t>
      </w:r>
      <w:r>
        <w:rPr>
          <w:lang w:val="fr-FR"/>
        </w:rPr>
        <w:t>’</w:t>
      </w:r>
      <w:r w:rsidRPr="001A3179">
        <w:rPr>
          <w:lang w:val="fr-FR"/>
        </w:rPr>
        <w:t>abord à rappeler les renseignements pertinents fournis au paragraphe</w:t>
      </w:r>
      <w:r w:rsidR="00984F40">
        <w:rPr>
          <w:lang w:val="fr-FR"/>
        </w:rPr>
        <w:t> </w:t>
      </w:r>
      <w:r w:rsidRPr="001A3179">
        <w:rPr>
          <w:lang w:val="fr-FR"/>
        </w:rPr>
        <w:t xml:space="preserve">145 du </w:t>
      </w:r>
      <w:r>
        <w:rPr>
          <w:lang w:val="fr-FR"/>
        </w:rPr>
        <w:t>d</w:t>
      </w:r>
      <w:r w:rsidRPr="001A3179">
        <w:rPr>
          <w:lang w:val="fr-FR"/>
        </w:rPr>
        <w:t>ocument de base commun. En sa qualité de mécanisme national de prévention de la torture, le Médiateur des droits de l</w:t>
      </w:r>
      <w:r>
        <w:rPr>
          <w:lang w:val="fr-FR"/>
        </w:rPr>
        <w:t>’</w:t>
      </w:r>
      <w:r w:rsidRPr="001A3179">
        <w:rPr>
          <w:lang w:val="fr-FR"/>
        </w:rPr>
        <w:t>homme de la République de Slovénie est habilité à visiter tous les lieux où des personnes sont privées de liberté dans le pays et à vérifier comment elles y sont traitées dans le souci de renforcer leur protection contre la torture et d</w:t>
      </w:r>
      <w:r>
        <w:rPr>
          <w:lang w:val="fr-FR"/>
        </w:rPr>
        <w:t>’</w:t>
      </w:r>
      <w:r w:rsidRPr="001A3179">
        <w:rPr>
          <w:lang w:val="fr-FR"/>
        </w:rPr>
        <w:t xml:space="preserve">autres formes de peines ou traitements cruels, inhumains ou dégradants. </w:t>
      </w:r>
      <w:r w:rsidRPr="001A3179">
        <w:rPr>
          <w:lang w:val="fr-FR"/>
        </w:rPr>
        <w:lastRenderedPageBreak/>
        <w:t>Se</w:t>
      </w:r>
      <w:r w:rsidR="00984F40">
        <w:rPr>
          <w:lang w:val="fr-FR"/>
        </w:rPr>
        <w:t> </w:t>
      </w:r>
      <w:r w:rsidRPr="001A3179">
        <w:rPr>
          <w:lang w:val="fr-FR"/>
        </w:rPr>
        <w:t xml:space="preserve">fondant sur les normes juridiques, le Médiateur adresse aux autorités compétentes des recommandations tendant à améliorer les conditions de détention et le traitement de ces personnes et à prévenir la torture et les autres formes de peines ou traitements cruels, inhumains ou dégradants. Le Médiateur publie un rapport annuel à ce sujet sur son site </w:t>
      </w:r>
      <w:r w:rsidR="00984F40">
        <w:rPr>
          <w:lang w:val="fr-FR"/>
        </w:rPr>
        <w:t>W</w:t>
      </w:r>
      <w:r w:rsidRPr="001A3179">
        <w:rPr>
          <w:lang w:val="fr-FR"/>
        </w:rPr>
        <w:t>eb</w:t>
      </w:r>
      <w:r w:rsidRPr="0017324C">
        <w:rPr>
          <w:rStyle w:val="Appelnotedebasdep"/>
        </w:rPr>
        <w:footnoteReference w:id="11"/>
      </w:r>
      <w:r w:rsidRPr="001A3179">
        <w:rPr>
          <w:lang w:val="fr-FR"/>
        </w:rPr>
        <w:t>. Le Gouvernement slovène consigne ses réponses dans un rapport et l</w:t>
      </w:r>
      <w:r>
        <w:rPr>
          <w:lang w:val="fr-FR"/>
        </w:rPr>
        <w:t>’</w:t>
      </w:r>
      <w:r w:rsidRPr="001A3179">
        <w:rPr>
          <w:lang w:val="fr-FR"/>
        </w:rPr>
        <w:t>affiche sur le site du Ministère de la justice ; l</w:t>
      </w:r>
      <w:r>
        <w:rPr>
          <w:lang w:val="fr-FR"/>
        </w:rPr>
        <w:t>’</w:t>
      </w:r>
      <w:r w:rsidRPr="001A3179">
        <w:rPr>
          <w:lang w:val="fr-FR"/>
        </w:rPr>
        <w:t>Assemblée nationale de la Slovénie examine ces réponses et le rapport annuel correspondant du Médiateur.</w:t>
      </w:r>
    </w:p>
    <w:p w14:paraId="6A1AFEEA" w14:textId="77777777" w:rsidR="002A5EB2" w:rsidRPr="001A3179" w:rsidRDefault="002A5EB2" w:rsidP="002A5EB2">
      <w:pPr>
        <w:pStyle w:val="SingleTxtG"/>
        <w:rPr>
          <w:lang w:val="fr-FR"/>
        </w:rPr>
      </w:pPr>
      <w:r w:rsidRPr="001A3179">
        <w:rPr>
          <w:lang w:val="fr-FR"/>
        </w:rPr>
        <w:t>14.</w:t>
      </w:r>
      <w:r w:rsidRPr="001A3179">
        <w:rPr>
          <w:lang w:val="fr-FR"/>
        </w:rPr>
        <w:tab/>
        <w:t>Les deux rôles assignés au Médiateur (prévention, notamment en sa qualité de mécanisme national de prévention de la torture ; réaction, ce qui inclut l</w:t>
      </w:r>
      <w:r>
        <w:rPr>
          <w:lang w:val="fr-FR"/>
        </w:rPr>
        <w:t>’</w:t>
      </w:r>
      <w:r w:rsidRPr="001A3179">
        <w:rPr>
          <w:lang w:val="fr-FR"/>
        </w:rPr>
        <w:t>examen des plaintes individuelles reçues) ont été totalement séparés en 2015 et le sont restés en 2016 et 2017, le Médiateur ayant estimé judicieuse cette séparation. L</w:t>
      </w:r>
      <w:r>
        <w:rPr>
          <w:lang w:val="fr-FR"/>
        </w:rPr>
        <w:t>’</w:t>
      </w:r>
      <w:r w:rsidRPr="001A3179">
        <w:rPr>
          <w:lang w:val="fr-FR"/>
        </w:rPr>
        <w:t>exercice des fonctions et des pouvoirs du Médiateur en tant que mécanisme national de prévention de la torture est désormais bie</w:t>
      </w:r>
      <w:r>
        <w:rPr>
          <w:lang w:val="fr-FR"/>
        </w:rPr>
        <w:t>n</w:t>
      </w:r>
      <w:r w:rsidRPr="001A3179">
        <w:rPr>
          <w:lang w:val="fr-FR"/>
        </w:rPr>
        <w:t xml:space="preserve"> mieux organisé et plus efficace, comme l</w:t>
      </w:r>
      <w:r>
        <w:rPr>
          <w:lang w:val="fr-FR"/>
        </w:rPr>
        <w:t>’</w:t>
      </w:r>
      <w:r w:rsidRPr="001A3179">
        <w:rPr>
          <w:lang w:val="fr-FR"/>
        </w:rPr>
        <w:t>atteste, en particulier, l</w:t>
      </w:r>
      <w:r>
        <w:rPr>
          <w:lang w:val="fr-FR"/>
        </w:rPr>
        <w:t>’</w:t>
      </w:r>
      <w:r w:rsidRPr="001A3179">
        <w:rPr>
          <w:lang w:val="fr-FR"/>
        </w:rPr>
        <w:t>évolution du nombre de visites effectuées dans différents lieux de privation de liberté (39</w:t>
      </w:r>
      <w:r w:rsidR="00984F40">
        <w:rPr>
          <w:lang w:val="fr-FR"/>
        </w:rPr>
        <w:t> </w:t>
      </w:r>
      <w:r w:rsidRPr="001A3179">
        <w:rPr>
          <w:lang w:val="fr-FR"/>
        </w:rPr>
        <w:t>visites ont été effectuées à ce titre en 2014, 67 en 2015 et quelque 80 en 2016 et 2017). Le nombre des organisations non gouvernementales (ONG) sélectionnées dans le cadre de procédures de passation de marchés publics pour coopérer avec le Médiateur aux fins de l</w:t>
      </w:r>
      <w:r>
        <w:rPr>
          <w:lang w:val="fr-FR"/>
        </w:rPr>
        <w:t>’</w:t>
      </w:r>
      <w:r w:rsidRPr="001A3179">
        <w:rPr>
          <w:lang w:val="fr-FR"/>
        </w:rPr>
        <w:t>exercice de ses fonctions et pouvoirs en tant que mécanisme national de prévention de la torture a lui aussi augmenté.</w:t>
      </w:r>
    </w:p>
    <w:p w14:paraId="28B23618" w14:textId="77777777" w:rsidR="002A5EB2" w:rsidRPr="001A3179" w:rsidRDefault="002A5EB2" w:rsidP="002A5EB2">
      <w:pPr>
        <w:pStyle w:val="SingleTxtG"/>
        <w:rPr>
          <w:lang w:val="fr-FR"/>
        </w:rPr>
      </w:pPr>
      <w:r w:rsidRPr="001A3179">
        <w:rPr>
          <w:lang w:val="fr-FR"/>
        </w:rPr>
        <w:t>15.</w:t>
      </w:r>
      <w:r w:rsidRPr="001A3179">
        <w:rPr>
          <w:lang w:val="fr-FR"/>
        </w:rPr>
        <w:tab/>
        <w:t xml:space="preserve">Dans la réponse </w:t>
      </w:r>
      <w:r w:rsidRPr="007D119D">
        <w:rPr>
          <w:lang w:val="fr-FR"/>
        </w:rPr>
        <w:t>au point 3 b) figure un</w:t>
      </w:r>
      <w:r w:rsidRPr="001A3179">
        <w:rPr>
          <w:lang w:val="fr-FR"/>
        </w:rPr>
        <w:t xml:space="preserve"> complément d</w:t>
      </w:r>
      <w:r>
        <w:rPr>
          <w:lang w:val="fr-FR"/>
        </w:rPr>
        <w:t>’</w:t>
      </w:r>
      <w:r w:rsidRPr="001A3179">
        <w:rPr>
          <w:lang w:val="fr-FR"/>
        </w:rPr>
        <w:t>informations sur les nouveaux changements apportés pour renforcer la structure du Bureau du Médiateur des droits de l</w:t>
      </w:r>
      <w:r>
        <w:rPr>
          <w:lang w:val="fr-FR"/>
        </w:rPr>
        <w:t>’</w:t>
      </w:r>
      <w:r w:rsidRPr="001A3179">
        <w:rPr>
          <w:lang w:val="fr-FR"/>
        </w:rPr>
        <w:t>homme dans l</w:t>
      </w:r>
      <w:r>
        <w:rPr>
          <w:lang w:val="fr-FR"/>
        </w:rPr>
        <w:t>’</w:t>
      </w:r>
      <w:r w:rsidRPr="001A3179">
        <w:rPr>
          <w:lang w:val="fr-FR"/>
        </w:rPr>
        <w:t>optique</w:t>
      </w:r>
      <w:r>
        <w:rPr>
          <w:lang w:val="fr-FR"/>
        </w:rPr>
        <w:t xml:space="preserve"> </w:t>
      </w:r>
      <w:r w:rsidRPr="001A3179">
        <w:rPr>
          <w:lang w:val="fr-FR"/>
        </w:rPr>
        <w:t>d</w:t>
      </w:r>
      <w:r>
        <w:rPr>
          <w:lang w:val="fr-FR"/>
        </w:rPr>
        <w:t>’</w:t>
      </w:r>
      <w:r w:rsidRPr="001A3179">
        <w:rPr>
          <w:lang w:val="fr-FR"/>
        </w:rPr>
        <w:t>obtenir son accréditation au statut « A », correspondant à une pleine conformité avec les Principes de Paris de 1993 concernant le statut des institutions nationales des droits de l</w:t>
      </w:r>
      <w:r>
        <w:rPr>
          <w:lang w:val="fr-FR"/>
        </w:rPr>
        <w:t>’</w:t>
      </w:r>
      <w:r w:rsidRPr="001A3179">
        <w:rPr>
          <w:lang w:val="fr-FR"/>
        </w:rPr>
        <w:t>homme.</w:t>
      </w:r>
    </w:p>
    <w:p w14:paraId="57D1FD73" w14:textId="77777777" w:rsidR="002A5EB2" w:rsidRPr="001A3179" w:rsidRDefault="002A5EB2" w:rsidP="002A5EB2">
      <w:pPr>
        <w:pStyle w:val="SingleTxtG"/>
        <w:rPr>
          <w:lang w:val="fr-FR"/>
        </w:rPr>
      </w:pPr>
      <w:r w:rsidRPr="001A3179">
        <w:rPr>
          <w:lang w:val="fr-FR"/>
        </w:rPr>
        <w:t>16.</w:t>
      </w:r>
      <w:r w:rsidRPr="001A3179">
        <w:rPr>
          <w:lang w:val="fr-FR"/>
        </w:rPr>
        <w:tab/>
        <w:t>S</w:t>
      </w:r>
      <w:r>
        <w:rPr>
          <w:lang w:val="fr-FR"/>
        </w:rPr>
        <w:t>’</w:t>
      </w:r>
      <w:r w:rsidRPr="001A3179">
        <w:rPr>
          <w:lang w:val="fr-FR"/>
        </w:rPr>
        <w:t>agissant du pouvoir du Médiateur de mener sa propre enquête sur les allégations de torture et de mauvais traitements, le paragraphe 3 de l</w:t>
      </w:r>
      <w:r>
        <w:rPr>
          <w:lang w:val="fr-FR"/>
        </w:rPr>
        <w:t>’</w:t>
      </w:r>
      <w:r w:rsidRPr="001A3179">
        <w:rPr>
          <w:lang w:val="fr-FR"/>
        </w:rPr>
        <w:t>article 213b du Code de procédure pénale est particulièrement pertinent en ce qu</w:t>
      </w:r>
      <w:r>
        <w:rPr>
          <w:lang w:val="fr-FR"/>
        </w:rPr>
        <w:t>’</w:t>
      </w:r>
      <w:r w:rsidRPr="001A3179">
        <w:rPr>
          <w:lang w:val="fr-FR"/>
        </w:rPr>
        <w:t>il dispose que le Médiateur, ou un de ses adjoints, peut rendre visite à une personne placée en détention provisoire et correspondre avec elle sans avoir à le notifier au préalable au juge d</w:t>
      </w:r>
      <w:r>
        <w:rPr>
          <w:lang w:val="fr-FR"/>
        </w:rPr>
        <w:t>’</w:t>
      </w:r>
      <w:r w:rsidRPr="001A3179">
        <w:rPr>
          <w:lang w:val="fr-FR"/>
        </w:rPr>
        <w:t>instruction et sans être supervisé par le juge d</w:t>
      </w:r>
      <w:r>
        <w:rPr>
          <w:lang w:val="fr-FR"/>
        </w:rPr>
        <w:t>’</w:t>
      </w:r>
      <w:r w:rsidRPr="001A3179">
        <w:rPr>
          <w:lang w:val="fr-FR"/>
        </w:rPr>
        <w:t>instruction ou une personne désignée par ce dernier. Les lettres qu</w:t>
      </w:r>
      <w:r>
        <w:rPr>
          <w:lang w:val="fr-FR"/>
        </w:rPr>
        <w:t>’</w:t>
      </w:r>
      <w:r w:rsidRPr="001A3179">
        <w:rPr>
          <w:lang w:val="fr-FR"/>
        </w:rPr>
        <w:t>une personne placée en détention provisoire adresse au Médiateur ne peuvent pas être soumises à examen.</w:t>
      </w:r>
    </w:p>
    <w:p w14:paraId="2DF5109A" w14:textId="77777777" w:rsidR="002A5EB2" w:rsidRPr="001A3179" w:rsidRDefault="002A5EB2" w:rsidP="002A5EB2">
      <w:pPr>
        <w:pStyle w:val="SingleTxtG"/>
        <w:rPr>
          <w:lang w:val="fr-FR"/>
        </w:rPr>
      </w:pPr>
      <w:r w:rsidRPr="001A3179">
        <w:rPr>
          <w:lang w:val="fr-FR"/>
        </w:rPr>
        <w:t>17.</w:t>
      </w:r>
      <w:r w:rsidRPr="001A3179">
        <w:rPr>
          <w:lang w:val="fr-FR"/>
        </w:rPr>
        <w:tab/>
        <w:t>Une personne retenue en garde à vue a le droit de communiquer avec le Médiateur sans supervision par la police (art</w:t>
      </w:r>
      <w:r w:rsidR="00984F40">
        <w:rPr>
          <w:lang w:val="fr-FR"/>
        </w:rPr>
        <w:t>. </w:t>
      </w:r>
      <w:r w:rsidRPr="001A3179">
        <w:rPr>
          <w:lang w:val="fr-FR"/>
        </w:rPr>
        <w:t>70 de la loi sur les fonctions et les pouvoirs de la police</w:t>
      </w:r>
      <w:r w:rsidRPr="0017324C">
        <w:rPr>
          <w:rStyle w:val="Appelnotedebasdep"/>
        </w:rPr>
        <w:footnoteReference w:id="12"/>
      </w:r>
      <w:r w:rsidRPr="001A3179">
        <w:rPr>
          <w:lang w:val="fr-FR"/>
        </w:rPr>
        <w:t>).</w:t>
      </w:r>
    </w:p>
    <w:p w14:paraId="2D8AA609" w14:textId="77777777" w:rsidR="002A5EB2" w:rsidRPr="001A3179" w:rsidRDefault="002A5EB2" w:rsidP="002A5EB2">
      <w:pPr>
        <w:pStyle w:val="SingleTxtG"/>
        <w:rPr>
          <w:lang w:val="fr-FR"/>
        </w:rPr>
      </w:pPr>
      <w:r w:rsidRPr="001A3179">
        <w:rPr>
          <w:lang w:val="fr-FR"/>
        </w:rPr>
        <w:t>18.</w:t>
      </w:r>
      <w:r w:rsidRPr="001A3179">
        <w:rPr>
          <w:lang w:val="fr-FR"/>
        </w:rPr>
        <w:tab/>
        <w:t>À propos de la surveillance des conditions de détention des personnes condamnées, le paragraphe 3 de l</w:t>
      </w:r>
      <w:r>
        <w:rPr>
          <w:lang w:val="fr-FR"/>
        </w:rPr>
        <w:t>’</w:t>
      </w:r>
      <w:r w:rsidRPr="001A3179">
        <w:rPr>
          <w:lang w:val="fr-FR"/>
        </w:rPr>
        <w:t xml:space="preserve">article 212 de </w:t>
      </w:r>
      <w:r w:rsidRPr="004778C5">
        <w:rPr>
          <w:lang w:val="fr-FR"/>
        </w:rPr>
        <w:t>la loi sur l</w:t>
      </w:r>
      <w:r>
        <w:rPr>
          <w:lang w:val="fr-FR"/>
        </w:rPr>
        <w:t>’</w:t>
      </w:r>
      <w:r w:rsidRPr="004778C5">
        <w:rPr>
          <w:lang w:val="fr-FR"/>
        </w:rPr>
        <w:t>exécution des sanctions pénales</w:t>
      </w:r>
      <w:r w:rsidRPr="0017324C">
        <w:rPr>
          <w:rStyle w:val="Appelnotedebasdep"/>
        </w:rPr>
        <w:footnoteReference w:id="13"/>
      </w:r>
      <w:r w:rsidRPr="001A3179">
        <w:rPr>
          <w:lang w:val="fr-FR"/>
        </w:rPr>
        <w:t xml:space="preserve"> énonce que des dispositions doivent être prises pour permettre au Médiateur des droits de l</w:t>
      </w:r>
      <w:r>
        <w:rPr>
          <w:lang w:val="fr-FR"/>
        </w:rPr>
        <w:t>’</w:t>
      </w:r>
      <w:r w:rsidRPr="001A3179">
        <w:rPr>
          <w:lang w:val="fr-FR"/>
        </w:rPr>
        <w:t>homme d</w:t>
      </w:r>
      <w:r>
        <w:rPr>
          <w:lang w:val="fr-FR"/>
        </w:rPr>
        <w:t>’</w:t>
      </w:r>
      <w:r w:rsidRPr="001A3179">
        <w:rPr>
          <w:lang w:val="fr-FR"/>
        </w:rPr>
        <w:t>exercer le pouvoir de contrôle de la légalité du traitement des condamnés en détention que lui confère la loi sur le Médiateur des droits de l</w:t>
      </w:r>
      <w:r>
        <w:rPr>
          <w:lang w:val="fr-FR"/>
        </w:rPr>
        <w:t>’</w:t>
      </w:r>
      <w:r w:rsidRPr="001A3179">
        <w:rPr>
          <w:lang w:val="fr-FR"/>
        </w:rPr>
        <w:t>homme.</w:t>
      </w:r>
    </w:p>
    <w:p w14:paraId="3B1062B0" w14:textId="77777777" w:rsidR="002A5EB2" w:rsidRPr="001A3179" w:rsidRDefault="002A5EB2" w:rsidP="002A5EB2">
      <w:pPr>
        <w:pStyle w:val="SingleTxtG"/>
        <w:rPr>
          <w:lang w:val="fr-FR"/>
        </w:rPr>
      </w:pPr>
      <w:r w:rsidRPr="001A3179">
        <w:rPr>
          <w:lang w:val="fr-FR"/>
        </w:rPr>
        <w:t>19.</w:t>
      </w:r>
      <w:r w:rsidRPr="001A3179">
        <w:rPr>
          <w:lang w:val="fr-FR"/>
        </w:rPr>
        <w:tab/>
        <w:t>Le Médiateur n</w:t>
      </w:r>
      <w:r>
        <w:rPr>
          <w:lang w:val="fr-FR"/>
        </w:rPr>
        <w:t>’</w:t>
      </w:r>
      <w:r w:rsidRPr="001A3179">
        <w:rPr>
          <w:lang w:val="fr-FR"/>
        </w:rPr>
        <w:t>a pas signalé la moindre entrave à l</w:t>
      </w:r>
      <w:r>
        <w:rPr>
          <w:lang w:val="fr-FR"/>
        </w:rPr>
        <w:t>’</w:t>
      </w:r>
      <w:r w:rsidRPr="001A3179">
        <w:rPr>
          <w:lang w:val="fr-FR"/>
        </w:rPr>
        <w:t>exercice pratique de son pouvoir de mener sa propre enquête sur des allégations de torture ou de mauvais traitements.</w:t>
      </w:r>
    </w:p>
    <w:p w14:paraId="7EA6D559" w14:textId="77777777" w:rsidR="002A5EB2" w:rsidRPr="001A3179" w:rsidRDefault="002A5EB2" w:rsidP="00C637D8">
      <w:pPr>
        <w:pStyle w:val="H23G"/>
        <w:rPr>
          <w:lang w:val="fr-FR"/>
        </w:rPr>
      </w:pPr>
      <w:r w:rsidRPr="001A3179">
        <w:rPr>
          <w:lang w:val="fr-FR"/>
        </w:rPr>
        <w:tab/>
      </w:r>
      <w:r w:rsidRPr="001A3179">
        <w:rPr>
          <w:lang w:val="fr-FR"/>
        </w:rPr>
        <w:tab/>
        <w:t>Réponse au paragraphe 3 b) de la liste des points à traiter</w:t>
      </w:r>
    </w:p>
    <w:p w14:paraId="6153A83F" w14:textId="77777777" w:rsidR="002A5EB2" w:rsidRPr="001A3179" w:rsidRDefault="002A5EB2" w:rsidP="002A5EB2">
      <w:pPr>
        <w:pStyle w:val="SingleTxtG"/>
        <w:rPr>
          <w:lang w:val="fr-FR"/>
        </w:rPr>
      </w:pPr>
      <w:r w:rsidRPr="001A3179">
        <w:rPr>
          <w:lang w:val="fr-FR"/>
        </w:rPr>
        <w:t>20.</w:t>
      </w:r>
      <w:r w:rsidRPr="001A3179">
        <w:rPr>
          <w:lang w:val="fr-FR"/>
        </w:rPr>
        <w:tab/>
        <w:t>En ce qui concerne les nouvelles modifications introduites pour renforcer la structure du Bureau du Médiateur, il convient de souligner que, le 20</w:t>
      </w:r>
      <w:r w:rsidR="00984F40">
        <w:rPr>
          <w:lang w:val="fr-FR"/>
        </w:rPr>
        <w:t> </w:t>
      </w:r>
      <w:r w:rsidRPr="001A3179">
        <w:rPr>
          <w:lang w:val="fr-FR"/>
        </w:rPr>
        <w:t>septembre 2017, l</w:t>
      </w:r>
      <w:r>
        <w:rPr>
          <w:lang w:val="fr-FR"/>
        </w:rPr>
        <w:t>’</w:t>
      </w:r>
      <w:r w:rsidRPr="001A3179">
        <w:rPr>
          <w:lang w:val="fr-FR"/>
        </w:rPr>
        <w:t>Assemblée nationale de la Slovénie a</w:t>
      </w:r>
      <w:bookmarkStart w:id="4" w:name="_Hlk37843934"/>
      <w:r w:rsidRPr="001A3179">
        <w:rPr>
          <w:lang w:val="fr-FR"/>
        </w:rPr>
        <w:t xml:space="preserve"> adopté la loi portant modification de la loi sur le Médiateur des droits de l</w:t>
      </w:r>
      <w:r>
        <w:rPr>
          <w:lang w:val="fr-FR"/>
        </w:rPr>
        <w:t>’</w:t>
      </w:r>
      <w:r w:rsidRPr="001A3179">
        <w:rPr>
          <w:lang w:val="fr-FR"/>
        </w:rPr>
        <w:t xml:space="preserve">homme </w:t>
      </w:r>
      <w:bookmarkEnd w:id="4"/>
      <w:r w:rsidRPr="001A3179">
        <w:rPr>
          <w:lang w:val="fr-FR"/>
        </w:rPr>
        <w:t>(</w:t>
      </w:r>
      <w:proofErr w:type="spellStart"/>
      <w:r w:rsidRPr="001A3179">
        <w:rPr>
          <w:lang w:val="fr-FR"/>
        </w:rPr>
        <w:t>ZvarCP</w:t>
      </w:r>
      <w:proofErr w:type="spellEnd"/>
      <w:r w:rsidRPr="001A3179">
        <w:rPr>
          <w:lang w:val="fr-FR"/>
        </w:rPr>
        <w:t>-B)</w:t>
      </w:r>
      <w:r w:rsidRPr="0017324C">
        <w:rPr>
          <w:rStyle w:val="Appelnotedebasdep"/>
        </w:rPr>
        <w:footnoteReference w:id="14"/>
      </w:r>
      <w:r w:rsidR="00984F40">
        <w:rPr>
          <w:lang w:val="fr-FR"/>
        </w:rPr>
        <w:t>,</w:t>
      </w:r>
      <w:r w:rsidRPr="001A3179">
        <w:rPr>
          <w:lang w:val="fr-FR"/>
        </w:rPr>
        <w:t xml:space="preserve"> qui renforce considérablement le statut dudit Médiateur. Cette modification a pour objet de donner au Bureau du Médiateur les </w:t>
      </w:r>
      <w:r w:rsidRPr="001A3179">
        <w:rPr>
          <w:lang w:val="fr-FR"/>
        </w:rPr>
        <w:lastRenderedPageBreak/>
        <w:t>moyens d</w:t>
      </w:r>
      <w:r>
        <w:rPr>
          <w:lang w:val="fr-FR"/>
        </w:rPr>
        <w:t>’</w:t>
      </w:r>
      <w:r w:rsidRPr="001A3179">
        <w:rPr>
          <w:lang w:val="fr-FR"/>
        </w:rPr>
        <w:t>obtenir le statut « A » prévu dans les Principes de Paris de 1993 concernant le statut des institutions nationales des droits de l</w:t>
      </w:r>
      <w:r>
        <w:rPr>
          <w:lang w:val="fr-FR"/>
        </w:rPr>
        <w:t>’</w:t>
      </w:r>
      <w:r w:rsidRPr="001A3179">
        <w:rPr>
          <w:lang w:val="fr-FR"/>
        </w:rPr>
        <w:t>homme et de garantir ainsi un degré élevé de promotion et de protection des droits de l</w:t>
      </w:r>
      <w:r>
        <w:rPr>
          <w:lang w:val="fr-FR"/>
        </w:rPr>
        <w:t>’</w:t>
      </w:r>
      <w:r w:rsidRPr="001A3179">
        <w:rPr>
          <w:lang w:val="fr-FR"/>
        </w:rPr>
        <w:t>homme et des libertés fondamentales dans le pays. Cette modification a pour fondements des idées avancées par le Ministère de la justice à partir de 2007, des propositions du Médiateur des droits de l</w:t>
      </w:r>
      <w:r>
        <w:rPr>
          <w:lang w:val="fr-FR"/>
        </w:rPr>
        <w:t>’</w:t>
      </w:r>
      <w:r w:rsidRPr="001A3179">
        <w:rPr>
          <w:lang w:val="fr-FR"/>
        </w:rPr>
        <w:t>homme, des recommandations faites par plusieurs pays lors de l</w:t>
      </w:r>
      <w:r>
        <w:rPr>
          <w:lang w:val="fr-FR"/>
        </w:rPr>
        <w:t>’</w:t>
      </w:r>
      <w:r w:rsidRPr="001A3179">
        <w:rPr>
          <w:lang w:val="fr-FR"/>
        </w:rPr>
        <w:t>examen de la Slovénie au titre du deuxième cycle de l</w:t>
      </w:r>
      <w:r>
        <w:rPr>
          <w:lang w:val="fr-FR"/>
        </w:rPr>
        <w:t>’</w:t>
      </w:r>
      <w:r w:rsidRPr="001A3179">
        <w:rPr>
          <w:lang w:val="fr-FR"/>
        </w:rPr>
        <w:t>Examen périodique universel du Conseil des droits de l</w:t>
      </w:r>
      <w:r>
        <w:rPr>
          <w:lang w:val="fr-FR"/>
        </w:rPr>
        <w:t>’</w:t>
      </w:r>
      <w:r w:rsidRPr="001A3179">
        <w:rPr>
          <w:lang w:val="fr-FR"/>
        </w:rPr>
        <w:t>homme de l</w:t>
      </w:r>
      <w:r>
        <w:rPr>
          <w:lang w:val="fr-FR"/>
        </w:rPr>
        <w:t>’</w:t>
      </w:r>
      <w:r w:rsidRPr="001A3179">
        <w:rPr>
          <w:lang w:val="fr-FR"/>
        </w:rPr>
        <w:t>ONU, les conclusions de diverses consultations d</w:t>
      </w:r>
      <w:r>
        <w:rPr>
          <w:lang w:val="fr-FR"/>
        </w:rPr>
        <w:t>’</w:t>
      </w:r>
      <w:r w:rsidRPr="001A3179">
        <w:rPr>
          <w:lang w:val="fr-FR"/>
        </w:rPr>
        <w:t>experts tenues ces dernières années au sein de l</w:t>
      </w:r>
      <w:r>
        <w:rPr>
          <w:lang w:val="fr-FR"/>
        </w:rPr>
        <w:t>’</w:t>
      </w:r>
      <w:r w:rsidRPr="001A3179">
        <w:rPr>
          <w:lang w:val="fr-FR"/>
        </w:rPr>
        <w:t>administration de l</w:t>
      </w:r>
      <w:r>
        <w:rPr>
          <w:lang w:val="fr-FR"/>
        </w:rPr>
        <w:t>’</w:t>
      </w:r>
      <w:r w:rsidRPr="001A3179">
        <w:rPr>
          <w:lang w:val="fr-FR"/>
        </w:rPr>
        <w:t>État et en concertation avec la société civile. Le Bureau du Médiateur a été associé à la rédaction de cette modification.</w:t>
      </w:r>
    </w:p>
    <w:p w14:paraId="616A6EE6" w14:textId="77777777" w:rsidR="002A5EB2" w:rsidRPr="001A3179" w:rsidRDefault="002A5EB2" w:rsidP="002A5EB2">
      <w:pPr>
        <w:pStyle w:val="SingleTxtG"/>
        <w:rPr>
          <w:lang w:val="fr-FR"/>
        </w:rPr>
      </w:pPr>
      <w:r w:rsidRPr="001A3179">
        <w:rPr>
          <w:lang w:val="fr-FR"/>
        </w:rPr>
        <w:t>21.</w:t>
      </w:r>
      <w:r w:rsidRPr="001A3179">
        <w:rPr>
          <w:lang w:val="fr-FR"/>
        </w:rPr>
        <w:tab/>
        <w:t>Établi en juin 2018, le Conseil du Médiateur des droits de l</w:t>
      </w:r>
      <w:r>
        <w:rPr>
          <w:lang w:val="fr-FR"/>
        </w:rPr>
        <w:t>’</w:t>
      </w:r>
      <w:r w:rsidRPr="001A3179">
        <w:rPr>
          <w:lang w:val="fr-FR"/>
        </w:rPr>
        <w:t>homme est un organe consultatif à la représentation pluraliste destiné à renforcer la coopération avec la société civile et les experts. Il se compose d</w:t>
      </w:r>
      <w:r>
        <w:rPr>
          <w:lang w:val="fr-FR"/>
        </w:rPr>
        <w:t>’</w:t>
      </w:r>
      <w:r w:rsidRPr="001A3179">
        <w:rPr>
          <w:lang w:val="fr-FR"/>
        </w:rPr>
        <w:t xml:space="preserve">un président et de 16 membres, dont </w:t>
      </w:r>
      <w:r w:rsidR="00984F40">
        <w:rPr>
          <w:lang w:val="fr-FR"/>
        </w:rPr>
        <w:t>7</w:t>
      </w:r>
      <w:r w:rsidRPr="001A3179">
        <w:rPr>
          <w:lang w:val="fr-FR"/>
        </w:rPr>
        <w:t xml:space="preserve"> représentent la société civile, </w:t>
      </w:r>
      <w:r w:rsidR="00984F40">
        <w:rPr>
          <w:lang w:val="fr-FR"/>
        </w:rPr>
        <w:t>3</w:t>
      </w:r>
      <w:r w:rsidRPr="001A3179">
        <w:rPr>
          <w:lang w:val="fr-FR"/>
        </w:rPr>
        <w:t xml:space="preserve"> les milieux scientifiques et </w:t>
      </w:r>
      <w:r w:rsidR="00984F40">
        <w:rPr>
          <w:lang w:val="fr-FR"/>
        </w:rPr>
        <w:t>2</w:t>
      </w:r>
      <w:r w:rsidRPr="001A3179">
        <w:rPr>
          <w:lang w:val="fr-FR"/>
        </w:rPr>
        <w:t xml:space="preserve"> le Gouvernement slovène ; en outre, le Défenseur du principe d</w:t>
      </w:r>
      <w:r>
        <w:rPr>
          <w:lang w:val="fr-FR"/>
        </w:rPr>
        <w:t>’</w:t>
      </w:r>
      <w:r w:rsidRPr="001A3179">
        <w:rPr>
          <w:lang w:val="fr-FR"/>
        </w:rPr>
        <w:t>égalité, le Commissaire à l</w:t>
      </w:r>
      <w:r>
        <w:rPr>
          <w:lang w:val="fr-FR"/>
        </w:rPr>
        <w:t>’</w:t>
      </w:r>
      <w:r w:rsidRPr="001A3179">
        <w:rPr>
          <w:lang w:val="fr-FR"/>
        </w:rPr>
        <w:t>information, l</w:t>
      </w:r>
      <w:r>
        <w:rPr>
          <w:lang w:val="fr-FR"/>
        </w:rPr>
        <w:t>’</w:t>
      </w:r>
      <w:r w:rsidRPr="001A3179">
        <w:rPr>
          <w:lang w:val="fr-FR"/>
        </w:rPr>
        <w:t>Assemblée nationale de la Slovénie et le Conseil national de la Slovénie y sont représentés chacun par un membre.</w:t>
      </w:r>
    </w:p>
    <w:p w14:paraId="4B2D4A9E" w14:textId="77777777" w:rsidR="002A5EB2" w:rsidRPr="001A3179" w:rsidRDefault="002A5EB2" w:rsidP="002A5EB2">
      <w:pPr>
        <w:pStyle w:val="SingleTxtG"/>
        <w:rPr>
          <w:lang w:val="fr-FR"/>
        </w:rPr>
      </w:pPr>
      <w:r w:rsidRPr="001A3179">
        <w:rPr>
          <w:lang w:val="fr-FR"/>
        </w:rPr>
        <w:t>22.</w:t>
      </w:r>
      <w:r w:rsidRPr="001A3179">
        <w:rPr>
          <w:lang w:val="fr-FR"/>
        </w:rPr>
        <w:tab/>
        <w:t>Le Centre des droits de l</w:t>
      </w:r>
      <w:r>
        <w:rPr>
          <w:lang w:val="fr-FR"/>
        </w:rPr>
        <w:t>’</w:t>
      </w:r>
      <w:r w:rsidRPr="001A3179">
        <w:rPr>
          <w:lang w:val="fr-FR"/>
        </w:rPr>
        <w:t>homme, organisme permanent en voie de création au sein du Bureau du Médiateur, opérera dans le respect du principe d</w:t>
      </w:r>
      <w:r>
        <w:rPr>
          <w:lang w:val="fr-FR"/>
        </w:rPr>
        <w:t>’</w:t>
      </w:r>
      <w:r w:rsidRPr="001A3179">
        <w:rPr>
          <w:lang w:val="fr-FR"/>
        </w:rPr>
        <w:t>autonomie professionnelle. Le Centre sera investi de pouvoirs étendus, notamment dans les domaines suivants : promotion ; diffusion d</w:t>
      </w:r>
      <w:r>
        <w:rPr>
          <w:lang w:val="fr-FR"/>
        </w:rPr>
        <w:t>’</w:t>
      </w:r>
      <w:r w:rsidRPr="001A3179">
        <w:rPr>
          <w:lang w:val="fr-FR"/>
        </w:rPr>
        <w:t>information ; éducation ; formation ; réalisation d</w:t>
      </w:r>
      <w:r>
        <w:rPr>
          <w:lang w:val="fr-FR"/>
        </w:rPr>
        <w:t>’</w:t>
      </w:r>
      <w:r w:rsidRPr="001A3179">
        <w:rPr>
          <w:lang w:val="fr-FR"/>
        </w:rPr>
        <w:t>analyses et établissement de rapports sur les différentes composantes de la protection des droits de l</w:t>
      </w:r>
      <w:r>
        <w:rPr>
          <w:lang w:val="fr-FR"/>
        </w:rPr>
        <w:t>’</w:t>
      </w:r>
      <w:r w:rsidRPr="001A3179">
        <w:rPr>
          <w:lang w:val="fr-FR"/>
        </w:rPr>
        <w:t>homme et des libertés fondamentales ; organisation de tables rondes sur l</w:t>
      </w:r>
      <w:r>
        <w:rPr>
          <w:lang w:val="fr-FR"/>
        </w:rPr>
        <w:t>’</w:t>
      </w:r>
      <w:r w:rsidRPr="001A3179">
        <w:rPr>
          <w:lang w:val="fr-FR"/>
        </w:rPr>
        <w:t>exercice et la protection des droits de l</w:t>
      </w:r>
      <w:r>
        <w:rPr>
          <w:lang w:val="fr-FR"/>
        </w:rPr>
        <w:t>’</w:t>
      </w:r>
      <w:r w:rsidRPr="001A3179">
        <w:rPr>
          <w:lang w:val="fr-FR"/>
        </w:rPr>
        <w:t>homme et des libertés fondamentales ; coopération avec la société civile et les défenseurs des droits de l</w:t>
      </w:r>
      <w:r>
        <w:rPr>
          <w:lang w:val="fr-FR"/>
        </w:rPr>
        <w:t>’</w:t>
      </w:r>
      <w:r w:rsidRPr="001A3179">
        <w:rPr>
          <w:lang w:val="fr-FR"/>
        </w:rPr>
        <w:t>homme ; fourniture d</w:t>
      </w:r>
      <w:r>
        <w:rPr>
          <w:lang w:val="fr-FR"/>
        </w:rPr>
        <w:t>’</w:t>
      </w:r>
      <w:r w:rsidRPr="001A3179">
        <w:rPr>
          <w:lang w:val="fr-FR"/>
        </w:rPr>
        <w:t>informations générales sur les types et formes de plaintes adressées aux autorités internationales en cas de violation des droits de l</w:t>
      </w:r>
      <w:r>
        <w:rPr>
          <w:lang w:val="fr-FR"/>
        </w:rPr>
        <w:t>’</w:t>
      </w:r>
      <w:r w:rsidRPr="001A3179">
        <w:rPr>
          <w:lang w:val="fr-FR"/>
        </w:rPr>
        <w:t>homme et des libertés fondamentales ; coopération aux niveaux européen et mondial dans le cadre d</w:t>
      </w:r>
      <w:r>
        <w:rPr>
          <w:lang w:val="fr-FR"/>
        </w:rPr>
        <w:t>’</w:t>
      </w:r>
      <w:r w:rsidRPr="001A3179">
        <w:rPr>
          <w:lang w:val="fr-FR"/>
        </w:rPr>
        <w:t>organisations et associations internationales œuvrant pour la promotion, l</w:t>
      </w:r>
      <w:r>
        <w:rPr>
          <w:lang w:val="fr-FR"/>
        </w:rPr>
        <w:t>’</w:t>
      </w:r>
      <w:r w:rsidRPr="001A3179">
        <w:rPr>
          <w:lang w:val="fr-FR"/>
        </w:rPr>
        <w:t>exercice et le développement des droits de l</w:t>
      </w:r>
      <w:r>
        <w:rPr>
          <w:lang w:val="fr-FR"/>
        </w:rPr>
        <w:t>’</w:t>
      </w:r>
      <w:r w:rsidRPr="001A3179">
        <w:rPr>
          <w:lang w:val="fr-FR"/>
        </w:rPr>
        <w:t xml:space="preserve">homme et des libertés fondamentales. </w:t>
      </w:r>
    </w:p>
    <w:p w14:paraId="239459CE" w14:textId="77777777" w:rsidR="002A5EB2" w:rsidRPr="001A3179" w:rsidRDefault="002A5EB2" w:rsidP="002A5EB2">
      <w:pPr>
        <w:pStyle w:val="SingleTxtG"/>
        <w:rPr>
          <w:lang w:val="fr-FR"/>
        </w:rPr>
      </w:pPr>
      <w:r w:rsidRPr="001A3179">
        <w:rPr>
          <w:lang w:val="fr-FR"/>
        </w:rPr>
        <w:t>23.</w:t>
      </w:r>
      <w:r w:rsidRPr="001A3179">
        <w:rPr>
          <w:lang w:val="fr-FR"/>
        </w:rPr>
        <w:tab/>
        <w:t>L</w:t>
      </w:r>
      <w:r>
        <w:rPr>
          <w:lang w:val="fr-FR"/>
        </w:rPr>
        <w:t>’</w:t>
      </w:r>
      <w:r w:rsidRPr="001A3179">
        <w:rPr>
          <w:lang w:val="fr-FR"/>
        </w:rPr>
        <w:t>action que le Médiateur des droits de l</w:t>
      </w:r>
      <w:r>
        <w:rPr>
          <w:lang w:val="fr-FR"/>
        </w:rPr>
        <w:t>’</w:t>
      </w:r>
      <w:r w:rsidRPr="001A3179">
        <w:rPr>
          <w:lang w:val="fr-FR"/>
        </w:rPr>
        <w:t>homme mène en tant que mécanisme de contrôle sera grandement renforcée par les deux nouveaux organes en relevant</w:t>
      </w:r>
      <w:r w:rsidR="00984F40">
        <w:rPr>
          <w:lang w:val="fr-FR"/>
        </w:rPr>
        <w:t> </w:t>
      </w:r>
      <w:r w:rsidRPr="001A3179">
        <w:rPr>
          <w:lang w:val="fr-FR"/>
        </w:rPr>
        <w:t>: le Conseil du Médiateur, chargé de promouvoir le dialogue et le développement ; le Centre des droits de l</w:t>
      </w:r>
      <w:r>
        <w:rPr>
          <w:lang w:val="fr-FR"/>
        </w:rPr>
        <w:t>’</w:t>
      </w:r>
      <w:r w:rsidRPr="001A3179">
        <w:rPr>
          <w:lang w:val="fr-FR"/>
        </w:rPr>
        <w:t>homme, chargé de sensibiliser la population et les institutions aux droits et libertés et d</w:t>
      </w:r>
      <w:r>
        <w:rPr>
          <w:lang w:val="fr-FR"/>
        </w:rPr>
        <w:t>’</w:t>
      </w:r>
      <w:r w:rsidRPr="001A3179">
        <w:rPr>
          <w:lang w:val="fr-FR"/>
        </w:rPr>
        <w:t>entreprendre des activités d</w:t>
      </w:r>
      <w:r>
        <w:rPr>
          <w:lang w:val="fr-FR"/>
        </w:rPr>
        <w:t>’</w:t>
      </w:r>
      <w:r w:rsidRPr="001A3179">
        <w:rPr>
          <w:lang w:val="fr-FR"/>
        </w:rPr>
        <w:t>éducation en la matière.</w:t>
      </w:r>
    </w:p>
    <w:p w14:paraId="0D45F57A" w14:textId="77777777" w:rsidR="002A5EB2" w:rsidRPr="001A3179" w:rsidRDefault="002A5EB2" w:rsidP="002A5EB2">
      <w:pPr>
        <w:pStyle w:val="SingleTxtG"/>
        <w:rPr>
          <w:lang w:val="fr-FR"/>
        </w:rPr>
      </w:pPr>
      <w:r w:rsidRPr="001A3179">
        <w:rPr>
          <w:lang w:val="fr-FR"/>
        </w:rPr>
        <w:t>24.</w:t>
      </w:r>
      <w:r w:rsidRPr="001A3179">
        <w:rPr>
          <w:lang w:val="fr-FR"/>
        </w:rPr>
        <w:tab/>
        <w:t>À son entrée en vigueur</w:t>
      </w:r>
      <w:r w:rsidR="00723A91">
        <w:rPr>
          <w:lang w:val="fr-FR"/>
        </w:rPr>
        <w:t>,</w:t>
      </w:r>
      <w:r w:rsidRPr="001A3179">
        <w:rPr>
          <w:lang w:val="fr-FR"/>
        </w:rPr>
        <w:t xml:space="preserve"> la loi portant modification de la loi sur le Médiateur des droits de l</w:t>
      </w:r>
      <w:r>
        <w:rPr>
          <w:lang w:val="fr-FR"/>
        </w:rPr>
        <w:t>’</w:t>
      </w:r>
      <w:r w:rsidRPr="001A3179">
        <w:rPr>
          <w:lang w:val="fr-FR"/>
        </w:rPr>
        <w:t>homme a investi le Médiateur de fonction</w:t>
      </w:r>
      <w:r>
        <w:rPr>
          <w:lang w:val="fr-FR"/>
        </w:rPr>
        <w:t>s</w:t>
      </w:r>
      <w:r w:rsidRPr="001A3179">
        <w:rPr>
          <w:lang w:val="fr-FR"/>
        </w:rPr>
        <w:t xml:space="preserve"> supplémentaires au sein du système, ce qui n</w:t>
      </w:r>
      <w:r>
        <w:rPr>
          <w:lang w:val="fr-FR"/>
        </w:rPr>
        <w:t>’</w:t>
      </w:r>
      <w:r w:rsidRPr="001A3179">
        <w:rPr>
          <w:lang w:val="fr-FR"/>
        </w:rPr>
        <w:t>a pas été sans incidences sur le plan financier.</w:t>
      </w:r>
    </w:p>
    <w:p w14:paraId="4FE7014B" w14:textId="77777777" w:rsidR="002A5EB2" w:rsidRPr="001A3179" w:rsidRDefault="002A5EB2" w:rsidP="002A5EB2">
      <w:pPr>
        <w:pStyle w:val="SingleTxtG"/>
        <w:rPr>
          <w:lang w:val="fr-FR"/>
        </w:rPr>
      </w:pPr>
      <w:r w:rsidRPr="001A3179">
        <w:rPr>
          <w:lang w:val="fr-FR"/>
        </w:rPr>
        <w:t>25.</w:t>
      </w:r>
      <w:r w:rsidRPr="001A3179">
        <w:rPr>
          <w:lang w:val="fr-FR"/>
        </w:rPr>
        <w:tab/>
        <w:t>Des crédits additionnels ont été débloqués pour financer l</w:t>
      </w:r>
      <w:r>
        <w:rPr>
          <w:lang w:val="fr-FR"/>
        </w:rPr>
        <w:t>’</w:t>
      </w:r>
      <w:r w:rsidRPr="001A3179">
        <w:rPr>
          <w:lang w:val="fr-FR"/>
        </w:rPr>
        <w:t xml:space="preserve">exercice des fonctions découlant de la création du Conseil du Médiateur </w:t>
      </w:r>
      <w:r>
        <w:rPr>
          <w:lang w:val="fr-FR"/>
        </w:rPr>
        <w:t xml:space="preserve">des </w:t>
      </w:r>
      <w:r w:rsidRPr="001A3179">
        <w:rPr>
          <w:lang w:val="fr-FR"/>
        </w:rPr>
        <w:t>droits de l</w:t>
      </w:r>
      <w:r>
        <w:rPr>
          <w:lang w:val="fr-FR"/>
        </w:rPr>
        <w:t>’</w:t>
      </w:r>
      <w:r w:rsidRPr="001A3179">
        <w:rPr>
          <w:lang w:val="fr-FR"/>
        </w:rPr>
        <w:t>homme et du Centre des droits de l</w:t>
      </w:r>
      <w:r>
        <w:rPr>
          <w:lang w:val="fr-FR"/>
        </w:rPr>
        <w:t>’</w:t>
      </w:r>
      <w:r w:rsidRPr="001A3179">
        <w:rPr>
          <w:lang w:val="fr-FR"/>
        </w:rPr>
        <w:t>homme et sept nouveaux postes devraient être créés d</w:t>
      </w:r>
      <w:r>
        <w:rPr>
          <w:lang w:val="fr-FR"/>
        </w:rPr>
        <w:t>’</w:t>
      </w:r>
      <w:r w:rsidRPr="001A3179">
        <w:rPr>
          <w:lang w:val="fr-FR"/>
        </w:rPr>
        <w:t>ici à 2020. En outre des crédits supplémentaires à hauteur de 265</w:t>
      </w:r>
      <w:r w:rsidR="00723A91">
        <w:rPr>
          <w:lang w:val="fr-FR"/>
        </w:rPr>
        <w:t> </w:t>
      </w:r>
      <w:r w:rsidRPr="001A3179">
        <w:rPr>
          <w:lang w:val="fr-FR"/>
        </w:rPr>
        <w:t>575 euros ont été inscrits au budget de l</w:t>
      </w:r>
      <w:r>
        <w:rPr>
          <w:lang w:val="fr-FR"/>
        </w:rPr>
        <w:t>’</w:t>
      </w:r>
      <w:r w:rsidRPr="001A3179">
        <w:rPr>
          <w:lang w:val="fr-FR"/>
        </w:rPr>
        <w:t xml:space="preserve">État pour 2018 </w:t>
      </w:r>
      <w:r w:rsidRPr="00E15DEF">
        <w:rPr>
          <w:lang w:val="fr-FR"/>
        </w:rPr>
        <w:t>et à hauteur de 523 598 euros</w:t>
      </w:r>
      <w:r w:rsidRPr="001A3179">
        <w:rPr>
          <w:lang w:val="fr-FR"/>
        </w:rPr>
        <w:t xml:space="preserve"> pour le budget 2019 afin de permettre au Médiateur de s</w:t>
      </w:r>
      <w:r>
        <w:rPr>
          <w:lang w:val="fr-FR"/>
        </w:rPr>
        <w:t>’</w:t>
      </w:r>
      <w:r w:rsidRPr="001A3179">
        <w:rPr>
          <w:lang w:val="fr-FR"/>
        </w:rPr>
        <w:t>acquitter des nouvelles fonctions dont l</w:t>
      </w:r>
      <w:r>
        <w:rPr>
          <w:lang w:val="fr-FR"/>
        </w:rPr>
        <w:t>’</w:t>
      </w:r>
      <w:r w:rsidRPr="001A3179">
        <w:rPr>
          <w:lang w:val="fr-FR"/>
        </w:rPr>
        <w:t>investit la loi précitée portant modification.</w:t>
      </w:r>
    </w:p>
    <w:p w14:paraId="6C296805" w14:textId="77777777" w:rsidR="002A5EB2" w:rsidRPr="001A3179" w:rsidRDefault="002A5EB2" w:rsidP="002A5EB2">
      <w:pPr>
        <w:pStyle w:val="SingleTxtG"/>
        <w:rPr>
          <w:lang w:val="fr-FR"/>
        </w:rPr>
      </w:pPr>
      <w:r w:rsidRPr="001A3179">
        <w:rPr>
          <w:lang w:val="fr-FR"/>
        </w:rPr>
        <w:t>26.</w:t>
      </w:r>
      <w:r w:rsidRPr="001A3179">
        <w:rPr>
          <w:lang w:val="fr-FR"/>
        </w:rPr>
        <w:tab/>
        <w:t>Le paragraphe 2 de l</w:t>
      </w:r>
      <w:r>
        <w:rPr>
          <w:lang w:val="fr-FR"/>
        </w:rPr>
        <w:t>’</w:t>
      </w:r>
      <w:r w:rsidRPr="001A3179">
        <w:rPr>
          <w:lang w:val="fr-FR"/>
        </w:rPr>
        <w:t>article 5 de la loi portant modification précitée dispose que les crédits nécessaires pour financer les activités du Médiateur sont inscrits au budget de l</w:t>
      </w:r>
      <w:r>
        <w:rPr>
          <w:lang w:val="fr-FR"/>
        </w:rPr>
        <w:t>’</w:t>
      </w:r>
      <w:r w:rsidRPr="001A3179">
        <w:rPr>
          <w:lang w:val="fr-FR"/>
        </w:rPr>
        <w:t>État sur proposition du Médiateur après approbation par l</w:t>
      </w:r>
      <w:r>
        <w:rPr>
          <w:lang w:val="fr-FR"/>
        </w:rPr>
        <w:t>’</w:t>
      </w:r>
      <w:r w:rsidRPr="001A3179">
        <w:rPr>
          <w:lang w:val="fr-FR"/>
        </w:rPr>
        <w:t>Assemblée nationale. En 2017 cette dernière a approuvé l</w:t>
      </w:r>
      <w:r>
        <w:rPr>
          <w:lang w:val="fr-FR"/>
        </w:rPr>
        <w:t>’</w:t>
      </w:r>
      <w:r w:rsidRPr="001A3179">
        <w:rPr>
          <w:lang w:val="fr-FR"/>
        </w:rPr>
        <w:t>inscription de crédits d</w:t>
      </w:r>
      <w:r>
        <w:rPr>
          <w:lang w:val="fr-FR"/>
        </w:rPr>
        <w:t>’</w:t>
      </w:r>
      <w:r w:rsidRPr="001A3179">
        <w:rPr>
          <w:lang w:val="fr-FR"/>
        </w:rPr>
        <w:t>un montant de 2</w:t>
      </w:r>
      <w:r w:rsidR="00723A91">
        <w:rPr>
          <w:lang w:val="fr-FR"/>
        </w:rPr>
        <w:t> </w:t>
      </w:r>
      <w:r w:rsidRPr="001A3179">
        <w:rPr>
          <w:lang w:val="fr-FR"/>
        </w:rPr>
        <w:t>151</w:t>
      </w:r>
      <w:r w:rsidR="00723A91">
        <w:rPr>
          <w:lang w:val="fr-FR"/>
        </w:rPr>
        <w:t> </w:t>
      </w:r>
      <w:r w:rsidRPr="001A3179">
        <w:rPr>
          <w:lang w:val="fr-FR"/>
        </w:rPr>
        <w:t>791 euros au budget de l</w:t>
      </w:r>
      <w:r>
        <w:rPr>
          <w:lang w:val="fr-FR"/>
        </w:rPr>
        <w:t>’</w:t>
      </w:r>
      <w:r w:rsidRPr="001A3179">
        <w:rPr>
          <w:lang w:val="fr-FR"/>
        </w:rPr>
        <w:t>État à cet effet. La situation financière du Bureau du Médiateur figure à l</w:t>
      </w:r>
      <w:r>
        <w:rPr>
          <w:lang w:val="fr-FR"/>
        </w:rPr>
        <w:t>’a</w:t>
      </w:r>
      <w:r w:rsidRPr="001A3179">
        <w:rPr>
          <w:lang w:val="fr-FR"/>
        </w:rPr>
        <w:t>nnexe</w:t>
      </w:r>
      <w:r w:rsidR="00723A91">
        <w:rPr>
          <w:lang w:val="fr-FR"/>
        </w:rPr>
        <w:t> </w:t>
      </w:r>
      <w:r w:rsidRPr="001A3179">
        <w:rPr>
          <w:lang w:val="fr-FR"/>
        </w:rPr>
        <w:t>2.</w:t>
      </w:r>
    </w:p>
    <w:p w14:paraId="0B88767D" w14:textId="77777777" w:rsidR="002A5EB2" w:rsidRPr="001A3179" w:rsidRDefault="002A5EB2" w:rsidP="00C637D8">
      <w:pPr>
        <w:pStyle w:val="H4G"/>
        <w:rPr>
          <w:lang w:val="fr-FR"/>
        </w:rPr>
      </w:pPr>
      <w:r w:rsidRPr="001A3179">
        <w:rPr>
          <w:lang w:val="fr-FR"/>
        </w:rPr>
        <w:tab/>
      </w:r>
      <w:r w:rsidRPr="001A3179">
        <w:rPr>
          <w:lang w:val="fr-FR"/>
        </w:rPr>
        <w:tab/>
      </w:r>
      <w:bookmarkStart w:id="5" w:name="_Hlk37861131"/>
      <w:r w:rsidRPr="001A3179">
        <w:rPr>
          <w:lang w:val="fr-FR"/>
        </w:rPr>
        <w:t>Dotation en personnel du Bureau du Médiateur</w:t>
      </w:r>
      <w:bookmarkEnd w:id="5"/>
    </w:p>
    <w:p w14:paraId="0D3657D4" w14:textId="77777777" w:rsidR="002A5EB2" w:rsidRPr="001A3179" w:rsidRDefault="002A5EB2" w:rsidP="002A5EB2">
      <w:pPr>
        <w:pStyle w:val="SingleTxtG"/>
        <w:rPr>
          <w:lang w:val="fr-FR"/>
        </w:rPr>
      </w:pPr>
      <w:r w:rsidRPr="001A3179">
        <w:rPr>
          <w:lang w:val="fr-FR"/>
        </w:rPr>
        <w:t>27.</w:t>
      </w:r>
      <w:r w:rsidRPr="001A3179">
        <w:rPr>
          <w:lang w:val="fr-FR"/>
        </w:rPr>
        <w:tab/>
        <w:t>Au 31</w:t>
      </w:r>
      <w:r w:rsidR="00723A91">
        <w:rPr>
          <w:lang w:val="fr-FR"/>
        </w:rPr>
        <w:t> </w:t>
      </w:r>
      <w:r w:rsidRPr="001A3179">
        <w:rPr>
          <w:lang w:val="fr-FR"/>
        </w:rPr>
        <w:t>décembre 2017, le Bureau du Médiateur comptait un effectif de 40</w:t>
      </w:r>
      <w:r w:rsidR="007D119D">
        <w:rPr>
          <w:lang w:val="fr-FR"/>
        </w:rPr>
        <w:t> </w:t>
      </w:r>
      <w:r w:rsidRPr="001A3179">
        <w:rPr>
          <w:lang w:val="fr-FR"/>
        </w:rPr>
        <w:t xml:space="preserve">personnes, dont 6 hauts fonctionnaires (le Médiateur, 4 Médiateurs adjoints et un </w:t>
      </w:r>
      <w:r w:rsidRPr="007D119D">
        <w:rPr>
          <w:lang w:val="fr-FR"/>
        </w:rPr>
        <w:t>Secrétaire général</w:t>
      </w:r>
      <w:r w:rsidRPr="001A3179">
        <w:rPr>
          <w:lang w:val="fr-FR"/>
        </w:rPr>
        <w:t>), 26</w:t>
      </w:r>
      <w:r w:rsidR="00723A91">
        <w:rPr>
          <w:lang w:val="fr-FR"/>
        </w:rPr>
        <w:t> </w:t>
      </w:r>
      <w:r w:rsidRPr="001A3179">
        <w:rPr>
          <w:lang w:val="fr-FR"/>
        </w:rPr>
        <w:t>fonctionnaires et 8 agents professionnels et techniques. Deux membres du personnel sont titulaires d</w:t>
      </w:r>
      <w:r>
        <w:rPr>
          <w:lang w:val="fr-FR"/>
        </w:rPr>
        <w:t>’</w:t>
      </w:r>
      <w:r w:rsidRPr="001A3179">
        <w:rPr>
          <w:lang w:val="fr-FR"/>
        </w:rPr>
        <w:t xml:space="preserve">un doctorat, </w:t>
      </w:r>
      <w:r w:rsidR="00723A91">
        <w:rPr>
          <w:lang w:val="fr-FR"/>
        </w:rPr>
        <w:t>3</w:t>
      </w:r>
      <w:r w:rsidRPr="001A3179">
        <w:rPr>
          <w:lang w:val="fr-FR"/>
        </w:rPr>
        <w:t xml:space="preserve"> d</w:t>
      </w:r>
      <w:r>
        <w:rPr>
          <w:lang w:val="fr-FR"/>
        </w:rPr>
        <w:t>’</w:t>
      </w:r>
      <w:r w:rsidRPr="001A3179">
        <w:rPr>
          <w:lang w:val="fr-FR"/>
        </w:rPr>
        <w:t>une maîtrise, 29 d</w:t>
      </w:r>
      <w:r>
        <w:rPr>
          <w:lang w:val="fr-FR"/>
        </w:rPr>
        <w:t>’</w:t>
      </w:r>
      <w:r w:rsidRPr="001A3179">
        <w:rPr>
          <w:lang w:val="fr-FR"/>
        </w:rPr>
        <w:t xml:space="preserve">un diplôme universitaire et </w:t>
      </w:r>
      <w:r w:rsidR="00723A91">
        <w:rPr>
          <w:lang w:val="fr-FR"/>
        </w:rPr>
        <w:t>8 </w:t>
      </w:r>
      <w:r w:rsidRPr="001A3179">
        <w:rPr>
          <w:lang w:val="fr-FR"/>
        </w:rPr>
        <w:t>d</w:t>
      </w:r>
      <w:r>
        <w:rPr>
          <w:lang w:val="fr-FR"/>
        </w:rPr>
        <w:t>’</w:t>
      </w:r>
      <w:r w:rsidRPr="001A3179">
        <w:rPr>
          <w:lang w:val="fr-FR"/>
        </w:rPr>
        <w:t>un diplôme d</w:t>
      </w:r>
      <w:r>
        <w:rPr>
          <w:lang w:val="fr-FR"/>
        </w:rPr>
        <w:t>’</w:t>
      </w:r>
      <w:r w:rsidRPr="001A3179">
        <w:rPr>
          <w:lang w:val="fr-FR"/>
        </w:rPr>
        <w:t xml:space="preserve">enseignement supérieur professionnel, </w:t>
      </w:r>
      <w:r w:rsidR="00723A91">
        <w:rPr>
          <w:lang w:val="fr-FR"/>
        </w:rPr>
        <w:t>2</w:t>
      </w:r>
      <w:r w:rsidRPr="001A3179">
        <w:rPr>
          <w:lang w:val="fr-FR"/>
        </w:rPr>
        <w:t xml:space="preserve"> ayant suivi une spécialisation. Un agent </w:t>
      </w:r>
      <w:r w:rsidRPr="001A3179">
        <w:rPr>
          <w:lang w:val="fr-FR"/>
        </w:rPr>
        <w:lastRenderedPageBreak/>
        <w:t>a suivi un programme d</w:t>
      </w:r>
      <w:r>
        <w:rPr>
          <w:lang w:val="fr-FR"/>
        </w:rPr>
        <w:t>’</w:t>
      </w:r>
      <w:r w:rsidRPr="001A3179">
        <w:rPr>
          <w:lang w:val="fr-FR"/>
        </w:rPr>
        <w:t xml:space="preserve">enseignement supérieur de courte durée et </w:t>
      </w:r>
      <w:r w:rsidR="00723A91">
        <w:rPr>
          <w:lang w:val="fr-FR"/>
        </w:rPr>
        <w:t>2</w:t>
      </w:r>
      <w:r w:rsidRPr="001A3179">
        <w:rPr>
          <w:lang w:val="fr-FR"/>
        </w:rPr>
        <w:t xml:space="preserve"> autres ont achevé leurs études secondaires supérieures.</w:t>
      </w:r>
    </w:p>
    <w:p w14:paraId="78D41F41" w14:textId="77777777" w:rsidR="002A5EB2" w:rsidRPr="001A3179" w:rsidRDefault="002A5EB2" w:rsidP="00C637D8">
      <w:pPr>
        <w:pStyle w:val="H23G"/>
        <w:rPr>
          <w:lang w:val="fr-FR"/>
        </w:rPr>
      </w:pPr>
      <w:r w:rsidRPr="001A3179">
        <w:rPr>
          <w:lang w:val="fr-FR"/>
        </w:rPr>
        <w:tab/>
      </w:r>
      <w:r w:rsidRPr="001A3179">
        <w:rPr>
          <w:lang w:val="fr-FR"/>
        </w:rPr>
        <w:tab/>
        <w:t>Réponse au paragraphe 4 de la liste des points à traiter</w:t>
      </w:r>
    </w:p>
    <w:p w14:paraId="7CBFE623" w14:textId="77777777" w:rsidR="002A5EB2" w:rsidRPr="001A3179" w:rsidRDefault="002A5EB2" w:rsidP="002A5EB2">
      <w:pPr>
        <w:pStyle w:val="SingleTxtG"/>
        <w:rPr>
          <w:lang w:val="fr-FR"/>
        </w:rPr>
      </w:pPr>
      <w:r w:rsidRPr="001A3179">
        <w:rPr>
          <w:lang w:val="fr-FR"/>
        </w:rPr>
        <w:t>28.</w:t>
      </w:r>
      <w:r w:rsidRPr="001A3179">
        <w:rPr>
          <w:lang w:val="fr-FR"/>
        </w:rPr>
        <w:tab/>
        <w:t>Des activités sont conçues et menées en permanence dans le cadre de plans d</w:t>
      </w:r>
      <w:r>
        <w:rPr>
          <w:lang w:val="fr-FR"/>
        </w:rPr>
        <w:t>’</w:t>
      </w:r>
      <w:r w:rsidRPr="001A3179">
        <w:rPr>
          <w:lang w:val="fr-FR"/>
        </w:rPr>
        <w:t>action biennaux adoptés par le Gouvernement slovène pour combattre la traite des êtres humains. Ces plans orientent la lutte contre ce phénomène, la poursuite des infractions pénales et l</w:t>
      </w:r>
      <w:r>
        <w:rPr>
          <w:lang w:val="fr-FR"/>
        </w:rPr>
        <w:t>’</w:t>
      </w:r>
      <w:r w:rsidRPr="001A3179">
        <w:rPr>
          <w:lang w:val="fr-FR"/>
        </w:rPr>
        <w:t>aide aux victimes de cette traite.</w:t>
      </w:r>
    </w:p>
    <w:p w14:paraId="68ECD1B6" w14:textId="77777777" w:rsidR="002A5EB2" w:rsidRPr="001A3179" w:rsidRDefault="002A5EB2" w:rsidP="002A5EB2">
      <w:pPr>
        <w:pStyle w:val="SingleTxtG"/>
        <w:rPr>
          <w:lang w:val="fr-FR"/>
        </w:rPr>
      </w:pPr>
      <w:r w:rsidRPr="00C73216">
        <w:rPr>
          <w:lang w:val="fr-FR"/>
        </w:rPr>
        <w:t>29.</w:t>
      </w:r>
      <w:r w:rsidRPr="001A3179">
        <w:rPr>
          <w:lang w:val="fr-FR"/>
        </w:rPr>
        <w:tab/>
        <w:t>La sensibilisation des enfants et des jeunes est désormais une pratique bien établie en matière de prévention</w:t>
      </w:r>
      <w:r w:rsidR="00C04E17">
        <w:rPr>
          <w:lang w:val="fr-FR"/>
        </w:rPr>
        <w:t> </w:t>
      </w:r>
      <w:r w:rsidRPr="001A3179">
        <w:rPr>
          <w:lang w:val="fr-FR"/>
        </w:rPr>
        <w:t>; chaque année des ONG et des organisations humanitaires mettent en œuvre des projets, cofinancés par le Gouvernement slovène, destinés à mettre les élèves du primaire et du secondaire en garde contre la traite des êtres humains. En 2018, grâce à des fonds additionnels apportés par le Bureau d</w:t>
      </w:r>
      <w:r>
        <w:rPr>
          <w:lang w:val="fr-FR"/>
        </w:rPr>
        <w:t>’</w:t>
      </w:r>
      <w:r w:rsidRPr="001A3179">
        <w:rPr>
          <w:lang w:val="fr-FR"/>
        </w:rPr>
        <w:t>État pour les minorités nationales, un tiers environ des ateliers organisés au titre de tels projets se sont tenus dans des zones où vivent des membres de la communauté rom, en y intégrant un volet de sensibilisation au problème des mariages forcés ou arrangés.</w:t>
      </w:r>
    </w:p>
    <w:p w14:paraId="60361CD7" w14:textId="77777777" w:rsidR="002A5EB2" w:rsidRPr="001A3179" w:rsidRDefault="002A5EB2" w:rsidP="002A5EB2">
      <w:pPr>
        <w:pStyle w:val="SingleTxtG"/>
        <w:rPr>
          <w:lang w:val="fr-FR"/>
        </w:rPr>
      </w:pPr>
      <w:r w:rsidRPr="001A3179">
        <w:rPr>
          <w:lang w:val="fr-FR"/>
        </w:rPr>
        <w:t>30.</w:t>
      </w:r>
      <w:r w:rsidRPr="001A3179">
        <w:rPr>
          <w:lang w:val="fr-FR"/>
        </w:rPr>
        <w:tab/>
        <w:t>Dans le cadre d</w:t>
      </w:r>
      <w:r>
        <w:rPr>
          <w:lang w:val="fr-FR"/>
        </w:rPr>
        <w:t>’</w:t>
      </w:r>
      <w:r w:rsidRPr="001A3179">
        <w:rPr>
          <w:lang w:val="fr-FR"/>
        </w:rPr>
        <w:t xml:space="preserve">un contrat conclu </w:t>
      </w:r>
      <w:r w:rsidRPr="00E15DEF">
        <w:rPr>
          <w:lang w:val="fr-FR"/>
        </w:rPr>
        <w:t>avec le Ministère du travail, de la famille, des affaires sociales et de l</w:t>
      </w:r>
      <w:r>
        <w:rPr>
          <w:lang w:val="fr-FR"/>
        </w:rPr>
        <w:t>’</w:t>
      </w:r>
      <w:r w:rsidRPr="00E15DEF">
        <w:rPr>
          <w:lang w:val="fr-FR"/>
        </w:rPr>
        <w:t>égalité des chances (</w:t>
      </w:r>
      <w:r w:rsidRPr="001A3179">
        <w:rPr>
          <w:lang w:val="fr-FR"/>
        </w:rPr>
        <w:t>ci-après</w:t>
      </w:r>
      <w:r w:rsidR="00561790">
        <w:rPr>
          <w:lang w:val="fr-FR"/>
        </w:rPr>
        <w:t> </w:t>
      </w:r>
      <w:r w:rsidRPr="001A3179">
        <w:rPr>
          <w:lang w:val="fr-FR"/>
        </w:rPr>
        <w:t>: le Ministère du travail et des affaires sociales), l</w:t>
      </w:r>
      <w:r>
        <w:rPr>
          <w:lang w:val="fr-FR"/>
        </w:rPr>
        <w:t>’</w:t>
      </w:r>
      <w:r w:rsidRPr="001A3179">
        <w:rPr>
          <w:lang w:val="fr-FR"/>
        </w:rPr>
        <w:t>organisme chargé de l</w:t>
      </w:r>
      <w:r>
        <w:rPr>
          <w:lang w:val="fr-FR"/>
        </w:rPr>
        <w:t>’</w:t>
      </w:r>
      <w:r w:rsidRPr="001A3179">
        <w:rPr>
          <w:lang w:val="fr-FR"/>
        </w:rPr>
        <w:t>hébergement de crise tient régulièrement des ateliers de prévention dans les écoles primaires et secondaires du pays et élabore et diffuse du matériel d</w:t>
      </w:r>
      <w:r>
        <w:rPr>
          <w:lang w:val="fr-FR"/>
        </w:rPr>
        <w:t>’</w:t>
      </w:r>
      <w:r w:rsidRPr="001A3179">
        <w:rPr>
          <w:lang w:val="fr-FR"/>
        </w:rPr>
        <w:t>information. Ces deux types d</w:t>
      </w:r>
      <w:r>
        <w:rPr>
          <w:lang w:val="fr-FR"/>
        </w:rPr>
        <w:t>’</w:t>
      </w:r>
      <w:r w:rsidRPr="001A3179">
        <w:rPr>
          <w:lang w:val="fr-FR"/>
        </w:rPr>
        <w:t>activités visent à informer et à sensibiliser aux dangers et pièges de la traite des êtres humains les enfants, les jeunes et le personnel travaillant avec eux, ainsi que d</w:t>
      </w:r>
      <w:r>
        <w:rPr>
          <w:lang w:val="fr-FR"/>
        </w:rPr>
        <w:t>’</w:t>
      </w:r>
      <w:r w:rsidRPr="001A3179">
        <w:rPr>
          <w:lang w:val="fr-FR"/>
        </w:rPr>
        <w:t>autres populations cibles.</w:t>
      </w:r>
    </w:p>
    <w:p w14:paraId="16FD4943" w14:textId="77777777" w:rsidR="002A5EB2" w:rsidRPr="001A3179" w:rsidRDefault="002A5EB2" w:rsidP="002A5EB2">
      <w:pPr>
        <w:pStyle w:val="SingleTxtG"/>
        <w:rPr>
          <w:lang w:val="fr-FR"/>
        </w:rPr>
      </w:pPr>
      <w:r w:rsidRPr="001A3179">
        <w:rPr>
          <w:lang w:val="fr-FR"/>
        </w:rPr>
        <w:t>31.</w:t>
      </w:r>
      <w:r w:rsidRPr="001A3179">
        <w:rPr>
          <w:lang w:val="fr-FR"/>
        </w:rPr>
        <w:tab/>
        <w:t>Toujours à des fins de prévention, une formation régulière est dispensée aux agents des autorités publiques en charge de la lutte contre la traite des êtres humains (police, parquet, tribunaux, inspection du travail, administration financière, centres d</w:t>
      </w:r>
      <w:r>
        <w:rPr>
          <w:lang w:val="fr-FR"/>
        </w:rPr>
        <w:t>’</w:t>
      </w:r>
      <w:r w:rsidRPr="001A3179">
        <w:rPr>
          <w:lang w:val="fr-FR"/>
        </w:rPr>
        <w:t>action sociale, missions consulaires et diplomatiques, etc.). Une conférence sur la traite des êtres humains a été organisée à l</w:t>
      </w:r>
      <w:r>
        <w:rPr>
          <w:lang w:val="fr-FR"/>
        </w:rPr>
        <w:t>’</w:t>
      </w:r>
      <w:r w:rsidRPr="001A3179">
        <w:rPr>
          <w:lang w:val="fr-FR"/>
        </w:rPr>
        <w:t>intention des directeurs d</w:t>
      </w:r>
      <w:r>
        <w:rPr>
          <w:lang w:val="fr-FR"/>
        </w:rPr>
        <w:t>’</w:t>
      </w:r>
      <w:r w:rsidRPr="001A3179">
        <w:rPr>
          <w:lang w:val="fr-FR"/>
        </w:rPr>
        <w:t>écoles primaires et secondaires en 2018.</w:t>
      </w:r>
    </w:p>
    <w:p w14:paraId="0DF04B10" w14:textId="77777777" w:rsidR="002A5EB2" w:rsidRPr="001A3179" w:rsidRDefault="002A5EB2" w:rsidP="002A5EB2">
      <w:pPr>
        <w:pStyle w:val="SingleTxtG"/>
        <w:rPr>
          <w:lang w:val="fr-FR"/>
        </w:rPr>
      </w:pPr>
      <w:r w:rsidRPr="001A3179">
        <w:rPr>
          <w:lang w:val="fr-FR"/>
        </w:rPr>
        <w:t>32.</w:t>
      </w:r>
      <w:r w:rsidRPr="001A3179">
        <w:rPr>
          <w:lang w:val="fr-FR"/>
        </w:rPr>
        <w:tab/>
        <w:t xml:space="preserve">Le 5 mai 2016, le Gouvernement slovène a adopté le </w:t>
      </w:r>
      <w:r w:rsidRPr="001A3179">
        <w:rPr>
          <w:b/>
          <w:bCs/>
          <w:lang w:val="fr-FR"/>
        </w:rPr>
        <w:t>Manuel sur l</w:t>
      </w:r>
      <w:r>
        <w:rPr>
          <w:b/>
          <w:bCs/>
          <w:lang w:val="fr-FR"/>
        </w:rPr>
        <w:t>’</w:t>
      </w:r>
      <w:r w:rsidRPr="001A3179">
        <w:rPr>
          <w:b/>
          <w:bCs/>
          <w:lang w:val="fr-FR"/>
        </w:rPr>
        <w:t>identification, l</w:t>
      </w:r>
      <w:r>
        <w:rPr>
          <w:b/>
          <w:bCs/>
          <w:lang w:val="fr-FR"/>
        </w:rPr>
        <w:t>’</w:t>
      </w:r>
      <w:r w:rsidRPr="001A3179">
        <w:rPr>
          <w:b/>
          <w:bCs/>
          <w:lang w:val="fr-FR"/>
        </w:rPr>
        <w:t>accompagnement et la protection des victimes de la traite des êtres humains</w:t>
      </w:r>
      <w:r w:rsidRPr="0017324C">
        <w:rPr>
          <w:rStyle w:val="Appelnotedebasdep"/>
        </w:rPr>
        <w:footnoteReference w:id="15"/>
      </w:r>
      <w:r w:rsidRPr="001A3179">
        <w:rPr>
          <w:lang w:val="fr-FR"/>
        </w:rPr>
        <w:t xml:space="preserve"> (ci</w:t>
      </w:r>
      <w:r w:rsidR="00561790">
        <w:rPr>
          <w:lang w:val="fr-FR"/>
        </w:rPr>
        <w:noBreakHyphen/>
      </w:r>
      <w:r w:rsidRPr="001A3179">
        <w:rPr>
          <w:lang w:val="fr-FR"/>
        </w:rPr>
        <w:t>après</w:t>
      </w:r>
      <w:r w:rsidR="00561790">
        <w:rPr>
          <w:lang w:val="fr-FR"/>
        </w:rPr>
        <w:t> </w:t>
      </w:r>
      <w:r w:rsidRPr="001A3179">
        <w:rPr>
          <w:lang w:val="fr-FR"/>
        </w:rPr>
        <w:t>: le Manuel). Ce document précise le rôle et les fonctions des autorités de l</w:t>
      </w:r>
      <w:r>
        <w:rPr>
          <w:lang w:val="fr-FR"/>
        </w:rPr>
        <w:t>’</w:t>
      </w:r>
      <w:r w:rsidRPr="001A3179">
        <w:rPr>
          <w:lang w:val="fr-FR"/>
        </w:rPr>
        <w:t>État, des ONG et des organisations humanitaires dans la lutte contre la traite des êtres humains et définit les mesures d</w:t>
      </w:r>
      <w:r>
        <w:rPr>
          <w:lang w:val="fr-FR"/>
        </w:rPr>
        <w:t>’</w:t>
      </w:r>
      <w:r w:rsidRPr="001A3179">
        <w:rPr>
          <w:lang w:val="fr-FR"/>
        </w:rPr>
        <w:t>accompagnement et de protection des victimes. Des ONG sont associées à cette lutte pour informer les victimes de leurs droits et des possibilités de bénéficier d</w:t>
      </w:r>
      <w:r>
        <w:rPr>
          <w:lang w:val="fr-FR"/>
        </w:rPr>
        <w:t>’</w:t>
      </w:r>
      <w:r w:rsidRPr="001A3179">
        <w:rPr>
          <w:lang w:val="fr-FR"/>
        </w:rPr>
        <w:t>une aide en Slovénie. Il est à souligner qu</w:t>
      </w:r>
      <w:r>
        <w:rPr>
          <w:lang w:val="fr-FR"/>
        </w:rPr>
        <w:t>’</w:t>
      </w:r>
      <w:r w:rsidRPr="001A3179">
        <w:rPr>
          <w:lang w:val="fr-FR"/>
        </w:rPr>
        <w:t>une victime n</w:t>
      </w:r>
      <w:r>
        <w:rPr>
          <w:lang w:val="fr-FR"/>
        </w:rPr>
        <w:t>’</w:t>
      </w:r>
      <w:r w:rsidRPr="001A3179">
        <w:rPr>
          <w:lang w:val="fr-FR"/>
        </w:rPr>
        <w:t>est incluse dans le programme ou ne reçoit une assistance qu</w:t>
      </w:r>
      <w:r>
        <w:rPr>
          <w:lang w:val="fr-FR"/>
        </w:rPr>
        <w:t>’</w:t>
      </w:r>
      <w:r w:rsidRPr="001A3179">
        <w:rPr>
          <w:lang w:val="fr-FR"/>
        </w:rPr>
        <w:t>avec son consentement. Une attention particulière est portée aux femmes et aux adolescentes car il a été constaté que la traite à des fins d</w:t>
      </w:r>
      <w:r>
        <w:rPr>
          <w:lang w:val="fr-FR"/>
        </w:rPr>
        <w:t>’</w:t>
      </w:r>
      <w:r w:rsidRPr="001A3179">
        <w:rPr>
          <w:lang w:val="fr-FR"/>
        </w:rPr>
        <w:t>exploitation sexuelle était la forme la plus courante de traite des êtres humains. Une grande partie du Manuel est consacrée aux indicateurs permettant de détecter les victimes de la traite des êtres humains, y compris les enfants. Le Manuel sert de plus à sensibiliser et former les professionnels qui, dans le cadre de leur travail, sont confrontés à des questions en lien avec la traite des êtres humains.</w:t>
      </w:r>
    </w:p>
    <w:p w14:paraId="567C4F5F" w14:textId="77777777" w:rsidR="002A5EB2" w:rsidRPr="001A3179" w:rsidRDefault="002A5EB2" w:rsidP="002A5EB2">
      <w:pPr>
        <w:pStyle w:val="SingleTxtG"/>
        <w:rPr>
          <w:lang w:val="fr-FR"/>
        </w:rPr>
      </w:pPr>
      <w:r w:rsidRPr="001A3179">
        <w:rPr>
          <w:lang w:val="fr-FR"/>
        </w:rPr>
        <w:t>33.</w:t>
      </w:r>
      <w:r w:rsidRPr="001A3179">
        <w:rPr>
          <w:lang w:val="fr-FR"/>
        </w:rPr>
        <w:tab/>
        <w:t>Adoptée le 3 décembre 2015 par le Gouvernement slovène, la décision élargissant la composition du Groupe de travail interministériel pour la lutte contre la traite des êtres humains a permis de renforcer la structure du Groupe et d</w:t>
      </w:r>
      <w:r>
        <w:rPr>
          <w:lang w:val="fr-FR"/>
        </w:rPr>
        <w:t>’</w:t>
      </w:r>
      <w:r w:rsidRPr="001A3179">
        <w:rPr>
          <w:lang w:val="fr-FR"/>
        </w:rPr>
        <w:t>en accro</w:t>
      </w:r>
      <w:r w:rsidR="00561790">
        <w:rPr>
          <w:lang w:val="fr-FR"/>
        </w:rPr>
        <w:t>î</w:t>
      </w:r>
      <w:r w:rsidRPr="001A3179">
        <w:rPr>
          <w:lang w:val="fr-FR"/>
        </w:rPr>
        <w:t>tre l</w:t>
      </w:r>
      <w:r>
        <w:rPr>
          <w:lang w:val="fr-FR"/>
        </w:rPr>
        <w:t>’</w:t>
      </w:r>
      <w:r w:rsidRPr="001A3179">
        <w:rPr>
          <w:lang w:val="fr-FR"/>
        </w:rPr>
        <w:t>efficacité opérationnelle. Pour s</w:t>
      </w:r>
      <w:r>
        <w:rPr>
          <w:lang w:val="fr-FR"/>
        </w:rPr>
        <w:t>’</w:t>
      </w:r>
      <w:r w:rsidRPr="001A3179">
        <w:rPr>
          <w:lang w:val="fr-FR"/>
        </w:rPr>
        <w:t>assurer qu</w:t>
      </w:r>
      <w:r>
        <w:rPr>
          <w:lang w:val="fr-FR"/>
        </w:rPr>
        <w:t>’</w:t>
      </w:r>
      <w:r w:rsidRPr="001A3179">
        <w:rPr>
          <w:lang w:val="fr-FR"/>
        </w:rPr>
        <w:t xml:space="preserve">une attention accrue soit portée à la prévention de la traite des enfants, le Ministère du travail </w:t>
      </w:r>
      <w:bookmarkStart w:id="6" w:name="_Hlk38201468"/>
      <w:r w:rsidRPr="001A3179">
        <w:rPr>
          <w:lang w:val="fr-FR"/>
        </w:rPr>
        <w:t xml:space="preserve">et des affaires sociales </w:t>
      </w:r>
      <w:bookmarkEnd w:id="6"/>
      <w:r w:rsidRPr="001A3179">
        <w:rPr>
          <w:lang w:val="fr-FR"/>
        </w:rPr>
        <w:t>a nommé deux représentants pour siéger au sein du Groupe, l</w:t>
      </w:r>
      <w:r>
        <w:rPr>
          <w:lang w:val="fr-FR"/>
        </w:rPr>
        <w:t>’</w:t>
      </w:r>
      <w:r w:rsidRPr="001A3179">
        <w:rPr>
          <w:lang w:val="fr-FR"/>
        </w:rPr>
        <w:t>un étant un expert des affaires sociales et l</w:t>
      </w:r>
      <w:r>
        <w:rPr>
          <w:lang w:val="fr-FR"/>
        </w:rPr>
        <w:t>’</w:t>
      </w:r>
      <w:r w:rsidRPr="001A3179">
        <w:rPr>
          <w:lang w:val="fr-FR"/>
        </w:rPr>
        <w:t>autre des affaires familiales. Des représentants du Bureau d</w:t>
      </w:r>
      <w:r>
        <w:rPr>
          <w:lang w:val="fr-FR"/>
        </w:rPr>
        <w:t>’</w:t>
      </w:r>
      <w:r w:rsidRPr="001A3179">
        <w:rPr>
          <w:lang w:val="fr-FR"/>
        </w:rPr>
        <w:t>État pour les minorités nationales siègent dans le Groupe pour concourir à l</w:t>
      </w:r>
      <w:r>
        <w:rPr>
          <w:lang w:val="fr-FR"/>
        </w:rPr>
        <w:t>’</w:t>
      </w:r>
      <w:r w:rsidRPr="001A3179">
        <w:rPr>
          <w:lang w:val="fr-FR"/>
        </w:rPr>
        <w:t>examen du problème du mariage forcé précoce de filles mineures de la communauté rom en lien avec la traite des êtres humains.</w:t>
      </w:r>
    </w:p>
    <w:p w14:paraId="79FDCFF1" w14:textId="77777777" w:rsidR="002A5EB2" w:rsidRPr="001A3179" w:rsidRDefault="002A5EB2" w:rsidP="002A5EB2">
      <w:pPr>
        <w:pStyle w:val="SingleTxtG"/>
        <w:rPr>
          <w:lang w:val="fr-FR"/>
        </w:rPr>
      </w:pPr>
      <w:r w:rsidRPr="001A3179">
        <w:rPr>
          <w:lang w:val="fr-FR"/>
        </w:rPr>
        <w:t>34.</w:t>
      </w:r>
      <w:r w:rsidRPr="001A3179">
        <w:rPr>
          <w:lang w:val="fr-FR"/>
        </w:rPr>
        <w:tab/>
        <w:t>La police mène des activités liées à la détection des victimes potentielles de la traite des êtres humains et d</w:t>
      </w:r>
      <w:r>
        <w:rPr>
          <w:lang w:val="fr-FR"/>
        </w:rPr>
        <w:t>’</w:t>
      </w:r>
      <w:r w:rsidRPr="001A3179">
        <w:rPr>
          <w:lang w:val="fr-FR"/>
        </w:rPr>
        <w:t xml:space="preserve">autres procédures en se fondant sur les indicateurs opérationnels </w:t>
      </w:r>
      <w:r w:rsidRPr="001A3179">
        <w:rPr>
          <w:lang w:val="fr-FR"/>
        </w:rPr>
        <w:lastRenderedPageBreak/>
        <w:t xml:space="preserve">définis dans le Manuel précité, sur le Manuel Frontex relatif aux profils de risque en matière de traite </w:t>
      </w:r>
      <w:bookmarkStart w:id="7" w:name="_Hlk37927558"/>
      <w:r w:rsidRPr="001A3179">
        <w:rPr>
          <w:lang w:val="fr-FR"/>
        </w:rPr>
        <w:t xml:space="preserve">des êtres humains </w:t>
      </w:r>
      <w:bookmarkEnd w:id="7"/>
      <w:r w:rsidRPr="001A3179">
        <w:rPr>
          <w:lang w:val="fr-FR"/>
        </w:rPr>
        <w:t>à l</w:t>
      </w:r>
      <w:r>
        <w:rPr>
          <w:lang w:val="fr-FR"/>
        </w:rPr>
        <w:t>’</w:t>
      </w:r>
      <w:r w:rsidRPr="001A3179">
        <w:rPr>
          <w:lang w:val="fr-FR"/>
        </w:rPr>
        <w:t>usage des agents de la police des frontières et sur les Lignes directrices communes pour l</w:t>
      </w:r>
      <w:r>
        <w:rPr>
          <w:lang w:val="fr-FR"/>
        </w:rPr>
        <w:t>’</w:t>
      </w:r>
      <w:r w:rsidRPr="001A3179">
        <w:rPr>
          <w:lang w:val="fr-FR"/>
        </w:rPr>
        <w:t>identification préliminaire et l</w:t>
      </w:r>
      <w:r>
        <w:rPr>
          <w:lang w:val="fr-FR"/>
        </w:rPr>
        <w:t>’</w:t>
      </w:r>
      <w:r w:rsidRPr="001A3179">
        <w:rPr>
          <w:lang w:val="fr-FR"/>
        </w:rPr>
        <w:t xml:space="preserve">orientation des victimes de la traite des êtres humains en Europe (projet Euro </w:t>
      </w:r>
      <w:proofErr w:type="spellStart"/>
      <w:r w:rsidRPr="001A3179">
        <w:rPr>
          <w:lang w:val="fr-FR"/>
        </w:rPr>
        <w:t>TrafGuID</w:t>
      </w:r>
      <w:proofErr w:type="spellEnd"/>
      <w:r w:rsidRPr="001A3179">
        <w:rPr>
          <w:lang w:val="fr-FR"/>
        </w:rPr>
        <w:t>).</w:t>
      </w:r>
    </w:p>
    <w:p w14:paraId="191F47FD" w14:textId="77777777" w:rsidR="002A5EB2" w:rsidRPr="001A3179" w:rsidRDefault="002A5EB2" w:rsidP="002A5EB2">
      <w:pPr>
        <w:pStyle w:val="SingleTxtG"/>
        <w:rPr>
          <w:lang w:val="fr-FR"/>
        </w:rPr>
      </w:pPr>
      <w:r w:rsidRPr="001A3179">
        <w:rPr>
          <w:lang w:val="fr-FR"/>
        </w:rPr>
        <w:t>35.</w:t>
      </w:r>
      <w:r w:rsidRPr="001A3179">
        <w:rPr>
          <w:lang w:val="fr-FR"/>
        </w:rPr>
        <w:tab/>
        <w:t xml:space="preserve">La participation de la police à la lutte contre la traite des êtres humains est guidée et coordonnée par la Direction de la police criminelle de </w:t>
      </w:r>
      <w:r>
        <w:rPr>
          <w:lang w:val="fr-FR"/>
        </w:rPr>
        <w:t xml:space="preserve">la Direction </w:t>
      </w:r>
      <w:r w:rsidRPr="001A3179">
        <w:rPr>
          <w:lang w:val="fr-FR"/>
        </w:rPr>
        <w:t>générale de la police. La Direction de la police criminelle et la Direction de la police en uniforme suivent des procédures harmonisées pour détecter les victimes de la traite des êtres humains ainsi que diverses autres procédures concernant les victimes et les enquêtes sur l</w:t>
      </w:r>
      <w:r>
        <w:rPr>
          <w:lang w:val="fr-FR"/>
        </w:rPr>
        <w:t>’</w:t>
      </w:r>
      <w:r w:rsidRPr="001A3179">
        <w:rPr>
          <w:lang w:val="fr-FR"/>
        </w:rPr>
        <w:t xml:space="preserve">infraction pénale de traite. Le Parquet spécialisé du Bureau du Procureur </w:t>
      </w:r>
      <w:r>
        <w:rPr>
          <w:lang w:val="fr-FR"/>
        </w:rPr>
        <w:t>d’État</w:t>
      </w:r>
      <w:r w:rsidR="00561790">
        <w:rPr>
          <w:lang w:val="fr-FR"/>
        </w:rPr>
        <w:t xml:space="preserve"> de</w:t>
      </w:r>
      <w:r>
        <w:rPr>
          <w:lang w:val="fr-FR"/>
        </w:rPr>
        <w:t xml:space="preserve"> </w:t>
      </w:r>
      <w:r w:rsidRPr="001A3179">
        <w:rPr>
          <w:lang w:val="fr-FR"/>
        </w:rPr>
        <w:t>la République de Slovénie dirige les enquêtes policières dans la phase avant-procès.</w:t>
      </w:r>
    </w:p>
    <w:p w14:paraId="60197D11" w14:textId="77777777" w:rsidR="002A5EB2" w:rsidRPr="001A3179" w:rsidRDefault="002A5EB2" w:rsidP="00C637D8">
      <w:pPr>
        <w:pStyle w:val="H23G"/>
        <w:rPr>
          <w:lang w:val="fr-FR"/>
        </w:rPr>
      </w:pPr>
      <w:r w:rsidRPr="001A3179">
        <w:rPr>
          <w:lang w:val="fr-FR"/>
        </w:rPr>
        <w:tab/>
      </w:r>
      <w:r w:rsidRPr="001A3179">
        <w:rPr>
          <w:lang w:val="fr-FR"/>
        </w:rPr>
        <w:tab/>
        <w:t>Réponse au paragraphe 5 de la liste des points à traiter</w:t>
      </w:r>
    </w:p>
    <w:p w14:paraId="4CDFCBF1" w14:textId="77777777" w:rsidR="002A5EB2" w:rsidRPr="001A3179" w:rsidRDefault="002A5EB2" w:rsidP="002A5EB2">
      <w:pPr>
        <w:pStyle w:val="SingleTxtG"/>
        <w:rPr>
          <w:lang w:val="fr-FR"/>
        </w:rPr>
      </w:pPr>
      <w:r w:rsidRPr="001A3179">
        <w:rPr>
          <w:lang w:val="fr-FR"/>
        </w:rPr>
        <w:t>36.</w:t>
      </w:r>
      <w:r w:rsidRPr="001A3179">
        <w:rPr>
          <w:lang w:val="fr-FR"/>
        </w:rPr>
        <w:tab/>
        <w:t>La législation slovène exclut clairement la collecte de données ventilées selon l</w:t>
      </w:r>
      <w:r>
        <w:rPr>
          <w:lang w:val="fr-FR"/>
        </w:rPr>
        <w:t>’</w:t>
      </w:r>
      <w:r w:rsidRPr="001A3179">
        <w:rPr>
          <w:lang w:val="fr-FR"/>
        </w:rPr>
        <w:t>ethnie. La Constitution slovène garantit la protection des données personnelles et proscrit l</w:t>
      </w:r>
      <w:r>
        <w:rPr>
          <w:lang w:val="fr-FR"/>
        </w:rPr>
        <w:t>’</w:t>
      </w:r>
      <w:r w:rsidRPr="001A3179">
        <w:rPr>
          <w:lang w:val="fr-FR"/>
        </w:rPr>
        <w:t xml:space="preserve">usage de ces données à des fins autres que celles </w:t>
      </w:r>
      <w:r w:rsidR="00561790">
        <w:rPr>
          <w:lang w:val="fr-FR"/>
        </w:rPr>
        <w:t>− </w:t>
      </w:r>
      <w:r w:rsidRPr="001A3179">
        <w:rPr>
          <w:lang w:val="fr-FR"/>
        </w:rPr>
        <w:t>elles doivent avoir un fondement juridique</w:t>
      </w:r>
      <w:r w:rsidR="00561790">
        <w:rPr>
          <w:lang w:val="fr-FR"/>
        </w:rPr>
        <w:t> −</w:t>
      </w:r>
      <w:r w:rsidRPr="001A3179">
        <w:rPr>
          <w:lang w:val="fr-FR"/>
        </w:rPr>
        <w:t xml:space="preserve"> pour lesquelles elles ont été collectées. La loi sur la protection des données personnelles (ZVOP-1)</w:t>
      </w:r>
      <w:r w:rsidRPr="0017324C">
        <w:rPr>
          <w:rStyle w:val="Appelnotedebasdep"/>
        </w:rPr>
        <w:footnoteReference w:id="16"/>
      </w:r>
      <w:r w:rsidRPr="001A3179">
        <w:rPr>
          <w:lang w:val="fr-FR"/>
        </w:rPr>
        <w:t xml:space="preserve"> contient des dispositions détaillées sur la collecte, le traitement, </w:t>
      </w:r>
      <w:r w:rsidRPr="0001675B">
        <w:rPr>
          <w:lang w:val="fr-FR"/>
        </w:rPr>
        <w:t>l</w:t>
      </w:r>
      <w:r>
        <w:rPr>
          <w:lang w:val="fr-FR"/>
        </w:rPr>
        <w:t>’</w:t>
      </w:r>
      <w:r w:rsidRPr="0001675B">
        <w:rPr>
          <w:lang w:val="fr-FR"/>
        </w:rPr>
        <w:t>usage assigné,</w:t>
      </w:r>
      <w:r w:rsidRPr="001A3179">
        <w:rPr>
          <w:lang w:val="fr-FR"/>
        </w:rPr>
        <w:t xml:space="preserve"> le contrôle et la protection de la confidentialité des données personnelles et le droit à une protection judiciaire en cas d</w:t>
      </w:r>
      <w:r>
        <w:rPr>
          <w:lang w:val="fr-FR"/>
        </w:rPr>
        <w:t>’</w:t>
      </w:r>
      <w:r w:rsidRPr="001A3179">
        <w:rPr>
          <w:lang w:val="fr-FR"/>
        </w:rPr>
        <w:t>usage abusif de ces données. Elle indique avec précision quand et dans quelles conditions est autorisé le traitement des données personnelles. La loi précitée dispose que les données sur l</w:t>
      </w:r>
      <w:r>
        <w:rPr>
          <w:lang w:val="fr-FR"/>
        </w:rPr>
        <w:t>’</w:t>
      </w:r>
      <w:r w:rsidRPr="001A3179">
        <w:rPr>
          <w:lang w:val="fr-FR"/>
        </w:rPr>
        <w:t>origine raciale, nationale ou ethnique sont des données personnelles sensibles (art</w:t>
      </w:r>
      <w:r w:rsidR="00561790">
        <w:rPr>
          <w:lang w:val="fr-FR"/>
        </w:rPr>
        <w:t>. </w:t>
      </w:r>
      <w:r w:rsidRPr="001A3179">
        <w:rPr>
          <w:lang w:val="fr-FR"/>
        </w:rPr>
        <w:t>6, par</w:t>
      </w:r>
      <w:r w:rsidR="00561790">
        <w:rPr>
          <w:lang w:val="fr-FR"/>
        </w:rPr>
        <w:t>. </w:t>
      </w:r>
      <w:r w:rsidRPr="001A3179">
        <w:rPr>
          <w:lang w:val="fr-FR"/>
        </w:rPr>
        <w:t>19) pour lesquelles la loi prévoit des modalités de traitement particulièrement strictes, eu égard aux conditions spécifiques (art</w:t>
      </w:r>
      <w:r w:rsidR="00561790">
        <w:rPr>
          <w:lang w:val="fr-FR"/>
        </w:rPr>
        <w:t>. </w:t>
      </w:r>
      <w:r w:rsidRPr="001A3179">
        <w:rPr>
          <w:lang w:val="fr-FR"/>
        </w:rPr>
        <w:t>13).</w:t>
      </w:r>
    </w:p>
    <w:p w14:paraId="409FC36D" w14:textId="77777777" w:rsidR="002A5EB2" w:rsidRPr="001A3179" w:rsidRDefault="002A5EB2" w:rsidP="002A5EB2">
      <w:pPr>
        <w:pStyle w:val="SingleTxtG"/>
        <w:rPr>
          <w:lang w:val="fr-FR"/>
        </w:rPr>
      </w:pPr>
      <w:r w:rsidRPr="001A3179">
        <w:rPr>
          <w:lang w:val="fr-FR"/>
        </w:rPr>
        <w:t>37.</w:t>
      </w:r>
      <w:r w:rsidRPr="001A3179">
        <w:rPr>
          <w:lang w:val="fr-FR"/>
        </w:rPr>
        <w:tab/>
        <w:t>Les statistiques sur la délinquance que compile la Slovénie ne sont pas ventilées selon l</w:t>
      </w:r>
      <w:r>
        <w:rPr>
          <w:lang w:val="fr-FR"/>
        </w:rPr>
        <w:t>’</w:t>
      </w:r>
      <w:r w:rsidRPr="001A3179">
        <w:rPr>
          <w:lang w:val="fr-FR"/>
        </w:rPr>
        <w:t>ethnie et le sexe, mais selon l</w:t>
      </w:r>
      <w:r>
        <w:rPr>
          <w:lang w:val="fr-FR"/>
        </w:rPr>
        <w:t>’</w:t>
      </w:r>
      <w:r w:rsidRPr="001A3179">
        <w:rPr>
          <w:lang w:val="fr-FR"/>
        </w:rPr>
        <w:t>infraction pénale et l</w:t>
      </w:r>
      <w:r>
        <w:rPr>
          <w:lang w:val="fr-FR"/>
        </w:rPr>
        <w:t>’</w:t>
      </w:r>
      <w:r w:rsidRPr="001A3179">
        <w:rPr>
          <w:lang w:val="fr-FR"/>
        </w:rPr>
        <w:t xml:space="preserve">âge de la personne en cause (majeure/mineure) </w:t>
      </w:r>
      <w:r w:rsidR="00561790">
        <w:rPr>
          <w:lang w:val="fr-FR"/>
        </w:rPr>
        <w:t>− </w:t>
      </w:r>
      <w:r w:rsidRPr="001A3179">
        <w:rPr>
          <w:lang w:val="fr-FR"/>
        </w:rPr>
        <w:t>ce qui dans ce dernier cas se justifie par les règles spéciales applicables aux délinquants mineurs en matière de procédure et de droit matériel énoncées dans la législation en vigueur. Ces dispositions sont conforme</w:t>
      </w:r>
      <w:r>
        <w:rPr>
          <w:lang w:val="fr-FR"/>
        </w:rPr>
        <w:t>s</w:t>
      </w:r>
      <w:r w:rsidRPr="001A3179">
        <w:rPr>
          <w:lang w:val="fr-FR"/>
        </w:rPr>
        <w:t xml:space="preserve"> aux prescriptions de la Constitution. Les données relatives aux affaires pénales ne sont pas ventilées selon le sexe puisque la procédure pénale s</w:t>
      </w:r>
      <w:r>
        <w:rPr>
          <w:lang w:val="fr-FR"/>
        </w:rPr>
        <w:t>’</w:t>
      </w:r>
      <w:r w:rsidRPr="001A3179">
        <w:rPr>
          <w:lang w:val="fr-FR"/>
        </w:rPr>
        <w:t>applique indifféremment aux hommes et aux femmes (ce qui ne signifie nullement que la vulnérabilité d</w:t>
      </w:r>
      <w:r>
        <w:rPr>
          <w:lang w:val="fr-FR"/>
        </w:rPr>
        <w:t>’</w:t>
      </w:r>
      <w:r w:rsidRPr="001A3179">
        <w:rPr>
          <w:lang w:val="fr-FR"/>
        </w:rPr>
        <w:t>une personne mise en cause n</w:t>
      </w:r>
      <w:r>
        <w:rPr>
          <w:lang w:val="fr-FR"/>
        </w:rPr>
        <w:t>’</w:t>
      </w:r>
      <w:r w:rsidRPr="001A3179">
        <w:rPr>
          <w:lang w:val="fr-FR"/>
        </w:rPr>
        <w:t>est pas prise en considération)</w:t>
      </w:r>
      <w:r w:rsidR="00561790">
        <w:rPr>
          <w:lang w:val="fr-FR"/>
        </w:rPr>
        <w:t> </w:t>
      </w:r>
      <w:r w:rsidRPr="001A3179">
        <w:rPr>
          <w:lang w:val="fr-FR"/>
        </w:rPr>
        <w:t>; la répartition des personnes condamnées selon leur sexe peut être déterminée a posteriori à partir des données relatives à la population carcérale car des prisons distinctes sont réservées aux homme</w:t>
      </w:r>
      <w:r w:rsidR="00561790">
        <w:rPr>
          <w:lang w:val="fr-FR"/>
        </w:rPr>
        <w:t>s</w:t>
      </w:r>
      <w:r w:rsidRPr="001A3179">
        <w:rPr>
          <w:lang w:val="fr-FR"/>
        </w:rPr>
        <w:t xml:space="preserve"> et aux femmes.</w:t>
      </w:r>
    </w:p>
    <w:p w14:paraId="4C19157F" w14:textId="77777777" w:rsidR="002A5EB2" w:rsidRPr="001A3179" w:rsidRDefault="002A5EB2" w:rsidP="002A5EB2">
      <w:pPr>
        <w:pStyle w:val="SingleTxtG"/>
        <w:rPr>
          <w:lang w:val="fr-FR"/>
        </w:rPr>
      </w:pPr>
      <w:r w:rsidRPr="001A3179">
        <w:rPr>
          <w:lang w:val="fr-FR"/>
        </w:rPr>
        <w:t>38.</w:t>
      </w:r>
      <w:r w:rsidRPr="001A3179">
        <w:rPr>
          <w:lang w:val="fr-FR"/>
        </w:rPr>
        <w:tab/>
        <w:t xml:space="preserve">La loi sur les fonctions et les pouvoirs de la police (Journal officiel de la République de </w:t>
      </w:r>
      <w:r w:rsidRPr="007D119D">
        <w:rPr>
          <w:lang w:val="fr-FR"/>
        </w:rPr>
        <w:t>Slovénie [</w:t>
      </w:r>
      <w:proofErr w:type="spellStart"/>
      <w:r w:rsidRPr="007D119D">
        <w:rPr>
          <w:i/>
          <w:iCs/>
          <w:lang w:val="fr-FR"/>
        </w:rPr>
        <w:t>Uradni</w:t>
      </w:r>
      <w:proofErr w:type="spellEnd"/>
      <w:r w:rsidRPr="007D119D">
        <w:rPr>
          <w:i/>
          <w:iCs/>
          <w:lang w:val="fr-FR"/>
        </w:rPr>
        <w:t xml:space="preserve"> </w:t>
      </w:r>
      <w:proofErr w:type="spellStart"/>
      <w:r w:rsidRPr="007D119D">
        <w:rPr>
          <w:i/>
          <w:iCs/>
          <w:lang w:val="fr-FR"/>
        </w:rPr>
        <w:t>list</w:t>
      </w:r>
      <w:proofErr w:type="spellEnd"/>
      <w:r w:rsidRPr="007D119D">
        <w:rPr>
          <w:i/>
          <w:iCs/>
          <w:lang w:val="fr-FR"/>
        </w:rPr>
        <w:t xml:space="preserve"> RS</w:t>
      </w:r>
      <w:r w:rsidRPr="007D119D">
        <w:rPr>
          <w:lang w:val="fr-FR"/>
        </w:rPr>
        <w:t>],</w:t>
      </w:r>
      <w:r w:rsidRPr="001A3179">
        <w:rPr>
          <w:lang w:val="fr-FR"/>
        </w:rPr>
        <w:t xml:space="preserve"> </w:t>
      </w:r>
      <w:r w:rsidR="00561790" w:rsidRPr="00561790">
        <w:rPr>
          <w:rFonts w:eastAsia="MS Mincho"/>
          <w:szCs w:val="22"/>
          <w:lang w:val="fr-FR"/>
        </w:rPr>
        <w:t>n</w:t>
      </w:r>
      <w:r w:rsidR="00561790" w:rsidRPr="00561790">
        <w:rPr>
          <w:rFonts w:eastAsia="MS Mincho"/>
          <w:szCs w:val="22"/>
          <w:vertAlign w:val="superscript"/>
          <w:lang w:val="fr-FR"/>
        </w:rPr>
        <w:t>o</w:t>
      </w:r>
      <w:r w:rsidR="00561790">
        <w:rPr>
          <w:lang w:val="fr-FR"/>
        </w:rPr>
        <w:t> </w:t>
      </w:r>
      <w:r w:rsidRPr="001A3179">
        <w:rPr>
          <w:lang w:val="fr-FR"/>
        </w:rPr>
        <w:t>15/13, du 18 février 2013 et autres plus récents) dispose que la police est chargé</w:t>
      </w:r>
      <w:r>
        <w:rPr>
          <w:lang w:val="fr-FR"/>
        </w:rPr>
        <w:t>e</w:t>
      </w:r>
      <w:r w:rsidRPr="001A3179">
        <w:rPr>
          <w:lang w:val="fr-FR"/>
        </w:rPr>
        <w:t xml:space="preserve"> de gérer et conserver les données que ses agents recueillent et traitent dans l</w:t>
      </w:r>
      <w:r>
        <w:rPr>
          <w:lang w:val="fr-FR"/>
        </w:rPr>
        <w:t>’</w:t>
      </w:r>
      <w:r w:rsidRPr="001A3179">
        <w:rPr>
          <w:lang w:val="fr-FR"/>
        </w:rPr>
        <w:t>exercice de leurs fonctions. La police tient, en application de ladite loi, un registre des infractions pénales à partir duquel peuvent être obtenues des données sur le sexe et l</w:t>
      </w:r>
      <w:r>
        <w:rPr>
          <w:lang w:val="fr-FR"/>
        </w:rPr>
        <w:t>’</w:t>
      </w:r>
      <w:r w:rsidRPr="001A3179">
        <w:rPr>
          <w:lang w:val="fr-FR"/>
        </w:rPr>
        <w:t>âge des victimes et des auteurs d</w:t>
      </w:r>
      <w:r>
        <w:rPr>
          <w:lang w:val="fr-FR"/>
        </w:rPr>
        <w:t>’</w:t>
      </w:r>
      <w:r w:rsidRPr="001A3179">
        <w:rPr>
          <w:lang w:val="fr-FR"/>
        </w:rPr>
        <w:t>infractions.</w:t>
      </w:r>
    </w:p>
    <w:p w14:paraId="795A8E5D" w14:textId="77777777" w:rsidR="002A5EB2" w:rsidRPr="001A3179" w:rsidRDefault="002A5EB2" w:rsidP="002A5EB2">
      <w:pPr>
        <w:pStyle w:val="SingleTxtG"/>
        <w:rPr>
          <w:lang w:val="fr-FR"/>
        </w:rPr>
      </w:pPr>
      <w:r w:rsidRPr="001A3179">
        <w:rPr>
          <w:lang w:val="fr-FR"/>
        </w:rPr>
        <w:t>39.</w:t>
      </w:r>
      <w:r w:rsidRPr="001A3179">
        <w:rPr>
          <w:lang w:val="fr-FR"/>
        </w:rPr>
        <w:tab/>
        <w:t>Les raisons pour lesquelles la Constitution slovène exclu</w:t>
      </w:r>
      <w:r>
        <w:rPr>
          <w:lang w:val="fr-FR"/>
        </w:rPr>
        <w:t>t</w:t>
      </w:r>
      <w:r w:rsidRPr="001A3179">
        <w:rPr>
          <w:lang w:val="fr-FR"/>
        </w:rPr>
        <w:t xml:space="preserve"> la collecte de données statistiques sur l</w:t>
      </w:r>
      <w:r>
        <w:rPr>
          <w:lang w:val="fr-FR"/>
        </w:rPr>
        <w:t>’</w:t>
      </w:r>
      <w:r w:rsidRPr="001A3179">
        <w:rPr>
          <w:lang w:val="fr-FR"/>
        </w:rPr>
        <w:t>appartenance ethnique ou nationale sont exposées en détail ci-après</w:t>
      </w:r>
      <w:r w:rsidRPr="0017324C">
        <w:rPr>
          <w:rStyle w:val="Appelnotedebasdep"/>
        </w:rPr>
        <w:footnoteReference w:id="17"/>
      </w:r>
      <w:r w:rsidRPr="001A3179">
        <w:rPr>
          <w:lang w:val="fr-FR"/>
        </w:rPr>
        <w:t>.</w:t>
      </w:r>
    </w:p>
    <w:p w14:paraId="22146ED6" w14:textId="77777777" w:rsidR="002A5EB2" w:rsidRPr="001A3179" w:rsidRDefault="002A5EB2" w:rsidP="002A5EB2">
      <w:pPr>
        <w:pStyle w:val="SingleTxtG"/>
        <w:rPr>
          <w:lang w:val="fr-FR"/>
        </w:rPr>
      </w:pPr>
      <w:r w:rsidRPr="001A3179">
        <w:rPr>
          <w:lang w:val="fr-FR"/>
        </w:rPr>
        <w:t>40.</w:t>
      </w:r>
      <w:r w:rsidRPr="001A3179">
        <w:rPr>
          <w:lang w:val="fr-FR"/>
        </w:rPr>
        <w:tab/>
        <w:t>La Constitution slovène</w:t>
      </w:r>
      <w:r w:rsidRPr="0017324C">
        <w:rPr>
          <w:rStyle w:val="Appelnotedebasdep"/>
        </w:rPr>
        <w:footnoteReference w:id="18"/>
      </w:r>
      <w:r w:rsidRPr="001A3179">
        <w:rPr>
          <w:lang w:val="fr-FR"/>
        </w:rPr>
        <w:t xml:space="preserve"> contient des dispositions strictes concernant l</w:t>
      </w:r>
      <w:r>
        <w:rPr>
          <w:lang w:val="fr-FR"/>
        </w:rPr>
        <w:t>’</w:t>
      </w:r>
      <w:r w:rsidRPr="001A3179">
        <w:rPr>
          <w:lang w:val="fr-FR"/>
        </w:rPr>
        <w:t>expression de l</w:t>
      </w:r>
      <w:r>
        <w:rPr>
          <w:lang w:val="fr-FR"/>
        </w:rPr>
        <w:t>’</w:t>
      </w:r>
      <w:r w:rsidRPr="001A3179">
        <w:rPr>
          <w:lang w:val="fr-FR"/>
        </w:rPr>
        <w:t>appartenance nationale. Son article 61 dispose que l</w:t>
      </w:r>
      <w:r>
        <w:rPr>
          <w:lang w:val="fr-FR"/>
        </w:rPr>
        <w:t>’</w:t>
      </w:r>
      <w:r w:rsidRPr="001A3179">
        <w:rPr>
          <w:lang w:val="fr-FR"/>
        </w:rPr>
        <w:t>appartenance à une nation s</w:t>
      </w:r>
      <w:r>
        <w:rPr>
          <w:lang w:val="fr-FR"/>
        </w:rPr>
        <w:t>’</w:t>
      </w:r>
      <w:r w:rsidRPr="001A3179">
        <w:rPr>
          <w:lang w:val="fr-FR"/>
        </w:rPr>
        <w:t>exprime librement</w:t>
      </w:r>
      <w:r w:rsidR="006A7B90">
        <w:rPr>
          <w:lang w:val="fr-FR"/>
        </w:rPr>
        <w:t xml:space="preserve"> </w:t>
      </w:r>
      <w:r w:rsidRPr="001A3179">
        <w:rPr>
          <w:lang w:val="fr-FR"/>
        </w:rPr>
        <w:t>et, au regard de cet article, toute tentative d</w:t>
      </w:r>
      <w:r>
        <w:rPr>
          <w:lang w:val="fr-FR"/>
        </w:rPr>
        <w:t>’</w:t>
      </w:r>
      <w:r w:rsidRPr="001A3179">
        <w:rPr>
          <w:lang w:val="fr-FR"/>
        </w:rPr>
        <w:t>obtenir des données sur l</w:t>
      </w:r>
      <w:r>
        <w:rPr>
          <w:lang w:val="fr-FR"/>
        </w:rPr>
        <w:t>’</w:t>
      </w:r>
      <w:r w:rsidRPr="001A3179">
        <w:rPr>
          <w:lang w:val="fr-FR"/>
        </w:rPr>
        <w:t xml:space="preserve">appartenance nationale doit avoir une justification raisonnable, respecter la liberté de </w:t>
      </w:r>
      <w:r w:rsidRPr="001A3179">
        <w:rPr>
          <w:lang w:val="fr-FR"/>
        </w:rPr>
        <w:lastRenderedPageBreak/>
        <w:t>l</w:t>
      </w:r>
      <w:r>
        <w:rPr>
          <w:lang w:val="fr-FR"/>
        </w:rPr>
        <w:t>’</w:t>
      </w:r>
      <w:r w:rsidRPr="001A3179">
        <w:rPr>
          <w:lang w:val="fr-FR"/>
        </w:rPr>
        <w:t>individu et être conforme au principe constitutionnel fondamental de proportionnalité (art</w:t>
      </w:r>
      <w:r w:rsidR="006A7B90">
        <w:rPr>
          <w:lang w:val="fr-FR"/>
        </w:rPr>
        <w:t>. </w:t>
      </w:r>
      <w:r w:rsidRPr="001A3179">
        <w:rPr>
          <w:lang w:val="fr-FR"/>
        </w:rPr>
        <w:t>2 de la Constitution lu conjointement avec le paragraphe 3 de l</w:t>
      </w:r>
      <w:r>
        <w:rPr>
          <w:lang w:val="fr-FR"/>
        </w:rPr>
        <w:t>’</w:t>
      </w:r>
      <w:r w:rsidRPr="001A3179">
        <w:rPr>
          <w:lang w:val="fr-FR"/>
        </w:rPr>
        <w:t xml:space="preserve">article 15) </w:t>
      </w:r>
      <w:r w:rsidR="006A7B90">
        <w:rPr>
          <w:lang w:val="fr-FR"/>
        </w:rPr>
        <w:t>− </w:t>
      </w:r>
      <w:r w:rsidRPr="001A3179">
        <w:rPr>
          <w:lang w:val="fr-FR"/>
        </w:rPr>
        <w:t>principe à prendre dûment en considération donc. La collecte et le traitement de données personnelles du type demandé (qui devraient être réglementés par la loi dans le cas où ils seraient autorisés) ne peuvent donc pas être justifiés par la nécessité d</w:t>
      </w:r>
      <w:r>
        <w:rPr>
          <w:lang w:val="fr-FR"/>
        </w:rPr>
        <w:t>’</w:t>
      </w:r>
      <w:r w:rsidRPr="001A3179">
        <w:rPr>
          <w:lang w:val="fr-FR"/>
        </w:rPr>
        <w:t>établir des statistique</w:t>
      </w:r>
      <w:r>
        <w:rPr>
          <w:lang w:val="fr-FR"/>
        </w:rPr>
        <w:t>s</w:t>
      </w:r>
      <w:r w:rsidRPr="001A3179">
        <w:rPr>
          <w:lang w:val="fr-FR"/>
        </w:rPr>
        <w:t xml:space="preserve"> ou d</w:t>
      </w:r>
      <w:r>
        <w:rPr>
          <w:lang w:val="fr-FR"/>
        </w:rPr>
        <w:t>’</w:t>
      </w:r>
      <w:r w:rsidRPr="001A3179">
        <w:rPr>
          <w:lang w:val="fr-FR"/>
        </w:rPr>
        <w:t>entreprendre des travaux de recherche s</w:t>
      </w:r>
      <w:r>
        <w:rPr>
          <w:lang w:val="fr-FR"/>
        </w:rPr>
        <w:t>’</w:t>
      </w:r>
      <w:r w:rsidRPr="001A3179">
        <w:rPr>
          <w:lang w:val="fr-FR"/>
        </w:rPr>
        <w:t>il n</w:t>
      </w:r>
      <w:r>
        <w:rPr>
          <w:lang w:val="fr-FR"/>
        </w:rPr>
        <w:t>’</w:t>
      </w:r>
      <w:r w:rsidRPr="001A3179">
        <w:rPr>
          <w:lang w:val="fr-FR"/>
        </w:rPr>
        <w:t>a pas été établi (démontré) que la finalité première de la collecte de données sur l</w:t>
      </w:r>
      <w:r>
        <w:rPr>
          <w:lang w:val="fr-FR"/>
        </w:rPr>
        <w:t>’</w:t>
      </w:r>
      <w:r w:rsidRPr="001A3179">
        <w:rPr>
          <w:lang w:val="fr-FR"/>
        </w:rPr>
        <w:t>appartenance nationale ou ethnique est de répondre aux besoins de la procédure. En outre, même abstraction faite de la finalité première susmentionnée de la collecte (répondre aux besoins de la procédure), s</w:t>
      </w:r>
      <w:r>
        <w:rPr>
          <w:lang w:val="fr-FR"/>
        </w:rPr>
        <w:t>’</w:t>
      </w:r>
      <w:r w:rsidRPr="001A3179">
        <w:rPr>
          <w:lang w:val="fr-FR"/>
        </w:rPr>
        <w:t>attacher à collecter des données sur cette appartenance en la subordonnant au consentement des personnes concernées serait déraisonnable car le nombre de personnes y consentant ne serait jamais assez élevé pour rendre l</w:t>
      </w:r>
      <w:r>
        <w:rPr>
          <w:lang w:val="fr-FR"/>
        </w:rPr>
        <w:t>’</w:t>
      </w:r>
      <w:r w:rsidRPr="001A3179">
        <w:rPr>
          <w:lang w:val="fr-FR"/>
        </w:rPr>
        <w:t>échantillon représentatif et utile pour déterminer si les infractions pénales ou les discriminations dans les procédures pénales ont une motivation ethnique.</w:t>
      </w:r>
    </w:p>
    <w:p w14:paraId="04ECD4B3" w14:textId="77777777" w:rsidR="002A5EB2" w:rsidRPr="001A3179" w:rsidRDefault="002A5EB2" w:rsidP="002A5EB2">
      <w:pPr>
        <w:pStyle w:val="SingleTxtG"/>
        <w:rPr>
          <w:lang w:val="fr-FR"/>
        </w:rPr>
      </w:pPr>
      <w:r w:rsidRPr="001A3179">
        <w:rPr>
          <w:lang w:val="fr-FR"/>
        </w:rPr>
        <w:t>41.</w:t>
      </w:r>
      <w:r w:rsidRPr="001A3179">
        <w:rPr>
          <w:lang w:val="fr-FR"/>
        </w:rPr>
        <w:tab/>
        <w:t>La Slovénie est d</w:t>
      </w:r>
      <w:r>
        <w:rPr>
          <w:lang w:val="fr-FR"/>
        </w:rPr>
        <w:t>’</w:t>
      </w:r>
      <w:r w:rsidRPr="001A3179">
        <w:rPr>
          <w:lang w:val="fr-FR"/>
        </w:rPr>
        <w:t>avis que dans le cadre de la procédure pénale il n</w:t>
      </w:r>
      <w:r>
        <w:rPr>
          <w:lang w:val="fr-FR"/>
        </w:rPr>
        <w:t>’</w:t>
      </w:r>
      <w:r w:rsidRPr="001A3179">
        <w:rPr>
          <w:lang w:val="fr-FR"/>
        </w:rPr>
        <w:t>est ni nécessaire ni proportionné</w:t>
      </w:r>
      <w:r>
        <w:rPr>
          <w:lang w:val="fr-FR"/>
        </w:rPr>
        <w:t xml:space="preserve"> </w:t>
      </w:r>
      <w:r w:rsidRPr="001A3179">
        <w:rPr>
          <w:lang w:val="fr-FR"/>
        </w:rPr>
        <w:t>de procéder à la collecte systématique de données sur l</w:t>
      </w:r>
      <w:r>
        <w:rPr>
          <w:lang w:val="fr-FR"/>
        </w:rPr>
        <w:t>’</w:t>
      </w:r>
      <w:r w:rsidRPr="001A3179">
        <w:rPr>
          <w:lang w:val="fr-FR"/>
        </w:rPr>
        <w:t>appartenance nationale des défendeurs ou des victimes (même si cette collecte est subordonnée au consentement des personnes concernées). La nécessité d</w:t>
      </w:r>
      <w:r>
        <w:rPr>
          <w:lang w:val="fr-FR"/>
        </w:rPr>
        <w:t>’</w:t>
      </w:r>
      <w:r w:rsidRPr="001A3179">
        <w:rPr>
          <w:lang w:val="fr-FR"/>
        </w:rPr>
        <w:t>établir des statistiques ou d</w:t>
      </w:r>
      <w:r>
        <w:rPr>
          <w:lang w:val="fr-FR"/>
        </w:rPr>
        <w:t xml:space="preserve">’entreprendre </w:t>
      </w:r>
      <w:r w:rsidRPr="001A3179">
        <w:rPr>
          <w:lang w:val="fr-FR"/>
        </w:rPr>
        <w:t>des travaux de recherche ne saurait justifier la collecte dans le cadre de la procédure pénale de données personnelles aussi sensibles que les données sur l</w:t>
      </w:r>
      <w:r>
        <w:rPr>
          <w:lang w:val="fr-FR"/>
        </w:rPr>
        <w:t>’</w:t>
      </w:r>
      <w:r w:rsidRPr="001A3179">
        <w:rPr>
          <w:lang w:val="fr-FR"/>
        </w:rPr>
        <w:t>appartenance nationale. Le système juridique slovène n</w:t>
      </w:r>
      <w:r>
        <w:rPr>
          <w:lang w:val="fr-FR"/>
        </w:rPr>
        <w:t>’</w:t>
      </w:r>
      <w:r w:rsidRPr="001A3179">
        <w:rPr>
          <w:lang w:val="fr-FR"/>
        </w:rPr>
        <w:t>empêche toutefois pas les ONG ou les organismes de recherche d</w:t>
      </w:r>
      <w:r>
        <w:rPr>
          <w:lang w:val="fr-FR"/>
        </w:rPr>
        <w:t>’</w:t>
      </w:r>
      <w:r w:rsidRPr="001A3179">
        <w:rPr>
          <w:lang w:val="fr-FR"/>
        </w:rPr>
        <w:t>enquêter (en se fondant sur les archives judiciaires ou les dossiers de poursuites) sur le degré de discrimination ou les infractions pénales à motivation ethnique en Slovénie; de telles enquêtes ont du reste été effectuées à l</w:t>
      </w:r>
      <w:r>
        <w:rPr>
          <w:lang w:val="fr-FR"/>
        </w:rPr>
        <w:t>’</w:t>
      </w:r>
      <w:r w:rsidRPr="001A3179">
        <w:rPr>
          <w:lang w:val="fr-FR"/>
        </w:rPr>
        <w:t>occasion.</w:t>
      </w:r>
    </w:p>
    <w:p w14:paraId="0CA8790C" w14:textId="77777777" w:rsidR="002A5EB2" w:rsidRPr="001A3179" w:rsidRDefault="002A5EB2" w:rsidP="002A5EB2">
      <w:pPr>
        <w:pStyle w:val="SingleTxtG"/>
        <w:rPr>
          <w:lang w:val="fr-FR"/>
        </w:rPr>
      </w:pPr>
      <w:r w:rsidRPr="001A3179">
        <w:rPr>
          <w:lang w:val="fr-FR"/>
        </w:rPr>
        <w:t>42.</w:t>
      </w:r>
      <w:r w:rsidRPr="001A3179">
        <w:rPr>
          <w:lang w:val="fr-FR"/>
        </w:rPr>
        <w:tab/>
        <w:t>Cette même position a été défendu</w:t>
      </w:r>
      <w:r>
        <w:rPr>
          <w:lang w:val="fr-FR"/>
        </w:rPr>
        <w:t>e</w:t>
      </w:r>
      <w:r w:rsidRPr="001A3179">
        <w:rPr>
          <w:lang w:val="fr-FR"/>
        </w:rPr>
        <w:t xml:space="preserve"> dans les réponses du Gouvernement slovène au rapport annuel 2016 du </w:t>
      </w:r>
      <w:r w:rsidRPr="00DA14F5">
        <w:rPr>
          <w:lang w:val="fr-FR"/>
        </w:rPr>
        <w:t>Médiateur des droits de l</w:t>
      </w:r>
      <w:r>
        <w:rPr>
          <w:lang w:val="fr-FR"/>
        </w:rPr>
        <w:t>’</w:t>
      </w:r>
      <w:r w:rsidRPr="00DA14F5">
        <w:rPr>
          <w:lang w:val="fr-FR"/>
        </w:rPr>
        <w:t>homme</w:t>
      </w:r>
      <w:r w:rsidRPr="001A3179">
        <w:rPr>
          <w:lang w:val="fr-FR"/>
        </w:rPr>
        <w:t>, soumis pour examen à l</w:t>
      </w:r>
      <w:r>
        <w:rPr>
          <w:lang w:val="fr-FR"/>
        </w:rPr>
        <w:t>’</w:t>
      </w:r>
      <w:r w:rsidRPr="001A3179">
        <w:rPr>
          <w:lang w:val="fr-FR"/>
        </w:rPr>
        <w:t>Assemblée nationale.</w:t>
      </w:r>
    </w:p>
    <w:p w14:paraId="363886AB" w14:textId="77777777" w:rsidR="002A5EB2" w:rsidRPr="001A3179" w:rsidRDefault="002A5EB2" w:rsidP="002A5EB2">
      <w:pPr>
        <w:pStyle w:val="SingleTxtG"/>
        <w:rPr>
          <w:lang w:val="fr-FR"/>
        </w:rPr>
      </w:pPr>
      <w:r w:rsidRPr="001A3179">
        <w:rPr>
          <w:lang w:val="fr-FR"/>
        </w:rPr>
        <w:t>43.</w:t>
      </w:r>
      <w:r w:rsidRPr="001A3179">
        <w:rPr>
          <w:lang w:val="fr-FR"/>
        </w:rPr>
        <w:tab/>
        <w:t>Vu ce qui précède et comme en Slovénie les mauvais traitements et la torture ne sont pas un problème systémique mais constituent des incidents isolés, la collecte de données aussi sensibles n</w:t>
      </w:r>
      <w:r>
        <w:rPr>
          <w:lang w:val="fr-FR"/>
        </w:rPr>
        <w:t>’</w:t>
      </w:r>
      <w:r w:rsidRPr="001A3179">
        <w:rPr>
          <w:lang w:val="fr-FR"/>
        </w:rPr>
        <w:t>appara</w:t>
      </w:r>
      <w:r w:rsidR="00D22D13">
        <w:rPr>
          <w:lang w:val="fr-FR"/>
        </w:rPr>
        <w:t>î</w:t>
      </w:r>
      <w:r w:rsidRPr="001A3179">
        <w:rPr>
          <w:lang w:val="fr-FR"/>
        </w:rPr>
        <w:t>t donc pas nécessaire.</w:t>
      </w:r>
    </w:p>
    <w:p w14:paraId="319328A3" w14:textId="77777777" w:rsidR="002A5EB2" w:rsidRPr="001A3179" w:rsidRDefault="002A5EB2" w:rsidP="00C637D8">
      <w:pPr>
        <w:pStyle w:val="H23G"/>
        <w:rPr>
          <w:lang w:val="fr-FR"/>
        </w:rPr>
      </w:pPr>
      <w:r w:rsidRPr="001A3179">
        <w:rPr>
          <w:lang w:val="fr-FR"/>
        </w:rPr>
        <w:tab/>
      </w:r>
      <w:r w:rsidRPr="001A3179">
        <w:rPr>
          <w:lang w:val="fr-FR"/>
        </w:rPr>
        <w:tab/>
        <w:t>Réponse au paragraphe 5 a) de la liste des points à traiter</w:t>
      </w:r>
    </w:p>
    <w:p w14:paraId="758AB8DF" w14:textId="77777777" w:rsidR="002A5EB2" w:rsidRPr="001A3179" w:rsidRDefault="002A5EB2" w:rsidP="002A5EB2">
      <w:pPr>
        <w:pStyle w:val="SingleTxtG"/>
        <w:rPr>
          <w:lang w:val="fr-FR"/>
        </w:rPr>
      </w:pPr>
      <w:r w:rsidRPr="001A3179">
        <w:rPr>
          <w:lang w:val="fr-FR"/>
        </w:rPr>
        <w:t>44.</w:t>
      </w:r>
      <w:r w:rsidRPr="001A3179">
        <w:rPr>
          <w:lang w:val="fr-FR"/>
        </w:rPr>
        <w:tab/>
        <w:t>En application du paragraphe 4 de l</w:t>
      </w:r>
      <w:r>
        <w:rPr>
          <w:lang w:val="fr-FR"/>
        </w:rPr>
        <w:t>’</w:t>
      </w:r>
      <w:r w:rsidRPr="001A3179">
        <w:rPr>
          <w:lang w:val="fr-FR"/>
        </w:rPr>
        <w:t xml:space="preserve">article 10 de la loi sur le </w:t>
      </w:r>
      <w:r w:rsidR="00EE34FC">
        <w:rPr>
          <w:lang w:val="fr-FR"/>
        </w:rPr>
        <w:t>m</w:t>
      </w:r>
      <w:r w:rsidRPr="001A3179">
        <w:rPr>
          <w:lang w:val="fr-FR"/>
        </w:rPr>
        <w:t>inistère public de la République de Slovénie (ZDT)</w:t>
      </w:r>
      <w:r w:rsidRPr="0017324C">
        <w:rPr>
          <w:rStyle w:val="Appelnotedebasdep"/>
        </w:rPr>
        <w:footnoteReference w:id="19"/>
      </w:r>
      <w:bookmarkStart w:id="8" w:name="_Hlk533004802"/>
      <w:r w:rsidRPr="001A3179">
        <w:rPr>
          <w:lang w:val="fr-FR"/>
        </w:rPr>
        <w:t>,</w:t>
      </w:r>
      <w:bookmarkEnd w:id="8"/>
      <w:r w:rsidRPr="001A3179">
        <w:rPr>
          <w:lang w:val="fr-FR"/>
        </w:rPr>
        <w:t xml:space="preserve"> une section spécialisée a exercé ses fonctions et pouvoirs à partir du 1</w:t>
      </w:r>
      <w:r w:rsidRPr="001A3179">
        <w:rPr>
          <w:vertAlign w:val="superscript"/>
          <w:lang w:val="fr-FR"/>
        </w:rPr>
        <w:t>er</w:t>
      </w:r>
      <w:r w:rsidR="00EE34FC">
        <w:rPr>
          <w:lang w:val="fr-FR"/>
        </w:rPr>
        <w:t> </w:t>
      </w:r>
      <w:r w:rsidRPr="001A3179">
        <w:rPr>
          <w:lang w:val="fr-FR"/>
        </w:rPr>
        <w:t xml:space="preserve">novembre 2007 au sein </w:t>
      </w:r>
      <w:bookmarkStart w:id="9" w:name="_Hlk37948847"/>
      <w:r w:rsidRPr="001A3179">
        <w:rPr>
          <w:lang w:val="fr-FR"/>
        </w:rPr>
        <w:t>du Groupe des Procureurs d</w:t>
      </w:r>
      <w:r>
        <w:rPr>
          <w:lang w:val="fr-FR"/>
        </w:rPr>
        <w:t>’</w:t>
      </w:r>
      <w:r w:rsidRPr="001A3179">
        <w:rPr>
          <w:lang w:val="fr-FR"/>
        </w:rPr>
        <w:t xml:space="preserve">État </w:t>
      </w:r>
      <w:bookmarkEnd w:id="9"/>
      <w:r w:rsidRPr="001A3179">
        <w:rPr>
          <w:lang w:val="fr-FR"/>
        </w:rPr>
        <w:t>en charge des poursuite</w:t>
      </w:r>
      <w:r>
        <w:rPr>
          <w:lang w:val="fr-FR"/>
        </w:rPr>
        <w:t>s</w:t>
      </w:r>
      <w:r w:rsidRPr="001A3179">
        <w:rPr>
          <w:lang w:val="fr-FR"/>
        </w:rPr>
        <w:t xml:space="preserve"> dans les affaires de criminalité organisée (qui opérait au sein de l</w:t>
      </w:r>
      <w:r>
        <w:rPr>
          <w:lang w:val="fr-FR"/>
        </w:rPr>
        <w:t>’</w:t>
      </w:r>
      <w:r w:rsidRPr="001A3179">
        <w:rPr>
          <w:lang w:val="fr-FR"/>
        </w:rPr>
        <w:t>ex-Bureau du Procureur général de la République de Slovénie. Suite à l</w:t>
      </w:r>
      <w:r>
        <w:rPr>
          <w:lang w:val="fr-FR"/>
        </w:rPr>
        <w:t>’</w:t>
      </w:r>
      <w:r w:rsidRPr="001A3179">
        <w:rPr>
          <w:lang w:val="fr-FR"/>
        </w:rPr>
        <w:t xml:space="preserve">adoption de la nouvelle loi sur le </w:t>
      </w:r>
      <w:r w:rsidR="00EE34FC">
        <w:rPr>
          <w:lang w:val="fr-FR"/>
        </w:rPr>
        <w:t>m</w:t>
      </w:r>
      <w:r w:rsidRPr="001A3179">
        <w:rPr>
          <w:lang w:val="fr-FR"/>
        </w:rPr>
        <w:t>inistère public de la République de Slovénie</w:t>
      </w:r>
      <w:r w:rsidR="00EE34FC">
        <w:rPr>
          <w:lang w:val="fr-FR"/>
        </w:rPr>
        <w:t xml:space="preserve"> </w:t>
      </w:r>
      <w:r w:rsidRPr="001A3179">
        <w:rPr>
          <w:lang w:val="fr-FR"/>
        </w:rPr>
        <w:t>(ZDT-1)</w:t>
      </w:r>
      <w:r w:rsidRPr="0017324C">
        <w:rPr>
          <w:rStyle w:val="Appelnotedebasdep"/>
        </w:rPr>
        <w:footnoteReference w:id="20"/>
      </w:r>
      <w:r w:rsidRPr="001A3179">
        <w:rPr>
          <w:lang w:val="fr-FR"/>
        </w:rPr>
        <w:t>, cette section a été rebaptisée « Section des enquêtes et poursuites visant des agents publics investis de pouvoirs spéciaux » (ci-après</w:t>
      </w:r>
      <w:r w:rsidR="00EE34FC">
        <w:rPr>
          <w:lang w:val="fr-FR"/>
        </w:rPr>
        <w:t> </w:t>
      </w:r>
      <w:r w:rsidRPr="001A3179">
        <w:rPr>
          <w:lang w:val="fr-FR"/>
        </w:rPr>
        <w:t>: la Section spéciale), qui a compétence territoriale et matérielle exclusive pour poursuivre les polic</w:t>
      </w:r>
      <w:r>
        <w:rPr>
          <w:lang w:val="fr-FR"/>
        </w:rPr>
        <w:t>iers</w:t>
      </w:r>
      <w:r w:rsidRPr="001A3179">
        <w:rPr>
          <w:lang w:val="fr-FR"/>
        </w:rPr>
        <w:t xml:space="preserve"> auteurs d</w:t>
      </w:r>
      <w:r>
        <w:rPr>
          <w:lang w:val="fr-FR"/>
        </w:rPr>
        <w:t>’</w:t>
      </w:r>
      <w:r w:rsidRPr="001A3179">
        <w:rPr>
          <w:lang w:val="fr-FR"/>
        </w:rPr>
        <w:t>infractions pénales.</w:t>
      </w:r>
    </w:p>
    <w:p w14:paraId="65E34409" w14:textId="77777777" w:rsidR="002A5EB2" w:rsidRPr="001A3179" w:rsidRDefault="002A5EB2" w:rsidP="002A5EB2">
      <w:pPr>
        <w:pStyle w:val="SingleTxtG"/>
        <w:rPr>
          <w:lang w:val="fr-FR"/>
        </w:rPr>
      </w:pPr>
      <w:r w:rsidRPr="001A3179">
        <w:rPr>
          <w:lang w:val="fr-FR"/>
        </w:rPr>
        <w:t>45.</w:t>
      </w:r>
      <w:r w:rsidRPr="001A3179">
        <w:rPr>
          <w:lang w:val="fr-FR"/>
        </w:rPr>
        <w:tab/>
        <w:t>La Section spéciale du Parquet spécialisé du Procureur d</w:t>
      </w:r>
      <w:r>
        <w:rPr>
          <w:lang w:val="fr-FR"/>
        </w:rPr>
        <w:t>’</w:t>
      </w:r>
      <w:r w:rsidRPr="001A3179">
        <w:rPr>
          <w:lang w:val="fr-FR"/>
        </w:rPr>
        <w:t>État a pour mandat de mener les enquêtes et d</w:t>
      </w:r>
      <w:r>
        <w:rPr>
          <w:lang w:val="fr-FR"/>
        </w:rPr>
        <w:t>’</w:t>
      </w:r>
      <w:r w:rsidRPr="001A3179">
        <w:rPr>
          <w:lang w:val="fr-FR"/>
        </w:rPr>
        <w:t>engager les poursuites visant des agents publics investis de pouvoirs de police dans la phase avant-procès ; elle est compétente pour les polic</w:t>
      </w:r>
      <w:r>
        <w:rPr>
          <w:lang w:val="fr-FR"/>
        </w:rPr>
        <w:t>iers</w:t>
      </w:r>
      <w:r w:rsidRPr="001A3179">
        <w:rPr>
          <w:lang w:val="fr-FR"/>
        </w:rPr>
        <w:t xml:space="preserve"> mais pas pour les agents de</w:t>
      </w:r>
      <w:r>
        <w:rPr>
          <w:lang w:val="fr-FR"/>
        </w:rPr>
        <w:t>s</w:t>
      </w:r>
      <w:r w:rsidRPr="001A3179">
        <w:rPr>
          <w:lang w:val="fr-FR"/>
        </w:rPr>
        <w:t xml:space="preserve"> autorités de poursuite ni pour les agents pénitentiaires. Eu égard à ce qui précède, il est ici rendu compte séparément des infractions pénales dont les auteurs relèvent de la compétence de la Section spéciale et des infractions pénales de torture imputées à des agents publics ne relevant pas de sa compétence.</w:t>
      </w:r>
    </w:p>
    <w:p w14:paraId="5AB60561" w14:textId="77777777" w:rsidR="002A5EB2" w:rsidRPr="001A3179" w:rsidRDefault="002A5EB2" w:rsidP="002A5EB2">
      <w:pPr>
        <w:pStyle w:val="SingleTxtG"/>
        <w:rPr>
          <w:lang w:val="fr-FR"/>
        </w:rPr>
      </w:pPr>
      <w:r w:rsidRPr="001A3179">
        <w:rPr>
          <w:lang w:val="fr-FR"/>
        </w:rPr>
        <w:t>46.</w:t>
      </w:r>
      <w:r w:rsidRPr="001A3179">
        <w:rPr>
          <w:lang w:val="fr-FR"/>
        </w:rPr>
        <w:tab/>
        <w:t>Les données ci-après portent sur l</w:t>
      </w:r>
      <w:r>
        <w:rPr>
          <w:lang w:val="fr-FR"/>
        </w:rPr>
        <w:t>’</w:t>
      </w:r>
      <w:r w:rsidRPr="001A3179">
        <w:rPr>
          <w:lang w:val="fr-FR"/>
        </w:rPr>
        <w:t>infraction pénale de torture visée à l</w:t>
      </w:r>
      <w:r>
        <w:rPr>
          <w:lang w:val="fr-FR"/>
        </w:rPr>
        <w:t>’</w:t>
      </w:r>
      <w:r w:rsidRPr="001A3179">
        <w:rPr>
          <w:lang w:val="fr-FR"/>
        </w:rPr>
        <w:t>article</w:t>
      </w:r>
      <w:r w:rsidR="00EE34FC">
        <w:rPr>
          <w:lang w:val="fr-FR"/>
        </w:rPr>
        <w:t> </w:t>
      </w:r>
      <w:r w:rsidRPr="001A3179">
        <w:rPr>
          <w:lang w:val="fr-FR"/>
        </w:rPr>
        <w:t xml:space="preserve">135a du </w:t>
      </w:r>
      <w:bookmarkStart w:id="10" w:name="_Hlk37914518"/>
      <w:r w:rsidRPr="001A3179">
        <w:rPr>
          <w:lang w:val="fr-FR"/>
        </w:rPr>
        <w:t xml:space="preserve">Code pénal modifié </w:t>
      </w:r>
      <w:bookmarkEnd w:id="10"/>
      <w:r w:rsidRPr="001A3179">
        <w:rPr>
          <w:lang w:val="fr-FR"/>
        </w:rPr>
        <w:t>(art</w:t>
      </w:r>
      <w:r w:rsidR="00EE34FC">
        <w:rPr>
          <w:lang w:val="fr-FR"/>
        </w:rPr>
        <w:t>. </w:t>
      </w:r>
      <w:r w:rsidRPr="001A3179">
        <w:rPr>
          <w:lang w:val="fr-FR"/>
        </w:rPr>
        <w:t>265 de l</w:t>
      </w:r>
      <w:r>
        <w:rPr>
          <w:lang w:val="fr-FR"/>
        </w:rPr>
        <w:t>’</w:t>
      </w:r>
      <w:r w:rsidRPr="001A3179">
        <w:rPr>
          <w:lang w:val="fr-FR"/>
        </w:rPr>
        <w:t xml:space="preserve">ancien Code pénal). Sont aussi fournies des données sur des </w:t>
      </w:r>
      <w:bookmarkStart w:id="11" w:name="_Hlk38606479"/>
      <w:r w:rsidRPr="001A3179">
        <w:rPr>
          <w:lang w:val="fr-FR"/>
        </w:rPr>
        <w:t>infractions pénales comportant des éléments de traitements cruels, inhumains ou dégradants</w:t>
      </w:r>
      <w:bookmarkEnd w:id="11"/>
      <w:r w:rsidRPr="001A3179">
        <w:rPr>
          <w:lang w:val="fr-FR"/>
        </w:rPr>
        <w:t>, à savoir les infractions visées à l</w:t>
      </w:r>
      <w:r>
        <w:rPr>
          <w:lang w:val="fr-FR"/>
        </w:rPr>
        <w:t>’</w:t>
      </w:r>
      <w:r w:rsidRPr="001A3179">
        <w:rPr>
          <w:lang w:val="fr-FR"/>
        </w:rPr>
        <w:t>article 267 du Code pénal modifié (extorsion d</w:t>
      </w:r>
      <w:r>
        <w:rPr>
          <w:lang w:val="fr-FR"/>
        </w:rPr>
        <w:t>’</w:t>
      </w:r>
      <w:r w:rsidRPr="001A3179">
        <w:rPr>
          <w:lang w:val="fr-FR"/>
        </w:rPr>
        <w:t>une déclaration) ou à l</w:t>
      </w:r>
      <w:r>
        <w:rPr>
          <w:lang w:val="fr-FR"/>
        </w:rPr>
        <w:t>’</w:t>
      </w:r>
      <w:r w:rsidRPr="001A3179">
        <w:rPr>
          <w:lang w:val="fr-FR"/>
        </w:rPr>
        <w:t>article 271 de l</w:t>
      </w:r>
      <w:r>
        <w:rPr>
          <w:lang w:val="fr-FR"/>
        </w:rPr>
        <w:t>’</w:t>
      </w:r>
      <w:r w:rsidRPr="001A3179">
        <w:rPr>
          <w:lang w:val="fr-FR"/>
        </w:rPr>
        <w:t>ancien Code pénal</w:t>
      </w:r>
      <w:r w:rsidRPr="0017324C">
        <w:rPr>
          <w:rStyle w:val="Appelnotedebasdep"/>
        </w:rPr>
        <w:footnoteReference w:id="21"/>
      </w:r>
      <w:r w:rsidRPr="001A3179">
        <w:rPr>
          <w:lang w:val="fr-FR"/>
        </w:rPr>
        <w:t xml:space="preserve"> et à l</w:t>
      </w:r>
      <w:r>
        <w:rPr>
          <w:lang w:val="fr-FR"/>
        </w:rPr>
        <w:t>’</w:t>
      </w:r>
      <w:r w:rsidRPr="001A3179">
        <w:rPr>
          <w:lang w:val="fr-FR"/>
        </w:rPr>
        <w:t xml:space="preserve">article 266 du Code </w:t>
      </w:r>
      <w:r w:rsidRPr="001A3179">
        <w:rPr>
          <w:lang w:val="fr-FR"/>
        </w:rPr>
        <w:lastRenderedPageBreak/>
        <w:t>pénal modifié (atteinte à la dignité humaine par abus de position officielle) ou à l</w:t>
      </w:r>
      <w:r>
        <w:rPr>
          <w:lang w:val="fr-FR"/>
        </w:rPr>
        <w:t>’</w:t>
      </w:r>
      <w:r w:rsidRPr="001A3179">
        <w:rPr>
          <w:lang w:val="fr-FR"/>
        </w:rPr>
        <w:t>article 270 de l</w:t>
      </w:r>
      <w:r>
        <w:rPr>
          <w:lang w:val="fr-FR"/>
        </w:rPr>
        <w:t>’</w:t>
      </w:r>
      <w:r w:rsidRPr="001A3179">
        <w:rPr>
          <w:lang w:val="fr-FR"/>
        </w:rPr>
        <w:t>ancien Code pénal. Ces données statistiques portent sur la période du 1</w:t>
      </w:r>
      <w:r w:rsidRPr="001A3179">
        <w:rPr>
          <w:vertAlign w:val="superscript"/>
          <w:lang w:val="fr-FR"/>
        </w:rPr>
        <w:t>er</w:t>
      </w:r>
      <w:r w:rsidR="00EE34FC">
        <w:rPr>
          <w:lang w:val="fr-FR"/>
        </w:rPr>
        <w:t> </w:t>
      </w:r>
      <w:r w:rsidRPr="001A3179">
        <w:rPr>
          <w:lang w:val="fr-FR"/>
        </w:rPr>
        <w:t>janvier 2010 au 27</w:t>
      </w:r>
      <w:r w:rsidR="00EE34FC">
        <w:rPr>
          <w:lang w:val="fr-FR"/>
        </w:rPr>
        <w:t> </w:t>
      </w:r>
      <w:r w:rsidRPr="001A3179">
        <w:rPr>
          <w:lang w:val="fr-FR"/>
        </w:rPr>
        <w:t>novembre 2017 ; elles ne sont pas ventilées par ethnie, âge et sexe.</w:t>
      </w:r>
    </w:p>
    <w:p w14:paraId="13F93A99" w14:textId="77777777" w:rsidR="002A5EB2" w:rsidRPr="001A3179" w:rsidRDefault="002A5EB2" w:rsidP="002A5EB2">
      <w:pPr>
        <w:pStyle w:val="SingleTxtG"/>
        <w:rPr>
          <w:lang w:val="fr-FR"/>
        </w:rPr>
      </w:pPr>
      <w:r w:rsidRPr="001A3179">
        <w:rPr>
          <w:lang w:val="fr-FR"/>
        </w:rPr>
        <w:t>47.</w:t>
      </w:r>
      <w:r w:rsidRPr="001A3179">
        <w:rPr>
          <w:lang w:val="fr-FR"/>
        </w:rPr>
        <w:tab/>
      </w:r>
      <w:bookmarkStart w:id="12" w:name="_Hlk38606819"/>
      <w:r w:rsidRPr="001A3179">
        <w:rPr>
          <w:lang w:val="fr-FR"/>
        </w:rPr>
        <w:t>Le tableau 1 ci-après présente un aperçu statistique général des infractions pénales en question ventilées par parquet pour la période du 1</w:t>
      </w:r>
      <w:r w:rsidRPr="001A3179">
        <w:rPr>
          <w:vertAlign w:val="superscript"/>
          <w:lang w:val="fr-FR"/>
        </w:rPr>
        <w:t>er</w:t>
      </w:r>
      <w:r w:rsidR="00EE34FC">
        <w:rPr>
          <w:lang w:val="fr-FR"/>
        </w:rPr>
        <w:t> </w:t>
      </w:r>
      <w:r w:rsidRPr="001A3179">
        <w:rPr>
          <w:lang w:val="fr-FR"/>
        </w:rPr>
        <w:t>janvier 2010 au 27</w:t>
      </w:r>
      <w:r w:rsidR="00EE34FC">
        <w:rPr>
          <w:lang w:val="fr-FR"/>
        </w:rPr>
        <w:t> </w:t>
      </w:r>
      <w:r w:rsidRPr="001A3179">
        <w:rPr>
          <w:lang w:val="fr-FR"/>
        </w:rPr>
        <w:t>novembre 2017.</w:t>
      </w:r>
      <w:bookmarkEnd w:id="12"/>
    </w:p>
    <w:tbl>
      <w:tblPr>
        <w:tblW w:w="7370" w:type="dxa"/>
        <w:tblInd w:w="1134" w:type="dxa"/>
        <w:tblLayout w:type="fixed"/>
        <w:tblCellMar>
          <w:left w:w="0" w:type="dxa"/>
          <w:right w:w="0" w:type="dxa"/>
        </w:tblCellMar>
        <w:tblLook w:val="0000" w:firstRow="0" w:lastRow="0" w:firstColumn="0" w:lastColumn="0" w:noHBand="0" w:noVBand="0"/>
      </w:tblPr>
      <w:tblGrid>
        <w:gridCol w:w="3119"/>
        <w:gridCol w:w="1417"/>
        <w:gridCol w:w="1417"/>
        <w:gridCol w:w="1417"/>
      </w:tblGrid>
      <w:tr w:rsidR="002A5EB2" w:rsidRPr="00C637D8" w14:paraId="71A89861" w14:textId="77777777" w:rsidTr="00C637D8">
        <w:trPr>
          <w:tblHeader/>
        </w:trPr>
        <w:tc>
          <w:tcPr>
            <w:tcW w:w="3119" w:type="dxa"/>
            <w:tcBorders>
              <w:top w:val="single" w:sz="4" w:space="0" w:color="auto"/>
              <w:bottom w:val="single" w:sz="12" w:space="0" w:color="auto"/>
            </w:tcBorders>
            <w:shd w:val="clear" w:color="auto" w:fill="auto"/>
            <w:tcMar>
              <w:right w:w="113" w:type="dxa"/>
            </w:tcMar>
            <w:vAlign w:val="bottom"/>
          </w:tcPr>
          <w:p w14:paraId="5B49C9AF" w14:textId="77777777" w:rsidR="002A5EB2" w:rsidRPr="00C637D8" w:rsidRDefault="002A5EB2" w:rsidP="00C637D8">
            <w:pPr>
              <w:suppressAutoHyphens w:val="0"/>
              <w:spacing w:before="80" w:after="80" w:line="200" w:lineRule="exact"/>
              <w:rPr>
                <w:i/>
                <w:sz w:val="16"/>
                <w:lang w:val="fr-FR"/>
              </w:rPr>
            </w:pPr>
            <w:r w:rsidRPr="00C637D8">
              <w:rPr>
                <w:i/>
                <w:sz w:val="16"/>
                <w:lang w:val="fr-FR"/>
              </w:rPr>
              <w:t>Parquet/</w:t>
            </w:r>
            <w:r w:rsidR="00EE34FC">
              <w:rPr>
                <w:i/>
                <w:sz w:val="16"/>
                <w:lang w:val="fr-FR"/>
              </w:rPr>
              <w:br/>
            </w:r>
            <w:r w:rsidRPr="00C637D8">
              <w:rPr>
                <w:i/>
                <w:sz w:val="16"/>
                <w:lang w:val="fr-FR"/>
              </w:rPr>
              <w:t>événement</w:t>
            </w:r>
          </w:p>
        </w:tc>
        <w:tc>
          <w:tcPr>
            <w:tcW w:w="1417" w:type="dxa"/>
            <w:tcBorders>
              <w:top w:val="single" w:sz="4" w:space="0" w:color="auto"/>
              <w:bottom w:val="single" w:sz="12" w:space="0" w:color="auto"/>
            </w:tcBorders>
            <w:shd w:val="clear" w:color="auto" w:fill="auto"/>
            <w:tcMar>
              <w:right w:w="113" w:type="dxa"/>
            </w:tcMar>
            <w:vAlign w:val="bottom"/>
          </w:tcPr>
          <w:p w14:paraId="38CB3111" w14:textId="77777777" w:rsidR="002A5EB2" w:rsidRPr="00C637D8" w:rsidRDefault="002A5EB2" w:rsidP="00C637D8">
            <w:pPr>
              <w:suppressAutoHyphens w:val="0"/>
              <w:spacing w:before="80" w:after="80" w:line="200" w:lineRule="exact"/>
              <w:jc w:val="right"/>
              <w:rPr>
                <w:i/>
                <w:sz w:val="16"/>
                <w:lang w:val="fr-FR"/>
              </w:rPr>
            </w:pPr>
            <w:r w:rsidRPr="00C637D8">
              <w:rPr>
                <w:bCs/>
                <w:i/>
                <w:sz w:val="16"/>
                <w:lang w:val="fr-FR"/>
              </w:rPr>
              <w:t>Section spéciale</w:t>
            </w:r>
          </w:p>
        </w:tc>
        <w:tc>
          <w:tcPr>
            <w:tcW w:w="1417" w:type="dxa"/>
            <w:tcBorders>
              <w:top w:val="single" w:sz="4" w:space="0" w:color="auto"/>
              <w:bottom w:val="single" w:sz="12" w:space="0" w:color="auto"/>
            </w:tcBorders>
            <w:shd w:val="clear" w:color="auto" w:fill="auto"/>
            <w:tcMar>
              <w:right w:w="113" w:type="dxa"/>
            </w:tcMar>
            <w:vAlign w:val="bottom"/>
          </w:tcPr>
          <w:p w14:paraId="662621A1" w14:textId="77777777" w:rsidR="002A5EB2" w:rsidRPr="00C637D8" w:rsidRDefault="002A5EB2" w:rsidP="00C637D8">
            <w:pPr>
              <w:suppressAutoHyphens w:val="0"/>
              <w:spacing w:before="80" w:after="80" w:line="200" w:lineRule="exact"/>
              <w:jc w:val="right"/>
              <w:rPr>
                <w:bCs/>
                <w:i/>
                <w:sz w:val="16"/>
                <w:lang w:val="fr-FR"/>
              </w:rPr>
            </w:pPr>
            <w:r w:rsidRPr="00C637D8">
              <w:rPr>
                <w:bCs/>
                <w:i/>
                <w:sz w:val="16"/>
                <w:lang w:val="fr-FR"/>
              </w:rPr>
              <w:t>Parquet du Procureur d’État</w:t>
            </w:r>
          </w:p>
        </w:tc>
        <w:tc>
          <w:tcPr>
            <w:tcW w:w="1417" w:type="dxa"/>
            <w:tcBorders>
              <w:top w:val="single" w:sz="4" w:space="0" w:color="auto"/>
              <w:bottom w:val="single" w:sz="12" w:space="0" w:color="auto"/>
            </w:tcBorders>
            <w:shd w:val="clear" w:color="auto" w:fill="auto"/>
            <w:tcMar>
              <w:right w:w="113" w:type="dxa"/>
            </w:tcMar>
            <w:vAlign w:val="bottom"/>
          </w:tcPr>
          <w:p w14:paraId="5FE51020" w14:textId="77777777" w:rsidR="002A5EB2" w:rsidRPr="00C637D8" w:rsidRDefault="002A5EB2" w:rsidP="00C637D8">
            <w:pPr>
              <w:suppressAutoHyphens w:val="0"/>
              <w:spacing w:before="80" w:after="80" w:line="200" w:lineRule="exact"/>
              <w:jc w:val="right"/>
              <w:rPr>
                <w:bCs/>
                <w:i/>
                <w:sz w:val="16"/>
                <w:lang w:val="fr-FR"/>
              </w:rPr>
            </w:pPr>
            <w:r w:rsidRPr="00C637D8">
              <w:rPr>
                <w:bCs/>
                <w:i/>
                <w:sz w:val="16"/>
                <w:lang w:val="fr-FR"/>
              </w:rPr>
              <w:t xml:space="preserve">Autres </w:t>
            </w:r>
            <w:r w:rsidR="00C637D8">
              <w:rPr>
                <w:bCs/>
                <w:i/>
                <w:sz w:val="16"/>
                <w:lang w:val="fr-FR"/>
              </w:rPr>
              <w:br/>
            </w:r>
            <w:r w:rsidRPr="00C637D8">
              <w:rPr>
                <w:bCs/>
                <w:i/>
                <w:sz w:val="16"/>
                <w:lang w:val="fr-FR"/>
              </w:rPr>
              <w:t>parquets</w:t>
            </w:r>
          </w:p>
        </w:tc>
      </w:tr>
      <w:tr w:rsidR="002A5EB2" w:rsidRPr="00C637D8" w14:paraId="12E24C78" w14:textId="77777777" w:rsidTr="00C637D8">
        <w:tc>
          <w:tcPr>
            <w:tcW w:w="3119" w:type="dxa"/>
            <w:tcBorders>
              <w:top w:val="single" w:sz="12" w:space="0" w:color="auto"/>
            </w:tcBorders>
            <w:shd w:val="clear" w:color="auto" w:fill="auto"/>
            <w:tcMar>
              <w:right w:w="113" w:type="dxa"/>
            </w:tcMar>
          </w:tcPr>
          <w:p w14:paraId="6BEAABA2" w14:textId="77777777" w:rsidR="002A5EB2" w:rsidRPr="00C637D8" w:rsidRDefault="002A5EB2" w:rsidP="00C637D8">
            <w:pPr>
              <w:suppressAutoHyphens w:val="0"/>
              <w:spacing w:before="40" w:after="40" w:line="220" w:lineRule="exact"/>
              <w:rPr>
                <w:sz w:val="18"/>
                <w:lang w:val="fr-FR"/>
              </w:rPr>
            </w:pPr>
            <w:r w:rsidRPr="00C637D8">
              <w:rPr>
                <w:bCs/>
                <w:sz w:val="18"/>
                <w:lang w:val="fr-FR"/>
              </w:rPr>
              <w:t>Plainte pénale</w:t>
            </w:r>
          </w:p>
        </w:tc>
        <w:tc>
          <w:tcPr>
            <w:tcW w:w="1417" w:type="dxa"/>
            <w:tcBorders>
              <w:top w:val="single" w:sz="12" w:space="0" w:color="auto"/>
            </w:tcBorders>
            <w:shd w:val="clear" w:color="auto" w:fill="auto"/>
            <w:tcMar>
              <w:right w:w="113" w:type="dxa"/>
            </w:tcMar>
            <w:vAlign w:val="bottom"/>
          </w:tcPr>
          <w:p w14:paraId="24C7635C"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18</w:t>
            </w:r>
          </w:p>
        </w:tc>
        <w:tc>
          <w:tcPr>
            <w:tcW w:w="1417" w:type="dxa"/>
            <w:tcBorders>
              <w:top w:val="single" w:sz="12" w:space="0" w:color="auto"/>
            </w:tcBorders>
            <w:shd w:val="clear" w:color="auto" w:fill="auto"/>
            <w:tcMar>
              <w:right w:w="113" w:type="dxa"/>
            </w:tcMar>
            <w:vAlign w:val="bottom"/>
          </w:tcPr>
          <w:p w14:paraId="103B7D7E"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2</w:t>
            </w:r>
          </w:p>
        </w:tc>
        <w:tc>
          <w:tcPr>
            <w:tcW w:w="1417" w:type="dxa"/>
            <w:tcBorders>
              <w:top w:val="single" w:sz="12" w:space="0" w:color="auto"/>
            </w:tcBorders>
            <w:shd w:val="clear" w:color="auto" w:fill="auto"/>
            <w:tcMar>
              <w:right w:w="113" w:type="dxa"/>
            </w:tcMar>
            <w:vAlign w:val="bottom"/>
          </w:tcPr>
          <w:p w14:paraId="5549FFAC"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148</w:t>
            </w:r>
          </w:p>
        </w:tc>
      </w:tr>
      <w:tr w:rsidR="002A5EB2" w:rsidRPr="00C637D8" w14:paraId="586B1F81" w14:textId="77777777" w:rsidTr="00C637D8">
        <w:tc>
          <w:tcPr>
            <w:tcW w:w="3119" w:type="dxa"/>
            <w:shd w:val="clear" w:color="auto" w:fill="auto"/>
            <w:tcMar>
              <w:right w:w="113" w:type="dxa"/>
            </w:tcMar>
          </w:tcPr>
          <w:p w14:paraId="0E9C490D" w14:textId="77777777" w:rsidR="002A5EB2" w:rsidRPr="00C637D8" w:rsidRDefault="002A5EB2" w:rsidP="00C637D8">
            <w:pPr>
              <w:suppressAutoHyphens w:val="0"/>
              <w:spacing w:before="40" w:after="40" w:line="220" w:lineRule="exact"/>
              <w:rPr>
                <w:sz w:val="18"/>
                <w:lang w:val="fr-FR"/>
              </w:rPr>
            </w:pPr>
            <w:r w:rsidRPr="00C637D8">
              <w:rPr>
                <w:bCs/>
                <w:sz w:val="18"/>
                <w:lang w:val="fr-FR"/>
              </w:rPr>
              <w:t xml:space="preserve">Plainte pénale réglée autrement </w:t>
            </w:r>
          </w:p>
        </w:tc>
        <w:tc>
          <w:tcPr>
            <w:tcW w:w="1417" w:type="dxa"/>
            <w:shd w:val="clear" w:color="auto" w:fill="auto"/>
            <w:tcMar>
              <w:right w:w="113" w:type="dxa"/>
            </w:tcMar>
            <w:vAlign w:val="bottom"/>
          </w:tcPr>
          <w:p w14:paraId="1CAB26B5"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w:t>
            </w:r>
          </w:p>
        </w:tc>
        <w:tc>
          <w:tcPr>
            <w:tcW w:w="1417" w:type="dxa"/>
            <w:shd w:val="clear" w:color="auto" w:fill="auto"/>
            <w:tcMar>
              <w:right w:w="113" w:type="dxa"/>
            </w:tcMar>
            <w:vAlign w:val="bottom"/>
          </w:tcPr>
          <w:p w14:paraId="6CF89CF5" w14:textId="77777777" w:rsidR="002A5EB2" w:rsidRPr="00C637D8" w:rsidRDefault="002A5EB2" w:rsidP="00C637D8">
            <w:pPr>
              <w:suppressAutoHyphens w:val="0"/>
              <w:spacing w:before="40" w:after="40" w:line="220" w:lineRule="exact"/>
              <w:jc w:val="right"/>
              <w:rPr>
                <w:sz w:val="18"/>
                <w:lang w:val="fr-FR"/>
              </w:rPr>
            </w:pPr>
          </w:p>
        </w:tc>
        <w:tc>
          <w:tcPr>
            <w:tcW w:w="1417" w:type="dxa"/>
            <w:shd w:val="clear" w:color="auto" w:fill="auto"/>
            <w:tcMar>
              <w:right w:w="113" w:type="dxa"/>
            </w:tcMar>
            <w:vAlign w:val="bottom"/>
          </w:tcPr>
          <w:p w14:paraId="18AA4D7B"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8</w:t>
            </w:r>
          </w:p>
        </w:tc>
      </w:tr>
      <w:tr w:rsidR="002A5EB2" w:rsidRPr="00C637D8" w14:paraId="267F5E8A" w14:textId="77777777" w:rsidTr="00C637D8">
        <w:tc>
          <w:tcPr>
            <w:tcW w:w="3119" w:type="dxa"/>
            <w:shd w:val="clear" w:color="auto" w:fill="auto"/>
            <w:tcMar>
              <w:right w:w="113" w:type="dxa"/>
            </w:tcMar>
          </w:tcPr>
          <w:p w14:paraId="20A47E11" w14:textId="77777777" w:rsidR="002A5EB2" w:rsidRPr="00C637D8" w:rsidRDefault="002A5EB2" w:rsidP="00C637D8">
            <w:pPr>
              <w:suppressAutoHyphens w:val="0"/>
              <w:spacing w:before="40" w:after="40" w:line="220" w:lineRule="exact"/>
              <w:rPr>
                <w:sz w:val="18"/>
                <w:lang w:val="fr-FR"/>
              </w:rPr>
            </w:pPr>
            <w:r w:rsidRPr="00C637D8">
              <w:rPr>
                <w:bCs/>
                <w:sz w:val="18"/>
                <w:lang w:val="fr-FR"/>
              </w:rPr>
              <w:t>Demande d’enquête</w:t>
            </w:r>
          </w:p>
        </w:tc>
        <w:tc>
          <w:tcPr>
            <w:tcW w:w="1417" w:type="dxa"/>
            <w:shd w:val="clear" w:color="auto" w:fill="auto"/>
            <w:tcMar>
              <w:right w:w="113" w:type="dxa"/>
            </w:tcMar>
            <w:vAlign w:val="bottom"/>
          </w:tcPr>
          <w:p w14:paraId="618522B9" w14:textId="77777777" w:rsidR="002A5EB2" w:rsidRPr="00C637D8" w:rsidRDefault="002A5EB2" w:rsidP="00C637D8">
            <w:pPr>
              <w:suppressAutoHyphens w:val="0"/>
              <w:spacing w:before="40" w:after="40" w:line="220" w:lineRule="exact"/>
              <w:jc w:val="right"/>
              <w:rPr>
                <w:sz w:val="18"/>
                <w:lang w:val="fr-FR"/>
              </w:rPr>
            </w:pPr>
          </w:p>
        </w:tc>
        <w:tc>
          <w:tcPr>
            <w:tcW w:w="1417" w:type="dxa"/>
            <w:shd w:val="clear" w:color="auto" w:fill="auto"/>
            <w:tcMar>
              <w:right w:w="113" w:type="dxa"/>
            </w:tcMar>
            <w:vAlign w:val="bottom"/>
          </w:tcPr>
          <w:p w14:paraId="4B91F729"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2</w:t>
            </w:r>
          </w:p>
        </w:tc>
        <w:tc>
          <w:tcPr>
            <w:tcW w:w="1417" w:type="dxa"/>
            <w:shd w:val="clear" w:color="auto" w:fill="auto"/>
            <w:tcMar>
              <w:right w:w="113" w:type="dxa"/>
            </w:tcMar>
            <w:vAlign w:val="bottom"/>
          </w:tcPr>
          <w:p w14:paraId="39C3C593"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4</w:t>
            </w:r>
          </w:p>
        </w:tc>
      </w:tr>
      <w:tr w:rsidR="002A5EB2" w:rsidRPr="00C637D8" w14:paraId="78E057CA" w14:textId="77777777" w:rsidTr="00C637D8">
        <w:tc>
          <w:tcPr>
            <w:tcW w:w="3119" w:type="dxa"/>
            <w:shd w:val="clear" w:color="auto" w:fill="auto"/>
            <w:tcMar>
              <w:right w:w="113" w:type="dxa"/>
            </w:tcMar>
          </w:tcPr>
          <w:p w14:paraId="7F5A8834" w14:textId="77777777" w:rsidR="002A5EB2" w:rsidRPr="00C637D8" w:rsidRDefault="002A5EB2" w:rsidP="00C637D8">
            <w:pPr>
              <w:suppressAutoHyphens w:val="0"/>
              <w:spacing w:before="40" w:after="40" w:line="220" w:lineRule="exact"/>
              <w:rPr>
                <w:sz w:val="18"/>
                <w:lang w:val="fr-FR"/>
              </w:rPr>
            </w:pPr>
            <w:r w:rsidRPr="00C637D8">
              <w:rPr>
                <w:bCs/>
                <w:sz w:val="18"/>
                <w:lang w:val="fr-FR"/>
              </w:rPr>
              <w:t>Décision de rejet de la plainte pénale</w:t>
            </w:r>
          </w:p>
        </w:tc>
        <w:tc>
          <w:tcPr>
            <w:tcW w:w="1417" w:type="dxa"/>
            <w:shd w:val="clear" w:color="auto" w:fill="auto"/>
            <w:tcMar>
              <w:right w:w="113" w:type="dxa"/>
            </w:tcMar>
            <w:vAlign w:val="bottom"/>
          </w:tcPr>
          <w:p w14:paraId="4F283C4F"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20</w:t>
            </w:r>
          </w:p>
        </w:tc>
        <w:tc>
          <w:tcPr>
            <w:tcW w:w="1417" w:type="dxa"/>
            <w:shd w:val="clear" w:color="auto" w:fill="auto"/>
            <w:tcMar>
              <w:right w:w="113" w:type="dxa"/>
            </w:tcMar>
            <w:vAlign w:val="bottom"/>
          </w:tcPr>
          <w:p w14:paraId="559E81A2" w14:textId="77777777" w:rsidR="002A5EB2" w:rsidRPr="00C637D8" w:rsidRDefault="002A5EB2" w:rsidP="00C637D8">
            <w:pPr>
              <w:suppressAutoHyphens w:val="0"/>
              <w:spacing w:before="40" w:after="40" w:line="220" w:lineRule="exact"/>
              <w:jc w:val="right"/>
              <w:rPr>
                <w:sz w:val="18"/>
                <w:lang w:val="fr-FR"/>
              </w:rPr>
            </w:pPr>
          </w:p>
        </w:tc>
        <w:tc>
          <w:tcPr>
            <w:tcW w:w="1417" w:type="dxa"/>
            <w:shd w:val="clear" w:color="auto" w:fill="auto"/>
            <w:tcMar>
              <w:right w:w="113" w:type="dxa"/>
            </w:tcMar>
            <w:vAlign w:val="bottom"/>
          </w:tcPr>
          <w:p w14:paraId="3CE00303"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143</w:t>
            </w:r>
          </w:p>
        </w:tc>
      </w:tr>
      <w:tr w:rsidR="002A5EB2" w:rsidRPr="00C637D8" w14:paraId="1788E993" w14:textId="77777777" w:rsidTr="00C637D8">
        <w:tc>
          <w:tcPr>
            <w:tcW w:w="3119" w:type="dxa"/>
            <w:shd w:val="clear" w:color="auto" w:fill="auto"/>
            <w:tcMar>
              <w:right w:w="113" w:type="dxa"/>
            </w:tcMar>
          </w:tcPr>
          <w:p w14:paraId="5194C815" w14:textId="77777777" w:rsidR="002A5EB2" w:rsidRPr="00C637D8" w:rsidRDefault="002A5EB2" w:rsidP="00C637D8">
            <w:pPr>
              <w:suppressAutoHyphens w:val="0"/>
              <w:spacing w:before="40" w:after="40" w:line="220" w:lineRule="exact"/>
              <w:rPr>
                <w:sz w:val="18"/>
                <w:lang w:val="fr-FR"/>
              </w:rPr>
            </w:pPr>
            <w:r w:rsidRPr="00C637D8">
              <w:rPr>
                <w:bCs/>
                <w:sz w:val="18"/>
                <w:lang w:val="fr-FR"/>
              </w:rPr>
              <w:t>Mise en accusation</w:t>
            </w:r>
          </w:p>
        </w:tc>
        <w:tc>
          <w:tcPr>
            <w:tcW w:w="1417" w:type="dxa"/>
            <w:shd w:val="clear" w:color="auto" w:fill="auto"/>
            <w:tcMar>
              <w:right w:w="113" w:type="dxa"/>
            </w:tcMar>
            <w:vAlign w:val="bottom"/>
          </w:tcPr>
          <w:p w14:paraId="53CCB674"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w:t>
            </w:r>
          </w:p>
        </w:tc>
        <w:tc>
          <w:tcPr>
            <w:tcW w:w="1417" w:type="dxa"/>
            <w:shd w:val="clear" w:color="auto" w:fill="auto"/>
            <w:tcMar>
              <w:right w:w="113" w:type="dxa"/>
            </w:tcMar>
            <w:vAlign w:val="bottom"/>
          </w:tcPr>
          <w:p w14:paraId="6F805E66"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2</w:t>
            </w:r>
          </w:p>
        </w:tc>
        <w:tc>
          <w:tcPr>
            <w:tcW w:w="1417" w:type="dxa"/>
            <w:shd w:val="clear" w:color="auto" w:fill="auto"/>
            <w:tcMar>
              <w:right w:w="113" w:type="dxa"/>
            </w:tcMar>
            <w:vAlign w:val="bottom"/>
          </w:tcPr>
          <w:p w14:paraId="2AB25C3A"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9</w:t>
            </w:r>
          </w:p>
        </w:tc>
      </w:tr>
      <w:tr w:rsidR="002A5EB2" w:rsidRPr="00C637D8" w14:paraId="4F058B68" w14:textId="77777777" w:rsidTr="006068D2">
        <w:tc>
          <w:tcPr>
            <w:tcW w:w="3119" w:type="dxa"/>
            <w:tcBorders>
              <w:bottom w:val="single" w:sz="4" w:space="0" w:color="auto"/>
            </w:tcBorders>
            <w:shd w:val="clear" w:color="auto" w:fill="auto"/>
            <w:tcMar>
              <w:right w:w="113" w:type="dxa"/>
            </w:tcMar>
          </w:tcPr>
          <w:p w14:paraId="7A757155" w14:textId="77777777" w:rsidR="002A5EB2" w:rsidRPr="00C637D8" w:rsidRDefault="002A5EB2" w:rsidP="00C637D8">
            <w:pPr>
              <w:suppressAutoHyphens w:val="0"/>
              <w:spacing w:before="40" w:after="40" w:line="220" w:lineRule="exact"/>
              <w:rPr>
                <w:sz w:val="18"/>
                <w:lang w:val="fr-FR"/>
              </w:rPr>
            </w:pPr>
            <w:r w:rsidRPr="00C637D8">
              <w:rPr>
                <w:bCs/>
                <w:sz w:val="18"/>
                <w:lang w:val="fr-FR"/>
              </w:rPr>
              <w:t>Abandon des poursuites</w:t>
            </w:r>
          </w:p>
        </w:tc>
        <w:tc>
          <w:tcPr>
            <w:tcW w:w="1417" w:type="dxa"/>
            <w:tcBorders>
              <w:bottom w:val="single" w:sz="4" w:space="0" w:color="auto"/>
            </w:tcBorders>
            <w:shd w:val="clear" w:color="auto" w:fill="auto"/>
            <w:tcMar>
              <w:right w:w="113" w:type="dxa"/>
            </w:tcMar>
            <w:vAlign w:val="bottom"/>
          </w:tcPr>
          <w:p w14:paraId="0689CE48"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w:t>
            </w:r>
          </w:p>
        </w:tc>
        <w:tc>
          <w:tcPr>
            <w:tcW w:w="1417" w:type="dxa"/>
            <w:tcBorders>
              <w:bottom w:val="single" w:sz="4" w:space="0" w:color="auto"/>
            </w:tcBorders>
            <w:shd w:val="clear" w:color="auto" w:fill="auto"/>
            <w:tcMar>
              <w:right w:w="113" w:type="dxa"/>
            </w:tcMar>
            <w:vAlign w:val="bottom"/>
          </w:tcPr>
          <w:p w14:paraId="6FBB5221" w14:textId="77777777" w:rsidR="002A5EB2" w:rsidRPr="00C637D8" w:rsidRDefault="002A5EB2" w:rsidP="00C637D8">
            <w:pPr>
              <w:suppressAutoHyphens w:val="0"/>
              <w:spacing w:before="40" w:after="40" w:line="220" w:lineRule="exact"/>
              <w:jc w:val="right"/>
              <w:rPr>
                <w:sz w:val="18"/>
                <w:lang w:val="fr-FR"/>
              </w:rPr>
            </w:pPr>
          </w:p>
        </w:tc>
        <w:tc>
          <w:tcPr>
            <w:tcW w:w="1417" w:type="dxa"/>
            <w:tcBorders>
              <w:bottom w:val="single" w:sz="4" w:space="0" w:color="auto"/>
            </w:tcBorders>
            <w:shd w:val="clear" w:color="auto" w:fill="auto"/>
            <w:tcMar>
              <w:right w:w="113" w:type="dxa"/>
            </w:tcMar>
            <w:vAlign w:val="bottom"/>
          </w:tcPr>
          <w:p w14:paraId="004AC21D" w14:textId="77777777" w:rsidR="002A5EB2" w:rsidRPr="00C637D8" w:rsidRDefault="002A5EB2" w:rsidP="00C637D8">
            <w:pPr>
              <w:suppressAutoHyphens w:val="0"/>
              <w:spacing w:before="40" w:after="40" w:line="220" w:lineRule="exact"/>
              <w:jc w:val="right"/>
              <w:rPr>
                <w:sz w:val="18"/>
                <w:lang w:val="fr-FR"/>
              </w:rPr>
            </w:pPr>
            <w:r w:rsidRPr="00C637D8">
              <w:rPr>
                <w:sz w:val="18"/>
                <w:lang w:val="fr-FR"/>
              </w:rPr>
              <w:t>1</w:t>
            </w:r>
          </w:p>
        </w:tc>
      </w:tr>
      <w:tr w:rsidR="002A5EB2" w:rsidRPr="00C637D8" w14:paraId="42EC31FA" w14:textId="77777777" w:rsidTr="006068D2">
        <w:tc>
          <w:tcPr>
            <w:tcW w:w="3119" w:type="dxa"/>
            <w:tcBorders>
              <w:top w:val="single" w:sz="4" w:space="0" w:color="auto"/>
              <w:bottom w:val="single" w:sz="12" w:space="0" w:color="auto"/>
            </w:tcBorders>
            <w:shd w:val="clear" w:color="auto" w:fill="auto"/>
            <w:tcMar>
              <w:right w:w="113" w:type="dxa"/>
            </w:tcMar>
          </w:tcPr>
          <w:p w14:paraId="22C1E974" w14:textId="77777777" w:rsidR="002A5EB2" w:rsidRPr="00C637D8" w:rsidRDefault="002A5EB2" w:rsidP="00C637D8">
            <w:pPr>
              <w:suppressAutoHyphens w:val="0"/>
              <w:spacing w:before="80" w:after="80" w:line="220" w:lineRule="exact"/>
              <w:ind w:firstLine="284"/>
              <w:rPr>
                <w:b/>
                <w:sz w:val="18"/>
                <w:lang w:val="fr-FR"/>
              </w:rPr>
            </w:pPr>
            <w:r w:rsidRPr="00C637D8">
              <w:rPr>
                <w:b/>
                <w:sz w:val="18"/>
                <w:lang w:val="fr-FR"/>
              </w:rPr>
              <w:t>Total des plaintes traitées</w:t>
            </w:r>
          </w:p>
        </w:tc>
        <w:tc>
          <w:tcPr>
            <w:tcW w:w="1417" w:type="dxa"/>
            <w:tcBorders>
              <w:top w:val="single" w:sz="4" w:space="0" w:color="auto"/>
              <w:bottom w:val="single" w:sz="12" w:space="0" w:color="auto"/>
            </w:tcBorders>
            <w:shd w:val="clear" w:color="auto" w:fill="auto"/>
            <w:tcMar>
              <w:right w:w="113" w:type="dxa"/>
            </w:tcMar>
            <w:vAlign w:val="bottom"/>
          </w:tcPr>
          <w:p w14:paraId="0425D2BF" w14:textId="77777777" w:rsidR="002A5EB2" w:rsidRPr="00C637D8" w:rsidRDefault="002A5EB2" w:rsidP="00C637D8">
            <w:pPr>
              <w:suppressAutoHyphens w:val="0"/>
              <w:spacing w:before="80" w:after="80" w:line="220" w:lineRule="exact"/>
              <w:ind w:firstLine="284"/>
              <w:jc w:val="right"/>
              <w:rPr>
                <w:b/>
                <w:sz w:val="18"/>
                <w:lang w:val="fr-FR"/>
              </w:rPr>
            </w:pPr>
            <w:r w:rsidRPr="00C637D8">
              <w:rPr>
                <w:b/>
                <w:sz w:val="18"/>
                <w:lang w:val="fr-FR"/>
              </w:rPr>
              <w:t>23</w:t>
            </w:r>
          </w:p>
        </w:tc>
        <w:tc>
          <w:tcPr>
            <w:tcW w:w="1417" w:type="dxa"/>
            <w:tcBorders>
              <w:top w:val="single" w:sz="4" w:space="0" w:color="auto"/>
              <w:bottom w:val="single" w:sz="12" w:space="0" w:color="auto"/>
            </w:tcBorders>
            <w:shd w:val="clear" w:color="auto" w:fill="auto"/>
            <w:tcMar>
              <w:right w:w="113" w:type="dxa"/>
            </w:tcMar>
            <w:vAlign w:val="bottom"/>
          </w:tcPr>
          <w:p w14:paraId="3A12A76E" w14:textId="77777777" w:rsidR="002A5EB2" w:rsidRPr="00C637D8" w:rsidRDefault="002A5EB2" w:rsidP="00C637D8">
            <w:pPr>
              <w:suppressAutoHyphens w:val="0"/>
              <w:spacing w:before="80" w:after="80" w:line="220" w:lineRule="exact"/>
              <w:ind w:firstLine="284"/>
              <w:jc w:val="right"/>
              <w:rPr>
                <w:b/>
                <w:sz w:val="18"/>
                <w:lang w:val="fr-FR"/>
              </w:rPr>
            </w:pPr>
            <w:r w:rsidRPr="00C637D8">
              <w:rPr>
                <w:b/>
                <w:sz w:val="18"/>
                <w:lang w:val="fr-FR"/>
              </w:rPr>
              <w:t>4</w:t>
            </w:r>
          </w:p>
        </w:tc>
        <w:tc>
          <w:tcPr>
            <w:tcW w:w="1417" w:type="dxa"/>
            <w:tcBorders>
              <w:top w:val="single" w:sz="4" w:space="0" w:color="auto"/>
              <w:bottom w:val="single" w:sz="12" w:space="0" w:color="auto"/>
            </w:tcBorders>
            <w:shd w:val="clear" w:color="auto" w:fill="auto"/>
            <w:tcMar>
              <w:right w:w="113" w:type="dxa"/>
            </w:tcMar>
            <w:vAlign w:val="bottom"/>
          </w:tcPr>
          <w:p w14:paraId="78ADE9B8" w14:textId="77777777" w:rsidR="002A5EB2" w:rsidRPr="00C637D8" w:rsidRDefault="002A5EB2" w:rsidP="00C637D8">
            <w:pPr>
              <w:suppressAutoHyphens w:val="0"/>
              <w:spacing w:before="80" w:after="80" w:line="220" w:lineRule="exact"/>
              <w:ind w:firstLine="284"/>
              <w:jc w:val="right"/>
              <w:rPr>
                <w:b/>
                <w:sz w:val="18"/>
                <w:lang w:val="fr-FR"/>
              </w:rPr>
            </w:pPr>
            <w:r w:rsidRPr="00C637D8">
              <w:rPr>
                <w:b/>
                <w:sz w:val="18"/>
                <w:lang w:val="fr-FR"/>
              </w:rPr>
              <w:t>165</w:t>
            </w:r>
          </w:p>
        </w:tc>
      </w:tr>
    </w:tbl>
    <w:p w14:paraId="7A4620A7" w14:textId="77777777" w:rsidR="002A5EB2" w:rsidRPr="001A3179" w:rsidRDefault="002A5EB2" w:rsidP="00E73E2E">
      <w:pPr>
        <w:pStyle w:val="SingleTxtG"/>
        <w:spacing w:before="240"/>
        <w:rPr>
          <w:lang w:val="fr-FR"/>
        </w:rPr>
      </w:pPr>
      <w:r w:rsidRPr="00EE34FC">
        <w:rPr>
          <w:lang w:val="fr-FR"/>
        </w:rPr>
        <w:t>48.</w:t>
      </w:r>
      <w:r w:rsidRPr="00EE34FC">
        <w:rPr>
          <w:lang w:val="fr-FR"/>
        </w:rPr>
        <w:tab/>
        <w:t>Le tableau 2 ci-après présente les données relatives à la Section spéciale, par année.</w:t>
      </w:r>
    </w:p>
    <w:tbl>
      <w:tblPr>
        <w:tblW w:w="9639" w:type="dxa"/>
        <w:tblLayout w:type="fixed"/>
        <w:tblCellMar>
          <w:left w:w="0" w:type="dxa"/>
          <w:right w:w="0" w:type="dxa"/>
        </w:tblCellMar>
        <w:tblLook w:val="04A0" w:firstRow="1" w:lastRow="0" w:firstColumn="1" w:lastColumn="0" w:noHBand="0" w:noVBand="1"/>
      </w:tblPr>
      <w:tblGrid>
        <w:gridCol w:w="850"/>
        <w:gridCol w:w="851"/>
        <w:gridCol w:w="1134"/>
        <w:gridCol w:w="1134"/>
        <w:gridCol w:w="1134"/>
        <w:gridCol w:w="1134"/>
        <w:gridCol w:w="1134"/>
        <w:gridCol w:w="1134"/>
        <w:gridCol w:w="1134"/>
      </w:tblGrid>
      <w:tr w:rsidR="001C0B9F" w:rsidRPr="001C0B9F" w14:paraId="3F4518BB" w14:textId="77777777" w:rsidTr="001C0B9F">
        <w:trPr>
          <w:tblHeader/>
        </w:trPr>
        <w:tc>
          <w:tcPr>
            <w:tcW w:w="850" w:type="dxa"/>
            <w:vMerge w:val="restart"/>
            <w:tcBorders>
              <w:top w:val="single" w:sz="4" w:space="0" w:color="auto"/>
            </w:tcBorders>
            <w:shd w:val="clear" w:color="auto" w:fill="auto"/>
            <w:tcMar>
              <w:right w:w="113" w:type="dxa"/>
            </w:tcMar>
            <w:vAlign w:val="bottom"/>
          </w:tcPr>
          <w:p w14:paraId="6F5FA8E4" w14:textId="77777777" w:rsidR="001C0B9F" w:rsidRPr="001C0B9F" w:rsidRDefault="001C0B9F" w:rsidP="00B91E85">
            <w:pPr>
              <w:suppressAutoHyphens w:val="0"/>
              <w:spacing w:before="80" w:after="80" w:line="200" w:lineRule="exact"/>
              <w:rPr>
                <w:i/>
                <w:sz w:val="15"/>
                <w:szCs w:val="15"/>
                <w:lang w:val="fr-FR"/>
              </w:rPr>
            </w:pPr>
            <w:bookmarkStart w:id="13" w:name="_Hlk508022048"/>
            <w:r w:rsidRPr="001C0B9F">
              <w:rPr>
                <w:i/>
                <w:sz w:val="15"/>
                <w:szCs w:val="15"/>
                <w:lang w:val="fr-FR"/>
              </w:rPr>
              <w:t>Année/</w:t>
            </w:r>
            <w:r w:rsidRPr="001C0B9F">
              <w:rPr>
                <w:i/>
                <w:sz w:val="15"/>
                <w:szCs w:val="15"/>
                <w:lang w:val="fr-FR"/>
              </w:rPr>
              <w:br/>
              <w:t>événement</w:t>
            </w:r>
          </w:p>
        </w:tc>
        <w:tc>
          <w:tcPr>
            <w:tcW w:w="851" w:type="dxa"/>
            <w:vMerge w:val="restart"/>
            <w:tcBorders>
              <w:top w:val="single" w:sz="4" w:space="0" w:color="auto"/>
            </w:tcBorders>
            <w:shd w:val="clear" w:color="auto" w:fill="auto"/>
            <w:tcMar>
              <w:right w:w="113" w:type="dxa"/>
            </w:tcMar>
            <w:vAlign w:val="bottom"/>
          </w:tcPr>
          <w:p w14:paraId="43DF2757" w14:textId="77777777" w:rsidR="001C0B9F" w:rsidRPr="001C0B9F" w:rsidRDefault="001C0B9F" w:rsidP="00B91E85">
            <w:pPr>
              <w:suppressAutoHyphens w:val="0"/>
              <w:spacing w:before="80" w:after="80" w:line="200" w:lineRule="exact"/>
              <w:jc w:val="right"/>
              <w:rPr>
                <w:i/>
                <w:sz w:val="15"/>
                <w:szCs w:val="15"/>
                <w:lang w:val="fr-FR"/>
              </w:rPr>
            </w:pPr>
            <w:r w:rsidRPr="001C0B9F">
              <w:rPr>
                <w:i/>
                <w:sz w:val="15"/>
                <w:szCs w:val="15"/>
                <w:lang w:val="fr-FR"/>
              </w:rPr>
              <w:t>Plainte pénale</w:t>
            </w:r>
          </w:p>
        </w:tc>
        <w:tc>
          <w:tcPr>
            <w:tcW w:w="1134" w:type="dxa"/>
            <w:vMerge w:val="restart"/>
            <w:tcBorders>
              <w:top w:val="single" w:sz="4" w:space="0" w:color="auto"/>
            </w:tcBorders>
            <w:shd w:val="clear" w:color="auto" w:fill="auto"/>
            <w:tcMar>
              <w:right w:w="113" w:type="dxa"/>
            </w:tcMar>
            <w:vAlign w:val="bottom"/>
          </w:tcPr>
          <w:p w14:paraId="62F51FD3" w14:textId="77777777" w:rsidR="001C0B9F" w:rsidRPr="001C0B9F" w:rsidRDefault="001C0B9F" w:rsidP="00B91E85">
            <w:pPr>
              <w:suppressAutoHyphens w:val="0"/>
              <w:spacing w:before="80" w:after="80" w:line="200" w:lineRule="exact"/>
              <w:jc w:val="right"/>
              <w:rPr>
                <w:i/>
                <w:sz w:val="15"/>
                <w:szCs w:val="15"/>
                <w:lang w:val="fr-FR"/>
              </w:rPr>
            </w:pPr>
            <w:r w:rsidRPr="001C0B9F">
              <w:rPr>
                <w:i/>
                <w:sz w:val="15"/>
                <w:szCs w:val="15"/>
                <w:lang w:val="fr-FR"/>
              </w:rPr>
              <w:t xml:space="preserve">Plainte </w:t>
            </w:r>
            <w:r>
              <w:rPr>
                <w:i/>
                <w:sz w:val="15"/>
                <w:szCs w:val="15"/>
                <w:lang w:val="fr-FR"/>
              </w:rPr>
              <w:br/>
            </w:r>
            <w:r w:rsidRPr="001C0B9F">
              <w:rPr>
                <w:i/>
                <w:sz w:val="15"/>
                <w:szCs w:val="15"/>
                <w:lang w:val="fr-FR"/>
              </w:rPr>
              <w:t xml:space="preserve">pénale réglée </w:t>
            </w:r>
            <w:r>
              <w:rPr>
                <w:i/>
                <w:sz w:val="15"/>
                <w:szCs w:val="15"/>
                <w:lang w:val="fr-FR"/>
              </w:rPr>
              <w:br/>
            </w:r>
            <w:r w:rsidRPr="001C0B9F">
              <w:rPr>
                <w:i/>
                <w:sz w:val="15"/>
                <w:szCs w:val="15"/>
                <w:lang w:val="fr-FR"/>
              </w:rPr>
              <w:t>autrement</w:t>
            </w:r>
          </w:p>
        </w:tc>
        <w:tc>
          <w:tcPr>
            <w:tcW w:w="1134" w:type="dxa"/>
            <w:vMerge w:val="restart"/>
            <w:tcBorders>
              <w:top w:val="single" w:sz="4" w:space="0" w:color="auto"/>
            </w:tcBorders>
            <w:shd w:val="clear" w:color="auto" w:fill="auto"/>
            <w:tcMar>
              <w:right w:w="113" w:type="dxa"/>
            </w:tcMar>
            <w:vAlign w:val="bottom"/>
          </w:tcPr>
          <w:p w14:paraId="70D2DF14" w14:textId="77777777" w:rsidR="001C0B9F" w:rsidRPr="001C0B9F" w:rsidRDefault="001C0B9F" w:rsidP="00B91E85">
            <w:pPr>
              <w:suppressAutoHyphens w:val="0"/>
              <w:spacing w:before="80" w:after="80" w:line="200" w:lineRule="exact"/>
              <w:jc w:val="right"/>
              <w:rPr>
                <w:i/>
                <w:sz w:val="15"/>
                <w:szCs w:val="15"/>
                <w:lang w:val="fr-FR"/>
              </w:rPr>
            </w:pPr>
            <w:r w:rsidRPr="001C0B9F">
              <w:rPr>
                <w:i/>
                <w:sz w:val="15"/>
                <w:szCs w:val="15"/>
                <w:lang w:val="fr-FR"/>
              </w:rPr>
              <w:t xml:space="preserve">Décision </w:t>
            </w:r>
            <w:r>
              <w:rPr>
                <w:i/>
                <w:sz w:val="15"/>
                <w:szCs w:val="15"/>
                <w:lang w:val="fr-FR"/>
              </w:rPr>
              <w:br/>
            </w:r>
            <w:r w:rsidRPr="001C0B9F">
              <w:rPr>
                <w:i/>
                <w:sz w:val="15"/>
                <w:szCs w:val="15"/>
                <w:lang w:val="fr-FR"/>
              </w:rPr>
              <w:t>de rejet de la plainte pénale</w:t>
            </w:r>
          </w:p>
        </w:tc>
        <w:tc>
          <w:tcPr>
            <w:tcW w:w="1134" w:type="dxa"/>
            <w:vMerge w:val="restart"/>
            <w:tcBorders>
              <w:top w:val="single" w:sz="4" w:space="0" w:color="auto"/>
            </w:tcBorders>
            <w:shd w:val="clear" w:color="auto" w:fill="auto"/>
            <w:tcMar>
              <w:right w:w="113" w:type="dxa"/>
            </w:tcMar>
            <w:vAlign w:val="bottom"/>
          </w:tcPr>
          <w:p w14:paraId="64C50503" w14:textId="77777777" w:rsidR="001C0B9F" w:rsidRPr="001C0B9F" w:rsidRDefault="001C0B9F" w:rsidP="00B91E85">
            <w:pPr>
              <w:suppressAutoHyphens w:val="0"/>
              <w:spacing w:before="80" w:after="80" w:line="200" w:lineRule="exact"/>
              <w:jc w:val="right"/>
              <w:rPr>
                <w:i/>
                <w:sz w:val="15"/>
                <w:szCs w:val="15"/>
                <w:lang w:val="fr-FR"/>
              </w:rPr>
            </w:pPr>
            <w:r w:rsidRPr="001C0B9F">
              <w:rPr>
                <w:i/>
                <w:sz w:val="15"/>
                <w:szCs w:val="15"/>
                <w:lang w:val="fr-FR"/>
              </w:rPr>
              <w:t>Mise en accusation</w:t>
            </w:r>
          </w:p>
        </w:tc>
        <w:tc>
          <w:tcPr>
            <w:tcW w:w="1134" w:type="dxa"/>
            <w:vMerge w:val="restart"/>
            <w:tcBorders>
              <w:top w:val="single" w:sz="4" w:space="0" w:color="auto"/>
            </w:tcBorders>
            <w:shd w:val="clear" w:color="auto" w:fill="auto"/>
            <w:tcMar>
              <w:right w:w="113" w:type="dxa"/>
            </w:tcMar>
            <w:vAlign w:val="bottom"/>
          </w:tcPr>
          <w:p w14:paraId="755E42F1" w14:textId="77777777" w:rsidR="001C0B9F" w:rsidRPr="001C0B9F" w:rsidRDefault="001C0B9F" w:rsidP="00B91E85">
            <w:pPr>
              <w:suppressAutoHyphens w:val="0"/>
              <w:spacing w:before="80" w:after="80" w:line="200" w:lineRule="exact"/>
              <w:jc w:val="right"/>
              <w:rPr>
                <w:i/>
                <w:sz w:val="15"/>
                <w:szCs w:val="15"/>
                <w:lang w:val="fr-FR"/>
              </w:rPr>
            </w:pPr>
            <w:r w:rsidRPr="001C0B9F">
              <w:rPr>
                <w:i/>
                <w:sz w:val="15"/>
                <w:szCs w:val="15"/>
                <w:lang w:val="fr-FR"/>
              </w:rPr>
              <w:t xml:space="preserve">Abandon </w:t>
            </w:r>
            <w:r>
              <w:rPr>
                <w:i/>
                <w:sz w:val="15"/>
                <w:szCs w:val="15"/>
                <w:lang w:val="fr-FR"/>
              </w:rPr>
              <w:br/>
            </w:r>
            <w:r w:rsidRPr="001C0B9F">
              <w:rPr>
                <w:i/>
                <w:sz w:val="15"/>
                <w:szCs w:val="15"/>
                <w:lang w:val="fr-FR"/>
              </w:rPr>
              <w:t>des poursuites</w:t>
            </w:r>
          </w:p>
        </w:tc>
        <w:tc>
          <w:tcPr>
            <w:tcW w:w="3402" w:type="dxa"/>
            <w:gridSpan w:val="3"/>
            <w:tcBorders>
              <w:top w:val="single" w:sz="4" w:space="0" w:color="auto"/>
              <w:bottom w:val="single" w:sz="4" w:space="0" w:color="auto"/>
            </w:tcBorders>
            <w:shd w:val="clear" w:color="auto" w:fill="auto"/>
            <w:tcMar>
              <w:right w:w="113" w:type="dxa"/>
            </w:tcMar>
            <w:vAlign w:val="bottom"/>
          </w:tcPr>
          <w:p w14:paraId="3C3B053F" w14:textId="77777777" w:rsidR="001C0B9F" w:rsidRPr="001C0B9F" w:rsidRDefault="001C0B9F" w:rsidP="001C0B9F">
            <w:pPr>
              <w:suppressAutoHyphens w:val="0"/>
              <w:spacing w:before="80" w:after="80" w:line="200" w:lineRule="exact"/>
              <w:jc w:val="center"/>
              <w:rPr>
                <w:i/>
                <w:sz w:val="15"/>
                <w:szCs w:val="15"/>
                <w:lang w:val="fr-FR"/>
              </w:rPr>
            </w:pPr>
            <w:r w:rsidRPr="001C0B9F">
              <w:rPr>
                <w:i/>
                <w:sz w:val="15"/>
                <w:szCs w:val="15"/>
                <w:lang w:val="fr-FR"/>
              </w:rPr>
              <w:t>Jugements</w:t>
            </w:r>
          </w:p>
        </w:tc>
      </w:tr>
      <w:tr w:rsidR="001C0B9F" w:rsidRPr="001C0B9F" w14:paraId="3903A015" w14:textId="77777777" w:rsidTr="001C0B9F">
        <w:tc>
          <w:tcPr>
            <w:tcW w:w="850" w:type="dxa"/>
            <w:vMerge/>
            <w:tcBorders>
              <w:bottom w:val="single" w:sz="12" w:space="0" w:color="auto"/>
            </w:tcBorders>
            <w:shd w:val="clear" w:color="auto" w:fill="auto"/>
            <w:tcMar>
              <w:right w:w="113" w:type="dxa"/>
            </w:tcMar>
            <w:vAlign w:val="bottom"/>
          </w:tcPr>
          <w:p w14:paraId="58D2856A" w14:textId="77777777" w:rsidR="001C0B9F" w:rsidRPr="001C0B9F" w:rsidRDefault="001C0B9F" w:rsidP="00B91E85">
            <w:pPr>
              <w:suppressAutoHyphens w:val="0"/>
              <w:spacing w:before="40" w:after="40" w:line="220" w:lineRule="exact"/>
              <w:rPr>
                <w:sz w:val="15"/>
                <w:szCs w:val="15"/>
                <w:lang w:val="fr-FR"/>
              </w:rPr>
            </w:pPr>
          </w:p>
        </w:tc>
        <w:tc>
          <w:tcPr>
            <w:tcW w:w="851" w:type="dxa"/>
            <w:vMerge/>
            <w:tcBorders>
              <w:bottom w:val="single" w:sz="12" w:space="0" w:color="auto"/>
            </w:tcBorders>
            <w:shd w:val="clear" w:color="auto" w:fill="auto"/>
            <w:tcMar>
              <w:right w:w="113" w:type="dxa"/>
            </w:tcMar>
            <w:vAlign w:val="bottom"/>
          </w:tcPr>
          <w:p w14:paraId="1F55184A" w14:textId="77777777" w:rsidR="001C0B9F" w:rsidRPr="001C0B9F" w:rsidRDefault="001C0B9F" w:rsidP="00B91E85">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1E918E20" w14:textId="77777777" w:rsidR="001C0B9F" w:rsidRPr="001C0B9F" w:rsidRDefault="001C0B9F" w:rsidP="00B91E85">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510620CA" w14:textId="77777777" w:rsidR="001C0B9F" w:rsidRPr="001C0B9F" w:rsidRDefault="001C0B9F" w:rsidP="00B91E85">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7324C3F1" w14:textId="77777777" w:rsidR="001C0B9F" w:rsidRPr="001C0B9F" w:rsidRDefault="001C0B9F" w:rsidP="00B91E85">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647DD73B" w14:textId="77777777" w:rsidR="001C0B9F" w:rsidRPr="001C0B9F" w:rsidRDefault="001C0B9F" w:rsidP="00B91E85">
            <w:pPr>
              <w:suppressAutoHyphens w:val="0"/>
              <w:spacing w:before="40" w:after="40" w:line="220" w:lineRule="exact"/>
              <w:jc w:val="right"/>
              <w:rPr>
                <w:sz w:val="15"/>
                <w:szCs w:val="15"/>
                <w:lang w:val="fr-FR"/>
              </w:rPr>
            </w:pPr>
          </w:p>
        </w:tc>
        <w:tc>
          <w:tcPr>
            <w:tcW w:w="1134" w:type="dxa"/>
            <w:tcBorders>
              <w:top w:val="single" w:sz="4" w:space="0" w:color="auto"/>
              <w:bottom w:val="single" w:sz="12" w:space="0" w:color="auto"/>
            </w:tcBorders>
            <w:shd w:val="clear" w:color="auto" w:fill="auto"/>
            <w:tcMar>
              <w:right w:w="113" w:type="dxa"/>
            </w:tcMar>
            <w:vAlign w:val="bottom"/>
          </w:tcPr>
          <w:p w14:paraId="4AB6D4D0" w14:textId="77777777" w:rsidR="001C0B9F" w:rsidRPr="001C0B9F" w:rsidRDefault="001C0B9F" w:rsidP="00B91E85">
            <w:pPr>
              <w:suppressAutoHyphens w:val="0"/>
              <w:spacing w:before="40" w:after="40" w:line="220" w:lineRule="exact"/>
              <w:jc w:val="right"/>
              <w:rPr>
                <w:i/>
                <w:sz w:val="15"/>
                <w:szCs w:val="15"/>
                <w:lang w:val="fr-FR"/>
              </w:rPr>
            </w:pPr>
            <w:r w:rsidRPr="001C0B9F">
              <w:rPr>
                <w:i/>
                <w:sz w:val="15"/>
                <w:szCs w:val="15"/>
                <w:lang w:val="fr-FR"/>
              </w:rPr>
              <w:t xml:space="preserve">Condamnation </w:t>
            </w:r>
          </w:p>
        </w:tc>
        <w:tc>
          <w:tcPr>
            <w:tcW w:w="1134" w:type="dxa"/>
            <w:tcBorders>
              <w:top w:val="single" w:sz="4" w:space="0" w:color="auto"/>
              <w:bottom w:val="single" w:sz="12" w:space="0" w:color="auto"/>
            </w:tcBorders>
            <w:shd w:val="clear" w:color="auto" w:fill="auto"/>
            <w:tcMar>
              <w:right w:w="113" w:type="dxa"/>
            </w:tcMar>
            <w:vAlign w:val="bottom"/>
          </w:tcPr>
          <w:p w14:paraId="630F1C5B" w14:textId="77777777" w:rsidR="001C0B9F" w:rsidRPr="001C0B9F" w:rsidRDefault="001C0B9F" w:rsidP="00B91E85">
            <w:pPr>
              <w:suppressAutoHyphens w:val="0"/>
              <w:spacing w:before="40" w:after="40" w:line="220" w:lineRule="exact"/>
              <w:jc w:val="right"/>
              <w:rPr>
                <w:i/>
                <w:sz w:val="15"/>
                <w:szCs w:val="15"/>
                <w:lang w:val="fr-FR"/>
              </w:rPr>
            </w:pPr>
            <w:r w:rsidRPr="001C0B9F">
              <w:rPr>
                <w:i/>
                <w:sz w:val="15"/>
                <w:szCs w:val="15"/>
                <w:lang w:val="fr-FR"/>
              </w:rPr>
              <w:t>Acquittement</w:t>
            </w:r>
          </w:p>
        </w:tc>
        <w:tc>
          <w:tcPr>
            <w:tcW w:w="1134" w:type="dxa"/>
            <w:tcBorders>
              <w:top w:val="single" w:sz="4" w:space="0" w:color="auto"/>
              <w:bottom w:val="single" w:sz="12" w:space="0" w:color="auto"/>
            </w:tcBorders>
            <w:shd w:val="clear" w:color="auto" w:fill="auto"/>
            <w:tcMar>
              <w:right w:w="113" w:type="dxa"/>
            </w:tcMar>
            <w:vAlign w:val="bottom"/>
          </w:tcPr>
          <w:p w14:paraId="55BFC55F" w14:textId="77777777" w:rsidR="001C0B9F" w:rsidRPr="001C0B9F" w:rsidRDefault="001C0B9F" w:rsidP="00B91E85">
            <w:pPr>
              <w:suppressAutoHyphens w:val="0"/>
              <w:spacing w:before="40" w:after="40" w:line="220" w:lineRule="exact"/>
              <w:jc w:val="right"/>
              <w:rPr>
                <w:i/>
                <w:sz w:val="15"/>
                <w:szCs w:val="15"/>
                <w:lang w:val="fr-FR"/>
              </w:rPr>
            </w:pPr>
            <w:r w:rsidRPr="001C0B9F">
              <w:rPr>
                <w:i/>
                <w:sz w:val="15"/>
                <w:szCs w:val="15"/>
                <w:lang w:val="fr-FR"/>
              </w:rPr>
              <w:t>Non-lieu</w:t>
            </w:r>
          </w:p>
        </w:tc>
      </w:tr>
      <w:tr w:rsidR="001C0B9F" w:rsidRPr="00B91E85" w14:paraId="0FF8A328" w14:textId="77777777" w:rsidTr="001C0B9F">
        <w:tc>
          <w:tcPr>
            <w:tcW w:w="850" w:type="dxa"/>
            <w:tcBorders>
              <w:top w:val="single" w:sz="12" w:space="0" w:color="auto"/>
            </w:tcBorders>
            <w:shd w:val="clear" w:color="auto" w:fill="auto"/>
            <w:tcMar>
              <w:right w:w="113" w:type="dxa"/>
            </w:tcMar>
          </w:tcPr>
          <w:p w14:paraId="5B2125E9" w14:textId="77777777" w:rsidR="002A5EB2" w:rsidRPr="00B91E85" w:rsidRDefault="002A5EB2" w:rsidP="00B91E85">
            <w:pPr>
              <w:suppressAutoHyphens w:val="0"/>
              <w:spacing w:before="40" w:after="40" w:line="220" w:lineRule="exact"/>
              <w:rPr>
                <w:sz w:val="18"/>
                <w:lang w:val="fr-FR"/>
              </w:rPr>
            </w:pPr>
            <w:r w:rsidRPr="00B91E85">
              <w:rPr>
                <w:sz w:val="18"/>
                <w:lang w:val="fr-FR"/>
              </w:rPr>
              <w:t>2010</w:t>
            </w:r>
          </w:p>
        </w:tc>
        <w:tc>
          <w:tcPr>
            <w:tcW w:w="851" w:type="dxa"/>
            <w:tcBorders>
              <w:top w:val="single" w:sz="12" w:space="0" w:color="auto"/>
            </w:tcBorders>
            <w:shd w:val="clear" w:color="auto" w:fill="auto"/>
            <w:tcMar>
              <w:right w:w="113" w:type="dxa"/>
            </w:tcMar>
            <w:vAlign w:val="bottom"/>
          </w:tcPr>
          <w:p w14:paraId="21B84525"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3</w:t>
            </w:r>
          </w:p>
        </w:tc>
        <w:tc>
          <w:tcPr>
            <w:tcW w:w="1134" w:type="dxa"/>
            <w:tcBorders>
              <w:top w:val="single" w:sz="12" w:space="0" w:color="auto"/>
            </w:tcBorders>
            <w:shd w:val="clear" w:color="auto" w:fill="auto"/>
            <w:tcMar>
              <w:right w:w="113" w:type="dxa"/>
            </w:tcMar>
            <w:vAlign w:val="bottom"/>
          </w:tcPr>
          <w:p w14:paraId="35416CB1" w14:textId="77777777" w:rsidR="002A5EB2" w:rsidRPr="00B91E85" w:rsidRDefault="002A5EB2" w:rsidP="00B91E85">
            <w:pPr>
              <w:suppressAutoHyphens w:val="0"/>
              <w:spacing w:before="40" w:after="40" w:line="220" w:lineRule="exact"/>
              <w:jc w:val="right"/>
              <w:rPr>
                <w:sz w:val="18"/>
                <w:lang w:val="fr-FR"/>
              </w:rPr>
            </w:pPr>
          </w:p>
        </w:tc>
        <w:tc>
          <w:tcPr>
            <w:tcW w:w="1134" w:type="dxa"/>
            <w:tcBorders>
              <w:top w:val="single" w:sz="12" w:space="0" w:color="auto"/>
            </w:tcBorders>
            <w:shd w:val="clear" w:color="auto" w:fill="auto"/>
            <w:tcMar>
              <w:right w:w="113" w:type="dxa"/>
            </w:tcMar>
            <w:vAlign w:val="bottom"/>
          </w:tcPr>
          <w:p w14:paraId="29F38A62"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3</w:t>
            </w:r>
          </w:p>
        </w:tc>
        <w:tc>
          <w:tcPr>
            <w:tcW w:w="1134" w:type="dxa"/>
            <w:tcBorders>
              <w:top w:val="single" w:sz="12" w:space="0" w:color="auto"/>
            </w:tcBorders>
            <w:shd w:val="clear" w:color="auto" w:fill="auto"/>
            <w:tcMar>
              <w:right w:w="113" w:type="dxa"/>
            </w:tcMar>
            <w:vAlign w:val="bottom"/>
          </w:tcPr>
          <w:p w14:paraId="7F10A166" w14:textId="77777777" w:rsidR="002A5EB2" w:rsidRPr="00B91E85" w:rsidRDefault="002A5EB2" w:rsidP="00B91E85">
            <w:pPr>
              <w:suppressAutoHyphens w:val="0"/>
              <w:spacing w:before="40" w:after="40" w:line="220" w:lineRule="exact"/>
              <w:jc w:val="right"/>
              <w:rPr>
                <w:sz w:val="18"/>
                <w:lang w:val="fr-FR"/>
              </w:rPr>
            </w:pPr>
          </w:p>
        </w:tc>
        <w:tc>
          <w:tcPr>
            <w:tcW w:w="1134" w:type="dxa"/>
            <w:tcBorders>
              <w:top w:val="single" w:sz="12" w:space="0" w:color="auto"/>
            </w:tcBorders>
            <w:shd w:val="clear" w:color="auto" w:fill="auto"/>
            <w:tcMar>
              <w:right w:w="113" w:type="dxa"/>
            </w:tcMar>
            <w:vAlign w:val="bottom"/>
          </w:tcPr>
          <w:p w14:paraId="3C0CB10E"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tcBorders>
              <w:top w:val="single" w:sz="12" w:space="0" w:color="auto"/>
            </w:tcBorders>
            <w:shd w:val="clear" w:color="auto" w:fill="auto"/>
            <w:tcMar>
              <w:right w:w="113" w:type="dxa"/>
            </w:tcMar>
            <w:vAlign w:val="bottom"/>
          </w:tcPr>
          <w:p w14:paraId="4DF1283F"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4</w:t>
            </w:r>
          </w:p>
        </w:tc>
        <w:tc>
          <w:tcPr>
            <w:tcW w:w="1134" w:type="dxa"/>
            <w:tcBorders>
              <w:top w:val="single" w:sz="12" w:space="0" w:color="auto"/>
            </w:tcBorders>
            <w:shd w:val="clear" w:color="auto" w:fill="auto"/>
            <w:tcMar>
              <w:right w:w="113" w:type="dxa"/>
            </w:tcMar>
            <w:vAlign w:val="bottom"/>
          </w:tcPr>
          <w:p w14:paraId="37A1E1A3"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4</w:t>
            </w:r>
          </w:p>
        </w:tc>
        <w:tc>
          <w:tcPr>
            <w:tcW w:w="1134" w:type="dxa"/>
            <w:tcBorders>
              <w:top w:val="single" w:sz="12" w:space="0" w:color="auto"/>
            </w:tcBorders>
            <w:shd w:val="clear" w:color="auto" w:fill="auto"/>
            <w:tcMar>
              <w:right w:w="113" w:type="dxa"/>
            </w:tcMar>
            <w:vAlign w:val="bottom"/>
          </w:tcPr>
          <w:p w14:paraId="585A0181"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r>
      <w:tr w:rsidR="001C0B9F" w:rsidRPr="00B91E85" w14:paraId="2CF42105" w14:textId="77777777" w:rsidTr="001C0B9F">
        <w:tc>
          <w:tcPr>
            <w:tcW w:w="850" w:type="dxa"/>
            <w:shd w:val="clear" w:color="auto" w:fill="auto"/>
            <w:tcMar>
              <w:right w:w="113" w:type="dxa"/>
            </w:tcMar>
          </w:tcPr>
          <w:p w14:paraId="50980195" w14:textId="77777777" w:rsidR="002A5EB2" w:rsidRPr="00B91E85" w:rsidRDefault="002A5EB2" w:rsidP="00B91E85">
            <w:pPr>
              <w:suppressAutoHyphens w:val="0"/>
              <w:spacing w:before="40" w:after="40" w:line="220" w:lineRule="exact"/>
              <w:rPr>
                <w:sz w:val="18"/>
                <w:lang w:val="fr-FR"/>
              </w:rPr>
            </w:pPr>
            <w:r w:rsidRPr="00B91E85">
              <w:rPr>
                <w:sz w:val="18"/>
                <w:lang w:val="fr-FR"/>
              </w:rPr>
              <w:t>2011</w:t>
            </w:r>
          </w:p>
        </w:tc>
        <w:tc>
          <w:tcPr>
            <w:tcW w:w="851" w:type="dxa"/>
            <w:shd w:val="clear" w:color="auto" w:fill="auto"/>
            <w:tcMar>
              <w:right w:w="113" w:type="dxa"/>
            </w:tcMar>
            <w:vAlign w:val="bottom"/>
          </w:tcPr>
          <w:p w14:paraId="728198FA"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70D6A594"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759B1B38"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3</w:t>
            </w:r>
          </w:p>
        </w:tc>
        <w:tc>
          <w:tcPr>
            <w:tcW w:w="1134" w:type="dxa"/>
            <w:shd w:val="clear" w:color="auto" w:fill="auto"/>
            <w:tcMar>
              <w:right w:w="113" w:type="dxa"/>
            </w:tcMar>
            <w:vAlign w:val="bottom"/>
          </w:tcPr>
          <w:p w14:paraId="5A70284E"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1BC72702"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2303611"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4E9708CF"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1339D6DA"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6</w:t>
            </w:r>
          </w:p>
        </w:tc>
      </w:tr>
      <w:tr w:rsidR="001C0B9F" w:rsidRPr="00B91E85" w14:paraId="5FBC7BBD" w14:textId="77777777" w:rsidTr="001C0B9F">
        <w:tc>
          <w:tcPr>
            <w:tcW w:w="850" w:type="dxa"/>
            <w:shd w:val="clear" w:color="auto" w:fill="auto"/>
            <w:tcMar>
              <w:right w:w="113" w:type="dxa"/>
            </w:tcMar>
          </w:tcPr>
          <w:p w14:paraId="2CA37CA8" w14:textId="77777777" w:rsidR="002A5EB2" w:rsidRPr="00B91E85" w:rsidRDefault="002A5EB2" w:rsidP="00B91E85">
            <w:pPr>
              <w:suppressAutoHyphens w:val="0"/>
              <w:spacing w:before="40" w:after="40" w:line="220" w:lineRule="exact"/>
              <w:rPr>
                <w:sz w:val="18"/>
                <w:lang w:val="fr-FR"/>
              </w:rPr>
            </w:pPr>
            <w:r w:rsidRPr="00B91E85">
              <w:rPr>
                <w:sz w:val="18"/>
                <w:lang w:val="fr-FR"/>
              </w:rPr>
              <w:t>2012</w:t>
            </w:r>
          </w:p>
        </w:tc>
        <w:tc>
          <w:tcPr>
            <w:tcW w:w="851" w:type="dxa"/>
            <w:shd w:val="clear" w:color="auto" w:fill="auto"/>
            <w:tcMar>
              <w:right w:w="113" w:type="dxa"/>
            </w:tcMar>
            <w:vAlign w:val="bottom"/>
          </w:tcPr>
          <w:p w14:paraId="16F20995"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5</w:t>
            </w:r>
          </w:p>
        </w:tc>
        <w:tc>
          <w:tcPr>
            <w:tcW w:w="1134" w:type="dxa"/>
            <w:shd w:val="clear" w:color="auto" w:fill="auto"/>
            <w:tcMar>
              <w:right w:w="113" w:type="dxa"/>
            </w:tcMar>
            <w:vAlign w:val="bottom"/>
          </w:tcPr>
          <w:p w14:paraId="5E6656B8"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1719B686"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5</w:t>
            </w:r>
          </w:p>
        </w:tc>
        <w:tc>
          <w:tcPr>
            <w:tcW w:w="1134" w:type="dxa"/>
            <w:shd w:val="clear" w:color="auto" w:fill="auto"/>
            <w:tcMar>
              <w:right w:w="113" w:type="dxa"/>
            </w:tcMar>
            <w:vAlign w:val="bottom"/>
          </w:tcPr>
          <w:p w14:paraId="507BF8D0"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3F051E00"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25CC90E"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7C99FCDE"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3A86C83C"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3</w:t>
            </w:r>
          </w:p>
        </w:tc>
      </w:tr>
      <w:tr w:rsidR="001C0B9F" w:rsidRPr="00B91E85" w14:paraId="6575495F" w14:textId="77777777" w:rsidTr="001C0B9F">
        <w:tc>
          <w:tcPr>
            <w:tcW w:w="850" w:type="dxa"/>
            <w:shd w:val="clear" w:color="auto" w:fill="auto"/>
            <w:tcMar>
              <w:right w:w="113" w:type="dxa"/>
            </w:tcMar>
          </w:tcPr>
          <w:p w14:paraId="5CE3E89C" w14:textId="77777777" w:rsidR="002A5EB2" w:rsidRPr="00B91E85" w:rsidRDefault="002A5EB2" w:rsidP="00B91E85">
            <w:pPr>
              <w:suppressAutoHyphens w:val="0"/>
              <w:spacing w:before="40" w:after="40" w:line="220" w:lineRule="exact"/>
              <w:rPr>
                <w:sz w:val="18"/>
                <w:lang w:val="fr-FR"/>
              </w:rPr>
            </w:pPr>
            <w:r w:rsidRPr="00B91E85">
              <w:rPr>
                <w:sz w:val="18"/>
                <w:lang w:val="fr-FR"/>
              </w:rPr>
              <w:t>2013</w:t>
            </w:r>
          </w:p>
        </w:tc>
        <w:tc>
          <w:tcPr>
            <w:tcW w:w="851" w:type="dxa"/>
            <w:shd w:val="clear" w:color="auto" w:fill="auto"/>
            <w:tcMar>
              <w:right w:w="113" w:type="dxa"/>
            </w:tcMar>
            <w:vAlign w:val="bottom"/>
          </w:tcPr>
          <w:p w14:paraId="2E5F988B"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246BC73E"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55C75895"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5B9E3BC5"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6067E721"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0D1AD2C7"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5914E473"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118CE68C" w14:textId="77777777" w:rsidR="002A5EB2" w:rsidRPr="00B91E85" w:rsidRDefault="002A5EB2" w:rsidP="00B91E85">
            <w:pPr>
              <w:suppressAutoHyphens w:val="0"/>
              <w:spacing w:before="40" w:after="40" w:line="220" w:lineRule="exact"/>
              <w:jc w:val="right"/>
              <w:rPr>
                <w:sz w:val="18"/>
                <w:lang w:val="fr-FR"/>
              </w:rPr>
            </w:pPr>
          </w:p>
        </w:tc>
      </w:tr>
      <w:tr w:rsidR="001C0B9F" w:rsidRPr="00B91E85" w14:paraId="37417B62" w14:textId="77777777" w:rsidTr="001C0B9F">
        <w:tc>
          <w:tcPr>
            <w:tcW w:w="850" w:type="dxa"/>
            <w:shd w:val="clear" w:color="auto" w:fill="auto"/>
            <w:tcMar>
              <w:right w:w="113" w:type="dxa"/>
            </w:tcMar>
          </w:tcPr>
          <w:p w14:paraId="5F8CAA69" w14:textId="77777777" w:rsidR="002A5EB2" w:rsidRPr="00B91E85" w:rsidRDefault="002A5EB2" w:rsidP="00B91E85">
            <w:pPr>
              <w:suppressAutoHyphens w:val="0"/>
              <w:spacing w:before="40" w:after="40" w:line="220" w:lineRule="exact"/>
              <w:rPr>
                <w:sz w:val="18"/>
                <w:lang w:val="fr-FR"/>
              </w:rPr>
            </w:pPr>
            <w:r w:rsidRPr="00B91E85">
              <w:rPr>
                <w:sz w:val="18"/>
                <w:lang w:val="fr-FR"/>
              </w:rPr>
              <w:t>2014</w:t>
            </w:r>
          </w:p>
        </w:tc>
        <w:tc>
          <w:tcPr>
            <w:tcW w:w="851" w:type="dxa"/>
            <w:shd w:val="clear" w:color="auto" w:fill="auto"/>
            <w:tcMar>
              <w:right w:w="113" w:type="dxa"/>
            </w:tcMar>
            <w:vAlign w:val="bottom"/>
          </w:tcPr>
          <w:p w14:paraId="32726360"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695B1C8F"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67638D1D"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71297257"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5E146785"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FD43328"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1ABB5735" w14:textId="77777777" w:rsidR="002A5EB2" w:rsidRPr="00B91E85" w:rsidRDefault="002A5EB2" w:rsidP="00B91E85">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200D3F48" w14:textId="77777777" w:rsidR="002A5EB2" w:rsidRPr="00B91E85" w:rsidRDefault="002A5EB2" w:rsidP="00B91E85">
            <w:pPr>
              <w:suppressAutoHyphens w:val="0"/>
              <w:spacing w:before="40" w:after="40" w:line="220" w:lineRule="exact"/>
              <w:jc w:val="right"/>
              <w:rPr>
                <w:sz w:val="18"/>
                <w:lang w:val="fr-FR"/>
              </w:rPr>
            </w:pPr>
          </w:p>
        </w:tc>
      </w:tr>
      <w:tr w:rsidR="001C0B9F" w:rsidRPr="00B91E85" w14:paraId="6DF8D279" w14:textId="77777777" w:rsidTr="001C0B9F">
        <w:tc>
          <w:tcPr>
            <w:tcW w:w="850" w:type="dxa"/>
            <w:tcBorders>
              <w:bottom w:val="single" w:sz="12" w:space="0" w:color="auto"/>
            </w:tcBorders>
            <w:shd w:val="clear" w:color="auto" w:fill="auto"/>
            <w:tcMar>
              <w:right w:w="113" w:type="dxa"/>
            </w:tcMar>
          </w:tcPr>
          <w:p w14:paraId="66272A5A" w14:textId="77777777" w:rsidR="002A5EB2" w:rsidRPr="00B91E85" w:rsidRDefault="002A5EB2" w:rsidP="00B91E85">
            <w:pPr>
              <w:suppressAutoHyphens w:val="0"/>
              <w:spacing w:before="40" w:after="40" w:line="220" w:lineRule="exact"/>
              <w:rPr>
                <w:sz w:val="18"/>
                <w:lang w:val="fr-FR"/>
              </w:rPr>
            </w:pPr>
            <w:r w:rsidRPr="00B91E85">
              <w:rPr>
                <w:sz w:val="18"/>
                <w:lang w:val="fr-FR"/>
              </w:rPr>
              <w:t>2015</w:t>
            </w:r>
          </w:p>
        </w:tc>
        <w:tc>
          <w:tcPr>
            <w:tcW w:w="851" w:type="dxa"/>
            <w:tcBorders>
              <w:bottom w:val="single" w:sz="12" w:space="0" w:color="auto"/>
            </w:tcBorders>
            <w:shd w:val="clear" w:color="auto" w:fill="auto"/>
            <w:tcMar>
              <w:right w:w="113" w:type="dxa"/>
            </w:tcMar>
            <w:vAlign w:val="bottom"/>
          </w:tcPr>
          <w:p w14:paraId="0790B10A"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5</w:t>
            </w:r>
          </w:p>
        </w:tc>
        <w:tc>
          <w:tcPr>
            <w:tcW w:w="1134" w:type="dxa"/>
            <w:tcBorders>
              <w:bottom w:val="single" w:sz="12" w:space="0" w:color="auto"/>
            </w:tcBorders>
            <w:shd w:val="clear" w:color="auto" w:fill="auto"/>
            <w:tcMar>
              <w:right w:w="113" w:type="dxa"/>
            </w:tcMar>
            <w:vAlign w:val="bottom"/>
          </w:tcPr>
          <w:p w14:paraId="54E48727" w14:textId="77777777" w:rsidR="002A5EB2" w:rsidRPr="00B91E85" w:rsidRDefault="002A5EB2" w:rsidP="00B91E85">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5E21B7B0" w14:textId="77777777" w:rsidR="002A5EB2" w:rsidRPr="00B91E85" w:rsidRDefault="002A5EB2" w:rsidP="00B91E85">
            <w:pPr>
              <w:suppressAutoHyphens w:val="0"/>
              <w:spacing w:before="40" w:after="40" w:line="220" w:lineRule="exact"/>
              <w:jc w:val="right"/>
              <w:rPr>
                <w:sz w:val="18"/>
                <w:lang w:val="fr-FR"/>
              </w:rPr>
            </w:pPr>
            <w:r w:rsidRPr="00B91E85">
              <w:rPr>
                <w:sz w:val="18"/>
                <w:lang w:val="fr-FR"/>
              </w:rPr>
              <w:t>7</w:t>
            </w:r>
          </w:p>
        </w:tc>
        <w:tc>
          <w:tcPr>
            <w:tcW w:w="1134" w:type="dxa"/>
            <w:tcBorders>
              <w:bottom w:val="single" w:sz="12" w:space="0" w:color="auto"/>
            </w:tcBorders>
            <w:shd w:val="clear" w:color="auto" w:fill="auto"/>
            <w:tcMar>
              <w:right w:w="113" w:type="dxa"/>
            </w:tcMar>
            <w:vAlign w:val="bottom"/>
          </w:tcPr>
          <w:p w14:paraId="4E90B094" w14:textId="77777777" w:rsidR="002A5EB2" w:rsidRPr="00B91E85" w:rsidRDefault="002A5EB2" w:rsidP="00B91E85">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1FD30F36" w14:textId="77777777" w:rsidR="002A5EB2" w:rsidRPr="00B91E85" w:rsidRDefault="002A5EB2" w:rsidP="00B91E85">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7EFB3E3D" w14:textId="77777777" w:rsidR="002A5EB2" w:rsidRPr="00B91E85" w:rsidRDefault="002A5EB2" w:rsidP="00B91E85">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078FB023" w14:textId="77777777" w:rsidR="002A5EB2" w:rsidRPr="00B91E85" w:rsidRDefault="002A5EB2" w:rsidP="00B91E85">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2E64D980" w14:textId="77777777" w:rsidR="002A5EB2" w:rsidRPr="00B91E85" w:rsidRDefault="002A5EB2" w:rsidP="00B91E85">
            <w:pPr>
              <w:suppressAutoHyphens w:val="0"/>
              <w:spacing w:before="40" w:after="40" w:line="220" w:lineRule="exact"/>
              <w:jc w:val="right"/>
              <w:rPr>
                <w:sz w:val="18"/>
                <w:lang w:val="fr-FR"/>
              </w:rPr>
            </w:pPr>
          </w:p>
        </w:tc>
      </w:tr>
    </w:tbl>
    <w:bookmarkEnd w:id="13"/>
    <w:p w14:paraId="7DAF5707" w14:textId="77777777" w:rsidR="002A5EB2" w:rsidRPr="001A3179" w:rsidRDefault="002A5EB2" w:rsidP="001C0B9F">
      <w:pPr>
        <w:pStyle w:val="SingleTxtG"/>
        <w:spacing w:before="240"/>
        <w:rPr>
          <w:lang w:val="fr-FR"/>
        </w:rPr>
      </w:pPr>
      <w:r w:rsidRPr="001A3179">
        <w:rPr>
          <w:lang w:val="fr-FR"/>
        </w:rPr>
        <w:t>49.</w:t>
      </w:r>
      <w:r w:rsidRPr="001A3179">
        <w:rPr>
          <w:lang w:val="fr-FR"/>
        </w:rPr>
        <w:tab/>
        <w:t>Le registre des plaintes contre les actes effectués par des policiers dans l</w:t>
      </w:r>
      <w:r>
        <w:rPr>
          <w:lang w:val="fr-FR"/>
        </w:rPr>
        <w:t>’</w:t>
      </w:r>
      <w:r w:rsidRPr="001A3179">
        <w:rPr>
          <w:lang w:val="fr-FR"/>
        </w:rPr>
        <w:t>exercice de leurs fonctions consigne des informations portant sur : la personne ayant porté plainte ; l</w:t>
      </w:r>
      <w:r>
        <w:rPr>
          <w:lang w:val="fr-FR"/>
        </w:rPr>
        <w:t>’</w:t>
      </w:r>
      <w:r w:rsidRPr="001A3179">
        <w:rPr>
          <w:lang w:val="fr-FR"/>
        </w:rPr>
        <w:t>unité et le policier visés par la plainte et la mesure prise par le policier en cause ; la conduite du policier visé par la plainte ou l</w:t>
      </w:r>
      <w:r>
        <w:rPr>
          <w:lang w:val="fr-FR"/>
        </w:rPr>
        <w:t>’</w:t>
      </w:r>
      <w:r w:rsidRPr="001A3179">
        <w:rPr>
          <w:lang w:val="fr-FR"/>
        </w:rPr>
        <w:t>acte de procédure qu</w:t>
      </w:r>
      <w:r>
        <w:rPr>
          <w:lang w:val="fr-FR"/>
        </w:rPr>
        <w:t>’</w:t>
      </w:r>
      <w:r w:rsidRPr="001A3179">
        <w:rPr>
          <w:lang w:val="fr-FR"/>
        </w:rPr>
        <w:t>il a effectué. La police ne tient pas de registres ou de listes ni ne collecte de données statistiques concernant l</w:t>
      </w:r>
      <w:r>
        <w:rPr>
          <w:lang w:val="fr-FR"/>
        </w:rPr>
        <w:t>’</w:t>
      </w:r>
      <w:r w:rsidRPr="001A3179">
        <w:rPr>
          <w:lang w:val="fr-FR"/>
        </w:rPr>
        <w:t>ethnie, la race, l</w:t>
      </w:r>
      <w:r>
        <w:rPr>
          <w:lang w:val="fr-FR"/>
        </w:rPr>
        <w:t>’</w:t>
      </w:r>
      <w:r w:rsidRPr="001A3179">
        <w:rPr>
          <w:lang w:val="fr-FR"/>
        </w:rPr>
        <w:t>âge, le sexe, la religion ou l</w:t>
      </w:r>
      <w:r>
        <w:rPr>
          <w:lang w:val="fr-FR"/>
        </w:rPr>
        <w:t>’</w:t>
      </w:r>
      <w:r w:rsidRPr="001A3179">
        <w:rPr>
          <w:lang w:val="fr-FR"/>
        </w:rPr>
        <w:t>orientation sexuelle des personnes concernées.</w:t>
      </w:r>
    </w:p>
    <w:p w14:paraId="4AAA971C" w14:textId="77777777" w:rsidR="002A5EB2" w:rsidRPr="001A3179" w:rsidRDefault="002A5EB2" w:rsidP="002A5EB2">
      <w:pPr>
        <w:pStyle w:val="SingleTxtG"/>
        <w:rPr>
          <w:lang w:val="fr-FR"/>
        </w:rPr>
      </w:pPr>
      <w:r w:rsidRPr="001A3179">
        <w:rPr>
          <w:lang w:val="fr-FR"/>
        </w:rPr>
        <w:t>50.</w:t>
      </w:r>
      <w:r w:rsidRPr="001A3179">
        <w:rPr>
          <w:lang w:val="fr-FR"/>
        </w:rPr>
        <w:tab/>
        <w:t>L</w:t>
      </w:r>
      <w:r>
        <w:rPr>
          <w:lang w:val="fr-FR"/>
        </w:rPr>
        <w:t>’</w:t>
      </w:r>
      <w:r w:rsidRPr="001A3179">
        <w:rPr>
          <w:lang w:val="fr-FR"/>
        </w:rPr>
        <w:t>Administration pénitentiaire slovène ne dispose pas de données sur des plaintes, enquêtes, poursuites ou condamnations à l</w:t>
      </w:r>
      <w:r>
        <w:rPr>
          <w:lang w:val="fr-FR"/>
        </w:rPr>
        <w:t>’</w:t>
      </w:r>
      <w:r w:rsidRPr="001A3179">
        <w:rPr>
          <w:lang w:val="fr-FR"/>
        </w:rPr>
        <w:t>encontre d</w:t>
      </w:r>
      <w:r>
        <w:rPr>
          <w:lang w:val="fr-FR"/>
        </w:rPr>
        <w:t>’</w:t>
      </w:r>
      <w:r w:rsidRPr="001A3179">
        <w:rPr>
          <w:lang w:val="fr-FR"/>
        </w:rPr>
        <w:t>agents pénitentiaires qui se seraient rendus coupables d</w:t>
      </w:r>
      <w:r>
        <w:rPr>
          <w:lang w:val="fr-FR"/>
        </w:rPr>
        <w:t>’</w:t>
      </w:r>
      <w:r w:rsidRPr="001A3179">
        <w:rPr>
          <w:lang w:val="fr-FR"/>
        </w:rPr>
        <w:t>actes de torture ou de mauvais traitements. Un détenu peut (par exemple en déposant une plainte) signaler toute infraction pénale aux autorités pénitentiaires, au Directeur général de l</w:t>
      </w:r>
      <w:r>
        <w:rPr>
          <w:lang w:val="fr-FR"/>
        </w:rPr>
        <w:t>’</w:t>
      </w:r>
      <w:r w:rsidRPr="001A3179">
        <w:rPr>
          <w:lang w:val="fr-FR"/>
        </w:rPr>
        <w:t>Administration pénitentiaire ou à un agent pénitentiaire dans le cadre du dispositif de surveillance interne des prisons. Si l</w:t>
      </w:r>
      <w:r>
        <w:rPr>
          <w:lang w:val="fr-FR"/>
        </w:rPr>
        <w:t>’</w:t>
      </w:r>
      <w:r w:rsidRPr="001A3179">
        <w:rPr>
          <w:lang w:val="fr-FR"/>
        </w:rPr>
        <w:t>infraction pénale alléguée est prouvée, le contrat de travail de l</w:t>
      </w:r>
      <w:r>
        <w:rPr>
          <w:lang w:val="fr-FR"/>
        </w:rPr>
        <w:t>’</w:t>
      </w:r>
      <w:r w:rsidRPr="001A3179">
        <w:rPr>
          <w:lang w:val="fr-FR"/>
        </w:rPr>
        <w:t>agent mis en cause est résilié à titre extraordinaire (deux cas de résiliation extraordinaire du contrat de travail ont été enregistré</w:t>
      </w:r>
      <w:r>
        <w:rPr>
          <w:lang w:val="fr-FR"/>
        </w:rPr>
        <w:t>s</w:t>
      </w:r>
      <w:r w:rsidRPr="001A3179">
        <w:rPr>
          <w:lang w:val="fr-FR"/>
        </w:rPr>
        <w:t xml:space="preserve"> depuis 2010).</w:t>
      </w:r>
    </w:p>
    <w:p w14:paraId="0D73F8D9" w14:textId="77777777" w:rsidR="002A5EB2" w:rsidRPr="001A3179" w:rsidRDefault="002A5EB2" w:rsidP="006304C7">
      <w:pPr>
        <w:pStyle w:val="H23G"/>
        <w:rPr>
          <w:lang w:val="fr-FR"/>
        </w:rPr>
      </w:pPr>
      <w:r w:rsidRPr="001A3179">
        <w:rPr>
          <w:lang w:val="fr-FR"/>
        </w:rPr>
        <w:tab/>
      </w:r>
      <w:r w:rsidRPr="001A3179">
        <w:rPr>
          <w:lang w:val="fr-FR"/>
        </w:rPr>
        <w:tab/>
        <w:t>Réponse au paragraphe 5 b) de la liste des points à traiter</w:t>
      </w:r>
    </w:p>
    <w:p w14:paraId="351E50FC" w14:textId="77777777" w:rsidR="002A5EB2" w:rsidRPr="001A3179" w:rsidRDefault="002A5EB2" w:rsidP="002A5EB2">
      <w:pPr>
        <w:pStyle w:val="SingleTxtG"/>
        <w:rPr>
          <w:lang w:val="fr-FR"/>
        </w:rPr>
      </w:pPr>
      <w:r w:rsidRPr="001A3179">
        <w:rPr>
          <w:lang w:val="fr-FR"/>
        </w:rPr>
        <w:t>51.</w:t>
      </w:r>
      <w:r w:rsidRPr="001A3179">
        <w:rPr>
          <w:lang w:val="fr-FR"/>
        </w:rPr>
        <w:tab/>
        <w:t xml:space="preserve">Le </w:t>
      </w:r>
      <w:bookmarkStart w:id="14" w:name="_Hlk38015484"/>
      <w:r w:rsidRPr="001A3179">
        <w:rPr>
          <w:lang w:val="fr-FR"/>
        </w:rPr>
        <w:t>Ministère du travail</w:t>
      </w:r>
      <w:bookmarkEnd w:id="14"/>
      <w:r w:rsidRPr="001A3179">
        <w:rPr>
          <w:lang w:val="fr-FR"/>
        </w:rPr>
        <w:t xml:space="preserve"> et des affaires sociales a fourni des données pour 2016 sur la violence familiale, ventilées par âge, type de violence, relation entre l</w:t>
      </w:r>
      <w:r>
        <w:rPr>
          <w:lang w:val="fr-FR"/>
        </w:rPr>
        <w:t>’</w:t>
      </w:r>
      <w:r w:rsidRPr="001A3179">
        <w:rPr>
          <w:lang w:val="fr-FR"/>
        </w:rPr>
        <w:t>auteur et la victime et sexe. Les centres d</w:t>
      </w:r>
      <w:r>
        <w:rPr>
          <w:lang w:val="fr-FR"/>
        </w:rPr>
        <w:t>’</w:t>
      </w:r>
      <w:r w:rsidRPr="001A3179">
        <w:rPr>
          <w:lang w:val="fr-FR"/>
        </w:rPr>
        <w:t>action sociale alimentent la base générale de données sociales.</w:t>
      </w:r>
    </w:p>
    <w:p w14:paraId="67159734" w14:textId="77777777" w:rsidR="002A5EB2" w:rsidRPr="001A3179" w:rsidRDefault="002A5EB2" w:rsidP="002A5EB2">
      <w:pPr>
        <w:pStyle w:val="SingleTxtG"/>
        <w:rPr>
          <w:lang w:val="fr-FR"/>
        </w:rPr>
      </w:pPr>
      <w:r w:rsidRPr="001A3179">
        <w:rPr>
          <w:lang w:val="fr-FR"/>
        </w:rPr>
        <w:t>52.</w:t>
      </w:r>
      <w:r w:rsidRPr="001A3179">
        <w:rPr>
          <w:lang w:val="fr-FR"/>
        </w:rPr>
        <w:tab/>
        <w:t>Il ressort de l</w:t>
      </w:r>
      <w:r>
        <w:rPr>
          <w:lang w:val="fr-FR"/>
        </w:rPr>
        <w:t>’</w:t>
      </w:r>
      <w:r w:rsidRPr="001A3179">
        <w:rPr>
          <w:lang w:val="fr-FR"/>
        </w:rPr>
        <w:t>enquête nationale de 2010 sur la violence contre les femmes dans la sphère privée et intime qu</w:t>
      </w:r>
      <w:r>
        <w:rPr>
          <w:lang w:val="fr-FR"/>
        </w:rPr>
        <w:t>’</w:t>
      </w:r>
      <w:r w:rsidRPr="001A3179">
        <w:rPr>
          <w:lang w:val="fr-FR"/>
        </w:rPr>
        <w:t>en Slovénie plus d</w:t>
      </w:r>
      <w:r>
        <w:rPr>
          <w:lang w:val="fr-FR"/>
        </w:rPr>
        <w:t>’</w:t>
      </w:r>
      <w:r w:rsidRPr="001A3179">
        <w:rPr>
          <w:lang w:val="fr-FR"/>
        </w:rPr>
        <w:t>une femme sur deux (56,6</w:t>
      </w:r>
      <w:r w:rsidR="00C73216">
        <w:rPr>
          <w:lang w:val="fr-FR"/>
        </w:rPr>
        <w:t> </w:t>
      </w:r>
      <w:r w:rsidRPr="001A3179">
        <w:rPr>
          <w:lang w:val="fr-FR"/>
        </w:rPr>
        <w:t>%) a subi au moins une forme de violence depuis l</w:t>
      </w:r>
      <w:r>
        <w:rPr>
          <w:lang w:val="fr-FR"/>
        </w:rPr>
        <w:t>’</w:t>
      </w:r>
      <w:r w:rsidRPr="001A3179">
        <w:rPr>
          <w:lang w:val="fr-FR"/>
        </w:rPr>
        <w:t>âge de 15 ans. Les violences psychologiques sont les plus courantes (49,3</w:t>
      </w:r>
      <w:r w:rsidR="00C73216">
        <w:rPr>
          <w:lang w:val="fr-FR"/>
        </w:rPr>
        <w:t> </w:t>
      </w:r>
      <w:r w:rsidRPr="001A3179">
        <w:rPr>
          <w:lang w:val="fr-FR"/>
        </w:rPr>
        <w:t>%), puis les violences physiques (23</w:t>
      </w:r>
      <w:r w:rsidR="00C73216">
        <w:rPr>
          <w:lang w:val="fr-FR"/>
        </w:rPr>
        <w:t> </w:t>
      </w:r>
      <w:r w:rsidRPr="001A3179">
        <w:rPr>
          <w:lang w:val="fr-FR"/>
        </w:rPr>
        <w:t>%), les violences liées à la propriété (14,1</w:t>
      </w:r>
      <w:r w:rsidR="00C73216">
        <w:rPr>
          <w:lang w:val="fr-FR"/>
        </w:rPr>
        <w:t> </w:t>
      </w:r>
      <w:r w:rsidRPr="001A3179">
        <w:rPr>
          <w:lang w:val="fr-FR"/>
        </w:rPr>
        <w:t>%), les restrictions à la liberté de circulation (13,9</w:t>
      </w:r>
      <w:r w:rsidR="00C73216">
        <w:rPr>
          <w:lang w:val="fr-FR"/>
        </w:rPr>
        <w:t> </w:t>
      </w:r>
      <w:r w:rsidRPr="001A3179">
        <w:rPr>
          <w:lang w:val="fr-FR"/>
        </w:rPr>
        <w:t xml:space="preserve">%) et les violences sexuelles </w:t>
      </w:r>
      <w:r w:rsidRPr="001A3179">
        <w:rPr>
          <w:lang w:val="fr-FR"/>
        </w:rPr>
        <w:lastRenderedPageBreak/>
        <w:t>(6,5</w:t>
      </w:r>
      <w:r w:rsidR="00C73216">
        <w:rPr>
          <w:lang w:val="fr-FR"/>
        </w:rPr>
        <w:t> </w:t>
      </w:r>
      <w:r w:rsidRPr="001A3179">
        <w:rPr>
          <w:lang w:val="fr-FR"/>
        </w:rPr>
        <w:t>%). L</w:t>
      </w:r>
      <w:r>
        <w:rPr>
          <w:lang w:val="fr-FR"/>
        </w:rPr>
        <w:t>’</w:t>
      </w:r>
      <w:r w:rsidRPr="001A3179">
        <w:rPr>
          <w:lang w:val="fr-FR"/>
        </w:rPr>
        <w:t>année précédente, les victimes de violence familiale avaient subi principalement des violences psychologiques (49,9</w:t>
      </w:r>
      <w:r w:rsidR="00C73216">
        <w:rPr>
          <w:lang w:val="fr-FR"/>
        </w:rPr>
        <w:t> </w:t>
      </w:r>
      <w:r w:rsidRPr="001A3179">
        <w:rPr>
          <w:lang w:val="fr-FR"/>
        </w:rPr>
        <w:t>%) et à un degré moindre des violences physiques (5,9</w:t>
      </w:r>
      <w:r w:rsidR="00C73216">
        <w:rPr>
          <w:lang w:val="fr-FR"/>
        </w:rPr>
        <w:t> </w:t>
      </w:r>
      <w:r w:rsidRPr="001A3179">
        <w:rPr>
          <w:lang w:val="fr-FR"/>
        </w:rPr>
        <w:t>%), sexuelles (1,5</w:t>
      </w:r>
      <w:r w:rsidR="00C73216">
        <w:rPr>
          <w:lang w:val="fr-FR"/>
        </w:rPr>
        <w:t> </w:t>
      </w:r>
      <w:r w:rsidRPr="001A3179">
        <w:rPr>
          <w:lang w:val="fr-FR"/>
        </w:rPr>
        <w:t>%) ou liées à la propriété (7</w:t>
      </w:r>
      <w:r w:rsidR="00C73216">
        <w:rPr>
          <w:lang w:val="fr-FR"/>
        </w:rPr>
        <w:t> </w:t>
      </w:r>
      <w:r w:rsidRPr="001A3179">
        <w:rPr>
          <w:lang w:val="fr-FR"/>
        </w:rPr>
        <w:t>%), ou des restriction</w:t>
      </w:r>
      <w:r>
        <w:rPr>
          <w:lang w:val="fr-FR"/>
        </w:rPr>
        <w:t>s</w:t>
      </w:r>
      <w:r w:rsidRPr="001A3179">
        <w:rPr>
          <w:lang w:val="fr-FR"/>
        </w:rPr>
        <w:t xml:space="preserve"> à leur liberté de circulation (6,1</w:t>
      </w:r>
      <w:r w:rsidR="00C73216">
        <w:rPr>
          <w:lang w:val="fr-FR"/>
        </w:rPr>
        <w:t> </w:t>
      </w:r>
      <w:r w:rsidRPr="001A3179">
        <w:rPr>
          <w:lang w:val="fr-FR"/>
        </w:rPr>
        <w:t>%). L</w:t>
      </w:r>
      <w:r>
        <w:rPr>
          <w:lang w:val="fr-FR"/>
        </w:rPr>
        <w:t>’</w:t>
      </w:r>
      <w:r w:rsidRPr="001A3179">
        <w:rPr>
          <w:lang w:val="fr-FR"/>
        </w:rPr>
        <w:t>enquête a aussi révélé que les femmes victimes de violence sont en moins bonne santé que les autres femmes. Elles sont plus souvent stressées et souffrent d</w:t>
      </w:r>
      <w:r>
        <w:rPr>
          <w:lang w:val="fr-FR"/>
        </w:rPr>
        <w:t>’</w:t>
      </w:r>
      <w:r w:rsidRPr="001A3179">
        <w:rPr>
          <w:lang w:val="fr-FR"/>
        </w:rPr>
        <w:t>anxiété ou d</w:t>
      </w:r>
      <w:r>
        <w:rPr>
          <w:lang w:val="fr-FR"/>
        </w:rPr>
        <w:t>’</w:t>
      </w:r>
      <w:r w:rsidRPr="001A3179">
        <w:rPr>
          <w:lang w:val="fr-FR"/>
        </w:rPr>
        <w:t>autres troubles découlant des violences subies. Les auteurs de violence</w:t>
      </w:r>
      <w:r>
        <w:rPr>
          <w:lang w:val="fr-FR"/>
        </w:rPr>
        <w:t>s</w:t>
      </w:r>
      <w:r w:rsidRPr="001A3179">
        <w:rPr>
          <w:lang w:val="fr-FR"/>
        </w:rPr>
        <w:t xml:space="preserve"> sont pour la plupart des hommes (90,8</w:t>
      </w:r>
      <w:r w:rsidR="00C73216">
        <w:rPr>
          <w:lang w:val="fr-FR"/>
        </w:rPr>
        <w:t> </w:t>
      </w:r>
      <w:r w:rsidRPr="001A3179">
        <w:rPr>
          <w:lang w:val="fr-FR"/>
        </w:rPr>
        <w:t>%), l</w:t>
      </w:r>
      <w:r>
        <w:rPr>
          <w:lang w:val="fr-FR"/>
        </w:rPr>
        <w:t>’</w:t>
      </w:r>
      <w:r w:rsidRPr="001A3179">
        <w:rPr>
          <w:lang w:val="fr-FR"/>
        </w:rPr>
        <w:t>immense majorité des victimes étant des femmes.</w:t>
      </w:r>
    </w:p>
    <w:p w14:paraId="4256A6EB" w14:textId="77777777" w:rsidR="002A5EB2" w:rsidRPr="001A3179" w:rsidRDefault="002A5EB2" w:rsidP="00B803DA">
      <w:pPr>
        <w:pStyle w:val="SingleTxtG"/>
        <w:spacing w:line="250" w:lineRule="atLeast"/>
        <w:rPr>
          <w:lang w:val="fr-FR"/>
        </w:rPr>
      </w:pPr>
      <w:r w:rsidRPr="001A3179">
        <w:rPr>
          <w:lang w:val="fr-FR"/>
        </w:rPr>
        <w:t>53.</w:t>
      </w:r>
      <w:r w:rsidRPr="001A3179">
        <w:rPr>
          <w:lang w:val="fr-FR"/>
        </w:rPr>
        <w:tab/>
        <w:t>Les chiffres provenant de la base de données sociales indiquent que chaque année quelque 2 000 personnes sont victimes de violence familiale. Les données sont recueillies depuis 2008, année où a été adoptée la loi sur la prévention de la violence familiale (ZPDN)</w:t>
      </w:r>
      <w:r w:rsidRPr="0017324C">
        <w:rPr>
          <w:rStyle w:val="Appelnotedebasdep"/>
        </w:rPr>
        <w:footnoteReference w:id="22"/>
      </w:r>
      <w:r w:rsidRPr="001A3179">
        <w:rPr>
          <w:lang w:val="fr-FR"/>
        </w:rPr>
        <w:t>. Les données relatives à 2008 et 2009 n</w:t>
      </w:r>
      <w:r>
        <w:rPr>
          <w:lang w:val="fr-FR"/>
        </w:rPr>
        <w:t>’</w:t>
      </w:r>
      <w:r w:rsidRPr="001A3179">
        <w:rPr>
          <w:lang w:val="fr-FR"/>
        </w:rPr>
        <w:t>ont pas été fournies car elles sont incomplètes du fait que la méthode de collecte n</w:t>
      </w:r>
      <w:r>
        <w:rPr>
          <w:lang w:val="fr-FR"/>
        </w:rPr>
        <w:t>’</w:t>
      </w:r>
      <w:r w:rsidRPr="001A3179">
        <w:rPr>
          <w:lang w:val="fr-FR"/>
        </w:rPr>
        <w:t>avait pas encore été finalisée à l</w:t>
      </w:r>
      <w:r>
        <w:rPr>
          <w:lang w:val="fr-FR"/>
        </w:rPr>
        <w:t>’</w:t>
      </w:r>
      <w:r w:rsidRPr="001A3179">
        <w:rPr>
          <w:lang w:val="fr-FR"/>
        </w:rPr>
        <w:t>époque.</w:t>
      </w:r>
    </w:p>
    <w:tbl>
      <w:tblPr>
        <w:tblW w:w="7385" w:type="dxa"/>
        <w:tblInd w:w="1134" w:type="dxa"/>
        <w:tblLayout w:type="fixed"/>
        <w:tblCellMar>
          <w:left w:w="0" w:type="dxa"/>
          <w:right w:w="0" w:type="dxa"/>
        </w:tblCellMar>
        <w:tblLook w:val="04A0" w:firstRow="1" w:lastRow="0" w:firstColumn="1" w:lastColumn="0" w:noHBand="0" w:noVBand="1"/>
      </w:tblPr>
      <w:tblGrid>
        <w:gridCol w:w="15"/>
        <w:gridCol w:w="1020"/>
        <w:gridCol w:w="793"/>
        <w:gridCol w:w="793"/>
        <w:gridCol w:w="794"/>
        <w:gridCol w:w="794"/>
        <w:gridCol w:w="794"/>
        <w:gridCol w:w="794"/>
        <w:gridCol w:w="794"/>
        <w:gridCol w:w="779"/>
        <w:gridCol w:w="15"/>
      </w:tblGrid>
      <w:tr w:rsidR="002A5EB2" w:rsidRPr="006304C7" w14:paraId="056B3A85" w14:textId="77777777" w:rsidTr="006304C7">
        <w:trPr>
          <w:gridAfter w:val="1"/>
          <w:wAfter w:w="15" w:type="dxa"/>
          <w:tblHeader/>
        </w:trPr>
        <w:tc>
          <w:tcPr>
            <w:tcW w:w="7370" w:type="dxa"/>
            <w:gridSpan w:val="10"/>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14E56F9" w14:textId="77777777" w:rsidR="002A5EB2" w:rsidRPr="006304C7" w:rsidRDefault="002A5EB2" w:rsidP="006304C7">
            <w:pPr>
              <w:suppressAutoHyphens w:val="0"/>
              <w:spacing w:before="80" w:after="80" w:line="200" w:lineRule="exact"/>
              <w:jc w:val="center"/>
              <w:rPr>
                <w:i/>
                <w:sz w:val="16"/>
                <w:lang w:val="fr-FR"/>
              </w:rPr>
            </w:pPr>
            <w:r w:rsidRPr="006304C7">
              <w:rPr>
                <w:i/>
                <w:sz w:val="16"/>
                <w:lang w:val="fr-FR"/>
              </w:rPr>
              <w:t>Nombre total de victimes de violence familiale (Base de données sociales)</w:t>
            </w:r>
          </w:p>
        </w:tc>
      </w:tr>
      <w:tr w:rsidR="006304C7" w:rsidRPr="006304C7" w14:paraId="7DCB23F8" w14:textId="77777777" w:rsidTr="006304C7">
        <w:trPr>
          <w:gridBefore w:val="1"/>
          <w:wBefore w:w="15" w:type="dxa"/>
        </w:trPr>
        <w:tc>
          <w:tcPr>
            <w:tcW w:w="1020"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7DB0AC4C" w14:textId="77777777" w:rsidR="002A5EB2" w:rsidRPr="006304C7" w:rsidRDefault="002A5EB2" w:rsidP="006304C7">
            <w:pPr>
              <w:suppressAutoHyphens w:val="0"/>
              <w:spacing w:before="80" w:after="80" w:line="200" w:lineRule="exact"/>
              <w:rPr>
                <w:i/>
                <w:sz w:val="16"/>
                <w:lang w:val="fr-FR"/>
              </w:rPr>
            </w:pPr>
            <w:r w:rsidRPr="006304C7">
              <w:rPr>
                <w:i/>
                <w:sz w:val="16"/>
                <w:lang w:val="fr-FR"/>
              </w:rPr>
              <w:t>Année</w:t>
            </w:r>
          </w:p>
        </w:tc>
        <w:tc>
          <w:tcPr>
            <w:tcW w:w="793"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7DCED159"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2010</w:t>
            </w:r>
          </w:p>
        </w:tc>
        <w:tc>
          <w:tcPr>
            <w:tcW w:w="793"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02423959"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2011</w:t>
            </w:r>
          </w:p>
        </w:tc>
        <w:tc>
          <w:tcPr>
            <w:tcW w:w="794"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419EC21B"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2012</w:t>
            </w:r>
          </w:p>
        </w:tc>
        <w:tc>
          <w:tcPr>
            <w:tcW w:w="794"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02895730"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2013</w:t>
            </w:r>
          </w:p>
        </w:tc>
        <w:tc>
          <w:tcPr>
            <w:tcW w:w="794"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69E27A97"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2014</w:t>
            </w:r>
          </w:p>
        </w:tc>
        <w:tc>
          <w:tcPr>
            <w:tcW w:w="794"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3085EEDE"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2015</w:t>
            </w:r>
          </w:p>
        </w:tc>
        <w:tc>
          <w:tcPr>
            <w:tcW w:w="794" w:type="dxa"/>
            <w:tcBorders>
              <w:top w:val="single" w:sz="4" w:space="0" w:color="auto"/>
              <w:bottom w:val="single" w:sz="12" w:space="0" w:color="auto"/>
            </w:tcBorders>
            <w:shd w:val="clear" w:color="auto" w:fill="auto"/>
            <w:noWrap/>
            <w:tcMar>
              <w:top w:w="0" w:type="dxa"/>
              <w:left w:w="0" w:type="dxa"/>
              <w:bottom w:w="0" w:type="dxa"/>
              <w:right w:w="15" w:type="dxa"/>
            </w:tcMar>
            <w:hideMark/>
          </w:tcPr>
          <w:p w14:paraId="1D29765E"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2016</w:t>
            </w:r>
          </w:p>
        </w:tc>
        <w:tc>
          <w:tcPr>
            <w:tcW w:w="794" w:type="dxa"/>
            <w:gridSpan w:val="2"/>
            <w:tcBorders>
              <w:top w:val="single" w:sz="4" w:space="0" w:color="auto"/>
              <w:bottom w:val="single" w:sz="12" w:space="0" w:color="auto"/>
            </w:tcBorders>
            <w:shd w:val="clear" w:color="auto" w:fill="auto"/>
            <w:noWrap/>
            <w:tcMar>
              <w:top w:w="0" w:type="dxa"/>
              <w:left w:w="0" w:type="dxa"/>
              <w:bottom w:w="0" w:type="dxa"/>
              <w:right w:w="15" w:type="dxa"/>
            </w:tcMar>
            <w:hideMark/>
          </w:tcPr>
          <w:p w14:paraId="5AAEC512" w14:textId="77777777" w:rsidR="002A5EB2" w:rsidRPr="006304C7" w:rsidRDefault="002A5EB2" w:rsidP="006304C7">
            <w:pPr>
              <w:suppressAutoHyphens w:val="0"/>
              <w:spacing w:before="80" w:after="80" w:line="200" w:lineRule="exact"/>
              <w:jc w:val="right"/>
              <w:rPr>
                <w:i/>
                <w:sz w:val="16"/>
                <w:lang w:val="fr-FR"/>
              </w:rPr>
            </w:pPr>
            <w:r w:rsidRPr="006304C7">
              <w:rPr>
                <w:i/>
                <w:sz w:val="16"/>
                <w:lang w:val="fr-FR"/>
              </w:rPr>
              <w:t>2017</w:t>
            </w:r>
          </w:p>
        </w:tc>
      </w:tr>
      <w:tr w:rsidR="006304C7" w:rsidRPr="00BC3D7B" w14:paraId="6E26C584" w14:textId="77777777" w:rsidTr="006304C7">
        <w:trPr>
          <w:gridBefore w:val="1"/>
          <w:wBefore w:w="15" w:type="dxa"/>
        </w:trPr>
        <w:tc>
          <w:tcPr>
            <w:tcW w:w="1020"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752FD887"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Total</w:t>
            </w:r>
          </w:p>
        </w:tc>
        <w:tc>
          <w:tcPr>
            <w:tcW w:w="793"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4792A190"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1 983</w:t>
            </w:r>
          </w:p>
        </w:tc>
        <w:tc>
          <w:tcPr>
            <w:tcW w:w="793"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5F4CE827"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1 978</w:t>
            </w:r>
          </w:p>
        </w:tc>
        <w:tc>
          <w:tcPr>
            <w:tcW w:w="794"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24730E04"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1 987</w:t>
            </w:r>
          </w:p>
        </w:tc>
        <w:tc>
          <w:tcPr>
            <w:tcW w:w="794"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6CED6DDE"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2 081</w:t>
            </w:r>
          </w:p>
        </w:tc>
        <w:tc>
          <w:tcPr>
            <w:tcW w:w="794"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6B9CC340"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2 080</w:t>
            </w:r>
          </w:p>
        </w:tc>
        <w:tc>
          <w:tcPr>
            <w:tcW w:w="794"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77FB53C6"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1 954</w:t>
            </w:r>
          </w:p>
        </w:tc>
        <w:tc>
          <w:tcPr>
            <w:tcW w:w="794" w:type="dxa"/>
            <w:tcBorders>
              <w:top w:val="single" w:sz="12" w:space="0" w:color="auto"/>
              <w:bottom w:val="single" w:sz="12" w:space="0" w:color="auto"/>
            </w:tcBorders>
            <w:shd w:val="clear" w:color="auto" w:fill="auto"/>
            <w:noWrap/>
            <w:tcMar>
              <w:top w:w="0" w:type="dxa"/>
              <w:left w:w="0" w:type="dxa"/>
              <w:bottom w:w="0" w:type="dxa"/>
              <w:right w:w="15" w:type="dxa"/>
            </w:tcMar>
            <w:hideMark/>
          </w:tcPr>
          <w:p w14:paraId="7FC9D7ED"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2 055</w:t>
            </w:r>
          </w:p>
        </w:tc>
        <w:tc>
          <w:tcPr>
            <w:tcW w:w="794" w:type="dxa"/>
            <w:gridSpan w:val="2"/>
            <w:tcBorders>
              <w:top w:val="single" w:sz="12" w:space="0" w:color="auto"/>
              <w:bottom w:val="single" w:sz="12" w:space="0" w:color="auto"/>
            </w:tcBorders>
            <w:shd w:val="clear" w:color="auto" w:fill="auto"/>
            <w:noWrap/>
            <w:tcMar>
              <w:top w:w="0" w:type="dxa"/>
              <w:left w:w="0" w:type="dxa"/>
              <w:bottom w:w="0" w:type="dxa"/>
              <w:right w:w="15" w:type="dxa"/>
            </w:tcMar>
            <w:hideMark/>
          </w:tcPr>
          <w:p w14:paraId="7D6D88D1" w14:textId="77777777" w:rsidR="002A5EB2" w:rsidRPr="00BC3D7B" w:rsidRDefault="002A5EB2" w:rsidP="006304C7">
            <w:pPr>
              <w:suppressAutoHyphens w:val="0"/>
              <w:spacing w:before="80" w:after="80" w:line="220" w:lineRule="exact"/>
              <w:ind w:firstLine="284"/>
              <w:rPr>
                <w:b/>
                <w:sz w:val="18"/>
                <w:szCs w:val="18"/>
                <w:lang w:val="fr-FR"/>
              </w:rPr>
            </w:pPr>
            <w:r w:rsidRPr="00BC3D7B">
              <w:rPr>
                <w:b/>
                <w:sz w:val="18"/>
                <w:szCs w:val="18"/>
                <w:lang w:val="fr-FR"/>
              </w:rPr>
              <w:t>1 818</w:t>
            </w:r>
            <w:r w:rsidRPr="00BC3D7B">
              <w:rPr>
                <w:bCs/>
                <w:sz w:val="18"/>
                <w:szCs w:val="18"/>
                <w:lang w:val="fr-FR"/>
              </w:rPr>
              <w:t>*</w:t>
            </w:r>
          </w:p>
        </w:tc>
      </w:tr>
    </w:tbl>
    <w:p w14:paraId="60744213" w14:textId="77777777" w:rsidR="002A5EB2" w:rsidRPr="006304C7" w:rsidRDefault="002A5EB2" w:rsidP="00766F59">
      <w:pPr>
        <w:pStyle w:val="SingleTxtG"/>
        <w:spacing w:before="120" w:after="240"/>
        <w:ind w:firstLine="113"/>
        <w:rPr>
          <w:sz w:val="18"/>
          <w:szCs w:val="18"/>
          <w:lang w:val="fr-FR"/>
        </w:rPr>
      </w:pPr>
      <w:r w:rsidRPr="001A3179">
        <w:rPr>
          <w:lang w:val="fr-FR"/>
        </w:rPr>
        <w:t>*</w:t>
      </w:r>
      <w:r w:rsidR="006304C7">
        <w:rPr>
          <w:lang w:val="fr-FR"/>
        </w:rPr>
        <w:t xml:space="preserve">  </w:t>
      </w:r>
      <w:r w:rsidRPr="006304C7">
        <w:rPr>
          <w:sz w:val="18"/>
          <w:szCs w:val="18"/>
          <w:lang w:val="fr-FR"/>
        </w:rPr>
        <w:t>Ces données ne couvrent l’année 2</w:t>
      </w:r>
      <w:r w:rsidR="00C73216">
        <w:rPr>
          <w:sz w:val="18"/>
          <w:szCs w:val="18"/>
          <w:lang w:val="fr-FR"/>
        </w:rPr>
        <w:t>01</w:t>
      </w:r>
      <w:r w:rsidRPr="006304C7">
        <w:rPr>
          <w:sz w:val="18"/>
          <w:szCs w:val="18"/>
          <w:lang w:val="fr-FR"/>
        </w:rPr>
        <w:t>7 que jusqu’au 14 décembre.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00"/>
        <w:gridCol w:w="798"/>
        <w:gridCol w:w="778"/>
        <w:gridCol w:w="799"/>
        <w:gridCol w:w="799"/>
        <w:gridCol w:w="799"/>
        <w:gridCol w:w="799"/>
        <w:gridCol w:w="799"/>
        <w:gridCol w:w="799"/>
      </w:tblGrid>
      <w:tr w:rsidR="002A5EB2" w:rsidRPr="00BC3D7B" w14:paraId="17248ED4" w14:textId="77777777" w:rsidTr="002A5EB2">
        <w:trPr>
          <w:tblHeader/>
        </w:trPr>
        <w:tc>
          <w:tcPr>
            <w:tcW w:w="7370" w:type="dxa"/>
            <w:gridSpan w:val="9"/>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717CD1C" w14:textId="77777777" w:rsidR="002A5EB2" w:rsidRPr="00BC3D7B" w:rsidRDefault="002A5EB2" w:rsidP="00BC3D7B">
            <w:pPr>
              <w:suppressAutoHyphens w:val="0"/>
              <w:spacing w:before="80" w:after="80" w:line="200" w:lineRule="exact"/>
              <w:jc w:val="center"/>
              <w:rPr>
                <w:i/>
                <w:sz w:val="16"/>
                <w:lang w:val="fr-FR"/>
              </w:rPr>
            </w:pPr>
            <w:r w:rsidRPr="00BC3D7B">
              <w:rPr>
                <w:i/>
                <w:sz w:val="16"/>
                <w:lang w:val="fr-FR"/>
              </w:rPr>
              <w:t>Nombre d’enfants victimes de violence familiale (Base de données sociales)</w:t>
            </w:r>
          </w:p>
        </w:tc>
      </w:tr>
      <w:tr w:rsidR="002A5EB2" w:rsidRPr="001A3179" w14:paraId="32EE3DDF" w14:textId="77777777" w:rsidTr="006304C7">
        <w:tc>
          <w:tcPr>
            <w:tcW w:w="1000"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708824D1" w14:textId="77777777" w:rsidR="002A5EB2" w:rsidRPr="001A3179" w:rsidRDefault="002A5EB2" w:rsidP="00BC3D7B">
            <w:pPr>
              <w:suppressAutoHyphens w:val="0"/>
              <w:spacing w:before="80" w:after="80" w:line="200" w:lineRule="exact"/>
              <w:rPr>
                <w:i/>
                <w:sz w:val="16"/>
                <w:szCs w:val="24"/>
                <w:lang w:val="fr-FR"/>
              </w:rPr>
            </w:pPr>
            <w:r w:rsidRPr="001A3179">
              <w:rPr>
                <w:i/>
                <w:sz w:val="16"/>
                <w:szCs w:val="24"/>
                <w:lang w:val="fr-FR"/>
              </w:rPr>
              <w:t>Année</w:t>
            </w:r>
          </w:p>
        </w:tc>
        <w:tc>
          <w:tcPr>
            <w:tcW w:w="798"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31F962E8"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2010</w:t>
            </w:r>
          </w:p>
        </w:tc>
        <w:tc>
          <w:tcPr>
            <w:tcW w:w="778"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47543739"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2011</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04D7507D"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2012</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53378986"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2013</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14A3C9C6"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2014</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6A808094"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2015</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5ED18AD3"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2016</w:t>
            </w:r>
          </w:p>
        </w:tc>
        <w:tc>
          <w:tcPr>
            <w:tcW w:w="799" w:type="dxa"/>
            <w:tcBorders>
              <w:top w:val="single" w:sz="4" w:space="0" w:color="auto"/>
              <w:bottom w:val="single" w:sz="12" w:space="0" w:color="auto"/>
            </w:tcBorders>
            <w:shd w:val="clear" w:color="auto" w:fill="auto"/>
            <w:noWrap/>
            <w:tcMar>
              <w:top w:w="15" w:type="dxa"/>
              <w:left w:w="15" w:type="dxa"/>
              <w:bottom w:w="0" w:type="dxa"/>
              <w:right w:w="15" w:type="dxa"/>
            </w:tcMar>
            <w:hideMark/>
          </w:tcPr>
          <w:p w14:paraId="27C7B16C" w14:textId="77777777" w:rsidR="002A5EB2" w:rsidRPr="00BC3D7B" w:rsidRDefault="002A5EB2" w:rsidP="00BC3D7B">
            <w:pPr>
              <w:suppressAutoHyphens w:val="0"/>
              <w:spacing w:before="80" w:after="80" w:line="200" w:lineRule="exact"/>
              <w:jc w:val="right"/>
              <w:rPr>
                <w:i/>
                <w:sz w:val="16"/>
                <w:lang w:val="fr-FR"/>
              </w:rPr>
            </w:pPr>
            <w:r w:rsidRPr="00BC3D7B">
              <w:rPr>
                <w:i/>
                <w:sz w:val="16"/>
                <w:lang w:val="fr-FR"/>
              </w:rPr>
              <w:t>2017</w:t>
            </w:r>
          </w:p>
        </w:tc>
      </w:tr>
      <w:tr w:rsidR="002A5EB2" w:rsidRPr="00BC3D7B" w14:paraId="4CB6B9FE" w14:textId="77777777" w:rsidTr="006304C7">
        <w:tc>
          <w:tcPr>
            <w:tcW w:w="1000" w:type="dxa"/>
            <w:tcBorders>
              <w:top w:val="single" w:sz="12" w:space="0" w:color="auto"/>
            </w:tcBorders>
            <w:shd w:val="clear" w:color="auto" w:fill="auto"/>
            <w:noWrap/>
            <w:tcMar>
              <w:top w:w="15" w:type="dxa"/>
              <w:left w:w="15" w:type="dxa"/>
              <w:bottom w:w="0" w:type="dxa"/>
              <w:right w:w="15" w:type="dxa"/>
            </w:tcMar>
            <w:hideMark/>
          </w:tcPr>
          <w:p w14:paraId="78C87258" w14:textId="77777777" w:rsidR="002A5EB2" w:rsidRPr="00BC3D7B" w:rsidRDefault="002A5EB2" w:rsidP="00BC3D7B">
            <w:pPr>
              <w:suppressAutoHyphens w:val="0"/>
              <w:spacing w:before="80" w:after="80" w:line="220" w:lineRule="exact"/>
              <w:ind w:firstLine="284"/>
              <w:rPr>
                <w:b/>
                <w:sz w:val="18"/>
                <w:szCs w:val="18"/>
                <w:lang w:val="fr-FR"/>
              </w:rPr>
            </w:pPr>
            <w:r w:rsidRPr="00BC3D7B">
              <w:rPr>
                <w:b/>
                <w:sz w:val="18"/>
                <w:szCs w:val="18"/>
                <w:lang w:val="fr-FR"/>
              </w:rPr>
              <w:t>Total</w:t>
            </w:r>
          </w:p>
        </w:tc>
        <w:tc>
          <w:tcPr>
            <w:tcW w:w="798" w:type="dxa"/>
            <w:tcBorders>
              <w:top w:val="single" w:sz="12" w:space="0" w:color="auto"/>
            </w:tcBorders>
            <w:shd w:val="clear" w:color="auto" w:fill="auto"/>
            <w:noWrap/>
            <w:tcMar>
              <w:top w:w="15" w:type="dxa"/>
              <w:left w:w="15" w:type="dxa"/>
              <w:bottom w:w="0" w:type="dxa"/>
              <w:right w:w="15" w:type="dxa"/>
            </w:tcMar>
            <w:hideMark/>
          </w:tcPr>
          <w:p w14:paraId="3CD78E1C"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347</w:t>
            </w:r>
          </w:p>
        </w:tc>
        <w:tc>
          <w:tcPr>
            <w:tcW w:w="778" w:type="dxa"/>
            <w:tcBorders>
              <w:top w:val="single" w:sz="12" w:space="0" w:color="auto"/>
            </w:tcBorders>
            <w:shd w:val="clear" w:color="auto" w:fill="auto"/>
            <w:noWrap/>
            <w:tcMar>
              <w:top w:w="15" w:type="dxa"/>
              <w:left w:w="15" w:type="dxa"/>
              <w:bottom w:w="0" w:type="dxa"/>
              <w:right w:w="15" w:type="dxa"/>
            </w:tcMar>
            <w:hideMark/>
          </w:tcPr>
          <w:p w14:paraId="347390A1"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324</w:t>
            </w:r>
          </w:p>
        </w:tc>
        <w:tc>
          <w:tcPr>
            <w:tcW w:w="799" w:type="dxa"/>
            <w:tcBorders>
              <w:top w:val="single" w:sz="12" w:space="0" w:color="auto"/>
            </w:tcBorders>
            <w:shd w:val="clear" w:color="auto" w:fill="auto"/>
            <w:noWrap/>
            <w:tcMar>
              <w:top w:w="15" w:type="dxa"/>
              <w:left w:w="15" w:type="dxa"/>
              <w:bottom w:w="0" w:type="dxa"/>
              <w:right w:w="15" w:type="dxa"/>
            </w:tcMar>
            <w:hideMark/>
          </w:tcPr>
          <w:p w14:paraId="50803CC4"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365</w:t>
            </w:r>
          </w:p>
        </w:tc>
        <w:tc>
          <w:tcPr>
            <w:tcW w:w="799" w:type="dxa"/>
            <w:tcBorders>
              <w:top w:val="single" w:sz="12" w:space="0" w:color="auto"/>
            </w:tcBorders>
            <w:shd w:val="clear" w:color="auto" w:fill="auto"/>
            <w:noWrap/>
            <w:tcMar>
              <w:top w:w="15" w:type="dxa"/>
              <w:left w:w="15" w:type="dxa"/>
              <w:bottom w:w="0" w:type="dxa"/>
              <w:right w:w="15" w:type="dxa"/>
            </w:tcMar>
            <w:hideMark/>
          </w:tcPr>
          <w:p w14:paraId="62A80198"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398</w:t>
            </w:r>
          </w:p>
        </w:tc>
        <w:tc>
          <w:tcPr>
            <w:tcW w:w="799" w:type="dxa"/>
            <w:tcBorders>
              <w:top w:val="single" w:sz="12" w:space="0" w:color="auto"/>
            </w:tcBorders>
            <w:shd w:val="clear" w:color="auto" w:fill="auto"/>
            <w:noWrap/>
            <w:tcMar>
              <w:top w:w="15" w:type="dxa"/>
              <w:left w:w="15" w:type="dxa"/>
              <w:bottom w:w="0" w:type="dxa"/>
              <w:right w:w="15" w:type="dxa"/>
            </w:tcMar>
            <w:hideMark/>
          </w:tcPr>
          <w:p w14:paraId="62520E9D"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419</w:t>
            </w:r>
          </w:p>
        </w:tc>
        <w:tc>
          <w:tcPr>
            <w:tcW w:w="799" w:type="dxa"/>
            <w:tcBorders>
              <w:top w:val="single" w:sz="12" w:space="0" w:color="auto"/>
            </w:tcBorders>
            <w:shd w:val="clear" w:color="auto" w:fill="auto"/>
            <w:noWrap/>
            <w:tcMar>
              <w:top w:w="15" w:type="dxa"/>
              <w:left w:w="15" w:type="dxa"/>
              <w:bottom w:w="0" w:type="dxa"/>
              <w:right w:w="15" w:type="dxa"/>
            </w:tcMar>
            <w:hideMark/>
          </w:tcPr>
          <w:p w14:paraId="01079A8B"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421</w:t>
            </w:r>
          </w:p>
        </w:tc>
        <w:tc>
          <w:tcPr>
            <w:tcW w:w="799" w:type="dxa"/>
            <w:tcBorders>
              <w:top w:val="single" w:sz="12" w:space="0" w:color="auto"/>
            </w:tcBorders>
            <w:shd w:val="clear" w:color="auto" w:fill="auto"/>
            <w:noWrap/>
            <w:tcMar>
              <w:top w:w="15" w:type="dxa"/>
              <w:left w:w="15" w:type="dxa"/>
              <w:bottom w:w="0" w:type="dxa"/>
              <w:right w:w="15" w:type="dxa"/>
            </w:tcMar>
            <w:hideMark/>
          </w:tcPr>
          <w:p w14:paraId="1BC0837E"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461</w:t>
            </w:r>
          </w:p>
        </w:tc>
        <w:tc>
          <w:tcPr>
            <w:tcW w:w="799" w:type="dxa"/>
            <w:tcBorders>
              <w:top w:val="single" w:sz="12" w:space="0" w:color="auto"/>
            </w:tcBorders>
            <w:shd w:val="clear" w:color="auto" w:fill="auto"/>
            <w:noWrap/>
            <w:tcMar>
              <w:top w:w="15" w:type="dxa"/>
              <w:left w:w="15" w:type="dxa"/>
              <w:bottom w:w="0" w:type="dxa"/>
              <w:right w:w="15" w:type="dxa"/>
            </w:tcMar>
            <w:hideMark/>
          </w:tcPr>
          <w:p w14:paraId="438126B5"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454</w:t>
            </w:r>
            <w:r w:rsidRPr="00BC3D7B">
              <w:rPr>
                <w:sz w:val="18"/>
                <w:szCs w:val="18"/>
                <w:lang w:val="fr-FR"/>
              </w:rPr>
              <w:t>*</w:t>
            </w:r>
          </w:p>
        </w:tc>
      </w:tr>
    </w:tbl>
    <w:p w14:paraId="190A2B54" w14:textId="77777777" w:rsidR="002A5EB2" w:rsidRPr="001A3179" w:rsidRDefault="002A5EB2" w:rsidP="00BC3D7B">
      <w:pPr>
        <w:pStyle w:val="SingleTxtG"/>
        <w:spacing w:before="120"/>
        <w:ind w:firstLine="113"/>
        <w:rPr>
          <w:sz w:val="18"/>
          <w:lang w:val="fr-FR"/>
        </w:rPr>
      </w:pPr>
      <w:r w:rsidRPr="001A3179">
        <w:rPr>
          <w:sz w:val="18"/>
          <w:lang w:val="fr-FR"/>
        </w:rPr>
        <w:t>*</w:t>
      </w:r>
      <w:r w:rsidR="00BC3D7B">
        <w:rPr>
          <w:sz w:val="18"/>
          <w:lang w:val="fr-FR"/>
        </w:rPr>
        <w:t xml:space="preserve">  </w:t>
      </w:r>
      <w:r w:rsidRPr="001A3179">
        <w:rPr>
          <w:sz w:val="18"/>
          <w:lang w:val="fr-FR"/>
        </w:rPr>
        <w:t>Ces données ne couvrent l</w:t>
      </w:r>
      <w:r>
        <w:rPr>
          <w:sz w:val="18"/>
          <w:lang w:val="fr-FR"/>
        </w:rPr>
        <w:t>’</w:t>
      </w:r>
      <w:r w:rsidRPr="001A3179">
        <w:rPr>
          <w:sz w:val="18"/>
          <w:lang w:val="fr-FR"/>
        </w:rPr>
        <w:t>année 2</w:t>
      </w:r>
      <w:r w:rsidR="00C73216">
        <w:rPr>
          <w:sz w:val="18"/>
          <w:lang w:val="fr-FR"/>
        </w:rPr>
        <w:t>01</w:t>
      </w:r>
      <w:r w:rsidRPr="001A3179">
        <w:rPr>
          <w:sz w:val="18"/>
          <w:lang w:val="fr-FR"/>
        </w:rPr>
        <w:t>7 que jusqu</w:t>
      </w:r>
      <w:r>
        <w:rPr>
          <w:sz w:val="18"/>
          <w:lang w:val="fr-FR"/>
        </w:rPr>
        <w:t>’</w:t>
      </w:r>
      <w:r w:rsidRPr="001A3179">
        <w:rPr>
          <w:sz w:val="18"/>
          <w:lang w:val="fr-FR"/>
        </w:rPr>
        <w:t>au 14 décembre.</w:t>
      </w:r>
    </w:p>
    <w:p w14:paraId="362CF821" w14:textId="77777777" w:rsidR="002A5EB2" w:rsidRPr="001A3179" w:rsidRDefault="002A5EB2" w:rsidP="00B803DA">
      <w:pPr>
        <w:pStyle w:val="SingleTxtG"/>
        <w:spacing w:before="240" w:line="250" w:lineRule="atLeast"/>
        <w:rPr>
          <w:lang w:val="fr-FR"/>
        </w:rPr>
      </w:pPr>
      <w:r w:rsidRPr="001A3179">
        <w:rPr>
          <w:lang w:val="fr-FR"/>
        </w:rPr>
        <w:t>54.</w:t>
      </w:r>
      <w:r w:rsidRPr="001A3179">
        <w:rPr>
          <w:lang w:val="fr-FR"/>
        </w:rPr>
        <w:tab/>
        <w:t>La police émet en moyenne chaque année 900 ordonnances de protection de victimes d</w:t>
      </w:r>
      <w:r>
        <w:rPr>
          <w:lang w:val="fr-FR"/>
        </w:rPr>
        <w:t>’</w:t>
      </w:r>
      <w:r w:rsidRPr="001A3179">
        <w:rPr>
          <w:lang w:val="fr-FR"/>
        </w:rPr>
        <w:t>infractions pénales (</w:t>
      </w:r>
      <w:r>
        <w:rPr>
          <w:lang w:val="fr-FR"/>
        </w:rPr>
        <w:t xml:space="preserve">infractions pénales graves </w:t>
      </w:r>
      <w:r w:rsidRPr="001A3179">
        <w:rPr>
          <w:lang w:val="fr-FR"/>
        </w:rPr>
        <w:t xml:space="preserve">et </w:t>
      </w:r>
      <w:r>
        <w:rPr>
          <w:lang w:val="fr-FR"/>
        </w:rPr>
        <w:t xml:space="preserve">infractions mineures </w:t>
      </w:r>
      <w:r w:rsidRPr="001A3179">
        <w:rPr>
          <w:lang w:val="fr-FR"/>
        </w:rPr>
        <w:t>comportant un élément de violence familiale). Les données y relatives sont ventilées selon le sexe et l</w:t>
      </w:r>
      <w:r>
        <w:rPr>
          <w:lang w:val="fr-FR"/>
        </w:rPr>
        <w:t>’</w:t>
      </w:r>
      <w:r w:rsidRPr="001A3179">
        <w:rPr>
          <w:lang w:val="fr-FR"/>
        </w:rPr>
        <w:t>âge des auteurs et des victimes</w:t>
      </w:r>
      <w:r w:rsidR="00C73216">
        <w:rPr>
          <w:lang w:val="fr-FR"/>
        </w:rPr>
        <w:t> </w:t>
      </w:r>
      <w:r w:rsidRPr="001A3179">
        <w:rPr>
          <w:lang w:val="fr-FR"/>
        </w:rPr>
        <w:t>; comme expliqué plus haut, il n</w:t>
      </w:r>
      <w:r>
        <w:rPr>
          <w:lang w:val="fr-FR"/>
        </w:rPr>
        <w:t>’</w:t>
      </w:r>
      <w:r w:rsidRPr="001A3179">
        <w:rPr>
          <w:lang w:val="fr-FR"/>
        </w:rPr>
        <w:t>est pas collecté de données sur l</w:t>
      </w:r>
      <w:r>
        <w:rPr>
          <w:lang w:val="fr-FR"/>
        </w:rPr>
        <w:t>’</w:t>
      </w:r>
      <w:r w:rsidRPr="001A3179">
        <w:rPr>
          <w:lang w:val="fr-FR"/>
        </w:rPr>
        <w:t>ethnie.</w:t>
      </w:r>
    </w:p>
    <w:tbl>
      <w:tblPr>
        <w:tblW w:w="7370" w:type="dxa"/>
        <w:tblInd w:w="1134" w:type="dxa"/>
        <w:tblLayout w:type="fixed"/>
        <w:tblCellMar>
          <w:left w:w="0" w:type="dxa"/>
          <w:right w:w="0" w:type="dxa"/>
        </w:tblCellMar>
        <w:tblLook w:val="04A0" w:firstRow="1" w:lastRow="0" w:firstColumn="1" w:lastColumn="0" w:noHBand="0" w:noVBand="1"/>
      </w:tblPr>
      <w:tblGrid>
        <w:gridCol w:w="1813"/>
        <w:gridCol w:w="793"/>
        <w:gridCol w:w="794"/>
        <w:gridCol w:w="794"/>
        <w:gridCol w:w="794"/>
        <w:gridCol w:w="794"/>
        <w:gridCol w:w="794"/>
        <w:gridCol w:w="794"/>
      </w:tblGrid>
      <w:tr w:rsidR="00BC3D7B" w:rsidRPr="00BC3D7B" w14:paraId="06A58199" w14:textId="77777777" w:rsidTr="00BC3D7B">
        <w:trPr>
          <w:tblHeader/>
        </w:trPr>
        <w:tc>
          <w:tcPr>
            <w:tcW w:w="1813" w:type="dxa"/>
            <w:vMerge w:val="restart"/>
            <w:tcBorders>
              <w:top w:val="single" w:sz="4" w:space="0" w:color="auto"/>
            </w:tcBorders>
            <w:shd w:val="clear" w:color="auto" w:fill="auto"/>
            <w:noWrap/>
            <w:vAlign w:val="bottom"/>
            <w:hideMark/>
          </w:tcPr>
          <w:p w14:paraId="7637CFD2" w14:textId="77777777" w:rsidR="00BC3D7B" w:rsidRPr="00BC3D7B" w:rsidRDefault="00BC3D7B" w:rsidP="00BC3D7B">
            <w:pPr>
              <w:suppressAutoHyphens w:val="0"/>
              <w:spacing w:before="80" w:after="80" w:line="200" w:lineRule="exact"/>
              <w:rPr>
                <w:i/>
                <w:sz w:val="16"/>
                <w:lang w:val="fr-FR"/>
              </w:rPr>
            </w:pPr>
          </w:p>
        </w:tc>
        <w:tc>
          <w:tcPr>
            <w:tcW w:w="5557" w:type="dxa"/>
            <w:gridSpan w:val="7"/>
            <w:tcBorders>
              <w:top w:val="single" w:sz="4" w:space="0" w:color="auto"/>
              <w:bottom w:val="single" w:sz="4" w:space="0" w:color="auto"/>
            </w:tcBorders>
            <w:shd w:val="clear" w:color="auto" w:fill="auto"/>
            <w:noWrap/>
            <w:vAlign w:val="bottom"/>
            <w:hideMark/>
          </w:tcPr>
          <w:p w14:paraId="562C9037" w14:textId="77777777" w:rsidR="00BC3D7B" w:rsidRPr="00BC3D7B" w:rsidRDefault="00BC3D7B" w:rsidP="00BC3D7B">
            <w:pPr>
              <w:suppressAutoHyphens w:val="0"/>
              <w:spacing w:before="80" w:after="80" w:line="200" w:lineRule="exact"/>
              <w:jc w:val="center"/>
              <w:rPr>
                <w:i/>
                <w:sz w:val="16"/>
                <w:lang w:val="fr-FR"/>
              </w:rPr>
            </w:pPr>
            <w:r w:rsidRPr="00BC3D7B">
              <w:rPr>
                <w:i/>
                <w:sz w:val="16"/>
                <w:lang w:val="fr-FR"/>
              </w:rPr>
              <w:t>Nombre d’ordonnances de protection</w:t>
            </w:r>
          </w:p>
        </w:tc>
      </w:tr>
      <w:tr w:rsidR="00BC3D7B" w:rsidRPr="00BC3D7B" w14:paraId="676779C1" w14:textId="77777777" w:rsidTr="00894C70">
        <w:trPr>
          <w:tblHeader/>
        </w:trPr>
        <w:tc>
          <w:tcPr>
            <w:tcW w:w="1813" w:type="dxa"/>
            <w:vMerge/>
            <w:tcBorders>
              <w:bottom w:val="single" w:sz="12" w:space="0" w:color="auto"/>
            </w:tcBorders>
            <w:shd w:val="clear" w:color="auto" w:fill="auto"/>
            <w:hideMark/>
          </w:tcPr>
          <w:p w14:paraId="1669887A" w14:textId="77777777" w:rsidR="00BC3D7B" w:rsidRPr="00BC3D7B" w:rsidRDefault="00BC3D7B" w:rsidP="00BC3D7B">
            <w:pPr>
              <w:suppressAutoHyphens w:val="0"/>
              <w:spacing w:before="40" w:after="40" w:line="220" w:lineRule="exact"/>
              <w:rPr>
                <w:b/>
                <w:sz w:val="18"/>
                <w:lang w:val="fr-FR"/>
              </w:rPr>
            </w:pPr>
          </w:p>
        </w:tc>
        <w:tc>
          <w:tcPr>
            <w:tcW w:w="793" w:type="dxa"/>
            <w:tcBorders>
              <w:top w:val="single" w:sz="4" w:space="0" w:color="auto"/>
              <w:bottom w:val="single" w:sz="12" w:space="0" w:color="auto"/>
            </w:tcBorders>
            <w:shd w:val="clear" w:color="auto" w:fill="auto"/>
            <w:noWrap/>
            <w:vAlign w:val="bottom"/>
            <w:hideMark/>
          </w:tcPr>
          <w:p w14:paraId="69A56524"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2011</w:t>
            </w:r>
          </w:p>
        </w:tc>
        <w:tc>
          <w:tcPr>
            <w:tcW w:w="794" w:type="dxa"/>
            <w:tcBorders>
              <w:top w:val="single" w:sz="4" w:space="0" w:color="auto"/>
              <w:bottom w:val="single" w:sz="12" w:space="0" w:color="auto"/>
            </w:tcBorders>
            <w:shd w:val="clear" w:color="auto" w:fill="auto"/>
            <w:noWrap/>
            <w:vAlign w:val="bottom"/>
            <w:hideMark/>
          </w:tcPr>
          <w:p w14:paraId="09261875"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2012</w:t>
            </w:r>
          </w:p>
        </w:tc>
        <w:tc>
          <w:tcPr>
            <w:tcW w:w="794" w:type="dxa"/>
            <w:tcBorders>
              <w:top w:val="single" w:sz="4" w:space="0" w:color="auto"/>
              <w:bottom w:val="single" w:sz="12" w:space="0" w:color="auto"/>
            </w:tcBorders>
            <w:shd w:val="clear" w:color="auto" w:fill="auto"/>
            <w:noWrap/>
            <w:vAlign w:val="bottom"/>
            <w:hideMark/>
          </w:tcPr>
          <w:p w14:paraId="1584F615"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2013</w:t>
            </w:r>
          </w:p>
        </w:tc>
        <w:tc>
          <w:tcPr>
            <w:tcW w:w="794" w:type="dxa"/>
            <w:tcBorders>
              <w:top w:val="single" w:sz="4" w:space="0" w:color="auto"/>
              <w:bottom w:val="single" w:sz="12" w:space="0" w:color="auto"/>
            </w:tcBorders>
            <w:shd w:val="clear" w:color="auto" w:fill="auto"/>
            <w:noWrap/>
            <w:vAlign w:val="bottom"/>
            <w:hideMark/>
          </w:tcPr>
          <w:p w14:paraId="28E1323C"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2014</w:t>
            </w:r>
          </w:p>
        </w:tc>
        <w:tc>
          <w:tcPr>
            <w:tcW w:w="794" w:type="dxa"/>
            <w:tcBorders>
              <w:top w:val="single" w:sz="4" w:space="0" w:color="auto"/>
              <w:bottom w:val="single" w:sz="12" w:space="0" w:color="auto"/>
            </w:tcBorders>
            <w:shd w:val="clear" w:color="auto" w:fill="auto"/>
            <w:noWrap/>
            <w:vAlign w:val="bottom"/>
            <w:hideMark/>
          </w:tcPr>
          <w:p w14:paraId="625100E3"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2015</w:t>
            </w:r>
          </w:p>
        </w:tc>
        <w:tc>
          <w:tcPr>
            <w:tcW w:w="794" w:type="dxa"/>
            <w:tcBorders>
              <w:top w:val="single" w:sz="4" w:space="0" w:color="auto"/>
              <w:bottom w:val="single" w:sz="12" w:space="0" w:color="auto"/>
            </w:tcBorders>
            <w:shd w:val="clear" w:color="auto" w:fill="auto"/>
            <w:noWrap/>
            <w:vAlign w:val="bottom"/>
            <w:hideMark/>
          </w:tcPr>
          <w:p w14:paraId="589BDD2E"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2016</w:t>
            </w:r>
          </w:p>
        </w:tc>
        <w:tc>
          <w:tcPr>
            <w:tcW w:w="794" w:type="dxa"/>
            <w:tcBorders>
              <w:top w:val="single" w:sz="4" w:space="0" w:color="auto"/>
              <w:bottom w:val="single" w:sz="12" w:space="0" w:color="auto"/>
            </w:tcBorders>
            <w:shd w:val="clear" w:color="auto" w:fill="auto"/>
            <w:noWrap/>
            <w:vAlign w:val="bottom"/>
            <w:hideMark/>
          </w:tcPr>
          <w:p w14:paraId="6E8109F2" w14:textId="77777777" w:rsidR="00BC3D7B" w:rsidRPr="00BC3D7B" w:rsidRDefault="00BC3D7B" w:rsidP="00BC3D7B">
            <w:pPr>
              <w:suppressAutoHyphens w:val="0"/>
              <w:spacing w:before="40" w:after="40" w:line="220" w:lineRule="exact"/>
              <w:jc w:val="right"/>
              <w:rPr>
                <w:i/>
                <w:sz w:val="16"/>
                <w:lang w:val="fr-FR"/>
              </w:rPr>
            </w:pPr>
            <w:r w:rsidRPr="00BC3D7B">
              <w:rPr>
                <w:i/>
                <w:sz w:val="16"/>
                <w:lang w:val="fr-FR"/>
              </w:rPr>
              <w:t>2017</w:t>
            </w:r>
          </w:p>
        </w:tc>
      </w:tr>
      <w:tr w:rsidR="00BC3D7B" w:rsidRPr="00BC3D7B" w14:paraId="0AE376AB" w14:textId="77777777" w:rsidTr="00BC3D7B">
        <w:tc>
          <w:tcPr>
            <w:tcW w:w="1813" w:type="dxa"/>
            <w:tcBorders>
              <w:top w:val="single" w:sz="12" w:space="0" w:color="auto"/>
              <w:bottom w:val="single" w:sz="12" w:space="0" w:color="auto"/>
            </w:tcBorders>
            <w:shd w:val="clear" w:color="auto" w:fill="auto"/>
            <w:noWrap/>
            <w:hideMark/>
          </w:tcPr>
          <w:p w14:paraId="07B6D03C" w14:textId="77777777" w:rsidR="002A5EB2" w:rsidRPr="00BC3D7B" w:rsidRDefault="002A5EB2" w:rsidP="00BC3D7B">
            <w:pPr>
              <w:suppressAutoHyphens w:val="0"/>
              <w:spacing w:before="80" w:after="80" w:line="220" w:lineRule="exact"/>
              <w:ind w:firstLine="284"/>
              <w:rPr>
                <w:b/>
                <w:sz w:val="18"/>
                <w:lang w:val="fr-FR"/>
              </w:rPr>
            </w:pPr>
            <w:r w:rsidRPr="00BC3D7B">
              <w:rPr>
                <w:b/>
                <w:sz w:val="18"/>
                <w:lang w:val="fr-FR"/>
              </w:rPr>
              <w:t>Total</w:t>
            </w:r>
          </w:p>
        </w:tc>
        <w:tc>
          <w:tcPr>
            <w:tcW w:w="793" w:type="dxa"/>
            <w:tcBorders>
              <w:top w:val="single" w:sz="12" w:space="0" w:color="auto"/>
              <w:bottom w:val="single" w:sz="12" w:space="0" w:color="auto"/>
            </w:tcBorders>
            <w:shd w:val="clear" w:color="auto" w:fill="auto"/>
            <w:noWrap/>
            <w:vAlign w:val="bottom"/>
            <w:hideMark/>
          </w:tcPr>
          <w:p w14:paraId="0B5F4F96"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1 057</w:t>
            </w:r>
          </w:p>
        </w:tc>
        <w:tc>
          <w:tcPr>
            <w:tcW w:w="794" w:type="dxa"/>
            <w:tcBorders>
              <w:top w:val="single" w:sz="12" w:space="0" w:color="auto"/>
              <w:bottom w:val="single" w:sz="12" w:space="0" w:color="auto"/>
            </w:tcBorders>
            <w:shd w:val="clear" w:color="auto" w:fill="auto"/>
            <w:noWrap/>
            <w:vAlign w:val="bottom"/>
            <w:hideMark/>
          </w:tcPr>
          <w:p w14:paraId="627CF366"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911</w:t>
            </w:r>
          </w:p>
        </w:tc>
        <w:tc>
          <w:tcPr>
            <w:tcW w:w="794" w:type="dxa"/>
            <w:tcBorders>
              <w:top w:val="single" w:sz="12" w:space="0" w:color="auto"/>
              <w:bottom w:val="single" w:sz="12" w:space="0" w:color="auto"/>
            </w:tcBorders>
            <w:shd w:val="clear" w:color="auto" w:fill="auto"/>
            <w:noWrap/>
            <w:vAlign w:val="bottom"/>
            <w:hideMark/>
          </w:tcPr>
          <w:p w14:paraId="6E927BF3"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949</w:t>
            </w:r>
          </w:p>
        </w:tc>
        <w:tc>
          <w:tcPr>
            <w:tcW w:w="794" w:type="dxa"/>
            <w:tcBorders>
              <w:top w:val="single" w:sz="12" w:space="0" w:color="auto"/>
              <w:bottom w:val="single" w:sz="12" w:space="0" w:color="auto"/>
            </w:tcBorders>
            <w:shd w:val="clear" w:color="auto" w:fill="auto"/>
            <w:noWrap/>
            <w:vAlign w:val="bottom"/>
            <w:hideMark/>
          </w:tcPr>
          <w:p w14:paraId="04AA08B3"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1 052</w:t>
            </w:r>
          </w:p>
        </w:tc>
        <w:tc>
          <w:tcPr>
            <w:tcW w:w="794" w:type="dxa"/>
            <w:tcBorders>
              <w:top w:val="single" w:sz="12" w:space="0" w:color="auto"/>
              <w:bottom w:val="single" w:sz="12" w:space="0" w:color="auto"/>
            </w:tcBorders>
            <w:shd w:val="clear" w:color="auto" w:fill="auto"/>
            <w:noWrap/>
            <w:vAlign w:val="bottom"/>
            <w:hideMark/>
          </w:tcPr>
          <w:p w14:paraId="0A1C7267"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837</w:t>
            </w:r>
          </w:p>
        </w:tc>
        <w:tc>
          <w:tcPr>
            <w:tcW w:w="794" w:type="dxa"/>
            <w:tcBorders>
              <w:top w:val="single" w:sz="12" w:space="0" w:color="auto"/>
              <w:bottom w:val="single" w:sz="12" w:space="0" w:color="auto"/>
            </w:tcBorders>
            <w:shd w:val="clear" w:color="auto" w:fill="auto"/>
            <w:noWrap/>
            <w:vAlign w:val="bottom"/>
            <w:hideMark/>
          </w:tcPr>
          <w:p w14:paraId="005D95D0"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864</w:t>
            </w:r>
          </w:p>
        </w:tc>
        <w:tc>
          <w:tcPr>
            <w:tcW w:w="794" w:type="dxa"/>
            <w:tcBorders>
              <w:top w:val="single" w:sz="12" w:space="0" w:color="auto"/>
              <w:bottom w:val="single" w:sz="12" w:space="0" w:color="auto"/>
            </w:tcBorders>
            <w:shd w:val="clear" w:color="auto" w:fill="auto"/>
            <w:noWrap/>
            <w:vAlign w:val="bottom"/>
            <w:hideMark/>
          </w:tcPr>
          <w:p w14:paraId="21490F7A" w14:textId="77777777" w:rsidR="002A5EB2" w:rsidRPr="00BC3D7B" w:rsidRDefault="002A5EB2" w:rsidP="00BC3D7B">
            <w:pPr>
              <w:suppressAutoHyphens w:val="0"/>
              <w:spacing w:before="80" w:after="80" w:line="220" w:lineRule="exact"/>
              <w:ind w:firstLine="284"/>
              <w:jc w:val="right"/>
              <w:rPr>
                <w:b/>
                <w:sz w:val="18"/>
                <w:szCs w:val="18"/>
                <w:lang w:val="fr-FR"/>
              </w:rPr>
            </w:pPr>
            <w:r w:rsidRPr="00BC3D7B">
              <w:rPr>
                <w:b/>
                <w:sz w:val="18"/>
                <w:szCs w:val="18"/>
                <w:lang w:val="fr-FR"/>
              </w:rPr>
              <w:t>787</w:t>
            </w:r>
            <w:r w:rsidRPr="00766F59">
              <w:rPr>
                <w:sz w:val="18"/>
                <w:szCs w:val="18"/>
                <w:lang w:val="fr-FR"/>
              </w:rPr>
              <w:t>*</w:t>
            </w:r>
          </w:p>
        </w:tc>
      </w:tr>
    </w:tbl>
    <w:p w14:paraId="534C3A96" w14:textId="77777777" w:rsidR="002A5EB2" w:rsidRPr="001A3179" w:rsidRDefault="002A5EB2" w:rsidP="00766F59">
      <w:pPr>
        <w:pStyle w:val="SingleTxtG"/>
        <w:spacing w:before="120" w:after="240"/>
        <w:rPr>
          <w:lang w:val="fr-FR"/>
        </w:rPr>
      </w:pPr>
      <w:bookmarkStart w:id="15" w:name="_GoBack"/>
      <w:bookmarkEnd w:id="15"/>
    </w:p>
    <w:tbl>
      <w:tblPr>
        <w:tblW w:w="7370" w:type="dxa"/>
        <w:tblInd w:w="1134" w:type="dxa"/>
        <w:tblLayout w:type="fixed"/>
        <w:tblCellMar>
          <w:left w:w="0" w:type="dxa"/>
          <w:right w:w="0" w:type="dxa"/>
        </w:tblCellMar>
        <w:tblLook w:val="04A0" w:firstRow="1" w:lastRow="0" w:firstColumn="1" w:lastColumn="0" w:noHBand="0" w:noVBand="1"/>
      </w:tblPr>
      <w:tblGrid>
        <w:gridCol w:w="2267"/>
        <w:gridCol w:w="1134"/>
        <w:gridCol w:w="567"/>
        <w:gridCol w:w="567"/>
        <w:gridCol w:w="567"/>
        <w:gridCol w:w="567"/>
        <w:gridCol w:w="567"/>
        <w:gridCol w:w="567"/>
        <w:gridCol w:w="567"/>
      </w:tblGrid>
      <w:tr w:rsidR="00766F59" w:rsidRPr="00766F59" w14:paraId="3C824FE3" w14:textId="77777777" w:rsidTr="005F0D57">
        <w:trPr>
          <w:tblHeader/>
        </w:trPr>
        <w:tc>
          <w:tcPr>
            <w:tcW w:w="2267" w:type="dxa"/>
            <w:vMerge w:val="restart"/>
            <w:tcBorders>
              <w:top w:val="single" w:sz="4" w:space="0" w:color="auto"/>
            </w:tcBorders>
            <w:shd w:val="clear" w:color="auto" w:fill="auto"/>
            <w:noWrap/>
            <w:vAlign w:val="bottom"/>
            <w:hideMark/>
          </w:tcPr>
          <w:p w14:paraId="2E707CBC" w14:textId="77777777" w:rsidR="00766F59" w:rsidRPr="00766F59" w:rsidRDefault="00766F59" w:rsidP="00766F59">
            <w:pPr>
              <w:suppressAutoHyphens w:val="0"/>
              <w:spacing w:before="80" w:after="80" w:line="200" w:lineRule="exact"/>
              <w:rPr>
                <w:i/>
                <w:sz w:val="16"/>
                <w:lang w:val="fr-FR"/>
              </w:rPr>
            </w:pPr>
            <w:r w:rsidRPr="00766F59">
              <w:rPr>
                <w:i/>
                <w:sz w:val="16"/>
                <w:lang w:val="fr-FR"/>
              </w:rPr>
              <w:t>Personne (auteur, partie lésée)</w:t>
            </w:r>
          </w:p>
        </w:tc>
        <w:tc>
          <w:tcPr>
            <w:tcW w:w="1134" w:type="dxa"/>
            <w:vMerge w:val="restart"/>
            <w:tcBorders>
              <w:top w:val="single" w:sz="4" w:space="0" w:color="auto"/>
            </w:tcBorders>
            <w:shd w:val="clear" w:color="auto" w:fill="auto"/>
            <w:noWrap/>
            <w:vAlign w:val="bottom"/>
            <w:hideMark/>
          </w:tcPr>
          <w:p w14:paraId="2C6E15E2" w14:textId="77777777" w:rsidR="00766F59" w:rsidRPr="00766F59" w:rsidRDefault="00766F59" w:rsidP="00766F59">
            <w:pPr>
              <w:suppressAutoHyphens w:val="0"/>
              <w:spacing w:before="80" w:after="80" w:line="200" w:lineRule="exact"/>
              <w:rPr>
                <w:i/>
                <w:sz w:val="16"/>
                <w:lang w:val="fr-FR"/>
              </w:rPr>
            </w:pPr>
            <w:r w:rsidRPr="00766F59">
              <w:rPr>
                <w:i/>
                <w:sz w:val="16"/>
                <w:lang w:val="fr-FR"/>
              </w:rPr>
              <w:t>Sexe</w:t>
            </w:r>
          </w:p>
        </w:tc>
        <w:tc>
          <w:tcPr>
            <w:tcW w:w="3969" w:type="dxa"/>
            <w:gridSpan w:val="7"/>
            <w:tcBorders>
              <w:top w:val="single" w:sz="4" w:space="0" w:color="auto"/>
              <w:bottom w:val="single" w:sz="4" w:space="0" w:color="auto"/>
            </w:tcBorders>
            <w:shd w:val="clear" w:color="auto" w:fill="auto"/>
            <w:noWrap/>
            <w:vAlign w:val="bottom"/>
            <w:hideMark/>
          </w:tcPr>
          <w:p w14:paraId="164A53EC" w14:textId="77777777" w:rsidR="00766F59" w:rsidRPr="00766F59" w:rsidRDefault="00766F59" w:rsidP="00766F59">
            <w:pPr>
              <w:suppressAutoHyphens w:val="0"/>
              <w:spacing w:before="80" w:after="80" w:line="200" w:lineRule="exact"/>
              <w:jc w:val="right"/>
              <w:rPr>
                <w:i/>
                <w:sz w:val="16"/>
                <w:lang w:val="fr-FR"/>
              </w:rPr>
            </w:pPr>
            <w:r w:rsidRPr="00766F59">
              <w:rPr>
                <w:i/>
                <w:sz w:val="16"/>
                <w:lang w:val="fr-FR"/>
              </w:rPr>
              <w:t xml:space="preserve">Nombre d’ordonnances de protection </w:t>
            </w:r>
          </w:p>
        </w:tc>
      </w:tr>
      <w:tr w:rsidR="00766F59" w:rsidRPr="00766F59" w14:paraId="71E925D9" w14:textId="77777777" w:rsidTr="005F0D57">
        <w:trPr>
          <w:tblHeader/>
        </w:trPr>
        <w:tc>
          <w:tcPr>
            <w:tcW w:w="2267" w:type="dxa"/>
            <w:vMerge/>
            <w:tcBorders>
              <w:bottom w:val="single" w:sz="12" w:space="0" w:color="auto"/>
            </w:tcBorders>
            <w:shd w:val="clear" w:color="auto" w:fill="auto"/>
            <w:vAlign w:val="bottom"/>
            <w:hideMark/>
          </w:tcPr>
          <w:p w14:paraId="6E3F986B" w14:textId="77777777" w:rsidR="00766F59" w:rsidRPr="00766F59" w:rsidRDefault="00766F59" w:rsidP="00766F59">
            <w:pPr>
              <w:suppressAutoHyphens w:val="0"/>
              <w:spacing w:before="40" w:after="40" w:line="220" w:lineRule="exact"/>
              <w:rPr>
                <w:b/>
                <w:sz w:val="18"/>
                <w:lang w:val="fr-FR"/>
              </w:rPr>
            </w:pPr>
          </w:p>
        </w:tc>
        <w:tc>
          <w:tcPr>
            <w:tcW w:w="1134" w:type="dxa"/>
            <w:vMerge/>
            <w:tcBorders>
              <w:bottom w:val="single" w:sz="12" w:space="0" w:color="auto"/>
            </w:tcBorders>
            <w:shd w:val="clear" w:color="auto" w:fill="auto"/>
            <w:vAlign w:val="bottom"/>
            <w:hideMark/>
          </w:tcPr>
          <w:p w14:paraId="18C742B9" w14:textId="77777777" w:rsidR="00766F59" w:rsidRPr="00766F59" w:rsidRDefault="00766F59" w:rsidP="00766F59">
            <w:pPr>
              <w:suppressAutoHyphens w:val="0"/>
              <w:spacing w:before="40" w:after="40" w:line="220" w:lineRule="exact"/>
              <w:jc w:val="right"/>
              <w:rPr>
                <w:b/>
                <w:sz w:val="18"/>
                <w:lang w:val="fr-FR"/>
              </w:rPr>
            </w:pPr>
          </w:p>
        </w:tc>
        <w:tc>
          <w:tcPr>
            <w:tcW w:w="567" w:type="dxa"/>
            <w:tcBorders>
              <w:top w:val="single" w:sz="4" w:space="0" w:color="auto"/>
              <w:bottom w:val="single" w:sz="12" w:space="0" w:color="auto"/>
            </w:tcBorders>
            <w:shd w:val="clear" w:color="auto" w:fill="auto"/>
            <w:noWrap/>
            <w:vAlign w:val="bottom"/>
            <w:hideMark/>
          </w:tcPr>
          <w:p w14:paraId="2F5784CE"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2011</w:t>
            </w:r>
          </w:p>
        </w:tc>
        <w:tc>
          <w:tcPr>
            <w:tcW w:w="567" w:type="dxa"/>
            <w:tcBorders>
              <w:top w:val="single" w:sz="4" w:space="0" w:color="auto"/>
              <w:bottom w:val="single" w:sz="12" w:space="0" w:color="auto"/>
            </w:tcBorders>
            <w:shd w:val="clear" w:color="auto" w:fill="auto"/>
            <w:noWrap/>
            <w:vAlign w:val="bottom"/>
            <w:hideMark/>
          </w:tcPr>
          <w:p w14:paraId="4B8EA542"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2012</w:t>
            </w:r>
          </w:p>
        </w:tc>
        <w:tc>
          <w:tcPr>
            <w:tcW w:w="567" w:type="dxa"/>
            <w:tcBorders>
              <w:top w:val="single" w:sz="4" w:space="0" w:color="auto"/>
              <w:bottom w:val="single" w:sz="12" w:space="0" w:color="auto"/>
            </w:tcBorders>
            <w:shd w:val="clear" w:color="auto" w:fill="auto"/>
            <w:noWrap/>
            <w:vAlign w:val="bottom"/>
            <w:hideMark/>
          </w:tcPr>
          <w:p w14:paraId="3A66A753"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2013</w:t>
            </w:r>
          </w:p>
        </w:tc>
        <w:tc>
          <w:tcPr>
            <w:tcW w:w="567" w:type="dxa"/>
            <w:tcBorders>
              <w:top w:val="single" w:sz="4" w:space="0" w:color="auto"/>
              <w:bottom w:val="single" w:sz="12" w:space="0" w:color="auto"/>
            </w:tcBorders>
            <w:shd w:val="clear" w:color="auto" w:fill="auto"/>
            <w:noWrap/>
            <w:vAlign w:val="bottom"/>
            <w:hideMark/>
          </w:tcPr>
          <w:p w14:paraId="0F2DE689"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2014</w:t>
            </w:r>
          </w:p>
        </w:tc>
        <w:tc>
          <w:tcPr>
            <w:tcW w:w="567" w:type="dxa"/>
            <w:tcBorders>
              <w:top w:val="single" w:sz="4" w:space="0" w:color="auto"/>
              <w:bottom w:val="single" w:sz="12" w:space="0" w:color="auto"/>
            </w:tcBorders>
            <w:shd w:val="clear" w:color="auto" w:fill="auto"/>
            <w:noWrap/>
            <w:vAlign w:val="bottom"/>
            <w:hideMark/>
          </w:tcPr>
          <w:p w14:paraId="6EF1BEE7"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2015</w:t>
            </w:r>
          </w:p>
        </w:tc>
        <w:tc>
          <w:tcPr>
            <w:tcW w:w="567" w:type="dxa"/>
            <w:tcBorders>
              <w:top w:val="single" w:sz="4" w:space="0" w:color="auto"/>
              <w:bottom w:val="single" w:sz="12" w:space="0" w:color="auto"/>
            </w:tcBorders>
            <w:shd w:val="clear" w:color="auto" w:fill="auto"/>
            <w:noWrap/>
            <w:vAlign w:val="bottom"/>
            <w:hideMark/>
          </w:tcPr>
          <w:p w14:paraId="4B359968"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2016</w:t>
            </w:r>
          </w:p>
        </w:tc>
        <w:tc>
          <w:tcPr>
            <w:tcW w:w="567" w:type="dxa"/>
            <w:tcBorders>
              <w:top w:val="single" w:sz="4" w:space="0" w:color="auto"/>
              <w:bottom w:val="single" w:sz="12" w:space="0" w:color="auto"/>
            </w:tcBorders>
            <w:shd w:val="clear" w:color="auto" w:fill="auto"/>
            <w:noWrap/>
            <w:vAlign w:val="bottom"/>
            <w:hideMark/>
          </w:tcPr>
          <w:p w14:paraId="624AFD6D" w14:textId="77777777" w:rsidR="00766F59" w:rsidRPr="00766F59" w:rsidRDefault="00766F59" w:rsidP="00766F59">
            <w:pPr>
              <w:suppressAutoHyphens w:val="0"/>
              <w:spacing w:before="40" w:after="40" w:line="220" w:lineRule="exact"/>
              <w:jc w:val="right"/>
              <w:rPr>
                <w:i/>
                <w:sz w:val="16"/>
                <w:lang w:val="fr-FR"/>
              </w:rPr>
            </w:pPr>
            <w:r w:rsidRPr="00766F59">
              <w:rPr>
                <w:i/>
                <w:sz w:val="16"/>
                <w:lang w:val="fr-FR"/>
              </w:rPr>
              <w:t>2017</w:t>
            </w:r>
          </w:p>
        </w:tc>
      </w:tr>
      <w:tr w:rsidR="00766F59" w:rsidRPr="00766F59" w14:paraId="6B34C2AB" w14:textId="77777777" w:rsidTr="00766F59">
        <w:tc>
          <w:tcPr>
            <w:tcW w:w="2267" w:type="dxa"/>
            <w:tcBorders>
              <w:top w:val="single" w:sz="12" w:space="0" w:color="auto"/>
            </w:tcBorders>
            <w:shd w:val="clear" w:color="auto" w:fill="auto"/>
            <w:noWrap/>
            <w:hideMark/>
          </w:tcPr>
          <w:p w14:paraId="185DDB36" w14:textId="77777777" w:rsidR="002A5EB2" w:rsidRPr="00766F59" w:rsidRDefault="002A5EB2" w:rsidP="00766F59">
            <w:pPr>
              <w:suppressAutoHyphens w:val="0"/>
              <w:spacing w:before="40" w:after="40" w:line="220" w:lineRule="exact"/>
              <w:rPr>
                <w:sz w:val="18"/>
                <w:lang w:val="fr-FR"/>
              </w:rPr>
            </w:pPr>
            <w:r w:rsidRPr="00766F59">
              <w:rPr>
                <w:sz w:val="18"/>
                <w:lang w:val="fr-FR"/>
              </w:rPr>
              <w:t>Auteur</w:t>
            </w:r>
          </w:p>
        </w:tc>
        <w:tc>
          <w:tcPr>
            <w:tcW w:w="1134" w:type="dxa"/>
            <w:tcBorders>
              <w:top w:val="single" w:sz="12" w:space="0" w:color="auto"/>
            </w:tcBorders>
            <w:shd w:val="clear" w:color="auto" w:fill="auto"/>
            <w:noWrap/>
            <w:vAlign w:val="bottom"/>
            <w:hideMark/>
          </w:tcPr>
          <w:p w14:paraId="63AF7750" w14:textId="77777777" w:rsidR="002A5EB2" w:rsidRPr="00766F59" w:rsidRDefault="002A5EB2" w:rsidP="00766F59">
            <w:pPr>
              <w:suppressAutoHyphens w:val="0"/>
              <w:spacing w:before="40" w:after="40" w:line="220" w:lineRule="exact"/>
              <w:rPr>
                <w:sz w:val="18"/>
                <w:lang w:val="fr-FR"/>
              </w:rPr>
            </w:pPr>
            <w:r w:rsidRPr="00766F59">
              <w:rPr>
                <w:sz w:val="18"/>
                <w:lang w:val="fr-FR"/>
              </w:rPr>
              <w:t>Masculin</w:t>
            </w:r>
          </w:p>
        </w:tc>
        <w:tc>
          <w:tcPr>
            <w:tcW w:w="567" w:type="dxa"/>
            <w:tcBorders>
              <w:top w:val="single" w:sz="12" w:space="0" w:color="auto"/>
            </w:tcBorders>
            <w:shd w:val="clear" w:color="auto" w:fill="auto"/>
            <w:noWrap/>
            <w:vAlign w:val="bottom"/>
            <w:hideMark/>
          </w:tcPr>
          <w:p w14:paraId="5D8129F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996</w:t>
            </w:r>
          </w:p>
        </w:tc>
        <w:tc>
          <w:tcPr>
            <w:tcW w:w="567" w:type="dxa"/>
            <w:tcBorders>
              <w:top w:val="single" w:sz="12" w:space="0" w:color="auto"/>
            </w:tcBorders>
            <w:shd w:val="clear" w:color="auto" w:fill="auto"/>
            <w:noWrap/>
            <w:vAlign w:val="bottom"/>
            <w:hideMark/>
          </w:tcPr>
          <w:p w14:paraId="3F33531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863</w:t>
            </w:r>
          </w:p>
        </w:tc>
        <w:tc>
          <w:tcPr>
            <w:tcW w:w="567" w:type="dxa"/>
            <w:tcBorders>
              <w:top w:val="single" w:sz="12" w:space="0" w:color="auto"/>
            </w:tcBorders>
            <w:shd w:val="clear" w:color="auto" w:fill="auto"/>
            <w:noWrap/>
            <w:vAlign w:val="bottom"/>
            <w:hideMark/>
          </w:tcPr>
          <w:p w14:paraId="2F06ED26"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898</w:t>
            </w:r>
          </w:p>
        </w:tc>
        <w:tc>
          <w:tcPr>
            <w:tcW w:w="567" w:type="dxa"/>
            <w:tcBorders>
              <w:top w:val="single" w:sz="12" w:space="0" w:color="auto"/>
            </w:tcBorders>
            <w:shd w:val="clear" w:color="auto" w:fill="auto"/>
            <w:noWrap/>
            <w:vAlign w:val="bottom"/>
            <w:hideMark/>
          </w:tcPr>
          <w:p w14:paraId="37C49E33"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1 010</w:t>
            </w:r>
          </w:p>
        </w:tc>
        <w:tc>
          <w:tcPr>
            <w:tcW w:w="567" w:type="dxa"/>
            <w:tcBorders>
              <w:top w:val="single" w:sz="12" w:space="0" w:color="auto"/>
            </w:tcBorders>
            <w:shd w:val="clear" w:color="auto" w:fill="auto"/>
            <w:noWrap/>
            <w:vAlign w:val="bottom"/>
            <w:hideMark/>
          </w:tcPr>
          <w:p w14:paraId="0CF5EABD"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800</w:t>
            </w:r>
          </w:p>
        </w:tc>
        <w:tc>
          <w:tcPr>
            <w:tcW w:w="567" w:type="dxa"/>
            <w:tcBorders>
              <w:top w:val="single" w:sz="12" w:space="0" w:color="auto"/>
            </w:tcBorders>
            <w:shd w:val="clear" w:color="auto" w:fill="auto"/>
            <w:noWrap/>
            <w:vAlign w:val="bottom"/>
            <w:hideMark/>
          </w:tcPr>
          <w:p w14:paraId="513B10D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830</w:t>
            </w:r>
          </w:p>
        </w:tc>
        <w:tc>
          <w:tcPr>
            <w:tcW w:w="567" w:type="dxa"/>
            <w:tcBorders>
              <w:top w:val="single" w:sz="12" w:space="0" w:color="auto"/>
            </w:tcBorders>
            <w:shd w:val="clear" w:color="auto" w:fill="auto"/>
            <w:noWrap/>
            <w:vAlign w:val="bottom"/>
            <w:hideMark/>
          </w:tcPr>
          <w:p w14:paraId="62016962"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741</w:t>
            </w:r>
          </w:p>
        </w:tc>
      </w:tr>
      <w:tr w:rsidR="00766F59" w:rsidRPr="00766F59" w14:paraId="7AA6B3EF" w14:textId="77777777" w:rsidTr="00766F59">
        <w:tc>
          <w:tcPr>
            <w:tcW w:w="2267" w:type="dxa"/>
            <w:shd w:val="clear" w:color="auto" w:fill="auto"/>
            <w:noWrap/>
            <w:hideMark/>
          </w:tcPr>
          <w:p w14:paraId="621D13CE" w14:textId="77777777" w:rsidR="002A5EB2" w:rsidRPr="00766F59" w:rsidRDefault="002A5EB2" w:rsidP="00766F59">
            <w:pPr>
              <w:suppressAutoHyphens w:val="0"/>
              <w:spacing w:before="40" w:after="40" w:line="220" w:lineRule="exact"/>
              <w:rPr>
                <w:sz w:val="18"/>
                <w:lang w:val="fr-FR"/>
              </w:rPr>
            </w:pPr>
          </w:p>
        </w:tc>
        <w:tc>
          <w:tcPr>
            <w:tcW w:w="1134" w:type="dxa"/>
            <w:shd w:val="clear" w:color="auto" w:fill="auto"/>
            <w:noWrap/>
            <w:vAlign w:val="bottom"/>
            <w:hideMark/>
          </w:tcPr>
          <w:p w14:paraId="108D9F14" w14:textId="77777777" w:rsidR="002A5EB2" w:rsidRPr="00766F59" w:rsidRDefault="002A5EB2" w:rsidP="00766F59">
            <w:pPr>
              <w:suppressAutoHyphens w:val="0"/>
              <w:spacing w:before="40" w:after="40" w:line="220" w:lineRule="exact"/>
              <w:rPr>
                <w:sz w:val="18"/>
                <w:lang w:val="fr-FR"/>
              </w:rPr>
            </w:pPr>
            <w:r w:rsidRPr="00766F59">
              <w:rPr>
                <w:sz w:val="18"/>
                <w:lang w:val="fr-FR"/>
              </w:rPr>
              <w:t>Féminin</w:t>
            </w:r>
          </w:p>
        </w:tc>
        <w:tc>
          <w:tcPr>
            <w:tcW w:w="567" w:type="dxa"/>
            <w:shd w:val="clear" w:color="auto" w:fill="auto"/>
            <w:noWrap/>
            <w:vAlign w:val="bottom"/>
            <w:hideMark/>
          </w:tcPr>
          <w:p w14:paraId="241C828E"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37</w:t>
            </w:r>
          </w:p>
        </w:tc>
        <w:tc>
          <w:tcPr>
            <w:tcW w:w="567" w:type="dxa"/>
            <w:shd w:val="clear" w:color="auto" w:fill="auto"/>
            <w:noWrap/>
            <w:vAlign w:val="bottom"/>
            <w:hideMark/>
          </w:tcPr>
          <w:p w14:paraId="74C9559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31</w:t>
            </w:r>
          </w:p>
        </w:tc>
        <w:tc>
          <w:tcPr>
            <w:tcW w:w="567" w:type="dxa"/>
            <w:shd w:val="clear" w:color="auto" w:fill="auto"/>
            <w:noWrap/>
            <w:vAlign w:val="bottom"/>
            <w:hideMark/>
          </w:tcPr>
          <w:p w14:paraId="6AE5005B"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34</w:t>
            </w:r>
          </w:p>
        </w:tc>
        <w:tc>
          <w:tcPr>
            <w:tcW w:w="567" w:type="dxa"/>
            <w:shd w:val="clear" w:color="auto" w:fill="auto"/>
            <w:noWrap/>
            <w:vAlign w:val="bottom"/>
            <w:hideMark/>
          </w:tcPr>
          <w:p w14:paraId="6E4B8AFB"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36</w:t>
            </w:r>
          </w:p>
        </w:tc>
        <w:tc>
          <w:tcPr>
            <w:tcW w:w="567" w:type="dxa"/>
            <w:shd w:val="clear" w:color="auto" w:fill="auto"/>
            <w:noWrap/>
            <w:vAlign w:val="bottom"/>
            <w:hideMark/>
          </w:tcPr>
          <w:p w14:paraId="631FBCFD"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30</w:t>
            </w:r>
          </w:p>
        </w:tc>
        <w:tc>
          <w:tcPr>
            <w:tcW w:w="567" w:type="dxa"/>
            <w:shd w:val="clear" w:color="auto" w:fill="auto"/>
            <w:noWrap/>
            <w:vAlign w:val="bottom"/>
            <w:hideMark/>
          </w:tcPr>
          <w:p w14:paraId="53A20ED9"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28</w:t>
            </w:r>
          </w:p>
        </w:tc>
        <w:tc>
          <w:tcPr>
            <w:tcW w:w="567" w:type="dxa"/>
            <w:shd w:val="clear" w:color="auto" w:fill="auto"/>
            <w:noWrap/>
            <w:vAlign w:val="bottom"/>
            <w:hideMark/>
          </w:tcPr>
          <w:p w14:paraId="0B208BFA"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30</w:t>
            </w:r>
          </w:p>
        </w:tc>
      </w:tr>
      <w:tr w:rsidR="00766F59" w:rsidRPr="00766F59" w14:paraId="754D3DE1" w14:textId="77777777" w:rsidTr="00766F59">
        <w:tc>
          <w:tcPr>
            <w:tcW w:w="2267" w:type="dxa"/>
            <w:shd w:val="clear" w:color="auto" w:fill="auto"/>
            <w:noWrap/>
            <w:hideMark/>
          </w:tcPr>
          <w:p w14:paraId="6851C7EA" w14:textId="77777777" w:rsidR="002A5EB2" w:rsidRPr="00766F59" w:rsidRDefault="002A5EB2" w:rsidP="00766F59">
            <w:pPr>
              <w:suppressAutoHyphens w:val="0"/>
              <w:spacing w:before="40" w:after="40" w:line="220" w:lineRule="exact"/>
              <w:rPr>
                <w:sz w:val="18"/>
                <w:lang w:val="fr-FR"/>
              </w:rPr>
            </w:pPr>
            <w:r w:rsidRPr="00766F59">
              <w:rPr>
                <w:sz w:val="18"/>
                <w:lang w:val="fr-FR"/>
              </w:rPr>
              <w:t>Partie lésée-victime</w:t>
            </w:r>
          </w:p>
        </w:tc>
        <w:tc>
          <w:tcPr>
            <w:tcW w:w="1134" w:type="dxa"/>
            <w:shd w:val="clear" w:color="auto" w:fill="auto"/>
            <w:noWrap/>
            <w:vAlign w:val="bottom"/>
            <w:hideMark/>
          </w:tcPr>
          <w:p w14:paraId="246F5206" w14:textId="77777777" w:rsidR="002A5EB2" w:rsidRPr="00766F59" w:rsidRDefault="002A5EB2" w:rsidP="00766F59">
            <w:pPr>
              <w:suppressAutoHyphens w:val="0"/>
              <w:spacing w:before="40" w:after="40" w:line="220" w:lineRule="exact"/>
              <w:rPr>
                <w:sz w:val="18"/>
                <w:lang w:val="fr-FR"/>
              </w:rPr>
            </w:pPr>
            <w:r w:rsidRPr="00766F59">
              <w:rPr>
                <w:sz w:val="18"/>
                <w:lang w:val="fr-FR"/>
              </w:rPr>
              <w:t>Masculin</w:t>
            </w:r>
          </w:p>
        </w:tc>
        <w:tc>
          <w:tcPr>
            <w:tcW w:w="567" w:type="dxa"/>
            <w:shd w:val="clear" w:color="auto" w:fill="auto"/>
            <w:noWrap/>
            <w:vAlign w:val="bottom"/>
            <w:hideMark/>
          </w:tcPr>
          <w:p w14:paraId="5DAA66E0"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336</w:t>
            </w:r>
          </w:p>
        </w:tc>
        <w:tc>
          <w:tcPr>
            <w:tcW w:w="567" w:type="dxa"/>
            <w:shd w:val="clear" w:color="auto" w:fill="auto"/>
            <w:noWrap/>
            <w:vAlign w:val="bottom"/>
            <w:hideMark/>
          </w:tcPr>
          <w:p w14:paraId="6D39902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297</w:t>
            </w:r>
          </w:p>
        </w:tc>
        <w:tc>
          <w:tcPr>
            <w:tcW w:w="567" w:type="dxa"/>
            <w:shd w:val="clear" w:color="auto" w:fill="auto"/>
            <w:noWrap/>
            <w:vAlign w:val="bottom"/>
            <w:hideMark/>
          </w:tcPr>
          <w:p w14:paraId="545B9D1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308</w:t>
            </w:r>
          </w:p>
        </w:tc>
        <w:tc>
          <w:tcPr>
            <w:tcW w:w="567" w:type="dxa"/>
            <w:shd w:val="clear" w:color="auto" w:fill="auto"/>
            <w:noWrap/>
            <w:vAlign w:val="bottom"/>
            <w:hideMark/>
          </w:tcPr>
          <w:p w14:paraId="59A5E699"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342</w:t>
            </w:r>
          </w:p>
        </w:tc>
        <w:tc>
          <w:tcPr>
            <w:tcW w:w="567" w:type="dxa"/>
            <w:shd w:val="clear" w:color="auto" w:fill="auto"/>
            <w:noWrap/>
            <w:vAlign w:val="bottom"/>
            <w:hideMark/>
          </w:tcPr>
          <w:p w14:paraId="4C8C6FB8"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261</w:t>
            </w:r>
          </w:p>
        </w:tc>
        <w:tc>
          <w:tcPr>
            <w:tcW w:w="567" w:type="dxa"/>
            <w:shd w:val="clear" w:color="auto" w:fill="auto"/>
            <w:noWrap/>
            <w:vAlign w:val="bottom"/>
            <w:hideMark/>
          </w:tcPr>
          <w:p w14:paraId="42A6D483"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304</w:t>
            </w:r>
          </w:p>
        </w:tc>
        <w:tc>
          <w:tcPr>
            <w:tcW w:w="567" w:type="dxa"/>
            <w:shd w:val="clear" w:color="auto" w:fill="auto"/>
            <w:noWrap/>
            <w:vAlign w:val="bottom"/>
            <w:hideMark/>
          </w:tcPr>
          <w:p w14:paraId="15338A4C"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265</w:t>
            </w:r>
          </w:p>
        </w:tc>
      </w:tr>
      <w:tr w:rsidR="00766F59" w:rsidRPr="00766F59" w14:paraId="631FA2D9" w14:textId="77777777" w:rsidTr="00766F59">
        <w:tc>
          <w:tcPr>
            <w:tcW w:w="2267" w:type="dxa"/>
            <w:tcBorders>
              <w:bottom w:val="single" w:sz="12" w:space="0" w:color="auto"/>
            </w:tcBorders>
            <w:shd w:val="clear" w:color="auto" w:fill="auto"/>
            <w:noWrap/>
            <w:hideMark/>
          </w:tcPr>
          <w:p w14:paraId="2F4BCA63" w14:textId="77777777" w:rsidR="002A5EB2" w:rsidRPr="00766F59" w:rsidRDefault="002A5EB2" w:rsidP="00766F59">
            <w:pPr>
              <w:suppressAutoHyphens w:val="0"/>
              <w:spacing w:before="40" w:after="40" w:line="220" w:lineRule="exact"/>
              <w:rPr>
                <w:sz w:val="18"/>
                <w:lang w:val="fr-FR"/>
              </w:rPr>
            </w:pPr>
          </w:p>
        </w:tc>
        <w:tc>
          <w:tcPr>
            <w:tcW w:w="1134" w:type="dxa"/>
            <w:tcBorders>
              <w:bottom w:val="single" w:sz="12" w:space="0" w:color="auto"/>
            </w:tcBorders>
            <w:shd w:val="clear" w:color="auto" w:fill="auto"/>
            <w:noWrap/>
            <w:vAlign w:val="bottom"/>
            <w:hideMark/>
          </w:tcPr>
          <w:p w14:paraId="09A0164E" w14:textId="77777777" w:rsidR="002A5EB2" w:rsidRPr="00766F59" w:rsidRDefault="002A5EB2" w:rsidP="00766F59">
            <w:pPr>
              <w:suppressAutoHyphens w:val="0"/>
              <w:spacing w:before="40" w:after="40" w:line="220" w:lineRule="exact"/>
              <w:rPr>
                <w:sz w:val="18"/>
                <w:lang w:val="fr-FR"/>
              </w:rPr>
            </w:pPr>
            <w:r w:rsidRPr="00766F59">
              <w:rPr>
                <w:sz w:val="18"/>
                <w:lang w:val="fr-FR"/>
              </w:rPr>
              <w:t>Féminin</w:t>
            </w:r>
          </w:p>
        </w:tc>
        <w:tc>
          <w:tcPr>
            <w:tcW w:w="567" w:type="dxa"/>
            <w:tcBorders>
              <w:bottom w:val="single" w:sz="12" w:space="0" w:color="auto"/>
            </w:tcBorders>
            <w:shd w:val="clear" w:color="auto" w:fill="auto"/>
            <w:noWrap/>
            <w:vAlign w:val="bottom"/>
            <w:hideMark/>
          </w:tcPr>
          <w:p w14:paraId="5D8455BF"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973</w:t>
            </w:r>
          </w:p>
        </w:tc>
        <w:tc>
          <w:tcPr>
            <w:tcW w:w="567" w:type="dxa"/>
            <w:tcBorders>
              <w:bottom w:val="single" w:sz="12" w:space="0" w:color="auto"/>
            </w:tcBorders>
            <w:shd w:val="clear" w:color="auto" w:fill="auto"/>
            <w:noWrap/>
            <w:vAlign w:val="bottom"/>
            <w:hideMark/>
          </w:tcPr>
          <w:p w14:paraId="38DA6F0E"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850</w:t>
            </w:r>
          </w:p>
        </w:tc>
        <w:tc>
          <w:tcPr>
            <w:tcW w:w="567" w:type="dxa"/>
            <w:tcBorders>
              <w:bottom w:val="single" w:sz="12" w:space="0" w:color="auto"/>
            </w:tcBorders>
            <w:shd w:val="clear" w:color="auto" w:fill="auto"/>
            <w:noWrap/>
            <w:vAlign w:val="bottom"/>
            <w:hideMark/>
          </w:tcPr>
          <w:p w14:paraId="2EE350CA"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890</w:t>
            </w:r>
          </w:p>
        </w:tc>
        <w:tc>
          <w:tcPr>
            <w:tcW w:w="567" w:type="dxa"/>
            <w:tcBorders>
              <w:bottom w:val="single" w:sz="12" w:space="0" w:color="auto"/>
            </w:tcBorders>
            <w:shd w:val="clear" w:color="auto" w:fill="auto"/>
            <w:noWrap/>
            <w:vAlign w:val="bottom"/>
            <w:hideMark/>
          </w:tcPr>
          <w:p w14:paraId="619F3404"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985</w:t>
            </w:r>
          </w:p>
        </w:tc>
        <w:tc>
          <w:tcPr>
            <w:tcW w:w="567" w:type="dxa"/>
            <w:tcBorders>
              <w:bottom w:val="single" w:sz="12" w:space="0" w:color="auto"/>
            </w:tcBorders>
            <w:shd w:val="clear" w:color="auto" w:fill="auto"/>
            <w:noWrap/>
            <w:vAlign w:val="bottom"/>
            <w:hideMark/>
          </w:tcPr>
          <w:p w14:paraId="339B671A"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769</w:t>
            </w:r>
          </w:p>
        </w:tc>
        <w:tc>
          <w:tcPr>
            <w:tcW w:w="567" w:type="dxa"/>
            <w:tcBorders>
              <w:bottom w:val="single" w:sz="12" w:space="0" w:color="auto"/>
            </w:tcBorders>
            <w:shd w:val="clear" w:color="auto" w:fill="auto"/>
            <w:noWrap/>
            <w:vAlign w:val="bottom"/>
            <w:hideMark/>
          </w:tcPr>
          <w:p w14:paraId="6BCF2EA1"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789</w:t>
            </w:r>
          </w:p>
        </w:tc>
        <w:tc>
          <w:tcPr>
            <w:tcW w:w="567" w:type="dxa"/>
            <w:tcBorders>
              <w:bottom w:val="single" w:sz="12" w:space="0" w:color="auto"/>
            </w:tcBorders>
            <w:shd w:val="clear" w:color="auto" w:fill="auto"/>
            <w:noWrap/>
            <w:vAlign w:val="bottom"/>
            <w:hideMark/>
          </w:tcPr>
          <w:p w14:paraId="063CBCB2" w14:textId="77777777" w:rsidR="002A5EB2" w:rsidRPr="00766F59" w:rsidRDefault="002A5EB2" w:rsidP="00766F59">
            <w:pPr>
              <w:suppressAutoHyphens w:val="0"/>
              <w:spacing w:before="40" w:after="40" w:line="220" w:lineRule="exact"/>
              <w:jc w:val="right"/>
              <w:rPr>
                <w:sz w:val="18"/>
                <w:lang w:val="fr-FR"/>
              </w:rPr>
            </w:pPr>
            <w:r w:rsidRPr="00766F59">
              <w:rPr>
                <w:sz w:val="18"/>
                <w:lang w:val="fr-FR"/>
              </w:rPr>
              <w:t>726</w:t>
            </w:r>
          </w:p>
        </w:tc>
      </w:tr>
    </w:tbl>
    <w:p w14:paraId="4FB742C9" w14:textId="77777777" w:rsidR="002A5EB2" w:rsidRPr="001A3179" w:rsidRDefault="002A5EB2" w:rsidP="00766F59">
      <w:pPr>
        <w:pStyle w:val="SingleTxtG"/>
        <w:spacing w:before="120"/>
        <w:ind w:firstLine="113"/>
        <w:rPr>
          <w:sz w:val="18"/>
          <w:lang w:val="fr-FR"/>
        </w:rPr>
      </w:pPr>
      <w:r w:rsidRPr="001A3179">
        <w:rPr>
          <w:sz w:val="18"/>
          <w:lang w:val="fr-FR"/>
        </w:rPr>
        <w:t xml:space="preserve">* </w:t>
      </w:r>
      <w:bookmarkStart w:id="16" w:name="_Hlk38014549"/>
      <w:r w:rsidRPr="001A3179">
        <w:rPr>
          <w:sz w:val="18"/>
          <w:lang w:val="fr-FR"/>
        </w:rPr>
        <w:t>Ces données ne couvrent l</w:t>
      </w:r>
      <w:r>
        <w:rPr>
          <w:sz w:val="18"/>
          <w:lang w:val="fr-FR"/>
        </w:rPr>
        <w:t>’</w:t>
      </w:r>
      <w:r w:rsidRPr="001A3179">
        <w:rPr>
          <w:sz w:val="18"/>
          <w:lang w:val="fr-FR"/>
        </w:rPr>
        <w:t>année 2</w:t>
      </w:r>
      <w:r w:rsidR="00C73216">
        <w:rPr>
          <w:sz w:val="18"/>
          <w:lang w:val="fr-FR"/>
        </w:rPr>
        <w:t>01</w:t>
      </w:r>
      <w:r w:rsidRPr="001A3179">
        <w:rPr>
          <w:sz w:val="18"/>
          <w:lang w:val="fr-FR"/>
        </w:rPr>
        <w:t xml:space="preserve">7 que </w:t>
      </w:r>
      <w:bookmarkEnd w:id="16"/>
      <w:r w:rsidRPr="001A3179">
        <w:rPr>
          <w:sz w:val="18"/>
          <w:lang w:val="fr-FR"/>
        </w:rPr>
        <w:t>jusqu</w:t>
      </w:r>
      <w:r>
        <w:rPr>
          <w:sz w:val="18"/>
          <w:lang w:val="fr-FR"/>
        </w:rPr>
        <w:t>’</w:t>
      </w:r>
      <w:r w:rsidRPr="001A3179">
        <w:rPr>
          <w:sz w:val="18"/>
          <w:lang w:val="fr-FR"/>
        </w:rPr>
        <w:t>au 27 novembre.</w:t>
      </w:r>
    </w:p>
    <w:p w14:paraId="4489FEB3" w14:textId="77777777" w:rsidR="002A5EB2" w:rsidRPr="001A3179" w:rsidRDefault="002A5EB2" w:rsidP="00B803DA">
      <w:pPr>
        <w:pStyle w:val="SingleTxtG"/>
        <w:keepNext/>
        <w:keepLines/>
        <w:rPr>
          <w:lang w:val="fr-FR"/>
        </w:rPr>
      </w:pPr>
      <w:r w:rsidRPr="00B803DA">
        <w:rPr>
          <w:lang w:val="fr-FR"/>
        </w:rPr>
        <w:lastRenderedPageBreak/>
        <w:t>55.</w:t>
      </w:r>
      <w:r w:rsidRPr="00B803DA">
        <w:rPr>
          <w:lang w:val="fr-FR"/>
        </w:rPr>
        <w:tab/>
        <w:t>Sur la période 2010-2018, quelque 1 300 infractions pénales de violence familiale (art</w:t>
      </w:r>
      <w:r w:rsidR="00C73216" w:rsidRPr="00B803DA">
        <w:rPr>
          <w:lang w:val="fr-FR"/>
        </w:rPr>
        <w:t>. </w:t>
      </w:r>
      <w:r w:rsidRPr="00B803DA">
        <w:rPr>
          <w:lang w:val="fr-FR"/>
        </w:rPr>
        <w:t>191 du Code</w:t>
      </w:r>
      <w:r w:rsidRPr="001A3179">
        <w:rPr>
          <w:lang w:val="fr-FR"/>
        </w:rPr>
        <w:t xml:space="preserve"> pénal modifié) ont été traitées en moyenne chaque année</w:t>
      </w:r>
      <w:r w:rsidR="00B803DA">
        <w:rPr>
          <w:lang w:val="fr-FR"/>
        </w:rPr>
        <w:t> </w:t>
      </w:r>
      <w:r w:rsidRPr="001A3179">
        <w:rPr>
          <w:lang w:val="fr-FR"/>
        </w:rPr>
        <w:t>; dans le tableau ci</w:t>
      </w:r>
      <w:r w:rsidR="00B803DA">
        <w:rPr>
          <w:lang w:val="fr-FR"/>
        </w:rPr>
        <w:noBreakHyphen/>
      </w:r>
      <w:r w:rsidRPr="001A3179">
        <w:rPr>
          <w:lang w:val="fr-FR"/>
        </w:rPr>
        <w:t>après figurent les données y relatives, ventilées selon le sexe de la victime.</w:t>
      </w:r>
    </w:p>
    <w:tbl>
      <w:tblPr>
        <w:tblW w:w="9639" w:type="dxa"/>
        <w:tblLayout w:type="fixed"/>
        <w:tblCellMar>
          <w:left w:w="0" w:type="dxa"/>
          <w:right w:w="0" w:type="dxa"/>
        </w:tblCellMar>
        <w:tblLook w:val="04A0" w:firstRow="1" w:lastRow="0" w:firstColumn="1" w:lastColumn="0" w:noHBand="0" w:noVBand="1"/>
      </w:tblPr>
      <w:tblGrid>
        <w:gridCol w:w="1134"/>
        <w:gridCol w:w="2268"/>
        <w:gridCol w:w="1134"/>
        <w:gridCol w:w="567"/>
        <w:gridCol w:w="567"/>
        <w:gridCol w:w="567"/>
        <w:gridCol w:w="567"/>
        <w:gridCol w:w="567"/>
        <w:gridCol w:w="567"/>
        <w:gridCol w:w="567"/>
        <w:gridCol w:w="567"/>
        <w:gridCol w:w="567"/>
      </w:tblGrid>
      <w:tr w:rsidR="009F5F23" w:rsidRPr="007E05AF" w14:paraId="1671E47B" w14:textId="77777777" w:rsidTr="009F5F23">
        <w:trPr>
          <w:tblHeader/>
        </w:trPr>
        <w:tc>
          <w:tcPr>
            <w:tcW w:w="3402" w:type="dxa"/>
            <w:gridSpan w:val="2"/>
            <w:tcBorders>
              <w:top w:val="single" w:sz="4" w:space="0" w:color="auto"/>
              <w:bottom w:val="single" w:sz="4" w:space="0" w:color="auto"/>
            </w:tcBorders>
            <w:shd w:val="clear" w:color="auto" w:fill="auto"/>
            <w:noWrap/>
            <w:tcMar>
              <w:right w:w="17" w:type="dxa"/>
            </w:tcMar>
            <w:vAlign w:val="bottom"/>
            <w:hideMark/>
          </w:tcPr>
          <w:p w14:paraId="7CFCDF28" w14:textId="77777777" w:rsidR="009F5F23" w:rsidRPr="007E05AF" w:rsidRDefault="009F5F23" w:rsidP="00B803DA">
            <w:pPr>
              <w:keepNext/>
              <w:keepLines/>
              <w:suppressAutoHyphens w:val="0"/>
              <w:spacing w:before="80" w:after="80" w:line="200" w:lineRule="exact"/>
              <w:jc w:val="center"/>
              <w:rPr>
                <w:i/>
                <w:sz w:val="16"/>
                <w:lang w:val="fr-FR"/>
              </w:rPr>
            </w:pPr>
            <w:r w:rsidRPr="007E05AF">
              <w:rPr>
                <w:i/>
                <w:sz w:val="16"/>
                <w:lang w:val="fr-FR"/>
              </w:rPr>
              <w:t>Nombre d’infractions pénales</w:t>
            </w:r>
          </w:p>
        </w:tc>
        <w:tc>
          <w:tcPr>
            <w:tcW w:w="1134" w:type="dxa"/>
            <w:vMerge w:val="restart"/>
            <w:tcBorders>
              <w:top w:val="single" w:sz="4" w:space="0" w:color="auto"/>
              <w:bottom w:val="single" w:sz="4" w:space="0" w:color="auto"/>
            </w:tcBorders>
            <w:shd w:val="clear" w:color="auto" w:fill="auto"/>
            <w:noWrap/>
            <w:tcMar>
              <w:right w:w="17" w:type="dxa"/>
            </w:tcMar>
            <w:vAlign w:val="bottom"/>
            <w:hideMark/>
          </w:tcPr>
          <w:p w14:paraId="0C0A0256" w14:textId="77777777" w:rsidR="009F5F23" w:rsidRPr="007E05AF" w:rsidRDefault="009F5F23" w:rsidP="00B803DA">
            <w:pPr>
              <w:keepNext/>
              <w:keepLines/>
              <w:suppressAutoHyphens w:val="0"/>
              <w:spacing w:before="80" w:after="80" w:line="200" w:lineRule="exact"/>
              <w:rPr>
                <w:i/>
                <w:sz w:val="16"/>
                <w:lang w:val="fr-FR"/>
              </w:rPr>
            </w:pPr>
            <w:r w:rsidRPr="007E05AF">
              <w:rPr>
                <w:i/>
                <w:sz w:val="16"/>
                <w:lang w:val="fr-FR"/>
              </w:rPr>
              <w:t>Sexe</w:t>
            </w:r>
          </w:p>
        </w:tc>
        <w:tc>
          <w:tcPr>
            <w:tcW w:w="5103" w:type="dxa"/>
            <w:gridSpan w:val="9"/>
            <w:tcBorders>
              <w:top w:val="single" w:sz="4" w:space="0" w:color="auto"/>
              <w:bottom w:val="single" w:sz="4" w:space="0" w:color="auto"/>
            </w:tcBorders>
            <w:shd w:val="clear" w:color="auto" w:fill="auto"/>
            <w:tcMar>
              <w:right w:w="17" w:type="dxa"/>
            </w:tcMar>
            <w:vAlign w:val="bottom"/>
          </w:tcPr>
          <w:p w14:paraId="77085A02" w14:textId="77777777" w:rsidR="009F5F23" w:rsidRPr="007E05AF" w:rsidRDefault="009F5F23" w:rsidP="00B803DA">
            <w:pPr>
              <w:keepNext/>
              <w:keepLines/>
              <w:suppressAutoHyphens w:val="0"/>
              <w:spacing w:before="80" w:after="80" w:line="200" w:lineRule="exact"/>
              <w:jc w:val="center"/>
              <w:rPr>
                <w:i/>
                <w:sz w:val="16"/>
                <w:lang w:val="fr-FR"/>
              </w:rPr>
            </w:pPr>
            <w:r w:rsidRPr="007E05AF">
              <w:rPr>
                <w:i/>
                <w:sz w:val="16"/>
                <w:lang w:val="fr-FR"/>
              </w:rPr>
              <w:t>Année</w:t>
            </w:r>
          </w:p>
        </w:tc>
      </w:tr>
      <w:tr w:rsidR="009F5F23" w:rsidRPr="007E05AF" w14:paraId="605D04BE" w14:textId="77777777" w:rsidTr="009F5F23">
        <w:tc>
          <w:tcPr>
            <w:tcW w:w="1134" w:type="dxa"/>
            <w:tcBorders>
              <w:top w:val="single" w:sz="4" w:space="0" w:color="auto"/>
              <w:bottom w:val="single" w:sz="12" w:space="0" w:color="auto"/>
            </w:tcBorders>
            <w:shd w:val="clear" w:color="auto" w:fill="auto"/>
            <w:noWrap/>
            <w:tcMar>
              <w:right w:w="17" w:type="dxa"/>
            </w:tcMar>
            <w:hideMark/>
          </w:tcPr>
          <w:p w14:paraId="2A570FF0" w14:textId="77777777" w:rsidR="009F5F23" w:rsidRPr="009F5F23" w:rsidRDefault="009F5F23" w:rsidP="00B803DA">
            <w:pPr>
              <w:keepNext/>
              <w:keepLines/>
              <w:suppressAutoHyphens w:val="0"/>
              <w:spacing w:before="80" w:after="80" w:line="200" w:lineRule="exact"/>
              <w:rPr>
                <w:i/>
                <w:sz w:val="16"/>
                <w:lang w:val="fr-FR"/>
              </w:rPr>
            </w:pPr>
            <w:r w:rsidRPr="009F5F23">
              <w:rPr>
                <w:i/>
                <w:sz w:val="16"/>
                <w:lang w:val="fr-FR"/>
              </w:rPr>
              <w:t>Article</w:t>
            </w:r>
          </w:p>
        </w:tc>
        <w:tc>
          <w:tcPr>
            <w:tcW w:w="2268" w:type="dxa"/>
            <w:tcBorders>
              <w:top w:val="single" w:sz="4" w:space="0" w:color="auto"/>
              <w:bottom w:val="single" w:sz="12" w:space="0" w:color="auto"/>
            </w:tcBorders>
            <w:shd w:val="clear" w:color="auto" w:fill="auto"/>
            <w:noWrap/>
            <w:tcMar>
              <w:right w:w="17" w:type="dxa"/>
            </w:tcMar>
            <w:hideMark/>
          </w:tcPr>
          <w:p w14:paraId="690B2813" w14:textId="77777777" w:rsidR="009F5F23" w:rsidRPr="009F5F23" w:rsidRDefault="009F5F23" w:rsidP="00B803DA">
            <w:pPr>
              <w:keepNext/>
              <w:keepLines/>
              <w:suppressAutoHyphens w:val="0"/>
              <w:spacing w:before="80" w:after="80" w:line="200" w:lineRule="exact"/>
              <w:rPr>
                <w:i/>
                <w:sz w:val="16"/>
                <w:lang w:val="fr-FR"/>
              </w:rPr>
            </w:pPr>
            <w:r w:rsidRPr="009F5F23">
              <w:rPr>
                <w:i/>
                <w:sz w:val="16"/>
                <w:lang w:val="fr-FR"/>
              </w:rPr>
              <w:t>Qualification de l’infraction</w:t>
            </w:r>
          </w:p>
        </w:tc>
        <w:tc>
          <w:tcPr>
            <w:tcW w:w="1134" w:type="dxa"/>
            <w:vMerge/>
            <w:tcBorders>
              <w:top w:val="single" w:sz="4" w:space="0" w:color="auto"/>
              <w:bottom w:val="single" w:sz="12" w:space="0" w:color="auto"/>
            </w:tcBorders>
            <w:shd w:val="clear" w:color="auto" w:fill="auto"/>
            <w:noWrap/>
            <w:tcMar>
              <w:right w:w="17" w:type="dxa"/>
            </w:tcMar>
            <w:vAlign w:val="bottom"/>
            <w:hideMark/>
          </w:tcPr>
          <w:p w14:paraId="6C0D6273" w14:textId="77777777" w:rsidR="009F5F23" w:rsidRPr="007E05AF" w:rsidRDefault="009F5F23" w:rsidP="00B803DA">
            <w:pPr>
              <w:keepNext/>
              <w:keepLines/>
              <w:suppressAutoHyphens w:val="0"/>
              <w:spacing w:before="40" w:after="40" w:line="220" w:lineRule="exact"/>
              <w:jc w:val="right"/>
              <w:rPr>
                <w:sz w:val="18"/>
                <w:lang w:val="fr-FR"/>
              </w:rPr>
            </w:pPr>
          </w:p>
        </w:tc>
        <w:tc>
          <w:tcPr>
            <w:tcW w:w="567" w:type="dxa"/>
            <w:tcBorders>
              <w:top w:val="single" w:sz="4" w:space="0" w:color="auto"/>
              <w:bottom w:val="single" w:sz="12" w:space="0" w:color="auto"/>
            </w:tcBorders>
            <w:shd w:val="clear" w:color="auto" w:fill="auto"/>
            <w:noWrap/>
            <w:tcMar>
              <w:right w:w="17" w:type="dxa"/>
            </w:tcMar>
            <w:vAlign w:val="bottom"/>
            <w:hideMark/>
          </w:tcPr>
          <w:p w14:paraId="5886D827"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2010</w:t>
            </w:r>
          </w:p>
        </w:tc>
        <w:tc>
          <w:tcPr>
            <w:tcW w:w="567" w:type="dxa"/>
            <w:tcBorders>
              <w:top w:val="single" w:sz="4" w:space="0" w:color="auto"/>
              <w:bottom w:val="single" w:sz="12" w:space="0" w:color="auto"/>
            </w:tcBorders>
            <w:shd w:val="clear" w:color="auto" w:fill="auto"/>
            <w:noWrap/>
            <w:tcMar>
              <w:right w:w="17" w:type="dxa"/>
            </w:tcMar>
            <w:vAlign w:val="bottom"/>
            <w:hideMark/>
          </w:tcPr>
          <w:p w14:paraId="481F2C1B"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2011</w:t>
            </w:r>
          </w:p>
        </w:tc>
        <w:tc>
          <w:tcPr>
            <w:tcW w:w="567" w:type="dxa"/>
            <w:tcBorders>
              <w:top w:val="single" w:sz="4" w:space="0" w:color="auto"/>
              <w:bottom w:val="single" w:sz="12" w:space="0" w:color="auto"/>
            </w:tcBorders>
            <w:shd w:val="clear" w:color="auto" w:fill="auto"/>
            <w:noWrap/>
            <w:tcMar>
              <w:right w:w="17" w:type="dxa"/>
            </w:tcMar>
            <w:vAlign w:val="bottom"/>
            <w:hideMark/>
          </w:tcPr>
          <w:p w14:paraId="6EEBDCC6"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2012</w:t>
            </w:r>
          </w:p>
        </w:tc>
        <w:tc>
          <w:tcPr>
            <w:tcW w:w="567" w:type="dxa"/>
            <w:tcBorders>
              <w:top w:val="single" w:sz="4" w:space="0" w:color="auto"/>
              <w:bottom w:val="single" w:sz="12" w:space="0" w:color="auto"/>
            </w:tcBorders>
            <w:shd w:val="clear" w:color="auto" w:fill="auto"/>
            <w:noWrap/>
            <w:tcMar>
              <w:right w:w="17" w:type="dxa"/>
            </w:tcMar>
            <w:vAlign w:val="bottom"/>
            <w:hideMark/>
          </w:tcPr>
          <w:p w14:paraId="69819761"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2013</w:t>
            </w:r>
          </w:p>
        </w:tc>
        <w:tc>
          <w:tcPr>
            <w:tcW w:w="567" w:type="dxa"/>
            <w:tcBorders>
              <w:top w:val="single" w:sz="4" w:space="0" w:color="auto"/>
              <w:bottom w:val="single" w:sz="12" w:space="0" w:color="auto"/>
            </w:tcBorders>
            <w:shd w:val="clear" w:color="auto" w:fill="auto"/>
            <w:noWrap/>
            <w:tcMar>
              <w:right w:w="17" w:type="dxa"/>
            </w:tcMar>
            <w:vAlign w:val="bottom"/>
            <w:hideMark/>
          </w:tcPr>
          <w:p w14:paraId="2B996365"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2014</w:t>
            </w:r>
          </w:p>
        </w:tc>
        <w:tc>
          <w:tcPr>
            <w:tcW w:w="567" w:type="dxa"/>
            <w:tcBorders>
              <w:top w:val="single" w:sz="4" w:space="0" w:color="auto"/>
              <w:bottom w:val="single" w:sz="12" w:space="0" w:color="auto"/>
            </w:tcBorders>
            <w:shd w:val="clear" w:color="auto" w:fill="auto"/>
            <w:noWrap/>
            <w:tcMar>
              <w:right w:w="17" w:type="dxa"/>
            </w:tcMar>
            <w:vAlign w:val="bottom"/>
            <w:hideMark/>
          </w:tcPr>
          <w:p w14:paraId="3686D689"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2015</w:t>
            </w:r>
          </w:p>
        </w:tc>
        <w:tc>
          <w:tcPr>
            <w:tcW w:w="567" w:type="dxa"/>
            <w:tcBorders>
              <w:top w:val="single" w:sz="4" w:space="0" w:color="auto"/>
              <w:bottom w:val="single" w:sz="12" w:space="0" w:color="auto"/>
            </w:tcBorders>
            <w:shd w:val="clear" w:color="auto" w:fill="auto"/>
            <w:noWrap/>
            <w:tcMar>
              <w:right w:w="17" w:type="dxa"/>
            </w:tcMar>
            <w:vAlign w:val="bottom"/>
            <w:hideMark/>
          </w:tcPr>
          <w:p w14:paraId="6DE10C20"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2016</w:t>
            </w:r>
          </w:p>
        </w:tc>
        <w:tc>
          <w:tcPr>
            <w:tcW w:w="567" w:type="dxa"/>
            <w:tcBorders>
              <w:top w:val="single" w:sz="4" w:space="0" w:color="auto"/>
              <w:bottom w:val="single" w:sz="12" w:space="0" w:color="auto"/>
            </w:tcBorders>
            <w:shd w:val="clear" w:color="auto" w:fill="auto"/>
            <w:noWrap/>
            <w:tcMar>
              <w:right w:w="17" w:type="dxa"/>
            </w:tcMar>
            <w:vAlign w:val="bottom"/>
            <w:hideMark/>
          </w:tcPr>
          <w:p w14:paraId="6D9B16F7"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2017</w:t>
            </w:r>
          </w:p>
        </w:tc>
        <w:tc>
          <w:tcPr>
            <w:tcW w:w="567" w:type="dxa"/>
            <w:tcBorders>
              <w:top w:val="single" w:sz="4" w:space="0" w:color="auto"/>
              <w:bottom w:val="single" w:sz="12" w:space="0" w:color="auto"/>
            </w:tcBorders>
            <w:shd w:val="clear" w:color="auto" w:fill="auto"/>
            <w:noWrap/>
            <w:tcMar>
              <w:right w:w="17" w:type="dxa"/>
            </w:tcMar>
            <w:vAlign w:val="bottom"/>
            <w:hideMark/>
          </w:tcPr>
          <w:p w14:paraId="71CCFEEF" w14:textId="77777777" w:rsidR="009F5F23" w:rsidRPr="009F5F23" w:rsidRDefault="009F5F23" w:rsidP="00B803DA">
            <w:pPr>
              <w:keepNext/>
              <w:keepLines/>
              <w:suppressAutoHyphens w:val="0"/>
              <w:spacing w:before="40" w:after="40" w:line="220" w:lineRule="exact"/>
              <w:jc w:val="right"/>
              <w:rPr>
                <w:i/>
                <w:sz w:val="16"/>
                <w:lang w:val="fr-FR"/>
              </w:rPr>
            </w:pPr>
            <w:r w:rsidRPr="009F5F23">
              <w:rPr>
                <w:i/>
                <w:sz w:val="16"/>
                <w:lang w:val="fr-FR"/>
              </w:rPr>
              <w:t>2018</w:t>
            </w:r>
          </w:p>
        </w:tc>
      </w:tr>
      <w:tr w:rsidR="007E05AF" w:rsidRPr="007E05AF" w14:paraId="059F3D46" w14:textId="77777777" w:rsidTr="009F5F23">
        <w:tc>
          <w:tcPr>
            <w:tcW w:w="1134" w:type="dxa"/>
            <w:tcBorders>
              <w:top w:val="single" w:sz="12" w:space="0" w:color="auto"/>
            </w:tcBorders>
            <w:shd w:val="clear" w:color="auto" w:fill="auto"/>
            <w:noWrap/>
            <w:tcMar>
              <w:right w:w="17" w:type="dxa"/>
            </w:tcMar>
            <w:hideMark/>
          </w:tcPr>
          <w:p w14:paraId="6B8BD8D8" w14:textId="77777777" w:rsidR="002A5EB2" w:rsidRPr="007E05AF" w:rsidRDefault="002A5EB2" w:rsidP="00B803DA">
            <w:pPr>
              <w:keepNext/>
              <w:keepLines/>
              <w:suppressAutoHyphens w:val="0"/>
              <w:spacing w:before="40" w:after="40" w:line="220" w:lineRule="exact"/>
              <w:rPr>
                <w:sz w:val="18"/>
                <w:lang w:val="fr-FR"/>
              </w:rPr>
            </w:pPr>
            <w:r w:rsidRPr="007E05AF">
              <w:rPr>
                <w:sz w:val="18"/>
                <w:lang w:val="fr-FR"/>
              </w:rPr>
              <w:t>191</w:t>
            </w:r>
          </w:p>
        </w:tc>
        <w:tc>
          <w:tcPr>
            <w:tcW w:w="2268" w:type="dxa"/>
            <w:tcBorders>
              <w:top w:val="single" w:sz="12" w:space="0" w:color="auto"/>
            </w:tcBorders>
            <w:shd w:val="clear" w:color="auto" w:fill="auto"/>
            <w:noWrap/>
            <w:tcMar>
              <w:right w:w="17" w:type="dxa"/>
            </w:tcMar>
            <w:hideMark/>
          </w:tcPr>
          <w:p w14:paraId="6F0ABEEB" w14:textId="77777777" w:rsidR="002A5EB2" w:rsidRPr="007E05AF" w:rsidRDefault="002A5EB2" w:rsidP="00B803DA">
            <w:pPr>
              <w:keepNext/>
              <w:keepLines/>
              <w:suppressAutoHyphens w:val="0"/>
              <w:spacing w:before="40" w:after="40" w:line="220" w:lineRule="exact"/>
              <w:rPr>
                <w:sz w:val="18"/>
                <w:lang w:val="fr-FR"/>
              </w:rPr>
            </w:pPr>
            <w:r w:rsidRPr="007E05AF">
              <w:rPr>
                <w:sz w:val="18"/>
                <w:lang w:val="fr-FR"/>
              </w:rPr>
              <w:t>Violence familiale</w:t>
            </w:r>
          </w:p>
        </w:tc>
        <w:tc>
          <w:tcPr>
            <w:tcW w:w="1134" w:type="dxa"/>
            <w:tcBorders>
              <w:top w:val="single" w:sz="12" w:space="0" w:color="auto"/>
            </w:tcBorders>
            <w:shd w:val="clear" w:color="auto" w:fill="auto"/>
            <w:noWrap/>
            <w:tcMar>
              <w:right w:w="17" w:type="dxa"/>
            </w:tcMar>
            <w:vAlign w:val="bottom"/>
            <w:hideMark/>
          </w:tcPr>
          <w:p w14:paraId="0A4B1F4E" w14:textId="77777777" w:rsidR="002A5EB2" w:rsidRPr="007E05AF" w:rsidRDefault="002A5EB2" w:rsidP="00B803DA">
            <w:pPr>
              <w:keepNext/>
              <w:keepLines/>
              <w:suppressAutoHyphens w:val="0"/>
              <w:spacing w:before="40" w:after="40" w:line="220" w:lineRule="exact"/>
              <w:rPr>
                <w:sz w:val="18"/>
                <w:lang w:val="fr-FR"/>
              </w:rPr>
            </w:pPr>
            <w:r w:rsidRPr="007E05AF">
              <w:rPr>
                <w:sz w:val="18"/>
                <w:lang w:val="fr-FR"/>
              </w:rPr>
              <w:t>Masculin</w:t>
            </w:r>
          </w:p>
        </w:tc>
        <w:tc>
          <w:tcPr>
            <w:tcW w:w="567" w:type="dxa"/>
            <w:tcBorders>
              <w:top w:val="single" w:sz="12" w:space="0" w:color="auto"/>
            </w:tcBorders>
            <w:shd w:val="clear" w:color="auto" w:fill="auto"/>
            <w:noWrap/>
            <w:tcMar>
              <w:right w:w="17" w:type="dxa"/>
            </w:tcMar>
            <w:vAlign w:val="bottom"/>
            <w:hideMark/>
          </w:tcPr>
          <w:p w14:paraId="7EFCB665"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395</w:t>
            </w:r>
          </w:p>
        </w:tc>
        <w:tc>
          <w:tcPr>
            <w:tcW w:w="567" w:type="dxa"/>
            <w:tcBorders>
              <w:top w:val="single" w:sz="12" w:space="0" w:color="auto"/>
            </w:tcBorders>
            <w:shd w:val="clear" w:color="auto" w:fill="auto"/>
            <w:noWrap/>
            <w:tcMar>
              <w:right w:w="17" w:type="dxa"/>
            </w:tcMar>
            <w:vAlign w:val="bottom"/>
            <w:hideMark/>
          </w:tcPr>
          <w:p w14:paraId="3FEE3056"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297</w:t>
            </w:r>
          </w:p>
        </w:tc>
        <w:tc>
          <w:tcPr>
            <w:tcW w:w="567" w:type="dxa"/>
            <w:tcBorders>
              <w:top w:val="single" w:sz="12" w:space="0" w:color="auto"/>
            </w:tcBorders>
            <w:shd w:val="clear" w:color="auto" w:fill="auto"/>
            <w:noWrap/>
            <w:tcMar>
              <w:right w:w="17" w:type="dxa"/>
            </w:tcMar>
            <w:vAlign w:val="bottom"/>
            <w:hideMark/>
          </w:tcPr>
          <w:p w14:paraId="2FC11F98"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273</w:t>
            </w:r>
          </w:p>
        </w:tc>
        <w:tc>
          <w:tcPr>
            <w:tcW w:w="567" w:type="dxa"/>
            <w:tcBorders>
              <w:top w:val="single" w:sz="12" w:space="0" w:color="auto"/>
            </w:tcBorders>
            <w:shd w:val="clear" w:color="auto" w:fill="auto"/>
            <w:noWrap/>
            <w:tcMar>
              <w:right w:w="17" w:type="dxa"/>
            </w:tcMar>
            <w:vAlign w:val="bottom"/>
            <w:hideMark/>
          </w:tcPr>
          <w:p w14:paraId="1EE5E795"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238</w:t>
            </w:r>
          </w:p>
        </w:tc>
        <w:tc>
          <w:tcPr>
            <w:tcW w:w="567" w:type="dxa"/>
            <w:tcBorders>
              <w:top w:val="single" w:sz="12" w:space="0" w:color="auto"/>
            </w:tcBorders>
            <w:shd w:val="clear" w:color="auto" w:fill="auto"/>
            <w:noWrap/>
            <w:tcMar>
              <w:right w:w="17" w:type="dxa"/>
            </w:tcMar>
            <w:vAlign w:val="bottom"/>
            <w:hideMark/>
          </w:tcPr>
          <w:p w14:paraId="74F1FF0A"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256</w:t>
            </w:r>
          </w:p>
        </w:tc>
        <w:tc>
          <w:tcPr>
            <w:tcW w:w="567" w:type="dxa"/>
            <w:tcBorders>
              <w:top w:val="single" w:sz="12" w:space="0" w:color="auto"/>
            </w:tcBorders>
            <w:shd w:val="clear" w:color="auto" w:fill="auto"/>
            <w:noWrap/>
            <w:tcMar>
              <w:right w:w="17" w:type="dxa"/>
            </w:tcMar>
            <w:vAlign w:val="bottom"/>
            <w:hideMark/>
          </w:tcPr>
          <w:p w14:paraId="02D22084"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213</w:t>
            </w:r>
          </w:p>
        </w:tc>
        <w:tc>
          <w:tcPr>
            <w:tcW w:w="567" w:type="dxa"/>
            <w:tcBorders>
              <w:top w:val="single" w:sz="12" w:space="0" w:color="auto"/>
            </w:tcBorders>
            <w:shd w:val="clear" w:color="auto" w:fill="auto"/>
            <w:noWrap/>
            <w:tcMar>
              <w:right w:w="17" w:type="dxa"/>
            </w:tcMar>
            <w:vAlign w:val="bottom"/>
            <w:hideMark/>
          </w:tcPr>
          <w:p w14:paraId="5236216C"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298</w:t>
            </w:r>
          </w:p>
        </w:tc>
        <w:tc>
          <w:tcPr>
            <w:tcW w:w="567" w:type="dxa"/>
            <w:tcBorders>
              <w:top w:val="single" w:sz="12" w:space="0" w:color="auto"/>
            </w:tcBorders>
            <w:shd w:val="clear" w:color="auto" w:fill="auto"/>
            <w:noWrap/>
            <w:tcMar>
              <w:right w:w="17" w:type="dxa"/>
            </w:tcMar>
            <w:vAlign w:val="bottom"/>
            <w:hideMark/>
          </w:tcPr>
          <w:p w14:paraId="01AD124B"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238</w:t>
            </w:r>
          </w:p>
        </w:tc>
        <w:tc>
          <w:tcPr>
            <w:tcW w:w="567" w:type="dxa"/>
            <w:tcBorders>
              <w:top w:val="single" w:sz="12" w:space="0" w:color="auto"/>
            </w:tcBorders>
            <w:shd w:val="clear" w:color="auto" w:fill="auto"/>
            <w:noWrap/>
            <w:tcMar>
              <w:right w:w="17" w:type="dxa"/>
            </w:tcMar>
            <w:vAlign w:val="bottom"/>
            <w:hideMark/>
          </w:tcPr>
          <w:p w14:paraId="67A37A7F"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233</w:t>
            </w:r>
          </w:p>
        </w:tc>
      </w:tr>
      <w:tr w:rsidR="007E05AF" w:rsidRPr="007E05AF" w14:paraId="7800E404" w14:textId="77777777" w:rsidTr="009F5F23">
        <w:tc>
          <w:tcPr>
            <w:tcW w:w="1134" w:type="dxa"/>
            <w:tcBorders>
              <w:bottom w:val="single" w:sz="12" w:space="0" w:color="auto"/>
            </w:tcBorders>
            <w:shd w:val="clear" w:color="auto" w:fill="auto"/>
            <w:noWrap/>
            <w:tcMar>
              <w:right w:w="17" w:type="dxa"/>
            </w:tcMar>
            <w:hideMark/>
          </w:tcPr>
          <w:p w14:paraId="48FE5675" w14:textId="77777777" w:rsidR="002A5EB2" w:rsidRPr="007E05AF" w:rsidRDefault="002A5EB2" w:rsidP="00B803DA">
            <w:pPr>
              <w:keepNext/>
              <w:keepLines/>
              <w:suppressAutoHyphens w:val="0"/>
              <w:spacing w:before="40" w:after="40" w:line="220" w:lineRule="exact"/>
              <w:rPr>
                <w:b/>
                <w:sz w:val="18"/>
                <w:lang w:val="fr-FR"/>
              </w:rPr>
            </w:pPr>
          </w:p>
        </w:tc>
        <w:tc>
          <w:tcPr>
            <w:tcW w:w="2268" w:type="dxa"/>
            <w:tcBorders>
              <w:bottom w:val="single" w:sz="12" w:space="0" w:color="auto"/>
            </w:tcBorders>
            <w:shd w:val="clear" w:color="auto" w:fill="auto"/>
            <w:noWrap/>
            <w:tcMar>
              <w:right w:w="17" w:type="dxa"/>
            </w:tcMar>
            <w:hideMark/>
          </w:tcPr>
          <w:p w14:paraId="6047B0E7" w14:textId="77777777" w:rsidR="002A5EB2" w:rsidRPr="007E05AF" w:rsidRDefault="002A5EB2" w:rsidP="00B803DA">
            <w:pPr>
              <w:keepNext/>
              <w:keepLines/>
              <w:suppressAutoHyphens w:val="0"/>
              <w:spacing w:before="40" w:after="40" w:line="220" w:lineRule="exact"/>
              <w:rPr>
                <w:b/>
                <w:sz w:val="18"/>
                <w:lang w:val="fr-FR"/>
              </w:rPr>
            </w:pPr>
          </w:p>
        </w:tc>
        <w:tc>
          <w:tcPr>
            <w:tcW w:w="1134" w:type="dxa"/>
            <w:tcBorders>
              <w:bottom w:val="single" w:sz="12" w:space="0" w:color="auto"/>
            </w:tcBorders>
            <w:shd w:val="clear" w:color="auto" w:fill="auto"/>
            <w:noWrap/>
            <w:tcMar>
              <w:right w:w="17" w:type="dxa"/>
            </w:tcMar>
            <w:vAlign w:val="bottom"/>
            <w:hideMark/>
          </w:tcPr>
          <w:p w14:paraId="395A650F" w14:textId="77777777" w:rsidR="002A5EB2" w:rsidRPr="007E05AF" w:rsidRDefault="002A5EB2" w:rsidP="00B803DA">
            <w:pPr>
              <w:keepNext/>
              <w:keepLines/>
              <w:suppressAutoHyphens w:val="0"/>
              <w:spacing w:before="40" w:after="40" w:line="220" w:lineRule="exact"/>
              <w:rPr>
                <w:sz w:val="18"/>
                <w:lang w:val="fr-FR"/>
              </w:rPr>
            </w:pPr>
            <w:r w:rsidRPr="007E05AF">
              <w:rPr>
                <w:sz w:val="18"/>
                <w:lang w:val="fr-FR"/>
              </w:rPr>
              <w:t>Féminin</w:t>
            </w:r>
          </w:p>
        </w:tc>
        <w:tc>
          <w:tcPr>
            <w:tcW w:w="567" w:type="dxa"/>
            <w:tcBorders>
              <w:bottom w:val="single" w:sz="12" w:space="0" w:color="auto"/>
            </w:tcBorders>
            <w:shd w:val="clear" w:color="auto" w:fill="auto"/>
            <w:noWrap/>
            <w:tcMar>
              <w:right w:w="17" w:type="dxa"/>
            </w:tcMar>
            <w:vAlign w:val="bottom"/>
            <w:hideMark/>
          </w:tcPr>
          <w:p w14:paraId="5BE3D3CE"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2 162</w:t>
            </w:r>
          </w:p>
        </w:tc>
        <w:tc>
          <w:tcPr>
            <w:tcW w:w="567" w:type="dxa"/>
            <w:tcBorders>
              <w:bottom w:val="single" w:sz="12" w:space="0" w:color="auto"/>
            </w:tcBorders>
            <w:shd w:val="clear" w:color="auto" w:fill="auto"/>
            <w:noWrap/>
            <w:tcMar>
              <w:right w:w="17" w:type="dxa"/>
            </w:tcMar>
            <w:vAlign w:val="bottom"/>
            <w:hideMark/>
          </w:tcPr>
          <w:p w14:paraId="4E415A21"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1 784</w:t>
            </w:r>
          </w:p>
        </w:tc>
        <w:tc>
          <w:tcPr>
            <w:tcW w:w="567" w:type="dxa"/>
            <w:tcBorders>
              <w:bottom w:val="single" w:sz="12" w:space="0" w:color="auto"/>
            </w:tcBorders>
            <w:shd w:val="clear" w:color="auto" w:fill="auto"/>
            <w:noWrap/>
            <w:tcMar>
              <w:right w:w="17" w:type="dxa"/>
            </w:tcMar>
            <w:vAlign w:val="bottom"/>
            <w:hideMark/>
          </w:tcPr>
          <w:p w14:paraId="3C2B8B17"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1 573</w:t>
            </w:r>
          </w:p>
        </w:tc>
        <w:tc>
          <w:tcPr>
            <w:tcW w:w="567" w:type="dxa"/>
            <w:tcBorders>
              <w:bottom w:val="single" w:sz="12" w:space="0" w:color="auto"/>
            </w:tcBorders>
            <w:shd w:val="clear" w:color="auto" w:fill="auto"/>
            <w:noWrap/>
            <w:tcMar>
              <w:right w:w="17" w:type="dxa"/>
            </w:tcMar>
            <w:vAlign w:val="bottom"/>
            <w:hideMark/>
          </w:tcPr>
          <w:p w14:paraId="6D83C8CB"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1 485</w:t>
            </w:r>
          </w:p>
        </w:tc>
        <w:tc>
          <w:tcPr>
            <w:tcW w:w="567" w:type="dxa"/>
            <w:tcBorders>
              <w:bottom w:val="single" w:sz="12" w:space="0" w:color="auto"/>
            </w:tcBorders>
            <w:shd w:val="clear" w:color="auto" w:fill="auto"/>
            <w:noWrap/>
            <w:tcMar>
              <w:right w:w="17" w:type="dxa"/>
            </w:tcMar>
            <w:vAlign w:val="bottom"/>
            <w:hideMark/>
          </w:tcPr>
          <w:p w14:paraId="73BB12F9"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1 500</w:t>
            </w:r>
          </w:p>
        </w:tc>
        <w:tc>
          <w:tcPr>
            <w:tcW w:w="567" w:type="dxa"/>
            <w:tcBorders>
              <w:bottom w:val="single" w:sz="12" w:space="0" w:color="auto"/>
            </w:tcBorders>
            <w:shd w:val="clear" w:color="auto" w:fill="auto"/>
            <w:noWrap/>
            <w:tcMar>
              <w:right w:w="17" w:type="dxa"/>
            </w:tcMar>
            <w:vAlign w:val="bottom"/>
            <w:hideMark/>
          </w:tcPr>
          <w:p w14:paraId="6AD3C4C7"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1 206</w:t>
            </w:r>
          </w:p>
        </w:tc>
        <w:tc>
          <w:tcPr>
            <w:tcW w:w="567" w:type="dxa"/>
            <w:tcBorders>
              <w:bottom w:val="single" w:sz="12" w:space="0" w:color="auto"/>
            </w:tcBorders>
            <w:shd w:val="clear" w:color="auto" w:fill="auto"/>
            <w:noWrap/>
            <w:tcMar>
              <w:right w:w="17" w:type="dxa"/>
            </w:tcMar>
            <w:vAlign w:val="bottom"/>
            <w:hideMark/>
          </w:tcPr>
          <w:p w14:paraId="5930FCE7"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1 195</w:t>
            </w:r>
          </w:p>
        </w:tc>
        <w:tc>
          <w:tcPr>
            <w:tcW w:w="567" w:type="dxa"/>
            <w:tcBorders>
              <w:bottom w:val="single" w:sz="12" w:space="0" w:color="auto"/>
            </w:tcBorders>
            <w:shd w:val="clear" w:color="auto" w:fill="auto"/>
            <w:noWrap/>
            <w:tcMar>
              <w:right w:w="17" w:type="dxa"/>
            </w:tcMar>
            <w:vAlign w:val="bottom"/>
            <w:hideMark/>
          </w:tcPr>
          <w:p w14:paraId="47631870"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1 186</w:t>
            </w:r>
          </w:p>
        </w:tc>
        <w:tc>
          <w:tcPr>
            <w:tcW w:w="567" w:type="dxa"/>
            <w:tcBorders>
              <w:bottom w:val="single" w:sz="12" w:space="0" w:color="auto"/>
            </w:tcBorders>
            <w:shd w:val="clear" w:color="auto" w:fill="auto"/>
            <w:noWrap/>
            <w:tcMar>
              <w:right w:w="17" w:type="dxa"/>
            </w:tcMar>
            <w:vAlign w:val="bottom"/>
            <w:hideMark/>
          </w:tcPr>
          <w:p w14:paraId="3FAD5774" w14:textId="77777777" w:rsidR="002A5EB2" w:rsidRPr="007E05AF" w:rsidRDefault="002A5EB2" w:rsidP="00B803DA">
            <w:pPr>
              <w:keepNext/>
              <w:keepLines/>
              <w:suppressAutoHyphens w:val="0"/>
              <w:spacing w:before="40" w:after="40" w:line="220" w:lineRule="exact"/>
              <w:jc w:val="right"/>
              <w:rPr>
                <w:sz w:val="18"/>
                <w:lang w:val="fr-FR"/>
              </w:rPr>
            </w:pPr>
            <w:r w:rsidRPr="007E05AF">
              <w:rPr>
                <w:sz w:val="18"/>
                <w:lang w:val="fr-FR"/>
              </w:rPr>
              <w:t>1 275</w:t>
            </w:r>
          </w:p>
        </w:tc>
      </w:tr>
    </w:tbl>
    <w:p w14:paraId="5538565A" w14:textId="77777777" w:rsidR="002A5EB2" w:rsidRPr="001A3179" w:rsidRDefault="002A5EB2" w:rsidP="00B803DA">
      <w:pPr>
        <w:pStyle w:val="SingleTxtG"/>
        <w:keepNext/>
        <w:keepLines/>
        <w:spacing w:before="240"/>
        <w:rPr>
          <w:lang w:val="fr-FR"/>
        </w:rPr>
      </w:pPr>
      <w:r w:rsidRPr="001A3179">
        <w:rPr>
          <w:lang w:val="fr-FR"/>
        </w:rPr>
        <w:t>56.</w:t>
      </w:r>
      <w:r w:rsidRPr="001A3179">
        <w:rPr>
          <w:lang w:val="fr-FR"/>
        </w:rPr>
        <w:tab/>
        <w:t>L</w:t>
      </w:r>
      <w:r>
        <w:rPr>
          <w:lang w:val="fr-FR"/>
        </w:rPr>
        <w:t>’</w:t>
      </w:r>
      <w:r w:rsidRPr="001A3179">
        <w:rPr>
          <w:lang w:val="fr-FR"/>
        </w:rPr>
        <w:t>évolution annuel</w:t>
      </w:r>
      <w:r>
        <w:rPr>
          <w:lang w:val="fr-FR"/>
        </w:rPr>
        <w:t>le</w:t>
      </w:r>
      <w:r w:rsidRPr="001A3179">
        <w:rPr>
          <w:lang w:val="fr-FR"/>
        </w:rPr>
        <w:t xml:space="preserve"> du nombre des infractions pénales de négligence et de maltraitance envers un enfant (art</w:t>
      </w:r>
      <w:r w:rsidR="00B803DA">
        <w:rPr>
          <w:lang w:val="fr-FR"/>
        </w:rPr>
        <w:t>. </w:t>
      </w:r>
      <w:r w:rsidRPr="001A3179">
        <w:rPr>
          <w:lang w:val="fr-FR"/>
        </w:rPr>
        <w:t>192 du Code pénal modifié) sur la période 2010-2018 est récapitulée dans le tableau ci-après.</w:t>
      </w:r>
    </w:p>
    <w:tbl>
      <w:tblPr>
        <w:tblW w:w="9639" w:type="dxa"/>
        <w:tblLayout w:type="fixed"/>
        <w:tblCellMar>
          <w:left w:w="0" w:type="dxa"/>
          <w:right w:w="0" w:type="dxa"/>
        </w:tblCellMar>
        <w:tblLook w:val="04A0" w:firstRow="1" w:lastRow="0" w:firstColumn="1" w:lastColumn="0" w:noHBand="0" w:noVBand="1"/>
      </w:tblPr>
      <w:tblGrid>
        <w:gridCol w:w="993"/>
        <w:gridCol w:w="3373"/>
        <w:gridCol w:w="170"/>
        <w:gridCol w:w="567"/>
        <w:gridCol w:w="567"/>
        <w:gridCol w:w="567"/>
        <w:gridCol w:w="567"/>
        <w:gridCol w:w="567"/>
        <w:gridCol w:w="567"/>
        <w:gridCol w:w="567"/>
        <w:gridCol w:w="567"/>
        <w:gridCol w:w="567"/>
      </w:tblGrid>
      <w:tr w:rsidR="00AA4C87" w:rsidRPr="009F5F23" w14:paraId="232488D7" w14:textId="77777777" w:rsidTr="00AA4C87">
        <w:trPr>
          <w:tblHeader/>
        </w:trPr>
        <w:tc>
          <w:tcPr>
            <w:tcW w:w="4366" w:type="dxa"/>
            <w:gridSpan w:val="2"/>
            <w:tcBorders>
              <w:top w:val="single" w:sz="4" w:space="0" w:color="auto"/>
              <w:bottom w:val="single" w:sz="4" w:space="0" w:color="auto"/>
            </w:tcBorders>
            <w:shd w:val="clear" w:color="auto" w:fill="auto"/>
            <w:noWrap/>
            <w:tcMar>
              <w:right w:w="17" w:type="dxa"/>
            </w:tcMar>
            <w:vAlign w:val="bottom"/>
            <w:hideMark/>
          </w:tcPr>
          <w:p w14:paraId="6D559FEC" w14:textId="77777777" w:rsidR="00AA4C87" w:rsidRPr="009F5F23" w:rsidRDefault="00AA4C87" w:rsidP="009F5F23">
            <w:pPr>
              <w:suppressAutoHyphens w:val="0"/>
              <w:spacing w:before="80" w:after="80" w:line="200" w:lineRule="exact"/>
              <w:jc w:val="center"/>
              <w:rPr>
                <w:i/>
                <w:sz w:val="16"/>
                <w:lang w:val="fr-FR"/>
              </w:rPr>
            </w:pPr>
            <w:r w:rsidRPr="009F5F23">
              <w:rPr>
                <w:i/>
                <w:sz w:val="16"/>
                <w:lang w:val="fr-FR"/>
              </w:rPr>
              <w:t>Nombre d’infractions pénales</w:t>
            </w:r>
          </w:p>
        </w:tc>
        <w:tc>
          <w:tcPr>
            <w:tcW w:w="170" w:type="dxa"/>
            <w:tcBorders>
              <w:top w:val="single" w:sz="4" w:space="0" w:color="auto"/>
              <w:left w:val="nil"/>
              <w:right w:val="single" w:sz="24" w:space="0" w:color="FFFFFF" w:themeColor="background1"/>
            </w:tcBorders>
            <w:shd w:val="clear" w:color="auto" w:fill="auto"/>
            <w:vAlign w:val="bottom"/>
          </w:tcPr>
          <w:p w14:paraId="08E509CA" w14:textId="77777777" w:rsidR="00AA4C87" w:rsidRPr="009F5F23" w:rsidRDefault="00AA4C87" w:rsidP="009F5F23">
            <w:pPr>
              <w:suppressAutoHyphens w:val="0"/>
              <w:spacing w:before="80" w:after="80" w:line="200" w:lineRule="exact"/>
              <w:jc w:val="center"/>
              <w:rPr>
                <w:i/>
                <w:sz w:val="16"/>
                <w:lang w:val="fr-FR"/>
              </w:rPr>
            </w:pPr>
          </w:p>
        </w:tc>
        <w:tc>
          <w:tcPr>
            <w:tcW w:w="5103" w:type="dxa"/>
            <w:gridSpan w:val="9"/>
            <w:tcBorders>
              <w:top w:val="single" w:sz="4" w:space="0" w:color="auto"/>
              <w:left w:val="single" w:sz="24" w:space="0" w:color="FFFFFF" w:themeColor="background1"/>
              <w:bottom w:val="single" w:sz="4" w:space="0" w:color="auto"/>
            </w:tcBorders>
            <w:shd w:val="clear" w:color="auto" w:fill="auto"/>
            <w:noWrap/>
            <w:tcMar>
              <w:right w:w="17" w:type="dxa"/>
            </w:tcMar>
            <w:vAlign w:val="bottom"/>
            <w:hideMark/>
          </w:tcPr>
          <w:p w14:paraId="55B530F8" w14:textId="77777777" w:rsidR="00AA4C87" w:rsidRPr="009F5F23" w:rsidRDefault="00AA4C87" w:rsidP="00DE5265">
            <w:pPr>
              <w:pStyle w:val="SingleTxtG"/>
              <w:keepNext/>
              <w:keepLines/>
              <w:suppressAutoHyphens w:val="0"/>
              <w:kinsoku/>
              <w:overflowPunct/>
              <w:autoSpaceDE/>
              <w:autoSpaceDN/>
              <w:adjustRightInd/>
              <w:snapToGrid/>
              <w:spacing w:before="80" w:after="80" w:line="200" w:lineRule="exact"/>
              <w:ind w:left="0" w:right="113"/>
              <w:jc w:val="center"/>
              <w:rPr>
                <w:i/>
                <w:sz w:val="16"/>
                <w:lang w:val="fr-FR"/>
              </w:rPr>
            </w:pPr>
            <w:r w:rsidRPr="009F5F23">
              <w:rPr>
                <w:i/>
                <w:sz w:val="16"/>
                <w:lang w:val="fr-FR"/>
              </w:rPr>
              <w:t>Année</w:t>
            </w:r>
          </w:p>
        </w:tc>
      </w:tr>
      <w:tr w:rsidR="009F5F23" w:rsidRPr="009F5F23" w14:paraId="2682C066" w14:textId="77777777" w:rsidTr="00AA4C87">
        <w:tc>
          <w:tcPr>
            <w:tcW w:w="993" w:type="dxa"/>
            <w:tcBorders>
              <w:bottom w:val="single" w:sz="12" w:space="0" w:color="auto"/>
            </w:tcBorders>
            <w:shd w:val="clear" w:color="auto" w:fill="auto"/>
            <w:noWrap/>
            <w:tcMar>
              <w:right w:w="17" w:type="dxa"/>
            </w:tcMar>
            <w:hideMark/>
          </w:tcPr>
          <w:p w14:paraId="4BA2656A" w14:textId="77777777" w:rsidR="002A5EB2" w:rsidRPr="009F5F23" w:rsidRDefault="002A5EB2" w:rsidP="009F5F23">
            <w:pPr>
              <w:suppressAutoHyphens w:val="0"/>
              <w:spacing w:before="80" w:after="80" w:line="200" w:lineRule="exact"/>
              <w:rPr>
                <w:i/>
                <w:sz w:val="16"/>
                <w:lang w:val="fr-FR"/>
              </w:rPr>
            </w:pPr>
            <w:r w:rsidRPr="009F5F23">
              <w:rPr>
                <w:i/>
                <w:sz w:val="16"/>
                <w:lang w:val="fr-FR"/>
              </w:rPr>
              <w:t>Article</w:t>
            </w:r>
          </w:p>
        </w:tc>
        <w:tc>
          <w:tcPr>
            <w:tcW w:w="3543" w:type="dxa"/>
            <w:gridSpan w:val="2"/>
            <w:tcBorders>
              <w:bottom w:val="single" w:sz="12" w:space="0" w:color="auto"/>
            </w:tcBorders>
            <w:shd w:val="clear" w:color="auto" w:fill="auto"/>
            <w:noWrap/>
            <w:tcMar>
              <w:right w:w="17" w:type="dxa"/>
            </w:tcMar>
            <w:hideMark/>
          </w:tcPr>
          <w:p w14:paraId="30196E06" w14:textId="77777777" w:rsidR="002A5EB2" w:rsidRPr="009F5F23" w:rsidRDefault="002A5EB2" w:rsidP="009F5F23">
            <w:pPr>
              <w:suppressAutoHyphens w:val="0"/>
              <w:spacing w:before="80" w:after="80" w:line="200" w:lineRule="exact"/>
              <w:rPr>
                <w:i/>
                <w:sz w:val="16"/>
                <w:lang w:val="fr-FR"/>
              </w:rPr>
            </w:pPr>
            <w:r w:rsidRPr="009F5F23">
              <w:rPr>
                <w:i/>
                <w:sz w:val="16"/>
                <w:lang w:val="fr-FR"/>
              </w:rPr>
              <w:t>Qualification de l’infraction</w:t>
            </w:r>
          </w:p>
        </w:tc>
        <w:tc>
          <w:tcPr>
            <w:tcW w:w="567" w:type="dxa"/>
            <w:tcBorders>
              <w:top w:val="single" w:sz="4" w:space="0" w:color="auto"/>
              <w:bottom w:val="single" w:sz="12" w:space="0" w:color="auto"/>
            </w:tcBorders>
            <w:shd w:val="clear" w:color="auto" w:fill="auto"/>
            <w:noWrap/>
            <w:tcMar>
              <w:right w:w="17" w:type="dxa"/>
            </w:tcMar>
            <w:vAlign w:val="bottom"/>
            <w:hideMark/>
          </w:tcPr>
          <w:p w14:paraId="5A9E9FD7"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2010</w:t>
            </w:r>
          </w:p>
        </w:tc>
        <w:tc>
          <w:tcPr>
            <w:tcW w:w="567" w:type="dxa"/>
            <w:tcBorders>
              <w:top w:val="single" w:sz="4" w:space="0" w:color="auto"/>
              <w:bottom w:val="single" w:sz="12" w:space="0" w:color="auto"/>
            </w:tcBorders>
            <w:shd w:val="clear" w:color="auto" w:fill="auto"/>
            <w:noWrap/>
            <w:tcMar>
              <w:right w:w="17" w:type="dxa"/>
            </w:tcMar>
            <w:vAlign w:val="bottom"/>
            <w:hideMark/>
          </w:tcPr>
          <w:p w14:paraId="1266D5C6"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2011</w:t>
            </w:r>
          </w:p>
        </w:tc>
        <w:tc>
          <w:tcPr>
            <w:tcW w:w="567" w:type="dxa"/>
            <w:tcBorders>
              <w:top w:val="single" w:sz="4" w:space="0" w:color="auto"/>
              <w:bottom w:val="single" w:sz="12" w:space="0" w:color="auto"/>
            </w:tcBorders>
            <w:shd w:val="clear" w:color="auto" w:fill="auto"/>
            <w:noWrap/>
            <w:tcMar>
              <w:right w:w="17" w:type="dxa"/>
            </w:tcMar>
            <w:vAlign w:val="bottom"/>
            <w:hideMark/>
          </w:tcPr>
          <w:p w14:paraId="0E23B82B"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2012</w:t>
            </w:r>
          </w:p>
        </w:tc>
        <w:tc>
          <w:tcPr>
            <w:tcW w:w="567" w:type="dxa"/>
            <w:tcBorders>
              <w:top w:val="single" w:sz="4" w:space="0" w:color="auto"/>
              <w:bottom w:val="single" w:sz="12" w:space="0" w:color="auto"/>
            </w:tcBorders>
            <w:shd w:val="clear" w:color="auto" w:fill="auto"/>
            <w:noWrap/>
            <w:tcMar>
              <w:right w:w="17" w:type="dxa"/>
            </w:tcMar>
            <w:vAlign w:val="bottom"/>
            <w:hideMark/>
          </w:tcPr>
          <w:p w14:paraId="0B5CF5AF"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2013</w:t>
            </w:r>
          </w:p>
        </w:tc>
        <w:tc>
          <w:tcPr>
            <w:tcW w:w="567" w:type="dxa"/>
            <w:tcBorders>
              <w:top w:val="single" w:sz="4" w:space="0" w:color="auto"/>
              <w:bottom w:val="single" w:sz="12" w:space="0" w:color="auto"/>
            </w:tcBorders>
            <w:shd w:val="clear" w:color="auto" w:fill="auto"/>
            <w:noWrap/>
            <w:tcMar>
              <w:right w:w="17" w:type="dxa"/>
            </w:tcMar>
            <w:vAlign w:val="bottom"/>
            <w:hideMark/>
          </w:tcPr>
          <w:p w14:paraId="0849E690"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2014</w:t>
            </w:r>
          </w:p>
        </w:tc>
        <w:tc>
          <w:tcPr>
            <w:tcW w:w="567" w:type="dxa"/>
            <w:tcBorders>
              <w:top w:val="single" w:sz="4" w:space="0" w:color="auto"/>
              <w:bottom w:val="single" w:sz="12" w:space="0" w:color="auto"/>
            </w:tcBorders>
            <w:shd w:val="clear" w:color="auto" w:fill="auto"/>
            <w:noWrap/>
            <w:tcMar>
              <w:right w:w="17" w:type="dxa"/>
            </w:tcMar>
            <w:vAlign w:val="bottom"/>
            <w:hideMark/>
          </w:tcPr>
          <w:p w14:paraId="161EC754"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2015</w:t>
            </w:r>
          </w:p>
        </w:tc>
        <w:tc>
          <w:tcPr>
            <w:tcW w:w="567" w:type="dxa"/>
            <w:tcBorders>
              <w:top w:val="single" w:sz="4" w:space="0" w:color="auto"/>
              <w:bottom w:val="single" w:sz="12" w:space="0" w:color="auto"/>
            </w:tcBorders>
            <w:shd w:val="clear" w:color="auto" w:fill="auto"/>
            <w:noWrap/>
            <w:tcMar>
              <w:right w:w="17" w:type="dxa"/>
            </w:tcMar>
            <w:vAlign w:val="bottom"/>
            <w:hideMark/>
          </w:tcPr>
          <w:p w14:paraId="35D1B104"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2016</w:t>
            </w:r>
          </w:p>
        </w:tc>
        <w:tc>
          <w:tcPr>
            <w:tcW w:w="567" w:type="dxa"/>
            <w:tcBorders>
              <w:top w:val="single" w:sz="4" w:space="0" w:color="auto"/>
              <w:bottom w:val="single" w:sz="12" w:space="0" w:color="auto"/>
            </w:tcBorders>
            <w:shd w:val="clear" w:color="auto" w:fill="auto"/>
            <w:noWrap/>
            <w:tcMar>
              <w:right w:w="17" w:type="dxa"/>
            </w:tcMar>
            <w:vAlign w:val="bottom"/>
            <w:hideMark/>
          </w:tcPr>
          <w:p w14:paraId="4880B594"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2017</w:t>
            </w:r>
          </w:p>
        </w:tc>
        <w:tc>
          <w:tcPr>
            <w:tcW w:w="567" w:type="dxa"/>
            <w:tcBorders>
              <w:top w:val="single" w:sz="4" w:space="0" w:color="auto"/>
              <w:bottom w:val="single" w:sz="12" w:space="0" w:color="auto"/>
            </w:tcBorders>
            <w:shd w:val="clear" w:color="auto" w:fill="auto"/>
            <w:noWrap/>
            <w:tcMar>
              <w:right w:w="17" w:type="dxa"/>
            </w:tcMar>
            <w:vAlign w:val="bottom"/>
            <w:hideMark/>
          </w:tcPr>
          <w:p w14:paraId="0CC2C16A" w14:textId="77777777" w:rsidR="002A5EB2" w:rsidRPr="009F5F23" w:rsidRDefault="002A5EB2" w:rsidP="009F5F23">
            <w:pPr>
              <w:suppressAutoHyphens w:val="0"/>
              <w:spacing w:before="40" w:after="40" w:line="220" w:lineRule="exact"/>
              <w:jc w:val="right"/>
              <w:rPr>
                <w:i/>
                <w:sz w:val="16"/>
                <w:lang w:val="fr-FR"/>
              </w:rPr>
            </w:pPr>
            <w:r w:rsidRPr="009F5F23">
              <w:rPr>
                <w:i/>
                <w:sz w:val="16"/>
                <w:lang w:val="fr-FR"/>
              </w:rPr>
              <w:t>2018</w:t>
            </w:r>
          </w:p>
        </w:tc>
      </w:tr>
      <w:tr w:rsidR="009F5F23" w:rsidRPr="009F5F23" w14:paraId="55B8095F" w14:textId="77777777" w:rsidTr="00AA4C87">
        <w:tc>
          <w:tcPr>
            <w:tcW w:w="993" w:type="dxa"/>
            <w:tcBorders>
              <w:top w:val="single" w:sz="12" w:space="0" w:color="auto"/>
              <w:bottom w:val="single" w:sz="4" w:space="0" w:color="auto"/>
            </w:tcBorders>
            <w:shd w:val="clear" w:color="auto" w:fill="auto"/>
            <w:noWrap/>
            <w:tcMar>
              <w:right w:w="17" w:type="dxa"/>
            </w:tcMar>
            <w:hideMark/>
          </w:tcPr>
          <w:p w14:paraId="011BC813" w14:textId="77777777" w:rsidR="002A5EB2" w:rsidRPr="009F5F23" w:rsidRDefault="002A5EB2" w:rsidP="00DE5265">
            <w:pPr>
              <w:suppressAutoHyphens w:val="0"/>
              <w:spacing w:before="40" w:after="40" w:line="220" w:lineRule="exact"/>
              <w:rPr>
                <w:sz w:val="18"/>
                <w:lang w:val="fr-FR"/>
              </w:rPr>
            </w:pPr>
            <w:r w:rsidRPr="009F5F23">
              <w:rPr>
                <w:sz w:val="18"/>
                <w:lang w:val="fr-FR"/>
              </w:rPr>
              <w:t>192</w:t>
            </w:r>
          </w:p>
        </w:tc>
        <w:tc>
          <w:tcPr>
            <w:tcW w:w="3543" w:type="dxa"/>
            <w:gridSpan w:val="2"/>
            <w:tcBorders>
              <w:top w:val="single" w:sz="12" w:space="0" w:color="auto"/>
              <w:bottom w:val="single" w:sz="4" w:space="0" w:color="auto"/>
            </w:tcBorders>
            <w:shd w:val="clear" w:color="auto" w:fill="auto"/>
            <w:noWrap/>
            <w:tcMar>
              <w:right w:w="17" w:type="dxa"/>
            </w:tcMar>
            <w:hideMark/>
          </w:tcPr>
          <w:p w14:paraId="21D72B2A" w14:textId="77777777" w:rsidR="002A5EB2" w:rsidRPr="009F5F23" w:rsidRDefault="002A5EB2" w:rsidP="009F5F23">
            <w:pPr>
              <w:suppressAutoHyphens w:val="0"/>
              <w:spacing w:before="40" w:after="40" w:line="220" w:lineRule="exact"/>
              <w:rPr>
                <w:sz w:val="18"/>
                <w:lang w:val="fr-FR"/>
              </w:rPr>
            </w:pPr>
            <w:r w:rsidRPr="009F5F23">
              <w:rPr>
                <w:sz w:val="18"/>
                <w:lang w:val="fr-FR"/>
              </w:rPr>
              <w:t>Négligence et maltraitance envers</w:t>
            </w:r>
            <w:r w:rsidR="009F5F23">
              <w:rPr>
                <w:sz w:val="18"/>
                <w:lang w:val="fr-FR"/>
              </w:rPr>
              <w:t xml:space="preserve"> </w:t>
            </w:r>
            <w:r w:rsidRPr="009F5F23">
              <w:rPr>
                <w:sz w:val="18"/>
                <w:lang w:val="fr-FR"/>
              </w:rPr>
              <w:t>un enfant</w:t>
            </w:r>
          </w:p>
        </w:tc>
        <w:tc>
          <w:tcPr>
            <w:tcW w:w="567" w:type="dxa"/>
            <w:tcBorders>
              <w:top w:val="single" w:sz="12" w:space="0" w:color="auto"/>
              <w:bottom w:val="single" w:sz="4" w:space="0" w:color="auto"/>
            </w:tcBorders>
            <w:shd w:val="clear" w:color="auto" w:fill="auto"/>
            <w:noWrap/>
            <w:tcMar>
              <w:right w:w="17" w:type="dxa"/>
            </w:tcMar>
            <w:vAlign w:val="bottom"/>
            <w:hideMark/>
          </w:tcPr>
          <w:p w14:paraId="569FAED1"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704</w:t>
            </w:r>
          </w:p>
        </w:tc>
        <w:tc>
          <w:tcPr>
            <w:tcW w:w="567" w:type="dxa"/>
            <w:tcBorders>
              <w:top w:val="single" w:sz="12" w:space="0" w:color="auto"/>
              <w:bottom w:val="single" w:sz="4" w:space="0" w:color="auto"/>
            </w:tcBorders>
            <w:shd w:val="clear" w:color="auto" w:fill="auto"/>
            <w:noWrap/>
            <w:tcMar>
              <w:right w:w="17" w:type="dxa"/>
            </w:tcMar>
            <w:vAlign w:val="bottom"/>
            <w:hideMark/>
          </w:tcPr>
          <w:p w14:paraId="470274FC"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651</w:t>
            </w:r>
          </w:p>
        </w:tc>
        <w:tc>
          <w:tcPr>
            <w:tcW w:w="567" w:type="dxa"/>
            <w:tcBorders>
              <w:top w:val="single" w:sz="12" w:space="0" w:color="auto"/>
              <w:bottom w:val="single" w:sz="4" w:space="0" w:color="auto"/>
            </w:tcBorders>
            <w:shd w:val="clear" w:color="auto" w:fill="auto"/>
            <w:noWrap/>
            <w:tcMar>
              <w:right w:w="17" w:type="dxa"/>
            </w:tcMar>
            <w:vAlign w:val="bottom"/>
            <w:hideMark/>
          </w:tcPr>
          <w:p w14:paraId="444EBCAA"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697</w:t>
            </w:r>
          </w:p>
        </w:tc>
        <w:tc>
          <w:tcPr>
            <w:tcW w:w="567" w:type="dxa"/>
            <w:tcBorders>
              <w:top w:val="single" w:sz="12" w:space="0" w:color="auto"/>
              <w:bottom w:val="single" w:sz="4" w:space="0" w:color="auto"/>
            </w:tcBorders>
            <w:shd w:val="clear" w:color="auto" w:fill="auto"/>
            <w:noWrap/>
            <w:tcMar>
              <w:right w:w="17" w:type="dxa"/>
            </w:tcMar>
            <w:vAlign w:val="bottom"/>
            <w:hideMark/>
          </w:tcPr>
          <w:p w14:paraId="1BA8ACC9"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623</w:t>
            </w:r>
          </w:p>
        </w:tc>
        <w:tc>
          <w:tcPr>
            <w:tcW w:w="567" w:type="dxa"/>
            <w:tcBorders>
              <w:top w:val="single" w:sz="12" w:space="0" w:color="auto"/>
              <w:bottom w:val="single" w:sz="4" w:space="0" w:color="auto"/>
            </w:tcBorders>
            <w:shd w:val="clear" w:color="auto" w:fill="auto"/>
            <w:noWrap/>
            <w:tcMar>
              <w:right w:w="17" w:type="dxa"/>
            </w:tcMar>
            <w:vAlign w:val="bottom"/>
            <w:hideMark/>
          </w:tcPr>
          <w:p w14:paraId="30F96B7E"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528</w:t>
            </w:r>
          </w:p>
        </w:tc>
        <w:tc>
          <w:tcPr>
            <w:tcW w:w="567" w:type="dxa"/>
            <w:tcBorders>
              <w:top w:val="single" w:sz="12" w:space="0" w:color="auto"/>
              <w:bottom w:val="single" w:sz="4" w:space="0" w:color="auto"/>
            </w:tcBorders>
            <w:shd w:val="clear" w:color="auto" w:fill="auto"/>
            <w:noWrap/>
            <w:tcMar>
              <w:right w:w="17" w:type="dxa"/>
            </w:tcMar>
            <w:vAlign w:val="bottom"/>
            <w:hideMark/>
          </w:tcPr>
          <w:p w14:paraId="6B9D9DC2"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433</w:t>
            </w:r>
          </w:p>
        </w:tc>
        <w:tc>
          <w:tcPr>
            <w:tcW w:w="567" w:type="dxa"/>
            <w:tcBorders>
              <w:top w:val="single" w:sz="12" w:space="0" w:color="auto"/>
              <w:bottom w:val="single" w:sz="4" w:space="0" w:color="auto"/>
            </w:tcBorders>
            <w:shd w:val="clear" w:color="auto" w:fill="auto"/>
            <w:noWrap/>
            <w:tcMar>
              <w:right w:w="17" w:type="dxa"/>
            </w:tcMar>
            <w:vAlign w:val="bottom"/>
            <w:hideMark/>
          </w:tcPr>
          <w:p w14:paraId="18BA0547"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495</w:t>
            </w:r>
          </w:p>
        </w:tc>
        <w:tc>
          <w:tcPr>
            <w:tcW w:w="567" w:type="dxa"/>
            <w:tcBorders>
              <w:top w:val="single" w:sz="12" w:space="0" w:color="auto"/>
              <w:bottom w:val="single" w:sz="4" w:space="0" w:color="auto"/>
            </w:tcBorders>
            <w:shd w:val="clear" w:color="auto" w:fill="auto"/>
            <w:noWrap/>
            <w:tcMar>
              <w:right w:w="17" w:type="dxa"/>
            </w:tcMar>
            <w:vAlign w:val="bottom"/>
            <w:hideMark/>
          </w:tcPr>
          <w:p w14:paraId="33693A8D"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469</w:t>
            </w:r>
          </w:p>
        </w:tc>
        <w:tc>
          <w:tcPr>
            <w:tcW w:w="567" w:type="dxa"/>
            <w:tcBorders>
              <w:top w:val="single" w:sz="12" w:space="0" w:color="auto"/>
              <w:bottom w:val="single" w:sz="4" w:space="0" w:color="auto"/>
            </w:tcBorders>
            <w:shd w:val="clear" w:color="auto" w:fill="auto"/>
            <w:noWrap/>
            <w:tcMar>
              <w:right w:w="17" w:type="dxa"/>
            </w:tcMar>
            <w:vAlign w:val="bottom"/>
            <w:hideMark/>
          </w:tcPr>
          <w:p w14:paraId="66F8112E" w14:textId="77777777" w:rsidR="002A5EB2" w:rsidRPr="009F5F23" w:rsidRDefault="002A5EB2" w:rsidP="009F5F23">
            <w:pPr>
              <w:suppressAutoHyphens w:val="0"/>
              <w:spacing w:before="40" w:after="40" w:line="220" w:lineRule="exact"/>
              <w:jc w:val="right"/>
              <w:rPr>
                <w:sz w:val="18"/>
                <w:lang w:val="fr-FR"/>
              </w:rPr>
            </w:pPr>
            <w:r w:rsidRPr="009F5F23">
              <w:rPr>
                <w:sz w:val="18"/>
                <w:lang w:val="fr-FR"/>
              </w:rPr>
              <w:t>540</w:t>
            </w:r>
          </w:p>
        </w:tc>
      </w:tr>
    </w:tbl>
    <w:p w14:paraId="104C5E6D" w14:textId="77777777" w:rsidR="002A5EB2" w:rsidRPr="001A3179" w:rsidRDefault="002A5EB2" w:rsidP="00B803DA">
      <w:pPr>
        <w:pStyle w:val="SingleTxtG"/>
        <w:spacing w:before="240" w:line="230" w:lineRule="atLeast"/>
        <w:rPr>
          <w:lang w:val="fr-FR"/>
        </w:rPr>
      </w:pPr>
      <w:r w:rsidRPr="001A3179">
        <w:rPr>
          <w:lang w:val="fr-FR"/>
        </w:rPr>
        <w:t>57.</w:t>
      </w:r>
      <w:r w:rsidRPr="001A3179">
        <w:rPr>
          <w:lang w:val="fr-FR"/>
        </w:rPr>
        <w:tab/>
        <w:t>Le Code pénal modifié définit plusieurs infractions comportant un élément de violence sexuelle, à savoir : viol (art</w:t>
      </w:r>
      <w:r w:rsidR="00B803DA">
        <w:rPr>
          <w:lang w:val="fr-FR"/>
        </w:rPr>
        <w:t>. </w:t>
      </w:r>
      <w:r w:rsidRPr="001A3179">
        <w:rPr>
          <w:lang w:val="fr-FR"/>
        </w:rPr>
        <w:t>170) ; violence sexuelle (</w:t>
      </w:r>
      <w:r w:rsidR="00B803DA" w:rsidRPr="001A3179">
        <w:rPr>
          <w:lang w:val="fr-FR"/>
        </w:rPr>
        <w:t>art</w:t>
      </w:r>
      <w:r w:rsidR="00B803DA">
        <w:rPr>
          <w:lang w:val="fr-FR"/>
        </w:rPr>
        <w:t>. </w:t>
      </w:r>
      <w:r w:rsidRPr="001A3179">
        <w:rPr>
          <w:lang w:val="fr-FR"/>
        </w:rPr>
        <w:t>171), abus sexuel sur personne vulnérable (</w:t>
      </w:r>
      <w:r w:rsidR="00B803DA" w:rsidRPr="001A3179">
        <w:rPr>
          <w:lang w:val="fr-FR"/>
        </w:rPr>
        <w:t>art</w:t>
      </w:r>
      <w:r w:rsidR="00B803DA">
        <w:rPr>
          <w:lang w:val="fr-FR"/>
        </w:rPr>
        <w:t>. </w:t>
      </w:r>
      <w:r w:rsidRPr="001A3179">
        <w:rPr>
          <w:lang w:val="fr-FR"/>
        </w:rPr>
        <w:t>172), agression sexuelle sur personne de moins de 15 ans (</w:t>
      </w:r>
      <w:r w:rsidR="00B803DA" w:rsidRPr="001A3179">
        <w:rPr>
          <w:lang w:val="fr-FR"/>
        </w:rPr>
        <w:t>art</w:t>
      </w:r>
      <w:r w:rsidR="00B803DA">
        <w:rPr>
          <w:lang w:val="fr-FR"/>
        </w:rPr>
        <w:t>. </w:t>
      </w:r>
      <w:r w:rsidRPr="001A3179">
        <w:rPr>
          <w:lang w:val="fr-FR"/>
        </w:rPr>
        <w:t>173) ; sollicitation de personnes de moins de 15 ans à des fins sexuelles (</w:t>
      </w:r>
      <w:r w:rsidR="00B803DA" w:rsidRPr="001A3179">
        <w:rPr>
          <w:lang w:val="fr-FR"/>
        </w:rPr>
        <w:t>art</w:t>
      </w:r>
      <w:r w:rsidR="00B803DA">
        <w:rPr>
          <w:lang w:val="fr-FR"/>
        </w:rPr>
        <w:t>. </w:t>
      </w:r>
      <w:r w:rsidRPr="001A3179">
        <w:rPr>
          <w:lang w:val="fr-FR"/>
        </w:rPr>
        <w:t xml:space="preserve">173a) ; violation de </w:t>
      </w:r>
      <w:r w:rsidRPr="0001675B">
        <w:rPr>
          <w:lang w:val="fr-FR"/>
        </w:rPr>
        <w:t>l</w:t>
      </w:r>
      <w:r>
        <w:rPr>
          <w:lang w:val="fr-FR"/>
        </w:rPr>
        <w:t>’</w:t>
      </w:r>
      <w:r w:rsidRPr="0001675B">
        <w:rPr>
          <w:lang w:val="fr-FR"/>
        </w:rPr>
        <w:t>intégrité sexuelle par abus de position</w:t>
      </w:r>
      <w:r w:rsidRPr="001A3179">
        <w:rPr>
          <w:lang w:val="fr-FR"/>
        </w:rPr>
        <w:t xml:space="preserve"> (</w:t>
      </w:r>
      <w:r w:rsidR="00B803DA" w:rsidRPr="001A3179">
        <w:rPr>
          <w:lang w:val="fr-FR"/>
        </w:rPr>
        <w:t>art</w:t>
      </w:r>
      <w:r w:rsidR="00B803DA">
        <w:rPr>
          <w:lang w:val="fr-FR"/>
        </w:rPr>
        <w:t>. </w:t>
      </w:r>
      <w:r w:rsidRPr="001A3179">
        <w:rPr>
          <w:lang w:val="fr-FR"/>
        </w:rPr>
        <w:t>174) ; présentation, fabrication, possession ou distribution de matériel pornographique (</w:t>
      </w:r>
      <w:r w:rsidR="00B803DA" w:rsidRPr="001A3179">
        <w:rPr>
          <w:lang w:val="fr-FR"/>
        </w:rPr>
        <w:t>art</w:t>
      </w:r>
      <w:r w:rsidR="00B803DA">
        <w:rPr>
          <w:lang w:val="fr-FR"/>
        </w:rPr>
        <w:t>. </w:t>
      </w:r>
      <w:r w:rsidRPr="001A3179">
        <w:rPr>
          <w:lang w:val="fr-FR"/>
        </w:rPr>
        <w:t>176). Le tableau ci-après indique le nombre d</w:t>
      </w:r>
      <w:r>
        <w:rPr>
          <w:lang w:val="fr-FR"/>
        </w:rPr>
        <w:t>’</w:t>
      </w:r>
      <w:r w:rsidRPr="001A3179">
        <w:rPr>
          <w:lang w:val="fr-FR"/>
        </w:rPr>
        <w:t>infractions pénales traitées sur la période 2010-2018 ventilées par article du Code pénal modifié et selon le sexe de la victime.</w:t>
      </w:r>
    </w:p>
    <w:tbl>
      <w:tblPr>
        <w:tblW w:w="9639" w:type="dxa"/>
        <w:tblLayout w:type="fixed"/>
        <w:tblCellMar>
          <w:left w:w="0" w:type="dxa"/>
          <w:right w:w="0" w:type="dxa"/>
        </w:tblCellMar>
        <w:tblLook w:val="04A0" w:firstRow="1" w:lastRow="0" w:firstColumn="1" w:lastColumn="0" w:noHBand="0" w:noVBand="1"/>
      </w:tblPr>
      <w:tblGrid>
        <w:gridCol w:w="1134"/>
        <w:gridCol w:w="2268"/>
        <w:gridCol w:w="1134"/>
        <w:gridCol w:w="567"/>
        <w:gridCol w:w="567"/>
        <w:gridCol w:w="567"/>
        <w:gridCol w:w="567"/>
        <w:gridCol w:w="567"/>
        <w:gridCol w:w="567"/>
        <w:gridCol w:w="567"/>
        <w:gridCol w:w="567"/>
        <w:gridCol w:w="567"/>
      </w:tblGrid>
      <w:tr w:rsidR="00D24AC2" w:rsidRPr="00DE5265" w14:paraId="3F6E974E" w14:textId="77777777" w:rsidTr="00D24AC2">
        <w:trPr>
          <w:tblHeader/>
        </w:trPr>
        <w:tc>
          <w:tcPr>
            <w:tcW w:w="3402" w:type="dxa"/>
            <w:gridSpan w:val="2"/>
            <w:tcBorders>
              <w:top w:val="single" w:sz="4" w:space="0" w:color="000000" w:themeColor="text1"/>
              <w:bottom w:val="single" w:sz="4" w:space="0" w:color="000000" w:themeColor="text1"/>
            </w:tcBorders>
            <w:shd w:val="clear" w:color="auto" w:fill="auto"/>
            <w:noWrap/>
            <w:tcMar>
              <w:right w:w="17" w:type="dxa"/>
            </w:tcMar>
            <w:vAlign w:val="bottom"/>
          </w:tcPr>
          <w:p w14:paraId="5CCF3810" w14:textId="77777777" w:rsidR="00D24AC2" w:rsidRPr="00DE5265" w:rsidRDefault="00D24AC2" w:rsidP="00D24AC2">
            <w:pPr>
              <w:suppressAutoHyphens w:val="0"/>
              <w:spacing w:before="80" w:after="80" w:line="200" w:lineRule="exact"/>
              <w:jc w:val="center"/>
              <w:rPr>
                <w:i/>
                <w:sz w:val="16"/>
                <w:lang w:val="fr-FR"/>
              </w:rPr>
            </w:pPr>
            <w:r w:rsidRPr="00DE5265">
              <w:rPr>
                <w:i/>
                <w:sz w:val="16"/>
                <w:lang w:val="fr-FR"/>
              </w:rPr>
              <w:t>Nombre d’infractions pénales</w:t>
            </w:r>
          </w:p>
        </w:tc>
        <w:tc>
          <w:tcPr>
            <w:tcW w:w="1134" w:type="dxa"/>
            <w:tcBorders>
              <w:top w:val="single" w:sz="4" w:space="0" w:color="000000" w:themeColor="text1"/>
            </w:tcBorders>
            <w:shd w:val="clear" w:color="auto" w:fill="auto"/>
            <w:tcMar>
              <w:right w:w="17" w:type="dxa"/>
            </w:tcMar>
            <w:vAlign w:val="bottom"/>
          </w:tcPr>
          <w:p w14:paraId="14A6AE0F" w14:textId="77777777" w:rsidR="00D24AC2" w:rsidRPr="00DE5265" w:rsidRDefault="00D24AC2" w:rsidP="00D24AC2">
            <w:pPr>
              <w:suppressAutoHyphens w:val="0"/>
              <w:spacing w:before="80" w:after="80" w:line="200" w:lineRule="exact"/>
              <w:rPr>
                <w:i/>
                <w:sz w:val="16"/>
                <w:lang w:val="fr-FR"/>
              </w:rPr>
            </w:pPr>
          </w:p>
        </w:tc>
        <w:tc>
          <w:tcPr>
            <w:tcW w:w="5103" w:type="dxa"/>
            <w:gridSpan w:val="9"/>
            <w:tcBorders>
              <w:top w:val="single" w:sz="4" w:space="0" w:color="000000" w:themeColor="text1"/>
              <w:bottom w:val="single" w:sz="4" w:space="0" w:color="000000" w:themeColor="text1"/>
            </w:tcBorders>
            <w:shd w:val="clear" w:color="auto" w:fill="auto"/>
            <w:tcMar>
              <w:right w:w="17" w:type="dxa"/>
            </w:tcMar>
            <w:vAlign w:val="bottom"/>
          </w:tcPr>
          <w:p w14:paraId="59702CAC" w14:textId="77777777" w:rsidR="00D24AC2" w:rsidRPr="00DE5265" w:rsidRDefault="00D24AC2" w:rsidP="00D24AC2">
            <w:pPr>
              <w:suppressAutoHyphens w:val="0"/>
              <w:spacing w:before="80" w:after="80" w:line="200" w:lineRule="exact"/>
              <w:jc w:val="center"/>
              <w:rPr>
                <w:i/>
                <w:sz w:val="16"/>
                <w:lang w:val="fr-FR"/>
              </w:rPr>
            </w:pPr>
            <w:r w:rsidRPr="00DE5265">
              <w:rPr>
                <w:i/>
                <w:sz w:val="16"/>
                <w:lang w:val="fr-FR"/>
              </w:rPr>
              <w:t>Année</w:t>
            </w:r>
          </w:p>
        </w:tc>
      </w:tr>
      <w:tr w:rsidR="00D24AC2" w:rsidRPr="00DE5265" w14:paraId="445508BE" w14:textId="77777777" w:rsidTr="00D24AC2">
        <w:tc>
          <w:tcPr>
            <w:tcW w:w="1134" w:type="dxa"/>
            <w:tcBorders>
              <w:top w:val="single" w:sz="4" w:space="0" w:color="000000" w:themeColor="text1"/>
              <w:bottom w:val="single" w:sz="12" w:space="0" w:color="auto"/>
            </w:tcBorders>
            <w:shd w:val="clear" w:color="auto" w:fill="auto"/>
            <w:noWrap/>
            <w:tcMar>
              <w:right w:w="17" w:type="dxa"/>
            </w:tcMar>
            <w:hideMark/>
          </w:tcPr>
          <w:p w14:paraId="10AF567E" w14:textId="77777777" w:rsidR="00D24AC2" w:rsidRPr="00DE5265" w:rsidRDefault="00D24AC2" w:rsidP="00D24AC2">
            <w:pPr>
              <w:suppressAutoHyphens w:val="0"/>
              <w:spacing w:before="80" w:after="80" w:line="200" w:lineRule="exact"/>
              <w:rPr>
                <w:sz w:val="18"/>
                <w:lang w:val="fr-FR"/>
              </w:rPr>
            </w:pPr>
            <w:r w:rsidRPr="00D24AC2">
              <w:rPr>
                <w:i/>
                <w:sz w:val="16"/>
                <w:lang w:val="fr-FR"/>
              </w:rPr>
              <w:t>Article</w:t>
            </w:r>
          </w:p>
        </w:tc>
        <w:tc>
          <w:tcPr>
            <w:tcW w:w="2268" w:type="dxa"/>
            <w:tcBorders>
              <w:top w:val="single" w:sz="4" w:space="0" w:color="000000" w:themeColor="text1"/>
              <w:bottom w:val="single" w:sz="12" w:space="0" w:color="auto"/>
            </w:tcBorders>
            <w:shd w:val="clear" w:color="auto" w:fill="auto"/>
            <w:noWrap/>
            <w:tcMar>
              <w:right w:w="17" w:type="dxa"/>
            </w:tcMar>
            <w:vAlign w:val="bottom"/>
            <w:hideMark/>
          </w:tcPr>
          <w:p w14:paraId="3195DA5E" w14:textId="77777777" w:rsidR="00D24AC2" w:rsidRPr="00DE5265" w:rsidRDefault="00D24AC2" w:rsidP="00D24AC2">
            <w:pPr>
              <w:suppressAutoHyphens w:val="0"/>
              <w:spacing w:before="80" w:after="80" w:line="200" w:lineRule="exact"/>
              <w:rPr>
                <w:sz w:val="18"/>
                <w:lang w:val="fr-FR"/>
              </w:rPr>
            </w:pPr>
            <w:r w:rsidRPr="00D24AC2">
              <w:rPr>
                <w:i/>
                <w:sz w:val="16"/>
                <w:lang w:val="fr-FR"/>
              </w:rPr>
              <w:t>Qualification de l’infraction</w:t>
            </w:r>
          </w:p>
        </w:tc>
        <w:tc>
          <w:tcPr>
            <w:tcW w:w="1134" w:type="dxa"/>
            <w:tcBorders>
              <w:bottom w:val="single" w:sz="12" w:space="0" w:color="auto"/>
            </w:tcBorders>
            <w:shd w:val="clear" w:color="auto" w:fill="auto"/>
            <w:noWrap/>
            <w:tcMar>
              <w:right w:w="17" w:type="dxa"/>
            </w:tcMar>
            <w:vAlign w:val="bottom"/>
            <w:hideMark/>
          </w:tcPr>
          <w:p w14:paraId="5CE723A2" w14:textId="77777777" w:rsidR="00D24AC2" w:rsidRPr="00DE5265" w:rsidRDefault="00D24AC2" w:rsidP="00D24AC2">
            <w:pPr>
              <w:suppressAutoHyphens w:val="0"/>
              <w:spacing w:before="80" w:after="80" w:line="200" w:lineRule="exact"/>
              <w:rPr>
                <w:i/>
                <w:sz w:val="16"/>
                <w:lang w:val="fr-FR"/>
              </w:rPr>
            </w:pPr>
            <w:r w:rsidRPr="00DE5265">
              <w:rPr>
                <w:i/>
                <w:sz w:val="16"/>
                <w:szCs w:val="18"/>
                <w:lang w:val="fr-FR"/>
              </w:rPr>
              <w:t>Sexe</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2A4EF5BD"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2010</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32361F1D"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2011</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61547200"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2012</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7FA65B5D"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2013</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2C0BF82C"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2014</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623C6D59"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2015</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433BE678"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2016</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6C055C16"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2017</w:t>
            </w:r>
          </w:p>
        </w:tc>
        <w:tc>
          <w:tcPr>
            <w:tcW w:w="567" w:type="dxa"/>
            <w:tcBorders>
              <w:top w:val="single" w:sz="4" w:space="0" w:color="000000" w:themeColor="text1"/>
              <w:bottom w:val="single" w:sz="12" w:space="0" w:color="auto"/>
            </w:tcBorders>
            <w:shd w:val="clear" w:color="auto" w:fill="auto"/>
            <w:noWrap/>
            <w:tcMar>
              <w:right w:w="17" w:type="dxa"/>
            </w:tcMar>
            <w:vAlign w:val="bottom"/>
            <w:hideMark/>
          </w:tcPr>
          <w:p w14:paraId="24AAB7AC" w14:textId="77777777" w:rsidR="00D24AC2" w:rsidRPr="00D24AC2" w:rsidRDefault="00D24AC2" w:rsidP="00D24AC2">
            <w:pPr>
              <w:suppressAutoHyphens w:val="0"/>
              <w:spacing w:before="40" w:after="40" w:line="220" w:lineRule="exact"/>
              <w:jc w:val="right"/>
              <w:rPr>
                <w:i/>
                <w:sz w:val="16"/>
                <w:lang w:val="fr-FR"/>
              </w:rPr>
            </w:pPr>
            <w:r w:rsidRPr="00D24AC2">
              <w:rPr>
                <w:i/>
                <w:sz w:val="16"/>
                <w:lang w:val="fr-FR"/>
              </w:rPr>
              <w:t>2018</w:t>
            </w:r>
          </w:p>
        </w:tc>
      </w:tr>
      <w:tr w:rsidR="00D24AC2" w:rsidRPr="00DE5265" w14:paraId="389DC6D2" w14:textId="77777777" w:rsidTr="00D24AC2">
        <w:tc>
          <w:tcPr>
            <w:tcW w:w="1134" w:type="dxa"/>
            <w:vMerge w:val="restart"/>
            <w:tcBorders>
              <w:top w:val="single" w:sz="12" w:space="0" w:color="auto"/>
            </w:tcBorders>
            <w:shd w:val="clear" w:color="auto" w:fill="auto"/>
            <w:noWrap/>
            <w:tcMar>
              <w:right w:w="17" w:type="dxa"/>
            </w:tcMar>
            <w:hideMark/>
          </w:tcPr>
          <w:p w14:paraId="0D3D30E7" w14:textId="77777777" w:rsidR="00D24AC2" w:rsidRPr="00DE5265" w:rsidRDefault="00D24AC2" w:rsidP="00D24AC2">
            <w:pPr>
              <w:suppressAutoHyphens w:val="0"/>
              <w:spacing w:before="40" w:after="40" w:line="220" w:lineRule="exact"/>
              <w:rPr>
                <w:sz w:val="18"/>
                <w:lang w:val="fr-FR"/>
              </w:rPr>
            </w:pPr>
            <w:r w:rsidRPr="00DE5265">
              <w:rPr>
                <w:sz w:val="18"/>
                <w:lang w:val="fr-FR"/>
              </w:rPr>
              <w:t>170</w:t>
            </w:r>
          </w:p>
        </w:tc>
        <w:tc>
          <w:tcPr>
            <w:tcW w:w="2268" w:type="dxa"/>
            <w:tcBorders>
              <w:top w:val="single" w:sz="12" w:space="0" w:color="auto"/>
            </w:tcBorders>
            <w:shd w:val="clear" w:color="auto" w:fill="auto"/>
            <w:noWrap/>
            <w:tcMar>
              <w:right w:w="17" w:type="dxa"/>
            </w:tcMar>
            <w:vAlign w:val="bottom"/>
            <w:hideMark/>
          </w:tcPr>
          <w:p w14:paraId="7F89B327" w14:textId="77777777" w:rsidR="00D24AC2" w:rsidRPr="00DE5265" w:rsidRDefault="00D24AC2" w:rsidP="00D24AC2">
            <w:pPr>
              <w:suppressAutoHyphens w:val="0"/>
              <w:spacing w:before="40" w:after="40" w:line="220" w:lineRule="exact"/>
              <w:rPr>
                <w:sz w:val="18"/>
                <w:lang w:val="fr-FR"/>
              </w:rPr>
            </w:pPr>
            <w:r w:rsidRPr="00DE5265">
              <w:rPr>
                <w:sz w:val="18"/>
                <w:lang w:val="fr-FR"/>
              </w:rPr>
              <w:t>Viol</w:t>
            </w:r>
          </w:p>
        </w:tc>
        <w:tc>
          <w:tcPr>
            <w:tcW w:w="1134" w:type="dxa"/>
            <w:tcBorders>
              <w:top w:val="single" w:sz="12" w:space="0" w:color="auto"/>
            </w:tcBorders>
            <w:shd w:val="clear" w:color="auto" w:fill="auto"/>
            <w:noWrap/>
            <w:tcMar>
              <w:right w:w="17" w:type="dxa"/>
            </w:tcMar>
            <w:vAlign w:val="bottom"/>
            <w:hideMark/>
          </w:tcPr>
          <w:p w14:paraId="60AAE9EF"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tcBorders>
              <w:top w:val="single" w:sz="12" w:space="0" w:color="auto"/>
            </w:tcBorders>
            <w:shd w:val="clear" w:color="auto" w:fill="auto"/>
            <w:noWrap/>
            <w:tcMar>
              <w:right w:w="17" w:type="dxa"/>
            </w:tcMar>
            <w:vAlign w:val="bottom"/>
            <w:hideMark/>
          </w:tcPr>
          <w:p w14:paraId="17DD5EF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tcBorders>
              <w:top w:val="single" w:sz="12" w:space="0" w:color="auto"/>
            </w:tcBorders>
            <w:shd w:val="clear" w:color="auto" w:fill="auto"/>
            <w:noWrap/>
            <w:tcMar>
              <w:right w:w="17" w:type="dxa"/>
            </w:tcMar>
            <w:vAlign w:val="bottom"/>
            <w:hideMark/>
          </w:tcPr>
          <w:p w14:paraId="2290640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tcBorders>
              <w:top w:val="single" w:sz="12" w:space="0" w:color="auto"/>
            </w:tcBorders>
            <w:shd w:val="clear" w:color="auto" w:fill="auto"/>
            <w:noWrap/>
            <w:tcMar>
              <w:right w:w="17" w:type="dxa"/>
            </w:tcMar>
            <w:vAlign w:val="bottom"/>
            <w:hideMark/>
          </w:tcPr>
          <w:p w14:paraId="185AFD0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w:t>
            </w:r>
          </w:p>
        </w:tc>
        <w:tc>
          <w:tcPr>
            <w:tcW w:w="567" w:type="dxa"/>
            <w:tcBorders>
              <w:top w:val="single" w:sz="12" w:space="0" w:color="auto"/>
            </w:tcBorders>
            <w:shd w:val="clear" w:color="auto" w:fill="auto"/>
            <w:noWrap/>
            <w:tcMar>
              <w:right w:w="17" w:type="dxa"/>
            </w:tcMar>
            <w:vAlign w:val="bottom"/>
            <w:hideMark/>
          </w:tcPr>
          <w:p w14:paraId="75AA834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tcBorders>
              <w:top w:val="single" w:sz="12" w:space="0" w:color="auto"/>
            </w:tcBorders>
            <w:shd w:val="clear" w:color="auto" w:fill="auto"/>
            <w:noWrap/>
            <w:tcMar>
              <w:right w:w="17" w:type="dxa"/>
            </w:tcMar>
            <w:vAlign w:val="bottom"/>
            <w:hideMark/>
          </w:tcPr>
          <w:p w14:paraId="297B5DC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tcBorders>
              <w:top w:val="single" w:sz="12" w:space="0" w:color="auto"/>
            </w:tcBorders>
            <w:shd w:val="clear" w:color="auto" w:fill="auto"/>
            <w:noWrap/>
            <w:tcMar>
              <w:right w:w="17" w:type="dxa"/>
            </w:tcMar>
            <w:vAlign w:val="bottom"/>
            <w:hideMark/>
          </w:tcPr>
          <w:p w14:paraId="7CC8DE5F"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tcBorders>
              <w:top w:val="single" w:sz="12" w:space="0" w:color="auto"/>
            </w:tcBorders>
            <w:shd w:val="clear" w:color="auto" w:fill="auto"/>
            <w:noWrap/>
            <w:tcMar>
              <w:right w:w="17" w:type="dxa"/>
            </w:tcMar>
            <w:vAlign w:val="bottom"/>
            <w:hideMark/>
          </w:tcPr>
          <w:p w14:paraId="4107EF3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tcBorders>
              <w:top w:val="single" w:sz="12" w:space="0" w:color="auto"/>
            </w:tcBorders>
            <w:shd w:val="clear" w:color="auto" w:fill="auto"/>
            <w:noWrap/>
            <w:tcMar>
              <w:right w:w="17" w:type="dxa"/>
            </w:tcMar>
            <w:vAlign w:val="bottom"/>
            <w:hideMark/>
          </w:tcPr>
          <w:p w14:paraId="687162B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tcBorders>
              <w:top w:val="single" w:sz="12" w:space="0" w:color="auto"/>
            </w:tcBorders>
            <w:shd w:val="clear" w:color="auto" w:fill="auto"/>
            <w:noWrap/>
            <w:tcMar>
              <w:right w:w="17" w:type="dxa"/>
            </w:tcMar>
            <w:vAlign w:val="bottom"/>
            <w:hideMark/>
          </w:tcPr>
          <w:p w14:paraId="60E47D0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r>
      <w:tr w:rsidR="00D24AC2" w:rsidRPr="00DE5265" w14:paraId="63553801" w14:textId="77777777" w:rsidTr="00D24AC2">
        <w:tc>
          <w:tcPr>
            <w:tcW w:w="1134" w:type="dxa"/>
            <w:vMerge/>
            <w:shd w:val="clear" w:color="auto" w:fill="auto"/>
            <w:noWrap/>
            <w:tcMar>
              <w:right w:w="17" w:type="dxa"/>
            </w:tcMar>
            <w:hideMark/>
          </w:tcPr>
          <w:p w14:paraId="17E12621" w14:textId="77777777" w:rsidR="00D24AC2" w:rsidRPr="00DE5265" w:rsidRDefault="00D24AC2" w:rsidP="00D24AC2">
            <w:pPr>
              <w:suppressAutoHyphens w:val="0"/>
              <w:spacing w:before="40" w:after="40" w:line="220" w:lineRule="exact"/>
              <w:rPr>
                <w:sz w:val="18"/>
                <w:lang w:val="fr-FR"/>
              </w:rPr>
            </w:pPr>
          </w:p>
        </w:tc>
        <w:tc>
          <w:tcPr>
            <w:tcW w:w="2268" w:type="dxa"/>
            <w:shd w:val="clear" w:color="auto" w:fill="auto"/>
            <w:noWrap/>
            <w:tcMar>
              <w:right w:w="17" w:type="dxa"/>
            </w:tcMar>
            <w:vAlign w:val="bottom"/>
            <w:hideMark/>
          </w:tcPr>
          <w:p w14:paraId="3380908A"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6635BBB9"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366F8DE3"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65</w:t>
            </w:r>
          </w:p>
        </w:tc>
        <w:tc>
          <w:tcPr>
            <w:tcW w:w="567" w:type="dxa"/>
            <w:shd w:val="clear" w:color="auto" w:fill="auto"/>
            <w:noWrap/>
            <w:tcMar>
              <w:right w:w="17" w:type="dxa"/>
            </w:tcMar>
            <w:vAlign w:val="bottom"/>
            <w:hideMark/>
          </w:tcPr>
          <w:p w14:paraId="70A3039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51</w:t>
            </w:r>
          </w:p>
        </w:tc>
        <w:tc>
          <w:tcPr>
            <w:tcW w:w="567" w:type="dxa"/>
            <w:shd w:val="clear" w:color="auto" w:fill="auto"/>
            <w:noWrap/>
            <w:tcMar>
              <w:right w:w="17" w:type="dxa"/>
            </w:tcMar>
            <w:vAlign w:val="bottom"/>
            <w:hideMark/>
          </w:tcPr>
          <w:p w14:paraId="38CDDF0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56</w:t>
            </w:r>
          </w:p>
        </w:tc>
        <w:tc>
          <w:tcPr>
            <w:tcW w:w="567" w:type="dxa"/>
            <w:shd w:val="clear" w:color="auto" w:fill="auto"/>
            <w:noWrap/>
            <w:tcMar>
              <w:right w:w="17" w:type="dxa"/>
            </w:tcMar>
            <w:vAlign w:val="bottom"/>
            <w:hideMark/>
          </w:tcPr>
          <w:p w14:paraId="4CF1A5F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51</w:t>
            </w:r>
          </w:p>
        </w:tc>
        <w:tc>
          <w:tcPr>
            <w:tcW w:w="567" w:type="dxa"/>
            <w:shd w:val="clear" w:color="auto" w:fill="auto"/>
            <w:noWrap/>
            <w:tcMar>
              <w:right w:w="17" w:type="dxa"/>
            </w:tcMar>
            <w:vAlign w:val="bottom"/>
            <w:hideMark/>
          </w:tcPr>
          <w:p w14:paraId="6D781AA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45</w:t>
            </w:r>
          </w:p>
        </w:tc>
        <w:tc>
          <w:tcPr>
            <w:tcW w:w="567" w:type="dxa"/>
            <w:shd w:val="clear" w:color="auto" w:fill="auto"/>
            <w:noWrap/>
            <w:tcMar>
              <w:right w:w="17" w:type="dxa"/>
            </w:tcMar>
            <w:vAlign w:val="bottom"/>
            <w:hideMark/>
          </w:tcPr>
          <w:p w14:paraId="33A3DF3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43</w:t>
            </w:r>
          </w:p>
        </w:tc>
        <w:tc>
          <w:tcPr>
            <w:tcW w:w="567" w:type="dxa"/>
            <w:shd w:val="clear" w:color="auto" w:fill="auto"/>
            <w:noWrap/>
            <w:tcMar>
              <w:right w:w="17" w:type="dxa"/>
            </w:tcMar>
            <w:vAlign w:val="bottom"/>
            <w:hideMark/>
          </w:tcPr>
          <w:p w14:paraId="30B7641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32</w:t>
            </w:r>
          </w:p>
        </w:tc>
        <w:tc>
          <w:tcPr>
            <w:tcW w:w="567" w:type="dxa"/>
            <w:shd w:val="clear" w:color="auto" w:fill="auto"/>
            <w:noWrap/>
            <w:tcMar>
              <w:right w:w="17" w:type="dxa"/>
            </w:tcMar>
            <w:vAlign w:val="bottom"/>
            <w:hideMark/>
          </w:tcPr>
          <w:p w14:paraId="0687FD7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41</w:t>
            </w:r>
          </w:p>
        </w:tc>
        <w:tc>
          <w:tcPr>
            <w:tcW w:w="567" w:type="dxa"/>
            <w:shd w:val="clear" w:color="auto" w:fill="auto"/>
            <w:noWrap/>
            <w:tcMar>
              <w:right w:w="17" w:type="dxa"/>
            </w:tcMar>
            <w:vAlign w:val="bottom"/>
            <w:hideMark/>
          </w:tcPr>
          <w:p w14:paraId="2A142ED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37</w:t>
            </w:r>
          </w:p>
        </w:tc>
      </w:tr>
      <w:tr w:rsidR="00D24AC2" w:rsidRPr="00DE5265" w14:paraId="4508654F" w14:textId="77777777" w:rsidTr="00D24AC2">
        <w:tc>
          <w:tcPr>
            <w:tcW w:w="1134" w:type="dxa"/>
            <w:vMerge w:val="restart"/>
            <w:shd w:val="clear" w:color="auto" w:fill="auto"/>
            <w:noWrap/>
            <w:tcMar>
              <w:right w:w="17" w:type="dxa"/>
            </w:tcMar>
            <w:hideMark/>
          </w:tcPr>
          <w:p w14:paraId="57527905" w14:textId="77777777" w:rsidR="00D24AC2" w:rsidRPr="00DE5265" w:rsidRDefault="00D24AC2" w:rsidP="00D24AC2">
            <w:pPr>
              <w:suppressAutoHyphens w:val="0"/>
              <w:spacing w:before="40" w:after="40" w:line="220" w:lineRule="exact"/>
              <w:rPr>
                <w:sz w:val="18"/>
                <w:lang w:val="fr-FR"/>
              </w:rPr>
            </w:pPr>
            <w:r w:rsidRPr="00DE5265">
              <w:rPr>
                <w:sz w:val="18"/>
                <w:lang w:val="fr-FR"/>
              </w:rPr>
              <w:t>171</w:t>
            </w:r>
          </w:p>
        </w:tc>
        <w:tc>
          <w:tcPr>
            <w:tcW w:w="2268" w:type="dxa"/>
            <w:shd w:val="clear" w:color="auto" w:fill="auto"/>
            <w:noWrap/>
            <w:tcMar>
              <w:right w:w="17" w:type="dxa"/>
            </w:tcMar>
            <w:vAlign w:val="bottom"/>
            <w:hideMark/>
          </w:tcPr>
          <w:p w14:paraId="11F99BEC" w14:textId="77777777" w:rsidR="00D24AC2" w:rsidRPr="00DE5265" w:rsidRDefault="00D24AC2" w:rsidP="00D24AC2">
            <w:pPr>
              <w:suppressAutoHyphens w:val="0"/>
              <w:spacing w:before="40" w:after="40" w:line="220" w:lineRule="exact"/>
              <w:rPr>
                <w:sz w:val="18"/>
                <w:lang w:val="fr-FR"/>
              </w:rPr>
            </w:pPr>
            <w:r w:rsidRPr="00DE5265">
              <w:rPr>
                <w:sz w:val="18"/>
                <w:lang w:val="fr-FR"/>
              </w:rPr>
              <w:t>Violence sexuelle</w:t>
            </w:r>
          </w:p>
        </w:tc>
        <w:tc>
          <w:tcPr>
            <w:tcW w:w="1134" w:type="dxa"/>
            <w:shd w:val="clear" w:color="auto" w:fill="auto"/>
            <w:noWrap/>
            <w:tcMar>
              <w:right w:w="17" w:type="dxa"/>
            </w:tcMar>
            <w:vAlign w:val="bottom"/>
            <w:hideMark/>
          </w:tcPr>
          <w:p w14:paraId="2FDF5DD0"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271ECD6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63BBB8C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33AC462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w:t>
            </w:r>
          </w:p>
        </w:tc>
        <w:tc>
          <w:tcPr>
            <w:tcW w:w="567" w:type="dxa"/>
            <w:shd w:val="clear" w:color="auto" w:fill="auto"/>
            <w:noWrap/>
            <w:tcMar>
              <w:right w:w="17" w:type="dxa"/>
            </w:tcMar>
            <w:vAlign w:val="bottom"/>
            <w:hideMark/>
          </w:tcPr>
          <w:p w14:paraId="730CA8F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w:t>
            </w:r>
          </w:p>
        </w:tc>
        <w:tc>
          <w:tcPr>
            <w:tcW w:w="567" w:type="dxa"/>
            <w:shd w:val="clear" w:color="auto" w:fill="auto"/>
            <w:noWrap/>
            <w:tcMar>
              <w:right w:w="17" w:type="dxa"/>
            </w:tcMar>
            <w:vAlign w:val="bottom"/>
            <w:hideMark/>
          </w:tcPr>
          <w:p w14:paraId="47BB51F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w:t>
            </w:r>
          </w:p>
        </w:tc>
        <w:tc>
          <w:tcPr>
            <w:tcW w:w="567" w:type="dxa"/>
            <w:shd w:val="clear" w:color="auto" w:fill="auto"/>
            <w:noWrap/>
            <w:tcMar>
              <w:right w:w="17" w:type="dxa"/>
            </w:tcMar>
            <w:vAlign w:val="bottom"/>
            <w:hideMark/>
          </w:tcPr>
          <w:p w14:paraId="784548B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1503DE0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w:t>
            </w:r>
          </w:p>
        </w:tc>
        <w:tc>
          <w:tcPr>
            <w:tcW w:w="567" w:type="dxa"/>
            <w:shd w:val="clear" w:color="auto" w:fill="auto"/>
            <w:noWrap/>
            <w:tcMar>
              <w:right w:w="17" w:type="dxa"/>
            </w:tcMar>
            <w:vAlign w:val="bottom"/>
            <w:hideMark/>
          </w:tcPr>
          <w:p w14:paraId="5069F0C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0B472FF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w:t>
            </w:r>
          </w:p>
        </w:tc>
      </w:tr>
      <w:tr w:rsidR="00D24AC2" w:rsidRPr="00DE5265" w14:paraId="374C536A" w14:textId="77777777" w:rsidTr="00D24AC2">
        <w:tc>
          <w:tcPr>
            <w:tcW w:w="1134" w:type="dxa"/>
            <w:vMerge/>
            <w:shd w:val="clear" w:color="auto" w:fill="auto"/>
            <w:noWrap/>
            <w:tcMar>
              <w:right w:w="17" w:type="dxa"/>
            </w:tcMar>
            <w:hideMark/>
          </w:tcPr>
          <w:p w14:paraId="6E235938" w14:textId="77777777" w:rsidR="00D24AC2" w:rsidRPr="00DE5265" w:rsidRDefault="00D24AC2" w:rsidP="00D24AC2">
            <w:pPr>
              <w:suppressAutoHyphens w:val="0"/>
              <w:spacing w:before="40" w:after="40" w:line="220" w:lineRule="exact"/>
              <w:rPr>
                <w:sz w:val="18"/>
                <w:lang w:val="fr-FR"/>
              </w:rPr>
            </w:pPr>
          </w:p>
        </w:tc>
        <w:tc>
          <w:tcPr>
            <w:tcW w:w="2268" w:type="dxa"/>
            <w:shd w:val="clear" w:color="auto" w:fill="auto"/>
            <w:noWrap/>
            <w:tcMar>
              <w:right w:w="17" w:type="dxa"/>
            </w:tcMar>
            <w:vAlign w:val="bottom"/>
            <w:hideMark/>
          </w:tcPr>
          <w:p w14:paraId="5D22AB29"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160D1A71"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0FBC0CA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68</w:t>
            </w:r>
          </w:p>
        </w:tc>
        <w:tc>
          <w:tcPr>
            <w:tcW w:w="567" w:type="dxa"/>
            <w:shd w:val="clear" w:color="auto" w:fill="auto"/>
            <w:noWrap/>
            <w:tcMar>
              <w:right w:w="17" w:type="dxa"/>
            </w:tcMar>
            <w:vAlign w:val="bottom"/>
            <w:hideMark/>
          </w:tcPr>
          <w:p w14:paraId="3C3E7E4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38</w:t>
            </w:r>
          </w:p>
        </w:tc>
        <w:tc>
          <w:tcPr>
            <w:tcW w:w="567" w:type="dxa"/>
            <w:shd w:val="clear" w:color="auto" w:fill="auto"/>
            <w:noWrap/>
            <w:tcMar>
              <w:right w:w="17" w:type="dxa"/>
            </w:tcMar>
            <w:vAlign w:val="bottom"/>
            <w:hideMark/>
          </w:tcPr>
          <w:p w14:paraId="447FE75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41</w:t>
            </w:r>
          </w:p>
        </w:tc>
        <w:tc>
          <w:tcPr>
            <w:tcW w:w="567" w:type="dxa"/>
            <w:shd w:val="clear" w:color="auto" w:fill="auto"/>
            <w:noWrap/>
            <w:tcMar>
              <w:right w:w="17" w:type="dxa"/>
            </w:tcMar>
            <w:vAlign w:val="bottom"/>
            <w:hideMark/>
          </w:tcPr>
          <w:p w14:paraId="79DB34F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44</w:t>
            </w:r>
          </w:p>
        </w:tc>
        <w:tc>
          <w:tcPr>
            <w:tcW w:w="567" w:type="dxa"/>
            <w:shd w:val="clear" w:color="auto" w:fill="auto"/>
            <w:noWrap/>
            <w:tcMar>
              <w:right w:w="17" w:type="dxa"/>
            </w:tcMar>
            <w:vAlign w:val="bottom"/>
            <w:hideMark/>
          </w:tcPr>
          <w:p w14:paraId="698B0C2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45</w:t>
            </w:r>
          </w:p>
        </w:tc>
        <w:tc>
          <w:tcPr>
            <w:tcW w:w="567" w:type="dxa"/>
            <w:shd w:val="clear" w:color="auto" w:fill="auto"/>
            <w:noWrap/>
            <w:tcMar>
              <w:right w:w="17" w:type="dxa"/>
            </w:tcMar>
            <w:vAlign w:val="bottom"/>
            <w:hideMark/>
          </w:tcPr>
          <w:p w14:paraId="165EA8F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28</w:t>
            </w:r>
          </w:p>
        </w:tc>
        <w:tc>
          <w:tcPr>
            <w:tcW w:w="567" w:type="dxa"/>
            <w:shd w:val="clear" w:color="auto" w:fill="auto"/>
            <w:noWrap/>
            <w:tcMar>
              <w:right w:w="17" w:type="dxa"/>
            </w:tcMar>
            <w:vAlign w:val="bottom"/>
            <w:hideMark/>
          </w:tcPr>
          <w:p w14:paraId="4884A8F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40</w:t>
            </w:r>
          </w:p>
        </w:tc>
        <w:tc>
          <w:tcPr>
            <w:tcW w:w="567" w:type="dxa"/>
            <w:shd w:val="clear" w:color="auto" w:fill="auto"/>
            <w:noWrap/>
            <w:tcMar>
              <w:right w:w="17" w:type="dxa"/>
            </w:tcMar>
            <w:vAlign w:val="bottom"/>
            <w:hideMark/>
          </w:tcPr>
          <w:p w14:paraId="24526C5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38</w:t>
            </w:r>
          </w:p>
        </w:tc>
        <w:tc>
          <w:tcPr>
            <w:tcW w:w="567" w:type="dxa"/>
            <w:shd w:val="clear" w:color="auto" w:fill="auto"/>
            <w:noWrap/>
            <w:tcMar>
              <w:right w:w="17" w:type="dxa"/>
            </w:tcMar>
            <w:vAlign w:val="bottom"/>
            <w:hideMark/>
          </w:tcPr>
          <w:p w14:paraId="0912F4F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29</w:t>
            </w:r>
          </w:p>
        </w:tc>
      </w:tr>
      <w:tr w:rsidR="00D24AC2" w:rsidRPr="00DE5265" w14:paraId="4F7FB9D1" w14:textId="77777777" w:rsidTr="00903CF0">
        <w:tc>
          <w:tcPr>
            <w:tcW w:w="1134" w:type="dxa"/>
            <w:vMerge w:val="restart"/>
            <w:shd w:val="clear" w:color="auto" w:fill="auto"/>
            <w:noWrap/>
            <w:tcMar>
              <w:right w:w="17" w:type="dxa"/>
            </w:tcMar>
            <w:hideMark/>
          </w:tcPr>
          <w:p w14:paraId="0628DF61" w14:textId="77777777" w:rsidR="00D24AC2" w:rsidRPr="00DE5265" w:rsidRDefault="00D24AC2" w:rsidP="00D24AC2">
            <w:pPr>
              <w:suppressAutoHyphens w:val="0"/>
              <w:spacing w:before="40" w:after="40" w:line="220" w:lineRule="exact"/>
              <w:rPr>
                <w:sz w:val="18"/>
                <w:lang w:val="fr-FR"/>
              </w:rPr>
            </w:pPr>
            <w:r w:rsidRPr="00DE5265">
              <w:rPr>
                <w:sz w:val="18"/>
                <w:lang w:val="fr-FR"/>
              </w:rPr>
              <w:t>172</w:t>
            </w:r>
          </w:p>
        </w:tc>
        <w:tc>
          <w:tcPr>
            <w:tcW w:w="2268" w:type="dxa"/>
            <w:vMerge w:val="restart"/>
            <w:shd w:val="clear" w:color="auto" w:fill="auto"/>
            <w:noWrap/>
            <w:tcMar>
              <w:right w:w="17" w:type="dxa"/>
            </w:tcMar>
            <w:hideMark/>
          </w:tcPr>
          <w:p w14:paraId="690E45DB" w14:textId="77777777" w:rsidR="00D24AC2" w:rsidRPr="00DE5265" w:rsidRDefault="00D24AC2" w:rsidP="00D24AC2">
            <w:pPr>
              <w:suppressAutoHyphens w:val="0"/>
              <w:spacing w:before="40" w:after="40" w:line="220" w:lineRule="exact"/>
              <w:rPr>
                <w:sz w:val="18"/>
                <w:lang w:val="fr-FR"/>
              </w:rPr>
            </w:pPr>
            <w:r w:rsidRPr="00DE5265">
              <w:rPr>
                <w:sz w:val="18"/>
                <w:lang w:val="fr-FR"/>
              </w:rPr>
              <w:t>Abus sexuel sur personne vulnérable</w:t>
            </w:r>
          </w:p>
        </w:tc>
        <w:tc>
          <w:tcPr>
            <w:tcW w:w="1134" w:type="dxa"/>
            <w:shd w:val="clear" w:color="auto" w:fill="auto"/>
            <w:noWrap/>
            <w:tcMar>
              <w:right w:w="17" w:type="dxa"/>
            </w:tcMar>
            <w:vAlign w:val="bottom"/>
            <w:hideMark/>
          </w:tcPr>
          <w:p w14:paraId="639AD68C"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4625999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2B8222C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3A7DF05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0C7AC3C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w:t>
            </w:r>
          </w:p>
        </w:tc>
        <w:tc>
          <w:tcPr>
            <w:tcW w:w="567" w:type="dxa"/>
            <w:shd w:val="clear" w:color="auto" w:fill="auto"/>
            <w:noWrap/>
            <w:tcMar>
              <w:right w:w="17" w:type="dxa"/>
            </w:tcMar>
            <w:vAlign w:val="bottom"/>
            <w:hideMark/>
          </w:tcPr>
          <w:p w14:paraId="5CB47DC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134A441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2323D9F0"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316C980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7</w:t>
            </w:r>
          </w:p>
        </w:tc>
        <w:tc>
          <w:tcPr>
            <w:tcW w:w="567" w:type="dxa"/>
            <w:shd w:val="clear" w:color="auto" w:fill="auto"/>
            <w:noWrap/>
            <w:tcMar>
              <w:right w:w="17" w:type="dxa"/>
            </w:tcMar>
            <w:vAlign w:val="bottom"/>
            <w:hideMark/>
          </w:tcPr>
          <w:p w14:paraId="2E10A46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r>
      <w:tr w:rsidR="00D24AC2" w:rsidRPr="00DE5265" w14:paraId="53520B59" w14:textId="77777777" w:rsidTr="00D24AC2">
        <w:tc>
          <w:tcPr>
            <w:tcW w:w="1134" w:type="dxa"/>
            <w:vMerge/>
            <w:shd w:val="clear" w:color="auto" w:fill="auto"/>
            <w:noWrap/>
            <w:tcMar>
              <w:right w:w="17" w:type="dxa"/>
            </w:tcMar>
            <w:hideMark/>
          </w:tcPr>
          <w:p w14:paraId="72085BD1" w14:textId="77777777" w:rsidR="00D24AC2" w:rsidRPr="00DE5265" w:rsidRDefault="00D24AC2" w:rsidP="00D24AC2">
            <w:pPr>
              <w:suppressAutoHyphens w:val="0"/>
              <w:spacing w:before="40" w:after="40" w:line="220" w:lineRule="exact"/>
              <w:rPr>
                <w:sz w:val="18"/>
                <w:lang w:val="fr-FR"/>
              </w:rPr>
            </w:pPr>
          </w:p>
        </w:tc>
        <w:tc>
          <w:tcPr>
            <w:tcW w:w="2268" w:type="dxa"/>
            <w:vMerge/>
            <w:shd w:val="clear" w:color="auto" w:fill="auto"/>
            <w:noWrap/>
            <w:tcMar>
              <w:right w:w="17" w:type="dxa"/>
            </w:tcMar>
            <w:vAlign w:val="bottom"/>
            <w:hideMark/>
          </w:tcPr>
          <w:p w14:paraId="45B75969"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25EDEDFC"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33CF920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17</w:t>
            </w:r>
          </w:p>
        </w:tc>
        <w:tc>
          <w:tcPr>
            <w:tcW w:w="567" w:type="dxa"/>
            <w:shd w:val="clear" w:color="auto" w:fill="auto"/>
            <w:noWrap/>
            <w:tcMar>
              <w:right w:w="17" w:type="dxa"/>
            </w:tcMar>
            <w:vAlign w:val="bottom"/>
            <w:hideMark/>
          </w:tcPr>
          <w:p w14:paraId="3D22A45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8</w:t>
            </w:r>
          </w:p>
        </w:tc>
        <w:tc>
          <w:tcPr>
            <w:tcW w:w="567" w:type="dxa"/>
            <w:shd w:val="clear" w:color="auto" w:fill="auto"/>
            <w:noWrap/>
            <w:tcMar>
              <w:right w:w="17" w:type="dxa"/>
            </w:tcMar>
            <w:vAlign w:val="bottom"/>
            <w:hideMark/>
          </w:tcPr>
          <w:p w14:paraId="75083AA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16</w:t>
            </w:r>
          </w:p>
        </w:tc>
        <w:tc>
          <w:tcPr>
            <w:tcW w:w="567" w:type="dxa"/>
            <w:shd w:val="clear" w:color="auto" w:fill="auto"/>
            <w:noWrap/>
            <w:tcMar>
              <w:right w:w="17" w:type="dxa"/>
            </w:tcMar>
            <w:vAlign w:val="bottom"/>
            <w:hideMark/>
          </w:tcPr>
          <w:p w14:paraId="57BE313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15</w:t>
            </w:r>
          </w:p>
        </w:tc>
        <w:tc>
          <w:tcPr>
            <w:tcW w:w="567" w:type="dxa"/>
            <w:shd w:val="clear" w:color="auto" w:fill="auto"/>
            <w:noWrap/>
            <w:tcMar>
              <w:right w:w="17" w:type="dxa"/>
            </w:tcMar>
            <w:vAlign w:val="bottom"/>
            <w:hideMark/>
          </w:tcPr>
          <w:p w14:paraId="367204A3"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10</w:t>
            </w:r>
          </w:p>
        </w:tc>
        <w:tc>
          <w:tcPr>
            <w:tcW w:w="567" w:type="dxa"/>
            <w:shd w:val="clear" w:color="auto" w:fill="auto"/>
            <w:noWrap/>
            <w:tcMar>
              <w:right w:w="17" w:type="dxa"/>
            </w:tcMar>
            <w:vAlign w:val="bottom"/>
            <w:hideMark/>
          </w:tcPr>
          <w:p w14:paraId="4F28A0E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14</w:t>
            </w:r>
          </w:p>
        </w:tc>
        <w:tc>
          <w:tcPr>
            <w:tcW w:w="567" w:type="dxa"/>
            <w:shd w:val="clear" w:color="auto" w:fill="auto"/>
            <w:noWrap/>
            <w:tcMar>
              <w:right w:w="17" w:type="dxa"/>
            </w:tcMar>
            <w:vAlign w:val="bottom"/>
            <w:hideMark/>
          </w:tcPr>
          <w:p w14:paraId="64B1A6E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17</w:t>
            </w:r>
          </w:p>
        </w:tc>
        <w:tc>
          <w:tcPr>
            <w:tcW w:w="567" w:type="dxa"/>
            <w:shd w:val="clear" w:color="auto" w:fill="auto"/>
            <w:noWrap/>
            <w:tcMar>
              <w:right w:w="17" w:type="dxa"/>
            </w:tcMar>
            <w:vAlign w:val="bottom"/>
            <w:hideMark/>
          </w:tcPr>
          <w:p w14:paraId="0E5C650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15</w:t>
            </w:r>
          </w:p>
        </w:tc>
        <w:tc>
          <w:tcPr>
            <w:tcW w:w="567" w:type="dxa"/>
            <w:shd w:val="clear" w:color="auto" w:fill="auto"/>
            <w:noWrap/>
            <w:tcMar>
              <w:right w:w="17" w:type="dxa"/>
            </w:tcMar>
            <w:vAlign w:val="bottom"/>
            <w:hideMark/>
          </w:tcPr>
          <w:p w14:paraId="099C7C1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12</w:t>
            </w:r>
          </w:p>
        </w:tc>
      </w:tr>
      <w:tr w:rsidR="00D24AC2" w:rsidRPr="00DE5265" w14:paraId="49D92703" w14:textId="77777777" w:rsidTr="00903CF0">
        <w:tc>
          <w:tcPr>
            <w:tcW w:w="1134" w:type="dxa"/>
            <w:vMerge w:val="restart"/>
            <w:shd w:val="clear" w:color="auto" w:fill="auto"/>
            <w:noWrap/>
            <w:tcMar>
              <w:right w:w="17" w:type="dxa"/>
            </w:tcMar>
            <w:hideMark/>
          </w:tcPr>
          <w:p w14:paraId="0D8A329F" w14:textId="77777777" w:rsidR="00D24AC2" w:rsidRPr="00DE5265" w:rsidRDefault="00D24AC2" w:rsidP="00D24AC2">
            <w:pPr>
              <w:suppressAutoHyphens w:val="0"/>
              <w:spacing w:before="40" w:after="40" w:line="220" w:lineRule="exact"/>
              <w:rPr>
                <w:sz w:val="18"/>
                <w:lang w:val="fr-FR"/>
              </w:rPr>
            </w:pPr>
            <w:r w:rsidRPr="00DE5265">
              <w:rPr>
                <w:sz w:val="18"/>
                <w:lang w:val="fr-FR"/>
              </w:rPr>
              <w:t>173</w:t>
            </w:r>
          </w:p>
        </w:tc>
        <w:tc>
          <w:tcPr>
            <w:tcW w:w="2268" w:type="dxa"/>
            <w:vMerge w:val="restart"/>
            <w:shd w:val="clear" w:color="auto" w:fill="auto"/>
            <w:noWrap/>
            <w:tcMar>
              <w:right w:w="17" w:type="dxa"/>
            </w:tcMar>
            <w:hideMark/>
          </w:tcPr>
          <w:p w14:paraId="09C4B6B6" w14:textId="77777777" w:rsidR="00D24AC2" w:rsidRPr="00DE5265" w:rsidRDefault="00D24AC2" w:rsidP="00D24AC2">
            <w:pPr>
              <w:suppressAutoHyphens w:val="0"/>
              <w:spacing w:before="40" w:after="40" w:line="220" w:lineRule="exact"/>
              <w:rPr>
                <w:sz w:val="18"/>
                <w:lang w:val="fr-FR"/>
              </w:rPr>
            </w:pPr>
            <w:r w:rsidRPr="00DE5265">
              <w:rPr>
                <w:sz w:val="18"/>
                <w:lang w:val="fr-FR"/>
              </w:rPr>
              <w:t>Agression sexuelle sur personne de moins de 15 ans</w:t>
            </w:r>
          </w:p>
        </w:tc>
        <w:tc>
          <w:tcPr>
            <w:tcW w:w="1134" w:type="dxa"/>
            <w:shd w:val="clear" w:color="auto" w:fill="auto"/>
            <w:noWrap/>
            <w:tcMar>
              <w:right w:w="17" w:type="dxa"/>
            </w:tcMar>
            <w:vAlign w:val="bottom"/>
            <w:hideMark/>
          </w:tcPr>
          <w:p w14:paraId="5AA21964"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17B4F0C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24</w:t>
            </w:r>
          </w:p>
        </w:tc>
        <w:tc>
          <w:tcPr>
            <w:tcW w:w="567" w:type="dxa"/>
            <w:shd w:val="clear" w:color="auto" w:fill="auto"/>
            <w:noWrap/>
            <w:tcMar>
              <w:right w:w="17" w:type="dxa"/>
            </w:tcMar>
            <w:vAlign w:val="bottom"/>
            <w:hideMark/>
          </w:tcPr>
          <w:p w14:paraId="1386389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17</w:t>
            </w:r>
          </w:p>
        </w:tc>
        <w:tc>
          <w:tcPr>
            <w:tcW w:w="567" w:type="dxa"/>
            <w:shd w:val="clear" w:color="auto" w:fill="auto"/>
            <w:noWrap/>
            <w:tcMar>
              <w:right w:w="17" w:type="dxa"/>
            </w:tcMar>
            <w:vAlign w:val="bottom"/>
            <w:hideMark/>
          </w:tcPr>
          <w:p w14:paraId="1F35F670"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17</w:t>
            </w:r>
          </w:p>
        </w:tc>
        <w:tc>
          <w:tcPr>
            <w:tcW w:w="567" w:type="dxa"/>
            <w:shd w:val="clear" w:color="auto" w:fill="auto"/>
            <w:noWrap/>
            <w:tcMar>
              <w:right w:w="17" w:type="dxa"/>
            </w:tcMar>
            <w:vAlign w:val="bottom"/>
            <w:hideMark/>
          </w:tcPr>
          <w:p w14:paraId="743BEAA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28</w:t>
            </w:r>
          </w:p>
        </w:tc>
        <w:tc>
          <w:tcPr>
            <w:tcW w:w="567" w:type="dxa"/>
            <w:shd w:val="clear" w:color="auto" w:fill="auto"/>
            <w:noWrap/>
            <w:tcMar>
              <w:right w:w="17" w:type="dxa"/>
            </w:tcMar>
            <w:vAlign w:val="bottom"/>
            <w:hideMark/>
          </w:tcPr>
          <w:p w14:paraId="39A5B27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24</w:t>
            </w:r>
          </w:p>
        </w:tc>
        <w:tc>
          <w:tcPr>
            <w:tcW w:w="567" w:type="dxa"/>
            <w:shd w:val="clear" w:color="auto" w:fill="auto"/>
            <w:noWrap/>
            <w:tcMar>
              <w:right w:w="17" w:type="dxa"/>
            </w:tcMar>
            <w:vAlign w:val="bottom"/>
            <w:hideMark/>
          </w:tcPr>
          <w:p w14:paraId="24BCD9F3"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23</w:t>
            </w:r>
          </w:p>
        </w:tc>
        <w:tc>
          <w:tcPr>
            <w:tcW w:w="567" w:type="dxa"/>
            <w:shd w:val="clear" w:color="auto" w:fill="auto"/>
            <w:noWrap/>
            <w:tcMar>
              <w:right w:w="17" w:type="dxa"/>
            </w:tcMar>
            <w:vAlign w:val="bottom"/>
            <w:hideMark/>
          </w:tcPr>
          <w:p w14:paraId="7C01FAC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25</w:t>
            </w:r>
          </w:p>
        </w:tc>
        <w:tc>
          <w:tcPr>
            <w:tcW w:w="567" w:type="dxa"/>
            <w:shd w:val="clear" w:color="auto" w:fill="auto"/>
            <w:noWrap/>
            <w:tcMar>
              <w:right w:w="17" w:type="dxa"/>
            </w:tcMar>
            <w:vAlign w:val="bottom"/>
            <w:hideMark/>
          </w:tcPr>
          <w:p w14:paraId="72FE39F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21</w:t>
            </w:r>
          </w:p>
        </w:tc>
        <w:tc>
          <w:tcPr>
            <w:tcW w:w="567" w:type="dxa"/>
            <w:shd w:val="clear" w:color="auto" w:fill="auto"/>
            <w:noWrap/>
            <w:tcMar>
              <w:right w:w="17" w:type="dxa"/>
            </w:tcMar>
            <w:vAlign w:val="bottom"/>
            <w:hideMark/>
          </w:tcPr>
          <w:p w14:paraId="1E01E5C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8</w:t>
            </w:r>
          </w:p>
        </w:tc>
      </w:tr>
      <w:tr w:rsidR="00D24AC2" w:rsidRPr="00DE5265" w14:paraId="6CD45B99" w14:textId="77777777" w:rsidTr="00903CF0">
        <w:tc>
          <w:tcPr>
            <w:tcW w:w="1134" w:type="dxa"/>
            <w:vMerge/>
            <w:shd w:val="clear" w:color="auto" w:fill="auto"/>
            <w:noWrap/>
            <w:tcMar>
              <w:right w:w="17" w:type="dxa"/>
            </w:tcMar>
            <w:hideMark/>
          </w:tcPr>
          <w:p w14:paraId="2ABA7382" w14:textId="77777777" w:rsidR="00D24AC2" w:rsidRPr="00DE5265" w:rsidRDefault="00D24AC2" w:rsidP="00D24AC2">
            <w:pPr>
              <w:suppressAutoHyphens w:val="0"/>
              <w:spacing w:before="40" w:after="40" w:line="220" w:lineRule="exact"/>
              <w:rPr>
                <w:sz w:val="18"/>
                <w:lang w:val="fr-FR"/>
              </w:rPr>
            </w:pPr>
          </w:p>
        </w:tc>
        <w:tc>
          <w:tcPr>
            <w:tcW w:w="2268" w:type="dxa"/>
            <w:vMerge/>
            <w:shd w:val="clear" w:color="auto" w:fill="auto"/>
            <w:noWrap/>
            <w:tcMar>
              <w:right w:w="17" w:type="dxa"/>
            </w:tcMar>
            <w:hideMark/>
          </w:tcPr>
          <w:p w14:paraId="4DEE1EC3"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431F0531"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1817074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223</w:t>
            </w:r>
          </w:p>
        </w:tc>
        <w:tc>
          <w:tcPr>
            <w:tcW w:w="567" w:type="dxa"/>
            <w:shd w:val="clear" w:color="auto" w:fill="auto"/>
            <w:noWrap/>
            <w:tcMar>
              <w:right w:w="17" w:type="dxa"/>
            </w:tcMar>
            <w:vAlign w:val="bottom"/>
            <w:hideMark/>
          </w:tcPr>
          <w:p w14:paraId="467F573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202</w:t>
            </w:r>
          </w:p>
        </w:tc>
        <w:tc>
          <w:tcPr>
            <w:tcW w:w="567" w:type="dxa"/>
            <w:shd w:val="clear" w:color="auto" w:fill="auto"/>
            <w:noWrap/>
            <w:tcMar>
              <w:right w:w="17" w:type="dxa"/>
            </w:tcMar>
            <w:vAlign w:val="bottom"/>
            <w:hideMark/>
          </w:tcPr>
          <w:p w14:paraId="1E4258D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149</w:t>
            </w:r>
          </w:p>
        </w:tc>
        <w:tc>
          <w:tcPr>
            <w:tcW w:w="567" w:type="dxa"/>
            <w:shd w:val="clear" w:color="auto" w:fill="auto"/>
            <w:noWrap/>
            <w:tcMar>
              <w:right w:w="17" w:type="dxa"/>
            </w:tcMar>
            <w:vAlign w:val="bottom"/>
            <w:hideMark/>
          </w:tcPr>
          <w:p w14:paraId="7257D55F"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145</w:t>
            </w:r>
          </w:p>
        </w:tc>
        <w:tc>
          <w:tcPr>
            <w:tcW w:w="567" w:type="dxa"/>
            <w:shd w:val="clear" w:color="auto" w:fill="auto"/>
            <w:noWrap/>
            <w:tcMar>
              <w:right w:w="17" w:type="dxa"/>
            </w:tcMar>
            <w:vAlign w:val="bottom"/>
            <w:hideMark/>
          </w:tcPr>
          <w:p w14:paraId="2EA19B7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94</w:t>
            </w:r>
          </w:p>
        </w:tc>
        <w:tc>
          <w:tcPr>
            <w:tcW w:w="567" w:type="dxa"/>
            <w:shd w:val="clear" w:color="auto" w:fill="auto"/>
            <w:noWrap/>
            <w:tcMar>
              <w:right w:w="17" w:type="dxa"/>
            </w:tcMar>
            <w:vAlign w:val="bottom"/>
            <w:hideMark/>
          </w:tcPr>
          <w:p w14:paraId="08D60B1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61</w:t>
            </w:r>
          </w:p>
        </w:tc>
        <w:tc>
          <w:tcPr>
            <w:tcW w:w="567" w:type="dxa"/>
            <w:shd w:val="clear" w:color="auto" w:fill="auto"/>
            <w:noWrap/>
            <w:tcMar>
              <w:right w:w="17" w:type="dxa"/>
            </w:tcMar>
            <w:vAlign w:val="bottom"/>
            <w:hideMark/>
          </w:tcPr>
          <w:p w14:paraId="1674F3B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106</w:t>
            </w:r>
          </w:p>
        </w:tc>
        <w:tc>
          <w:tcPr>
            <w:tcW w:w="567" w:type="dxa"/>
            <w:shd w:val="clear" w:color="auto" w:fill="auto"/>
            <w:noWrap/>
            <w:tcMar>
              <w:right w:w="17" w:type="dxa"/>
            </w:tcMar>
            <w:vAlign w:val="bottom"/>
            <w:hideMark/>
          </w:tcPr>
          <w:p w14:paraId="1FB64BF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93</w:t>
            </w:r>
          </w:p>
        </w:tc>
        <w:tc>
          <w:tcPr>
            <w:tcW w:w="567" w:type="dxa"/>
            <w:shd w:val="clear" w:color="auto" w:fill="auto"/>
            <w:noWrap/>
            <w:tcMar>
              <w:right w:w="17" w:type="dxa"/>
            </w:tcMar>
            <w:vAlign w:val="bottom"/>
            <w:hideMark/>
          </w:tcPr>
          <w:p w14:paraId="2F8DC53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87</w:t>
            </w:r>
          </w:p>
        </w:tc>
      </w:tr>
      <w:tr w:rsidR="00D24AC2" w:rsidRPr="00DE5265" w14:paraId="092A435A" w14:textId="77777777" w:rsidTr="00903CF0">
        <w:tc>
          <w:tcPr>
            <w:tcW w:w="1134" w:type="dxa"/>
            <w:vMerge w:val="restart"/>
            <w:shd w:val="clear" w:color="auto" w:fill="auto"/>
            <w:noWrap/>
            <w:tcMar>
              <w:right w:w="17" w:type="dxa"/>
            </w:tcMar>
            <w:hideMark/>
          </w:tcPr>
          <w:p w14:paraId="29CADD64" w14:textId="77777777" w:rsidR="00D24AC2" w:rsidRPr="00DE5265" w:rsidRDefault="00D24AC2" w:rsidP="00D24AC2">
            <w:pPr>
              <w:suppressAutoHyphens w:val="0"/>
              <w:spacing w:before="40" w:after="40" w:line="220" w:lineRule="exact"/>
              <w:rPr>
                <w:sz w:val="18"/>
                <w:lang w:val="fr-FR"/>
              </w:rPr>
            </w:pPr>
            <w:r w:rsidRPr="00DE5265">
              <w:rPr>
                <w:sz w:val="18"/>
                <w:lang w:val="fr-FR"/>
              </w:rPr>
              <w:t>173A</w:t>
            </w:r>
          </w:p>
        </w:tc>
        <w:tc>
          <w:tcPr>
            <w:tcW w:w="2268" w:type="dxa"/>
            <w:vMerge w:val="restart"/>
            <w:shd w:val="clear" w:color="auto" w:fill="auto"/>
            <w:noWrap/>
            <w:tcMar>
              <w:right w:w="17" w:type="dxa"/>
            </w:tcMar>
            <w:hideMark/>
          </w:tcPr>
          <w:p w14:paraId="669C12E0" w14:textId="77777777" w:rsidR="00D24AC2" w:rsidRPr="00DE5265" w:rsidRDefault="00D24AC2" w:rsidP="00D24AC2">
            <w:pPr>
              <w:suppressAutoHyphens w:val="0"/>
              <w:spacing w:before="40" w:after="40" w:line="220" w:lineRule="exact"/>
              <w:rPr>
                <w:sz w:val="18"/>
                <w:lang w:val="fr-FR"/>
              </w:rPr>
            </w:pPr>
            <w:r w:rsidRPr="00DE5265">
              <w:rPr>
                <w:sz w:val="18"/>
                <w:lang w:val="fr-FR"/>
              </w:rPr>
              <w:t xml:space="preserve">Sollicitation de personnes </w:t>
            </w:r>
            <w:r w:rsidR="00B803DA">
              <w:rPr>
                <w:sz w:val="18"/>
                <w:lang w:val="fr-FR"/>
              </w:rPr>
              <w:br/>
            </w:r>
            <w:r w:rsidRPr="00DE5265">
              <w:rPr>
                <w:sz w:val="18"/>
                <w:lang w:val="fr-FR"/>
              </w:rPr>
              <w:t xml:space="preserve">de moins de 15 ans </w:t>
            </w:r>
            <w:r w:rsidR="00B803DA">
              <w:rPr>
                <w:sz w:val="18"/>
                <w:lang w:val="fr-FR"/>
              </w:rPr>
              <w:br/>
            </w:r>
            <w:r w:rsidRPr="00DE5265">
              <w:rPr>
                <w:sz w:val="18"/>
                <w:lang w:val="fr-FR"/>
              </w:rPr>
              <w:t>à des fins sexuelles</w:t>
            </w:r>
          </w:p>
        </w:tc>
        <w:tc>
          <w:tcPr>
            <w:tcW w:w="1134" w:type="dxa"/>
            <w:shd w:val="clear" w:color="auto" w:fill="auto"/>
            <w:noWrap/>
            <w:tcMar>
              <w:right w:w="17" w:type="dxa"/>
            </w:tcMar>
            <w:vAlign w:val="bottom"/>
            <w:hideMark/>
          </w:tcPr>
          <w:p w14:paraId="0C8D1B81"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1C64EE9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67210E2F"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7A2A154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3B7F872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2670EA4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54D7F94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7C83436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52BDB71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53268E3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r>
      <w:tr w:rsidR="00D24AC2" w:rsidRPr="00DE5265" w14:paraId="6767D314" w14:textId="77777777" w:rsidTr="00903CF0">
        <w:tc>
          <w:tcPr>
            <w:tcW w:w="1134" w:type="dxa"/>
            <w:vMerge/>
            <w:shd w:val="clear" w:color="auto" w:fill="auto"/>
            <w:noWrap/>
            <w:tcMar>
              <w:right w:w="17" w:type="dxa"/>
            </w:tcMar>
            <w:hideMark/>
          </w:tcPr>
          <w:p w14:paraId="35667ABC" w14:textId="77777777" w:rsidR="00D24AC2" w:rsidRPr="00DE5265" w:rsidRDefault="00D24AC2" w:rsidP="00D24AC2">
            <w:pPr>
              <w:suppressAutoHyphens w:val="0"/>
              <w:spacing w:before="40" w:after="40" w:line="220" w:lineRule="exact"/>
              <w:rPr>
                <w:sz w:val="18"/>
                <w:lang w:val="fr-FR"/>
              </w:rPr>
            </w:pPr>
          </w:p>
        </w:tc>
        <w:tc>
          <w:tcPr>
            <w:tcW w:w="2268" w:type="dxa"/>
            <w:vMerge/>
            <w:shd w:val="clear" w:color="auto" w:fill="auto"/>
            <w:noWrap/>
            <w:tcMar>
              <w:right w:w="17" w:type="dxa"/>
            </w:tcMar>
            <w:hideMark/>
          </w:tcPr>
          <w:p w14:paraId="377F4A20"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294B8093"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50903DC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489FB65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3224064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2B1161E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54E5B6C7"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0BA1E4A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5CCDDE3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8</w:t>
            </w:r>
          </w:p>
        </w:tc>
        <w:tc>
          <w:tcPr>
            <w:tcW w:w="567" w:type="dxa"/>
            <w:shd w:val="clear" w:color="auto" w:fill="auto"/>
            <w:noWrap/>
            <w:tcMar>
              <w:right w:w="17" w:type="dxa"/>
            </w:tcMar>
            <w:vAlign w:val="bottom"/>
            <w:hideMark/>
          </w:tcPr>
          <w:p w14:paraId="60D3C8D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37CDA60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r>
      <w:tr w:rsidR="00D24AC2" w:rsidRPr="00DE5265" w14:paraId="7422BE37" w14:textId="77777777" w:rsidTr="00903CF0">
        <w:tc>
          <w:tcPr>
            <w:tcW w:w="1134" w:type="dxa"/>
            <w:vMerge w:val="restart"/>
            <w:shd w:val="clear" w:color="auto" w:fill="auto"/>
            <w:noWrap/>
            <w:tcMar>
              <w:right w:w="17" w:type="dxa"/>
            </w:tcMar>
            <w:hideMark/>
          </w:tcPr>
          <w:p w14:paraId="1519935D" w14:textId="77777777" w:rsidR="00D24AC2" w:rsidRPr="00DE5265" w:rsidRDefault="00D24AC2" w:rsidP="00D24AC2">
            <w:pPr>
              <w:suppressAutoHyphens w:val="0"/>
              <w:spacing w:before="40" w:after="40" w:line="220" w:lineRule="exact"/>
              <w:rPr>
                <w:sz w:val="18"/>
                <w:lang w:val="fr-FR"/>
              </w:rPr>
            </w:pPr>
            <w:r w:rsidRPr="00DE5265">
              <w:rPr>
                <w:sz w:val="18"/>
                <w:lang w:val="fr-FR"/>
              </w:rPr>
              <w:t>174</w:t>
            </w:r>
          </w:p>
        </w:tc>
        <w:tc>
          <w:tcPr>
            <w:tcW w:w="2268" w:type="dxa"/>
            <w:vMerge w:val="restart"/>
            <w:shd w:val="clear" w:color="auto" w:fill="auto"/>
            <w:noWrap/>
            <w:tcMar>
              <w:right w:w="17" w:type="dxa"/>
            </w:tcMar>
            <w:hideMark/>
          </w:tcPr>
          <w:p w14:paraId="11371C3F" w14:textId="77777777" w:rsidR="00D24AC2" w:rsidRPr="00DE5265" w:rsidRDefault="00D24AC2" w:rsidP="00D24AC2">
            <w:pPr>
              <w:suppressAutoHyphens w:val="0"/>
              <w:spacing w:before="40" w:after="40" w:line="220" w:lineRule="exact"/>
              <w:rPr>
                <w:sz w:val="18"/>
                <w:lang w:val="fr-FR"/>
              </w:rPr>
            </w:pPr>
            <w:r w:rsidRPr="00DE5265">
              <w:rPr>
                <w:sz w:val="18"/>
                <w:lang w:val="fr-FR"/>
              </w:rPr>
              <w:t xml:space="preserve">Violation de l’intégrité sexuelle par abus de position </w:t>
            </w:r>
          </w:p>
        </w:tc>
        <w:tc>
          <w:tcPr>
            <w:tcW w:w="1134" w:type="dxa"/>
            <w:shd w:val="clear" w:color="auto" w:fill="auto"/>
            <w:noWrap/>
            <w:tcMar>
              <w:right w:w="17" w:type="dxa"/>
            </w:tcMar>
            <w:vAlign w:val="bottom"/>
            <w:hideMark/>
          </w:tcPr>
          <w:p w14:paraId="0A435EFA"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559F583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5D08F79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3C0E8CF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1542629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2ECC9DD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7AD0CF7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w:t>
            </w:r>
          </w:p>
        </w:tc>
        <w:tc>
          <w:tcPr>
            <w:tcW w:w="567" w:type="dxa"/>
            <w:shd w:val="clear" w:color="auto" w:fill="auto"/>
            <w:noWrap/>
            <w:tcMar>
              <w:right w:w="17" w:type="dxa"/>
            </w:tcMar>
            <w:vAlign w:val="bottom"/>
            <w:hideMark/>
          </w:tcPr>
          <w:p w14:paraId="37B3300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w:t>
            </w:r>
          </w:p>
        </w:tc>
        <w:tc>
          <w:tcPr>
            <w:tcW w:w="567" w:type="dxa"/>
            <w:shd w:val="clear" w:color="auto" w:fill="auto"/>
            <w:noWrap/>
            <w:tcMar>
              <w:right w:w="17" w:type="dxa"/>
            </w:tcMar>
            <w:vAlign w:val="bottom"/>
            <w:hideMark/>
          </w:tcPr>
          <w:p w14:paraId="7046D190"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c>
          <w:tcPr>
            <w:tcW w:w="567" w:type="dxa"/>
            <w:shd w:val="clear" w:color="auto" w:fill="auto"/>
            <w:noWrap/>
            <w:tcMar>
              <w:right w:w="17" w:type="dxa"/>
            </w:tcMar>
            <w:vAlign w:val="bottom"/>
            <w:hideMark/>
          </w:tcPr>
          <w:p w14:paraId="67E26AA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0</w:t>
            </w:r>
          </w:p>
        </w:tc>
      </w:tr>
      <w:tr w:rsidR="00D24AC2" w:rsidRPr="00DE5265" w14:paraId="728D23C4" w14:textId="77777777" w:rsidTr="00903CF0">
        <w:tc>
          <w:tcPr>
            <w:tcW w:w="1134" w:type="dxa"/>
            <w:vMerge/>
            <w:shd w:val="clear" w:color="auto" w:fill="auto"/>
            <w:noWrap/>
            <w:tcMar>
              <w:right w:w="17" w:type="dxa"/>
            </w:tcMar>
            <w:hideMark/>
          </w:tcPr>
          <w:p w14:paraId="73E8489A" w14:textId="77777777" w:rsidR="00D24AC2" w:rsidRPr="00DE5265" w:rsidRDefault="00D24AC2" w:rsidP="00D24AC2">
            <w:pPr>
              <w:suppressAutoHyphens w:val="0"/>
              <w:spacing w:before="40" w:after="40" w:line="220" w:lineRule="exact"/>
              <w:rPr>
                <w:sz w:val="18"/>
                <w:lang w:val="fr-FR"/>
              </w:rPr>
            </w:pPr>
          </w:p>
        </w:tc>
        <w:tc>
          <w:tcPr>
            <w:tcW w:w="2268" w:type="dxa"/>
            <w:vMerge/>
            <w:shd w:val="clear" w:color="auto" w:fill="auto"/>
            <w:noWrap/>
            <w:tcMar>
              <w:right w:w="17" w:type="dxa"/>
            </w:tcMar>
            <w:hideMark/>
          </w:tcPr>
          <w:p w14:paraId="31362944" w14:textId="77777777" w:rsidR="00D24AC2" w:rsidRPr="00DE5265" w:rsidRDefault="00D24AC2" w:rsidP="00D24AC2">
            <w:pPr>
              <w:suppressAutoHyphens w:val="0"/>
              <w:spacing w:before="40" w:after="40" w:line="220" w:lineRule="exact"/>
              <w:rPr>
                <w:sz w:val="18"/>
                <w:lang w:val="fr-FR"/>
              </w:rPr>
            </w:pPr>
          </w:p>
        </w:tc>
        <w:tc>
          <w:tcPr>
            <w:tcW w:w="1134" w:type="dxa"/>
            <w:shd w:val="clear" w:color="auto" w:fill="auto"/>
            <w:noWrap/>
            <w:tcMar>
              <w:right w:w="17" w:type="dxa"/>
            </w:tcMar>
            <w:vAlign w:val="bottom"/>
            <w:hideMark/>
          </w:tcPr>
          <w:p w14:paraId="05D9F025"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shd w:val="clear" w:color="auto" w:fill="auto"/>
            <w:noWrap/>
            <w:tcMar>
              <w:right w:w="17" w:type="dxa"/>
            </w:tcMar>
            <w:vAlign w:val="bottom"/>
            <w:hideMark/>
          </w:tcPr>
          <w:p w14:paraId="14DE7823"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19</w:t>
            </w:r>
          </w:p>
        </w:tc>
        <w:tc>
          <w:tcPr>
            <w:tcW w:w="567" w:type="dxa"/>
            <w:shd w:val="clear" w:color="auto" w:fill="auto"/>
            <w:noWrap/>
            <w:tcMar>
              <w:right w:w="17" w:type="dxa"/>
            </w:tcMar>
            <w:vAlign w:val="bottom"/>
            <w:hideMark/>
          </w:tcPr>
          <w:p w14:paraId="35B38F23"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18</w:t>
            </w:r>
          </w:p>
        </w:tc>
        <w:tc>
          <w:tcPr>
            <w:tcW w:w="567" w:type="dxa"/>
            <w:shd w:val="clear" w:color="auto" w:fill="auto"/>
            <w:noWrap/>
            <w:tcMar>
              <w:right w:w="17" w:type="dxa"/>
            </w:tcMar>
            <w:vAlign w:val="bottom"/>
            <w:hideMark/>
          </w:tcPr>
          <w:p w14:paraId="448702F0"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16</w:t>
            </w:r>
          </w:p>
        </w:tc>
        <w:tc>
          <w:tcPr>
            <w:tcW w:w="567" w:type="dxa"/>
            <w:shd w:val="clear" w:color="auto" w:fill="auto"/>
            <w:noWrap/>
            <w:tcMar>
              <w:right w:w="17" w:type="dxa"/>
            </w:tcMar>
            <w:vAlign w:val="bottom"/>
            <w:hideMark/>
          </w:tcPr>
          <w:p w14:paraId="0A88872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28</w:t>
            </w:r>
          </w:p>
        </w:tc>
        <w:tc>
          <w:tcPr>
            <w:tcW w:w="567" w:type="dxa"/>
            <w:shd w:val="clear" w:color="auto" w:fill="auto"/>
            <w:noWrap/>
            <w:tcMar>
              <w:right w:w="17" w:type="dxa"/>
            </w:tcMar>
            <w:vAlign w:val="bottom"/>
            <w:hideMark/>
          </w:tcPr>
          <w:p w14:paraId="32B4E3F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w:t>
            </w:r>
          </w:p>
        </w:tc>
        <w:tc>
          <w:tcPr>
            <w:tcW w:w="567" w:type="dxa"/>
            <w:shd w:val="clear" w:color="auto" w:fill="auto"/>
            <w:noWrap/>
            <w:tcMar>
              <w:right w:w="17" w:type="dxa"/>
            </w:tcMar>
            <w:vAlign w:val="bottom"/>
            <w:hideMark/>
          </w:tcPr>
          <w:p w14:paraId="60995E0E"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12</w:t>
            </w:r>
          </w:p>
        </w:tc>
        <w:tc>
          <w:tcPr>
            <w:tcW w:w="567" w:type="dxa"/>
            <w:shd w:val="clear" w:color="auto" w:fill="auto"/>
            <w:noWrap/>
            <w:tcMar>
              <w:right w:w="17" w:type="dxa"/>
            </w:tcMar>
            <w:vAlign w:val="bottom"/>
            <w:hideMark/>
          </w:tcPr>
          <w:p w14:paraId="76BA203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w:t>
            </w:r>
          </w:p>
        </w:tc>
        <w:tc>
          <w:tcPr>
            <w:tcW w:w="567" w:type="dxa"/>
            <w:shd w:val="clear" w:color="auto" w:fill="auto"/>
            <w:noWrap/>
            <w:tcMar>
              <w:right w:w="17" w:type="dxa"/>
            </w:tcMar>
            <w:vAlign w:val="bottom"/>
            <w:hideMark/>
          </w:tcPr>
          <w:p w14:paraId="5D71E13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w:t>
            </w:r>
          </w:p>
        </w:tc>
        <w:tc>
          <w:tcPr>
            <w:tcW w:w="567" w:type="dxa"/>
            <w:shd w:val="clear" w:color="auto" w:fill="auto"/>
            <w:noWrap/>
            <w:tcMar>
              <w:right w:w="17" w:type="dxa"/>
            </w:tcMar>
            <w:vAlign w:val="bottom"/>
            <w:hideMark/>
          </w:tcPr>
          <w:p w14:paraId="74DA376C"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7</w:t>
            </w:r>
          </w:p>
        </w:tc>
      </w:tr>
      <w:tr w:rsidR="00D24AC2" w:rsidRPr="00DE5265" w14:paraId="6689DCB2" w14:textId="77777777" w:rsidTr="00903CF0">
        <w:tc>
          <w:tcPr>
            <w:tcW w:w="1134" w:type="dxa"/>
            <w:vMerge w:val="restart"/>
            <w:shd w:val="clear" w:color="auto" w:fill="auto"/>
            <w:noWrap/>
            <w:tcMar>
              <w:right w:w="17" w:type="dxa"/>
            </w:tcMar>
            <w:hideMark/>
          </w:tcPr>
          <w:p w14:paraId="2BA20805" w14:textId="77777777" w:rsidR="00D24AC2" w:rsidRPr="00DE5265" w:rsidRDefault="00D24AC2" w:rsidP="00D24AC2">
            <w:pPr>
              <w:suppressAutoHyphens w:val="0"/>
              <w:spacing w:before="40" w:after="40" w:line="220" w:lineRule="exact"/>
              <w:rPr>
                <w:sz w:val="18"/>
                <w:lang w:val="fr-FR"/>
              </w:rPr>
            </w:pPr>
            <w:r w:rsidRPr="00DE5265">
              <w:rPr>
                <w:sz w:val="18"/>
                <w:lang w:val="fr-FR"/>
              </w:rPr>
              <w:t>176</w:t>
            </w:r>
          </w:p>
        </w:tc>
        <w:tc>
          <w:tcPr>
            <w:tcW w:w="2268" w:type="dxa"/>
            <w:vMerge w:val="restart"/>
            <w:shd w:val="clear" w:color="auto" w:fill="auto"/>
            <w:noWrap/>
            <w:tcMar>
              <w:right w:w="17" w:type="dxa"/>
            </w:tcMar>
            <w:hideMark/>
          </w:tcPr>
          <w:p w14:paraId="021A7E5D" w14:textId="77777777" w:rsidR="00D24AC2" w:rsidRPr="00DE5265" w:rsidRDefault="00D24AC2" w:rsidP="00D24AC2">
            <w:pPr>
              <w:suppressAutoHyphens w:val="0"/>
              <w:spacing w:before="40" w:after="40" w:line="220" w:lineRule="exact"/>
              <w:rPr>
                <w:sz w:val="18"/>
                <w:lang w:val="fr-FR"/>
              </w:rPr>
            </w:pPr>
            <w:r w:rsidRPr="00DE5265">
              <w:rPr>
                <w:sz w:val="18"/>
                <w:lang w:val="fr-FR"/>
              </w:rPr>
              <w:t>Présentation, fabrication, possession ou distribution de matériel pornographique</w:t>
            </w:r>
          </w:p>
        </w:tc>
        <w:tc>
          <w:tcPr>
            <w:tcW w:w="1134" w:type="dxa"/>
            <w:shd w:val="clear" w:color="auto" w:fill="auto"/>
            <w:noWrap/>
            <w:tcMar>
              <w:right w:w="17" w:type="dxa"/>
            </w:tcMar>
            <w:vAlign w:val="bottom"/>
            <w:hideMark/>
          </w:tcPr>
          <w:p w14:paraId="4D6E6165" w14:textId="77777777" w:rsidR="00D24AC2" w:rsidRPr="00DE5265" w:rsidRDefault="00D24AC2" w:rsidP="00D24AC2">
            <w:pPr>
              <w:suppressAutoHyphens w:val="0"/>
              <w:spacing w:before="40" w:after="40" w:line="220" w:lineRule="exact"/>
              <w:rPr>
                <w:sz w:val="18"/>
                <w:lang w:val="fr-FR"/>
              </w:rPr>
            </w:pPr>
            <w:r w:rsidRPr="00DE5265">
              <w:rPr>
                <w:sz w:val="18"/>
                <w:lang w:val="fr-FR"/>
              </w:rPr>
              <w:t>Masculin</w:t>
            </w:r>
          </w:p>
        </w:tc>
        <w:tc>
          <w:tcPr>
            <w:tcW w:w="567" w:type="dxa"/>
            <w:shd w:val="clear" w:color="auto" w:fill="auto"/>
            <w:noWrap/>
            <w:tcMar>
              <w:right w:w="17" w:type="dxa"/>
            </w:tcMar>
            <w:vAlign w:val="bottom"/>
            <w:hideMark/>
          </w:tcPr>
          <w:p w14:paraId="1E9B2E9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w:t>
            </w:r>
          </w:p>
        </w:tc>
        <w:tc>
          <w:tcPr>
            <w:tcW w:w="567" w:type="dxa"/>
            <w:shd w:val="clear" w:color="auto" w:fill="auto"/>
            <w:noWrap/>
            <w:tcMar>
              <w:right w:w="17" w:type="dxa"/>
            </w:tcMar>
            <w:vAlign w:val="bottom"/>
            <w:hideMark/>
          </w:tcPr>
          <w:p w14:paraId="425751F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12</w:t>
            </w:r>
          </w:p>
        </w:tc>
        <w:tc>
          <w:tcPr>
            <w:tcW w:w="567" w:type="dxa"/>
            <w:shd w:val="clear" w:color="auto" w:fill="auto"/>
            <w:noWrap/>
            <w:tcMar>
              <w:right w:w="17" w:type="dxa"/>
            </w:tcMar>
            <w:vAlign w:val="bottom"/>
            <w:hideMark/>
          </w:tcPr>
          <w:p w14:paraId="2AF034EB"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8</w:t>
            </w:r>
          </w:p>
        </w:tc>
        <w:tc>
          <w:tcPr>
            <w:tcW w:w="567" w:type="dxa"/>
            <w:shd w:val="clear" w:color="auto" w:fill="auto"/>
            <w:noWrap/>
            <w:tcMar>
              <w:right w:w="17" w:type="dxa"/>
            </w:tcMar>
            <w:vAlign w:val="bottom"/>
            <w:hideMark/>
          </w:tcPr>
          <w:p w14:paraId="5C2ADA1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10</w:t>
            </w:r>
          </w:p>
        </w:tc>
        <w:tc>
          <w:tcPr>
            <w:tcW w:w="567" w:type="dxa"/>
            <w:shd w:val="clear" w:color="auto" w:fill="auto"/>
            <w:noWrap/>
            <w:tcMar>
              <w:right w:w="17" w:type="dxa"/>
            </w:tcMar>
            <w:vAlign w:val="bottom"/>
            <w:hideMark/>
          </w:tcPr>
          <w:p w14:paraId="72FD591A"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31</w:t>
            </w:r>
          </w:p>
        </w:tc>
        <w:tc>
          <w:tcPr>
            <w:tcW w:w="567" w:type="dxa"/>
            <w:shd w:val="clear" w:color="auto" w:fill="auto"/>
            <w:noWrap/>
            <w:tcMar>
              <w:right w:w="17" w:type="dxa"/>
            </w:tcMar>
            <w:vAlign w:val="bottom"/>
            <w:hideMark/>
          </w:tcPr>
          <w:p w14:paraId="7C5035D9"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29</w:t>
            </w:r>
          </w:p>
        </w:tc>
        <w:tc>
          <w:tcPr>
            <w:tcW w:w="567" w:type="dxa"/>
            <w:shd w:val="clear" w:color="auto" w:fill="auto"/>
            <w:noWrap/>
            <w:tcMar>
              <w:right w:w="17" w:type="dxa"/>
            </w:tcMar>
            <w:vAlign w:val="bottom"/>
            <w:hideMark/>
          </w:tcPr>
          <w:p w14:paraId="2C2ECC5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27</w:t>
            </w:r>
          </w:p>
        </w:tc>
        <w:tc>
          <w:tcPr>
            <w:tcW w:w="567" w:type="dxa"/>
            <w:shd w:val="clear" w:color="auto" w:fill="auto"/>
            <w:noWrap/>
            <w:tcMar>
              <w:right w:w="17" w:type="dxa"/>
            </w:tcMar>
            <w:vAlign w:val="bottom"/>
            <w:hideMark/>
          </w:tcPr>
          <w:p w14:paraId="1A618E2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53</w:t>
            </w:r>
          </w:p>
        </w:tc>
        <w:tc>
          <w:tcPr>
            <w:tcW w:w="567" w:type="dxa"/>
            <w:shd w:val="clear" w:color="auto" w:fill="auto"/>
            <w:noWrap/>
            <w:tcMar>
              <w:right w:w="17" w:type="dxa"/>
            </w:tcMar>
            <w:vAlign w:val="bottom"/>
            <w:hideMark/>
          </w:tcPr>
          <w:p w14:paraId="2B974DA1"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17</w:t>
            </w:r>
          </w:p>
        </w:tc>
      </w:tr>
      <w:tr w:rsidR="00D24AC2" w:rsidRPr="00DE5265" w14:paraId="1E3F0837" w14:textId="77777777" w:rsidTr="00CC5511">
        <w:tc>
          <w:tcPr>
            <w:tcW w:w="1134" w:type="dxa"/>
            <w:vMerge/>
            <w:tcBorders>
              <w:bottom w:val="single" w:sz="12" w:space="0" w:color="000000" w:themeColor="text1"/>
            </w:tcBorders>
            <w:shd w:val="clear" w:color="auto" w:fill="auto"/>
            <w:noWrap/>
            <w:tcMar>
              <w:right w:w="17" w:type="dxa"/>
            </w:tcMar>
            <w:hideMark/>
          </w:tcPr>
          <w:p w14:paraId="51E4963E" w14:textId="77777777" w:rsidR="00D24AC2" w:rsidRPr="00DE5265" w:rsidRDefault="00D24AC2" w:rsidP="00D24AC2">
            <w:pPr>
              <w:suppressAutoHyphens w:val="0"/>
              <w:spacing w:before="40" w:after="40" w:line="220" w:lineRule="exact"/>
              <w:rPr>
                <w:sz w:val="18"/>
                <w:lang w:val="fr-FR"/>
              </w:rPr>
            </w:pPr>
          </w:p>
        </w:tc>
        <w:tc>
          <w:tcPr>
            <w:tcW w:w="2268" w:type="dxa"/>
            <w:vMerge/>
            <w:tcBorders>
              <w:bottom w:val="single" w:sz="12" w:space="0" w:color="000000" w:themeColor="text1"/>
            </w:tcBorders>
            <w:shd w:val="clear" w:color="auto" w:fill="auto"/>
            <w:noWrap/>
            <w:tcMar>
              <w:right w:w="17" w:type="dxa"/>
            </w:tcMar>
            <w:vAlign w:val="bottom"/>
            <w:hideMark/>
          </w:tcPr>
          <w:p w14:paraId="4964B2D9" w14:textId="77777777" w:rsidR="00D24AC2" w:rsidRPr="00DE5265" w:rsidRDefault="00D24AC2" w:rsidP="00D24AC2">
            <w:pPr>
              <w:suppressAutoHyphens w:val="0"/>
              <w:spacing w:before="40" w:after="40" w:line="220" w:lineRule="exact"/>
              <w:jc w:val="right"/>
              <w:rPr>
                <w:sz w:val="18"/>
                <w:lang w:val="fr-FR"/>
              </w:rPr>
            </w:pPr>
          </w:p>
        </w:tc>
        <w:tc>
          <w:tcPr>
            <w:tcW w:w="1134" w:type="dxa"/>
            <w:tcBorders>
              <w:bottom w:val="single" w:sz="12" w:space="0" w:color="000000" w:themeColor="text1"/>
            </w:tcBorders>
            <w:shd w:val="clear" w:color="auto" w:fill="auto"/>
            <w:noWrap/>
            <w:tcMar>
              <w:right w:w="17" w:type="dxa"/>
            </w:tcMar>
            <w:vAlign w:val="bottom"/>
            <w:hideMark/>
          </w:tcPr>
          <w:p w14:paraId="372DFF02" w14:textId="77777777" w:rsidR="00D24AC2" w:rsidRPr="00DE5265" w:rsidRDefault="00D24AC2" w:rsidP="00D24AC2">
            <w:pPr>
              <w:suppressAutoHyphens w:val="0"/>
              <w:spacing w:before="40" w:after="40" w:line="220" w:lineRule="exact"/>
              <w:rPr>
                <w:sz w:val="18"/>
                <w:lang w:val="fr-FR"/>
              </w:rPr>
            </w:pPr>
            <w:r w:rsidRPr="00DE5265">
              <w:rPr>
                <w:sz w:val="18"/>
                <w:lang w:val="fr-FR"/>
              </w:rPr>
              <w:t>Féminin</w:t>
            </w:r>
          </w:p>
        </w:tc>
        <w:tc>
          <w:tcPr>
            <w:tcW w:w="567" w:type="dxa"/>
            <w:tcBorders>
              <w:bottom w:val="single" w:sz="12" w:space="0" w:color="000000" w:themeColor="text1"/>
            </w:tcBorders>
            <w:shd w:val="clear" w:color="auto" w:fill="auto"/>
            <w:noWrap/>
            <w:tcMar>
              <w:right w:w="17" w:type="dxa"/>
            </w:tcMar>
            <w:vAlign w:val="bottom"/>
            <w:hideMark/>
          </w:tcPr>
          <w:p w14:paraId="7A9CB0D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10</w:t>
            </w:r>
          </w:p>
        </w:tc>
        <w:tc>
          <w:tcPr>
            <w:tcW w:w="567" w:type="dxa"/>
            <w:tcBorders>
              <w:bottom w:val="single" w:sz="12" w:space="0" w:color="000000" w:themeColor="text1"/>
            </w:tcBorders>
            <w:shd w:val="clear" w:color="auto" w:fill="auto"/>
            <w:noWrap/>
            <w:tcMar>
              <w:right w:w="17" w:type="dxa"/>
            </w:tcMar>
            <w:vAlign w:val="bottom"/>
            <w:hideMark/>
          </w:tcPr>
          <w:p w14:paraId="6838FC0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66</w:t>
            </w:r>
          </w:p>
        </w:tc>
        <w:tc>
          <w:tcPr>
            <w:tcW w:w="567" w:type="dxa"/>
            <w:tcBorders>
              <w:bottom w:val="single" w:sz="12" w:space="0" w:color="000000" w:themeColor="text1"/>
            </w:tcBorders>
            <w:shd w:val="clear" w:color="auto" w:fill="auto"/>
            <w:noWrap/>
            <w:tcMar>
              <w:right w:w="17" w:type="dxa"/>
            </w:tcMar>
            <w:vAlign w:val="bottom"/>
            <w:hideMark/>
          </w:tcPr>
          <w:p w14:paraId="6D295CC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18</w:t>
            </w:r>
          </w:p>
        </w:tc>
        <w:tc>
          <w:tcPr>
            <w:tcW w:w="567" w:type="dxa"/>
            <w:tcBorders>
              <w:bottom w:val="single" w:sz="12" w:space="0" w:color="000000" w:themeColor="text1"/>
            </w:tcBorders>
            <w:shd w:val="clear" w:color="auto" w:fill="auto"/>
            <w:noWrap/>
            <w:tcMar>
              <w:right w:w="17" w:type="dxa"/>
            </w:tcMar>
            <w:vAlign w:val="bottom"/>
            <w:hideMark/>
          </w:tcPr>
          <w:p w14:paraId="66DA1084"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15</w:t>
            </w:r>
          </w:p>
        </w:tc>
        <w:tc>
          <w:tcPr>
            <w:tcW w:w="567" w:type="dxa"/>
            <w:tcBorders>
              <w:bottom w:val="single" w:sz="12" w:space="0" w:color="000000" w:themeColor="text1"/>
            </w:tcBorders>
            <w:shd w:val="clear" w:color="auto" w:fill="auto"/>
            <w:noWrap/>
            <w:tcMar>
              <w:right w:w="17" w:type="dxa"/>
            </w:tcMar>
            <w:vAlign w:val="bottom"/>
            <w:hideMark/>
          </w:tcPr>
          <w:p w14:paraId="56B89575"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29</w:t>
            </w:r>
          </w:p>
        </w:tc>
        <w:tc>
          <w:tcPr>
            <w:tcW w:w="567" w:type="dxa"/>
            <w:tcBorders>
              <w:bottom w:val="single" w:sz="12" w:space="0" w:color="000000" w:themeColor="text1"/>
            </w:tcBorders>
            <w:shd w:val="clear" w:color="auto" w:fill="auto"/>
            <w:noWrap/>
            <w:tcMar>
              <w:right w:w="17" w:type="dxa"/>
            </w:tcMar>
            <w:vAlign w:val="bottom"/>
            <w:hideMark/>
          </w:tcPr>
          <w:p w14:paraId="024A8CDD"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31</w:t>
            </w:r>
          </w:p>
        </w:tc>
        <w:tc>
          <w:tcPr>
            <w:tcW w:w="567" w:type="dxa"/>
            <w:tcBorders>
              <w:bottom w:val="single" w:sz="12" w:space="0" w:color="000000" w:themeColor="text1"/>
            </w:tcBorders>
            <w:shd w:val="clear" w:color="auto" w:fill="auto"/>
            <w:noWrap/>
            <w:tcMar>
              <w:right w:w="17" w:type="dxa"/>
            </w:tcMar>
            <w:vAlign w:val="bottom"/>
            <w:hideMark/>
          </w:tcPr>
          <w:p w14:paraId="010AA838"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44</w:t>
            </w:r>
          </w:p>
        </w:tc>
        <w:tc>
          <w:tcPr>
            <w:tcW w:w="567" w:type="dxa"/>
            <w:tcBorders>
              <w:bottom w:val="single" w:sz="12" w:space="0" w:color="000000" w:themeColor="text1"/>
            </w:tcBorders>
            <w:shd w:val="clear" w:color="auto" w:fill="auto"/>
            <w:noWrap/>
            <w:tcMar>
              <w:right w:w="17" w:type="dxa"/>
            </w:tcMar>
            <w:vAlign w:val="bottom"/>
            <w:hideMark/>
          </w:tcPr>
          <w:p w14:paraId="10E42D16"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69</w:t>
            </w:r>
          </w:p>
        </w:tc>
        <w:tc>
          <w:tcPr>
            <w:tcW w:w="567" w:type="dxa"/>
            <w:tcBorders>
              <w:bottom w:val="single" w:sz="12" w:space="0" w:color="000000" w:themeColor="text1"/>
            </w:tcBorders>
            <w:shd w:val="clear" w:color="auto" w:fill="auto"/>
            <w:noWrap/>
            <w:tcMar>
              <w:right w:w="17" w:type="dxa"/>
            </w:tcMar>
            <w:vAlign w:val="bottom"/>
            <w:hideMark/>
          </w:tcPr>
          <w:p w14:paraId="1CA26D12" w14:textId="77777777" w:rsidR="00D24AC2" w:rsidRPr="00DE5265" w:rsidRDefault="00D24AC2" w:rsidP="00D24AC2">
            <w:pPr>
              <w:suppressAutoHyphens w:val="0"/>
              <w:spacing w:before="40" w:after="40" w:line="220" w:lineRule="exact"/>
              <w:jc w:val="right"/>
              <w:rPr>
                <w:sz w:val="18"/>
                <w:lang w:val="fr-FR"/>
              </w:rPr>
            </w:pPr>
            <w:r w:rsidRPr="00DE5265">
              <w:rPr>
                <w:sz w:val="18"/>
                <w:lang w:val="fr-FR"/>
              </w:rPr>
              <w:t>91</w:t>
            </w:r>
          </w:p>
        </w:tc>
      </w:tr>
    </w:tbl>
    <w:p w14:paraId="732AE644" w14:textId="77777777" w:rsidR="002A5EB2" w:rsidRPr="001A3179" w:rsidRDefault="002A5EB2" w:rsidP="00B803DA">
      <w:pPr>
        <w:pStyle w:val="SingleTxtG"/>
        <w:spacing w:before="240" w:line="230" w:lineRule="atLeast"/>
        <w:rPr>
          <w:lang w:val="fr-FR"/>
        </w:rPr>
      </w:pPr>
      <w:r w:rsidRPr="001A3179">
        <w:rPr>
          <w:lang w:val="fr-FR"/>
        </w:rPr>
        <w:t>58.</w:t>
      </w:r>
      <w:r w:rsidRPr="001A3179">
        <w:rPr>
          <w:lang w:val="fr-FR"/>
        </w:rPr>
        <w:tab/>
        <w:t xml:space="preserve">Le nombre </w:t>
      </w:r>
      <w:r w:rsidRPr="005E2EC1">
        <w:rPr>
          <w:lang w:val="fr-FR"/>
        </w:rPr>
        <w:t>d</w:t>
      </w:r>
      <w:r>
        <w:rPr>
          <w:lang w:val="fr-FR"/>
        </w:rPr>
        <w:t>’</w:t>
      </w:r>
      <w:r w:rsidRPr="005E2EC1">
        <w:rPr>
          <w:lang w:val="fr-FR"/>
        </w:rPr>
        <w:t>infractions mineures</w:t>
      </w:r>
      <w:r w:rsidRPr="001A3179">
        <w:rPr>
          <w:lang w:val="fr-FR"/>
        </w:rPr>
        <w:t xml:space="preserve"> à la loi sur la protection de l</w:t>
      </w:r>
      <w:r>
        <w:rPr>
          <w:lang w:val="fr-FR"/>
        </w:rPr>
        <w:t>’</w:t>
      </w:r>
      <w:r w:rsidRPr="001A3179">
        <w:rPr>
          <w:lang w:val="fr-FR"/>
        </w:rPr>
        <w:t>ordre public (ZJRM</w:t>
      </w:r>
      <w:r w:rsidR="00B803DA">
        <w:rPr>
          <w:lang w:val="fr-FR"/>
        </w:rPr>
        <w:noBreakHyphen/>
      </w:r>
      <w:r w:rsidRPr="001A3179">
        <w:rPr>
          <w:lang w:val="fr-FR"/>
        </w:rPr>
        <w:t>1)</w:t>
      </w:r>
      <w:r w:rsidRPr="0017324C">
        <w:rPr>
          <w:rStyle w:val="Appelnotedebasdep"/>
        </w:rPr>
        <w:footnoteReference w:id="23"/>
      </w:r>
      <w:r w:rsidRPr="001A3179">
        <w:rPr>
          <w:lang w:val="fr-FR"/>
        </w:rPr>
        <w:t xml:space="preserve"> comportant un élément de violence familiale a progressivement diminué au fil des ans. Les données sont ventilées par sexe et selon l</w:t>
      </w:r>
      <w:r>
        <w:rPr>
          <w:lang w:val="fr-FR"/>
        </w:rPr>
        <w:t>’</w:t>
      </w:r>
      <w:r w:rsidRPr="001A3179">
        <w:rPr>
          <w:lang w:val="fr-FR"/>
        </w:rPr>
        <w:t>âge de l</w:t>
      </w:r>
      <w:r>
        <w:rPr>
          <w:lang w:val="fr-FR"/>
        </w:rPr>
        <w:t>’</w:t>
      </w:r>
      <w:r w:rsidRPr="001A3179">
        <w:rPr>
          <w:lang w:val="fr-FR"/>
        </w:rPr>
        <w:t>auteur. La police a commencé à compiler des données sur les parties lésées à partir du 1</w:t>
      </w:r>
      <w:r w:rsidRPr="001A3179">
        <w:rPr>
          <w:vertAlign w:val="superscript"/>
          <w:lang w:val="fr-FR"/>
        </w:rPr>
        <w:t>er</w:t>
      </w:r>
      <w:r w:rsidR="00B803DA">
        <w:rPr>
          <w:lang w:val="fr-FR"/>
        </w:rPr>
        <w:t> </w:t>
      </w:r>
      <w:r w:rsidRPr="001A3179">
        <w:rPr>
          <w:lang w:val="fr-FR"/>
        </w:rPr>
        <w:t xml:space="preserve">janvier 2018, en application de la plus récente modification apportée à la loi sur les fonctions et les pouvoirs de la police qui a, entre autres, ajouté deux nouvelles rubriques dans le registre des </w:t>
      </w:r>
      <w:r w:rsidRPr="001A3179">
        <w:rPr>
          <w:lang w:val="fr-FR"/>
        </w:rPr>
        <w:lastRenderedPageBreak/>
        <w:t>infractions mineures</w:t>
      </w:r>
      <w:r w:rsidR="008C3C0F">
        <w:rPr>
          <w:lang w:val="fr-FR"/>
        </w:rPr>
        <w:t> </w:t>
      </w:r>
      <w:r w:rsidRPr="001A3179">
        <w:rPr>
          <w:lang w:val="fr-FR"/>
        </w:rPr>
        <w:t>: 1) données personnelles des personnes lésées ; 2) relation entre l</w:t>
      </w:r>
      <w:r>
        <w:rPr>
          <w:lang w:val="fr-FR"/>
        </w:rPr>
        <w:t>’</w:t>
      </w:r>
      <w:r w:rsidRPr="001A3179">
        <w:rPr>
          <w:lang w:val="fr-FR"/>
        </w:rPr>
        <w:t>auteur et la personne lésée.</w:t>
      </w:r>
    </w:p>
    <w:tbl>
      <w:tblPr>
        <w:tblW w:w="7370" w:type="dxa"/>
        <w:tblInd w:w="1134" w:type="dxa"/>
        <w:tblLayout w:type="fixed"/>
        <w:tblCellMar>
          <w:left w:w="0" w:type="dxa"/>
          <w:right w:w="0" w:type="dxa"/>
        </w:tblCellMar>
        <w:tblLook w:val="04A0" w:firstRow="1" w:lastRow="0" w:firstColumn="1" w:lastColumn="0" w:noHBand="0" w:noVBand="1"/>
      </w:tblPr>
      <w:tblGrid>
        <w:gridCol w:w="958"/>
        <w:gridCol w:w="916"/>
        <w:gridCol w:w="916"/>
        <w:gridCol w:w="916"/>
        <w:gridCol w:w="916"/>
        <w:gridCol w:w="916"/>
        <w:gridCol w:w="916"/>
        <w:gridCol w:w="916"/>
      </w:tblGrid>
      <w:tr w:rsidR="002A5EB2" w:rsidRPr="00CC5511" w14:paraId="7B52556D" w14:textId="77777777" w:rsidTr="00CC5511">
        <w:trPr>
          <w:tblHeader/>
        </w:trPr>
        <w:tc>
          <w:tcPr>
            <w:tcW w:w="958" w:type="dxa"/>
            <w:vMerge w:val="restart"/>
            <w:tcBorders>
              <w:top w:val="single" w:sz="4" w:space="0" w:color="000000" w:themeColor="text1"/>
              <w:bottom w:val="single" w:sz="4" w:space="0" w:color="000000" w:themeColor="text1"/>
            </w:tcBorders>
            <w:shd w:val="clear" w:color="auto" w:fill="auto"/>
            <w:noWrap/>
            <w:tcMar>
              <w:right w:w="17" w:type="dxa"/>
            </w:tcMar>
            <w:vAlign w:val="bottom"/>
            <w:hideMark/>
          </w:tcPr>
          <w:p w14:paraId="4FD0B90F" w14:textId="77777777" w:rsidR="002A5EB2" w:rsidRPr="00CC5511" w:rsidRDefault="002A5EB2" w:rsidP="00CC5511">
            <w:pPr>
              <w:suppressAutoHyphens w:val="0"/>
              <w:spacing w:before="80" w:after="80" w:line="200" w:lineRule="exact"/>
              <w:rPr>
                <w:i/>
                <w:sz w:val="16"/>
                <w:lang w:val="fr-FR"/>
              </w:rPr>
            </w:pPr>
            <w:r w:rsidRPr="00CC5511">
              <w:rPr>
                <w:i/>
                <w:sz w:val="16"/>
                <w:lang w:val="fr-FR"/>
              </w:rPr>
              <w:t>Sexe</w:t>
            </w:r>
          </w:p>
        </w:tc>
        <w:tc>
          <w:tcPr>
            <w:tcW w:w="6412" w:type="dxa"/>
            <w:gridSpan w:val="7"/>
            <w:tcBorders>
              <w:top w:val="single" w:sz="4" w:space="0" w:color="000000" w:themeColor="text1"/>
              <w:bottom w:val="single" w:sz="4" w:space="0" w:color="000000" w:themeColor="text1"/>
            </w:tcBorders>
            <w:shd w:val="clear" w:color="auto" w:fill="auto"/>
            <w:noWrap/>
            <w:tcMar>
              <w:right w:w="17" w:type="dxa"/>
            </w:tcMar>
            <w:vAlign w:val="bottom"/>
            <w:hideMark/>
          </w:tcPr>
          <w:p w14:paraId="1558661E" w14:textId="77777777" w:rsidR="002A5EB2" w:rsidRPr="00CC5511" w:rsidRDefault="002A5EB2" w:rsidP="00CC5511">
            <w:pPr>
              <w:suppressAutoHyphens w:val="0"/>
              <w:spacing w:before="80" w:after="80" w:line="200" w:lineRule="exact"/>
              <w:jc w:val="center"/>
              <w:rPr>
                <w:i/>
                <w:sz w:val="16"/>
                <w:lang w:val="fr-FR"/>
              </w:rPr>
            </w:pPr>
            <w:r w:rsidRPr="00CC5511">
              <w:rPr>
                <w:i/>
                <w:sz w:val="16"/>
                <w:lang w:val="fr-FR"/>
              </w:rPr>
              <w:t xml:space="preserve">Nombre de violations </w:t>
            </w:r>
            <w:r w:rsidR="00B803DA">
              <w:rPr>
                <w:i/>
                <w:sz w:val="16"/>
                <w:lang w:val="fr-FR"/>
              </w:rPr>
              <w:t xml:space="preserve">− </w:t>
            </w:r>
            <w:r w:rsidRPr="00CC5511">
              <w:rPr>
                <w:i/>
                <w:sz w:val="16"/>
                <w:lang w:val="fr-FR"/>
              </w:rPr>
              <w:t>infractions mineures</w:t>
            </w:r>
          </w:p>
        </w:tc>
      </w:tr>
      <w:tr w:rsidR="002A5EB2" w:rsidRPr="00CC5511" w14:paraId="4EF3E210" w14:textId="77777777" w:rsidTr="00CC5511">
        <w:trPr>
          <w:tblHeader/>
        </w:trPr>
        <w:tc>
          <w:tcPr>
            <w:tcW w:w="958" w:type="dxa"/>
            <w:vMerge/>
            <w:tcBorders>
              <w:top w:val="single" w:sz="4" w:space="0" w:color="000000" w:themeColor="text1"/>
              <w:bottom w:val="single" w:sz="12" w:space="0" w:color="000000" w:themeColor="text1"/>
            </w:tcBorders>
            <w:shd w:val="clear" w:color="auto" w:fill="auto"/>
            <w:tcMar>
              <w:right w:w="17" w:type="dxa"/>
            </w:tcMar>
            <w:vAlign w:val="bottom"/>
            <w:hideMark/>
          </w:tcPr>
          <w:p w14:paraId="20A43035" w14:textId="77777777" w:rsidR="002A5EB2" w:rsidRPr="00CC5511" w:rsidRDefault="002A5EB2" w:rsidP="00CC5511">
            <w:pPr>
              <w:suppressAutoHyphens w:val="0"/>
              <w:spacing w:before="40" w:after="40" w:line="220" w:lineRule="exact"/>
              <w:rPr>
                <w:b/>
                <w:sz w:val="18"/>
                <w:lang w:val="fr-FR"/>
              </w:rPr>
            </w:pP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55DA3399"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2011</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2EFA6653"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2012</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57344DA6"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2013</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0C93CECC"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2014</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1D711465"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2015</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16282795"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2016</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1D833E25" w14:textId="77777777" w:rsidR="002A5EB2" w:rsidRPr="00CC5511" w:rsidRDefault="002A5EB2" w:rsidP="00CC5511">
            <w:pPr>
              <w:suppressAutoHyphens w:val="0"/>
              <w:spacing w:before="80" w:after="80" w:line="200" w:lineRule="exact"/>
              <w:jc w:val="right"/>
              <w:rPr>
                <w:i/>
                <w:sz w:val="16"/>
                <w:lang w:val="fr-FR"/>
              </w:rPr>
            </w:pPr>
            <w:r w:rsidRPr="00CC5511">
              <w:rPr>
                <w:i/>
                <w:sz w:val="16"/>
                <w:lang w:val="fr-FR"/>
              </w:rPr>
              <w:t>2017</w:t>
            </w:r>
            <w:r w:rsidRPr="00B803DA">
              <w:rPr>
                <w:sz w:val="16"/>
                <w:lang w:val="fr-FR"/>
              </w:rPr>
              <w:t>*</w:t>
            </w:r>
          </w:p>
        </w:tc>
      </w:tr>
      <w:tr w:rsidR="002A5EB2" w:rsidRPr="00CC5511" w14:paraId="649138AA" w14:textId="77777777" w:rsidTr="00CC5511">
        <w:tc>
          <w:tcPr>
            <w:tcW w:w="958" w:type="dxa"/>
            <w:tcBorders>
              <w:top w:val="single" w:sz="12" w:space="0" w:color="000000" w:themeColor="text1"/>
            </w:tcBorders>
            <w:shd w:val="clear" w:color="auto" w:fill="auto"/>
            <w:noWrap/>
            <w:tcMar>
              <w:right w:w="17" w:type="dxa"/>
            </w:tcMar>
            <w:hideMark/>
          </w:tcPr>
          <w:p w14:paraId="7D346ABB" w14:textId="77777777" w:rsidR="002A5EB2" w:rsidRPr="00CC5511" w:rsidRDefault="002A5EB2" w:rsidP="00CC5511">
            <w:pPr>
              <w:suppressAutoHyphens w:val="0"/>
              <w:spacing w:before="40" w:after="40" w:line="220" w:lineRule="exact"/>
              <w:rPr>
                <w:sz w:val="18"/>
                <w:lang w:val="fr-FR"/>
              </w:rPr>
            </w:pPr>
            <w:r w:rsidRPr="00CC5511">
              <w:rPr>
                <w:sz w:val="18"/>
                <w:lang w:val="fr-FR"/>
              </w:rPr>
              <w:t>Masculin</w:t>
            </w:r>
          </w:p>
        </w:tc>
        <w:tc>
          <w:tcPr>
            <w:tcW w:w="916" w:type="dxa"/>
            <w:tcBorders>
              <w:top w:val="single" w:sz="12" w:space="0" w:color="000000" w:themeColor="text1"/>
            </w:tcBorders>
            <w:shd w:val="clear" w:color="auto" w:fill="auto"/>
            <w:noWrap/>
            <w:tcMar>
              <w:right w:w="17" w:type="dxa"/>
            </w:tcMar>
            <w:vAlign w:val="bottom"/>
            <w:hideMark/>
          </w:tcPr>
          <w:p w14:paraId="5EEF8FDA"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2 942</w:t>
            </w:r>
          </w:p>
        </w:tc>
        <w:tc>
          <w:tcPr>
            <w:tcW w:w="916" w:type="dxa"/>
            <w:tcBorders>
              <w:top w:val="single" w:sz="12" w:space="0" w:color="000000" w:themeColor="text1"/>
            </w:tcBorders>
            <w:shd w:val="clear" w:color="auto" w:fill="auto"/>
            <w:noWrap/>
            <w:tcMar>
              <w:right w:w="17" w:type="dxa"/>
            </w:tcMar>
            <w:vAlign w:val="bottom"/>
            <w:hideMark/>
          </w:tcPr>
          <w:p w14:paraId="276E8B38"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2 788</w:t>
            </w:r>
          </w:p>
        </w:tc>
        <w:tc>
          <w:tcPr>
            <w:tcW w:w="916" w:type="dxa"/>
            <w:tcBorders>
              <w:top w:val="single" w:sz="12" w:space="0" w:color="000000" w:themeColor="text1"/>
            </w:tcBorders>
            <w:shd w:val="clear" w:color="auto" w:fill="auto"/>
            <w:noWrap/>
            <w:tcMar>
              <w:right w:w="17" w:type="dxa"/>
            </w:tcMar>
            <w:vAlign w:val="bottom"/>
            <w:hideMark/>
          </w:tcPr>
          <w:p w14:paraId="56DFA1D5"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2 645</w:t>
            </w:r>
          </w:p>
        </w:tc>
        <w:tc>
          <w:tcPr>
            <w:tcW w:w="916" w:type="dxa"/>
            <w:tcBorders>
              <w:top w:val="single" w:sz="12" w:space="0" w:color="000000" w:themeColor="text1"/>
            </w:tcBorders>
            <w:shd w:val="clear" w:color="auto" w:fill="auto"/>
            <w:noWrap/>
            <w:tcMar>
              <w:right w:w="17" w:type="dxa"/>
            </w:tcMar>
            <w:vAlign w:val="bottom"/>
            <w:hideMark/>
          </w:tcPr>
          <w:p w14:paraId="5C5054F3"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2 495</w:t>
            </w:r>
          </w:p>
        </w:tc>
        <w:tc>
          <w:tcPr>
            <w:tcW w:w="916" w:type="dxa"/>
            <w:tcBorders>
              <w:top w:val="single" w:sz="12" w:space="0" w:color="000000" w:themeColor="text1"/>
            </w:tcBorders>
            <w:shd w:val="clear" w:color="auto" w:fill="auto"/>
            <w:noWrap/>
            <w:tcMar>
              <w:right w:w="17" w:type="dxa"/>
            </w:tcMar>
            <w:vAlign w:val="bottom"/>
            <w:hideMark/>
          </w:tcPr>
          <w:p w14:paraId="10D7CFB0"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2 272</w:t>
            </w:r>
          </w:p>
        </w:tc>
        <w:tc>
          <w:tcPr>
            <w:tcW w:w="916" w:type="dxa"/>
            <w:tcBorders>
              <w:top w:val="single" w:sz="12" w:space="0" w:color="000000" w:themeColor="text1"/>
            </w:tcBorders>
            <w:shd w:val="clear" w:color="auto" w:fill="auto"/>
            <w:noWrap/>
            <w:tcMar>
              <w:right w:w="17" w:type="dxa"/>
            </w:tcMar>
            <w:vAlign w:val="bottom"/>
            <w:hideMark/>
          </w:tcPr>
          <w:p w14:paraId="42474B82"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2 226</w:t>
            </w:r>
          </w:p>
        </w:tc>
        <w:tc>
          <w:tcPr>
            <w:tcW w:w="916" w:type="dxa"/>
            <w:tcBorders>
              <w:top w:val="single" w:sz="12" w:space="0" w:color="000000" w:themeColor="text1"/>
            </w:tcBorders>
            <w:shd w:val="clear" w:color="auto" w:fill="auto"/>
            <w:noWrap/>
            <w:tcMar>
              <w:right w:w="17" w:type="dxa"/>
            </w:tcMar>
            <w:vAlign w:val="bottom"/>
            <w:hideMark/>
          </w:tcPr>
          <w:p w14:paraId="44289963"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1 975</w:t>
            </w:r>
          </w:p>
        </w:tc>
      </w:tr>
      <w:tr w:rsidR="002A5EB2" w:rsidRPr="00CC5511" w14:paraId="4629D83F" w14:textId="77777777" w:rsidTr="00654293">
        <w:tc>
          <w:tcPr>
            <w:tcW w:w="958" w:type="dxa"/>
            <w:tcBorders>
              <w:bottom w:val="single" w:sz="4" w:space="0" w:color="000000" w:themeColor="text1"/>
            </w:tcBorders>
            <w:shd w:val="clear" w:color="auto" w:fill="auto"/>
            <w:noWrap/>
            <w:tcMar>
              <w:right w:w="17" w:type="dxa"/>
            </w:tcMar>
            <w:hideMark/>
          </w:tcPr>
          <w:p w14:paraId="3237B976" w14:textId="77777777" w:rsidR="002A5EB2" w:rsidRPr="00CC5511" w:rsidRDefault="002A5EB2" w:rsidP="00CC5511">
            <w:pPr>
              <w:suppressAutoHyphens w:val="0"/>
              <w:spacing w:before="40" w:after="40" w:line="220" w:lineRule="exact"/>
              <w:rPr>
                <w:sz w:val="18"/>
                <w:lang w:val="fr-FR"/>
              </w:rPr>
            </w:pPr>
            <w:r w:rsidRPr="00CC5511">
              <w:rPr>
                <w:sz w:val="18"/>
                <w:lang w:val="fr-FR"/>
              </w:rPr>
              <w:t>Féminin</w:t>
            </w:r>
          </w:p>
        </w:tc>
        <w:tc>
          <w:tcPr>
            <w:tcW w:w="916" w:type="dxa"/>
            <w:tcBorders>
              <w:bottom w:val="single" w:sz="4" w:space="0" w:color="000000" w:themeColor="text1"/>
            </w:tcBorders>
            <w:shd w:val="clear" w:color="auto" w:fill="auto"/>
            <w:noWrap/>
            <w:tcMar>
              <w:right w:w="17" w:type="dxa"/>
            </w:tcMar>
            <w:vAlign w:val="bottom"/>
            <w:hideMark/>
          </w:tcPr>
          <w:p w14:paraId="1ED2A655"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705</w:t>
            </w:r>
          </w:p>
        </w:tc>
        <w:tc>
          <w:tcPr>
            <w:tcW w:w="916" w:type="dxa"/>
            <w:tcBorders>
              <w:bottom w:val="single" w:sz="4" w:space="0" w:color="000000" w:themeColor="text1"/>
            </w:tcBorders>
            <w:shd w:val="clear" w:color="auto" w:fill="auto"/>
            <w:noWrap/>
            <w:tcMar>
              <w:right w:w="17" w:type="dxa"/>
            </w:tcMar>
            <w:vAlign w:val="bottom"/>
            <w:hideMark/>
          </w:tcPr>
          <w:p w14:paraId="1243C2C7"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612</w:t>
            </w:r>
          </w:p>
        </w:tc>
        <w:tc>
          <w:tcPr>
            <w:tcW w:w="916" w:type="dxa"/>
            <w:tcBorders>
              <w:bottom w:val="single" w:sz="4" w:space="0" w:color="000000" w:themeColor="text1"/>
            </w:tcBorders>
            <w:shd w:val="clear" w:color="auto" w:fill="auto"/>
            <w:noWrap/>
            <w:tcMar>
              <w:right w:w="17" w:type="dxa"/>
            </w:tcMar>
            <w:vAlign w:val="bottom"/>
            <w:hideMark/>
          </w:tcPr>
          <w:p w14:paraId="4C94131A"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583</w:t>
            </w:r>
          </w:p>
        </w:tc>
        <w:tc>
          <w:tcPr>
            <w:tcW w:w="916" w:type="dxa"/>
            <w:tcBorders>
              <w:bottom w:val="single" w:sz="4" w:space="0" w:color="000000" w:themeColor="text1"/>
            </w:tcBorders>
            <w:shd w:val="clear" w:color="auto" w:fill="auto"/>
            <w:noWrap/>
            <w:tcMar>
              <w:right w:w="17" w:type="dxa"/>
            </w:tcMar>
            <w:vAlign w:val="bottom"/>
            <w:hideMark/>
          </w:tcPr>
          <w:p w14:paraId="67AD98DF"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527</w:t>
            </w:r>
          </w:p>
        </w:tc>
        <w:tc>
          <w:tcPr>
            <w:tcW w:w="916" w:type="dxa"/>
            <w:tcBorders>
              <w:bottom w:val="single" w:sz="4" w:space="0" w:color="000000" w:themeColor="text1"/>
            </w:tcBorders>
            <w:shd w:val="clear" w:color="auto" w:fill="auto"/>
            <w:noWrap/>
            <w:tcMar>
              <w:right w:w="17" w:type="dxa"/>
            </w:tcMar>
            <w:vAlign w:val="bottom"/>
            <w:hideMark/>
          </w:tcPr>
          <w:p w14:paraId="09CE8758"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468</w:t>
            </w:r>
          </w:p>
        </w:tc>
        <w:tc>
          <w:tcPr>
            <w:tcW w:w="916" w:type="dxa"/>
            <w:tcBorders>
              <w:bottom w:val="single" w:sz="4" w:space="0" w:color="000000" w:themeColor="text1"/>
            </w:tcBorders>
            <w:shd w:val="clear" w:color="auto" w:fill="auto"/>
            <w:noWrap/>
            <w:tcMar>
              <w:right w:w="17" w:type="dxa"/>
            </w:tcMar>
            <w:vAlign w:val="bottom"/>
            <w:hideMark/>
          </w:tcPr>
          <w:p w14:paraId="532AF6C3"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507</w:t>
            </w:r>
          </w:p>
        </w:tc>
        <w:tc>
          <w:tcPr>
            <w:tcW w:w="916" w:type="dxa"/>
            <w:tcBorders>
              <w:bottom w:val="single" w:sz="4" w:space="0" w:color="000000" w:themeColor="text1"/>
            </w:tcBorders>
            <w:shd w:val="clear" w:color="auto" w:fill="auto"/>
            <w:noWrap/>
            <w:tcMar>
              <w:right w:w="17" w:type="dxa"/>
            </w:tcMar>
            <w:vAlign w:val="bottom"/>
            <w:hideMark/>
          </w:tcPr>
          <w:p w14:paraId="32496EBB" w14:textId="77777777" w:rsidR="002A5EB2" w:rsidRPr="00CC5511" w:rsidRDefault="002A5EB2" w:rsidP="00CC5511">
            <w:pPr>
              <w:suppressAutoHyphens w:val="0"/>
              <w:spacing w:before="40" w:after="40" w:line="220" w:lineRule="exact"/>
              <w:jc w:val="right"/>
              <w:rPr>
                <w:sz w:val="18"/>
                <w:lang w:val="fr-FR"/>
              </w:rPr>
            </w:pPr>
            <w:r w:rsidRPr="00CC5511">
              <w:rPr>
                <w:sz w:val="18"/>
                <w:lang w:val="fr-FR"/>
              </w:rPr>
              <w:t>465</w:t>
            </w:r>
          </w:p>
        </w:tc>
      </w:tr>
      <w:tr w:rsidR="002A5EB2" w:rsidRPr="00CC5511" w14:paraId="5D5D75D3" w14:textId="77777777" w:rsidTr="00654293">
        <w:tc>
          <w:tcPr>
            <w:tcW w:w="958" w:type="dxa"/>
            <w:tcBorders>
              <w:top w:val="single" w:sz="4" w:space="0" w:color="000000" w:themeColor="text1"/>
              <w:bottom w:val="single" w:sz="12" w:space="0" w:color="000000" w:themeColor="text1"/>
            </w:tcBorders>
            <w:shd w:val="clear" w:color="auto" w:fill="auto"/>
            <w:noWrap/>
            <w:tcMar>
              <w:right w:w="17" w:type="dxa"/>
            </w:tcMar>
            <w:hideMark/>
          </w:tcPr>
          <w:p w14:paraId="4E59BA55" w14:textId="77777777" w:rsidR="002A5EB2" w:rsidRPr="00CC5511" w:rsidRDefault="002A5EB2" w:rsidP="00CC5511">
            <w:pPr>
              <w:suppressAutoHyphens w:val="0"/>
              <w:spacing w:before="80" w:after="80" w:line="220" w:lineRule="exact"/>
              <w:ind w:firstLine="284"/>
              <w:rPr>
                <w:b/>
                <w:sz w:val="18"/>
                <w:lang w:val="fr-FR"/>
              </w:rPr>
            </w:pPr>
            <w:r w:rsidRPr="00CC5511">
              <w:rPr>
                <w:b/>
                <w:sz w:val="18"/>
                <w:lang w:val="fr-FR"/>
              </w:rPr>
              <w:t>Total</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634E39BA"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3 647</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4B096F29"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3 400</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43FA4286"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3 228</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72D6E538"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3 022</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39248DAE"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2 740</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4A5C1B43"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2 733</w:t>
            </w:r>
          </w:p>
        </w:tc>
        <w:tc>
          <w:tcPr>
            <w:tcW w:w="916" w:type="dxa"/>
            <w:tcBorders>
              <w:top w:val="single" w:sz="4" w:space="0" w:color="000000" w:themeColor="text1"/>
              <w:bottom w:val="single" w:sz="12" w:space="0" w:color="000000" w:themeColor="text1"/>
            </w:tcBorders>
            <w:shd w:val="clear" w:color="auto" w:fill="auto"/>
            <w:noWrap/>
            <w:tcMar>
              <w:right w:w="17" w:type="dxa"/>
            </w:tcMar>
            <w:vAlign w:val="bottom"/>
            <w:hideMark/>
          </w:tcPr>
          <w:p w14:paraId="4A8EA504" w14:textId="77777777" w:rsidR="002A5EB2" w:rsidRPr="00CC5511" w:rsidRDefault="002A5EB2" w:rsidP="00CC5511">
            <w:pPr>
              <w:suppressAutoHyphens w:val="0"/>
              <w:spacing w:before="80" w:after="80" w:line="220" w:lineRule="exact"/>
              <w:jc w:val="right"/>
              <w:rPr>
                <w:b/>
                <w:sz w:val="18"/>
                <w:lang w:val="fr-FR"/>
              </w:rPr>
            </w:pPr>
            <w:r w:rsidRPr="00CC5511">
              <w:rPr>
                <w:b/>
                <w:sz w:val="18"/>
                <w:lang w:val="fr-FR"/>
              </w:rPr>
              <w:t>2 440</w:t>
            </w:r>
          </w:p>
        </w:tc>
      </w:tr>
    </w:tbl>
    <w:p w14:paraId="657E04A7" w14:textId="77777777" w:rsidR="002A5EB2" w:rsidRPr="001A3179" w:rsidRDefault="002A5EB2" w:rsidP="00CC5511">
      <w:pPr>
        <w:pStyle w:val="SingleTxtG"/>
        <w:spacing w:before="120"/>
        <w:ind w:firstLine="113"/>
        <w:rPr>
          <w:lang w:val="fr-FR"/>
        </w:rPr>
      </w:pPr>
      <w:r w:rsidRPr="001A3179">
        <w:rPr>
          <w:lang w:val="fr-FR"/>
        </w:rPr>
        <w:t xml:space="preserve">* </w:t>
      </w:r>
      <w:r w:rsidR="00CC5511">
        <w:rPr>
          <w:lang w:val="fr-FR"/>
        </w:rPr>
        <w:t xml:space="preserve"> </w:t>
      </w:r>
      <w:r w:rsidRPr="00CC5511">
        <w:rPr>
          <w:sz w:val="18"/>
          <w:szCs w:val="18"/>
          <w:lang w:val="fr-FR"/>
        </w:rPr>
        <w:t>Ces données ne couvrent l’année 2107 que jusqu’au 27 novembre</w:t>
      </w:r>
      <w:r w:rsidRPr="001A3179">
        <w:rPr>
          <w:lang w:val="fr-FR"/>
        </w:rPr>
        <w:t>.</w:t>
      </w:r>
    </w:p>
    <w:p w14:paraId="2E85752D" w14:textId="77777777" w:rsidR="002A5EB2" w:rsidRPr="001A3179" w:rsidRDefault="002A5EB2" w:rsidP="00CC5511">
      <w:pPr>
        <w:pStyle w:val="H23G"/>
        <w:rPr>
          <w:lang w:val="fr-FR"/>
        </w:rPr>
      </w:pPr>
      <w:r w:rsidRPr="001A3179">
        <w:rPr>
          <w:lang w:val="fr-FR"/>
        </w:rPr>
        <w:tab/>
      </w:r>
      <w:r w:rsidRPr="001A3179">
        <w:rPr>
          <w:lang w:val="fr-FR"/>
        </w:rPr>
        <w:tab/>
        <w:t>Réponse au paragraphe 5 c) de la liste des points à traiter</w:t>
      </w:r>
    </w:p>
    <w:p w14:paraId="50ED1883" w14:textId="77777777" w:rsidR="002A5EB2" w:rsidRPr="008F5D8B" w:rsidRDefault="002A5EB2" w:rsidP="002A5EB2">
      <w:pPr>
        <w:pStyle w:val="SingleTxtG"/>
        <w:rPr>
          <w:spacing w:val="-1"/>
          <w:lang w:val="fr-FR"/>
        </w:rPr>
      </w:pPr>
      <w:r w:rsidRPr="008F5D8B">
        <w:rPr>
          <w:spacing w:val="-1"/>
          <w:lang w:val="fr-FR"/>
        </w:rPr>
        <w:t>59.</w:t>
      </w:r>
      <w:r w:rsidRPr="008F5D8B">
        <w:rPr>
          <w:spacing w:val="-1"/>
          <w:lang w:val="fr-FR"/>
        </w:rPr>
        <w:tab/>
      </w:r>
      <w:bookmarkStart w:id="17" w:name="_Hlk38014390"/>
      <w:r w:rsidRPr="008F5D8B">
        <w:rPr>
          <w:spacing w:val="-1"/>
          <w:lang w:val="fr-FR"/>
        </w:rPr>
        <w:t xml:space="preserve">La loi sur le dédommagement des victimes d’infractions </w:t>
      </w:r>
      <w:bookmarkEnd w:id="17"/>
      <w:r w:rsidRPr="008F5D8B">
        <w:rPr>
          <w:spacing w:val="-1"/>
          <w:lang w:val="fr-FR"/>
        </w:rPr>
        <w:t>(ZOZKD)</w:t>
      </w:r>
      <w:r w:rsidRPr="008F5D8B">
        <w:rPr>
          <w:rStyle w:val="Appelnotedebasdep"/>
          <w:spacing w:val="-1"/>
        </w:rPr>
        <w:footnoteReference w:id="24"/>
      </w:r>
      <w:r w:rsidRPr="008F5D8B">
        <w:rPr>
          <w:spacing w:val="-1"/>
          <w:lang w:val="fr-FR"/>
        </w:rPr>
        <w:t xml:space="preserve"> régit le droit à indemnisation des victimes d’infractions intentionnelles violentes et de leurs proches. Elle repose sur la Directive 2004/80/CE du Conseil de l’Union européenne en date du 29</w:t>
      </w:r>
      <w:r w:rsidR="00B803DA" w:rsidRPr="008F5D8B">
        <w:rPr>
          <w:spacing w:val="-1"/>
          <w:lang w:val="fr-FR"/>
        </w:rPr>
        <w:t> </w:t>
      </w:r>
      <w:r w:rsidRPr="008F5D8B">
        <w:rPr>
          <w:spacing w:val="-1"/>
          <w:lang w:val="fr-FR"/>
        </w:rPr>
        <w:t>avril 2004 relative à l’indemnisation des victimes de la criminalité. La victime d’une infraction intentionnelle violente (ou un parent) peut demander une indemnisation financière dans les conditions prévues par la loi précitée si l’infraction est une atteinte directe à la vie et au corps ou a été commise en usant de la force ou si elle constitue une atteinte à l’intégrité sexuelle et emporte une peine d’emprisonnement d’un an ou plus en vertu du Code pénal. Ladite loi dispose que seuls les demandeurs ressortissants de la Slovénie ou d’un autre État membre de l’UE ont droit à une indemnisation. Le Gouvernement slovène a mis en place la Commission d’indemnisation, qui bénéficie des avis d’experts et d’un appui administratif et technique du Ministère de la justice. Depuis l’entrée en vigueur de la loi précitée, le 1</w:t>
      </w:r>
      <w:r w:rsidRPr="008F5D8B">
        <w:rPr>
          <w:spacing w:val="-1"/>
          <w:vertAlign w:val="superscript"/>
          <w:lang w:val="fr-FR"/>
        </w:rPr>
        <w:t>er</w:t>
      </w:r>
      <w:r w:rsidR="00B803DA" w:rsidRPr="008F5D8B">
        <w:rPr>
          <w:spacing w:val="-1"/>
          <w:lang w:val="fr-FR"/>
        </w:rPr>
        <w:t> </w:t>
      </w:r>
      <w:r w:rsidRPr="008F5D8B">
        <w:rPr>
          <w:spacing w:val="-1"/>
          <w:lang w:val="fr-FR"/>
        </w:rPr>
        <w:t>janvier 2006, aucune demande d’indemnisation n’a été déposée en l’invoquant au motif de l’infraction pénale de torture (art</w:t>
      </w:r>
      <w:r w:rsidR="006313D9" w:rsidRPr="008F5D8B">
        <w:rPr>
          <w:spacing w:val="-1"/>
          <w:lang w:val="fr-FR"/>
        </w:rPr>
        <w:t>. </w:t>
      </w:r>
      <w:r w:rsidRPr="008F5D8B">
        <w:rPr>
          <w:spacing w:val="-1"/>
          <w:lang w:val="fr-FR"/>
        </w:rPr>
        <w:t>135a du Code pénal modifié ou 265 de l’ancien Code pénal).</w:t>
      </w:r>
    </w:p>
    <w:p w14:paraId="32D23946" w14:textId="77777777" w:rsidR="002A5EB2" w:rsidRPr="001A3179" w:rsidRDefault="002A5EB2" w:rsidP="00CC5511">
      <w:pPr>
        <w:pStyle w:val="H23G"/>
        <w:rPr>
          <w:lang w:val="fr-FR"/>
        </w:rPr>
      </w:pPr>
      <w:r w:rsidRPr="001A3179">
        <w:rPr>
          <w:lang w:val="fr-FR"/>
        </w:rPr>
        <w:tab/>
      </w:r>
      <w:r w:rsidRPr="001A3179">
        <w:rPr>
          <w:lang w:val="fr-FR"/>
        </w:rPr>
        <w:tab/>
      </w:r>
      <w:r w:rsidRPr="00DA14F5">
        <w:rPr>
          <w:lang w:val="fr-FR"/>
        </w:rPr>
        <w:t>Réponse au paragraphe</w:t>
      </w:r>
      <w:r w:rsidRPr="001A3179">
        <w:rPr>
          <w:lang w:val="fr-FR"/>
        </w:rPr>
        <w:t xml:space="preserve"> 6 de la liste des points à traiter</w:t>
      </w:r>
    </w:p>
    <w:p w14:paraId="45EC0A8C" w14:textId="77777777" w:rsidR="002A5EB2" w:rsidRPr="008F5D8B" w:rsidRDefault="002A5EB2" w:rsidP="002A5EB2">
      <w:pPr>
        <w:pStyle w:val="SingleTxtG"/>
        <w:rPr>
          <w:spacing w:val="-1"/>
          <w:lang w:val="fr-FR"/>
        </w:rPr>
      </w:pPr>
      <w:r w:rsidRPr="008F5D8B">
        <w:rPr>
          <w:spacing w:val="-1"/>
          <w:lang w:val="fr-FR"/>
        </w:rPr>
        <w:t>60.</w:t>
      </w:r>
      <w:r w:rsidRPr="008F5D8B">
        <w:rPr>
          <w:spacing w:val="-1"/>
          <w:lang w:val="fr-FR"/>
        </w:rPr>
        <w:tab/>
        <w:t>En 2016 est entrée en vigueur la loi portant modification de la loi sur la prévention de la violence familiale (ZPND-A), publiée dans le Journal officiel de la République de Slovénie [</w:t>
      </w:r>
      <w:proofErr w:type="spellStart"/>
      <w:r w:rsidRPr="008F5D8B">
        <w:rPr>
          <w:i/>
          <w:iCs/>
          <w:spacing w:val="-1"/>
          <w:lang w:val="fr-FR"/>
        </w:rPr>
        <w:t>Uradni</w:t>
      </w:r>
      <w:proofErr w:type="spellEnd"/>
      <w:r w:rsidRPr="008F5D8B">
        <w:rPr>
          <w:i/>
          <w:iCs/>
          <w:spacing w:val="-1"/>
          <w:lang w:val="fr-FR"/>
        </w:rPr>
        <w:t xml:space="preserve"> </w:t>
      </w:r>
      <w:proofErr w:type="spellStart"/>
      <w:r w:rsidRPr="008F5D8B">
        <w:rPr>
          <w:i/>
          <w:iCs/>
          <w:spacing w:val="-1"/>
          <w:lang w:val="fr-FR"/>
        </w:rPr>
        <w:t>list</w:t>
      </w:r>
      <w:proofErr w:type="spellEnd"/>
      <w:r w:rsidRPr="008F5D8B">
        <w:rPr>
          <w:i/>
          <w:iCs/>
          <w:spacing w:val="-1"/>
          <w:lang w:val="fr-FR"/>
        </w:rPr>
        <w:t xml:space="preserve"> RS</w:t>
      </w:r>
      <w:r w:rsidRPr="008F5D8B">
        <w:rPr>
          <w:spacing w:val="-1"/>
          <w:lang w:val="fr-FR"/>
        </w:rPr>
        <w:t xml:space="preserve">] </w:t>
      </w:r>
      <w:r w:rsidR="006313D9" w:rsidRPr="008F5D8B">
        <w:rPr>
          <w:rFonts w:eastAsia="MS Mincho"/>
          <w:spacing w:val="-1"/>
          <w:szCs w:val="22"/>
          <w:lang w:val="fr-FR"/>
        </w:rPr>
        <w:t>n</w:t>
      </w:r>
      <w:r w:rsidR="006313D9" w:rsidRPr="008F5D8B">
        <w:rPr>
          <w:rFonts w:eastAsia="MS Mincho"/>
          <w:spacing w:val="-1"/>
          <w:szCs w:val="22"/>
          <w:vertAlign w:val="superscript"/>
          <w:lang w:val="fr-FR"/>
        </w:rPr>
        <w:t>o</w:t>
      </w:r>
      <w:r w:rsidR="006313D9" w:rsidRPr="008F5D8B">
        <w:rPr>
          <w:spacing w:val="-1"/>
          <w:lang w:val="fr-FR"/>
        </w:rPr>
        <w:t> </w:t>
      </w:r>
      <w:r w:rsidRPr="008F5D8B">
        <w:rPr>
          <w:spacing w:val="-1"/>
          <w:lang w:val="fr-FR"/>
        </w:rPr>
        <w:t>68/16 du 4</w:t>
      </w:r>
      <w:r w:rsidR="006313D9" w:rsidRPr="008F5D8B">
        <w:rPr>
          <w:spacing w:val="-1"/>
          <w:lang w:val="fr-FR"/>
        </w:rPr>
        <w:t> </w:t>
      </w:r>
      <w:r w:rsidRPr="008F5D8B">
        <w:rPr>
          <w:spacing w:val="-1"/>
          <w:lang w:val="fr-FR"/>
        </w:rPr>
        <w:t>novembre 2016. Les changements introduits concernent principalement la définition des membres de la famille, désormais élargie</w:t>
      </w:r>
      <w:r w:rsidR="006313D9" w:rsidRPr="008F5D8B">
        <w:rPr>
          <w:spacing w:val="-1"/>
          <w:lang w:val="fr-FR"/>
        </w:rPr>
        <w:t> </w:t>
      </w:r>
      <w:r w:rsidRPr="008F5D8B">
        <w:rPr>
          <w:spacing w:val="-1"/>
          <w:lang w:val="fr-FR"/>
        </w:rPr>
        <w:t xml:space="preserve">; la définition de la violence familiale a elle aussi été élargie et une nouvelle forme de violence a été prise en compte </w:t>
      </w:r>
      <w:r w:rsidR="006313D9" w:rsidRPr="008F5D8B">
        <w:rPr>
          <w:spacing w:val="-1"/>
          <w:lang w:val="fr-FR"/>
        </w:rPr>
        <w:t>− </w:t>
      </w:r>
      <w:r w:rsidRPr="008F5D8B">
        <w:rPr>
          <w:spacing w:val="-1"/>
          <w:lang w:val="fr-FR"/>
        </w:rPr>
        <w:t xml:space="preserve">le harcèlement criminel. Une disposition interdisant d’infliger des châtiments corporels aux enfants a été ajoutée. L’éventail des mesures judiciaires possibles a été élargi, en particulier les mesures de protection des enfants. Une mesure de protection spéciale a été introduite en faveur des personnes dépendantes, à savoir l’obligation de signaler toute suspicion de violence envers une telle personne, selon les mêmes modalités que dans le cas des enfants, c’est-à-dire que toute personne, en particulier les professionnels de la santé, les personnels des établissements de soins et les enseignants, est tenue </w:t>
      </w:r>
      <w:r w:rsidR="00894C70" w:rsidRPr="008F5D8B">
        <w:rPr>
          <w:spacing w:val="-1"/>
          <w:lang w:val="fr-FR"/>
        </w:rPr>
        <w:t>− </w:t>
      </w:r>
      <w:r w:rsidRPr="008F5D8B">
        <w:rPr>
          <w:spacing w:val="-1"/>
          <w:lang w:val="fr-FR"/>
        </w:rPr>
        <w:t>en étant déliée du secret professionnel</w:t>
      </w:r>
      <w:r w:rsidR="00894C70" w:rsidRPr="008F5D8B">
        <w:rPr>
          <w:spacing w:val="-1"/>
          <w:lang w:val="fr-FR"/>
        </w:rPr>
        <w:t> −</w:t>
      </w:r>
      <w:r w:rsidRPr="008F5D8B">
        <w:rPr>
          <w:spacing w:val="-1"/>
          <w:lang w:val="fr-FR"/>
        </w:rPr>
        <w:t xml:space="preserve"> d’informer immédiatement un centre d’action sociale, la police ou le parquet si elle soupçonne qu’une personne dépendante est victime de violence. L’obligation de signalement s’applique expressément aux fournisseurs de contenus pour les enfants dans les associations sportives et culturelles. Le recours aux formes alternatives de règlement des litiges est interdit dans les procédures concernant toute forme de violence. Ces diverses mesures juridiques (et d’autres non mentionnées ci-dessus) ont contribué à mieux encadrer le système de prévention et de répression de la violence familiale.</w:t>
      </w:r>
    </w:p>
    <w:p w14:paraId="0B5D67B7" w14:textId="77777777" w:rsidR="002A5EB2" w:rsidRPr="001A3179" w:rsidRDefault="002A5EB2" w:rsidP="002A5EB2">
      <w:pPr>
        <w:pStyle w:val="SingleTxtG"/>
        <w:rPr>
          <w:lang w:val="fr-FR"/>
        </w:rPr>
      </w:pPr>
      <w:r w:rsidRPr="001A3179">
        <w:rPr>
          <w:lang w:val="fr-FR"/>
        </w:rPr>
        <w:t>61.</w:t>
      </w:r>
      <w:r w:rsidRPr="001A3179">
        <w:rPr>
          <w:lang w:val="fr-FR"/>
        </w:rPr>
        <w:tab/>
        <w:t xml:space="preserve">De nombreuses activités ont été menées aux fins de prévenir et de combattre la violence familiale. Menée pendant deux ans, de 2013 à 2015, la campagne nationale </w:t>
      </w:r>
      <w:proofErr w:type="spellStart"/>
      <w:r w:rsidRPr="001A3179">
        <w:rPr>
          <w:lang w:val="fr-FR"/>
        </w:rPr>
        <w:t>Vesn</w:t>
      </w:r>
      <w:proofErr w:type="spellEnd"/>
      <w:r w:rsidR="006313D9">
        <w:rPr>
          <w:lang w:val="fr-FR"/>
        </w:rPr>
        <w:t xml:space="preserve"> − </w:t>
      </w:r>
      <w:r w:rsidRPr="001A3179">
        <w:rPr>
          <w:lang w:val="fr-FR"/>
        </w:rPr>
        <w:t>vivre une vie sans violence (</w:t>
      </w:r>
      <w:r w:rsidRPr="00BD60A7">
        <w:rPr>
          <w:i/>
          <w:iCs/>
          <w:lang w:val="fr-FR"/>
        </w:rPr>
        <w:t xml:space="preserve">Vesna </w:t>
      </w:r>
      <w:r w:rsidR="006313D9">
        <w:rPr>
          <w:i/>
          <w:iCs/>
          <w:lang w:val="fr-FR"/>
        </w:rPr>
        <w:t>− </w:t>
      </w:r>
      <w:proofErr w:type="spellStart"/>
      <w:r w:rsidRPr="00BD60A7">
        <w:rPr>
          <w:i/>
          <w:iCs/>
          <w:lang w:val="fr-FR"/>
        </w:rPr>
        <w:t>živeti</w:t>
      </w:r>
      <w:proofErr w:type="spellEnd"/>
      <w:r w:rsidRPr="00BD60A7">
        <w:rPr>
          <w:i/>
          <w:iCs/>
          <w:lang w:val="fr-FR"/>
        </w:rPr>
        <w:t xml:space="preserve"> </w:t>
      </w:r>
      <w:proofErr w:type="spellStart"/>
      <w:r w:rsidRPr="00BD60A7">
        <w:rPr>
          <w:i/>
          <w:iCs/>
          <w:lang w:val="fr-FR"/>
        </w:rPr>
        <w:t>življenje</w:t>
      </w:r>
      <w:proofErr w:type="spellEnd"/>
      <w:r w:rsidRPr="00BD60A7">
        <w:rPr>
          <w:i/>
          <w:iCs/>
          <w:lang w:val="fr-FR"/>
        </w:rPr>
        <w:t xml:space="preserve"> </w:t>
      </w:r>
      <w:proofErr w:type="spellStart"/>
      <w:r w:rsidRPr="00BD60A7">
        <w:rPr>
          <w:i/>
          <w:iCs/>
          <w:lang w:val="fr-FR"/>
        </w:rPr>
        <w:t>brez</w:t>
      </w:r>
      <w:proofErr w:type="spellEnd"/>
      <w:r w:rsidRPr="00BD60A7">
        <w:rPr>
          <w:i/>
          <w:iCs/>
          <w:lang w:val="fr-FR"/>
        </w:rPr>
        <w:t xml:space="preserve"> </w:t>
      </w:r>
      <w:proofErr w:type="spellStart"/>
      <w:r w:rsidRPr="00BD60A7">
        <w:rPr>
          <w:i/>
          <w:iCs/>
          <w:lang w:val="fr-FR"/>
        </w:rPr>
        <w:t>nasilja</w:t>
      </w:r>
      <w:proofErr w:type="spellEnd"/>
      <w:r w:rsidRPr="001A3179">
        <w:rPr>
          <w:lang w:val="fr-FR"/>
        </w:rPr>
        <w:t>) avait pour objet principal de sensibiliser la population au problème de la violence à l</w:t>
      </w:r>
      <w:r>
        <w:rPr>
          <w:lang w:val="fr-FR"/>
        </w:rPr>
        <w:t>’</w:t>
      </w:r>
      <w:r w:rsidRPr="001A3179">
        <w:rPr>
          <w:lang w:val="fr-FR"/>
        </w:rPr>
        <w:t>égard des femmes et des filles et d</w:t>
      </w:r>
      <w:r>
        <w:rPr>
          <w:lang w:val="fr-FR"/>
        </w:rPr>
        <w:t>’</w:t>
      </w:r>
      <w:r w:rsidRPr="001A3179">
        <w:rPr>
          <w:lang w:val="fr-FR"/>
        </w:rPr>
        <w:t xml:space="preserve">informer les femmes ayant subi des violences (et les victimes potentielles), les experts et le grand public. En 2016, le </w:t>
      </w:r>
      <w:bookmarkStart w:id="18" w:name="_Hlk38437572"/>
      <w:r w:rsidRPr="001A3179">
        <w:rPr>
          <w:lang w:val="fr-FR"/>
        </w:rPr>
        <w:t xml:space="preserve">Ministère du travail et des affaires sociales </w:t>
      </w:r>
      <w:bookmarkEnd w:id="18"/>
      <w:r w:rsidRPr="001A3179">
        <w:rPr>
          <w:lang w:val="fr-FR"/>
        </w:rPr>
        <w:t>a mené une campagne médiatique de sensibilisation et d</w:t>
      </w:r>
      <w:r>
        <w:rPr>
          <w:lang w:val="fr-FR"/>
        </w:rPr>
        <w:t>’</w:t>
      </w:r>
      <w:r w:rsidRPr="001A3179">
        <w:rPr>
          <w:lang w:val="fr-FR"/>
        </w:rPr>
        <w:t xml:space="preserve">information sur le problème de la </w:t>
      </w:r>
      <w:r w:rsidRPr="001A3179">
        <w:rPr>
          <w:lang w:val="fr-FR"/>
        </w:rPr>
        <w:lastRenderedPageBreak/>
        <w:t>violence familiale, en insistant sur la violence contre les enfants. Cette campagne visait à sensibiliser la population à l</w:t>
      </w:r>
      <w:r>
        <w:rPr>
          <w:lang w:val="fr-FR"/>
        </w:rPr>
        <w:t>’</w:t>
      </w:r>
      <w:r w:rsidRPr="001A3179">
        <w:rPr>
          <w:lang w:val="fr-FR"/>
        </w:rPr>
        <w:t>importance de signaler la violence familiale et la violence contre les enfants. Quatre brochures sur le problème de la violence familiale ont été publiées en 2018 (informations à l</w:t>
      </w:r>
      <w:r>
        <w:rPr>
          <w:lang w:val="fr-FR"/>
        </w:rPr>
        <w:t>’</w:t>
      </w:r>
      <w:r w:rsidRPr="001A3179">
        <w:rPr>
          <w:lang w:val="fr-FR"/>
        </w:rPr>
        <w:t>intention des victimes et des auteurs de violences ; ordonnances de protection et mesures de sécurité ; assistance juridique gratuite ; fonctions des centres d</w:t>
      </w:r>
      <w:r>
        <w:rPr>
          <w:lang w:val="fr-FR"/>
        </w:rPr>
        <w:t>’</w:t>
      </w:r>
      <w:r w:rsidRPr="001A3179">
        <w:rPr>
          <w:lang w:val="fr-FR"/>
        </w:rPr>
        <w:t>action sociale).</w:t>
      </w:r>
    </w:p>
    <w:p w14:paraId="19609C91" w14:textId="77777777" w:rsidR="002A5EB2" w:rsidRPr="001A3179" w:rsidRDefault="002A5EB2" w:rsidP="002A5EB2">
      <w:pPr>
        <w:pStyle w:val="SingleTxtG"/>
        <w:rPr>
          <w:lang w:val="fr-FR"/>
        </w:rPr>
      </w:pPr>
      <w:r w:rsidRPr="001A3179">
        <w:rPr>
          <w:lang w:val="fr-FR"/>
        </w:rPr>
        <w:t>62.</w:t>
      </w:r>
      <w:r w:rsidRPr="001A3179">
        <w:rPr>
          <w:lang w:val="fr-FR"/>
        </w:rPr>
        <w:tab/>
        <w:t xml:space="preserve">En 2017, le Ministère du travail et des affaires sociales a cofinancé 38 programmes de prévention de la violence </w:t>
      </w:r>
      <w:r w:rsidR="006313D9">
        <w:rPr>
          <w:lang w:val="fr-FR"/>
        </w:rPr>
        <w:t>− </w:t>
      </w:r>
      <w:r w:rsidRPr="001A3179">
        <w:rPr>
          <w:lang w:val="fr-FR"/>
        </w:rPr>
        <w:t>27 d</w:t>
      </w:r>
      <w:r>
        <w:rPr>
          <w:lang w:val="fr-FR"/>
        </w:rPr>
        <w:t>’</w:t>
      </w:r>
      <w:r w:rsidRPr="001A3179">
        <w:rPr>
          <w:lang w:val="fr-FR"/>
        </w:rPr>
        <w:t xml:space="preserve">entre eux étant intégrés au dispositif de </w:t>
      </w:r>
      <w:proofErr w:type="spellStart"/>
      <w:r w:rsidRPr="001A3179">
        <w:rPr>
          <w:lang w:val="fr-FR"/>
        </w:rPr>
        <w:t>cofinancement</w:t>
      </w:r>
      <w:proofErr w:type="spellEnd"/>
      <w:r w:rsidRPr="001A3179">
        <w:rPr>
          <w:lang w:val="fr-FR"/>
        </w:rPr>
        <w:t xml:space="preserve"> pluriannuel (de </w:t>
      </w:r>
      <w:r w:rsidR="006313D9">
        <w:rPr>
          <w:lang w:val="fr-FR"/>
        </w:rPr>
        <w:t>sept</w:t>
      </w:r>
      <w:r w:rsidRPr="001A3179">
        <w:rPr>
          <w:lang w:val="fr-FR"/>
        </w:rPr>
        <w:t xml:space="preserve"> ans) pour garantir la stabilité de leur mise en œuvre. Ces programmes sont réalisé</w:t>
      </w:r>
      <w:r>
        <w:rPr>
          <w:lang w:val="fr-FR"/>
        </w:rPr>
        <w:t>s</w:t>
      </w:r>
      <w:r w:rsidRPr="001A3179">
        <w:rPr>
          <w:lang w:val="fr-FR"/>
        </w:rPr>
        <w:t xml:space="preserve"> en différents lieux ou concernent plusieurs unités.</w:t>
      </w:r>
    </w:p>
    <w:p w14:paraId="2A632C49" w14:textId="77777777" w:rsidR="002A5EB2" w:rsidRPr="001A3179" w:rsidRDefault="002A5EB2" w:rsidP="002A5EB2">
      <w:pPr>
        <w:pStyle w:val="SingleTxtG"/>
        <w:rPr>
          <w:lang w:val="fr-FR"/>
        </w:rPr>
      </w:pPr>
      <w:r w:rsidRPr="001A3179">
        <w:rPr>
          <w:lang w:val="fr-FR"/>
        </w:rPr>
        <w:t>63.</w:t>
      </w:r>
      <w:r w:rsidRPr="001A3179">
        <w:rPr>
          <w:lang w:val="fr-FR"/>
        </w:rPr>
        <w:tab/>
        <w:t>Sur ce total on dénombre 22 programmes de prévention de la violence permettant d</w:t>
      </w:r>
      <w:r>
        <w:rPr>
          <w:lang w:val="fr-FR"/>
        </w:rPr>
        <w:t>’</w:t>
      </w:r>
      <w:r w:rsidRPr="001A3179">
        <w:rPr>
          <w:lang w:val="fr-FR"/>
        </w:rPr>
        <w:t xml:space="preserve">héberger les personnes concernées, dont </w:t>
      </w:r>
      <w:r w:rsidR="006313D9">
        <w:rPr>
          <w:lang w:val="fr-FR"/>
        </w:rPr>
        <w:t>7</w:t>
      </w:r>
      <w:r w:rsidRPr="001A3179">
        <w:rPr>
          <w:lang w:val="fr-FR"/>
        </w:rPr>
        <w:t xml:space="preserve"> programmes de refuges pour femmes, 14</w:t>
      </w:r>
      <w:r w:rsidR="006313D9">
        <w:rPr>
          <w:lang w:val="fr-FR"/>
        </w:rPr>
        <w:t> </w:t>
      </w:r>
      <w:r w:rsidRPr="001A3179">
        <w:rPr>
          <w:lang w:val="fr-FR"/>
        </w:rPr>
        <w:t>programmes de maisons d</w:t>
      </w:r>
      <w:r>
        <w:rPr>
          <w:lang w:val="fr-FR"/>
        </w:rPr>
        <w:t>’</w:t>
      </w:r>
      <w:r w:rsidRPr="001A3179">
        <w:rPr>
          <w:lang w:val="fr-FR"/>
        </w:rPr>
        <w:t xml:space="preserve">accueil, de refuges et de centres de crise et </w:t>
      </w:r>
      <w:r w:rsidR="006313D9">
        <w:rPr>
          <w:lang w:val="fr-FR"/>
        </w:rPr>
        <w:t>1 </w:t>
      </w:r>
      <w:r w:rsidRPr="001A3179">
        <w:rPr>
          <w:lang w:val="fr-FR"/>
        </w:rPr>
        <w:t>programme de conseil de l</w:t>
      </w:r>
      <w:r>
        <w:rPr>
          <w:lang w:val="fr-FR"/>
        </w:rPr>
        <w:t>’</w:t>
      </w:r>
      <w:r w:rsidRPr="001A3179">
        <w:rPr>
          <w:lang w:val="fr-FR"/>
        </w:rPr>
        <w:t xml:space="preserve">association </w:t>
      </w:r>
      <w:proofErr w:type="spellStart"/>
      <w:r w:rsidRPr="001A3179">
        <w:rPr>
          <w:lang w:val="fr-FR"/>
        </w:rPr>
        <w:t>Vizija</w:t>
      </w:r>
      <w:proofErr w:type="spellEnd"/>
      <w:r w:rsidRPr="001A3179">
        <w:rPr>
          <w:lang w:val="fr-FR"/>
        </w:rPr>
        <w:t xml:space="preserve"> </w:t>
      </w:r>
      <w:r w:rsidR="006313D9">
        <w:rPr>
          <w:lang w:val="fr-FR"/>
        </w:rPr>
        <w:t>− </w:t>
      </w:r>
      <w:r w:rsidRPr="001A3179">
        <w:rPr>
          <w:lang w:val="fr-FR"/>
        </w:rPr>
        <w:t xml:space="preserve">Violence envers les personnes handicapées. Le Ministère du travail et des affaires sociales a de plus cofinancé 14 services de conseil, </w:t>
      </w:r>
      <w:r w:rsidR="006313D9">
        <w:rPr>
          <w:lang w:val="fr-FR"/>
        </w:rPr>
        <w:t>2 </w:t>
      </w:r>
      <w:r w:rsidRPr="001A3179">
        <w:rPr>
          <w:lang w:val="fr-FR"/>
        </w:rPr>
        <w:t>programmes pour les auteurs de violence</w:t>
      </w:r>
      <w:r>
        <w:rPr>
          <w:lang w:val="fr-FR"/>
        </w:rPr>
        <w:t>s</w:t>
      </w:r>
      <w:r w:rsidRPr="001A3179">
        <w:rPr>
          <w:lang w:val="fr-FR"/>
        </w:rPr>
        <w:t xml:space="preserve">, </w:t>
      </w:r>
      <w:r w:rsidR="006313D9">
        <w:rPr>
          <w:lang w:val="fr-FR"/>
        </w:rPr>
        <w:t>1</w:t>
      </w:r>
      <w:r w:rsidRPr="001A3179">
        <w:rPr>
          <w:lang w:val="fr-FR"/>
        </w:rPr>
        <w:t xml:space="preserve"> programme de prévention de la violence envers les personnes âgées et </w:t>
      </w:r>
      <w:r w:rsidR="006313D9">
        <w:rPr>
          <w:lang w:val="fr-FR"/>
        </w:rPr>
        <w:t>1</w:t>
      </w:r>
      <w:r w:rsidRPr="001A3179">
        <w:rPr>
          <w:lang w:val="fr-FR"/>
        </w:rPr>
        <w:t xml:space="preserve"> programme de conseils par téléphone. En 2017, 11</w:t>
      </w:r>
      <w:r w:rsidR="006313D9">
        <w:rPr>
          <w:lang w:val="fr-FR"/>
        </w:rPr>
        <w:t> </w:t>
      </w:r>
      <w:r w:rsidRPr="001A3179">
        <w:rPr>
          <w:lang w:val="fr-FR"/>
        </w:rPr>
        <w:t>474</w:t>
      </w:r>
      <w:r w:rsidR="006313D9">
        <w:rPr>
          <w:lang w:val="fr-FR"/>
        </w:rPr>
        <w:t> </w:t>
      </w:r>
      <w:r w:rsidRPr="001A3179">
        <w:rPr>
          <w:lang w:val="fr-FR"/>
        </w:rPr>
        <w:t>personnes ont bénéficié des divers programmes de prévention de la violence, 1</w:t>
      </w:r>
      <w:r w:rsidR="006313D9">
        <w:rPr>
          <w:lang w:val="fr-FR"/>
        </w:rPr>
        <w:t> </w:t>
      </w:r>
      <w:r w:rsidRPr="001A3179">
        <w:rPr>
          <w:lang w:val="fr-FR"/>
        </w:rPr>
        <w:t>300</w:t>
      </w:r>
      <w:r w:rsidR="006313D9">
        <w:rPr>
          <w:lang w:val="fr-FR"/>
        </w:rPr>
        <w:t> </w:t>
      </w:r>
      <w:r w:rsidRPr="001A3179">
        <w:rPr>
          <w:lang w:val="fr-FR"/>
        </w:rPr>
        <w:t>services ont été fournis à des usagers anonymes, 3</w:t>
      </w:r>
      <w:r w:rsidR="006313D9">
        <w:rPr>
          <w:lang w:val="fr-FR"/>
        </w:rPr>
        <w:t> </w:t>
      </w:r>
      <w:r w:rsidRPr="001A3179">
        <w:rPr>
          <w:lang w:val="fr-FR"/>
        </w:rPr>
        <w:t>500</w:t>
      </w:r>
      <w:r w:rsidR="006313D9">
        <w:rPr>
          <w:lang w:val="fr-FR"/>
        </w:rPr>
        <w:t> </w:t>
      </w:r>
      <w:r w:rsidRPr="001A3179">
        <w:rPr>
          <w:lang w:val="fr-FR"/>
        </w:rPr>
        <w:t>personnes ont bénéficié de sous-programmes et 1</w:t>
      </w:r>
      <w:r w:rsidR="006313D9">
        <w:rPr>
          <w:lang w:val="fr-FR"/>
        </w:rPr>
        <w:t> </w:t>
      </w:r>
      <w:r w:rsidRPr="001A3179">
        <w:rPr>
          <w:lang w:val="fr-FR"/>
        </w:rPr>
        <w:t>400</w:t>
      </w:r>
      <w:r w:rsidR="006313D9">
        <w:rPr>
          <w:lang w:val="fr-FR"/>
        </w:rPr>
        <w:t> </w:t>
      </w:r>
      <w:r w:rsidRPr="001A3179">
        <w:rPr>
          <w:lang w:val="fr-FR"/>
        </w:rPr>
        <w:t>services supplémentaires ont été fournis. Quelque 449</w:t>
      </w:r>
      <w:r w:rsidR="006313D9">
        <w:rPr>
          <w:lang w:val="fr-FR"/>
        </w:rPr>
        <w:t> </w:t>
      </w:r>
      <w:r w:rsidRPr="001A3179">
        <w:rPr>
          <w:lang w:val="fr-FR"/>
        </w:rPr>
        <w:t>lits (146</w:t>
      </w:r>
      <w:r w:rsidR="006313D9">
        <w:rPr>
          <w:lang w:val="fr-FR"/>
        </w:rPr>
        <w:t> </w:t>
      </w:r>
      <w:r w:rsidRPr="001A3179">
        <w:rPr>
          <w:lang w:val="fr-FR"/>
        </w:rPr>
        <w:t>chambres) étaient disponibles au titre de ces programmes.</w:t>
      </w:r>
    </w:p>
    <w:p w14:paraId="39A6BC8B" w14:textId="77777777" w:rsidR="002A5EB2" w:rsidRPr="001A3179" w:rsidRDefault="002A5EB2" w:rsidP="002A5EB2">
      <w:pPr>
        <w:pStyle w:val="SingleTxtG"/>
        <w:rPr>
          <w:lang w:val="fr-FR"/>
        </w:rPr>
      </w:pPr>
      <w:r w:rsidRPr="001A3179">
        <w:rPr>
          <w:lang w:val="fr-FR"/>
        </w:rPr>
        <w:t>64.</w:t>
      </w:r>
      <w:r w:rsidRPr="001A3179">
        <w:rPr>
          <w:lang w:val="fr-FR"/>
        </w:rPr>
        <w:tab/>
        <w:t>Les programmes de prévention de la violence ci-après ont été cofinancés</w:t>
      </w:r>
      <w:r w:rsidR="00CC5511">
        <w:rPr>
          <w:lang w:val="fr-FR"/>
        </w:rPr>
        <w:t> </w:t>
      </w:r>
      <w:r w:rsidRPr="001A3179">
        <w:rPr>
          <w:lang w:val="fr-FR"/>
        </w:rPr>
        <w:t>:</w:t>
      </w:r>
    </w:p>
    <w:p w14:paraId="4C9BFA09" w14:textId="77777777" w:rsidR="002A5EB2" w:rsidRPr="001A3179" w:rsidRDefault="002A5EB2" w:rsidP="00CC5511">
      <w:pPr>
        <w:pStyle w:val="Bullet1G"/>
        <w:rPr>
          <w:lang w:val="fr-FR"/>
        </w:rPr>
      </w:pPr>
      <w:r w:rsidRPr="001A3179">
        <w:rPr>
          <w:lang w:val="fr-FR"/>
        </w:rPr>
        <w:t>Refuges pour femmes</w:t>
      </w:r>
      <w:r w:rsidR="00CC5511">
        <w:rPr>
          <w:lang w:val="fr-FR"/>
        </w:rPr>
        <w:t> </w:t>
      </w:r>
      <w:r w:rsidRPr="001A3179">
        <w:rPr>
          <w:lang w:val="fr-FR"/>
        </w:rPr>
        <w:t>;</w:t>
      </w:r>
    </w:p>
    <w:p w14:paraId="16D4076F" w14:textId="77777777" w:rsidR="002A5EB2" w:rsidRPr="001A3179" w:rsidRDefault="002A5EB2" w:rsidP="00CC5511">
      <w:pPr>
        <w:pStyle w:val="Bullet1G"/>
        <w:rPr>
          <w:lang w:val="fr-FR"/>
        </w:rPr>
      </w:pPr>
      <w:r w:rsidRPr="001A3179">
        <w:rPr>
          <w:lang w:val="fr-FR"/>
        </w:rPr>
        <w:t>Maisons d</w:t>
      </w:r>
      <w:r>
        <w:rPr>
          <w:lang w:val="fr-FR"/>
        </w:rPr>
        <w:t>’</w:t>
      </w:r>
      <w:r w:rsidRPr="001A3179">
        <w:rPr>
          <w:lang w:val="fr-FR"/>
        </w:rPr>
        <w:t>accueil, refuges, centres de crise</w:t>
      </w:r>
      <w:r w:rsidR="00CC5511">
        <w:rPr>
          <w:lang w:val="fr-FR"/>
        </w:rPr>
        <w:t> </w:t>
      </w:r>
      <w:r w:rsidRPr="001A3179">
        <w:rPr>
          <w:lang w:val="fr-FR"/>
        </w:rPr>
        <w:t>;</w:t>
      </w:r>
    </w:p>
    <w:p w14:paraId="5F2DF0D5" w14:textId="77777777" w:rsidR="002A5EB2" w:rsidRPr="001A3179" w:rsidRDefault="002A5EB2" w:rsidP="00CC5511">
      <w:pPr>
        <w:pStyle w:val="Bullet1G"/>
        <w:rPr>
          <w:lang w:val="fr-FR"/>
        </w:rPr>
      </w:pPr>
      <w:r w:rsidRPr="001A3179">
        <w:rPr>
          <w:lang w:val="fr-FR"/>
        </w:rPr>
        <w:t>Conseils aux victimes de violence</w:t>
      </w:r>
      <w:r w:rsidR="00CC5511">
        <w:rPr>
          <w:lang w:val="fr-FR"/>
        </w:rPr>
        <w:t> </w:t>
      </w:r>
      <w:r w:rsidRPr="001A3179">
        <w:rPr>
          <w:lang w:val="fr-FR"/>
        </w:rPr>
        <w:t>;</w:t>
      </w:r>
    </w:p>
    <w:p w14:paraId="007D0E79" w14:textId="77777777" w:rsidR="002A5EB2" w:rsidRPr="001A3179" w:rsidRDefault="002A5EB2" w:rsidP="00CC5511">
      <w:pPr>
        <w:pStyle w:val="Bullet1G"/>
        <w:rPr>
          <w:lang w:val="fr-FR"/>
        </w:rPr>
      </w:pPr>
      <w:r w:rsidRPr="001A3179">
        <w:rPr>
          <w:lang w:val="fr-FR"/>
        </w:rPr>
        <w:t>Programmes pour les auteurs de violence</w:t>
      </w:r>
      <w:r>
        <w:rPr>
          <w:lang w:val="fr-FR"/>
        </w:rPr>
        <w:t>s</w:t>
      </w:r>
      <w:r w:rsidR="00CC5511">
        <w:rPr>
          <w:lang w:val="fr-FR"/>
        </w:rPr>
        <w:t> </w:t>
      </w:r>
      <w:r w:rsidRPr="001A3179">
        <w:rPr>
          <w:lang w:val="fr-FR"/>
        </w:rPr>
        <w:t>;</w:t>
      </w:r>
    </w:p>
    <w:p w14:paraId="58A0EB6E" w14:textId="77777777" w:rsidR="002A5EB2" w:rsidRPr="001A3179" w:rsidRDefault="002A5EB2" w:rsidP="00CC5511">
      <w:pPr>
        <w:pStyle w:val="Bullet1G"/>
        <w:rPr>
          <w:lang w:val="fr-FR"/>
        </w:rPr>
      </w:pPr>
      <w:r w:rsidRPr="001A3179">
        <w:rPr>
          <w:lang w:val="fr-FR"/>
        </w:rPr>
        <w:t>Activités de prévention de la violence envers les personnes âgées</w:t>
      </w:r>
      <w:r w:rsidR="00CC5511">
        <w:rPr>
          <w:lang w:val="fr-FR"/>
        </w:rPr>
        <w:t> </w:t>
      </w:r>
      <w:r w:rsidRPr="001A3179">
        <w:rPr>
          <w:lang w:val="fr-FR"/>
        </w:rPr>
        <w:t>;</w:t>
      </w:r>
    </w:p>
    <w:p w14:paraId="3074D300" w14:textId="77777777" w:rsidR="002A5EB2" w:rsidRPr="001A3179" w:rsidRDefault="002A5EB2" w:rsidP="00CC5511">
      <w:pPr>
        <w:pStyle w:val="Bullet1G"/>
        <w:rPr>
          <w:lang w:val="fr-FR"/>
        </w:rPr>
      </w:pPr>
      <w:r w:rsidRPr="001A3179">
        <w:rPr>
          <w:lang w:val="fr-FR"/>
        </w:rPr>
        <w:t>Services de conseils par téléphone.</w:t>
      </w:r>
    </w:p>
    <w:p w14:paraId="0CCF657E" w14:textId="77777777" w:rsidR="002A5EB2" w:rsidRPr="001A3179" w:rsidRDefault="002A5EB2" w:rsidP="002A5EB2">
      <w:pPr>
        <w:pStyle w:val="SingleTxtG"/>
        <w:rPr>
          <w:lang w:val="fr-FR"/>
        </w:rPr>
      </w:pPr>
      <w:r w:rsidRPr="001A3179">
        <w:rPr>
          <w:lang w:val="fr-FR"/>
        </w:rPr>
        <w:t>65.</w:t>
      </w:r>
      <w:r w:rsidRPr="001A3179">
        <w:rPr>
          <w:lang w:val="fr-FR"/>
        </w:rPr>
        <w:tab/>
        <w:t>Parmi les autres mesures prises figure la ratification de la Convention du Conseil de l</w:t>
      </w:r>
      <w:r>
        <w:rPr>
          <w:lang w:val="fr-FR"/>
        </w:rPr>
        <w:t>’</w:t>
      </w:r>
      <w:r w:rsidRPr="001A3179">
        <w:rPr>
          <w:lang w:val="fr-FR"/>
        </w:rPr>
        <w:t>Europe sur la prévention et la lutte contre la violence à l</w:t>
      </w:r>
      <w:r>
        <w:rPr>
          <w:lang w:val="fr-FR"/>
        </w:rPr>
        <w:t>’</w:t>
      </w:r>
      <w:r w:rsidRPr="001A3179">
        <w:rPr>
          <w:lang w:val="fr-FR"/>
        </w:rPr>
        <w:t>égard des femmes et la violence domestique (ci-après</w:t>
      </w:r>
      <w:r w:rsidR="00CC5511">
        <w:rPr>
          <w:lang w:val="fr-FR"/>
        </w:rPr>
        <w:t> </w:t>
      </w:r>
      <w:r w:rsidRPr="001A3179">
        <w:rPr>
          <w:lang w:val="fr-FR"/>
        </w:rPr>
        <w:t>: la Convention d</w:t>
      </w:r>
      <w:r>
        <w:rPr>
          <w:lang w:val="fr-FR"/>
        </w:rPr>
        <w:t>’</w:t>
      </w:r>
      <w:r w:rsidRPr="001A3179">
        <w:rPr>
          <w:lang w:val="fr-FR"/>
        </w:rPr>
        <w:t>Istanbul), premier instrument juridique international à couvrir exhaustivement les obligations des États parties en matière de prévention de ces types de violences envers les femmes. La Slovénie a signé la Convention d</w:t>
      </w:r>
      <w:r>
        <w:rPr>
          <w:lang w:val="fr-FR"/>
        </w:rPr>
        <w:t>’</w:t>
      </w:r>
      <w:r w:rsidRPr="001A3179">
        <w:rPr>
          <w:lang w:val="fr-FR"/>
        </w:rPr>
        <w:t>Istanbul le 8</w:t>
      </w:r>
      <w:r w:rsidR="00CC5511">
        <w:rPr>
          <w:lang w:val="fr-FR"/>
        </w:rPr>
        <w:t> </w:t>
      </w:r>
      <w:r w:rsidRPr="001A3179">
        <w:rPr>
          <w:lang w:val="fr-FR"/>
        </w:rPr>
        <w:t>septembre 2011 (étant ainsi un des premiers États signataires) et l</w:t>
      </w:r>
      <w:r>
        <w:rPr>
          <w:lang w:val="fr-FR"/>
        </w:rPr>
        <w:t>’</w:t>
      </w:r>
      <w:r w:rsidRPr="001A3179">
        <w:rPr>
          <w:lang w:val="fr-FR"/>
        </w:rPr>
        <w:t>a ratifiée le 5</w:t>
      </w:r>
      <w:r w:rsidR="005E632D">
        <w:rPr>
          <w:lang w:val="fr-FR"/>
        </w:rPr>
        <w:t> </w:t>
      </w:r>
      <w:r w:rsidRPr="001A3179">
        <w:rPr>
          <w:lang w:val="fr-FR"/>
        </w:rPr>
        <w:t>février 2015. En devenant parties à la Convention, les États adhèrent à une approche intégrée de la lutte contre la violence envers les femmes et les filles, y compris la violence familiale, qui combine prévention de la violence, protection et soutien des victimes, poursuite des auteurs et action globale et coordonnée. Dans le souci de traiter ces questions avec efficacité un groupe de travail interministériel a été mis en place et chargé de coordonner, de mener, de suivre et d</w:t>
      </w:r>
      <w:r>
        <w:rPr>
          <w:lang w:val="fr-FR"/>
        </w:rPr>
        <w:t>’</w:t>
      </w:r>
      <w:r w:rsidRPr="001A3179">
        <w:rPr>
          <w:lang w:val="fr-FR"/>
        </w:rPr>
        <w:t>évaluer les politiques et mesures destinées à prévenir et combattre toutes les formes de violence couvertes par la Convention d</w:t>
      </w:r>
      <w:r>
        <w:rPr>
          <w:lang w:val="fr-FR"/>
        </w:rPr>
        <w:t>’</w:t>
      </w:r>
      <w:r w:rsidRPr="001A3179">
        <w:rPr>
          <w:lang w:val="fr-FR"/>
        </w:rPr>
        <w:t>Istanbul.</w:t>
      </w:r>
    </w:p>
    <w:p w14:paraId="0B7558FC" w14:textId="77777777" w:rsidR="002A5EB2" w:rsidRPr="001A3179" w:rsidRDefault="002A5EB2" w:rsidP="002A5EB2">
      <w:pPr>
        <w:pStyle w:val="SingleTxtG"/>
        <w:rPr>
          <w:lang w:val="fr-FR"/>
        </w:rPr>
      </w:pPr>
      <w:r w:rsidRPr="001A3179">
        <w:rPr>
          <w:lang w:val="fr-FR"/>
        </w:rPr>
        <w:t>66.</w:t>
      </w:r>
      <w:r w:rsidRPr="001A3179">
        <w:rPr>
          <w:lang w:val="fr-FR"/>
        </w:rPr>
        <w:tab/>
        <w:t xml:space="preserve">La Slovénie a aussi réalisé </w:t>
      </w:r>
      <w:r>
        <w:rPr>
          <w:lang w:val="fr-FR"/>
        </w:rPr>
        <w:t xml:space="preserve">de </w:t>
      </w:r>
      <w:r w:rsidRPr="001A3179">
        <w:rPr>
          <w:lang w:val="fr-FR"/>
        </w:rPr>
        <w:t>grands progrès pour ce qui est de la protection des enfants. Elle a adopté la Convention du Conseil de l</w:t>
      </w:r>
      <w:r>
        <w:rPr>
          <w:lang w:val="fr-FR"/>
        </w:rPr>
        <w:t>’</w:t>
      </w:r>
      <w:r w:rsidRPr="001A3179">
        <w:rPr>
          <w:lang w:val="fr-FR"/>
        </w:rPr>
        <w:t>Europe sur la protection des enfants contre l</w:t>
      </w:r>
      <w:r>
        <w:rPr>
          <w:lang w:val="fr-FR"/>
        </w:rPr>
        <w:t>’</w:t>
      </w:r>
      <w:r w:rsidRPr="001A3179">
        <w:rPr>
          <w:lang w:val="fr-FR"/>
        </w:rPr>
        <w:t>exploitation et les abus sexuels (Convention de Lanzarote), qui est entrée en vigueur le 1</w:t>
      </w:r>
      <w:r w:rsidRPr="001A3179">
        <w:rPr>
          <w:vertAlign w:val="superscript"/>
          <w:lang w:val="fr-FR"/>
        </w:rPr>
        <w:t>er</w:t>
      </w:r>
      <w:r w:rsidR="008F5D8B">
        <w:rPr>
          <w:lang w:val="fr-FR"/>
        </w:rPr>
        <w:t> </w:t>
      </w:r>
      <w:r w:rsidRPr="001A3179">
        <w:rPr>
          <w:lang w:val="fr-FR"/>
        </w:rPr>
        <w:t>janvier 2014 et est un des instruments cl</w:t>
      </w:r>
      <w:r w:rsidR="008F5D8B">
        <w:rPr>
          <w:lang w:val="fr-FR"/>
        </w:rPr>
        <w:t>ef</w:t>
      </w:r>
      <w:r w:rsidRPr="001A3179">
        <w:rPr>
          <w:lang w:val="fr-FR"/>
        </w:rPr>
        <w:t>s du Conseil en la matière en ce qu</w:t>
      </w:r>
      <w:r>
        <w:rPr>
          <w:lang w:val="fr-FR"/>
        </w:rPr>
        <w:t>’</w:t>
      </w:r>
      <w:r w:rsidRPr="001A3179">
        <w:rPr>
          <w:lang w:val="fr-FR"/>
        </w:rPr>
        <w:t>elle couvre tous les aspects de ce problème, à savoir l</w:t>
      </w:r>
      <w:r>
        <w:rPr>
          <w:lang w:val="fr-FR"/>
        </w:rPr>
        <w:t>’</w:t>
      </w:r>
      <w:r w:rsidRPr="001A3179">
        <w:rPr>
          <w:lang w:val="fr-FR"/>
        </w:rPr>
        <w:t>incrimination de toutes les atteintes sexuelles contre les enfants, la répression des auteurs et la protection des victimes.</w:t>
      </w:r>
    </w:p>
    <w:p w14:paraId="2FE37697" w14:textId="77777777" w:rsidR="002A5EB2" w:rsidRPr="001A3179" w:rsidRDefault="002A5EB2" w:rsidP="002A5EB2">
      <w:pPr>
        <w:pStyle w:val="SingleTxtG"/>
        <w:rPr>
          <w:lang w:val="fr-FR"/>
        </w:rPr>
      </w:pPr>
      <w:r w:rsidRPr="001A3179">
        <w:rPr>
          <w:lang w:val="fr-FR"/>
        </w:rPr>
        <w:t>67.</w:t>
      </w:r>
      <w:r w:rsidRPr="001A3179">
        <w:rPr>
          <w:lang w:val="fr-FR"/>
        </w:rPr>
        <w:tab/>
        <w:t>Exercer ses fonctions aux fins de la lutte contre la violence familiale est un des objectifs prioritaires de la police slovène et il fait désormais partie intégrante de son travail. La police est investie des pouvoirs ci-après dans ce domaine</w:t>
      </w:r>
      <w:r w:rsidR="008F5D8B">
        <w:rPr>
          <w:lang w:val="fr-FR"/>
        </w:rPr>
        <w:t> </w:t>
      </w:r>
      <w:r w:rsidRPr="001A3179">
        <w:rPr>
          <w:lang w:val="fr-FR"/>
        </w:rPr>
        <w:t>:</w:t>
      </w:r>
    </w:p>
    <w:p w14:paraId="44495DCA" w14:textId="77777777" w:rsidR="002A5EB2" w:rsidRPr="001A3179" w:rsidRDefault="002A5EB2" w:rsidP="00CC5511">
      <w:pPr>
        <w:pStyle w:val="Bullet1G"/>
        <w:rPr>
          <w:lang w:val="fr-FR"/>
        </w:rPr>
      </w:pPr>
      <w:r w:rsidRPr="001A3179">
        <w:rPr>
          <w:lang w:val="fr-FR"/>
        </w:rPr>
        <w:t xml:space="preserve">Suivre les faits de violence familiale signalés constitutifs </w:t>
      </w:r>
      <w:r w:rsidRPr="005E2EC1">
        <w:rPr>
          <w:lang w:val="fr-FR"/>
        </w:rPr>
        <w:t>d</w:t>
      </w:r>
      <w:r>
        <w:rPr>
          <w:lang w:val="fr-FR"/>
        </w:rPr>
        <w:t>’</w:t>
      </w:r>
      <w:r w:rsidRPr="005E2EC1">
        <w:rPr>
          <w:lang w:val="fr-FR"/>
        </w:rPr>
        <w:t>une infraction pénale ou d</w:t>
      </w:r>
      <w:r>
        <w:rPr>
          <w:lang w:val="fr-FR"/>
        </w:rPr>
        <w:t>’</w:t>
      </w:r>
      <w:r w:rsidRPr="005E2EC1">
        <w:rPr>
          <w:lang w:val="fr-FR"/>
        </w:rPr>
        <w:t>une infraction mineure et y remédier de façon appropriée</w:t>
      </w:r>
      <w:r w:rsidR="00CC5511">
        <w:rPr>
          <w:lang w:val="fr-FR"/>
        </w:rPr>
        <w:t> </w:t>
      </w:r>
      <w:r w:rsidRPr="005E2EC1">
        <w:rPr>
          <w:lang w:val="fr-FR"/>
        </w:rPr>
        <w:t>;</w:t>
      </w:r>
    </w:p>
    <w:p w14:paraId="4D9FED8B" w14:textId="77777777" w:rsidR="002A5EB2" w:rsidRPr="001A3179" w:rsidRDefault="002A5EB2" w:rsidP="00CC5511">
      <w:pPr>
        <w:pStyle w:val="Bullet1G"/>
        <w:rPr>
          <w:lang w:val="fr-FR"/>
        </w:rPr>
      </w:pPr>
      <w:r w:rsidRPr="001A3179">
        <w:rPr>
          <w:lang w:val="fr-FR"/>
        </w:rPr>
        <w:lastRenderedPageBreak/>
        <w:t>Enquêter et recueillir des informations et des preuves au cas par cas</w:t>
      </w:r>
      <w:r w:rsidR="00CC5511">
        <w:rPr>
          <w:lang w:val="fr-FR"/>
        </w:rPr>
        <w:t> </w:t>
      </w:r>
      <w:r w:rsidRPr="001A3179">
        <w:rPr>
          <w:lang w:val="fr-FR"/>
        </w:rPr>
        <w:t>;</w:t>
      </w:r>
    </w:p>
    <w:p w14:paraId="0B68BB33" w14:textId="77777777" w:rsidR="002A5EB2" w:rsidRPr="001A3179" w:rsidRDefault="002A5EB2" w:rsidP="00CC5511">
      <w:pPr>
        <w:pStyle w:val="Bullet1G"/>
        <w:rPr>
          <w:lang w:val="fr-FR"/>
        </w:rPr>
      </w:pPr>
      <w:r w:rsidRPr="001A3179">
        <w:rPr>
          <w:lang w:val="fr-FR"/>
        </w:rPr>
        <w:t>Collaborer avec les divers organismes du réseau professionnel d</w:t>
      </w:r>
      <w:r>
        <w:rPr>
          <w:lang w:val="fr-FR"/>
        </w:rPr>
        <w:t>’</w:t>
      </w:r>
      <w:r w:rsidRPr="001A3179">
        <w:rPr>
          <w:lang w:val="fr-FR"/>
        </w:rPr>
        <w:t>assistance (centres d</w:t>
      </w:r>
      <w:r>
        <w:rPr>
          <w:lang w:val="fr-FR"/>
        </w:rPr>
        <w:t>’</w:t>
      </w:r>
      <w:r w:rsidRPr="001A3179">
        <w:rPr>
          <w:lang w:val="fr-FR"/>
        </w:rPr>
        <w:t>action sociale, établissements de santé, autorités judiciaires, services de conseils, établissements d</w:t>
      </w:r>
      <w:r>
        <w:rPr>
          <w:lang w:val="fr-FR"/>
        </w:rPr>
        <w:t>’</w:t>
      </w:r>
      <w:r w:rsidRPr="001A3179">
        <w:rPr>
          <w:lang w:val="fr-FR"/>
        </w:rPr>
        <w:t>enseignement, ONG, etc.) aux stades de l</w:t>
      </w:r>
      <w:r>
        <w:rPr>
          <w:lang w:val="fr-FR"/>
        </w:rPr>
        <w:t>’</w:t>
      </w:r>
      <w:r w:rsidRPr="001A3179">
        <w:rPr>
          <w:lang w:val="fr-FR"/>
        </w:rPr>
        <w:t>enquête et de l</w:t>
      </w:r>
      <w:r>
        <w:rPr>
          <w:lang w:val="fr-FR"/>
        </w:rPr>
        <w:t>’</w:t>
      </w:r>
      <w:r w:rsidRPr="001A3179">
        <w:rPr>
          <w:lang w:val="fr-FR"/>
        </w:rPr>
        <w:t>application de mesures destinées à protéger les victimes, en particulier les enfants et d</w:t>
      </w:r>
      <w:r>
        <w:rPr>
          <w:lang w:val="fr-FR"/>
        </w:rPr>
        <w:t>’</w:t>
      </w:r>
      <w:r w:rsidRPr="001A3179">
        <w:rPr>
          <w:lang w:val="fr-FR"/>
        </w:rPr>
        <w:t>autres groupes vulnérables (dont les personnes âgées et les personnes handicapées)</w:t>
      </w:r>
      <w:r w:rsidR="00CC5511">
        <w:rPr>
          <w:lang w:val="fr-FR"/>
        </w:rPr>
        <w:t> </w:t>
      </w:r>
      <w:r w:rsidRPr="001A3179">
        <w:rPr>
          <w:lang w:val="fr-FR"/>
        </w:rPr>
        <w:t>;</w:t>
      </w:r>
    </w:p>
    <w:p w14:paraId="4BE254DD" w14:textId="77777777" w:rsidR="002A5EB2" w:rsidRPr="001A3179" w:rsidRDefault="002A5EB2" w:rsidP="00CC5511">
      <w:pPr>
        <w:pStyle w:val="Bullet1G"/>
        <w:rPr>
          <w:lang w:val="fr-FR"/>
        </w:rPr>
      </w:pPr>
      <w:r w:rsidRPr="001A3179">
        <w:rPr>
          <w:lang w:val="fr-FR"/>
        </w:rPr>
        <w:t>Collaborer avec diverses institutions, dont les universités, aux fins de l</w:t>
      </w:r>
      <w:r>
        <w:rPr>
          <w:lang w:val="fr-FR"/>
        </w:rPr>
        <w:t>’</w:t>
      </w:r>
      <w:r w:rsidRPr="001A3179">
        <w:rPr>
          <w:lang w:val="fr-FR"/>
        </w:rPr>
        <w:t>échange de bonnes pratiques, de la formation du personnel et de l</w:t>
      </w:r>
      <w:r>
        <w:rPr>
          <w:lang w:val="fr-FR"/>
        </w:rPr>
        <w:t>’</w:t>
      </w:r>
      <w:r w:rsidRPr="001A3179">
        <w:rPr>
          <w:lang w:val="fr-FR"/>
        </w:rPr>
        <w:t>échange de vues.</w:t>
      </w:r>
    </w:p>
    <w:p w14:paraId="44DE8B1C" w14:textId="77777777" w:rsidR="002A5EB2" w:rsidRPr="001A3179" w:rsidRDefault="002A5EB2" w:rsidP="002A5EB2">
      <w:pPr>
        <w:pStyle w:val="SingleTxtG"/>
        <w:rPr>
          <w:lang w:val="fr-FR"/>
        </w:rPr>
      </w:pPr>
      <w:bookmarkStart w:id="19" w:name="_Hlk511998606"/>
      <w:r w:rsidRPr="001A3179">
        <w:rPr>
          <w:lang w:val="fr-FR"/>
        </w:rPr>
        <w:t>68.</w:t>
      </w:r>
      <w:r w:rsidRPr="001A3179">
        <w:rPr>
          <w:lang w:val="fr-FR"/>
        </w:rPr>
        <w:tab/>
      </w:r>
      <w:bookmarkEnd w:id="19"/>
      <w:r w:rsidRPr="001A3179">
        <w:rPr>
          <w:lang w:val="fr-FR"/>
        </w:rPr>
        <w:t>Quiconque souhaite aider d</w:t>
      </w:r>
      <w:r>
        <w:rPr>
          <w:lang w:val="fr-FR"/>
        </w:rPr>
        <w:t>’</w:t>
      </w:r>
      <w:r w:rsidRPr="001A3179">
        <w:rPr>
          <w:lang w:val="fr-FR"/>
        </w:rPr>
        <w:t xml:space="preserve">une quelconque manière les victimes (ou est soi-même victime) peut trouver sur le site </w:t>
      </w:r>
      <w:r w:rsidR="008F5D8B">
        <w:rPr>
          <w:lang w:val="fr-FR"/>
        </w:rPr>
        <w:t>W</w:t>
      </w:r>
      <w:r w:rsidRPr="001A3179">
        <w:rPr>
          <w:lang w:val="fr-FR"/>
        </w:rPr>
        <w:t xml:space="preserve">eb de la police des informations sur les mesures que peut prendre la police (elles ont été définies en concertation avec les principales ONG, qui ont été invitées à participer à la réunion de la Commission des pétitions, des droits humains et </w:t>
      </w:r>
      <w:r>
        <w:rPr>
          <w:lang w:val="fr-FR"/>
        </w:rPr>
        <w:t xml:space="preserve">de </w:t>
      </w:r>
      <w:r w:rsidRPr="001A3179">
        <w:rPr>
          <w:lang w:val="fr-FR"/>
        </w:rPr>
        <w:t>l</w:t>
      </w:r>
      <w:r>
        <w:rPr>
          <w:lang w:val="fr-FR"/>
        </w:rPr>
        <w:t>’</w:t>
      </w:r>
      <w:r w:rsidRPr="001A3179">
        <w:rPr>
          <w:lang w:val="fr-FR"/>
        </w:rPr>
        <w:t>égalité des chances de l</w:t>
      </w:r>
      <w:r>
        <w:rPr>
          <w:lang w:val="fr-FR"/>
        </w:rPr>
        <w:t>’</w:t>
      </w:r>
      <w:r w:rsidRPr="001A3179">
        <w:rPr>
          <w:lang w:val="fr-FR"/>
        </w:rPr>
        <w:t>Assemblée nationale de la République de Slovénie)</w:t>
      </w:r>
      <w:r w:rsidR="00CC5511">
        <w:rPr>
          <w:lang w:val="fr-FR"/>
        </w:rPr>
        <w:t> </w:t>
      </w:r>
      <w:r w:rsidRPr="001A3179">
        <w:rPr>
          <w:lang w:val="fr-FR"/>
        </w:rPr>
        <w:t>: http://www.policija.si/index.php/preventiva-/preventiva/67685-nasilje-v-druini-informacije-o-postopku-na-policiji.</w:t>
      </w:r>
    </w:p>
    <w:p w14:paraId="288B8F6F" w14:textId="77777777" w:rsidR="002A5EB2" w:rsidRPr="001A3179" w:rsidRDefault="002A5EB2" w:rsidP="002A5EB2">
      <w:pPr>
        <w:pStyle w:val="SingleTxtG"/>
        <w:rPr>
          <w:lang w:val="fr-FR"/>
        </w:rPr>
      </w:pPr>
      <w:r w:rsidRPr="001A3179">
        <w:rPr>
          <w:lang w:val="fr-FR"/>
        </w:rPr>
        <w:t>69.</w:t>
      </w:r>
      <w:r w:rsidRPr="001A3179">
        <w:rPr>
          <w:lang w:val="fr-FR"/>
        </w:rPr>
        <w:tab/>
        <w:t>D</w:t>
      </w:r>
      <w:r>
        <w:rPr>
          <w:lang w:val="fr-FR"/>
        </w:rPr>
        <w:t>’</w:t>
      </w:r>
      <w:r w:rsidRPr="001A3179">
        <w:rPr>
          <w:lang w:val="fr-FR"/>
        </w:rPr>
        <w:t>autres informations susceptibles d</w:t>
      </w:r>
      <w:r>
        <w:rPr>
          <w:lang w:val="fr-FR"/>
        </w:rPr>
        <w:t>’</w:t>
      </w:r>
      <w:r w:rsidRPr="001A3179">
        <w:rPr>
          <w:lang w:val="fr-FR"/>
        </w:rPr>
        <w:t>aider les victimes de violence ont été publiées dans deux brochures</w:t>
      </w:r>
      <w:r w:rsidR="008F5D8B">
        <w:rPr>
          <w:lang w:val="fr-FR"/>
        </w:rPr>
        <w:t> </w:t>
      </w:r>
      <w:r w:rsidRPr="001A3179">
        <w:rPr>
          <w:lang w:val="fr-FR"/>
        </w:rPr>
        <w:t>:</w:t>
      </w:r>
    </w:p>
    <w:p w14:paraId="0D0A5C23" w14:textId="77777777" w:rsidR="002A5EB2" w:rsidRPr="001A3179" w:rsidRDefault="002A5EB2" w:rsidP="00CC5511">
      <w:pPr>
        <w:pStyle w:val="Bullet1G"/>
        <w:rPr>
          <w:lang w:val="fr-FR"/>
        </w:rPr>
      </w:pPr>
      <w:r w:rsidRPr="001A3179">
        <w:rPr>
          <w:lang w:val="fr-FR"/>
        </w:rPr>
        <w:t>« Violence sexuelle »:</w:t>
      </w:r>
    </w:p>
    <w:p w14:paraId="617D50C7" w14:textId="77777777" w:rsidR="002A5EB2" w:rsidRPr="001A3179" w:rsidRDefault="002A5EB2" w:rsidP="00CC5511">
      <w:pPr>
        <w:pStyle w:val="Bullet2G"/>
        <w:rPr>
          <w:lang w:val="fr-FR"/>
        </w:rPr>
      </w:pPr>
      <w:r w:rsidRPr="001A3179">
        <w:rPr>
          <w:lang w:val="fr-FR"/>
        </w:rPr>
        <w:t>http://www.policija.si/images/stories/Publikacije/PDF/Spolno_nasilje.pdf.</w:t>
      </w:r>
    </w:p>
    <w:p w14:paraId="1F90C6A0" w14:textId="77777777" w:rsidR="002A5EB2" w:rsidRPr="001A3179" w:rsidRDefault="002A5EB2" w:rsidP="00CC5511">
      <w:pPr>
        <w:pStyle w:val="Bullet1G"/>
        <w:rPr>
          <w:lang w:val="fr-FR"/>
        </w:rPr>
      </w:pPr>
      <w:r w:rsidRPr="001A3179">
        <w:rPr>
          <w:lang w:val="fr-FR"/>
        </w:rPr>
        <w:t>« Le jour où je serai victime d</w:t>
      </w:r>
      <w:r>
        <w:rPr>
          <w:lang w:val="fr-FR"/>
        </w:rPr>
        <w:t>’</w:t>
      </w:r>
      <w:r w:rsidRPr="001A3179">
        <w:rPr>
          <w:lang w:val="fr-FR"/>
        </w:rPr>
        <w:t>une infraction pénale</w:t>
      </w:r>
      <w:r w:rsidR="008F5D8B">
        <w:rPr>
          <w:lang w:val="fr-FR"/>
        </w:rPr>
        <w:t> </w:t>
      </w:r>
      <w:r w:rsidRPr="001A3179">
        <w:rPr>
          <w:lang w:val="fr-FR"/>
        </w:rPr>
        <w:t>»</w:t>
      </w:r>
      <w:r w:rsidR="008F5D8B">
        <w:rPr>
          <w:lang w:val="fr-FR"/>
        </w:rPr>
        <w:t> :</w:t>
      </w:r>
    </w:p>
    <w:p w14:paraId="1020A3EC" w14:textId="77777777" w:rsidR="002A5EB2" w:rsidRPr="001A3179" w:rsidRDefault="002A5EB2" w:rsidP="00CC5511">
      <w:pPr>
        <w:pStyle w:val="Bullet2G"/>
        <w:rPr>
          <w:lang w:val="fr-FR"/>
        </w:rPr>
      </w:pPr>
      <w:r w:rsidRPr="001A3179">
        <w:rPr>
          <w:lang w:val="fr-FR"/>
        </w:rPr>
        <w:t>http://www.policija.si/images/stories/Publikacije/IMG/Ko_postanem_zrtev_KD_februar_2015.jpg.</w:t>
      </w:r>
    </w:p>
    <w:p w14:paraId="4F3D4643" w14:textId="77777777" w:rsidR="002A5EB2" w:rsidRPr="001A3179" w:rsidRDefault="002A5EB2" w:rsidP="00CC5511">
      <w:pPr>
        <w:pStyle w:val="H1G"/>
        <w:rPr>
          <w:lang w:val="fr-FR"/>
        </w:rPr>
      </w:pPr>
      <w:r w:rsidRPr="001A3179">
        <w:rPr>
          <w:lang w:val="fr-FR"/>
        </w:rPr>
        <w:tab/>
      </w:r>
      <w:r w:rsidRPr="001A3179">
        <w:rPr>
          <w:lang w:val="fr-FR"/>
        </w:rPr>
        <w:tab/>
        <w:t>Article 3</w:t>
      </w:r>
    </w:p>
    <w:p w14:paraId="7CBD54A6" w14:textId="77777777" w:rsidR="002A5EB2" w:rsidRPr="001A3179" w:rsidRDefault="002A5EB2" w:rsidP="00CC5511">
      <w:pPr>
        <w:pStyle w:val="H23G"/>
        <w:rPr>
          <w:lang w:val="fr-FR"/>
        </w:rPr>
      </w:pPr>
      <w:r w:rsidRPr="001A3179">
        <w:rPr>
          <w:lang w:val="fr-FR"/>
        </w:rPr>
        <w:tab/>
      </w:r>
      <w:r w:rsidRPr="001A3179">
        <w:rPr>
          <w:lang w:val="fr-FR"/>
        </w:rPr>
        <w:tab/>
        <w:t>Réponse au paragraphe 7 a) de la liste des points à traiter</w:t>
      </w:r>
    </w:p>
    <w:p w14:paraId="06655C1E" w14:textId="77777777" w:rsidR="002A5EB2" w:rsidRPr="001A3179" w:rsidRDefault="002A5EB2" w:rsidP="002A5EB2">
      <w:pPr>
        <w:pStyle w:val="SingleTxtG"/>
        <w:rPr>
          <w:lang w:val="fr-FR"/>
        </w:rPr>
      </w:pPr>
      <w:r w:rsidRPr="001A3179">
        <w:rPr>
          <w:lang w:val="fr-FR"/>
        </w:rPr>
        <w:t>70.</w:t>
      </w:r>
      <w:r w:rsidRPr="001A3179">
        <w:rPr>
          <w:lang w:val="fr-FR"/>
        </w:rPr>
        <w:tab/>
        <w:t>En Slovénie les « demandes d</w:t>
      </w:r>
      <w:r>
        <w:rPr>
          <w:lang w:val="fr-FR"/>
        </w:rPr>
        <w:t>’</w:t>
      </w:r>
      <w:r w:rsidRPr="001A3179">
        <w:rPr>
          <w:lang w:val="fr-FR"/>
        </w:rPr>
        <w:t>asile enregistrées » sont, aux fins de l</w:t>
      </w:r>
      <w:r>
        <w:rPr>
          <w:lang w:val="fr-FR"/>
        </w:rPr>
        <w:t>’</w:t>
      </w:r>
      <w:r w:rsidRPr="001A3179">
        <w:rPr>
          <w:lang w:val="fr-FR"/>
        </w:rPr>
        <w:t>établissement des statistiques, considérées comme des « demandes reçues ».</w:t>
      </w:r>
    </w:p>
    <w:p w14:paraId="798BAF74" w14:textId="77777777" w:rsidR="002A5EB2" w:rsidRPr="001A3179" w:rsidRDefault="002A5EB2" w:rsidP="002A5EB2">
      <w:pPr>
        <w:pStyle w:val="SingleTxtG"/>
        <w:rPr>
          <w:lang w:val="fr-FR"/>
        </w:rPr>
      </w:pPr>
      <w:r w:rsidRPr="001A3179">
        <w:rPr>
          <w:lang w:val="fr-FR"/>
        </w:rPr>
        <w:t>71.</w:t>
      </w:r>
      <w:r w:rsidRPr="001A3179">
        <w:rPr>
          <w:lang w:val="fr-FR"/>
        </w:rPr>
        <w:tab/>
        <w:t xml:space="preserve">Entre 2011 et mars 2018, </w:t>
      </w:r>
      <w:bookmarkStart w:id="20" w:name="_Hlk38101675"/>
      <w:r w:rsidRPr="001A3179">
        <w:rPr>
          <w:lang w:val="fr-FR"/>
        </w:rPr>
        <w:t>4</w:t>
      </w:r>
      <w:r w:rsidR="008F5D8B">
        <w:rPr>
          <w:lang w:val="fr-FR"/>
        </w:rPr>
        <w:t> </w:t>
      </w:r>
      <w:r w:rsidRPr="001A3179">
        <w:rPr>
          <w:lang w:val="fr-FR"/>
        </w:rPr>
        <w:t>903</w:t>
      </w:r>
      <w:r w:rsidR="008F5D8B">
        <w:rPr>
          <w:lang w:val="fr-FR"/>
        </w:rPr>
        <w:t> </w:t>
      </w:r>
      <w:r w:rsidRPr="001A3179">
        <w:rPr>
          <w:lang w:val="fr-FR"/>
        </w:rPr>
        <w:t>demandes de protection internationale ont été présentées aux autorités slovènes ; elles se répartissent comme suit par année</w:t>
      </w:r>
      <w:bookmarkEnd w:id="20"/>
      <w:r w:rsidR="008C3C0F">
        <w:rPr>
          <w:lang w:val="fr-FR"/>
        </w:rPr>
        <w:t> </w:t>
      </w:r>
      <w:r w:rsidRPr="001A3179">
        <w:rPr>
          <w:lang w:val="fr-FR"/>
        </w:rPr>
        <w:t>:</w:t>
      </w:r>
    </w:p>
    <w:p w14:paraId="7ED6FD0F" w14:textId="77777777" w:rsidR="002A5EB2" w:rsidRPr="001A3179" w:rsidRDefault="002A5EB2" w:rsidP="008C3C0F">
      <w:pPr>
        <w:pStyle w:val="Bullet1G"/>
        <w:rPr>
          <w:lang w:val="fr-FR"/>
        </w:rPr>
      </w:pPr>
      <w:r w:rsidRPr="001A3179">
        <w:rPr>
          <w:lang w:val="fr-FR"/>
        </w:rPr>
        <w:t>2011</w:t>
      </w:r>
      <w:r w:rsidR="008C3C0F">
        <w:rPr>
          <w:lang w:val="fr-FR"/>
        </w:rPr>
        <w:t> </w:t>
      </w:r>
      <w:r w:rsidRPr="001A3179">
        <w:rPr>
          <w:lang w:val="fr-FR"/>
        </w:rPr>
        <w:t>: 358</w:t>
      </w:r>
      <w:r w:rsidR="008C3C0F">
        <w:rPr>
          <w:lang w:val="fr-FR"/>
        </w:rPr>
        <w:t> </w:t>
      </w:r>
      <w:r w:rsidRPr="001A3179">
        <w:rPr>
          <w:lang w:val="fr-FR"/>
        </w:rPr>
        <w:t>;</w:t>
      </w:r>
    </w:p>
    <w:p w14:paraId="18B71579" w14:textId="77777777" w:rsidR="002A5EB2" w:rsidRPr="001A3179" w:rsidRDefault="002A5EB2" w:rsidP="008C3C0F">
      <w:pPr>
        <w:pStyle w:val="Bullet1G"/>
        <w:rPr>
          <w:lang w:val="fr-FR"/>
        </w:rPr>
      </w:pPr>
      <w:r w:rsidRPr="001A3179">
        <w:rPr>
          <w:lang w:val="fr-FR"/>
        </w:rPr>
        <w:t>2012</w:t>
      </w:r>
      <w:r w:rsidR="008C3C0F">
        <w:rPr>
          <w:lang w:val="fr-FR"/>
        </w:rPr>
        <w:t> </w:t>
      </w:r>
      <w:r w:rsidRPr="001A3179">
        <w:rPr>
          <w:lang w:val="fr-FR"/>
        </w:rPr>
        <w:t>: 304</w:t>
      </w:r>
      <w:r w:rsidR="008C3C0F">
        <w:rPr>
          <w:lang w:val="fr-FR"/>
        </w:rPr>
        <w:t> </w:t>
      </w:r>
      <w:r w:rsidRPr="001A3179">
        <w:rPr>
          <w:lang w:val="fr-FR"/>
        </w:rPr>
        <w:t>;</w:t>
      </w:r>
    </w:p>
    <w:p w14:paraId="42BF8186" w14:textId="77777777" w:rsidR="002A5EB2" w:rsidRPr="001A3179" w:rsidRDefault="002A5EB2" w:rsidP="008C3C0F">
      <w:pPr>
        <w:pStyle w:val="Bullet1G"/>
        <w:rPr>
          <w:lang w:val="fr-FR"/>
        </w:rPr>
      </w:pPr>
      <w:r w:rsidRPr="001A3179">
        <w:rPr>
          <w:lang w:val="fr-FR"/>
        </w:rPr>
        <w:t>2013</w:t>
      </w:r>
      <w:r w:rsidR="008C3C0F">
        <w:rPr>
          <w:lang w:val="fr-FR"/>
        </w:rPr>
        <w:t> </w:t>
      </w:r>
      <w:r w:rsidRPr="001A3179">
        <w:rPr>
          <w:lang w:val="fr-FR"/>
        </w:rPr>
        <w:t>: 272</w:t>
      </w:r>
      <w:r w:rsidR="008C3C0F">
        <w:rPr>
          <w:lang w:val="fr-FR"/>
        </w:rPr>
        <w:t> </w:t>
      </w:r>
      <w:r w:rsidRPr="001A3179">
        <w:rPr>
          <w:lang w:val="fr-FR"/>
        </w:rPr>
        <w:t>;</w:t>
      </w:r>
    </w:p>
    <w:p w14:paraId="47D8BEDB" w14:textId="77777777" w:rsidR="002A5EB2" w:rsidRPr="001A3179" w:rsidRDefault="002A5EB2" w:rsidP="008C3C0F">
      <w:pPr>
        <w:pStyle w:val="Bullet1G"/>
        <w:rPr>
          <w:lang w:val="fr-FR"/>
        </w:rPr>
      </w:pPr>
      <w:r w:rsidRPr="001A3179">
        <w:rPr>
          <w:lang w:val="fr-FR"/>
        </w:rPr>
        <w:t>2014</w:t>
      </w:r>
      <w:r w:rsidR="008C3C0F">
        <w:rPr>
          <w:lang w:val="fr-FR"/>
        </w:rPr>
        <w:t> </w:t>
      </w:r>
      <w:r w:rsidRPr="001A3179">
        <w:rPr>
          <w:lang w:val="fr-FR"/>
        </w:rPr>
        <w:t>: 385</w:t>
      </w:r>
      <w:r w:rsidR="008C3C0F">
        <w:rPr>
          <w:lang w:val="fr-FR"/>
        </w:rPr>
        <w:t> </w:t>
      </w:r>
      <w:r w:rsidRPr="001A3179">
        <w:rPr>
          <w:lang w:val="fr-FR"/>
        </w:rPr>
        <w:t>;</w:t>
      </w:r>
    </w:p>
    <w:p w14:paraId="611EB4D8" w14:textId="77777777" w:rsidR="002A5EB2" w:rsidRPr="001A3179" w:rsidRDefault="002A5EB2" w:rsidP="008C3C0F">
      <w:pPr>
        <w:pStyle w:val="Bullet1G"/>
        <w:rPr>
          <w:lang w:val="fr-FR"/>
        </w:rPr>
      </w:pPr>
      <w:r w:rsidRPr="001A3179">
        <w:rPr>
          <w:lang w:val="fr-FR"/>
        </w:rPr>
        <w:t>2015</w:t>
      </w:r>
      <w:r w:rsidR="008C3C0F">
        <w:rPr>
          <w:lang w:val="fr-FR"/>
        </w:rPr>
        <w:t> </w:t>
      </w:r>
      <w:r w:rsidRPr="001A3179">
        <w:rPr>
          <w:lang w:val="fr-FR"/>
        </w:rPr>
        <w:t>: 277</w:t>
      </w:r>
      <w:r w:rsidR="008C3C0F">
        <w:rPr>
          <w:lang w:val="fr-FR"/>
        </w:rPr>
        <w:t> ;</w:t>
      </w:r>
    </w:p>
    <w:p w14:paraId="720CA1C6" w14:textId="77777777" w:rsidR="002A5EB2" w:rsidRPr="001A3179" w:rsidRDefault="002A5EB2" w:rsidP="008C3C0F">
      <w:pPr>
        <w:pStyle w:val="Bullet1G"/>
        <w:rPr>
          <w:lang w:val="fr-FR"/>
        </w:rPr>
      </w:pPr>
      <w:r w:rsidRPr="001A3179">
        <w:rPr>
          <w:lang w:val="fr-FR"/>
        </w:rPr>
        <w:t>2016</w:t>
      </w:r>
      <w:r w:rsidR="008C3C0F">
        <w:rPr>
          <w:lang w:val="fr-FR"/>
        </w:rPr>
        <w:t> </w:t>
      </w:r>
      <w:r w:rsidRPr="001A3179">
        <w:rPr>
          <w:lang w:val="fr-FR"/>
        </w:rPr>
        <w:t>: 1308</w:t>
      </w:r>
      <w:r w:rsidR="008C3C0F">
        <w:rPr>
          <w:lang w:val="fr-FR"/>
        </w:rPr>
        <w:t> </w:t>
      </w:r>
      <w:r w:rsidRPr="001A3179">
        <w:rPr>
          <w:lang w:val="fr-FR"/>
        </w:rPr>
        <w:t>;</w:t>
      </w:r>
    </w:p>
    <w:p w14:paraId="69A72AEE" w14:textId="77777777" w:rsidR="002A5EB2" w:rsidRPr="001A3179" w:rsidRDefault="002A5EB2" w:rsidP="008C3C0F">
      <w:pPr>
        <w:pStyle w:val="Bullet1G"/>
        <w:rPr>
          <w:lang w:val="fr-FR"/>
        </w:rPr>
      </w:pPr>
      <w:r w:rsidRPr="001A3179">
        <w:rPr>
          <w:lang w:val="fr-FR"/>
        </w:rPr>
        <w:t>2017</w:t>
      </w:r>
      <w:r w:rsidR="008C3C0F">
        <w:rPr>
          <w:lang w:val="fr-FR"/>
        </w:rPr>
        <w:t> </w:t>
      </w:r>
      <w:r w:rsidRPr="001A3179">
        <w:rPr>
          <w:lang w:val="fr-FR"/>
        </w:rPr>
        <w:t>: 1476</w:t>
      </w:r>
      <w:r w:rsidR="00932521">
        <w:rPr>
          <w:lang w:val="fr-FR"/>
        </w:rPr>
        <w:t> </w:t>
      </w:r>
      <w:r w:rsidRPr="001A3179">
        <w:rPr>
          <w:lang w:val="fr-FR"/>
        </w:rPr>
        <w:t>;</w:t>
      </w:r>
    </w:p>
    <w:p w14:paraId="4D26CBFE" w14:textId="77777777" w:rsidR="002A5EB2" w:rsidRPr="001A3179" w:rsidRDefault="002A5EB2" w:rsidP="008C3C0F">
      <w:pPr>
        <w:pStyle w:val="Bullet1G"/>
        <w:rPr>
          <w:lang w:val="fr-FR"/>
        </w:rPr>
      </w:pPr>
      <w:r w:rsidRPr="001A3179">
        <w:rPr>
          <w:lang w:val="fr-FR"/>
        </w:rPr>
        <w:t>2018 (janvier</w:t>
      </w:r>
      <w:r w:rsidR="008F5D8B">
        <w:rPr>
          <w:lang w:val="fr-FR"/>
        </w:rPr>
        <w:noBreakHyphen/>
      </w:r>
      <w:r w:rsidRPr="001A3179">
        <w:rPr>
          <w:lang w:val="fr-FR"/>
        </w:rPr>
        <w:t>mars)</w:t>
      </w:r>
      <w:r w:rsidR="00932521">
        <w:rPr>
          <w:lang w:val="fr-FR"/>
        </w:rPr>
        <w:t> </w:t>
      </w:r>
      <w:r w:rsidRPr="001A3179">
        <w:rPr>
          <w:lang w:val="fr-FR"/>
        </w:rPr>
        <w:t>: 523.</w:t>
      </w:r>
    </w:p>
    <w:p w14:paraId="646CBFD0" w14:textId="77777777" w:rsidR="002A5EB2" w:rsidRPr="001A3179" w:rsidRDefault="002A5EB2" w:rsidP="00932521">
      <w:pPr>
        <w:pStyle w:val="H23G"/>
        <w:rPr>
          <w:lang w:val="fr-FR"/>
        </w:rPr>
      </w:pPr>
      <w:r w:rsidRPr="001A3179">
        <w:rPr>
          <w:lang w:val="fr-FR"/>
        </w:rPr>
        <w:tab/>
      </w:r>
      <w:r w:rsidRPr="001A3179">
        <w:rPr>
          <w:lang w:val="fr-FR"/>
        </w:rPr>
        <w:tab/>
        <w:t>Réponse au paragraphe 7 b) de la liste des points à traiter</w:t>
      </w:r>
    </w:p>
    <w:p w14:paraId="3B078806" w14:textId="77777777" w:rsidR="002A5EB2" w:rsidRPr="001A3179" w:rsidRDefault="002A5EB2" w:rsidP="002A5EB2">
      <w:pPr>
        <w:pStyle w:val="SingleTxtG"/>
        <w:rPr>
          <w:lang w:val="fr-FR"/>
        </w:rPr>
      </w:pPr>
      <w:r w:rsidRPr="001A3179">
        <w:rPr>
          <w:lang w:val="fr-FR"/>
        </w:rPr>
        <w:t>72.</w:t>
      </w:r>
      <w:r w:rsidRPr="001A3179">
        <w:rPr>
          <w:lang w:val="fr-FR"/>
        </w:rPr>
        <w:tab/>
        <w:t>La loi sur la protection internationale (ZMZ-1)</w:t>
      </w:r>
      <w:r w:rsidRPr="0017324C">
        <w:rPr>
          <w:rStyle w:val="Appelnotedebasdep"/>
        </w:rPr>
        <w:footnoteReference w:id="25"/>
      </w:r>
      <w:r w:rsidRPr="001A3179">
        <w:rPr>
          <w:lang w:val="fr-FR"/>
        </w:rPr>
        <w:t xml:space="preserve"> habilite le Ministère de l</w:t>
      </w:r>
      <w:r>
        <w:rPr>
          <w:lang w:val="fr-FR"/>
        </w:rPr>
        <w:t>’</w:t>
      </w:r>
      <w:r w:rsidRPr="001A3179">
        <w:rPr>
          <w:lang w:val="fr-FR"/>
        </w:rPr>
        <w:t>intérieur à placer un demandeur dans le quartier de rétention du Centre pour demandeurs d</w:t>
      </w:r>
      <w:r>
        <w:rPr>
          <w:lang w:val="fr-FR"/>
        </w:rPr>
        <w:t>’</w:t>
      </w:r>
      <w:r w:rsidRPr="001A3179">
        <w:rPr>
          <w:lang w:val="fr-FR"/>
        </w:rPr>
        <w:t>asile aux fins suivantes</w:t>
      </w:r>
      <w:r w:rsidR="00932521">
        <w:rPr>
          <w:lang w:val="fr-FR"/>
        </w:rPr>
        <w:t> </w:t>
      </w:r>
      <w:r w:rsidRPr="001A3179">
        <w:rPr>
          <w:lang w:val="fr-FR"/>
        </w:rPr>
        <w:t>:</w:t>
      </w:r>
    </w:p>
    <w:p w14:paraId="2AFA1284" w14:textId="77777777" w:rsidR="002A5EB2" w:rsidRPr="001A3179" w:rsidRDefault="002A5EB2" w:rsidP="00932521">
      <w:pPr>
        <w:pStyle w:val="Bullet1G"/>
        <w:rPr>
          <w:lang w:val="fr-FR"/>
        </w:rPr>
      </w:pPr>
      <w:r w:rsidRPr="001A3179">
        <w:rPr>
          <w:lang w:val="fr-FR"/>
        </w:rPr>
        <w:t>Déterminer l</w:t>
      </w:r>
      <w:r>
        <w:rPr>
          <w:lang w:val="fr-FR"/>
        </w:rPr>
        <w:t>’</w:t>
      </w:r>
      <w:r w:rsidRPr="001A3179">
        <w:rPr>
          <w:lang w:val="fr-FR"/>
        </w:rPr>
        <w:t>identité ou la nationalité du demandeur, en cas de doute manifeste</w:t>
      </w:r>
      <w:r w:rsidR="008F5D8B">
        <w:rPr>
          <w:lang w:val="fr-FR"/>
        </w:rPr>
        <w:t> </w:t>
      </w:r>
      <w:r w:rsidRPr="001A3179">
        <w:rPr>
          <w:lang w:val="fr-FR"/>
        </w:rPr>
        <w:t>;</w:t>
      </w:r>
    </w:p>
    <w:p w14:paraId="56A51E9B" w14:textId="77777777" w:rsidR="002A5EB2" w:rsidRPr="001A3179" w:rsidRDefault="002A5EB2" w:rsidP="00932521">
      <w:pPr>
        <w:pStyle w:val="Bullet1G"/>
        <w:rPr>
          <w:lang w:val="fr-FR"/>
        </w:rPr>
      </w:pPr>
      <w:r w:rsidRPr="001A3179">
        <w:rPr>
          <w:lang w:val="fr-FR"/>
        </w:rPr>
        <w:lastRenderedPageBreak/>
        <w:t>Déterminer le bien-fondé des motifs avancés pour étayer la demande de protection internationale dans le cas où pareille mesure est indispensable à cette fin et s</w:t>
      </w:r>
      <w:r>
        <w:rPr>
          <w:lang w:val="fr-FR"/>
        </w:rPr>
        <w:t>’</w:t>
      </w:r>
      <w:r w:rsidRPr="001A3179">
        <w:rPr>
          <w:lang w:val="fr-FR"/>
        </w:rPr>
        <w:t>il existe un risque de fuite du demandeur</w:t>
      </w:r>
      <w:r w:rsidR="00932521">
        <w:rPr>
          <w:lang w:val="fr-FR"/>
        </w:rPr>
        <w:t> </w:t>
      </w:r>
      <w:r w:rsidRPr="001A3179">
        <w:rPr>
          <w:lang w:val="fr-FR"/>
        </w:rPr>
        <w:t>;</w:t>
      </w:r>
    </w:p>
    <w:p w14:paraId="1793F32F" w14:textId="77777777" w:rsidR="002A5EB2" w:rsidRPr="001A3179" w:rsidRDefault="002A5EB2" w:rsidP="00932521">
      <w:pPr>
        <w:pStyle w:val="Bullet1G"/>
        <w:rPr>
          <w:lang w:val="fr-FR"/>
        </w:rPr>
      </w:pPr>
      <w:r w:rsidRPr="001A3179">
        <w:rPr>
          <w:lang w:val="fr-FR"/>
        </w:rPr>
        <w:t>Restreindre la liberté de circulation d</w:t>
      </w:r>
      <w:r>
        <w:rPr>
          <w:lang w:val="fr-FR"/>
        </w:rPr>
        <w:t>’</w:t>
      </w:r>
      <w:r w:rsidRPr="001A3179">
        <w:rPr>
          <w:lang w:val="fr-FR"/>
        </w:rPr>
        <w:t>un demandeur visé par une procédure de réadmission engagée en application de la loi régissant l</w:t>
      </w:r>
      <w:r>
        <w:rPr>
          <w:lang w:val="fr-FR"/>
        </w:rPr>
        <w:t>’</w:t>
      </w:r>
      <w:r w:rsidRPr="001A3179">
        <w:rPr>
          <w:lang w:val="fr-FR"/>
        </w:rPr>
        <w:t>entrée, la sortie et le séjour des étrangers en Slovénie afin de mener à son terme la procédure de réadmission ou de renvoi quand existent des raisons sérieuses de penser que le demandeur n</w:t>
      </w:r>
      <w:r>
        <w:rPr>
          <w:lang w:val="fr-FR"/>
        </w:rPr>
        <w:t>’</w:t>
      </w:r>
      <w:r w:rsidRPr="001A3179">
        <w:rPr>
          <w:lang w:val="fr-FR"/>
        </w:rPr>
        <w:t>a déposé sa demande que pour suspendre ou empêcher le renvoi, en particulier s</w:t>
      </w:r>
      <w:r>
        <w:rPr>
          <w:lang w:val="fr-FR"/>
        </w:rPr>
        <w:t>’</w:t>
      </w:r>
      <w:r w:rsidRPr="001A3179">
        <w:rPr>
          <w:lang w:val="fr-FR"/>
        </w:rPr>
        <w:t>il a déjà eu la possibilité de demander une protection internationale</w:t>
      </w:r>
      <w:r w:rsidR="00932521">
        <w:rPr>
          <w:lang w:val="fr-FR"/>
        </w:rPr>
        <w:t> </w:t>
      </w:r>
      <w:r w:rsidRPr="001A3179">
        <w:rPr>
          <w:lang w:val="fr-FR"/>
        </w:rPr>
        <w:t>;</w:t>
      </w:r>
    </w:p>
    <w:p w14:paraId="21E50182" w14:textId="77777777" w:rsidR="002A5EB2" w:rsidRPr="001A3179" w:rsidRDefault="002A5EB2" w:rsidP="00932521">
      <w:pPr>
        <w:pStyle w:val="Bullet1G"/>
        <w:rPr>
          <w:lang w:val="fr-FR"/>
        </w:rPr>
      </w:pPr>
      <w:r w:rsidRPr="001A3179">
        <w:rPr>
          <w:lang w:val="fr-FR"/>
        </w:rPr>
        <w:t>Conjurer une menace sur la sécurité ou l</w:t>
      </w:r>
      <w:r>
        <w:rPr>
          <w:lang w:val="fr-FR"/>
        </w:rPr>
        <w:t>’</w:t>
      </w:r>
      <w:r w:rsidRPr="001A3179">
        <w:rPr>
          <w:lang w:val="fr-FR"/>
        </w:rPr>
        <w:t>ordre constitutionnel de la Slovénie ou protéger des personnes et des biens ou pour toutes autres considérations liées à l</w:t>
      </w:r>
      <w:r>
        <w:rPr>
          <w:lang w:val="fr-FR"/>
        </w:rPr>
        <w:t>’</w:t>
      </w:r>
      <w:r w:rsidRPr="001A3179">
        <w:rPr>
          <w:lang w:val="fr-FR"/>
        </w:rPr>
        <w:t>ordre public</w:t>
      </w:r>
      <w:r w:rsidR="00932521">
        <w:rPr>
          <w:lang w:val="fr-FR"/>
        </w:rPr>
        <w:t> </w:t>
      </w:r>
      <w:r w:rsidRPr="001A3179">
        <w:rPr>
          <w:lang w:val="fr-FR"/>
        </w:rPr>
        <w:t>;</w:t>
      </w:r>
    </w:p>
    <w:p w14:paraId="69778AE0" w14:textId="77777777" w:rsidR="002A5EB2" w:rsidRPr="001A3179" w:rsidRDefault="002A5EB2" w:rsidP="00932521">
      <w:pPr>
        <w:pStyle w:val="Bullet1G"/>
        <w:rPr>
          <w:lang w:val="fr-FR"/>
        </w:rPr>
      </w:pPr>
      <w:r w:rsidRPr="001A3179">
        <w:rPr>
          <w:lang w:val="fr-FR"/>
        </w:rPr>
        <w:t>Appliquer l</w:t>
      </w:r>
      <w:r>
        <w:rPr>
          <w:lang w:val="fr-FR"/>
        </w:rPr>
        <w:t>’</w:t>
      </w:r>
      <w:r w:rsidRPr="001A3179">
        <w:rPr>
          <w:lang w:val="fr-FR"/>
        </w:rPr>
        <w:t xml:space="preserve">article 28 du règlement (UE) </w:t>
      </w:r>
      <w:r w:rsidR="00932521" w:rsidRPr="00932521">
        <w:rPr>
          <w:rFonts w:eastAsia="MS Mincho"/>
          <w:szCs w:val="22"/>
          <w:lang w:val="fr-FR"/>
        </w:rPr>
        <w:t>n</w:t>
      </w:r>
      <w:r w:rsidR="00932521" w:rsidRPr="00932521">
        <w:rPr>
          <w:rFonts w:eastAsia="MS Mincho"/>
          <w:szCs w:val="22"/>
          <w:vertAlign w:val="superscript"/>
          <w:lang w:val="fr-FR"/>
        </w:rPr>
        <w:t>o</w:t>
      </w:r>
      <w:r w:rsidR="00932521">
        <w:rPr>
          <w:lang w:val="fr-FR"/>
        </w:rPr>
        <w:t> </w:t>
      </w:r>
      <w:r w:rsidRPr="001A3179">
        <w:rPr>
          <w:lang w:val="fr-FR"/>
        </w:rPr>
        <w:t>604/2013, selon lequel les États membres peuvent placer les personnes concernées en rétention en vue de garantir les procédures de transfert conformément au présent règlement, lorsqu</w:t>
      </w:r>
      <w:r>
        <w:rPr>
          <w:lang w:val="fr-FR"/>
        </w:rPr>
        <w:t>’</w:t>
      </w:r>
      <w:r w:rsidRPr="001A3179">
        <w:rPr>
          <w:lang w:val="fr-FR"/>
        </w:rPr>
        <w:t>il existe un risque non négligeable de fuite de ces personnes sur la base d</w:t>
      </w:r>
      <w:r>
        <w:rPr>
          <w:lang w:val="fr-FR"/>
        </w:rPr>
        <w:t>’</w:t>
      </w:r>
      <w:r w:rsidRPr="001A3179">
        <w:rPr>
          <w:lang w:val="fr-FR"/>
        </w:rPr>
        <w:t>une évaluation individuelle et uniquement dans la mesure où le placement en rétention est proportionnel et si d</w:t>
      </w:r>
      <w:r>
        <w:rPr>
          <w:lang w:val="fr-FR"/>
        </w:rPr>
        <w:t>’</w:t>
      </w:r>
      <w:r w:rsidRPr="001A3179">
        <w:rPr>
          <w:lang w:val="fr-FR"/>
        </w:rPr>
        <w:t>autres mesures moins coercitives ne peuvent être efficacement appliquées.</w:t>
      </w:r>
    </w:p>
    <w:p w14:paraId="2A17AB7D" w14:textId="77777777" w:rsidR="002A5EB2" w:rsidRPr="001A3179" w:rsidRDefault="002A5EB2" w:rsidP="002A5EB2">
      <w:pPr>
        <w:pStyle w:val="SingleTxtG"/>
        <w:rPr>
          <w:lang w:val="fr-FR"/>
        </w:rPr>
      </w:pPr>
      <w:r w:rsidRPr="001A3179">
        <w:rPr>
          <w:lang w:val="fr-FR"/>
        </w:rPr>
        <w:t>73.</w:t>
      </w:r>
      <w:r w:rsidRPr="001A3179">
        <w:rPr>
          <w:lang w:val="fr-FR"/>
        </w:rPr>
        <w:tab/>
        <w:t>Si l</w:t>
      </w:r>
      <w:r>
        <w:rPr>
          <w:lang w:val="fr-FR"/>
        </w:rPr>
        <w:t>’</w:t>
      </w:r>
      <w:r w:rsidRPr="001A3179">
        <w:rPr>
          <w:lang w:val="fr-FR"/>
        </w:rPr>
        <w:t>autorité compétente estime que la mesure restrictive de liberté de circulation ne peut être appliquée avec efficacité ou si un demandeur quitte illégalement le lieu où il a été placé en rétention, l</w:t>
      </w:r>
      <w:r>
        <w:rPr>
          <w:lang w:val="fr-FR"/>
        </w:rPr>
        <w:t>’</w:t>
      </w:r>
      <w:r w:rsidRPr="001A3179">
        <w:rPr>
          <w:lang w:val="fr-FR"/>
        </w:rPr>
        <w:t>intéressé peut être placé en rétention au Centre pour étrangers, sauf s</w:t>
      </w:r>
      <w:r>
        <w:rPr>
          <w:lang w:val="fr-FR"/>
        </w:rPr>
        <w:t>’</w:t>
      </w:r>
      <w:r w:rsidRPr="001A3179">
        <w:rPr>
          <w:lang w:val="fr-FR"/>
        </w:rPr>
        <w:t>il s</w:t>
      </w:r>
      <w:r>
        <w:rPr>
          <w:lang w:val="fr-FR"/>
        </w:rPr>
        <w:t>’</w:t>
      </w:r>
      <w:r w:rsidRPr="001A3179">
        <w:rPr>
          <w:lang w:val="fr-FR"/>
        </w:rPr>
        <w:t>agit d</w:t>
      </w:r>
      <w:r>
        <w:rPr>
          <w:lang w:val="fr-FR"/>
        </w:rPr>
        <w:t>’</w:t>
      </w:r>
      <w:r w:rsidRPr="001A3179">
        <w:rPr>
          <w:lang w:val="fr-FR"/>
        </w:rPr>
        <w:t>un mineur, accompagné ou non.</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2267"/>
        <w:gridCol w:w="1842"/>
        <w:gridCol w:w="1843"/>
      </w:tblGrid>
      <w:tr w:rsidR="002A5EB2" w:rsidRPr="00932521" w14:paraId="54A1AB20" w14:textId="77777777" w:rsidTr="00932521">
        <w:trPr>
          <w:tblHeader/>
        </w:trPr>
        <w:tc>
          <w:tcPr>
            <w:tcW w:w="1418" w:type="dxa"/>
            <w:tcBorders>
              <w:top w:val="single" w:sz="4" w:space="0" w:color="000000" w:themeColor="text1"/>
              <w:bottom w:val="single" w:sz="12" w:space="0" w:color="000000" w:themeColor="text1"/>
            </w:tcBorders>
            <w:shd w:val="clear" w:color="auto" w:fill="auto"/>
            <w:tcMar>
              <w:right w:w="17" w:type="dxa"/>
            </w:tcMar>
            <w:vAlign w:val="bottom"/>
          </w:tcPr>
          <w:p w14:paraId="691A9467" w14:textId="77777777" w:rsidR="002A5EB2" w:rsidRPr="00932521" w:rsidRDefault="002A5EB2" w:rsidP="00932521">
            <w:pPr>
              <w:suppressAutoHyphens w:val="0"/>
              <w:spacing w:before="80" w:after="80" w:line="200" w:lineRule="exact"/>
              <w:rPr>
                <w:i/>
                <w:sz w:val="16"/>
                <w:lang w:val="fr-FR"/>
              </w:rPr>
            </w:pPr>
            <w:r w:rsidRPr="00932521">
              <w:rPr>
                <w:i/>
                <w:sz w:val="16"/>
                <w:lang w:val="fr-FR"/>
              </w:rPr>
              <w:t>Nombre de mesures/</w:t>
            </w:r>
            <w:r w:rsidR="00932521">
              <w:rPr>
                <w:i/>
                <w:sz w:val="16"/>
                <w:lang w:val="fr-FR"/>
              </w:rPr>
              <w:br/>
            </w:r>
            <w:r w:rsidRPr="00932521">
              <w:rPr>
                <w:i/>
                <w:sz w:val="16"/>
                <w:lang w:val="fr-FR"/>
              </w:rPr>
              <w:t>Année</w:t>
            </w:r>
          </w:p>
        </w:tc>
        <w:tc>
          <w:tcPr>
            <w:tcW w:w="2267" w:type="dxa"/>
            <w:tcBorders>
              <w:top w:val="single" w:sz="4" w:space="0" w:color="000000" w:themeColor="text1"/>
              <w:bottom w:val="single" w:sz="12" w:space="0" w:color="000000" w:themeColor="text1"/>
            </w:tcBorders>
            <w:shd w:val="clear" w:color="auto" w:fill="auto"/>
            <w:tcMar>
              <w:right w:w="17" w:type="dxa"/>
            </w:tcMar>
            <w:vAlign w:val="bottom"/>
          </w:tcPr>
          <w:p w14:paraId="3BBC23E3"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Rétention au Centre</w:t>
            </w:r>
            <w:r w:rsidR="00932521">
              <w:rPr>
                <w:i/>
                <w:sz w:val="16"/>
                <w:lang w:val="fr-FR"/>
              </w:rPr>
              <w:br/>
            </w:r>
            <w:r w:rsidRPr="00932521">
              <w:rPr>
                <w:i/>
                <w:sz w:val="16"/>
                <w:lang w:val="fr-FR"/>
              </w:rPr>
              <w:t>pour demandeurs d’asile</w:t>
            </w:r>
          </w:p>
        </w:tc>
        <w:tc>
          <w:tcPr>
            <w:tcW w:w="1842" w:type="dxa"/>
            <w:tcBorders>
              <w:top w:val="single" w:sz="4" w:space="0" w:color="000000" w:themeColor="text1"/>
              <w:bottom w:val="single" w:sz="12" w:space="0" w:color="000000" w:themeColor="text1"/>
            </w:tcBorders>
            <w:shd w:val="clear" w:color="auto" w:fill="auto"/>
            <w:tcMar>
              <w:right w:w="17" w:type="dxa"/>
            </w:tcMar>
            <w:vAlign w:val="bottom"/>
          </w:tcPr>
          <w:p w14:paraId="3BB98798"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Rétention au Centre</w:t>
            </w:r>
            <w:r w:rsidR="00932521">
              <w:rPr>
                <w:i/>
                <w:sz w:val="16"/>
                <w:lang w:val="fr-FR"/>
              </w:rPr>
              <w:br/>
            </w:r>
            <w:r w:rsidRPr="00932521">
              <w:rPr>
                <w:i/>
                <w:sz w:val="16"/>
                <w:lang w:val="fr-FR"/>
              </w:rPr>
              <w:t>pour étrangers</w:t>
            </w:r>
          </w:p>
        </w:tc>
        <w:tc>
          <w:tcPr>
            <w:tcW w:w="1843" w:type="dxa"/>
            <w:tcBorders>
              <w:top w:val="single" w:sz="4" w:space="0" w:color="000000" w:themeColor="text1"/>
              <w:bottom w:val="single" w:sz="12" w:space="0" w:color="000000" w:themeColor="text1"/>
            </w:tcBorders>
            <w:shd w:val="clear" w:color="auto" w:fill="auto"/>
            <w:tcMar>
              <w:right w:w="17" w:type="dxa"/>
            </w:tcMar>
            <w:vAlign w:val="bottom"/>
          </w:tcPr>
          <w:p w14:paraId="57939AAC"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Total</w:t>
            </w:r>
          </w:p>
        </w:tc>
      </w:tr>
      <w:tr w:rsidR="002A5EB2" w:rsidRPr="00932521" w14:paraId="020AC1D3" w14:textId="77777777" w:rsidTr="00932521">
        <w:tc>
          <w:tcPr>
            <w:tcW w:w="1418" w:type="dxa"/>
            <w:tcBorders>
              <w:top w:val="single" w:sz="12" w:space="0" w:color="000000" w:themeColor="text1"/>
            </w:tcBorders>
            <w:shd w:val="clear" w:color="auto" w:fill="auto"/>
            <w:tcMar>
              <w:right w:w="17" w:type="dxa"/>
            </w:tcMar>
          </w:tcPr>
          <w:p w14:paraId="592EC104" w14:textId="77777777" w:rsidR="002A5EB2" w:rsidRPr="00932521" w:rsidRDefault="002A5EB2" w:rsidP="00932521">
            <w:pPr>
              <w:suppressAutoHyphens w:val="0"/>
              <w:spacing w:before="40" w:after="40" w:line="220" w:lineRule="exact"/>
              <w:rPr>
                <w:sz w:val="18"/>
                <w:lang w:val="fr-FR"/>
              </w:rPr>
            </w:pPr>
            <w:r w:rsidRPr="00932521">
              <w:rPr>
                <w:sz w:val="18"/>
                <w:lang w:val="fr-FR"/>
              </w:rPr>
              <w:t>2011</w:t>
            </w:r>
          </w:p>
        </w:tc>
        <w:tc>
          <w:tcPr>
            <w:tcW w:w="2267" w:type="dxa"/>
            <w:tcBorders>
              <w:top w:val="single" w:sz="12" w:space="0" w:color="000000" w:themeColor="text1"/>
            </w:tcBorders>
            <w:shd w:val="clear" w:color="auto" w:fill="auto"/>
            <w:tcMar>
              <w:right w:w="17" w:type="dxa"/>
            </w:tcMar>
            <w:vAlign w:val="bottom"/>
          </w:tcPr>
          <w:p w14:paraId="71AFA0D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1842" w:type="dxa"/>
            <w:tcBorders>
              <w:top w:val="single" w:sz="12" w:space="0" w:color="000000" w:themeColor="text1"/>
            </w:tcBorders>
            <w:shd w:val="clear" w:color="auto" w:fill="auto"/>
            <w:tcMar>
              <w:right w:w="17" w:type="dxa"/>
            </w:tcMar>
            <w:vAlign w:val="bottom"/>
          </w:tcPr>
          <w:p w14:paraId="79BAA25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39</w:t>
            </w:r>
          </w:p>
        </w:tc>
        <w:tc>
          <w:tcPr>
            <w:tcW w:w="1843" w:type="dxa"/>
            <w:tcBorders>
              <w:top w:val="single" w:sz="12" w:space="0" w:color="000000" w:themeColor="text1"/>
            </w:tcBorders>
            <w:shd w:val="clear" w:color="auto" w:fill="auto"/>
            <w:tcMar>
              <w:right w:w="17" w:type="dxa"/>
            </w:tcMar>
            <w:vAlign w:val="bottom"/>
          </w:tcPr>
          <w:p w14:paraId="07F2A0A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42</w:t>
            </w:r>
          </w:p>
        </w:tc>
      </w:tr>
      <w:tr w:rsidR="002A5EB2" w:rsidRPr="00932521" w14:paraId="58652C8E" w14:textId="77777777" w:rsidTr="00932521">
        <w:tc>
          <w:tcPr>
            <w:tcW w:w="1418" w:type="dxa"/>
            <w:shd w:val="clear" w:color="auto" w:fill="auto"/>
            <w:tcMar>
              <w:right w:w="17" w:type="dxa"/>
            </w:tcMar>
          </w:tcPr>
          <w:p w14:paraId="71BA7F3C" w14:textId="77777777" w:rsidR="002A5EB2" w:rsidRPr="00932521" w:rsidRDefault="002A5EB2" w:rsidP="00932521">
            <w:pPr>
              <w:suppressAutoHyphens w:val="0"/>
              <w:spacing w:before="40" w:after="40" w:line="220" w:lineRule="exact"/>
              <w:rPr>
                <w:sz w:val="18"/>
                <w:lang w:val="fr-FR"/>
              </w:rPr>
            </w:pPr>
            <w:r w:rsidRPr="00932521">
              <w:rPr>
                <w:sz w:val="18"/>
                <w:lang w:val="fr-FR"/>
              </w:rPr>
              <w:t>2012</w:t>
            </w:r>
          </w:p>
        </w:tc>
        <w:tc>
          <w:tcPr>
            <w:tcW w:w="2267" w:type="dxa"/>
            <w:shd w:val="clear" w:color="auto" w:fill="auto"/>
            <w:tcMar>
              <w:right w:w="17" w:type="dxa"/>
            </w:tcMar>
            <w:vAlign w:val="bottom"/>
          </w:tcPr>
          <w:p w14:paraId="1AB01AD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15</w:t>
            </w:r>
          </w:p>
        </w:tc>
        <w:tc>
          <w:tcPr>
            <w:tcW w:w="1842" w:type="dxa"/>
            <w:shd w:val="clear" w:color="auto" w:fill="auto"/>
            <w:tcMar>
              <w:right w:w="17" w:type="dxa"/>
            </w:tcMar>
            <w:vAlign w:val="bottom"/>
          </w:tcPr>
          <w:p w14:paraId="7103304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42</w:t>
            </w:r>
          </w:p>
        </w:tc>
        <w:tc>
          <w:tcPr>
            <w:tcW w:w="1843" w:type="dxa"/>
            <w:shd w:val="clear" w:color="auto" w:fill="auto"/>
            <w:tcMar>
              <w:right w:w="17" w:type="dxa"/>
            </w:tcMar>
            <w:vAlign w:val="bottom"/>
          </w:tcPr>
          <w:p w14:paraId="2260032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57</w:t>
            </w:r>
          </w:p>
        </w:tc>
      </w:tr>
      <w:tr w:rsidR="002A5EB2" w:rsidRPr="00932521" w14:paraId="127ECF49" w14:textId="77777777" w:rsidTr="00932521">
        <w:tc>
          <w:tcPr>
            <w:tcW w:w="1418" w:type="dxa"/>
            <w:shd w:val="clear" w:color="auto" w:fill="auto"/>
            <w:tcMar>
              <w:right w:w="17" w:type="dxa"/>
            </w:tcMar>
          </w:tcPr>
          <w:p w14:paraId="3C6B316E" w14:textId="77777777" w:rsidR="002A5EB2" w:rsidRPr="00932521" w:rsidRDefault="002A5EB2" w:rsidP="00932521">
            <w:pPr>
              <w:suppressAutoHyphens w:val="0"/>
              <w:spacing w:before="40" w:after="40" w:line="220" w:lineRule="exact"/>
              <w:rPr>
                <w:sz w:val="18"/>
                <w:lang w:val="fr-FR"/>
              </w:rPr>
            </w:pPr>
            <w:r w:rsidRPr="00932521">
              <w:rPr>
                <w:sz w:val="18"/>
                <w:lang w:val="fr-FR"/>
              </w:rPr>
              <w:t>2013</w:t>
            </w:r>
          </w:p>
        </w:tc>
        <w:tc>
          <w:tcPr>
            <w:tcW w:w="2267" w:type="dxa"/>
            <w:shd w:val="clear" w:color="auto" w:fill="auto"/>
            <w:tcMar>
              <w:right w:w="17" w:type="dxa"/>
            </w:tcMar>
            <w:vAlign w:val="bottom"/>
          </w:tcPr>
          <w:p w14:paraId="77542DB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14</w:t>
            </w:r>
          </w:p>
        </w:tc>
        <w:tc>
          <w:tcPr>
            <w:tcW w:w="1842" w:type="dxa"/>
            <w:shd w:val="clear" w:color="auto" w:fill="auto"/>
            <w:tcMar>
              <w:right w:w="17" w:type="dxa"/>
            </w:tcMar>
            <w:vAlign w:val="bottom"/>
          </w:tcPr>
          <w:p w14:paraId="736B914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49</w:t>
            </w:r>
          </w:p>
        </w:tc>
        <w:tc>
          <w:tcPr>
            <w:tcW w:w="1843" w:type="dxa"/>
            <w:shd w:val="clear" w:color="auto" w:fill="auto"/>
            <w:tcMar>
              <w:right w:w="17" w:type="dxa"/>
            </w:tcMar>
            <w:vAlign w:val="bottom"/>
          </w:tcPr>
          <w:p w14:paraId="00B09CD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63</w:t>
            </w:r>
          </w:p>
        </w:tc>
      </w:tr>
      <w:tr w:rsidR="002A5EB2" w:rsidRPr="00932521" w14:paraId="4B3A07E7" w14:textId="77777777" w:rsidTr="00932521">
        <w:tc>
          <w:tcPr>
            <w:tcW w:w="1418" w:type="dxa"/>
            <w:shd w:val="clear" w:color="auto" w:fill="auto"/>
            <w:tcMar>
              <w:right w:w="17" w:type="dxa"/>
            </w:tcMar>
          </w:tcPr>
          <w:p w14:paraId="25E2E6CF" w14:textId="77777777" w:rsidR="002A5EB2" w:rsidRPr="00932521" w:rsidRDefault="002A5EB2" w:rsidP="00932521">
            <w:pPr>
              <w:suppressAutoHyphens w:val="0"/>
              <w:spacing w:before="40" w:after="40" w:line="220" w:lineRule="exact"/>
              <w:rPr>
                <w:sz w:val="18"/>
                <w:lang w:val="fr-FR"/>
              </w:rPr>
            </w:pPr>
            <w:r w:rsidRPr="00932521">
              <w:rPr>
                <w:sz w:val="18"/>
                <w:lang w:val="fr-FR"/>
              </w:rPr>
              <w:t>2014</w:t>
            </w:r>
          </w:p>
        </w:tc>
        <w:tc>
          <w:tcPr>
            <w:tcW w:w="2267" w:type="dxa"/>
            <w:shd w:val="clear" w:color="auto" w:fill="auto"/>
            <w:tcMar>
              <w:right w:w="17" w:type="dxa"/>
            </w:tcMar>
            <w:vAlign w:val="bottom"/>
          </w:tcPr>
          <w:p w14:paraId="0CBD568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w:t>
            </w:r>
          </w:p>
        </w:tc>
        <w:tc>
          <w:tcPr>
            <w:tcW w:w="1842" w:type="dxa"/>
            <w:shd w:val="clear" w:color="auto" w:fill="auto"/>
            <w:tcMar>
              <w:right w:w="17" w:type="dxa"/>
            </w:tcMar>
            <w:vAlign w:val="bottom"/>
          </w:tcPr>
          <w:p w14:paraId="56AD212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18</w:t>
            </w:r>
          </w:p>
        </w:tc>
        <w:tc>
          <w:tcPr>
            <w:tcW w:w="1843" w:type="dxa"/>
            <w:shd w:val="clear" w:color="auto" w:fill="auto"/>
            <w:tcMar>
              <w:right w:w="17" w:type="dxa"/>
            </w:tcMar>
            <w:vAlign w:val="bottom"/>
          </w:tcPr>
          <w:p w14:paraId="4ADE3F9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26</w:t>
            </w:r>
          </w:p>
        </w:tc>
      </w:tr>
      <w:tr w:rsidR="002A5EB2" w:rsidRPr="00932521" w14:paraId="6ECE2AEB" w14:textId="77777777" w:rsidTr="00932521">
        <w:tc>
          <w:tcPr>
            <w:tcW w:w="1418" w:type="dxa"/>
            <w:shd w:val="clear" w:color="auto" w:fill="auto"/>
            <w:tcMar>
              <w:right w:w="17" w:type="dxa"/>
            </w:tcMar>
          </w:tcPr>
          <w:p w14:paraId="0C4DFB6B" w14:textId="77777777" w:rsidR="002A5EB2" w:rsidRPr="00932521" w:rsidRDefault="002A5EB2" w:rsidP="00932521">
            <w:pPr>
              <w:suppressAutoHyphens w:val="0"/>
              <w:spacing w:before="40" w:after="40" w:line="220" w:lineRule="exact"/>
              <w:rPr>
                <w:sz w:val="18"/>
                <w:lang w:val="fr-FR"/>
              </w:rPr>
            </w:pPr>
            <w:r w:rsidRPr="00932521">
              <w:rPr>
                <w:sz w:val="18"/>
                <w:lang w:val="fr-FR"/>
              </w:rPr>
              <w:t>2015</w:t>
            </w:r>
          </w:p>
        </w:tc>
        <w:tc>
          <w:tcPr>
            <w:tcW w:w="2267" w:type="dxa"/>
            <w:shd w:val="clear" w:color="auto" w:fill="auto"/>
            <w:tcMar>
              <w:right w:w="17" w:type="dxa"/>
            </w:tcMar>
            <w:vAlign w:val="bottom"/>
          </w:tcPr>
          <w:p w14:paraId="26B2EAD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1842" w:type="dxa"/>
            <w:shd w:val="clear" w:color="auto" w:fill="auto"/>
            <w:tcMar>
              <w:right w:w="17" w:type="dxa"/>
            </w:tcMar>
            <w:vAlign w:val="bottom"/>
          </w:tcPr>
          <w:p w14:paraId="38E767E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17</w:t>
            </w:r>
          </w:p>
        </w:tc>
        <w:tc>
          <w:tcPr>
            <w:tcW w:w="1843" w:type="dxa"/>
            <w:shd w:val="clear" w:color="auto" w:fill="auto"/>
            <w:tcMar>
              <w:right w:w="17" w:type="dxa"/>
            </w:tcMar>
            <w:vAlign w:val="bottom"/>
          </w:tcPr>
          <w:p w14:paraId="208A258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19</w:t>
            </w:r>
          </w:p>
        </w:tc>
      </w:tr>
      <w:tr w:rsidR="002A5EB2" w:rsidRPr="00932521" w14:paraId="17D100B5" w14:textId="77777777" w:rsidTr="00932521">
        <w:tc>
          <w:tcPr>
            <w:tcW w:w="1418" w:type="dxa"/>
            <w:shd w:val="clear" w:color="auto" w:fill="auto"/>
            <w:tcMar>
              <w:right w:w="17" w:type="dxa"/>
            </w:tcMar>
          </w:tcPr>
          <w:p w14:paraId="76515DC6" w14:textId="77777777" w:rsidR="002A5EB2" w:rsidRPr="00932521" w:rsidRDefault="002A5EB2" w:rsidP="00932521">
            <w:pPr>
              <w:suppressAutoHyphens w:val="0"/>
              <w:spacing w:before="40" w:after="40" w:line="220" w:lineRule="exact"/>
              <w:rPr>
                <w:sz w:val="18"/>
                <w:lang w:val="fr-FR"/>
              </w:rPr>
            </w:pPr>
            <w:r w:rsidRPr="00932521">
              <w:rPr>
                <w:sz w:val="18"/>
                <w:lang w:val="fr-FR"/>
              </w:rPr>
              <w:t>2016</w:t>
            </w:r>
          </w:p>
        </w:tc>
        <w:tc>
          <w:tcPr>
            <w:tcW w:w="2267" w:type="dxa"/>
            <w:shd w:val="clear" w:color="auto" w:fill="auto"/>
            <w:tcMar>
              <w:right w:w="17" w:type="dxa"/>
            </w:tcMar>
            <w:vAlign w:val="bottom"/>
          </w:tcPr>
          <w:p w14:paraId="2A875E0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1842" w:type="dxa"/>
            <w:shd w:val="clear" w:color="auto" w:fill="auto"/>
            <w:tcMar>
              <w:right w:w="17" w:type="dxa"/>
            </w:tcMar>
            <w:vAlign w:val="bottom"/>
          </w:tcPr>
          <w:p w14:paraId="263012E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80</w:t>
            </w:r>
          </w:p>
        </w:tc>
        <w:tc>
          <w:tcPr>
            <w:tcW w:w="1843" w:type="dxa"/>
            <w:shd w:val="clear" w:color="auto" w:fill="auto"/>
            <w:tcMar>
              <w:right w:w="17" w:type="dxa"/>
            </w:tcMar>
            <w:vAlign w:val="bottom"/>
          </w:tcPr>
          <w:p w14:paraId="1D53181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82</w:t>
            </w:r>
          </w:p>
        </w:tc>
      </w:tr>
      <w:tr w:rsidR="002A5EB2" w:rsidRPr="00932521" w14:paraId="4A2D5200" w14:textId="77777777" w:rsidTr="00932521">
        <w:tc>
          <w:tcPr>
            <w:tcW w:w="1418" w:type="dxa"/>
            <w:tcBorders>
              <w:bottom w:val="single" w:sz="12" w:space="0" w:color="000000" w:themeColor="text1"/>
            </w:tcBorders>
            <w:shd w:val="clear" w:color="auto" w:fill="auto"/>
            <w:tcMar>
              <w:right w:w="17" w:type="dxa"/>
            </w:tcMar>
          </w:tcPr>
          <w:p w14:paraId="4814D002" w14:textId="77777777" w:rsidR="002A5EB2" w:rsidRPr="00932521" w:rsidRDefault="002A5EB2" w:rsidP="00932521">
            <w:pPr>
              <w:suppressAutoHyphens w:val="0"/>
              <w:spacing w:before="40" w:after="40" w:line="220" w:lineRule="exact"/>
              <w:rPr>
                <w:sz w:val="18"/>
                <w:lang w:val="fr-FR"/>
              </w:rPr>
            </w:pPr>
            <w:r w:rsidRPr="00932521">
              <w:rPr>
                <w:sz w:val="18"/>
                <w:lang w:val="fr-FR"/>
              </w:rPr>
              <w:t xml:space="preserve">2017 </w:t>
            </w:r>
          </w:p>
        </w:tc>
        <w:tc>
          <w:tcPr>
            <w:tcW w:w="2267" w:type="dxa"/>
            <w:tcBorders>
              <w:bottom w:val="single" w:sz="12" w:space="0" w:color="000000" w:themeColor="text1"/>
            </w:tcBorders>
            <w:shd w:val="clear" w:color="auto" w:fill="auto"/>
            <w:tcMar>
              <w:right w:w="17" w:type="dxa"/>
            </w:tcMar>
            <w:vAlign w:val="bottom"/>
          </w:tcPr>
          <w:p w14:paraId="617CB5A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1842" w:type="dxa"/>
            <w:tcBorders>
              <w:bottom w:val="single" w:sz="12" w:space="0" w:color="000000" w:themeColor="text1"/>
            </w:tcBorders>
            <w:shd w:val="clear" w:color="auto" w:fill="auto"/>
            <w:tcMar>
              <w:right w:w="17" w:type="dxa"/>
            </w:tcMar>
            <w:vAlign w:val="bottom"/>
          </w:tcPr>
          <w:p w14:paraId="08522BE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46</w:t>
            </w:r>
          </w:p>
        </w:tc>
        <w:tc>
          <w:tcPr>
            <w:tcW w:w="1843" w:type="dxa"/>
            <w:tcBorders>
              <w:bottom w:val="single" w:sz="12" w:space="0" w:color="000000" w:themeColor="text1"/>
            </w:tcBorders>
            <w:shd w:val="clear" w:color="auto" w:fill="auto"/>
            <w:tcMar>
              <w:right w:w="17" w:type="dxa"/>
            </w:tcMar>
            <w:vAlign w:val="bottom"/>
          </w:tcPr>
          <w:p w14:paraId="536AFB0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48</w:t>
            </w:r>
          </w:p>
        </w:tc>
      </w:tr>
    </w:tbl>
    <w:p w14:paraId="47AF99A6" w14:textId="77777777" w:rsidR="002A5EB2" w:rsidRPr="001A3179" w:rsidRDefault="002A5EB2" w:rsidP="00932521">
      <w:pPr>
        <w:pStyle w:val="H23G"/>
        <w:rPr>
          <w:lang w:val="fr-FR"/>
        </w:rPr>
      </w:pPr>
      <w:r w:rsidRPr="001A3179">
        <w:rPr>
          <w:lang w:val="fr-FR"/>
        </w:rPr>
        <w:tab/>
      </w:r>
      <w:r w:rsidRPr="001A3179">
        <w:rPr>
          <w:lang w:val="fr-FR"/>
        </w:rPr>
        <w:tab/>
        <w:t>Réponse au paragraphe 7 c) de la liste des points à traiter</w:t>
      </w:r>
    </w:p>
    <w:p w14:paraId="36A6525E" w14:textId="77777777" w:rsidR="002A5EB2" w:rsidRPr="001A3179" w:rsidRDefault="002A5EB2" w:rsidP="002A5EB2">
      <w:pPr>
        <w:pStyle w:val="SingleTxtG"/>
        <w:rPr>
          <w:lang w:val="fr-FR"/>
        </w:rPr>
      </w:pPr>
      <w:r w:rsidRPr="001A3179">
        <w:rPr>
          <w:lang w:val="fr-FR"/>
        </w:rPr>
        <w:t>74.</w:t>
      </w:r>
      <w:r w:rsidRPr="001A3179">
        <w:rPr>
          <w:lang w:val="fr-FR"/>
        </w:rPr>
        <w:tab/>
        <w:t>Entre 2011 et mars 2018 (inclus), 4</w:t>
      </w:r>
      <w:r w:rsidR="00A1651F">
        <w:rPr>
          <w:lang w:val="fr-FR"/>
        </w:rPr>
        <w:t> </w:t>
      </w:r>
      <w:r w:rsidRPr="001A3179">
        <w:rPr>
          <w:lang w:val="fr-FR"/>
        </w:rPr>
        <w:t>903</w:t>
      </w:r>
      <w:r w:rsidR="00A1651F">
        <w:rPr>
          <w:lang w:val="fr-FR"/>
        </w:rPr>
        <w:t> </w:t>
      </w:r>
      <w:r w:rsidRPr="001A3179">
        <w:rPr>
          <w:lang w:val="fr-FR"/>
        </w:rPr>
        <w:t>demandes de protection internationale ont été présentées aux autorités slovènes</w:t>
      </w:r>
      <w:r w:rsidR="00932521">
        <w:rPr>
          <w:lang w:val="fr-FR"/>
        </w:rPr>
        <w:t> </w:t>
      </w:r>
      <w:r w:rsidRPr="001A3179">
        <w:rPr>
          <w:lang w:val="fr-FR"/>
        </w:rPr>
        <w:t>; elles se répartissent comme suit par année</w:t>
      </w:r>
      <w:r w:rsidR="00932521">
        <w:rPr>
          <w:lang w:val="fr-FR"/>
        </w:rPr>
        <w:t> </w:t>
      </w:r>
      <w:r w:rsidRPr="001A3179">
        <w:rPr>
          <w:lang w:val="fr-FR"/>
        </w:rPr>
        <w:t>:</w:t>
      </w:r>
    </w:p>
    <w:p w14:paraId="25B2AA8E" w14:textId="77777777" w:rsidR="002A5EB2" w:rsidRPr="001A3179" w:rsidRDefault="002A5EB2" w:rsidP="00932521">
      <w:pPr>
        <w:pStyle w:val="Bullet1G"/>
        <w:rPr>
          <w:lang w:val="fr-FR"/>
        </w:rPr>
      </w:pPr>
      <w:r w:rsidRPr="001A3179">
        <w:rPr>
          <w:lang w:val="fr-FR"/>
        </w:rPr>
        <w:t>2011</w:t>
      </w:r>
      <w:r w:rsidR="00932521">
        <w:rPr>
          <w:lang w:val="fr-FR"/>
        </w:rPr>
        <w:t> </w:t>
      </w:r>
      <w:r w:rsidRPr="001A3179">
        <w:rPr>
          <w:lang w:val="fr-FR"/>
        </w:rPr>
        <w:t>: 358</w:t>
      </w:r>
      <w:r w:rsidR="00932521">
        <w:rPr>
          <w:lang w:val="fr-FR"/>
        </w:rPr>
        <w:t> </w:t>
      </w:r>
      <w:r w:rsidRPr="001A3179">
        <w:rPr>
          <w:lang w:val="fr-FR"/>
        </w:rPr>
        <w:t>;</w:t>
      </w:r>
    </w:p>
    <w:p w14:paraId="5245CB39" w14:textId="77777777" w:rsidR="002A5EB2" w:rsidRPr="001A3179" w:rsidRDefault="002A5EB2" w:rsidP="00932521">
      <w:pPr>
        <w:pStyle w:val="Bullet1G"/>
        <w:rPr>
          <w:lang w:val="fr-FR"/>
        </w:rPr>
      </w:pPr>
      <w:r w:rsidRPr="001A3179">
        <w:rPr>
          <w:lang w:val="fr-FR"/>
        </w:rPr>
        <w:t>2012</w:t>
      </w:r>
      <w:r w:rsidR="00932521">
        <w:rPr>
          <w:lang w:val="fr-FR"/>
        </w:rPr>
        <w:t> </w:t>
      </w:r>
      <w:r w:rsidRPr="001A3179">
        <w:rPr>
          <w:lang w:val="fr-FR"/>
        </w:rPr>
        <w:t>: 304</w:t>
      </w:r>
      <w:r w:rsidR="00932521">
        <w:rPr>
          <w:lang w:val="fr-FR"/>
        </w:rPr>
        <w:t> </w:t>
      </w:r>
      <w:r w:rsidRPr="001A3179">
        <w:rPr>
          <w:lang w:val="fr-FR"/>
        </w:rPr>
        <w:t>;</w:t>
      </w:r>
    </w:p>
    <w:p w14:paraId="5A92280A" w14:textId="77777777" w:rsidR="002A5EB2" w:rsidRPr="001A3179" w:rsidRDefault="002A5EB2" w:rsidP="00932521">
      <w:pPr>
        <w:pStyle w:val="Bullet1G"/>
        <w:rPr>
          <w:lang w:val="fr-FR"/>
        </w:rPr>
      </w:pPr>
      <w:r w:rsidRPr="001A3179">
        <w:rPr>
          <w:lang w:val="fr-FR"/>
        </w:rPr>
        <w:t>2013</w:t>
      </w:r>
      <w:r w:rsidR="00932521">
        <w:rPr>
          <w:lang w:val="fr-FR"/>
        </w:rPr>
        <w:t> </w:t>
      </w:r>
      <w:r w:rsidRPr="001A3179">
        <w:rPr>
          <w:lang w:val="fr-FR"/>
        </w:rPr>
        <w:t>: 272</w:t>
      </w:r>
      <w:r w:rsidR="00932521">
        <w:rPr>
          <w:lang w:val="fr-FR"/>
        </w:rPr>
        <w:t> </w:t>
      </w:r>
      <w:r w:rsidRPr="001A3179">
        <w:rPr>
          <w:lang w:val="fr-FR"/>
        </w:rPr>
        <w:t>;</w:t>
      </w:r>
    </w:p>
    <w:p w14:paraId="3416FBC6" w14:textId="77777777" w:rsidR="002A5EB2" w:rsidRPr="001A3179" w:rsidRDefault="002A5EB2" w:rsidP="00932521">
      <w:pPr>
        <w:pStyle w:val="Bullet1G"/>
        <w:rPr>
          <w:lang w:val="fr-FR"/>
        </w:rPr>
      </w:pPr>
      <w:r w:rsidRPr="001A3179">
        <w:rPr>
          <w:lang w:val="fr-FR"/>
        </w:rPr>
        <w:t>2014</w:t>
      </w:r>
      <w:r w:rsidR="00932521">
        <w:rPr>
          <w:lang w:val="fr-FR"/>
        </w:rPr>
        <w:t> </w:t>
      </w:r>
      <w:r w:rsidRPr="001A3179">
        <w:rPr>
          <w:lang w:val="fr-FR"/>
        </w:rPr>
        <w:t>: 385</w:t>
      </w:r>
      <w:r w:rsidR="00932521">
        <w:rPr>
          <w:lang w:val="fr-FR"/>
        </w:rPr>
        <w:t> </w:t>
      </w:r>
      <w:r w:rsidRPr="001A3179">
        <w:rPr>
          <w:lang w:val="fr-FR"/>
        </w:rPr>
        <w:t>;</w:t>
      </w:r>
    </w:p>
    <w:p w14:paraId="70C5A33C" w14:textId="77777777" w:rsidR="002A5EB2" w:rsidRPr="001A3179" w:rsidRDefault="002A5EB2" w:rsidP="00932521">
      <w:pPr>
        <w:pStyle w:val="Bullet1G"/>
        <w:rPr>
          <w:lang w:val="fr-FR"/>
        </w:rPr>
      </w:pPr>
      <w:r w:rsidRPr="001A3179">
        <w:rPr>
          <w:lang w:val="fr-FR"/>
        </w:rPr>
        <w:t>2015</w:t>
      </w:r>
      <w:r w:rsidR="00932521">
        <w:rPr>
          <w:lang w:val="fr-FR"/>
        </w:rPr>
        <w:t> </w:t>
      </w:r>
      <w:r w:rsidRPr="001A3179">
        <w:rPr>
          <w:lang w:val="fr-FR"/>
        </w:rPr>
        <w:t>: 277</w:t>
      </w:r>
      <w:r w:rsidR="00932521">
        <w:rPr>
          <w:lang w:val="fr-FR"/>
        </w:rPr>
        <w:t> </w:t>
      </w:r>
      <w:r w:rsidRPr="001A3179">
        <w:rPr>
          <w:lang w:val="fr-FR"/>
        </w:rPr>
        <w:t>;</w:t>
      </w:r>
    </w:p>
    <w:p w14:paraId="69141980" w14:textId="77777777" w:rsidR="002A5EB2" w:rsidRPr="001A3179" w:rsidRDefault="002A5EB2" w:rsidP="00932521">
      <w:pPr>
        <w:pStyle w:val="Bullet1G"/>
        <w:rPr>
          <w:lang w:val="fr-FR"/>
        </w:rPr>
      </w:pPr>
      <w:r w:rsidRPr="001A3179">
        <w:rPr>
          <w:lang w:val="fr-FR"/>
        </w:rPr>
        <w:t>2016</w:t>
      </w:r>
      <w:r w:rsidR="00A1651F">
        <w:rPr>
          <w:lang w:val="fr-FR"/>
        </w:rPr>
        <w:t> </w:t>
      </w:r>
      <w:r w:rsidRPr="001A3179">
        <w:rPr>
          <w:lang w:val="fr-FR"/>
        </w:rPr>
        <w:t>: 1</w:t>
      </w:r>
      <w:r w:rsidR="00A1651F">
        <w:rPr>
          <w:lang w:val="fr-FR"/>
        </w:rPr>
        <w:t> </w:t>
      </w:r>
      <w:r w:rsidRPr="001A3179">
        <w:rPr>
          <w:lang w:val="fr-FR"/>
        </w:rPr>
        <w:t>308</w:t>
      </w:r>
      <w:r w:rsidR="00A1651F">
        <w:rPr>
          <w:lang w:val="fr-FR"/>
        </w:rPr>
        <w:t> </w:t>
      </w:r>
      <w:r w:rsidRPr="001A3179">
        <w:rPr>
          <w:lang w:val="fr-FR"/>
        </w:rPr>
        <w:t>;</w:t>
      </w:r>
    </w:p>
    <w:p w14:paraId="43232222" w14:textId="77777777" w:rsidR="002A5EB2" w:rsidRPr="001A3179" w:rsidRDefault="002A5EB2" w:rsidP="00932521">
      <w:pPr>
        <w:pStyle w:val="Bullet1G"/>
        <w:rPr>
          <w:lang w:val="fr-FR"/>
        </w:rPr>
      </w:pPr>
      <w:r w:rsidRPr="001A3179">
        <w:rPr>
          <w:lang w:val="fr-FR"/>
        </w:rPr>
        <w:t>2017</w:t>
      </w:r>
      <w:r w:rsidR="00A1651F">
        <w:rPr>
          <w:lang w:val="fr-FR"/>
        </w:rPr>
        <w:t> </w:t>
      </w:r>
      <w:r w:rsidRPr="001A3179">
        <w:rPr>
          <w:lang w:val="fr-FR"/>
        </w:rPr>
        <w:t>: 1</w:t>
      </w:r>
      <w:r w:rsidR="00A1651F">
        <w:rPr>
          <w:lang w:val="fr-FR"/>
        </w:rPr>
        <w:t> </w:t>
      </w:r>
      <w:r w:rsidRPr="001A3179">
        <w:rPr>
          <w:lang w:val="fr-FR"/>
        </w:rPr>
        <w:t>476</w:t>
      </w:r>
      <w:r w:rsidR="00A1651F">
        <w:rPr>
          <w:lang w:val="fr-FR"/>
        </w:rPr>
        <w:t> ;</w:t>
      </w:r>
    </w:p>
    <w:p w14:paraId="35E15C00" w14:textId="77777777" w:rsidR="002A5EB2" w:rsidRPr="001A3179" w:rsidRDefault="002A5EB2" w:rsidP="00932521">
      <w:pPr>
        <w:pStyle w:val="Bullet1G"/>
        <w:rPr>
          <w:lang w:val="fr-FR"/>
        </w:rPr>
      </w:pPr>
      <w:r w:rsidRPr="001A3179">
        <w:rPr>
          <w:lang w:val="fr-FR"/>
        </w:rPr>
        <w:t>2018 (janvier à mars)</w:t>
      </w:r>
      <w:r w:rsidR="00A1651F">
        <w:rPr>
          <w:lang w:val="fr-FR"/>
        </w:rPr>
        <w:t> </w:t>
      </w:r>
      <w:r w:rsidRPr="001A3179">
        <w:rPr>
          <w:lang w:val="fr-FR"/>
        </w:rPr>
        <w:t>: 523.</w:t>
      </w:r>
    </w:p>
    <w:p w14:paraId="21934A30" w14:textId="77777777" w:rsidR="002A5EB2" w:rsidRPr="001A3179" w:rsidRDefault="002A5EB2" w:rsidP="00932521">
      <w:pPr>
        <w:pStyle w:val="H23G"/>
        <w:rPr>
          <w:lang w:val="fr-FR"/>
        </w:rPr>
      </w:pPr>
      <w:r w:rsidRPr="001A3179">
        <w:rPr>
          <w:lang w:val="fr-FR"/>
        </w:rPr>
        <w:tab/>
      </w:r>
      <w:r w:rsidRPr="001A3179">
        <w:rPr>
          <w:lang w:val="fr-FR"/>
        </w:rPr>
        <w:tab/>
        <w:t>Réponse au paragraphe 7 d) de la liste des points à traiter</w:t>
      </w:r>
    </w:p>
    <w:p w14:paraId="2A91D347" w14:textId="77777777" w:rsidR="002A5EB2" w:rsidRPr="001A3179" w:rsidRDefault="002A5EB2" w:rsidP="002A5EB2">
      <w:pPr>
        <w:pStyle w:val="SingleTxtG"/>
        <w:rPr>
          <w:lang w:val="fr-FR"/>
        </w:rPr>
      </w:pPr>
      <w:r w:rsidRPr="001A3179">
        <w:rPr>
          <w:lang w:val="fr-FR"/>
        </w:rPr>
        <w:t>75.</w:t>
      </w:r>
      <w:r w:rsidRPr="001A3179">
        <w:rPr>
          <w:lang w:val="fr-FR"/>
        </w:rPr>
        <w:tab/>
        <w:t>En vertu de la loi sur la protection internationale, les ressortissants de pays tiers ou les apatrides peuvent demander une telle protection en Slovénie. Il n</w:t>
      </w:r>
      <w:r>
        <w:rPr>
          <w:lang w:val="fr-FR"/>
        </w:rPr>
        <w:t>’</w:t>
      </w:r>
      <w:r w:rsidRPr="001A3179">
        <w:rPr>
          <w:lang w:val="fr-FR"/>
        </w:rPr>
        <w:t>existe pas de registre consignant les motifs invoqués par les demandeur</w:t>
      </w:r>
      <w:r>
        <w:rPr>
          <w:lang w:val="fr-FR"/>
        </w:rPr>
        <w:t>s</w:t>
      </w:r>
      <w:r w:rsidRPr="001A3179">
        <w:rPr>
          <w:lang w:val="fr-FR"/>
        </w:rPr>
        <w:t xml:space="preserve"> pour étayer leur dossier.</w:t>
      </w:r>
    </w:p>
    <w:p w14:paraId="37631B57" w14:textId="77777777" w:rsidR="002A5EB2" w:rsidRPr="001A3179" w:rsidRDefault="002A5EB2" w:rsidP="00932521">
      <w:pPr>
        <w:pStyle w:val="H23G"/>
        <w:rPr>
          <w:lang w:val="fr-FR"/>
        </w:rPr>
      </w:pPr>
      <w:r w:rsidRPr="001A3179">
        <w:rPr>
          <w:lang w:val="fr-FR"/>
        </w:rPr>
        <w:lastRenderedPageBreak/>
        <w:tab/>
      </w:r>
      <w:r w:rsidRPr="001A3179">
        <w:rPr>
          <w:lang w:val="fr-FR"/>
        </w:rPr>
        <w:tab/>
        <w:t>Réponse au paragraphe 7 e) de la liste des points à traiter</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709"/>
        <w:gridCol w:w="709"/>
        <w:gridCol w:w="709"/>
        <w:gridCol w:w="709"/>
        <w:gridCol w:w="709"/>
        <w:gridCol w:w="709"/>
        <w:gridCol w:w="686"/>
        <w:gridCol w:w="21"/>
      </w:tblGrid>
      <w:tr w:rsidR="002A5EB2" w:rsidRPr="00932521" w14:paraId="525B1CFB" w14:textId="77777777" w:rsidTr="00A1651F">
        <w:trPr>
          <w:tblHeader/>
        </w:trPr>
        <w:tc>
          <w:tcPr>
            <w:tcW w:w="2410" w:type="dxa"/>
            <w:tcBorders>
              <w:top w:val="single" w:sz="4" w:space="0" w:color="000000" w:themeColor="text1"/>
              <w:bottom w:val="single" w:sz="12" w:space="0" w:color="000000" w:themeColor="text1"/>
            </w:tcBorders>
            <w:shd w:val="clear" w:color="auto" w:fill="auto"/>
            <w:tcMar>
              <w:right w:w="17" w:type="dxa"/>
            </w:tcMar>
            <w:vAlign w:val="bottom"/>
            <w:hideMark/>
          </w:tcPr>
          <w:p w14:paraId="701CBC8F" w14:textId="77777777" w:rsidR="002A5EB2" w:rsidRPr="00932521" w:rsidRDefault="002A5EB2" w:rsidP="00932521">
            <w:pPr>
              <w:suppressAutoHyphens w:val="0"/>
              <w:spacing w:before="80" w:after="80" w:line="200" w:lineRule="exact"/>
              <w:rPr>
                <w:i/>
                <w:sz w:val="16"/>
                <w:lang w:val="fr-FR"/>
              </w:rPr>
            </w:pPr>
            <w:r w:rsidRPr="00932521">
              <w:rPr>
                <w:i/>
                <w:sz w:val="16"/>
                <w:lang w:val="fr-FR"/>
              </w:rPr>
              <w:t>Nationalité</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197A9FA1"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2012</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104AA9B3"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2013</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1B5CF313"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2014</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57E5D879"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2015</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27AE791E"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2016</w:t>
            </w:r>
          </w:p>
        </w:tc>
        <w:tc>
          <w:tcPr>
            <w:tcW w:w="709" w:type="dxa"/>
            <w:tcBorders>
              <w:top w:val="single" w:sz="4" w:space="0" w:color="000000" w:themeColor="text1"/>
              <w:bottom w:val="single" w:sz="12" w:space="0" w:color="000000" w:themeColor="text1"/>
            </w:tcBorders>
            <w:shd w:val="clear" w:color="auto" w:fill="auto"/>
            <w:tcMar>
              <w:right w:w="17" w:type="dxa"/>
            </w:tcMar>
            <w:vAlign w:val="bottom"/>
            <w:hideMark/>
          </w:tcPr>
          <w:p w14:paraId="6B694199"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2017</w:t>
            </w:r>
          </w:p>
        </w:tc>
        <w:tc>
          <w:tcPr>
            <w:tcW w:w="707" w:type="dxa"/>
            <w:gridSpan w:val="2"/>
            <w:tcBorders>
              <w:top w:val="single" w:sz="4" w:space="0" w:color="000000" w:themeColor="text1"/>
              <w:bottom w:val="single" w:sz="12" w:space="0" w:color="000000" w:themeColor="text1"/>
            </w:tcBorders>
            <w:shd w:val="clear" w:color="auto" w:fill="auto"/>
            <w:tcMar>
              <w:right w:w="17" w:type="dxa"/>
            </w:tcMar>
            <w:vAlign w:val="bottom"/>
            <w:hideMark/>
          </w:tcPr>
          <w:p w14:paraId="40067248" w14:textId="77777777" w:rsidR="002A5EB2" w:rsidRPr="00932521" w:rsidRDefault="002A5EB2" w:rsidP="00932521">
            <w:pPr>
              <w:suppressAutoHyphens w:val="0"/>
              <w:spacing w:before="80" w:after="80" w:line="200" w:lineRule="exact"/>
              <w:jc w:val="right"/>
              <w:rPr>
                <w:i/>
                <w:sz w:val="16"/>
                <w:lang w:val="fr-FR"/>
              </w:rPr>
            </w:pPr>
            <w:r w:rsidRPr="00932521">
              <w:rPr>
                <w:i/>
                <w:sz w:val="16"/>
                <w:lang w:val="fr-FR"/>
              </w:rPr>
              <w:t>2018</w:t>
            </w:r>
          </w:p>
        </w:tc>
      </w:tr>
      <w:tr w:rsidR="002A5EB2" w:rsidRPr="00932521" w14:paraId="58D05145" w14:textId="77777777" w:rsidTr="00A1651F">
        <w:trPr>
          <w:gridAfter w:val="1"/>
          <w:wAfter w:w="21" w:type="dxa"/>
        </w:trPr>
        <w:tc>
          <w:tcPr>
            <w:tcW w:w="2410" w:type="dxa"/>
            <w:tcBorders>
              <w:bottom w:val="single" w:sz="4" w:space="0" w:color="auto"/>
            </w:tcBorders>
            <w:shd w:val="clear" w:color="auto" w:fill="auto"/>
            <w:tcMar>
              <w:right w:w="17" w:type="dxa"/>
            </w:tcMar>
            <w:hideMark/>
          </w:tcPr>
          <w:p w14:paraId="0C73A772" w14:textId="77777777" w:rsidR="002A5EB2" w:rsidRPr="00932521" w:rsidRDefault="002A5EB2" w:rsidP="00932521">
            <w:pPr>
              <w:suppressAutoHyphens w:val="0"/>
              <w:spacing w:before="80" w:after="80" w:line="220" w:lineRule="exact"/>
              <w:ind w:firstLine="284"/>
              <w:rPr>
                <w:b/>
                <w:bCs/>
                <w:sz w:val="18"/>
                <w:lang w:val="fr-FR"/>
              </w:rPr>
            </w:pPr>
            <w:r w:rsidRPr="00932521">
              <w:rPr>
                <w:b/>
                <w:bCs/>
                <w:sz w:val="18"/>
                <w:lang w:val="fr-FR"/>
              </w:rPr>
              <w:t>Total</w:t>
            </w:r>
          </w:p>
        </w:tc>
        <w:tc>
          <w:tcPr>
            <w:tcW w:w="709" w:type="dxa"/>
            <w:tcBorders>
              <w:bottom w:val="single" w:sz="4" w:space="0" w:color="auto"/>
            </w:tcBorders>
            <w:shd w:val="clear" w:color="auto" w:fill="auto"/>
            <w:tcMar>
              <w:right w:w="17" w:type="dxa"/>
            </w:tcMar>
            <w:vAlign w:val="bottom"/>
            <w:hideMark/>
          </w:tcPr>
          <w:p w14:paraId="4BEB8739"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75</w:t>
            </w:r>
          </w:p>
        </w:tc>
        <w:tc>
          <w:tcPr>
            <w:tcW w:w="709" w:type="dxa"/>
            <w:tcBorders>
              <w:bottom w:val="single" w:sz="4" w:space="0" w:color="auto"/>
            </w:tcBorders>
            <w:shd w:val="clear" w:color="auto" w:fill="auto"/>
            <w:tcMar>
              <w:right w:w="17" w:type="dxa"/>
            </w:tcMar>
            <w:vAlign w:val="bottom"/>
            <w:hideMark/>
          </w:tcPr>
          <w:p w14:paraId="25AF6223"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40</w:t>
            </w:r>
          </w:p>
        </w:tc>
        <w:tc>
          <w:tcPr>
            <w:tcW w:w="709" w:type="dxa"/>
            <w:tcBorders>
              <w:bottom w:val="single" w:sz="4" w:space="0" w:color="auto"/>
            </w:tcBorders>
            <w:shd w:val="clear" w:color="auto" w:fill="auto"/>
            <w:tcMar>
              <w:right w:w="17" w:type="dxa"/>
            </w:tcMar>
            <w:vAlign w:val="bottom"/>
            <w:hideMark/>
          </w:tcPr>
          <w:p w14:paraId="545496AE"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38</w:t>
            </w:r>
          </w:p>
        </w:tc>
        <w:tc>
          <w:tcPr>
            <w:tcW w:w="709" w:type="dxa"/>
            <w:tcBorders>
              <w:bottom w:val="single" w:sz="4" w:space="0" w:color="auto"/>
            </w:tcBorders>
            <w:shd w:val="clear" w:color="auto" w:fill="auto"/>
            <w:tcMar>
              <w:right w:w="17" w:type="dxa"/>
            </w:tcMar>
            <w:vAlign w:val="bottom"/>
            <w:hideMark/>
          </w:tcPr>
          <w:p w14:paraId="4C25735E"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21</w:t>
            </w:r>
          </w:p>
        </w:tc>
        <w:tc>
          <w:tcPr>
            <w:tcW w:w="709" w:type="dxa"/>
            <w:tcBorders>
              <w:bottom w:val="single" w:sz="4" w:space="0" w:color="auto"/>
            </w:tcBorders>
            <w:shd w:val="clear" w:color="auto" w:fill="auto"/>
            <w:tcMar>
              <w:right w:w="17" w:type="dxa"/>
            </w:tcMar>
            <w:vAlign w:val="bottom"/>
            <w:hideMark/>
          </w:tcPr>
          <w:p w14:paraId="53C7B50A"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42</w:t>
            </w:r>
          </w:p>
        </w:tc>
        <w:tc>
          <w:tcPr>
            <w:tcW w:w="709" w:type="dxa"/>
            <w:tcBorders>
              <w:bottom w:val="single" w:sz="4" w:space="0" w:color="auto"/>
            </w:tcBorders>
            <w:shd w:val="clear" w:color="auto" w:fill="auto"/>
            <w:tcMar>
              <w:right w:w="17" w:type="dxa"/>
            </w:tcMar>
            <w:vAlign w:val="bottom"/>
            <w:hideMark/>
          </w:tcPr>
          <w:p w14:paraId="2F791CF2"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43</w:t>
            </w:r>
          </w:p>
        </w:tc>
        <w:tc>
          <w:tcPr>
            <w:tcW w:w="686" w:type="dxa"/>
            <w:tcBorders>
              <w:bottom w:val="single" w:sz="4" w:space="0" w:color="auto"/>
            </w:tcBorders>
            <w:shd w:val="clear" w:color="auto" w:fill="auto"/>
            <w:tcMar>
              <w:right w:w="17" w:type="dxa"/>
            </w:tcMar>
            <w:vAlign w:val="bottom"/>
            <w:hideMark/>
          </w:tcPr>
          <w:p w14:paraId="5458415C" w14:textId="77777777" w:rsidR="002A5EB2" w:rsidRPr="00932521" w:rsidRDefault="002A5EB2" w:rsidP="00932521">
            <w:pPr>
              <w:suppressAutoHyphens w:val="0"/>
              <w:spacing w:before="80" w:after="80" w:line="220" w:lineRule="exact"/>
              <w:jc w:val="right"/>
              <w:rPr>
                <w:b/>
                <w:bCs/>
                <w:sz w:val="18"/>
                <w:lang w:val="fr-FR"/>
              </w:rPr>
            </w:pPr>
            <w:r w:rsidRPr="00932521">
              <w:rPr>
                <w:b/>
                <w:bCs/>
                <w:sz w:val="18"/>
                <w:lang w:val="fr-FR"/>
              </w:rPr>
              <w:t>66</w:t>
            </w:r>
          </w:p>
        </w:tc>
      </w:tr>
      <w:tr w:rsidR="002A5EB2" w:rsidRPr="00932521" w14:paraId="5DFFAD2E" w14:textId="77777777" w:rsidTr="00A1651F">
        <w:trPr>
          <w:gridAfter w:val="1"/>
          <w:wAfter w:w="21" w:type="dxa"/>
        </w:trPr>
        <w:tc>
          <w:tcPr>
            <w:tcW w:w="2410" w:type="dxa"/>
            <w:tcBorders>
              <w:top w:val="single" w:sz="4" w:space="0" w:color="auto"/>
            </w:tcBorders>
            <w:shd w:val="clear" w:color="auto" w:fill="auto"/>
            <w:tcMar>
              <w:right w:w="17" w:type="dxa"/>
            </w:tcMar>
            <w:hideMark/>
          </w:tcPr>
          <w:p w14:paraId="4ACA9EA8" w14:textId="77777777" w:rsidR="002A5EB2" w:rsidRPr="00932521" w:rsidRDefault="002A5EB2" w:rsidP="00932521">
            <w:pPr>
              <w:suppressAutoHyphens w:val="0"/>
              <w:spacing w:before="40" w:after="40" w:line="220" w:lineRule="exact"/>
              <w:rPr>
                <w:sz w:val="18"/>
                <w:lang w:val="fr-FR"/>
              </w:rPr>
            </w:pPr>
            <w:r w:rsidRPr="00932521">
              <w:rPr>
                <w:sz w:val="18"/>
                <w:lang w:val="fr-FR"/>
              </w:rPr>
              <w:t>Roumanie</w:t>
            </w:r>
          </w:p>
        </w:tc>
        <w:tc>
          <w:tcPr>
            <w:tcW w:w="709" w:type="dxa"/>
            <w:tcBorders>
              <w:top w:val="single" w:sz="4" w:space="0" w:color="auto"/>
            </w:tcBorders>
            <w:shd w:val="clear" w:color="auto" w:fill="auto"/>
            <w:tcMar>
              <w:right w:w="17" w:type="dxa"/>
            </w:tcMar>
            <w:vAlign w:val="bottom"/>
            <w:hideMark/>
          </w:tcPr>
          <w:p w14:paraId="5A355DA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9</w:t>
            </w:r>
          </w:p>
        </w:tc>
        <w:tc>
          <w:tcPr>
            <w:tcW w:w="709" w:type="dxa"/>
            <w:tcBorders>
              <w:top w:val="single" w:sz="4" w:space="0" w:color="auto"/>
            </w:tcBorders>
            <w:shd w:val="clear" w:color="auto" w:fill="auto"/>
            <w:tcMar>
              <w:right w:w="17" w:type="dxa"/>
            </w:tcMar>
            <w:vAlign w:val="bottom"/>
            <w:hideMark/>
          </w:tcPr>
          <w:p w14:paraId="4C56F2F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w:t>
            </w:r>
          </w:p>
        </w:tc>
        <w:tc>
          <w:tcPr>
            <w:tcW w:w="709" w:type="dxa"/>
            <w:tcBorders>
              <w:top w:val="single" w:sz="4" w:space="0" w:color="auto"/>
            </w:tcBorders>
            <w:shd w:val="clear" w:color="auto" w:fill="auto"/>
            <w:tcMar>
              <w:right w:w="17" w:type="dxa"/>
            </w:tcMar>
            <w:vAlign w:val="bottom"/>
            <w:hideMark/>
          </w:tcPr>
          <w:p w14:paraId="3EB2B32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13</w:t>
            </w:r>
          </w:p>
        </w:tc>
        <w:tc>
          <w:tcPr>
            <w:tcW w:w="709" w:type="dxa"/>
            <w:tcBorders>
              <w:top w:val="single" w:sz="4" w:space="0" w:color="auto"/>
            </w:tcBorders>
            <w:shd w:val="clear" w:color="auto" w:fill="auto"/>
            <w:tcMar>
              <w:right w:w="17" w:type="dxa"/>
            </w:tcMar>
            <w:vAlign w:val="bottom"/>
            <w:hideMark/>
          </w:tcPr>
          <w:p w14:paraId="688FFAC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w:t>
            </w:r>
          </w:p>
        </w:tc>
        <w:tc>
          <w:tcPr>
            <w:tcW w:w="709" w:type="dxa"/>
            <w:tcBorders>
              <w:top w:val="single" w:sz="4" w:space="0" w:color="auto"/>
            </w:tcBorders>
            <w:shd w:val="clear" w:color="auto" w:fill="auto"/>
            <w:tcMar>
              <w:right w:w="17" w:type="dxa"/>
            </w:tcMar>
            <w:vAlign w:val="bottom"/>
            <w:hideMark/>
          </w:tcPr>
          <w:p w14:paraId="769521D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22</w:t>
            </w:r>
          </w:p>
        </w:tc>
        <w:tc>
          <w:tcPr>
            <w:tcW w:w="709" w:type="dxa"/>
            <w:tcBorders>
              <w:top w:val="single" w:sz="4" w:space="0" w:color="auto"/>
            </w:tcBorders>
            <w:shd w:val="clear" w:color="auto" w:fill="auto"/>
            <w:tcMar>
              <w:right w:w="17" w:type="dxa"/>
            </w:tcMar>
            <w:vAlign w:val="bottom"/>
            <w:hideMark/>
          </w:tcPr>
          <w:p w14:paraId="5240757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22</w:t>
            </w:r>
          </w:p>
        </w:tc>
        <w:tc>
          <w:tcPr>
            <w:tcW w:w="686" w:type="dxa"/>
            <w:tcBorders>
              <w:top w:val="single" w:sz="4" w:space="0" w:color="auto"/>
            </w:tcBorders>
            <w:shd w:val="clear" w:color="auto" w:fill="auto"/>
            <w:tcMar>
              <w:right w:w="17" w:type="dxa"/>
            </w:tcMar>
            <w:vAlign w:val="bottom"/>
            <w:hideMark/>
          </w:tcPr>
          <w:p w14:paraId="0DE67AB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13</w:t>
            </w:r>
          </w:p>
        </w:tc>
      </w:tr>
      <w:tr w:rsidR="002A5EB2" w:rsidRPr="00932521" w14:paraId="4D43FBA3" w14:textId="77777777" w:rsidTr="00A1651F">
        <w:trPr>
          <w:gridAfter w:val="1"/>
          <w:wAfter w:w="21" w:type="dxa"/>
        </w:trPr>
        <w:tc>
          <w:tcPr>
            <w:tcW w:w="2410" w:type="dxa"/>
            <w:shd w:val="clear" w:color="auto" w:fill="auto"/>
            <w:tcMar>
              <w:right w:w="17" w:type="dxa"/>
            </w:tcMar>
            <w:hideMark/>
          </w:tcPr>
          <w:p w14:paraId="34A3959A" w14:textId="77777777" w:rsidR="002A5EB2" w:rsidRPr="00932521" w:rsidRDefault="002A5EB2" w:rsidP="00932521">
            <w:pPr>
              <w:suppressAutoHyphens w:val="0"/>
              <w:spacing w:before="40" w:after="40" w:line="220" w:lineRule="exact"/>
              <w:rPr>
                <w:sz w:val="18"/>
                <w:lang w:val="fr-FR"/>
              </w:rPr>
            </w:pPr>
            <w:r w:rsidRPr="00932521">
              <w:rPr>
                <w:sz w:val="18"/>
                <w:lang w:val="fr-FR"/>
              </w:rPr>
              <w:t>Bosnie-Herzégovine</w:t>
            </w:r>
          </w:p>
        </w:tc>
        <w:tc>
          <w:tcPr>
            <w:tcW w:w="709" w:type="dxa"/>
            <w:shd w:val="clear" w:color="auto" w:fill="auto"/>
            <w:tcMar>
              <w:right w:w="17" w:type="dxa"/>
            </w:tcMar>
            <w:vAlign w:val="bottom"/>
            <w:hideMark/>
          </w:tcPr>
          <w:p w14:paraId="02AF114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10</w:t>
            </w:r>
          </w:p>
        </w:tc>
        <w:tc>
          <w:tcPr>
            <w:tcW w:w="709" w:type="dxa"/>
            <w:shd w:val="clear" w:color="auto" w:fill="auto"/>
            <w:tcMar>
              <w:right w:w="17" w:type="dxa"/>
            </w:tcMar>
            <w:vAlign w:val="bottom"/>
            <w:hideMark/>
          </w:tcPr>
          <w:p w14:paraId="1135E26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w:t>
            </w:r>
          </w:p>
        </w:tc>
        <w:tc>
          <w:tcPr>
            <w:tcW w:w="709" w:type="dxa"/>
            <w:shd w:val="clear" w:color="auto" w:fill="auto"/>
            <w:tcMar>
              <w:right w:w="17" w:type="dxa"/>
            </w:tcMar>
            <w:vAlign w:val="bottom"/>
            <w:hideMark/>
          </w:tcPr>
          <w:p w14:paraId="5B3C341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shd w:val="clear" w:color="auto" w:fill="auto"/>
            <w:tcMar>
              <w:right w:w="17" w:type="dxa"/>
            </w:tcMar>
            <w:vAlign w:val="bottom"/>
            <w:hideMark/>
          </w:tcPr>
          <w:p w14:paraId="2FA6FB3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34007B4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1185DD7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686" w:type="dxa"/>
            <w:shd w:val="clear" w:color="auto" w:fill="auto"/>
            <w:tcMar>
              <w:right w:w="17" w:type="dxa"/>
            </w:tcMar>
            <w:vAlign w:val="bottom"/>
            <w:hideMark/>
          </w:tcPr>
          <w:p w14:paraId="578CBD3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10</w:t>
            </w:r>
          </w:p>
        </w:tc>
      </w:tr>
      <w:tr w:rsidR="002A5EB2" w:rsidRPr="00932521" w14:paraId="43807C9D" w14:textId="77777777" w:rsidTr="00A1651F">
        <w:trPr>
          <w:gridAfter w:val="1"/>
          <w:wAfter w:w="21" w:type="dxa"/>
        </w:trPr>
        <w:tc>
          <w:tcPr>
            <w:tcW w:w="2410" w:type="dxa"/>
            <w:shd w:val="clear" w:color="auto" w:fill="auto"/>
            <w:tcMar>
              <w:right w:w="17" w:type="dxa"/>
            </w:tcMar>
            <w:hideMark/>
          </w:tcPr>
          <w:p w14:paraId="44198471" w14:textId="77777777" w:rsidR="002A5EB2" w:rsidRPr="00932521" w:rsidRDefault="002A5EB2" w:rsidP="00932521">
            <w:pPr>
              <w:suppressAutoHyphens w:val="0"/>
              <w:spacing w:before="40" w:after="40" w:line="220" w:lineRule="exact"/>
              <w:rPr>
                <w:sz w:val="18"/>
                <w:lang w:val="fr-FR"/>
              </w:rPr>
            </w:pPr>
            <w:r w:rsidRPr="00932521">
              <w:rPr>
                <w:sz w:val="18"/>
                <w:lang w:val="fr-FR"/>
              </w:rPr>
              <w:t>Albanie</w:t>
            </w:r>
          </w:p>
        </w:tc>
        <w:tc>
          <w:tcPr>
            <w:tcW w:w="709" w:type="dxa"/>
            <w:shd w:val="clear" w:color="auto" w:fill="auto"/>
            <w:tcMar>
              <w:right w:w="17" w:type="dxa"/>
            </w:tcMar>
            <w:vAlign w:val="bottom"/>
            <w:hideMark/>
          </w:tcPr>
          <w:p w14:paraId="21FAAFE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w:t>
            </w:r>
          </w:p>
        </w:tc>
        <w:tc>
          <w:tcPr>
            <w:tcW w:w="709" w:type="dxa"/>
            <w:shd w:val="clear" w:color="auto" w:fill="auto"/>
            <w:tcMar>
              <w:right w:w="17" w:type="dxa"/>
            </w:tcMar>
            <w:vAlign w:val="bottom"/>
            <w:hideMark/>
          </w:tcPr>
          <w:p w14:paraId="293BFEE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7DADA0C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8FED8F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33D6B61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shd w:val="clear" w:color="auto" w:fill="auto"/>
            <w:tcMar>
              <w:right w:w="17" w:type="dxa"/>
            </w:tcMar>
            <w:vAlign w:val="bottom"/>
            <w:hideMark/>
          </w:tcPr>
          <w:p w14:paraId="4F13ED2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4A7D49A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w:t>
            </w:r>
          </w:p>
        </w:tc>
      </w:tr>
      <w:tr w:rsidR="002A5EB2" w:rsidRPr="00932521" w14:paraId="7CEC5C0E" w14:textId="77777777" w:rsidTr="00A1651F">
        <w:trPr>
          <w:gridAfter w:val="1"/>
          <w:wAfter w:w="21" w:type="dxa"/>
        </w:trPr>
        <w:tc>
          <w:tcPr>
            <w:tcW w:w="2410" w:type="dxa"/>
            <w:shd w:val="clear" w:color="auto" w:fill="auto"/>
            <w:tcMar>
              <w:right w:w="17" w:type="dxa"/>
            </w:tcMar>
            <w:hideMark/>
          </w:tcPr>
          <w:p w14:paraId="33397C29" w14:textId="77777777" w:rsidR="002A5EB2" w:rsidRPr="00932521" w:rsidRDefault="002A5EB2" w:rsidP="00932521">
            <w:pPr>
              <w:suppressAutoHyphens w:val="0"/>
              <w:spacing w:before="40" w:after="40" w:line="220" w:lineRule="exact"/>
              <w:rPr>
                <w:sz w:val="18"/>
                <w:lang w:val="fr-FR"/>
              </w:rPr>
            </w:pPr>
            <w:r w:rsidRPr="00932521">
              <w:rPr>
                <w:sz w:val="18"/>
                <w:lang w:val="fr-FR"/>
              </w:rPr>
              <w:t>Macédoine du Nord</w:t>
            </w:r>
          </w:p>
        </w:tc>
        <w:tc>
          <w:tcPr>
            <w:tcW w:w="709" w:type="dxa"/>
            <w:shd w:val="clear" w:color="auto" w:fill="auto"/>
            <w:tcMar>
              <w:right w:w="17" w:type="dxa"/>
            </w:tcMar>
            <w:vAlign w:val="bottom"/>
            <w:hideMark/>
          </w:tcPr>
          <w:p w14:paraId="3F5D04A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6E88CA7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10CB455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612FF0D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0737914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79CDC9A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686" w:type="dxa"/>
            <w:shd w:val="clear" w:color="auto" w:fill="auto"/>
            <w:tcMar>
              <w:right w:w="17" w:type="dxa"/>
            </w:tcMar>
            <w:vAlign w:val="bottom"/>
            <w:hideMark/>
          </w:tcPr>
          <w:p w14:paraId="66BD081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w:t>
            </w:r>
          </w:p>
        </w:tc>
      </w:tr>
      <w:tr w:rsidR="002A5EB2" w:rsidRPr="00932521" w14:paraId="0CFBC7DC" w14:textId="77777777" w:rsidTr="00A1651F">
        <w:trPr>
          <w:gridAfter w:val="1"/>
          <w:wAfter w:w="21" w:type="dxa"/>
        </w:trPr>
        <w:tc>
          <w:tcPr>
            <w:tcW w:w="2410" w:type="dxa"/>
            <w:shd w:val="clear" w:color="auto" w:fill="auto"/>
            <w:tcMar>
              <w:right w:w="17" w:type="dxa"/>
            </w:tcMar>
            <w:hideMark/>
          </w:tcPr>
          <w:p w14:paraId="12946F0A" w14:textId="77777777" w:rsidR="002A5EB2" w:rsidRPr="00932521" w:rsidRDefault="002A5EB2" w:rsidP="00932521">
            <w:pPr>
              <w:suppressAutoHyphens w:val="0"/>
              <w:spacing w:before="40" w:after="40" w:line="220" w:lineRule="exact"/>
              <w:rPr>
                <w:sz w:val="18"/>
                <w:lang w:val="fr-FR"/>
              </w:rPr>
            </w:pPr>
            <w:r w:rsidRPr="00932521">
              <w:rPr>
                <w:sz w:val="18"/>
                <w:lang w:val="fr-FR"/>
              </w:rPr>
              <w:t>Autriche</w:t>
            </w:r>
          </w:p>
        </w:tc>
        <w:tc>
          <w:tcPr>
            <w:tcW w:w="709" w:type="dxa"/>
            <w:shd w:val="clear" w:color="auto" w:fill="auto"/>
            <w:tcMar>
              <w:right w:w="17" w:type="dxa"/>
            </w:tcMar>
            <w:vAlign w:val="bottom"/>
            <w:hideMark/>
          </w:tcPr>
          <w:p w14:paraId="6374801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763BC3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8376D9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174A9E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3A7C20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5CBC46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153AD4A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r>
      <w:tr w:rsidR="002A5EB2" w:rsidRPr="00932521" w14:paraId="2F95B612" w14:textId="77777777" w:rsidTr="00A1651F">
        <w:trPr>
          <w:gridAfter w:val="1"/>
          <w:wAfter w:w="21" w:type="dxa"/>
        </w:trPr>
        <w:tc>
          <w:tcPr>
            <w:tcW w:w="2410" w:type="dxa"/>
            <w:shd w:val="clear" w:color="auto" w:fill="auto"/>
            <w:tcMar>
              <w:right w:w="17" w:type="dxa"/>
            </w:tcMar>
            <w:hideMark/>
          </w:tcPr>
          <w:p w14:paraId="322EEC35" w14:textId="77777777" w:rsidR="002A5EB2" w:rsidRPr="00932521" w:rsidRDefault="002A5EB2" w:rsidP="00932521">
            <w:pPr>
              <w:suppressAutoHyphens w:val="0"/>
              <w:spacing w:before="40" w:after="40" w:line="220" w:lineRule="exact"/>
              <w:rPr>
                <w:sz w:val="18"/>
                <w:lang w:val="fr-FR"/>
              </w:rPr>
            </w:pPr>
            <w:r w:rsidRPr="00932521">
              <w:rPr>
                <w:sz w:val="18"/>
                <w:lang w:val="fr-FR"/>
              </w:rPr>
              <w:t>Afghanistan</w:t>
            </w:r>
          </w:p>
        </w:tc>
        <w:tc>
          <w:tcPr>
            <w:tcW w:w="709" w:type="dxa"/>
            <w:shd w:val="clear" w:color="auto" w:fill="auto"/>
            <w:tcMar>
              <w:right w:w="17" w:type="dxa"/>
            </w:tcMar>
            <w:vAlign w:val="bottom"/>
            <w:hideMark/>
          </w:tcPr>
          <w:p w14:paraId="4D288A5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shd w:val="clear" w:color="auto" w:fill="auto"/>
            <w:tcMar>
              <w:right w:w="17" w:type="dxa"/>
            </w:tcMar>
            <w:vAlign w:val="bottom"/>
            <w:hideMark/>
          </w:tcPr>
          <w:p w14:paraId="274F0FD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F1F200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81C17C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C96E2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2293E33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1E80003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r>
      <w:tr w:rsidR="002A5EB2" w:rsidRPr="00932521" w14:paraId="718D69A6" w14:textId="77777777" w:rsidTr="00A1651F">
        <w:trPr>
          <w:gridAfter w:val="1"/>
          <w:wAfter w:w="21" w:type="dxa"/>
        </w:trPr>
        <w:tc>
          <w:tcPr>
            <w:tcW w:w="2410" w:type="dxa"/>
            <w:shd w:val="clear" w:color="auto" w:fill="auto"/>
            <w:tcMar>
              <w:right w:w="17" w:type="dxa"/>
            </w:tcMar>
            <w:hideMark/>
          </w:tcPr>
          <w:p w14:paraId="1D7693D4" w14:textId="77777777" w:rsidR="002A5EB2" w:rsidRPr="00932521" w:rsidRDefault="002A5EB2" w:rsidP="00932521">
            <w:pPr>
              <w:suppressAutoHyphens w:val="0"/>
              <w:spacing w:before="40" w:after="40" w:line="220" w:lineRule="exact"/>
              <w:rPr>
                <w:sz w:val="18"/>
                <w:lang w:val="fr-FR"/>
              </w:rPr>
            </w:pPr>
            <w:r w:rsidRPr="00932521">
              <w:rPr>
                <w:sz w:val="18"/>
                <w:lang w:val="fr-FR"/>
              </w:rPr>
              <w:t>Croatie</w:t>
            </w:r>
          </w:p>
        </w:tc>
        <w:tc>
          <w:tcPr>
            <w:tcW w:w="709" w:type="dxa"/>
            <w:shd w:val="clear" w:color="auto" w:fill="auto"/>
            <w:tcMar>
              <w:right w:w="17" w:type="dxa"/>
            </w:tcMar>
            <w:vAlign w:val="bottom"/>
            <w:hideMark/>
          </w:tcPr>
          <w:p w14:paraId="6911E3D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9</w:t>
            </w:r>
          </w:p>
        </w:tc>
        <w:tc>
          <w:tcPr>
            <w:tcW w:w="709" w:type="dxa"/>
            <w:shd w:val="clear" w:color="auto" w:fill="auto"/>
            <w:tcMar>
              <w:right w:w="17" w:type="dxa"/>
            </w:tcMar>
            <w:vAlign w:val="bottom"/>
            <w:hideMark/>
          </w:tcPr>
          <w:p w14:paraId="6E5E6EF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7D30A7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64534E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80B21D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E1DF71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w:t>
            </w:r>
          </w:p>
        </w:tc>
        <w:tc>
          <w:tcPr>
            <w:tcW w:w="686" w:type="dxa"/>
            <w:shd w:val="clear" w:color="auto" w:fill="auto"/>
            <w:tcMar>
              <w:right w:w="17" w:type="dxa"/>
            </w:tcMar>
            <w:vAlign w:val="bottom"/>
            <w:hideMark/>
          </w:tcPr>
          <w:p w14:paraId="5E9E14B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24D43965" w14:textId="77777777" w:rsidTr="00A1651F">
        <w:trPr>
          <w:gridAfter w:val="1"/>
          <w:wAfter w:w="21" w:type="dxa"/>
        </w:trPr>
        <w:tc>
          <w:tcPr>
            <w:tcW w:w="2410" w:type="dxa"/>
            <w:shd w:val="clear" w:color="auto" w:fill="auto"/>
            <w:tcMar>
              <w:right w:w="17" w:type="dxa"/>
            </w:tcMar>
            <w:hideMark/>
          </w:tcPr>
          <w:p w14:paraId="591AF5D9" w14:textId="77777777" w:rsidR="002A5EB2" w:rsidRPr="00932521" w:rsidRDefault="002A5EB2" w:rsidP="00932521">
            <w:pPr>
              <w:suppressAutoHyphens w:val="0"/>
              <w:spacing w:before="40" w:after="40" w:line="220" w:lineRule="exact"/>
              <w:rPr>
                <w:sz w:val="18"/>
                <w:lang w:val="fr-FR"/>
              </w:rPr>
            </w:pPr>
            <w:r w:rsidRPr="00932521">
              <w:rPr>
                <w:sz w:val="18"/>
                <w:lang w:val="fr-FR"/>
              </w:rPr>
              <w:t>Serbie</w:t>
            </w:r>
          </w:p>
        </w:tc>
        <w:tc>
          <w:tcPr>
            <w:tcW w:w="709" w:type="dxa"/>
            <w:shd w:val="clear" w:color="auto" w:fill="auto"/>
            <w:tcMar>
              <w:right w:w="17" w:type="dxa"/>
            </w:tcMar>
            <w:vAlign w:val="bottom"/>
            <w:hideMark/>
          </w:tcPr>
          <w:p w14:paraId="7A56591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8</w:t>
            </w:r>
          </w:p>
        </w:tc>
        <w:tc>
          <w:tcPr>
            <w:tcW w:w="709" w:type="dxa"/>
            <w:shd w:val="clear" w:color="auto" w:fill="auto"/>
            <w:tcMar>
              <w:right w:w="17" w:type="dxa"/>
            </w:tcMar>
            <w:vAlign w:val="bottom"/>
            <w:hideMark/>
          </w:tcPr>
          <w:p w14:paraId="5DA4268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7D6740B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7D29A7D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4219699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63F437B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686" w:type="dxa"/>
            <w:shd w:val="clear" w:color="auto" w:fill="auto"/>
            <w:tcMar>
              <w:right w:w="17" w:type="dxa"/>
            </w:tcMar>
            <w:vAlign w:val="bottom"/>
            <w:hideMark/>
          </w:tcPr>
          <w:p w14:paraId="2B0974D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3F3DD9DD" w14:textId="77777777" w:rsidTr="00A1651F">
        <w:trPr>
          <w:gridAfter w:val="1"/>
          <w:wAfter w:w="21" w:type="dxa"/>
        </w:trPr>
        <w:tc>
          <w:tcPr>
            <w:tcW w:w="2410" w:type="dxa"/>
            <w:shd w:val="clear" w:color="auto" w:fill="auto"/>
            <w:tcMar>
              <w:right w:w="17" w:type="dxa"/>
            </w:tcMar>
            <w:hideMark/>
          </w:tcPr>
          <w:p w14:paraId="7CAA90A2" w14:textId="77777777" w:rsidR="002A5EB2" w:rsidRPr="00932521" w:rsidRDefault="002A5EB2" w:rsidP="00932521">
            <w:pPr>
              <w:suppressAutoHyphens w:val="0"/>
              <w:spacing w:before="40" w:after="40" w:line="220" w:lineRule="exact"/>
              <w:rPr>
                <w:sz w:val="18"/>
                <w:lang w:val="fr-FR"/>
              </w:rPr>
            </w:pPr>
            <w:r w:rsidRPr="00932521">
              <w:rPr>
                <w:sz w:val="18"/>
                <w:lang w:val="fr-FR"/>
              </w:rPr>
              <w:t>Syrie</w:t>
            </w:r>
          </w:p>
        </w:tc>
        <w:tc>
          <w:tcPr>
            <w:tcW w:w="709" w:type="dxa"/>
            <w:shd w:val="clear" w:color="auto" w:fill="auto"/>
            <w:tcMar>
              <w:right w:w="17" w:type="dxa"/>
            </w:tcMar>
            <w:vAlign w:val="bottom"/>
            <w:hideMark/>
          </w:tcPr>
          <w:p w14:paraId="367B98D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EA3C2B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B724A1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A920DA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021C43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A70321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D3E6F3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137BE5C7" w14:textId="77777777" w:rsidTr="00A1651F">
        <w:trPr>
          <w:gridAfter w:val="1"/>
          <w:wAfter w:w="21" w:type="dxa"/>
        </w:trPr>
        <w:tc>
          <w:tcPr>
            <w:tcW w:w="2410" w:type="dxa"/>
            <w:shd w:val="clear" w:color="auto" w:fill="auto"/>
            <w:tcMar>
              <w:right w:w="17" w:type="dxa"/>
            </w:tcMar>
            <w:hideMark/>
          </w:tcPr>
          <w:p w14:paraId="42DBCC4D" w14:textId="77777777" w:rsidR="002A5EB2" w:rsidRPr="00932521" w:rsidRDefault="002A5EB2" w:rsidP="00932521">
            <w:pPr>
              <w:suppressAutoHyphens w:val="0"/>
              <w:spacing w:before="40" w:after="40" w:line="220" w:lineRule="exact"/>
              <w:rPr>
                <w:sz w:val="18"/>
                <w:lang w:val="fr-FR"/>
              </w:rPr>
            </w:pPr>
            <w:r w:rsidRPr="00932521">
              <w:rPr>
                <w:sz w:val="18"/>
                <w:lang w:val="fr-FR"/>
              </w:rPr>
              <w:t>Bulgarie</w:t>
            </w:r>
          </w:p>
        </w:tc>
        <w:tc>
          <w:tcPr>
            <w:tcW w:w="709" w:type="dxa"/>
            <w:shd w:val="clear" w:color="auto" w:fill="auto"/>
            <w:tcMar>
              <w:right w:w="17" w:type="dxa"/>
            </w:tcMar>
            <w:vAlign w:val="bottom"/>
            <w:hideMark/>
          </w:tcPr>
          <w:p w14:paraId="053977B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8B2AE3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49D1CAF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06564C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CD77BA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1AFCEA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6</w:t>
            </w:r>
          </w:p>
        </w:tc>
        <w:tc>
          <w:tcPr>
            <w:tcW w:w="686" w:type="dxa"/>
            <w:shd w:val="clear" w:color="auto" w:fill="auto"/>
            <w:tcMar>
              <w:right w:w="17" w:type="dxa"/>
            </w:tcMar>
            <w:vAlign w:val="bottom"/>
            <w:hideMark/>
          </w:tcPr>
          <w:p w14:paraId="209872E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01D6EDCE" w14:textId="77777777" w:rsidTr="00A1651F">
        <w:trPr>
          <w:gridAfter w:val="1"/>
          <w:wAfter w:w="21" w:type="dxa"/>
        </w:trPr>
        <w:tc>
          <w:tcPr>
            <w:tcW w:w="2410" w:type="dxa"/>
            <w:shd w:val="clear" w:color="auto" w:fill="auto"/>
            <w:tcMar>
              <w:right w:w="17" w:type="dxa"/>
            </w:tcMar>
            <w:hideMark/>
          </w:tcPr>
          <w:p w14:paraId="132AB413" w14:textId="77777777" w:rsidR="002A5EB2" w:rsidRPr="00932521" w:rsidRDefault="002A5EB2" w:rsidP="00932521">
            <w:pPr>
              <w:suppressAutoHyphens w:val="0"/>
              <w:spacing w:before="40" w:after="40" w:line="220" w:lineRule="exact"/>
              <w:rPr>
                <w:sz w:val="18"/>
                <w:lang w:val="fr-FR"/>
              </w:rPr>
            </w:pPr>
            <w:r w:rsidRPr="00932521">
              <w:rPr>
                <w:sz w:val="18"/>
                <w:lang w:val="fr-FR"/>
              </w:rPr>
              <w:t>Iran</w:t>
            </w:r>
          </w:p>
        </w:tc>
        <w:tc>
          <w:tcPr>
            <w:tcW w:w="709" w:type="dxa"/>
            <w:shd w:val="clear" w:color="auto" w:fill="auto"/>
            <w:tcMar>
              <w:right w:w="17" w:type="dxa"/>
            </w:tcMar>
            <w:vAlign w:val="bottom"/>
            <w:hideMark/>
          </w:tcPr>
          <w:p w14:paraId="684AF9E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F619A7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E706E2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3A3E7F3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AA46CD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0EFCBC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6A6A0F3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6FE75CA6" w14:textId="77777777" w:rsidTr="00A1651F">
        <w:trPr>
          <w:gridAfter w:val="1"/>
          <w:wAfter w:w="21" w:type="dxa"/>
        </w:trPr>
        <w:tc>
          <w:tcPr>
            <w:tcW w:w="2410" w:type="dxa"/>
            <w:shd w:val="clear" w:color="auto" w:fill="auto"/>
            <w:tcMar>
              <w:right w:w="17" w:type="dxa"/>
            </w:tcMar>
            <w:hideMark/>
          </w:tcPr>
          <w:p w14:paraId="2D6DA11F" w14:textId="77777777" w:rsidR="002A5EB2" w:rsidRPr="00932521" w:rsidRDefault="002A5EB2" w:rsidP="00932521">
            <w:pPr>
              <w:suppressAutoHyphens w:val="0"/>
              <w:spacing w:before="40" w:after="40" w:line="220" w:lineRule="exact"/>
              <w:rPr>
                <w:sz w:val="18"/>
                <w:lang w:val="fr-FR"/>
              </w:rPr>
            </w:pPr>
            <w:r w:rsidRPr="00932521">
              <w:rPr>
                <w:sz w:val="18"/>
                <w:lang w:val="fr-FR"/>
              </w:rPr>
              <w:t>Inde</w:t>
            </w:r>
          </w:p>
        </w:tc>
        <w:tc>
          <w:tcPr>
            <w:tcW w:w="709" w:type="dxa"/>
            <w:shd w:val="clear" w:color="auto" w:fill="auto"/>
            <w:tcMar>
              <w:right w:w="17" w:type="dxa"/>
            </w:tcMar>
            <w:vAlign w:val="bottom"/>
            <w:hideMark/>
          </w:tcPr>
          <w:p w14:paraId="61CAFF5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3B1F48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CFFF0E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1C8ED4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442F10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725F45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61B49B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4D3438EB" w14:textId="77777777" w:rsidTr="00A1651F">
        <w:trPr>
          <w:gridAfter w:val="1"/>
          <w:wAfter w:w="21" w:type="dxa"/>
        </w:trPr>
        <w:tc>
          <w:tcPr>
            <w:tcW w:w="2410" w:type="dxa"/>
            <w:shd w:val="clear" w:color="auto" w:fill="auto"/>
            <w:tcMar>
              <w:right w:w="17" w:type="dxa"/>
            </w:tcMar>
            <w:hideMark/>
          </w:tcPr>
          <w:p w14:paraId="19DA397A" w14:textId="77777777" w:rsidR="002A5EB2" w:rsidRPr="00932521" w:rsidRDefault="002A5EB2" w:rsidP="00932521">
            <w:pPr>
              <w:suppressAutoHyphens w:val="0"/>
              <w:spacing w:before="40" w:after="40" w:line="220" w:lineRule="exact"/>
              <w:rPr>
                <w:sz w:val="18"/>
                <w:lang w:val="fr-FR"/>
              </w:rPr>
            </w:pPr>
            <w:r w:rsidRPr="00A1651F">
              <w:rPr>
                <w:sz w:val="18"/>
                <w:lang w:val="fr-FR"/>
              </w:rPr>
              <w:t>Ira</w:t>
            </w:r>
            <w:r w:rsidR="00A1651F" w:rsidRPr="00A1651F">
              <w:rPr>
                <w:sz w:val="18"/>
                <w:lang w:val="fr-FR"/>
              </w:rPr>
              <w:t>q</w:t>
            </w:r>
          </w:p>
        </w:tc>
        <w:tc>
          <w:tcPr>
            <w:tcW w:w="709" w:type="dxa"/>
            <w:shd w:val="clear" w:color="auto" w:fill="auto"/>
            <w:tcMar>
              <w:right w:w="17" w:type="dxa"/>
            </w:tcMar>
            <w:vAlign w:val="bottom"/>
            <w:hideMark/>
          </w:tcPr>
          <w:p w14:paraId="63DBC9D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01DA689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2EB208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14BB35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02ACD7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51A34E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296CC7A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r>
      <w:tr w:rsidR="002A5EB2" w:rsidRPr="00932521" w14:paraId="5F32BC40" w14:textId="77777777" w:rsidTr="00A1651F">
        <w:trPr>
          <w:gridAfter w:val="1"/>
          <w:wAfter w:w="21" w:type="dxa"/>
        </w:trPr>
        <w:tc>
          <w:tcPr>
            <w:tcW w:w="2410" w:type="dxa"/>
            <w:shd w:val="clear" w:color="auto" w:fill="auto"/>
            <w:tcMar>
              <w:right w:w="17" w:type="dxa"/>
            </w:tcMar>
            <w:hideMark/>
          </w:tcPr>
          <w:p w14:paraId="677874BF" w14:textId="77777777" w:rsidR="002A5EB2" w:rsidRPr="00932521" w:rsidRDefault="002A5EB2" w:rsidP="00932521">
            <w:pPr>
              <w:suppressAutoHyphens w:val="0"/>
              <w:spacing w:before="40" w:after="40" w:line="220" w:lineRule="exact"/>
              <w:rPr>
                <w:sz w:val="18"/>
                <w:lang w:val="fr-FR"/>
              </w:rPr>
            </w:pPr>
            <w:r w:rsidRPr="00932521">
              <w:rPr>
                <w:sz w:val="18"/>
                <w:lang w:val="fr-FR"/>
              </w:rPr>
              <w:t>Slovaquie</w:t>
            </w:r>
          </w:p>
        </w:tc>
        <w:tc>
          <w:tcPr>
            <w:tcW w:w="709" w:type="dxa"/>
            <w:shd w:val="clear" w:color="auto" w:fill="auto"/>
            <w:tcMar>
              <w:right w:w="17" w:type="dxa"/>
            </w:tcMar>
            <w:vAlign w:val="bottom"/>
            <w:hideMark/>
          </w:tcPr>
          <w:p w14:paraId="1323BA6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5</w:t>
            </w:r>
          </w:p>
        </w:tc>
        <w:tc>
          <w:tcPr>
            <w:tcW w:w="709" w:type="dxa"/>
            <w:shd w:val="clear" w:color="auto" w:fill="auto"/>
            <w:tcMar>
              <w:right w:w="17" w:type="dxa"/>
            </w:tcMar>
            <w:vAlign w:val="bottom"/>
            <w:hideMark/>
          </w:tcPr>
          <w:p w14:paraId="5CB1B96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2923B8E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shd w:val="clear" w:color="auto" w:fill="auto"/>
            <w:tcMar>
              <w:right w:w="17" w:type="dxa"/>
            </w:tcMar>
            <w:vAlign w:val="bottom"/>
            <w:hideMark/>
          </w:tcPr>
          <w:p w14:paraId="5A787C9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5B51439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579AC64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67B67EF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0F85EFDB" w14:textId="77777777" w:rsidTr="00A1651F">
        <w:trPr>
          <w:gridAfter w:val="1"/>
          <w:wAfter w:w="21" w:type="dxa"/>
        </w:trPr>
        <w:tc>
          <w:tcPr>
            <w:tcW w:w="2410" w:type="dxa"/>
            <w:shd w:val="clear" w:color="auto" w:fill="auto"/>
            <w:tcMar>
              <w:right w:w="17" w:type="dxa"/>
            </w:tcMar>
            <w:hideMark/>
          </w:tcPr>
          <w:p w14:paraId="386CC542" w14:textId="77777777" w:rsidR="002A5EB2" w:rsidRPr="00932521" w:rsidRDefault="002A5EB2" w:rsidP="00932521">
            <w:pPr>
              <w:suppressAutoHyphens w:val="0"/>
              <w:spacing w:before="40" w:after="40" w:line="220" w:lineRule="exact"/>
              <w:rPr>
                <w:sz w:val="18"/>
                <w:lang w:val="fr-FR"/>
              </w:rPr>
            </w:pPr>
            <w:r w:rsidRPr="00932521">
              <w:rPr>
                <w:sz w:val="18"/>
                <w:lang w:val="fr-FR"/>
              </w:rPr>
              <w:t>Allemagne</w:t>
            </w:r>
          </w:p>
        </w:tc>
        <w:tc>
          <w:tcPr>
            <w:tcW w:w="709" w:type="dxa"/>
            <w:shd w:val="clear" w:color="auto" w:fill="auto"/>
            <w:tcMar>
              <w:right w:w="17" w:type="dxa"/>
            </w:tcMar>
            <w:vAlign w:val="bottom"/>
            <w:hideMark/>
          </w:tcPr>
          <w:p w14:paraId="3FD83EE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5F3150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97A0B2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A0AA2B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510641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0DD005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396269E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7DF731B2" w14:textId="77777777" w:rsidTr="00A1651F">
        <w:trPr>
          <w:gridAfter w:val="1"/>
          <w:wAfter w:w="21" w:type="dxa"/>
        </w:trPr>
        <w:tc>
          <w:tcPr>
            <w:tcW w:w="2410" w:type="dxa"/>
            <w:shd w:val="clear" w:color="auto" w:fill="auto"/>
            <w:tcMar>
              <w:right w:w="17" w:type="dxa"/>
            </w:tcMar>
            <w:hideMark/>
          </w:tcPr>
          <w:p w14:paraId="204F6C31" w14:textId="77777777" w:rsidR="002A5EB2" w:rsidRPr="00932521" w:rsidRDefault="002A5EB2" w:rsidP="00932521">
            <w:pPr>
              <w:suppressAutoHyphens w:val="0"/>
              <w:spacing w:before="40" w:after="40" w:line="220" w:lineRule="exact"/>
              <w:rPr>
                <w:sz w:val="18"/>
                <w:lang w:val="fr-FR"/>
              </w:rPr>
            </w:pPr>
            <w:r w:rsidRPr="00932521">
              <w:rPr>
                <w:sz w:val="18"/>
                <w:lang w:val="fr-FR"/>
              </w:rPr>
              <w:t>Kosovo</w:t>
            </w:r>
          </w:p>
        </w:tc>
        <w:tc>
          <w:tcPr>
            <w:tcW w:w="709" w:type="dxa"/>
            <w:shd w:val="clear" w:color="auto" w:fill="auto"/>
            <w:tcMar>
              <w:right w:w="17" w:type="dxa"/>
            </w:tcMar>
            <w:vAlign w:val="bottom"/>
            <w:hideMark/>
          </w:tcPr>
          <w:p w14:paraId="21F6602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6</w:t>
            </w:r>
          </w:p>
        </w:tc>
        <w:tc>
          <w:tcPr>
            <w:tcW w:w="709" w:type="dxa"/>
            <w:shd w:val="clear" w:color="auto" w:fill="auto"/>
            <w:tcMar>
              <w:right w:w="17" w:type="dxa"/>
            </w:tcMar>
            <w:vAlign w:val="bottom"/>
            <w:hideMark/>
          </w:tcPr>
          <w:p w14:paraId="03D3958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shd w:val="clear" w:color="auto" w:fill="auto"/>
            <w:tcMar>
              <w:right w:w="17" w:type="dxa"/>
            </w:tcMar>
            <w:vAlign w:val="bottom"/>
            <w:hideMark/>
          </w:tcPr>
          <w:p w14:paraId="671C425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6</w:t>
            </w:r>
          </w:p>
        </w:tc>
        <w:tc>
          <w:tcPr>
            <w:tcW w:w="709" w:type="dxa"/>
            <w:shd w:val="clear" w:color="auto" w:fill="auto"/>
            <w:tcMar>
              <w:right w:w="17" w:type="dxa"/>
            </w:tcMar>
            <w:vAlign w:val="bottom"/>
            <w:hideMark/>
          </w:tcPr>
          <w:p w14:paraId="42291B4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E095F2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0894DAA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195E17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3EAED396" w14:textId="77777777" w:rsidTr="00A1651F">
        <w:trPr>
          <w:gridAfter w:val="1"/>
          <w:wAfter w:w="21" w:type="dxa"/>
        </w:trPr>
        <w:tc>
          <w:tcPr>
            <w:tcW w:w="2410" w:type="dxa"/>
            <w:shd w:val="clear" w:color="auto" w:fill="auto"/>
            <w:tcMar>
              <w:right w:w="17" w:type="dxa"/>
            </w:tcMar>
            <w:hideMark/>
          </w:tcPr>
          <w:p w14:paraId="0F3A84F6" w14:textId="77777777" w:rsidR="002A5EB2" w:rsidRPr="00932521" w:rsidRDefault="002A5EB2" w:rsidP="00932521">
            <w:pPr>
              <w:suppressAutoHyphens w:val="0"/>
              <w:spacing w:before="40" w:after="40" w:line="220" w:lineRule="exact"/>
              <w:rPr>
                <w:sz w:val="18"/>
                <w:lang w:val="fr-FR"/>
              </w:rPr>
            </w:pPr>
            <w:r w:rsidRPr="00932521">
              <w:rPr>
                <w:sz w:val="18"/>
                <w:lang w:val="fr-FR"/>
              </w:rPr>
              <w:t>Bangladesh</w:t>
            </w:r>
          </w:p>
        </w:tc>
        <w:tc>
          <w:tcPr>
            <w:tcW w:w="709" w:type="dxa"/>
            <w:shd w:val="clear" w:color="auto" w:fill="auto"/>
            <w:tcMar>
              <w:right w:w="17" w:type="dxa"/>
            </w:tcMar>
            <w:vAlign w:val="bottom"/>
            <w:hideMark/>
          </w:tcPr>
          <w:p w14:paraId="530B784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7A1139D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1E5D4D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922F1D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CA434E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28F299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93B300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7658A3D7" w14:textId="77777777" w:rsidTr="00A1651F">
        <w:trPr>
          <w:gridAfter w:val="1"/>
          <w:wAfter w:w="21" w:type="dxa"/>
        </w:trPr>
        <w:tc>
          <w:tcPr>
            <w:tcW w:w="2410" w:type="dxa"/>
            <w:shd w:val="clear" w:color="auto" w:fill="auto"/>
            <w:tcMar>
              <w:right w:w="17" w:type="dxa"/>
            </w:tcMar>
            <w:hideMark/>
          </w:tcPr>
          <w:p w14:paraId="53F8072B" w14:textId="77777777" w:rsidR="002A5EB2" w:rsidRPr="00932521" w:rsidRDefault="002A5EB2" w:rsidP="00932521">
            <w:pPr>
              <w:suppressAutoHyphens w:val="0"/>
              <w:spacing w:before="40" w:after="40" w:line="220" w:lineRule="exact"/>
              <w:rPr>
                <w:sz w:val="18"/>
                <w:lang w:val="fr-FR"/>
              </w:rPr>
            </w:pPr>
            <w:r w:rsidRPr="00932521">
              <w:rPr>
                <w:sz w:val="18"/>
                <w:lang w:val="fr-FR"/>
              </w:rPr>
              <w:t>Gambie</w:t>
            </w:r>
          </w:p>
        </w:tc>
        <w:tc>
          <w:tcPr>
            <w:tcW w:w="709" w:type="dxa"/>
            <w:shd w:val="clear" w:color="auto" w:fill="auto"/>
            <w:tcMar>
              <w:right w:w="17" w:type="dxa"/>
            </w:tcMar>
            <w:vAlign w:val="bottom"/>
            <w:hideMark/>
          </w:tcPr>
          <w:p w14:paraId="6D37E91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4F6FE5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2880C5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84F7E4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CABC3C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4838C2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65A4979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6A723DC5" w14:textId="77777777" w:rsidTr="00A1651F">
        <w:trPr>
          <w:gridAfter w:val="1"/>
          <w:wAfter w:w="21" w:type="dxa"/>
        </w:trPr>
        <w:tc>
          <w:tcPr>
            <w:tcW w:w="2410" w:type="dxa"/>
            <w:shd w:val="clear" w:color="auto" w:fill="auto"/>
            <w:tcMar>
              <w:right w:w="17" w:type="dxa"/>
            </w:tcMar>
            <w:hideMark/>
          </w:tcPr>
          <w:p w14:paraId="41927873" w14:textId="77777777" w:rsidR="002A5EB2" w:rsidRPr="00932521" w:rsidRDefault="002A5EB2" w:rsidP="00932521">
            <w:pPr>
              <w:suppressAutoHyphens w:val="0"/>
              <w:spacing w:before="40" w:after="40" w:line="220" w:lineRule="exact"/>
              <w:rPr>
                <w:sz w:val="18"/>
                <w:lang w:val="fr-FR"/>
              </w:rPr>
            </w:pPr>
            <w:r w:rsidRPr="00932521">
              <w:rPr>
                <w:sz w:val="18"/>
                <w:lang w:val="fr-FR"/>
              </w:rPr>
              <w:t>République tchèque</w:t>
            </w:r>
          </w:p>
        </w:tc>
        <w:tc>
          <w:tcPr>
            <w:tcW w:w="709" w:type="dxa"/>
            <w:shd w:val="clear" w:color="auto" w:fill="auto"/>
            <w:tcMar>
              <w:right w:w="17" w:type="dxa"/>
            </w:tcMar>
            <w:vAlign w:val="bottom"/>
            <w:hideMark/>
          </w:tcPr>
          <w:p w14:paraId="2B23ABA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27D9B7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7C0C2C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FCEA6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9B9BF3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5EAAC7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686" w:type="dxa"/>
            <w:shd w:val="clear" w:color="auto" w:fill="auto"/>
            <w:tcMar>
              <w:right w:w="17" w:type="dxa"/>
            </w:tcMar>
            <w:vAlign w:val="bottom"/>
            <w:hideMark/>
          </w:tcPr>
          <w:p w14:paraId="56E6AC7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1A58C71F" w14:textId="77777777" w:rsidTr="00A1651F">
        <w:trPr>
          <w:gridAfter w:val="1"/>
          <w:wAfter w:w="21" w:type="dxa"/>
        </w:trPr>
        <w:tc>
          <w:tcPr>
            <w:tcW w:w="2410" w:type="dxa"/>
            <w:shd w:val="clear" w:color="auto" w:fill="auto"/>
            <w:tcMar>
              <w:right w:w="17" w:type="dxa"/>
            </w:tcMar>
            <w:hideMark/>
          </w:tcPr>
          <w:p w14:paraId="3BB89CC9" w14:textId="77777777" w:rsidR="002A5EB2" w:rsidRPr="00932521" w:rsidRDefault="002A5EB2" w:rsidP="00932521">
            <w:pPr>
              <w:suppressAutoHyphens w:val="0"/>
              <w:spacing w:before="40" w:after="40" w:line="220" w:lineRule="exact"/>
              <w:rPr>
                <w:sz w:val="18"/>
                <w:lang w:val="fr-FR"/>
              </w:rPr>
            </w:pPr>
            <w:r w:rsidRPr="00932521">
              <w:rPr>
                <w:sz w:val="18"/>
                <w:lang w:val="fr-FR"/>
              </w:rPr>
              <w:t>Nigéria</w:t>
            </w:r>
          </w:p>
        </w:tc>
        <w:tc>
          <w:tcPr>
            <w:tcW w:w="709" w:type="dxa"/>
            <w:shd w:val="clear" w:color="auto" w:fill="auto"/>
            <w:tcMar>
              <w:right w:w="17" w:type="dxa"/>
            </w:tcMar>
            <w:vAlign w:val="bottom"/>
            <w:hideMark/>
          </w:tcPr>
          <w:p w14:paraId="3463AC4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ED4F0C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A265CC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CC257F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6B5B3E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3C3E44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3D199AE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20B860C4" w14:textId="77777777" w:rsidTr="00A1651F">
        <w:trPr>
          <w:gridAfter w:val="1"/>
          <w:wAfter w:w="21" w:type="dxa"/>
        </w:trPr>
        <w:tc>
          <w:tcPr>
            <w:tcW w:w="2410" w:type="dxa"/>
            <w:shd w:val="clear" w:color="auto" w:fill="auto"/>
            <w:tcMar>
              <w:right w:w="17" w:type="dxa"/>
            </w:tcMar>
            <w:hideMark/>
          </w:tcPr>
          <w:p w14:paraId="5ADBA802" w14:textId="77777777" w:rsidR="002A5EB2" w:rsidRPr="00932521" w:rsidRDefault="002A5EB2" w:rsidP="00932521">
            <w:pPr>
              <w:suppressAutoHyphens w:val="0"/>
              <w:spacing w:before="40" w:after="40" w:line="220" w:lineRule="exact"/>
              <w:rPr>
                <w:sz w:val="18"/>
                <w:lang w:val="fr-FR"/>
              </w:rPr>
            </w:pPr>
            <w:r w:rsidRPr="00932521">
              <w:rPr>
                <w:sz w:val="18"/>
                <w:lang w:val="fr-FR"/>
              </w:rPr>
              <w:t>Turquie</w:t>
            </w:r>
          </w:p>
        </w:tc>
        <w:tc>
          <w:tcPr>
            <w:tcW w:w="709" w:type="dxa"/>
            <w:shd w:val="clear" w:color="auto" w:fill="auto"/>
            <w:tcMar>
              <w:right w:w="17" w:type="dxa"/>
            </w:tcMar>
            <w:vAlign w:val="bottom"/>
            <w:hideMark/>
          </w:tcPr>
          <w:p w14:paraId="37C933F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CDB390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127F1D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3475FB0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D2C3CA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51F5E8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6F796F8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097C5CDE" w14:textId="77777777" w:rsidTr="00A1651F">
        <w:trPr>
          <w:gridAfter w:val="1"/>
          <w:wAfter w:w="21" w:type="dxa"/>
        </w:trPr>
        <w:tc>
          <w:tcPr>
            <w:tcW w:w="2410" w:type="dxa"/>
            <w:shd w:val="clear" w:color="auto" w:fill="auto"/>
            <w:tcMar>
              <w:right w:w="17" w:type="dxa"/>
            </w:tcMar>
            <w:hideMark/>
          </w:tcPr>
          <w:p w14:paraId="5C65070F" w14:textId="77777777" w:rsidR="002A5EB2" w:rsidRPr="00932521" w:rsidRDefault="002A5EB2" w:rsidP="00932521">
            <w:pPr>
              <w:suppressAutoHyphens w:val="0"/>
              <w:spacing w:before="40" w:after="40" w:line="220" w:lineRule="exact"/>
              <w:rPr>
                <w:sz w:val="18"/>
                <w:lang w:val="fr-FR"/>
              </w:rPr>
            </w:pPr>
            <w:r w:rsidRPr="00932521">
              <w:rPr>
                <w:sz w:val="18"/>
                <w:lang w:val="fr-FR"/>
              </w:rPr>
              <w:t>Ukraine</w:t>
            </w:r>
          </w:p>
        </w:tc>
        <w:tc>
          <w:tcPr>
            <w:tcW w:w="709" w:type="dxa"/>
            <w:shd w:val="clear" w:color="auto" w:fill="auto"/>
            <w:tcMar>
              <w:right w:w="17" w:type="dxa"/>
            </w:tcMar>
            <w:vAlign w:val="bottom"/>
            <w:hideMark/>
          </w:tcPr>
          <w:p w14:paraId="2ACCABB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08E40FC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03D202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407451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5F37EA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394E454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AC382C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r>
      <w:tr w:rsidR="002A5EB2" w:rsidRPr="00932521" w14:paraId="3D67D8C1" w14:textId="77777777" w:rsidTr="00A1651F">
        <w:trPr>
          <w:gridAfter w:val="1"/>
          <w:wAfter w:w="21" w:type="dxa"/>
        </w:trPr>
        <w:tc>
          <w:tcPr>
            <w:tcW w:w="2410" w:type="dxa"/>
            <w:shd w:val="clear" w:color="auto" w:fill="auto"/>
            <w:tcMar>
              <w:right w:w="17" w:type="dxa"/>
            </w:tcMar>
            <w:hideMark/>
          </w:tcPr>
          <w:p w14:paraId="030364F4" w14:textId="77777777" w:rsidR="002A5EB2" w:rsidRPr="00932521" w:rsidRDefault="002A5EB2" w:rsidP="00932521">
            <w:pPr>
              <w:suppressAutoHyphens w:val="0"/>
              <w:spacing w:before="40" w:after="40" w:line="220" w:lineRule="exact"/>
              <w:rPr>
                <w:sz w:val="18"/>
                <w:lang w:val="fr-FR"/>
              </w:rPr>
            </w:pPr>
            <w:r w:rsidRPr="00932521">
              <w:rPr>
                <w:sz w:val="18"/>
                <w:lang w:val="fr-FR"/>
              </w:rPr>
              <w:t>Sénégal</w:t>
            </w:r>
          </w:p>
        </w:tc>
        <w:tc>
          <w:tcPr>
            <w:tcW w:w="709" w:type="dxa"/>
            <w:shd w:val="clear" w:color="auto" w:fill="auto"/>
            <w:tcMar>
              <w:right w:w="17" w:type="dxa"/>
            </w:tcMar>
            <w:vAlign w:val="bottom"/>
            <w:hideMark/>
          </w:tcPr>
          <w:p w14:paraId="34448FE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55056C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361EB97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3BDA62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D9D030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B8A3F5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1ABF87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942D226" w14:textId="77777777" w:rsidTr="00A1651F">
        <w:trPr>
          <w:gridAfter w:val="1"/>
          <w:wAfter w:w="21" w:type="dxa"/>
        </w:trPr>
        <w:tc>
          <w:tcPr>
            <w:tcW w:w="2410" w:type="dxa"/>
            <w:shd w:val="clear" w:color="auto" w:fill="auto"/>
            <w:tcMar>
              <w:right w:w="17" w:type="dxa"/>
            </w:tcMar>
            <w:hideMark/>
          </w:tcPr>
          <w:p w14:paraId="53F330B1" w14:textId="77777777" w:rsidR="002A5EB2" w:rsidRPr="00932521" w:rsidRDefault="002A5EB2" w:rsidP="00932521">
            <w:pPr>
              <w:suppressAutoHyphens w:val="0"/>
              <w:spacing w:before="40" w:after="40" w:line="220" w:lineRule="exact"/>
              <w:rPr>
                <w:sz w:val="18"/>
                <w:lang w:val="fr-FR"/>
              </w:rPr>
            </w:pPr>
            <w:r w:rsidRPr="00932521">
              <w:rPr>
                <w:sz w:val="18"/>
                <w:lang w:val="fr-FR"/>
              </w:rPr>
              <w:t>Algérie</w:t>
            </w:r>
          </w:p>
        </w:tc>
        <w:tc>
          <w:tcPr>
            <w:tcW w:w="709" w:type="dxa"/>
            <w:shd w:val="clear" w:color="auto" w:fill="auto"/>
            <w:tcMar>
              <w:right w:w="17" w:type="dxa"/>
            </w:tcMar>
            <w:vAlign w:val="bottom"/>
            <w:hideMark/>
          </w:tcPr>
          <w:p w14:paraId="339FD93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65C971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91D99E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7FA654D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B1183D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9FA95F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686" w:type="dxa"/>
            <w:shd w:val="clear" w:color="auto" w:fill="auto"/>
            <w:tcMar>
              <w:right w:w="17" w:type="dxa"/>
            </w:tcMar>
            <w:vAlign w:val="bottom"/>
            <w:hideMark/>
          </w:tcPr>
          <w:p w14:paraId="7D57B83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014B7C1" w14:textId="77777777" w:rsidTr="00A1651F">
        <w:trPr>
          <w:gridAfter w:val="1"/>
          <w:wAfter w:w="21" w:type="dxa"/>
        </w:trPr>
        <w:tc>
          <w:tcPr>
            <w:tcW w:w="2410" w:type="dxa"/>
            <w:shd w:val="clear" w:color="auto" w:fill="auto"/>
            <w:tcMar>
              <w:right w:w="17" w:type="dxa"/>
            </w:tcMar>
            <w:hideMark/>
          </w:tcPr>
          <w:p w14:paraId="0384D041" w14:textId="77777777" w:rsidR="002A5EB2" w:rsidRPr="00932521" w:rsidRDefault="002A5EB2" w:rsidP="00932521">
            <w:pPr>
              <w:suppressAutoHyphens w:val="0"/>
              <w:spacing w:before="40" w:after="40" w:line="220" w:lineRule="exact"/>
              <w:rPr>
                <w:sz w:val="18"/>
                <w:lang w:val="fr-FR"/>
              </w:rPr>
            </w:pPr>
            <w:r w:rsidRPr="00932521">
              <w:rPr>
                <w:sz w:val="18"/>
                <w:lang w:val="fr-FR"/>
              </w:rPr>
              <w:t>Soudan</w:t>
            </w:r>
          </w:p>
        </w:tc>
        <w:tc>
          <w:tcPr>
            <w:tcW w:w="709" w:type="dxa"/>
            <w:shd w:val="clear" w:color="auto" w:fill="auto"/>
            <w:tcMar>
              <w:right w:w="17" w:type="dxa"/>
            </w:tcMar>
            <w:vAlign w:val="bottom"/>
            <w:hideMark/>
          </w:tcPr>
          <w:p w14:paraId="1935F5E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628544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436C13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39F8AD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A9E197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E44EA3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686" w:type="dxa"/>
            <w:shd w:val="clear" w:color="auto" w:fill="auto"/>
            <w:tcMar>
              <w:right w:w="17" w:type="dxa"/>
            </w:tcMar>
            <w:vAlign w:val="bottom"/>
            <w:hideMark/>
          </w:tcPr>
          <w:p w14:paraId="44DAFC7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4908F38C" w14:textId="77777777" w:rsidTr="00A1651F">
        <w:trPr>
          <w:gridAfter w:val="1"/>
          <w:wAfter w:w="21" w:type="dxa"/>
        </w:trPr>
        <w:tc>
          <w:tcPr>
            <w:tcW w:w="2410" w:type="dxa"/>
            <w:shd w:val="clear" w:color="auto" w:fill="auto"/>
            <w:tcMar>
              <w:right w:w="17" w:type="dxa"/>
            </w:tcMar>
            <w:hideMark/>
          </w:tcPr>
          <w:p w14:paraId="55DA1C03" w14:textId="77777777" w:rsidR="002A5EB2" w:rsidRPr="00932521" w:rsidRDefault="002A5EB2" w:rsidP="00932521">
            <w:pPr>
              <w:suppressAutoHyphens w:val="0"/>
              <w:spacing w:before="40" w:after="40" w:line="220" w:lineRule="exact"/>
              <w:rPr>
                <w:sz w:val="18"/>
                <w:lang w:val="fr-FR"/>
              </w:rPr>
            </w:pPr>
            <w:r w:rsidRPr="00932521">
              <w:rPr>
                <w:sz w:val="18"/>
                <w:lang w:val="fr-FR"/>
              </w:rPr>
              <w:t>Lituanie</w:t>
            </w:r>
          </w:p>
        </w:tc>
        <w:tc>
          <w:tcPr>
            <w:tcW w:w="709" w:type="dxa"/>
            <w:shd w:val="clear" w:color="auto" w:fill="auto"/>
            <w:tcMar>
              <w:right w:w="17" w:type="dxa"/>
            </w:tcMar>
            <w:vAlign w:val="bottom"/>
            <w:hideMark/>
          </w:tcPr>
          <w:p w14:paraId="2B71821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3C97C45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2554AC6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C66C0F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D066E0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AB793E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3FB2CA5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75B17F8" w14:textId="77777777" w:rsidTr="00A1651F">
        <w:trPr>
          <w:gridAfter w:val="1"/>
          <w:wAfter w:w="21" w:type="dxa"/>
        </w:trPr>
        <w:tc>
          <w:tcPr>
            <w:tcW w:w="2410" w:type="dxa"/>
            <w:shd w:val="clear" w:color="auto" w:fill="auto"/>
            <w:tcMar>
              <w:right w:w="17" w:type="dxa"/>
            </w:tcMar>
            <w:hideMark/>
          </w:tcPr>
          <w:p w14:paraId="77742570" w14:textId="77777777" w:rsidR="002A5EB2" w:rsidRPr="00932521" w:rsidRDefault="002A5EB2" w:rsidP="00932521">
            <w:pPr>
              <w:suppressAutoHyphens w:val="0"/>
              <w:spacing w:before="40" w:after="40" w:line="220" w:lineRule="exact"/>
              <w:rPr>
                <w:sz w:val="18"/>
                <w:lang w:val="fr-FR"/>
              </w:rPr>
            </w:pPr>
            <w:r w:rsidRPr="00932521">
              <w:rPr>
                <w:sz w:val="18"/>
                <w:lang w:val="fr-FR"/>
              </w:rPr>
              <w:t>Serbie et Monténégro</w:t>
            </w:r>
          </w:p>
        </w:tc>
        <w:tc>
          <w:tcPr>
            <w:tcW w:w="709" w:type="dxa"/>
            <w:shd w:val="clear" w:color="auto" w:fill="auto"/>
            <w:tcMar>
              <w:right w:w="17" w:type="dxa"/>
            </w:tcMar>
            <w:vAlign w:val="bottom"/>
            <w:hideMark/>
          </w:tcPr>
          <w:p w14:paraId="3DCD22E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01C0393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465F587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2D14EC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2C91E8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A6391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BE97C8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3E98B580" w14:textId="77777777" w:rsidTr="00A1651F">
        <w:trPr>
          <w:gridAfter w:val="1"/>
          <w:wAfter w:w="21" w:type="dxa"/>
        </w:trPr>
        <w:tc>
          <w:tcPr>
            <w:tcW w:w="2410" w:type="dxa"/>
            <w:shd w:val="clear" w:color="auto" w:fill="auto"/>
            <w:tcMar>
              <w:right w:w="17" w:type="dxa"/>
            </w:tcMar>
            <w:hideMark/>
          </w:tcPr>
          <w:p w14:paraId="6CB33F29" w14:textId="77777777" w:rsidR="002A5EB2" w:rsidRPr="00932521" w:rsidRDefault="002A5EB2" w:rsidP="00932521">
            <w:pPr>
              <w:suppressAutoHyphens w:val="0"/>
              <w:spacing w:before="40" w:after="40" w:line="220" w:lineRule="exact"/>
              <w:rPr>
                <w:sz w:val="18"/>
                <w:lang w:val="fr-FR"/>
              </w:rPr>
            </w:pPr>
            <w:r w:rsidRPr="00932521">
              <w:rPr>
                <w:sz w:val="18"/>
                <w:lang w:val="fr-FR"/>
              </w:rPr>
              <w:t>Monténégro</w:t>
            </w:r>
          </w:p>
        </w:tc>
        <w:tc>
          <w:tcPr>
            <w:tcW w:w="709" w:type="dxa"/>
            <w:shd w:val="clear" w:color="auto" w:fill="auto"/>
            <w:tcMar>
              <w:right w:w="17" w:type="dxa"/>
            </w:tcMar>
            <w:vAlign w:val="bottom"/>
            <w:hideMark/>
          </w:tcPr>
          <w:p w14:paraId="338AFF5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7672280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476B80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297F184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BD3EC1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C14BE9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22E176D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72762B04" w14:textId="77777777" w:rsidTr="00A1651F">
        <w:trPr>
          <w:gridAfter w:val="1"/>
          <w:wAfter w:w="21" w:type="dxa"/>
        </w:trPr>
        <w:tc>
          <w:tcPr>
            <w:tcW w:w="2410" w:type="dxa"/>
            <w:shd w:val="clear" w:color="auto" w:fill="auto"/>
            <w:tcMar>
              <w:right w:w="17" w:type="dxa"/>
            </w:tcMar>
            <w:hideMark/>
          </w:tcPr>
          <w:p w14:paraId="0377CD77" w14:textId="77777777" w:rsidR="002A5EB2" w:rsidRPr="00932521" w:rsidRDefault="002A5EB2" w:rsidP="00932521">
            <w:pPr>
              <w:suppressAutoHyphens w:val="0"/>
              <w:spacing w:before="40" w:after="40" w:line="220" w:lineRule="exact"/>
              <w:rPr>
                <w:sz w:val="18"/>
                <w:lang w:val="fr-FR"/>
              </w:rPr>
            </w:pPr>
            <w:r w:rsidRPr="00932521">
              <w:rPr>
                <w:sz w:val="18"/>
                <w:lang w:val="fr-FR"/>
              </w:rPr>
              <w:t>France</w:t>
            </w:r>
          </w:p>
        </w:tc>
        <w:tc>
          <w:tcPr>
            <w:tcW w:w="709" w:type="dxa"/>
            <w:shd w:val="clear" w:color="auto" w:fill="auto"/>
            <w:tcMar>
              <w:right w:w="17" w:type="dxa"/>
            </w:tcMar>
            <w:vAlign w:val="bottom"/>
            <w:hideMark/>
          </w:tcPr>
          <w:p w14:paraId="2611F92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A909D2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EA5D7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20FF50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9379E6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5C4AA3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686" w:type="dxa"/>
            <w:shd w:val="clear" w:color="auto" w:fill="auto"/>
            <w:tcMar>
              <w:right w:w="17" w:type="dxa"/>
            </w:tcMar>
            <w:vAlign w:val="bottom"/>
            <w:hideMark/>
          </w:tcPr>
          <w:p w14:paraId="54C3B15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C70C0CF" w14:textId="77777777" w:rsidTr="00A1651F">
        <w:trPr>
          <w:gridAfter w:val="1"/>
          <w:wAfter w:w="21" w:type="dxa"/>
        </w:trPr>
        <w:tc>
          <w:tcPr>
            <w:tcW w:w="2410" w:type="dxa"/>
            <w:shd w:val="clear" w:color="auto" w:fill="auto"/>
            <w:tcMar>
              <w:right w:w="17" w:type="dxa"/>
            </w:tcMar>
            <w:hideMark/>
          </w:tcPr>
          <w:p w14:paraId="3A5D3A4E" w14:textId="77777777" w:rsidR="002A5EB2" w:rsidRPr="00932521" w:rsidRDefault="002A5EB2" w:rsidP="00932521">
            <w:pPr>
              <w:suppressAutoHyphens w:val="0"/>
              <w:spacing w:before="40" w:after="40" w:line="220" w:lineRule="exact"/>
              <w:rPr>
                <w:sz w:val="18"/>
                <w:lang w:val="fr-FR"/>
              </w:rPr>
            </w:pPr>
            <w:r w:rsidRPr="00932521">
              <w:rPr>
                <w:sz w:val="18"/>
                <w:lang w:val="fr-FR"/>
              </w:rPr>
              <w:t>PAS DE DONNÉES</w:t>
            </w:r>
          </w:p>
        </w:tc>
        <w:tc>
          <w:tcPr>
            <w:tcW w:w="709" w:type="dxa"/>
            <w:shd w:val="clear" w:color="auto" w:fill="auto"/>
            <w:tcMar>
              <w:right w:w="17" w:type="dxa"/>
            </w:tcMar>
            <w:vAlign w:val="bottom"/>
            <w:hideMark/>
          </w:tcPr>
          <w:p w14:paraId="259293E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3420A4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78FE53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659FA2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44DF76D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BDF4F4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0F0441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3DC62333" w14:textId="77777777" w:rsidTr="00A1651F">
        <w:trPr>
          <w:gridAfter w:val="1"/>
          <w:wAfter w:w="21" w:type="dxa"/>
        </w:trPr>
        <w:tc>
          <w:tcPr>
            <w:tcW w:w="2410" w:type="dxa"/>
            <w:shd w:val="clear" w:color="auto" w:fill="auto"/>
            <w:tcMar>
              <w:right w:w="17" w:type="dxa"/>
            </w:tcMar>
            <w:hideMark/>
          </w:tcPr>
          <w:p w14:paraId="7CA17D3E" w14:textId="77777777" w:rsidR="002A5EB2" w:rsidRPr="00932521" w:rsidRDefault="002A5EB2" w:rsidP="00932521">
            <w:pPr>
              <w:suppressAutoHyphens w:val="0"/>
              <w:spacing w:before="40" w:after="40" w:line="220" w:lineRule="exact"/>
              <w:rPr>
                <w:sz w:val="18"/>
                <w:lang w:val="fr-FR"/>
              </w:rPr>
            </w:pPr>
            <w:r w:rsidRPr="00932521">
              <w:rPr>
                <w:sz w:val="18"/>
                <w:lang w:val="fr-FR"/>
              </w:rPr>
              <w:t>Pakistan</w:t>
            </w:r>
          </w:p>
        </w:tc>
        <w:tc>
          <w:tcPr>
            <w:tcW w:w="709" w:type="dxa"/>
            <w:shd w:val="clear" w:color="auto" w:fill="auto"/>
            <w:tcMar>
              <w:right w:w="17" w:type="dxa"/>
            </w:tcMar>
            <w:vAlign w:val="bottom"/>
            <w:hideMark/>
          </w:tcPr>
          <w:p w14:paraId="5A4EAEA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78E411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764BB3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E6F2A5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9B7FAA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721801E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1E0EEDD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769D338C" w14:textId="77777777" w:rsidTr="00A1651F">
        <w:trPr>
          <w:gridAfter w:val="1"/>
          <w:wAfter w:w="21" w:type="dxa"/>
        </w:trPr>
        <w:tc>
          <w:tcPr>
            <w:tcW w:w="2410" w:type="dxa"/>
            <w:shd w:val="clear" w:color="auto" w:fill="auto"/>
            <w:tcMar>
              <w:right w:w="17" w:type="dxa"/>
            </w:tcMar>
            <w:hideMark/>
          </w:tcPr>
          <w:p w14:paraId="75411ECF" w14:textId="77777777" w:rsidR="002A5EB2" w:rsidRPr="00932521" w:rsidRDefault="002A5EB2" w:rsidP="00932521">
            <w:pPr>
              <w:suppressAutoHyphens w:val="0"/>
              <w:spacing w:before="40" w:after="40" w:line="220" w:lineRule="exact"/>
              <w:rPr>
                <w:sz w:val="18"/>
                <w:lang w:val="fr-FR"/>
              </w:rPr>
            </w:pPr>
            <w:r w:rsidRPr="00932521">
              <w:rPr>
                <w:sz w:val="18"/>
                <w:lang w:val="fr-FR"/>
              </w:rPr>
              <w:t>Brésil</w:t>
            </w:r>
          </w:p>
        </w:tc>
        <w:tc>
          <w:tcPr>
            <w:tcW w:w="709" w:type="dxa"/>
            <w:shd w:val="clear" w:color="auto" w:fill="auto"/>
            <w:tcMar>
              <w:right w:w="17" w:type="dxa"/>
            </w:tcMar>
            <w:vAlign w:val="bottom"/>
            <w:hideMark/>
          </w:tcPr>
          <w:p w14:paraId="5E47EFB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8C558A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15E7494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4F2E24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4DF0A6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0B9E874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5BB9812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03EB2065" w14:textId="77777777" w:rsidTr="00A1651F">
        <w:trPr>
          <w:gridAfter w:val="1"/>
          <w:wAfter w:w="21" w:type="dxa"/>
        </w:trPr>
        <w:tc>
          <w:tcPr>
            <w:tcW w:w="2410" w:type="dxa"/>
            <w:shd w:val="clear" w:color="auto" w:fill="auto"/>
            <w:tcMar>
              <w:right w:w="17" w:type="dxa"/>
            </w:tcMar>
            <w:hideMark/>
          </w:tcPr>
          <w:p w14:paraId="07CF7567" w14:textId="77777777" w:rsidR="002A5EB2" w:rsidRPr="00932521" w:rsidRDefault="002A5EB2" w:rsidP="00932521">
            <w:pPr>
              <w:suppressAutoHyphens w:val="0"/>
              <w:spacing w:before="40" w:after="40" w:line="220" w:lineRule="exact"/>
              <w:rPr>
                <w:sz w:val="18"/>
                <w:lang w:val="fr-FR"/>
              </w:rPr>
            </w:pPr>
            <w:r w:rsidRPr="00932521">
              <w:rPr>
                <w:sz w:val="18"/>
                <w:lang w:val="fr-FR"/>
              </w:rPr>
              <w:t>Libye</w:t>
            </w:r>
          </w:p>
        </w:tc>
        <w:tc>
          <w:tcPr>
            <w:tcW w:w="709" w:type="dxa"/>
            <w:shd w:val="clear" w:color="auto" w:fill="auto"/>
            <w:tcMar>
              <w:right w:w="17" w:type="dxa"/>
            </w:tcMar>
            <w:vAlign w:val="bottom"/>
            <w:hideMark/>
          </w:tcPr>
          <w:p w14:paraId="3CD7A77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4153A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D33276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E7C60C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49AA15E"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2B2D679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7EC00E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38006C61" w14:textId="77777777" w:rsidTr="00A1651F">
        <w:trPr>
          <w:gridAfter w:val="1"/>
          <w:wAfter w:w="21" w:type="dxa"/>
        </w:trPr>
        <w:tc>
          <w:tcPr>
            <w:tcW w:w="2410" w:type="dxa"/>
            <w:shd w:val="clear" w:color="auto" w:fill="auto"/>
            <w:tcMar>
              <w:right w:w="17" w:type="dxa"/>
            </w:tcMar>
            <w:hideMark/>
          </w:tcPr>
          <w:p w14:paraId="6E4675F1" w14:textId="77777777" w:rsidR="002A5EB2" w:rsidRPr="00932521" w:rsidRDefault="002A5EB2" w:rsidP="00932521">
            <w:pPr>
              <w:suppressAutoHyphens w:val="0"/>
              <w:spacing w:before="40" w:after="40" w:line="220" w:lineRule="exact"/>
              <w:rPr>
                <w:sz w:val="18"/>
                <w:lang w:val="fr-FR"/>
              </w:rPr>
            </w:pPr>
            <w:r w:rsidRPr="00932521">
              <w:rPr>
                <w:sz w:val="18"/>
                <w:lang w:val="fr-FR"/>
              </w:rPr>
              <w:t>Maroc</w:t>
            </w:r>
          </w:p>
        </w:tc>
        <w:tc>
          <w:tcPr>
            <w:tcW w:w="709" w:type="dxa"/>
            <w:shd w:val="clear" w:color="auto" w:fill="auto"/>
            <w:tcMar>
              <w:right w:w="17" w:type="dxa"/>
            </w:tcMar>
            <w:vAlign w:val="bottom"/>
            <w:hideMark/>
          </w:tcPr>
          <w:p w14:paraId="202781A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26A6D60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3</w:t>
            </w:r>
          </w:p>
        </w:tc>
        <w:tc>
          <w:tcPr>
            <w:tcW w:w="709" w:type="dxa"/>
            <w:shd w:val="clear" w:color="auto" w:fill="auto"/>
            <w:tcMar>
              <w:right w:w="17" w:type="dxa"/>
            </w:tcMar>
            <w:vAlign w:val="bottom"/>
            <w:hideMark/>
          </w:tcPr>
          <w:p w14:paraId="696E11B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EA9F89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9B2764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6E711959"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3E6601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33A1452" w14:textId="77777777" w:rsidTr="00A1651F">
        <w:trPr>
          <w:gridAfter w:val="1"/>
          <w:wAfter w:w="21" w:type="dxa"/>
        </w:trPr>
        <w:tc>
          <w:tcPr>
            <w:tcW w:w="2410" w:type="dxa"/>
            <w:shd w:val="clear" w:color="auto" w:fill="auto"/>
            <w:tcMar>
              <w:right w:w="17" w:type="dxa"/>
            </w:tcMar>
            <w:hideMark/>
          </w:tcPr>
          <w:p w14:paraId="034A96EA" w14:textId="77777777" w:rsidR="002A5EB2" w:rsidRPr="00932521" w:rsidRDefault="002A5EB2" w:rsidP="00932521">
            <w:pPr>
              <w:suppressAutoHyphens w:val="0"/>
              <w:spacing w:before="40" w:after="40" w:line="220" w:lineRule="exact"/>
              <w:rPr>
                <w:sz w:val="18"/>
                <w:lang w:val="fr-FR"/>
              </w:rPr>
            </w:pPr>
            <w:r w:rsidRPr="00932521">
              <w:rPr>
                <w:sz w:val="18"/>
                <w:lang w:val="fr-FR"/>
              </w:rPr>
              <w:t xml:space="preserve">Kirghizistan </w:t>
            </w:r>
          </w:p>
        </w:tc>
        <w:tc>
          <w:tcPr>
            <w:tcW w:w="709" w:type="dxa"/>
            <w:shd w:val="clear" w:color="auto" w:fill="auto"/>
            <w:tcMar>
              <w:right w:w="17" w:type="dxa"/>
            </w:tcMar>
            <w:vAlign w:val="bottom"/>
            <w:hideMark/>
          </w:tcPr>
          <w:p w14:paraId="5F8C420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22CE2180"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8E7E7E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3B7FF1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4C26A2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16F2E9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615C0BB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193C7ECD" w14:textId="77777777" w:rsidTr="00A1651F">
        <w:trPr>
          <w:gridAfter w:val="1"/>
          <w:wAfter w:w="21" w:type="dxa"/>
        </w:trPr>
        <w:tc>
          <w:tcPr>
            <w:tcW w:w="2410" w:type="dxa"/>
            <w:shd w:val="clear" w:color="auto" w:fill="auto"/>
            <w:tcMar>
              <w:right w:w="17" w:type="dxa"/>
            </w:tcMar>
            <w:hideMark/>
          </w:tcPr>
          <w:p w14:paraId="062A410B" w14:textId="77777777" w:rsidR="002A5EB2" w:rsidRPr="00932521" w:rsidRDefault="002A5EB2" w:rsidP="00932521">
            <w:pPr>
              <w:suppressAutoHyphens w:val="0"/>
              <w:spacing w:before="40" w:after="40" w:line="220" w:lineRule="exact"/>
              <w:rPr>
                <w:sz w:val="18"/>
                <w:lang w:val="fr-FR"/>
              </w:rPr>
            </w:pPr>
            <w:r w:rsidRPr="00932521">
              <w:rPr>
                <w:sz w:val="18"/>
                <w:lang w:val="fr-FR"/>
              </w:rPr>
              <w:t>Chine</w:t>
            </w:r>
          </w:p>
        </w:tc>
        <w:tc>
          <w:tcPr>
            <w:tcW w:w="709" w:type="dxa"/>
            <w:shd w:val="clear" w:color="auto" w:fill="auto"/>
            <w:tcMar>
              <w:right w:w="17" w:type="dxa"/>
            </w:tcMar>
            <w:vAlign w:val="bottom"/>
            <w:hideMark/>
          </w:tcPr>
          <w:p w14:paraId="1E0DFFC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1A19C19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924B15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FB36D1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16D883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4210676C"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0A5C7D38"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0D7D5A62" w14:textId="77777777" w:rsidTr="00A1651F">
        <w:trPr>
          <w:gridAfter w:val="1"/>
          <w:wAfter w:w="21" w:type="dxa"/>
        </w:trPr>
        <w:tc>
          <w:tcPr>
            <w:tcW w:w="2410" w:type="dxa"/>
            <w:shd w:val="clear" w:color="auto" w:fill="auto"/>
            <w:tcMar>
              <w:right w:w="17" w:type="dxa"/>
            </w:tcMar>
            <w:hideMark/>
          </w:tcPr>
          <w:p w14:paraId="40D92D74" w14:textId="77777777" w:rsidR="002A5EB2" w:rsidRPr="00932521" w:rsidRDefault="002A5EB2" w:rsidP="00932521">
            <w:pPr>
              <w:suppressAutoHyphens w:val="0"/>
              <w:spacing w:before="40" w:after="40" w:line="220" w:lineRule="exact"/>
              <w:rPr>
                <w:sz w:val="18"/>
                <w:lang w:val="fr-FR"/>
              </w:rPr>
            </w:pPr>
            <w:r w:rsidRPr="00932521">
              <w:rPr>
                <w:sz w:val="18"/>
                <w:lang w:val="fr-FR"/>
              </w:rPr>
              <w:t>Cuba</w:t>
            </w:r>
          </w:p>
        </w:tc>
        <w:tc>
          <w:tcPr>
            <w:tcW w:w="709" w:type="dxa"/>
            <w:shd w:val="clear" w:color="auto" w:fill="auto"/>
            <w:tcMar>
              <w:right w:w="17" w:type="dxa"/>
            </w:tcMar>
            <w:vAlign w:val="bottom"/>
            <w:hideMark/>
          </w:tcPr>
          <w:p w14:paraId="66B190B5"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1</w:t>
            </w:r>
          </w:p>
        </w:tc>
        <w:tc>
          <w:tcPr>
            <w:tcW w:w="709" w:type="dxa"/>
            <w:shd w:val="clear" w:color="auto" w:fill="auto"/>
            <w:tcMar>
              <w:right w:w="17" w:type="dxa"/>
            </w:tcMar>
            <w:vAlign w:val="bottom"/>
            <w:hideMark/>
          </w:tcPr>
          <w:p w14:paraId="45095A3A"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2D7412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6EC60F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54FF89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38004FB6"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7EFEBBF3"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4FA7893D" w14:textId="77777777" w:rsidTr="00A1651F">
        <w:trPr>
          <w:gridAfter w:val="1"/>
          <w:wAfter w:w="21" w:type="dxa"/>
        </w:trPr>
        <w:tc>
          <w:tcPr>
            <w:tcW w:w="2410" w:type="dxa"/>
            <w:shd w:val="clear" w:color="auto" w:fill="auto"/>
            <w:tcMar>
              <w:right w:w="17" w:type="dxa"/>
            </w:tcMar>
            <w:hideMark/>
          </w:tcPr>
          <w:p w14:paraId="1D0113E2" w14:textId="77777777" w:rsidR="002A5EB2" w:rsidRPr="00932521" w:rsidRDefault="002A5EB2" w:rsidP="00932521">
            <w:pPr>
              <w:suppressAutoHyphens w:val="0"/>
              <w:spacing w:before="40" w:after="40" w:line="220" w:lineRule="exact"/>
              <w:rPr>
                <w:sz w:val="18"/>
                <w:lang w:val="fr-FR"/>
              </w:rPr>
            </w:pPr>
            <w:r w:rsidRPr="00932521">
              <w:rPr>
                <w:sz w:val="18"/>
                <w:lang w:val="fr-FR"/>
              </w:rPr>
              <w:t>Moldova</w:t>
            </w:r>
          </w:p>
        </w:tc>
        <w:tc>
          <w:tcPr>
            <w:tcW w:w="709" w:type="dxa"/>
            <w:shd w:val="clear" w:color="auto" w:fill="auto"/>
            <w:tcMar>
              <w:right w:w="17" w:type="dxa"/>
            </w:tcMar>
            <w:vAlign w:val="bottom"/>
            <w:hideMark/>
          </w:tcPr>
          <w:p w14:paraId="4D64740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2</w:t>
            </w:r>
          </w:p>
        </w:tc>
        <w:tc>
          <w:tcPr>
            <w:tcW w:w="709" w:type="dxa"/>
            <w:shd w:val="clear" w:color="auto" w:fill="auto"/>
            <w:tcMar>
              <w:right w:w="17" w:type="dxa"/>
            </w:tcMar>
            <w:vAlign w:val="bottom"/>
            <w:hideMark/>
          </w:tcPr>
          <w:p w14:paraId="21C33F5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5A6141B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0241A1F"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640AFA0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shd w:val="clear" w:color="auto" w:fill="auto"/>
            <w:tcMar>
              <w:right w:w="17" w:type="dxa"/>
            </w:tcMar>
            <w:vAlign w:val="bottom"/>
            <w:hideMark/>
          </w:tcPr>
          <w:p w14:paraId="142654B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shd w:val="clear" w:color="auto" w:fill="auto"/>
            <w:tcMar>
              <w:right w:w="17" w:type="dxa"/>
            </w:tcMar>
            <w:vAlign w:val="bottom"/>
            <w:hideMark/>
          </w:tcPr>
          <w:p w14:paraId="1D8D454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r w:rsidR="002A5EB2" w:rsidRPr="00932521" w14:paraId="2643A78D" w14:textId="77777777" w:rsidTr="00A1651F">
        <w:trPr>
          <w:gridAfter w:val="1"/>
          <w:wAfter w:w="21" w:type="dxa"/>
        </w:trPr>
        <w:tc>
          <w:tcPr>
            <w:tcW w:w="2410" w:type="dxa"/>
            <w:tcBorders>
              <w:bottom w:val="single" w:sz="12" w:space="0" w:color="000000" w:themeColor="text1"/>
            </w:tcBorders>
            <w:shd w:val="clear" w:color="auto" w:fill="auto"/>
            <w:tcMar>
              <w:right w:w="17" w:type="dxa"/>
            </w:tcMar>
            <w:hideMark/>
          </w:tcPr>
          <w:p w14:paraId="6948B7D5" w14:textId="77777777" w:rsidR="002A5EB2" w:rsidRPr="00932521" w:rsidRDefault="002A5EB2" w:rsidP="00932521">
            <w:pPr>
              <w:suppressAutoHyphens w:val="0"/>
              <w:spacing w:before="40" w:after="40" w:line="220" w:lineRule="exact"/>
              <w:rPr>
                <w:sz w:val="18"/>
                <w:lang w:val="fr-FR"/>
              </w:rPr>
            </w:pPr>
            <w:r w:rsidRPr="00932521">
              <w:rPr>
                <w:sz w:val="18"/>
                <w:lang w:val="fr-FR"/>
              </w:rPr>
              <w:t>Russie</w:t>
            </w:r>
          </w:p>
        </w:tc>
        <w:tc>
          <w:tcPr>
            <w:tcW w:w="709" w:type="dxa"/>
            <w:tcBorders>
              <w:bottom w:val="single" w:sz="12" w:space="0" w:color="000000" w:themeColor="text1"/>
            </w:tcBorders>
            <w:shd w:val="clear" w:color="auto" w:fill="auto"/>
            <w:tcMar>
              <w:right w:w="17" w:type="dxa"/>
            </w:tcMar>
            <w:vAlign w:val="bottom"/>
            <w:hideMark/>
          </w:tcPr>
          <w:p w14:paraId="25C15BF1"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tcBorders>
              <w:bottom w:val="single" w:sz="12" w:space="0" w:color="000000" w:themeColor="text1"/>
            </w:tcBorders>
            <w:shd w:val="clear" w:color="auto" w:fill="auto"/>
            <w:tcMar>
              <w:right w:w="17" w:type="dxa"/>
            </w:tcMar>
            <w:vAlign w:val="bottom"/>
            <w:hideMark/>
          </w:tcPr>
          <w:p w14:paraId="05F1062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4</w:t>
            </w:r>
          </w:p>
        </w:tc>
        <w:tc>
          <w:tcPr>
            <w:tcW w:w="709" w:type="dxa"/>
            <w:tcBorders>
              <w:bottom w:val="single" w:sz="12" w:space="0" w:color="000000" w:themeColor="text1"/>
            </w:tcBorders>
            <w:shd w:val="clear" w:color="auto" w:fill="auto"/>
            <w:tcMar>
              <w:right w:w="17" w:type="dxa"/>
            </w:tcMar>
            <w:vAlign w:val="bottom"/>
            <w:hideMark/>
          </w:tcPr>
          <w:p w14:paraId="0A865C64"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tcBorders>
              <w:bottom w:val="single" w:sz="12" w:space="0" w:color="000000" w:themeColor="text1"/>
            </w:tcBorders>
            <w:shd w:val="clear" w:color="auto" w:fill="auto"/>
            <w:tcMar>
              <w:right w:w="17" w:type="dxa"/>
            </w:tcMar>
            <w:vAlign w:val="bottom"/>
            <w:hideMark/>
          </w:tcPr>
          <w:p w14:paraId="5F9327B7"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tcBorders>
              <w:bottom w:val="single" w:sz="12" w:space="0" w:color="000000" w:themeColor="text1"/>
            </w:tcBorders>
            <w:shd w:val="clear" w:color="auto" w:fill="auto"/>
            <w:tcMar>
              <w:right w:w="17" w:type="dxa"/>
            </w:tcMar>
            <w:vAlign w:val="bottom"/>
            <w:hideMark/>
          </w:tcPr>
          <w:p w14:paraId="2B678AF2"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709" w:type="dxa"/>
            <w:tcBorders>
              <w:bottom w:val="single" w:sz="12" w:space="0" w:color="000000" w:themeColor="text1"/>
            </w:tcBorders>
            <w:shd w:val="clear" w:color="auto" w:fill="auto"/>
            <w:tcMar>
              <w:right w:w="17" w:type="dxa"/>
            </w:tcMar>
            <w:vAlign w:val="bottom"/>
            <w:hideMark/>
          </w:tcPr>
          <w:p w14:paraId="3E4A3C3B"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c>
          <w:tcPr>
            <w:tcW w:w="686" w:type="dxa"/>
            <w:tcBorders>
              <w:bottom w:val="single" w:sz="12" w:space="0" w:color="000000" w:themeColor="text1"/>
            </w:tcBorders>
            <w:shd w:val="clear" w:color="auto" w:fill="auto"/>
            <w:tcMar>
              <w:right w:w="17" w:type="dxa"/>
            </w:tcMar>
            <w:vAlign w:val="bottom"/>
            <w:hideMark/>
          </w:tcPr>
          <w:p w14:paraId="40F586DD" w14:textId="77777777" w:rsidR="002A5EB2" w:rsidRPr="00932521" w:rsidRDefault="002A5EB2" w:rsidP="00932521">
            <w:pPr>
              <w:suppressAutoHyphens w:val="0"/>
              <w:spacing w:before="40" w:after="40" w:line="220" w:lineRule="exact"/>
              <w:jc w:val="right"/>
              <w:rPr>
                <w:sz w:val="18"/>
                <w:lang w:val="fr-FR"/>
              </w:rPr>
            </w:pPr>
            <w:r w:rsidRPr="00932521">
              <w:rPr>
                <w:sz w:val="18"/>
                <w:lang w:val="fr-FR"/>
              </w:rPr>
              <w:t> </w:t>
            </w:r>
          </w:p>
        </w:tc>
      </w:tr>
    </w:tbl>
    <w:p w14:paraId="0C7F88D8" w14:textId="77777777" w:rsidR="002A5EB2" w:rsidRPr="001A3179" w:rsidRDefault="002A5EB2" w:rsidP="00932521">
      <w:pPr>
        <w:pStyle w:val="SingleTxtG"/>
        <w:spacing w:before="240"/>
        <w:rPr>
          <w:lang w:val="fr-FR"/>
        </w:rPr>
      </w:pPr>
      <w:r w:rsidRPr="001A3179">
        <w:rPr>
          <w:lang w:val="fr-FR"/>
        </w:rPr>
        <w:t>76.</w:t>
      </w:r>
      <w:r w:rsidRPr="001A3179">
        <w:rPr>
          <w:lang w:val="fr-FR"/>
        </w:rPr>
        <w:tab/>
        <w:t>Le tableau ci-dessus récapitule le nombre d</w:t>
      </w:r>
      <w:r>
        <w:rPr>
          <w:lang w:val="fr-FR"/>
        </w:rPr>
        <w:t>’</w:t>
      </w:r>
      <w:r w:rsidRPr="001A3179">
        <w:rPr>
          <w:lang w:val="fr-FR"/>
        </w:rPr>
        <w:t>étrangers visés par une décision de renvoi que la police a effectivement éloignés de Slovénie entre 2012 et 2018 en vertu de l</w:t>
      </w:r>
      <w:r>
        <w:rPr>
          <w:lang w:val="fr-FR"/>
        </w:rPr>
        <w:t>’</w:t>
      </w:r>
      <w:r w:rsidRPr="001A3179">
        <w:rPr>
          <w:lang w:val="fr-FR"/>
        </w:rPr>
        <w:t xml:space="preserve">article 69 de la loi sur les étrangers. Les étrangers rentrés volontairement chez eux ne sont </w:t>
      </w:r>
      <w:r w:rsidRPr="001A3179">
        <w:rPr>
          <w:lang w:val="fr-FR"/>
        </w:rPr>
        <w:lastRenderedPageBreak/>
        <w:t>pas inclus dans ces chiffres. Le nombre d</w:t>
      </w:r>
      <w:r>
        <w:rPr>
          <w:lang w:val="fr-FR"/>
        </w:rPr>
        <w:t>’</w:t>
      </w:r>
      <w:r w:rsidRPr="001A3179">
        <w:rPr>
          <w:lang w:val="fr-FR"/>
        </w:rPr>
        <w:t>étrangers effectivement éloignés est en général inférieur au nombre de ceux visés par une décision de renvoi.</w:t>
      </w:r>
    </w:p>
    <w:p w14:paraId="13B177ED" w14:textId="77777777" w:rsidR="002A5EB2" w:rsidRPr="001A3179" w:rsidRDefault="002A5EB2" w:rsidP="002A5EB2">
      <w:pPr>
        <w:pStyle w:val="SingleTxtG"/>
        <w:rPr>
          <w:lang w:val="fr-FR"/>
        </w:rPr>
      </w:pPr>
      <w:r w:rsidRPr="001A3179">
        <w:rPr>
          <w:lang w:val="fr-FR"/>
        </w:rPr>
        <w:t>77.</w:t>
      </w:r>
      <w:r w:rsidRPr="001A3179">
        <w:rPr>
          <w:lang w:val="fr-FR"/>
        </w:rPr>
        <w:tab/>
        <w:t>Entre la date d</w:t>
      </w:r>
      <w:r>
        <w:rPr>
          <w:lang w:val="fr-FR"/>
        </w:rPr>
        <w:t>’</w:t>
      </w:r>
      <w:r w:rsidRPr="001A3179">
        <w:rPr>
          <w:lang w:val="fr-FR"/>
        </w:rPr>
        <w:t>adoption de la loi sur les étrangers, en 2011, et le 27</w:t>
      </w:r>
      <w:r w:rsidR="00A1651F">
        <w:rPr>
          <w:lang w:val="fr-FR"/>
        </w:rPr>
        <w:t> </w:t>
      </w:r>
      <w:r w:rsidRPr="001A3179">
        <w:rPr>
          <w:lang w:val="fr-FR"/>
        </w:rPr>
        <w:t>novembre 2017, la police a pris 1</w:t>
      </w:r>
      <w:r w:rsidR="00A1651F">
        <w:rPr>
          <w:lang w:val="fr-FR"/>
        </w:rPr>
        <w:t> </w:t>
      </w:r>
      <w:r w:rsidRPr="001A3179">
        <w:rPr>
          <w:lang w:val="fr-FR"/>
        </w:rPr>
        <w:t>772</w:t>
      </w:r>
      <w:r w:rsidR="00A1651F">
        <w:rPr>
          <w:lang w:val="fr-FR"/>
        </w:rPr>
        <w:t> </w:t>
      </w:r>
      <w:r w:rsidRPr="001A3179">
        <w:rPr>
          <w:lang w:val="fr-FR"/>
        </w:rPr>
        <w:t>décisions d</w:t>
      </w:r>
      <w:r>
        <w:rPr>
          <w:lang w:val="fr-FR"/>
        </w:rPr>
        <w:t>’</w:t>
      </w:r>
      <w:r w:rsidRPr="001A3179">
        <w:rPr>
          <w:lang w:val="fr-FR"/>
        </w:rPr>
        <w:t>éloignement dans un délai déterminé (l</w:t>
      </w:r>
      <w:r>
        <w:rPr>
          <w:lang w:val="fr-FR"/>
        </w:rPr>
        <w:t>’</w:t>
      </w:r>
      <w:r w:rsidRPr="001A3179">
        <w:rPr>
          <w:lang w:val="fr-FR"/>
        </w:rPr>
        <w:t>étranger est censé quitt</w:t>
      </w:r>
      <w:r>
        <w:rPr>
          <w:lang w:val="fr-FR"/>
        </w:rPr>
        <w:t>er</w:t>
      </w:r>
      <w:r w:rsidRPr="001A3179">
        <w:rPr>
          <w:lang w:val="fr-FR"/>
        </w:rPr>
        <w:t xml:space="preserve"> le pays de sa propre initiative avant une date limite et 1</w:t>
      </w:r>
      <w:r w:rsidR="00A1651F">
        <w:rPr>
          <w:lang w:val="fr-FR"/>
        </w:rPr>
        <w:t> </w:t>
      </w:r>
      <w:r w:rsidRPr="001A3179">
        <w:rPr>
          <w:lang w:val="fr-FR"/>
        </w:rPr>
        <w:t>235</w:t>
      </w:r>
      <w:r w:rsidR="00A1651F">
        <w:rPr>
          <w:lang w:val="fr-FR"/>
        </w:rPr>
        <w:t> </w:t>
      </w:r>
      <w:r w:rsidRPr="001A3179">
        <w:rPr>
          <w:lang w:val="fr-FR"/>
        </w:rPr>
        <w:t>décisions d</w:t>
      </w:r>
      <w:r>
        <w:rPr>
          <w:lang w:val="fr-FR"/>
        </w:rPr>
        <w:t>’</w:t>
      </w:r>
      <w:r w:rsidRPr="001A3179">
        <w:rPr>
          <w:lang w:val="fr-FR"/>
        </w:rPr>
        <w:t>éloignement immédiat (l</w:t>
      </w:r>
      <w:r>
        <w:rPr>
          <w:lang w:val="fr-FR"/>
        </w:rPr>
        <w:t>’</w:t>
      </w:r>
      <w:r w:rsidRPr="001A3179">
        <w:rPr>
          <w:lang w:val="fr-FR"/>
        </w:rPr>
        <w:t>étranger est expulsé du pays par la police). Dans ce dernier cas, la police impose en outre à l</w:t>
      </w:r>
      <w:r>
        <w:rPr>
          <w:lang w:val="fr-FR"/>
        </w:rPr>
        <w:t>’</w:t>
      </w:r>
      <w:r w:rsidRPr="001A3179">
        <w:rPr>
          <w:lang w:val="fr-FR"/>
        </w:rPr>
        <w:t>étranger une interdiction d</w:t>
      </w:r>
      <w:r>
        <w:rPr>
          <w:lang w:val="fr-FR"/>
        </w:rPr>
        <w:t>’</w:t>
      </w:r>
      <w:r w:rsidRPr="001A3179">
        <w:rPr>
          <w:lang w:val="fr-FR"/>
        </w:rPr>
        <w:t>entrée sur le territoire slovène d</w:t>
      </w:r>
      <w:r>
        <w:rPr>
          <w:lang w:val="fr-FR"/>
        </w:rPr>
        <w:t>’</w:t>
      </w:r>
      <w:r w:rsidRPr="001A3179">
        <w:rPr>
          <w:lang w:val="fr-FR"/>
        </w:rPr>
        <w:t>une durée comprise entre six mois et cinq ans en vertu de l</w:t>
      </w:r>
      <w:r>
        <w:rPr>
          <w:lang w:val="fr-FR"/>
        </w:rPr>
        <w:t>’</w:t>
      </w:r>
      <w:r w:rsidRPr="001A3179">
        <w:rPr>
          <w:lang w:val="fr-FR"/>
        </w:rPr>
        <w:t>article 66 de la loi précitée.</w:t>
      </w:r>
    </w:p>
    <w:p w14:paraId="1A526E15" w14:textId="77777777" w:rsidR="002A5EB2" w:rsidRPr="001A3179" w:rsidRDefault="002A5EB2" w:rsidP="00932521">
      <w:pPr>
        <w:pStyle w:val="H23G"/>
        <w:rPr>
          <w:lang w:val="fr-FR"/>
        </w:rPr>
      </w:pPr>
      <w:r w:rsidRPr="001A3179">
        <w:rPr>
          <w:lang w:val="fr-FR"/>
        </w:rPr>
        <w:tab/>
      </w:r>
      <w:r w:rsidRPr="001A3179">
        <w:rPr>
          <w:lang w:val="fr-FR"/>
        </w:rPr>
        <w:tab/>
        <w:t>Réponse au paragraphe 8 de la liste des points à traiter</w:t>
      </w:r>
    </w:p>
    <w:p w14:paraId="6755CAD5" w14:textId="77777777" w:rsidR="002A5EB2" w:rsidRPr="001A3179" w:rsidRDefault="002A5EB2" w:rsidP="002A5EB2">
      <w:pPr>
        <w:pStyle w:val="SingleTxtG"/>
        <w:rPr>
          <w:lang w:val="fr-FR"/>
        </w:rPr>
      </w:pPr>
      <w:r w:rsidRPr="001A3179">
        <w:rPr>
          <w:lang w:val="fr-FR"/>
        </w:rPr>
        <w:t>78.</w:t>
      </w:r>
      <w:r w:rsidRPr="001A3179">
        <w:rPr>
          <w:lang w:val="fr-FR"/>
        </w:rPr>
        <w:tab/>
        <w:t>Un seul cas de violence envers un résident du Centre pour demandeurs d</w:t>
      </w:r>
      <w:r>
        <w:rPr>
          <w:lang w:val="fr-FR"/>
        </w:rPr>
        <w:t>’</w:t>
      </w:r>
      <w:r w:rsidRPr="001A3179">
        <w:rPr>
          <w:lang w:val="fr-FR"/>
        </w:rPr>
        <w:t>asile a été constaté durant la période considérée : une personne ayant obtenu la protection internationale s</w:t>
      </w:r>
      <w:r>
        <w:rPr>
          <w:lang w:val="fr-FR"/>
        </w:rPr>
        <w:t>’</w:t>
      </w:r>
      <w:r w:rsidRPr="001A3179">
        <w:rPr>
          <w:lang w:val="fr-FR"/>
        </w:rPr>
        <w:t>est querellée avec un demandeur. Cet indicent a de plus causé de légers dégâts matériels et l</w:t>
      </w:r>
      <w:r>
        <w:rPr>
          <w:lang w:val="fr-FR"/>
        </w:rPr>
        <w:t>’</w:t>
      </w:r>
      <w:r w:rsidRPr="001A3179">
        <w:rPr>
          <w:lang w:val="fr-FR"/>
        </w:rPr>
        <w:t xml:space="preserve">auteur des actes de violence </w:t>
      </w:r>
      <w:r>
        <w:rPr>
          <w:lang w:val="fr-FR"/>
        </w:rPr>
        <w:t xml:space="preserve">a </w:t>
      </w:r>
      <w:r w:rsidRPr="001A3179">
        <w:rPr>
          <w:lang w:val="fr-FR"/>
        </w:rPr>
        <w:t>été jugé légalement responsable de trouble à l</w:t>
      </w:r>
      <w:r>
        <w:rPr>
          <w:lang w:val="fr-FR"/>
        </w:rPr>
        <w:t>’</w:t>
      </w:r>
      <w:r w:rsidRPr="001A3179">
        <w:rPr>
          <w:lang w:val="fr-FR"/>
        </w:rPr>
        <w:t>ordre public.</w:t>
      </w:r>
    </w:p>
    <w:p w14:paraId="615337DA" w14:textId="77777777" w:rsidR="002A5EB2" w:rsidRPr="001A3179" w:rsidRDefault="002A5EB2" w:rsidP="002A5EB2">
      <w:pPr>
        <w:pStyle w:val="SingleTxtG"/>
        <w:rPr>
          <w:lang w:val="fr-FR"/>
        </w:rPr>
      </w:pPr>
      <w:r w:rsidRPr="001A3179">
        <w:rPr>
          <w:lang w:val="fr-FR"/>
        </w:rPr>
        <w:t>79.</w:t>
      </w:r>
      <w:r w:rsidRPr="001A3179">
        <w:rPr>
          <w:lang w:val="fr-FR"/>
        </w:rPr>
        <w:tab/>
        <w:t>Aucun acte de violence envers des résidents des annexes du Centre pour demandeurs d</w:t>
      </w:r>
      <w:r>
        <w:rPr>
          <w:lang w:val="fr-FR"/>
        </w:rPr>
        <w:t>’</w:t>
      </w:r>
      <w:r w:rsidRPr="001A3179">
        <w:rPr>
          <w:lang w:val="fr-FR"/>
        </w:rPr>
        <w:t>asile n</w:t>
      </w:r>
      <w:r>
        <w:rPr>
          <w:lang w:val="fr-FR"/>
        </w:rPr>
        <w:t>’</w:t>
      </w:r>
      <w:r w:rsidRPr="001A3179">
        <w:rPr>
          <w:lang w:val="fr-FR"/>
        </w:rPr>
        <w:t>a été signalé au personnel de ces institutions, à la police ou à des tiers. La plupart des litiges ayant opposé des demandeurs d</w:t>
      </w:r>
      <w:r>
        <w:rPr>
          <w:lang w:val="fr-FR"/>
        </w:rPr>
        <w:t>’</w:t>
      </w:r>
      <w:r w:rsidRPr="001A3179">
        <w:rPr>
          <w:lang w:val="fr-FR"/>
        </w:rPr>
        <w:t>asile ont été réglés en recourant à la médiation et aux services d</w:t>
      </w:r>
      <w:r>
        <w:rPr>
          <w:lang w:val="fr-FR"/>
        </w:rPr>
        <w:t>’</w:t>
      </w:r>
      <w:r w:rsidRPr="001A3179">
        <w:rPr>
          <w:lang w:val="fr-FR"/>
        </w:rPr>
        <w:t>experts chevronnés.</w:t>
      </w:r>
    </w:p>
    <w:p w14:paraId="5092844E" w14:textId="77777777" w:rsidR="002A5EB2" w:rsidRPr="001A3179" w:rsidRDefault="002A5EB2" w:rsidP="002A5EB2">
      <w:pPr>
        <w:pStyle w:val="SingleTxtG"/>
        <w:rPr>
          <w:lang w:val="fr-FR"/>
        </w:rPr>
      </w:pPr>
      <w:r w:rsidRPr="001A3179">
        <w:rPr>
          <w:lang w:val="fr-FR"/>
        </w:rPr>
        <w:t>80.</w:t>
      </w:r>
      <w:r w:rsidRPr="001A3179">
        <w:rPr>
          <w:lang w:val="fr-FR"/>
        </w:rPr>
        <w:tab/>
        <w:t>Un groupe opérant dans le cadre du Bureau d</w:t>
      </w:r>
      <w:r>
        <w:rPr>
          <w:lang w:val="fr-FR"/>
        </w:rPr>
        <w:t>’</w:t>
      </w:r>
      <w:r w:rsidRPr="001A3179">
        <w:rPr>
          <w:lang w:val="fr-FR"/>
        </w:rPr>
        <w:t>État pour le soutien et l</w:t>
      </w:r>
      <w:r>
        <w:rPr>
          <w:lang w:val="fr-FR"/>
        </w:rPr>
        <w:t>’</w:t>
      </w:r>
      <w:r w:rsidRPr="001A3179">
        <w:rPr>
          <w:lang w:val="fr-FR"/>
        </w:rPr>
        <w:t>intégration des migrants a signé un accord sur des procédures opérationnelles harmonisées de prévention et de lutte contre les violences sexuelles et sexistes, dont l</w:t>
      </w:r>
      <w:r>
        <w:rPr>
          <w:lang w:val="fr-FR"/>
        </w:rPr>
        <w:t>’</w:t>
      </w:r>
      <w:r w:rsidRPr="001A3179">
        <w:rPr>
          <w:lang w:val="fr-FR"/>
        </w:rPr>
        <w:t>objectif principal est de permettre à tous les prestataires d</w:t>
      </w:r>
      <w:r>
        <w:rPr>
          <w:lang w:val="fr-FR"/>
        </w:rPr>
        <w:t>’</w:t>
      </w:r>
      <w:r w:rsidRPr="001A3179">
        <w:rPr>
          <w:lang w:val="fr-FR"/>
        </w:rPr>
        <w:t>aide de conjuguer leurs efforts visant à empêcher de telles violences. Depuis 2011, le groupe a traité 26 cas de violences sexuelles et familiales, 18</w:t>
      </w:r>
      <w:r w:rsidR="00A1651F">
        <w:rPr>
          <w:lang w:val="fr-FR"/>
        </w:rPr>
        <w:t> </w:t>
      </w:r>
      <w:r w:rsidRPr="001A3179">
        <w:rPr>
          <w:lang w:val="fr-FR"/>
        </w:rPr>
        <w:t xml:space="preserve">cas présumés de négligence et de maltraitance envers des enfants et </w:t>
      </w:r>
      <w:r w:rsidR="00A1651F">
        <w:rPr>
          <w:lang w:val="fr-FR"/>
        </w:rPr>
        <w:t>3 </w:t>
      </w:r>
      <w:r w:rsidRPr="001A3179">
        <w:rPr>
          <w:lang w:val="fr-FR"/>
        </w:rPr>
        <w:t>cas d</w:t>
      </w:r>
      <w:r>
        <w:rPr>
          <w:lang w:val="fr-FR"/>
        </w:rPr>
        <w:t>’</w:t>
      </w:r>
      <w:r w:rsidRPr="001A3179">
        <w:rPr>
          <w:lang w:val="fr-FR"/>
        </w:rPr>
        <w:t xml:space="preserve">autres formes de violence. </w:t>
      </w:r>
    </w:p>
    <w:p w14:paraId="1FEA8392" w14:textId="77777777" w:rsidR="002A5EB2" w:rsidRPr="001A3179" w:rsidRDefault="002A5EB2" w:rsidP="002A5EB2">
      <w:pPr>
        <w:pStyle w:val="SingleTxtG"/>
        <w:rPr>
          <w:lang w:val="fr-FR"/>
        </w:rPr>
      </w:pPr>
      <w:r w:rsidRPr="001A3179">
        <w:rPr>
          <w:lang w:val="fr-FR"/>
        </w:rPr>
        <w:t>81.</w:t>
      </w:r>
      <w:r w:rsidRPr="001A3179">
        <w:rPr>
          <w:lang w:val="fr-FR"/>
        </w:rPr>
        <w:tab/>
        <w:t>L</w:t>
      </w:r>
      <w:r>
        <w:rPr>
          <w:lang w:val="fr-FR"/>
        </w:rPr>
        <w:t>’</w:t>
      </w:r>
      <w:r w:rsidRPr="001A3179">
        <w:rPr>
          <w:lang w:val="fr-FR"/>
        </w:rPr>
        <w:t>alinéa 4 du paragraphe 1 de l</w:t>
      </w:r>
      <w:r>
        <w:rPr>
          <w:lang w:val="fr-FR"/>
        </w:rPr>
        <w:t>’</w:t>
      </w:r>
      <w:r w:rsidRPr="001A3179">
        <w:rPr>
          <w:lang w:val="fr-FR"/>
        </w:rPr>
        <w:t>article 84 de la loi sur la protection internationale dispose que l</w:t>
      </w:r>
      <w:r>
        <w:rPr>
          <w:lang w:val="fr-FR"/>
        </w:rPr>
        <w:t>’</w:t>
      </w:r>
      <w:r w:rsidRPr="001A3179">
        <w:rPr>
          <w:lang w:val="fr-FR"/>
        </w:rPr>
        <w:t>autorité compétente peut placer un demandeur d</w:t>
      </w:r>
      <w:r>
        <w:rPr>
          <w:lang w:val="fr-FR"/>
        </w:rPr>
        <w:t>’</w:t>
      </w:r>
      <w:r w:rsidRPr="001A3179">
        <w:rPr>
          <w:lang w:val="fr-FR"/>
        </w:rPr>
        <w:t>asile dans le quartier de rétention du Centre pour demandeurs d</w:t>
      </w:r>
      <w:r>
        <w:rPr>
          <w:lang w:val="fr-FR"/>
        </w:rPr>
        <w:t>’</w:t>
      </w:r>
      <w:r w:rsidRPr="001A3179">
        <w:rPr>
          <w:lang w:val="fr-FR"/>
        </w:rPr>
        <w:t>asile si c</w:t>
      </w:r>
      <w:r>
        <w:rPr>
          <w:lang w:val="fr-FR"/>
        </w:rPr>
        <w:t>’</w:t>
      </w:r>
      <w:r w:rsidRPr="001A3179">
        <w:rPr>
          <w:lang w:val="fr-FR"/>
        </w:rPr>
        <w:t>est nécessaire pour protéger des personnes et des biens ou pour d</w:t>
      </w:r>
      <w:r>
        <w:rPr>
          <w:lang w:val="fr-FR"/>
        </w:rPr>
        <w:t>’</w:t>
      </w:r>
      <w:r w:rsidRPr="001A3179">
        <w:rPr>
          <w:lang w:val="fr-FR"/>
        </w:rPr>
        <w:t xml:space="preserve">autres raisons liées </w:t>
      </w:r>
      <w:r>
        <w:rPr>
          <w:lang w:val="fr-FR"/>
        </w:rPr>
        <w:t xml:space="preserve">à </w:t>
      </w:r>
      <w:r w:rsidRPr="001A3179">
        <w:rPr>
          <w:lang w:val="fr-FR"/>
        </w:rPr>
        <w:t>l</w:t>
      </w:r>
      <w:r>
        <w:rPr>
          <w:lang w:val="fr-FR"/>
        </w:rPr>
        <w:t>’</w:t>
      </w:r>
      <w:r w:rsidRPr="001A3179">
        <w:rPr>
          <w:lang w:val="fr-FR"/>
        </w:rPr>
        <w:t>ordre public.</w:t>
      </w:r>
    </w:p>
    <w:p w14:paraId="02C64CB6" w14:textId="77777777" w:rsidR="002A5EB2" w:rsidRPr="001A3179" w:rsidRDefault="002A5EB2" w:rsidP="00932521">
      <w:pPr>
        <w:pStyle w:val="H23G"/>
        <w:rPr>
          <w:lang w:val="fr-FR"/>
        </w:rPr>
      </w:pPr>
      <w:r w:rsidRPr="001A3179">
        <w:rPr>
          <w:lang w:val="fr-FR"/>
        </w:rPr>
        <w:tab/>
      </w:r>
      <w:r w:rsidRPr="001A3179">
        <w:rPr>
          <w:lang w:val="fr-FR"/>
        </w:rPr>
        <w:tab/>
        <w:t>Réponse au paragraphe 9 a) de la liste des points à traiter</w:t>
      </w:r>
    </w:p>
    <w:p w14:paraId="0C799F56" w14:textId="77777777" w:rsidR="002A5EB2" w:rsidRPr="001A3179" w:rsidRDefault="002A5EB2" w:rsidP="002A5EB2">
      <w:pPr>
        <w:pStyle w:val="SingleTxtG"/>
        <w:rPr>
          <w:lang w:val="fr-FR"/>
        </w:rPr>
      </w:pPr>
      <w:r w:rsidRPr="001A3179">
        <w:rPr>
          <w:lang w:val="fr-FR"/>
        </w:rPr>
        <w:t>82.</w:t>
      </w:r>
      <w:r w:rsidRPr="001A3179">
        <w:rPr>
          <w:lang w:val="fr-FR"/>
        </w:rPr>
        <w:tab/>
        <w:t>En ce qui concerne les personnes radiées</w:t>
      </w:r>
      <w:r w:rsidRPr="00A1651F">
        <w:rPr>
          <w:vertAlign w:val="superscript"/>
          <w:lang w:val="fr-FR"/>
        </w:rPr>
        <w:footnoteReference w:id="26"/>
      </w:r>
      <w:r w:rsidRPr="001A3179">
        <w:rPr>
          <w:lang w:val="fr-FR"/>
        </w:rPr>
        <w:t>, la Slovénie a adopté la loi portant modification de la loi sur le statut juridique des citoyens de l</w:t>
      </w:r>
      <w:r>
        <w:rPr>
          <w:lang w:val="fr-FR"/>
        </w:rPr>
        <w:t>’</w:t>
      </w:r>
      <w:r w:rsidRPr="001A3179">
        <w:rPr>
          <w:lang w:val="fr-FR"/>
        </w:rPr>
        <w:t>ex-Yougoslavie vivant en République de Slovénie (ZUSDDD-B)</w:t>
      </w:r>
      <w:r w:rsidRPr="0017324C">
        <w:rPr>
          <w:rStyle w:val="Appelnotedebasdep"/>
        </w:rPr>
        <w:footnoteReference w:id="27"/>
      </w:r>
      <w:r w:rsidRPr="001A3179">
        <w:rPr>
          <w:lang w:val="fr-FR"/>
        </w:rPr>
        <w:t>, entrée en vigueur le 24</w:t>
      </w:r>
      <w:r w:rsidR="00A1651F">
        <w:rPr>
          <w:lang w:val="fr-FR"/>
        </w:rPr>
        <w:t> </w:t>
      </w:r>
      <w:r w:rsidRPr="001A3179">
        <w:rPr>
          <w:lang w:val="fr-FR"/>
        </w:rPr>
        <w:t>juillet 2010. L</w:t>
      </w:r>
      <w:r>
        <w:rPr>
          <w:lang w:val="fr-FR"/>
        </w:rPr>
        <w:t>’</w:t>
      </w:r>
      <w:r w:rsidRPr="001A3179">
        <w:rPr>
          <w:lang w:val="fr-FR"/>
        </w:rPr>
        <w:t>Assemblée nationale a adopté ladite loi afin de régulariser définitivement le statut des personnes radiées du Registre des résidents permanents. Ce texte énonce les conditions que doit remplir un ressortissant étranger qui était citoyen d</w:t>
      </w:r>
      <w:r>
        <w:rPr>
          <w:lang w:val="fr-FR"/>
        </w:rPr>
        <w:t>’</w:t>
      </w:r>
      <w:r w:rsidRPr="001A3179">
        <w:rPr>
          <w:lang w:val="fr-FR"/>
        </w:rPr>
        <w:t>une autre république de l</w:t>
      </w:r>
      <w:r>
        <w:rPr>
          <w:lang w:val="fr-FR"/>
        </w:rPr>
        <w:t>’</w:t>
      </w:r>
      <w:r w:rsidRPr="001A3179">
        <w:rPr>
          <w:lang w:val="fr-FR"/>
        </w:rPr>
        <w:t>ex</w:t>
      </w:r>
      <w:r w:rsidR="00A1651F">
        <w:rPr>
          <w:lang w:val="fr-FR"/>
        </w:rPr>
        <w:t> </w:t>
      </w:r>
      <w:r w:rsidRPr="001A3179">
        <w:rPr>
          <w:lang w:val="fr-FR"/>
        </w:rPr>
        <w:t>Yougoslavie au 25 juin 1991 pour obtenir un titre de séjour permanent en Slovénie, nonobstant les dispositions de la loi sur les étrangers. La loi portant modification dispose qu</w:t>
      </w:r>
      <w:r>
        <w:rPr>
          <w:lang w:val="fr-FR"/>
        </w:rPr>
        <w:t>’</w:t>
      </w:r>
      <w:r w:rsidRPr="001A3179">
        <w:rPr>
          <w:lang w:val="fr-FR"/>
        </w:rPr>
        <w:t>un permis de séjour permanent peut être accordé à une personne radiée ne résidant plus en Slovénie si elle peut justifier son absence en faisant valoir un des motifs recevables définis dans ladite loi, à savoir : elle a quitté la Slovénie suite à sa radiation ; elle a quitté la Slovénie faute d</w:t>
      </w:r>
      <w:r>
        <w:rPr>
          <w:lang w:val="fr-FR"/>
        </w:rPr>
        <w:t>’</w:t>
      </w:r>
      <w:r w:rsidRPr="001A3179">
        <w:rPr>
          <w:lang w:val="fr-FR"/>
        </w:rPr>
        <w:t>avoir pu obtenir un permis de séjour en Slovénie ; elle n</w:t>
      </w:r>
      <w:r>
        <w:rPr>
          <w:lang w:val="fr-FR"/>
        </w:rPr>
        <w:t>’</w:t>
      </w:r>
      <w:r w:rsidRPr="001A3179">
        <w:rPr>
          <w:lang w:val="fr-FR"/>
        </w:rPr>
        <w:t xml:space="preserve">a pas pu revenir en Slovénie à cause des conditions de guerre régnant dans un des autres États successeurs de la </w:t>
      </w:r>
      <w:bookmarkStart w:id="21" w:name="_Hlk38176232"/>
      <w:r w:rsidRPr="001A3179">
        <w:rPr>
          <w:lang w:val="fr-FR"/>
        </w:rPr>
        <w:t>République fédérative socialiste de Yougoslavie</w:t>
      </w:r>
      <w:bookmarkEnd w:id="21"/>
      <w:r w:rsidRPr="001A3179">
        <w:rPr>
          <w:lang w:val="fr-FR"/>
        </w:rPr>
        <w:t> ; elle a été renvoyée de force de Slovénie ; elle s</w:t>
      </w:r>
      <w:r>
        <w:rPr>
          <w:lang w:val="fr-FR"/>
        </w:rPr>
        <w:t>’</w:t>
      </w:r>
      <w:r w:rsidRPr="001A3179">
        <w:rPr>
          <w:lang w:val="fr-FR"/>
        </w:rPr>
        <w:t>est vu refuser l</w:t>
      </w:r>
      <w:r>
        <w:rPr>
          <w:lang w:val="fr-FR"/>
        </w:rPr>
        <w:t>’</w:t>
      </w:r>
      <w:r w:rsidRPr="001A3179">
        <w:rPr>
          <w:lang w:val="fr-FR"/>
        </w:rPr>
        <w:t>entrée en Slovénie. Les personnes radiées ayant vécu à l</w:t>
      </w:r>
      <w:r>
        <w:rPr>
          <w:lang w:val="fr-FR"/>
        </w:rPr>
        <w:t>’</w:t>
      </w:r>
      <w:r w:rsidRPr="001A3179">
        <w:rPr>
          <w:lang w:val="fr-FR"/>
        </w:rPr>
        <w:t>étranger à partir de 1992 peuvent aussi obtenir un permis de séjour permanent en Slovénie si elles peuvent invoquer un des motifs recevables énoncés dans la loi précitée.</w:t>
      </w:r>
    </w:p>
    <w:p w14:paraId="30E26915" w14:textId="77777777" w:rsidR="002A5EB2" w:rsidRPr="001A3179" w:rsidRDefault="002A5EB2" w:rsidP="002A5EB2">
      <w:pPr>
        <w:pStyle w:val="SingleTxtG"/>
        <w:rPr>
          <w:lang w:val="fr-FR"/>
        </w:rPr>
      </w:pPr>
      <w:r w:rsidRPr="001A3179">
        <w:rPr>
          <w:lang w:val="fr-FR"/>
        </w:rPr>
        <w:t>83.</w:t>
      </w:r>
      <w:r w:rsidRPr="001A3179">
        <w:rPr>
          <w:lang w:val="fr-FR"/>
        </w:rPr>
        <w:tab/>
        <w:t>Le Ministère de l</w:t>
      </w:r>
      <w:r>
        <w:rPr>
          <w:lang w:val="fr-FR"/>
        </w:rPr>
        <w:t>’</w:t>
      </w:r>
      <w:r w:rsidRPr="001A3179">
        <w:rPr>
          <w:lang w:val="fr-FR"/>
        </w:rPr>
        <w:t>intérieur a publié une brochure d</w:t>
      </w:r>
      <w:r>
        <w:rPr>
          <w:lang w:val="fr-FR"/>
        </w:rPr>
        <w:t>’</w:t>
      </w:r>
      <w:r w:rsidRPr="001A3179">
        <w:rPr>
          <w:lang w:val="fr-FR"/>
        </w:rPr>
        <w:t xml:space="preserve">information sur cette loi (en slovène et dans les quatre langues des États successeurs de la République fédérative socialiste de Yougoslavie) afin de permettre à toutes les personnes intéressées de se </w:t>
      </w:r>
      <w:r w:rsidRPr="001A3179">
        <w:rPr>
          <w:lang w:val="fr-FR"/>
        </w:rPr>
        <w:lastRenderedPageBreak/>
        <w:t>familiariser avec cette loi et de déposer leur demande. Toutes les versions linguistiques sont disponibles en ligne et dans toutes les unités administratives en Slovénie, ainsi que dans les missions diplomatiques et les postes consulaires de la Slovénie dans les États successeurs de la République fédérative socialiste de Yougoslavie. La brochure a aussi été distribuée aux ONG.</w:t>
      </w:r>
    </w:p>
    <w:p w14:paraId="78E615FF" w14:textId="77777777" w:rsidR="002A5EB2" w:rsidRPr="001A3179" w:rsidRDefault="002A5EB2" w:rsidP="00932521">
      <w:pPr>
        <w:pStyle w:val="H23G"/>
        <w:rPr>
          <w:lang w:val="fr-FR"/>
        </w:rPr>
      </w:pPr>
      <w:r w:rsidRPr="001A3179">
        <w:rPr>
          <w:lang w:val="fr-FR"/>
        </w:rPr>
        <w:tab/>
      </w:r>
      <w:r w:rsidRPr="001A3179">
        <w:rPr>
          <w:lang w:val="fr-FR"/>
        </w:rPr>
        <w:tab/>
        <w:t>Réponse au paragraphe 9 b) de la liste des points à traiter</w:t>
      </w:r>
    </w:p>
    <w:p w14:paraId="2DE6BE41" w14:textId="77777777" w:rsidR="002A5EB2" w:rsidRPr="001A3179" w:rsidRDefault="002A5EB2" w:rsidP="002A5EB2">
      <w:pPr>
        <w:pStyle w:val="SingleTxtG"/>
        <w:rPr>
          <w:lang w:val="fr-FR"/>
        </w:rPr>
      </w:pPr>
      <w:r w:rsidRPr="001A3179">
        <w:rPr>
          <w:lang w:val="fr-FR"/>
        </w:rPr>
        <w:t>84.</w:t>
      </w:r>
      <w:r w:rsidRPr="001A3179">
        <w:rPr>
          <w:lang w:val="fr-FR"/>
        </w:rPr>
        <w:tab/>
        <w:t>Outre le droit à une compensation financière, la loi sur l</w:t>
      </w:r>
      <w:r>
        <w:rPr>
          <w:lang w:val="fr-FR"/>
        </w:rPr>
        <w:t>’</w:t>
      </w:r>
      <w:r w:rsidRPr="001A3179">
        <w:rPr>
          <w:lang w:val="fr-FR"/>
        </w:rPr>
        <w:t>indemnisation des personnes radiées du Registre des résidents permanents, adoptée en 2013, prévoit d</w:t>
      </w:r>
      <w:r>
        <w:rPr>
          <w:lang w:val="fr-FR"/>
        </w:rPr>
        <w:t>’</w:t>
      </w:r>
      <w:r w:rsidRPr="001A3179">
        <w:rPr>
          <w:lang w:val="fr-FR"/>
        </w:rPr>
        <w:t>autres formes de juste réparation, y compris l</w:t>
      </w:r>
      <w:r>
        <w:rPr>
          <w:lang w:val="fr-FR"/>
        </w:rPr>
        <w:t>’</w:t>
      </w:r>
      <w:r w:rsidRPr="001A3179">
        <w:rPr>
          <w:lang w:val="fr-FR"/>
        </w:rPr>
        <w:t>indemnisation des dommages subis. D</w:t>
      </w:r>
      <w:r>
        <w:rPr>
          <w:lang w:val="fr-FR"/>
        </w:rPr>
        <w:t>’</w:t>
      </w:r>
      <w:r w:rsidRPr="001A3179">
        <w:rPr>
          <w:lang w:val="fr-FR"/>
        </w:rPr>
        <w:t>autres formes de juste réparation permettent ou facilitent l</w:t>
      </w:r>
      <w:r>
        <w:rPr>
          <w:lang w:val="fr-FR"/>
        </w:rPr>
        <w:t>’</w:t>
      </w:r>
      <w:r w:rsidRPr="001A3179">
        <w:rPr>
          <w:lang w:val="fr-FR"/>
        </w:rPr>
        <w:t>accès aux droits dans divers domaines où il a été établi en pratique que la facilitation serait utile ou nécessaire. Il s</w:t>
      </w:r>
      <w:r>
        <w:rPr>
          <w:lang w:val="fr-FR"/>
        </w:rPr>
        <w:t>’</w:t>
      </w:r>
      <w:r w:rsidRPr="001A3179">
        <w:rPr>
          <w:lang w:val="fr-FR"/>
        </w:rPr>
        <w:t>agit notamment du droit au paiement des cotisations à l</w:t>
      </w:r>
      <w:r>
        <w:rPr>
          <w:lang w:val="fr-FR"/>
        </w:rPr>
        <w:t>’</w:t>
      </w:r>
      <w:r w:rsidRPr="001A3179">
        <w:rPr>
          <w:lang w:val="fr-FR"/>
        </w:rPr>
        <w:t>assurance maladie obligatoire, de l</w:t>
      </w:r>
      <w:r>
        <w:rPr>
          <w:lang w:val="fr-FR"/>
        </w:rPr>
        <w:t>’</w:t>
      </w:r>
      <w:r w:rsidRPr="001A3179">
        <w:rPr>
          <w:lang w:val="fr-FR"/>
        </w:rPr>
        <w:t>inclusion et de la prise en compte à titre prioritaire dans les programmes d</w:t>
      </w:r>
      <w:r>
        <w:rPr>
          <w:lang w:val="fr-FR"/>
        </w:rPr>
        <w:t>’</w:t>
      </w:r>
      <w:r w:rsidRPr="001A3179">
        <w:rPr>
          <w:lang w:val="fr-FR"/>
        </w:rPr>
        <w:t>aide sociale, de l</w:t>
      </w:r>
      <w:r>
        <w:rPr>
          <w:lang w:val="fr-FR"/>
        </w:rPr>
        <w:t>’</w:t>
      </w:r>
      <w:r w:rsidRPr="001A3179">
        <w:rPr>
          <w:lang w:val="fr-FR"/>
        </w:rPr>
        <w:t>allégement dans l</w:t>
      </w:r>
      <w:r>
        <w:rPr>
          <w:lang w:val="fr-FR"/>
        </w:rPr>
        <w:t>’</w:t>
      </w:r>
      <w:r w:rsidRPr="001A3179">
        <w:rPr>
          <w:lang w:val="fr-FR"/>
        </w:rPr>
        <w:t>exercice des droits aux fonds publics, des bourses d</w:t>
      </w:r>
      <w:r>
        <w:rPr>
          <w:lang w:val="fr-FR"/>
        </w:rPr>
        <w:t>’</w:t>
      </w:r>
      <w:r w:rsidRPr="001A3179">
        <w:rPr>
          <w:lang w:val="fr-FR"/>
        </w:rPr>
        <w:t>État, du droit à un traitement égal à celui dont bénéficient les citoyens slovènes pour résoudre leurs problèmes de logement, à l</w:t>
      </w:r>
      <w:r>
        <w:rPr>
          <w:lang w:val="fr-FR"/>
        </w:rPr>
        <w:t>’</w:t>
      </w:r>
      <w:r w:rsidRPr="001A3179">
        <w:rPr>
          <w:lang w:val="fr-FR"/>
        </w:rPr>
        <w:t>accès au système d</w:t>
      </w:r>
      <w:r>
        <w:rPr>
          <w:lang w:val="fr-FR"/>
        </w:rPr>
        <w:t>’</w:t>
      </w:r>
      <w:r w:rsidRPr="001A3179">
        <w:rPr>
          <w:lang w:val="fr-FR"/>
        </w:rPr>
        <w:t>enseignement et à la participation aux programmes d</w:t>
      </w:r>
      <w:r>
        <w:rPr>
          <w:lang w:val="fr-FR"/>
        </w:rPr>
        <w:t>’</w:t>
      </w:r>
      <w:r w:rsidRPr="001A3179">
        <w:rPr>
          <w:lang w:val="fr-FR"/>
        </w:rPr>
        <w:t>insertion ou à un traitement prioritaire dans ce cadre (c</w:t>
      </w:r>
      <w:r>
        <w:rPr>
          <w:lang w:val="fr-FR"/>
        </w:rPr>
        <w:t>’</w:t>
      </w:r>
      <w:r w:rsidRPr="001A3179">
        <w:rPr>
          <w:lang w:val="fr-FR"/>
        </w:rPr>
        <w:t>est-à-dire les programmes visant à accélérer l</w:t>
      </w:r>
      <w:r>
        <w:rPr>
          <w:lang w:val="fr-FR"/>
        </w:rPr>
        <w:t>’</w:t>
      </w:r>
      <w:r w:rsidRPr="001A3179">
        <w:rPr>
          <w:lang w:val="fr-FR"/>
        </w:rPr>
        <w:t>intégration dans la vie culturelle, économique et sociale de la Slovénie).</w:t>
      </w:r>
    </w:p>
    <w:p w14:paraId="081D80FC" w14:textId="77777777" w:rsidR="002A5EB2" w:rsidRPr="001A3179" w:rsidRDefault="002A5EB2" w:rsidP="00932521">
      <w:pPr>
        <w:pStyle w:val="H1G"/>
        <w:rPr>
          <w:lang w:val="fr-FR"/>
        </w:rPr>
      </w:pPr>
      <w:r w:rsidRPr="001A3179">
        <w:rPr>
          <w:lang w:val="fr-FR"/>
        </w:rPr>
        <w:tab/>
      </w:r>
      <w:r w:rsidRPr="001A3179">
        <w:rPr>
          <w:lang w:val="fr-FR"/>
        </w:rPr>
        <w:tab/>
        <w:t xml:space="preserve">Articles 5 et 7 </w:t>
      </w:r>
    </w:p>
    <w:p w14:paraId="6EE9EDF4" w14:textId="77777777" w:rsidR="002A5EB2" w:rsidRPr="001A3179" w:rsidRDefault="002A5EB2" w:rsidP="00932521">
      <w:pPr>
        <w:pStyle w:val="H23G"/>
        <w:rPr>
          <w:lang w:val="fr-FR"/>
        </w:rPr>
      </w:pPr>
      <w:r w:rsidRPr="001A3179">
        <w:rPr>
          <w:lang w:val="fr-FR"/>
        </w:rPr>
        <w:tab/>
      </w:r>
      <w:r w:rsidRPr="001A3179">
        <w:rPr>
          <w:lang w:val="fr-FR"/>
        </w:rPr>
        <w:tab/>
        <w:t>Réponse au paragraphe 10 de la liste des points à traiter</w:t>
      </w:r>
    </w:p>
    <w:p w14:paraId="1F5AA281" w14:textId="77777777" w:rsidR="002A5EB2" w:rsidRPr="001A3179" w:rsidRDefault="002A5EB2" w:rsidP="00A61DE6">
      <w:pPr>
        <w:pStyle w:val="SingleTxtG"/>
        <w:spacing w:line="230" w:lineRule="atLeast"/>
        <w:rPr>
          <w:u w:val="single"/>
          <w:lang w:val="fr-FR"/>
        </w:rPr>
      </w:pPr>
      <w:r w:rsidRPr="001A3179">
        <w:rPr>
          <w:lang w:val="fr-FR"/>
        </w:rPr>
        <w:t>85.</w:t>
      </w:r>
      <w:r w:rsidRPr="001A3179">
        <w:rPr>
          <w:lang w:val="fr-FR"/>
        </w:rPr>
        <w:tab/>
        <w:t>Durant la période considérée, la Slovénie n</w:t>
      </w:r>
      <w:r>
        <w:rPr>
          <w:lang w:val="fr-FR"/>
        </w:rPr>
        <w:t>’</w:t>
      </w:r>
      <w:r w:rsidRPr="001A3179">
        <w:rPr>
          <w:lang w:val="fr-FR"/>
        </w:rPr>
        <w:t>a rejeté aucune demande d</w:t>
      </w:r>
      <w:r>
        <w:rPr>
          <w:lang w:val="fr-FR"/>
        </w:rPr>
        <w:t>’</w:t>
      </w:r>
      <w:r w:rsidRPr="001A3179">
        <w:rPr>
          <w:lang w:val="fr-FR"/>
        </w:rPr>
        <w:t>extradition adressée par un autre État réclamant un individu suspecté d</w:t>
      </w:r>
      <w:r>
        <w:rPr>
          <w:lang w:val="fr-FR"/>
        </w:rPr>
        <w:t>’</w:t>
      </w:r>
      <w:r w:rsidRPr="001A3179">
        <w:rPr>
          <w:lang w:val="fr-FR"/>
        </w:rPr>
        <w:t>avoir commis des actes de</w:t>
      </w:r>
      <w:r w:rsidR="00A61DE6">
        <w:rPr>
          <w:lang w:val="fr-FR"/>
        </w:rPr>
        <w:t> </w:t>
      </w:r>
      <w:r w:rsidRPr="001A3179">
        <w:rPr>
          <w:lang w:val="fr-FR"/>
        </w:rPr>
        <w:t>torture.</w:t>
      </w:r>
    </w:p>
    <w:p w14:paraId="7318E1E3" w14:textId="77777777" w:rsidR="002A5EB2" w:rsidRPr="001A3179" w:rsidRDefault="002A5EB2" w:rsidP="00932521">
      <w:pPr>
        <w:pStyle w:val="H1G"/>
        <w:rPr>
          <w:lang w:val="fr-FR"/>
        </w:rPr>
      </w:pPr>
      <w:bookmarkStart w:id="22" w:name="_Hlk8997673"/>
      <w:r w:rsidRPr="001A3179">
        <w:rPr>
          <w:lang w:val="fr-FR"/>
        </w:rPr>
        <w:tab/>
      </w:r>
      <w:r w:rsidRPr="001A3179">
        <w:rPr>
          <w:lang w:val="fr-FR"/>
        </w:rPr>
        <w:tab/>
        <w:t>Article 10</w:t>
      </w:r>
    </w:p>
    <w:bookmarkEnd w:id="22"/>
    <w:p w14:paraId="1C9EB60E" w14:textId="77777777" w:rsidR="002A5EB2" w:rsidRPr="001A3179" w:rsidRDefault="002A5EB2" w:rsidP="00932521">
      <w:pPr>
        <w:pStyle w:val="H23G"/>
        <w:rPr>
          <w:lang w:val="fr-FR"/>
        </w:rPr>
      </w:pPr>
      <w:r w:rsidRPr="001A3179">
        <w:rPr>
          <w:lang w:val="fr-FR"/>
        </w:rPr>
        <w:tab/>
      </w:r>
      <w:r w:rsidRPr="001A3179">
        <w:rPr>
          <w:lang w:val="fr-FR"/>
        </w:rPr>
        <w:tab/>
        <w:t>Réponse au paragraphe 11 a) de la liste des points à traiter</w:t>
      </w:r>
    </w:p>
    <w:p w14:paraId="0FBB02D7" w14:textId="77777777" w:rsidR="002A5EB2" w:rsidRPr="001A3179" w:rsidRDefault="002A5EB2" w:rsidP="00A61DE6">
      <w:pPr>
        <w:pStyle w:val="SingleTxtG"/>
        <w:spacing w:line="230" w:lineRule="atLeast"/>
        <w:rPr>
          <w:lang w:val="fr-FR"/>
        </w:rPr>
      </w:pPr>
      <w:r w:rsidRPr="001A3179">
        <w:rPr>
          <w:lang w:val="fr-FR"/>
        </w:rPr>
        <w:t>86.</w:t>
      </w:r>
      <w:r w:rsidRPr="001A3179">
        <w:rPr>
          <w:lang w:val="fr-FR"/>
        </w:rPr>
        <w:tab/>
        <w:t>Dans les Instructions sur la tenue des dossiers médicaux des prévenus et des condamnés en détention, émises par le Ministère de la santé (</w:t>
      </w:r>
      <w:r>
        <w:rPr>
          <w:lang w:val="fr-FR"/>
        </w:rPr>
        <w:t>c</w:t>
      </w:r>
      <w:r w:rsidRPr="001A3179">
        <w:rPr>
          <w:lang w:val="fr-FR"/>
        </w:rPr>
        <w:t xml:space="preserve">irculaire </w:t>
      </w:r>
      <w:r w:rsidR="00A61DE6" w:rsidRPr="00A61DE6">
        <w:rPr>
          <w:rFonts w:eastAsia="MS Mincho"/>
          <w:szCs w:val="22"/>
          <w:lang w:val="fr-FR"/>
        </w:rPr>
        <w:t>n</w:t>
      </w:r>
      <w:r w:rsidR="00A61DE6" w:rsidRPr="00A61DE6">
        <w:rPr>
          <w:rFonts w:eastAsia="MS Mincho"/>
          <w:szCs w:val="22"/>
          <w:vertAlign w:val="superscript"/>
          <w:lang w:val="fr-FR"/>
        </w:rPr>
        <w:t>o</w:t>
      </w:r>
      <w:r w:rsidR="00A61DE6">
        <w:rPr>
          <w:lang w:val="fr-FR"/>
        </w:rPr>
        <w:t> </w:t>
      </w:r>
      <w:r w:rsidRPr="001A3179">
        <w:rPr>
          <w:lang w:val="fr-FR"/>
        </w:rPr>
        <w:t>160-103/2008-4 du 3</w:t>
      </w:r>
      <w:r w:rsidR="00932521">
        <w:rPr>
          <w:lang w:val="fr-FR"/>
        </w:rPr>
        <w:t> </w:t>
      </w:r>
      <w:r w:rsidRPr="001A3179">
        <w:rPr>
          <w:lang w:val="fr-FR"/>
        </w:rPr>
        <w:t>avril 2009), il est demandé à tous les médecins prestataires de services de santé aux prévenus et aux condamnés en détention de consigner dûment dans le dossier médical de chaque détenu toutes les données sur leur état de santé, en particulier toutes données sur des lésions corporelles et leur cause, et il leur est recommandé de consigner exhaustivement toute déclaration d</w:t>
      </w:r>
      <w:r>
        <w:rPr>
          <w:lang w:val="fr-FR"/>
        </w:rPr>
        <w:t>’</w:t>
      </w:r>
      <w:r w:rsidRPr="001A3179">
        <w:rPr>
          <w:lang w:val="fr-FR"/>
        </w:rPr>
        <w:t>un détenu, y compris ses allégations quant à la cause de sa blessure. Une des fonctions importantes de ce dossier est d</w:t>
      </w:r>
      <w:r>
        <w:rPr>
          <w:lang w:val="fr-FR"/>
        </w:rPr>
        <w:t>’</w:t>
      </w:r>
      <w:r w:rsidRPr="001A3179">
        <w:rPr>
          <w:lang w:val="fr-FR"/>
        </w:rPr>
        <w:t>aider à établir si les conclusions tirées d</w:t>
      </w:r>
      <w:r>
        <w:rPr>
          <w:lang w:val="fr-FR"/>
        </w:rPr>
        <w:t>’</w:t>
      </w:r>
      <w:r w:rsidRPr="001A3179">
        <w:rPr>
          <w:lang w:val="fr-FR"/>
        </w:rPr>
        <w:t>un examen médical objectif corroborent des allégations de mauvais traitements faites par un</w:t>
      </w:r>
      <w:r w:rsidR="00A61DE6">
        <w:rPr>
          <w:lang w:val="fr-FR"/>
        </w:rPr>
        <w:t> </w:t>
      </w:r>
      <w:r w:rsidRPr="001A3179">
        <w:rPr>
          <w:lang w:val="fr-FR"/>
        </w:rPr>
        <w:t>détenu.</w:t>
      </w:r>
    </w:p>
    <w:p w14:paraId="1468BE16" w14:textId="77777777" w:rsidR="002A5EB2" w:rsidRPr="001A3179" w:rsidRDefault="002A5EB2" w:rsidP="00A61DE6">
      <w:pPr>
        <w:pStyle w:val="SingleTxtG"/>
        <w:spacing w:line="230" w:lineRule="atLeast"/>
        <w:rPr>
          <w:lang w:val="fr-FR"/>
        </w:rPr>
      </w:pPr>
      <w:r w:rsidRPr="001A3179">
        <w:rPr>
          <w:lang w:val="fr-FR"/>
        </w:rPr>
        <w:t>87.</w:t>
      </w:r>
      <w:r w:rsidRPr="001A3179">
        <w:rPr>
          <w:lang w:val="fr-FR"/>
        </w:rPr>
        <w:tab/>
        <w:t>Le Parquet spécialisé du Bureau du procureur d</w:t>
      </w:r>
      <w:r>
        <w:rPr>
          <w:lang w:val="fr-FR"/>
        </w:rPr>
        <w:t>’</w:t>
      </w:r>
      <w:r w:rsidRPr="001A3179">
        <w:rPr>
          <w:lang w:val="fr-FR"/>
        </w:rPr>
        <w:t>État est compétent pour instruire les affaires dans lesquelles des polic</w:t>
      </w:r>
      <w:r>
        <w:rPr>
          <w:lang w:val="fr-FR"/>
        </w:rPr>
        <w:t>iers</w:t>
      </w:r>
      <w:r w:rsidRPr="001A3179">
        <w:rPr>
          <w:lang w:val="fr-FR"/>
        </w:rPr>
        <w:t xml:space="preserve"> sont suspectés d</w:t>
      </w:r>
      <w:r>
        <w:rPr>
          <w:lang w:val="fr-FR"/>
        </w:rPr>
        <w:t>’</w:t>
      </w:r>
      <w:r w:rsidRPr="001A3179">
        <w:rPr>
          <w:lang w:val="fr-FR"/>
        </w:rPr>
        <w:t>actes de torture. En 2013, des fonctionnaires de police chefs d</w:t>
      </w:r>
      <w:r>
        <w:rPr>
          <w:lang w:val="fr-FR"/>
        </w:rPr>
        <w:t>’</w:t>
      </w:r>
      <w:r w:rsidRPr="001A3179">
        <w:rPr>
          <w:lang w:val="fr-FR"/>
        </w:rPr>
        <w:t>unité, des instructeurs en matière de procédures pratiques et d</w:t>
      </w:r>
      <w:r>
        <w:rPr>
          <w:lang w:val="fr-FR"/>
        </w:rPr>
        <w:t>’</w:t>
      </w:r>
      <w:proofErr w:type="spellStart"/>
      <w:r w:rsidRPr="001A3179">
        <w:rPr>
          <w:lang w:val="fr-FR"/>
        </w:rPr>
        <w:t>autodéfense</w:t>
      </w:r>
      <w:proofErr w:type="spellEnd"/>
      <w:r w:rsidRPr="001A3179">
        <w:rPr>
          <w:lang w:val="fr-FR"/>
        </w:rPr>
        <w:t xml:space="preserve"> et de futurs cadres se sont familiarisés avec le contenu du Protocole d</w:t>
      </w:r>
      <w:r>
        <w:rPr>
          <w:lang w:val="fr-FR"/>
        </w:rPr>
        <w:t>’</w:t>
      </w:r>
      <w:r w:rsidRPr="001A3179">
        <w:rPr>
          <w:lang w:val="fr-FR"/>
        </w:rPr>
        <w:t>Istanbul dans le cadre de la formation à la gestion de la police. L</w:t>
      </w:r>
      <w:r>
        <w:rPr>
          <w:lang w:val="fr-FR"/>
        </w:rPr>
        <w:t>’</w:t>
      </w:r>
      <w:r w:rsidRPr="001A3179">
        <w:rPr>
          <w:lang w:val="fr-FR"/>
        </w:rPr>
        <w:t>accent a été mis sur les normes énoncées dans le Protocole d</w:t>
      </w:r>
      <w:r>
        <w:rPr>
          <w:lang w:val="fr-FR"/>
        </w:rPr>
        <w:t>’</w:t>
      </w:r>
      <w:r w:rsidRPr="001A3179">
        <w:rPr>
          <w:lang w:val="fr-FR"/>
        </w:rPr>
        <w:t>Istanbul et sur les prescriptions concernant l</w:t>
      </w:r>
      <w:r>
        <w:rPr>
          <w:lang w:val="fr-FR"/>
        </w:rPr>
        <w:t>’</w:t>
      </w:r>
      <w:r w:rsidRPr="001A3179">
        <w:rPr>
          <w:lang w:val="fr-FR"/>
        </w:rPr>
        <w:t>interrogatoire d</w:t>
      </w:r>
      <w:r>
        <w:rPr>
          <w:lang w:val="fr-FR"/>
        </w:rPr>
        <w:t>’</w:t>
      </w:r>
      <w:r w:rsidRPr="001A3179">
        <w:rPr>
          <w:lang w:val="fr-FR"/>
        </w:rPr>
        <w:t>une personne susceptible d</w:t>
      </w:r>
      <w:r>
        <w:rPr>
          <w:lang w:val="fr-FR"/>
        </w:rPr>
        <w:t>’</w:t>
      </w:r>
      <w:r w:rsidRPr="001A3179">
        <w:rPr>
          <w:lang w:val="fr-FR"/>
        </w:rPr>
        <w:t>avoir subi des violences policières, l</w:t>
      </w:r>
      <w:r>
        <w:rPr>
          <w:lang w:val="fr-FR"/>
        </w:rPr>
        <w:t>’</w:t>
      </w:r>
      <w:r w:rsidRPr="001A3179">
        <w:rPr>
          <w:lang w:val="fr-FR"/>
        </w:rPr>
        <w:t>audition d</w:t>
      </w:r>
      <w:r>
        <w:rPr>
          <w:lang w:val="fr-FR"/>
        </w:rPr>
        <w:t>’</w:t>
      </w:r>
      <w:r w:rsidRPr="001A3179">
        <w:rPr>
          <w:lang w:val="fr-FR"/>
        </w:rPr>
        <w:t xml:space="preserve">une victime et la manière dont consigner dûment les marques physiques de violence </w:t>
      </w:r>
      <w:r w:rsidR="00894C70">
        <w:rPr>
          <w:lang w:val="fr-FR"/>
        </w:rPr>
        <w:t>− </w:t>
      </w:r>
      <w:r w:rsidRPr="001A3179">
        <w:rPr>
          <w:lang w:val="fr-FR"/>
        </w:rPr>
        <w:t>autant d</w:t>
      </w:r>
      <w:r>
        <w:rPr>
          <w:lang w:val="fr-FR"/>
        </w:rPr>
        <w:t>’</w:t>
      </w:r>
      <w:r w:rsidRPr="001A3179">
        <w:rPr>
          <w:lang w:val="fr-FR"/>
        </w:rPr>
        <w:t>éléments à prendre en considération par les chefs d</w:t>
      </w:r>
      <w:r>
        <w:rPr>
          <w:lang w:val="fr-FR"/>
        </w:rPr>
        <w:t>’</w:t>
      </w:r>
      <w:r w:rsidRPr="001A3179">
        <w:rPr>
          <w:lang w:val="fr-FR"/>
        </w:rPr>
        <w:t>unité.</w:t>
      </w:r>
    </w:p>
    <w:p w14:paraId="11510C84" w14:textId="77777777" w:rsidR="002A5EB2" w:rsidRPr="001A3179" w:rsidRDefault="002A5EB2" w:rsidP="00A61DE6">
      <w:pPr>
        <w:pStyle w:val="SingleTxtG"/>
        <w:spacing w:line="230" w:lineRule="atLeast"/>
        <w:rPr>
          <w:lang w:val="fr-FR"/>
        </w:rPr>
      </w:pPr>
      <w:r w:rsidRPr="001A3179">
        <w:rPr>
          <w:lang w:val="fr-FR"/>
        </w:rPr>
        <w:t>88.</w:t>
      </w:r>
      <w:r w:rsidRPr="001A3179">
        <w:rPr>
          <w:lang w:val="fr-FR"/>
        </w:rPr>
        <w:tab/>
        <w:t>En 2013 aussi, les instructeurs en matière de procédures pratiques et d</w:t>
      </w:r>
      <w:r>
        <w:rPr>
          <w:lang w:val="fr-FR"/>
        </w:rPr>
        <w:t>’</w:t>
      </w:r>
      <w:proofErr w:type="spellStart"/>
      <w:r w:rsidRPr="001A3179">
        <w:rPr>
          <w:lang w:val="fr-FR"/>
        </w:rPr>
        <w:t>autodéfense</w:t>
      </w:r>
      <w:proofErr w:type="spellEnd"/>
      <w:r w:rsidRPr="001A3179">
        <w:rPr>
          <w:lang w:val="fr-FR"/>
        </w:rPr>
        <w:t xml:space="preserve"> ont suivi un cours sur ces mêmes questions au titre de la formation continue à l</w:t>
      </w:r>
      <w:r>
        <w:rPr>
          <w:lang w:val="fr-FR"/>
        </w:rPr>
        <w:t>’</w:t>
      </w:r>
      <w:r w:rsidRPr="001A3179">
        <w:rPr>
          <w:lang w:val="fr-FR"/>
        </w:rPr>
        <w:t>exercice des pouvoirs de police, aux procédures pratiques et à l</w:t>
      </w:r>
      <w:r>
        <w:rPr>
          <w:lang w:val="fr-FR"/>
        </w:rPr>
        <w:t>’</w:t>
      </w:r>
      <w:proofErr w:type="spellStart"/>
      <w:r w:rsidRPr="001A3179">
        <w:rPr>
          <w:lang w:val="fr-FR"/>
        </w:rPr>
        <w:t>autodéfense</w:t>
      </w:r>
      <w:proofErr w:type="spellEnd"/>
      <w:r w:rsidRPr="001A3179">
        <w:rPr>
          <w:lang w:val="fr-FR"/>
        </w:rPr>
        <w:t>. En se familiarisant avec le Protocole d</w:t>
      </w:r>
      <w:r>
        <w:rPr>
          <w:lang w:val="fr-FR"/>
        </w:rPr>
        <w:t>’</w:t>
      </w:r>
      <w:r w:rsidRPr="001A3179">
        <w:rPr>
          <w:lang w:val="fr-FR"/>
        </w:rPr>
        <w:t>Istanbul, ces instructeurs, qui assurent la formation continue des policiers, peuvent grandement aider à sensibiliser leurs collègues à l</w:t>
      </w:r>
      <w:r>
        <w:rPr>
          <w:lang w:val="fr-FR"/>
        </w:rPr>
        <w:t>’</w:t>
      </w:r>
      <w:r w:rsidRPr="001A3179">
        <w:rPr>
          <w:lang w:val="fr-FR"/>
        </w:rPr>
        <w:t>importance de la protection des droits de l</w:t>
      </w:r>
      <w:r>
        <w:rPr>
          <w:lang w:val="fr-FR"/>
        </w:rPr>
        <w:t>’</w:t>
      </w:r>
      <w:r w:rsidRPr="001A3179">
        <w:rPr>
          <w:lang w:val="fr-FR"/>
        </w:rPr>
        <w:t>homme et des libertés, à la politique de tolérance zéro envers la violence policière et aux mesures et sanctions prescrites en cas de violation des droits de l</w:t>
      </w:r>
      <w:r>
        <w:rPr>
          <w:lang w:val="fr-FR"/>
        </w:rPr>
        <w:t>’</w:t>
      </w:r>
      <w:r w:rsidRPr="001A3179">
        <w:rPr>
          <w:lang w:val="fr-FR"/>
        </w:rPr>
        <w:t>homme et des libertés.</w:t>
      </w:r>
    </w:p>
    <w:p w14:paraId="6D59D21B" w14:textId="77777777" w:rsidR="002A5EB2" w:rsidRPr="001A3179" w:rsidRDefault="002A5EB2" w:rsidP="002A5EB2">
      <w:pPr>
        <w:pStyle w:val="SingleTxtG"/>
        <w:rPr>
          <w:bCs/>
          <w:lang w:val="fr-FR"/>
        </w:rPr>
      </w:pPr>
      <w:r w:rsidRPr="001A3179">
        <w:rPr>
          <w:lang w:val="fr-FR"/>
        </w:rPr>
        <w:lastRenderedPageBreak/>
        <w:t>89.</w:t>
      </w:r>
      <w:r w:rsidRPr="001A3179">
        <w:rPr>
          <w:lang w:val="fr-FR"/>
        </w:rPr>
        <w:tab/>
        <w:t>La police a en outre dispensé des formations sur les sujets susmentionnés à d</w:t>
      </w:r>
      <w:r>
        <w:rPr>
          <w:lang w:val="fr-FR"/>
        </w:rPr>
        <w:t>’</w:t>
      </w:r>
      <w:r w:rsidRPr="001A3179">
        <w:rPr>
          <w:lang w:val="fr-FR"/>
        </w:rPr>
        <w:t>autres institutions, à savoir</w:t>
      </w:r>
      <w:r w:rsidR="00F11C00">
        <w:rPr>
          <w:lang w:val="fr-FR"/>
        </w:rPr>
        <w:t> </w:t>
      </w:r>
      <w:r w:rsidRPr="001A3179">
        <w:rPr>
          <w:lang w:val="fr-FR"/>
        </w:rPr>
        <w:t xml:space="preserve">: </w:t>
      </w:r>
    </w:p>
    <w:p w14:paraId="29DE51D1" w14:textId="77777777" w:rsidR="002A5EB2" w:rsidRPr="001A3179" w:rsidRDefault="002A5EB2" w:rsidP="00F11C00">
      <w:pPr>
        <w:pStyle w:val="Bullet1G"/>
        <w:rPr>
          <w:bCs/>
          <w:lang w:val="fr-FR"/>
        </w:rPr>
      </w:pPr>
      <w:r w:rsidRPr="001A3179">
        <w:rPr>
          <w:lang w:val="fr-FR"/>
        </w:rPr>
        <w:t>En 2011 et 2013 une formation sur la détection des marques d</w:t>
      </w:r>
      <w:r>
        <w:rPr>
          <w:lang w:val="fr-FR"/>
        </w:rPr>
        <w:t>’</w:t>
      </w:r>
      <w:r w:rsidRPr="001A3179">
        <w:rPr>
          <w:lang w:val="fr-FR"/>
        </w:rPr>
        <w:t>une infraction pénale sur une victime/une partie lésée a été dispensée au personnel du Centre médical de l</w:t>
      </w:r>
      <w:r>
        <w:rPr>
          <w:lang w:val="fr-FR"/>
        </w:rPr>
        <w:t>’</w:t>
      </w:r>
      <w:r w:rsidRPr="001A3179">
        <w:rPr>
          <w:lang w:val="fr-FR"/>
        </w:rPr>
        <w:t>Université de Ljubljana</w:t>
      </w:r>
      <w:r w:rsidR="00F11C00">
        <w:rPr>
          <w:lang w:val="fr-FR"/>
        </w:rPr>
        <w:t> </w:t>
      </w:r>
      <w:r w:rsidRPr="001A3179">
        <w:rPr>
          <w:lang w:val="fr-FR"/>
        </w:rPr>
        <w:t>;</w:t>
      </w:r>
    </w:p>
    <w:p w14:paraId="50F58A14" w14:textId="77777777" w:rsidR="002A5EB2" w:rsidRPr="001A3179" w:rsidRDefault="002A5EB2" w:rsidP="00F11C00">
      <w:pPr>
        <w:pStyle w:val="Bullet1G"/>
        <w:rPr>
          <w:bCs/>
          <w:lang w:val="fr-FR"/>
        </w:rPr>
      </w:pPr>
      <w:r w:rsidRPr="001A3179">
        <w:rPr>
          <w:lang w:val="fr-FR"/>
        </w:rPr>
        <w:t>En 2011, une formation sur ce même sujet a été dispensée à Ljubljana au personnel du Département d</w:t>
      </w:r>
      <w:r>
        <w:rPr>
          <w:lang w:val="fr-FR"/>
        </w:rPr>
        <w:t>’</w:t>
      </w:r>
      <w:r w:rsidRPr="001A3179">
        <w:rPr>
          <w:lang w:val="fr-FR"/>
        </w:rPr>
        <w:t>anesthésiologie</w:t>
      </w:r>
      <w:r w:rsidR="00F11C00">
        <w:rPr>
          <w:lang w:val="fr-FR"/>
        </w:rPr>
        <w:t> </w:t>
      </w:r>
      <w:r w:rsidRPr="001A3179">
        <w:rPr>
          <w:lang w:val="fr-FR"/>
        </w:rPr>
        <w:t>;</w:t>
      </w:r>
    </w:p>
    <w:p w14:paraId="76BF0238" w14:textId="77777777" w:rsidR="002A5EB2" w:rsidRPr="001A3179" w:rsidRDefault="002A5EB2" w:rsidP="00F11C00">
      <w:pPr>
        <w:pStyle w:val="Bullet1G"/>
        <w:rPr>
          <w:bCs/>
          <w:lang w:val="fr-FR"/>
        </w:rPr>
      </w:pPr>
      <w:r w:rsidRPr="001A3179">
        <w:rPr>
          <w:lang w:val="fr-FR"/>
        </w:rPr>
        <w:t xml:space="preserve">En 2012, des représentants de la police ont participé à une réunion de traumatologues à </w:t>
      </w:r>
      <w:proofErr w:type="spellStart"/>
      <w:r w:rsidRPr="001A3179">
        <w:rPr>
          <w:lang w:val="fr-FR"/>
        </w:rPr>
        <w:t>Portorož</w:t>
      </w:r>
      <w:proofErr w:type="spellEnd"/>
      <w:r w:rsidR="00F11C00">
        <w:rPr>
          <w:lang w:val="fr-FR"/>
        </w:rPr>
        <w:t> </w:t>
      </w:r>
      <w:r w:rsidRPr="001A3179">
        <w:rPr>
          <w:lang w:val="fr-FR"/>
        </w:rPr>
        <w:t>;</w:t>
      </w:r>
    </w:p>
    <w:p w14:paraId="18C52032" w14:textId="77777777" w:rsidR="002A5EB2" w:rsidRPr="001A3179" w:rsidRDefault="002A5EB2" w:rsidP="00F11C00">
      <w:pPr>
        <w:pStyle w:val="Bullet1G"/>
        <w:rPr>
          <w:bCs/>
          <w:lang w:val="fr-FR"/>
        </w:rPr>
      </w:pPr>
      <w:r w:rsidRPr="001A3179">
        <w:rPr>
          <w:lang w:val="fr-FR"/>
        </w:rPr>
        <w:t>En 2014, une formation à l</w:t>
      </w:r>
      <w:r>
        <w:rPr>
          <w:lang w:val="fr-FR"/>
        </w:rPr>
        <w:t>’</w:t>
      </w:r>
      <w:r w:rsidRPr="001A3179">
        <w:rPr>
          <w:lang w:val="fr-FR"/>
        </w:rPr>
        <w:t xml:space="preserve">intention du personnel des établissements de santé de la région de Nova </w:t>
      </w:r>
      <w:proofErr w:type="spellStart"/>
      <w:r w:rsidRPr="001A3179">
        <w:rPr>
          <w:lang w:val="fr-FR"/>
        </w:rPr>
        <w:t>Gorica</w:t>
      </w:r>
      <w:proofErr w:type="spellEnd"/>
      <w:r w:rsidRPr="001A3179">
        <w:rPr>
          <w:lang w:val="fr-FR"/>
        </w:rPr>
        <w:t xml:space="preserve"> a été dispensée à l</w:t>
      </w:r>
      <w:r>
        <w:rPr>
          <w:lang w:val="fr-FR"/>
        </w:rPr>
        <w:t>’</w:t>
      </w:r>
      <w:r w:rsidRPr="001A3179">
        <w:rPr>
          <w:lang w:val="fr-FR"/>
        </w:rPr>
        <w:t xml:space="preserve">hôpital de Nova </w:t>
      </w:r>
      <w:proofErr w:type="spellStart"/>
      <w:r w:rsidRPr="001A3179">
        <w:rPr>
          <w:lang w:val="fr-FR"/>
        </w:rPr>
        <w:t>Gorica</w:t>
      </w:r>
      <w:proofErr w:type="spellEnd"/>
      <w:r w:rsidRPr="001A3179">
        <w:rPr>
          <w:lang w:val="fr-FR"/>
        </w:rPr>
        <w:t>.</w:t>
      </w:r>
    </w:p>
    <w:p w14:paraId="5D70EFC2" w14:textId="77777777" w:rsidR="002A5EB2" w:rsidRPr="001A3179" w:rsidRDefault="002A5EB2" w:rsidP="002A5EB2">
      <w:pPr>
        <w:pStyle w:val="SingleTxtG"/>
        <w:rPr>
          <w:bCs/>
          <w:lang w:val="fr-FR"/>
        </w:rPr>
      </w:pPr>
      <w:r w:rsidRPr="001A3179">
        <w:rPr>
          <w:lang w:val="fr-FR"/>
        </w:rPr>
        <w:t>90.</w:t>
      </w:r>
      <w:r w:rsidRPr="001A3179">
        <w:rPr>
          <w:lang w:val="fr-FR"/>
        </w:rPr>
        <w:tab/>
        <w:t>La formation a porté principalement sur la manière de détecter les marques d</w:t>
      </w:r>
      <w:r>
        <w:rPr>
          <w:lang w:val="fr-FR"/>
        </w:rPr>
        <w:t>’</w:t>
      </w:r>
      <w:r w:rsidRPr="001A3179">
        <w:rPr>
          <w:lang w:val="fr-FR"/>
        </w:rPr>
        <w:t>une infraction pénale sur les victimes/les parties lésées et sur la manière de procéder en pareils cas (signalement à la police, marche à suivre pour ne pas détruire les marques, signification des différentes marques, etc.). Les sessions de formation ont porté sur les victimes de toutes les infractions pénales, y compris la torture et les traitements cruels.</w:t>
      </w:r>
    </w:p>
    <w:p w14:paraId="50AADE43" w14:textId="77777777" w:rsidR="002A5EB2" w:rsidRPr="001A3179" w:rsidRDefault="002A5EB2" w:rsidP="00F11C00">
      <w:pPr>
        <w:pStyle w:val="H23G"/>
        <w:rPr>
          <w:lang w:val="fr-FR"/>
        </w:rPr>
      </w:pPr>
      <w:r w:rsidRPr="001A3179">
        <w:rPr>
          <w:lang w:val="fr-FR"/>
        </w:rPr>
        <w:tab/>
      </w:r>
      <w:r w:rsidRPr="001A3179">
        <w:rPr>
          <w:lang w:val="fr-FR"/>
        </w:rPr>
        <w:tab/>
        <w:t>Réponse au paragraphe 11 b) de la liste des points à traiter</w:t>
      </w:r>
    </w:p>
    <w:p w14:paraId="461D82B0" w14:textId="77777777" w:rsidR="002A5EB2" w:rsidRPr="001A3179" w:rsidRDefault="002A5EB2" w:rsidP="002A5EB2">
      <w:pPr>
        <w:pStyle w:val="SingleTxtG"/>
        <w:rPr>
          <w:bCs/>
          <w:lang w:val="fr-FR"/>
        </w:rPr>
      </w:pPr>
      <w:r w:rsidRPr="001A3179">
        <w:rPr>
          <w:lang w:val="fr-FR"/>
        </w:rPr>
        <w:t>91.</w:t>
      </w:r>
      <w:r w:rsidRPr="001A3179">
        <w:rPr>
          <w:lang w:val="fr-FR"/>
        </w:rPr>
        <w:tab/>
        <w:t>L</w:t>
      </w:r>
      <w:r>
        <w:rPr>
          <w:lang w:val="fr-FR"/>
        </w:rPr>
        <w:t>’</w:t>
      </w:r>
      <w:r w:rsidRPr="001A3179">
        <w:rPr>
          <w:lang w:val="fr-FR"/>
        </w:rPr>
        <w:t>éducation et la formation dispensées aux polic</w:t>
      </w:r>
      <w:r>
        <w:rPr>
          <w:lang w:val="fr-FR"/>
        </w:rPr>
        <w:t>iers</w:t>
      </w:r>
      <w:r w:rsidRPr="001A3179">
        <w:rPr>
          <w:lang w:val="fr-FR"/>
        </w:rPr>
        <w:t xml:space="preserve"> sont axées sur le respect des droits de l</w:t>
      </w:r>
      <w:r>
        <w:rPr>
          <w:lang w:val="fr-FR"/>
        </w:rPr>
        <w:t>’</w:t>
      </w:r>
      <w:r w:rsidRPr="001A3179">
        <w:rPr>
          <w:lang w:val="fr-FR"/>
        </w:rPr>
        <w:t>homme et des libertés fondamentales en tant que critère primordial et principe directeur des procédures policières. Les participants sont encouragés à traiter en toutes circonstances toutes les personnes de manière digne et respectueuse.</w:t>
      </w:r>
    </w:p>
    <w:p w14:paraId="752B6550" w14:textId="77777777" w:rsidR="002A5EB2" w:rsidRPr="001A3179" w:rsidRDefault="002A5EB2" w:rsidP="00F11C00">
      <w:pPr>
        <w:pStyle w:val="H23G"/>
        <w:rPr>
          <w:lang w:val="fr-FR"/>
        </w:rPr>
      </w:pPr>
      <w:r w:rsidRPr="001A3179">
        <w:rPr>
          <w:lang w:val="fr-FR"/>
        </w:rPr>
        <w:tab/>
      </w:r>
      <w:r w:rsidRPr="001A3179">
        <w:rPr>
          <w:lang w:val="fr-FR"/>
        </w:rPr>
        <w:tab/>
        <w:t>Réponse au paragraphe 11 c) de la liste des points à traiter</w:t>
      </w:r>
    </w:p>
    <w:p w14:paraId="1CDAA3ED" w14:textId="77777777" w:rsidR="002A5EB2" w:rsidRPr="001A3179" w:rsidRDefault="002A5EB2" w:rsidP="002A5EB2">
      <w:pPr>
        <w:pStyle w:val="SingleTxtG"/>
        <w:rPr>
          <w:lang w:val="fr-FR"/>
        </w:rPr>
      </w:pPr>
      <w:r w:rsidRPr="001A3179">
        <w:rPr>
          <w:lang w:val="fr-FR"/>
        </w:rPr>
        <w:t>92.</w:t>
      </w:r>
      <w:r w:rsidRPr="001A3179">
        <w:rPr>
          <w:lang w:val="fr-FR"/>
        </w:rPr>
        <w:tab/>
        <w:t>Le cours « Déontologie et droits humains</w:t>
      </w:r>
      <w:r w:rsidR="00A61DE6">
        <w:rPr>
          <w:lang w:val="fr-FR"/>
        </w:rPr>
        <w:t> </w:t>
      </w:r>
      <w:r w:rsidRPr="001A3179">
        <w:rPr>
          <w:lang w:val="fr-FR"/>
        </w:rPr>
        <w:t>», volet majeur du programme de formation des policiers, est consacré à l</w:t>
      </w:r>
      <w:r>
        <w:rPr>
          <w:lang w:val="fr-FR"/>
        </w:rPr>
        <w:t>’</w:t>
      </w:r>
      <w:r w:rsidRPr="001A3179">
        <w:rPr>
          <w:lang w:val="fr-FR"/>
        </w:rPr>
        <w:t>approche fondée sur le genre. Les participants sont sensibilisés à la diversité des identités de genre et au problème des stéréotypes associés aux hommes et aux femmes. Ils sont encouragés à traiter toutes les personnes sur un pied d</w:t>
      </w:r>
      <w:r>
        <w:rPr>
          <w:lang w:val="fr-FR"/>
        </w:rPr>
        <w:t>’</w:t>
      </w:r>
      <w:r w:rsidRPr="001A3179">
        <w:rPr>
          <w:lang w:val="fr-FR"/>
        </w:rPr>
        <w:t>égalité en ne se laissant pas guider par des conceptions stéréotypées et sexistes erronées.</w:t>
      </w:r>
    </w:p>
    <w:p w14:paraId="0ACF8A4D" w14:textId="77777777" w:rsidR="002A5EB2" w:rsidRPr="001A3179" w:rsidRDefault="002A5EB2" w:rsidP="002A5EB2">
      <w:pPr>
        <w:pStyle w:val="SingleTxtG"/>
        <w:rPr>
          <w:lang w:val="fr-FR"/>
        </w:rPr>
      </w:pPr>
      <w:r w:rsidRPr="001A3179">
        <w:rPr>
          <w:lang w:val="fr-FR"/>
        </w:rPr>
        <w:t>93.</w:t>
      </w:r>
      <w:r w:rsidRPr="001A3179">
        <w:rPr>
          <w:lang w:val="fr-FR"/>
        </w:rPr>
        <w:tab/>
        <w:t>La Direction de la police criminelle compte dans ses rangs des femmes qui participent en tant que policière ou qu</w:t>
      </w:r>
      <w:r>
        <w:rPr>
          <w:lang w:val="fr-FR"/>
        </w:rPr>
        <w:t>’</w:t>
      </w:r>
      <w:r w:rsidRPr="001A3179">
        <w:rPr>
          <w:lang w:val="fr-FR"/>
        </w:rPr>
        <w:t>enquêtrice aux enquêtes criminelles (procédures concernant des femmes, interrogatoires, etc.) sur diverses infractions pénales (traite des êtres humains, prostitution, violences sexuelles, violence familiale, etc.). Dans la formation des polic</w:t>
      </w:r>
      <w:r>
        <w:rPr>
          <w:lang w:val="fr-FR"/>
        </w:rPr>
        <w:t>iers</w:t>
      </w:r>
      <w:r w:rsidRPr="001A3179">
        <w:rPr>
          <w:lang w:val="fr-FR"/>
        </w:rPr>
        <w:t xml:space="preserve"> l</w:t>
      </w:r>
      <w:r>
        <w:rPr>
          <w:lang w:val="fr-FR"/>
        </w:rPr>
        <w:t>’</w:t>
      </w:r>
      <w:r w:rsidRPr="001A3179">
        <w:rPr>
          <w:lang w:val="fr-FR"/>
        </w:rPr>
        <w:t>accent est mis sur le fait que dans ces cas les actes de procédure concernant des femmes doivent être effectués par des agents de police de sexe féminin.</w:t>
      </w:r>
    </w:p>
    <w:p w14:paraId="56F95F39" w14:textId="77777777" w:rsidR="002A5EB2" w:rsidRPr="001A3179" w:rsidRDefault="002A5EB2" w:rsidP="002A5EB2">
      <w:pPr>
        <w:pStyle w:val="SingleTxtG"/>
        <w:rPr>
          <w:lang w:val="fr-FR"/>
        </w:rPr>
      </w:pPr>
      <w:r w:rsidRPr="001A3179">
        <w:rPr>
          <w:lang w:val="fr-FR"/>
        </w:rPr>
        <w:t>94.</w:t>
      </w:r>
      <w:r w:rsidRPr="001A3179">
        <w:rPr>
          <w:lang w:val="fr-FR"/>
        </w:rPr>
        <w:tab/>
        <w:t>Le Code de procédure pénale dispose, par exemple, qu</w:t>
      </w:r>
      <w:r>
        <w:rPr>
          <w:lang w:val="fr-FR"/>
        </w:rPr>
        <w:t>’</w:t>
      </w:r>
      <w:r w:rsidRPr="001A3179">
        <w:rPr>
          <w:lang w:val="fr-FR"/>
        </w:rPr>
        <w:t>une femme ne peut être fouillée que par une femme.</w:t>
      </w:r>
    </w:p>
    <w:p w14:paraId="37C6F0D7" w14:textId="77777777" w:rsidR="002A5EB2" w:rsidRPr="001A3179" w:rsidRDefault="002A5EB2" w:rsidP="002A5EB2">
      <w:pPr>
        <w:pStyle w:val="SingleTxtG"/>
        <w:rPr>
          <w:lang w:val="fr-FR"/>
        </w:rPr>
      </w:pPr>
      <w:r w:rsidRPr="001A3179">
        <w:rPr>
          <w:lang w:val="fr-FR"/>
        </w:rPr>
        <w:t>95.</w:t>
      </w:r>
      <w:r w:rsidRPr="001A3179">
        <w:rPr>
          <w:lang w:val="fr-FR"/>
        </w:rPr>
        <w:tab/>
        <w:t>Les agents pénitentiaires nouvellement recrutés par l</w:t>
      </w:r>
      <w:r>
        <w:rPr>
          <w:lang w:val="fr-FR"/>
        </w:rPr>
        <w:t>’</w:t>
      </w:r>
      <w:r w:rsidRPr="001A3179">
        <w:rPr>
          <w:lang w:val="fr-FR"/>
        </w:rPr>
        <w:t>Administration pénitentiaire slovène sont tenus de suivre une formation d</w:t>
      </w:r>
      <w:r>
        <w:rPr>
          <w:lang w:val="fr-FR"/>
        </w:rPr>
        <w:t>’</w:t>
      </w:r>
      <w:r w:rsidRPr="001A3179">
        <w:rPr>
          <w:lang w:val="fr-FR"/>
        </w:rPr>
        <w:t>au moins trois heures sur la spécificité et les modalités du traitement des femmes détenues (</w:t>
      </w:r>
      <w:proofErr w:type="spellStart"/>
      <w:r w:rsidRPr="001A3179">
        <w:rPr>
          <w:i/>
          <w:iCs/>
          <w:lang w:val="fr-FR"/>
        </w:rPr>
        <w:t>Vsebina</w:t>
      </w:r>
      <w:proofErr w:type="spellEnd"/>
      <w:r w:rsidRPr="001A3179">
        <w:rPr>
          <w:i/>
          <w:iCs/>
          <w:lang w:val="fr-FR"/>
        </w:rPr>
        <w:t xml:space="preserve">, </w:t>
      </w:r>
      <w:proofErr w:type="spellStart"/>
      <w:r w:rsidRPr="001A3179">
        <w:rPr>
          <w:i/>
          <w:iCs/>
          <w:lang w:val="fr-FR"/>
        </w:rPr>
        <w:t>način</w:t>
      </w:r>
      <w:proofErr w:type="spellEnd"/>
      <w:r w:rsidRPr="001A3179">
        <w:rPr>
          <w:i/>
          <w:iCs/>
          <w:lang w:val="fr-FR"/>
        </w:rPr>
        <w:t xml:space="preserve"> in </w:t>
      </w:r>
      <w:proofErr w:type="spellStart"/>
      <w:r w:rsidRPr="001A3179">
        <w:rPr>
          <w:i/>
          <w:iCs/>
          <w:lang w:val="fr-FR"/>
        </w:rPr>
        <w:t>posebnosti</w:t>
      </w:r>
      <w:proofErr w:type="spellEnd"/>
      <w:r w:rsidRPr="001A3179">
        <w:rPr>
          <w:i/>
          <w:iCs/>
          <w:lang w:val="fr-FR"/>
        </w:rPr>
        <w:t xml:space="preserve"> </w:t>
      </w:r>
      <w:proofErr w:type="spellStart"/>
      <w:r w:rsidRPr="001A3179">
        <w:rPr>
          <w:i/>
          <w:iCs/>
          <w:lang w:val="fr-FR"/>
        </w:rPr>
        <w:t>dela</w:t>
      </w:r>
      <w:proofErr w:type="spellEnd"/>
      <w:r w:rsidRPr="001A3179">
        <w:rPr>
          <w:i/>
          <w:iCs/>
          <w:lang w:val="fr-FR"/>
        </w:rPr>
        <w:t xml:space="preserve"> z </w:t>
      </w:r>
      <w:proofErr w:type="spellStart"/>
      <w:r w:rsidRPr="001A3179">
        <w:rPr>
          <w:i/>
          <w:iCs/>
          <w:lang w:val="fr-FR"/>
        </w:rPr>
        <w:t>zaprtimi</w:t>
      </w:r>
      <w:proofErr w:type="spellEnd"/>
      <w:r w:rsidRPr="001A3179">
        <w:rPr>
          <w:i/>
          <w:iCs/>
          <w:lang w:val="fr-FR"/>
        </w:rPr>
        <w:t xml:space="preserve"> </w:t>
      </w:r>
      <w:proofErr w:type="spellStart"/>
      <w:r w:rsidRPr="001A3179">
        <w:rPr>
          <w:i/>
          <w:iCs/>
          <w:lang w:val="fr-FR"/>
        </w:rPr>
        <w:t>osebami</w:t>
      </w:r>
      <w:proofErr w:type="spellEnd"/>
      <w:r w:rsidRPr="001A3179">
        <w:rPr>
          <w:i/>
          <w:iCs/>
          <w:lang w:val="fr-FR"/>
        </w:rPr>
        <w:t xml:space="preserve"> </w:t>
      </w:r>
      <w:proofErr w:type="spellStart"/>
      <w:r w:rsidRPr="001A3179">
        <w:rPr>
          <w:i/>
          <w:iCs/>
          <w:lang w:val="fr-FR"/>
        </w:rPr>
        <w:t>ženskega</w:t>
      </w:r>
      <w:proofErr w:type="spellEnd"/>
      <w:r w:rsidRPr="001A3179">
        <w:rPr>
          <w:i/>
          <w:iCs/>
          <w:lang w:val="fr-FR"/>
        </w:rPr>
        <w:t xml:space="preserve"> </w:t>
      </w:r>
      <w:proofErr w:type="spellStart"/>
      <w:r w:rsidRPr="001A3179">
        <w:rPr>
          <w:i/>
          <w:iCs/>
          <w:lang w:val="fr-FR"/>
        </w:rPr>
        <w:t>spola</w:t>
      </w:r>
      <w:proofErr w:type="spellEnd"/>
      <w:r w:rsidRPr="001A3179">
        <w:rPr>
          <w:lang w:val="fr-FR"/>
        </w:rPr>
        <w:t>) au cours de laquelle leur est présenté l</w:t>
      </w:r>
      <w:r>
        <w:rPr>
          <w:lang w:val="fr-FR"/>
        </w:rPr>
        <w:t>’</w:t>
      </w:r>
      <w:r w:rsidRPr="001A3179">
        <w:rPr>
          <w:lang w:val="fr-FR"/>
        </w:rPr>
        <w:t>ensemble des recommandations formulées au Chapitre VII (Femmes privées de liberté) du 10</w:t>
      </w:r>
      <w:r w:rsidRPr="001A3179">
        <w:rPr>
          <w:vertAlign w:val="superscript"/>
          <w:lang w:val="fr-FR"/>
        </w:rPr>
        <w:t>e</w:t>
      </w:r>
      <w:r w:rsidRPr="001A3179">
        <w:rPr>
          <w:lang w:val="fr-FR"/>
        </w:rPr>
        <w:t xml:space="preserve"> rapport général d</w:t>
      </w:r>
      <w:r>
        <w:rPr>
          <w:lang w:val="fr-FR"/>
        </w:rPr>
        <w:t>’</w:t>
      </w:r>
      <w:r w:rsidRPr="001A3179">
        <w:rPr>
          <w:lang w:val="fr-FR"/>
        </w:rPr>
        <w:t>activités du Comité européen pour la prévention de la torture (CPT/</w:t>
      </w:r>
      <w:proofErr w:type="spellStart"/>
      <w:r w:rsidRPr="001A3179">
        <w:rPr>
          <w:lang w:val="fr-FR"/>
        </w:rPr>
        <w:t>Inf</w:t>
      </w:r>
      <w:proofErr w:type="spellEnd"/>
      <w:r w:rsidRPr="001A3179">
        <w:rPr>
          <w:lang w:val="fr-FR"/>
        </w:rPr>
        <w:t xml:space="preserve"> (2000)13). Cette formation est dispensée par le Directeur et le Chef de la Section de la sécurité de la prison pour femmes d</w:t>
      </w:r>
      <w:r>
        <w:rPr>
          <w:lang w:val="fr-FR"/>
        </w:rPr>
        <w:t>’</w:t>
      </w:r>
      <w:proofErr w:type="spellStart"/>
      <w:r w:rsidRPr="001A3179">
        <w:rPr>
          <w:lang w:val="fr-FR"/>
        </w:rPr>
        <w:t>Ig</w:t>
      </w:r>
      <w:proofErr w:type="spellEnd"/>
      <w:r w:rsidRPr="001A3179">
        <w:rPr>
          <w:lang w:val="fr-FR"/>
        </w:rPr>
        <w:t>. La formation des surveillantes nouvellement recrutées de la prison pour femmes est elle aussi axée sur la familiarisation avec les modalités de travail, telles que conversations, établissement de bonnes relations, coopération avec les détenues condamnées et le non-recours à de</w:t>
      </w:r>
      <w:r>
        <w:rPr>
          <w:lang w:val="fr-FR"/>
        </w:rPr>
        <w:t>s</w:t>
      </w:r>
      <w:r w:rsidRPr="001A3179">
        <w:rPr>
          <w:lang w:val="fr-FR"/>
        </w:rPr>
        <w:t xml:space="preserve"> mesures répressives dans la mesure du possible. Les conflits sont en général réglés en montrant davantage d</w:t>
      </w:r>
      <w:r>
        <w:rPr>
          <w:lang w:val="fr-FR"/>
        </w:rPr>
        <w:t>’</w:t>
      </w:r>
      <w:r w:rsidRPr="001A3179">
        <w:rPr>
          <w:lang w:val="fr-FR"/>
        </w:rPr>
        <w:t>indulgence que dans les prisons pour hommes et les moyens de contrainte appliqués aux femmes détenues sont moins rigoureux.</w:t>
      </w:r>
    </w:p>
    <w:p w14:paraId="6612277E" w14:textId="77777777" w:rsidR="002A5EB2" w:rsidRPr="001A3179" w:rsidRDefault="002A5EB2" w:rsidP="002A5EB2">
      <w:pPr>
        <w:pStyle w:val="SingleTxtG"/>
        <w:rPr>
          <w:lang w:val="fr-FR"/>
        </w:rPr>
      </w:pPr>
      <w:r w:rsidRPr="001A3179">
        <w:rPr>
          <w:lang w:val="fr-FR"/>
        </w:rPr>
        <w:t>96.</w:t>
      </w:r>
      <w:r w:rsidRPr="001A3179">
        <w:rPr>
          <w:lang w:val="fr-FR"/>
        </w:rPr>
        <w:tab/>
        <w:t>Conformément à la réglementation, le genre est pris en considération pour certaines formes de traitement des personnes détenues (surveillance d</w:t>
      </w:r>
      <w:r>
        <w:rPr>
          <w:lang w:val="fr-FR"/>
        </w:rPr>
        <w:t>’</w:t>
      </w:r>
      <w:r w:rsidRPr="001A3179">
        <w:rPr>
          <w:lang w:val="fr-FR"/>
        </w:rPr>
        <w:t>une personne dans une pièce séparée</w:t>
      </w:r>
      <w:r w:rsidR="00A61DE6">
        <w:rPr>
          <w:lang w:val="fr-FR"/>
        </w:rPr>
        <w:t> </w:t>
      </w:r>
      <w:r w:rsidRPr="001A3179">
        <w:rPr>
          <w:lang w:val="fr-FR"/>
        </w:rPr>
        <w:t>; palpation de sécurité</w:t>
      </w:r>
      <w:r w:rsidR="00A61DE6">
        <w:rPr>
          <w:lang w:val="fr-FR"/>
        </w:rPr>
        <w:t> </w:t>
      </w:r>
      <w:r w:rsidRPr="001A3179">
        <w:rPr>
          <w:lang w:val="fr-FR"/>
        </w:rPr>
        <w:t xml:space="preserve">; toute fouille corporelle sur une personne détenue doit être </w:t>
      </w:r>
      <w:r w:rsidRPr="001A3179">
        <w:rPr>
          <w:lang w:val="fr-FR"/>
        </w:rPr>
        <w:lastRenderedPageBreak/>
        <w:t>effectué</w:t>
      </w:r>
      <w:r>
        <w:rPr>
          <w:lang w:val="fr-FR"/>
        </w:rPr>
        <w:t>e</w:t>
      </w:r>
      <w:r w:rsidRPr="001A3179">
        <w:rPr>
          <w:lang w:val="fr-FR"/>
        </w:rPr>
        <w:t xml:space="preserve"> par une personne du même sexe, etc.) La prison pour femmes emploie principalement du personnel féminin</w:t>
      </w:r>
      <w:r w:rsidR="00A61DE6">
        <w:rPr>
          <w:lang w:val="fr-FR"/>
        </w:rPr>
        <w:t> </w:t>
      </w:r>
      <w:r w:rsidRPr="001A3179">
        <w:rPr>
          <w:lang w:val="fr-FR"/>
        </w:rPr>
        <w:t>; son règlement intérieur interdit aux agents pénitentiaires de sexe masculin d</w:t>
      </w:r>
      <w:r>
        <w:rPr>
          <w:lang w:val="fr-FR"/>
        </w:rPr>
        <w:t>’</w:t>
      </w:r>
      <w:r w:rsidRPr="001A3179">
        <w:rPr>
          <w:lang w:val="fr-FR"/>
        </w:rPr>
        <w:t>entrer dans les locaux de couchage et les sanitaires des détenues. En général, ce ne sont que les agents pénitentiaires de sexe féminin qui ont accès à ces locaux, les agents pénitentiaires de sexe masculin ne pouvant y entrer qu</w:t>
      </w:r>
      <w:r>
        <w:rPr>
          <w:lang w:val="fr-FR"/>
        </w:rPr>
        <w:t>’</w:t>
      </w:r>
      <w:r w:rsidRPr="001A3179">
        <w:rPr>
          <w:lang w:val="fr-FR"/>
        </w:rPr>
        <w:t>à titre exceptionnel en cas d</w:t>
      </w:r>
      <w:r>
        <w:rPr>
          <w:lang w:val="fr-FR"/>
        </w:rPr>
        <w:t>’</w:t>
      </w:r>
      <w:r w:rsidRPr="001A3179">
        <w:rPr>
          <w:lang w:val="fr-FR"/>
        </w:rPr>
        <w:t>urgence.</w:t>
      </w:r>
    </w:p>
    <w:p w14:paraId="6182003C" w14:textId="77777777" w:rsidR="002A5EB2" w:rsidRPr="001A3179" w:rsidRDefault="002A5EB2" w:rsidP="002A5EB2">
      <w:pPr>
        <w:pStyle w:val="SingleTxtG"/>
        <w:rPr>
          <w:iCs/>
          <w:lang w:val="fr-FR"/>
        </w:rPr>
      </w:pPr>
      <w:r w:rsidRPr="001A3179">
        <w:rPr>
          <w:lang w:val="fr-FR"/>
        </w:rPr>
        <w:t>97.</w:t>
      </w:r>
      <w:r w:rsidRPr="001A3179">
        <w:rPr>
          <w:lang w:val="fr-FR"/>
        </w:rPr>
        <w:tab/>
        <w:t>En vue de sensibiliser son personnel à cette question, l</w:t>
      </w:r>
      <w:r>
        <w:rPr>
          <w:lang w:val="fr-FR"/>
        </w:rPr>
        <w:t>’</w:t>
      </w:r>
      <w:r w:rsidRPr="001A3179">
        <w:rPr>
          <w:lang w:val="fr-FR"/>
        </w:rPr>
        <w:t>Administration pénitentiaire slovène s</w:t>
      </w:r>
      <w:r>
        <w:rPr>
          <w:lang w:val="fr-FR"/>
        </w:rPr>
        <w:t>’</w:t>
      </w:r>
      <w:r w:rsidRPr="001A3179">
        <w:rPr>
          <w:lang w:val="fr-FR"/>
        </w:rPr>
        <w:t>est associée à un projet (mené sous l</w:t>
      </w:r>
      <w:r>
        <w:rPr>
          <w:lang w:val="fr-FR"/>
        </w:rPr>
        <w:t>’</w:t>
      </w:r>
      <w:r w:rsidRPr="001A3179">
        <w:rPr>
          <w:lang w:val="fr-FR"/>
        </w:rPr>
        <w:t>autorité du Ministère de la justice) ayant pour but d</w:t>
      </w:r>
      <w:r>
        <w:rPr>
          <w:lang w:val="fr-FR"/>
        </w:rPr>
        <w:t>’</w:t>
      </w:r>
      <w:r w:rsidRPr="001A3179">
        <w:rPr>
          <w:lang w:val="fr-FR"/>
        </w:rPr>
        <w:t>évaluer la situation en matière d</w:t>
      </w:r>
      <w:r>
        <w:rPr>
          <w:lang w:val="fr-FR"/>
        </w:rPr>
        <w:t>’</w:t>
      </w:r>
      <w:r w:rsidRPr="001A3179">
        <w:rPr>
          <w:lang w:val="fr-FR"/>
        </w:rPr>
        <w:t xml:space="preserve">égalité entre femmes et hommes détenus et </w:t>
      </w:r>
      <w:r>
        <w:rPr>
          <w:lang w:val="fr-FR"/>
        </w:rPr>
        <w:t>de</w:t>
      </w:r>
      <w:r w:rsidRPr="001A3179">
        <w:rPr>
          <w:lang w:val="fr-FR"/>
        </w:rPr>
        <w:t xml:space="preserve"> définir d</w:t>
      </w:r>
      <w:r>
        <w:rPr>
          <w:lang w:val="fr-FR"/>
        </w:rPr>
        <w:t>’</w:t>
      </w:r>
      <w:r w:rsidRPr="001A3179">
        <w:rPr>
          <w:lang w:val="fr-FR"/>
        </w:rPr>
        <w:t>éventuelles mesures complémentaires dans l</w:t>
      </w:r>
      <w:r>
        <w:rPr>
          <w:lang w:val="fr-FR"/>
        </w:rPr>
        <w:t>’</w:t>
      </w:r>
      <w:r w:rsidRPr="001A3179">
        <w:rPr>
          <w:lang w:val="fr-FR"/>
        </w:rPr>
        <w:t>optique du genre pour assurer l</w:t>
      </w:r>
      <w:r>
        <w:rPr>
          <w:lang w:val="fr-FR"/>
        </w:rPr>
        <w:t>’</w:t>
      </w:r>
      <w:r w:rsidRPr="001A3179">
        <w:rPr>
          <w:lang w:val="fr-FR"/>
        </w:rPr>
        <w:t>égalité des chances entre détenues et détenus. Cette démarche a pour fondement la Résolution sur le Programme national pour l</w:t>
      </w:r>
      <w:r>
        <w:rPr>
          <w:lang w:val="fr-FR"/>
        </w:rPr>
        <w:t>’</w:t>
      </w:r>
      <w:r w:rsidRPr="001A3179">
        <w:rPr>
          <w:lang w:val="fr-FR"/>
        </w:rPr>
        <w:t>égalité des chances entre les femmes et les hommes, qui vise à accro</w:t>
      </w:r>
      <w:r w:rsidR="00A61DE6">
        <w:rPr>
          <w:lang w:val="fr-FR"/>
        </w:rPr>
        <w:t>î</w:t>
      </w:r>
      <w:r w:rsidRPr="001A3179">
        <w:rPr>
          <w:lang w:val="fr-FR"/>
        </w:rPr>
        <w:t>tre le nombre de travaux de recherche et d</w:t>
      </w:r>
      <w:r>
        <w:rPr>
          <w:lang w:val="fr-FR"/>
        </w:rPr>
        <w:t>’</w:t>
      </w:r>
      <w:r w:rsidRPr="001A3179">
        <w:rPr>
          <w:lang w:val="fr-FR"/>
        </w:rPr>
        <w:t xml:space="preserve">analyse consacrés </w:t>
      </w:r>
      <w:r>
        <w:rPr>
          <w:lang w:val="fr-FR"/>
        </w:rPr>
        <w:t xml:space="preserve">à </w:t>
      </w:r>
      <w:r w:rsidRPr="001A3179">
        <w:rPr>
          <w:lang w:val="fr-FR"/>
        </w:rPr>
        <w:t>l</w:t>
      </w:r>
      <w:r>
        <w:rPr>
          <w:lang w:val="fr-FR"/>
        </w:rPr>
        <w:t>’</w:t>
      </w:r>
      <w:r w:rsidRPr="001A3179">
        <w:rPr>
          <w:lang w:val="fr-FR"/>
        </w:rPr>
        <w:t>égalité des genres. Les résultats suivant</w:t>
      </w:r>
      <w:r>
        <w:rPr>
          <w:lang w:val="fr-FR"/>
        </w:rPr>
        <w:t>s</w:t>
      </w:r>
      <w:r w:rsidRPr="001A3179">
        <w:rPr>
          <w:lang w:val="fr-FR"/>
        </w:rPr>
        <w:t xml:space="preserve"> sont attendus de ce projet</w:t>
      </w:r>
      <w:r w:rsidR="00A61DE6">
        <w:rPr>
          <w:lang w:val="fr-FR"/>
        </w:rPr>
        <w:t> </w:t>
      </w:r>
      <w:r w:rsidRPr="001A3179">
        <w:rPr>
          <w:lang w:val="fr-FR"/>
        </w:rPr>
        <w:t>: 1.</w:t>
      </w:r>
      <w:r w:rsidR="00A61DE6">
        <w:rPr>
          <w:lang w:val="fr-FR"/>
        </w:rPr>
        <w:t> </w:t>
      </w:r>
      <w:r w:rsidRPr="001A3179">
        <w:rPr>
          <w:lang w:val="fr-FR"/>
        </w:rPr>
        <w:t>Analyse de l</w:t>
      </w:r>
      <w:r>
        <w:rPr>
          <w:lang w:val="fr-FR"/>
        </w:rPr>
        <w:t>’</w:t>
      </w:r>
      <w:r w:rsidRPr="001A3179">
        <w:rPr>
          <w:lang w:val="fr-FR"/>
        </w:rPr>
        <w:t>(in)égalité des genres dans les prisons</w:t>
      </w:r>
      <w:r w:rsidR="00A61DE6">
        <w:rPr>
          <w:lang w:val="fr-FR"/>
        </w:rPr>
        <w:t> </w:t>
      </w:r>
      <w:r w:rsidRPr="001A3179">
        <w:rPr>
          <w:lang w:val="fr-FR"/>
        </w:rPr>
        <w:t>; 2.</w:t>
      </w:r>
      <w:r w:rsidR="001622BE">
        <w:rPr>
          <w:lang w:val="fr-FR"/>
        </w:rPr>
        <w:t> </w:t>
      </w:r>
      <w:r w:rsidRPr="001A3179">
        <w:rPr>
          <w:lang w:val="fr-FR"/>
        </w:rPr>
        <w:t>Recueil de traductions des principaux instruments et document</w:t>
      </w:r>
      <w:r>
        <w:rPr>
          <w:lang w:val="fr-FR"/>
        </w:rPr>
        <w:t>s</w:t>
      </w:r>
      <w:r w:rsidRPr="001A3179">
        <w:rPr>
          <w:lang w:val="fr-FR"/>
        </w:rPr>
        <w:t xml:space="preserve"> internationaux et application en Slovénie des principes en découlant</w:t>
      </w:r>
      <w:r w:rsidR="001622BE">
        <w:rPr>
          <w:lang w:val="fr-FR"/>
        </w:rPr>
        <w:t> </w:t>
      </w:r>
      <w:r w:rsidRPr="001A3179">
        <w:rPr>
          <w:lang w:val="fr-FR"/>
        </w:rPr>
        <w:t>; 3.</w:t>
      </w:r>
      <w:r w:rsidR="001622BE">
        <w:rPr>
          <w:lang w:val="fr-FR"/>
        </w:rPr>
        <w:t> </w:t>
      </w:r>
      <w:r w:rsidRPr="001A3179">
        <w:rPr>
          <w:lang w:val="fr-FR"/>
        </w:rPr>
        <w:t>Recueil d</w:t>
      </w:r>
      <w:r>
        <w:rPr>
          <w:lang w:val="fr-FR"/>
        </w:rPr>
        <w:t>’</w:t>
      </w:r>
      <w:r w:rsidRPr="001A3179">
        <w:rPr>
          <w:lang w:val="fr-FR"/>
        </w:rPr>
        <w:t>informations sur la situation spécifique des femmes en prison et analyse de ces informations ; 4.</w:t>
      </w:r>
      <w:r w:rsidR="001622BE">
        <w:rPr>
          <w:lang w:val="fr-FR"/>
        </w:rPr>
        <w:t> </w:t>
      </w:r>
      <w:r w:rsidRPr="001A3179">
        <w:rPr>
          <w:lang w:val="fr-FR"/>
        </w:rPr>
        <w:t>Plan destiné à améliorer la collecte des données servant de support aux rapports annuels de l</w:t>
      </w:r>
      <w:r>
        <w:rPr>
          <w:lang w:val="fr-FR"/>
        </w:rPr>
        <w:t>’</w:t>
      </w:r>
      <w:r w:rsidRPr="001A3179">
        <w:rPr>
          <w:lang w:val="fr-FR"/>
        </w:rPr>
        <w:t>Administration pénitentiaire slovène (collecte de données ventilées selon le sexe des personnes détenues).</w:t>
      </w:r>
    </w:p>
    <w:p w14:paraId="534FFA7A" w14:textId="77777777" w:rsidR="002A5EB2" w:rsidRPr="001A3179" w:rsidRDefault="002A5EB2" w:rsidP="00F11C00">
      <w:pPr>
        <w:pStyle w:val="H23G"/>
        <w:rPr>
          <w:lang w:val="fr-FR"/>
        </w:rPr>
      </w:pPr>
      <w:r w:rsidRPr="001A3179">
        <w:rPr>
          <w:lang w:val="fr-FR"/>
        </w:rPr>
        <w:tab/>
      </w:r>
      <w:r w:rsidRPr="001A3179">
        <w:rPr>
          <w:lang w:val="fr-FR"/>
        </w:rPr>
        <w:tab/>
        <w:t>Réponse au paragraphe 12 de la liste des points à traiter</w:t>
      </w:r>
    </w:p>
    <w:p w14:paraId="3E48FDC0" w14:textId="77777777" w:rsidR="002A5EB2" w:rsidRPr="001A3179" w:rsidRDefault="002A5EB2" w:rsidP="002A5EB2">
      <w:pPr>
        <w:pStyle w:val="SingleTxtG"/>
        <w:rPr>
          <w:lang w:val="fr-FR"/>
        </w:rPr>
      </w:pPr>
      <w:r w:rsidRPr="001A3179">
        <w:rPr>
          <w:lang w:val="fr-FR"/>
        </w:rPr>
        <w:t>98.</w:t>
      </w:r>
      <w:r w:rsidRPr="001A3179">
        <w:rPr>
          <w:lang w:val="fr-FR"/>
        </w:rPr>
        <w:tab/>
        <w:t>La loi sur la prévention de la violence familiale prévoit la formation d</w:t>
      </w:r>
      <w:r>
        <w:rPr>
          <w:lang w:val="fr-FR"/>
        </w:rPr>
        <w:t>’</w:t>
      </w:r>
      <w:r w:rsidRPr="001A3179">
        <w:rPr>
          <w:lang w:val="fr-FR"/>
        </w:rPr>
        <w:t>experts de la lutte contre cette violence. Son article 10 dispose ce qui suit : (4)</w:t>
      </w:r>
      <w:r w:rsidR="001622BE">
        <w:rPr>
          <w:lang w:val="fr-FR"/>
        </w:rPr>
        <w:t> </w:t>
      </w:r>
      <w:r w:rsidRPr="001A3179">
        <w:rPr>
          <w:lang w:val="fr-FR"/>
        </w:rPr>
        <w:t xml:space="preserve">Les praticiens des autorités et des organisations qui sont investies de fonctions dans la lutte contre la violence </w:t>
      </w:r>
      <w:r w:rsidR="001622BE">
        <w:rPr>
          <w:lang w:val="fr-FR"/>
        </w:rPr>
        <w:t>− </w:t>
      </w:r>
      <w:r w:rsidRPr="001A3179">
        <w:rPr>
          <w:lang w:val="fr-FR"/>
        </w:rPr>
        <w:t>en vertu des règles et procédures visées au paragraphe précédent</w:t>
      </w:r>
      <w:r w:rsidR="001622BE">
        <w:rPr>
          <w:lang w:val="fr-FR"/>
        </w:rPr>
        <w:t> −</w:t>
      </w:r>
      <w:r w:rsidRPr="001A3179">
        <w:rPr>
          <w:lang w:val="fr-FR"/>
        </w:rPr>
        <w:t xml:space="preserve"> doivent au titre de l</w:t>
      </w:r>
      <w:r>
        <w:rPr>
          <w:lang w:val="fr-FR"/>
        </w:rPr>
        <w:t>’</w:t>
      </w:r>
      <w:r w:rsidRPr="001A3179">
        <w:rPr>
          <w:lang w:val="fr-FR"/>
        </w:rPr>
        <w:t>apprentissage tout au long de la vie, du perfectionnement et de la formation, suivre une formation régulière concernant, notamment, la prévention et la détection des actes de violence, la répression, le jugement des auteurs de tels actes et l</w:t>
      </w:r>
      <w:r>
        <w:rPr>
          <w:lang w:val="fr-FR"/>
        </w:rPr>
        <w:t>’</w:t>
      </w:r>
      <w:r w:rsidRPr="001A3179">
        <w:rPr>
          <w:lang w:val="fr-FR"/>
        </w:rPr>
        <w:t>application des peines prononcées à leur encontre, l</w:t>
      </w:r>
      <w:r>
        <w:rPr>
          <w:lang w:val="fr-FR"/>
        </w:rPr>
        <w:t>’</w:t>
      </w:r>
      <w:r w:rsidRPr="001A3179">
        <w:rPr>
          <w:lang w:val="fr-FR"/>
        </w:rPr>
        <w:t>égalité entre les femmes et les hommes, les besoins et droits des victimes et la prévention de la victimisation secondaire dans la mesure définie par les ministres compétents visés au paragraphe précédent. (5)</w:t>
      </w:r>
      <w:r w:rsidR="001622BE">
        <w:rPr>
          <w:lang w:val="fr-FR"/>
        </w:rPr>
        <w:t> </w:t>
      </w:r>
      <w:r>
        <w:rPr>
          <w:lang w:val="fr-FR"/>
        </w:rPr>
        <w:t>L</w:t>
      </w:r>
      <w:r w:rsidRPr="001A3179">
        <w:rPr>
          <w:lang w:val="fr-FR"/>
        </w:rPr>
        <w:t>es responsables des autorités, des organismes et des ONG doivent assurer la formation de tou</w:t>
      </w:r>
      <w:r>
        <w:rPr>
          <w:lang w:val="fr-FR"/>
        </w:rPr>
        <w:t>te</w:t>
      </w:r>
      <w:r w:rsidRPr="001A3179">
        <w:rPr>
          <w:lang w:val="fr-FR"/>
        </w:rPr>
        <w:t>s les personnes s</w:t>
      </w:r>
      <w:r>
        <w:rPr>
          <w:lang w:val="fr-FR"/>
        </w:rPr>
        <w:t>’</w:t>
      </w:r>
      <w:r w:rsidRPr="001A3179">
        <w:rPr>
          <w:lang w:val="fr-FR"/>
        </w:rPr>
        <w:t>occupant à titre professionnel des victimes ou des auteurs d</w:t>
      </w:r>
      <w:r>
        <w:rPr>
          <w:lang w:val="fr-FR"/>
        </w:rPr>
        <w:t>’</w:t>
      </w:r>
      <w:r w:rsidRPr="001A3179">
        <w:rPr>
          <w:lang w:val="fr-FR"/>
        </w:rPr>
        <w:t>actes de violence. (6)</w:t>
      </w:r>
      <w:r w:rsidR="001622BE">
        <w:rPr>
          <w:lang w:val="fr-FR"/>
        </w:rPr>
        <w:t> </w:t>
      </w:r>
      <w:r w:rsidRPr="001A3179">
        <w:rPr>
          <w:lang w:val="fr-FR"/>
        </w:rPr>
        <w:t>Les juges et les procureurs s</w:t>
      </w:r>
      <w:r>
        <w:rPr>
          <w:lang w:val="fr-FR"/>
        </w:rPr>
        <w:t>’</w:t>
      </w:r>
      <w:r w:rsidRPr="001A3179">
        <w:rPr>
          <w:lang w:val="fr-FR"/>
        </w:rPr>
        <w:t>occupant dans l</w:t>
      </w:r>
      <w:r>
        <w:rPr>
          <w:lang w:val="fr-FR"/>
        </w:rPr>
        <w:t>’</w:t>
      </w:r>
      <w:r w:rsidRPr="001A3179">
        <w:rPr>
          <w:lang w:val="fr-FR"/>
        </w:rPr>
        <w:t>exercice de leurs fonctions de victimes ou d</w:t>
      </w:r>
      <w:r>
        <w:rPr>
          <w:lang w:val="fr-FR"/>
        </w:rPr>
        <w:t>’</w:t>
      </w:r>
      <w:r w:rsidRPr="001A3179">
        <w:rPr>
          <w:lang w:val="fr-FR"/>
        </w:rPr>
        <w:t>auteurs de violences sont tenus, au titre de leur apprentissage tout au long de la vie, de leur perfectionnement et de leur formation, d</w:t>
      </w:r>
      <w:r>
        <w:rPr>
          <w:lang w:val="fr-FR"/>
        </w:rPr>
        <w:t>’</w:t>
      </w:r>
      <w:r w:rsidRPr="001A3179">
        <w:rPr>
          <w:lang w:val="fr-FR"/>
        </w:rPr>
        <w:t>actualiser leurs connaissances régulièrement dans les domaines susvisés au paragraphe (4).</w:t>
      </w:r>
    </w:p>
    <w:p w14:paraId="113B8A04" w14:textId="77777777" w:rsidR="002A5EB2" w:rsidRPr="001A3179" w:rsidRDefault="002A5EB2" w:rsidP="002A5EB2">
      <w:pPr>
        <w:pStyle w:val="SingleTxtG"/>
        <w:rPr>
          <w:lang w:val="fr-FR"/>
        </w:rPr>
      </w:pPr>
      <w:r w:rsidRPr="001A3179">
        <w:rPr>
          <w:lang w:val="fr-FR"/>
        </w:rPr>
        <w:t>99.</w:t>
      </w:r>
      <w:r w:rsidRPr="001A3179">
        <w:rPr>
          <w:lang w:val="fr-FR"/>
        </w:rPr>
        <w:tab/>
        <w:t>En coopération avec d</w:t>
      </w:r>
      <w:r>
        <w:rPr>
          <w:lang w:val="fr-FR"/>
        </w:rPr>
        <w:t>’</w:t>
      </w:r>
      <w:r w:rsidRPr="001A3179">
        <w:rPr>
          <w:lang w:val="fr-FR"/>
        </w:rPr>
        <w:t>autres ministères, le Ministère du travail et des affaires sociales est en train d</w:t>
      </w:r>
      <w:r>
        <w:rPr>
          <w:lang w:val="fr-FR"/>
        </w:rPr>
        <w:t>’</w:t>
      </w:r>
      <w:r w:rsidRPr="001A3179">
        <w:rPr>
          <w:lang w:val="fr-FR"/>
        </w:rPr>
        <w:t>élaborer une résolution sur le Programme national de prévention de la violence familiale et de la violence à l</w:t>
      </w:r>
      <w:r>
        <w:rPr>
          <w:lang w:val="fr-FR"/>
        </w:rPr>
        <w:t>’</w:t>
      </w:r>
      <w:r w:rsidRPr="001A3179">
        <w:rPr>
          <w:lang w:val="fr-FR"/>
        </w:rPr>
        <w:t>égard des femmes 2019-2024. Il a été constitué un groupe de travail interministériel. Le Conseil de l</w:t>
      </w:r>
      <w:r>
        <w:rPr>
          <w:lang w:val="fr-FR"/>
        </w:rPr>
        <w:t>’</w:t>
      </w:r>
      <w:r w:rsidRPr="001A3179">
        <w:rPr>
          <w:lang w:val="fr-FR"/>
        </w:rPr>
        <w:t>Europe participe à la rédaction de cette résolution en fournissant des avis stratégiques. La résolution prévoira des actions de sensibilisation et de formation en direction de toutes les personnes amenées dans leur travail à traiter de questions en lien avec la violence familiale et la violence à l</w:t>
      </w:r>
      <w:r>
        <w:rPr>
          <w:lang w:val="fr-FR"/>
        </w:rPr>
        <w:t>’</w:t>
      </w:r>
      <w:r w:rsidRPr="001A3179">
        <w:rPr>
          <w:lang w:val="fr-FR"/>
        </w:rPr>
        <w:t>égard des femmes.</w:t>
      </w:r>
    </w:p>
    <w:p w14:paraId="342A7812" w14:textId="77777777" w:rsidR="002A5EB2" w:rsidRPr="001A3179" w:rsidRDefault="002A5EB2" w:rsidP="002A5EB2">
      <w:pPr>
        <w:pStyle w:val="SingleTxtG"/>
        <w:rPr>
          <w:lang w:val="fr-FR"/>
        </w:rPr>
      </w:pPr>
      <w:r w:rsidRPr="001A3179">
        <w:rPr>
          <w:lang w:val="fr-FR"/>
        </w:rPr>
        <w:t>100.</w:t>
      </w:r>
      <w:r w:rsidRPr="001A3179">
        <w:rPr>
          <w:lang w:val="fr-FR"/>
        </w:rPr>
        <w:tab/>
        <w:t>Le Ministère du travail et des affaires sociales finance chaque année la formation des agents des centres d</w:t>
      </w:r>
      <w:r>
        <w:rPr>
          <w:lang w:val="fr-FR"/>
        </w:rPr>
        <w:t>’</w:t>
      </w:r>
      <w:r w:rsidRPr="001A3179">
        <w:rPr>
          <w:lang w:val="fr-FR"/>
        </w:rPr>
        <w:t>action sociale à la prévention de la violence familiale. Un séminaire sur le travail avec les enfants et les adolescents à risque (</w:t>
      </w:r>
      <w:proofErr w:type="spellStart"/>
      <w:r w:rsidRPr="001A3179">
        <w:rPr>
          <w:i/>
          <w:iCs/>
          <w:lang w:val="fr-FR"/>
        </w:rPr>
        <w:t>Delo</w:t>
      </w:r>
      <w:proofErr w:type="spellEnd"/>
      <w:r w:rsidRPr="001A3179">
        <w:rPr>
          <w:i/>
          <w:iCs/>
          <w:lang w:val="fr-FR"/>
        </w:rPr>
        <w:t xml:space="preserve"> z </w:t>
      </w:r>
      <w:proofErr w:type="spellStart"/>
      <w:r w:rsidRPr="001A3179">
        <w:rPr>
          <w:i/>
          <w:iCs/>
          <w:lang w:val="fr-FR"/>
        </w:rPr>
        <w:t>ogroženimi</w:t>
      </w:r>
      <w:proofErr w:type="spellEnd"/>
      <w:r w:rsidRPr="001A3179">
        <w:rPr>
          <w:i/>
          <w:iCs/>
          <w:lang w:val="fr-FR"/>
        </w:rPr>
        <w:t xml:space="preserve"> </w:t>
      </w:r>
      <w:proofErr w:type="spellStart"/>
      <w:r w:rsidRPr="001A3179">
        <w:rPr>
          <w:i/>
          <w:iCs/>
          <w:lang w:val="fr-FR"/>
        </w:rPr>
        <w:t>otroki</w:t>
      </w:r>
      <w:proofErr w:type="spellEnd"/>
      <w:r w:rsidRPr="001A3179">
        <w:rPr>
          <w:i/>
          <w:iCs/>
          <w:lang w:val="fr-FR"/>
        </w:rPr>
        <w:t xml:space="preserve"> in </w:t>
      </w:r>
      <w:proofErr w:type="spellStart"/>
      <w:r w:rsidRPr="001A3179">
        <w:rPr>
          <w:i/>
          <w:iCs/>
          <w:lang w:val="fr-FR"/>
        </w:rPr>
        <w:t>mladostniki</w:t>
      </w:r>
      <w:proofErr w:type="spellEnd"/>
      <w:r w:rsidRPr="001A3179">
        <w:rPr>
          <w:lang w:val="fr-FR"/>
        </w:rPr>
        <w:t>), axé sur la lutte contre les abus sexuels sur enfant, a été organisé en 2017 pour les agents de ces centres qui travaillent directement avec des enfants ou des adolescents.</w:t>
      </w:r>
    </w:p>
    <w:p w14:paraId="5C4D225B" w14:textId="77777777" w:rsidR="002A5EB2" w:rsidRPr="001A3179" w:rsidRDefault="002A5EB2" w:rsidP="002A5EB2">
      <w:pPr>
        <w:pStyle w:val="SingleTxtG"/>
        <w:rPr>
          <w:lang w:val="fr-FR"/>
        </w:rPr>
      </w:pPr>
      <w:r w:rsidRPr="001A3179">
        <w:rPr>
          <w:lang w:val="fr-FR"/>
        </w:rPr>
        <w:t>101.</w:t>
      </w:r>
      <w:r w:rsidRPr="001A3179">
        <w:rPr>
          <w:lang w:val="fr-FR"/>
        </w:rPr>
        <w:tab/>
        <w:t>Le Ministère du travail et des affaires sociales a conçu divers campagnes et matériels éducatifs et informatifs en vue de sensibiliser au problème de la violence familiale.</w:t>
      </w:r>
    </w:p>
    <w:p w14:paraId="162BD268" w14:textId="77777777" w:rsidR="002A5EB2" w:rsidRPr="001A3179" w:rsidRDefault="002A5EB2" w:rsidP="002A5EB2">
      <w:pPr>
        <w:pStyle w:val="SingleTxtG"/>
        <w:rPr>
          <w:lang w:val="fr-FR"/>
        </w:rPr>
      </w:pPr>
      <w:r w:rsidRPr="001A3179">
        <w:rPr>
          <w:lang w:val="fr-FR"/>
        </w:rPr>
        <w:t>102.</w:t>
      </w:r>
      <w:r w:rsidRPr="001A3179">
        <w:rPr>
          <w:lang w:val="fr-FR"/>
        </w:rPr>
        <w:tab/>
        <w:t>À l</w:t>
      </w:r>
      <w:r>
        <w:rPr>
          <w:lang w:val="fr-FR"/>
        </w:rPr>
        <w:t>’a</w:t>
      </w:r>
      <w:r w:rsidRPr="001A3179">
        <w:rPr>
          <w:lang w:val="fr-FR"/>
        </w:rPr>
        <w:t>nnexe 3 (point</w:t>
      </w:r>
      <w:r w:rsidR="001622BE">
        <w:rPr>
          <w:lang w:val="fr-FR"/>
        </w:rPr>
        <w:t> </w:t>
      </w:r>
      <w:r w:rsidRPr="001A3179">
        <w:rPr>
          <w:lang w:val="fr-FR"/>
        </w:rPr>
        <w:t>1) figure la liste des campagnes menées par le Ministère du travail et des affaires sociales.</w:t>
      </w:r>
    </w:p>
    <w:p w14:paraId="2A338EFD" w14:textId="77777777" w:rsidR="002A5EB2" w:rsidRPr="001A3179" w:rsidRDefault="002A5EB2" w:rsidP="002A5EB2">
      <w:pPr>
        <w:pStyle w:val="SingleTxtG"/>
        <w:rPr>
          <w:lang w:val="fr-FR"/>
        </w:rPr>
      </w:pPr>
      <w:r w:rsidRPr="001A3179">
        <w:rPr>
          <w:lang w:val="fr-FR"/>
        </w:rPr>
        <w:lastRenderedPageBreak/>
        <w:t>103.</w:t>
      </w:r>
      <w:r w:rsidRPr="001A3179">
        <w:rPr>
          <w:lang w:val="fr-FR"/>
        </w:rPr>
        <w:tab/>
        <w:t>La police met en œuvre un projet de formation à la lutte contre la violence familiale à l</w:t>
      </w:r>
      <w:r>
        <w:rPr>
          <w:lang w:val="fr-FR"/>
        </w:rPr>
        <w:t>’</w:t>
      </w:r>
      <w:r w:rsidRPr="001A3179">
        <w:rPr>
          <w:lang w:val="fr-FR"/>
        </w:rPr>
        <w:t>intention d</w:t>
      </w:r>
      <w:r>
        <w:rPr>
          <w:lang w:val="fr-FR"/>
        </w:rPr>
        <w:t>’</w:t>
      </w:r>
      <w:r w:rsidRPr="001A3179">
        <w:rPr>
          <w:lang w:val="fr-FR"/>
        </w:rPr>
        <w:t>agents de police et d</w:t>
      </w:r>
      <w:r>
        <w:rPr>
          <w:lang w:val="fr-FR"/>
        </w:rPr>
        <w:t>’</w:t>
      </w:r>
      <w:r w:rsidRPr="001A3179">
        <w:rPr>
          <w:lang w:val="fr-FR"/>
        </w:rPr>
        <w:t>enquêteurs criminels appelés à former leurs collègues. Couvrant tout le pays, ce projet vise à former des agents de police, des enquêteurs criminels et des hauts fonctionnaires de police en vue de leur apprendre comment mieux traiter les affaires de violence familiale et sensibiliser la population aux procédures policières y</w:t>
      </w:r>
      <w:r w:rsidR="001622BE">
        <w:rPr>
          <w:lang w:val="fr-FR"/>
        </w:rPr>
        <w:t> </w:t>
      </w:r>
      <w:r w:rsidRPr="001A3179">
        <w:rPr>
          <w:lang w:val="fr-FR"/>
        </w:rPr>
        <w:t>relatives. Le projet principal est mis en œuvre par des agents de police et des enquêteurs criminels (ayant suivi un cours sur la formation par les pairs) très qualifiés qui possèdent une grande expérience opérationnelle et connaissent en détail et en profondeur les procédures policières et la dynamique de la violence familiale ; ils ma</w:t>
      </w:r>
      <w:r w:rsidR="001622BE">
        <w:rPr>
          <w:lang w:val="fr-FR"/>
        </w:rPr>
        <w:t>î</w:t>
      </w:r>
      <w:r w:rsidRPr="001A3179">
        <w:rPr>
          <w:lang w:val="fr-FR"/>
        </w:rPr>
        <w:t xml:space="preserve">trisent aussi en profondeur le fonctionnement des institutions gouvernementales et des ONG et sont capables de transférer leurs connaissances à leurs collègues et </w:t>
      </w:r>
      <w:r>
        <w:rPr>
          <w:lang w:val="fr-FR"/>
        </w:rPr>
        <w:t>de</w:t>
      </w:r>
      <w:r w:rsidRPr="001A3179">
        <w:rPr>
          <w:lang w:val="fr-FR"/>
        </w:rPr>
        <w:t xml:space="preserve"> les motiver. Outre l</w:t>
      </w:r>
      <w:r>
        <w:rPr>
          <w:lang w:val="fr-FR"/>
        </w:rPr>
        <w:t>’</w:t>
      </w:r>
      <w:r w:rsidRPr="001A3179">
        <w:rPr>
          <w:lang w:val="fr-FR"/>
        </w:rPr>
        <w:t>exercice de leurs fonctions habituelles, ils sont désireux de former des collègues moins expérimentés pour les aider à améliorer leur aptitude à traiter les affaires de violence familiale.</w:t>
      </w:r>
    </w:p>
    <w:p w14:paraId="17014406" w14:textId="77777777" w:rsidR="002A5EB2" w:rsidRPr="001A3179" w:rsidRDefault="002A5EB2" w:rsidP="002A5EB2">
      <w:pPr>
        <w:pStyle w:val="SingleTxtG"/>
        <w:rPr>
          <w:lang w:val="fr-FR"/>
        </w:rPr>
      </w:pPr>
      <w:r w:rsidRPr="001A3179">
        <w:rPr>
          <w:lang w:val="fr-FR"/>
        </w:rPr>
        <w:t>104.</w:t>
      </w:r>
      <w:r w:rsidRPr="001A3179">
        <w:rPr>
          <w:lang w:val="fr-FR"/>
        </w:rPr>
        <w:tab/>
        <w:t>Des directions de la police et des commissariats de police chargent certains de leurs agents de police et enquêteurs criminels de mener des actions de prévention (sous forme par exemple de conférences et d</w:t>
      </w:r>
      <w:r>
        <w:rPr>
          <w:lang w:val="fr-FR"/>
        </w:rPr>
        <w:t>’</w:t>
      </w:r>
      <w:r w:rsidRPr="001A3179">
        <w:rPr>
          <w:lang w:val="fr-FR"/>
        </w:rPr>
        <w:t>ateliers) auprès des enfants, des adolescents et de leurs parents dans les établissements d</w:t>
      </w:r>
      <w:r>
        <w:rPr>
          <w:lang w:val="fr-FR"/>
        </w:rPr>
        <w:t>’</w:t>
      </w:r>
      <w:r w:rsidRPr="001A3179">
        <w:rPr>
          <w:lang w:val="fr-FR"/>
        </w:rPr>
        <w:t>enseignement, ainsi que de participer à la formation d</w:t>
      </w:r>
      <w:r>
        <w:rPr>
          <w:lang w:val="fr-FR"/>
        </w:rPr>
        <w:t>’</w:t>
      </w:r>
      <w:r w:rsidRPr="001A3179">
        <w:rPr>
          <w:lang w:val="fr-FR"/>
        </w:rPr>
        <w:t>agents d</w:t>
      </w:r>
      <w:r>
        <w:rPr>
          <w:lang w:val="fr-FR"/>
        </w:rPr>
        <w:t>’</w:t>
      </w:r>
      <w:r w:rsidRPr="001A3179">
        <w:rPr>
          <w:lang w:val="fr-FR"/>
        </w:rPr>
        <w:t>institutions publiques (dont ceux des centres d</w:t>
      </w:r>
      <w:r>
        <w:rPr>
          <w:lang w:val="fr-FR"/>
        </w:rPr>
        <w:t>’</w:t>
      </w:r>
      <w:r w:rsidRPr="001A3179">
        <w:rPr>
          <w:lang w:val="fr-FR"/>
        </w:rPr>
        <w:t>action sociale travaillant avec les enfants et les adolescents) et d</w:t>
      </w:r>
      <w:r>
        <w:rPr>
          <w:lang w:val="fr-FR"/>
        </w:rPr>
        <w:t>’</w:t>
      </w:r>
      <w:r w:rsidRPr="001A3179">
        <w:rPr>
          <w:lang w:val="fr-FR"/>
        </w:rPr>
        <w:t>experts du secteur non gouvernemental (en assurant par exemple la formation d</w:t>
      </w:r>
      <w:r>
        <w:rPr>
          <w:lang w:val="fr-FR"/>
        </w:rPr>
        <w:t>’</w:t>
      </w:r>
      <w:r w:rsidRPr="001A3179">
        <w:rPr>
          <w:lang w:val="fr-FR"/>
        </w:rPr>
        <w:t>agents de l</w:t>
      </w:r>
      <w:r>
        <w:rPr>
          <w:lang w:val="fr-FR"/>
        </w:rPr>
        <w:t>’</w:t>
      </w:r>
      <w:r w:rsidRPr="001A3179">
        <w:rPr>
          <w:lang w:val="fr-FR"/>
        </w:rPr>
        <w:t xml:space="preserve">Association SOS </w:t>
      </w:r>
      <w:proofErr w:type="spellStart"/>
      <w:r w:rsidRPr="001A3179">
        <w:rPr>
          <w:lang w:val="fr-FR"/>
        </w:rPr>
        <w:t>Helpline</w:t>
      </w:r>
      <w:proofErr w:type="spellEnd"/>
      <w:r w:rsidRPr="001A3179">
        <w:rPr>
          <w:lang w:val="fr-FR"/>
        </w:rPr>
        <w:t xml:space="preserve"> et en prenant part à ses consultations). La police sensibilise en permanence la population au problème de la violence envers les femmes, les enfants et d</w:t>
      </w:r>
      <w:r>
        <w:rPr>
          <w:lang w:val="fr-FR"/>
        </w:rPr>
        <w:t>’</w:t>
      </w:r>
      <w:r w:rsidRPr="001A3179">
        <w:rPr>
          <w:lang w:val="fr-FR"/>
        </w:rPr>
        <w:t>autres groupes vulnérables ; elle intensifie son action d</w:t>
      </w:r>
      <w:r>
        <w:rPr>
          <w:lang w:val="fr-FR"/>
        </w:rPr>
        <w:t>’</w:t>
      </w:r>
      <w:r w:rsidRPr="001A3179">
        <w:rPr>
          <w:lang w:val="fr-FR"/>
        </w:rPr>
        <w:t>information et de prévention à l</w:t>
      </w:r>
      <w:r>
        <w:rPr>
          <w:lang w:val="fr-FR"/>
        </w:rPr>
        <w:t>’</w:t>
      </w:r>
      <w:r w:rsidRPr="001A3179">
        <w:rPr>
          <w:lang w:val="fr-FR"/>
        </w:rPr>
        <w:t>occasion de la célébration des journées internationales d</w:t>
      </w:r>
      <w:r>
        <w:rPr>
          <w:lang w:val="fr-FR"/>
        </w:rPr>
        <w:t>’</w:t>
      </w:r>
      <w:r w:rsidRPr="001A3179">
        <w:rPr>
          <w:lang w:val="fr-FR"/>
        </w:rPr>
        <w:t>action pour l</w:t>
      </w:r>
      <w:r>
        <w:rPr>
          <w:lang w:val="fr-FR"/>
        </w:rPr>
        <w:t>’</w:t>
      </w:r>
      <w:r w:rsidRPr="001A3179">
        <w:rPr>
          <w:lang w:val="fr-FR"/>
        </w:rPr>
        <w:t>élimination de la violence (fin novembre-début décembre).</w:t>
      </w:r>
    </w:p>
    <w:p w14:paraId="269B51EE" w14:textId="77777777" w:rsidR="002A5EB2" w:rsidRPr="001A3179" w:rsidRDefault="002A5EB2" w:rsidP="002A5EB2">
      <w:pPr>
        <w:pStyle w:val="SingleTxtG"/>
        <w:rPr>
          <w:lang w:val="fr-FR"/>
        </w:rPr>
      </w:pPr>
      <w:r w:rsidRPr="001A3179">
        <w:rPr>
          <w:lang w:val="fr-FR"/>
        </w:rPr>
        <w:t>105.</w:t>
      </w:r>
      <w:r w:rsidRPr="001A3179">
        <w:rPr>
          <w:lang w:val="fr-FR"/>
        </w:rPr>
        <w:tab/>
        <w:t xml:space="preserve">Sur son site </w:t>
      </w:r>
      <w:r w:rsidR="001622BE">
        <w:rPr>
          <w:lang w:val="fr-FR"/>
        </w:rPr>
        <w:t>W</w:t>
      </w:r>
      <w:r w:rsidRPr="001A3179">
        <w:rPr>
          <w:lang w:val="fr-FR"/>
        </w:rPr>
        <w:t>eb (Policija.si), la police publie, en slovène et en anglais, des informations sur la violence familiale, qui exposent notamment à la population la nature de cette violence, les procédures policières applicables dans les affaires de violence familiale et les dispositions que les victimes peuvent prendre par elles-mêmes.</w:t>
      </w:r>
    </w:p>
    <w:p w14:paraId="2FA2D055" w14:textId="77777777" w:rsidR="002A5EB2" w:rsidRPr="001A3179" w:rsidRDefault="002A5EB2" w:rsidP="002A5EB2">
      <w:pPr>
        <w:pStyle w:val="SingleTxtG"/>
        <w:rPr>
          <w:lang w:val="fr-FR"/>
        </w:rPr>
      </w:pPr>
      <w:r w:rsidRPr="001A3179">
        <w:rPr>
          <w:lang w:val="fr-FR"/>
        </w:rPr>
        <w:t>106.</w:t>
      </w:r>
      <w:r w:rsidRPr="001A3179">
        <w:rPr>
          <w:lang w:val="fr-FR"/>
        </w:rPr>
        <w:tab/>
        <w:t>Le Centre de formation judiciaire organise et mène divers types de formation continue pour les juges, les procureurs, les avocats, les conseillers judiciaires, les assistants judiciaires, le personnel des tribunaux et les autres agents des autorités judiciaires.</w:t>
      </w:r>
    </w:p>
    <w:p w14:paraId="141F218D" w14:textId="77777777" w:rsidR="002A5EB2" w:rsidRPr="001A3179" w:rsidRDefault="002A5EB2" w:rsidP="002A5EB2">
      <w:pPr>
        <w:pStyle w:val="SingleTxtG"/>
        <w:rPr>
          <w:lang w:val="fr-FR"/>
        </w:rPr>
      </w:pPr>
      <w:r w:rsidRPr="001A3179">
        <w:rPr>
          <w:lang w:val="fr-FR"/>
        </w:rPr>
        <w:t>107.</w:t>
      </w:r>
      <w:r w:rsidRPr="001A3179">
        <w:rPr>
          <w:lang w:val="fr-FR"/>
        </w:rPr>
        <w:tab/>
      </w:r>
      <w:bookmarkStart w:id="23" w:name="_Hlk21427244"/>
      <w:r w:rsidRPr="001A3179">
        <w:rPr>
          <w:lang w:val="fr-FR"/>
        </w:rPr>
        <w:t>La formation est dispensée dans le cadre de séminaires, de conférences, d</w:t>
      </w:r>
      <w:r>
        <w:rPr>
          <w:lang w:val="fr-FR"/>
        </w:rPr>
        <w:t>’</w:t>
      </w:r>
      <w:r w:rsidRPr="001A3179">
        <w:rPr>
          <w:lang w:val="fr-FR"/>
        </w:rPr>
        <w:t>ateliers, d</w:t>
      </w:r>
      <w:r>
        <w:rPr>
          <w:lang w:val="fr-FR"/>
        </w:rPr>
        <w:t>’</w:t>
      </w:r>
      <w:r w:rsidRPr="001A3179">
        <w:rPr>
          <w:lang w:val="fr-FR"/>
        </w:rPr>
        <w:t>écoles pour les juges, les procureurs et les avocats de l</w:t>
      </w:r>
      <w:r>
        <w:rPr>
          <w:lang w:val="fr-FR"/>
        </w:rPr>
        <w:t>’</w:t>
      </w:r>
      <w:r w:rsidRPr="001A3179">
        <w:rPr>
          <w:lang w:val="fr-FR"/>
        </w:rPr>
        <w:t>État, de tables rondes et réunions</w:t>
      </w:r>
      <w:r w:rsidR="001622BE">
        <w:rPr>
          <w:lang w:val="fr-FR"/>
        </w:rPr>
        <w:noBreakHyphen/>
      </w:r>
      <w:r w:rsidRPr="001A3179">
        <w:rPr>
          <w:lang w:val="fr-FR"/>
        </w:rPr>
        <w:t>débats, de consultations, d</w:t>
      </w:r>
      <w:r>
        <w:rPr>
          <w:lang w:val="fr-FR"/>
        </w:rPr>
        <w:t>’</w:t>
      </w:r>
      <w:r w:rsidRPr="001A3179">
        <w:rPr>
          <w:lang w:val="fr-FR"/>
        </w:rPr>
        <w:t>audiences principales fictives et sous d</w:t>
      </w:r>
      <w:r>
        <w:rPr>
          <w:lang w:val="fr-FR"/>
        </w:rPr>
        <w:t>’</w:t>
      </w:r>
      <w:r w:rsidRPr="001A3179">
        <w:rPr>
          <w:lang w:val="fr-FR"/>
        </w:rPr>
        <w:t>autres formes appropriées.</w:t>
      </w:r>
    </w:p>
    <w:p w14:paraId="0956DB71" w14:textId="77777777" w:rsidR="002A5EB2" w:rsidRPr="001A3179" w:rsidRDefault="002A5EB2" w:rsidP="002A5EB2">
      <w:pPr>
        <w:pStyle w:val="SingleTxtG"/>
        <w:rPr>
          <w:lang w:val="fr-FR"/>
        </w:rPr>
      </w:pPr>
      <w:r w:rsidRPr="001A3179">
        <w:rPr>
          <w:lang w:val="fr-FR"/>
        </w:rPr>
        <w:t>108.</w:t>
      </w:r>
      <w:r w:rsidRPr="001A3179">
        <w:rPr>
          <w:lang w:val="fr-FR"/>
        </w:rPr>
        <w:tab/>
        <w:t>À l</w:t>
      </w:r>
      <w:r>
        <w:rPr>
          <w:lang w:val="fr-FR"/>
        </w:rPr>
        <w:t>’a</w:t>
      </w:r>
      <w:r w:rsidRPr="001A3179">
        <w:rPr>
          <w:lang w:val="fr-FR"/>
        </w:rPr>
        <w:t>nnexe 3 (point</w:t>
      </w:r>
      <w:r w:rsidR="001622BE">
        <w:rPr>
          <w:lang w:val="fr-FR"/>
        </w:rPr>
        <w:t> </w:t>
      </w:r>
      <w:r w:rsidRPr="001A3179">
        <w:rPr>
          <w:lang w:val="fr-FR"/>
        </w:rPr>
        <w:t>2) figurent des informations sur les sessions de formation tenues par le Centre de formation judiciaire.</w:t>
      </w:r>
    </w:p>
    <w:bookmarkEnd w:id="23"/>
    <w:p w14:paraId="642D40E3" w14:textId="77777777" w:rsidR="002A5EB2" w:rsidRPr="001A3179" w:rsidRDefault="002A5EB2" w:rsidP="00F11C00">
      <w:pPr>
        <w:pStyle w:val="H23G"/>
        <w:rPr>
          <w:lang w:val="fr-FR"/>
        </w:rPr>
      </w:pPr>
      <w:r w:rsidRPr="001A3179">
        <w:rPr>
          <w:lang w:val="fr-FR"/>
        </w:rPr>
        <w:tab/>
      </w:r>
      <w:r w:rsidRPr="001A3179">
        <w:rPr>
          <w:lang w:val="fr-FR"/>
        </w:rPr>
        <w:tab/>
        <w:t>Réponse au paragraphe 13 de la liste des points à traiter</w:t>
      </w:r>
    </w:p>
    <w:p w14:paraId="371F1F34" w14:textId="77777777" w:rsidR="002A5EB2" w:rsidRPr="001A3179" w:rsidRDefault="002A5EB2" w:rsidP="002A5EB2">
      <w:pPr>
        <w:pStyle w:val="SingleTxtG"/>
        <w:rPr>
          <w:lang w:val="fr-FR"/>
        </w:rPr>
      </w:pPr>
      <w:r w:rsidRPr="001A3179">
        <w:rPr>
          <w:lang w:val="fr-FR"/>
        </w:rPr>
        <w:t>109.</w:t>
      </w:r>
      <w:r w:rsidRPr="001A3179">
        <w:rPr>
          <w:lang w:val="fr-FR"/>
        </w:rPr>
        <w:tab/>
      </w:r>
      <w:bookmarkStart w:id="24" w:name="_Hlk21432821"/>
      <w:r w:rsidRPr="001A3179">
        <w:rPr>
          <w:lang w:val="fr-FR"/>
        </w:rPr>
        <w:t>La formation permanente des agents des autorités publiques engagées dans la lutte contre la traite des êtres humains se déroule sur la base de plans d</w:t>
      </w:r>
      <w:r>
        <w:rPr>
          <w:lang w:val="fr-FR"/>
        </w:rPr>
        <w:t>’</w:t>
      </w:r>
      <w:r w:rsidRPr="001A3179">
        <w:rPr>
          <w:lang w:val="fr-FR"/>
        </w:rPr>
        <w:t>action biennaux édictés par le Gouvernement slovène.</w:t>
      </w:r>
    </w:p>
    <w:p w14:paraId="3FFCE675" w14:textId="77777777" w:rsidR="002A5EB2" w:rsidRPr="001A3179" w:rsidRDefault="002A5EB2" w:rsidP="002A5EB2">
      <w:pPr>
        <w:pStyle w:val="SingleTxtG"/>
        <w:rPr>
          <w:lang w:val="fr-FR"/>
        </w:rPr>
      </w:pPr>
      <w:r w:rsidRPr="001A3179">
        <w:rPr>
          <w:lang w:val="fr-FR"/>
        </w:rPr>
        <w:t>110.</w:t>
      </w:r>
      <w:r w:rsidRPr="001A3179">
        <w:rPr>
          <w:lang w:val="fr-FR"/>
        </w:rPr>
        <w:tab/>
        <w:t>La police s</w:t>
      </w:r>
      <w:r>
        <w:rPr>
          <w:lang w:val="fr-FR"/>
        </w:rPr>
        <w:t>’</w:t>
      </w:r>
      <w:r w:rsidRPr="001A3179">
        <w:rPr>
          <w:lang w:val="fr-FR"/>
        </w:rPr>
        <w:t>attache à dispenser régulièrement une formation spécialisée à tous les polic</w:t>
      </w:r>
      <w:r>
        <w:rPr>
          <w:lang w:val="fr-FR"/>
        </w:rPr>
        <w:t>iers</w:t>
      </w:r>
      <w:r w:rsidRPr="001A3179">
        <w:rPr>
          <w:lang w:val="fr-FR"/>
        </w:rPr>
        <w:t xml:space="preserve"> et enquêteurs criminels engagés dans la lutte contre la traite des êtres humains afin de renforcer leurs compétences professionnelles en la matière. Des activités de formation sont menées en coopération avec des ONG et les autorités judiciaires sur plusieurs fronts, par exemple la formation des enquêteurs et la formation des agents appelés à former leurs collègues </w:t>
      </w:r>
      <w:r w:rsidRPr="00BD60A7">
        <w:rPr>
          <w:lang w:val="fr-FR"/>
        </w:rPr>
        <w:t>sur la base d</w:t>
      </w:r>
      <w:r>
        <w:rPr>
          <w:lang w:val="fr-FR"/>
        </w:rPr>
        <w:t>’</w:t>
      </w:r>
      <w:r w:rsidRPr="00BD60A7">
        <w:rPr>
          <w:lang w:val="fr-FR"/>
        </w:rPr>
        <w:t xml:space="preserve">un programme agréé </w:t>
      </w:r>
      <w:r>
        <w:rPr>
          <w:lang w:val="fr-FR"/>
        </w:rPr>
        <w:t xml:space="preserve">par </w:t>
      </w:r>
      <w:r w:rsidRPr="00BD60A7">
        <w:rPr>
          <w:lang w:val="fr-FR"/>
        </w:rPr>
        <w:t>l</w:t>
      </w:r>
      <w:r>
        <w:rPr>
          <w:lang w:val="fr-FR"/>
        </w:rPr>
        <w:t>’</w:t>
      </w:r>
      <w:r w:rsidRPr="00BD60A7">
        <w:rPr>
          <w:lang w:val="fr-FR"/>
        </w:rPr>
        <w:t>Académie de police.</w:t>
      </w:r>
    </w:p>
    <w:p w14:paraId="6421E4CD" w14:textId="77777777" w:rsidR="002A5EB2" w:rsidRPr="001A3179" w:rsidRDefault="002A5EB2" w:rsidP="002A5EB2">
      <w:pPr>
        <w:pStyle w:val="SingleTxtG"/>
        <w:rPr>
          <w:lang w:val="fr-FR"/>
        </w:rPr>
      </w:pPr>
      <w:r w:rsidRPr="001A3179">
        <w:rPr>
          <w:lang w:val="fr-FR"/>
        </w:rPr>
        <w:t>111.</w:t>
      </w:r>
      <w:r w:rsidRPr="001A3179">
        <w:rPr>
          <w:lang w:val="fr-FR"/>
        </w:rPr>
        <w:tab/>
        <w:t>À l</w:t>
      </w:r>
      <w:r>
        <w:rPr>
          <w:lang w:val="fr-FR"/>
        </w:rPr>
        <w:t>’</w:t>
      </w:r>
      <w:r w:rsidRPr="001A3179">
        <w:rPr>
          <w:lang w:val="fr-FR"/>
        </w:rPr>
        <w:t>annexe 3 (point</w:t>
      </w:r>
      <w:r w:rsidR="001622BE">
        <w:rPr>
          <w:lang w:val="fr-FR"/>
        </w:rPr>
        <w:t> </w:t>
      </w:r>
      <w:r w:rsidRPr="001A3179">
        <w:rPr>
          <w:lang w:val="fr-FR"/>
        </w:rPr>
        <w:t>3) figure une liste détaillée des différentes formations dispensées dans le domaine de la lutte contre la traite des êtres humains.</w:t>
      </w:r>
    </w:p>
    <w:p w14:paraId="03538590" w14:textId="77777777" w:rsidR="002A5EB2" w:rsidRPr="001A3179" w:rsidRDefault="002A5EB2" w:rsidP="00F11C00">
      <w:pPr>
        <w:pStyle w:val="H1G"/>
        <w:rPr>
          <w:lang w:val="fr-FR"/>
        </w:rPr>
      </w:pPr>
      <w:bookmarkStart w:id="25" w:name="_Hlk8997735"/>
      <w:bookmarkEnd w:id="24"/>
      <w:r w:rsidRPr="001A3179">
        <w:rPr>
          <w:lang w:val="fr-FR"/>
        </w:rPr>
        <w:lastRenderedPageBreak/>
        <w:tab/>
      </w:r>
      <w:r w:rsidRPr="001A3179">
        <w:rPr>
          <w:lang w:val="fr-FR"/>
        </w:rPr>
        <w:tab/>
      </w:r>
      <w:r w:rsidRPr="00C43192">
        <w:rPr>
          <w:lang w:val="fr-FR"/>
        </w:rPr>
        <w:t>Article 11</w:t>
      </w:r>
    </w:p>
    <w:p w14:paraId="363786CE" w14:textId="77777777" w:rsidR="002A5EB2" w:rsidRPr="001A3179" w:rsidRDefault="002A5EB2" w:rsidP="00F11C00">
      <w:pPr>
        <w:pStyle w:val="H23G"/>
        <w:rPr>
          <w:lang w:val="fr-FR"/>
        </w:rPr>
      </w:pPr>
      <w:bookmarkStart w:id="26" w:name="_Hlk507501288"/>
      <w:bookmarkEnd w:id="25"/>
      <w:r w:rsidRPr="001A3179">
        <w:rPr>
          <w:lang w:val="fr-FR"/>
        </w:rPr>
        <w:tab/>
      </w:r>
      <w:r w:rsidRPr="001A3179">
        <w:rPr>
          <w:lang w:val="fr-FR"/>
        </w:rPr>
        <w:tab/>
        <w:t xml:space="preserve">Réponse au paragraphe 14 de la liste </w:t>
      </w:r>
      <w:bookmarkStart w:id="27" w:name="_Hlk38453478"/>
      <w:r w:rsidRPr="001A3179">
        <w:rPr>
          <w:lang w:val="fr-FR"/>
        </w:rPr>
        <w:t>des points à traiter</w:t>
      </w:r>
      <w:bookmarkEnd w:id="27"/>
    </w:p>
    <w:p w14:paraId="0B3B6E19" w14:textId="77777777" w:rsidR="002A5EB2" w:rsidRPr="001A3179" w:rsidRDefault="002A5EB2" w:rsidP="002A5EB2">
      <w:pPr>
        <w:pStyle w:val="SingleTxtG"/>
        <w:rPr>
          <w:lang w:val="fr-FR"/>
        </w:rPr>
      </w:pPr>
      <w:r w:rsidRPr="001A3179">
        <w:rPr>
          <w:lang w:val="fr-FR"/>
        </w:rPr>
        <w:t>112.</w:t>
      </w:r>
      <w:r w:rsidRPr="001A3179">
        <w:rPr>
          <w:lang w:val="fr-FR"/>
        </w:rPr>
        <w:tab/>
        <w:t>Le respect de l</w:t>
      </w:r>
      <w:r>
        <w:rPr>
          <w:lang w:val="fr-FR"/>
        </w:rPr>
        <w:t>’</w:t>
      </w:r>
      <w:r w:rsidRPr="001A3179">
        <w:rPr>
          <w:lang w:val="fr-FR"/>
        </w:rPr>
        <w:t>être humain et de sa dignité est garanti, sur la base de la Constitution slovène, dans les procédures pénales et toutes les autres procédures judiciaires, ainsi que tout au long de la privation de liberté et de l</w:t>
      </w:r>
      <w:r>
        <w:rPr>
          <w:lang w:val="fr-FR"/>
        </w:rPr>
        <w:t>’</w:t>
      </w:r>
      <w:r w:rsidRPr="001A3179">
        <w:rPr>
          <w:lang w:val="fr-FR"/>
        </w:rPr>
        <w:t>exécution des peines. Toute forme de violence envers une personne dont la liberté a été restreinte d</w:t>
      </w:r>
      <w:r>
        <w:rPr>
          <w:lang w:val="fr-FR"/>
        </w:rPr>
        <w:t>’</w:t>
      </w:r>
      <w:r w:rsidRPr="001A3179">
        <w:rPr>
          <w:lang w:val="fr-FR"/>
        </w:rPr>
        <w:t>une quelconque manière est interdite</w:t>
      </w:r>
      <w:r>
        <w:rPr>
          <w:lang w:val="fr-FR"/>
        </w:rPr>
        <w:t>.</w:t>
      </w:r>
      <w:r w:rsidRPr="001A3179">
        <w:rPr>
          <w:lang w:val="fr-FR"/>
        </w:rPr>
        <w:t xml:space="preserve"> Une personne ne peut en aucun cas être torturée ou soumise de toute autre manière à un traitement cruel, inhumain ou dégradant durant l</w:t>
      </w:r>
      <w:r>
        <w:rPr>
          <w:lang w:val="fr-FR"/>
        </w:rPr>
        <w:t>’</w:t>
      </w:r>
      <w:r w:rsidRPr="001A3179">
        <w:rPr>
          <w:lang w:val="fr-FR"/>
        </w:rPr>
        <w:t>exécution de la peine à laquelle elle a été condamnée. Si une personne a subi un tel traitement, elle doit bénéficier d</w:t>
      </w:r>
      <w:r>
        <w:rPr>
          <w:lang w:val="fr-FR"/>
        </w:rPr>
        <w:t>’</w:t>
      </w:r>
      <w:r w:rsidRPr="001A3179">
        <w:rPr>
          <w:lang w:val="fr-FR"/>
        </w:rPr>
        <w:t>une protection judiciaire (art</w:t>
      </w:r>
      <w:r w:rsidR="00663A39">
        <w:rPr>
          <w:lang w:val="fr-FR"/>
        </w:rPr>
        <w:t>. </w:t>
      </w:r>
      <w:r w:rsidRPr="001A3179">
        <w:rPr>
          <w:lang w:val="fr-FR"/>
        </w:rPr>
        <w:t>83 de la loi sur l</w:t>
      </w:r>
      <w:r>
        <w:rPr>
          <w:lang w:val="fr-FR"/>
        </w:rPr>
        <w:t xml:space="preserve">’exécution </w:t>
      </w:r>
      <w:r w:rsidRPr="001A3179">
        <w:rPr>
          <w:lang w:val="fr-FR"/>
        </w:rPr>
        <w:t>des sanctions pénales</w:t>
      </w:r>
      <w:r w:rsidRPr="0017324C">
        <w:rPr>
          <w:rStyle w:val="Appelnotedebasdep"/>
        </w:rPr>
        <w:footnoteReference w:id="28"/>
      </w:r>
      <w:r w:rsidRPr="001A3179">
        <w:rPr>
          <w:lang w:val="fr-FR"/>
        </w:rPr>
        <w:t>).</w:t>
      </w:r>
    </w:p>
    <w:p w14:paraId="01FB76B9" w14:textId="77777777" w:rsidR="002A5EB2" w:rsidRPr="001A3179" w:rsidRDefault="002A5EB2" w:rsidP="002A5EB2">
      <w:pPr>
        <w:pStyle w:val="SingleTxtG"/>
        <w:rPr>
          <w:lang w:val="fr-FR"/>
        </w:rPr>
      </w:pPr>
      <w:r w:rsidRPr="001A3179">
        <w:rPr>
          <w:lang w:val="fr-FR"/>
        </w:rPr>
        <w:t>113.</w:t>
      </w:r>
      <w:r w:rsidRPr="001A3179">
        <w:rPr>
          <w:lang w:val="fr-FR"/>
        </w:rPr>
        <w:tab/>
      </w:r>
      <w:bookmarkEnd w:id="26"/>
      <w:r w:rsidRPr="001A3179">
        <w:rPr>
          <w:lang w:val="fr-FR"/>
        </w:rPr>
        <w:t>Les personnes condamnées doivent être traitées avec humanité, l</w:t>
      </w:r>
      <w:r>
        <w:rPr>
          <w:lang w:val="fr-FR"/>
        </w:rPr>
        <w:t xml:space="preserve">eur </w:t>
      </w:r>
      <w:r w:rsidRPr="001A3179">
        <w:rPr>
          <w:lang w:val="fr-FR"/>
        </w:rPr>
        <w:t>dignité personnelle doit être respectée et leur intégrité physique et mentale être protégée. Elles doivent bénéficier de soins de santé adéquats et, avec leur consentement, suivre un traitement contre l</w:t>
      </w:r>
      <w:r>
        <w:rPr>
          <w:lang w:val="fr-FR"/>
        </w:rPr>
        <w:t>’</w:t>
      </w:r>
      <w:r w:rsidRPr="001A3179">
        <w:rPr>
          <w:lang w:val="fr-FR"/>
        </w:rPr>
        <w:t>alcoolisme ou la toxicomanie (par</w:t>
      </w:r>
      <w:r w:rsidR="00663A39">
        <w:rPr>
          <w:lang w:val="fr-FR"/>
        </w:rPr>
        <w:t>. </w:t>
      </w:r>
      <w:r w:rsidRPr="001A3179">
        <w:rPr>
          <w:lang w:val="fr-FR"/>
        </w:rPr>
        <w:t>4 de l</w:t>
      </w:r>
      <w:r>
        <w:rPr>
          <w:lang w:val="fr-FR"/>
        </w:rPr>
        <w:t>’</w:t>
      </w:r>
      <w:r w:rsidRPr="001A3179">
        <w:rPr>
          <w:lang w:val="fr-FR"/>
        </w:rPr>
        <w:t>article 85 du Code pénal modifié).</w:t>
      </w:r>
    </w:p>
    <w:p w14:paraId="27064F2E" w14:textId="77777777" w:rsidR="002A5EB2" w:rsidRPr="001A3179" w:rsidRDefault="002A5EB2" w:rsidP="002A5EB2">
      <w:pPr>
        <w:pStyle w:val="SingleTxtG"/>
        <w:rPr>
          <w:lang w:val="fr-FR"/>
        </w:rPr>
      </w:pPr>
      <w:r w:rsidRPr="001A3179">
        <w:rPr>
          <w:lang w:val="fr-FR"/>
        </w:rPr>
        <w:t>114.</w:t>
      </w:r>
      <w:r w:rsidRPr="001A3179">
        <w:rPr>
          <w:lang w:val="fr-FR"/>
        </w:rPr>
        <w:tab/>
        <w:t>Le 10 mars 2013, l</w:t>
      </w:r>
      <w:r>
        <w:rPr>
          <w:lang w:val="fr-FR"/>
        </w:rPr>
        <w:t>’</w:t>
      </w:r>
      <w:r w:rsidRPr="001A3179">
        <w:rPr>
          <w:lang w:val="fr-FR"/>
        </w:rPr>
        <w:t>Administration pénitentiaire a introduit le Code européen de déontologie pour le personnel pénitentiaire, adopté par la voie de la Recommandation CM/Rec(2012)5 du Comité des Ministres du Conseil de l</w:t>
      </w:r>
      <w:r>
        <w:rPr>
          <w:lang w:val="fr-FR"/>
        </w:rPr>
        <w:t>’</w:t>
      </w:r>
      <w:r w:rsidRPr="001A3179">
        <w:rPr>
          <w:lang w:val="fr-FR"/>
        </w:rPr>
        <w:t>Europe le 12</w:t>
      </w:r>
      <w:r w:rsidR="00663A39">
        <w:rPr>
          <w:lang w:val="fr-FR"/>
        </w:rPr>
        <w:t> </w:t>
      </w:r>
      <w:r w:rsidRPr="001A3179">
        <w:rPr>
          <w:lang w:val="fr-FR"/>
        </w:rPr>
        <w:t>avril 2012 à la 1</w:t>
      </w:r>
      <w:r w:rsidR="00663A39">
        <w:rPr>
          <w:lang w:val="fr-FR"/>
        </w:rPr>
        <w:t> </w:t>
      </w:r>
      <w:r w:rsidRPr="001A3179">
        <w:rPr>
          <w:lang w:val="fr-FR"/>
        </w:rPr>
        <w:t>140</w:t>
      </w:r>
      <w:r w:rsidRPr="001A3179">
        <w:rPr>
          <w:vertAlign w:val="superscript"/>
          <w:lang w:val="fr-FR"/>
        </w:rPr>
        <w:t>e</w:t>
      </w:r>
      <w:r w:rsidR="00663A39">
        <w:rPr>
          <w:lang w:val="fr-FR"/>
        </w:rPr>
        <w:t> </w:t>
      </w:r>
      <w:r w:rsidRPr="001A3179">
        <w:rPr>
          <w:lang w:val="fr-FR"/>
        </w:rPr>
        <w:t>réunion des Délégués des Ministres. Traduit en slovène, le Code fait partie intégrante du cours de formation que les nouveaux agents pénitentiaires suivent à leur intégration. Une place est aussi faite au Code dans les procédures de sélection et de recrutement d</w:t>
      </w:r>
      <w:r>
        <w:rPr>
          <w:lang w:val="fr-FR"/>
        </w:rPr>
        <w:t>’</w:t>
      </w:r>
      <w:r w:rsidRPr="001A3179">
        <w:rPr>
          <w:lang w:val="fr-FR"/>
        </w:rPr>
        <w:t>agents pour le système pénitentiaire.</w:t>
      </w:r>
    </w:p>
    <w:p w14:paraId="3818657D" w14:textId="77777777" w:rsidR="002A5EB2" w:rsidRPr="001A3179" w:rsidRDefault="002A5EB2" w:rsidP="002A5EB2">
      <w:pPr>
        <w:pStyle w:val="SingleTxtG"/>
        <w:rPr>
          <w:lang w:val="fr-FR"/>
        </w:rPr>
      </w:pPr>
      <w:r w:rsidRPr="001A3179">
        <w:rPr>
          <w:lang w:val="fr-FR"/>
        </w:rPr>
        <w:t>115.</w:t>
      </w:r>
      <w:r w:rsidRPr="001A3179">
        <w:rPr>
          <w:lang w:val="fr-FR"/>
        </w:rPr>
        <w:tab/>
        <w:t>Les autorités slovènes ont publié le Manuel sur les méthodes d</w:t>
      </w:r>
      <w:r>
        <w:rPr>
          <w:lang w:val="fr-FR"/>
        </w:rPr>
        <w:t>’</w:t>
      </w:r>
      <w:r w:rsidRPr="001A3179">
        <w:rPr>
          <w:lang w:val="fr-FR"/>
        </w:rPr>
        <w:t>interrogatoire de la police (231-94/2010/11 (22-06) du 27 janvier 2012), auquel plusieurs cours de formation à l</w:t>
      </w:r>
      <w:r>
        <w:rPr>
          <w:lang w:val="fr-FR"/>
        </w:rPr>
        <w:t>’</w:t>
      </w:r>
      <w:r w:rsidRPr="001A3179">
        <w:rPr>
          <w:lang w:val="fr-FR"/>
        </w:rPr>
        <w:t>intention des polic</w:t>
      </w:r>
      <w:r>
        <w:rPr>
          <w:lang w:val="fr-FR"/>
        </w:rPr>
        <w:t>iers</w:t>
      </w:r>
      <w:r w:rsidRPr="001A3179">
        <w:rPr>
          <w:lang w:val="fr-FR"/>
        </w:rPr>
        <w:t xml:space="preserve"> ont été consacrés.</w:t>
      </w:r>
    </w:p>
    <w:p w14:paraId="1AFA4BB9" w14:textId="77777777" w:rsidR="002A5EB2" w:rsidRPr="001A3179" w:rsidRDefault="002A5EB2" w:rsidP="002A5EB2">
      <w:pPr>
        <w:pStyle w:val="SingleTxtG"/>
        <w:rPr>
          <w:lang w:val="fr-FR"/>
        </w:rPr>
      </w:pPr>
      <w:r w:rsidRPr="001A3179">
        <w:rPr>
          <w:lang w:val="fr-FR"/>
        </w:rPr>
        <w:t>116.</w:t>
      </w:r>
      <w:r w:rsidRPr="001A3179">
        <w:rPr>
          <w:lang w:val="fr-FR"/>
        </w:rPr>
        <w:tab/>
        <w:t xml:space="preserve">La </w:t>
      </w:r>
      <w:r>
        <w:rPr>
          <w:lang w:val="fr-FR"/>
        </w:rPr>
        <w:t>n</w:t>
      </w:r>
      <w:r w:rsidRPr="001A3179">
        <w:rPr>
          <w:lang w:val="fr-FR"/>
        </w:rPr>
        <w:t>otification modifiant les formulaires relatifs à l</w:t>
      </w:r>
      <w:r>
        <w:rPr>
          <w:lang w:val="fr-FR"/>
        </w:rPr>
        <w:t>’</w:t>
      </w:r>
      <w:r w:rsidRPr="001A3179">
        <w:rPr>
          <w:lang w:val="fr-FR"/>
        </w:rPr>
        <w:t>exercice des fonctions durant la</w:t>
      </w:r>
      <w:r w:rsidR="00663A39">
        <w:rPr>
          <w:lang w:val="fr-FR"/>
        </w:rPr>
        <w:t> </w:t>
      </w:r>
      <w:r w:rsidRPr="001A3179">
        <w:rPr>
          <w:lang w:val="fr-FR"/>
        </w:rPr>
        <w:t xml:space="preserve">détention/la garde à vue </w:t>
      </w:r>
      <w:r w:rsidR="00663A39">
        <w:rPr>
          <w:lang w:val="fr-FR"/>
        </w:rPr>
        <w:t>− </w:t>
      </w:r>
      <w:r w:rsidRPr="001A3179">
        <w:rPr>
          <w:lang w:val="fr-FR"/>
        </w:rPr>
        <w:t xml:space="preserve">et </w:t>
      </w:r>
      <w:r>
        <w:rPr>
          <w:lang w:val="fr-FR"/>
        </w:rPr>
        <w:t>n</w:t>
      </w:r>
      <w:r w:rsidRPr="001A3179">
        <w:rPr>
          <w:lang w:val="fr-FR"/>
        </w:rPr>
        <w:t xml:space="preserve">ote officielle concernant le </w:t>
      </w:r>
      <w:proofErr w:type="spellStart"/>
      <w:r w:rsidRPr="001A3179">
        <w:rPr>
          <w:lang w:val="fr-FR"/>
        </w:rPr>
        <w:t>défèrement</w:t>
      </w:r>
      <w:proofErr w:type="spellEnd"/>
      <w:r w:rsidRPr="001A3179">
        <w:rPr>
          <w:lang w:val="fr-FR"/>
        </w:rPr>
        <w:t xml:space="preserve"> (</w:t>
      </w:r>
      <w:r>
        <w:rPr>
          <w:lang w:val="fr-FR"/>
        </w:rPr>
        <w:t>d</w:t>
      </w:r>
      <w:r w:rsidRPr="001A3179">
        <w:rPr>
          <w:lang w:val="fr-FR"/>
        </w:rPr>
        <w:t xml:space="preserve">oc. </w:t>
      </w:r>
      <w:r w:rsidR="00663A39" w:rsidRPr="00663A39">
        <w:rPr>
          <w:rFonts w:eastAsia="MS Mincho"/>
          <w:szCs w:val="22"/>
          <w:lang w:val="fr-FR"/>
        </w:rPr>
        <w:t>n</w:t>
      </w:r>
      <w:r w:rsidR="00663A39" w:rsidRPr="00663A39">
        <w:rPr>
          <w:rFonts w:eastAsia="MS Mincho"/>
          <w:szCs w:val="22"/>
          <w:vertAlign w:val="superscript"/>
          <w:lang w:val="fr-FR"/>
        </w:rPr>
        <w:t>o</w:t>
      </w:r>
      <w:r w:rsidR="00663A39">
        <w:rPr>
          <w:lang w:val="fr-FR"/>
        </w:rPr>
        <w:t> </w:t>
      </w:r>
      <w:r w:rsidRPr="001A3179">
        <w:rPr>
          <w:lang w:val="fr-FR"/>
        </w:rPr>
        <w:t>:</w:t>
      </w:r>
      <w:r w:rsidR="00663A39">
        <w:rPr>
          <w:lang w:val="fr-FR"/>
        </w:rPr>
        <w:t> </w:t>
      </w:r>
      <w:r w:rsidRPr="001A3179">
        <w:rPr>
          <w:lang w:val="fr-FR"/>
        </w:rPr>
        <w:t>007</w:t>
      </w:r>
      <w:r w:rsidR="00663A39">
        <w:rPr>
          <w:lang w:val="fr-FR"/>
        </w:rPr>
        <w:noBreakHyphen/>
      </w:r>
      <w:r w:rsidRPr="001A3179">
        <w:rPr>
          <w:lang w:val="fr-FR"/>
        </w:rPr>
        <w:t>130/2012/60 (207-06) du 18 mars 2015) a introduit des changements visant à renforcer le respect des droits des personnes en détention/garde à vue, ce en conformité avec la loi sur les fonctions et les pouvoirs de la police</w:t>
      </w:r>
      <w:r w:rsidRPr="0017324C">
        <w:rPr>
          <w:rStyle w:val="Appelnotedebasdep"/>
        </w:rPr>
        <w:footnoteReference w:id="29"/>
      </w:r>
      <w:r w:rsidRPr="001A3179">
        <w:rPr>
          <w:lang w:val="fr-FR"/>
        </w:rPr>
        <w:t xml:space="preserve"> et avec les modifications apportées au Code de procédure pénale. L</w:t>
      </w:r>
      <w:r>
        <w:rPr>
          <w:lang w:val="fr-FR"/>
        </w:rPr>
        <w:t>’</w:t>
      </w:r>
      <w:r w:rsidRPr="001A3179">
        <w:rPr>
          <w:lang w:val="fr-FR"/>
        </w:rPr>
        <w:t>accent est mis sur la documentation des procédures et des actes de la police, depuis l</w:t>
      </w:r>
      <w:r>
        <w:rPr>
          <w:lang w:val="fr-FR"/>
        </w:rPr>
        <w:t>’</w:t>
      </w:r>
      <w:r w:rsidRPr="001A3179">
        <w:rPr>
          <w:lang w:val="fr-FR"/>
        </w:rPr>
        <w:t>arrestation jusqu</w:t>
      </w:r>
      <w:r>
        <w:rPr>
          <w:lang w:val="fr-FR"/>
        </w:rPr>
        <w:t>’</w:t>
      </w:r>
      <w:r w:rsidRPr="001A3179">
        <w:rPr>
          <w:lang w:val="fr-FR"/>
        </w:rPr>
        <w:t xml:space="preserve">au </w:t>
      </w:r>
      <w:proofErr w:type="spellStart"/>
      <w:r w:rsidRPr="001A3179">
        <w:rPr>
          <w:lang w:val="fr-FR"/>
        </w:rPr>
        <w:t>défèrement</w:t>
      </w:r>
      <w:proofErr w:type="spellEnd"/>
      <w:r w:rsidRPr="001A3179">
        <w:rPr>
          <w:lang w:val="fr-FR"/>
        </w:rPr>
        <w:t xml:space="preserve"> ou à la libération.</w:t>
      </w:r>
    </w:p>
    <w:p w14:paraId="0F37AD7C" w14:textId="77777777" w:rsidR="002A5EB2" w:rsidRPr="001A3179" w:rsidRDefault="002A5EB2" w:rsidP="00F11C00">
      <w:pPr>
        <w:pStyle w:val="H1G"/>
        <w:rPr>
          <w:lang w:val="fr-FR"/>
        </w:rPr>
      </w:pPr>
      <w:bookmarkStart w:id="28" w:name="_Hlk8997853"/>
      <w:r w:rsidRPr="001A3179">
        <w:rPr>
          <w:lang w:val="fr-FR"/>
        </w:rPr>
        <w:tab/>
      </w:r>
      <w:r w:rsidRPr="001A3179">
        <w:rPr>
          <w:lang w:val="fr-FR"/>
        </w:rPr>
        <w:tab/>
        <w:t>Articles 12 et 13</w:t>
      </w:r>
    </w:p>
    <w:bookmarkEnd w:id="28"/>
    <w:p w14:paraId="66072724" w14:textId="77777777" w:rsidR="002A5EB2" w:rsidRPr="001A3179" w:rsidRDefault="002A5EB2" w:rsidP="00F11C00">
      <w:pPr>
        <w:pStyle w:val="H23G"/>
        <w:rPr>
          <w:lang w:val="fr-FR"/>
        </w:rPr>
      </w:pPr>
      <w:r w:rsidRPr="001A3179">
        <w:rPr>
          <w:lang w:val="fr-FR"/>
        </w:rPr>
        <w:tab/>
      </w:r>
      <w:r w:rsidRPr="001A3179">
        <w:rPr>
          <w:lang w:val="fr-FR"/>
        </w:rPr>
        <w:tab/>
        <w:t>Réponse au paragraphe 15 de la liste des points à traiter</w:t>
      </w:r>
    </w:p>
    <w:p w14:paraId="3B7579A7" w14:textId="77777777" w:rsidR="002A5EB2" w:rsidRPr="001A3179" w:rsidRDefault="002A5EB2" w:rsidP="002A5EB2">
      <w:pPr>
        <w:pStyle w:val="SingleTxtG"/>
        <w:rPr>
          <w:lang w:val="fr-FR"/>
        </w:rPr>
      </w:pPr>
      <w:r w:rsidRPr="001A3179">
        <w:rPr>
          <w:lang w:val="fr-FR"/>
        </w:rPr>
        <w:t>117.</w:t>
      </w:r>
      <w:r w:rsidRPr="001A3179">
        <w:rPr>
          <w:lang w:val="fr-FR"/>
        </w:rPr>
        <w:tab/>
        <w:t>À sa réunion du 6 décembre 2016, le Comité des Ministres du Conseil de l</w:t>
      </w:r>
      <w:r>
        <w:rPr>
          <w:lang w:val="fr-FR"/>
        </w:rPr>
        <w:t>’</w:t>
      </w:r>
      <w:r w:rsidRPr="001A3179">
        <w:rPr>
          <w:lang w:val="fr-FR"/>
        </w:rPr>
        <w:t>Europe, qui supervise l</w:t>
      </w:r>
      <w:r>
        <w:rPr>
          <w:lang w:val="fr-FR"/>
        </w:rPr>
        <w:t>’</w:t>
      </w:r>
      <w:r w:rsidRPr="001A3179">
        <w:rPr>
          <w:lang w:val="fr-FR"/>
        </w:rPr>
        <w:t>exécution des arrêts de la Cour européenne des droits de l</w:t>
      </w:r>
      <w:r>
        <w:rPr>
          <w:lang w:val="fr-FR"/>
        </w:rPr>
        <w:t>’</w:t>
      </w:r>
      <w:r w:rsidRPr="001A3179">
        <w:rPr>
          <w:lang w:val="fr-FR"/>
        </w:rPr>
        <w:t>homme (OMN</w:t>
      </w:r>
      <w:r w:rsidR="00663A39">
        <w:rPr>
          <w:lang w:val="fr-FR"/>
        </w:rPr>
        <w:noBreakHyphen/>
      </w:r>
      <w:r w:rsidRPr="001A3179">
        <w:rPr>
          <w:lang w:val="fr-FR"/>
        </w:rPr>
        <w:t>DH) a adopté une résolution finale relative à l</w:t>
      </w:r>
      <w:r>
        <w:rPr>
          <w:lang w:val="fr-FR"/>
        </w:rPr>
        <w:t>’</w:t>
      </w:r>
      <w:r w:rsidRPr="001A3179">
        <w:rPr>
          <w:lang w:val="fr-FR"/>
        </w:rPr>
        <w:t xml:space="preserve">affaire </w:t>
      </w:r>
      <w:proofErr w:type="spellStart"/>
      <w:r w:rsidRPr="001A3179">
        <w:rPr>
          <w:lang w:val="fr-FR"/>
        </w:rPr>
        <w:t>Lukenda</w:t>
      </w:r>
      <w:proofErr w:type="spellEnd"/>
      <w:r w:rsidR="00663A39">
        <w:rPr>
          <w:lang w:val="fr-FR"/>
        </w:rPr>
        <w:t> </w:t>
      </w:r>
      <w:r w:rsidRPr="001A3179">
        <w:rPr>
          <w:lang w:val="fr-FR"/>
        </w:rPr>
        <w:t>c.</w:t>
      </w:r>
      <w:r w:rsidR="00663A39">
        <w:rPr>
          <w:lang w:val="fr-FR"/>
        </w:rPr>
        <w:t> </w:t>
      </w:r>
      <w:r w:rsidRPr="001A3179">
        <w:rPr>
          <w:lang w:val="fr-FR"/>
        </w:rPr>
        <w:t>Slovénie (23032/02</w:t>
      </w:r>
      <w:r w:rsidR="00663A39">
        <w:rPr>
          <w:lang w:val="fr-FR"/>
        </w:rPr>
        <w:t>)</w:t>
      </w:r>
      <w:r w:rsidRPr="001A3179">
        <w:rPr>
          <w:lang w:val="fr-FR"/>
        </w:rPr>
        <w:t>, dans laquelle il a constaté que la Slovénie avait pris les mesures requises pour se conformer à un groupe de 264 arrêts (remontant pour la plupart à 2006 et 2007) dans lesquels la Cour européenne des droits de l</w:t>
      </w:r>
      <w:r>
        <w:rPr>
          <w:lang w:val="fr-FR"/>
        </w:rPr>
        <w:t>’</w:t>
      </w:r>
      <w:r w:rsidRPr="001A3179">
        <w:rPr>
          <w:lang w:val="fr-FR"/>
        </w:rPr>
        <w:t>homme (CEDH) avait conclu à la violation par la Slovénie de l</w:t>
      </w:r>
      <w:r>
        <w:rPr>
          <w:lang w:val="fr-FR"/>
        </w:rPr>
        <w:t>’</w:t>
      </w:r>
      <w:r w:rsidRPr="001A3179">
        <w:rPr>
          <w:lang w:val="fr-FR"/>
        </w:rPr>
        <w:t>article 6 (Droit à une procédure équitable) et, dans certains</w:t>
      </w:r>
      <w:r>
        <w:rPr>
          <w:lang w:val="fr-FR"/>
        </w:rPr>
        <w:t xml:space="preserve"> cas</w:t>
      </w:r>
      <w:r w:rsidRPr="001A3179">
        <w:rPr>
          <w:lang w:val="fr-FR"/>
        </w:rPr>
        <w:t>, de l</w:t>
      </w:r>
      <w:r>
        <w:rPr>
          <w:lang w:val="fr-FR"/>
        </w:rPr>
        <w:t>’</w:t>
      </w:r>
      <w:r w:rsidRPr="001A3179">
        <w:rPr>
          <w:lang w:val="fr-FR"/>
        </w:rPr>
        <w:t>article</w:t>
      </w:r>
      <w:r w:rsidR="00663A39">
        <w:rPr>
          <w:lang w:val="fr-FR"/>
        </w:rPr>
        <w:t> </w:t>
      </w:r>
      <w:r w:rsidRPr="001A3179">
        <w:rPr>
          <w:lang w:val="fr-FR"/>
        </w:rPr>
        <w:t>13 (Droit à un recours effectif) de la Convention européenne des droits de l</w:t>
      </w:r>
      <w:r>
        <w:rPr>
          <w:lang w:val="fr-FR"/>
        </w:rPr>
        <w:t>’</w:t>
      </w:r>
      <w:r w:rsidRPr="001A3179">
        <w:rPr>
          <w:lang w:val="fr-FR"/>
        </w:rPr>
        <w:t>homme.</w:t>
      </w:r>
    </w:p>
    <w:p w14:paraId="24C8D2E3" w14:textId="77777777" w:rsidR="002A5EB2" w:rsidRPr="001A3179" w:rsidRDefault="002A5EB2" w:rsidP="00663A39">
      <w:pPr>
        <w:pStyle w:val="SingleTxtG"/>
        <w:keepNext/>
        <w:keepLines/>
        <w:rPr>
          <w:lang w:val="fr-FR"/>
        </w:rPr>
      </w:pPr>
      <w:r w:rsidRPr="001A3179">
        <w:rPr>
          <w:lang w:val="fr-FR"/>
        </w:rPr>
        <w:lastRenderedPageBreak/>
        <w:t>118.</w:t>
      </w:r>
      <w:r w:rsidRPr="001A3179">
        <w:rPr>
          <w:lang w:val="fr-FR"/>
        </w:rPr>
        <w:tab/>
        <w:t>Sur la base du bilan d</w:t>
      </w:r>
      <w:r>
        <w:rPr>
          <w:lang w:val="fr-FR"/>
        </w:rPr>
        <w:t>’</w:t>
      </w:r>
      <w:r w:rsidRPr="001A3179">
        <w:rPr>
          <w:lang w:val="fr-FR"/>
        </w:rPr>
        <w:t>action révisé en date du 28 octobre 2016 sur les mesures adoptées par la Slovénie pour donner effet aux arrêts de la série d</w:t>
      </w:r>
      <w:r>
        <w:rPr>
          <w:lang w:val="fr-FR"/>
        </w:rPr>
        <w:t>’</w:t>
      </w:r>
      <w:r w:rsidRPr="001A3179">
        <w:rPr>
          <w:lang w:val="fr-FR"/>
        </w:rPr>
        <w:t xml:space="preserve">affaires </w:t>
      </w:r>
      <w:proofErr w:type="spellStart"/>
      <w:r w:rsidRPr="001A3179">
        <w:rPr>
          <w:lang w:val="fr-FR"/>
        </w:rPr>
        <w:t>Lukenda</w:t>
      </w:r>
      <w:proofErr w:type="spellEnd"/>
      <w:r w:rsidRPr="0017324C">
        <w:rPr>
          <w:rStyle w:val="Appelnotedebasdep"/>
        </w:rPr>
        <w:footnoteReference w:id="30"/>
      </w:r>
      <w:r w:rsidRPr="001A3179">
        <w:rPr>
          <w:lang w:val="fr-FR"/>
        </w:rPr>
        <w:t>, le Secrétariat du Conseil de l</w:t>
      </w:r>
      <w:r>
        <w:rPr>
          <w:lang w:val="fr-FR"/>
        </w:rPr>
        <w:t>’</w:t>
      </w:r>
      <w:r w:rsidRPr="001A3179">
        <w:rPr>
          <w:lang w:val="fr-FR"/>
        </w:rPr>
        <w:t>Europe a estimé que les mesures législatives, organisationnelles, informationnelles et autres adoptées par le Gouvernement slovène avaient permis de résorber l</w:t>
      </w:r>
      <w:r>
        <w:rPr>
          <w:lang w:val="fr-FR"/>
        </w:rPr>
        <w:t>’</w:t>
      </w:r>
      <w:r w:rsidRPr="001A3179">
        <w:rPr>
          <w:lang w:val="fr-FR"/>
        </w:rPr>
        <w:t>arriéré judiciaire et de garantir ainsi l</w:t>
      </w:r>
      <w:r>
        <w:rPr>
          <w:lang w:val="fr-FR"/>
        </w:rPr>
        <w:t>’</w:t>
      </w:r>
      <w:r w:rsidRPr="001A3179">
        <w:rPr>
          <w:lang w:val="fr-FR"/>
        </w:rPr>
        <w:t>accès au procès dans un délai raisonnable, comme le prescrit la Convention européenne.</w:t>
      </w:r>
    </w:p>
    <w:p w14:paraId="474F126D" w14:textId="77777777" w:rsidR="002A5EB2" w:rsidRPr="001A3179" w:rsidRDefault="002A5EB2" w:rsidP="002A5EB2">
      <w:pPr>
        <w:pStyle w:val="SingleTxtG"/>
        <w:rPr>
          <w:lang w:val="fr-FR"/>
        </w:rPr>
      </w:pPr>
      <w:r w:rsidRPr="001A3179">
        <w:rPr>
          <w:lang w:val="fr-FR"/>
        </w:rPr>
        <w:t>119.</w:t>
      </w:r>
      <w:r w:rsidRPr="001A3179">
        <w:rPr>
          <w:lang w:val="fr-FR"/>
        </w:rPr>
        <w:tab/>
        <w:t>Les statistiques des tribunaux font apparaître des progrès sur la voie de l</w:t>
      </w:r>
      <w:r>
        <w:rPr>
          <w:lang w:val="fr-FR"/>
        </w:rPr>
        <w:t>’</w:t>
      </w:r>
      <w:r w:rsidRPr="001A3179">
        <w:rPr>
          <w:lang w:val="fr-FR"/>
        </w:rPr>
        <w:t>élimination de l</w:t>
      </w:r>
      <w:r>
        <w:rPr>
          <w:lang w:val="fr-FR"/>
        </w:rPr>
        <w:t>’</w:t>
      </w:r>
      <w:r w:rsidRPr="001A3179">
        <w:rPr>
          <w:lang w:val="fr-FR"/>
        </w:rPr>
        <w:t>arriéré judiciaire</w:t>
      </w:r>
      <w:r w:rsidRPr="001A3179">
        <w:rPr>
          <w:rStyle w:val="Appelnotedebasdep"/>
          <w:lang w:val="fr-FR"/>
        </w:rPr>
        <w:t xml:space="preserve"> </w:t>
      </w:r>
      <w:r w:rsidRPr="0017324C">
        <w:rPr>
          <w:rStyle w:val="Appelnotedebasdep"/>
        </w:rPr>
        <w:footnoteReference w:id="31"/>
      </w:r>
      <w:r w:rsidRPr="001A3179">
        <w:rPr>
          <w:lang w:val="fr-FR"/>
        </w:rPr>
        <w:t>.</w:t>
      </w:r>
    </w:p>
    <w:p w14:paraId="3F82AFC5" w14:textId="77777777" w:rsidR="002A5EB2" w:rsidRPr="001A3179" w:rsidRDefault="00F11C00" w:rsidP="00F11C00">
      <w:pPr>
        <w:pStyle w:val="H23G"/>
        <w:rPr>
          <w:lang w:val="fr-FR"/>
        </w:rPr>
      </w:pPr>
      <w:r>
        <w:rPr>
          <w:lang w:val="fr-FR"/>
        </w:rPr>
        <w:tab/>
      </w:r>
      <w:r>
        <w:rPr>
          <w:lang w:val="fr-FR"/>
        </w:rPr>
        <w:tab/>
      </w:r>
      <w:r w:rsidR="002A5EB2" w:rsidRPr="001A3179">
        <w:rPr>
          <w:lang w:val="fr-FR"/>
        </w:rPr>
        <w:t>Graphique</w:t>
      </w:r>
      <w:r>
        <w:rPr>
          <w:lang w:val="fr-FR"/>
        </w:rPr>
        <w:t> </w:t>
      </w:r>
      <w:r w:rsidR="002A5EB2" w:rsidRPr="001A3179">
        <w:rPr>
          <w:lang w:val="fr-FR"/>
        </w:rPr>
        <w:t xml:space="preserve">: </w:t>
      </w:r>
      <w:r w:rsidR="002A5EB2">
        <w:rPr>
          <w:lang w:val="fr-FR"/>
        </w:rPr>
        <w:t>n</w:t>
      </w:r>
      <w:r w:rsidR="002A5EB2" w:rsidRPr="001A3179">
        <w:rPr>
          <w:lang w:val="fr-FR"/>
        </w:rPr>
        <w:t>ombre total d</w:t>
      </w:r>
      <w:r w:rsidR="002A5EB2">
        <w:rPr>
          <w:lang w:val="fr-FR"/>
        </w:rPr>
        <w:t>’</w:t>
      </w:r>
      <w:r w:rsidR="002A5EB2" w:rsidRPr="001A3179">
        <w:rPr>
          <w:lang w:val="fr-FR"/>
        </w:rPr>
        <w:t>affaires</w:t>
      </w:r>
    </w:p>
    <w:p w14:paraId="139E000C" w14:textId="77777777" w:rsidR="002A5EB2" w:rsidRPr="001A3179" w:rsidRDefault="002A5EB2" w:rsidP="00F11C00">
      <w:pPr>
        <w:ind w:left="1134"/>
        <w:rPr>
          <w:lang w:val="fr-FR"/>
        </w:rPr>
      </w:pPr>
      <w:r w:rsidRPr="001A3179">
        <w:rPr>
          <w:noProof/>
          <w:lang w:val="fr-FR"/>
        </w:rPr>
        <w:drawing>
          <wp:inline distT="0" distB="0" distL="0" distR="0" wp14:anchorId="5E2A4E84" wp14:editId="181307C1">
            <wp:extent cx="4644232" cy="2650286"/>
            <wp:effectExtent l="0" t="0" r="4445"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463" cy="2661831"/>
                    </a:xfrm>
                    <a:prstGeom prst="rect">
                      <a:avLst/>
                    </a:prstGeom>
                    <a:noFill/>
                    <a:ln>
                      <a:noFill/>
                    </a:ln>
                  </pic:spPr>
                </pic:pic>
              </a:graphicData>
            </a:graphic>
          </wp:inline>
        </w:drawing>
      </w:r>
    </w:p>
    <w:p w14:paraId="2F7479EB" w14:textId="77777777" w:rsidR="002A5EB2" w:rsidRPr="001A3179" w:rsidRDefault="002A5EB2" w:rsidP="00F11C00">
      <w:pPr>
        <w:pStyle w:val="SingleTxtG"/>
        <w:spacing w:before="240"/>
        <w:rPr>
          <w:lang w:val="fr-FR"/>
        </w:rPr>
      </w:pPr>
      <w:r w:rsidRPr="001A3179">
        <w:rPr>
          <w:lang w:val="fr-FR"/>
        </w:rPr>
        <w:t>120.</w:t>
      </w:r>
      <w:r w:rsidRPr="001A3179">
        <w:rPr>
          <w:lang w:val="fr-FR"/>
        </w:rPr>
        <w:tab/>
        <w:t>Le 10 avril 2017, la Commission européenne</w:t>
      </w:r>
      <w:r w:rsidRPr="0017324C">
        <w:rPr>
          <w:rStyle w:val="Appelnotedebasdep"/>
        </w:rPr>
        <w:footnoteReference w:id="32"/>
      </w:r>
      <w:r w:rsidRPr="001A3179">
        <w:rPr>
          <w:lang w:val="fr-FR"/>
        </w:rPr>
        <w:t xml:space="preserve"> a publié le </w:t>
      </w:r>
      <w:r>
        <w:rPr>
          <w:lang w:val="fr-FR"/>
        </w:rPr>
        <w:t>t</w:t>
      </w:r>
      <w:r w:rsidRPr="001A3179">
        <w:rPr>
          <w:lang w:val="fr-FR"/>
        </w:rPr>
        <w:t>ableau de bord 2016</w:t>
      </w:r>
      <w:r w:rsidRPr="0017324C">
        <w:rPr>
          <w:rStyle w:val="Appelnotedebasdep"/>
        </w:rPr>
        <w:footnoteReference w:id="33"/>
      </w:r>
      <w:r w:rsidRPr="001A3179">
        <w:rPr>
          <w:lang w:val="fr-FR"/>
        </w:rPr>
        <w:t xml:space="preserve"> de la justice dans les États membres de l</w:t>
      </w:r>
      <w:r>
        <w:rPr>
          <w:lang w:val="fr-FR"/>
        </w:rPr>
        <w:t>’</w:t>
      </w:r>
      <w:r w:rsidRPr="001A3179">
        <w:rPr>
          <w:lang w:val="fr-FR"/>
        </w:rPr>
        <w:t>UE. Ce dispositif d</w:t>
      </w:r>
      <w:r>
        <w:rPr>
          <w:lang w:val="fr-FR"/>
        </w:rPr>
        <w:t>’</w:t>
      </w:r>
      <w:r w:rsidRPr="001A3179">
        <w:rPr>
          <w:lang w:val="fr-FR"/>
        </w:rPr>
        <w:t>évaluation externe permet des comparaisons internationales du fonctionnement du système judiciaire et de l</w:t>
      </w:r>
      <w:r>
        <w:rPr>
          <w:lang w:val="fr-FR"/>
        </w:rPr>
        <w:t>’</w:t>
      </w:r>
      <w:r w:rsidRPr="001A3179">
        <w:rPr>
          <w:lang w:val="fr-FR"/>
        </w:rPr>
        <w:t>accès aux tribunaux dans les différents pays couverts, dont la Slovénie.</w:t>
      </w:r>
    </w:p>
    <w:p w14:paraId="2275F0A2" w14:textId="77777777" w:rsidR="002A5EB2" w:rsidRPr="001A3179" w:rsidRDefault="002A5EB2" w:rsidP="002A5EB2">
      <w:pPr>
        <w:pStyle w:val="SingleTxtG"/>
        <w:rPr>
          <w:lang w:val="fr-FR"/>
        </w:rPr>
      </w:pPr>
      <w:r w:rsidRPr="001A3179">
        <w:rPr>
          <w:lang w:val="fr-FR"/>
        </w:rPr>
        <w:t>121.</w:t>
      </w:r>
      <w:r w:rsidRPr="001A3179">
        <w:rPr>
          <w:lang w:val="fr-FR"/>
        </w:rPr>
        <w:tab/>
        <w:t>Le Tableau de bord 2016 montre que la Slovénie et sa justice se situent dans la moyenne européenne pour la majorité des indicateurs suivis. Il est à noter, pour illustrer les excellents résultats obtenus par la Slovénie, que le nouvel outil administratif à l</w:t>
      </w:r>
      <w:r>
        <w:rPr>
          <w:lang w:val="fr-FR"/>
        </w:rPr>
        <w:t>’</w:t>
      </w:r>
      <w:r w:rsidRPr="001A3179">
        <w:rPr>
          <w:lang w:val="fr-FR"/>
        </w:rPr>
        <w:t>usage des présidents de tribunaux que constituent les normes relatives au respect des délais, introduites en 2016, a permis à la Slovénie d</w:t>
      </w:r>
      <w:r>
        <w:rPr>
          <w:lang w:val="fr-FR"/>
        </w:rPr>
        <w:t>’</w:t>
      </w:r>
      <w:r w:rsidRPr="001A3179">
        <w:rPr>
          <w:lang w:val="fr-FR"/>
        </w:rPr>
        <w:t>obtenir la note maximale dans ce domaine.</w:t>
      </w:r>
    </w:p>
    <w:p w14:paraId="219D3C89" w14:textId="77777777" w:rsidR="002A5EB2" w:rsidRPr="001A3179" w:rsidRDefault="002A5EB2" w:rsidP="002A5EB2">
      <w:pPr>
        <w:pStyle w:val="SingleTxtG"/>
        <w:rPr>
          <w:lang w:val="fr-FR"/>
        </w:rPr>
      </w:pPr>
      <w:r w:rsidRPr="001A3179">
        <w:rPr>
          <w:lang w:val="fr-FR"/>
        </w:rPr>
        <w:t>122.</w:t>
      </w:r>
      <w:r w:rsidRPr="001A3179">
        <w:rPr>
          <w:lang w:val="fr-FR"/>
        </w:rPr>
        <w:tab/>
        <w:t>La Slovénie se place parmi les pays de tête s</w:t>
      </w:r>
      <w:r>
        <w:rPr>
          <w:lang w:val="fr-FR"/>
        </w:rPr>
        <w:t>’</w:t>
      </w:r>
      <w:r w:rsidRPr="001A3179">
        <w:rPr>
          <w:lang w:val="fr-FR"/>
        </w:rPr>
        <w:t>agissant du nombre de nouvelles affaires rapporté à la population, mais la durée des procédures judiciaires et le nombre d</w:t>
      </w:r>
      <w:r>
        <w:rPr>
          <w:lang w:val="fr-FR"/>
        </w:rPr>
        <w:t>’</w:t>
      </w:r>
      <w:r w:rsidRPr="001A3179">
        <w:rPr>
          <w:lang w:val="fr-FR"/>
        </w:rPr>
        <w:t xml:space="preserve">affaires pendantes ne cessent de diminuer </w:t>
      </w:r>
      <w:r w:rsidR="00663A39">
        <w:rPr>
          <w:lang w:val="fr-FR"/>
        </w:rPr>
        <w:t>− </w:t>
      </w:r>
      <w:r w:rsidRPr="001A3179">
        <w:rPr>
          <w:lang w:val="fr-FR"/>
        </w:rPr>
        <w:t>ce depuis au moins 2010. L</w:t>
      </w:r>
      <w:r>
        <w:rPr>
          <w:lang w:val="fr-FR"/>
        </w:rPr>
        <w:t>’</w:t>
      </w:r>
      <w:r w:rsidRPr="001A3179">
        <w:rPr>
          <w:lang w:val="fr-FR"/>
        </w:rPr>
        <w:t>efficacité globale du système judiciaire slovène est sur une pente ascendante toujours plus marquée.</w:t>
      </w:r>
    </w:p>
    <w:p w14:paraId="28282AC3" w14:textId="77777777" w:rsidR="002A5EB2" w:rsidRPr="001A3179" w:rsidRDefault="002A5EB2" w:rsidP="002A5EB2">
      <w:pPr>
        <w:pStyle w:val="SingleTxtG"/>
        <w:rPr>
          <w:lang w:val="fr-FR"/>
        </w:rPr>
      </w:pPr>
      <w:r w:rsidRPr="001A3179">
        <w:rPr>
          <w:lang w:val="fr-FR"/>
        </w:rPr>
        <w:t>123.</w:t>
      </w:r>
      <w:r w:rsidRPr="001A3179">
        <w:rPr>
          <w:lang w:val="fr-FR"/>
        </w:rPr>
        <w:tab/>
        <w:t>Le Tableau de bord de la justice montre clairement que le système judiciaire slovène s</w:t>
      </w:r>
      <w:r>
        <w:rPr>
          <w:lang w:val="fr-FR"/>
        </w:rPr>
        <w:t>’</w:t>
      </w:r>
      <w:r w:rsidRPr="001A3179">
        <w:rPr>
          <w:lang w:val="fr-FR"/>
        </w:rPr>
        <w:t>est amélioré (notamment p</w:t>
      </w:r>
      <w:r>
        <w:rPr>
          <w:lang w:val="fr-FR"/>
        </w:rPr>
        <w:t>o</w:t>
      </w:r>
      <w:r w:rsidRPr="001A3179">
        <w:rPr>
          <w:lang w:val="fr-FR"/>
        </w:rPr>
        <w:t>ur ce qui est de la durée et du niveau de concentration des procédures) et que l</w:t>
      </w:r>
      <w:r>
        <w:rPr>
          <w:lang w:val="fr-FR"/>
        </w:rPr>
        <w:t>’</w:t>
      </w:r>
      <w:r w:rsidRPr="001A3179">
        <w:rPr>
          <w:lang w:val="fr-FR"/>
        </w:rPr>
        <w:t>exercice du droit à un procès dans un délai raisonnable et les retards dans les tribunaux ont cessé d</w:t>
      </w:r>
      <w:r>
        <w:rPr>
          <w:lang w:val="fr-FR"/>
        </w:rPr>
        <w:t>’</w:t>
      </w:r>
      <w:r w:rsidRPr="001A3179">
        <w:rPr>
          <w:lang w:val="fr-FR"/>
        </w:rPr>
        <w:t>être un problème systémique dans le pays.</w:t>
      </w:r>
    </w:p>
    <w:p w14:paraId="27FD5043" w14:textId="77777777" w:rsidR="002A5EB2" w:rsidRPr="001A3179" w:rsidRDefault="002A5EB2" w:rsidP="00F11C00">
      <w:pPr>
        <w:pStyle w:val="H4G"/>
        <w:rPr>
          <w:lang w:val="fr-FR"/>
        </w:rPr>
      </w:pPr>
      <w:r w:rsidRPr="001A3179">
        <w:rPr>
          <w:lang w:val="fr-FR"/>
        </w:rPr>
        <w:tab/>
      </w:r>
      <w:r w:rsidRPr="001A3179">
        <w:rPr>
          <w:lang w:val="fr-FR"/>
        </w:rPr>
        <w:tab/>
        <w:t>Probation</w:t>
      </w:r>
    </w:p>
    <w:p w14:paraId="3BFCD083" w14:textId="77777777" w:rsidR="002A5EB2" w:rsidRPr="001A3179" w:rsidRDefault="002A5EB2" w:rsidP="002A5EB2">
      <w:pPr>
        <w:pStyle w:val="SingleTxtG"/>
        <w:rPr>
          <w:lang w:val="fr-FR"/>
        </w:rPr>
      </w:pPr>
      <w:r w:rsidRPr="001A3179">
        <w:rPr>
          <w:lang w:val="fr-FR"/>
        </w:rPr>
        <w:t>124.</w:t>
      </w:r>
      <w:r w:rsidRPr="001A3179">
        <w:rPr>
          <w:lang w:val="fr-FR"/>
        </w:rPr>
        <w:tab/>
        <w:t>Le système de justice pénale slovène encourage depuis nombre d</w:t>
      </w:r>
      <w:r>
        <w:rPr>
          <w:lang w:val="fr-FR"/>
        </w:rPr>
        <w:t>’</w:t>
      </w:r>
      <w:r w:rsidRPr="001A3179">
        <w:rPr>
          <w:lang w:val="fr-FR"/>
        </w:rPr>
        <w:t>années le recours à divers</w:t>
      </w:r>
      <w:r>
        <w:rPr>
          <w:lang w:val="fr-FR"/>
        </w:rPr>
        <w:t>es</w:t>
      </w:r>
      <w:r w:rsidRPr="001A3179">
        <w:rPr>
          <w:lang w:val="fr-FR"/>
        </w:rPr>
        <w:t xml:space="preserve"> formes de peines de substitution à l</w:t>
      </w:r>
      <w:r>
        <w:rPr>
          <w:lang w:val="fr-FR"/>
        </w:rPr>
        <w:t>’</w:t>
      </w:r>
      <w:r w:rsidRPr="001A3179">
        <w:rPr>
          <w:lang w:val="fr-FR"/>
        </w:rPr>
        <w:t>emprisonnement. Allant dans le même sens que l</w:t>
      </w:r>
      <w:r>
        <w:rPr>
          <w:lang w:val="fr-FR"/>
        </w:rPr>
        <w:t>’</w:t>
      </w:r>
      <w:r w:rsidRPr="001A3179">
        <w:rPr>
          <w:lang w:val="fr-FR"/>
        </w:rPr>
        <w:t>objectif de réinsertion des détenus dans la société, la peine de travail d</w:t>
      </w:r>
      <w:r>
        <w:rPr>
          <w:lang w:val="fr-FR"/>
        </w:rPr>
        <w:t>’</w:t>
      </w:r>
      <w:r w:rsidRPr="001A3179">
        <w:rPr>
          <w:lang w:val="fr-FR"/>
        </w:rPr>
        <w:t xml:space="preserve">intérêt général </w:t>
      </w:r>
      <w:r w:rsidRPr="001A3179">
        <w:rPr>
          <w:lang w:val="fr-FR"/>
        </w:rPr>
        <w:lastRenderedPageBreak/>
        <w:t>concourt à faire reculer le taux d</w:t>
      </w:r>
      <w:r>
        <w:rPr>
          <w:lang w:val="fr-FR"/>
        </w:rPr>
        <w:t>’</w:t>
      </w:r>
      <w:r w:rsidRPr="001A3179">
        <w:rPr>
          <w:lang w:val="fr-FR"/>
        </w:rPr>
        <w:t>incarcération. La législation en vigueur prévoit les peines de substitution suivantes (qui sont déjà utilisées dans la pratique) : la prison de fin de semaine ; l</w:t>
      </w:r>
      <w:r>
        <w:rPr>
          <w:lang w:val="fr-FR"/>
        </w:rPr>
        <w:t>’</w:t>
      </w:r>
      <w:r w:rsidRPr="001A3179">
        <w:rPr>
          <w:lang w:val="fr-FR"/>
        </w:rPr>
        <w:t>assignation à résidence ; le travail d</w:t>
      </w:r>
      <w:r>
        <w:rPr>
          <w:lang w:val="fr-FR"/>
        </w:rPr>
        <w:t>’</w:t>
      </w:r>
      <w:r w:rsidRPr="001A3179">
        <w:rPr>
          <w:lang w:val="fr-FR"/>
        </w:rPr>
        <w:t>intérêt général. Les possibilités de libération conditionnelle, de libération anticipée et de grâce influent aussi sur le taux d</w:t>
      </w:r>
      <w:r>
        <w:rPr>
          <w:lang w:val="fr-FR"/>
        </w:rPr>
        <w:t>’</w:t>
      </w:r>
      <w:r w:rsidRPr="001A3179">
        <w:rPr>
          <w:lang w:val="fr-FR"/>
        </w:rPr>
        <w:t>incarcération.</w:t>
      </w:r>
    </w:p>
    <w:p w14:paraId="6CD817F1" w14:textId="77777777" w:rsidR="002A5EB2" w:rsidRPr="001A3179" w:rsidRDefault="002A5EB2" w:rsidP="002A5EB2">
      <w:pPr>
        <w:pStyle w:val="SingleTxtG"/>
        <w:rPr>
          <w:lang w:val="fr-FR"/>
        </w:rPr>
      </w:pPr>
      <w:r w:rsidRPr="001A3179">
        <w:rPr>
          <w:lang w:val="fr-FR"/>
        </w:rPr>
        <w:t>125.</w:t>
      </w:r>
      <w:r w:rsidRPr="001A3179">
        <w:rPr>
          <w:lang w:val="fr-FR"/>
        </w:rPr>
        <w:tab/>
        <w:t>Adoptée le 24 mai 2017, la loi sur la probation (</w:t>
      </w:r>
      <w:proofErr w:type="spellStart"/>
      <w:r w:rsidRPr="001A3179">
        <w:rPr>
          <w:lang w:val="fr-FR"/>
        </w:rPr>
        <w:t>ZPro</w:t>
      </w:r>
      <w:proofErr w:type="spellEnd"/>
      <w:r w:rsidRPr="001A3179">
        <w:rPr>
          <w:lang w:val="fr-FR"/>
        </w:rPr>
        <w:t>)</w:t>
      </w:r>
      <w:r w:rsidRPr="0017324C">
        <w:rPr>
          <w:rStyle w:val="Appelnotedebasdep"/>
        </w:rPr>
        <w:footnoteReference w:id="34"/>
      </w:r>
      <w:r w:rsidRPr="001A3179">
        <w:rPr>
          <w:lang w:val="fr-FR"/>
        </w:rPr>
        <w:t xml:space="preserve"> est entrée en vigueur le 17</w:t>
      </w:r>
      <w:r w:rsidR="00F11C00">
        <w:rPr>
          <w:lang w:val="fr-FR"/>
        </w:rPr>
        <w:t> </w:t>
      </w:r>
      <w:r w:rsidRPr="001A3179">
        <w:rPr>
          <w:lang w:val="fr-FR"/>
        </w:rPr>
        <w:t>juin 2017. L</w:t>
      </w:r>
      <w:r>
        <w:rPr>
          <w:lang w:val="fr-FR"/>
        </w:rPr>
        <w:t>’</w:t>
      </w:r>
      <w:r w:rsidRPr="001A3179">
        <w:rPr>
          <w:lang w:val="fr-FR"/>
        </w:rPr>
        <w:t>Administration pénitentiaire et l</w:t>
      </w:r>
      <w:r>
        <w:rPr>
          <w:lang w:val="fr-FR"/>
        </w:rPr>
        <w:t>’</w:t>
      </w:r>
      <w:r w:rsidRPr="001A3179">
        <w:rPr>
          <w:lang w:val="fr-FR"/>
        </w:rPr>
        <w:t>Administration de la probation ont été instituées en vertu de ladite loi. La Résolution sur le programme national de prévention et de répression de la criminalité (2007-2011 puis 2012-2016) prévoyait la création d</w:t>
      </w:r>
      <w:r>
        <w:rPr>
          <w:lang w:val="fr-FR"/>
        </w:rPr>
        <w:t>’</w:t>
      </w:r>
      <w:r w:rsidRPr="001A3179">
        <w:rPr>
          <w:lang w:val="fr-FR"/>
        </w:rPr>
        <w:t>un organe spécialisé en charge de l</w:t>
      </w:r>
      <w:r>
        <w:rPr>
          <w:lang w:val="fr-FR"/>
        </w:rPr>
        <w:t>’</w:t>
      </w:r>
      <w:r w:rsidRPr="001A3179">
        <w:rPr>
          <w:lang w:val="fr-FR"/>
        </w:rPr>
        <w:t>application de la peine de travail d</w:t>
      </w:r>
      <w:r>
        <w:rPr>
          <w:lang w:val="fr-FR"/>
        </w:rPr>
        <w:t>’</w:t>
      </w:r>
      <w:r w:rsidRPr="001A3179">
        <w:rPr>
          <w:lang w:val="fr-FR"/>
        </w:rPr>
        <w:t>intérêt général. En juillet 2016, le Gouvernement slovène a adopté le Plan d</w:t>
      </w:r>
      <w:r>
        <w:rPr>
          <w:lang w:val="fr-FR"/>
        </w:rPr>
        <w:t>’</w:t>
      </w:r>
      <w:r w:rsidRPr="001A3179">
        <w:rPr>
          <w:lang w:val="fr-FR"/>
        </w:rPr>
        <w:t>action pour la création de l</w:t>
      </w:r>
      <w:r>
        <w:rPr>
          <w:lang w:val="fr-FR"/>
        </w:rPr>
        <w:t>’</w:t>
      </w:r>
      <w:r w:rsidRPr="001A3179">
        <w:rPr>
          <w:lang w:val="fr-FR"/>
        </w:rPr>
        <w:t>Administration de la probation (UPRO), exposant les changements d</w:t>
      </w:r>
      <w:r>
        <w:rPr>
          <w:lang w:val="fr-FR"/>
        </w:rPr>
        <w:t>’</w:t>
      </w:r>
      <w:r w:rsidRPr="001A3179">
        <w:rPr>
          <w:lang w:val="fr-FR"/>
        </w:rPr>
        <w:t>ordre institutionnel et réglementaire requis, qui a servi de support à l</w:t>
      </w:r>
      <w:r>
        <w:rPr>
          <w:lang w:val="fr-FR"/>
        </w:rPr>
        <w:t>’</w:t>
      </w:r>
      <w:r w:rsidRPr="001A3179">
        <w:rPr>
          <w:lang w:val="fr-FR"/>
        </w:rPr>
        <w:t>élaboration de la loi sur la probation. La création de l</w:t>
      </w:r>
      <w:r>
        <w:rPr>
          <w:lang w:val="fr-FR"/>
        </w:rPr>
        <w:t>’</w:t>
      </w:r>
      <w:r w:rsidRPr="001A3179">
        <w:rPr>
          <w:lang w:val="fr-FR"/>
        </w:rPr>
        <w:t>Administration de la probation va dans l</w:t>
      </w:r>
      <w:r>
        <w:rPr>
          <w:lang w:val="fr-FR"/>
        </w:rPr>
        <w:t>e</w:t>
      </w:r>
      <w:r w:rsidRPr="001A3179">
        <w:rPr>
          <w:lang w:val="fr-FR"/>
        </w:rPr>
        <w:t xml:space="preserve"> sens de l</w:t>
      </w:r>
      <w:r>
        <w:rPr>
          <w:lang w:val="fr-FR"/>
        </w:rPr>
        <w:t>’</w:t>
      </w:r>
      <w:r w:rsidRPr="001A3179">
        <w:rPr>
          <w:lang w:val="fr-FR"/>
        </w:rPr>
        <w:t>objectif qu</w:t>
      </w:r>
      <w:r>
        <w:rPr>
          <w:lang w:val="fr-FR"/>
        </w:rPr>
        <w:t>’</w:t>
      </w:r>
      <w:r w:rsidRPr="001A3179">
        <w:rPr>
          <w:lang w:val="fr-FR"/>
        </w:rPr>
        <w:t>est la réduction de la surpopulation carcérale. Entrée en activité le 1</w:t>
      </w:r>
      <w:r w:rsidRPr="001A3179">
        <w:rPr>
          <w:vertAlign w:val="superscript"/>
          <w:lang w:val="fr-FR"/>
        </w:rPr>
        <w:t>er</w:t>
      </w:r>
      <w:r w:rsidR="0025667E">
        <w:rPr>
          <w:lang w:val="fr-FR"/>
        </w:rPr>
        <w:t> </w:t>
      </w:r>
      <w:r w:rsidRPr="001A3179">
        <w:rPr>
          <w:lang w:val="fr-FR"/>
        </w:rPr>
        <w:t>avril 2018, l</w:t>
      </w:r>
      <w:r>
        <w:rPr>
          <w:lang w:val="fr-FR"/>
        </w:rPr>
        <w:t>’</w:t>
      </w:r>
      <w:r w:rsidRPr="001A3179">
        <w:rPr>
          <w:lang w:val="fr-FR"/>
        </w:rPr>
        <w:t>Administration de la probation a pour but d</w:t>
      </w:r>
      <w:r>
        <w:rPr>
          <w:lang w:val="fr-FR"/>
        </w:rPr>
        <w:t>’</w:t>
      </w:r>
      <w:r w:rsidRPr="001A3179">
        <w:rPr>
          <w:lang w:val="fr-FR"/>
        </w:rPr>
        <w:t>accroître le recours à la peine de travail d</w:t>
      </w:r>
      <w:r>
        <w:rPr>
          <w:lang w:val="fr-FR"/>
        </w:rPr>
        <w:t>’</w:t>
      </w:r>
      <w:r w:rsidRPr="001A3179">
        <w:rPr>
          <w:lang w:val="fr-FR"/>
        </w:rPr>
        <w:t>intérêt général et, ainsi, d</w:t>
      </w:r>
      <w:r>
        <w:rPr>
          <w:lang w:val="fr-FR"/>
        </w:rPr>
        <w:t>’</w:t>
      </w:r>
      <w:r w:rsidRPr="001A3179">
        <w:rPr>
          <w:lang w:val="fr-FR"/>
        </w:rPr>
        <w:t>alléger la charge du système pénitentiaire, de traiter de manière globale les personnes condamnées et de réduire le taux de récidive en établissant des relations positives avec les auteurs d</w:t>
      </w:r>
      <w:r>
        <w:rPr>
          <w:lang w:val="fr-FR"/>
        </w:rPr>
        <w:t>’</w:t>
      </w:r>
      <w:r w:rsidRPr="001A3179">
        <w:rPr>
          <w:lang w:val="fr-FR"/>
        </w:rPr>
        <w:t>infraction</w:t>
      </w:r>
      <w:r>
        <w:rPr>
          <w:lang w:val="fr-FR"/>
        </w:rPr>
        <w:t>s</w:t>
      </w:r>
      <w:r w:rsidRPr="001A3179">
        <w:rPr>
          <w:lang w:val="fr-FR"/>
        </w:rPr>
        <w:t xml:space="preserve"> et en garantissant ainsi la sécurité de la société. L</w:t>
      </w:r>
      <w:r>
        <w:rPr>
          <w:lang w:val="fr-FR"/>
        </w:rPr>
        <w:t>’</w:t>
      </w:r>
      <w:r w:rsidRPr="001A3179">
        <w:rPr>
          <w:lang w:val="fr-FR"/>
        </w:rPr>
        <w:t>Administration de la probation est investie de fonctions qu</w:t>
      </w:r>
      <w:r>
        <w:rPr>
          <w:lang w:val="fr-FR"/>
        </w:rPr>
        <w:t>’</w:t>
      </w:r>
      <w:r w:rsidRPr="001A3179">
        <w:rPr>
          <w:lang w:val="fr-FR"/>
        </w:rPr>
        <w:t>exerçaient auparavant différentes institutions, dont les centres d</w:t>
      </w:r>
      <w:r>
        <w:rPr>
          <w:lang w:val="fr-FR"/>
        </w:rPr>
        <w:t>’</w:t>
      </w:r>
      <w:r w:rsidRPr="001A3179">
        <w:rPr>
          <w:lang w:val="fr-FR"/>
        </w:rPr>
        <w:t>action sociale, le parquet, la police et les prisons. La probation vise à maintenir la personne sanctionnée dans le milieu où elle vit et travaille, mais en l</w:t>
      </w:r>
      <w:r>
        <w:rPr>
          <w:lang w:val="fr-FR"/>
        </w:rPr>
        <w:t>’</w:t>
      </w:r>
      <w:r w:rsidRPr="001A3179">
        <w:rPr>
          <w:lang w:val="fr-FR"/>
        </w:rPr>
        <w:t>assujettissant à diverses obligations. L</w:t>
      </w:r>
      <w:r>
        <w:rPr>
          <w:lang w:val="fr-FR"/>
        </w:rPr>
        <w:t>’</w:t>
      </w:r>
      <w:r w:rsidRPr="001A3179">
        <w:rPr>
          <w:lang w:val="fr-FR"/>
        </w:rPr>
        <w:t>Administration de la probation devrait permettre d</w:t>
      </w:r>
      <w:r>
        <w:rPr>
          <w:lang w:val="fr-FR"/>
        </w:rPr>
        <w:t>’</w:t>
      </w:r>
      <w:r w:rsidRPr="001A3179">
        <w:rPr>
          <w:lang w:val="fr-FR"/>
        </w:rPr>
        <w:t>accroître le recours aux peines de substitution.</w:t>
      </w:r>
    </w:p>
    <w:p w14:paraId="391B5709" w14:textId="77777777" w:rsidR="002A5EB2" w:rsidRPr="001A3179" w:rsidRDefault="002A5EB2" w:rsidP="002A5EB2">
      <w:pPr>
        <w:pStyle w:val="SingleTxtG"/>
        <w:rPr>
          <w:lang w:val="fr-FR"/>
        </w:rPr>
      </w:pPr>
      <w:r w:rsidRPr="001A3179">
        <w:rPr>
          <w:lang w:val="fr-FR"/>
        </w:rPr>
        <w:t>126.</w:t>
      </w:r>
      <w:r w:rsidRPr="001A3179">
        <w:rPr>
          <w:lang w:val="fr-FR"/>
        </w:rPr>
        <w:tab/>
        <w:t>À l</w:t>
      </w:r>
      <w:r>
        <w:rPr>
          <w:lang w:val="fr-FR"/>
        </w:rPr>
        <w:t>’</w:t>
      </w:r>
      <w:r w:rsidRPr="001A3179">
        <w:rPr>
          <w:lang w:val="fr-FR"/>
        </w:rPr>
        <w:t>annexe 4 figurent des données détaillées sur le nombre de condamnés et de prévenus en détention et sur les peines de substitution.</w:t>
      </w:r>
    </w:p>
    <w:p w14:paraId="68E6D00E" w14:textId="77777777" w:rsidR="002A5EB2" w:rsidRPr="001A3179" w:rsidRDefault="002A5EB2" w:rsidP="00F11C00">
      <w:pPr>
        <w:pStyle w:val="H23G"/>
        <w:rPr>
          <w:lang w:val="fr-FR"/>
        </w:rPr>
      </w:pPr>
      <w:r w:rsidRPr="001A3179">
        <w:rPr>
          <w:lang w:val="fr-FR"/>
        </w:rPr>
        <w:tab/>
      </w:r>
      <w:r w:rsidR="00F11C00">
        <w:rPr>
          <w:lang w:val="fr-FR"/>
        </w:rPr>
        <w:tab/>
      </w:r>
      <w:r w:rsidRPr="001A3179">
        <w:rPr>
          <w:lang w:val="fr-FR"/>
        </w:rPr>
        <w:t>Réponse au paragraphe 16 de la liste des points à traiter</w:t>
      </w:r>
    </w:p>
    <w:p w14:paraId="79C8967A" w14:textId="77777777" w:rsidR="002A5EB2" w:rsidRPr="001A3179" w:rsidRDefault="002A5EB2" w:rsidP="002A5EB2">
      <w:pPr>
        <w:pStyle w:val="SingleTxtG"/>
        <w:rPr>
          <w:lang w:val="fr-FR"/>
        </w:rPr>
      </w:pPr>
      <w:r w:rsidRPr="001A3179">
        <w:rPr>
          <w:lang w:val="fr-FR"/>
        </w:rPr>
        <w:t>127.</w:t>
      </w:r>
      <w:r w:rsidRPr="001A3179">
        <w:rPr>
          <w:lang w:val="fr-FR"/>
        </w:rPr>
        <w:tab/>
        <w:t>Le 2 novembre 2017, la CEDH a rendu une décision (59522/10) dans laquelle elle a pris acte que la Slovénie admettait avoir violé la Convention européenne des droits de l</w:t>
      </w:r>
      <w:r>
        <w:rPr>
          <w:lang w:val="fr-FR"/>
        </w:rPr>
        <w:t>’</w:t>
      </w:r>
      <w:r w:rsidRPr="001A3179">
        <w:rPr>
          <w:lang w:val="fr-FR"/>
        </w:rPr>
        <w:t>homme et s</w:t>
      </w:r>
      <w:r>
        <w:rPr>
          <w:lang w:val="fr-FR"/>
        </w:rPr>
        <w:t>’</w:t>
      </w:r>
      <w:r w:rsidRPr="001A3179">
        <w:rPr>
          <w:lang w:val="fr-FR"/>
        </w:rPr>
        <w:t>engageait à verser des indemnités aux proches de la victime (voir annexe 5).</w:t>
      </w:r>
    </w:p>
    <w:p w14:paraId="1F41CE05" w14:textId="77777777" w:rsidR="002A5EB2" w:rsidRPr="0025667E" w:rsidRDefault="002A5EB2" w:rsidP="002A5EB2">
      <w:pPr>
        <w:pStyle w:val="SingleTxtG"/>
        <w:rPr>
          <w:spacing w:val="-1"/>
          <w:lang w:val="fr-FR"/>
        </w:rPr>
      </w:pPr>
      <w:r w:rsidRPr="0025667E">
        <w:rPr>
          <w:spacing w:val="-1"/>
          <w:lang w:val="fr-FR"/>
        </w:rPr>
        <w:t>128.</w:t>
      </w:r>
      <w:r w:rsidRPr="0025667E">
        <w:rPr>
          <w:spacing w:val="-1"/>
          <w:lang w:val="fr-FR"/>
        </w:rPr>
        <w:tab/>
        <w:t>Au sujet des préoccupations relatives à l’impartialité des enquêtes sur les plaintes pour torture ou mauvais traitements imputés à la police, il convient de rappeler qu’en 2007 la responsabilité de la conduite des enquêtes et des poursuites visant des policiers soupçonnés d’avoir commis une infraction pénale a été transférée de la police à la Section spéciale relevant du Bureau du Procureur général d’État de la République de Slovénie, suite à des décisions de la Cour constitutionnelle de la République de Slovénie</w:t>
      </w:r>
      <w:r w:rsidRPr="0025667E">
        <w:rPr>
          <w:rStyle w:val="Appelnotedebasdep"/>
          <w:spacing w:val="-1"/>
        </w:rPr>
        <w:footnoteReference w:id="35"/>
      </w:r>
      <w:r w:rsidRPr="0025667E">
        <w:rPr>
          <w:spacing w:val="-1"/>
          <w:lang w:val="fr-FR"/>
        </w:rPr>
        <w:t xml:space="preserve"> et de la CEDH</w:t>
      </w:r>
      <w:r w:rsidRPr="0025667E">
        <w:rPr>
          <w:rStyle w:val="Appelnotedebasdep"/>
          <w:spacing w:val="-1"/>
        </w:rPr>
        <w:footnoteReference w:id="36"/>
      </w:r>
      <w:r w:rsidRPr="0025667E">
        <w:rPr>
          <w:spacing w:val="-1"/>
          <w:lang w:val="fr-FR"/>
        </w:rPr>
        <w:t xml:space="preserve">. Ce changement institutionnel a été opéré précisément pour assurer l’indépendance des enquêtes portant sur des infractions imputées à des policiers et à des fonctionnaires investis d’un pouvoir de police. La Section spéciale possède la compétence territoriale et matérielle exclusive pour poursuivre toutes les infractions pénales commises par des policiers, tant dans l’exercice de leurs fonctions officielles qu’hors service. La police est tenue d’informer la Section spéciale de tous les cas dans lesquels existent des raisons de soupçonner qu’un policier a commis une infraction pénale donnant lieu à des poursuites d’office. </w:t>
      </w:r>
    </w:p>
    <w:p w14:paraId="3A89477F" w14:textId="77777777" w:rsidR="002A5EB2" w:rsidRPr="001A3179" w:rsidRDefault="002A5EB2" w:rsidP="002A5EB2">
      <w:pPr>
        <w:pStyle w:val="SingleTxtG"/>
        <w:rPr>
          <w:lang w:val="fr-FR"/>
        </w:rPr>
      </w:pPr>
      <w:r w:rsidRPr="001A3179">
        <w:rPr>
          <w:lang w:val="fr-FR"/>
        </w:rPr>
        <w:t>129.</w:t>
      </w:r>
      <w:r w:rsidRPr="001A3179">
        <w:rPr>
          <w:lang w:val="fr-FR"/>
        </w:rPr>
        <w:tab/>
        <w:t>Ce dispositif assure une séparation institutionnelle suffisante pour garantir que l</w:t>
      </w:r>
      <w:r>
        <w:rPr>
          <w:lang w:val="fr-FR"/>
        </w:rPr>
        <w:t>’</w:t>
      </w:r>
      <w:r w:rsidRPr="001A3179">
        <w:rPr>
          <w:lang w:val="fr-FR"/>
        </w:rPr>
        <w:t>éventuelle inefficacité d</w:t>
      </w:r>
      <w:r>
        <w:rPr>
          <w:lang w:val="fr-FR"/>
        </w:rPr>
        <w:t>’</w:t>
      </w:r>
      <w:r w:rsidRPr="001A3179">
        <w:rPr>
          <w:lang w:val="fr-FR"/>
        </w:rPr>
        <w:t>une enquête ne puisse être imputable à un défaut d</w:t>
      </w:r>
      <w:r>
        <w:rPr>
          <w:lang w:val="fr-FR"/>
        </w:rPr>
        <w:t>’</w:t>
      </w:r>
      <w:r w:rsidRPr="001A3179">
        <w:rPr>
          <w:lang w:val="fr-FR"/>
        </w:rPr>
        <w:t>impartialité.</w:t>
      </w:r>
    </w:p>
    <w:p w14:paraId="3F889706" w14:textId="77777777" w:rsidR="002A5EB2" w:rsidRPr="001A3179" w:rsidRDefault="002A5EB2" w:rsidP="002A5EB2">
      <w:pPr>
        <w:pStyle w:val="SingleTxtG"/>
        <w:rPr>
          <w:lang w:val="fr-FR"/>
        </w:rPr>
      </w:pPr>
      <w:r w:rsidRPr="001A3179">
        <w:rPr>
          <w:lang w:val="fr-FR"/>
        </w:rPr>
        <w:t>130.</w:t>
      </w:r>
      <w:r w:rsidRPr="001A3179">
        <w:rPr>
          <w:lang w:val="fr-FR"/>
        </w:rPr>
        <w:tab/>
        <w:t>Voir la réponse au paragraphe 15 au sujet du droit à un procès rapide et impartial.</w:t>
      </w:r>
    </w:p>
    <w:p w14:paraId="76168A62" w14:textId="77777777" w:rsidR="002A5EB2" w:rsidRPr="001A3179" w:rsidRDefault="002A5EB2" w:rsidP="00F11C00">
      <w:pPr>
        <w:pStyle w:val="H23G"/>
        <w:rPr>
          <w:bCs/>
          <w:lang w:val="fr-FR"/>
        </w:rPr>
      </w:pPr>
      <w:r w:rsidRPr="001A3179">
        <w:rPr>
          <w:bCs/>
          <w:lang w:val="fr-FR"/>
        </w:rPr>
        <w:lastRenderedPageBreak/>
        <w:tab/>
      </w:r>
      <w:r w:rsidR="00F11C00">
        <w:rPr>
          <w:bCs/>
          <w:lang w:val="fr-FR"/>
        </w:rPr>
        <w:tab/>
      </w:r>
      <w:r w:rsidRPr="001A3179">
        <w:rPr>
          <w:lang w:val="fr-FR"/>
        </w:rPr>
        <w:t>Réponse au paragraphe 17 de la liste de</w:t>
      </w:r>
      <w:r>
        <w:rPr>
          <w:lang w:val="fr-FR"/>
        </w:rPr>
        <w:t>s</w:t>
      </w:r>
      <w:r w:rsidRPr="001A3179">
        <w:rPr>
          <w:lang w:val="fr-FR"/>
        </w:rPr>
        <w:t xml:space="preserve"> points</w:t>
      </w:r>
      <w:r>
        <w:rPr>
          <w:lang w:val="fr-FR"/>
        </w:rPr>
        <w:t xml:space="preserve"> à traiter</w:t>
      </w:r>
    </w:p>
    <w:p w14:paraId="59C7BD33" w14:textId="77777777" w:rsidR="002A5EB2" w:rsidRPr="001A3179" w:rsidRDefault="002A5EB2" w:rsidP="002A5EB2">
      <w:pPr>
        <w:pStyle w:val="SingleTxtG"/>
        <w:rPr>
          <w:lang w:val="fr-FR"/>
        </w:rPr>
      </w:pPr>
      <w:r w:rsidRPr="001A3179">
        <w:rPr>
          <w:lang w:val="fr-FR"/>
        </w:rPr>
        <w:t>131.</w:t>
      </w:r>
      <w:r w:rsidRPr="001A3179">
        <w:rPr>
          <w:lang w:val="fr-FR"/>
        </w:rPr>
        <w:tab/>
        <w:t>La question de la tenue de registres des auteurs d</w:t>
      </w:r>
      <w:r>
        <w:rPr>
          <w:lang w:val="fr-FR"/>
        </w:rPr>
        <w:t>’</w:t>
      </w:r>
      <w:r w:rsidRPr="001A3179">
        <w:rPr>
          <w:lang w:val="fr-FR"/>
        </w:rPr>
        <w:t>infractions par appartenance nationale, sexe et âge est traitée en détail dans la réponse au paragraphe 5 de la liste.</w:t>
      </w:r>
    </w:p>
    <w:p w14:paraId="5EB22112" w14:textId="77777777" w:rsidR="002A5EB2" w:rsidRPr="001A3179" w:rsidRDefault="002A5EB2" w:rsidP="002A5EB2">
      <w:pPr>
        <w:pStyle w:val="SingleTxtG"/>
        <w:rPr>
          <w:lang w:val="fr-FR"/>
        </w:rPr>
      </w:pPr>
      <w:r w:rsidRPr="001A3179">
        <w:rPr>
          <w:lang w:val="fr-FR"/>
        </w:rPr>
        <w:t>132.</w:t>
      </w:r>
      <w:r w:rsidRPr="001A3179">
        <w:rPr>
          <w:lang w:val="fr-FR"/>
        </w:rPr>
        <w:tab/>
        <w:t>Le tableau 1 ci-après présente un aperçu statistique général concernant les infractions pénales suivantes (ventilées par parquet pour la période du 1</w:t>
      </w:r>
      <w:r w:rsidRPr="001A3179">
        <w:rPr>
          <w:vertAlign w:val="superscript"/>
          <w:lang w:val="fr-FR"/>
        </w:rPr>
        <w:t>er</w:t>
      </w:r>
      <w:r w:rsidR="0025667E">
        <w:rPr>
          <w:lang w:val="fr-FR"/>
        </w:rPr>
        <w:t> </w:t>
      </w:r>
      <w:r w:rsidRPr="001A3179">
        <w:rPr>
          <w:lang w:val="fr-FR"/>
        </w:rPr>
        <w:t>janvier 2010 au 17</w:t>
      </w:r>
      <w:r w:rsidR="0025667E">
        <w:rPr>
          <w:lang w:val="fr-FR"/>
        </w:rPr>
        <w:t> </w:t>
      </w:r>
      <w:r w:rsidRPr="001A3179">
        <w:rPr>
          <w:lang w:val="fr-FR"/>
        </w:rPr>
        <w:t>novembre 2017)</w:t>
      </w:r>
      <w:r w:rsidR="0025667E">
        <w:rPr>
          <w:lang w:val="fr-FR"/>
        </w:rPr>
        <w:t> </w:t>
      </w:r>
      <w:r w:rsidRPr="001A3179">
        <w:rPr>
          <w:lang w:val="fr-FR"/>
        </w:rPr>
        <w:t>: torture, visée à l</w:t>
      </w:r>
      <w:r>
        <w:rPr>
          <w:lang w:val="fr-FR"/>
        </w:rPr>
        <w:t>’</w:t>
      </w:r>
      <w:r w:rsidRPr="001A3179">
        <w:rPr>
          <w:lang w:val="fr-FR"/>
        </w:rPr>
        <w:t>article 135a du Code pénal modifié (art</w:t>
      </w:r>
      <w:r w:rsidR="0025667E">
        <w:rPr>
          <w:lang w:val="fr-FR"/>
        </w:rPr>
        <w:t>. </w:t>
      </w:r>
      <w:r w:rsidRPr="001A3179">
        <w:rPr>
          <w:lang w:val="fr-FR"/>
        </w:rPr>
        <w:t>265 de l</w:t>
      </w:r>
      <w:r>
        <w:rPr>
          <w:lang w:val="fr-FR"/>
        </w:rPr>
        <w:t>’</w:t>
      </w:r>
      <w:r w:rsidRPr="001A3179">
        <w:rPr>
          <w:lang w:val="fr-FR"/>
        </w:rPr>
        <w:t>ancien Code) ; autres infractions pénales comportant des éléments de traitements cruels, inhumains ou dégradants, visées à l</w:t>
      </w:r>
      <w:r>
        <w:rPr>
          <w:lang w:val="fr-FR"/>
        </w:rPr>
        <w:t>’</w:t>
      </w:r>
      <w:r w:rsidRPr="001A3179">
        <w:rPr>
          <w:lang w:val="fr-FR"/>
        </w:rPr>
        <w:t>article 267 du Code pénal modifié (art</w:t>
      </w:r>
      <w:r w:rsidR="0025667E">
        <w:rPr>
          <w:lang w:val="fr-FR"/>
        </w:rPr>
        <w:t>. </w:t>
      </w:r>
      <w:r w:rsidRPr="001A3179">
        <w:rPr>
          <w:lang w:val="fr-FR"/>
        </w:rPr>
        <w:t>271 de l</w:t>
      </w:r>
      <w:r>
        <w:rPr>
          <w:lang w:val="fr-FR"/>
        </w:rPr>
        <w:t>’</w:t>
      </w:r>
      <w:r w:rsidRPr="001A3179">
        <w:rPr>
          <w:lang w:val="fr-FR"/>
        </w:rPr>
        <w:t>ancien Code) et à l</w:t>
      </w:r>
      <w:r>
        <w:rPr>
          <w:lang w:val="fr-FR"/>
        </w:rPr>
        <w:t>’</w:t>
      </w:r>
      <w:r w:rsidRPr="001A3179">
        <w:rPr>
          <w:lang w:val="fr-FR"/>
        </w:rPr>
        <w:t>article 266 du Code pénal modifié (art</w:t>
      </w:r>
      <w:r w:rsidR="0025667E">
        <w:rPr>
          <w:lang w:val="fr-FR"/>
        </w:rPr>
        <w:t>. </w:t>
      </w:r>
      <w:r w:rsidRPr="001A3179">
        <w:rPr>
          <w:lang w:val="fr-FR"/>
        </w:rPr>
        <w:t>270 de l</w:t>
      </w:r>
      <w:r>
        <w:rPr>
          <w:lang w:val="fr-FR"/>
        </w:rPr>
        <w:t>’</w:t>
      </w:r>
      <w:r w:rsidRPr="001A3179">
        <w:rPr>
          <w:lang w:val="fr-FR"/>
        </w:rPr>
        <w:t>ancien Code).</w:t>
      </w:r>
    </w:p>
    <w:tbl>
      <w:tblPr>
        <w:tblW w:w="7370" w:type="dxa"/>
        <w:tblInd w:w="1134" w:type="dxa"/>
        <w:tblLayout w:type="fixed"/>
        <w:tblCellMar>
          <w:left w:w="0" w:type="dxa"/>
          <w:right w:w="0" w:type="dxa"/>
        </w:tblCellMar>
        <w:tblLook w:val="0000" w:firstRow="0" w:lastRow="0" w:firstColumn="0" w:lastColumn="0" w:noHBand="0" w:noVBand="0"/>
      </w:tblPr>
      <w:tblGrid>
        <w:gridCol w:w="3401"/>
        <w:gridCol w:w="1134"/>
        <w:gridCol w:w="1701"/>
        <w:gridCol w:w="1134"/>
      </w:tblGrid>
      <w:tr w:rsidR="002A5EB2" w:rsidRPr="00F11C00" w14:paraId="29CFE4C8" w14:textId="77777777" w:rsidTr="007637C7">
        <w:trPr>
          <w:tblHeader/>
        </w:trPr>
        <w:tc>
          <w:tcPr>
            <w:tcW w:w="3402" w:type="dxa"/>
            <w:tcBorders>
              <w:top w:val="single" w:sz="4" w:space="0" w:color="auto"/>
              <w:bottom w:val="single" w:sz="12" w:space="0" w:color="auto"/>
            </w:tcBorders>
            <w:shd w:val="clear" w:color="auto" w:fill="auto"/>
            <w:tcMar>
              <w:right w:w="17" w:type="dxa"/>
            </w:tcMar>
            <w:vAlign w:val="bottom"/>
          </w:tcPr>
          <w:p w14:paraId="72AB9DAE" w14:textId="77777777" w:rsidR="002A5EB2" w:rsidRPr="00F11C00" w:rsidRDefault="002A5EB2" w:rsidP="00F11C00">
            <w:pPr>
              <w:suppressAutoHyphens w:val="0"/>
              <w:spacing w:before="80" w:after="80" w:line="200" w:lineRule="exact"/>
              <w:rPr>
                <w:i/>
                <w:sz w:val="16"/>
                <w:lang w:val="fr-FR"/>
              </w:rPr>
            </w:pPr>
            <w:r w:rsidRPr="00F11C00">
              <w:rPr>
                <w:i/>
                <w:sz w:val="16"/>
                <w:lang w:val="fr-FR"/>
              </w:rPr>
              <w:t>Parquet/événement</w:t>
            </w:r>
          </w:p>
        </w:tc>
        <w:tc>
          <w:tcPr>
            <w:tcW w:w="1134" w:type="dxa"/>
            <w:tcBorders>
              <w:top w:val="single" w:sz="4" w:space="0" w:color="auto"/>
              <w:bottom w:val="single" w:sz="12" w:space="0" w:color="auto"/>
            </w:tcBorders>
            <w:shd w:val="clear" w:color="auto" w:fill="auto"/>
            <w:tcMar>
              <w:right w:w="17" w:type="dxa"/>
            </w:tcMar>
            <w:vAlign w:val="bottom"/>
          </w:tcPr>
          <w:p w14:paraId="3CCD1CDD" w14:textId="77777777" w:rsidR="002A5EB2" w:rsidRPr="00F11C00" w:rsidRDefault="002A5EB2" w:rsidP="00F11C00">
            <w:pPr>
              <w:suppressAutoHyphens w:val="0"/>
              <w:spacing w:before="80" w:after="80" w:line="200" w:lineRule="exact"/>
              <w:jc w:val="right"/>
              <w:rPr>
                <w:i/>
                <w:sz w:val="16"/>
                <w:lang w:val="fr-FR"/>
              </w:rPr>
            </w:pPr>
            <w:r w:rsidRPr="007637C7">
              <w:rPr>
                <w:i/>
                <w:sz w:val="16"/>
                <w:lang w:val="fr-FR"/>
              </w:rPr>
              <w:t xml:space="preserve">Section </w:t>
            </w:r>
            <w:r w:rsidR="007637C7">
              <w:rPr>
                <w:i/>
                <w:sz w:val="16"/>
                <w:lang w:val="fr-FR"/>
              </w:rPr>
              <w:br/>
            </w:r>
            <w:r w:rsidRPr="007637C7">
              <w:rPr>
                <w:i/>
                <w:sz w:val="16"/>
                <w:lang w:val="fr-FR"/>
              </w:rPr>
              <w:t>spéciale</w:t>
            </w:r>
          </w:p>
        </w:tc>
        <w:tc>
          <w:tcPr>
            <w:tcW w:w="1701" w:type="dxa"/>
            <w:tcBorders>
              <w:top w:val="single" w:sz="4" w:space="0" w:color="auto"/>
              <w:bottom w:val="single" w:sz="12" w:space="0" w:color="auto"/>
            </w:tcBorders>
            <w:shd w:val="clear" w:color="auto" w:fill="auto"/>
            <w:tcMar>
              <w:right w:w="17" w:type="dxa"/>
            </w:tcMar>
            <w:vAlign w:val="bottom"/>
          </w:tcPr>
          <w:p w14:paraId="23D91F7B" w14:textId="77777777" w:rsidR="002A5EB2" w:rsidRPr="007637C7" w:rsidRDefault="002A5EB2" w:rsidP="007637C7">
            <w:pPr>
              <w:suppressAutoHyphens w:val="0"/>
              <w:spacing w:before="80" w:after="80" w:line="200" w:lineRule="exact"/>
              <w:jc w:val="right"/>
              <w:rPr>
                <w:i/>
                <w:sz w:val="16"/>
                <w:lang w:val="fr-FR"/>
              </w:rPr>
            </w:pPr>
            <w:r w:rsidRPr="007637C7">
              <w:rPr>
                <w:i/>
                <w:sz w:val="16"/>
                <w:lang w:val="fr-FR"/>
              </w:rPr>
              <w:t xml:space="preserve">Parquet spécialisé </w:t>
            </w:r>
            <w:r w:rsidR="007637C7">
              <w:rPr>
                <w:i/>
                <w:sz w:val="16"/>
                <w:lang w:val="fr-FR"/>
              </w:rPr>
              <w:br/>
            </w:r>
            <w:r w:rsidRPr="007637C7">
              <w:rPr>
                <w:i/>
                <w:sz w:val="16"/>
                <w:lang w:val="fr-FR"/>
              </w:rPr>
              <w:t xml:space="preserve">du Bureau </w:t>
            </w:r>
            <w:r w:rsidR="007637C7">
              <w:rPr>
                <w:i/>
                <w:sz w:val="16"/>
                <w:lang w:val="fr-FR"/>
              </w:rPr>
              <w:br/>
            </w:r>
            <w:r w:rsidRPr="007637C7">
              <w:rPr>
                <w:i/>
                <w:sz w:val="16"/>
                <w:lang w:val="fr-FR"/>
              </w:rPr>
              <w:t>du Procureur</w:t>
            </w:r>
            <w:r w:rsidR="007637C7" w:rsidRPr="007637C7">
              <w:rPr>
                <w:i/>
                <w:sz w:val="16"/>
                <w:lang w:val="fr-FR"/>
              </w:rPr>
              <w:t xml:space="preserve"> </w:t>
            </w:r>
            <w:r w:rsidRPr="007637C7">
              <w:rPr>
                <w:i/>
                <w:sz w:val="16"/>
                <w:lang w:val="fr-FR"/>
              </w:rPr>
              <w:t>d’Éta</w:t>
            </w:r>
            <w:r w:rsidR="007637C7">
              <w:rPr>
                <w:i/>
                <w:sz w:val="16"/>
                <w:lang w:val="fr-FR"/>
              </w:rPr>
              <w:t xml:space="preserve">t </w:t>
            </w:r>
          </w:p>
        </w:tc>
        <w:tc>
          <w:tcPr>
            <w:tcW w:w="1134" w:type="dxa"/>
            <w:tcBorders>
              <w:top w:val="single" w:sz="4" w:space="0" w:color="auto"/>
              <w:bottom w:val="single" w:sz="12" w:space="0" w:color="auto"/>
            </w:tcBorders>
            <w:shd w:val="clear" w:color="auto" w:fill="auto"/>
            <w:tcMar>
              <w:right w:w="17" w:type="dxa"/>
            </w:tcMar>
            <w:vAlign w:val="bottom"/>
          </w:tcPr>
          <w:p w14:paraId="5B997950" w14:textId="77777777" w:rsidR="002A5EB2" w:rsidRPr="00F11C00" w:rsidRDefault="002A5EB2" w:rsidP="007637C7">
            <w:pPr>
              <w:suppressAutoHyphens w:val="0"/>
              <w:spacing w:before="80" w:after="80" w:line="200" w:lineRule="exact"/>
              <w:jc w:val="right"/>
              <w:rPr>
                <w:i/>
                <w:sz w:val="16"/>
                <w:lang w:val="fr-FR"/>
              </w:rPr>
            </w:pPr>
            <w:r w:rsidRPr="007637C7">
              <w:rPr>
                <w:i/>
                <w:sz w:val="16"/>
                <w:lang w:val="fr-FR"/>
              </w:rPr>
              <w:t xml:space="preserve">Autres </w:t>
            </w:r>
            <w:r w:rsidR="007637C7">
              <w:rPr>
                <w:i/>
                <w:sz w:val="16"/>
                <w:lang w:val="fr-FR"/>
              </w:rPr>
              <w:br/>
            </w:r>
            <w:r w:rsidRPr="007637C7">
              <w:rPr>
                <w:i/>
                <w:sz w:val="16"/>
                <w:lang w:val="fr-FR"/>
              </w:rPr>
              <w:t>parquets</w:t>
            </w:r>
          </w:p>
        </w:tc>
      </w:tr>
      <w:tr w:rsidR="002A5EB2" w:rsidRPr="00F11C00" w14:paraId="4F1A22CC" w14:textId="77777777" w:rsidTr="007637C7">
        <w:tc>
          <w:tcPr>
            <w:tcW w:w="3402" w:type="dxa"/>
            <w:tcBorders>
              <w:top w:val="single" w:sz="12" w:space="0" w:color="auto"/>
            </w:tcBorders>
            <w:shd w:val="clear" w:color="auto" w:fill="auto"/>
            <w:tcMar>
              <w:right w:w="17" w:type="dxa"/>
            </w:tcMar>
          </w:tcPr>
          <w:p w14:paraId="278883A8" w14:textId="77777777" w:rsidR="002A5EB2" w:rsidRPr="00F11C00" w:rsidRDefault="002A5EB2" w:rsidP="00F11C00">
            <w:pPr>
              <w:suppressAutoHyphens w:val="0"/>
              <w:spacing w:before="40" w:after="40" w:line="220" w:lineRule="exact"/>
              <w:rPr>
                <w:sz w:val="18"/>
                <w:lang w:val="fr-FR"/>
              </w:rPr>
            </w:pPr>
            <w:r w:rsidRPr="00F11C00">
              <w:rPr>
                <w:bCs/>
                <w:sz w:val="18"/>
                <w:lang w:val="fr-FR"/>
              </w:rPr>
              <w:t>Plainte pénale</w:t>
            </w:r>
          </w:p>
        </w:tc>
        <w:tc>
          <w:tcPr>
            <w:tcW w:w="1134" w:type="dxa"/>
            <w:tcBorders>
              <w:top w:val="single" w:sz="12" w:space="0" w:color="auto"/>
            </w:tcBorders>
            <w:shd w:val="clear" w:color="auto" w:fill="auto"/>
            <w:tcMar>
              <w:right w:w="17" w:type="dxa"/>
            </w:tcMar>
            <w:vAlign w:val="bottom"/>
          </w:tcPr>
          <w:p w14:paraId="3B2F83F2"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18</w:t>
            </w:r>
          </w:p>
        </w:tc>
        <w:tc>
          <w:tcPr>
            <w:tcW w:w="1701" w:type="dxa"/>
            <w:tcBorders>
              <w:top w:val="single" w:sz="12" w:space="0" w:color="auto"/>
            </w:tcBorders>
            <w:shd w:val="clear" w:color="auto" w:fill="auto"/>
            <w:tcMar>
              <w:right w:w="17" w:type="dxa"/>
            </w:tcMar>
            <w:vAlign w:val="bottom"/>
          </w:tcPr>
          <w:p w14:paraId="28E5B26F"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2</w:t>
            </w:r>
          </w:p>
        </w:tc>
        <w:tc>
          <w:tcPr>
            <w:tcW w:w="1134" w:type="dxa"/>
            <w:tcBorders>
              <w:top w:val="single" w:sz="12" w:space="0" w:color="auto"/>
            </w:tcBorders>
            <w:shd w:val="clear" w:color="auto" w:fill="auto"/>
            <w:tcMar>
              <w:right w:w="17" w:type="dxa"/>
            </w:tcMar>
            <w:vAlign w:val="bottom"/>
          </w:tcPr>
          <w:p w14:paraId="0EFB05CC"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148</w:t>
            </w:r>
          </w:p>
        </w:tc>
      </w:tr>
      <w:tr w:rsidR="002A5EB2" w:rsidRPr="00F11C00" w14:paraId="4A299FA0" w14:textId="77777777" w:rsidTr="007637C7">
        <w:tc>
          <w:tcPr>
            <w:tcW w:w="3402" w:type="dxa"/>
            <w:shd w:val="clear" w:color="auto" w:fill="auto"/>
            <w:tcMar>
              <w:right w:w="17" w:type="dxa"/>
            </w:tcMar>
          </w:tcPr>
          <w:p w14:paraId="38B5D516" w14:textId="77777777" w:rsidR="002A5EB2" w:rsidRPr="00F11C00" w:rsidRDefault="002A5EB2" w:rsidP="00F11C00">
            <w:pPr>
              <w:suppressAutoHyphens w:val="0"/>
              <w:spacing w:before="40" w:after="40" w:line="220" w:lineRule="exact"/>
              <w:rPr>
                <w:sz w:val="18"/>
                <w:lang w:val="fr-FR"/>
              </w:rPr>
            </w:pPr>
            <w:r w:rsidRPr="00F11C00">
              <w:rPr>
                <w:bCs/>
                <w:sz w:val="18"/>
                <w:lang w:val="fr-FR"/>
              </w:rPr>
              <w:t xml:space="preserve">Plainte pénale réglée autrement </w:t>
            </w:r>
          </w:p>
        </w:tc>
        <w:tc>
          <w:tcPr>
            <w:tcW w:w="1134" w:type="dxa"/>
            <w:shd w:val="clear" w:color="auto" w:fill="auto"/>
            <w:tcMar>
              <w:right w:w="17" w:type="dxa"/>
            </w:tcMar>
            <w:vAlign w:val="bottom"/>
          </w:tcPr>
          <w:p w14:paraId="32BC72D4"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w:t>
            </w:r>
          </w:p>
        </w:tc>
        <w:tc>
          <w:tcPr>
            <w:tcW w:w="1701" w:type="dxa"/>
            <w:shd w:val="clear" w:color="auto" w:fill="auto"/>
            <w:tcMar>
              <w:right w:w="17" w:type="dxa"/>
            </w:tcMar>
            <w:vAlign w:val="bottom"/>
          </w:tcPr>
          <w:p w14:paraId="028DED96" w14:textId="77777777" w:rsidR="002A5EB2" w:rsidRPr="00F11C00" w:rsidRDefault="002A5EB2" w:rsidP="00F11C00">
            <w:pPr>
              <w:suppressAutoHyphens w:val="0"/>
              <w:spacing w:before="40" w:after="40" w:line="220" w:lineRule="exact"/>
              <w:jc w:val="right"/>
              <w:rPr>
                <w:sz w:val="18"/>
                <w:lang w:val="fr-FR"/>
              </w:rPr>
            </w:pPr>
          </w:p>
        </w:tc>
        <w:tc>
          <w:tcPr>
            <w:tcW w:w="1134" w:type="dxa"/>
            <w:shd w:val="clear" w:color="auto" w:fill="auto"/>
            <w:tcMar>
              <w:right w:w="17" w:type="dxa"/>
            </w:tcMar>
            <w:vAlign w:val="bottom"/>
          </w:tcPr>
          <w:p w14:paraId="19E03A4F"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8</w:t>
            </w:r>
          </w:p>
        </w:tc>
      </w:tr>
      <w:tr w:rsidR="002A5EB2" w:rsidRPr="00F11C00" w14:paraId="1D6AE2A5" w14:textId="77777777" w:rsidTr="007637C7">
        <w:tc>
          <w:tcPr>
            <w:tcW w:w="3402" w:type="dxa"/>
            <w:shd w:val="clear" w:color="auto" w:fill="auto"/>
            <w:tcMar>
              <w:right w:w="17" w:type="dxa"/>
            </w:tcMar>
          </w:tcPr>
          <w:p w14:paraId="39DD8D13" w14:textId="77777777" w:rsidR="002A5EB2" w:rsidRPr="00F11C00" w:rsidRDefault="002A5EB2" w:rsidP="00F11C00">
            <w:pPr>
              <w:suppressAutoHyphens w:val="0"/>
              <w:spacing w:before="40" w:after="40" w:line="220" w:lineRule="exact"/>
              <w:rPr>
                <w:sz w:val="18"/>
                <w:lang w:val="fr-FR"/>
              </w:rPr>
            </w:pPr>
            <w:r w:rsidRPr="00F11C00">
              <w:rPr>
                <w:bCs/>
                <w:sz w:val="18"/>
                <w:lang w:val="fr-FR"/>
              </w:rPr>
              <w:t>Demande d’enquête</w:t>
            </w:r>
          </w:p>
        </w:tc>
        <w:tc>
          <w:tcPr>
            <w:tcW w:w="1134" w:type="dxa"/>
            <w:shd w:val="clear" w:color="auto" w:fill="auto"/>
            <w:tcMar>
              <w:right w:w="17" w:type="dxa"/>
            </w:tcMar>
            <w:vAlign w:val="bottom"/>
          </w:tcPr>
          <w:p w14:paraId="0379E47A" w14:textId="77777777" w:rsidR="002A5EB2" w:rsidRPr="00F11C00" w:rsidRDefault="002A5EB2" w:rsidP="00F11C00">
            <w:pPr>
              <w:suppressAutoHyphens w:val="0"/>
              <w:spacing w:before="40" w:after="40" w:line="220" w:lineRule="exact"/>
              <w:jc w:val="right"/>
              <w:rPr>
                <w:sz w:val="18"/>
                <w:lang w:val="fr-FR"/>
              </w:rPr>
            </w:pPr>
          </w:p>
        </w:tc>
        <w:tc>
          <w:tcPr>
            <w:tcW w:w="1701" w:type="dxa"/>
            <w:shd w:val="clear" w:color="auto" w:fill="auto"/>
            <w:tcMar>
              <w:right w:w="17" w:type="dxa"/>
            </w:tcMar>
            <w:vAlign w:val="bottom"/>
          </w:tcPr>
          <w:p w14:paraId="763ED63D"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2</w:t>
            </w:r>
          </w:p>
        </w:tc>
        <w:tc>
          <w:tcPr>
            <w:tcW w:w="1134" w:type="dxa"/>
            <w:shd w:val="clear" w:color="auto" w:fill="auto"/>
            <w:tcMar>
              <w:right w:w="17" w:type="dxa"/>
            </w:tcMar>
            <w:vAlign w:val="bottom"/>
          </w:tcPr>
          <w:p w14:paraId="63ADCBA8"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4</w:t>
            </w:r>
          </w:p>
        </w:tc>
      </w:tr>
      <w:tr w:rsidR="002A5EB2" w:rsidRPr="00F11C00" w14:paraId="387B4487" w14:textId="77777777" w:rsidTr="007637C7">
        <w:tc>
          <w:tcPr>
            <w:tcW w:w="3402" w:type="dxa"/>
            <w:shd w:val="clear" w:color="auto" w:fill="auto"/>
            <w:tcMar>
              <w:right w:w="17" w:type="dxa"/>
            </w:tcMar>
          </w:tcPr>
          <w:p w14:paraId="28859C06" w14:textId="77777777" w:rsidR="002A5EB2" w:rsidRPr="00F11C00" w:rsidRDefault="002A5EB2" w:rsidP="00F11C00">
            <w:pPr>
              <w:suppressAutoHyphens w:val="0"/>
              <w:spacing w:before="40" w:after="40" w:line="220" w:lineRule="exact"/>
              <w:rPr>
                <w:sz w:val="18"/>
                <w:lang w:val="fr-FR"/>
              </w:rPr>
            </w:pPr>
            <w:r w:rsidRPr="00F11C00">
              <w:rPr>
                <w:bCs/>
                <w:sz w:val="18"/>
                <w:lang w:val="fr-FR"/>
              </w:rPr>
              <w:t>Décision de rejet de la plainte pénale</w:t>
            </w:r>
          </w:p>
        </w:tc>
        <w:tc>
          <w:tcPr>
            <w:tcW w:w="1134" w:type="dxa"/>
            <w:shd w:val="clear" w:color="auto" w:fill="auto"/>
            <w:tcMar>
              <w:right w:w="17" w:type="dxa"/>
            </w:tcMar>
            <w:vAlign w:val="bottom"/>
          </w:tcPr>
          <w:p w14:paraId="28BF61FB"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20</w:t>
            </w:r>
          </w:p>
        </w:tc>
        <w:tc>
          <w:tcPr>
            <w:tcW w:w="1701" w:type="dxa"/>
            <w:shd w:val="clear" w:color="auto" w:fill="auto"/>
            <w:tcMar>
              <w:right w:w="17" w:type="dxa"/>
            </w:tcMar>
            <w:vAlign w:val="bottom"/>
          </w:tcPr>
          <w:p w14:paraId="511E9ED1" w14:textId="77777777" w:rsidR="002A5EB2" w:rsidRPr="00F11C00" w:rsidRDefault="002A5EB2" w:rsidP="00F11C00">
            <w:pPr>
              <w:suppressAutoHyphens w:val="0"/>
              <w:spacing w:before="40" w:after="40" w:line="220" w:lineRule="exact"/>
              <w:jc w:val="right"/>
              <w:rPr>
                <w:sz w:val="18"/>
                <w:lang w:val="fr-FR"/>
              </w:rPr>
            </w:pPr>
          </w:p>
        </w:tc>
        <w:tc>
          <w:tcPr>
            <w:tcW w:w="1134" w:type="dxa"/>
            <w:shd w:val="clear" w:color="auto" w:fill="auto"/>
            <w:tcMar>
              <w:right w:w="17" w:type="dxa"/>
            </w:tcMar>
            <w:vAlign w:val="bottom"/>
          </w:tcPr>
          <w:p w14:paraId="1EBFA074"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143</w:t>
            </w:r>
          </w:p>
        </w:tc>
      </w:tr>
      <w:tr w:rsidR="002A5EB2" w:rsidRPr="00F11C00" w14:paraId="79B18287" w14:textId="77777777" w:rsidTr="007637C7">
        <w:tc>
          <w:tcPr>
            <w:tcW w:w="3402" w:type="dxa"/>
            <w:shd w:val="clear" w:color="auto" w:fill="auto"/>
            <w:tcMar>
              <w:right w:w="17" w:type="dxa"/>
            </w:tcMar>
          </w:tcPr>
          <w:p w14:paraId="6C00C655" w14:textId="77777777" w:rsidR="002A5EB2" w:rsidRPr="00F11C00" w:rsidRDefault="002A5EB2" w:rsidP="00F11C00">
            <w:pPr>
              <w:suppressAutoHyphens w:val="0"/>
              <w:spacing w:before="40" w:after="40" w:line="220" w:lineRule="exact"/>
              <w:rPr>
                <w:sz w:val="18"/>
                <w:lang w:val="fr-FR"/>
              </w:rPr>
            </w:pPr>
            <w:r w:rsidRPr="00F11C00">
              <w:rPr>
                <w:bCs/>
                <w:sz w:val="18"/>
                <w:lang w:val="fr-FR"/>
              </w:rPr>
              <w:t>Mise en accusation</w:t>
            </w:r>
          </w:p>
        </w:tc>
        <w:tc>
          <w:tcPr>
            <w:tcW w:w="1134" w:type="dxa"/>
            <w:shd w:val="clear" w:color="auto" w:fill="auto"/>
            <w:tcMar>
              <w:right w:w="17" w:type="dxa"/>
            </w:tcMar>
            <w:vAlign w:val="bottom"/>
          </w:tcPr>
          <w:p w14:paraId="74C59C2B"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w:t>
            </w:r>
          </w:p>
        </w:tc>
        <w:tc>
          <w:tcPr>
            <w:tcW w:w="1701" w:type="dxa"/>
            <w:shd w:val="clear" w:color="auto" w:fill="auto"/>
            <w:tcMar>
              <w:right w:w="17" w:type="dxa"/>
            </w:tcMar>
            <w:vAlign w:val="bottom"/>
          </w:tcPr>
          <w:p w14:paraId="5C051009"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2</w:t>
            </w:r>
          </w:p>
        </w:tc>
        <w:tc>
          <w:tcPr>
            <w:tcW w:w="1134" w:type="dxa"/>
            <w:shd w:val="clear" w:color="auto" w:fill="auto"/>
            <w:tcMar>
              <w:right w:w="17" w:type="dxa"/>
            </w:tcMar>
            <w:vAlign w:val="bottom"/>
          </w:tcPr>
          <w:p w14:paraId="49451132"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9</w:t>
            </w:r>
          </w:p>
        </w:tc>
      </w:tr>
      <w:tr w:rsidR="002A5EB2" w:rsidRPr="00F11C00" w14:paraId="3A2C8339" w14:textId="77777777" w:rsidTr="00654293">
        <w:tc>
          <w:tcPr>
            <w:tcW w:w="3402" w:type="dxa"/>
            <w:tcBorders>
              <w:bottom w:val="single" w:sz="4" w:space="0" w:color="auto"/>
            </w:tcBorders>
            <w:shd w:val="clear" w:color="auto" w:fill="auto"/>
            <w:tcMar>
              <w:right w:w="17" w:type="dxa"/>
            </w:tcMar>
          </w:tcPr>
          <w:p w14:paraId="29E96D4E" w14:textId="77777777" w:rsidR="002A5EB2" w:rsidRPr="00F11C00" w:rsidRDefault="002A5EB2" w:rsidP="00F11C00">
            <w:pPr>
              <w:suppressAutoHyphens w:val="0"/>
              <w:spacing w:before="40" w:after="40" w:line="220" w:lineRule="exact"/>
              <w:rPr>
                <w:sz w:val="18"/>
                <w:lang w:val="fr-FR"/>
              </w:rPr>
            </w:pPr>
            <w:r w:rsidRPr="00F11C00">
              <w:rPr>
                <w:bCs/>
                <w:sz w:val="18"/>
                <w:lang w:val="fr-FR"/>
              </w:rPr>
              <w:t>Abandon des poursuites</w:t>
            </w:r>
          </w:p>
        </w:tc>
        <w:tc>
          <w:tcPr>
            <w:tcW w:w="1134" w:type="dxa"/>
            <w:tcBorders>
              <w:bottom w:val="single" w:sz="4" w:space="0" w:color="auto"/>
            </w:tcBorders>
            <w:shd w:val="clear" w:color="auto" w:fill="auto"/>
            <w:tcMar>
              <w:right w:w="17" w:type="dxa"/>
            </w:tcMar>
            <w:vAlign w:val="bottom"/>
          </w:tcPr>
          <w:p w14:paraId="7B131157"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w:t>
            </w:r>
          </w:p>
        </w:tc>
        <w:tc>
          <w:tcPr>
            <w:tcW w:w="1701" w:type="dxa"/>
            <w:tcBorders>
              <w:bottom w:val="single" w:sz="4" w:space="0" w:color="auto"/>
            </w:tcBorders>
            <w:shd w:val="clear" w:color="auto" w:fill="auto"/>
            <w:tcMar>
              <w:right w:w="17" w:type="dxa"/>
            </w:tcMar>
            <w:vAlign w:val="bottom"/>
          </w:tcPr>
          <w:p w14:paraId="258D25CD" w14:textId="77777777" w:rsidR="002A5EB2" w:rsidRPr="00F11C00" w:rsidRDefault="002A5EB2" w:rsidP="00F11C00">
            <w:pPr>
              <w:suppressAutoHyphens w:val="0"/>
              <w:spacing w:before="40" w:after="40" w:line="220" w:lineRule="exact"/>
              <w:jc w:val="right"/>
              <w:rPr>
                <w:sz w:val="18"/>
                <w:lang w:val="fr-FR"/>
              </w:rPr>
            </w:pPr>
          </w:p>
        </w:tc>
        <w:tc>
          <w:tcPr>
            <w:tcW w:w="1134" w:type="dxa"/>
            <w:tcBorders>
              <w:bottom w:val="single" w:sz="4" w:space="0" w:color="auto"/>
            </w:tcBorders>
            <w:shd w:val="clear" w:color="auto" w:fill="auto"/>
            <w:tcMar>
              <w:right w:w="17" w:type="dxa"/>
            </w:tcMar>
            <w:vAlign w:val="bottom"/>
          </w:tcPr>
          <w:p w14:paraId="32EFF23B" w14:textId="77777777" w:rsidR="002A5EB2" w:rsidRPr="00F11C00" w:rsidRDefault="002A5EB2" w:rsidP="00F11C00">
            <w:pPr>
              <w:suppressAutoHyphens w:val="0"/>
              <w:spacing w:before="40" w:after="40" w:line="220" w:lineRule="exact"/>
              <w:jc w:val="right"/>
              <w:rPr>
                <w:sz w:val="18"/>
                <w:lang w:val="fr-FR"/>
              </w:rPr>
            </w:pPr>
            <w:r w:rsidRPr="00F11C00">
              <w:rPr>
                <w:sz w:val="18"/>
                <w:lang w:val="fr-FR"/>
              </w:rPr>
              <w:t>1</w:t>
            </w:r>
          </w:p>
        </w:tc>
      </w:tr>
      <w:tr w:rsidR="002A5EB2" w:rsidRPr="00F11C00" w14:paraId="020937FF" w14:textId="77777777" w:rsidTr="00654293">
        <w:tc>
          <w:tcPr>
            <w:tcW w:w="3402" w:type="dxa"/>
            <w:tcBorders>
              <w:top w:val="single" w:sz="4" w:space="0" w:color="auto"/>
              <w:bottom w:val="single" w:sz="12" w:space="0" w:color="auto"/>
            </w:tcBorders>
            <w:shd w:val="clear" w:color="auto" w:fill="auto"/>
            <w:tcMar>
              <w:right w:w="17" w:type="dxa"/>
            </w:tcMar>
          </w:tcPr>
          <w:p w14:paraId="58B2E79D" w14:textId="77777777" w:rsidR="002A5EB2" w:rsidRPr="00F11C00" w:rsidRDefault="002A5EB2" w:rsidP="007637C7">
            <w:pPr>
              <w:suppressAutoHyphens w:val="0"/>
              <w:spacing w:before="80" w:after="80" w:line="220" w:lineRule="exact"/>
              <w:ind w:firstLine="284"/>
              <w:rPr>
                <w:b/>
                <w:sz w:val="18"/>
                <w:lang w:val="fr-FR"/>
              </w:rPr>
            </w:pPr>
            <w:r w:rsidRPr="00F11C00">
              <w:rPr>
                <w:b/>
                <w:sz w:val="18"/>
                <w:lang w:val="fr-FR"/>
              </w:rPr>
              <w:t>Total des plaintes réglées</w:t>
            </w:r>
          </w:p>
        </w:tc>
        <w:tc>
          <w:tcPr>
            <w:tcW w:w="1134" w:type="dxa"/>
            <w:tcBorders>
              <w:top w:val="single" w:sz="4" w:space="0" w:color="auto"/>
              <w:bottom w:val="single" w:sz="12" w:space="0" w:color="auto"/>
            </w:tcBorders>
            <w:shd w:val="clear" w:color="auto" w:fill="auto"/>
            <w:tcMar>
              <w:right w:w="17" w:type="dxa"/>
            </w:tcMar>
            <w:vAlign w:val="bottom"/>
          </w:tcPr>
          <w:p w14:paraId="626C5DEE" w14:textId="77777777" w:rsidR="002A5EB2" w:rsidRPr="007637C7" w:rsidRDefault="002A5EB2" w:rsidP="007637C7">
            <w:pPr>
              <w:suppressAutoHyphens w:val="0"/>
              <w:spacing w:before="80" w:after="80" w:line="220" w:lineRule="exact"/>
              <w:jc w:val="right"/>
              <w:rPr>
                <w:b/>
                <w:sz w:val="18"/>
                <w:lang w:val="fr-FR"/>
              </w:rPr>
            </w:pPr>
            <w:r w:rsidRPr="007637C7">
              <w:rPr>
                <w:b/>
                <w:bCs/>
                <w:sz w:val="18"/>
                <w:lang w:val="fr-FR"/>
              </w:rPr>
              <w:t>23</w:t>
            </w:r>
          </w:p>
        </w:tc>
        <w:tc>
          <w:tcPr>
            <w:tcW w:w="1701" w:type="dxa"/>
            <w:tcBorders>
              <w:top w:val="single" w:sz="4" w:space="0" w:color="auto"/>
              <w:bottom w:val="single" w:sz="12" w:space="0" w:color="auto"/>
            </w:tcBorders>
            <w:shd w:val="clear" w:color="auto" w:fill="auto"/>
            <w:tcMar>
              <w:right w:w="17" w:type="dxa"/>
            </w:tcMar>
            <w:vAlign w:val="bottom"/>
          </w:tcPr>
          <w:p w14:paraId="725C62E0" w14:textId="77777777" w:rsidR="002A5EB2" w:rsidRPr="007637C7" w:rsidRDefault="002A5EB2" w:rsidP="007637C7">
            <w:pPr>
              <w:suppressAutoHyphens w:val="0"/>
              <w:spacing w:before="80" w:after="80" w:line="220" w:lineRule="exact"/>
              <w:jc w:val="right"/>
              <w:rPr>
                <w:b/>
                <w:sz w:val="18"/>
                <w:lang w:val="fr-FR"/>
              </w:rPr>
            </w:pPr>
            <w:r w:rsidRPr="007637C7">
              <w:rPr>
                <w:b/>
                <w:bCs/>
                <w:sz w:val="18"/>
                <w:lang w:val="fr-FR"/>
              </w:rPr>
              <w:t>4</w:t>
            </w:r>
          </w:p>
        </w:tc>
        <w:tc>
          <w:tcPr>
            <w:tcW w:w="1134" w:type="dxa"/>
            <w:tcBorders>
              <w:top w:val="single" w:sz="4" w:space="0" w:color="auto"/>
              <w:bottom w:val="single" w:sz="12" w:space="0" w:color="auto"/>
            </w:tcBorders>
            <w:shd w:val="clear" w:color="auto" w:fill="auto"/>
            <w:tcMar>
              <w:right w:w="17" w:type="dxa"/>
            </w:tcMar>
            <w:vAlign w:val="bottom"/>
          </w:tcPr>
          <w:p w14:paraId="5D4A2F66" w14:textId="77777777" w:rsidR="002A5EB2" w:rsidRPr="007637C7" w:rsidRDefault="002A5EB2" w:rsidP="007637C7">
            <w:pPr>
              <w:suppressAutoHyphens w:val="0"/>
              <w:spacing w:before="80" w:after="80" w:line="220" w:lineRule="exact"/>
              <w:jc w:val="right"/>
              <w:rPr>
                <w:b/>
                <w:sz w:val="18"/>
                <w:lang w:val="fr-FR"/>
              </w:rPr>
            </w:pPr>
            <w:r w:rsidRPr="007637C7">
              <w:rPr>
                <w:b/>
                <w:bCs/>
                <w:sz w:val="18"/>
                <w:lang w:val="fr-FR"/>
              </w:rPr>
              <w:t>165</w:t>
            </w:r>
          </w:p>
        </w:tc>
      </w:tr>
    </w:tbl>
    <w:p w14:paraId="36B5E03E" w14:textId="77777777" w:rsidR="002A5EB2" w:rsidRDefault="002A5EB2" w:rsidP="00F11C00">
      <w:pPr>
        <w:pStyle w:val="SingleTxtG"/>
        <w:spacing w:before="240"/>
        <w:rPr>
          <w:lang w:val="fr-FR"/>
        </w:rPr>
      </w:pPr>
      <w:r w:rsidRPr="001A3179">
        <w:rPr>
          <w:lang w:val="fr-FR"/>
        </w:rPr>
        <w:t>133.</w:t>
      </w:r>
      <w:r w:rsidRPr="001A3179">
        <w:rPr>
          <w:lang w:val="fr-FR"/>
        </w:rPr>
        <w:tab/>
        <w:t>Le tableau 2 présente les données relatives à la Section spéciale, ventilées par année. En 2016 et 2017, la Section spéciale n</w:t>
      </w:r>
      <w:r>
        <w:rPr>
          <w:lang w:val="fr-FR"/>
        </w:rPr>
        <w:t>’</w:t>
      </w:r>
      <w:r w:rsidRPr="001A3179">
        <w:rPr>
          <w:lang w:val="fr-FR"/>
        </w:rPr>
        <w:t>a été saisie d</w:t>
      </w:r>
      <w:r>
        <w:rPr>
          <w:lang w:val="fr-FR"/>
        </w:rPr>
        <w:t>’</w:t>
      </w:r>
      <w:r w:rsidRPr="001A3179">
        <w:rPr>
          <w:lang w:val="fr-FR"/>
        </w:rPr>
        <w:t>aucune infraction pénale comportant des éléments de traitements cruels, inhumains ou dégradants</w:t>
      </w:r>
      <w:r w:rsidR="00F11C00">
        <w:rPr>
          <w:lang w:val="fr-FR"/>
        </w:rPr>
        <w:t> </w:t>
      </w:r>
      <w:r w:rsidRPr="001A3179">
        <w:rPr>
          <w:lang w:val="fr-FR"/>
        </w:rPr>
        <w:t>:</w:t>
      </w:r>
    </w:p>
    <w:tbl>
      <w:tblPr>
        <w:tblW w:w="9639" w:type="dxa"/>
        <w:tblLayout w:type="fixed"/>
        <w:tblCellMar>
          <w:left w:w="0" w:type="dxa"/>
          <w:right w:w="0" w:type="dxa"/>
        </w:tblCellMar>
        <w:tblLook w:val="04A0" w:firstRow="1" w:lastRow="0" w:firstColumn="1" w:lastColumn="0" w:noHBand="0" w:noVBand="1"/>
      </w:tblPr>
      <w:tblGrid>
        <w:gridCol w:w="850"/>
        <w:gridCol w:w="851"/>
        <w:gridCol w:w="1134"/>
        <w:gridCol w:w="1134"/>
        <w:gridCol w:w="1134"/>
        <w:gridCol w:w="1134"/>
        <w:gridCol w:w="1134"/>
        <w:gridCol w:w="1134"/>
        <w:gridCol w:w="1134"/>
      </w:tblGrid>
      <w:tr w:rsidR="00894C70" w:rsidRPr="001C0B9F" w14:paraId="1ACE1706" w14:textId="77777777" w:rsidTr="00894C70">
        <w:trPr>
          <w:tblHeader/>
        </w:trPr>
        <w:tc>
          <w:tcPr>
            <w:tcW w:w="850" w:type="dxa"/>
            <w:vMerge w:val="restart"/>
            <w:tcBorders>
              <w:top w:val="single" w:sz="4" w:space="0" w:color="auto"/>
            </w:tcBorders>
            <w:shd w:val="clear" w:color="auto" w:fill="auto"/>
            <w:tcMar>
              <w:right w:w="113" w:type="dxa"/>
            </w:tcMar>
            <w:vAlign w:val="bottom"/>
          </w:tcPr>
          <w:p w14:paraId="7A68839D" w14:textId="77777777" w:rsidR="00894C70" w:rsidRPr="001C0B9F" w:rsidRDefault="00894C70" w:rsidP="00894C70">
            <w:pPr>
              <w:suppressAutoHyphens w:val="0"/>
              <w:spacing w:before="80" w:after="80" w:line="200" w:lineRule="exact"/>
              <w:rPr>
                <w:i/>
                <w:sz w:val="15"/>
                <w:szCs w:val="15"/>
                <w:lang w:val="fr-FR"/>
              </w:rPr>
            </w:pPr>
            <w:r w:rsidRPr="001C0B9F">
              <w:rPr>
                <w:i/>
                <w:sz w:val="15"/>
                <w:szCs w:val="15"/>
                <w:lang w:val="fr-FR"/>
              </w:rPr>
              <w:t>Année/</w:t>
            </w:r>
            <w:r w:rsidRPr="001C0B9F">
              <w:rPr>
                <w:i/>
                <w:sz w:val="15"/>
                <w:szCs w:val="15"/>
                <w:lang w:val="fr-FR"/>
              </w:rPr>
              <w:br/>
              <w:t>événement</w:t>
            </w:r>
          </w:p>
        </w:tc>
        <w:tc>
          <w:tcPr>
            <w:tcW w:w="851" w:type="dxa"/>
            <w:vMerge w:val="restart"/>
            <w:tcBorders>
              <w:top w:val="single" w:sz="4" w:space="0" w:color="auto"/>
            </w:tcBorders>
            <w:shd w:val="clear" w:color="auto" w:fill="auto"/>
            <w:tcMar>
              <w:right w:w="113" w:type="dxa"/>
            </w:tcMar>
            <w:vAlign w:val="bottom"/>
          </w:tcPr>
          <w:p w14:paraId="168E0DC2" w14:textId="77777777" w:rsidR="00894C70" w:rsidRPr="001C0B9F" w:rsidRDefault="00894C70" w:rsidP="00894C70">
            <w:pPr>
              <w:suppressAutoHyphens w:val="0"/>
              <w:spacing w:before="80" w:after="80" w:line="200" w:lineRule="exact"/>
              <w:jc w:val="right"/>
              <w:rPr>
                <w:i/>
                <w:sz w:val="15"/>
                <w:szCs w:val="15"/>
                <w:lang w:val="fr-FR"/>
              </w:rPr>
            </w:pPr>
            <w:r w:rsidRPr="001C0B9F">
              <w:rPr>
                <w:i/>
                <w:sz w:val="15"/>
                <w:szCs w:val="15"/>
                <w:lang w:val="fr-FR"/>
              </w:rPr>
              <w:t>Plainte pénale</w:t>
            </w:r>
          </w:p>
        </w:tc>
        <w:tc>
          <w:tcPr>
            <w:tcW w:w="1134" w:type="dxa"/>
            <w:vMerge w:val="restart"/>
            <w:tcBorders>
              <w:top w:val="single" w:sz="4" w:space="0" w:color="auto"/>
            </w:tcBorders>
            <w:shd w:val="clear" w:color="auto" w:fill="auto"/>
            <w:tcMar>
              <w:right w:w="113" w:type="dxa"/>
            </w:tcMar>
            <w:vAlign w:val="bottom"/>
          </w:tcPr>
          <w:p w14:paraId="62B2785B" w14:textId="77777777" w:rsidR="00894C70" w:rsidRPr="001C0B9F" w:rsidRDefault="00894C70" w:rsidP="00894C70">
            <w:pPr>
              <w:suppressAutoHyphens w:val="0"/>
              <w:spacing w:before="80" w:after="80" w:line="200" w:lineRule="exact"/>
              <w:jc w:val="right"/>
              <w:rPr>
                <w:i/>
                <w:sz w:val="15"/>
                <w:szCs w:val="15"/>
                <w:lang w:val="fr-FR"/>
              </w:rPr>
            </w:pPr>
            <w:r w:rsidRPr="001C0B9F">
              <w:rPr>
                <w:i/>
                <w:sz w:val="15"/>
                <w:szCs w:val="15"/>
                <w:lang w:val="fr-FR"/>
              </w:rPr>
              <w:t xml:space="preserve">Plainte </w:t>
            </w:r>
            <w:r>
              <w:rPr>
                <w:i/>
                <w:sz w:val="15"/>
                <w:szCs w:val="15"/>
                <w:lang w:val="fr-FR"/>
              </w:rPr>
              <w:br/>
            </w:r>
            <w:r w:rsidRPr="001C0B9F">
              <w:rPr>
                <w:i/>
                <w:sz w:val="15"/>
                <w:szCs w:val="15"/>
                <w:lang w:val="fr-FR"/>
              </w:rPr>
              <w:t xml:space="preserve">pénale réglée </w:t>
            </w:r>
            <w:r>
              <w:rPr>
                <w:i/>
                <w:sz w:val="15"/>
                <w:szCs w:val="15"/>
                <w:lang w:val="fr-FR"/>
              </w:rPr>
              <w:br/>
            </w:r>
            <w:r w:rsidRPr="001C0B9F">
              <w:rPr>
                <w:i/>
                <w:sz w:val="15"/>
                <w:szCs w:val="15"/>
                <w:lang w:val="fr-FR"/>
              </w:rPr>
              <w:t>autrement</w:t>
            </w:r>
          </w:p>
        </w:tc>
        <w:tc>
          <w:tcPr>
            <w:tcW w:w="1134" w:type="dxa"/>
            <w:vMerge w:val="restart"/>
            <w:tcBorders>
              <w:top w:val="single" w:sz="4" w:space="0" w:color="auto"/>
            </w:tcBorders>
            <w:shd w:val="clear" w:color="auto" w:fill="auto"/>
            <w:tcMar>
              <w:right w:w="113" w:type="dxa"/>
            </w:tcMar>
            <w:vAlign w:val="bottom"/>
          </w:tcPr>
          <w:p w14:paraId="73C033B1" w14:textId="77777777" w:rsidR="00894C70" w:rsidRPr="001C0B9F" w:rsidRDefault="00894C70" w:rsidP="00894C70">
            <w:pPr>
              <w:suppressAutoHyphens w:val="0"/>
              <w:spacing w:before="80" w:after="80" w:line="200" w:lineRule="exact"/>
              <w:jc w:val="right"/>
              <w:rPr>
                <w:i/>
                <w:sz w:val="15"/>
                <w:szCs w:val="15"/>
                <w:lang w:val="fr-FR"/>
              </w:rPr>
            </w:pPr>
            <w:r w:rsidRPr="001C0B9F">
              <w:rPr>
                <w:i/>
                <w:sz w:val="15"/>
                <w:szCs w:val="15"/>
                <w:lang w:val="fr-FR"/>
              </w:rPr>
              <w:t xml:space="preserve">Décision </w:t>
            </w:r>
            <w:r>
              <w:rPr>
                <w:i/>
                <w:sz w:val="15"/>
                <w:szCs w:val="15"/>
                <w:lang w:val="fr-FR"/>
              </w:rPr>
              <w:br/>
            </w:r>
            <w:r w:rsidRPr="001C0B9F">
              <w:rPr>
                <w:i/>
                <w:sz w:val="15"/>
                <w:szCs w:val="15"/>
                <w:lang w:val="fr-FR"/>
              </w:rPr>
              <w:t>de rejet de la plainte pénale</w:t>
            </w:r>
          </w:p>
        </w:tc>
        <w:tc>
          <w:tcPr>
            <w:tcW w:w="1134" w:type="dxa"/>
            <w:vMerge w:val="restart"/>
            <w:tcBorders>
              <w:top w:val="single" w:sz="4" w:space="0" w:color="auto"/>
            </w:tcBorders>
            <w:shd w:val="clear" w:color="auto" w:fill="auto"/>
            <w:tcMar>
              <w:right w:w="113" w:type="dxa"/>
            </w:tcMar>
            <w:vAlign w:val="bottom"/>
          </w:tcPr>
          <w:p w14:paraId="2F8BF813" w14:textId="77777777" w:rsidR="00894C70" w:rsidRPr="001C0B9F" w:rsidRDefault="00894C70" w:rsidP="00894C70">
            <w:pPr>
              <w:suppressAutoHyphens w:val="0"/>
              <w:spacing w:before="80" w:after="80" w:line="200" w:lineRule="exact"/>
              <w:jc w:val="right"/>
              <w:rPr>
                <w:i/>
                <w:sz w:val="15"/>
                <w:szCs w:val="15"/>
                <w:lang w:val="fr-FR"/>
              </w:rPr>
            </w:pPr>
            <w:r w:rsidRPr="001C0B9F">
              <w:rPr>
                <w:i/>
                <w:sz w:val="15"/>
                <w:szCs w:val="15"/>
                <w:lang w:val="fr-FR"/>
              </w:rPr>
              <w:t>Mise en accusation</w:t>
            </w:r>
          </w:p>
        </w:tc>
        <w:tc>
          <w:tcPr>
            <w:tcW w:w="1134" w:type="dxa"/>
            <w:vMerge w:val="restart"/>
            <w:tcBorders>
              <w:top w:val="single" w:sz="4" w:space="0" w:color="auto"/>
            </w:tcBorders>
            <w:shd w:val="clear" w:color="auto" w:fill="auto"/>
            <w:tcMar>
              <w:right w:w="113" w:type="dxa"/>
            </w:tcMar>
            <w:vAlign w:val="bottom"/>
          </w:tcPr>
          <w:p w14:paraId="27B8C499" w14:textId="77777777" w:rsidR="00894C70" w:rsidRPr="001C0B9F" w:rsidRDefault="00894C70" w:rsidP="00894C70">
            <w:pPr>
              <w:suppressAutoHyphens w:val="0"/>
              <w:spacing w:before="80" w:after="80" w:line="200" w:lineRule="exact"/>
              <w:jc w:val="right"/>
              <w:rPr>
                <w:i/>
                <w:sz w:val="15"/>
                <w:szCs w:val="15"/>
                <w:lang w:val="fr-FR"/>
              </w:rPr>
            </w:pPr>
            <w:r w:rsidRPr="001C0B9F">
              <w:rPr>
                <w:i/>
                <w:sz w:val="15"/>
                <w:szCs w:val="15"/>
                <w:lang w:val="fr-FR"/>
              </w:rPr>
              <w:t xml:space="preserve">Abandon </w:t>
            </w:r>
            <w:r>
              <w:rPr>
                <w:i/>
                <w:sz w:val="15"/>
                <w:szCs w:val="15"/>
                <w:lang w:val="fr-FR"/>
              </w:rPr>
              <w:br/>
            </w:r>
            <w:r w:rsidRPr="001C0B9F">
              <w:rPr>
                <w:i/>
                <w:sz w:val="15"/>
                <w:szCs w:val="15"/>
                <w:lang w:val="fr-FR"/>
              </w:rPr>
              <w:t>des poursuites</w:t>
            </w:r>
          </w:p>
        </w:tc>
        <w:tc>
          <w:tcPr>
            <w:tcW w:w="3402" w:type="dxa"/>
            <w:gridSpan w:val="3"/>
            <w:tcBorders>
              <w:top w:val="single" w:sz="4" w:space="0" w:color="auto"/>
              <w:bottom w:val="single" w:sz="4" w:space="0" w:color="auto"/>
            </w:tcBorders>
            <w:shd w:val="clear" w:color="auto" w:fill="auto"/>
            <w:tcMar>
              <w:right w:w="113" w:type="dxa"/>
            </w:tcMar>
            <w:vAlign w:val="bottom"/>
          </w:tcPr>
          <w:p w14:paraId="765AF74C" w14:textId="77777777" w:rsidR="00894C70" w:rsidRPr="001C0B9F" w:rsidRDefault="00894C70" w:rsidP="00894C70">
            <w:pPr>
              <w:suppressAutoHyphens w:val="0"/>
              <w:spacing w:before="80" w:after="80" w:line="200" w:lineRule="exact"/>
              <w:jc w:val="center"/>
              <w:rPr>
                <w:i/>
                <w:sz w:val="15"/>
                <w:szCs w:val="15"/>
                <w:lang w:val="fr-FR"/>
              </w:rPr>
            </w:pPr>
            <w:r w:rsidRPr="001C0B9F">
              <w:rPr>
                <w:i/>
                <w:sz w:val="15"/>
                <w:szCs w:val="15"/>
                <w:lang w:val="fr-FR"/>
              </w:rPr>
              <w:t>Jugements</w:t>
            </w:r>
          </w:p>
        </w:tc>
      </w:tr>
      <w:tr w:rsidR="00894C70" w:rsidRPr="001C0B9F" w14:paraId="4B0C5BD5" w14:textId="77777777" w:rsidTr="00894C70">
        <w:tc>
          <w:tcPr>
            <w:tcW w:w="850" w:type="dxa"/>
            <w:vMerge/>
            <w:tcBorders>
              <w:bottom w:val="single" w:sz="12" w:space="0" w:color="auto"/>
            </w:tcBorders>
            <w:shd w:val="clear" w:color="auto" w:fill="auto"/>
            <w:tcMar>
              <w:right w:w="113" w:type="dxa"/>
            </w:tcMar>
            <w:vAlign w:val="bottom"/>
          </w:tcPr>
          <w:p w14:paraId="6F55F0C2" w14:textId="77777777" w:rsidR="00894C70" w:rsidRPr="001C0B9F" w:rsidRDefault="00894C70" w:rsidP="00894C70">
            <w:pPr>
              <w:suppressAutoHyphens w:val="0"/>
              <w:spacing w:before="40" w:after="40" w:line="220" w:lineRule="exact"/>
              <w:rPr>
                <w:sz w:val="15"/>
                <w:szCs w:val="15"/>
                <w:lang w:val="fr-FR"/>
              </w:rPr>
            </w:pPr>
          </w:p>
        </w:tc>
        <w:tc>
          <w:tcPr>
            <w:tcW w:w="851" w:type="dxa"/>
            <w:vMerge/>
            <w:tcBorders>
              <w:bottom w:val="single" w:sz="12" w:space="0" w:color="auto"/>
            </w:tcBorders>
            <w:shd w:val="clear" w:color="auto" w:fill="auto"/>
            <w:tcMar>
              <w:right w:w="113" w:type="dxa"/>
            </w:tcMar>
            <w:vAlign w:val="bottom"/>
          </w:tcPr>
          <w:p w14:paraId="4F02296D" w14:textId="77777777" w:rsidR="00894C70" w:rsidRPr="001C0B9F" w:rsidRDefault="00894C70" w:rsidP="00894C70">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20FC2A9E" w14:textId="77777777" w:rsidR="00894C70" w:rsidRPr="001C0B9F" w:rsidRDefault="00894C70" w:rsidP="00894C70">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04FBB815" w14:textId="77777777" w:rsidR="00894C70" w:rsidRPr="001C0B9F" w:rsidRDefault="00894C70" w:rsidP="00894C70">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47D1B873" w14:textId="77777777" w:rsidR="00894C70" w:rsidRPr="001C0B9F" w:rsidRDefault="00894C70" w:rsidP="00894C70">
            <w:pPr>
              <w:suppressAutoHyphens w:val="0"/>
              <w:spacing w:before="40" w:after="40" w:line="220" w:lineRule="exact"/>
              <w:jc w:val="right"/>
              <w:rPr>
                <w:sz w:val="15"/>
                <w:szCs w:val="15"/>
                <w:lang w:val="fr-FR"/>
              </w:rPr>
            </w:pPr>
          </w:p>
        </w:tc>
        <w:tc>
          <w:tcPr>
            <w:tcW w:w="1134" w:type="dxa"/>
            <w:vMerge/>
            <w:tcBorders>
              <w:bottom w:val="single" w:sz="12" w:space="0" w:color="auto"/>
            </w:tcBorders>
            <w:shd w:val="clear" w:color="auto" w:fill="auto"/>
            <w:tcMar>
              <w:right w:w="113" w:type="dxa"/>
            </w:tcMar>
            <w:vAlign w:val="bottom"/>
          </w:tcPr>
          <w:p w14:paraId="539DDDCE" w14:textId="77777777" w:rsidR="00894C70" w:rsidRPr="001C0B9F" w:rsidRDefault="00894C70" w:rsidP="00894C70">
            <w:pPr>
              <w:suppressAutoHyphens w:val="0"/>
              <w:spacing w:before="40" w:after="40" w:line="220" w:lineRule="exact"/>
              <w:jc w:val="right"/>
              <w:rPr>
                <w:sz w:val="15"/>
                <w:szCs w:val="15"/>
                <w:lang w:val="fr-FR"/>
              </w:rPr>
            </w:pPr>
          </w:p>
        </w:tc>
        <w:tc>
          <w:tcPr>
            <w:tcW w:w="1134" w:type="dxa"/>
            <w:tcBorders>
              <w:top w:val="single" w:sz="4" w:space="0" w:color="auto"/>
              <w:bottom w:val="single" w:sz="12" w:space="0" w:color="auto"/>
            </w:tcBorders>
            <w:shd w:val="clear" w:color="auto" w:fill="auto"/>
            <w:tcMar>
              <w:right w:w="113" w:type="dxa"/>
            </w:tcMar>
            <w:vAlign w:val="bottom"/>
          </w:tcPr>
          <w:p w14:paraId="6A53135B" w14:textId="77777777" w:rsidR="00894C70" w:rsidRPr="001C0B9F" w:rsidRDefault="00894C70" w:rsidP="00894C70">
            <w:pPr>
              <w:suppressAutoHyphens w:val="0"/>
              <w:spacing w:before="40" w:after="40" w:line="220" w:lineRule="exact"/>
              <w:jc w:val="right"/>
              <w:rPr>
                <w:i/>
                <w:sz w:val="15"/>
                <w:szCs w:val="15"/>
                <w:lang w:val="fr-FR"/>
              </w:rPr>
            </w:pPr>
            <w:r w:rsidRPr="001C0B9F">
              <w:rPr>
                <w:i/>
                <w:sz w:val="15"/>
                <w:szCs w:val="15"/>
                <w:lang w:val="fr-FR"/>
              </w:rPr>
              <w:t xml:space="preserve">Condamnation </w:t>
            </w:r>
          </w:p>
        </w:tc>
        <w:tc>
          <w:tcPr>
            <w:tcW w:w="1134" w:type="dxa"/>
            <w:tcBorders>
              <w:top w:val="single" w:sz="4" w:space="0" w:color="auto"/>
              <w:bottom w:val="single" w:sz="12" w:space="0" w:color="auto"/>
            </w:tcBorders>
            <w:shd w:val="clear" w:color="auto" w:fill="auto"/>
            <w:tcMar>
              <w:right w:w="113" w:type="dxa"/>
            </w:tcMar>
            <w:vAlign w:val="bottom"/>
          </w:tcPr>
          <w:p w14:paraId="101A7D00" w14:textId="77777777" w:rsidR="00894C70" w:rsidRPr="001C0B9F" w:rsidRDefault="00894C70" w:rsidP="00894C70">
            <w:pPr>
              <w:suppressAutoHyphens w:val="0"/>
              <w:spacing w:before="40" w:after="40" w:line="220" w:lineRule="exact"/>
              <w:jc w:val="right"/>
              <w:rPr>
                <w:i/>
                <w:sz w:val="15"/>
                <w:szCs w:val="15"/>
                <w:lang w:val="fr-FR"/>
              </w:rPr>
            </w:pPr>
            <w:r w:rsidRPr="001C0B9F">
              <w:rPr>
                <w:i/>
                <w:sz w:val="15"/>
                <w:szCs w:val="15"/>
                <w:lang w:val="fr-FR"/>
              </w:rPr>
              <w:t>Acquittement</w:t>
            </w:r>
          </w:p>
        </w:tc>
        <w:tc>
          <w:tcPr>
            <w:tcW w:w="1134" w:type="dxa"/>
            <w:tcBorders>
              <w:top w:val="single" w:sz="4" w:space="0" w:color="auto"/>
              <w:bottom w:val="single" w:sz="12" w:space="0" w:color="auto"/>
            </w:tcBorders>
            <w:shd w:val="clear" w:color="auto" w:fill="auto"/>
            <w:tcMar>
              <w:right w:w="113" w:type="dxa"/>
            </w:tcMar>
            <w:vAlign w:val="bottom"/>
          </w:tcPr>
          <w:p w14:paraId="633A34E7" w14:textId="77777777" w:rsidR="00894C70" w:rsidRPr="001C0B9F" w:rsidRDefault="00894C70" w:rsidP="00894C70">
            <w:pPr>
              <w:suppressAutoHyphens w:val="0"/>
              <w:spacing w:before="40" w:after="40" w:line="220" w:lineRule="exact"/>
              <w:jc w:val="right"/>
              <w:rPr>
                <w:i/>
                <w:sz w:val="15"/>
                <w:szCs w:val="15"/>
                <w:lang w:val="fr-FR"/>
              </w:rPr>
            </w:pPr>
            <w:r w:rsidRPr="001C0B9F">
              <w:rPr>
                <w:i/>
                <w:sz w:val="15"/>
                <w:szCs w:val="15"/>
                <w:lang w:val="fr-FR"/>
              </w:rPr>
              <w:t>Non-lieu</w:t>
            </w:r>
          </w:p>
        </w:tc>
      </w:tr>
      <w:tr w:rsidR="00894C70" w:rsidRPr="00B91E85" w14:paraId="36D243C8" w14:textId="77777777" w:rsidTr="00894C70">
        <w:tc>
          <w:tcPr>
            <w:tcW w:w="850" w:type="dxa"/>
            <w:tcBorders>
              <w:top w:val="single" w:sz="12" w:space="0" w:color="auto"/>
            </w:tcBorders>
            <w:shd w:val="clear" w:color="auto" w:fill="auto"/>
            <w:tcMar>
              <w:right w:w="113" w:type="dxa"/>
            </w:tcMar>
          </w:tcPr>
          <w:p w14:paraId="342BD305" w14:textId="77777777" w:rsidR="00894C70" w:rsidRPr="00B91E85" w:rsidRDefault="00894C70" w:rsidP="00894C70">
            <w:pPr>
              <w:suppressAutoHyphens w:val="0"/>
              <w:spacing w:before="40" w:after="40" w:line="220" w:lineRule="exact"/>
              <w:rPr>
                <w:sz w:val="18"/>
                <w:lang w:val="fr-FR"/>
              </w:rPr>
            </w:pPr>
            <w:r w:rsidRPr="00B91E85">
              <w:rPr>
                <w:sz w:val="18"/>
                <w:lang w:val="fr-FR"/>
              </w:rPr>
              <w:t>2010</w:t>
            </w:r>
          </w:p>
        </w:tc>
        <w:tc>
          <w:tcPr>
            <w:tcW w:w="851" w:type="dxa"/>
            <w:tcBorders>
              <w:top w:val="single" w:sz="12" w:space="0" w:color="auto"/>
            </w:tcBorders>
            <w:shd w:val="clear" w:color="auto" w:fill="auto"/>
            <w:tcMar>
              <w:right w:w="113" w:type="dxa"/>
            </w:tcMar>
            <w:vAlign w:val="bottom"/>
          </w:tcPr>
          <w:p w14:paraId="104B3C17"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3</w:t>
            </w:r>
          </w:p>
        </w:tc>
        <w:tc>
          <w:tcPr>
            <w:tcW w:w="1134" w:type="dxa"/>
            <w:tcBorders>
              <w:top w:val="single" w:sz="12" w:space="0" w:color="auto"/>
            </w:tcBorders>
            <w:shd w:val="clear" w:color="auto" w:fill="auto"/>
            <w:tcMar>
              <w:right w:w="113" w:type="dxa"/>
            </w:tcMar>
            <w:vAlign w:val="bottom"/>
          </w:tcPr>
          <w:p w14:paraId="314CE698" w14:textId="77777777" w:rsidR="00894C70" w:rsidRPr="00B91E85" w:rsidRDefault="00894C70" w:rsidP="00894C70">
            <w:pPr>
              <w:suppressAutoHyphens w:val="0"/>
              <w:spacing w:before="40" w:after="40" w:line="220" w:lineRule="exact"/>
              <w:jc w:val="right"/>
              <w:rPr>
                <w:sz w:val="18"/>
                <w:lang w:val="fr-FR"/>
              </w:rPr>
            </w:pPr>
          </w:p>
        </w:tc>
        <w:tc>
          <w:tcPr>
            <w:tcW w:w="1134" w:type="dxa"/>
            <w:tcBorders>
              <w:top w:val="single" w:sz="12" w:space="0" w:color="auto"/>
            </w:tcBorders>
            <w:shd w:val="clear" w:color="auto" w:fill="auto"/>
            <w:tcMar>
              <w:right w:w="113" w:type="dxa"/>
            </w:tcMar>
            <w:vAlign w:val="bottom"/>
          </w:tcPr>
          <w:p w14:paraId="6E371D72"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3</w:t>
            </w:r>
          </w:p>
        </w:tc>
        <w:tc>
          <w:tcPr>
            <w:tcW w:w="1134" w:type="dxa"/>
            <w:tcBorders>
              <w:top w:val="single" w:sz="12" w:space="0" w:color="auto"/>
            </w:tcBorders>
            <w:shd w:val="clear" w:color="auto" w:fill="auto"/>
            <w:tcMar>
              <w:right w:w="113" w:type="dxa"/>
            </w:tcMar>
            <w:vAlign w:val="bottom"/>
          </w:tcPr>
          <w:p w14:paraId="5371A283" w14:textId="77777777" w:rsidR="00894C70" w:rsidRPr="00B91E85" w:rsidRDefault="00894C70" w:rsidP="00894C70">
            <w:pPr>
              <w:suppressAutoHyphens w:val="0"/>
              <w:spacing w:before="40" w:after="40" w:line="220" w:lineRule="exact"/>
              <w:jc w:val="right"/>
              <w:rPr>
                <w:sz w:val="18"/>
                <w:lang w:val="fr-FR"/>
              </w:rPr>
            </w:pPr>
          </w:p>
        </w:tc>
        <w:tc>
          <w:tcPr>
            <w:tcW w:w="1134" w:type="dxa"/>
            <w:tcBorders>
              <w:top w:val="single" w:sz="12" w:space="0" w:color="auto"/>
            </w:tcBorders>
            <w:shd w:val="clear" w:color="auto" w:fill="auto"/>
            <w:tcMar>
              <w:right w:w="113" w:type="dxa"/>
            </w:tcMar>
            <w:vAlign w:val="bottom"/>
          </w:tcPr>
          <w:p w14:paraId="49745E6C"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tcBorders>
              <w:top w:val="single" w:sz="12" w:space="0" w:color="auto"/>
            </w:tcBorders>
            <w:shd w:val="clear" w:color="auto" w:fill="auto"/>
            <w:tcMar>
              <w:right w:w="113" w:type="dxa"/>
            </w:tcMar>
            <w:vAlign w:val="bottom"/>
          </w:tcPr>
          <w:p w14:paraId="10571F1E"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4</w:t>
            </w:r>
          </w:p>
        </w:tc>
        <w:tc>
          <w:tcPr>
            <w:tcW w:w="1134" w:type="dxa"/>
            <w:tcBorders>
              <w:top w:val="single" w:sz="12" w:space="0" w:color="auto"/>
            </w:tcBorders>
            <w:shd w:val="clear" w:color="auto" w:fill="auto"/>
            <w:tcMar>
              <w:right w:w="113" w:type="dxa"/>
            </w:tcMar>
            <w:vAlign w:val="bottom"/>
          </w:tcPr>
          <w:p w14:paraId="7951791E"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4</w:t>
            </w:r>
          </w:p>
        </w:tc>
        <w:tc>
          <w:tcPr>
            <w:tcW w:w="1134" w:type="dxa"/>
            <w:tcBorders>
              <w:top w:val="single" w:sz="12" w:space="0" w:color="auto"/>
            </w:tcBorders>
            <w:shd w:val="clear" w:color="auto" w:fill="auto"/>
            <w:tcMar>
              <w:right w:w="113" w:type="dxa"/>
            </w:tcMar>
            <w:vAlign w:val="bottom"/>
          </w:tcPr>
          <w:p w14:paraId="45A06F15"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r>
      <w:tr w:rsidR="00894C70" w:rsidRPr="00B91E85" w14:paraId="391EE0DA" w14:textId="77777777" w:rsidTr="00894C70">
        <w:tc>
          <w:tcPr>
            <w:tcW w:w="850" w:type="dxa"/>
            <w:shd w:val="clear" w:color="auto" w:fill="auto"/>
            <w:tcMar>
              <w:right w:w="113" w:type="dxa"/>
            </w:tcMar>
          </w:tcPr>
          <w:p w14:paraId="3B7F309D" w14:textId="77777777" w:rsidR="00894C70" w:rsidRPr="00B91E85" w:rsidRDefault="00894C70" w:rsidP="00894C70">
            <w:pPr>
              <w:suppressAutoHyphens w:val="0"/>
              <w:spacing w:before="40" w:after="40" w:line="220" w:lineRule="exact"/>
              <w:rPr>
                <w:sz w:val="18"/>
                <w:lang w:val="fr-FR"/>
              </w:rPr>
            </w:pPr>
            <w:r w:rsidRPr="00B91E85">
              <w:rPr>
                <w:sz w:val="18"/>
                <w:lang w:val="fr-FR"/>
              </w:rPr>
              <w:t>2011</w:t>
            </w:r>
          </w:p>
        </w:tc>
        <w:tc>
          <w:tcPr>
            <w:tcW w:w="851" w:type="dxa"/>
            <w:shd w:val="clear" w:color="auto" w:fill="auto"/>
            <w:tcMar>
              <w:right w:w="113" w:type="dxa"/>
            </w:tcMar>
            <w:vAlign w:val="bottom"/>
          </w:tcPr>
          <w:p w14:paraId="1978D286"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4B313034"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39130658"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3</w:t>
            </w:r>
          </w:p>
        </w:tc>
        <w:tc>
          <w:tcPr>
            <w:tcW w:w="1134" w:type="dxa"/>
            <w:shd w:val="clear" w:color="auto" w:fill="auto"/>
            <w:tcMar>
              <w:right w:w="113" w:type="dxa"/>
            </w:tcMar>
            <w:vAlign w:val="bottom"/>
          </w:tcPr>
          <w:p w14:paraId="29E73470"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25D377B1"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3CA39452"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6A7DF184"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7CA74C16"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6</w:t>
            </w:r>
          </w:p>
        </w:tc>
      </w:tr>
      <w:tr w:rsidR="00894C70" w:rsidRPr="00B91E85" w14:paraId="76334679" w14:textId="77777777" w:rsidTr="00894C70">
        <w:tc>
          <w:tcPr>
            <w:tcW w:w="850" w:type="dxa"/>
            <w:shd w:val="clear" w:color="auto" w:fill="auto"/>
            <w:tcMar>
              <w:right w:w="113" w:type="dxa"/>
            </w:tcMar>
          </w:tcPr>
          <w:p w14:paraId="70A4E495" w14:textId="77777777" w:rsidR="00894C70" w:rsidRPr="00B91E85" w:rsidRDefault="00894C70" w:rsidP="00894C70">
            <w:pPr>
              <w:suppressAutoHyphens w:val="0"/>
              <w:spacing w:before="40" w:after="40" w:line="220" w:lineRule="exact"/>
              <w:rPr>
                <w:sz w:val="18"/>
                <w:lang w:val="fr-FR"/>
              </w:rPr>
            </w:pPr>
            <w:r w:rsidRPr="00B91E85">
              <w:rPr>
                <w:sz w:val="18"/>
                <w:lang w:val="fr-FR"/>
              </w:rPr>
              <w:t>2012</w:t>
            </w:r>
          </w:p>
        </w:tc>
        <w:tc>
          <w:tcPr>
            <w:tcW w:w="851" w:type="dxa"/>
            <w:shd w:val="clear" w:color="auto" w:fill="auto"/>
            <w:tcMar>
              <w:right w:w="113" w:type="dxa"/>
            </w:tcMar>
            <w:vAlign w:val="bottom"/>
          </w:tcPr>
          <w:p w14:paraId="00E21CB9"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5</w:t>
            </w:r>
          </w:p>
        </w:tc>
        <w:tc>
          <w:tcPr>
            <w:tcW w:w="1134" w:type="dxa"/>
            <w:shd w:val="clear" w:color="auto" w:fill="auto"/>
            <w:tcMar>
              <w:right w:w="113" w:type="dxa"/>
            </w:tcMar>
            <w:vAlign w:val="bottom"/>
          </w:tcPr>
          <w:p w14:paraId="7D748A98"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7AF5DB8F"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5</w:t>
            </w:r>
          </w:p>
        </w:tc>
        <w:tc>
          <w:tcPr>
            <w:tcW w:w="1134" w:type="dxa"/>
            <w:shd w:val="clear" w:color="auto" w:fill="auto"/>
            <w:tcMar>
              <w:right w:w="113" w:type="dxa"/>
            </w:tcMar>
            <w:vAlign w:val="bottom"/>
          </w:tcPr>
          <w:p w14:paraId="44F4E95F"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02A9B510"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393C83B"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177559BA"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0BFFFA55"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3</w:t>
            </w:r>
          </w:p>
        </w:tc>
      </w:tr>
      <w:tr w:rsidR="00894C70" w:rsidRPr="00B91E85" w14:paraId="7712E84B" w14:textId="77777777" w:rsidTr="00894C70">
        <w:tc>
          <w:tcPr>
            <w:tcW w:w="850" w:type="dxa"/>
            <w:shd w:val="clear" w:color="auto" w:fill="auto"/>
            <w:tcMar>
              <w:right w:w="113" w:type="dxa"/>
            </w:tcMar>
          </w:tcPr>
          <w:p w14:paraId="2823879F" w14:textId="77777777" w:rsidR="00894C70" w:rsidRPr="00B91E85" w:rsidRDefault="00894C70" w:rsidP="00894C70">
            <w:pPr>
              <w:suppressAutoHyphens w:val="0"/>
              <w:spacing w:before="40" w:after="40" w:line="220" w:lineRule="exact"/>
              <w:rPr>
                <w:sz w:val="18"/>
                <w:lang w:val="fr-FR"/>
              </w:rPr>
            </w:pPr>
            <w:r w:rsidRPr="00B91E85">
              <w:rPr>
                <w:sz w:val="18"/>
                <w:lang w:val="fr-FR"/>
              </w:rPr>
              <w:t>2013</w:t>
            </w:r>
          </w:p>
        </w:tc>
        <w:tc>
          <w:tcPr>
            <w:tcW w:w="851" w:type="dxa"/>
            <w:shd w:val="clear" w:color="auto" w:fill="auto"/>
            <w:tcMar>
              <w:right w:w="113" w:type="dxa"/>
            </w:tcMar>
            <w:vAlign w:val="bottom"/>
          </w:tcPr>
          <w:p w14:paraId="76169562"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5B6DBA66"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1B94C72E"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35A9E74F"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521B92FF"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06E31D8D"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51F166B0"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2</w:t>
            </w:r>
          </w:p>
        </w:tc>
        <w:tc>
          <w:tcPr>
            <w:tcW w:w="1134" w:type="dxa"/>
            <w:shd w:val="clear" w:color="auto" w:fill="auto"/>
            <w:tcMar>
              <w:right w:w="113" w:type="dxa"/>
            </w:tcMar>
            <w:vAlign w:val="bottom"/>
          </w:tcPr>
          <w:p w14:paraId="34FD5E2E" w14:textId="77777777" w:rsidR="00894C70" w:rsidRPr="00B91E85" w:rsidRDefault="00894C70" w:rsidP="00894C70">
            <w:pPr>
              <w:suppressAutoHyphens w:val="0"/>
              <w:spacing w:before="40" w:after="40" w:line="220" w:lineRule="exact"/>
              <w:jc w:val="right"/>
              <w:rPr>
                <w:sz w:val="18"/>
                <w:lang w:val="fr-FR"/>
              </w:rPr>
            </w:pPr>
          </w:p>
        </w:tc>
      </w:tr>
      <w:tr w:rsidR="00894C70" w:rsidRPr="00B91E85" w14:paraId="491721D9" w14:textId="77777777" w:rsidTr="00894C70">
        <w:tc>
          <w:tcPr>
            <w:tcW w:w="850" w:type="dxa"/>
            <w:shd w:val="clear" w:color="auto" w:fill="auto"/>
            <w:tcMar>
              <w:right w:w="113" w:type="dxa"/>
            </w:tcMar>
          </w:tcPr>
          <w:p w14:paraId="2B66806E" w14:textId="77777777" w:rsidR="00894C70" w:rsidRPr="00B91E85" w:rsidRDefault="00894C70" w:rsidP="00894C70">
            <w:pPr>
              <w:suppressAutoHyphens w:val="0"/>
              <w:spacing w:before="40" w:after="40" w:line="220" w:lineRule="exact"/>
              <w:rPr>
                <w:sz w:val="18"/>
                <w:lang w:val="fr-FR"/>
              </w:rPr>
            </w:pPr>
            <w:r w:rsidRPr="00B91E85">
              <w:rPr>
                <w:sz w:val="18"/>
                <w:lang w:val="fr-FR"/>
              </w:rPr>
              <w:t>2014</w:t>
            </w:r>
          </w:p>
        </w:tc>
        <w:tc>
          <w:tcPr>
            <w:tcW w:w="851" w:type="dxa"/>
            <w:shd w:val="clear" w:color="auto" w:fill="auto"/>
            <w:tcMar>
              <w:right w:w="113" w:type="dxa"/>
            </w:tcMar>
            <w:vAlign w:val="bottom"/>
          </w:tcPr>
          <w:p w14:paraId="1659C71E"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0D38847F"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C3FB143"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1</w:t>
            </w:r>
          </w:p>
        </w:tc>
        <w:tc>
          <w:tcPr>
            <w:tcW w:w="1134" w:type="dxa"/>
            <w:shd w:val="clear" w:color="auto" w:fill="auto"/>
            <w:tcMar>
              <w:right w:w="113" w:type="dxa"/>
            </w:tcMar>
            <w:vAlign w:val="bottom"/>
          </w:tcPr>
          <w:p w14:paraId="428028DD"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49AC71BD"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77943620"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0BED5AFF" w14:textId="77777777" w:rsidR="00894C70" w:rsidRPr="00B91E85" w:rsidRDefault="00894C70" w:rsidP="00894C70">
            <w:pPr>
              <w:suppressAutoHyphens w:val="0"/>
              <w:spacing w:before="40" w:after="40" w:line="220" w:lineRule="exact"/>
              <w:jc w:val="right"/>
              <w:rPr>
                <w:sz w:val="18"/>
                <w:lang w:val="fr-FR"/>
              </w:rPr>
            </w:pPr>
          </w:p>
        </w:tc>
        <w:tc>
          <w:tcPr>
            <w:tcW w:w="1134" w:type="dxa"/>
            <w:shd w:val="clear" w:color="auto" w:fill="auto"/>
            <w:tcMar>
              <w:right w:w="113" w:type="dxa"/>
            </w:tcMar>
            <w:vAlign w:val="bottom"/>
          </w:tcPr>
          <w:p w14:paraId="2BC8955F" w14:textId="77777777" w:rsidR="00894C70" w:rsidRPr="00B91E85" w:rsidRDefault="00894C70" w:rsidP="00894C70">
            <w:pPr>
              <w:suppressAutoHyphens w:val="0"/>
              <w:spacing w:before="40" w:after="40" w:line="220" w:lineRule="exact"/>
              <w:jc w:val="right"/>
              <w:rPr>
                <w:sz w:val="18"/>
                <w:lang w:val="fr-FR"/>
              </w:rPr>
            </w:pPr>
          </w:p>
        </w:tc>
      </w:tr>
      <w:tr w:rsidR="00894C70" w:rsidRPr="00B91E85" w14:paraId="2192A3FD" w14:textId="77777777" w:rsidTr="00894C70">
        <w:tc>
          <w:tcPr>
            <w:tcW w:w="850" w:type="dxa"/>
            <w:tcBorders>
              <w:bottom w:val="single" w:sz="12" w:space="0" w:color="auto"/>
            </w:tcBorders>
            <w:shd w:val="clear" w:color="auto" w:fill="auto"/>
            <w:tcMar>
              <w:right w:w="113" w:type="dxa"/>
            </w:tcMar>
          </w:tcPr>
          <w:p w14:paraId="177A4E7D" w14:textId="77777777" w:rsidR="00894C70" w:rsidRPr="00B91E85" w:rsidRDefault="00894C70" w:rsidP="00894C70">
            <w:pPr>
              <w:suppressAutoHyphens w:val="0"/>
              <w:spacing w:before="40" w:after="40" w:line="220" w:lineRule="exact"/>
              <w:rPr>
                <w:sz w:val="18"/>
                <w:lang w:val="fr-FR"/>
              </w:rPr>
            </w:pPr>
            <w:r w:rsidRPr="00B91E85">
              <w:rPr>
                <w:sz w:val="18"/>
                <w:lang w:val="fr-FR"/>
              </w:rPr>
              <w:t>2015</w:t>
            </w:r>
          </w:p>
        </w:tc>
        <w:tc>
          <w:tcPr>
            <w:tcW w:w="851" w:type="dxa"/>
            <w:tcBorders>
              <w:bottom w:val="single" w:sz="12" w:space="0" w:color="auto"/>
            </w:tcBorders>
            <w:shd w:val="clear" w:color="auto" w:fill="auto"/>
            <w:tcMar>
              <w:right w:w="113" w:type="dxa"/>
            </w:tcMar>
            <w:vAlign w:val="bottom"/>
          </w:tcPr>
          <w:p w14:paraId="4A21BDEB"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5</w:t>
            </w:r>
          </w:p>
        </w:tc>
        <w:tc>
          <w:tcPr>
            <w:tcW w:w="1134" w:type="dxa"/>
            <w:tcBorders>
              <w:bottom w:val="single" w:sz="12" w:space="0" w:color="auto"/>
            </w:tcBorders>
            <w:shd w:val="clear" w:color="auto" w:fill="auto"/>
            <w:tcMar>
              <w:right w:w="113" w:type="dxa"/>
            </w:tcMar>
            <w:vAlign w:val="bottom"/>
          </w:tcPr>
          <w:p w14:paraId="0B7FB62B" w14:textId="77777777" w:rsidR="00894C70" w:rsidRPr="00B91E85" w:rsidRDefault="00894C70" w:rsidP="00894C70">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3D7C4246" w14:textId="77777777" w:rsidR="00894C70" w:rsidRPr="00B91E85" w:rsidRDefault="00894C70" w:rsidP="00894C70">
            <w:pPr>
              <w:suppressAutoHyphens w:val="0"/>
              <w:spacing w:before="40" w:after="40" w:line="220" w:lineRule="exact"/>
              <w:jc w:val="right"/>
              <w:rPr>
                <w:sz w:val="18"/>
                <w:lang w:val="fr-FR"/>
              </w:rPr>
            </w:pPr>
            <w:r w:rsidRPr="00B91E85">
              <w:rPr>
                <w:sz w:val="18"/>
                <w:lang w:val="fr-FR"/>
              </w:rPr>
              <w:t>7</w:t>
            </w:r>
          </w:p>
        </w:tc>
        <w:tc>
          <w:tcPr>
            <w:tcW w:w="1134" w:type="dxa"/>
            <w:tcBorders>
              <w:bottom w:val="single" w:sz="12" w:space="0" w:color="auto"/>
            </w:tcBorders>
            <w:shd w:val="clear" w:color="auto" w:fill="auto"/>
            <w:tcMar>
              <w:right w:w="113" w:type="dxa"/>
            </w:tcMar>
            <w:vAlign w:val="bottom"/>
          </w:tcPr>
          <w:p w14:paraId="6307492D" w14:textId="77777777" w:rsidR="00894C70" w:rsidRPr="00B91E85" w:rsidRDefault="00894C70" w:rsidP="00894C70">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298F23B5" w14:textId="77777777" w:rsidR="00894C70" w:rsidRPr="00B91E85" w:rsidRDefault="00894C70" w:rsidP="00894C70">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7359A0DB" w14:textId="77777777" w:rsidR="00894C70" w:rsidRPr="00B91E85" w:rsidRDefault="00894C70" w:rsidP="00894C70">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507CE40C" w14:textId="77777777" w:rsidR="00894C70" w:rsidRPr="00B91E85" w:rsidRDefault="00894C70" w:rsidP="00894C70">
            <w:pPr>
              <w:suppressAutoHyphens w:val="0"/>
              <w:spacing w:before="40" w:after="40" w:line="220" w:lineRule="exact"/>
              <w:jc w:val="right"/>
              <w:rPr>
                <w:sz w:val="18"/>
                <w:lang w:val="fr-FR"/>
              </w:rPr>
            </w:pPr>
          </w:p>
        </w:tc>
        <w:tc>
          <w:tcPr>
            <w:tcW w:w="1134" w:type="dxa"/>
            <w:tcBorders>
              <w:bottom w:val="single" w:sz="12" w:space="0" w:color="auto"/>
            </w:tcBorders>
            <w:shd w:val="clear" w:color="auto" w:fill="auto"/>
            <w:tcMar>
              <w:right w:w="113" w:type="dxa"/>
            </w:tcMar>
            <w:vAlign w:val="bottom"/>
          </w:tcPr>
          <w:p w14:paraId="62458F2D" w14:textId="77777777" w:rsidR="00894C70" w:rsidRPr="00B91E85" w:rsidRDefault="00894C70" w:rsidP="00894C70">
            <w:pPr>
              <w:suppressAutoHyphens w:val="0"/>
              <w:spacing w:before="40" w:after="40" w:line="220" w:lineRule="exact"/>
              <w:jc w:val="right"/>
              <w:rPr>
                <w:sz w:val="18"/>
                <w:lang w:val="fr-FR"/>
              </w:rPr>
            </w:pPr>
          </w:p>
        </w:tc>
      </w:tr>
    </w:tbl>
    <w:p w14:paraId="11A9F74E" w14:textId="77777777" w:rsidR="002A5EB2" w:rsidRPr="001A3179" w:rsidRDefault="002A5EB2" w:rsidP="007637C7">
      <w:pPr>
        <w:pStyle w:val="SingleTxtG"/>
        <w:spacing w:before="240"/>
        <w:rPr>
          <w:lang w:val="fr-FR"/>
        </w:rPr>
      </w:pPr>
      <w:r w:rsidRPr="001A3179">
        <w:rPr>
          <w:lang w:val="fr-FR"/>
        </w:rPr>
        <w:t>134.</w:t>
      </w:r>
      <w:r w:rsidRPr="001A3179">
        <w:rPr>
          <w:lang w:val="fr-FR"/>
        </w:rPr>
        <w:tab/>
        <w:t xml:space="preserve">En 2006-2014, on a dénombré </w:t>
      </w:r>
      <w:r w:rsidR="0025667E">
        <w:rPr>
          <w:lang w:val="fr-FR"/>
        </w:rPr>
        <w:t>5</w:t>
      </w:r>
      <w:r w:rsidRPr="001A3179">
        <w:rPr>
          <w:lang w:val="fr-FR"/>
        </w:rPr>
        <w:t xml:space="preserve"> résiliations extraordinaires de contrat de travail, dont </w:t>
      </w:r>
      <w:r w:rsidR="0025667E">
        <w:rPr>
          <w:lang w:val="fr-FR"/>
        </w:rPr>
        <w:t>3</w:t>
      </w:r>
      <w:r w:rsidRPr="001A3179">
        <w:rPr>
          <w:lang w:val="fr-FR"/>
        </w:rPr>
        <w:t xml:space="preserve"> ont été annulées sur décision d</w:t>
      </w:r>
      <w:r>
        <w:rPr>
          <w:lang w:val="fr-FR"/>
        </w:rPr>
        <w:t>’</w:t>
      </w:r>
      <w:r w:rsidRPr="001A3179">
        <w:rPr>
          <w:lang w:val="fr-FR"/>
        </w:rPr>
        <w:t>une instance supérieure.</w:t>
      </w:r>
    </w:p>
    <w:p w14:paraId="40812F5F" w14:textId="77777777" w:rsidR="002A5EB2" w:rsidRPr="001A3179" w:rsidRDefault="002A5EB2" w:rsidP="00894C70">
      <w:pPr>
        <w:pStyle w:val="H1G"/>
        <w:rPr>
          <w:lang w:val="fr-FR"/>
        </w:rPr>
      </w:pPr>
      <w:bookmarkStart w:id="30" w:name="_Hlk8997943"/>
      <w:r w:rsidRPr="001A3179">
        <w:rPr>
          <w:lang w:val="fr-FR"/>
        </w:rPr>
        <w:tab/>
      </w:r>
      <w:r w:rsidRPr="001A3179">
        <w:rPr>
          <w:lang w:val="fr-FR"/>
        </w:rPr>
        <w:tab/>
        <w:t>Article 14</w:t>
      </w:r>
    </w:p>
    <w:bookmarkEnd w:id="30"/>
    <w:p w14:paraId="370326A7" w14:textId="77777777" w:rsidR="002A5EB2" w:rsidRPr="001A3179" w:rsidRDefault="002A5EB2" w:rsidP="00894C70">
      <w:pPr>
        <w:pStyle w:val="H23G"/>
        <w:rPr>
          <w:lang w:val="fr-FR"/>
        </w:rPr>
      </w:pPr>
      <w:r w:rsidRPr="001A3179">
        <w:rPr>
          <w:lang w:val="fr-FR"/>
        </w:rPr>
        <w:tab/>
      </w:r>
      <w:r w:rsidRPr="001A3179">
        <w:rPr>
          <w:lang w:val="fr-FR"/>
        </w:rPr>
        <w:tab/>
        <w:t>Réponse au paragraphe 18 de la liste des points à traiter</w:t>
      </w:r>
    </w:p>
    <w:p w14:paraId="0EEEB807" w14:textId="77777777" w:rsidR="00894C70" w:rsidRDefault="002A5EB2" w:rsidP="00894C70">
      <w:pPr>
        <w:pStyle w:val="SingleTxtG"/>
        <w:rPr>
          <w:lang w:val="fr-FR"/>
        </w:rPr>
      </w:pPr>
      <w:r w:rsidRPr="001A3179">
        <w:rPr>
          <w:lang w:val="fr-FR"/>
        </w:rPr>
        <w:t>135.</w:t>
      </w:r>
      <w:r w:rsidRPr="001A3179">
        <w:rPr>
          <w:lang w:val="fr-FR"/>
        </w:rPr>
        <w:tab/>
        <w:t>Le chapitre X du Code</w:t>
      </w:r>
      <w:r w:rsidR="0025667E">
        <w:rPr>
          <w:lang w:val="fr-FR"/>
        </w:rPr>
        <w:t xml:space="preserve"> de</w:t>
      </w:r>
      <w:r w:rsidRPr="001A3179">
        <w:rPr>
          <w:lang w:val="fr-FR"/>
        </w:rPr>
        <w:t xml:space="preserve"> procédure pénale dispose que la victime d</w:t>
      </w:r>
      <w:r>
        <w:rPr>
          <w:lang w:val="fr-FR"/>
        </w:rPr>
        <w:t>’</w:t>
      </w:r>
      <w:r w:rsidRPr="001A3179">
        <w:rPr>
          <w:lang w:val="fr-FR"/>
        </w:rPr>
        <w:t>une infraction pénale peut demander réparation à l</w:t>
      </w:r>
      <w:r>
        <w:rPr>
          <w:lang w:val="fr-FR"/>
        </w:rPr>
        <w:t>’</w:t>
      </w:r>
      <w:r w:rsidRPr="001A3179">
        <w:rPr>
          <w:lang w:val="fr-FR"/>
        </w:rPr>
        <w:t>auteur de l</w:t>
      </w:r>
      <w:r>
        <w:rPr>
          <w:lang w:val="fr-FR"/>
        </w:rPr>
        <w:t>’</w:t>
      </w:r>
      <w:r w:rsidRPr="001A3179">
        <w:rPr>
          <w:lang w:val="fr-FR"/>
        </w:rPr>
        <w:t>infraction en déposant une demande d</w:t>
      </w:r>
      <w:r>
        <w:rPr>
          <w:lang w:val="fr-FR"/>
        </w:rPr>
        <w:t>’</w:t>
      </w:r>
      <w:r w:rsidRPr="001A3179">
        <w:rPr>
          <w:lang w:val="fr-FR"/>
        </w:rPr>
        <w:t>indemnisation dans le cadre de la procédure pénale.</w:t>
      </w:r>
    </w:p>
    <w:p w14:paraId="77169279" w14:textId="77777777" w:rsidR="002A5EB2" w:rsidRPr="001A3179" w:rsidRDefault="002A5EB2" w:rsidP="00894C70">
      <w:pPr>
        <w:pStyle w:val="Bullet1G"/>
        <w:rPr>
          <w:lang w:val="fr-FR"/>
        </w:rPr>
      </w:pPr>
      <w:r w:rsidRPr="001A3179">
        <w:rPr>
          <w:lang w:val="fr-FR"/>
        </w:rPr>
        <w:t>Une telle demande est traitée dans le cadre de la procédure pénale, à condition que son examen ne prolonge pas indûment la procédure.</w:t>
      </w:r>
    </w:p>
    <w:p w14:paraId="37FE130F" w14:textId="77777777" w:rsidR="002A5EB2" w:rsidRPr="001A3179" w:rsidRDefault="002A5EB2" w:rsidP="00894C70">
      <w:pPr>
        <w:pStyle w:val="Bullet1G"/>
        <w:rPr>
          <w:lang w:val="fr-FR"/>
        </w:rPr>
      </w:pPr>
      <w:r w:rsidRPr="001A3179">
        <w:rPr>
          <w:lang w:val="fr-FR"/>
        </w:rPr>
        <w:t>La demande d</w:t>
      </w:r>
      <w:r>
        <w:rPr>
          <w:lang w:val="fr-FR"/>
        </w:rPr>
        <w:t>’</w:t>
      </w:r>
      <w:r w:rsidRPr="001A3179">
        <w:rPr>
          <w:lang w:val="fr-FR"/>
        </w:rPr>
        <w:t>indemnisation doit être déposée auprès de l</w:t>
      </w:r>
      <w:r>
        <w:rPr>
          <w:lang w:val="fr-FR"/>
        </w:rPr>
        <w:t>’</w:t>
      </w:r>
      <w:r w:rsidRPr="001A3179">
        <w:rPr>
          <w:lang w:val="fr-FR"/>
        </w:rPr>
        <w:t>autorité saisie de la plainte pénale ou de la juridiction menant la procédure pénale avant la fin de l</w:t>
      </w:r>
      <w:r>
        <w:rPr>
          <w:lang w:val="fr-FR"/>
        </w:rPr>
        <w:t>’</w:t>
      </w:r>
      <w:r w:rsidRPr="001A3179">
        <w:rPr>
          <w:lang w:val="fr-FR"/>
        </w:rPr>
        <w:t>audience principale devant le tribunal de première instance.</w:t>
      </w:r>
    </w:p>
    <w:p w14:paraId="292DFDE4" w14:textId="77777777" w:rsidR="002A5EB2" w:rsidRPr="001A3179" w:rsidRDefault="002A5EB2" w:rsidP="00894C70">
      <w:pPr>
        <w:pStyle w:val="Bullet1G"/>
        <w:rPr>
          <w:lang w:val="fr-FR"/>
        </w:rPr>
      </w:pPr>
      <w:r w:rsidRPr="001A3179">
        <w:rPr>
          <w:lang w:val="fr-FR"/>
        </w:rPr>
        <w:t>Dans son jugement, le tribunal peut accorder une indemnisation totale ou bien une indemnisation partielle et prescrire dans ce dernier cas à la victime de réclamer le reste ou toute autre indemnisation dans le cadre d</w:t>
      </w:r>
      <w:r>
        <w:rPr>
          <w:lang w:val="fr-FR"/>
        </w:rPr>
        <w:t>’</w:t>
      </w:r>
      <w:r w:rsidRPr="001A3179">
        <w:rPr>
          <w:lang w:val="fr-FR"/>
        </w:rPr>
        <w:t xml:space="preserve">une procédure civile. Le tribunal </w:t>
      </w:r>
      <w:r w:rsidRPr="001A3179">
        <w:rPr>
          <w:lang w:val="fr-FR"/>
        </w:rPr>
        <w:lastRenderedPageBreak/>
        <w:t>peut aussi prescrire à la partie lésée ou à la victime d</w:t>
      </w:r>
      <w:r>
        <w:rPr>
          <w:lang w:val="fr-FR"/>
        </w:rPr>
        <w:t>’</w:t>
      </w:r>
      <w:r w:rsidRPr="001A3179">
        <w:rPr>
          <w:lang w:val="fr-FR"/>
        </w:rPr>
        <w:t>intenter une action pour réclamer la totalité de l</w:t>
      </w:r>
      <w:r>
        <w:rPr>
          <w:lang w:val="fr-FR"/>
        </w:rPr>
        <w:t>’</w:t>
      </w:r>
      <w:r w:rsidRPr="001A3179">
        <w:rPr>
          <w:lang w:val="fr-FR"/>
        </w:rPr>
        <w:t>indemnisation. Dans la pratique, il s</w:t>
      </w:r>
      <w:r>
        <w:rPr>
          <w:lang w:val="fr-FR"/>
        </w:rPr>
        <w:t>’</w:t>
      </w:r>
      <w:r w:rsidRPr="001A3179">
        <w:rPr>
          <w:lang w:val="fr-FR"/>
        </w:rPr>
        <w:t>agit là des cas les plus courants.</w:t>
      </w:r>
    </w:p>
    <w:p w14:paraId="6471ECB1" w14:textId="77777777" w:rsidR="002A5EB2" w:rsidRPr="001A3179" w:rsidRDefault="002A5EB2" w:rsidP="002A5EB2">
      <w:pPr>
        <w:pStyle w:val="SingleTxtG"/>
        <w:rPr>
          <w:lang w:val="fr-FR"/>
        </w:rPr>
      </w:pPr>
      <w:r w:rsidRPr="001A3179">
        <w:rPr>
          <w:lang w:val="fr-FR"/>
        </w:rPr>
        <w:t>136.</w:t>
      </w:r>
      <w:r w:rsidRPr="001A3179">
        <w:rPr>
          <w:lang w:val="fr-FR"/>
        </w:rPr>
        <w:tab/>
        <w:t>Si les parties lésées (les victimes) ne demandent pas d</w:t>
      </w:r>
      <w:r>
        <w:rPr>
          <w:lang w:val="fr-FR"/>
        </w:rPr>
        <w:t>’</w:t>
      </w:r>
      <w:r w:rsidRPr="001A3179">
        <w:rPr>
          <w:lang w:val="fr-FR"/>
        </w:rPr>
        <w:t>indemnisation, ce qui est le cas en général pour les infractions pénales liées à la traite des êtres humains, le tribunal décide la saisie du produit de l</w:t>
      </w:r>
      <w:r>
        <w:rPr>
          <w:lang w:val="fr-FR"/>
        </w:rPr>
        <w:t>’</w:t>
      </w:r>
      <w:r w:rsidRPr="001A3179">
        <w:rPr>
          <w:lang w:val="fr-FR"/>
        </w:rPr>
        <w:t>infraction et le verse directement au budget de l</w:t>
      </w:r>
      <w:r>
        <w:rPr>
          <w:lang w:val="fr-FR"/>
        </w:rPr>
        <w:t>’</w:t>
      </w:r>
      <w:r w:rsidRPr="001A3179">
        <w:rPr>
          <w:lang w:val="fr-FR"/>
        </w:rPr>
        <w:t>État.</w:t>
      </w:r>
    </w:p>
    <w:p w14:paraId="01922C7A" w14:textId="77777777" w:rsidR="002A5EB2" w:rsidRPr="001A3179" w:rsidRDefault="002A5EB2" w:rsidP="002A5EB2">
      <w:pPr>
        <w:pStyle w:val="SingleTxtG"/>
        <w:rPr>
          <w:lang w:val="fr-FR"/>
        </w:rPr>
      </w:pPr>
      <w:r w:rsidRPr="001A3179">
        <w:rPr>
          <w:lang w:val="fr-FR"/>
        </w:rPr>
        <w:t>137.</w:t>
      </w:r>
      <w:r w:rsidRPr="001A3179">
        <w:rPr>
          <w:lang w:val="fr-FR"/>
        </w:rPr>
        <w:tab/>
        <w:t>La loi sur l</w:t>
      </w:r>
      <w:r>
        <w:rPr>
          <w:lang w:val="fr-FR"/>
        </w:rPr>
        <w:t>’</w:t>
      </w:r>
      <w:r w:rsidRPr="001A3179">
        <w:rPr>
          <w:lang w:val="fr-FR"/>
        </w:rPr>
        <w:t>indemnisation des victimes de la criminalité</w:t>
      </w:r>
      <w:r w:rsidRPr="0017324C">
        <w:rPr>
          <w:rStyle w:val="Appelnotedebasdep"/>
        </w:rPr>
        <w:footnoteReference w:id="37"/>
      </w:r>
      <w:r w:rsidRPr="001A3179">
        <w:rPr>
          <w:lang w:val="fr-FR"/>
        </w:rPr>
        <w:t xml:space="preserve"> définit les personnes admissibles au bénéfice d</w:t>
      </w:r>
      <w:r>
        <w:rPr>
          <w:lang w:val="fr-FR"/>
        </w:rPr>
        <w:t>’</w:t>
      </w:r>
      <w:r w:rsidRPr="001A3179">
        <w:rPr>
          <w:lang w:val="fr-FR"/>
        </w:rPr>
        <w:t>une indemnisation (art</w:t>
      </w:r>
      <w:r w:rsidR="0025667E">
        <w:rPr>
          <w:lang w:val="fr-FR"/>
        </w:rPr>
        <w:t>. </w:t>
      </w:r>
      <w:r w:rsidRPr="001A3179">
        <w:rPr>
          <w:lang w:val="fr-FR"/>
        </w:rPr>
        <w:t>4), les conditions formelles (</w:t>
      </w:r>
      <w:r w:rsidR="0025667E" w:rsidRPr="001A3179">
        <w:rPr>
          <w:lang w:val="fr-FR"/>
        </w:rPr>
        <w:t>art</w:t>
      </w:r>
      <w:r w:rsidR="0025667E">
        <w:rPr>
          <w:lang w:val="fr-FR"/>
        </w:rPr>
        <w:t>. </w:t>
      </w:r>
      <w:r w:rsidRPr="001A3179">
        <w:rPr>
          <w:lang w:val="fr-FR"/>
        </w:rPr>
        <w:t>5) et matérielles (</w:t>
      </w:r>
      <w:r w:rsidR="0025667E" w:rsidRPr="001A3179">
        <w:rPr>
          <w:lang w:val="fr-FR"/>
        </w:rPr>
        <w:t>art</w:t>
      </w:r>
      <w:r w:rsidR="0025667E">
        <w:rPr>
          <w:lang w:val="fr-FR"/>
        </w:rPr>
        <w:t>. </w:t>
      </w:r>
      <w:r w:rsidRPr="001A3179">
        <w:rPr>
          <w:lang w:val="fr-FR"/>
        </w:rPr>
        <w:t>6). Elle s</w:t>
      </w:r>
      <w:r>
        <w:rPr>
          <w:lang w:val="fr-FR"/>
        </w:rPr>
        <w:t>’</w:t>
      </w:r>
      <w:r w:rsidRPr="001A3179">
        <w:rPr>
          <w:lang w:val="fr-FR"/>
        </w:rPr>
        <w:t>applique aux victimes de la traite des êtres humains.</w:t>
      </w:r>
    </w:p>
    <w:p w14:paraId="5FC1068E" w14:textId="77777777" w:rsidR="002A5EB2" w:rsidRPr="001A3179" w:rsidRDefault="002A5EB2" w:rsidP="002A5EB2">
      <w:pPr>
        <w:pStyle w:val="SingleTxtG"/>
        <w:rPr>
          <w:lang w:val="fr-FR"/>
        </w:rPr>
      </w:pPr>
      <w:r w:rsidRPr="001A3179">
        <w:rPr>
          <w:lang w:val="fr-FR"/>
        </w:rPr>
        <w:t>138.</w:t>
      </w:r>
      <w:r w:rsidRPr="001A3179">
        <w:rPr>
          <w:lang w:val="fr-FR"/>
        </w:rPr>
        <w:tab/>
        <w:t>Au titre du processus de détection et d</w:t>
      </w:r>
      <w:r>
        <w:rPr>
          <w:lang w:val="fr-FR"/>
        </w:rPr>
        <w:t>’</w:t>
      </w:r>
      <w:r w:rsidRPr="001A3179">
        <w:rPr>
          <w:lang w:val="fr-FR"/>
        </w:rPr>
        <w:t>accompagnement des victimes de la traite des êtres humains, mis en œuvre par les forces de l</w:t>
      </w:r>
      <w:r>
        <w:rPr>
          <w:lang w:val="fr-FR"/>
        </w:rPr>
        <w:t>’</w:t>
      </w:r>
      <w:r w:rsidRPr="001A3179">
        <w:rPr>
          <w:lang w:val="fr-FR"/>
        </w:rPr>
        <w:t>ordre avec le soutien d</w:t>
      </w:r>
      <w:r>
        <w:rPr>
          <w:lang w:val="fr-FR"/>
        </w:rPr>
        <w:t>’</w:t>
      </w:r>
      <w:r w:rsidRPr="001A3179">
        <w:rPr>
          <w:lang w:val="fr-FR"/>
        </w:rPr>
        <w:t>ONG et d</w:t>
      </w:r>
      <w:r>
        <w:rPr>
          <w:lang w:val="fr-FR"/>
        </w:rPr>
        <w:t>’</w:t>
      </w:r>
      <w:r w:rsidRPr="001A3179">
        <w:rPr>
          <w:lang w:val="fr-FR"/>
        </w:rPr>
        <w:t>organismes humanitaires sous contrat, les victimes de cette traite sont informées pleinement des prestations auxquelles elles peuvent prétendre, ainsi que de leurs droits et possibilités en matière d</w:t>
      </w:r>
      <w:r>
        <w:rPr>
          <w:lang w:val="fr-FR"/>
        </w:rPr>
        <w:t>’</w:t>
      </w:r>
      <w:r w:rsidRPr="001A3179">
        <w:rPr>
          <w:lang w:val="fr-FR"/>
        </w:rPr>
        <w:t>indemnisation.</w:t>
      </w:r>
    </w:p>
    <w:p w14:paraId="0B25654F" w14:textId="77777777" w:rsidR="002A5EB2" w:rsidRPr="001A3179" w:rsidRDefault="002A5EB2" w:rsidP="002A5EB2">
      <w:pPr>
        <w:pStyle w:val="SingleTxtG"/>
        <w:rPr>
          <w:lang w:val="fr-FR"/>
        </w:rPr>
      </w:pPr>
      <w:r w:rsidRPr="001A3179">
        <w:rPr>
          <w:lang w:val="fr-FR"/>
        </w:rPr>
        <w:t>139.</w:t>
      </w:r>
      <w:r w:rsidRPr="001A3179">
        <w:rPr>
          <w:lang w:val="fr-FR"/>
        </w:rPr>
        <w:tab/>
        <w:t>Malgré les options judiciaires dont elles disposent, rares sont les victimes de la traite des êtres humains à réclamer une indemnisation dans la pratique, ce pour les raisons exposées plus loin. À ce jour deux victimes seulement ont demandé à être indemnisées, toutes deux au cours des trois dernières années. Ces procédures sont en cours.</w:t>
      </w:r>
    </w:p>
    <w:p w14:paraId="34AC3FF9" w14:textId="77777777" w:rsidR="002A5EB2" w:rsidRPr="001A3179" w:rsidRDefault="002A5EB2" w:rsidP="002A5EB2">
      <w:pPr>
        <w:pStyle w:val="SingleTxtG"/>
        <w:rPr>
          <w:lang w:val="fr-FR"/>
        </w:rPr>
      </w:pPr>
      <w:r w:rsidRPr="001A3179">
        <w:rPr>
          <w:lang w:val="fr-FR"/>
        </w:rPr>
        <w:t>140.</w:t>
      </w:r>
      <w:r w:rsidRPr="001A3179">
        <w:rPr>
          <w:lang w:val="fr-FR"/>
        </w:rPr>
        <w:tab/>
        <w:t>Selon les procureurs s</w:t>
      </w:r>
      <w:r>
        <w:rPr>
          <w:lang w:val="fr-FR"/>
        </w:rPr>
        <w:t>’</w:t>
      </w:r>
      <w:r w:rsidRPr="001A3179">
        <w:rPr>
          <w:lang w:val="fr-FR"/>
        </w:rPr>
        <w:t>occupant des affaires de traite des êtres humains et les ONG, ces raisons tiennent au psychisme de la victime et à sa perception d</w:t>
      </w:r>
      <w:r>
        <w:rPr>
          <w:lang w:val="fr-FR"/>
        </w:rPr>
        <w:t>’</w:t>
      </w:r>
      <w:r w:rsidRPr="001A3179">
        <w:rPr>
          <w:lang w:val="fr-FR"/>
        </w:rPr>
        <w:t xml:space="preserve">être victime de cette traite ou à son identification comme telle. Dans la plupart des cas portés devant la justice slovène, la victime de cette traite </w:t>
      </w:r>
      <w:r>
        <w:rPr>
          <w:lang w:val="fr-FR"/>
        </w:rPr>
        <w:t xml:space="preserve">ne </w:t>
      </w:r>
      <w:r w:rsidRPr="001A3179">
        <w:rPr>
          <w:lang w:val="fr-FR"/>
        </w:rPr>
        <w:t>se sent pas lésée car elle ne se perçoit pas comme telle. Même dans les cas où la victime se perçoit comme une victime et participe à la procédure pénale en tant que témoin, un sentiment de fierté et sa dignité humaine tendent à la dissuader de réclamer une indemnisation.</w:t>
      </w:r>
    </w:p>
    <w:p w14:paraId="4F1EF6BE" w14:textId="77777777" w:rsidR="002A5EB2" w:rsidRPr="001A3179" w:rsidRDefault="002A5EB2" w:rsidP="00894C70">
      <w:pPr>
        <w:pStyle w:val="H23G"/>
        <w:rPr>
          <w:lang w:val="fr-FR"/>
        </w:rPr>
      </w:pPr>
      <w:r w:rsidRPr="001A3179">
        <w:rPr>
          <w:lang w:val="fr-FR"/>
        </w:rPr>
        <w:tab/>
      </w:r>
      <w:r w:rsidRPr="001A3179">
        <w:rPr>
          <w:lang w:val="fr-FR"/>
        </w:rPr>
        <w:tab/>
        <w:t>Réponse au paragraphe 19 de la liste des points à traiter</w:t>
      </w:r>
    </w:p>
    <w:p w14:paraId="71ECB535" w14:textId="77777777" w:rsidR="002A5EB2" w:rsidRPr="001A3179" w:rsidRDefault="002A5EB2" w:rsidP="002A5EB2">
      <w:pPr>
        <w:pStyle w:val="SingleTxtG"/>
        <w:rPr>
          <w:lang w:val="fr-FR"/>
        </w:rPr>
      </w:pPr>
      <w:r w:rsidRPr="001A3179">
        <w:rPr>
          <w:lang w:val="fr-FR"/>
        </w:rPr>
        <w:t>141.</w:t>
      </w:r>
      <w:r w:rsidRPr="001A3179">
        <w:rPr>
          <w:lang w:val="fr-FR"/>
        </w:rPr>
        <w:tab/>
        <w:t xml:space="preserve">En 2013, la Slovénie a adopté </w:t>
      </w:r>
      <w:bookmarkStart w:id="31" w:name="_Hlk38618985"/>
      <w:r w:rsidRPr="001A3179">
        <w:rPr>
          <w:lang w:val="fr-FR"/>
        </w:rPr>
        <w:t>la loi sur l</w:t>
      </w:r>
      <w:r>
        <w:rPr>
          <w:lang w:val="fr-FR"/>
        </w:rPr>
        <w:t>’</w:t>
      </w:r>
      <w:r w:rsidRPr="001A3179">
        <w:rPr>
          <w:lang w:val="fr-FR"/>
        </w:rPr>
        <w:t>indemnisation des personnes radiées du</w:t>
      </w:r>
      <w:r w:rsidR="0025667E">
        <w:rPr>
          <w:lang w:val="fr-FR"/>
        </w:rPr>
        <w:t> </w:t>
      </w:r>
      <w:r w:rsidRPr="001A3179">
        <w:rPr>
          <w:lang w:val="fr-FR"/>
        </w:rPr>
        <w:t>Registre des résidents permanents</w:t>
      </w:r>
      <w:bookmarkEnd w:id="31"/>
      <w:r w:rsidRPr="001A3179">
        <w:rPr>
          <w:lang w:val="fr-FR"/>
        </w:rPr>
        <w:t xml:space="preserve"> (ZPŠOIRSP)</w:t>
      </w:r>
      <w:r w:rsidRPr="0017324C">
        <w:rPr>
          <w:rStyle w:val="Appelnotedebasdep"/>
        </w:rPr>
        <w:footnoteReference w:id="38"/>
      </w:r>
      <w:r w:rsidRPr="001A3179">
        <w:rPr>
          <w:lang w:val="fr-FR"/>
        </w:rPr>
        <w:t xml:space="preserve">, présentée plus en détail aux paragraphes 269 et 270 du </w:t>
      </w:r>
      <w:r>
        <w:rPr>
          <w:lang w:val="fr-FR"/>
        </w:rPr>
        <w:t>d</w:t>
      </w:r>
      <w:r w:rsidRPr="001A3179">
        <w:rPr>
          <w:lang w:val="fr-FR"/>
        </w:rPr>
        <w:t>ocument de base commun de la Slovénie (HRI/CORE/SVN/2014).</w:t>
      </w:r>
    </w:p>
    <w:p w14:paraId="20F09875" w14:textId="77777777" w:rsidR="002A5EB2" w:rsidRPr="001A3179" w:rsidRDefault="002A5EB2" w:rsidP="002A5EB2">
      <w:pPr>
        <w:pStyle w:val="SingleTxtG"/>
        <w:rPr>
          <w:lang w:val="fr-FR"/>
        </w:rPr>
      </w:pPr>
      <w:r w:rsidRPr="001A3179">
        <w:rPr>
          <w:lang w:val="fr-FR"/>
        </w:rPr>
        <w:t>142.</w:t>
      </w:r>
      <w:r w:rsidRPr="001A3179">
        <w:rPr>
          <w:lang w:val="fr-FR"/>
        </w:rPr>
        <w:tab/>
        <w:t>Au cours du processus législatif, l</w:t>
      </w:r>
      <w:r>
        <w:rPr>
          <w:lang w:val="fr-FR"/>
        </w:rPr>
        <w:t>’</w:t>
      </w:r>
      <w:r w:rsidRPr="001A3179">
        <w:rPr>
          <w:lang w:val="fr-FR"/>
        </w:rPr>
        <w:t>éventail des bénéficiaires a été élargi. Outre les personnes radiées ayant par la suite obtenu un permis de séjour permanent ou la nationalité slovène, sont désormais admissibles au bénéfice d</w:t>
      </w:r>
      <w:r>
        <w:rPr>
          <w:lang w:val="fr-FR"/>
        </w:rPr>
        <w:t>’</w:t>
      </w:r>
      <w:r w:rsidRPr="001A3179">
        <w:rPr>
          <w:lang w:val="fr-FR"/>
        </w:rPr>
        <w:t>une indemnisation les personnes radiées ayant tenté de régulariser leur statut en Slovénie mais dont la demande de permis de séjour permanent ou de naturalisation a été jugée irrecevable, rejetée ou suspendue. Cet éventail élargi est conforme à l</w:t>
      </w:r>
      <w:r>
        <w:rPr>
          <w:lang w:val="fr-FR"/>
        </w:rPr>
        <w:t>’</w:t>
      </w:r>
      <w:r w:rsidRPr="001A3179">
        <w:rPr>
          <w:lang w:val="fr-FR"/>
        </w:rPr>
        <w:t>arrêt rendu par la CEDH siégeant en Grande Chambre dans l</w:t>
      </w:r>
      <w:r>
        <w:rPr>
          <w:lang w:val="fr-FR"/>
        </w:rPr>
        <w:t>’</w:t>
      </w:r>
      <w:r w:rsidRPr="001A3179">
        <w:rPr>
          <w:lang w:val="fr-FR"/>
        </w:rPr>
        <w:t xml:space="preserve">affaire </w:t>
      </w:r>
      <w:proofErr w:type="spellStart"/>
      <w:r w:rsidRPr="001A3179">
        <w:rPr>
          <w:lang w:val="fr-FR"/>
        </w:rPr>
        <w:t>Kurić</w:t>
      </w:r>
      <w:proofErr w:type="spellEnd"/>
      <w:r w:rsidRPr="001A3179">
        <w:rPr>
          <w:lang w:val="fr-FR"/>
        </w:rPr>
        <w:t xml:space="preserve"> et autres c.</w:t>
      </w:r>
      <w:r w:rsidR="00B25D30">
        <w:rPr>
          <w:lang w:val="fr-FR"/>
        </w:rPr>
        <w:t> </w:t>
      </w:r>
      <w:r w:rsidRPr="001A3179">
        <w:rPr>
          <w:lang w:val="fr-FR"/>
        </w:rPr>
        <w:t>Slovénie et à la recommandation du Comité des Délégués des Ministres du Conseil de l</w:t>
      </w:r>
      <w:r>
        <w:rPr>
          <w:lang w:val="fr-FR"/>
        </w:rPr>
        <w:t>’</w:t>
      </w:r>
      <w:r w:rsidRPr="001A3179">
        <w:rPr>
          <w:lang w:val="fr-FR"/>
        </w:rPr>
        <w:t>Europe. Les bénéficiaires ont été définis en se conformant à l</w:t>
      </w:r>
      <w:r>
        <w:rPr>
          <w:lang w:val="fr-FR"/>
        </w:rPr>
        <w:t>’</w:t>
      </w:r>
      <w:r w:rsidRPr="001A3179">
        <w:rPr>
          <w:lang w:val="fr-FR"/>
        </w:rPr>
        <w:t>appréciation de la Grande Chambre dans l</w:t>
      </w:r>
      <w:r>
        <w:rPr>
          <w:lang w:val="fr-FR"/>
        </w:rPr>
        <w:t>’</w:t>
      </w:r>
      <w:r w:rsidRPr="001A3179">
        <w:rPr>
          <w:lang w:val="fr-FR"/>
        </w:rPr>
        <w:t xml:space="preserve">affaire </w:t>
      </w:r>
      <w:proofErr w:type="spellStart"/>
      <w:r w:rsidRPr="001A3179">
        <w:rPr>
          <w:lang w:val="fr-FR"/>
        </w:rPr>
        <w:t>Kurić</w:t>
      </w:r>
      <w:proofErr w:type="spellEnd"/>
      <w:r w:rsidRPr="001A3179">
        <w:rPr>
          <w:lang w:val="fr-FR"/>
        </w:rPr>
        <w:t xml:space="preserve"> et autres c.</w:t>
      </w:r>
      <w:r w:rsidR="00B25D30">
        <w:rPr>
          <w:lang w:val="fr-FR"/>
        </w:rPr>
        <w:t> </w:t>
      </w:r>
      <w:r w:rsidRPr="001A3179">
        <w:rPr>
          <w:lang w:val="fr-FR"/>
        </w:rPr>
        <w:t>Slovénie s</w:t>
      </w:r>
      <w:r>
        <w:rPr>
          <w:lang w:val="fr-FR"/>
        </w:rPr>
        <w:t>’</w:t>
      </w:r>
      <w:r w:rsidRPr="001A3179">
        <w:rPr>
          <w:lang w:val="fr-FR"/>
        </w:rPr>
        <w:t>agissant de déterminer quels requérants étaient victimes de violations et avaient droit à une indemnisation pour préjudice non pécuniaire. La Grande Chambre a jugé infondées les prétentions de deux des requérants qui n</w:t>
      </w:r>
      <w:r>
        <w:rPr>
          <w:lang w:val="fr-FR"/>
        </w:rPr>
        <w:t>’</w:t>
      </w:r>
      <w:r w:rsidRPr="001A3179">
        <w:rPr>
          <w:lang w:val="fr-FR"/>
        </w:rPr>
        <w:t>avaient pas demandé de permis de séjour ni manifesté de quelconque manière leur souhait de résider en Slovénie à aucun moment après leur radiation, considérant qu</w:t>
      </w:r>
      <w:r>
        <w:rPr>
          <w:lang w:val="fr-FR"/>
        </w:rPr>
        <w:t>’</w:t>
      </w:r>
      <w:r w:rsidRPr="001A3179">
        <w:rPr>
          <w:lang w:val="fr-FR"/>
        </w:rPr>
        <w:t>ils n</w:t>
      </w:r>
      <w:r>
        <w:rPr>
          <w:lang w:val="fr-FR"/>
        </w:rPr>
        <w:t>’</w:t>
      </w:r>
      <w:r w:rsidRPr="001A3179">
        <w:rPr>
          <w:lang w:val="fr-FR"/>
        </w:rPr>
        <w:t>avaient pas démontré un intérêt suffisant pour leur situation ni épuisé tous les recours internes disponibles à l</w:t>
      </w:r>
      <w:r>
        <w:rPr>
          <w:lang w:val="fr-FR"/>
        </w:rPr>
        <w:t>’</w:t>
      </w:r>
      <w:r w:rsidRPr="001A3179">
        <w:rPr>
          <w:lang w:val="fr-FR"/>
        </w:rPr>
        <w:t>époque en Slovénie en vertu de la législation existante ; en conséquence, elle ne leur a pas reconnu de droit à indemnisation.</w:t>
      </w:r>
    </w:p>
    <w:p w14:paraId="4915910D" w14:textId="77777777" w:rsidR="002A5EB2" w:rsidRPr="001A3179" w:rsidRDefault="002A5EB2" w:rsidP="002A5EB2">
      <w:pPr>
        <w:pStyle w:val="SingleTxtG"/>
        <w:rPr>
          <w:lang w:val="fr-FR"/>
        </w:rPr>
      </w:pPr>
      <w:r w:rsidRPr="001A3179">
        <w:rPr>
          <w:lang w:val="fr-FR"/>
        </w:rPr>
        <w:t>143.</w:t>
      </w:r>
      <w:r w:rsidRPr="001A3179">
        <w:rPr>
          <w:lang w:val="fr-FR"/>
        </w:rPr>
        <w:tab/>
        <w:t>La loi précitée prévoit le droit à une indemnisation financière et le droit à d</w:t>
      </w:r>
      <w:r>
        <w:rPr>
          <w:lang w:val="fr-FR"/>
        </w:rPr>
        <w:t>’</w:t>
      </w:r>
      <w:r w:rsidRPr="001A3179">
        <w:rPr>
          <w:lang w:val="fr-FR"/>
        </w:rPr>
        <w:t>autres formes de satisfaction équitable pour compenser le préjudice causé par la radiation. La loi vise à permettre aux personnes admissibles au bénéfice d</w:t>
      </w:r>
      <w:r>
        <w:rPr>
          <w:lang w:val="fr-FR"/>
        </w:rPr>
        <w:t>’</w:t>
      </w:r>
      <w:r w:rsidRPr="001A3179">
        <w:rPr>
          <w:lang w:val="fr-FR"/>
        </w:rPr>
        <w:t>une indemnisation d</w:t>
      </w:r>
      <w:r>
        <w:rPr>
          <w:lang w:val="fr-FR"/>
        </w:rPr>
        <w:t>’</w:t>
      </w:r>
      <w:r w:rsidRPr="001A3179">
        <w:rPr>
          <w:lang w:val="fr-FR"/>
        </w:rPr>
        <w:t xml:space="preserve">obtenir </w:t>
      </w:r>
      <w:r w:rsidRPr="001A3179">
        <w:rPr>
          <w:lang w:val="fr-FR"/>
        </w:rPr>
        <w:lastRenderedPageBreak/>
        <w:t>rapidement et efficacement une satisfaction équitable et précise à cet effet que ces personnes peuvent demander une indemnisation financière en engageant une procédure administrative (le demandeur n</w:t>
      </w:r>
      <w:r>
        <w:rPr>
          <w:lang w:val="fr-FR"/>
        </w:rPr>
        <w:t>’</w:t>
      </w:r>
      <w:r w:rsidRPr="001A3179">
        <w:rPr>
          <w:lang w:val="fr-FR"/>
        </w:rPr>
        <w:t>ayant pas à prouver un lien de causalité entre la radiation et le préjudice et le montant de l</w:t>
      </w:r>
      <w:r>
        <w:rPr>
          <w:lang w:val="fr-FR"/>
        </w:rPr>
        <w:t>’</w:t>
      </w:r>
      <w:r w:rsidRPr="001A3179">
        <w:rPr>
          <w:lang w:val="fr-FR"/>
        </w:rPr>
        <w:t>indemnisation étant fixé forfaitairement à 50 euros pour chaque mois de radiation) ; ladite loi prévoit en outre d</w:t>
      </w:r>
      <w:r>
        <w:rPr>
          <w:lang w:val="fr-FR"/>
        </w:rPr>
        <w:t>’</w:t>
      </w:r>
      <w:r w:rsidRPr="001A3179">
        <w:rPr>
          <w:lang w:val="fr-FR"/>
        </w:rPr>
        <w:t>autres types de satisfaction équitable. Les personnes admissibles ont le droit, outre de recourir à cette procédure administrative, d</w:t>
      </w:r>
      <w:r>
        <w:rPr>
          <w:lang w:val="fr-FR"/>
        </w:rPr>
        <w:t>’</w:t>
      </w:r>
      <w:r w:rsidRPr="001A3179">
        <w:rPr>
          <w:lang w:val="fr-FR"/>
        </w:rPr>
        <w:t>engager une procédure judiciaire pour demander une indemnisation financière. Il appartient à chaque personne admissible d</w:t>
      </w:r>
      <w:r>
        <w:rPr>
          <w:lang w:val="fr-FR"/>
        </w:rPr>
        <w:t>’</w:t>
      </w:r>
      <w:r w:rsidRPr="001A3179">
        <w:rPr>
          <w:lang w:val="fr-FR"/>
        </w:rPr>
        <w:t>opter pour la procédure administrative ou la procédure judiciaire ou les deux pour demander une indemnisation. Une personne admissible qui estime que le préjudice qu</w:t>
      </w:r>
      <w:r>
        <w:rPr>
          <w:lang w:val="fr-FR"/>
        </w:rPr>
        <w:t>’</w:t>
      </w:r>
      <w:r w:rsidRPr="001A3179">
        <w:rPr>
          <w:lang w:val="fr-FR"/>
        </w:rPr>
        <w:t>elle a subi à cause de sa radiation est d</w:t>
      </w:r>
      <w:r>
        <w:rPr>
          <w:lang w:val="fr-FR"/>
        </w:rPr>
        <w:t>’</w:t>
      </w:r>
      <w:r w:rsidRPr="001A3179">
        <w:rPr>
          <w:lang w:val="fr-FR"/>
        </w:rPr>
        <w:t>un montant supérieur à la somme forfaitaire prévue dans la procédure administrative peut saisir la justice d</w:t>
      </w:r>
      <w:r>
        <w:rPr>
          <w:lang w:val="fr-FR"/>
        </w:rPr>
        <w:t>’</w:t>
      </w:r>
      <w:r w:rsidRPr="001A3179">
        <w:rPr>
          <w:lang w:val="fr-FR"/>
        </w:rPr>
        <w:t>une action en dommages et intérêts.</w:t>
      </w:r>
    </w:p>
    <w:p w14:paraId="5B6A83AD" w14:textId="77777777" w:rsidR="002A5EB2" w:rsidRPr="001A3179" w:rsidRDefault="002A5EB2" w:rsidP="002A5EB2">
      <w:pPr>
        <w:pStyle w:val="SingleTxtG"/>
        <w:rPr>
          <w:lang w:val="fr-FR"/>
        </w:rPr>
      </w:pPr>
      <w:r w:rsidRPr="001A3179">
        <w:rPr>
          <w:lang w:val="fr-FR"/>
        </w:rPr>
        <w:t>144.</w:t>
      </w:r>
      <w:r w:rsidRPr="001A3179">
        <w:rPr>
          <w:lang w:val="fr-FR"/>
        </w:rPr>
        <w:tab/>
        <w:t>D</w:t>
      </w:r>
      <w:r>
        <w:rPr>
          <w:lang w:val="fr-FR"/>
        </w:rPr>
        <w:t>’</w:t>
      </w:r>
      <w:r w:rsidRPr="001A3179">
        <w:rPr>
          <w:lang w:val="fr-FR"/>
        </w:rPr>
        <w:t>autres formes de satisfaction équitable permettent aux personnes de faire valoir leurs droits ou de leur faciliter l</w:t>
      </w:r>
      <w:r>
        <w:rPr>
          <w:lang w:val="fr-FR"/>
        </w:rPr>
        <w:t>’</w:t>
      </w:r>
      <w:r w:rsidRPr="001A3179">
        <w:rPr>
          <w:lang w:val="fr-FR"/>
        </w:rPr>
        <w:t>accès à ces droits dans divers domaines pour lesquels il a été établi en pratique qu</w:t>
      </w:r>
      <w:r>
        <w:rPr>
          <w:lang w:val="fr-FR"/>
        </w:rPr>
        <w:t>’</w:t>
      </w:r>
      <w:r w:rsidRPr="001A3179">
        <w:rPr>
          <w:lang w:val="fr-FR"/>
        </w:rPr>
        <w:t>une facilitation serait utile ou nécessaire, notamment : paiement des cotisations à l</w:t>
      </w:r>
      <w:r>
        <w:rPr>
          <w:lang w:val="fr-FR"/>
        </w:rPr>
        <w:t>’</w:t>
      </w:r>
      <w:r w:rsidRPr="001A3179">
        <w:rPr>
          <w:lang w:val="fr-FR"/>
        </w:rPr>
        <w:t>assurance maladie obligatoire ; accès prioritaire aux programmes d</w:t>
      </w:r>
      <w:r>
        <w:rPr>
          <w:lang w:val="fr-FR"/>
        </w:rPr>
        <w:t>’</w:t>
      </w:r>
      <w:r w:rsidRPr="001A3179">
        <w:rPr>
          <w:lang w:val="fr-FR"/>
        </w:rPr>
        <w:t>aide sociale ; assouplissement des conditions d</w:t>
      </w:r>
      <w:r>
        <w:rPr>
          <w:lang w:val="fr-FR"/>
        </w:rPr>
        <w:t>’</w:t>
      </w:r>
      <w:r w:rsidRPr="001A3179">
        <w:rPr>
          <w:lang w:val="fr-FR"/>
        </w:rPr>
        <w:t>accès aux fonds publics ; obtention de bourses d</w:t>
      </w:r>
      <w:r>
        <w:rPr>
          <w:lang w:val="fr-FR"/>
        </w:rPr>
        <w:t>’</w:t>
      </w:r>
      <w:r w:rsidRPr="001A3179">
        <w:rPr>
          <w:lang w:val="fr-FR"/>
        </w:rPr>
        <w:t>État ; égalité de traitement avec les ressortissants slovènes pour l</w:t>
      </w:r>
      <w:r>
        <w:rPr>
          <w:lang w:val="fr-FR"/>
        </w:rPr>
        <w:t>’</w:t>
      </w:r>
      <w:r w:rsidRPr="001A3179">
        <w:rPr>
          <w:lang w:val="fr-FR"/>
        </w:rPr>
        <w:t>obtention d</w:t>
      </w:r>
      <w:r>
        <w:rPr>
          <w:lang w:val="fr-FR"/>
        </w:rPr>
        <w:t>’</w:t>
      </w:r>
      <w:r w:rsidRPr="001A3179">
        <w:rPr>
          <w:lang w:val="fr-FR"/>
        </w:rPr>
        <w:t>un logement, l</w:t>
      </w:r>
      <w:r>
        <w:rPr>
          <w:lang w:val="fr-FR"/>
        </w:rPr>
        <w:t>’</w:t>
      </w:r>
      <w:r w:rsidRPr="001A3179">
        <w:rPr>
          <w:lang w:val="fr-FR"/>
        </w:rPr>
        <w:t>accès au système éducatif et l</w:t>
      </w:r>
      <w:r>
        <w:rPr>
          <w:lang w:val="fr-FR"/>
        </w:rPr>
        <w:t>’</w:t>
      </w:r>
      <w:r w:rsidRPr="001A3179">
        <w:rPr>
          <w:lang w:val="fr-FR"/>
        </w:rPr>
        <w:t>accès prioritaire aux programmes d</w:t>
      </w:r>
      <w:r>
        <w:rPr>
          <w:lang w:val="fr-FR"/>
        </w:rPr>
        <w:t>’</w:t>
      </w:r>
      <w:r w:rsidRPr="001A3179">
        <w:rPr>
          <w:lang w:val="fr-FR"/>
        </w:rPr>
        <w:t>intégration (visant à accélérer l</w:t>
      </w:r>
      <w:r>
        <w:rPr>
          <w:lang w:val="fr-FR"/>
        </w:rPr>
        <w:t>’</w:t>
      </w:r>
      <w:r w:rsidRPr="001A3179">
        <w:rPr>
          <w:lang w:val="fr-FR"/>
        </w:rPr>
        <w:t>insertion dans la vie culturelle, économique et sociale slovène).</w:t>
      </w:r>
    </w:p>
    <w:p w14:paraId="204A6987" w14:textId="77777777" w:rsidR="002A5EB2" w:rsidRPr="001A3179" w:rsidRDefault="002A5EB2" w:rsidP="002A5EB2">
      <w:pPr>
        <w:pStyle w:val="SingleTxtG"/>
        <w:rPr>
          <w:lang w:val="fr-FR"/>
        </w:rPr>
      </w:pPr>
      <w:r w:rsidRPr="001A3179">
        <w:rPr>
          <w:lang w:val="fr-FR"/>
        </w:rPr>
        <w:t>145.</w:t>
      </w:r>
      <w:r w:rsidRPr="001A3179">
        <w:rPr>
          <w:lang w:val="fr-FR"/>
        </w:rPr>
        <w:tab/>
        <w:t>À la 1</w:t>
      </w:r>
      <w:r w:rsidR="00B25D30">
        <w:rPr>
          <w:lang w:val="fr-FR"/>
        </w:rPr>
        <w:t> </w:t>
      </w:r>
      <w:r w:rsidRPr="001A3179">
        <w:rPr>
          <w:lang w:val="fr-FR"/>
        </w:rPr>
        <w:t>257</w:t>
      </w:r>
      <w:r w:rsidRPr="001A3179">
        <w:rPr>
          <w:vertAlign w:val="superscript"/>
          <w:lang w:val="fr-FR"/>
        </w:rPr>
        <w:t>e</w:t>
      </w:r>
      <w:r w:rsidR="00B25D30">
        <w:rPr>
          <w:lang w:val="fr-FR"/>
        </w:rPr>
        <w:t> </w:t>
      </w:r>
      <w:r w:rsidRPr="001A3179">
        <w:rPr>
          <w:lang w:val="fr-FR"/>
        </w:rPr>
        <w:t>réunion des Délégués des Ministres, le 25</w:t>
      </w:r>
      <w:r w:rsidR="00B25D30">
        <w:rPr>
          <w:lang w:val="fr-FR"/>
        </w:rPr>
        <w:t> </w:t>
      </w:r>
      <w:r w:rsidRPr="001A3179">
        <w:rPr>
          <w:lang w:val="fr-FR"/>
        </w:rPr>
        <w:t>mai 2016, le Comité des Ministres du Conseil de l</w:t>
      </w:r>
      <w:r>
        <w:rPr>
          <w:lang w:val="fr-FR"/>
        </w:rPr>
        <w:t>’</w:t>
      </w:r>
      <w:r w:rsidRPr="001A3179">
        <w:rPr>
          <w:lang w:val="fr-FR"/>
        </w:rPr>
        <w:t>Europe chargé de superviser l</w:t>
      </w:r>
      <w:r>
        <w:rPr>
          <w:lang w:val="fr-FR"/>
        </w:rPr>
        <w:t>’</w:t>
      </w:r>
      <w:r w:rsidRPr="001A3179">
        <w:rPr>
          <w:lang w:val="fr-FR"/>
        </w:rPr>
        <w:t>exécution des arrêts définitifs de la CEDH a adopté une résolution finale concernant l</w:t>
      </w:r>
      <w:r>
        <w:rPr>
          <w:lang w:val="fr-FR"/>
        </w:rPr>
        <w:t>’</w:t>
      </w:r>
      <w:r w:rsidRPr="001A3179">
        <w:rPr>
          <w:lang w:val="fr-FR"/>
        </w:rPr>
        <w:t xml:space="preserve">affaire </w:t>
      </w:r>
      <w:proofErr w:type="spellStart"/>
      <w:r w:rsidRPr="001A3179">
        <w:rPr>
          <w:lang w:val="fr-FR"/>
        </w:rPr>
        <w:t>Kurić</w:t>
      </w:r>
      <w:proofErr w:type="spellEnd"/>
      <w:r w:rsidRPr="001A3179">
        <w:rPr>
          <w:lang w:val="fr-FR"/>
        </w:rPr>
        <w:t xml:space="preserve"> et autres c.</w:t>
      </w:r>
      <w:r w:rsidR="00B25D30">
        <w:rPr>
          <w:lang w:val="fr-FR"/>
        </w:rPr>
        <w:t> </w:t>
      </w:r>
      <w:r w:rsidRPr="001A3179">
        <w:rPr>
          <w:lang w:val="fr-FR"/>
        </w:rPr>
        <w:t>Slovénie. Après examen du bilan d</w:t>
      </w:r>
      <w:r>
        <w:rPr>
          <w:lang w:val="fr-FR"/>
        </w:rPr>
        <w:t>’</w:t>
      </w:r>
      <w:r w:rsidRPr="001A3179">
        <w:rPr>
          <w:lang w:val="fr-FR"/>
        </w:rPr>
        <w:t>action exposant les mesures prises par la Slovénie pour donner effet aux arrêts, le Comité des Ministres a estimé qu</w:t>
      </w:r>
      <w:r>
        <w:rPr>
          <w:lang w:val="fr-FR"/>
        </w:rPr>
        <w:t>’</w:t>
      </w:r>
      <w:r w:rsidRPr="001A3179">
        <w:rPr>
          <w:lang w:val="fr-FR"/>
        </w:rPr>
        <w:t>elle avait satisfait à toutes les obligations découlant des arrêts de la Grande Chambre de la CEDH du 26 juin 2012 et du 12</w:t>
      </w:r>
      <w:r w:rsidR="00B25D30">
        <w:rPr>
          <w:lang w:val="fr-FR"/>
        </w:rPr>
        <w:t> </w:t>
      </w:r>
      <w:r w:rsidRPr="001A3179">
        <w:rPr>
          <w:lang w:val="fr-FR"/>
        </w:rPr>
        <w:t>mars 2014, concernant tant les mesures individuelles signifiées aux requérants que les mesures générales. En adoptant la loi sur l</w:t>
      </w:r>
      <w:r>
        <w:rPr>
          <w:lang w:val="fr-FR"/>
        </w:rPr>
        <w:t>’</w:t>
      </w:r>
      <w:r w:rsidRPr="001A3179">
        <w:rPr>
          <w:lang w:val="fr-FR"/>
        </w:rPr>
        <w:t>indemnisation des personnes radiées du Registre des résidents permanents, la Slovénie a rempli les obligations relatives aux mesures générales prévues par l</w:t>
      </w:r>
      <w:r>
        <w:rPr>
          <w:lang w:val="fr-FR"/>
        </w:rPr>
        <w:t>’</w:t>
      </w:r>
      <w:r w:rsidRPr="001A3179">
        <w:rPr>
          <w:lang w:val="fr-FR"/>
        </w:rPr>
        <w:t>arrêt pilote. Le Comité des Ministres a donc décidé de clore l</w:t>
      </w:r>
      <w:r>
        <w:rPr>
          <w:lang w:val="fr-FR"/>
        </w:rPr>
        <w:t>’</w:t>
      </w:r>
      <w:r w:rsidRPr="001A3179">
        <w:rPr>
          <w:lang w:val="fr-FR"/>
        </w:rPr>
        <w:t>examen de cette</w:t>
      </w:r>
      <w:r w:rsidR="00B25D30">
        <w:rPr>
          <w:lang w:val="fr-FR"/>
        </w:rPr>
        <w:t> </w:t>
      </w:r>
      <w:r w:rsidRPr="001A3179">
        <w:rPr>
          <w:lang w:val="fr-FR"/>
        </w:rPr>
        <w:t>affaire</w:t>
      </w:r>
      <w:r w:rsidRPr="001A3179">
        <w:rPr>
          <w:i/>
          <w:iCs/>
          <w:lang w:val="fr-FR"/>
        </w:rPr>
        <w:t>.</w:t>
      </w:r>
    </w:p>
    <w:p w14:paraId="61BF262D" w14:textId="77777777" w:rsidR="002A5EB2" w:rsidRPr="001A3179" w:rsidRDefault="002A5EB2" w:rsidP="002A5EB2">
      <w:pPr>
        <w:pStyle w:val="SingleTxtG"/>
        <w:rPr>
          <w:lang w:val="fr-FR"/>
        </w:rPr>
      </w:pPr>
      <w:r w:rsidRPr="001A3179">
        <w:rPr>
          <w:lang w:val="fr-FR"/>
        </w:rPr>
        <w:t>146.</w:t>
      </w:r>
      <w:r w:rsidRPr="001A3179">
        <w:rPr>
          <w:lang w:val="fr-FR"/>
        </w:rPr>
        <w:tab/>
        <w:t>Le 17 novembre 2016, dans l</w:t>
      </w:r>
      <w:r>
        <w:rPr>
          <w:lang w:val="fr-FR"/>
        </w:rPr>
        <w:t>’</w:t>
      </w:r>
      <w:r w:rsidRPr="001A3179">
        <w:rPr>
          <w:lang w:val="fr-FR"/>
        </w:rPr>
        <w:t xml:space="preserve">affaire </w:t>
      </w:r>
      <w:proofErr w:type="spellStart"/>
      <w:r w:rsidRPr="001A3179">
        <w:rPr>
          <w:lang w:val="fr-FR"/>
        </w:rPr>
        <w:t>Anastasov</w:t>
      </w:r>
      <w:proofErr w:type="spellEnd"/>
      <w:r w:rsidRPr="001A3179">
        <w:rPr>
          <w:lang w:val="fr-FR"/>
        </w:rPr>
        <w:t xml:space="preserve"> et autres c.</w:t>
      </w:r>
      <w:r w:rsidR="00B25D30">
        <w:rPr>
          <w:lang w:val="fr-FR"/>
        </w:rPr>
        <w:t> </w:t>
      </w:r>
      <w:r w:rsidRPr="001A3179">
        <w:rPr>
          <w:lang w:val="fr-FR"/>
        </w:rPr>
        <w:t xml:space="preserve">Slovénie (requête </w:t>
      </w:r>
      <w:r w:rsidR="00B25D30" w:rsidRPr="00B25D30">
        <w:rPr>
          <w:rFonts w:eastAsia="MS Mincho"/>
          <w:szCs w:val="22"/>
          <w:lang w:val="fr-FR"/>
        </w:rPr>
        <w:t>n</w:t>
      </w:r>
      <w:r w:rsidR="00B25D30" w:rsidRPr="00B25D30">
        <w:rPr>
          <w:rFonts w:eastAsia="MS Mincho"/>
          <w:szCs w:val="22"/>
          <w:vertAlign w:val="superscript"/>
          <w:lang w:val="fr-FR"/>
        </w:rPr>
        <w:t>o</w:t>
      </w:r>
      <w:r w:rsidR="00B25D30">
        <w:rPr>
          <w:lang w:val="fr-FR"/>
        </w:rPr>
        <w:t> </w:t>
      </w:r>
      <w:r w:rsidRPr="001A3179">
        <w:rPr>
          <w:lang w:val="fr-FR"/>
        </w:rPr>
        <w:t>65020/13) relative à des personnes radié</w:t>
      </w:r>
      <w:r w:rsidR="00B25D30">
        <w:rPr>
          <w:lang w:val="fr-FR"/>
        </w:rPr>
        <w:t>e</w:t>
      </w:r>
      <w:r w:rsidRPr="001A3179">
        <w:rPr>
          <w:lang w:val="fr-FR"/>
        </w:rPr>
        <w:t>s du Registre des résidents permanents de la Slovénie qui avaient saisi la CEDH en octobre 2013, cette juridiction a pris la décision définitive de rayer de son rôle cette requête, présentée au nom de 212 personnes, et de clore la procédure d</w:t>
      </w:r>
      <w:r>
        <w:rPr>
          <w:lang w:val="fr-FR"/>
        </w:rPr>
        <w:t>’</w:t>
      </w:r>
      <w:r w:rsidRPr="001A3179">
        <w:rPr>
          <w:lang w:val="fr-FR"/>
        </w:rPr>
        <w:t>arrêt pilote engagée dans l</w:t>
      </w:r>
      <w:r>
        <w:rPr>
          <w:lang w:val="fr-FR"/>
        </w:rPr>
        <w:t>’</w:t>
      </w:r>
      <w:r w:rsidRPr="001A3179">
        <w:rPr>
          <w:lang w:val="fr-FR"/>
        </w:rPr>
        <w:t xml:space="preserve">affaire </w:t>
      </w:r>
      <w:proofErr w:type="spellStart"/>
      <w:r w:rsidRPr="001A3179">
        <w:rPr>
          <w:lang w:val="fr-FR"/>
        </w:rPr>
        <w:t>Kurić</w:t>
      </w:r>
      <w:proofErr w:type="spellEnd"/>
      <w:r w:rsidRPr="001A3179">
        <w:rPr>
          <w:lang w:val="fr-FR"/>
        </w:rPr>
        <w:t xml:space="preserve"> et autres c.</w:t>
      </w:r>
      <w:r w:rsidR="00B25D30">
        <w:rPr>
          <w:lang w:val="fr-FR"/>
        </w:rPr>
        <w:t> </w:t>
      </w:r>
      <w:r w:rsidRPr="001A3179">
        <w:rPr>
          <w:lang w:val="fr-FR"/>
        </w:rPr>
        <w:t>Slovénie. Elle a estimé que la Slovénie avait mis en place un dispositif adapté pour indemniser les personnes radiées et s</w:t>
      </w:r>
      <w:r>
        <w:rPr>
          <w:lang w:val="fr-FR"/>
        </w:rPr>
        <w:t>’</w:t>
      </w:r>
      <w:r w:rsidRPr="001A3179">
        <w:rPr>
          <w:lang w:val="fr-FR"/>
        </w:rPr>
        <w:t>est dite satisfaite de l</w:t>
      </w:r>
      <w:r>
        <w:rPr>
          <w:lang w:val="fr-FR"/>
        </w:rPr>
        <w:t>’</w:t>
      </w:r>
      <w:r w:rsidRPr="001A3179">
        <w:rPr>
          <w:lang w:val="fr-FR"/>
        </w:rPr>
        <w:t>application de la loi dans la pratique. Selon la CEDH, les personnes radiées dont le statut juridique en Slovénie avait été régularisé (212</w:t>
      </w:r>
      <w:r w:rsidR="00B25D30">
        <w:rPr>
          <w:lang w:val="fr-FR"/>
        </w:rPr>
        <w:t> </w:t>
      </w:r>
      <w:r w:rsidRPr="001A3179">
        <w:rPr>
          <w:lang w:val="fr-FR"/>
        </w:rPr>
        <w:t>requérants en l</w:t>
      </w:r>
      <w:r>
        <w:rPr>
          <w:lang w:val="fr-FR"/>
        </w:rPr>
        <w:t>’</w:t>
      </w:r>
      <w:r w:rsidRPr="001A3179">
        <w:rPr>
          <w:lang w:val="fr-FR"/>
        </w:rPr>
        <w:t>espèce) avaient des perspectives raisonnables de recevoir une indemnisation pour le préjudice causé par leur radiation. La CEDH a constaté que la question de l</w:t>
      </w:r>
      <w:r>
        <w:rPr>
          <w:lang w:val="fr-FR"/>
        </w:rPr>
        <w:t>’</w:t>
      </w:r>
      <w:r w:rsidRPr="001A3179">
        <w:rPr>
          <w:lang w:val="fr-FR"/>
        </w:rPr>
        <w:t>indemnisation des personnes radiées avait été résolue au niveau national et n</w:t>
      </w:r>
      <w:r>
        <w:rPr>
          <w:lang w:val="fr-FR"/>
        </w:rPr>
        <w:t>’</w:t>
      </w:r>
      <w:r w:rsidRPr="001A3179">
        <w:rPr>
          <w:lang w:val="fr-FR"/>
        </w:rPr>
        <w:t>a vu aucune circonstance particulière concernant le respect des droits de l</w:t>
      </w:r>
      <w:r>
        <w:rPr>
          <w:lang w:val="fr-FR"/>
        </w:rPr>
        <w:t>’</w:t>
      </w:r>
      <w:r w:rsidRPr="001A3179">
        <w:rPr>
          <w:lang w:val="fr-FR"/>
        </w:rPr>
        <w:t>homme qui exigerait qu</w:t>
      </w:r>
      <w:r>
        <w:rPr>
          <w:lang w:val="fr-FR"/>
        </w:rPr>
        <w:t>’</w:t>
      </w:r>
      <w:r w:rsidRPr="001A3179">
        <w:rPr>
          <w:lang w:val="fr-FR"/>
        </w:rPr>
        <w:t>elle poursuive l</w:t>
      </w:r>
      <w:r>
        <w:rPr>
          <w:lang w:val="fr-FR"/>
        </w:rPr>
        <w:t>’</w:t>
      </w:r>
      <w:r w:rsidRPr="001A3179">
        <w:rPr>
          <w:lang w:val="fr-FR"/>
        </w:rPr>
        <w:t>examen de l</w:t>
      </w:r>
      <w:r>
        <w:rPr>
          <w:lang w:val="fr-FR"/>
        </w:rPr>
        <w:t>’</w:t>
      </w:r>
      <w:r w:rsidRPr="001A3179">
        <w:rPr>
          <w:lang w:val="fr-FR"/>
        </w:rPr>
        <w:t>affaire.</w:t>
      </w:r>
    </w:p>
    <w:p w14:paraId="7D2866C8" w14:textId="77777777" w:rsidR="002A5EB2" w:rsidRPr="001A3179" w:rsidRDefault="002A5EB2" w:rsidP="002A5EB2">
      <w:pPr>
        <w:pStyle w:val="SingleTxtG"/>
        <w:rPr>
          <w:lang w:val="fr-FR"/>
        </w:rPr>
      </w:pPr>
      <w:r w:rsidRPr="001A3179">
        <w:rPr>
          <w:lang w:val="fr-FR"/>
        </w:rPr>
        <w:t>147.</w:t>
      </w:r>
      <w:r w:rsidRPr="001A3179">
        <w:rPr>
          <w:lang w:val="fr-FR"/>
        </w:rPr>
        <w:tab/>
        <w:t xml:space="preserve">À la demande de plusieurs tribunaux, la Cour constitutionnelle de la République de Slovénie a rendu les décisions </w:t>
      </w:r>
      <w:r w:rsidR="00B25D30" w:rsidRPr="00B25D30">
        <w:rPr>
          <w:rFonts w:eastAsia="MS Mincho"/>
          <w:szCs w:val="22"/>
          <w:lang w:val="fr-FR"/>
        </w:rPr>
        <w:t>n</w:t>
      </w:r>
      <w:r w:rsidR="00B25D30" w:rsidRPr="00B25D30">
        <w:rPr>
          <w:rFonts w:eastAsia="MS Mincho"/>
          <w:szCs w:val="22"/>
          <w:vertAlign w:val="superscript"/>
          <w:lang w:val="fr-FR"/>
        </w:rPr>
        <w:t>o</w:t>
      </w:r>
      <w:r w:rsidR="00B25D30">
        <w:rPr>
          <w:rFonts w:eastAsia="MS Mincho"/>
          <w:szCs w:val="22"/>
          <w:vertAlign w:val="superscript"/>
          <w:lang w:val="fr-FR"/>
        </w:rPr>
        <w:t>s</w:t>
      </w:r>
      <w:r w:rsidR="00B25D30">
        <w:rPr>
          <w:lang w:val="fr-FR"/>
        </w:rPr>
        <w:t>  </w:t>
      </w:r>
      <w:r w:rsidRPr="001A3179">
        <w:rPr>
          <w:lang w:val="fr-FR"/>
        </w:rPr>
        <w:t>U-I-80/16-36, U-I-166/16-28, U-I-173/16-33 du 15</w:t>
      </w:r>
      <w:r w:rsidR="00B25D30">
        <w:rPr>
          <w:lang w:val="fr-FR"/>
        </w:rPr>
        <w:t> </w:t>
      </w:r>
      <w:r w:rsidRPr="001A3179">
        <w:rPr>
          <w:lang w:val="fr-FR"/>
        </w:rPr>
        <w:t>mars 2018, publiées au Journal officiel de la République de Slovénie [</w:t>
      </w:r>
      <w:proofErr w:type="spellStart"/>
      <w:r w:rsidRPr="001A3179">
        <w:rPr>
          <w:i/>
          <w:iCs/>
          <w:lang w:val="fr-FR"/>
        </w:rPr>
        <w:t>Uradni</w:t>
      </w:r>
      <w:proofErr w:type="spellEnd"/>
      <w:r w:rsidRPr="001A3179">
        <w:rPr>
          <w:i/>
          <w:iCs/>
          <w:lang w:val="fr-FR"/>
        </w:rPr>
        <w:t xml:space="preserve"> </w:t>
      </w:r>
      <w:proofErr w:type="spellStart"/>
      <w:r w:rsidRPr="001A3179">
        <w:rPr>
          <w:i/>
          <w:iCs/>
          <w:lang w:val="fr-FR"/>
        </w:rPr>
        <w:t>list</w:t>
      </w:r>
      <w:proofErr w:type="spellEnd"/>
      <w:r w:rsidRPr="001A3179">
        <w:rPr>
          <w:i/>
          <w:iCs/>
          <w:lang w:val="fr-FR"/>
        </w:rPr>
        <w:t xml:space="preserve"> RS</w:t>
      </w:r>
      <w:r w:rsidRPr="001A3179">
        <w:rPr>
          <w:lang w:val="fr-FR"/>
        </w:rPr>
        <w:t xml:space="preserve">] </w:t>
      </w:r>
      <w:r w:rsidR="00B25D30" w:rsidRPr="00B25D30">
        <w:rPr>
          <w:rFonts w:eastAsia="MS Mincho"/>
          <w:szCs w:val="22"/>
          <w:lang w:val="fr-FR"/>
        </w:rPr>
        <w:t>n</w:t>
      </w:r>
      <w:r w:rsidR="00B25D30" w:rsidRPr="00B25D30">
        <w:rPr>
          <w:rFonts w:eastAsia="MS Mincho"/>
          <w:szCs w:val="22"/>
          <w:vertAlign w:val="superscript"/>
          <w:lang w:val="fr-FR"/>
        </w:rPr>
        <w:t>o</w:t>
      </w:r>
      <w:r w:rsidR="00B25D30">
        <w:rPr>
          <w:lang w:val="fr-FR"/>
        </w:rPr>
        <w:t> </w:t>
      </w:r>
      <w:r w:rsidRPr="001A3179">
        <w:rPr>
          <w:lang w:val="fr-FR"/>
        </w:rPr>
        <w:t>24 du 13</w:t>
      </w:r>
      <w:r w:rsidR="00B25D30">
        <w:rPr>
          <w:lang w:val="fr-FR"/>
        </w:rPr>
        <w:t> </w:t>
      </w:r>
      <w:r w:rsidRPr="001A3179">
        <w:rPr>
          <w:lang w:val="fr-FR"/>
        </w:rPr>
        <w:t>avril 2018, dans lesquelles elle a statué sur la constitutionnalité de l</w:t>
      </w:r>
      <w:r>
        <w:rPr>
          <w:lang w:val="fr-FR"/>
        </w:rPr>
        <w:t>’</w:t>
      </w:r>
      <w:r w:rsidRPr="001A3179">
        <w:rPr>
          <w:lang w:val="fr-FR"/>
        </w:rPr>
        <w:t>article</w:t>
      </w:r>
      <w:r w:rsidR="00B25D30">
        <w:rPr>
          <w:lang w:val="fr-FR"/>
        </w:rPr>
        <w:t> </w:t>
      </w:r>
      <w:r w:rsidRPr="001A3179">
        <w:rPr>
          <w:lang w:val="fr-FR"/>
        </w:rPr>
        <w:t>12 de la loi sur l</w:t>
      </w:r>
      <w:r>
        <w:rPr>
          <w:lang w:val="fr-FR"/>
        </w:rPr>
        <w:t>’</w:t>
      </w:r>
      <w:r w:rsidRPr="001A3179">
        <w:rPr>
          <w:lang w:val="fr-FR"/>
        </w:rPr>
        <w:t>indemnisation des personnes radiées du Registre des résidents permanents, qui plafonne l</w:t>
      </w:r>
      <w:r>
        <w:rPr>
          <w:lang w:val="fr-FR"/>
        </w:rPr>
        <w:t>’</w:t>
      </w:r>
      <w:r w:rsidRPr="001A3179">
        <w:rPr>
          <w:lang w:val="fr-FR"/>
        </w:rPr>
        <w:t>indemnisation financière qu</w:t>
      </w:r>
      <w:r>
        <w:rPr>
          <w:lang w:val="fr-FR"/>
        </w:rPr>
        <w:t>’</w:t>
      </w:r>
      <w:r w:rsidRPr="001A3179">
        <w:rPr>
          <w:lang w:val="fr-FR"/>
        </w:rPr>
        <w:t>un tribunal peut accorder pour le préjudice causé par la radiation (dans une procédure judiciaire le montant de l</w:t>
      </w:r>
      <w:r>
        <w:rPr>
          <w:lang w:val="fr-FR"/>
        </w:rPr>
        <w:t>’</w:t>
      </w:r>
      <w:r w:rsidRPr="001A3179">
        <w:rPr>
          <w:lang w:val="fr-FR"/>
        </w:rPr>
        <w:t>indemnisation financière est plafonné à trois fois le montant pouvant être accordé à une personne radiée au titre de la procédure administrative). La Cour constitutionnelle a décidé d</w:t>
      </w:r>
      <w:r>
        <w:rPr>
          <w:lang w:val="fr-FR"/>
        </w:rPr>
        <w:t>’</w:t>
      </w:r>
      <w:r w:rsidRPr="001A3179">
        <w:rPr>
          <w:lang w:val="fr-FR"/>
        </w:rPr>
        <w:t>annuler l</w:t>
      </w:r>
      <w:r>
        <w:rPr>
          <w:lang w:val="fr-FR"/>
        </w:rPr>
        <w:t>’</w:t>
      </w:r>
      <w:r w:rsidRPr="001A3179">
        <w:rPr>
          <w:lang w:val="fr-FR"/>
        </w:rPr>
        <w:t>article</w:t>
      </w:r>
      <w:r w:rsidR="00B25D30">
        <w:rPr>
          <w:lang w:val="fr-FR"/>
        </w:rPr>
        <w:t> </w:t>
      </w:r>
      <w:r w:rsidRPr="001A3179">
        <w:rPr>
          <w:lang w:val="fr-FR"/>
        </w:rPr>
        <w:t>12 de la loi précitée avec effet immédiat pour les personnes radiées ou les parties lésées ayant déposé une demande d</w:t>
      </w:r>
      <w:r>
        <w:rPr>
          <w:lang w:val="fr-FR"/>
        </w:rPr>
        <w:t>’</w:t>
      </w:r>
      <w:r w:rsidRPr="001A3179">
        <w:rPr>
          <w:lang w:val="fr-FR"/>
        </w:rPr>
        <w:t>indemnisation avant l</w:t>
      </w:r>
      <w:r>
        <w:rPr>
          <w:lang w:val="fr-FR"/>
        </w:rPr>
        <w:t>’</w:t>
      </w:r>
      <w:r w:rsidRPr="001A3179">
        <w:rPr>
          <w:lang w:val="fr-FR"/>
        </w:rPr>
        <w:t>entrée en vigueur de cette loi (à savoir avant le 18</w:t>
      </w:r>
      <w:r w:rsidR="00B25D30">
        <w:rPr>
          <w:lang w:val="fr-FR"/>
        </w:rPr>
        <w:t> </w:t>
      </w:r>
      <w:r w:rsidRPr="001A3179">
        <w:rPr>
          <w:lang w:val="fr-FR"/>
        </w:rPr>
        <w:t>juin 2014) et dont les demandes n</w:t>
      </w:r>
      <w:r>
        <w:rPr>
          <w:lang w:val="fr-FR"/>
        </w:rPr>
        <w:t>’</w:t>
      </w:r>
      <w:r w:rsidRPr="001A3179">
        <w:rPr>
          <w:lang w:val="fr-FR"/>
        </w:rPr>
        <w:t>étaient pas encore prescrites ; la Cour constitutionnelle a en outre décidé d</w:t>
      </w:r>
      <w:r>
        <w:rPr>
          <w:lang w:val="fr-FR"/>
        </w:rPr>
        <w:t>’</w:t>
      </w:r>
      <w:r w:rsidRPr="001A3179">
        <w:rPr>
          <w:lang w:val="fr-FR"/>
        </w:rPr>
        <w:t xml:space="preserve">autoriser les législateurs à adopter dans les </w:t>
      </w:r>
      <w:r w:rsidR="00B25D30">
        <w:rPr>
          <w:lang w:val="fr-FR"/>
        </w:rPr>
        <w:t>neuf</w:t>
      </w:r>
      <w:r w:rsidRPr="001A3179">
        <w:rPr>
          <w:lang w:val="fr-FR"/>
        </w:rPr>
        <w:t xml:space="preserve"> mois </w:t>
      </w:r>
      <w:r w:rsidRPr="001A3179">
        <w:rPr>
          <w:lang w:val="fr-FR"/>
        </w:rPr>
        <w:lastRenderedPageBreak/>
        <w:t xml:space="preserve">suivant la publication de sa décision au Journal officiel </w:t>
      </w:r>
      <w:bookmarkStart w:id="32" w:name="_Hlk38634769"/>
      <w:r w:rsidRPr="001A3179">
        <w:rPr>
          <w:lang w:val="fr-FR"/>
        </w:rPr>
        <w:t xml:space="preserve">une nouvelle disposition législative </w:t>
      </w:r>
      <w:bookmarkEnd w:id="32"/>
      <w:r w:rsidRPr="001A3179">
        <w:rPr>
          <w:lang w:val="fr-FR"/>
        </w:rPr>
        <w:t>prévoyant une appréciation individuelle de la situation des autres personnes lésées. En cas de non</w:t>
      </w:r>
      <w:r w:rsidR="00B25D30">
        <w:rPr>
          <w:lang w:val="fr-FR"/>
        </w:rPr>
        <w:noBreakHyphen/>
      </w:r>
      <w:r w:rsidRPr="001A3179">
        <w:rPr>
          <w:lang w:val="fr-FR"/>
        </w:rPr>
        <w:t>adoption de ladite nouvelle disposition législative dans le délai imparti, l</w:t>
      </w:r>
      <w:r>
        <w:rPr>
          <w:lang w:val="fr-FR"/>
        </w:rPr>
        <w:t>’</w:t>
      </w:r>
      <w:r w:rsidRPr="001A3179">
        <w:rPr>
          <w:lang w:val="fr-FR"/>
        </w:rPr>
        <w:t>article</w:t>
      </w:r>
      <w:r w:rsidR="00B25D30">
        <w:rPr>
          <w:lang w:val="fr-FR"/>
        </w:rPr>
        <w:t> </w:t>
      </w:r>
      <w:r w:rsidRPr="001A3179">
        <w:rPr>
          <w:lang w:val="fr-FR"/>
        </w:rPr>
        <w:t>12 de la loi serait aussi annulé pour les autres parties lésées (à savoir celles n</w:t>
      </w:r>
      <w:r>
        <w:rPr>
          <w:lang w:val="fr-FR"/>
        </w:rPr>
        <w:t>’</w:t>
      </w:r>
      <w:r w:rsidRPr="001A3179">
        <w:rPr>
          <w:lang w:val="fr-FR"/>
        </w:rPr>
        <w:t>ayant pas déposé de demande d</w:t>
      </w:r>
      <w:r>
        <w:rPr>
          <w:lang w:val="fr-FR"/>
        </w:rPr>
        <w:t>’</w:t>
      </w:r>
      <w:r w:rsidRPr="001A3179">
        <w:rPr>
          <w:lang w:val="fr-FR"/>
        </w:rPr>
        <w:t>indemnisation avant le 18</w:t>
      </w:r>
      <w:r w:rsidR="00B25D30">
        <w:rPr>
          <w:lang w:val="fr-FR"/>
        </w:rPr>
        <w:t> </w:t>
      </w:r>
      <w:r w:rsidRPr="001A3179">
        <w:rPr>
          <w:lang w:val="fr-FR"/>
        </w:rPr>
        <w:t>juin 2014). La Cour constitutionnelle a en outre décidé que les tribunaux devaient suspendre les procédures judiciaires concernant des demandes contre la Slovénie que des parties lésées avaient déposées en vertu de l</w:t>
      </w:r>
      <w:r>
        <w:rPr>
          <w:lang w:val="fr-FR"/>
        </w:rPr>
        <w:t>’</w:t>
      </w:r>
      <w:r w:rsidRPr="001A3179">
        <w:rPr>
          <w:lang w:val="fr-FR"/>
        </w:rPr>
        <w:t>article</w:t>
      </w:r>
      <w:r w:rsidR="00B25D30">
        <w:rPr>
          <w:lang w:val="fr-FR"/>
        </w:rPr>
        <w:t> </w:t>
      </w:r>
      <w:r w:rsidRPr="001A3179">
        <w:rPr>
          <w:lang w:val="fr-FR"/>
        </w:rPr>
        <w:t>10 de la loi précitée jusqu</w:t>
      </w:r>
      <w:r>
        <w:rPr>
          <w:lang w:val="fr-FR"/>
        </w:rPr>
        <w:t>’</w:t>
      </w:r>
      <w:r w:rsidRPr="001A3179">
        <w:rPr>
          <w:lang w:val="fr-FR"/>
        </w:rPr>
        <w:t>à l</w:t>
      </w:r>
      <w:r>
        <w:rPr>
          <w:lang w:val="fr-FR"/>
        </w:rPr>
        <w:t>’</w:t>
      </w:r>
      <w:r w:rsidRPr="001A3179">
        <w:rPr>
          <w:lang w:val="fr-FR"/>
        </w:rPr>
        <w:t>entrée en vigueur de la nouvelle disposition ou au plus tard jusqu</w:t>
      </w:r>
      <w:r>
        <w:rPr>
          <w:lang w:val="fr-FR"/>
        </w:rPr>
        <w:t>’</w:t>
      </w:r>
      <w:r w:rsidRPr="001A3179">
        <w:rPr>
          <w:lang w:val="fr-FR"/>
        </w:rPr>
        <w:t>à l</w:t>
      </w:r>
      <w:r>
        <w:rPr>
          <w:lang w:val="fr-FR"/>
        </w:rPr>
        <w:t>’</w:t>
      </w:r>
      <w:r w:rsidRPr="001A3179">
        <w:rPr>
          <w:lang w:val="fr-FR"/>
        </w:rPr>
        <w:t>expiration du délai de neuf mois.</w:t>
      </w:r>
    </w:p>
    <w:p w14:paraId="11FC1014" w14:textId="77777777" w:rsidR="002A5EB2" w:rsidRPr="001A3179" w:rsidRDefault="002A5EB2" w:rsidP="00894C70">
      <w:pPr>
        <w:pStyle w:val="H1G"/>
        <w:rPr>
          <w:lang w:val="fr-FR"/>
        </w:rPr>
      </w:pPr>
      <w:bookmarkStart w:id="33" w:name="_Hlk8998035"/>
      <w:r w:rsidRPr="001A3179">
        <w:rPr>
          <w:lang w:val="fr-FR"/>
        </w:rPr>
        <w:tab/>
      </w:r>
      <w:r w:rsidRPr="001A3179">
        <w:rPr>
          <w:lang w:val="fr-FR"/>
        </w:rPr>
        <w:tab/>
        <w:t>Article 16</w:t>
      </w:r>
    </w:p>
    <w:bookmarkEnd w:id="33"/>
    <w:p w14:paraId="0E0187D7" w14:textId="77777777" w:rsidR="002A5EB2" w:rsidRPr="001A3179" w:rsidRDefault="002A5EB2" w:rsidP="00894C70">
      <w:pPr>
        <w:pStyle w:val="H23G"/>
        <w:rPr>
          <w:lang w:val="fr-FR"/>
        </w:rPr>
      </w:pPr>
      <w:r w:rsidRPr="001A3179">
        <w:rPr>
          <w:lang w:val="fr-FR"/>
        </w:rPr>
        <w:tab/>
      </w:r>
      <w:r w:rsidRPr="001A3179">
        <w:rPr>
          <w:lang w:val="fr-FR"/>
        </w:rPr>
        <w:tab/>
        <w:t>Réponse au paragraphe 20 a) de la liste des points à traiter</w:t>
      </w:r>
    </w:p>
    <w:p w14:paraId="6BC4FBE6" w14:textId="77777777" w:rsidR="002A5EB2" w:rsidRPr="001A3179" w:rsidRDefault="002A5EB2" w:rsidP="002A5EB2">
      <w:pPr>
        <w:pStyle w:val="SingleTxtG"/>
        <w:rPr>
          <w:lang w:val="fr-FR"/>
        </w:rPr>
      </w:pPr>
      <w:r w:rsidRPr="001A3179">
        <w:rPr>
          <w:lang w:val="fr-FR"/>
        </w:rPr>
        <w:t>148.</w:t>
      </w:r>
      <w:r w:rsidRPr="001A3179">
        <w:rPr>
          <w:lang w:val="fr-FR"/>
        </w:rPr>
        <w:tab/>
      </w:r>
      <w:bookmarkStart w:id="34" w:name="_Hlk38610997"/>
      <w:r w:rsidRPr="001A3179">
        <w:rPr>
          <w:lang w:val="fr-FR"/>
        </w:rPr>
        <w:t xml:space="preserve">La loi sur la santé mentale </w:t>
      </w:r>
      <w:bookmarkEnd w:id="34"/>
      <w:r w:rsidRPr="001A3179">
        <w:rPr>
          <w:lang w:val="fr-FR"/>
        </w:rPr>
        <w:t>(</w:t>
      </w:r>
      <w:proofErr w:type="spellStart"/>
      <w:r w:rsidRPr="001A3179">
        <w:rPr>
          <w:lang w:val="fr-FR"/>
        </w:rPr>
        <w:t>ZDZdr</w:t>
      </w:r>
      <w:proofErr w:type="spellEnd"/>
      <w:r w:rsidRPr="001A3179">
        <w:rPr>
          <w:lang w:val="fr-FR"/>
        </w:rPr>
        <w:t>)</w:t>
      </w:r>
      <w:r w:rsidRPr="0017324C">
        <w:rPr>
          <w:rStyle w:val="Appelnotedebasdep"/>
        </w:rPr>
        <w:footnoteReference w:id="39"/>
      </w:r>
      <w:r w:rsidRPr="001A3179">
        <w:rPr>
          <w:lang w:val="fr-FR"/>
        </w:rPr>
        <w:t xml:space="preserve"> dispose, entre autres, que tout placement non volontaire en hôpital psychiatrique doit être approuvé par l</w:t>
      </w:r>
      <w:r>
        <w:rPr>
          <w:lang w:val="fr-FR"/>
        </w:rPr>
        <w:t>’</w:t>
      </w:r>
      <w:r w:rsidRPr="001A3179">
        <w:rPr>
          <w:lang w:val="fr-FR"/>
        </w:rPr>
        <w:t>autorité judiciaire. Son article</w:t>
      </w:r>
      <w:r w:rsidR="00A92436">
        <w:rPr>
          <w:lang w:val="fr-FR"/>
        </w:rPr>
        <w:t> </w:t>
      </w:r>
      <w:r w:rsidRPr="001A3179">
        <w:rPr>
          <w:lang w:val="fr-FR"/>
        </w:rPr>
        <w:t>61 précise que le tribunal engage d</w:t>
      </w:r>
      <w:r>
        <w:rPr>
          <w:lang w:val="fr-FR"/>
        </w:rPr>
        <w:t>’</w:t>
      </w:r>
      <w:r w:rsidRPr="001A3179">
        <w:rPr>
          <w:lang w:val="fr-FR"/>
        </w:rPr>
        <w:t>office la procédure de placement sans consentement à la réception de toute notification d</w:t>
      </w:r>
      <w:r>
        <w:rPr>
          <w:lang w:val="fr-FR"/>
        </w:rPr>
        <w:t>’</w:t>
      </w:r>
      <w:r w:rsidRPr="001A3179">
        <w:rPr>
          <w:lang w:val="fr-FR"/>
        </w:rPr>
        <w:t>un directeur d</w:t>
      </w:r>
      <w:r>
        <w:rPr>
          <w:lang w:val="fr-FR"/>
        </w:rPr>
        <w:t>’</w:t>
      </w:r>
      <w:r w:rsidRPr="001A3179">
        <w:rPr>
          <w:lang w:val="fr-FR"/>
        </w:rPr>
        <w:t xml:space="preserve">hôpital psychiatrique relative à un tel placement, tandis que le paragraphe 1 de son article </w:t>
      </w:r>
      <w:r w:rsidR="00A92436">
        <w:rPr>
          <w:lang w:val="fr-FR"/>
        </w:rPr>
        <w:t> </w:t>
      </w:r>
      <w:r w:rsidRPr="001A3179">
        <w:rPr>
          <w:lang w:val="fr-FR"/>
        </w:rPr>
        <w:t>59 indique que le directeur d</w:t>
      </w:r>
      <w:r>
        <w:rPr>
          <w:lang w:val="fr-FR"/>
        </w:rPr>
        <w:t>’</w:t>
      </w:r>
      <w:r w:rsidRPr="001A3179">
        <w:rPr>
          <w:lang w:val="fr-FR"/>
        </w:rPr>
        <w:t>un hôpital psychiatrique doit notifier immédiatement à l</w:t>
      </w:r>
      <w:r>
        <w:rPr>
          <w:lang w:val="fr-FR"/>
        </w:rPr>
        <w:t>’</w:t>
      </w:r>
      <w:r w:rsidRPr="001A3179">
        <w:rPr>
          <w:lang w:val="fr-FR"/>
        </w:rPr>
        <w:t>autorité judiciaire tout placement non volontaire. L</w:t>
      </w:r>
      <w:r>
        <w:rPr>
          <w:lang w:val="fr-FR"/>
        </w:rPr>
        <w:t>’</w:t>
      </w:r>
      <w:r w:rsidRPr="001A3179">
        <w:rPr>
          <w:lang w:val="fr-FR"/>
        </w:rPr>
        <w:t>autorité judicaire engage d</w:t>
      </w:r>
      <w:r>
        <w:rPr>
          <w:lang w:val="fr-FR"/>
        </w:rPr>
        <w:t>’</w:t>
      </w:r>
      <w:r w:rsidRPr="001A3179">
        <w:rPr>
          <w:lang w:val="fr-FR"/>
        </w:rPr>
        <w:t>office la procédure de placement sans consentement dans tous les autres cas où un tel placement est porté à sa connaissance de toute autre façon.</w:t>
      </w:r>
    </w:p>
    <w:p w14:paraId="7F009A9D" w14:textId="77777777" w:rsidR="002A5EB2" w:rsidRPr="001A3179" w:rsidRDefault="002A5EB2" w:rsidP="002A5EB2">
      <w:pPr>
        <w:pStyle w:val="SingleTxtG"/>
        <w:rPr>
          <w:lang w:val="fr-FR"/>
        </w:rPr>
      </w:pPr>
      <w:r w:rsidRPr="001A3179">
        <w:rPr>
          <w:lang w:val="fr-FR"/>
        </w:rPr>
        <w:t>149.</w:t>
      </w:r>
      <w:r w:rsidRPr="001A3179">
        <w:rPr>
          <w:lang w:val="fr-FR"/>
        </w:rPr>
        <w:tab/>
        <w:t>La loi précitée énonce le droit d</w:t>
      </w:r>
      <w:r>
        <w:rPr>
          <w:lang w:val="fr-FR"/>
        </w:rPr>
        <w:t>’</w:t>
      </w:r>
      <w:r w:rsidRPr="001A3179">
        <w:rPr>
          <w:lang w:val="fr-FR"/>
        </w:rPr>
        <w:t>une personne placée sans son consentement en hôpital psychiatrique à un conseil pour l</w:t>
      </w:r>
      <w:r>
        <w:rPr>
          <w:lang w:val="fr-FR"/>
        </w:rPr>
        <w:t>’</w:t>
      </w:r>
      <w:r w:rsidRPr="001A3179">
        <w:rPr>
          <w:lang w:val="fr-FR"/>
        </w:rPr>
        <w:t>assister dans la procédure judiciaire (art</w:t>
      </w:r>
      <w:r w:rsidR="00A92436">
        <w:rPr>
          <w:lang w:val="fr-FR"/>
        </w:rPr>
        <w:t>. </w:t>
      </w:r>
      <w:r w:rsidRPr="001A3179">
        <w:rPr>
          <w:lang w:val="fr-FR"/>
        </w:rPr>
        <w:t>31) et son droit à un avocat spécialisé en santé mentale (art</w:t>
      </w:r>
      <w:r w:rsidR="00A92436">
        <w:rPr>
          <w:lang w:val="fr-FR"/>
        </w:rPr>
        <w:t>. </w:t>
      </w:r>
      <w:r w:rsidRPr="001A3179">
        <w:rPr>
          <w:lang w:val="fr-FR"/>
        </w:rPr>
        <w:t>12). Le paragraphe 1 de l</w:t>
      </w:r>
      <w:r>
        <w:rPr>
          <w:lang w:val="fr-FR"/>
        </w:rPr>
        <w:t>’</w:t>
      </w:r>
      <w:r w:rsidRPr="001A3179">
        <w:rPr>
          <w:lang w:val="fr-FR"/>
        </w:rPr>
        <w:t>article</w:t>
      </w:r>
      <w:r w:rsidR="00A92436">
        <w:rPr>
          <w:lang w:val="fr-FR"/>
        </w:rPr>
        <w:t> </w:t>
      </w:r>
      <w:r w:rsidRPr="001A3179">
        <w:rPr>
          <w:lang w:val="fr-FR"/>
        </w:rPr>
        <w:t>13 dispose, entre autres, que le droit à un tel avocat spécialisé ne peut être restreint, tandis que le paragraphe 4 de l</w:t>
      </w:r>
      <w:r>
        <w:rPr>
          <w:lang w:val="fr-FR"/>
        </w:rPr>
        <w:t>’</w:t>
      </w:r>
      <w:r w:rsidRPr="001A3179">
        <w:rPr>
          <w:lang w:val="fr-FR"/>
        </w:rPr>
        <w:t>article 27 indique que les prestataires de programmes et de services de santé mentale doivent permettre à l</w:t>
      </w:r>
      <w:r>
        <w:rPr>
          <w:lang w:val="fr-FR"/>
        </w:rPr>
        <w:t>’</w:t>
      </w:r>
      <w:r w:rsidRPr="001A3179">
        <w:rPr>
          <w:lang w:val="fr-FR"/>
        </w:rPr>
        <w:t>avocat spécialisé en santé mentale d</w:t>
      </w:r>
      <w:r>
        <w:rPr>
          <w:lang w:val="fr-FR"/>
        </w:rPr>
        <w:t>’</w:t>
      </w:r>
      <w:r w:rsidRPr="001A3179">
        <w:rPr>
          <w:lang w:val="fr-FR"/>
        </w:rPr>
        <w:t>avoir accès au patient dans toutes les pièces où le traitement est administré.</w:t>
      </w:r>
    </w:p>
    <w:p w14:paraId="5538872C" w14:textId="77777777" w:rsidR="002A5EB2" w:rsidRPr="001A3179" w:rsidRDefault="002A5EB2" w:rsidP="002A5EB2">
      <w:pPr>
        <w:pStyle w:val="SingleTxtG"/>
        <w:rPr>
          <w:lang w:val="fr-FR"/>
        </w:rPr>
      </w:pPr>
      <w:r w:rsidRPr="001A3179">
        <w:rPr>
          <w:lang w:val="fr-FR"/>
        </w:rPr>
        <w:t>150.</w:t>
      </w:r>
      <w:r w:rsidRPr="001A3179">
        <w:rPr>
          <w:lang w:val="fr-FR"/>
        </w:rPr>
        <w:tab/>
        <w:t>La loi portant ratification du Protocole facultatif se rapportant à la Convention contre la torture et autres peines ou traitements cruels, inhumains ou dégradants</w:t>
      </w:r>
      <w:r w:rsidRPr="0017324C">
        <w:rPr>
          <w:rStyle w:val="Appelnotedebasdep"/>
        </w:rPr>
        <w:footnoteReference w:id="40"/>
      </w:r>
      <w:r w:rsidRPr="001A3179">
        <w:rPr>
          <w:lang w:val="fr-FR"/>
        </w:rPr>
        <w:t xml:space="preserve"> dispose que les fonctions et pouvoirs du Mécanisme national de prévention de la torture sont exercés par le Médiateur des droits de l</w:t>
      </w:r>
      <w:r>
        <w:rPr>
          <w:lang w:val="fr-FR"/>
        </w:rPr>
        <w:t>’</w:t>
      </w:r>
      <w:r w:rsidRPr="001A3179">
        <w:rPr>
          <w:lang w:val="fr-FR"/>
        </w:rPr>
        <w:t xml:space="preserve">homme de la Slovénie et, en accord avec lui, par des ONG. Depuis 2008, le Mécanisme effectue de deux à trois visites dans des hôpitaux psychiatriques chaque année pour y vérifier comment les patients sous surveillance spéciale y sont traités par le personnel et il consigne ses constatations dans un rapport de visite. Le Mécanisme publie un rapport annuel sur support papier et sur son site </w:t>
      </w:r>
      <w:r w:rsidR="00A92436">
        <w:rPr>
          <w:lang w:val="fr-FR"/>
        </w:rPr>
        <w:t>W</w:t>
      </w:r>
      <w:r w:rsidRPr="001A3179">
        <w:rPr>
          <w:lang w:val="fr-FR"/>
        </w:rPr>
        <w:t>eb, en slovène et en anglais. La Slovénie compte cinq hôpitaux psychiatriques indépendants et le Département de psychiatrie du Centre médical universitaire de Maribor est doté d</w:t>
      </w:r>
      <w:r>
        <w:rPr>
          <w:lang w:val="fr-FR"/>
        </w:rPr>
        <w:t>’</w:t>
      </w:r>
      <w:r w:rsidRPr="001A3179">
        <w:rPr>
          <w:lang w:val="fr-FR"/>
        </w:rPr>
        <w:t>un service de psychiatrie médico-légale. Au cours des dix années qui se sont écoulées (2008</w:t>
      </w:r>
      <w:r w:rsidR="00A92436">
        <w:rPr>
          <w:lang w:val="fr-FR"/>
        </w:rPr>
        <w:noBreakHyphen/>
      </w:r>
      <w:r w:rsidRPr="001A3179">
        <w:rPr>
          <w:lang w:val="fr-FR"/>
        </w:rPr>
        <w:t>2018) depuis son entrée en activité, le Mécanisme a ainsi visité à plusieurs reprises chacun des services sous surveillance spéciale dont sont dotés les différents hôpitaux psychiatriques du pays. Dans le rapport final sur chacune des visites sont consignées les lacunes constatées, sont proposées des améliorations et sont formulées des recommandations tendant à renforcer la protection des droits de l</w:t>
      </w:r>
      <w:r>
        <w:rPr>
          <w:lang w:val="fr-FR"/>
        </w:rPr>
        <w:t>’</w:t>
      </w:r>
      <w:r w:rsidRPr="001A3179">
        <w:rPr>
          <w:lang w:val="fr-FR"/>
        </w:rPr>
        <w:t>homme. Le Mécanisme soumet les rapports finaux de visite aux ministères compétents, qui donnent leur avis. S</w:t>
      </w:r>
      <w:r>
        <w:rPr>
          <w:lang w:val="fr-FR"/>
        </w:rPr>
        <w:t>’</w:t>
      </w:r>
      <w:r w:rsidRPr="001A3179">
        <w:rPr>
          <w:lang w:val="fr-FR"/>
        </w:rPr>
        <w:t>ajoutant à ces visites régulières de contrôle, depuis 2016 le Mécanisme effectue des visites de contrôle thématiques planifiées portant sur un aspect particulier, par exemple le temps de qualité consacré pendant les fins de semaine aux patients accueilli</w:t>
      </w:r>
      <w:r>
        <w:rPr>
          <w:lang w:val="fr-FR"/>
        </w:rPr>
        <w:t>s</w:t>
      </w:r>
      <w:r w:rsidRPr="001A3179">
        <w:rPr>
          <w:lang w:val="fr-FR"/>
        </w:rPr>
        <w:t xml:space="preserve"> dans un service sous surveillance spéciale de l</w:t>
      </w:r>
      <w:r>
        <w:rPr>
          <w:lang w:val="fr-FR"/>
        </w:rPr>
        <w:t>’</w:t>
      </w:r>
      <w:r w:rsidRPr="001A3179">
        <w:rPr>
          <w:lang w:val="fr-FR"/>
        </w:rPr>
        <w:t>hôpital psychiatrique visité.</w:t>
      </w:r>
    </w:p>
    <w:p w14:paraId="74A692D9" w14:textId="77777777" w:rsidR="002A5EB2" w:rsidRPr="001A3179" w:rsidRDefault="002A5EB2" w:rsidP="002A5EB2">
      <w:pPr>
        <w:pStyle w:val="SingleTxtG"/>
        <w:rPr>
          <w:lang w:val="fr-FR"/>
        </w:rPr>
      </w:pPr>
      <w:r w:rsidRPr="001A3179">
        <w:rPr>
          <w:lang w:val="fr-FR"/>
        </w:rPr>
        <w:lastRenderedPageBreak/>
        <w:t>151.</w:t>
      </w:r>
      <w:r w:rsidRPr="001A3179">
        <w:rPr>
          <w:lang w:val="fr-FR"/>
        </w:rPr>
        <w:tab/>
        <w:t>Le Ministère de la santé s</w:t>
      </w:r>
      <w:r>
        <w:rPr>
          <w:lang w:val="fr-FR"/>
        </w:rPr>
        <w:t>’</w:t>
      </w:r>
      <w:r w:rsidRPr="001A3179">
        <w:rPr>
          <w:lang w:val="fr-FR"/>
        </w:rPr>
        <w:t>emploie activement à remédier aux lacunes relevant de ses compétences signalées dans les rapports du Mécanisme, dès lors qu</w:t>
      </w:r>
      <w:r>
        <w:rPr>
          <w:lang w:val="fr-FR"/>
        </w:rPr>
        <w:t>’</w:t>
      </w:r>
      <w:r w:rsidRPr="001A3179">
        <w:rPr>
          <w:lang w:val="fr-FR"/>
        </w:rPr>
        <w:t>elles ont été mises en évidence dans plusieurs hôpitaux. C</w:t>
      </w:r>
      <w:r>
        <w:rPr>
          <w:lang w:val="fr-FR"/>
        </w:rPr>
        <w:t>’</w:t>
      </w:r>
      <w:r w:rsidRPr="001A3179">
        <w:rPr>
          <w:lang w:val="fr-FR"/>
        </w:rPr>
        <w:t>est en se fondant sur de tels rapports que le Ministère a demandé au Conseil professionnel élargi de psychiatrie de déterminer l</w:t>
      </w:r>
      <w:r>
        <w:rPr>
          <w:lang w:val="fr-FR"/>
        </w:rPr>
        <w:t>’</w:t>
      </w:r>
      <w:r w:rsidRPr="001A3179">
        <w:rPr>
          <w:lang w:val="fr-FR"/>
        </w:rPr>
        <w:t>adéquation des directives professionnelles sur l</w:t>
      </w:r>
      <w:r>
        <w:rPr>
          <w:lang w:val="fr-FR"/>
        </w:rPr>
        <w:t>’</w:t>
      </w:r>
      <w:r w:rsidRPr="001A3179">
        <w:rPr>
          <w:lang w:val="fr-FR"/>
        </w:rPr>
        <w:t>application de mesures de protection spéciales, initiative qui a débouché sur l</w:t>
      </w:r>
      <w:r>
        <w:rPr>
          <w:lang w:val="fr-FR"/>
        </w:rPr>
        <w:t>’</w:t>
      </w:r>
      <w:r w:rsidRPr="001A3179">
        <w:rPr>
          <w:lang w:val="fr-FR"/>
        </w:rPr>
        <w:t>adoption de nouvelles directives professionnelles en 2018.</w:t>
      </w:r>
    </w:p>
    <w:p w14:paraId="355C964E" w14:textId="77777777" w:rsidR="002A5EB2" w:rsidRPr="001A3179" w:rsidRDefault="002A5EB2" w:rsidP="00894C70">
      <w:pPr>
        <w:pStyle w:val="H23G"/>
        <w:rPr>
          <w:lang w:val="fr-FR"/>
        </w:rPr>
      </w:pPr>
      <w:r w:rsidRPr="001A3179">
        <w:rPr>
          <w:lang w:val="fr-FR"/>
        </w:rPr>
        <w:tab/>
      </w:r>
      <w:r w:rsidRPr="001A3179">
        <w:rPr>
          <w:lang w:val="fr-FR"/>
        </w:rPr>
        <w:tab/>
        <w:t>Réponse au paragraphe 20 b) de la liste des points à traiter</w:t>
      </w:r>
    </w:p>
    <w:p w14:paraId="3BFEF166" w14:textId="77777777" w:rsidR="002A5EB2" w:rsidRPr="001A3179" w:rsidRDefault="002A5EB2" w:rsidP="002A5EB2">
      <w:pPr>
        <w:pStyle w:val="SingleTxtG"/>
        <w:rPr>
          <w:b/>
          <w:lang w:val="fr-FR"/>
        </w:rPr>
      </w:pPr>
      <w:r w:rsidRPr="001A3179">
        <w:rPr>
          <w:lang w:val="fr-FR"/>
        </w:rPr>
        <w:t>152.</w:t>
      </w:r>
      <w:r w:rsidRPr="001A3179">
        <w:rPr>
          <w:lang w:val="fr-FR"/>
        </w:rPr>
        <w:tab/>
        <w:t>Des données figurent à l</w:t>
      </w:r>
      <w:r>
        <w:rPr>
          <w:lang w:val="fr-FR"/>
        </w:rPr>
        <w:t>’a</w:t>
      </w:r>
      <w:r w:rsidRPr="001A3179">
        <w:rPr>
          <w:lang w:val="fr-FR"/>
        </w:rPr>
        <w:t>nnexe 6.</w:t>
      </w:r>
    </w:p>
    <w:p w14:paraId="3E7F9F56" w14:textId="77777777" w:rsidR="002A5EB2" w:rsidRPr="001A3179" w:rsidRDefault="002A5EB2" w:rsidP="00894C70">
      <w:pPr>
        <w:pStyle w:val="H23G"/>
        <w:rPr>
          <w:lang w:val="fr-FR"/>
        </w:rPr>
      </w:pPr>
      <w:r w:rsidRPr="001A3179">
        <w:rPr>
          <w:lang w:val="fr-FR"/>
        </w:rPr>
        <w:tab/>
      </w:r>
      <w:r w:rsidRPr="001A3179">
        <w:rPr>
          <w:lang w:val="fr-FR"/>
        </w:rPr>
        <w:tab/>
      </w:r>
      <w:r w:rsidRPr="00C43192">
        <w:rPr>
          <w:lang w:val="fr-FR"/>
        </w:rPr>
        <w:t>Réponse au paragraphe</w:t>
      </w:r>
      <w:r w:rsidRPr="001A3179">
        <w:rPr>
          <w:lang w:val="fr-FR"/>
        </w:rPr>
        <w:t xml:space="preserve"> 20 c) de la liste de points</w:t>
      </w:r>
    </w:p>
    <w:p w14:paraId="41107272" w14:textId="77777777" w:rsidR="002A5EB2" w:rsidRPr="001A3179" w:rsidRDefault="002A5EB2" w:rsidP="002A5EB2">
      <w:pPr>
        <w:pStyle w:val="SingleTxtG"/>
        <w:rPr>
          <w:lang w:val="fr-FR"/>
        </w:rPr>
      </w:pPr>
      <w:r w:rsidRPr="001A3179">
        <w:rPr>
          <w:lang w:val="fr-FR"/>
        </w:rPr>
        <w:t>153.</w:t>
      </w:r>
      <w:r w:rsidRPr="001A3179">
        <w:rPr>
          <w:lang w:val="fr-FR"/>
        </w:rPr>
        <w:tab/>
        <w:t>La loi sur la santé mentale dispose que certaines méthodes de traitement ne peuvent être utilisées qu</w:t>
      </w:r>
      <w:r>
        <w:rPr>
          <w:lang w:val="fr-FR"/>
        </w:rPr>
        <w:t>’</w:t>
      </w:r>
      <w:r w:rsidRPr="001A3179">
        <w:rPr>
          <w:lang w:val="fr-FR"/>
        </w:rPr>
        <w:t>à titre exceptionnel et dans les conditions définies à son article</w:t>
      </w:r>
      <w:r w:rsidR="00A92436">
        <w:rPr>
          <w:lang w:val="fr-FR"/>
        </w:rPr>
        <w:t> </w:t>
      </w:r>
      <w:r w:rsidRPr="001A3179">
        <w:rPr>
          <w:lang w:val="fr-FR"/>
        </w:rPr>
        <w:t>9. Énoncées au paragraphe 5 de cet article, les conditions pour le recours à l</w:t>
      </w:r>
      <w:r>
        <w:rPr>
          <w:lang w:val="fr-FR"/>
        </w:rPr>
        <w:t>’</w:t>
      </w:r>
      <w:proofErr w:type="spellStart"/>
      <w:r w:rsidRPr="001A3179">
        <w:rPr>
          <w:lang w:val="fr-FR"/>
        </w:rPr>
        <w:t>électroconvulsivothérapie</w:t>
      </w:r>
      <w:proofErr w:type="spellEnd"/>
      <w:r w:rsidRPr="001A3179">
        <w:rPr>
          <w:lang w:val="fr-FR"/>
        </w:rPr>
        <w:t xml:space="preserve"> sont les suivantes</w:t>
      </w:r>
      <w:r w:rsidR="00894C70">
        <w:rPr>
          <w:lang w:val="fr-FR"/>
        </w:rPr>
        <w:t> </w:t>
      </w:r>
      <w:r w:rsidRPr="001A3179">
        <w:rPr>
          <w:lang w:val="fr-FR"/>
        </w:rPr>
        <w:t>:</w:t>
      </w:r>
    </w:p>
    <w:p w14:paraId="2F034ED7" w14:textId="77777777" w:rsidR="002A5EB2" w:rsidRPr="001A3179" w:rsidRDefault="002A5EB2" w:rsidP="00894C70">
      <w:pPr>
        <w:pStyle w:val="Bullet1G"/>
        <w:rPr>
          <w:lang w:val="fr-FR"/>
        </w:rPr>
      </w:pPr>
      <w:r w:rsidRPr="001A3179">
        <w:rPr>
          <w:lang w:val="fr-FR"/>
        </w:rPr>
        <w:t>Consentement écrit du patient ou de son tuteur</w:t>
      </w:r>
      <w:r w:rsidR="00A92436">
        <w:rPr>
          <w:lang w:val="fr-FR"/>
        </w:rPr>
        <w:t> </w:t>
      </w:r>
      <w:r w:rsidRPr="001A3179">
        <w:rPr>
          <w:lang w:val="fr-FR"/>
        </w:rPr>
        <w:t>;</w:t>
      </w:r>
    </w:p>
    <w:p w14:paraId="2CF45643" w14:textId="77777777" w:rsidR="002A5EB2" w:rsidRPr="001A3179" w:rsidRDefault="002A5EB2" w:rsidP="00894C70">
      <w:pPr>
        <w:pStyle w:val="Bullet1G"/>
        <w:rPr>
          <w:lang w:val="fr-FR"/>
        </w:rPr>
      </w:pPr>
      <w:r w:rsidRPr="001A3179">
        <w:rPr>
          <w:lang w:val="fr-FR"/>
        </w:rPr>
        <w:t>Avis favorable d</w:t>
      </w:r>
      <w:r>
        <w:rPr>
          <w:lang w:val="fr-FR"/>
        </w:rPr>
        <w:t>’</w:t>
      </w:r>
      <w:r w:rsidRPr="001A3179">
        <w:rPr>
          <w:lang w:val="fr-FR"/>
        </w:rPr>
        <w:t>un psychiatre indépendant non membre de l</w:t>
      </w:r>
      <w:r>
        <w:rPr>
          <w:lang w:val="fr-FR"/>
        </w:rPr>
        <w:t>’</w:t>
      </w:r>
      <w:r w:rsidRPr="001A3179">
        <w:rPr>
          <w:lang w:val="fr-FR"/>
        </w:rPr>
        <w:t>équipe médicale soignante quant à la nécessité et aux conséquences d</w:t>
      </w:r>
      <w:r>
        <w:rPr>
          <w:lang w:val="fr-FR"/>
        </w:rPr>
        <w:t>’</w:t>
      </w:r>
      <w:r w:rsidRPr="001A3179">
        <w:rPr>
          <w:lang w:val="fr-FR"/>
        </w:rPr>
        <w:t>une telle thérapie</w:t>
      </w:r>
      <w:r w:rsidR="00A92436">
        <w:rPr>
          <w:lang w:val="fr-FR"/>
        </w:rPr>
        <w:t> </w:t>
      </w:r>
      <w:r w:rsidRPr="001A3179">
        <w:rPr>
          <w:lang w:val="fr-FR"/>
        </w:rPr>
        <w:t>;</w:t>
      </w:r>
    </w:p>
    <w:p w14:paraId="349E1F1C" w14:textId="77777777" w:rsidR="002A5EB2" w:rsidRPr="001A3179" w:rsidRDefault="002A5EB2" w:rsidP="00894C70">
      <w:pPr>
        <w:pStyle w:val="Bullet1G"/>
        <w:rPr>
          <w:lang w:val="fr-FR"/>
        </w:rPr>
      </w:pPr>
      <w:bookmarkStart w:id="35" w:name="_Hlk38698319"/>
      <w:r w:rsidRPr="001A3179">
        <w:rPr>
          <w:lang w:val="fr-FR"/>
        </w:rPr>
        <w:t>Absence d</w:t>
      </w:r>
      <w:r>
        <w:rPr>
          <w:lang w:val="fr-FR"/>
        </w:rPr>
        <w:t>’</w:t>
      </w:r>
      <w:r w:rsidRPr="001A3179">
        <w:rPr>
          <w:lang w:val="fr-FR"/>
        </w:rPr>
        <w:t>une autre thérapie permettant de dispenser des soins médicaux adéquats</w:t>
      </w:r>
      <w:bookmarkEnd w:id="35"/>
      <w:r w:rsidR="00A92436">
        <w:rPr>
          <w:lang w:val="fr-FR"/>
        </w:rPr>
        <w:t> </w:t>
      </w:r>
      <w:r w:rsidRPr="001A3179">
        <w:rPr>
          <w:lang w:val="fr-FR"/>
        </w:rPr>
        <w:t>;</w:t>
      </w:r>
    </w:p>
    <w:p w14:paraId="311C35B0" w14:textId="77777777" w:rsidR="002A5EB2" w:rsidRPr="001A3179" w:rsidRDefault="002A5EB2" w:rsidP="00894C70">
      <w:pPr>
        <w:pStyle w:val="Bullet1G"/>
        <w:rPr>
          <w:lang w:val="fr-FR"/>
        </w:rPr>
      </w:pPr>
      <w:r w:rsidRPr="001A3179">
        <w:rPr>
          <w:lang w:val="fr-FR"/>
        </w:rPr>
        <w:t>Absolue nécessité pour le traitement du patient</w:t>
      </w:r>
      <w:r w:rsidR="00A92436">
        <w:rPr>
          <w:lang w:val="fr-FR"/>
        </w:rPr>
        <w:t> </w:t>
      </w:r>
      <w:r w:rsidRPr="001A3179">
        <w:rPr>
          <w:lang w:val="fr-FR"/>
        </w:rPr>
        <w:t>;</w:t>
      </w:r>
    </w:p>
    <w:p w14:paraId="2244637A" w14:textId="77777777" w:rsidR="002A5EB2" w:rsidRPr="001A3179" w:rsidRDefault="002A5EB2" w:rsidP="00894C70">
      <w:pPr>
        <w:pStyle w:val="Bullet1G"/>
        <w:rPr>
          <w:lang w:val="fr-FR"/>
        </w:rPr>
      </w:pPr>
      <w:r w:rsidRPr="001A3179">
        <w:rPr>
          <w:lang w:val="fr-FR"/>
        </w:rPr>
        <w:t>Avantages attendus supérieurs aux risques et inconvénients prévisibles de la thérapie proposée.</w:t>
      </w:r>
    </w:p>
    <w:p w14:paraId="34A8FE30" w14:textId="77777777" w:rsidR="002A5EB2" w:rsidRPr="001A3179" w:rsidRDefault="002A5EB2" w:rsidP="002A5EB2">
      <w:pPr>
        <w:pStyle w:val="SingleTxtG"/>
        <w:rPr>
          <w:lang w:val="fr-FR"/>
        </w:rPr>
      </w:pPr>
      <w:r w:rsidRPr="001A3179">
        <w:rPr>
          <w:lang w:val="fr-FR"/>
        </w:rPr>
        <w:t>154.</w:t>
      </w:r>
      <w:r w:rsidRPr="001A3179">
        <w:rPr>
          <w:lang w:val="fr-FR"/>
        </w:rPr>
        <w:tab/>
        <w:t>Les patients pour lesquels ces conditions sont remplies sont envoyés à l</w:t>
      </w:r>
      <w:r>
        <w:rPr>
          <w:lang w:val="fr-FR"/>
        </w:rPr>
        <w:t>’</w:t>
      </w:r>
      <w:r w:rsidRPr="001A3179">
        <w:rPr>
          <w:lang w:val="fr-FR"/>
        </w:rPr>
        <w:t xml:space="preserve">étranger pour suivre une </w:t>
      </w:r>
      <w:bookmarkStart w:id="36" w:name="_Hlk37749360"/>
      <w:proofErr w:type="spellStart"/>
      <w:r w:rsidRPr="001A3179">
        <w:rPr>
          <w:lang w:val="fr-FR"/>
        </w:rPr>
        <w:t>électroconvulsivothérapie</w:t>
      </w:r>
      <w:bookmarkEnd w:id="36"/>
      <w:proofErr w:type="spellEnd"/>
      <w:r w:rsidRPr="001A3179">
        <w:rPr>
          <w:lang w:val="fr-FR"/>
        </w:rPr>
        <w:t xml:space="preserve"> car la Slovénie ne possède pas de capacités dans ce domaine. En 2013 six patients ont été envoyés à Zagreb (Croatie) pour y suivre cette thérapie ; en 2014 et 2015 cette thérapie n</w:t>
      </w:r>
      <w:r>
        <w:rPr>
          <w:lang w:val="fr-FR"/>
        </w:rPr>
        <w:t>’</w:t>
      </w:r>
      <w:r w:rsidRPr="001A3179">
        <w:rPr>
          <w:lang w:val="fr-FR"/>
        </w:rPr>
        <w:t>a été approuvé</w:t>
      </w:r>
      <w:r>
        <w:rPr>
          <w:lang w:val="fr-FR"/>
        </w:rPr>
        <w:t>e</w:t>
      </w:r>
      <w:r w:rsidRPr="001A3179">
        <w:rPr>
          <w:lang w:val="fr-FR"/>
        </w:rPr>
        <w:t xml:space="preserve"> pour aucun patient ; en 2016 comme en 2017 un patient consentant a été envoyé à Zagreb pour suivre cette thérapie.</w:t>
      </w:r>
    </w:p>
    <w:p w14:paraId="522C3A1F" w14:textId="77777777" w:rsidR="002A5EB2" w:rsidRPr="001A3179" w:rsidRDefault="002A5EB2" w:rsidP="002A5EB2">
      <w:pPr>
        <w:pStyle w:val="SingleTxtG"/>
        <w:rPr>
          <w:lang w:val="fr-FR"/>
        </w:rPr>
      </w:pPr>
      <w:r w:rsidRPr="001A3179">
        <w:rPr>
          <w:lang w:val="fr-FR"/>
        </w:rPr>
        <w:t>155.</w:t>
      </w:r>
      <w:r w:rsidRPr="001A3179">
        <w:rPr>
          <w:lang w:val="fr-FR"/>
        </w:rPr>
        <w:tab/>
        <w:t>Au cours des dix années d</w:t>
      </w:r>
      <w:r>
        <w:rPr>
          <w:lang w:val="fr-FR"/>
        </w:rPr>
        <w:t>’</w:t>
      </w:r>
      <w:r w:rsidRPr="001A3179">
        <w:rPr>
          <w:lang w:val="fr-FR"/>
        </w:rPr>
        <w:t xml:space="preserve">application de la loi </w:t>
      </w:r>
      <w:bookmarkStart w:id="37" w:name="_Hlk38888169"/>
      <w:r w:rsidRPr="001A3179">
        <w:rPr>
          <w:lang w:val="fr-FR"/>
        </w:rPr>
        <w:t xml:space="preserve">sur la santé mentale </w:t>
      </w:r>
      <w:bookmarkEnd w:id="37"/>
      <w:r w:rsidRPr="001A3179">
        <w:rPr>
          <w:lang w:val="fr-FR"/>
        </w:rPr>
        <w:t>aucune plainte visant l</w:t>
      </w:r>
      <w:r>
        <w:rPr>
          <w:lang w:val="fr-FR"/>
        </w:rPr>
        <w:t>’</w:t>
      </w:r>
      <w:proofErr w:type="spellStart"/>
      <w:r w:rsidRPr="001A3179">
        <w:rPr>
          <w:lang w:val="fr-FR"/>
        </w:rPr>
        <w:t>électroconvulsivothérapie</w:t>
      </w:r>
      <w:proofErr w:type="spellEnd"/>
      <w:r w:rsidRPr="001A3179">
        <w:rPr>
          <w:lang w:val="fr-FR"/>
        </w:rPr>
        <w:t xml:space="preserve"> n</w:t>
      </w:r>
      <w:r>
        <w:rPr>
          <w:lang w:val="fr-FR"/>
        </w:rPr>
        <w:t>’</w:t>
      </w:r>
      <w:r w:rsidRPr="001A3179">
        <w:rPr>
          <w:lang w:val="fr-FR"/>
        </w:rPr>
        <w:t>a été reçue, ce qui tient au fait que cette thérapie ne peut être administrée à un patient sans son consentement éclairé et n</w:t>
      </w:r>
      <w:r>
        <w:rPr>
          <w:lang w:val="fr-FR"/>
        </w:rPr>
        <w:t>’</w:t>
      </w:r>
      <w:r w:rsidRPr="001A3179">
        <w:rPr>
          <w:lang w:val="fr-FR"/>
        </w:rPr>
        <w:t>est pas pratiquée en Slovénie.</w:t>
      </w:r>
    </w:p>
    <w:p w14:paraId="05BEAA6E" w14:textId="77777777" w:rsidR="002A5EB2" w:rsidRPr="001A3179" w:rsidRDefault="002A5EB2" w:rsidP="002A5EB2">
      <w:pPr>
        <w:pStyle w:val="SingleTxtG"/>
        <w:rPr>
          <w:lang w:val="fr-FR"/>
        </w:rPr>
      </w:pPr>
      <w:r w:rsidRPr="001A3179">
        <w:rPr>
          <w:lang w:val="fr-FR"/>
        </w:rPr>
        <w:t>156.</w:t>
      </w:r>
      <w:r w:rsidRPr="001A3179">
        <w:rPr>
          <w:lang w:val="fr-FR"/>
        </w:rPr>
        <w:tab/>
        <w:t>Le paragraphe 6 de l</w:t>
      </w:r>
      <w:r>
        <w:rPr>
          <w:lang w:val="fr-FR"/>
        </w:rPr>
        <w:t>’</w:t>
      </w:r>
      <w:r w:rsidRPr="001A3179">
        <w:rPr>
          <w:lang w:val="fr-FR"/>
        </w:rPr>
        <w:t>article 9 de la loi sur la santé mentale fixe les conditions ci</w:t>
      </w:r>
      <w:r w:rsidR="00A92436">
        <w:rPr>
          <w:lang w:val="fr-FR"/>
        </w:rPr>
        <w:noBreakHyphen/>
      </w:r>
      <w:r w:rsidRPr="001A3179">
        <w:rPr>
          <w:lang w:val="fr-FR"/>
        </w:rPr>
        <w:t xml:space="preserve">après pour la prescription de médicaments psychotropes à des doses dépassant la posologie maximale recommandée : </w:t>
      </w:r>
    </w:p>
    <w:p w14:paraId="7E9CF867" w14:textId="77777777" w:rsidR="002A5EB2" w:rsidRPr="001A3179" w:rsidRDefault="002A5EB2" w:rsidP="00894C70">
      <w:pPr>
        <w:pStyle w:val="Bullet1G"/>
        <w:rPr>
          <w:lang w:val="fr-FR"/>
        </w:rPr>
      </w:pPr>
      <w:r w:rsidRPr="001A3179">
        <w:rPr>
          <w:lang w:val="fr-FR"/>
        </w:rPr>
        <w:t>Consentement écrit du patient ou de son tuteur</w:t>
      </w:r>
      <w:r w:rsidR="00894C70">
        <w:rPr>
          <w:lang w:val="fr-FR"/>
        </w:rPr>
        <w:t> </w:t>
      </w:r>
      <w:r w:rsidRPr="001A3179">
        <w:rPr>
          <w:lang w:val="fr-FR"/>
        </w:rPr>
        <w:t>;</w:t>
      </w:r>
    </w:p>
    <w:p w14:paraId="66F27B54" w14:textId="77777777" w:rsidR="002A5EB2" w:rsidRPr="001A3179" w:rsidRDefault="002A5EB2" w:rsidP="00894C70">
      <w:pPr>
        <w:pStyle w:val="Bullet1G"/>
        <w:rPr>
          <w:lang w:val="fr-FR"/>
        </w:rPr>
      </w:pPr>
      <w:r w:rsidRPr="001A3179">
        <w:rPr>
          <w:lang w:val="fr-FR"/>
        </w:rPr>
        <w:t>Absence d</w:t>
      </w:r>
      <w:r>
        <w:rPr>
          <w:lang w:val="fr-FR"/>
        </w:rPr>
        <w:t>’</w:t>
      </w:r>
      <w:r w:rsidRPr="001A3179">
        <w:rPr>
          <w:lang w:val="fr-FR"/>
        </w:rPr>
        <w:t>une autre thérapie permettant de dispenser des soins médicaux adéquats</w:t>
      </w:r>
      <w:r w:rsidR="00894C70">
        <w:rPr>
          <w:lang w:val="fr-FR"/>
        </w:rPr>
        <w:t> </w:t>
      </w:r>
      <w:r w:rsidRPr="001A3179">
        <w:rPr>
          <w:lang w:val="fr-FR"/>
        </w:rPr>
        <w:t xml:space="preserve">; </w:t>
      </w:r>
    </w:p>
    <w:p w14:paraId="7F7245B7" w14:textId="77777777" w:rsidR="002A5EB2" w:rsidRPr="001A3179" w:rsidRDefault="002A5EB2" w:rsidP="00894C70">
      <w:pPr>
        <w:pStyle w:val="Bullet1G"/>
        <w:rPr>
          <w:lang w:val="fr-FR"/>
        </w:rPr>
      </w:pPr>
      <w:r w:rsidRPr="001A3179">
        <w:rPr>
          <w:lang w:val="fr-FR"/>
        </w:rPr>
        <w:t>Absolue nécessité pour le traitement du patient.</w:t>
      </w:r>
    </w:p>
    <w:p w14:paraId="5DE97584" w14:textId="77777777" w:rsidR="002A5EB2" w:rsidRPr="001A3179" w:rsidRDefault="002A5EB2" w:rsidP="002A5EB2">
      <w:pPr>
        <w:pStyle w:val="SingleTxtG"/>
        <w:rPr>
          <w:lang w:val="fr-FR"/>
        </w:rPr>
      </w:pPr>
      <w:r w:rsidRPr="001A3179">
        <w:rPr>
          <w:lang w:val="fr-FR"/>
        </w:rPr>
        <w:t>157.</w:t>
      </w:r>
      <w:r w:rsidRPr="001A3179">
        <w:rPr>
          <w:lang w:val="fr-FR"/>
        </w:rPr>
        <w:tab/>
        <w:t>En cas d</w:t>
      </w:r>
      <w:r>
        <w:rPr>
          <w:lang w:val="fr-FR"/>
        </w:rPr>
        <w:t>’</w:t>
      </w:r>
      <w:r w:rsidRPr="001A3179">
        <w:rPr>
          <w:lang w:val="fr-FR"/>
        </w:rPr>
        <w:t>urgence, la prise de médicaments psychotropes à des doses supérieures à la posologie maximale recommandée peut être prescrite à un patient et débuter sans que soient remplies les conditions susmentionnées, mais le directeur d</w:t>
      </w:r>
      <w:r>
        <w:rPr>
          <w:lang w:val="fr-FR"/>
        </w:rPr>
        <w:t>’</w:t>
      </w:r>
      <w:r w:rsidRPr="001A3179">
        <w:rPr>
          <w:lang w:val="fr-FR"/>
        </w:rPr>
        <w:t xml:space="preserve">établissement doit en être informé dans les </w:t>
      </w:r>
      <w:r w:rsidR="00A92436">
        <w:rPr>
          <w:lang w:val="fr-FR"/>
        </w:rPr>
        <w:t>vingt-quatre</w:t>
      </w:r>
      <w:r w:rsidRPr="001A3179">
        <w:rPr>
          <w:lang w:val="fr-FR"/>
        </w:rPr>
        <w:t xml:space="preserve"> heures suivant le début du traitement et celui-ci charge alors une équipe médicale de vérifier la pertinence du traitement. Cette équipe est composée de trois psychiatres au minimum, dont au moins un qui n</w:t>
      </w:r>
      <w:r>
        <w:rPr>
          <w:lang w:val="fr-FR"/>
        </w:rPr>
        <w:t>’</w:t>
      </w:r>
      <w:r w:rsidRPr="001A3179">
        <w:rPr>
          <w:lang w:val="fr-FR"/>
        </w:rPr>
        <w:t>exerce pas à l</w:t>
      </w:r>
      <w:r>
        <w:rPr>
          <w:lang w:val="fr-FR"/>
        </w:rPr>
        <w:t>’</w:t>
      </w:r>
      <w:r w:rsidRPr="001A3179">
        <w:rPr>
          <w:lang w:val="fr-FR"/>
        </w:rPr>
        <w:t>hôpital où le patient est traité et n</w:t>
      </w:r>
      <w:r>
        <w:rPr>
          <w:lang w:val="fr-FR"/>
        </w:rPr>
        <w:t>’</w:t>
      </w:r>
      <w:r w:rsidRPr="001A3179">
        <w:rPr>
          <w:lang w:val="fr-FR"/>
        </w:rPr>
        <w:t>a pas traité le patient (psychiatre indépendant).</w:t>
      </w:r>
    </w:p>
    <w:p w14:paraId="604E227E" w14:textId="77777777" w:rsidR="002A5EB2" w:rsidRPr="001A3179" w:rsidRDefault="002A5EB2" w:rsidP="002A5EB2">
      <w:pPr>
        <w:pStyle w:val="SingleTxtG"/>
        <w:rPr>
          <w:lang w:val="fr-FR"/>
        </w:rPr>
      </w:pPr>
      <w:r w:rsidRPr="001A3179">
        <w:rPr>
          <w:lang w:val="fr-FR"/>
        </w:rPr>
        <w:t>158.</w:t>
      </w:r>
      <w:r w:rsidRPr="001A3179">
        <w:rPr>
          <w:lang w:val="fr-FR"/>
        </w:rPr>
        <w:tab/>
        <w:t>Aucun cas d</w:t>
      </w:r>
      <w:r>
        <w:rPr>
          <w:lang w:val="fr-FR"/>
        </w:rPr>
        <w:t>’</w:t>
      </w:r>
      <w:r w:rsidRPr="001A3179">
        <w:rPr>
          <w:lang w:val="fr-FR"/>
        </w:rPr>
        <w:t>administration de médicaments psychotropes à des doses supérieure</w:t>
      </w:r>
      <w:r>
        <w:rPr>
          <w:lang w:val="fr-FR"/>
        </w:rPr>
        <w:t>s</w:t>
      </w:r>
      <w:r w:rsidRPr="001A3179">
        <w:rPr>
          <w:lang w:val="fr-FR"/>
        </w:rPr>
        <w:t xml:space="preserve"> à la posologie maximale recommandée n</w:t>
      </w:r>
      <w:r>
        <w:rPr>
          <w:lang w:val="fr-FR"/>
        </w:rPr>
        <w:t>’</w:t>
      </w:r>
      <w:r w:rsidRPr="001A3179">
        <w:rPr>
          <w:lang w:val="fr-FR"/>
        </w:rPr>
        <w:t>est intervenu en Slovénie en 2013. Ce type de traitement a été administré dans cinq cas avec le consentement des patients en 2014, dans un cas en 2015 et dans aucun en 2016 et en 2017.</w:t>
      </w:r>
    </w:p>
    <w:p w14:paraId="308E17F0" w14:textId="77777777" w:rsidR="002A5EB2" w:rsidRPr="001A3179" w:rsidRDefault="002A5EB2" w:rsidP="002A5EB2">
      <w:pPr>
        <w:pStyle w:val="SingleTxtG"/>
        <w:rPr>
          <w:lang w:val="fr-FR"/>
        </w:rPr>
      </w:pPr>
      <w:r w:rsidRPr="001A3179">
        <w:rPr>
          <w:lang w:val="fr-FR"/>
        </w:rPr>
        <w:t>159.</w:t>
      </w:r>
      <w:r w:rsidRPr="001A3179">
        <w:rPr>
          <w:lang w:val="fr-FR"/>
        </w:rPr>
        <w:tab/>
        <w:t>Il a été proposé au Ministère de la santé de revoir la procédure et les conditions fixées dans la loi sur la santé mentale relatives à la prescription de médicaments psychotropes à des doses supérieure</w:t>
      </w:r>
      <w:r>
        <w:rPr>
          <w:lang w:val="fr-FR"/>
        </w:rPr>
        <w:t>s</w:t>
      </w:r>
      <w:r w:rsidRPr="001A3179">
        <w:rPr>
          <w:lang w:val="fr-FR"/>
        </w:rPr>
        <w:t xml:space="preserve"> à la posologie maximale </w:t>
      </w:r>
      <w:r w:rsidRPr="00691203">
        <w:rPr>
          <w:lang w:val="fr-FR"/>
        </w:rPr>
        <w:t>recommandée ou à étudier</w:t>
      </w:r>
      <w:r w:rsidRPr="001A3179">
        <w:rPr>
          <w:lang w:val="fr-FR"/>
        </w:rPr>
        <w:t xml:space="preserve"> </w:t>
      </w:r>
      <w:r w:rsidRPr="001A3179">
        <w:rPr>
          <w:lang w:val="fr-FR"/>
        </w:rPr>
        <w:lastRenderedPageBreak/>
        <w:t>les incidences potentielles de cette loi sur les possibilités de traitement qu</w:t>
      </w:r>
      <w:r>
        <w:rPr>
          <w:lang w:val="fr-FR"/>
        </w:rPr>
        <w:t>’</w:t>
      </w:r>
      <w:r w:rsidRPr="001A3179">
        <w:rPr>
          <w:lang w:val="fr-FR"/>
        </w:rPr>
        <w:t>offrent plusieurs médicaments afin d</w:t>
      </w:r>
      <w:r>
        <w:rPr>
          <w:lang w:val="fr-FR"/>
        </w:rPr>
        <w:t>’</w:t>
      </w:r>
      <w:r w:rsidRPr="001A3179">
        <w:rPr>
          <w:lang w:val="fr-FR"/>
        </w:rPr>
        <w:t>éviter la prescription de doses dépassant la posologie maximale recommandée.</w:t>
      </w:r>
    </w:p>
    <w:p w14:paraId="563915B2" w14:textId="77777777" w:rsidR="002A5EB2" w:rsidRPr="001A3179" w:rsidRDefault="002A5EB2" w:rsidP="002A5EB2">
      <w:pPr>
        <w:pStyle w:val="SingleTxtG"/>
        <w:rPr>
          <w:lang w:val="fr-FR"/>
        </w:rPr>
      </w:pPr>
      <w:r w:rsidRPr="001A3179">
        <w:rPr>
          <w:lang w:val="fr-FR"/>
        </w:rPr>
        <w:t>160.</w:t>
      </w:r>
      <w:r w:rsidRPr="001A3179">
        <w:rPr>
          <w:lang w:val="fr-FR"/>
        </w:rPr>
        <w:tab/>
        <w:t>Le Ministère de la santé a engagé des travaux en vue de la modification de la loi sur la santé mentale et, en concertation avec des représentants des professionnels et des autres parties prenantes du secteur de la santé mentale, il réexaminera et, au besoin, proposera d</w:t>
      </w:r>
      <w:r>
        <w:rPr>
          <w:lang w:val="fr-FR"/>
        </w:rPr>
        <w:t>’</w:t>
      </w:r>
      <w:r w:rsidRPr="001A3179">
        <w:rPr>
          <w:lang w:val="fr-FR"/>
        </w:rPr>
        <w:t>apporter des modifications à l</w:t>
      </w:r>
      <w:r>
        <w:rPr>
          <w:lang w:val="fr-FR"/>
        </w:rPr>
        <w:t>’</w:t>
      </w:r>
      <w:r w:rsidRPr="001A3179">
        <w:rPr>
          <w:lang w:val="fr-FR"/>
        </w:rPr>
        <w:t>article 9, qui régit certaines méthodes de traitement.</w:t>
      </w:r>
    </w:p>
    <w:p w14:paraId="670240C0" w14:textId="77777777" w:rsidR="002A5EB2" w:rsidRPr="001A3179" w:rsidRDefault="002A5EB2" w:rsidP="006B271A">
      <w:pPr>
        <w:pStyle w:val="H23G"/>
        <w:rPr>
          <w:lang w:val="fr-FR"/>
        </w:rPr>
      </w:pPr>
      <w:r w:rsidRPr="001A3179">
        <w:rPr>
          <w:lang w:val="fr-FR"/>
        </w:rPr>
        <w:tab/>
      </w:r>
      <w:r w:rsidRPr="001A3179">
        <w:rPr>
          <w:lang w:val="fr-FR"/>
        </w:rPr>
        <w:tab/>
        <w:t>Réponse au paragraphe 21 de la liste des points à traiter</w:t>
      </w:r>
    </w:p>
    <w:p w14:paraId="5C7B05F3" w14:textId="77777777" w:rsidR="002A5EB2" w:rsidRPr="001A3179" w:rsidRDefault="002A5EB2" w:rsidP="002A5EB2">
      <w:pPr>
        <w:pStyle w:val="SingleTxtG"/>
        <w:rPr>
          <w:lang w:val="fr-FR"/>
        </w:rPr>
      </w:pPr>
      <w:r w:rsidRPr="001A3179">
        <w:rPr>
          <w:lang w:val="fr-FR"/>
        </w:rPr>
        <w:t>161.</w:t>
      </w:r>
      <w:r w:rsidRPr="001A3179">
        <w:rPr>
          <w:lang w:val="fr-FR"/>
        </w:rPr>
        <w:tab/>
        <w:t>Des renseignements détaillés sont fournis dans la réponse au paragraphe 5. Il a déjà été expliqué, avec des documents à l</w:t>
      </w:r>
      <w:r>
        <w:rPr>
          <w:lang w:val="fr-FR"/>
        </w:rPr>
        <w:t>’</w:t>
      </w:r>
      <w:r w:rsidRPr="001A3179">
        <w:rPr>
          <w:lang w:val="fr-FR"/>
        </w:rPr>
        <w:t>appui, que des organismes scientifiques ou de recherche et des ONG peuvent mener en toute indépendance des études sur ce sujet</w:t>
      </w:r>
      <w:r w:rsidR="00A92436">
        <w:rPr>
          <w:lang w:val="fr-FR"/>
        </w:rPr>
        <w:t> </w:t>
      </w:r>
      <w:r w:rsidRPr="001A3179">
        <w:rPr>
          <w:lang w:val="fr-FR"/>
        </w:rPr>
        <w:t>; aucun cas de discrimination envers des membres de la communauté rom dans le cadre de procédures policières ou judiciaires n</w:t>
      </w:r>
      <w:r>
        <w:rPr>
          <w:lang w:val="fr-FR"/>
        </w:rPr>
        <w:t>’</w:t>
      </w:r>
      <w:r w:rsidRPr="001A3179">
        <w:rPr>
          <w:lang w:val="fr-FR"/>
        </w:rPr>
        <w:t>a été constaté par des ONG.</w:t>
      </w:r>
    </w:p>
    <w:p w14:paraId="76A0334F" w14:textId="77777777" w:rsidR="002A5EB2" w:rsidRPr="001A3179" w:rsidRDefault="002A5EB2" w:rsidP="002A5EB2">
      <w:pPr>
        <w:pStyle w:val="SingleTxtG"/>
        <w:rPr>
          <w:lang w:val="fr-FR"/>
        </w:rPr>
      </w:pPr>
      <w:r w:rsidRPr="001A3179">
        <w:rPr>
          <w:lang w:val="fr-FR"/>
        </w:rPr>
        <w:t>162.</w:t>
      </w:r>
      <w:r w:rsidRPr="001A3179">
        <w:rPr>
          <w:lang w:val="fr-FR"/>
        </w:rPr>
        <w:tab/>
        <w:t>La police sait depuis de nombreuses années que des enfants fuguent vers d</w:t>
      </w:r>
      <w:r>
        <w:rPr>
          <w:lang w:val="fr-FR"/>
        </w:rPr>
        <w:t>’</w:t>
      </w:r>
      <w:r w:rsidRPr="001A3179">
        <w:rPr>
          <w:lang w:val="fr-FR"/>
        </w:rPr>
        <w:t>autres communautés familiales et elle s</w:t>
      </w:r>
      <w:r>
        <w:rPr>
          <w:lang w:val="fr-FR"/>
        </w:rPr>
        <w:t>’</w:t>
      </w:r>
      <w:r w:rsidRPr="001A3179">
        <w:rPr>
          <w:lang w:val="fr-FR"/>
        </w:rPr>
        <w:t xml:space="preserve">est employée à traiter ces affaires plus efficacement. Les policiers ont été sensibilisés aux affaires de ce type et </w:t>
      </w:r>
      <w:r>
        <w:rPr>
          <w:lang w:val="fr-FR"/>
        </w:rPr>
        <w:t xml:space="preserve">ont </w:t>
      </w:r>
      <w:r w:rsidRPr="001A3179">
        <w:rPr>
          <w:lang w:val="fr-FR"/>
        </w:rPr>
        <w:t>reçu des conseils et des recommandations sur la manière de les traiter. La Direction générale de la police est dotée d</w:t>
      </w:r>
      <w:r>
        <w:rPr>
          <w:lang w:val="fr-FR"/>
        </w:rPr>
        <w:t>’</w:t>
      </w:r>
      <w:r w:rsidRPr="001A3179">
        <w:rPr>
          <w:lang w:val="fr-FR"/>
        </w:rPr>
        <w:t>un groupe de réflexion permanent sur le travail dans une société multiculturelle ayant pour but d</w:t>
      </w:r>
      <w:r>
        <w:rPr>
          <w:lang w:val="fr-FR"/>
        </w:rPr>
        <w:t>’</w:t>
      </w:r>
      <w:r w:rsidRPr="001A3179">
        <w:rPr>
          <w:lang w:val="fr-FR"/>
        </w:rPr>
        <w:t>améliorer les procédures. La coordination des activités a été confiée au Bureau pour les minorités nationales, eu égard à l</w:t>
      </w:r>
      <w:r>
        <w:rPr>
          <w:lang w:val="fr-FR"/>
        </w:rPr>
        <w:t>’</w:t>
      </w:r>
      <w:r w:rsidRPr="001A3179">
        <w:rPr>
          <w:lang w:val="fr-FR"/>
        </w:rPr>
        <w:t>importance que revêt l</w:t>
      </w:r>
      <w:r>
        <w:rPr>
          <w:lang w:val="fr-FR"/>
        </w:rPr>
        <w:t>’</w:t>
      </w:r>
      <w:r w:rsidRPr="001A3179">
        <w:rPr>
          <w:lang w:val="fr-FR"/>
        </w:rPr>
        <w:t>intégration interinstitutionnelle pour prévenir et traiter les affaires de mariages précoces et forcés. Le Bureau est responsable de l</w:t>
      </w:r>
      <w:r>
        <w:rPr>
          <w:lang w:val="fr-FR"/>
        </w:rPr>
        <w:t>’</w:t>
      </w:r>
      <w:r w:rsidRPr="001A3179">
        <w:rPr>
          <w:lang w:val="fr-FR"/>
        </w:rPr>
        <w:t>exécution du volet « Formulation d</w:t>
      </w:r>
      <w:r>
        <w:rPr>
          <w:lang w:val="fr-FR"/>
        </w:rPr>
        <w:t>’</w:t>
      </w:r>
      <w:r w:rsidRPr="001A3179">
        <w:rPr>
          <w:lang w:val="fr-FR"/>
        </w:rPr>
        <w:t xml:space="preserve">un protocole de mise en œuvre des procédures de traitement des affaires de cohabitation avec une personne mineure » du </w:t>
      </w:r>
      <w:bookmarkStart w:id="38" w:name="_Hlk38719795"/>
      <w:r w:rsidRPr="001A3179">
        <w:rPr>
          <w:lang w:val="fr-FR"/>
        </w:rPr>
        <w:t>Programme national de mesures en faveur des Roms 2017-2021</w:t>
      </w:r>
      <w:bookmarkEnd w:id="38"/>
      <w:r w:rsidRPr="001A3179">
        <w:rPr>
          <w:lang w:val="fr-FR"/>
        </w:rPr>
        <w:t>. Un fonctionnaire de police (relevant du Centre de recherche et de compétences sociales de l</w:t>
      </w:r>
      <w:r>
        <w:rPr>
          <w:lang w:val="fr-FR"/>
        </w:rPr>
        <w:t>’</w:t>
      </w:r>
      <w:r w:rsidRPr="001A3179">
        <w:rPr>
          <w:lang w:val="fr-FR"/>
        </w:rPr>
        <w:t>Académie de police de la Direction générale de la police) dispense des cours sur les difficultés que présente le travail avec la communauté rom et ses particularités à des membres de l</w:t>
      </w:r>
      <w:r>
        <w:rPr>
          <w:lang w:val="fr-FR"/>
        </w:rPr>
        <w:t>’</w:t>
      </w:r>
      <w:r w:rsidRPr="001A3179">
        <w:rPr>
          <w:lang w:val="fr-FR"/>
        </w:rPr>
        <w:t>appareil judiciaire (procureurs et juges), en collaboration avec le Centre de formation judiciaire. Des représentants de la police ont participé activement à la consultation nationale sur cette question, qui a servi de base aux consultations régionales suivantes</w:t>
      </w:r>
      <w:r w:rsidR="008403E7">
        <w:rPr>
          <w:lang w:val="fr-FR"/>
        </w:rPr>
        <w:t> </w:t>
      </w:r>
      <w:r w:rsidRPr="001A3179">
        <w:rPr>
          <w:lang w:val="fr-FR"/>
        </w:rPr>
        <w:t xml:space="preserve">: </w:t>
      </w:r>
      <w:r w:rsidR="008403E7">
        <w:rPr>
          <w:lang w:val="fr-FR"/>
        </w:rPr>
        <w:t>M</w:t>
      </w:r>
      <w:r w:rsidRPr="008B449F">
        <w:rPr>
          <w:lang w:val="fr-FR"/>
        </w:rPr>
        <w:t xml:space="preserve">ineurs fuguant vers des milieux dangereux </w:t>
      </w:r>
      <w:r w:rsidR="008403E7">
        <w:rPr>
          <w:lang w:val="fr-FR"/>
        </w:rPr>
        <w:t>− </w:t>
      </w:r>
      <w:r w:rsidRPr="008B449F">
        <w:rPr>
          <w:lang w:val="fr-FR"/>
        </w:rPr>
        <w:t>mariages précoces d</w:t>
      </w:r>
      <w:r>
        <w:rPr>
          <w:lang w:val="fr-FR"/>
        </w:rPr>
        <w:t>’</w:t>
      </w:r>
      <w:r w:rsidRPr="008B449F">
        <w:rPr>
          <w:lang w:val="fr-FR"/>
        </w:rPr>
        <w:t xml:space="preserve">enfants roms ; </w:t>
      </w:r>
      <w:r w:rsidR="008403E7">
        <w:rPr>
          <w:lang w:val="fr-FR"/>
        </w:rPr>
        <w:t>P</w:t>
      </w:r>
      <w:r w:rsidRPr="008B449F">
        <w:rPr>
          <w:lang w:val="fr-FR"/>
        </w:rPr>
        <w:t xml:space="preserve">lus de succès ensemble </w:t>
      </w:r>
      <w:r w:rsidR="008403E7">
        <w:rPr>
          <w:lang w:val="fr-FR"/>
        </w:rPr>
        <w:t>− </w:t>
      </w:r>
      <w:r w:rsidRPr="008B449F">
        <w:rPr>
          <w:lang w:val="fr-FR"/>
        </w:rPr>
        <w:t>mariages forcés des filles roms</w:t>
      </w:r>
      <w:r w:rsidRPr="001A3179">
        <w:rPr>
          <w:lang w:val="fr-FR"/>
        </w:rPr>
        <w:t>. Des conférences et des ateliers sont consacrés à la reconnaissance et à la compréhension de la culture rom, qui peuvent aider à cerner les infractions à motivation ethnique.</w:t>
      </w:r>
    </w:p>
    <w:p w14:paraId="7ADD5D73" w14:textId="77777777" w:rsidR="002A5EB2" w:rsidRPr="001A3179" w:rsidRDefault="002A5EB2" w:rsidP="006B271A">
      <w:pPr>
        <w:pStyle w:val="H23G"/>
        <w:rPr>
          <w:lang w:val="fr-FR"/>
        </w:rPr>
      </w:pPr>
      <w:r w:rsidRPr="001A3179">
        <w:rPr>
          <w:lang w:val="fr-FR"/>
        </w:rPr>
        <w:tab/>
      </w:r>
      <w:r w:rsidR="006B271A">
        <w:rPr>
          <w:lang w:val="fr-FR"/>
        </w:rPr>
        <w:tab/>
      </w:r>
      <w:r w:rsidRPr="001A3179">
        <w:rPr>
          <w:lang w:val="fr-FR"/>
        </w:rPr>
        <w:t>Réponse au paragraphe 22 de la liste des points à traiter</w:t>
      </w:r>
    </w:p>
    <w:p w14:paraId="1956F972" w14:textId="77777777" w:rsidR="002A5EB2" w:rsidRPr="001A3179" w:rsidRDefault="002A5EB2" w:rsidP="002A5EB2">
      <w:pPr>
        <w:pStyle w:val="SingleTxtG"/>
        <w:rPr>
          <w:lang w:val="fr-FR"/>
        </w:rPr>
      </w:pPr>
      <w:r w:rsidRPr="001A3179">
        <w:rPr>
          <w:lang w:val="fr-FR"/>
        </w:rPr>
        <w:t>163.</w:t>
      </w:r>
      <w:r w:rsidRPr="001A3179">
        <w:rPr>
          <w:lang w:val="fr-FR"/>
        </w:rPr>
        <w:tab/>
        <w:t xml:space="preserve">La police a ouvert une enquête sur la pose à </w:t>
      </w:r>
      <w:proofErr w:type="spellStart"/>
      <w:r w:rsidRPr="001A3179">
        <w:rPr>
          <w:lang w:val="fr-FR"/>
        </w:rPr>
        <w:t>Lendava</w:t>
      </w:r>
      <w:proofErr w:type="spellEnd"/>
      <w:r w:rsidRPr="001A3179">
        <w:rPr>
          <w:lang w:val="fr-FR"/>
        </w:rPr>
        <w:t xml:space="preserve"> d</w:t>
      </w:r>
      <w:r>
        <w:rPr>
          <w:lang w:val="fr-FR"/>
        </w:rPr>
        <w:t>’</w:t>
      </w:r>
      <w:r w:rsidRPr="001A3179">
        <w:rPr>
          <w:lang w:val="fr-FR"/>
        </w:rPr>
        <w:t>affiches portant l</w:t>
      </w:r>
      <w:r>
        <w:rPr>
          <w:lang w:val="fr-FR"/>
        </w:rPr>
        <w:t>’</w:t>
      </w:r>
      <w:r w:rsidRPr="001A3179">
        <w:rPr>
          <w:lang w:val="fr-FR"/>
        </w:rPr>
        <w:t>inscription « Dehors les Tsiganes » et sur les circonstances de l</w:t>
      </w:r>
      <w:r>
        <w:rPr>
          <w:lang w:val="fr-FR"/>
        </w:rPr>
        <w:t>’</w:t>
      </w:r>
      <w:r w:rsidRPr="001A3179">
        <w:rPr>
          <w:lang w:val="fr-FR"/>
        </w:rPr>
        <w:t>infraction d</w:t>
      </w:r>
      <w:r>
        <w:rPr>
          <w:lang w:val="fr-FR"/>
        </w:rPr>
        <w:t>’</w:t>
      </w:r>
      <w:r w:rsidRPr="001A3179">
        <w:rPr>
          <w:lang w:val="fr-FR"/>
        </w:rPr>
        <w:t>incitation publique à la haine, à la violence ou à l</w:t>
      </w:r>
      <w:r>
        <w:rPr>
          <w:lang w:val="fr-FR"/>
        </w:rPr>
        <w:t>’</w:t>
      </w:r>
      <w:r w:rsidRPr="001A3179">
        <w:rPr>
          <w:lang w:val="fr-FR"/>
        </w:rPr>
        <w:t>intolérance, visée au paragraphe 1 de l</w:t>
      </w:r>
      <w:r>
        <w:rPr>
          <w:lang w:val="fr-FR"/>
        </w:rPr>
        <w:t>’</w:t>
      </w:r>
      <w:r w:rsidRPr="001A3179">
        <w:rPr>
          <w:lang w:val="fr-FR"/>
        </w:rPr>
        <w:t xml:space="preserve">article 297 du Code pénal modifié ; elle a saisi le parquet du district de </w:t>
      </w:r>
      <w:proofErr w:type="spellStart"/>
      <w:r w:rsidRPr="001A3179">
        <w:rPr>
          <w:lang w:val="fr-FR"/>
        </w:rPr>
        <w:t>Murska</w:t>
      </w:r>
      <w:proofErr w:type="spellEnd"/>
      <w:r w:rsidRPr="001A3179">
        <w:rPr>
          <w:lang w:val="fr-FR"/>
        </w:rPr>
        <w:t xml:space="preserve"> </w:t>
      </w:r>
      <w:proofErr w:type="spellStart"/>
      <w:r w:rsidRPr="001A3179">
        <w:rPr>
          <w:lang w:val="fr-FR"/>
        </w:rPr>
        <w:t>Sobota</w:t>
      </w:r>
      <w:proofErr w:type="spellEnd"/>
      <w:r w:rsidRPr="001A3179">
        <w:rPr>
          <w:lang w:val="fr-FR"/>
        </w:rPr>
        <w:t xml:space="preserve"> d</w:t>
      </w:r>
      <w:r>
        <w:rPr>
          <w:lang w:val="fr-FR"/>
        </w:rPr>
        <w:t>’</w:t>
      </w:r>
      <w:r w:rsidRPr="001A3179">
        <w:rPr>
          <w:lang w:val="fr-FR"/>
        </w:rPr>
        <w:t xml:space="preserve">une plainte pénale contre </w:t>
      </w:r>
      <w:r w:rsidR="008403E7">
        <w:rPr>
          <w:lang w:val="fr-FR"/>
        </w:rPr>
        <w:t>3</w:t>
      </w:r>
      <w:r w:rsidRPr="001A3179">
        <w:rPr>
          <w:lang w:val="fr-FR"/>
        </w:rPr>
        <w:t xml:space="preserve"> personnes (dont </w:t>
      </w:r>
      <w:r w:rsidR="008403E7">
        <w:rPr>
          <w:lang w:val="fr-FR"/>
        </w:rPr>
        <w:t>2</w:t>
      </w:r>
      <w:r w:rsidRPr="001A3179">
        <w:rPr>
          <w:lang w:val="fr-FR"/>
        </w:rPr>
        <w:t xml:space="preserve"> mineurs) suspectées de cette infraction. Dans cette affaire, la police a déposé une plainte pénale contre </w:t>
      </w:r>
      <w:r w:rsidR="008403E7">
        <w:rPr>
          <w:lang w:val="fr-FR"/>
        </w:rPr>
        <w:t>2</w:t>
      </w:r>
      <w:r w:rsidRPr="001A3179">
        <w:rPr>
          <w:lang w:val="fr-FR"/>
        </w:rPr>
        <w:t xml:space="preserve"> mineurs pour incitation publique à la haine, à la violence ou à l</w:t>
      </w:r>
      <w:r>
        <w:rPr>
          <w:lang w:val="fr-FR"/>
        </w:rPr>
        <w:t>’</w:t>
      </w:r>
      <w:r w:rsidRPr="001A3179">
        <w:rPr>
          <w:lang w:val="fr-FR"/>
        </w:rPr>
        <w:t>intolérance, en vertu de l</w:t>
      </w:r>
      <w:r>
        <w:rPr>
          <w:lang w:val="fr-FR"/>
        </w:rPr>
        <w:t>’</w:t>
      </w:r>
      <w:r w:rsidRPr="001A3179">
        <w:rPr>
          <w:lang w:val="fr-FR"/>
        </w:rPr>
        <w:t xml:space="preserve">article 297 du Code pénal modifié, et contre </w:t>
      </w:r>
      <w:r w:rsidR="008403E7">
        <w:rPr>
          <w:lang w:val="fr-FR"/>
        </w:rPr>
        <w:t>1</w:t>
      </w:r>
      <w:r w:rsidRPr="001A3179">
        <w:rPr>
          <w:lang w:val="fr-FR"/>
        </w:rPr>
        <w:t xml:space="preserve"> adulte ayant aidé à la commission de l</w:t>
      </w:r>
      <w:r>
        <w:rPr>
          <w:lang w:val="fr-FR"/>
        </w:rPr>
        <w:t>’</w:t>
      </w:r>
      <w:r w:rsidRPr="001A3179">
        <w:rPr>
          <w:lang w:val="fr-FR"/>
        </w:rPr>
        <w:t>infraction. Cet adulte a été condamné à deux mois d</w:t>
      </w:r>
      <w:r>
        <w:rPr>
          <w:lang w:val="fr-FR"/>
        </w:rPr>
        <w:t>’</w:t>
      </w:r>
      <w:r w:rsidRPr="001A3179">
        <w:rPr>
          <w:lang w:val="fr-FR"/>
        </w:rPr>
        <w:t>emprisonnement avec sursis et un an de mise à l</w:t>
      </w:r>
      <w:r>
        <w:rPr>
          <w:lang w:val="fr-FR"/>
        </w:rPr>
        <w:t>’</w:t>
      </w:r>
      <w:r w:rsidRPr="001A3179">
        <w:rPr>
          <w:lang w:val="fr-FR"/>
        </w:rPr>
        <w:t xml:space="preserve">épreuve. Les poursuites contre les </w:t>
      </w:r>
      <w:r w:rsidR="008403E7">
        <w:rPr>
          <w:lang w:val="fr-FR"/>
        </w:rPr>
        <w:t>2 </w:t>
      </w:r>
      <w:r w:rsidRPr="001A3179">
        <w:rPr>
          <w:lang w:val="fr-FR"/>
        </w:rPr>
        <w:t>mineurs ont été suspendues ; le procureur leur a imposé une peine d</w:t>
      </w:r>
      <w:r>
        <w:rPr>
          <w:lang w:val="fr-FR"/>
        </w:rPr>
        <w:t>’</w:t>
      </w:r>
      <w:r w:rsidRPr="001A3179">
        <w:rPr>
          <w:lang w:val="fr-FR"/>
        </w:rPr>
        <w:t xml:space="preserve">intérêt général et une fois cette peine exécutée il a classé la plainte pénale visant ces </w:t>
      </w:r>
      <w:r w:rsidR="008403E7">
        <w:rPr>
          <w:lang w:val="fr-FR"/>
        </w:rPr>
        <w:t>2 </w:t>
      </w:r>
      <w:r w:rsidRPr="001A3179">
        <w:rPr>
          <w:lang w:val="fr-FR"/>
        </w:rPr>
        <w:t>mineurs.</w:t>
      </w:r>
    </w:p>
    <w:p w14:paraId="38AC36D9" w14:textId="77777777" w:rsidR="002A5EB2" w:rsidRPr="001A3179" w:rsidRDefault="002A5EB2" w:rsidP="002A5EB2">
      <w:pPr>
        <w:pStyle w:val="SingleTxtG"/>
        <w:rPr>
          <w:lang w:val="fr-FR"/>
        </w:rPr>
      </w:pPr>
      <w:r w:rsidRPr="001A3179">
        <w:rPr>
          <w:lang w:val="fr-FR"/>
        </w:rPr>
        <w:t>164.</w:t>
      </w:r>
      <w:r w:rsidRPr="001A3179">
        <w:rPr>
          <w:lang w:val="fr-FR"/>
        </w:rPr>
        <w:tab/>
        <w:t>En vue d</w:t>
      </w:r>
      <w:r>
        <w:rPr>
          <w:lang w:val="fr-FR"/>
        </w:rPr>
        <w:t>’</w:t>
      </w:r>
      <w:r w:rsidRPr="001A3179">
        <w:rPr>
          <w:lang w:val="fr-FR"/>
        </w:rPr>
        <w:t>améliorer la coopération avec la communauté rom, la police mène le projet « Sensibiliser les pouvoirs publics, les Roms et la population en vue de surmonter les obstacles et d</w:t>
      </w:r>
      <w:r>
        <w:rPr>
          <w:lang w:val="fr-FR"/>
        </w:rPr>
        <w:t>’</w:t>
      </w:r>
      <w:r w:rsidRPr="001A3179">
        <w:rPr>
          <w:lang w:val="fr-FR"/>
        </w:rPr>
        <w:t>améliorer la qualité de la coexistence - SKUPA-J », organisé suite à un appel à propositions de la Commission européenne (DG Justice) au titre du Programme pour l</w:t>
      </w:r>
      <w:r>
        <w:rPr>
          <w:lang w:val="fr-FR"/>
        </w:rPr>
        <w:t>’</w:t>
      </w:r>
      <w:r w:rsidRPr="001A3179">
        <w:rPr>
          <w:lang w:val="fr-FR"/>
        </w:rPr>
        <w:t>emploi et la solidarité sociale (PROGRESS) 2007-2013.</w:t>
      </w:r>
    </w:p>
    <w:p w14:paraId="41C0F1A8" w14:textId="77777777" w:rsidR="002A5EB2" w:rsidRPr="001A3179" w:rsidRDefault="002A5EB2" w:rsidP="002A5EB2">
      <w:pPr>
        <w:pStyle w:val="SingleTxtG"/>
        <w:rPr>
          <w:lang w:val="fr-FR"/>
        </w:rPr>
      </w:pPr>
      <w:r w:rsidRPr="001A3179">
        <w:rPr>
          <w:lang w:val="fr-FR"/>
        </w:rPr>
        <w:t>165.</w:t>
      </w:r>
      <w:r w:rsidRPr="001A3179">
        <w:rPr>
          <w:lang w:val="fr-FR"/>
        </w:rPr>
        <w:tab/>
        <w:t>Le projet a pour objet</w:t>
      </w:r>
      <w:r w:rsidR="006B271A">
        <w:rPr>
          <w:lang w:val="fr-FR"/>
        </w:rPr>
        <w:t> </w:t>
      </w:r>
      <w:r w:rsidRPr="001A3179">
        <w:rPr>
          <w:lang w:val="fr-FR"/>
        </w:rPr>
        <w:t>:</w:t>
      </w:r>
    </w:p>
    <w:p w14:paraId="2203972B" w14:textId="77777777" w:rsidR="002A5EB2" w:rsidRPr="001A3179" w:rsidRDefault="002A5EB2" w:rsidP="006B271A">
      <w:pPr>
        <w:pStyle w:val="Bullet1G"/>
        <w:rPr>
          <w:lang w:val="fr-FR"/>
        </w:rPr>
      </w:pPr>
      <w:r w:rsidRPr="001A3179">
        <w:rPr>
          <w:lang w:val="fr-FR"/>
        </w:rPr>
        <w:t xml:space="preserve">De parvenir à une meilleure compréhension des différences culturelles et de surmonter les stéréotypes et les préjugés en sensibilisant et informant les agents </w:t>
      </w:r>
      <w:r w:rsidRPr="001A3179">
        <w:rPr>
          <w:lang w:val="fr-FR"/>
        </w:rPr>
        <w:lastRenderedPageBreak/>
        <w:t>publics travaillant avec les Roms, les membres de la communauté rom et la population</w:t>
      </w:r>
      <w:r w:rsidR="006B271A">
        <w:rPr>
          <w:lang w:val="fr-FR"/>
        </w:rPr>
        <w:t> </w:t>
      </w:r>
      <w:r w:rsidRPr="001A3179">
        <w:rPr>
          <w:lang w:val="fr-FR"/>
        </w:rPr>
        <w:t>;</w:t>
      </w:r>
    </w:p>
    <w:p w14:paraId="7ECB1DFD" w14:textId="77777777" w:rsidR="002A5EB2" w:rsidRPr="001A3179" w:rsidRDefault="002A5EB2" w:rsidP="006B271A">
      <w:pPr>
        <w:pStyle w:val="Bullet1G"/>
        <w:rPr>
          <w:lang w:val="fr-FR"/>
        </w:rPr>
      </w:pPr>
      <w:r w:rsidRPr="001A3179">
        <w:rPr>
          <w:lang w:val="fr-FR"/>
        </w:rPr>
        <w:t>D</w:t>
      </w:r>
      <w:r>
        <w:rPr>
          <w:lang w:val="fr-FR"/>
        </w:rPr>
        <w:t>’</w:t>
      </w:r>
      <w:r w:rsidRPr="001A3179">
        <w:rPr>
          <w:lang w:val="fr-FR"/>
        </w:rPr>
        <w:t>améliorer et de développer les politiques en place pour éliminer la discrimination à l</w:t>
      </w:r>
      <w:r>
        <w:rPr>
          <w:lang w:val="fr-FR"/>
        </w:rPr>
        <w:t>’</w:t>
      </w:r>
      <w:r w:rsidRPr="001A3179">
        <w:rPr>
          <w:lang w:val="fr-FR"/>
        </w:rPr>
        <w:t>égard des Roms et promouvoir leur égalité, ainsi que de favoriser la diffusion des renseignements sur la politique et la législation européennes et nationales en matière de non-discrimination des Roms</w:t>
      </w:r>
      <w:r w:rsidR="006B271A">
        <w:rPr>
          <w:lang w:val="fr-FR"/>
        </w:rPr>
        <w:t> </w:t>
      </w:r>
      <w:r w:rsidRPr="001A3179">
        <w:rPr>
          <w:lang w:val="fr-FR"/>
        </w:rPr>
        <w:t>;</w:t>
      </w:r>
    </w:p>
    <w:p w14:paraId="514A7D27" w14:textId="77777777" w:rsidR="002A5EB2" w:rsidRPr="001A3179" w:rsidRDefault="002A5EB2" w:rsidP="006B271A">
      <w:pPr>
        <w:pStyle w:val="Bullet1G"/>
        <w:rPr>
          <w:lang w:val="fr-FR"/>
        </w:rPr>
      </w:pPr>
      <w:r w:rsidRPr="001A3179">
        <w:rPr>
          <w:lang w:val="fr-FR"/>
        </w:rPr>
        <w:t>De combiner plusieurs bonnes pratiques concernant l</w:t>
      </w:r>
      <w:r>
        <w:rPr>
          <w:lang w:val="fr-FR"/>
        </w:rPr>
        <w:t>’</w:t>
      </w:r>
      <w:r w:rsidRPr="001A3179">
        <w:rPr>
          <w:lang w:val="fr-FR"/>
        </w:rPr>
        <w:t>intégration des enfants roms dans les écoles, la sensibilisation et le renforcement du rôle des femmes roms.</w:t>
      </w:r>
    </w:p>
    <w:p w14:paraId="31B01FF4" w14:textId="77777777" w:rsidR="002A5EB2" w:rsidRPr="001A3179" w:rsidRDefault="002A5EB2" w:rsidP="002A5EB2">
      <w:pPr>
        <w:pStyle w:val="SingleTxtG"/>
        <w:rPr>
          <w:lang w:val="fr-FR"/>
        </w:rPr>
      </w:pPr>
      <w:r w:rsidRPr="001A3179">
        <w:rPr>
          <w:lang w:val="fr-FR"/>
        </w:rPr>
        <w:t>166.</w:t>
      </w:r>
      <w:r w:rsidRPr="001A3179">
        <w:rPr>
          <w:lang w:val="fr-FR"/>
        </w:rPr>
        <w:tab/>
        <w:t>Des ateliers sont organisés à l</w:t>
      </w:r>
      <w:r>
        <w:rPr>
          <w:lang w:val="fr-FR"/>
        </w:rPr>
        <w:t>’</w:t>
      </w:r>
      <w:r w:rsidRPr="001A3179">
        <w:rPr>
          <w:lang w:val="fr-FR"/>
        </w:rPr>
        <w:t>intention des agents publics dans les zones où résident des membres de la communauté ethnique rom pour apprendre à ces agents à détecter et prévenir l</w:t>
      </w:r>
      <w:r>
        <w:rPr>
          <w:lang w:val="fr-FR"/>
        </w:rPr>
        <w:t>’</w:t>
      </w:r>
      <w:r w:rsidRPr="001A3179">
        <w:rPr>
          <w:lang w:val="fr-FR"/>
        </w:rPr>
        <w:t>intolérance, en insistant sur l</w:t>
      </w:r>
      <w:r>
        <w:rPr>
          <w:lang w:val="fr-FR"/>
        </w:rPr>
        <w:t>’</w:t>
      </w:r>
      <w:r w:rsidRPr="001A3179">
        <w:rPr>
          <w:lang w:val="fr-FR"/>
        </w:rPr>
        <w:t>acquisition de compétences sociales et la compréhension des notions de préjugés, de stéréotypes et de xénophobie. Une connaissance élémentaire de la langue romani est très utile pour les agents publics travaillant avec des membres de la communauté rom car elle les aide à surmonter de nombreux obstacles d</w:t>
      </w:r>
      <w:r>
        <w:rPr>
          <w:lang w:val="fr-FR"/>
        </w:rPr>
        <w:t>’</w:t>
      </w:r>
      <w:r w:rsidRPr="001A3179">
        <w:rPr>
          <w:lang w:val="fr-FR"/>
        </w:rPr>
        <w:t>ordre sociétal et communicationnel. En coopération avec des conférenciers et des locuteurs de langue maternelle romani, des rudiment</w:t>
      </w:r>
      <w:r>
        <w:rPr>
          <w:lang w:val="fr-FR"/>
        </w:rPr>
        <w:t>s</w:t>
      </w:r>
      <w:r w:rsidRPr="001A3179">
        <w:rPr>
          <w:lang w:val="fr-FR"/>
        </w:rPr>
        <w:t xml:space="preserve"> de communication en langue romani, ainsi que les mots et phrases les plus importants et les plus couramment utilisés sont enseignés à ces agents publics. Dans le cadre du projet, six cours élémentaires de langue romani ont été organisés pour les agents de centres d</w:t>
      </w:r>
      <w:r>
        <w:rPr>
          <w:lang w:val="fr-FR"/>
        </w:rPr>
        <w:t>’</w:t>
      </w:r>
      <w:r w:rsidRPr="001A3179">
        <w:rPr>
          <w:lang w:val="fr-FR"/>
        </w:rPr>
        <w:t xml:space="preserve">action sociale et les policiers dans les zones où vivent des membres de la communauté rom. Dans un des quartiers roms de </w:t>
      </w:r>
      <w:proofErr w:type="spellStart"/>
      <w:r w:rsidRPr="001A3179">
        <w:rPr>
          <w:lang w:val="fr-FR"/>
        </w:rPr>
        <w:t>Dolenjska</w:t>
      </w:r>
      <w:proofErr w:type="spellEnd"/>
      <w:r w:rsidRPr="001A3179">
        <w:rPr>
          <w:lang w:val="fr-FR"/>
        </w:rPr>
        <w:t xml:space="preserve"> a été installée une salle de classe mobile équipée de jouets, de matériel didactique et d</w:t>
      </w:r>
      <w:r>
        <w:rPr>
          <w:lang w:val="fr-FR"/>
        </w:rPr>
        <w:t>’</w:t>
      </w:r>
      <w:r w:rsidRPr="001A3179">
        <w:rPr>
          <w:lang w:val="fr-FR"/>
        </w:rPr>
        <w:t>équipement technique, où deux éducateurs enseignent par le jeu la langue slovène aux jeunes Roms</w:t>
      </w:r>
      <w:r w:rsidRPr="0017324C">
        <w:rPr>
          <w:rStyle w:val="Appelnotedebasdep"/>
        </w:rPr>
        <w:footnoteReference w:id="41"/>
      </w:r>
      <w:r w:rsidRPr="001A3179">
        <w:rPr>
          <w:lang w:val="fr-FR"/>
        </w:rPr>
        <w:t>.</w:t>
      </w:r>
    </w:p>
    <w:p w14:paraId="4CC6A4DD" w14:textId="77777777" w:rsidR="002A5EB2" w:rsidRPr="001A3179" w:rsidRDefault="002A5EB2" w:rsidP="002A5EB2">
      <w:pPr>
        <w:pStyle w:val="SingleTxtG"/>
        <w:rPr>
          <w:lang w:val="fr-FR"/>
        </w:rPr>
      </w:pPr>
      <w:r w:rsidRPr="001A3179">
        <w:rPr>
          <w:lang w:val="fr-FR"/>
        </w:rPr>
        <w:t>167.</w:t>
      </w:r>
      <w:r w:rsidRPr="001A3179">
        <w:rPr>
          <w:lang w:val="fr-FR"/>
        </w:rPr>
        <w:tab/>
        <w:t>Au titre du plan annuel 2017, une formation est dispensée aux policiers et aux autres agents publics qui ont affaire à des membres de la communauté rom dans l</w:t>
      </w:r>
      <w:r>
        <w:rPr>
          <w:lang w:val="fr-FR"/>
        </w:rPr>
        <w:t>’</w:t>
      </w:r>
      <w:r w:rsidRPr="001A3179">
        <w:rPr>
          <w:lang w:val="fr-FR"/>
        </w:rPr>
        <w:t xml:space="preserve">exercice de leurs fonctions. Les activités de la police mentionnées plus haut relèvent du Programme national de mesures en faveur des Roms </w:t>
      </w:r>
      <w:r w:rsidRPr="00E51827">
        <w:rPr>
          <w:lang w:val="fr-FR"/>
        </w:rPr>
        <w:t>2017-2021.</w:t>
      </w:r>
    </w:p>
    <w:p w14:paraId="7BAF8839" w14:textId="77777777" w:rsidR="002A5EB2" w:rsidRPr="001A3179" w:rsidRDefault="002A5EB2" w:rsidP="002A5EB2">
      <w:pPr>
        <w:pStyle w:val="SingleTxtG"/>
        <w:rPr>
          <w:lang w:val="fr-FR"/>
        </w:rPr>
      </w:pPr>
      <w:r w:rsidRPr="001A3179">
        <w:rPr>
          <w:lang w:val="fr-FR"/>
        </w:rPr>
        <w:t>168.</w:t>
      </w:r>
      <w:r w:rsidRPr="001A3179">
        <w:rPr>
          <w:lang w:val="fr-FR"/>
        </w:rPr>
        <w:tab/>
        <w:t>Au cours des dix premiers mois de 2017, les activités suivantes ont été menées conformément aux prescriptions du plan annuel</w:t>
      </w:r>
      <w:r w:rsidR="006B271A">
        <w:rPr>
          <w:lang w:val="fr-FR"/>
        </w:rPr>
        <w:t> </w:t>
      </w:r>
      <w:r w:rsidRPr="001A3179">
        <w:rPr>
          <w:lang w:val="fr-FR"/>
        </w:rPr>
        <w:t xml:space="preserve">: </w:t>
      </w:r>
    </w:p>
    <w:p w14:paraId="180A0006" w14:textId="77777777" w:rsidR="002A5EB2" w:rsidRPr="001A3179" w:rsidRDefault="008403E7" w:rsidP="006B271A">
      <w:pPr>
        <w:pStyle w:val="Bullet1G"/>
        <w:rPr>
          <w:lang w:val="fr-FR"/>
        </w:rPr>
      </w:pPr>
      <w:r>
        <w:rPr>
          <w:lang w:val="fr-FR"/>
        </w:rPr>
        <w:t>1</w:t>
      </w:r>
      <w:r w:rsidR="002A5EB2" w:rsidRPr="001A3179">
        <w:rPr>
          <w:lang w:val="fr-FR"/>
        </w:rPr>
        <w:t xml:space="preserve"> session de formation a été organisée pour 149 policiers</w:t>
      </w:r>
      <w:r w:rsidR="006B271A">
        <w:rPr>
          <w:lang w:val="fr-FR"/>
        </w:rPr>
        <w:t> </w:t>
      </w:r>
      <w:r w:rsidR="002A5EB2" w:rsidRPr="001A3179">
        <w:rPr>
          <w:lang w:val="fr-FR"/>
        </w:rPr>
        <w:t>;</w:t>
      </w:r>
    </w:p>
    <w:p w14:paraId="52AFAFD5" w14:textId="77777777" w:rsidR="002A5EB2" w:rsidRPr="001A3179" w:rsidRDefault="008403E7" w:rsidP="006B271A">
      <w:pPr>
        <w:pStyle w:val="Bullet1G"/>
        <w:rPr>
          <w:lang w:val="fr-FR"/>
        </w:rPr>
      </w:pPr>
      <w:r>
        <w:rPr>
          <w:lang w:val="fr-FR"/>
        </w:rPr>
        <w:t>4</w:t>
      </w:r>
      <w:r w:rsidR="002A5EB2" w:rsidRPr="001A3179">
        <w:rPr>
          <w:lang w:val="fr-FR"/>
        </w:rPr>
        <w:t xml:space="preserve"> sessions de formation ont été organisées à l</w:t>
      </w:r>
      <w:r w:rsidR="002A5EB2">
        <w:rPr>
          <w:lang w:val="fr-FR"/>
        </w:rPr>
        <w:t>’</w:t>
      </w:r>
      <w:r w:rsidR="002A5EB2" w:rsidRPr="001A3179">
        <w:rPr>
          <w:lang w:val="fr-FR"/>
        </w:rPr>
        <w:t>intention des agents publics qui, dans l</w:t>
      </w:r>
      <w:r w:rsidR="002A5EB2">
        <w:rPr>
          <w:lang w:val="fr-FR"/>
        </w:rPr>
        <w:t>’</w:t>
      </w:r>
      <w:r w:rsidR="002A5EB2" w:rsidRPr="001A3179">
        <w:rPr>
          <w:lang w:val="fr-FR"/>
        </w:rPr>
        <w:t xml:space="preserve">exercice de leurs fonctions, ont affaire à des membres de la communauté rom : </w:t>
      </w:r>
      <w:r>
        <w:rPr>
          <w:lang w:val="fr-FR"/>
        </w:rPr>
        <w:t>1</w:t>
      </w:r>
      <w:r w:rsidR="002A5EB2" w:rsidRPr="001A3179">
        <w:rPr>
          <w:lang w:val="fr-FR"/>
        </w:rPr>
        <w:t xml:space="preserve"> à </w:t>
      </w:r>
      <w:proofErr w:type="spellStart"/>
      <w:r w:rsidR="002A5EB2" w:rsidRPr="001A3179">
        <w:rPr>
          <w:lang w:val="fr-FR"/>
        </w:rPr>
        <w:t>Pomurje</w:t>
      </w:r>
      <w:proofErr w:type="spellEnd"/>
      <w:r w:rsidR="002A5EB2" w:rsidRPr="001A3179">
        <w:rPr>
          <w:lang w:val="fr-FR"/>
        </w:rPr>
        <w:t xml:space="preserve"> (agents des centres d</w:t>
      </w:r>
      <w:r w:rsidR="002A5EB2">
        <w:rPr>
          <w:lang w:val="fr-FR"/>
        </w:rPr>
        <w:t>’</w:t>
      </w:r>
      <w:r w:rsidR="002A5EB2" w:rsidRPr="001A3179">
        <w:rPr>
          <w:lang w:val="fr-FR"/>
        </w:rPr>
        <w:t xml:space="preserve">action sociale, écoles, communautés locales, etc.) ; </w:t>
      </w:r>
      <w:r>
        <w:rPr>
          <w:lang w:val="fr-FR"/>
        </w:rPr>
        <w:t>1 </w:t>
      </w:r>
      <w:r w:rsidR="002A5EB2" w:rsidRPr="001A3179">
        <w:rPr>
          <w:lang w:val="fr-FR"/>
        </w:rPr>
        <w:t xml:space="preserve">dans la municipalité de </w:t>
      </w:r>
      <w:proofErr w:type="spellStart"/>
      <w:r w:rsidR="002A5EB2" w:rsidRPr="001A3179">
        <w:rPr>
          <w:lang w:val="fr-FR"/>
        </w:rPr>
        <w:t>Ribnica</w:t>
      </w:r>
      <w:proofErr w:type="spellEnd"/>
      <w:r w:rsidR="002A5EB2" w:rsidRPr="001A3179">
        <w:rPr>
          <w:lang w:val="fr-FR"/>
        </w:rPr>
        <w:t xml:space="preserve"> (agents des centres d</w:t>
      </w:r>
      <w:r w:rsidR="002A5EB2">
        <w:rPr>
          <w:lang w:val="fr-FR"/>
        </w:rPr>
        <w:t>’</w:t>
      </w:r>
      <w:r w:rsidR="002A5EB2" w:rsidRPr="001A3179">
        <w:rPr>
          <w:lang w:val="fr-FR"/>
        </w:rPr>
        <w:t>action sociale, écoles, communautés locales, gardes municipaux, etc.) ;</w:t>
      </w:r>
      <w:r>
        <w:rPr>
          <w:lang w:val="fr-FR"/>
        </w:rPr>
        <w:t xml:space="preserve"> 1</w:t>
      </w:r>
      <w:r w:rsidR="002A5EB2" w:rsidRPr="001A3179">
        <w:rPr>
          <w:lang w:val="fr-FR"/>
        </w:rPr>
        <w:t xml:space="preserve"> pour les enseignants de l</w:t>
      </w:r>
      <w:r w:rsidR="002A5EB2">
        <w:rPr>
          <w:lang w:val="fr-FR"/>
        </w:rPr>
        <w:t>’</w:t>
      </w:r>
      <w:r w:rsidR="002A5EB2" w:rsidRPr="001A3179">
        <w:rPr>
          <w:lang w:val="fr-FR"/>
        </w:rPr>
        <w:t xml:space="preserve">école primaire de </w:t>
      </w:r>
      <w:proofErr w:type="spellStart"/>
      <w:r w:rsidR="002A5EB2" w:rsidRPr="001A3179">
        <w:rPr>
          <w:lang w:val="fr-FR"/>
        </w:rPr>
        <w:t>Šentjernej</w:t>
      </w:r>
      <w:proofErr w:type="spellEnd"/>
      <w:r w:rsidR="002A5EB2" w:rsidRPr="001A3179">
        <w:rPr>
          <w:lang w:val="fr-FR"/>
        </w:rPr>
        <w:t> ; une pour les agents des centres d</w:t>
      </w:r>
      <w:r w:rsidR="002A5EB2">
        <w:rPr>
          <w:lang w:val="fr-FR"/>
        </w:rPr>
        <w:t>’</w:t>
      </w:r>
      <w:r w:rsidR="002A5EB2" w:rsidRPr="001A3179">
        <w:rPr>
          <w:lang w:val="fr-FR"/>
        </w:rPr>
        <w:t xml:space="preserve">action sociale situés sur le territoire de la Direction de la police de Nova </w:t>
      </w:r>
      <w:proofErr w:type="spellStart"/>
      <w:r w:rsidR="002A5EB2" w:rsidRPr="001A3179">
        <w:rPr>
          <w:lang w:val="fr-FR"/>
        </w:rPr>
        <w:t>Gorica</w:t>
      </w:r>
      <w:proofErr w:type="spellEnd"/>
      <w:r w:rsidR="002A5EB2" w:rsidRPr="001A3179">
        <w:rPr>
          <w:lang w:val="fr-FR"/>
        </w:rPr>
        <w:t>. Au total, 104 agents publics ont participé à ces sessions.</w:t>
      </w:r>
    </w:p>
    <w:p w14:paraId="38F96D6C" w14:textId="77777777" w:rsidR="002A5EB2" w:rsidRPr="001A3179" w:rsidRDefault="002A5EB2" w:rsidP="002A5EB2">
      <w:pPr>
        <w:pStyle w:val="SingleTxtG"/>
        <w:rPr>
          <w:lang w:val="fr-FR"/>
        </w:rPr>
      </w:pPr>
      <w:r w:rsidRPr="001A3179">
        <w:rPr>
          <w:lang w:val="fr-FR"/>
        </w:rPr>
        <w:t>169.</w:t>
      </w:r>
      <w:r w:rsidRPr="001A3179">
        <w:rPr>
          <w:lang w:val="fr-FR"/>
        </w:rPr>
        <w:tab/>
        <w:t xml:space="preserve">La formation est dispensée conformément au </w:t>
      </w:r>
      <w:r w:rsidRPr="00C43192">
        <w:rPr>
          <w:lang w:val="fr-FR"/>
        </w:rPr>
        <w:t>programme agréé</w:t>
      </w:r>
      <w:r w:rsidRPr="001A3179">
        <w:rPr>
          <w:lang w:val="fr-FR"/>
        </w:rPr>
        <w:t xml:space="preserve"> </w:t>
      </w:r>
      <w:r>
        <w:rPr>
          <w:lang w:val="fr-FR"/>
        </w:rPr>
        <w:t xml:space="preserve">par </w:t>
      </w:r>
      <w:r w:rsidRPr="001A3179">
        <w:rPr>
          <w:lang w:val="fr-FR"/>
        </w:rPr>
        <w:t>l</w:t>
      </w:r>
      <w:r>
        <w:rPr>
          <w:lang w:val="fr-FR"/>
        </w:rPr>
        <w:t>’</w:t>
      </w:r>
      <w:r w:rsidRPr="001A3179">
        <w:rPr>
          <w:lang w:val="fr-FR"/>
        </w:rPr>
        <w:t>Académie de police « Sensibilisation aux stéréotypes, gestion des préjugés et prévention de la discrimination dans l</w:t>
      </w:r>
      <w:r>
        <w:rPr>
          <w:lang w:val="fr-FR"/>
        </w:rPr>
        <w:t>’</w:t>
      </w:r>
      <w:r w:rsidRPr="001A3179">
        <w:rPr>
          <w:lang w:val="fr-FR"/>
        </w:rPr>
        <w:t>exercice des fonctions de police dans une société multiculturelle ».</w:t>
      </w:r>
    </w:p>
    <w:p w14:paraId="53E7A96A" w14:textId="77777777" w:rsidR="002A5EB2" w:rsidRPr="001A3179" w:rsidRDefault="002A5EB2" w:rsidP="002A5EB2">
      <w:pPr>
        <w:pStyle w:val="SingleTxtG"/>
        <w:rPr>
          <w:lang w:val="fr-FR"/>
        </w:rPr>
      </w:pPr>
      <w:r w:rsidRPr="001A3179">
        <w:rPr>
          <w:lang w:val="fr-FR"/>
        </w:rPr>
        <w:t>170.</w:t>
      </w:r>
      <w:r w:rsidRPr="001A3179">
        <w:rPr>
          <w:lang w:val="fr-FR"/>
        </w:rPr>
        <w:tab/>
        <w:t>La police mènera ces activités jusqu</w:t>
      </w:r>
      <w:r>
        <w:rPr>
          <w:lang w:val="fr-FR"/>
        </w:rPr>
        <w:t>’</w:t>
      </w:r>
      <w:r w:rsidRPr="001A3179">
        <w:rPr>
          <w:lang w:val="fr-FR"/>
        </w:rPr>
        <w:t>au terme du Programme national de mesures en faveur des Roms, en 2021.</w:t>
      </w:r>
    </w:p>
    <w:p w14:paraId="795B37E6" w14:textId="77777777" w:rsidR="002A5EB2" w:rsidRPr="001A3179" w:rsidRDefault="002A5EB2" w:rsidP="006B271A">
      <w:pPr>
        <w:pStyle w:val="H23G"/>
        <w:rPr>
          <w:lang w:val="fr-FR"/>
        </w:rPr>
      </w:pPr>
      <w:r w:rsidRPr="001A3179">
        <w:rPr>
          <w:lang w:val="fr-FR"/>
        </w:rPr>
        <w:tab/>
      </w:r>
      <w:r w:rsidRPr="001A3179">
        <w:rPr>
          <w:lang w:val="fr-FR"/>
        </w:rPr>
        <w:tab/>
        <w:t>Adoption du Programme national de mesures en faveur des Roms 2017-2021</w:t>
      </w:r>
    </w:p>
    <w:p w14:paraId="3B7C5E14" w14:textId="77777777" w:rsidR="002A5EB2" w:rsidRPr="001A3179" w:rsidRDefault="002A5EB2" w:rsidP="002A5EB2">
      <w:pPr>
        <w:pStyle w:val="SingleTxtG"/>
        <w:rPr>
          <w:lang w:val="fr-FR"/>
        </w:rPr>
      </w:pPr>
      <w:r w:rsidRPr="001A3179">
        <w:rPr>
          <w:lang w:val="fr-FR"/>
        </w:rPr>
        <w:t>171.</w:t>
      </w:r>
      <w:r w:rsidRPr="001A3179">
        <w:rPr>
          <w:lang w:val="fr-FR"/>
        </w:rPr>
        <w:tab/>
        <w:t>En vertu de la loi sur la communauté rom de Slovénie</w:t>
      </w:r>
      <w:r w:rsidRPr="0017324C">
        <w:rPr>
          <w:rStyle w:val="Appelnotedebasdep"/>
        </w:rPr>
        <w:footnoteReference w:id="42"/>
      </w:r>
      <w:r w:rsidRPr="001A3179">
        <w:rPr>
          <w:lang w:val="fr-FR"/>
        </w:rPr>
        <w:t>, en mai 2017 le Gouvernement slovène a adopté le Programme national de mesures en faveur des Roms 2017-2021 visant, entre autres, à améliorer la situation des Roms, à favoriser leur intégration sociale et à remédier à l</w:t>
      </w:r>
      <w:r>
        <w:rPr>
          <w:lang w:val="fr-FR"/>
        </w:rPr>
        <w:t>’</w:t>
      </w:r>
      <w:r w:rsidRPr="001A3179">
        <w:rPr>
          <w:lang w:val="fr-FR"/>
        </w:rPr>
        <w:t xml:space="preserve">exclusion sociale des membres de la communauté rom </w:t>
      </w:r>
      <w:r w:rsidRPr="001A3179">
        <w:rPr>
          <w:lang w:val="fr-FR"/>
        </w:rPr>
        <w:lastRenderedPageBreak/>
        <w:t>dans tous les domaines jugés nécessaires eu égard à l</w:t>
      </w:r>
      <w:r>
        <w:rPr>
          <w:lang w:val="fr-FR"/>
        </w:rPr>
        <w:t>’</w:t>
      </w:r>
      <w:r w:rsidRPr="001A3179">
        <w:rPr>
          <w:lang w:val="fr-FR"/>
        </w:rPr>
        <w:t>expérience antérieure des autorités nationales, des municipalités, de la communauté rom et des organisations de la société civile. Ces mesures concernent divers domaines de la vie sociale et visent principalement à relever le niveau d</w:t>
      </w:r>
      <w:r>
        <w:rPr>
          <w:lang w:val="fr-FR"/>
        </w:rPr>
        <w:t>’</w:t>
      </w:r>
      <w:r w:rsidRPr="001A3179">
        <w:rPr>
          <w:lang w:val="fr-FR"/>
        </w:rPr>
        <w:t>instruction, à accroître le taux d</w:t>
      </w:r>
      <w:r>
        <w:rPr>
          <w:lang w:val="fr-FR"/>
        </w:rPr>
        <w:t>’</w:t>
      </w:r>
      <w:r w:rsidRPr="001A3179">
        <w:rPr>
          <w:lang w:val="fr-FR"/>
        </w:rPr>
        <w:t>emploi, à améliorer les soins de santé et les conditions de vie des Roms, à combattre les préjugés, les stéréotypes et la discrimination envers eux, à préserver la culture, la langue et l</w:t>
      </w:r>
      <w:r>
        <w:rPr>
          <w:lang w:val="fr-FR"/>
        </w:rPr>
        <w:t>’</w:t>
      </w:r>
      <w:r w:rsidRPr="001A3179">
        <w:rPr>
          <w:lang w:val="fr-FR"/>
        </w:rPr>
        <w:t>identité roms, ainsi qu</w:t>
      </w:r>
      <w:r>
        <w:rPr>
          <w:lang w:val="fr-FR"/>
        </w:rPr>
        <w:t>’</w:t>
      </w:r>
      <w:r w:rsidRPr="001A3179">
        <w:rPr>
          <w:lang w:val="fr-FR"/>
        </w:rPr>
        <w:t>à encourager les activités d</w:t>
      </w:r>
      <w:r>
        <w:rPr>
          <w:lang w:val="fr-FR"/>
        </w:rPr>
        <w:t>’</w:t>
      </w:r>
      <w:r w:rsidRPr="001A3179">
        <w:rPr>
          <w:lang w:val="fr-FR"/>
        </w:rPr>
        <w:t>information et de publication au sein de la communauté rom. Le Programme prévoit des mesures de sensibilisation et de lutte contre la discrimination, en particulier la formation des agents publics qui, dans l</w:t>
      </w:r>
      <w:r>
        <w:rPr>
          <w:lang w:val="fr-FR"/>
        </w:rPr>
        <w:t>’</w:t>
      </w:r>
      <w:r w:rsidRPr="001A3179">
        <w:rPr>
          <w:lang w:val="fr-FR"/>
        </w:rPr>
        <w:t>exercice de leurs fonctions, travaillent avec les membres de la communauté rom, ainsi qu</w:t>
      </w:r>
      <w:r>
        <w:rPr>
          <w:lang w:val="fr-FR"/>
        </w:rPr>
        <w:t>’</w:t>
      </w:r>
      <w:r w:rsidRPr="001A3179">
        <w:rPr>
          <w:lang w:val="fr-FR"/>
        </w:rPr>
        <w:t>une action de sensibilisation des policiers axée sur le travail et le maintien de l</w:t>
      </w:r>
      <w:r>
        <w:rPr>
          <w:lang w:val="fr-FR"/>
        </w:rPr>
        <w:t>’</w:t>
      </w:r>
      <w:r w:rsidRPr="001A3179">
        <w:rPr>
          <w:lang w:val="fr-FR"/>
        </w:rPr>
        <w:t>ordre au sein de la communauté rom.</w:t>
      </w:r>
    </w:p>
    <w:p w14:paraId="2D31F1EB" w14:textId="77777777" w:rsidR="002A5EB2" w:rsidRPr="001A3179" w:rsidRDefault="002A5EB2" w:rsidP="002A5EB2">
      <w:pPr>
        <w:pStyle w:val="SingleTxtG"/>
        <w:rPr>
          <w:lang w:val="fr-FR"/>
        </w:rPr>
      </w:pPr>
      <w:r w:rsidRPr="001A3179">
        <w:rPr>
          <w:lang w:val="fr-FR"/>
        </w:rPr>
        <w:t>172.</w:t>
      </w:r>
      <w:r w:rsidRPr="001A3179">
        <w:rPr>
          <w:lang w:val="fr-FR"/>
        </w:rPr>
        <w:tab/>
        <w:t>Le Bureau d</w:t>
      </w:r>
      <w:r>
        <w:rPr>
          <w:lang w:val="fr-FR"/>
        </w:rPr>
        <w:t>’</w:t>
      </w:r>
      <w:r w:rsidRPr="001A3179">
        <w:rPr>
          <w:lang w:val="fr-FR"/>
        </w:rPr>
        <w:t>État pour les minorités nationales est le point de contact national pour l</w:t>
      </w:r>
      <w:r>
        <w:rPr>
          <w:lang w:val="fr-FR"/>
        </w:rPr>
        <w:t>’</w:t>
      </w:r>
      <w:r w:rsidRPr="001A3179">
        <w:rPr>
          <w:lang w:val="fr-FR"/>
        </w:rPr>
        <w:t>intégration des Roms en Slovénie</w:t>
      </w:r>
      <w:r w:rsidR="00C24C9F">
        <w:rPr>
          <w:lang w:val="fr-FR"/>
        </w:rPr>
        <w:t> </w:t>
      </w:r>
      <w:r w:rsidRPr="001A3179">
        <w:rPr>
          <w:lang w:val="fr-FR"/>
        </w:rPr>
        <w:t xml:space="preserve">; à ce titre, il a mis en œuvre sur une période de </w:t>
      </w:r>
      <w:r w:rsidR="00C24C9F">
        <w:rPr>
          <w:lang w:val="fr-FR"/>
        </w:rPr>
        <w:t>douze</w:t>
      </w:r>
      <w:r w:rsidRPr="001A3179">
        <w:rPr>
          <w:lang w:val="fr-FR"/>
        </w:rPr>
        <w:t xml:space="preserve"> mois un projet</w:t>
      </w:r>
      <w:r w:rsidRPr="0017324C">
        <w:rPr>
          <w:rStyle w:val="Appelnotedebasdep"/>
        </w:rPr>
        <w:footnoteReference w:id="43"/>
      </w:r>
      <w:r w:rsidRPr="001A3179">
        <w:rPr>
          <w:i/>
          <w:iCs/>
          <w:lang w:val="fr-FR"/>
        </w:rPr>
        <w:t xml:space="preserve"> </w:t>
      </w:r>
      <w:r w:rsidRPr="001A3179">
        <w:rPr>
          <w:lang w:val="fr-FR"/>
        </w:rPr>
        <w:t>en faveur du renforcement du processus de consultation nationale par la création d</w:t>
      </w:r>
      <w:r>
        <w:rPr>
          <w:lang w:val="fr-FR"/>
        </w:rPr>
        <w:t>’</w:t>
      </w:r>
      <w:r w:rsidRPr="001A3179">
        <w:rPr>
          <w:lang w:val="fr-FR"/>
        </w:rPr>
        <w:t xml:space="preserve">une </w:t>
      </w:r>
      <w:proofErr w:type="spellStart"/>
      <w:r w:rsidRPr="001A3179">
        <w:rPr>
          <w:lang w:val="fr-FR"/>
        </w:rPr>
        <w:t>plateforme</w:t>
      </w:r>
      <w:proofErr w:type="spellEnd"/>
      <w:r w:rsidRPr="001A3179">
        <w:rPr>
          <w:lang w:val="fr-FR"/>
        </w:rPr>
        <w:t xml:space="preserve"> nationale des Roms (SIFOROMA) ; son objectif était de renforcer la procédure de consultation déjà en place au sein de la Commission </w:t>
      </w:r>
      <w:bookmarkStart w:id="39" w:name="_Hlk38786969"/>
      <w:r w:rsidRPr="001A3179">
        <w:rPr>
          <w:lang w:val="fr-FR"/>
        </w:rPr>
        <w:t>d</w:t>
      </w:r>
      <w:r>
        <w:rPr>
          <w:lang w:val="fr-FR"/>
        </w:rPr>
        <w:t>’</w:t>
      </w:r>
      <w:r w:rsidRPr="001A3179">
        <w:rPr>
          <w:lang w:val="fr-FR"/>
        </w:rPr>
        <w:t xml:space="preserve">État </w:t>
      </w:r>
      <w:bookmarkEnd w:id="39"/>
      <w:r w:rsidRPr="001A3179">
        <w:rPr>
          <w:lang w:val="fr-FR"/>
        </w:rPr>
        <w:t xml:space="preserve">pour la protection de la communauté ethnique rom. Au cours de ces </w:t>
      </w:r>
      <w:r w:rsidR="00C24C9F">
        <w:rPr>
          <w:lang w:val="fr-FR"/>
        </w:rPr>
        <w:t>douze</w:t>
      </w:r>
      <w:r w:rsidRPr="001A3179">
        <w:rPr>
          <w:lang w:val="fr-FR"/>
        </w:rPr>
        <w:t xml:space="preserve"> mois</w:t>
      </w:r>
      <w:r>
        <w:rPr>
          <w:lang w:val="fr-FR"/>
        </w:rPr>
        <w:t>,</w:t>
      </w:r>
      <w:r w:rsidRPr="001A3179">
        <w:rPr>
          <w:lang w:val="fr-FR"/>
        </w:rPr>
        <w:t xml:space="preserve"> la </w:t>
      </w:r>
      <w:proofErr w:type="spellStart"/>
      <w:r w:rsidRPr="001A3179">
        <w:rPr>
          <w:lang w:val="fr-FR"/>
        </w:rPr>
        <w:t>Plateforme</w:t>
      </w:r>
      <w:proofErr w:type="spellEnd"/>
      <w:r w:rsidRPr="001A3179">
        <w:rPr>
          <w:lang w:val="fr-FR"/>
        </w:rPr>
        <w:t xml:space="preserve"> nationale des Roms s</w:t>
      </w:r>
      <w:r>
        <w:rPr>
          <w:lang w:val="fr-FR"/>
        </w:rPr>
        <w:t>’</w:t>
      </w:r>
      <w:r w:rsidRPr="001A3179">
        <w:rPr>
          <w:lang w:val="fr-FR"/>
        </w:rPr>
        <w:t xml:space="preserve">est concentrée sur la gestion des conditions de vie au niveau local dans la municipalité de Novo </w:t>
      </w:r>
      <w:proofErr w:type="spellStart"/>
      <w:r w:rsidRPr="001A3179">
        <w:rPr>
          <w:lang w:val="fr-FR"/>
        </w:rPr>
        <w:t>mesto</w:t>
      </w:r>
      <w:proofErr w:type="spellEnd"/>
      <w:r w:rsidRPr="001A3179">
        <w:rPr>
          <w:lang w:val="fr-FR"/>
        </w:rPr>
        <w:t>. La Commission d</w:t>
      </w:r>
      <w:r>
        <w:rPr>
          <w:lang w:val="fr-FR"/>
        </w:rPr>
        <w:t>’</w:t>
      </w:r>
      <w:r w:rsidRPr="001A3179">
        <w:rPr>
          <w:lang w:val="fr-FR"/>
        </w:rPr>
        <w:t>État et le Gouvernement slovène ont été informés des activités menées au titre de cette première phase du projet et de leurs résultats. Le travail s</w:t>
      </w:r>
      <w:r>
        <w:rPr>
          <w:lang w:val="fr-FR"/>
        </w:rPr>
        <w:t>’</w:t>
      </w:r>
      <w:r w:rsidRPr="001A3179">
        <w:rPr>
          <w:lang w:val="fr-FR"/>
        </w:rPr>
        <w:t>est poursuivi en 2018 avec la deuxième phase du projet : SIFOROMA2. Dans le cadre de ce projet et du Programme 2017-2021, la coopération entre le niveau local et le niveau de l</w:t>
      </w:r>
      <w:r>
        <w:rPr>
          <w:lang w:val="fr-FR"/>
        </w:rPr>
        <w:t>’</w:t>
      </w:r>
      <w:r w:rsidRPr="001A3179">
        <w:rPr>
          <w:lang w:val="fr-FR"/>
        </w:rPr>
        <w:t>État sera encore renforcée et un soutien sera apporté à la coopération entre institutions au niveau local, à l</w:t>
      </w:r>
      <w:r>
        <w:rPr>
          <w:lang w:val="fr-FR"/>
        </w:rPr>
        <w:t>’</w:t>
      </w:r>
      <w:r w:rsidRPr="001A3179">
        <w:rPr>
          <w:lang w:val="fr-FR"/>
        </w:rPr>
        <w:t>élaboration de plans d</w:t>
      </w:r>
      <w:r>
        <w:rPr>
          <w:lang w:val="fr-FR"/>
        </w:rPr>
        <w:t>’</w:t>
      </w:r>
      <w:r w:rsidRPr="001A3179">
        <w:rPr>
          <w:lang w:val="fr-FR"/>
        </w:rPr>
        <w:t>action locaux concrets pour l</w:t>
      </w:r>
      <w:r>
        <w:rPr>
          <w:lang w:val="fr-FR"/>
        </w:rPr>
        <w:t>’</w:t>
      </w:r>
      <w:r w:rsidRPr="001A3179">
        <w:rPr>
          <w:lang w:val="fr-FR"/>
        </w:rPr>
        <w:t>intégration des Roms et à l</w:t>
      </w:r>
      <w:r>
        <w:rPr>
          <w:lang w:val="fr-FR"/>
        </w:rPr>
        <w:t>’</w:t>
      </w:r>
      <w:r w:rsidRPr="001A3179">
        <w:rPr>
          <w:lang w:val="fr-FR"/>
        </w:rPr>
        <w:t>amélioration de la qualité du travail des représentants de la communauté rom dans les conseils municipaux.</w:t>
      </w:r>
    </w:p>
    <w:p w14:paraId="701A973D" w14:textId="77777777" w:rsidR="002A5EB2" w:rsidRPr="001A3179" w:rsidRDefault="002A5EB2" w:rsidP="006B271A">
      <w:pPr>
        <w:pStyle w:val="H23G"/>
        <w:rPr>
          <w:lang w:val="fr-FR"/>
        </w:rPr>
      </w:pPr>
      <w:r w:rsidRPr="001A3179">
        <w:rPr>
          <w:lang w:val="fr-FR"/>
        </w:rPr>
        <w:tab/>
      </w:r>
      <w:r w:rsidRPr="001A3179">
        <w:rPr>
          <w:lang w:val="fr-FR"/>
        </w:rPr>
        <w:tab/>
        <w:t>Réponse au paragraphe 23 de la liste des points à traiter</w:t>
      </w:r>
    </w:p>
    <w:p w14:paraId="4728FB51" w14:textId="77777777" w:rsidR="002A5EB2" w:rsidRPr="001A3179" w:rsidRDefault="002A5EB2" w:rsidP="002A5EB2">
      <w:pPr>
        <w:pStyle w:val="SingleTxtG"/>
        <w:rPr>
          <w:lang w:val="fr-FR"/>
        </w:rPr>
      </w:pPr>
      <w:r w:rsidRPr="001A3179">
        <w:rPr>
          <w:lang w:val="fr-FR"/>
        </w:rPr>
        <w:t>173.</w:t>
      </w:r>
      <w:r w:rsidRPr="001A3179">
        <w:rPr>
          <w:lang w:val="fr-FR"/>
        </w:rPr>
        <w:tab/>
        <w:t>La loi portant modification de la loi sur la prévention de la violence familiale (ZPND-A)</w:t>
      </w:r>
      <w:r w:rsidRPr="0017324C">
        <w:rPr>
          <w:rStyle w:val="Appelnotedebasdep"/>
        </w:rPr>
        <w:footnoteReference w:id="44"/>
      </w:r>
      <w:r w:rsidRPr="001A3179">
        <w:rPr>
          <w:lang w:val="fr-FR"/>
        </w:rPr>
        <w:t xml:space="preserve"> du 4</w:t>
      </w:r>
      <w:r w:rsidR="00C24C9F">
        <w:rPr>
          <w:lang w:val="fr-FR"/>
        </w:rPr>
        <w:t> </w:t>
      </w:r>
      <w:r w:rsidRPr="001A3179">
        <w:rPr>
          <w:lang w:val="fr-FR"/>
        </w:rPr>
        <w:t>novembre 2016 contient une nouvelle disposition (art</w:t>
      </w:r>
      <w:r w:rsidR="00C24C9F">
        <w:rPr>
          <w:lang w:val="fr-FR"/>
        </w:rPr>
        <w:t>. </w:t>
      </w:r>
      <w:r w:rsidRPr="001A3179">
        <w:rPr>
          <w:lang w:val="fr-FR"/>
        </w:rPr>
        <w:t>3a) qui définit et interdit les châtiments corporels sur enfant, à savoir : tout châtiment physique, cruel ou dégradant ou tout autre acte infligé à un enfant pour le punir à des fins éducatives qui comporte des éléments de violence ou de négligence physique, psychologique ou sexuelle.</w:t>
      </w:r>
    </w:p>
    <w:p w14:paraId="0A3E2B85" w14:textId="77777777" w:rsidR="002A5EB2" w:rsidRPr="001A3179" w:rsidRDefault="002A5EB2" w:rsidP="006B271A">
      <w:pPr>
        <w:pStyle w:val="H23G"/>
        <w:rPr>
          <w:lang w:val="fr-FR"/>
        </w:rPr>
      </w:pPr>
      <w:r w:rsidRPr="001A3179">
        <w:rPr>
          <w:lang w:val="fr-FR"/>
        </w:rPr>
        <w:tab/>
      </w:r>
      <w:r w:rsidRPr="001A3179">
        <w:rPr>
          <w:lang w:val="fr-FR"/>
        </w:rPr>
        <w:tab/>
        <w:t>Réponse au paragraphe 24 a) de la liste des points à traiter</w:t>
      </w:r>
    </w:p>
    <w:p w14:paraId="0E183FAC" w14:textId="77777777" w:rsidR="002A5EB2" w:rsidRPr="001A3179" w:rsidRDefault="002A5EB2" w:rsidP="002A5EB2">
      <w:pPr>
        <w:pStyle w:val="SingleTxtG"/>
        <w:rPr>
          <w:lang w:val="fr-FR"/>
        </w:rPr>
      </w:pPr>
      <w:r w:rsidRPr="001A3179">
        <w:rPr>
          <w:lang w:val="fr-FR"/>
        </w:rPr>
        <w:t>174.</w:t>
      </w:r>
      <w:r w:rsidRPr="001A3179">
        <w:rPr>
          <w:lang w:val="fr-FR"/>
        </w:rPr>
        <w:tab/>
        <w:t>L</w:t>
      </w:r>
      <w:r>
        <w:rPr>
          <w:lang w:val="fr-FR"/>
        </w:rPr>
        <w:t>’</w:t>
      </w:r>
      <w:r w:rsidRPr="001A3179">
        <w:rPr>
          <w:lang w:val="fr-FR"/>
        </w:rPr>
        <w:t>Administration pénitentiaire s</w:t>
      </w:r>
      <w:r>
        <w:rPr>
          <w:lang w:val="fr-FR"/>
        </w:rPr>
        <w:t>’</w:t>
      </w:r>
      <w:r w:rsidRPr="001A3179">
        <w:rPr>
          <w:lang w:val="fr-FR"/>
        </w:rPr>
        <w:t>attache à remédier à la surpopulation carcérale dans certaines prisons en transférant des détenus de ces prisons vers d</w:t>
      </w:r>
      <w:r>
        <w:rPr>
          <w:lang w:val="fr-FR"/>
        </w:rPr>
        <w:t>’</w:t>
      </w:r>
      <w:r w:rsidRPr="001A3179">
        <w:rPr>
          <w:lang w:val="fr-FR"/>
        </w:rPr>
        <w:t>autres au taux d</w:t>
      </w:r>
      <w:r>
        <w:rPr>
          <w:lang w:val="fr-FR"/>
        </w:rPr>
        <w:t>’</w:t>
      </w:r>
      <w:r w:rsidRPr="001A3179">
        <w:rPr>
          <w:lang w:val="fr-FR"/>
        </w:rPr>
        <w:t>occupation moindre. Chaque prison tient un registre quotidien de son taux d</w:t>
      </w:r>
      <w:r>
        <w:rPr>
          <w:lang w:val="fr-FR"/>
        </w:rPr>
        <w:t>’</w:t>
      </w:r>
      <w:r w:rsidRPr="001A3179">
        <w:rPr>
          <w:lang w:val="fr-FR"/>
        </w:rPr>
        <w:t>occupation et en cas de hausse du nombre des détenus dans une prison donnée il est donc possible, si nécessaire, de réagir sur le champ en envoyant certains détenus dans une autre prison.</w:t>
      </w:r>
    </w:p>
    <w:p w14:paraId="534F5F5B" w14:textId="77777777" w:rsidR="002A5EB2" w:rsidRPr="001A3179" w:rsidRDefault="002A5EB2" w:rsidP="002A5EB2">
      <w:pPr>
        <w:pStyle w:val="SingleTxtG"/>
        <w:rPr>
          <w:lang w:val="fr-FR"/>
        </w:rPr>
      </w:pPr>
      <w:r w:rsidRPr="001A3179">
        <w:rPr>
          <w:lang w:val="fr-FR"/>
        </w:rPr>
        <w:t>175.</w:t>
      </w:r>
      <w:r w:rsidRPr="001A3179">
        <w:rPr>
          <w:lang w:val="fr-FR"/>
        </w:rPr>
        <w:tab/>
        <w:t>Les Instructions concernant le placement et le transfert des personnes condamnées à des peines de prison</w:t>
      </w:r>
      <w:r w:rsidRPr="0017324C">
        <w:rPr>
          <w:rStyle w:val="Appelnotedebasdep"/>
        </w:rPr>
        <w:footnoteReference w:id="45"/>
      </w:r>
      <w:r w:rsidRPr="001A3179">
        <w:rPr>
          <w:lang w:val="fr-FR"/>
        </w:rPr>
        <w:t xml:space="preserve"> ont été modifiées en vue de faire face à la surpopulation carcérale.</w:t>
      </w:r>
    </w:p>
    <w:p w14:paraId="270A16E7" w14:textId="77777777" w:rsidR="002A5EB2" w:rsidRPr="001A3179" w:rsidRDefault="002A5EB2" w:rsidP="006B271A">
      <w:pPr>
        <w:pStyle w:val="H23G"/>
        <w:rPr>
          <w:lang w:val="fr-FR"/>
        </w:rPr>
      </w:pPr>
      <w:r w:rsidRPr="001A3179">
        <w:rPr>
          <w:lang w:val="fr-FR"/>
        </w:rPr>
        <w:tab/>
      </w:r>
      <w:r w:rsidRPr="001A3179">
        <w:rPr>
          <w:lang w:val="fr-FR"/>
        </w:rPr>
        <w:tab/>
        <w:t>Traitement psychiatrique des détenus</w:t>
      </w:r>
    </w:p>
    <w:p w14:paraId="491D6486" w14:textId="77777777" w:rsidR="002A5EB2" w:rsidRPr="001A3179" w:rsidRDefault="002A5EB2" w:rsidP="002A5EB2">
      <w:pPr>
        <w:pStyle w:val="SingleTxtG"/>
        <w:rPr>
          <w:lang w:val="fr-FR"/>
        </w:rPr>
      </w:pPr>
      <w:r w:rsidRPr="001A3179">
        <w:rPr>
          <w:lang w:val="fr-FR"/>
        </w:rPr>
        <w:t>176.</w:t>
      </w:r>
      <w:r w:rsidRPr="001A3179">
        <w:rPr>
          <w:lang w:val="fr-FR"/>
        </w:rPr>
        <w:tab/>
        <w:t>Le Centre médical de l</w:t>
      </w:r>
      <w:r>
        <w:rPr>
          <w:lang w:val="fr-FR"/>
        </w:rPr>
        <w:t>’</w:t>
      </w:r>
      <w:r w:rsidRPr="001A3179">
        <w:rPr>
          <w:lang w:val="fr-FR"/>
        </w:rPr>
        <w:t>Université de Maribor est doté depuis 2012 d</w:t>
      </w:r>
      <w:r>
        <w:rPr>
          <w:lang w:val="fr-FR"/>
        </w:rPr>
        <w:t>’</w:t>
      </w:r>
      <w:r w:rsidRPr="001A3179">
        <w:rPr>
          <w:lang w:val="fr-FR"/>
        </w:rPr>
        <w:t>un Service de psychiatrie médico-légale, dont l</w:t>
      </w:r>
      <w:r>
        <w:rPr>
          <w:lang w:val="fr-FR"/>
        </w:rPr>
        <w:t>’</w:t>
      </w:r>
      <w:r w:rsidRPr="001A3179">
        <w:rPr>
          <w:lang w:val="fr-FR"/>
        </w:rPr>
        <w:t>organisation est conforme aux directives européenne</w:t>
      </w:r>
      <w:r>
        <w:rPr>
          <w:lang w:val="fr-FR"/>
        </w:rPr>
        <w:t>s</w:t>
      </w:r>
      <w:r w:rsidRPr="001A3179">
        <w:rPr>
          <w:lang w:val="fr-FR"/>
        </w:rPr>
        <w:t>. La Slovénie dispose ainsi d</w:t>
      </w:r>
      <w:r>
        <w:rPr>
          <w:lang w:val="fr-FR"/>
        </w:rPr>
        <w:t>’</w:t>
      </w:r>
      <w:r w:rsidRPr="001A3179">
        <w:rPr>
          <w:lang w:val="fr-FR"/>
        </w:rPr>
        <w:t>un hôpital moderne où des soins psychiatriques peuvent être fournis à des détenus dans le respect des règles professionnelles les plus strictes.</w:t>
      </w:r>
    </w:p>
    <w:p w14:paraId="07A642E6" w14:textId="77777777" w:rsidR="002A5EB2" w:rsidRPr="001A3179" w:rsidRDefault="002A5EB2" w:rsidP="006B271A">
      <w:pPr>
        <w:pStyle w:val="H23G"/>
        <w:rPr>
          <w:lang w:val="fr-FR"/>
        </w:rPr>
      </w:pPr>
      <w:r w:rsidRPr="001A3179">
        <w:rPr>
          <w:lang w:val="fr-FR"/>
        </w:rPr>
        <w:lastRenderedPageBreak/>
        <w:tab/>
      </w:r>
      <w:r w:rsidRPr="001A3179">
        <w:rPr>
          <w:lang w:val="fr-FR"/>
        </w:rPr>
        <w:tab/>
        <w:t>Réponse au paragraphe 24 b) de la liste des points à traiter</w:t>
      </w:r>
    </w:p>
    <w:p w14:paraId="10611958" w14:textId="77777777" w:rsidR="002A5EB2" w:rsidRPr="001A3179" w:rsidRDefault="002A5EB2" w:rsidP="002A5EB2">
      <w:pPr>
        <w:pStyle w:val="SingleTxtG"/>
        <w:rPr>
          <w:lang w:val="fr-FR"/>
        </w:rPr>
      </w:pPr>
      <w:r w:rsidRPr="001A3179">
        <w:rPr>
          <w:lang w:val="fr-FR"/>
        </w:rPr>
        <w:t>177.</w:t>
      </w:r>
      <w:r w:rsidRPr="001A3179">
        <w:rPr>
          <w:lang w:val="fr-FR"/>
        </w:rPr>
        <w:tab/>
        <w:t>Une stratégie de prévention du suicide dans les établissements pénitentiaires a été formulée sur la base d</w:t>
      </w:r>
      <w:r>
        <w:rPr>
          <w:lang w:val="fr-FR"/>
        </w:rPr>
        <w:t>’</w:t>
      </w:r>
      <w:r w:rsidRPr="001A3179">
        <w:rPr>
          <w:lang w:val="fr-FR"/>
        </w:rPr>
        <w:t>une analyse de la situation et compte tenu des bonnes pratiques à l</w:t>
      </w:r>
      <w:r>
        <w:rPr>
          <w:lang w:val="fr-FR"/>
        </w:rPr>
        <w:t>’</w:t>
      </w:r>
      <w:r w:rsidRPr="001A3179">
        <w:rPr>
          <w:lang w:val="fr-FR"/>
        </w:rPr>
        <w:t>étranger ; elle a été adoptée en décembre 2003 et modifiée en 2012. La Slovénie a commencé à former systématiquement les membres du personnel pénitentiaire à détecter les signes qu</w:t>
      </w:r>
      <w:r>
        <w:rPr>
          <w:lang w:val="fr-FR"/>
        </w:rPr>
        <w:t>’</w:t>
      </w:r>
      <w:r w:rsidRPr="001A3179">
        <w:rPr>
          <w:lang w:val="fr-FR"/>
        </w:rPr>
        <w:t>une personne est en danger de suicide et à lui fournir une assistance appropriée.</w:t>
      </w:r>
    </w:p>
    <w:p w14:paraId="781609C0" w14:textId="77777777" w:rsidR="002A5EB2" w:rsidRPr="00E25761" w:rsidRDefault="002A5EB2" w:rsidP="002A5EB2">
      <w:pPr>
        <w:pStyle w:val="SingleTxtG"/>
        <w:rPr>
          <w:spacing w:val="-1"/>
          <w:lang w:val="fr-FR"/>
        </w:rPr>
      </w:pPr>
      <w:r w:rsidRPr="00E25761">
        <w:rPr>
          <w:spacing w:val="-1"/>
          <w:lang w:val="fr-FR"/>
        </w:rPr>
        <w:t>178.</w:t>
      </w:r>
      <w:r w:rsidRPr="00E25761">
        <w:rPr>
          <w:spacing w:val="-1"/>
          <w:lang w:val="fr-FR"/>
        </w:rPr>
        <w:tab/>
        <w:t>Une analyse comparée des données indique que sur la période postérieure à la mise en place de la stratégie, en 2004, le taux de suicide a baissé et est désormais trois fois moindre que sur la période antérieure : le taux moyen de suicide, soit 34,97 pour 10</w:t>
      </w:r>
      <w:r w:rsidR="00C24C9F" w:rsidRPr="00E25761">
        <w:rPr>
          <w:spacing w:val="-1"/>
          <w:lang w:val="fr-FR"/>
        </w:rPr>
        <w:t> </w:t>
      </w:r>
      <w:r w:rsidRPr="00E25761">
        <w:rPr>
          <w:spacing w:val="-1"/>
          <w:lang w:val="fr-FR"/>
        </w:rPr>
        <w:t>000</w:t>
      </w:r>
      <w:r w:rsidR="00C24C9F" w:rsidRPr="00E25761">
        <w:rPr>
          <w:spacing w:val="-1"/>
          <w:lang w:val="fr-FR"/>
        </w:rPr>
        <w:t> </w:t>
      </w:r>
      <w:r w:rsidRPr="00E25761">
        <w:rPr>
          <w:spacing w:val="-1"/>
          <w:lang w:val="fr-FR"/>
        </w:rPr>
        <w:t>détenus sur la période 1995-2003 est ainsi tombé à 11,10 pour la période 2004</w:t>
      </w:r>
      <w:r w:rsidR="00C24C9F" w:rsidRPr="00E25761">
        <w:rPr>
          <w:spacing w:val="-1"/>
          <w:lang w:val="fr-FR"/>
        </w:rPr>
        <w:noBreakHyphen/>
      </w:r>
      <w:r w:rsidRPr="00E25761">
        <w:rPr>
          <w:spacing w:val="-1"/>
          <w:lang w:val="fr-FR"/>
        </w:rPr>
        <w:t>2017. Les nombres de tentatives de suicide et de cas d’automutilation ont aussi diminué.</w:t>
      </w:r>
    </w:p>
    <w:p w14:paraId="00810137" w14:textId="77777777" w:rsidR="002A5EB2" w:rsidRPr="001A3179" w:rsidRDefault="002A5EB2" w:rsidP="002A5EB2">
      <w:pPr>
        <w:pStyle w:val="SingleTxtG"/>
        <w:rPr>
          <w:lang w:val="fr-FR"/>
        </w:rPr>
      </w:pPr>
      <w:r w:rsidRPr="001A3179">
        <w:rPr>
          <w:lang w:val="fr-FR"/>
        </w:rPr>
        <w:t>179.</w:t>
      </w:r>
      <w:r w:rsidRPr="001A3179">
        <w:rPr>
          <w:lang w:val="fr-FR"/>
        </w:rPr>
        <w:tab/>
        <w:t xml:space="preserve">On a dénombré </w:t>
      </w:r>
      <w:r w:rsidR="00C24C9F">
        <w:rPr>
          <w:lang w:val="fr-FR"/>
        </w:rPr>
        <w:t>2</w:t>
      </w:r>
      <w:r w:rsidRPr="001A3179">
        <w:rPr>
          <w:lang w:val="fr-FR"/>
        </w:rPr>
        <w:t xml:space="preserve"> suicides de détenus en 2011, </w:t>
      </w:r>
      <w:r w:rsidR="00C24C9F">
        <w:rPr>
          <w:lang w:val="fr-FR"/>
        </w:rPr>
        <w:t>3</w:t>
      </w:r>
      <w:r w:rsidRPr="001A3179">
        <w:rPr>
          <w:lang w:val="fr-FR"/>
        </w:rPr>
        <w:t xml:space="preserve"> en 2012, aucun en 2013 et 2014, </w:t>
      </w:r>
      <w:r w:rsidR="00C24C9F">
        <w:rPr>
          <w:lang w:val="fr-FR"/>
        </w:rPr>
        <w:t>3 </w:t>
      </w:r>
      <w:r w:rsidRPr="001A3179">
        <w:rPr>
          <w:lang w:val="fr-FR"/>
        </w:rPr>
        <w:t xml:space="preserve">en 2015, aucun en 2016 et </w:t>
      </w:r>
      <w:r w:rsidR="00C24C9F">
        <w:rPr>
          <w:lang w:val="fr-FR"/>
        </w:rPr>
        <w:t>1</w:t>
      </w:r>
      <w:r w:rsidRPr="001A3179">
        <w:rPr>
          <w:lang w:val="fr-FR"/>
        </w:rPr>
        <w:t xml:space="preserve"> en 2017. Sur ce total de </w:t>
      </w:r>
      <w:r w:rsidR="00C24C9F">
        <w:rPr>
          <w:lang w:val="fr-FR"/>
        </w:rPr>
        <w:t>9</w:t>
      </w:r>
      <w:r w:rsidRPr="001A3179">
        <w:rPr>
          <w:lang w:val="fr-FR"/>
        </w:rPr>
        <w:t xml:space="preserve">, </w:t>
      </w:r>
      <w:r w:rsidR="00C24C9F">
        <w:rPr>
          <w:lang w:val="fr-FR"/>
        </w:rPr>
        <w:t>4</w:t>
      </w:r>
      <w:r w:rsidRPr="001A3179">
        <w:rPr>
          <w:lang w:val="fr-FR"/>
        </w:rPr>
        <w:t xml:space="preserve"> étaient des condamnés et </w:t>
      </w:r>
      <w:r w:rsidR="00C24C9F">
        <w:rPr>
          <w:lang w:val="fr-FR"/>
        </w:rPr>
        <w:t>5 </w:t>
      </w:r>
      <w:r w:rsidRPr="001A3179">
        <w:rPr>
          <w:lang w:val="fr-FR"/>
        </w:rPr>
        <w:t>des prévenus. Le dernier suicide d</w:t>
      </w:r>
      <w:r>
        <w:rPr>
          <w:lang w:val="fr-FR"/>
        </w:rPr>
        <w:t>’</w:t>
      </w:r>
      <w:r w:rsidRPr="001A3179">
        <w:rPr>
          <w:lang w:val="fr-FR"/>
        </w:rPr>
        <w:t>un détenu remonte à 2007.</w:t>
      </w:r>
    </w:p>
    <w:p w14:paraId="70185532" w14:textId="77777777" w:rsidR="002A5EB2" w:rsidRPr="001A3179" w:rsidRDefault="002A5EB2" w:rsidP="006B271A">
      <w:pPr>
        <w:pStyle w:val="H1G"/>
        <w:rPr>
          <w:lang w:val="fr-FR"/>
        </w:rPr>
      </w:pPr>
      <w:bookmarkStart w:id="40" w:name="_Hlk8998128"/>
      <w:r w:rsidRPr="001A3179">
        <w:rPr>
          <w:lang w:val="fr-FR"/>
        </w:rPr>
        <w:tab/>
      </w:r>
      <w:r w:rsidRPr="001A3179">
        <w:rPr>
          <w:lang w:val="fr-FR"/>
        </w:rPr>
        <w:tab/>
      </w:r>
      <w:bookmarkEnd w:id="40"/>
      <w:r w:rsidRPr="001A3179">
        <w:rPr>
          <w:lang w:val="fr-FR"/>
        </w:rPr>
        <w:t>Autres questions</w:t>
      </w:r>
    </w:p>
    <w:p w14:paraId="70896489" w14:textId="77777777" w:rsidR="002A5EB2" w:rsidRPr="001A3179" w:rsidRDefault="002A5EB2" w:rsidP="006B271A">
      <w:pPr>
        <w:pStyle w:val="H23G"/>
        <w:rPr>
          <w:lang w:val="fr-FR"/>
        </w:rPr>
      </w:pPr>
      <w:r w:rsidRPr="001A3179">
        <w:rPr>
          <w:lang w:val="fr-FR"/>
        </w:rPr>
        <w:tab/>
      </w:r>
      <w:r w:rsidRPr="001A3179">
        <w:rPr>
          <w:lang w:val="fr-FR"/>
        </w:rPr>
        <w:tab/>
        <w:t>Réponse au paragraphe 25 de la liste des points à traiter</w:t>
      </w:r>
    </w:p>
    <w:p w14:paraId="61E2CD6F" w14:textId="77777777" w:rsidR="002A5EB2" w:rsidRPr="00E25761" w:rsidRDefault="002A5EB2" w:rsidP="002A5EB2">
      <w:pPr>
        <w:pStyle w:val="SingleTxtG"/>
        <w:rPr>
          <w:spacing w:val="1"/>
          <w:lang w:val="fr-FR"/>
        </w:rPr>
      </w:pPr>
      <w:r w:rsidRPr="001A3179">
        <w:rPr>
          <w:lang w:val="fr-FR"/>
        </w:rPr>
        <w:t>180.</w:t>
      </w:r>
      <w:r w:rsidRPr="001A3179">
        <w:rPr>
          <w:lang w:val="fr-FR"/>
        </w:rPr>
        <w:tab/>
        <w:t xml:space="preserve">La Slovénie recherche un juste équilibre entre efficacité et respect des droits et libertés fondamentaux dans sa réponse à la menace terroriste et aux autres défis actuels. En apportant la modification KZ-1E à son Code pénal, la Slovénie a incriminé certains phénomènes, visés par le Protocole additionnel à la </w:t>
      </w:r>
      <w:r w:rsidR="00C24C9F">
        <w:rPr>
          <w:lang w:val="fr-FR"/>
        </w:rPr>
        <w:t>C</w:t>
      </w:r>
      <w:r w:rsidRPr="001A3179">
        <w:rPr>
          <w:lang w:val="fr-FR"/>
        </w:rPr>
        <w:t>onvention du Conseil de l</w:t>
      </w:r>
      <w:r>
        <w:rPr>
          <w:lang w:val="fr-FR"/>
        </w:rPr>
        <w:t>’</w:t>
      </w:r>
      <w:r w:rsidRPr="001A3179">
        <w:rPr>
          <w:lang w:val="fr-FR"/>
        </w:rPr>
        <w:t>Europe pour la prévention du terrorisme et la Directive de l</w:t>
      </w:r>
      <w:r>
        <w:rPr>
          <w:lang w:val="fr-FR"/>
        </w:rPr>
        <w:t>’</w:t>
      </w:r>
      <w:r w:rsidRPr="001A3179">
        <w:rPr>
          <w:lang w:val="fr-FR"/>
        </w:rPr>
        <w:t>UE relative à la lutte contre le terrorisme (déplacements à des fins terroristes, par exemple). La Slovénie a signé le Protocole précité, le 22</w:t>
      </w:r>
      <w:r w:rsidR="00C24C9F">
        <w:rPr>
          <w:lang w:val="fr-FR"/>
        </w:rPr>
        <w:t> </w:t>
      </w:r>
      <w:r w:rsidRPr="001A3179">
        <w:rPr>
          <w:lang w:val="fr-FR"/>
        </w:rPr>
        <w:t xml:space="preserve">octobre 2015, après avoir défendu activement le principe de légalité en droit pénal et le principe </w:t>
      </w:r>
      <w:proofErr w:type="spellStart"/>
      <w:r w:rsidRPr="001A3179">
        <w:rPr>
          <w:lang w:val="fr-FR"/>
        </w:rPr>
        <w:t>d</w:t>
      </w:r>
      <w:r>
        <w:rPr>
          <w:lang w:val="fr-FR"/>
        </w:rPr>
        <w:t>’</w:t>
      </w:r>
      <w:r w:rsidRPr="00C24C9F">
        <w:rPr>
          <w:i/>
          <w:lang w:val="fr-FR"/>
        </w:rPr>
        <w:t>ultima</w:t>
      </w:r>
      <w:proofErr w:type="spellEnd"/>
      <w:r w:rsidRPr="00C24C9F">
        <w:rPr>
          <w:i/>
          <w:lang w:val="fr-FR"/>
        </w:rPr>
        <w:t xml:space="preserve"> ratio </w:t>
      </w:r>
      <w:r w:rsidRPr="001A3179">
        <w:rPr>
          <w:lang w:val="fr-FR"/>
        </w:rPr>
        <w:t>lors de l</w:t>
      </w:r>
      <w:r>
        <w:rPr>
          <w:lang w:val="fr-FR"/>
        </w:rPr>
        <w:t>’</w:t>
      </w:r>
      <w:r w:rsidRPr="001A3179">
        <w:rPr>
          <w:lang w:val="fr-FR"/>
        </w:rPr>
        <w:t xml:space="preserve">élaboration du Protocole et de la </w:t>
      </w:r>
      <w:r w:rsidRPr="00E25761">
        <w:rPr>
          <w:spacing w:val="1"/>
          <w:lang w:val="fr-FR"/>
        </w:rPr>
        <w:t>Directive précités.</w:t>
      </w:r>
    </w:p>
    <w:p w14:paraId="54F00A4B" w14:textId="77777777" w:rsidR="002A5EB2" w:rsidRPr="00E25761" w:rsidRDefault="002A5EB2" w:rsidP="002A5EB2">
      <w:pPr>
        <w:pStyle w:val="SingleTxtG"/>
        <w:rPr>
          <w:spacing w:val="1"/>
          <w:lang w:val="fr-FR"/>
        </w:rPr>
      </w:pPr>
      <w:r w:rsidRPr="00E25761">
        <w:rPr>
          <w:spacing w:val="1"/>
          <w:lang w:val="fr-FR"/>
        </w:rPr>
        <w:t>181.</w:t>
      </w:r>
      <w:r w:rsidRPr="00E25761">
        <w:rPr>
          <w:spacing w:val="1"/>
          <w:lang w:val="fr-FR"/>
        </w:rPr>
        <w:tab/>
        <w:t>La police slovène a fait de la lutte contre le terrorisme une priorité. La Slovénie agit sur un pied d’égalité au sein de la communauté internationale et la mise en œuvre des mesures antiterroristes repose principalement sur une approche stricte et cohérente respectueuse des droits de l’homme et des libertés. La Slovénie élabore ses propres pratiques à cet effet, en s’inspirant immédiatement au niveau national des meilleures pratiques reconnues au niveau international. Ainsi, diverses lignes directrices pour la détection précoce et la prévention des infractions pénales présumées liées au terrorisme ont été élaborées à l’intention des services de police, des policiers et des enquêteurs criminels au niveau local, qui sont les premiers à faire face au problème sur le terrain. L’accent est mis sur la détection et la prévention de la radicalisation violente et du recrutement à des fins terroristes.</w:t>
      </w:r>
    </w:p>
    <w:p w14:paraId="17C7B976" w14:textId="77777777" w:rsidR="002A5EB2" w:rsidRPr="001A3179" w:rsidRDefault="002A5EB2" w:rsidP="00E25761">
      <w:pPr>
        <w:pStyle w:val="SingleTxtG"/>
        <w:spacing w:line="230" w:lineRule="atLeast"/>
        <w:rPr>
          <w:lang w:val="fr-FR"/>
        </w:rPr>
      </w:pPr>
      <w:r w:rsidRPr="001A3179">
        <w:rPr>
          <w:lang w:val="fr-FR"/>
        </w:rPr>
        <w:t>182.</w:t>
      </w:r>
      <w:r w:rsidRPr="001A3179">
        <w:rPr>
          <w:lang w:val="fr-FR"/>
        </w:rPr>
        <w:tab/>
        <w:t>Plusieurs sessions de formation thématiques modulées en fonction des destinataires sont organisées chaque année. Une session de formation s</w:t>
      </w:r>
      <w:r>
        <w:rPr>
          <w:lang w:val="fr-FR"/>
        </w:rPr>
        <w:t>’</w:t>
      </w:r>
      <w:r w:rsidRPr="001A3179">
        <w:rPr>
          <w:lang w:val="fr-FR"/>
        </w:rPr>
        <w:t>est tenue en février 2015 à l</w:t>
      </w:r>
      <w:r>
        <w:rPr>
          <w:lang w:val="fr-FR"/>
        </w:rPr>
        <w:t>’</w:t>
      </w:r>
      <w:r w:rsidRPr="001A3179">
        <w:rPr>
          <w:lang w:val="fr-FR"/>
        </w:rPr>
        <w:t>intention d</w:t>
      </w:r>
      <w:r>
        <w:rPr>
          <w:lang w:val="fr-FR"/>
        </w:rPr>
        <w:t>’</w:t>
      </w:r>
      <w:r w:rsidRPr="001A3179">
        <w:rPr>
          <w:lang w:val="fr-FR"/>
        </w:rPr>
        <w:t>instructeurs appelés à former leurs collègues policiers et à les familiariser avec les bonnes pratiques au niveau local. Plusieurs sessions de formation sur les fonctions générales de la police se sont tenues lors de consultations professionnelles avec les responsables des postes de police. Les dernières en date de ces sessions de formation ont eu lieu entre janvier et mars 2015. Les échanges de vues sur les pratiques et les données d</w:t>
      </w:r>
      <w:r>
        <w:rPr>
          <w:lang w:val="fr-FR"/>
        </w:rPr>
        <w:t>’</w:t>
      </w:r>
      <w:r w:rsidRPr="001A3179">
        <w:rPr>
          <w:lang w:val="fr-FR"/>
        </w:rPr>
        <w:t>expérience s</w:t>
      </w:r>
      <w:r>
        <w:rPr>
          <w:lang w:val="fr-FR"/>
        </w:rPr>
        <w:t xml:space="preserve">e déroulent </w:t>
      </w:r>
      <w:r w:rsidRPr="001A3179">
        <w:rPr>
          <w:lang w:val="fr-FR"/>
        </w:rPr>
        <w:t>en étroite collaboration avec d</w:t>
      </w:r>
      <w:r>
        <w:rPr>
          <w:lang w:val="fr-FR"/>
        </w:rPr>
        <w:t>’</w:t>
      </w:r>
      <w:r w:rsidRPr="001A3179">
        <w:rPr>
          <w:lang w:val="fr-FR"/>
        </w:rPr>
        <w:t>autres acteurs compétents au niveau national. Des questions concernant l</w:t>
      </w:r>
      <w:r>
        <w:rPr>
          <w:lang w:val="fr-FR"/>
        </w:rPr>
        <w:t>’</w:t>
      </w:r>
      <w:r w:rsidRPr="001A3179">
        <w:rPr>
          <w:lang w:val="fr-FR"/>
        </w:rPr>
        <w:t>identification et la détection en temps utile de la radicalisation violente et du recrutement à des fins terroristes ont été exposées aux policiers. À cet égard, la police coopère avec la communauté locale et d</w:t>
      </w:r>
      <w:r>
        <w:rPr>
          <w:lang w:val="fr-FR"/>
        </w:rPr>
        <w:t>’</w:t>
      </w:r>
      <w:r w:rsidRPr="001A3179">
        <w:rPr>
          <w:lang w:val="fr-FR"/>
        </w:rPr>
        <w:t>autres parties prenantes compétentes au niveau national. Le message primordial est que la police est un partenaire qui aide à déterminer les causes de la radicalisation violente au sein de la société.</w:t>
      </w:r>
    </w:p>
    <w:p w14:paraId="6422B204" w14:textId="77777777" w:rsidR="002A5EB2" w:rsidRPr="001A3179" w:rsidRDefault="002A5EB2" w:rsidP="00E25761">
      <w:pPr>
        <w:pStyle w:val="SingleTxtG"/>
        <w:spacing w:line="230" w:lineRule="atLeast"/>
        <w:rPr>
          <w:lang w:val="fr-FR"/>
        </w:rPr>
      </w:pPr>
      <w:r w:rsidRPr="001A3179">
        <w:rPr>
          <w:lang w:val="fr-FR"/>
        </w:rPr>
        <w:t>183.</w:t>
      </w:r>
      <w:r w:rsidRPr="001A3179">
        <w:rPr>
          <w:lang w:val="fr-FR"/>
        </w:rPr>
        <w:tab/>
        <w:t xml:space="preserve">Une </w:t>
      </w:r>
      <w:proofErr w:type="spellStart"/>
      <w:r w:rsidRPr="001A3179">
        <w:rPr>
          <w:lang w:val="fr-FR"/>
        </w:rPr>
        <w:t>plateforme</w:t>
      </w:r>
      <w:proofErr w:type="spellEnd"/>
      <w:r w:rsidRPr="001A3179">
        <w:rPr>
          <w:lang w:val="fr-FR"/>
        </w:rPr>
        <w:t xml:space="preserve"> nationale pour le réseau de sensibilisation </w:t>
      </w:r>
      <w:r>
        <w:rPr>
          <w:lang w:val="fr-FR"/>
        </w:rPr>
        <w:t xml:space="preserve">contre </w:t>
      </w:r>
      <w:r w:rsidRPr="001A3179">
        <w:rPr>
          <w:lang w:val="fr-FR"/>
        </w:rPr>
        <w:t>la radicalisation a été établie à l</w:t>
      </w:r>
      <w:r>
        <w:rPr>
          <w:lang w:val="fr-FR"/>
        </w:rPr>
        <w:t>’</w:t>
      </w:r>
      <w:r w:rsidRPr="001A3179">
        <w:rPr>
          <w:lang w:val="fr-FR"/>
        </w:rPr>
        <w:t>initiative de la police. D</w:t>
      </w:r>
      <w:r>
        <w:rPr>
          <w:lang w:val="fr-FR"/>
        </w:rPr>
        <w:t>’</w:t>
      </w:r>
      <w:r w:rsidRPr="001A3179">
        <w:rPr>
          <w:lang w:val="fr-FR"/>
        </w:rPr>
        <w:t xml:space="preserve">autres parties prenantes, le secteur privé et </w:t>
      </w:r>
      <w:r>
        <w:rPr>
          <w:lang w:val="fr-FR"/>
        </w:rPr>
        <w:t>d</w:t>
      </w:r>
      <w:r w:rsidRPr="001A3179">
        <w:rPr>
          <w:lang w:val="fr-FR"/>
        </w:rPr>
        <w:t xml:space="preserve">es ONG se sont </w:t>
      </w:r>
      <w:r>
        <w:rPr>
          <w:lang w:val="fr-FR"/>
        </w:rPr>
        <w:t>aussi engagés dans la lutte contre</w:t>
      </w:r>
      <w:r w:rsidRPr="001A3179">
        <w:rPr>
          <w:lang w:val="fr-FR"/>
        </w:rPr>
        <w:t xml:space="preserve"> ce phénomène. La police et les services de renseignement</w:t>
      </w:r>
      <w:r w:rsidR="00E25761">
        <w:rPr>
          <w:lang w:val="fr-FR"/>
        </w:rPr>
        <w:t>s</w:t>
      </w:r>
      <w:r w:rsidRPr="001A3179">
        <w:rPr>
          <w:lang w:val="fr-FR"/>
        </w:rPr>
        <w:t xml:space="preserve"> demeurent des partenaires essentiels dans la lutte contre le terrorisme mais </w:t>
      </w:r>
      <w:r>
        <w:rPr>
          <w:lang w:val="fr-FR"/>
        </w:rPr>
        <w:t xml:space="preserve">ils </w:t>
      </w:r>
      <w:r w:rsidRPr="001A3179">
        <w:rPr>
          <w:lang w:val="fr-FR"/>
        </w:rPr>
        <w:t>constituent la dernière ligne de défense.</w:t>
      </w:r>
    </w:p>
    <w:p w14:paraId="22142E9A" w14:textId="77777777" w:rsidR="002A5EB2" w:rsidRPr="001A3179" w:rsidRDefault="002A5EB2" w:rsidP="00E25761">
      <w:pPr>
        <w:pStyle w:val="SingleTxtG"/>
        <w:spacing w:line="230" w:lineRule="atLeast"/>
        <w:rPr>
          <w:lang w:val="fr-FR"/>
        </w:rPr>
      </w:pPr>
      <w:r w:rsidRPr="001A3179">
        <w:rPr>
          <w:lang w:val="fr-FR"/>
        </w:rPr>
        <w:lastRenderedPageBreak/>
        <w:t>184.</w:t>
      </w:r>
      <w:r w:rsidRPr="001A3179">
        <w:rPr>
          <w:lang w:val="fr-FR"/>
        </w:rPr>
        <w:tab/>
        <w:t xml:space="preserve">Le site </w:t>
      </w:r>
      <w:r w:rsidR="00E25761">
        <w:rPr>
          <w:lang w:val="fr-FR"/>
        </w:rPr>
        <w:t>I</w:t>
      </w:r>
      <w:r w:rsidRPr="001A3179">
        <w:rPr>
          <w:lang w:val="fr-FR"/>
        </w:rPr>
        <w:t>ntranet des forces de police contient des informations destinées à aider les polic</w:t>
      </w:r>
      <w:r>
        <w:rPr>
          <w:lang w:val="fr-FR"/>
        </w:rPr>
        <w:t>iers</w:t>
      </w:r>
      <w:r w:rsidRPr="001A3179">
        <w:rPr>
          <w:lang w:val="fr-FR"/>
        </w:rPr>
        <w:t xml:space="preserve"> à comprendre toutes les formes de radicalisation violente. Un manuel spécial est à la disposition des policiers opérant sur le terrain, qui constituent la première ligne de défense contre ce phénomène.</w:t>
      </w:r>
    </w:p>
    <w:p w14:paraId="7B4C9A0A" w14:textId="77777777" w:rsidR="002A5EB2" w:rsidRPr="001A3179" w:rsidRDefault="002A5EB2" w:rsidP="00E25761">
      <w:pPr>
        <w:pStyle w:val="SingleTxtG"/>
        <w:spacing w:line="230" w:lineRule="atLeast"/>
        <w:rPr>
          <w:lang w:val="fr-FR"/>
        </w:rPr>
      </w:pPr>
      <w:r w:rsidRPr="001A3179">
        <w:rPr>
          <w:lang w:val="fr-FR"/>
        </w:rPr>
        <w:t>185.</w:t>
      </w:r>
      <w:r w:rsidRPr="001A3179">
        <w:rPr>
          <w:lang w:val="fr-FR"/>
        </w:rPr>
        <w:tab/>
        <w:t>La Slovénie sait que la menace du terrorisme ne peut être traitée uniquement au niveau national. Une action concertée s</w:t>
      </w:r>
      <w:r>
        <w:rPr>
          <w:lang w:val="fr-FR"/>
        </w:rPr>
        <w:t>’</w:t>
      </w:r>
      <w:r w:rsidRPr="001A3179">
        <w:rPr>
          <w:lang w:val="fr-FR"/>
        </w:rPr>
        <w:t>impose au niveau international. Dans cette optique, la Slovénie a proposé de mettre en œuvre au niveau de l</w:t>
      </w:r>
      <w:r>
        <w:rPr>
          <w:lang w:val="fr-FR"/>
        </w:rPr>
        <w:t>’</w:t>
      </w:r>
      <w:r w:rsidRPr="001A3179">
        <w:rPr>
          <w:lang w:val="fr-FR"/>
        </w:rPr>
        <w:t>UE l</w:t>
      </w:r>
      <w:r>
        <w:rPr>
          <w:lang w:val="fr-FR"/>
        </w:rPr>
        <w:t>’</w:t>
      </w:r>
      <w:r w:rsidRPr="001A3179">
        <w:rPr>
          <w:lang w:val="fr-FR"/>
        </w:rPr>
        <w:t>initiative en matière de lutte contre le terrorisme dans les Balkans occidentaux, qui bénéficie actuellement du soutien de 16</w:t>
      </w:r>
      <w:r w:rsidR="00E25761">
        <w:rPr>
          <w:lang w:val="fr-FR"/>
        </w:rPr>
        <w:t> </w:t>
      </w:r>
      <w:r w:rsidRPr="001A3179">
        <w:rPr>
          <w:lang w:val="fr-FR"/>
        </w:rPr>
        <w:t>des États membres de l</w:t>
      </w:r>
      <w:r>
        <w:rPr>
          <w:lang w:val="fr-FR"/>
        </w:rPr>
        <w:t>’</w:t>
      </w:r>
      <w:r w:rsidRPr="001A3179">
        <w:rPr>
          <w:lang w:val="fr-FR"/>
        </w:rPr>
        <w:t>UE et de la Commission européenne. Cette initiative vise, sur la base d</w:t>
      </w:r>
      <w:r>
        <w:rPr>
          <w:lang w:val="fr-FR"/>
        </w:rPr>
        <w:t>’</w:t>
      </w:r>
      <w:r w:rsidRPr="001A3179">
        <w:rPr>
          <w:lang w:val="fr-FR"/>
        </w:rPr>
        <w:t>une approche unique, complémentaire et intégrée, à définir les mesures à mettre en œuvre à l</w:t>
      </w:r>
      <w:r>
        <w:rPr>
          <w:lang w:val="fr-FR"/>
        </w:rPr>
        <w:t>’</w:t>
      </w:r>
      <w:r w:rsidRPr="001A3179">
        <w:rPr>
          <w:lang w:val="fr-FR"/>
        </w:rPr>
        <w:t>avenir pour combattre le terrorisme dans la région des Balkans occidentaux. À ce titre sera élaboré un plan d</w:t>
      </w:r>
      <w:r>
        <w:rPr>
          <w:lang w:val="fr-FR"/>
        </w:rPr>
        <w:t>’</w:t>
      </w:r>
      <w:r w:rsidRPr="001A3179">
        <w:rPr>
          <w:lang w:val="fr-FR"/>
        </w:rPr>
        <w:t>action spécifique prévoyant des actions prioritaires définies par les pays des Balkans occidentaux. L</w:t>
      </w:r>
      <w:r>
        <w:rPr>
          <w:lang w:val="fr-FR"/>
        </w:rPr>
        <w:t>’</w:t>
      </w:r>
      <w:r w:rsidRPr="001A3179">
        <w:rPr>
          <w:lang w:val="fr-FR"/>
        </w:rPr>
        <w:t>initiative permettra, en autres, d</w:t>
      </w:r>
      <w:r>
        <w:rPr>
          <w:lang w:val="fr-FR"/>
        </w:rPr>
        <w:t>’</w:t>
      </w:r>
      <w:r w:rsidRPr="001A3179">
        <w:rPr>
          <w:lang w:val="fr-FR"/>
        </w:rPr>
        <w:t>éviter les doubles emplois et l</w:t>
      </w:r>
      <w:r>
        <w:rPr>
          <w:lang w:val="fr-FR"/>
        </w:rPr>
        <w:t xml:space="preserve">a tentation de s’engager </w:t>
      </w:r>
      <w:r w:rsidRPr="00720F41">
        <w:rPr>
          <w:lang w:val="fr-FR"/>
        </w:rPr>
        <w:t>dans des projets individuels s</w:t>
      </w:r>
      <w:r>
        <w:rPr>
          <w:lang w:val="fr-FR"/>
        </w:rPr>
        <w:t>’</w:t>
      </w:r>
      <w:r w:rsidRPr="00720F41">
        <w:rPr>
          <w:lang w:val="fr-FR"/>
        </w:rPr>
        <w:t>excluant mutuellement,</w:t>
      </w:r>
      <w:r w:rsidRPr="001A3179">
        <w:rPr>
          <w:lang w:val="fr-FR"/>
        </w:rPr>
        <w:t xml:space="preserve"> dont l</w:t>
      </w:r>
      <w:r>
        <w:rPr>
          <w:lang w:val="fr-FR"/>
        </w:rPr>
        <w:t xml:space="preserve">a prolifération </w:t>
      </w:r>
      <w:r w:rsidRPr="001A3179">
        <w:rPr>
          <w:lang w:val="fr-FR"/>
        </w:rPr>
        <w:t>fragilise les pays des Balkans occidentaux sur le plan structurel.</w:t>
      </w:r>
    </w:p>
    <w:p w14:paraId="44BE7881" w14:textId="77777777" w:rsidR="002A5EB2" w:rsidRPr="001A3179" w:rsidRDefault="002A5EB2" w:rsidP="00E25761">
      <w:pPr>
        <w:pStyle w:val="H1G"/>
        <w:spacing w:line="260" w:lineRule="exact"/>
        <w:rPr>
          <w:lang w:val="fr-FR"/>
        </w:rPr>
      </w:pPr>
      <w:r w:rsidRPr="001A3179">
        <w:rPr>
          <w:lang w:val="fr-FR"/>
        </w:rPr>
        <w:tab/>
      </w:r>
      <w:r w:rsidRPr="001A3179">
        <w:rPr>
          <w:lang w:val="fr-FR"/>
        </w:rPr>
        <w:tab/>
        <w:t>Renseignements d</w:t>
      </w:r>
      <w:r>
        <w:rPr>
          <w:lang w:val="fr-FR"/>
        </w:rPr>
        <w:t>’</w:t>
      </w:r>
      <w:r w:rsidRPr="001A3179">
        <w:rPr>
          <w:lang w:val="fr-FR"/>
        </w:rPr>
        <w:t xml:space="preserve">ordre général sur les autres mesures et faits nouveaux concernant la mise en œuvre de la Convention </w:t>
      </w:r>
      <w:r w:rsidR="006B271A">
        <w:rPr>
          <w:lang w:val="fr-FR"/>
        </w:rPr>
        <w:br/>
      </w:r>
      <w:r w:rsidRPr="001A3179">
        <w:rPr>
          <w:lang w:val="fr-FR"/>
        </w:rPr>
        <w:t>dans l</w:t>
      </w:r>
      <w:r>
        <w:rPr>
          <w:lang w:val="fr-FR"/>
        </w:rPr>
        <w:t>’</w:t>
      </w:r>
      <w:r w:rsidRPr="001A3179">
        <w:rPr>
          <w:lang w:val="fr-FR"/>
        </w:rPr>
        <w:t>État partie</w:t>
      </w:r>
    </w:p>
    <w:p w14:paraId="5A21C4E7" w14:textId="77777777" w:rsidR="002A5EB2" w:rsidRPr="001A3179" w:rsidRDefault="002A5EB2" w:rsidP="006B271A">
      <w:pPr>
        <w:pStyle w:val="H23G"/>
        <w:rPr>
          <w:lang w:val="fr-FR"/>
        </w:rPr>
      </w:pPr>
      <w:r w:rsidRPr="001A3179">
        <w:rPr>
          <w:lang w:val="fr-FR"/>
        </w:rPr>
        <w:tab/>
      </w:r>
      <w:r w:rsidRPr="001A3179">
        <w:rPr>
          <w:lang w:val="fr-FR"/>
        </w:rPr>
        <w:tab/>
        <w:t>Réponse au paragraphe 26 de la liste des points à traiter</w:t>
      </w:r>
    </w:p>
    <w:p w14:paraId="5C8BBC2A" w14:textId="77777777" w:rsidR="002A5EB2" w:rsidRPr="001A3179" w:rsidRDefault="002A5EB2" w:rsidP="00E25761">
      <w:pPr>
        <w:pStyle w:val="SingleTxtG"/>
        <w:spacing w:line="230" w:lineRule="atLeast"/>
        <w:rPr>
          <w:lang w:val="fr-FR"/>
        </w:rPr>
      </w:pPr>
      <w:r w:rsidRPr="001A3179">
        <w:rPr>
          <w:lang w:val="fr-FR"/>
        </w:rPr>
        <w:t>186.</w:t>
      </w:r>
      <w:r w:rsidRPr="001A3179">
        <w:rPr>
          <w:lang w:val="fr-FR"/>
        </w:rPr>
        <w:tab/>
        <w:t>Dans les enceintes internationales, la Slovénie soutient les efforts déployés en vue d</w:t>
      </w:r>
      <w:r>
        <w:rPr>
          <w:lang w:val="fr-FR"/>
        </w:rPr>
        <w:t>’</w:t>
      </w:r>
      <w:r w:rsidRPr="001A3179">
        <w:rPr>
          <w:lang w:val="fr-FR"/>
        </w:rPr>
        <w:t>éradiquer la torture et les autres peines ou traitements cruels, inhumains ou dégradants dans le monde, en particulier pour atteindre l</w:t>
      </w:r>
      <w:r>
        <w:rPr>
          <w:lang w:val="fr-FR"/>
        </w:rPr>
        <w:t>’</w:t>
      </w:r>
      <w:r w:rsidRPr="001A3179">
        <w:rPr>
          <w:lang w:val="fr-FR"/>
        </w:rPr>
        <w:t>objectif mondial que constitue l</w:t>
      </w:r>
      <w:r>
        <w:rPr>
          <w:lang w:val="fr-FR"/>
        </w:rPr>
        <w:t>’</w:t>
      </w:r>
      <w:r w:rsidRPr="001A3179">
        <w:rPr>
          <w:lang w:val="fr-FR"/>
        </w:rPr>
        <w:t>abolition de la peine de mort. Elle s</w:t>
      </w:r>
      <w:r>
        <w:rPr>
          <w:lang w:val="fr-FR"/>
        </w:rPr>
        <w:t>’</w:t>
      </w:r>
      <w:r w:rsidRPr="001A3179">
        <w:rPr>
          <w:lang w:val="fr-FR"/>
        </w:rPr>
        <w:t>attache dans le même temps à soutenir la réadaptation et l</w:t>
      </w:r>
      <w:r>
        <w:rPr>
          <w:lang w:val="fr-FR"/>
        </w:rPr>
        <w:t>’</w:t>
      </w:r>
      <w:r w:rsidRPr="001A3179">
        <w:rPr>
          <w:lang w:val="fr-FR"/>
        </w:rPr>
        <w:t>accompagnement des victimes. En 2009, la Slovénie a ainsi versé une contribution volontaire de 11</w:t>
      </w:r>
      <w:r w:rsidR="00E25761">
        <w:rPr>
          <w:lang w:val="fr-FR"/>
        </w:rPr>
        <w:t> </w:t>
      </w:r>
      <w:r w:rsidRPr="001A3179">
        <w:rPr>
          <w:lang w:val="fr-FR"/>
        </w:rPr>
        <w:t>500</w:t>
      </w:r>
      <w:r w:rsidR="00E25761">
        <w:rPr>
          <w:lang w:val="fr-FR"/>
        </w:rPr>
        <w:t> </w:t>
      </w:r>
      <w:r w:rsidRPr="001A3179">
        <w:rPr>
          <w:lang w:val="fr-FR"/>
        </w:rPr>
        <w:t xml:space="preserve">euros au Fonds de contributions volontaires des Nations </w:t>
      </w:r>
      <w:r w:rsidR="00E25761">
        <w:rPr>
          <w:lang w:val="fr-FR"/>
        </w:rPr>
        <w:t>U</w:t>
      </w:r>
      <w:r w:rsidRPr="001A3179">
        <w:rPr>
          <w:lang w:val="fr-FR"/>
        </w:rPr>
        <w:t>nies pour les victimes de la torture. Elle verse aussi parfois des contributions volontaires au Fonds au profit des victimes</w:t>
      </w:r>
      <w:r>
        <w:rPr>
          <w:lang w:val="fr-FR"/>
        </w:rPr>
        <w:t xml:space="preserve">, </w:t>
      </w:r>
      <w:r w:rsidRPr="001A3179">
        <w:rPr>
          <w:lang w:val="fr-FR"/>
        </w:rPr>
        <w:t>relevant de la compétence de la Cour pénale internationale (crimes de guerre, crimes contre l</w:t>
      </w:r>
      <w:r>
        <w:rPr>
          <w:lang w:val="fr-FR"/>
        </w:rPr>
        <w:t>’</w:t>
      </w:r>
      <w:r w:rsidRPr="001A3179">
        <w:rPr>
          <w:lang w:val="fr-FR"/>
        </w:rPr>
        <w:t>humanité et génocide), à savoir 15</w:t>
      </w:r>
      <w:r w:rsidR="00E25761">
        <w:rPr>
          <w:lang w:val="fr-FR"/>
        </w:rPr>
        <w:t> </w:t>
      </w:r>
      <w:r w:rsidRPr="001A3179">
        <w:rPr>
          <w:lang w:val="fr-FR"/>
        </w:rPr>
        <w:t>000</w:t>
      </w:r>
      <w:r w:rsidR="00E25761">
        <w:rPr>
          <w:lang w:val="fr-FR"/>
        </w:rPr>
        <w:t> </w:t>
      </w:r>
      <w:r w:rsidRPr="001A3179">
        <w:rPr>
          <w:lang w:val="fr-FR"/>
        </w:rPr>
        <w:t>euros en 2009 et 2013 et 10</w:t>
      </w:r>
      <w:r w:rsidR="00E25761">
        <w:rPr>
          <w:lang w:val="fr-FR"/>
        </w:rPr>
        <w:t> </w:t>
      </w:r>
      <w:r w:rsidRPr="001A3179">
        <w:rPr>
          <w:lang w:val="fr-FR"/>
        </w:rPr>
        <w:t>000</w:t>
      </w:r>
      <w:r w:rsidR="00E25761">
        <w:rPr>
          <w:lang w:val="fr-FR"/>
        </w:rPr>
        <w:t> </w:t>
      </w:r>
      <w:r w:rsidRPr="001A3179">
        <w:rPr>
          <w:lang w:val="fr-FR"/>
        </w:rPr>
        <w:t>en 2017. Dans les enceintes internationales</w:t>
      </w:r>
      <w:r>
        <w:rPr>
          <w:lang w:val="fr-FR"/>
        </w:rPr>
        <w:t>,</w:t>
      </w:r>
      <w:r w:rsidRPr="001A3179">
        <w:rPr>
          <w:lang w:val="fr-FR"/>
        </w:rPr>
        <w:t xml:space="preserve"> la Slovénie est aussi particulièrement active dans le domaine de la défense de l</w:t>
      </w:r>
      <w:r>
        <w:rPr>
          <w:lang w:val="fr-FR"/>
        </w:rPr>
        <w:t>’</w:t>
      </w:r>
      <w:r w:rsidRPr="001A3179">
        <w:rPr>
          <w:lang w:val="fr-FR"/>
        </w:rPr>
        <w:t xml:space="preserve">égalité entre femmes et hommes et des droits humains des femmes : en 2009 elle a versé </w:t>
      </w:r>
      <w:r>
        <w:rPr>
          <w:lang w:val="fr-FR"/>
        </w:rPr>
        <w:t xml:space="preserve">à ce titre </w:t>
      </w:r>
      <w:r w:rsidRPr="001A3179">
        <w:rPr>
          <w:lang w:val="fr-FR"/>
        </w:rPr>
        <w:t>une contribution de 11</w:t>
      </w:r>
      <w:r w:rsidR="00E25761">
        <w:rPr>
          <w:lang w:val="fr-FR"/>
        </w:rPr>
        <w:t> </w:t>
      </w:r>
      <w:r w:rsidRPr="001A3179">
        <w:rPr>
          <w:lang w:val="fr-FR"/>
        </w:rPr>
        <w:t>500</w:t>
      </w:r>
      <w:r w:rsidR="00E25761">
        <w:rPr>
          <w:lang w:val="fr-FR"/>
        </w:rPr>
        <w:t> </w:t>
      </w:r>
      <w:r w:rsidRPr="001A3179">
        <w:rPr>
          <w:lang w:val="fr-FR"/>
        </w:rPr>
        <w:t>euros au Fonds d</w:t>
      </w:r>
      <w:r>
        <w:rPr>
          <w:lang w:val="fr-FR"/>
        </w:rPr>
        <w:t>’</w:t>
      </w:r>
      <w:r w:rsidRPr="001A3179">
        <w:rPr>
          <w:lang w:val="fr-FR"/>
        </w:rPr>
        <w:t xml:space="preserve">affectation spéciale des Nations </w:t>
      </w:r>
      <w:r w:rsidR="00E25761">
        <w:rPr>
          <w:lang w:val="fr-FR"/>
        </w:rPr>
        <w:t>U</w:t>
      </w:r>
      <w:r w:rsidRPr="001A3179">
        <w:rPr>
          <w:lang w:val="fr-FR"/>
        </w:rPr>
        <w:t>nies pour l</w:t>
      </w:r>
      <w:r>
        <w:rPr>
          <w:lang w:val="fr-FR"/>
        </w:rPr>
        <w:t>’</w:t>
      </w:r>
      <w:r w:rsidRPr="001A3179">
        <w:rPr>
          <w:lang w:val="fr-FR"/>
        </w:rPr>
        <w:t>élimination de la violence à l</w:t>
      </w:r>
      <w:r>
        <w:rPr>
          <w:lang w:val="fr-FR"/>
        </w:rPr>
        <w:t>’</w:t>
      </w:r>
      <w:r w:rsidRPr="001A3179">
        <w:rPr>
          <w:lang w:val="fr-FR"/>
        </w:rPr>
        <w:t>égard des femmes.</w:t>
      </w:r>
    </w:p>
    <w:p w14:paraId="77BE86D3" w14:textId="77777777" w:rsidR="002A5EB2" w:rsidRPr="001A3179" w:rsidRDefault="002A5EB2" w:rsidP="00E25761">
      <w:pPr>
        <w:pStyle w:val="SingleTxtG"/>
        <w:spacing w:line="230" w:lineRule="atLeast"/>
        <w:rPr>
          <w:lang w:val="fr-FR"/>
        </w:rPr>
      </w:pPr>
      <w:r w:rsidRPr="001A3179">
        <w:rPr>
          <w:lang w:val="fr-FR"/>
        </w:rPr>
        <w:t>187.</w:t>
      </w:r>
      <w:r w:rsidRPr="001A3179">
        <w:rPr>
          <w:lang w:val="fr-FR"/>
        </w:rPr>
        <w:tab/>
        <w:t xml:space="preserve">La Slovénie tient aussi à signaler au Comité, eu égard à ses compétences, que la modification </w:t>
      </w:r>
      <w:proofErr w:type="spellStart"/>
      <w:r w:rsidRPr="001A3179">
        <w:rPr>
          <w:lang w:val="fr-FR"/>
        </w:rPr>
        <w:t>ZNPPol</w:t>
      </w:r>
      <w:proofErr w:type="spellEnd"/>
      <w:r w:rsidRPr="001A3179">
        <w:rPr>
          <w:lang w:val="fr-FR"/>
        </w:rPr>
        <w:t>-A apportée à la loi sur les fonctions et les pouvoirs de la police (Journal officiel de la République de Slovénie [</w:t>
      </w:r>
      <w:proofErr w:type="spellStart"/>
      <w:r w:rsidRPr="001A3179">
        <w:rPr>
          <w:i/>
          <w:iCs/>
          <w:lang w:val="fr-FR"/>
        </w:rPr>
        <w:t>Uradni</w:t>
      </w:r>
      <w:proofErr w:type="spellEnd"/>
      <w:r w:rsidRPr="001A3179">
        <w:rPr>
          <w:i/>
          <w:iCs/>
          <w:lang w:val="fr-FR"/>
        </w:rPr>
        <w:t xml:space="preserve"> </w:t>
      </w:r>
      <w:proofErr w:type="spellStart"/>
      <w:r w:rsidRPr="001A3179">
        <w:rPr>
          <w:i/>
          <w:iCs/>
          <w:lang w:val="fr-FR"/>
        </w:rPr>
        <w:t>list</w:t>
      </w:r>
      <w:proofErr w:type="spellEnd"/>
      <w:r w:rsidRPr="001A3179">
        <w:rPr>
          <w:i/>
          <w:iCs/>
          <w:lang w:val="fr-FR"/>
        </w:rPr>
        <w:t xml:space="preserve"> RS</w:t>
      </w:r>
      <w:r w:rsidRPr="001A3179">
        <w:rPr>
          <w:lang w:val="fr-FR"/>
        </w:rPr>
        <w:t xml:space="preserve">], </w:t>
      </w:r>
      <w:r w:rsidR="003D71A8" w:rsidRPr="003D71A8">
        <w:rPr>
          <w:rFonts w:eastAsia="MS Mincho"/>
          <w:szCs w:val="22"/>
          <w:lang w:val="fr-FR"/>
        </w:rPr>
        <w:t>n</w:t>
      </w:r>
      <w:r w:rsidR="003D71A8" w:rsidRPr="003D71A8">
        <w:rPr>
          <w:rFonts w:eastAsia="MS Mincho"/>
          <w:szCs w:val="22"/>
          <w:vertAlign w:val="superscript"/>
          <w:lang w:val="fr-FR"/>
        </w:rPr>
        <w:t>o</w:t>
      </w:r>
      <w:r w:rsidR="003D71A8">
        <w:rPr>
          <w:lang w:val="fr-FR"/>
        </w:rPr>
        <w:t> </w:t>
      </w:r>
      <w:r w:rsidRPr="001A3179">
        <w:rPr>
          <w:lang w:val="fr-FR"/>
        </w:rPr>
        <w:t>10/17), a introduit dans le système juridique slovène</w:t>
      </w:r>
      <w:r w:rsidRPr="005E21BB">
        <w:rPr>
          <w:lang w:val="fr-FR"/>
        </w:rPr>
        <w:t xml:space="preserve"> </w:t>
      </w:r>
      <w:r w:rsidRPr="009408DC">
        <w:rPr>
          <w:lang w:val="fr-FR"/>
        </w:rPr>
        <w:t>un nouveau dispositif de contrainte</w:t>
      </w:r>
      <w:r>
        <w:rPr>
          <w:lang w:val="fr-FR"/>
        </w:rPr>
        <w:t xml:space="preserve">, à savoir le </w:t>
      </w:r>
      <w:r w:rsidRPr="001A3179">
        <w:rPr>
          <w:lang w:val="fr-FR"/>
        </w:rPr>
        <w:t>pistolet à impulsion électrique (</w:t>
      </w:r>
      <w:proofErr w:type="spellStart"/>
      <w:r w:rsidR="00E25761">
        <w:rPr>
          <w:lang w:val="fr-FR"/>
        </w:rPr>
        <w:t>t</w:t>
      </w:r>
      <w:r w:rsidRPr="001A3179">
        <w:rPr>
          <w:lang w:val="fr-FR"/>
        </w:rPr>
        <w:t>aser</w:t>
      </w:r>
      <w:proofErr w:type="spellEnd"/>
      <w:r w:rsidRPr="001A3179">
        <w:rPr>
          <w:lang w:val="fr-FR"/>
        </w:rPr>
        <w:t xml:space="preserve">), </w:t>
      </w:r>
      <w:r>
        <w:rPr>
          <w:lang w:val="fr-FR"/>
        </w:rPr>
        <w:t xml:space="preserve">du fait que </w:t>
      </w:r>
      <w:r w:rsidRPr="001A3179">
        <w:rPr>
          <w:lang w:val="fr-FR"/>
        </w:rPr>
        <w:t>l</w:t>
      </w:r>
      <w:r>
        <w:rPr>
          <w:lang w:val="fr-FR"/>
        </w:rPr>
        <w:t>’</w:t>
      </w:r>
      <w:r w:rsidRPr="001A3179">
        <w:rPr>
          <w:lang w:val="fr-FR"/>
        </w:rPr>
        <w:t>expérience pratique avait montré que les policiers ne disposaient pas jusque-là d</w:t>
      </w:r>
      <w:r>
        <w:rPr>
          <w:lang w:val="fr-FR"/>
        </w:rPr>
        <w:t>’</w:t>
      </w:r>
      <w:r w:rsidRPr="001A3179">
        <w:rPr>
          <w:lang w:val="fr-FR"/>
        </w:rPr>
        <w:t>un moyen de contrainte leur permettant de maîtriser à bonne distance une personne leur opposant une résistance active ou les menaçant d</w:t>
      </w:r>
      <w:r>
        <w:rPr>
          <w:lang w:val="fr-FR"/>
        </w:rPr>
        <w:t>’</w:t>
      </w:r>
      <w:r w:rsidRPr="001A3179">
        <w:rPr>
          <w:lang w:val="fr-FR"/>
        </w:rPr>
        <w:t>une arme.</w:t>
      </w:r>
    </w:p>
    <w:p w14:paraId="6347383F" w14:textId="77777777" w:rsidR="002A5EB2" w:rsidRPr="001A3179" w:rsidRDefault="002A5EB2" w:rsidP="00E25761">
      <w:pPr>
        <w:pStyle w:val="SingleTxtG"/>
        <w:spacing w:line="230" w:lineRule="atLeast"/>
        <w:rPr>
          <w:lang w:val="fr-FR"/>
        </w:rPr>
      </w:pPr>
      <w:r w:rsidRPr="001A3179">
        <w:rPr>
          <w:lang w:val="fr-FR"/>
        </w:rPr>
        <w:t>188.</w:t>
      </w:r>
      <w:r w:rsidRPr="001A3179">
        <w:rPr>
          <w:lang w:val="fr-FR"/>
        </w:rPr>
        <w:tab/>
        <w:t xml:space="preserve">Conformément aux recommandations du Comité européen pour la prévention de la torture et des peines ou traitements inhumains ou dégradants, </w:t>
      </w:r>
      <w:r>
        <w:rPr>
          <w:lang w:val="fr-FR"/>
        </w:rPr>
        <w:t xml:space="preserve">à défaut </w:t>
      </w:r>
      <w:r w:rsidRPr="001A3179">
        <w:rPr>
          <w:lang w:val="fr-FR"/>
        </w:rPr>
        <w:t>d</w:t>
      </w:r>
      <w:r>
        <w:rPr>
          <w:lang w:val="fr-FR"/>
        </w:rPr>
        <w:t>’</w:t>
      </w:r>
      <w:r w:rsidRPr="001A3179">
        <w:rPr>
          <w:lang w:val="fr-FR"/>
        </w:rPr>
        <w:t>autres moyens</w:t>
      </w:r>
      <w:r>
        <w:rPr>
          <w:lang w:val="fr-FR"/>
        </w:rPr>
        <w:t xml:space="preserve"> </w:t>
      </w:r>
      <w:r w:rsidRPr="009408DC">
        <w:rPr>
          <w:lang w:val="fr-FR"/>
        </w:rPr>
        <w:t>un policier peut</w:t>
      </w:r>
      <w:r>
        <w:rPr>
          <w:lang w:val="fr-FR"/>
        </w:rPr>
        <w:t xml:space="preserve"> </w:t>
      </w:r>
      <w:r w:rsidRPr="001A3179">
        <w:rPr>
          <w:lang w:val="fr-FR"/>
        </w:rPr>
        <w:t>faire usage d</w:t>
      </w:r>
      <w:r>
        <w:rPr>
          <w:lang w:val="fr-FR"/>
        </w:rPr>
        <w:t>’</w:t>
      </w:r>
      <w:r w:rsidRPr="001A3179">
        <w:rPr>
          <w:lang w:val="fr-FR"/>
        </w:rPr>
        <w:t xml:space="preserve">un pistolet à impulsion électrique dans </w:t>
      </w:r>
      <w:r>
        <w:rPr>
          <w:lang w:val="fr-FR"/>
        </w:rPr>
        <w:t>les deux seuls cas ci</w:t>
      </w:r>
      <w:r w:rsidR="00E25761">
        <w:rPr>
          <w:lang w:val="fr-FR"/>
        </w:rPr>
        <w:noBreakHyphen/>
      </w:r>
      <w:r>
        <w:rPr>
          <w:lang w:val="fr-FR"/>
        </w:rPr>
        <w:t>après</w:t>
      </w:r>
      <w:r w:rsidR="006B271A">
        <w:rPr>
          <w:lang w:val="fr-FR"/>
        </w:rPr>
        <w:t> </w:t>
      </w:r>
      <w:r w:rsidRPr="001A3179">
        <w:rPr>
          <w:lang w:val="fr-FR"/>
        </w:rPr>
        <w:t>:</w:t>
      </w:r>
    </w:p>
    <w:p w14:paraId="3E45C2CC" w14:textId="77777777" w:rsidR="002A5EB2" w:rsidRPr="001A3179" w:rsidRDefault="002A5EB2" w:rsidP="00E25761">
      <w:pPr>
        <w:pStyle w:val="Bullet1G"/>
        <w:spacing w:line="230" w:lineRule="atLeast"/>
        <w:rPr>
          <w:lang w:val="fr-FR"/>
        </w:rPr>
      </w:pPr>
      <w:r w:rsidRPr="001A3179">
        <w:rPr>
          <w:lang w:val="fr-FR"/>
        </w:rPr>
        <w:t>Contrôler une résistance active ou une attaque avec une arme ou d</w:t>
      </w:r>
      <w:r>
        <w:rPr>
          <w:lang w:val="fr-FR"/>
        </w:rPr>
        <w:t>’</w:t>
      </w:r>
      <w:r w:rsidRPr="001A3179">
        <w:rPr>
          <w:lang w:val="fr-FR"/>
        </w:rPr>
        <w:t>autres objets dangereux (mise en danger de la vie)</w:t>
      </w:r>
      <w:r w:rsidR="006B271A">
        <w:rPr>
          <w:lang w:val="fr-FR"/>
        </w:rPr>
        <w:t> </w:t>
      </w:r>
      <w:r w:rsidRPr="001A3179">
        <w:rPr>
          <w:lang w:val="fr-FR"/>
        </w:rPr>
        <w:t>;</w:t>
      </w:r>
    </w:p>
    <w:p w14:paraId="154ED3E5" w14:textId="77777777" w:rsidR="002A5EB2" w:rsidRPr="001A3179" w:rsidRDefault="002A5EB2" w:rsidP="00E25761">
      <w:pPr>
        <w:pStyle w:val="Bullet1G"/>
        <w:spacing w:line="230" w:lineRule="atLeast"/>
        <w:rPr>
          <w:lang w:val="fr-FR"/>
        </w:rPr>
      </w:pPr>
      <w:r w:rsidRPr="001A3179">
        <w:rPr>
          <w:lang w:val="fr-FR"/>
        </w:rPr>
        <w:t>Prévenir l</w:t>
      </w:r>
      <w:r>
        <w:rPr>
          <w:lang w:val="fr-FR"/>
        </w:rPr>
        <w:t>’</w:t>
      </w:r>
      <w:r w:rsidRPr="001A3179">
        <w:rPr>
          <w:lang w:val="fr-FR"/>
        </w:rPr>
        <w:t>automutilation (danger réel et immédiat pour la vie ou un risque évident de blessures graves).</w:t>
      </w:r>
    </w:p>
    <w:p w14:paraId="0C23AC1F" w14:textId="77777777" w:rsidR="00BA41F4" w:rsidRDefault="002A5EB2" w:rsidP="00E25761">
      <w:pPr>
        <w:pStyle w:val="SingleTxtG"/>
        <w:spacing w:line="230" w:lineRule="atLeast"/>
        <w:rPr>
          <w:lang w:val="fr-FR"/>
        </w:rPr>
      </w:pPr>
      <w:r w:rsidRPr="001A3179">
        <w:rPr>
          <w:lang w:val="fr-FR"/>
        </w:rPr>
        <w:t>189.</w:t>
      </w:r>
      <w:r w:rsidRPr="001A3179">
        <w:rPr>
          <w:lang w:val="fr-FR"/>
        </w:rPr>
        <w:tab/>
        <w:t>Ces conditions sont assorties de plusieurs garanties visant à assurer l</w:t>
      </w:r>
      <w:r>
        <w:rPr>
          <w:lang w:val="fr-FR"/>
        </w:rPr>
        <w:t>’</w:t>
      </w:r>
      <w:r w:rsidRPr="001A3179">
        <w:rPr>
          <w:lang w:val="fr-FR"/>
        </w:rPr>
        <w:t>usage transparent, professionnel et proportionné d</w:t>
      </w:r>
      <w:r>
        <w:rPr>
          <w:lang w:val="fr-FR"/>
        </w:rPr>
        <w:t>’</w:t>
      </w:r>
      <w:r w:rsidRPr="001A3179">
        <w:rPr>
          <w:lang w:val="fr-FR"/>
        </w:rPr>
        <w:t>un pistolet à impulsion électrique, afin que les conséquences de cet usage soient aussi réduites que possible et s</w:t>
      </w:r>
      <w:r>
        <w:rPr>
          <w:lang w:val="fr-FR"/>
        </w:rPr>
        <w:t>’</w:t>
      </w:r>
      <w:r w:rsidRPr="001A3179">
        <w:rPr>
          <w:lang w:val="fr-FR"/>
        </w:rPr>
        <w:t>estompent aussi vite que possible.</w:t>
      </w:r>
    </w:p>
    <w:p w14:paraId="4F8ED004" w14:textId="77777777" w:rsidR="002A5EB2" w:rsidRPr="002A5EB2" w:rsidRDefault="002A5EB2" w:rsidP="00E25761">
      <w:pPr>
        <w:pStyle w:val="SingleTxtG"/>
        <w:spacing w:before="120" w:after="0"/>
        <w:jc w:val="center"/>
        <w:rPr>
          <w:u w:val="single"/>
        </w:rPr>
      </w:pPr>
      <w:r>
        <w:rPr>
          <w:u w:val="single"/>
        </w:rPr>
        <w:tab/>
      </w:r>
      <w:r>
        <w:rPr>
          <w:u w:val="single"/>
        </w:rPr>
        <w:tab/>
      </w:r>
      <w:r>
        <w:rPr>
          <w:u w:val="single"/>
        </w:rPr>
        <w:tab/>
      </w:r>
    </w:p>
    <w:sectPr w:rsidR="002A5EB2" w:rsidRPr="002A5EB2" w:rsidSect="002A5EB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1608" w14:textId="77777777" w:rsidR="00E51827" w:rsidRPr="009C4D45" w:rsidRDefault="00E51827" w:rsidP="009C4D45">
      <w:pPr>
        <w:pStyle w:val="Pieddepage"/>
      </w:pPr>
    </w:p>
  </w:endnote>
  <w:endnote w:type="continuationSeparator" w:id="0">
    <w:p w14:paraId="18E1AC69" w14:textId="77777777" w:rsidR="00E51827" w:rsidRPr="009C4D45" w:rsidRDefault="00E51827" w:rsidP="009C4D45">
      <w:pPr>
        <w:pStyle w:val="Pieddepage"/>
      </w:pPr>
    </w:p>
  </w:endnote>
  <w:endnote w:type="continuationNotice" w:id="1">
    <w:p w14:paraId="265E4197" w14:textId="77777777" w:rsidR="00E51827" w:rsidRDefault="00E51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D8A5" w14:textId="77777777" w:rsidR="00E51827" w:rsidRPr="002A5EB2" w:rsidRDefault="00E51827" w:rsidP="002A5EB2">
    <w:pPr>
      <w:pStyle w:val="Pieddepage"/>
      <w:tabs>
        <w:tab w:val="right" w:pos="9638"/>
      </w:tabs>
    </w:pPr>
    <w:r w:rsidRPr="002A5EB2">
      <w:rPr>
        <w:b/>
        <w:sz w:val="18"/>
      </w:rPr>
      <w:fldChar w:fldCharType="begin"/>
    </w:r>
    <w:r w:rsidRPr="002A5EB2">
      <w:rPr>
        <w:b/>
        <w:sz w:val="18"/>
      </w:rPr>
      <w:instrText xml:space="preserve"> PAGE  \* MERGEFORMAT </w:instrText>
    </w:r>
    <w:r w:rsidRPr="002A5EB2">
      <w:rPr>
        <w:b/>
        <w:sz w:val="18"/>
      </w:rPr>
      <w:fldChar w:fldCharType="separate"/>
    </w:r>
    <w:r w:rsidRPr="002A5EB2">
      <w:rPr>
        <w:b/>
        <w:noProof/>
        <w:sz w:val="18"/>
      </w:rPr>
      <w:t>2</w:t>
    </w:r>
    <w:r w:rsidRPr="002A5EB2">
      <w:rPr>
        <w:b/>
        <w:sz w:val="18"/>
      </w:rPr>
      <w:fldChar w:fldCharType="end"/>
    </w:r>
    <w:r>
      <w:rPr>
        <w:b/>
        <w:sz w:val="18"/>
      </w:rPr>
      <w:tab/>
    </w:r>
    <w:r>
      <w:t>GE.20-03699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3324" w14:textId="77777777" w:rsidR="00E51827" w:rsidRPr="002A5EB2" w:rsidRDefault="00E51827" w:rsidP="002A5EB2">
    <w:pPr>
      <w:pStyle w:val="Pieddepage"/>
      <w:tabs>
        <w:tab w:val="right" w:pos="9638"/>
      </w:tabs>
      <w:rPr>
        <w:b/>
        <w:sz w:val="18"/>
      </w:rPr>
    </w:pPr>
    <w:r>
      <w:t>GE.20-03699</w:t>
    </w:r>
    <w:r>
      <w:tab/>
    </w:r>
    <w:r w:rsidRPr="002A5EB2">
      <w:rPr>
        <w:b/>
        <w:sz w:val="18"/>
      </w:rPr>
      <w:fldChar w:fldCharType="begin"/>
    </w:r>
    <w:r w:rsidRPr="002A5EB2">
      <w:rPr>
        <w:b/>
        <w:sz w:val="18"/>
      </w:rPr>
      <w:instrText xml:space="preserve"> PAGE  \* MERGEFORMAT </w:instrText>
    </w:r>
    <w:r w:rsidRPr="002A5EB2">
      <w:rPr>
        <w:b/>
        <w:sz w:val="18"/>
      </w:rPr>
      <w:fldChar w:fldCharType="separate"/>
    </w:r>
    <w:r w:rsidRPr="002A5EB2">
      <w:rPr>
        <w:b/>
        <w:noProof/>
        <w:sz w:val="18"/>
      </w:rPr>
      <w:t>3</w:t>
    </w:r>
    <w:r w:rsidRPr="002A5E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FB77" w14:textId="77777777" w:rsidR="00E51827" w:rsidRPr="002A5EB2" w:rsidRDefault="00E51827" w:rsidP="002A5EB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2C82F7E" wp14:editId="34D2F1F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20-03699  (F)    260520    280520</w:t>
    </w:r>
    <w:r>
      <w:rPr>
        <w:sz w:val="20"/>
      </w:rPr>
      <w:br/>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sidRPr="002A5EB2">
      <w:rPr>
        <w:rFonts w:ascii="C39T30Lfz" w:hAnsi="C39T30Lfz"/>
        <w:sz w:val="56"/>
      </w:rPr>
      <w:t></w:t>
    </w:r>
    <w:r>
      <w:rPr>
        <w:noProof/>
        <w:sz w:val="20"/>
      </w:rPr>
      <w:drawing>
        <wp:anchor distT="0" distB="0" distL="114300" distR="114300" simplePos="0" relativeHeight="251658240" behindDoc="0" locked="0" layoutInCell="1" allowOverlap="1" wp14:anchorId="1B99F1AB" wp14:editId="7BD8EB88">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SVN/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VN/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14F9" w14:textId="77777777" w:rsidR="00E51827" w:rsidRPr="009C4D45" w:rsidRDefault="00E51827" w:rsidP="009C4D45">
      <w:pPr>
        <w:pStyle w:val="Pieddepage"/>
        <w:tabs>
          <w:tab w:val="right" w:pos="2155"/>
        </w:tabs>
        <w:spacing w:after="80" w:line="240" w:lineRule="atLeast"/>
        <w:ind w:left="680"/>
        <w:rPr>
          <w:u w:val="single"/>
        </w:rPr>
      </w:pPr>
      <w:r>
        <w:rPr>
          <w:u w:val="single"/>
        </w:rPr>
        <w:tab/>
      </w:r>
    </w:p>
  </w:footnote>
  <w:footnote w:type="continuationSeparator" w:id="0">
    <w:p w14:paraId="54367A06" w14:textId="77777777" w:rsidR="00E51827" w:rsidRPr="00035AE4" w:rsidRDefault="00E51827" w:rsidP="00035AE4">
      <w:pPr>
        <w:pStyle w:val="Pieddepage"/>
        <w:tabs>
          <w:tab w:val="right" w:pos="2155"/>
        </w:tabs>
        <w:spacing w:after="80" w:line="240" w:lineRule="atLeast"/>
        <w:ind w:left="680"/>
        <w:rPr>
          <w:u w:val="single"/>
        </w:rPr>
      </w:pPr>
      <w:r>
        <w:rPr>
          <w:u w:val="single"/>
        </w:rPr>
        <w:tab/>
      </w:r>
    </w:p>
  </w:footnote>
  <w:footnote w:type="continuationNotice" w:id="1">
    <w:p w14:paraId="57BD0BF8" w14:textId="77777777" w:rsidR="00E51827" w:rsidRPr="00035AE4" w:rsidRDefault="00E51827">
      <w:pPr>
        <w:spacing w:line="240" w:lineRule="auto"/>
        <w:rPr>
          <w:sz w:val="2"/>
          <w:szCs w:val="2"/>
        </w:rPr>
      </w:pPr>
    </w:p>
  </w:footnote>
  <w:footnote w:id="2">
    <w:p w14:paraId="4BD0CC5F" w14:textId="77777777" w:rsidR="00E51827" w:rsidRPr="002A5EB2" w:rsidRDefault="00E51827">
      <w:pPr>
        <w:pStyle w:val="Notedebasdepage"/>
      </w:pPr>
      <w:r>
        <w:rPr>
          <w:rStyle w:val="Appelnotedebasdep"/>
        </w:rPr>
        <w:tab/>
      </w:r>
      <w:r w:rsidRPr="002A5EB2">
        <w:rPr>
          <w:rStyle w:val="Appelnotedebasdep"/>
          <w:sz w:val="20"/>
          <w:vertAlign w:val="baseline"/>
        </w:rPr>
        <w:t>*</w:t>
      </w:r>
      <w:r w:rsidRPr="002A5EB2">
        <w:rPr>
          <w:sz w:val="20"/>
        </w:rPr>
        <w:t xml:space="preserve"> </w:t>
      </w:r>
      <w:r>
        <w:rPr>
          <w:sz w:val="20"/>
        </w:rPr>
        <w:tab/>
      </w:r>
      <w:r w:rsidRPr="00730823">
        <w:rPr>
          <w:lang w:val="fr-FR"/>
        </w:rPr>
        <w:t>La version originale du présent document n</w:t>
      </w:r>
      <w:r>
        <w:rPr>
          <w:lang w:val="fr-FR"/>
        </w:rPr>
        <w:t>’</w:t>
      </w:r>
      <w:r w:rsidRPr="00730823">
        <w:rPr>
          <w:lang w:val="fr-FR"/>
        </w:rPr>
        <w:t>a pas été revue par les services d</w:t>
      </w:r>
      <w:r>
        <w:rPr>
          <w:lang w:val="fr-FR"/>
        </w:rPr>
        <w:t>’</w:t>
      </w:r>
      <w:r w:rsidRPr="00730823">
        <w:rPr>
          <w:lang w:val="fr-FR"/>
        </w:rPr>
        <w:t>édition</w:t>
      </w:r>
      <w:r w:rsidRPr="00B5398E">
        <w:rPr>
          <w:lang w:val="fr-FR"/>
        </w:rPr>
        <w:t>.</w:t>
      </w:r>
    </w:p>
  </w:footnote>
  <w:footnote w:id="3">
    <w:p w14:paraId="243D3E0B" w14:textId="77777777" w:rsidR="00E51827" w:rsidRPr="002A5EB2" w:rsidRDefault="00E51827">
      <w:pPr>
        <w:pStyle w:val="Notedebasdepage"/>
        <w:rPr>
          <w:lang w:val="fr-FR"/>
        </w:rPr>
      </w:pPr>
      <w:r>
        <w:rPr>
          <w:rStyle w:val="Appelnotedebasdep"/>
        </w:rPr>
        <w:tab/>
      </w:r>
      <w:r w:rsidRPr="002A5EB2">
        <w:rPr>
          <w:rStyle w:val="Appelnotedebasdep"/>
          <w:sz w:val="20"/>
          <w:vertAlign w:val="baseline"/>
        </w:rPr>
        <w:t>**</w:t>
      </w:r>
      <w:r>
        <w:rPr>
          <w:rStyle w:val="Appelnotedebasdep"/>
          <w:sz w:val="20"/>
          <w:vertAlign w:val="baseline"/>
        </w:rPr>
        <w:tab/>
      </w:r>
      <w:r w:rsidRPr="00806561">
        <w:rPr>
          <w:sz w:val="20"/>
          <w:lang w:val="fr-FR"/>
        </w:rPr>
        <w:t xml:space="preserve">Les annexes au présent rapport </w:t>
      </w:r>
      <w:r w:rsidRPr="00B34DCD">
        <w:rPr>
          <w:sz w:val="20"/>
          <w:lang w:val="fr-FR"/>
        </w:rPr>
        <w:t xml:space="preserve">peuvent être consultées </w:t>
      </w:r>
      <w:r w:rsidRPr="00806561">
        <w:rPr>
          <w:sz w:val="20"/>
          <w:lang w:val="fr-FR"/>
        </w:rPr>
        <w:t>sur la page web du Comité.</w:t>
      </w:r>
    </w:p>
  </w:footnote>
  <w:footnote w:id="4">
    <w:p w14:paraId="5C81E431" w14:textId="560CBEEC" w:rsidR="00E51827" w:rsidRPr="001C2126" w:rsidRDefault="00E51827" w:rsidP="002A5EB2">
      <w:pPr>
        <w:pStyle w:val="Notedebasdepage"/>
        <w:rPr>
          <w:lang w:val="fr-FR"/>
        </w:rPr>
      </w:pPr>
      <w:r w:rsidRPr="00806561">
        <w:rPr>
          <w:lang w:val="fr-FR"/>
        </w:rPr>
        <w:tab/>
      </w:r>
      <w:r w:rsidRPr="0017324C">
        <w:rPr>
          <w:rStyle w:val="Appelnotedebasdep"/>
        </w:rPr>
        <w:footnoteRef/>
      </w:r>
      <w:r w:rsidRPr="00B5398E">
        <w:rPr>
          <w:lang w:val="fr-FR"/>
        </w:rPr>
        <w:tab/>
      </w:r>
      <w:r w:rsidRPr="002402AF">
        <w:rPr>
          <w:lang w:val="fr-FR"/>
        </w:rPr>
        <w:t>Journal officiel de la République de Slovénie [</w:t>
      </w:r>
      <w:proofErr w:type="spellStart"/>
      <w:r w:rsidRPr="002402AF">
        <w:rPr>
          <w:lang w:val="fr-FR"/>
        </w:rPr>
        <w:t>Uradni</w:t>
      </w:r>
      <w:proofErr w:type="spellEnd"/>
      <w:r w:rsidRPr="00B5398E">
        <w:rPr>
          <w:lang w:val="fr-FR"/>
        </w:rPr>
        <w:t xml:space="preserve"> </w:t>
      </w:r>
      <w:proofErr w:type="spellStart"/>
      <w:r w:rsidRPr="00B5398E">
        <w:rPr>
          <w:lang w:val="fr-FR"/>
        </w:rPr>
        <w:t>list</w:t>
      </w:r>
      <w:proofErr w:type="spellEnd"/>
      <w:r w:rsidRPr="00B5398E">
        <w:rPr>
          <w:lang w:val="fr-FR"/>
        </w:rPr>
        <w:t xml:space="preserve"> RS], n</w:t>
      </w:r>
      <w:r w:rsidRPr="00ED0798">
        <w:rPr>
          <w:vertAlign w:val="superscript"/>
          <w:lang w:val="fr-FR"/>
        </w:rPr>
        <w:t>os</w:t>
      </w:r>
      <w:r w:rsidRPr="00B5398E">
        <w:rPr>
          <w:lang w:val="fr-FR"/>
        </w:rPr>
        <w:t xml:space="preserve"> </w:t>
      </w:r>
      <w:hyperlink r:id="rId1" w:tgtFrame="_blank" w:tooltip="Criminal Code (official consolidated version)" w:history="1">
        <w:r w:rsidRPr="001C2126">
          <w:rPr>
            <w:lang w:val="fr-FR"/>
          </w:rPr>
          <w:t>50/12</w:t>
        </w:r>
      </w:hyperlink>
      <w:r w:rsidRPr="001C2126">
        <w:rPr>
          <w:lang w:val="fr-FR"/>
        </w:rPr>
        <w:t xml:space="preserve"> – version officielle consolidée, </w:t>
      </w:r>
      <w:hyperlink r:id="rId2" w:tgtFrame="_blank" w:tooltip="Correction of the official consolidated version of the Criminal Code (KZ-1-UPB2p)" w:history="1">
        <w:r w:rsidRPr="001C2126">
          <w:rPr>
            <w:lang w:val="fr-FR"/>
          </w:rPr>
          <w:t>6/16 – corr.</w:t>
        </w:r>
      </w:hyperlink>
      <w:r w:rsidRPr="001C2126">
        <w:rPr>
          <w:lang w:val="fr-FR"/>
        </w:rPr>
        <w:t xml:space="preserve">, </w:t>
      </w:r>
      <w:hyperlink r:id="rId3" w:tgtFrame="_blank" w:tooltip="Act Amending the Criminal Code" w:history="1">
        <w:r w:rsidRPr="001C2126">
          <w:rPr>
            <w:lang w:val="fr-FR"/>
          </w:rPr>
          <w:t>54/15</w:t>
        </w:r>
      </w:hyperlink>
      <w:r w:rsidRPr="001C2126">
        <w:rPr>
          <w:lang w:val="fr-FR"/>
        </w:rPr>
        <w:t xml:space="preserve">, </w:t>
      </w:r>
      <w:hyperlink r:id="rId4" w:tgtFrame="_blank" w:tooltip="Act Amending the Criminal Code" w:history="1">
        <w:r w:rsidRPr="001C2126">
          <w:rPr>
            <w:lang w:val="fr-FR"/>
          </w:rPr>
          <w:t>38/16</w:t>
        </w:r>
      </w:hyperlink>
      <w:r w:rsidRPr="001C2126">
        <w:rPr>
          <w:lang w:val="fr-FR"/>
        </w:rPr>
        <w:t xml:space="preserve"> et </w:t>
      </w:r>
      <w:hyperlink r:id="rId5" w:tgtFrame="_blank" w:tooltip="Act Amending the Criminal Code" w:history="1">
        <w:r w:rsidRPr="001C2126">
          <w:rPr>
            <w:lang w:val="fr-FR"/>
          </w:rPr>
          <w:t>27/17</w:t>
        </w:r>
      </w:hyperlink>
      <w:r w:rsidRPr="001C2126">
        <w:rPr>
          <w:lang w:val="fr-FR"/>
        </w:rPr>
        <w:t>.</w:t>
      </w:r>
    </w:p>
  </w:footnote>
  <w:footnote w:id="5">
    <w:p w14:paraId="7E1C0E7A" w14:textId="77777777" w:rsidR="00E51827" w:rsidRPr="0017324C" w:rsidRDefault="00E51827" w:rsidP="002A5EB2">
      <w:pPr>
        <w:pStyle w:val="Notedebasdepage"/>
        <w:rPr>
          <w:lang w:val="en-US"/>
        </w:rPr>
      </w:pPr>
      <w:r w:rsidRPr="001C2126">
        <w:rPr>
          <w:lang w:val="fr-FR"/>
        </w:rPr>
        <w:tab/>
      </w:r>
      <w:r w:rsidRPr="0017324C">
        <w:rPr>
          <w:rStyle w:val="Appelnotedebasdep"/>
        </w:rPr>
        <w:footnoteRef/>
      </w:r>
      <w:r w:rsidRPr="0017324C">
        <w:rPr>
          <w:lang w:val="en-US"/>
        </w:rPr>
        <w:tab/>
      </w:r>
      <w:proofErr w:type="spellStart"/>
      <w:r w:rsidRPr="0017324C">
        <w:rPr>
          <w:lang w:val="en-US"/>
        </w:rPr>
        <w:t>Voir</w:t>
      </w:r>
      <w:proofErr w:type="spellEnd"/>
      <w:r w:rsidRPr="0017324C">
        <w:rPr>
          <w:lang w:val="en-US"/>
        </w:rPr>
        <w:t>: «</w:t>
      </w:r>
      <w:r>
        <w:rPr>
          <w:lang w:val="en-US"/>
        </w:rPr>
        <w:t> </w:t>
      </w:r>
      <w:r w:rsidRPr="0017324C">
        <w:rPr>
          <w:lang w:val="en-US"/>
        </w:rPr>
        <w:t>The United Nations Convention Against Torture: A Commentary</w:t>
      </w:r>
      <w:r>
        <w:rPr>
          <w:lang w:val="en-US"/>
        </w:rPr>
        <w:t> </w:t>
      </w:r>
      <w:r w:rsidRPr="0017324C">
        <w:rPr>
          <w:lang w:val="en-US"/>
        </w:rPr>
        <w:t>» Nowak, Manfred, McArthur, Elizabeth, Oxford University Press, Oxford, 2008, p. 231.</w:t>
      </w:r>
    </w:p>
  </w:footnote>
  <w:footnote w:id="6">
    <w:p w14:paraId="156466FE" w14:textId="77777777" w:rsidR="00E51827" w:rsidRPr="00931884" w:rsidRDefault="00E51827" w:rsidP="002A5EB2">
      <w:pPr>
        <w:pStyle w:val="Notedebasdepage"/>
        <w:rPr>
          <w:lang w:val="fr-FR"/>
        </w:rPr>
      </w:pPr>
      <w:r w:rsidRPr="0017324C">
        <w:rPr>
          <w:lang w:val="en-US"/>
        </w:rPr>
        <w:tab/>
      </w:r>
      <w:r w:rsidRPr="0017324C">
        <w:rPr>
          <w:rStyle w:val="Appelnotedebasdep"/>
        </w:rPr>
        <w:footnoteRef/>
      </w:r>
      <w:r w:rsidRPr="00931884">
        <w:rPr>
          <w:lang w:val="fr-FR"/>
        </w:rPr>
        <w:tab/>
      </w:r>
      <w:r>
        <w:rPr>
          <w:lang w:val="fr-FR"/>
        </w:rPr>
        <w:t xml:space="preserve">Ainsi, </w:t>
      </w:r>
      <w:r w:rsidRPr="00D86280">
        <w:rPr>
          <w:lang w:val="fr-FR"/>
        </w:rPr>
        <w:t xml:space="preserve">l’ancien code pénal </w:t>
      </w:r>
      <w:r>
        <w:rPr>
          <w:lang w:val="fr-FR"/>
        </w:rPr>
        <w:t xml:space="preserve">prévoyait un </w:t>
      </w:r>
      <w:r w:rsidRPr="00D86280">
        <w:rPr>
          <w:lang w:val="fr-FR"/>
        </w:rPr>
        <w:t xml:space="preserve">délai de prescription de </w:t>
      </w:r>
      <w:r>
        <w:rPr>
          <w:lang w:val="fr-FR"/>
        </w:rPr>
        <w:t>dix</w:t>
      </w:r>
      <w:r w:rsidRPr="00D86280">
        <w:rPr>
          <w:lang w:val="fr-FR"/>
        </w:rPr>
        <w:t xml:space="preserve"> ou </w:t>
      </w:r>
      <w:r>
        <w:rPr>
          <w:lang w:val="fr-FR"/>
        </w:rPr>
        <w:t xml:space="preserve">quinze </w:t>
      </w:r>
      <w:r w:rsidRPr="00D86280">
        <w:rPr>
          <w:lang w:val="fr-FR"/>
        </w:rPr>
        <w:t xml:space="preserve">ans </w:t>
      </w:r>
      <w:r>
        <w:rPr>
          <w:lang w:val="fr-FR"/>
        </w:rPr>
        <w:t xml:space="preserve">pour la </w:t>
      </w:r>
      <w:r w:rsidRPr="00931884">
        <w:rPr>
          <w:lang w:val="fr-FR"/>
        </w:rPr>
        <w:t>poursuite d</w:t>
      </w:r>
      <w:r>
        <w:rPr>
          <w:lang w:val="fr-FR"/>
        </w:rPr>
        <w:t>’</w:t>
      </w:r>
      <w:r w:rsidRPr="00931884">
        <w:rPr>
          <w:lang w:val="fr-FR"/>
        </w:rPr>
        <w:t>une infraction pénale entraînant une peine d</w:t>
      </w:r>
      <w:r>
        <w:rPr>
          <w:lang w:val="fr-FR"/>
        </w:rPr>
        <w:t>’</w:t>
      </w:r>
      <w:r w:rsidRPr="00931884">
        <w:rPr>
          <w:lang w:val="fr-FR"/>
        </w:rPr>
        <w:t xml:space="preserve">emprisonnement de même durée que </w:t>
      </w:r>
      <w:r>
        <w:rPr>
          <w:lang w:val="fr-FR"/>
        </w:rPr>
        <w:t xml:space="preserve">celle prévue pour </w:t>
      </w:r>
      <w:r w:rsidRPr="00931884">
        <w:rPr>
          <w:lang w:val="fr-FR"/>
        </w:rPr>
        <w:t>l</w:t>
      </w:r>
      <w:r>
        <w:rPr>
          <w:lang w:val="fr-FR"/>
        </w:rPr>
        <w:t>’</w:t>
      </w:r>
      <w:r w:rsidRPr="00931884">
        <w:rPr>
          <w:lang w:val="fr-FR"/>
        </w:rPr>
        <w:t xml:space="preserve">infraction pénale de torture </w:t>
      </w:r>
      <w:r>
        <w:rPr>
          <w:lang w:val="fr-FR"/>
        </w:rPr>
        <w:t xml:space="preserve">au sens du </w:t>
      </w:r>
      <w:r w:rsidRPr="0075644C">
        <w:rPr>
          <w:lang w:val="fr-FR"/>
        </w:rPr>
        <w:t>Code pénal modifié</w:t>
      </w:r>
      <w:r w:rsidRPr="00931884">
        <w:rPr>
          <w:lang w:val="fr-FR"/>
        </w:rPr>
        <w:t>.</w:t>
      </w:r>
    </w:p>
  </w:footnote>
  <w:footnote w:id="7">
    <w:p w14:paraId="47CFDDBD" w14:textId="77777777" w:rsidR="00E51827" w:rsidRPr="00A47500" w:rsidRDefault="00E51827" w:rsidP="002A5EB2">
      <w:pPr>
        <w:pStyle w:val="Notedebasdepage"/>
        <w:rPr>
          <w:lang w:val="fr-FR"/>
        </w:rPr>
      </w:pPr>
      <w:r w:rsidRPr="00931884">
        <w:rPr>
          <w:lang w:val="fr-FR"/>
        </w:rPr>
        <w:tab/>
      </w:r>
      <w:r w:rsidRPr="0017324C">
        <w:rPr>
          <w:rStyle w:val="Appelnotedebasdep"/>
        </w:rPr>
        <w:footnoteRef/>
      </w:r>
      <w:r w:rsidRPr="00A47500">
        <w:rPr>
          <w:lang w:val="fr-FR"/>
        </w:rPr>
        <w:tab/>
      </w:r>
      <w:r w:rsidRPr="007F4F65">
        <w:rPr>
          <w:spacing w:val="-1"/>
          <w:lang w:val="fr-FR"/>
        </w:rPr>
        <w:t xml:space="preserve">Voir, par exemple, la décision de la Cour constitutionnelle de la Slovénie </w:t>
      </w:r>
      <w:r w:rsidRPr="007F4F65">
        <w:rPr>
          <w:rFonts w:eastAsia="MS Mincho"/>
          <w:spacing w:val="-1"/>
          <w:szCs w:val="22"/>
          <w:lang w:val="fr-FR"/>
        </w:rPr>
        <w:t>n</w:t>
      </w:r>
      <w:r w:rsidRPr="007F4F65">
        <w:rPr>
          <w:rFonts w:eastAsia="MS Mincho"/>
          <w:spacing w:val="-1"/>
          <w:szCs w:val="22"/>
          <w:vertAlign w:val="superscript"/>
          <w:lang w:val="fr-FR"/>
        </w:rPr>
        <w:t>o</w:t>
      </w:r>
      <w:r w:rsidRPr="007F4F65">
        <w:rPr>
          <w:spacing w:val="-1"/>
          <w:lang w:val="fr-FR"/>
        </w:rPr>
        <w:t> Up-762/03 du 7 avril 2005 (Journal officiel de la République de Slovénie [</w:t>
      </w:r>
      <w:proofErr w:type="spellStart"/>
      <w:r w:rsidRPr="007F4F65">
        <w:rPr>
          <w:spacing w:val="-1"/>
          <w:lang w:val="fr-FR"/>
        </w:rPr>
        <w:t>Uradni</w:t>
      </w:r>
      <w:proofErr w:type="spellEnd"/>
      <w:r w:rsidRPr="007F4F65">
        <w:rPr>
          <w:spacing w:val="-1"/>
          <w:lang w:val="fr-FR"/>
        </w:rPr>
        <w:t xml:space="preserve"> </w:t>
      </w:r>
      <w:proofErr w:type="spellStart"/>
      <w:r w:rsidRPr="007F4F65">
        <w:rPr>
          <w:spacing w:val="-1"/>
          <w:lang w:val="fr-FR"/>
        </w:rPr>
        <w:t>list</w:t>
      </w:r>
      <w:proofErr w:type="spellEnd"/>
      <w:r w:rsidRPr="007F4F65">
        <w:rPr>
          <w:spacing w:val="-1"/>
          <w:lang w:val="fr-FR"/>
        </w:rPr>
        <w:t xml:space="preserve"> RS], </w:t>
      </w:r>
      <w:r w:rsidRPr="007F4F65">
        <w:rPr>
          <w:rFonts w:eastAsia="MS Mincho"/>
          <w:spacing w:val="-1"/>
          <w:szCs w:val="22"/>
          <w:lang w:val="fr-FR"/>
        </w:rPr>
        <w:t>n</w:t>
      </w:r>
      <w:r w:rsidRPr="007F4F65">
        <w:rPr>
          <w:rFonts w:eastAsia="MS Mincho"/>
          <w:spacing w:val="-1"/>
          <w:szCs w:val="22"/>
          <w:vertAlign w:val="superscript"/>
          <w:lang w:val="fr-FR"/>
        </w:rPr>
        <w:t>o</w:t>
      </w:r>
      <w:r w:rsidRPr="007F4F65">
        <w:rPr>
          <w:spacing w:val="-1"/>
          <w:lang w:val="fr-FR"/>
        </w:rPr>
        <w:t> 46/2005) et la décision XIV, 39</w:t>
      </w:r>
      <w:r w:rsidRPr="00A47500">
        <w:rPr>
          <w:lang w:val="fr-FR"/>
        </w:rPr>
        <w:t xml:space="preserve"> de la Cour constitutionnelle</w:t>
      </w:r>
      <w:r>
        <w:rPr>
          <w:lang w:val="fr-FR"/>
        </w:rPr>
        <w:t> </w:t>
      </w:r>
      <w:r w:rsidRPr="00A47500">
        <w:rPr>
          <w:lang w:val="fr-FR"/>
        </w:rPr>
        <w:t xml:space="preserve">: </w:t>
      </w:r>
      <w:r>
        <w:rPr>
          <w:lang w:val="fr-FR"/>
        </w:rPr>
        <w:t>« </w:t>
      </w:r>
      <w:r w:rsidRPr="00A47500">
        <w:rPr>
          <w:lang w:val="fr-FR"/>
        </w:rPr>
        <w:t>C</w:t>
      </w:r>
      <w:r>
        <w:rPr>
          <w:lang w:val="fr-FR"/>
        </w:rPr>
        <w:t xml:space="preserve">’est </w:t>
      </w:r>
      <w:r w:rsidRPr="00A47500">
        <w:rPr>
          <w:lang w:val="fr-FR"/>
        </w:rPr>
        <w:t>contraire à l</w:t>
      </w:r>
      <w:r>
        <w:rPr>
          <w:lang w:val="fr-FR"/>
        </w:rPr>
        <w:t>’</w:t>
      </w:r>
      <w:r w:rsidRPr="00A47500">
        <w:rPr>
          <w:lang w:val="fr-FR"/>
        </w:rPr>
        <w:t>obje</w:t>
      </w:r>
      <w:r>
        <w:rPr>
          <w:lang w:val="fr-FR"/>
        </w:rPr>
        <w:t xml:space="preserve">t </w:t>
      </w:r>
      <w:r w:rsidRPr="00A47500">
        <w:rPr>
          <w:lang w:val="fr-FR"/>
        </w:rPr>
        <w:t>même de l</w:t>
      </w:r>
      <w:r>
        <w:rPr>
          <w:lang w:val="fr-FR"/>
        </w:rPr>
        <w:t>’</w:t>
      </w:r>
      <w:r w:rsidRPr="00A47500">
        <w:rPr>
          <w:lang w:val="fr-FR"/>
        </w:rPr>
        <w:t>institution de la prescription, qui est d</w:t>
      </w:r>
      <w:r>
        <w:rPr>
          <w:lang w:val="fr-FR"/>
        </w:rPr>
        <w:t xml:space="preserve">e fixer </w:t>
      </w:r>
      <w:r w:rsidRPr="00A47500">
        <w:rPr>
          <w:lang w:val="fr-FR"/>
        </w:rPr>
        <w:t>l</w:t>
      </w:r>
      <w:r>
        <w:rPr>
          <w:lang w:val="fr-FR"/>
        </w:rPr>
        <w:t>’</w:t>
      </w:r>
      <w:r w:rsidRPr="00A47500">
        <w:rPr>
          <w:lang w:val="fr-FR"/>
        </w:rPr>
        <w:t>ordre juridique et de lever l</w:t>
      </w:r>
      <w:r>
        <w:rPr>
          <w:lang w:val="fr-FR"/>
        </w:rPr>
        <w:t>’</w:t>
      </w:r>
      <w:r w:rsidRPr="00A47500">
        <w:rPr>
          <w:lang w:val="fr-FR"/>
        </w:rPr>
        <w:t>incertitude quant à la possibilité d</w:t>
      </w:r>
      <w:r>
        <w:rPr>
          <w:lang w:val="fr-FR"/>
        </w:rPr>
        <w:t>’</w:t>
      </w:r>
      <w:r w:rsidRPr="00A47500">
        <w:rPr>
          <w:lang w:val="fr-FR"/>
        </w:rPr>
        <w:t>interférer avec les droits des individus, et donc incompatible avec le droit à un procès équitable</w:t>
      </w:r>
      <w:r>
        <w:rPr>
          <w:lang w:val="fr-FR"/>
        </w:rPr>
        <w:t>,</w:t>
      </w:r>
      <w:r w:rsidRPr="00A47500">
        <w:rPr>
          <w:lang w:val="fr-FR"/>
        </w:rPr>
        <w:t xml:space="preserve"> </w:t>
      </w:r>
      <w:r>
        <w:rPr>
          <w:lang w:val="fr-FR"/>
        </w:rPr>
        <w:t xml:space="preserve">qui est un </w:t>
      </w:r>
      <w:r w:rsidRPr="00A47500">
        <w:rPr>
          <w:lang w:val="fr-FR"/>
        </w:rPr>
        <w:t>des aspects du droit à l</w:t>
      </w:r>
      <w:r>
        <w:rPr>
          <w:lang w:val="fr-FR"/>
        </w:rPr>
        <w:t>’</w:t>
      </w:r>
      <w:r w:rsidRPr="00A47500">
        <w:rPr>
          <w:lang w:val="fr-FR"/>
        </w:rPr>
        <w:t xml:space="preserve">égale protection </w:t>
      </w:r>
      <w:r w:rsidRPr="0072665A">
        <w:rPr>
          <w:lang w:val="fr-FR"/>
        </w:rPr>
        <w:t xml:space="preserve">des droits </w:t>
      </w:r>
      <w:r>
        <w:rPr>
          <w:lang w:val="fr-FR"/>
        </w:rPr>
        <w:t xml:space="preserve">qu’énonce </w:t>
      </w:r>
      <w:r w:rsidRPr="00A47500">
        <w:rPr>
          <w:lang w:val="fr-FR"/>
        </w:rPr>
        <w:t>l</w:t>
      </w:r>
      <w:r>
        <w:rPr>
          <w:lang w:val="fr-FR"/>
        </w:rPr>
        <w:t>’</w:t>
      </w:r>
      <w:r w:rsidRPr="00A47500">
        <w:rPr>
          <w:lang w:val="fr-FR"/>
        </w:rPr>
        <w:t>article 22 de la Constitution</w:t>
      </w:r>
      <w:r>
        <w:rPr>
          <w:lang w:val="fr-FR"/>
        </w:rPr>
        <w:t>. »</w:t>
      </w:r>
      <w:r w:rsidRPr="00A47500">
        <w:rPr>
          <w:lang w:val="fr-FR"/>
        </w:rPr>
        <w:t>. La Cour constitutionnelle de la Slovénie a abrogé l</w:t>
      </w:r>
      <w:r>
        <w:rPr>
          <w:lang w:val="fr-FR"/>
        </w:rPr>
        <w:t xml:space="preserve">e Code de </w:t>
      </w:r>
      <w:r w:rsidRPr="00A47500">
        <w:rPr>
          <w:lang w:val="fr-FR"/>
        </w:rPr>
        <w:t xml:space="preserve">procédure pénale </w:t>
      </w:r>
      <w:r>
        <w:rPr>
          <w:lang w:val="fr-FR"/>
        </w:rPr>
        <w:t>en tant que contraire à la C</w:t>
      </w:r>
      <w:r w:rsidRPr="00A47500">
        <w:rPr>
          <w:lang w:val="fr-FR"/>
        </w:rPr>
        <w:t xml:space="preserve">onstitution </w:t>
      </w:r>
      <w:r>
        <w:rPr>
          <w:lang w:val="fr-FR"/>
        </w:rPr>
        <w:t xml:space="preserve">en ce </w:t>
      </w:r>
      <w:r w:rsidRPr="00A47500">
        <w:rPr>
          <w:lang w:val="fr-FR"/>
        </w:rPr>
        <w:t>qu</w:t>
      </w:r>
      <w:r>
        <w:rPr>
          <w:lang w:val="fr-FR"/>
        </w:rPr>
        <w:t xml:space="preserve">’il </w:t>
      </w:r>
      <w:r w:rsidRPr="00A47500">
        <w:rPr>
          <w:lang w:val="fr-FR"/>
        </w:rPr>
        <w:t xml:space="preserve">ne </w:t>
      </w:r>
      <w:r>
        <w:rPr>
          <w:lang w:val="fr-FR"/>
        </w:rPr>
        <w:t>« </w:t>
      </w:r>
      <w:r w:rsidRPr="00A47500">
        <w:rPr>
          <w:lang w:val="fr-FR"/>
        </w:rPr>
        <w:t>limitait</w:t>
      </w:r>
      <w:r>
        <w:rPr>
          <w:lang w:val="fr-FR"/>
        </w:rPr>
        <w:t> »</w:t>
      </w:r>
      <w:r w:rsidRPr="00A47500">
        <w:rPr>
          <w:lang w:val="fr-FR"/>
        </w:rPr>
        <w:t xml:space="preserve"> pas de manière appropriée la possibilité de poursuivre un individu après </w:t>
      </w:r>
      <w:r>
        <w:rPr>
          <w:lang w:val="fr-FR"/>
        </w:rPr>
        <w:t>l’annulation de s</w:t>
      </w:r>
      <w:r w:rsidRPr="00A47500">
        <w:rPr>
          <w:lang w:val="fr-FR"/>
        </w:rPr>
        <w:t xml:space="preserve">a condamnation </w:t>
      </w:r>
      <w:r>
        <w:rPr>
          <w:lang w:val="fr-FR"/>
        </w:rPr>
        <w:t xml:space="preserve">définitive </w:t>
      </w:r>
      <w:r w:rsidRPr="00A47500">
        <w:rPr>
          <w:lang w:val="fr-FR"/>
        </w:rPr>
        <w:t xml:space="preserve">par un recours juridique extraordinaire (elle a </w:t>
      </w:r>
      <w:r>
        <w:rPr>
          <w:lang w:val="fr-FR"/>
        </w:rPr>
        <w:t xml:space="preserve">mis en relief </w:t>
      </w:r>
      <w:r w:rsidRPr="00A47500">
        <w:rPr>
          <w:lang w:val="fr-FR"/>
        </w:rPr>
        <w:t>un des aspects de la limitation dans le temps de la possibilité d</w:t>
      </w:r>
      <w:r>
        <w:rPr>
          <w:lang w:val="fr-FR"/>
        </w:rPr>
        <w:t>’</w:t>
      </w:r>
      <w:r w:rsidRPr="00A47500">
        <w:rPr>
          <w:lang w:val="fr-FR"/>
        </w:rPr>
        <w:t>ingérence du droit pénal dans les droits d</w:t>
      </w:r>
      <w:r>
        <w:rPr>
          <w:lang w:val="fr-FR"/>
        </w:rPr>
        <w:t>’</w:t>
      </w:r>
      <w:r w:rsidRPr="00A47500">
        <w:rPr>
          <w:lang w:val="fr-FR"/>
        </w:rPr>
        <w:t>un individu)</w:t>
      </w:r>
      <w:r>
        <w:rPr>
          <w:lang w:val="fr-FR"/>
        </w:rPr>
        <w:t> </w:t>
      </w:r>
      <w:r w:rsidRPr="00A47500">
        <w:rPr>
          <w:lang w:val="fr-FR"/>
        </w:rPr>
        <w:t xml:space="preserve">; </w:t>
      </w:r>
      <w:r>
        <w:rPr>
          <w:lang w:val="fr-FR"/>
        </w:rPr>
        <w:t>voir aussi la d</w:t>
      </w:r>
      <w:r w:rsidRPr="00A47500">
        <w:rPr>
          <w:lang w:val="fr-FR"/>
        </w:rPr>
        <w:t xml:space="preserve">écision de la Cour constitutionnelle </w:t>
      </w:r>
      <w:r w:rsidRPr="007F4F65">
        <w:rPr>
          <w:rFonts w:eastAsia="MS Mincho"/>
          <w:szCs w:val="22"/>
          <w:lang w:val="fr-FR"/>
        </w:rPr>
        <w:t>n</w:t>
      </w:r>
      <w:r w:rsidRPr="007F4F65">
        <w:rPr>
          <w:rFonts w:eastAsia="MS Mincho"/>
          <w:szCs w:val="22"/>
          <w:vertAlign w:val="superscript"/>
          <w:lang w:val="fr-FR"/>
        </w:rPr>
        <w:t>o</w:t>
      </w:r>
      <w:r>
        <w:rPr>
          <w:lang w:val="fr-FR"/>
        </w:rPr>
        <w:t> </w:t>
      </w:r>
      <w:r w:rsidRPr="00A47500">
        <w:rPr>
          <w:lang w:val="fr-FR"/>
        </w:rPr>
        <w:t>U-I-25/07 du 11</w:t>
      </w:r>
      <w:r>
        <w:rPr>
          <w:lang w:val="fr-FR"/>
        </w:rPr>
        <w:t> </w:t>
      </w:r>
      <w:r w:rsidRPr="00A47500">
        <w:rPr>
          <w:lang w:val="fr-FR"/>
        </w:rPr>
        <w:t xml:space="preserve">septembre 2008, </w:t>
      </w:r>
      <w:r w:rsidRPr="00B1347A">
        <w:rPr>
          <w:lang w:val="fr-FR"/>
        </w:rPr>
        <w:t>Journal officiel de la République de Slovénie</w:t>
      </w:r>
      <w:r w:rsidRPr="00A47500">
        <w:rPr>
          <w:lang w:val="fr-FR"/>
        </w:rPr>
        <w:t xml:space="preserve"> [</w:t>
      </w:r>
      <w:proofErr w:type="spellStart"/>
      <w:r w:rsidRPr="00A47500">
        <w:rPr>
          <w:lang w:val="fr-FR"/>
        </w:rPr>
        <w:t>Uradni</w:t>
      </w:r>
      <w:proofErr w:type="spellEnd"/>
      <w:r w:rsidRPr="00A47500">
        <w:rPr>
          <w:lang w:val="fr-FR"/>
        </w:rPr>
        <w:t xml:space="preserve"> </w:t>
      </w:r>
      <w:proofErr w:type="spellStart"/>
      <w:r w:rsidRPr="00A47500">
        <w:rPr>
          <w:lang w:val="fr-FR"/>
        </w:rPr>
        <w:t>list</w:t>
      </w:r>
      <w:proofErr w:type="spellEnd"/>
      <w:r w:rsidRPr="00A47500">
        <w:rPr>
          <w:lang w:val="fr-FR"/>
        </w:rPr>
        <w:t xml:space="preserve"> RS], </w:t>
      </w:r>
      <w:r w:rsidRPr="007F4F65">
        <w:rPr>
          <w:rFonts w:eastAsia="MS Mincho"/>
          <w:szCs w:val="22"/>
          <w:lang w:val="fr-FR"/>
        </w:rPr>
        <w:t>n</w:t>
      </w:r>
      <w:r w:rsidRPr="007F4F65">
        <w:rPr>
          <w:rFonts w:eastAsia="MS Mincho"/>
          <w:szCs w:val="22"/>
          <w:vertAlign w:val="superscript"/>
          <w:lang w:val="fr-FR"/>
        </w:rPr>
        <w:t>o</w:t>
      </w:r>
      <w:r>
        <w:rPr>
          <w:lang w:val="fr-FR"/>
        </w:rPr>
        <w:t> </w:t>
      </w:r>
      <w:r w:rsidRPr="00A47500">
        <w:rPr>
          <w:lang w:val="fr-FR"/>
        </w:rPr>
        <w:t>89/2008 et décision XVII, 48</w:t>
      </w:r>
      <w:r w:rsidRPr="00246F27">
        <w:rPr>
          <w:lang w:val="fr-FR"/>
        </w:rPr>
        <w:t xml:space="preserve"> de la Cour constitutionnelle</w:t>
      </w:r>
      <w:r w:rsidRPr="00A47500">
        <w:rPr>
          <w:lang w:val="fr-FR"/>
        </w:rPr>
        <w:t>.</w:t>
      </w:r>
    </w:p>
  </w:footnote>
  <w:footnote w:id="8">
    <w:p w14:paraId="0C7A6FBC" w14:textId="77777777" w:rsidR="00E51827" w:rsidRPr="008F3649" w:rsidRDefault="00E51827" w:rsidP="002A5EB2">
      <w:pPr>
        <w:pStyle w:val="Notedebasdepage"/>
        <w:rPr>
          <w:lang w:val="fr-FR"/>
        </w:rPr>
      </w:pPr>
      <w:r w:rsidRPr="00A47500">
        <w:rPr>
          <w:lang w:val="fr-FR"/>
        </w:rPr>
        <w:tab/>
      </w:r>
      <w:r w:rsidRPr="0017324C">
        <w:rPr>
          <w:rStyle w:val="Appelnotedebasdep"/>
        </w:rPr>
        <w:footnoteRef/>
      </w:r>
      <w:r w:rsidRPr="00A47500">
        <w:rPr>
          <w:lang w:val="fr-FR"/>
        </w:rPr>
        <w:tab/>
      </w:r>
      <w:r w:rsidRPr="001E7431">
        <w:rPr>
          <w:lang w:val="fr-FR"/>
        </w:rPr>
        <w:t>Les questions couvertes par l’article 2 peuvent avoir un lien avec d’autres articles de la Convention, notamment l’article 16.</w:t>
      </w:r>
      <w:r w:rsidRPr="00B40B98">
        <w:rPr>
          <w:lang w:val="fr-FR"/>
        </w:rPr>
        <w:t xml:space="preserve"> Au paragraphe 3 de l’</w:t>
      </w:r>
      <w:r>
        <w:rPr>
          <w:lang w:val="fr-FR"/>
        </w:rPr>
        <w:t>o</w:t>
      </w:r>
      <w:r w:rsidRPr="00B40B98">
        <w:rPr>
          <w:lang w:val="fr-FR"/>
        </w:rPr>
        <w:t xml:space="preserve">bservation générale </w:t>
      </w:r>
      <w:r w:rsidRPr="007F4F65">
        <w:rPr>
          <w:rFonts w:eastAsia="MS Mincho"/>
          <w:szCs w:val="22"/>
          <w:lang w:val="fr-FR"/>
        </w:rPr>
        <w:t>n</w:t>
      </w:r>
      <w:r w:rsidRPr="007F4F65">
        <w:rPr>
          <w:rFonts w:eastAsia="MS Mincho"/>
          <w:szCs w:val="22"/>
          <w:vertAlign w:val="superscript"/>
          <w:lang w:val="fr-FR"/>
        </w:rPr>
        <w:t>o</w:t>
      </w:r>
      <w:r>
        <w:rPr>
          <w:lang w:val="fr-FR"/>
        </w:rPr>
        <w:t> </w:t>
      </w:r>
      <w:r w:rsidRPr="00B40B98">
        <w:rPr>
          <w:lang w:val="fr-FR"/>
        </w:rPr>
        <w:t xml:space="preserve">2 il est précisé que « L’obligation de prévenir la torture consacrée à l’article 2 est de portée large. Cette obligation et celle de prévenir les peines ou traitements cruels, inhumains ou dégradants (ci-après « mauvais traitements ») énoncées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 Voir le chapitre V de </w:t>
      </w:r>
      <w:r>
        <w:rPr>
          <w:lang w:val="fr-FR"/>
        </w:rPr>
        <w:t xml:space="preserve">cette </w:t>
      </w:r>
      <w:r w:rsidRPr="00B40B98">
        <w:rPr>
          <w:lang w:val="fr-FR"/>
        </w:rPr>
        <w:t xml:space="preserve">même </w:t>
      </w:r>
      <w:r>
        <w:rPr>
          <w:lang w:val="fr-FR"/>
        </w:rPr>
        <w:t>o</w:t>
      </w:r>
      <w:r w:rsidRPr="00B40B98">
        <w:rPr>
          <w:lang w:val="fr-FR"/>
        </w:rPr>
        <w:t>bservation générale</w:t>
      </w:r>
      <w:r>
        <w:rPr>
          <w:lang w:val="fr-FR"/>
        </w:rPr>
        <w:t>.</w:t>
      </w:r>
    </w:p>
  </w:footnote>
  <w:footnote w:id="9">
    <w:p w14:paraId="501D2B21" w14:textId="77777777" w:rsidR="00E51827" w:rsidRPr="008F3649" w:rsidRDefault="00E51827" w:rsidP="002A5EB2">
      <w:pPr>
        <w:pStyle w:val="Notedebasdepage"/>
        <w:rPr>
          <w:lang w:val="fr-FR"/>
        </w:rPr>
      </w:pPr>
      <w:r w:rsidRPr="008F3649">
        <w:rPr>
          <w:lang w:val="fr-FR"/>
        </w:rPr>
        <w:tab/>
      </w:r>
      <w:r w:rsidRPr="0017324C">
        <w:rPr>
          <w:rStyle w:val="Appelnotedebasdep"/>
        </w:rPr>
        <w:footnoteRef/>
      </w:r>
      <w:r w:rsidRPr="008F3649">
        <w:rPr>
          <w:lang w:val="fr-FR"/>
        </w:rPr>
        <w:tab/>
        <w:t>Journal officiel de la République de Slovénie [</w:t>
      </w:r>
      <w:proofErr w:type="spellStart"/>
      <w:r w:rsidRPr="008F3649">
        <w:rPr>
          <w:lang w:val="fr-FR"/>
        </w:rPr>
        <w:t>Uradni</w:t>
      </w:r>
      <w:proofErr w:type="spellEnd"/>
      <w:r w:rsidRPr="008F3649">
        <w:rPr>
          <w:lang w:val="fr-FR"/>
        </w:rPr>
        <w:t xml:space="preserve"> </w:t>
      </w:r>
      <w:proofErr w:type="spellStart"/>
      <w:r w:rsidRPr="008F3649">
        <w:rPr>
          <w:lang w:val="fr-FR"/>
        </w:rPr>
        <w:t>list</w:t>
      </w:r>
      <w:proofErr w:type="spellEnd"/>
      <w:r w:rsidRPr="008F3649">
        <w:rPr>
          <w:lang w:val="fr-FR"/>
        </w:rPr>
        <w:t xml:space="preserve"> RS], </w:t>
      </w:r>
      <w:r w:rsidRPr="007F4F65">
        <w:rPr>
          <w:rFonts w:eastAsia="MS Mincho"/>
          <w:szCs w:val="22"/>
          <w:lang w:val="fr-FR"/>
        </w:rPr>
        <w:t>n</w:t>
      </w:r>
      <w:r w:rsidRPr="007F4F65">
        <w:rPr>
          <w:rFonts w:eastAsia="MS Mincho"/>
          <w:szCs w:val="22"/>
          <w:vertAlign w:val="superscript"/>
          <w:lang w:val="fr-FR"/>
        </w:rPr>
        <w:t>o</w:t>
      </w:r>
      <w:r>
        <w:rPr>
          <w:rFonts w:eastAsia="MS Mincho"/>
          <w:szCs w:val="22"/>
          <w:vertAlign w:val="superscript"/>
          <w:lang w:val="fr-FR"/>
        </w:rPr>
        <w:t>s</w:t>
      </w:r>
      <w:r>
        <w:rPr>
          <w:lang w:val="fr-FR"/>
        </w:rPr>
        <w:t> </w:t>
      </w:r>
      <w:r w:rsidRPr="008F3649">
        <w:rPr>
          <w:lang w:val="fr-FR"/>
        </w:rPr>
        <w:t xml:space="preserve">32/12 </w:t>
      </w:r>
      <w:r>
        <w:rPr>
          <w:lang w:val="fr-FR"/>
        </w:rPr>
        <w:t>− </w:t>
      </w:r>
      <w:r w:rsidRPr="008F3649">
        <w:rPr>
          <w:lang w:val="fr-FR"/>
        </w:rPr>
        <w:t>UPB, 47/13, 87/14, 8/16</w:t>
      </w:r>
      <w:r>
        <w:rPr>
          <w:lang w:val="fr-FR"/>
        </w:rPr>
        <w:t> −</w:t>
      </w:r>
      <w:r w:rsidRPr="008F3649">
        <w:rPr>
          <w:lang w:val="fr-FR"/>
        </w:rPr>
        <w:t xml:space="preserve"> </w:t>
      </w:r>
      <w:r>
        <w:rPr>
          <w:lang w:val="fr-FR"/>
        </w:rPr>
        <w:t>d</w:t>
      </w:r>
      <w:r w:rsidRPr="008F3649">
        <w:rPr>
          <w:lang w:val="fr-FR"/>
        </w:rPr>
        <w:t xml:space="preserve">écision de la Cour constitutionnelle, 64/16 </w:t>
      </w:r>
      <w:r>
        <w:rPr>
          <w:lang w:val="fr-FR"/>
        </w:rPr>
        <w:t>− d</w:t>
      </w:r>
      <w:r w:rsidRPr="008F3649">
        <w:rPr>
          <w:lang w:val="fr-FR"/>
        </w:rPr>
        <w:t>écision de la Cour constitutionnelle 65/16</w:t>
      </w:r>
      <w:r>
        <w:rPr>
          <w:lang w:val="fr-FR"/>
        </w:rPr>
        <w:t> −</w:t>
      </w:r>
      <w:r w:rsidRPr="008F3649">
        <w:rPr>
          <w:lang w:val="fr-FR"/>
        </w:rPr>
        <w:t xml:space="preserve"> </w:t>
      </w:r>
      <w:r>
        <w:rPr>
          <w:lang w:val="fr-FR"/>
        </w:rPr>
        <w:t>d</w:t>
      </w:r>
      <w:r w:rsidRPr="008F3649">
        <w:rPr>
          <w:lang w:val="fr-FR"/>
        </w:rPr>
        <w:t xml:space="preserve">écision de la Cour constitutionnelle 66/17 </w:t>
      </w:r>
      <w:r>
        <w:rPr>
          <w:lang w:val="fr-FR"/>
        </w:rPr>
        <w:t>− </w:t>
      </w:r>
      <w:r w:rsidRPr="008F3649">
        <w:rPr>
          <w:lang w:val="fr-FR"/>
        </w:rPr>
        <w:t>ORZKP 153, 154.</w:t>
      </w:r>
    </w:p>
  </w:footnote>
  <w:footnote w:id="10">
    <w:p w14:paraId="0A0C74CC" w14:textId="77777777" w:rsidR="00E51827" w:rsidRPr="008F3649" w:rsidRDefault="00E51827" w:rsidP="002A5EB2">
      <w:pPr>
        <w:pStyle w:val="Notedebasdepage"/>
        <w:rPr>
          <w:lang w:val="fr-FR"/>
        </w:rPr>
      </w:pPr>
      <w:r w:rsidRPr="008F3649">
        <w:rPr>
          <w:lang w:val="fr-FR"/>
        </w:rPr>
        <w:tab/>
      </w:r>
      <w:r w:rsidRPr="0017324C">
        <w:rPr>
          <w:rStyle w:val="Appelnotedebasdep"/>
        </w:rPr>
        <w:footnoteRef/>
      </w:r>
      <w:r w:rsidRPr="008F3649">
        <w:rPr>
          <w:lang w:val="fr-FR"/>
        </w:rPr>
        <w:tab/>
        <w:t>Journal officiel de la République de Slovénie [</w:t>
      </w:r>
      <w:proofErr w:type="spellStart"/>
      <w:r w:rsidRPr="008F3649">
        <w:rPr>
          <w:lang w:val="fr-FR"/>
        </w:rPr>
        <w:t>Uradni</w:t>
      </w:r>
      <w:proofErr w:type="spellEnd"/>
      <w:r w:rsidRPr="008F3649">
        <w:rPr>
          <w:lang w:val="fr-FR"/>
        </w:rPr>
        <w:t xml:space="preserve"> </w:t>
      </w:r>
      <w:proofErr w:type="spellStart"/>
      <w:r w:rsidRPr="008F3649">
        <w:rPr>
          <w:lang w:val="fr-FR"/>
        </w:rPr>
        <w:t>list</w:t>
      </w:r>
      <w:proofErr w:type="spellEnd"/>
      <w:r w:rsidRPr="008F3649">
        <w:rPr>
          <w:lang w:val="fr-FR"/>
        </w:rPr>
        <w:t xml:space="preserve"> RS], </w:t>
      </w:r>
      <w:r w:rsidRPr="007F4F65">
        <w:rPr>
          <w:rFonts w:eastAsia="MS Mincho"/>
          <w:szCs w:val="22"/>
          <w:lang w:val="fr-FR"/>
        </w:rPr>
        <w:t>n</w:t>
      </w:r>
      <w:r w:rsidRPr="007F4F65">
        <w:rPr>
          <w:rFonts w:eastAsia="MS Mincho"/>
          <w:szCs w:val="22"/>
          <w:vertAlign w:val="superscript"/>
          <w:lang w:val="fr-FR"/>
        </w:rPr>
        <w:t>o</w:t>
      </w:r>
      <w:r>
        <w:rPr>
          <w:lang w:val="fr-FR"/>
        </w:rPr>
        <w:t> </w:t>
      </w:r>
      <w:r w:rsidRPr="008F3649">
        <w:rPr>
          <w:lang w:val="fr-FR"/>
        </w:rPr>
        <w:t>56/03.</w:t>
      </w:r>
    </w:p>
  </w:footnote>
  <w:footnote w:id="11">
    <w:p w14:paraId="1AE9677D" w14:textId="42055A6C" w:rsidR="00E51827" w:rsidRPr="00932085" w:rsidRDefault="00E51827" w:rsidP="002A5EB2">
      <w:pPr>
        <w:pStyle w:val="Notedebasdepage"/>
        <w:rPr>
          <w:lang w:val="fr-FR"/>
        </w:rPr>
      </w:pPr>
      <w:r w:rsidRPr="008F3649">
        <w:rPr>
          <w:lang w:val="fr-FR"/>
        </w:rPr>
        <w:tab/>
      </w:r>
      <w:r w:rsidRPr="0017324C">
        <w:rPr>
          <w:rStyle w:val="Appelnotedebasdep"/>
        </w:rPr>
        <w:footnoteRef/>
      </w:r>
      <w:r w:rsidRPr="00932085">
        <w:rPr>
          <w:lang w:val="fr-FR"/>
        </w:rPr>
        <w:tab/>
      </w:r>
      <w:hyperlink r:id="rId6" w:history="1">
        <w:r w:rsidRPr="00C637D8">
          <w:rPr>
            <w:rStyle w:val="Lienhypertexte"/>
          </w:rPr>
          <w:t>http://www.varuh-rs.si/publikacije-gradiva-izjave/porocila-varuha-v-vlogi-dpm/</w:t>
        </w:r>
      </w:hyperlink>
      <w:r w:rsidRPr="00932085">
        <w:rPr>
          <w:lang w:val="fr-FR"/>
        </w:rPr>
        <w:t>.</w:t>
      </w:r>
    </w:p>
  </w:footnote>
  <w:footnote w:id="12">
    <w:p w14:paraId="0733F4CA" w14:textId="77777777" w:rsidR="00E51827" w:rsidRPr="004B2EDD" w:rsidRDefault="00E51827" w:rsidP="002A5EB2">
      <w:pPr>
        <w:pStyle w:val="Notedebasdepage"/>
        <w:rPr>
          <w:lang w:val="fr-FR"/>
        </w:rPr>
      </w:pPr>
      <w:r w:rsidRPr="00932085">
        <w:rPr>
          <w:lang w:val="fr-FR"/>
        </w:rPr>
        <w:tab/>
      </w:r>
      <w:r w:rsidRPr="0017324C">
        <w:rPr>
          <w:rStyle w:val="Appelnotedebasdep"/>
        </w:rPr>
        <w:footnoteRef/>
      </w:r>
      <w:r w:rsidRPr="001C2126">
        <w:rPr>
          <w:lang w:val="fr-FR"/>
        </w:rPr>
        <w:tab/>
      </w:r>
      <w:r w:rsidRPr="004B2EDD">
        <w:rPr>
          <w:lang w:val="fr-FR"/>
        </w:rPr>
        <w:t>Journal officiel de la République de Slovénie [</w:t>
      </w:r>
      <w:proofErr w:type="spellStart"/>
      <w:r w:rsidRPr="004B2EDD">
        <w:rPr>
          <w:lang w:val="fr-FR"/>
        </w:rPr>
        <w:t>Uradni</w:t>
      </w:r>
      <w:proofErr w:type="spellEnd"/>
      <w:r w:rsidRPr="004B2EDD">
        <w:rPr>
          <w:lang w:val="fr-FR"/>
        </w:rPr>
        <w:t xml:space="preserve"> </w:t>
      </w:r>
      <w:proofErr w:type="spellStart"/>
      <w:r w:rsidRPr="004B2EDD">
        <w:rPr>
          <w:lang w:val="fr-FR"/>
        </w:rPr>
        <w:t>list</w:t>
      </w:r>
      <w:proofErr w:type="spellEnd"/>
      <w:r w:rsidRPr="004B2EDD">
        <w:rPr>
          <w:lang w:val="fr-FR"/>
        </w:rPr>
        <w:t xml:space="preserve"> RS], </w:t>
      </w:r>
      <w:proofErr w:type="spellStart"/>
      <w:r w:rsidRPr="004B2EDD">
        <w:rPr>
          <w:lang w:val="fr-FR"/>
        </w:rPr>
        <w:t>n</w:t>
      </w:r>
      <w:r>
        <w:rPr>
          <w:szCs w:val="16"/>
          <w:vertAlign w:val="superscript"/>
          <w:lang w:val="fr-FR"/>
        </w:rPr>
        <w:t>oxx</w:t>
      </w:r>
      <w:proofErr w:type="spellEnd"/>
      <w:r>
        <w:rPr>
          <w:szCs w:val="16"/>
          <w:vertAlign w:val="superscript"/>
          <w:lang w:val="fr-FR"/>
        </w:rPr>
        <w:t> </w:t>
      </w:r>
      <w:r w:rsidRPr="004B2EDD">
        <w:rPr>
          <w:lang w:val="fr-FR"/>
        </w:rPr>
        <w:t xml:space="preserve">15/13, 23/15 </w:t>
      </w:r>
      <w:r>
        <w:rPr>
          <w:lang w:val="fr-FR"/>
        </w:rPr>
        <w:t>− </w:t>
      </w:r>
      <w:r w:rsidRPr="004B2EDD">
        <w:rPr>
          <w:lang w:val="fr-FR"/>
        </w:rPr>
        <w:t>corr. et 10/17</w:t>
      </w:r>
      <w:r>
        <w:rPr>
          <w:lang w:val="fr-FR"/>
        </w:rPr>
        <w:t> </w:t>
      </w:r>
      <w:r w:rsidRPr="004B2EDD">
        <w:rPr>
          <w:lang w:val="fr-FR"/>
        </w:rPr>
        <w:t xml:space="preserve">; </w:t>
      </w:r>
      <w:r>
        <w:rPr>
          <w:lang w:val="fr-FR"/>
        </w:rPr>
        <w:br/>
        <w:t>loi sur les fonctions et les pouvoirs de la police</w:t>
      </w:r>
      <w:r w:rsidRPr="004B2EDD">
        <w:rPr>
          <w:lang w:val="fr-FR"/>
        </w:rPr>
        <w:t>.</w:t>
      </w:r>
    </w:p>
  </w:footnote>
  <w:footnote w:id="13">
    <w:p w14:paraId="6F429CB5" w14:textId="77777777" w:rsidR="00E51827" w:rsidRPr="004B2EDD" w:rsidRDefault="00E51827" w:rsidP="002A5EB2">
      <w:pPr>
        <w:pStyle w:val="Notedebasdepage"/>
        <w:rPr>
          <w:lang w:val="fr-FR"/>
        </w:rPr>
      </w:pPr>
      <w:r w:rsidRPr="004B2EDD">
        <w:rPr>
          <w:lang w:val="fr-FR"/>
        </w:rPr>
        <w:tab/>
      </w:r>
      <w:r w:rsidRPr="0017324C">
        <w:rPr>
          <w:rStyle w:val="Appelnotedebasdep"/>
        </w:rPr>
        <w:footnoteRef/>
      </w:r>
      <w:r w:rsidRPr="004B2EDD">
        <w:rPr>
          <w:lang w:val="fr-FR"/>
        </w:rPr>
        <w:tab/>
        <w:t>ZIKS-1 (Journal officiel de la République de Slovénie [</w:t>
      </w:r>
      <w:proofErr w:type="spellStart"/>
      <w:r w:rsidRPr="004B2EDD">
        <w:rPr>
          <w:lang w:val="fr-FR"/>
        </w:rPr>
        <w:t>Uradni</w:t>
      </w:r>
      <w:proofErr w:type="spellEnd"/>
      <w:r w:rsidRPr="004B2EDD">
        <w:rPr>
          <w:lang w:val="fr-FR"/>
        </w:rPr>
        <w:t xml:space="preserve"> </w:t>
      </w:r>
      <w:proofErr w:type="spellStart"/>
      <w:r w:rsidRPr="004B2EDD">
        <w:rPr>
          <w:lang w:val="fr-FR"/>
        </w:rPr>
        <w:t>list</w:t>
      </w:r>
      <w:proofErr w:type="spellEnd"/>
      <w:r w:rsidRPr="004B2EDD">
        <w:rPr>
          <w:lang w:val="fr-FR"/>
        </w:rPr>
        <w:t xml:space="preserve"> RS] </w:t>
      </w:r>
      <w:r w:rsidRPr="00984F40">
        <w:rPr>
          <w:rFonts w:eastAsia="MS Mincho"/>
          <w:szCs w:val="22"/>
          <w:lang w:val="fr-FR"/>
        </w:rPr>
        <w:t>n</w:t>
      </w:r>
      <w:r w:rsidRPr="00984F40">
        <w:rPr>
          <w:rFonts w:eastAsia="MS Mincho"/>
          <w:szCs w:val="22"/>
          <w:vertAlign w:val="superscript"/>
          <w:lang w:val="fr-FR"/>
        </w:rPr>
        <w:t>o</w:t>
      </w:r>
      <w:r>
        <w:rPr>
          <w:rFonts w:eastAsia="MS Mincho"/>
          <w:szCs w:val="22"/>
          <w:vertAlign w:val="superscript"/>
          <w:lang w:val="fr-FR"/>
        </w:rPr>
        <w:t>s</w:t>
      </w:r>
      <w:r>
        <w:rPr>
          <w:lang w:val="fr-FR"/>
        </w:rPr>
        <w:t> </w:t>
      </w:r>
      <w:r w:rsidRPr="004B2EDD">
        <w:rPr>
          <w:lang w:val="fr-FR"/>
        </w:rPr>
        <w:t>110/06, version officielle consolidée, 76/08, 40/09, 9/11</w:t>
      </w:r>
      <w:r>
        <w:rPr>
          <w:lang w:val="fr-FR"/>
        </w:rPr>
        <w:t> −</w:t>
      </w:r>
      <w:r w:rsidRPr="004B2EDD">
        <w:rPr>
          <w:lang w:val="fr-FR"/>
        </w:rPr>
        <w:t xml:space="preserve"> ZPIZ-2, 109/12, 54/15 et 11/18.</w:t>
      </w:r>
    </w:p>
  </w:footnote>
  <w:footnote w:id="14">
    <w:p w14:paraId="6982B5DA" w14:textId="626AB048" w:rsidR="00E51827" w:rsidRPr="001C2126" w:rsidRDefault="00E51827" w:rsidP="002A5EB2">
      <w:pPr>
        <w:pStyle w:val="Notedebasdepage"/>
        <w:rPr>
          <w:lang w:val="fr-FR"/>
        </w:rPr>
      </w:pPr>
      <w:r w:rsidRPr="004B2EDD">
        <w:rPr>
          <w:lang w:val="fr-FR"/>
        </w:rPr>
        <w:tab/>
      </w:r>
      <w:r w:rsidRPr="0017324C">
        <w:rPr>
          <w:rStyle w:val="Appelnotedebasdep"/>
        </w:rPr>
        <w:footnoteRef/>
      </w:r>
      <w:r w:rsidRPr="004B2EDD">
        <w:rPr>
          <w:lang w:val="fr-FR"/>
        </w:rPr>
        <w:tab/>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984F40">
        <w:rPr>
          <w:rFonts w:eastAsia="MS Mincho"/>
          <w:szCs w:val="22"/>
          <w:lang w:val="fr-FR"/>
        </w:rPr>
        <w:t>n</w:t>
      </w:r>
      <w:r w:rsidRPr="00984F40">
        <w:rPr>
          <w:rFonts w:eastAsia="MS Mincho"/>
          <w:szCs w:val="22"/>
          <w:vertAlign w:val="superscript"/>
          <w:lang w:val="fr-FR"/>
        </w:rPr>
        <w:t>o</w:t>
      </w:r>
      <w:r>
        <w:rPr>
          <w:lang w:val="fr-FR"/>
        </w:rPr>
        <w:t> </w:t>
      </w:r>
      <w:hyperlink r:id="rId7" w:tgtFrame="_blank" w:tooltip="Act Amending the Human Rights Ombudsman Act (the ZVarCP-B)" w:history="1">
        <w:r w:rsidRPr="001C2126">
          <w:rPr>
            <w:lang w:val="fr-FR"/>
          </w:rPr>
          <w:t>54/17</w:t>
        </w:r>
      </w:hyperlink>
      <w:r w:rsidRPr="001C2126">
        <w:rPr>
          <w:lang w:val="fr-FR"/>
        </w:rPr>
        <w:t>.</w:t>
      </w:r>
    </w:p>
  </w:footnote>
  <w:footnote w:id="15">
    <w:p w14:paraId="56874DD3" w14:textId="77777777" w:rsidR="00E51827" w:rsidRPr="00932085" w:rsidRDefault="00E51827" w:rsidP="002A5EB2">
      <w:pPr>
        <w:pStyle w:val="Notedebasdepage"/>
        <w:rPr>
          <w:lang w:val="fr-FR"/>
        </w:rPr>
      </w:pPr>
      <w:r w:rsidRPr="001C2126">
        <w:rPr>
          <w:lang w:val="fr-FR"/>
        </w:rPr>
        <w:tab/>
      </w:r>
      <w:r w:rsidRPr="0017324C">
        <w:rPr>
          <w:rStyle w:val="Appelnotedebasdep"/>
        </w:rPr>
        <w:footnoteRef/>
      </w:r>
      <w:r w:rsidRPr="00932085">
        <w:rPr>
          <w:lang w:val="fr-FR"/>
        </w:rPr>
        <w:tab/>
        <w:t>http://www.mnz.gov.si/fileadmin/mnz.gov.si/pageuploads/SOJ/word/2016/Prirocnik_-_print_A4.pdf.</w:t>
      </w:r>
    </w:p>
  </w:footnote>
  <w:footnote w:id="16">
    <w:p w14:paraId="1FC18B7E" w14:textId="77777777" w:rsidR="00E51827" w:rsidRPr="001C2126" w:rsidRDefault="00E51827" w:rsidP="002A5EB2">
      <w:pPr>
        <w:pStyle w:val="Notedebasdepage"/>
        <w:rPr>
          <w:lang w:val="fr-FR"/>
        </w:rPr>
      </w:pPr>
      <w:r w:rsidRPr="00932085">
        <w:rPr>
          <w:lang w:val="fr-FR"/>
        </w:rPr>
        <w:tab/>
      </w:r>
      <w:r w:rsidRPr="0017324C">
        <w:rPr>
          <w:rStyle w:val="Appelnotedebasdep"/>
        </w:rPr>
        <w:footnoteRef/>
      </w:r>
      <w:r w:rsidRPr="001C2126">
        <w:rPr>
          <w:lang w:val="fr-FR"/>
        </w:rPr>
        <w:tab/>
      </w:r>
      <w:r w:rsidRPr="004B2EDD">
        <w:rPr>
          <w:lang w:val="fr-FR"/>
        </w:rPr>
        <w:t>Journal officiel de la République de Slovénie [</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6A7B90">
        <w:rPr>
          <w:rFonts w:eastAsia="MS Mincho"/>
          <w:szCs w:val="22"/>
          <w:lang w:val="fr-FR"/>
        </w:rPr>
        <w:t>n</w:t>
      </w:r>
      <w:r w:rsidRPr="006A7B90">
        <w:rPr>
          <w:rFonts w:eastAsia="MS Mincho"/>
          <w:szCs w:val="22"/>
          <w:vertAlign w:val="superscript"/>
          <w:lang w:val="fr-FR"/>
        </w:rPr>
        <w:t>o</w:t>
      </w:r>
      <w:r>
        <w:rPr>
          <w:lang w:val="fr-FR"/>
        </w:rPr>
        <w:t> </w:t>
      </w:r>
      <w:r w:rsidRPr="001C2126">
        <w:rPr>
          <w:lang w:val="fr-FR"/>
        </w:rPr>
        <w:t xml:space="preserve">94/07 – </w:t>
      </w:r>
      <w:r w:rsidRPr="0079408A">
        <w:rPr>
          <w:lang w:val="fr-FR"/>
        </w:rPr>
        <w:t>Version officielle consolidée</w:t>
      </w:r>
      <w:r w:rsidRPr="001C2126">
        <w:rPr>
          <w:lang w:val="fr-FR"/>
        </w:rPr>
        <w:t>.</w:t>
      </w:r>
    </w:p>
  </w:footnote>
  <w:footnote w:id="17">
    <w:p w14:paraId="5F113391" w14:textId="77777777" w:rsidR="00E51827" w:rsidRPr="0079408A" w:rsidRDefault="00E51827" w:rsidP="002A5EB2">
      <w:pPr>
        <w:pStyle w:val="Notedebasdepage"/>
        <w:rPr>
          <w:lang w:val="fr-FR"/>
        </w:rPr>
      </w:pPr>
      <w:r w:rsidRPr="001C2126">
        <w:rPr>
          <w:lang w:val="fr-FR"/>
        </w:rPr>
        <w:tab/>
      </w:r>
      <w:r w:rsidRPr="0017324C">
        <w:rPr>
          <w:rStyle w:val="Appelnotedebasdep"/>
        </w:rPr>
        <w:footnoteRef/>
      </w:r>
      <w:r w:rsidRPr="0079408A">
        <w:rPr>
          <w:lang w:val="fr-FR"/>
        </w:rPr>
        <w:tab/>
        <w:t xml:space="preserve">Le Gouvernement </w:t>
      </w:r>
      <w:r>
        <w:rPr>
          <w:lang w:val="fr-FR"/>
        </w:rPr>
        <w:t>s</w:t>
      </w:r>
      <w:r w:rsidRPr="0079408A">
        <w:rPr>
          <w:lang w:val="fr-FR"/>
        </w:rPr>
        <w:t>lov</w:t>
      </w:r>
      <w:r>
        <w:rPr>
          <w:lang w:val="fr-FR"/>
        </w:rPr>
        <w:t xml:space="preserve">ène </w:t>
      </w:r>
      <w:r w:rsidRPr="0079408A">
        <w:rPr>
          <w:lang w:val="fr-FR"/>
        </w:rPr>
        <w:t xml:space="preserve">fait des déclarations similaires dans </w:t>
      </w:r>
      <w:r>
        <w:rPr>
          <w:lang w:val="fr-FR"/>
        </w:rPr>
        <w:t xml:space="preserve">ses </w:t>
      </w:r>
      <w:r w:rsidRPr="0079408A">
        <w:rPr>
          <w:lang w:val="fr-FR"/>
        </w:rPr>
        <w:t>réponse</w:t>
      </w:r>
      <w:r>
        <w:rPr>
          <w:lang w:val="fr-FR"/>
        </w:rPr>
        <w:t>s</w:t>
      </w:r>
      <w:r w:rsidRPr="0079408A">
        <w:rPr>
          <w:lang w:val="fr-FR"/>
        </w:rPr>
        <w:t xml:space="preserve"> au 22</w:t>
      </w:r>
      <w:r w:rsidRPr="002C4D3F">
        <w:rPr>
          <w:vertAlign w:val="superscript"/>
          <w:lang w:val="fr-FR"/>
        </w:rPr>
        <w:t>e</w:t>
      </w:r>
      <w:r>
        <w:rPr>
          <w:lang w:val="fr-FR"/>
        </w:rPr>
        <w:t xml:space="preserve"> </w:t>
      </w:r>
      <w:r w:rsidRPr="0079408A">
        <w:rPr>
          <w:lang w:val="fr-FR"/>
        </w:rPr>
        <w:t>rapport annuel régulier du Médiateur des droits de l</w:t>
      </w:r>
      <w:r>
        <w:rPr>
          <w:lang w:val="fr-FR"/>
        </w:rPr>
        <w:t>’</w:t>
      </w:r>
      <w:r w:rsidRPr="0079408A">
        <w:rPr>
          <w:lang w:val="fr-FR"/>
        </w:rPr>
        <w:t>homme pour 2016</w:t>
      </w:r>
      <w:r>
        <w:rPr>
          <w:lang w:val="fr-FR"/>
        </w:rPr>
        <w:t> </w:t>
      </w:r>
      <w:r w:rsidRPr="0079408A">
        <w:rPr>
          <w:lang w:val="fr-FR"/>
        </w:rPr>
        <w:t>: http://www.varuh-rs.si/publikacije-gradiva-izjave/letna-porocila-priporocila-dz-odzivna-porocila-vlade/.</w:t>
      </w:r>
    </w:p>
  </w:footnote>
  <w:footnote w:id="18">
    <w:p w14:paraId="31F436DD" w14:textId="77777777" w:rsidR="00E51827" w:rsidRPr="004B2EDD" w:rsidRDefault="00E51827" w:rsidP="002A5EB2">
      <w:pPr>
        <w:pStyle w:val="Notedebasdepage"/>
        <w:rPr>
          <w:lang w:val="fr-FR"/>
        </w:rPr>
      </w:pPr>
      <w:r w:rsidRPr="0079408A">
        <w:rPr>
          <w:lang w:val="fr-FR"/>
        </w:rPr>
        <w:tab/>
      </w:r>
      <w:r w:rsidRPr="0017324C">
        <w:rPr>
          <w:rStyle w:val="Appelnotedebasdep"/>
        </w:rPr>
        <w:footnoteRef/>
      </w:r>
      <w:r w:rsidRPr="001C2126">
        <w:rPr>
          <w:lang w:val="fr-FR"/>
        </w:rPr>
        <w:tab/>
      </w:r>
      <w:r w:rsidRPr="004B2EDD">
        <w:rPr>
          <w:lang w:val="fr-FR"/>
        </w:rPr>
        <w:t>Journal officiel de la République de Slovénie [</w:t>
      </w:r>
      <w:proofErr w:type="spellStart"/>
      <w:r w:rsidRPr="004B2EDD">
        <w:rPr>
          <w:lang w:val="fr-FR"/>
        </w:rPr>
        <w:t>Uradni</w:t>
      </w:r>
      <w:proofErr w:type="spellEnd"/>
      <w:r w:rsidRPr="004B2EDD">
        <w:rPr>
          <w:lang w:val="fr-FR"/>
        </w:rPr>
        <w:t xml:space="preserve"> </w:t>
      </w:r>
      <w:proofErr w:type="spellStart"/>
      <w:r w:rsidRPr="004B2EDD">
        <w:rPr>
          <w:lang w:val="fr-FR"/>
        </w:rPr>
        <w:t>list</w:t>
      </w:r>
      <w:proofErr w:type="spellEnd"/>
      <w:r w:rsidRPr="004B2EDD">
        <w:rPr>
          <w:lang w:val="fr-FR"/>
        </w:rPr>
        <w:t xml:space="preserve"> RS], </w:t>
      </w:r>
      <w:r w:rsidRPr="006A7B90">
        <w:rPr>
          <w:rFonts w:eastAsia="MS Mincho"/>
          <w:szCs w:val="22"/>
          <w:lang w:val="fr-FR"/>
        </w:rPr>
        <w:t>n</w:t>
      </w:r>
      <w:r w:rsidRPr="006A7B90">
        <w:rPr>
          <w:rFonts w:eastAsia="MS Mincho"/>
          <w:szCs w:val="22"/>
          <w:vertAlign w:val="superscript"/>
          <w:lang w:val="fr-FR"/>
        </w:rPr>
        <w:t>o</w:t>
      </w:r>
      <w:r>
        <w:rPr>
          <w:lang w:val="fr-FR"/>
        </w:rPr>
        <w:t> </w:t>
      </w:r>
      <w:r w:rsidRPr="004B2EDD">
        <w:rPr>
          <w:lang w:val="fr-FR"/>
        </w:rPr>
        <w:t>33/91-I, 42/97, 66/00, 24/03, 69/04, 68/06, 47/13, 47/13, 75/16</w:t>
      </w:r>
      <w:r>
        <w:rPr>
          <w:lang w:val="fr-FR"/>
        </w:rPr>
        <w:t> </w:t>
      </w:r>
      <w:r w:rsidRPr="004B2EDD">
        <w:rPr>
          <w:lang w:val="fr-FR"/>
        </w:rPr>
        <w:t>; Constitution.</w:t>
      </w:r>
    </w:p>
  </w:footnote>
  <w:footnote w:id="19">
    <w:p w14:paraId="00E9996D" w14:textId="77777777" w:rsidR="00E51827" w:rsidRPr="004B2EDD" w:rsidRDefault="00E51827" w:rsidP="002A5EB2">
      <w:pPr>
        <w:pStyle w:val="Notedebasdepage"/>
        <w:rPr>
          <w:lang w:val="fr-FR"/>
        </w:rPr>
      </w:pPr>
      <w:r w:rsidRPr="004B2EDD">
        <w:rPr>
          <w:lang w:val="fr-FR"/>
        </w:rPr>
        <w:tab/>
      </w:r>
      <w:r w:rsidRPr="0017324C">
        <w:rPr>
          <w:rStyle w:val="Appelnotedebasdep"/>
        </w:rPr>
        <w:footnoteRef/>
      </w:r>
      <w:r w:rsidRPr="004B2EDD">
        <w:rPr>
          <w:lang w:val="fr-FR"/>
        </w:rPr>
        <w:tab/>
        <w:t>Journal officiel de la République de Slovénie [</w:t>
      </w:r>
      <w:proofErr w:type="spellStart"/>
      <w:r w:rsidRPr="004B2EDD">
        <w:rPr>
          <w:lang w:val="fr-FR"/>
        </w:rPr>
        <w:t>Uradni</w:t>
      </w:r>
      <w:proofErr w:type="spellEnd"/>
      <w:r w:rsidRPr="004B2EDD">
        <w:rPr>
          <w:lang w:val="fr-FR"/>
        </w:rPr>
        <w:t xml:space="preserve"> </w:t>
      </w:r>
      <w:proofErr w:type="spellStart"/>
      <w:r w:rsidRPr="004B2EDD">
        <w:rPr>
          <w:lang w:val="fr-FR"/>
        </w:rPr>
        <w:t>list</w:t>
      </w:r>
      <w:proofErr w:type="spellEnd"/>
      <w:r w:rsidRPr="004B2EDD">
        <w:rPr>
          <w:lang w:val="fr-FR"/>
        </w:rPr>
        <w:t xml:space="preserve"> RS], </w:t>
      </w:r>
      <w:r w:rsidRPr="00EE34FC">
        <w:rPr>
          <w:rFonts w:eastAsia="MS Mincho"/>
          <w:szCs w:val="22"/>
          <w:lang w:val="fr-FR"/>
        </w:rPr>
        <w:t>n</w:t>
      </w:r>
      <w:r w:rsidRPr="00EE34FC">
        <w:rPr>
          <w:rFonts w:eastAsia="MS Mincho"/>
          <w:szCs w:val="22"/>
          <w:vertAlign w:val="superscript"/>
          <w:lang w:val="fr-FR"/>
        </w:rPr>
        <w:t>o</w:t>
      </w:r>
      <w:r>
        <w:rPr>
          <w:rFonts w:eastAsia="MS Mincho"/>
          <w:szCs w:val="22"/>
          <w:vertAlign w:val="superscript"/>
          <w:lang w:val="fr-FR"/>
        </w:rPr>
        <w:t>s</w:t>
      </w:r>
      <w:r>
        <w:rPr>
          <w:lang w:val="fr-FR"/>
        </w:rPr>
        <w:t> </w:t>
      </w:r>
      <w:r w:rsidRPr="004B2EDD">
        <w:rPr>
          <w:lang w:val="fr-FR"/>
        </w:rPr>
        <w:t>94-07-UPB et 87/09.</w:t>
      </w:r>
    </w:p>
  </w:footnote>
  <w:footnote w:id="20">
    <w:p w14:paraId="1CAF959C" w14:textId="77777777" w:rsidR="00E51827" w:rsidRPr="001C2126" w:rsidRDefault="00E51827" w:rsidP="002A5EB2">
      <w:pPr>
        <w:pStyle w:val="Notedebasdepage"/>
        <w:rPr>
          <w:lang w:val="fr-FR"/>
        </w:rPr>
      </w:pPr>
      <w:r w:rsidRPr="004B2EDD">
        <w:rPr>
          <w:lang w:val="fr-FR"/>
        </w:rPr>
        <w:tab/>
      </w:r>
      <w:r w:rsidRPr="0017324C">
        <w:rPr>
          <w:rStyle w:val="Appelnotedebasdep"/>
        </w:rPr>
        <w:footnoteRef/>
      </w:r>
      <w:r w:rsidRPr="004B2EDD">
        <w:rPr>
          <w:lang w:val="fr-FR"/>
        </w:rPr>
        <w:tab/>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EE34FC">
        <w:rPr>
          <w:rFonts w:eastAsia="MS Mincho"/>
          <w:szCs w:val="22"/>
          <w:lang w:val="fr-FR"/>
        </w:rPr>
        <w:t>n</w:t>
      </w:r>
      <w:r w:rsidRPr="00EE34FC">
        <w:rPr>
          <w:rFonts w:eastAsia="MS Mincho"/>
          <w:szCs w:val="22"/>
          <w:vertAlign w:val="superscript"/>
          <w:lang w:val="fr-FR"/>
        </w:rPr>
        <w:t>o</w:t>
      </w:r>
      <w:r>
        <w:rPr>
          <w:lang w:val="fr-FR"/>
        </w:rPr>
        <w:t> </w:t>
      </w:r>
      <w:r w:rsidRPr="001C2126">
        <w:rPr>
          <w:lang w:val="fr-FR"/>
        </w:rPr>
        <w:t>58/11.</w:t>
      </w:r>
    </w:p>
  </w:footnote>
  <w:footnote w:id="21">
    <w:p w14:paraId="170B3F31" w14:textId="31F9AC33" w:rsidR="00E51827" w:rsidRPr="00D67801" w:rsidRDefault="00E51827" w:rsidP="002A5EB2">
      <w:pPr>
        <w:pStyle w:val="Notedebasdepage"/>
        <w:rPr>
          <w:lang w:val="fr-FR"/>
        </w:rPr>
      </w:pPr>
      <w:r w:rsidRPr="001C2126">
        <w:rPr>
          <w:lang w:val="fr-FR"/>
        </w:rPr>
        <w:tab/>
      </w:r>
      <w:r w:rsidRPr="0017324C">
        <w:rPr>
          <w:rStyle w:val="Appelnotedebasdep"/>
        </w:rPr>
        <w:footnoteRef/>
      </w:r>
      <w:r w:rsidRPr="00D67801">
        <w:rPr>
          <w:lang w:val="fr-FR"/>
        </w:rPr>
        <w:tab/>
        <w:t>Journal officiel de la République de Slovénie [</w:t>
      </w:r>
      <w:proofErr w:type="spellStart"/>
      <w:r w:rsidRPr="00D67801">
        <w:rPr>
          <w:lang w:val="fr-FR"/>
        </w:rPr>
        <w:t>Uradni</w:t>
      </w:r>
      <w:proofErr w:type="spellEnd"/>
      <w:r w:rsidRPr="00D67801">
        <w:rPr>
          <w:lang w:val="fr-FR"/>
        </w:rPr>
        <w:t xml:space="preserve"> </w:t>
      </w:r>
      <w:proofErr w:type="spellStart"/>
      <w:r w:rsidRPr="00D67801">
        <w:rPr>
          <w:lang w:val="fr-FR"/>
        </w:rPr>
        <w:t>list</w:t>
      </w:r>
      <w:proofErr w:type="spellEnd"/>
      <w:r w:rsidRPr="00D67801">
        <w:rPr>
          <w:lang w:val="fr-FR"/>
        </w:rPr>
        <w:t xml:space="preserve"> RS], </w:t>
      </w:r>
      <w:r w:rsidRPr="00EE34FC">
        <w:rPr>
          <w:rFonts w:eastAsia="MS Mincho"/>
          <w:szCs w:val="22"/>
          <w:lang w:val="fr-FR"/>
        </w:rPr>
        <w:t>n</w:t>
      </w:r>
      <w:r w:rsidRPr="00EE34FC">
        <w:rPr>
          <w:rFonts w:eastAsia="MS Mincho"/>
          <w:szCs w:val="22"/>
          <w:vertAlign w:val="superscript"/>
          <w:lang w:val="fr-FR"/>
        </w:rPr>
        <w:t>o</w:t>
      </w:r>
      <w:r>
        <w:rPr>
          <w:lang w:val="fr-FR"/>
        </w:rPr>
        <w:t> </w:t>
      </w:r>
      <w:hyperlink r:id="rId8" w:tgtFrame="_blank" w:tooltip="Criminal Code (official consolidated version)" w:history="1">
        <w:r w:rsidRPr="00D67801">
          <w:rPr>
            <w:lang w:val="fr-FR"/>
          </w:rPr>
          <w:t>95/04</w:t>
        </w:r>
      </w:hyperlink>
      <w:r w:rsidRPr="00D67801">
        <w:rPr>
          <w:lang w:val="fr-FR"/>
        </w:rPr>
        <w:t>.</w:t>
      </w:r>
    </w:p>
  </w:footnote>
  <w:footnote w:id="22">
    <w:p w14:paraId="2583FEA6" w14:textId="64228913" w:rsidR="00E51827" w:rsidRPr="001C2126" w:rsidRDefault="00E51827" w:rsidP="002A5EB2">
      <w:pPr>
        <w:pStyle w:val="Notedebasdepage"/>
        <w:rPr>
          <w:spacing w:val="-2"/>
          <w:lang w:val="fr-FR"/>
        </w:rPr>
      </w:pPr>
      <w:r w:rsidRPr="00D67801">
        <w:rPr>
          <w:lang w:val="fr-FR"/>
        </w:rPr>
        <w:tab/>
      </w:r>
      <w:r w:rsidRPr="0017324C">
        <w:rPr>
          <w:rStyle w:val="Appelnotedebasdep"/>
        </w:rPr>
        <w:footnoteRef/>
      </w:r>
      <w:r w:rsidRPr="001C2126">
        <w:rPr>
          <w:lang w:val="fr-FR"/>
        </w:rPr>
        <w:tab/>
      </w:r>
      <w:r w:rsidRPr="004B2EDD">
        <w:rPr>
          <w:lang w:val="fr-FR"/>
        </w:rPr>
        <w:t>Journal officiel de la République de Slovénie</w:t>
      </w:r>
      <w:r w:rsidRPr="00A47500">
        <w:rPr>
          <w:lang w:val="fr-FR"/>
        </w:rPr>
        <w:t xml:space="preserve"> </w:t>
      </w:r>
      <w:r w:rsidRPr="001C2126">
        <w:rPr>
          <w:spacing w:val="-2"/>
          <w:lang w:val="fr-FR"/>
        </w:rPr>
        <w:t>[</w:t>
      </w:r>
      <w:proofErr w:type="spellStart"/>
      <w:r w:rsidRPr="001C2126">
        <w:rPr>
          <w:spacing w:val="-2"/>
          <w:lang w:val="fr-FR"/>
        </w:rPr>
        <w:t>Uradni</w:t>
      </w:r>
      <w:proofErr w:type="spellEnd"/>
      <w:r w:rsidRPr="001C2126">
        <w:rPr>
          <w:spacing w:val="-2"/>
          <w:lang w:val="fr-FR"/>
        </w:rPr>
        <w:t xml:space="preserve"> </w:t>
      </w:r>
      <w:proofErr w:type="spellStart"/>
      <w:r w:rsidRPr="001C2126">
        <w:rPr>
          <w:spacing w:val="-2"/>
          <w:lang w:val="fr-FR"/>
        </w:rPr>
        <w:t>list</w:t>
      </w:r>
      <w:proofErr w:type="spellEnd"/>
      <w:r w:rsidRPr="001C2126">
        <w:rPr>
          <w:spacing w:val="-2"/>
          <w:lang w:val="fr-FR"/>
        </w:rPr>
        <w:t xml:space="preserve"> RS], </w:t>
      </w:r>
      <w:r w:rsidRPr="00766F59">
        <w:rPr>
          <w:rFonts w:eastAsia="MS Mincho"/>
          <w:spacing w:val="-2"/>
          <w:szCs w:val="22"/>
          <w:lang w:val="fr-FR"/>
        </w:rPr>
        <w:t>n</w:t>
      </w:r>
      <w:r w:rsidRPr="00766F59">
        <w:rPr>
          <w:rFonts w:eastAsia="MS Mincho"/>
          <w:spacing w:val="-2"/>
          <w:szCs w:val="22"/>
          <w:vertAlign w:val="superscript"/>
          <w:lang w:val="fr-FR"/>
        </w:rPr>
        <w:t>o</w:t>
      </w:r>
      <w:r>
        <w:rPr>
          <w:rFonts w:eastAsia="MS Mincho"/>
          <w:spacing w:val="-2"/>
          <w:szCs w:val="22"/>
          <w:vertAlign w:val="superscript"/>
          <w:lang w:val="fr-FR"/>
        </w:rPr>
        <w:t>s</w:t>
      </w:r>
      <w:r>
        <w:rPr>
          <w:spacing w:val="-2"/>
          <w:lang w:val="fr-FR"/>
        </w:rPr>
        <w:t> </w:t>
      </w:r>
      <w:hyperlink r:id="rId9" w:tgtFrame="_blank" w:tooltip="Domestic Violence Prevention Act (the ZPND)" w:history="1">
        <w:r w:rsidRPr="001C2126">
          <w:rPr>
            <w:spacing w:val="-2"/>
            <w:lang w:val="fr-FR"/>
          </w:rPr>
          <w:t>16/08</w:t>
        </w:r>
      </w:hyperlink>
      <w:r w:rsidRPr="001C2126">
        <w:rPr>
          <w:spacing w:val="-2"/>
          <w:lang w:val="fr-FR"/>
        </w:rPr>
        <w:t xml:space="preserve">, </w:t>
      </w:r>
      <w:hyperlink r:id="rId10" w:tgtFrame="_blank" w:tooltip="Act Amending the Domestic Violence Prevention Act" w:history="1">
        <w:r w:rsidRPr="001C2126">
          <w:rPr>
            <w:spacing w:val="-2"/>
            <w:lang w:val="fr-FR"/>
          </w:rPr>
          <w:t>68/16</w:t>
        </w:r>
      </w:hyperlink>
      <w:r w:rsidRPr="001C2126">
        <w:rPr>
          <w:spacing w:val="-2"/>
          <w:lang w:val="fr-FR"/>
        </w:rPr>
        <w:t xml:space="preserve"> </w:t>
      </w:r>
      <w:r>
        <w:rPr>
          <w:spacing w:val="-2"/>
          <w:lang w:val="fr-FR"/>
        </w:rPr>
        <w:t>et</w:t>
      </w:r>
      <w:r w:rsidRPr="001C2126">
        <w:rPr>
          <w:spacing w:val="-2"/>
          <w:lang w:val="fr-FR"/>
        </w:rPr>
        <w:t xml:space="preserve"> </w:t>
      </w:r>
      <w:hyperlink r:id="rId11" w:tgtFrame="_blank" w:tooltip="Act Amending the Social Assistance Act" w:history="1">
        <w:r w:rsidRPr="001C2126">
          <w:rPr>
            <w:spacing w:val="-2"/>
            <w:lang w:val="fr-FR"/>
          </w:rPr>
          <w:t>54/17</w:t>
        </w:r>
      </w:hyperlink>
      <w:r w:rsidRPr="001C2126">
        <w:rPr>
          <w:spacing w:val="-2"/>
          <w:lang w:val="fr-FR"/>
        </w:rPr>
        <w:t xml:space="preserve"> </w:t>
      </w:r>
      <w:r>
        <w:rPr>
          <w:spacing w:val="-2"/>
          <w:lang w:val="fr-FR"/>
        </w:rPr>
        <w:t>− </w:t>
      </w:r>
      <w:r w:rsidRPr="001C2126">
        <w:rPr>
          <w:spacing w:val="-2"/>
          <w:lang w:val="fr-FR"/>
        </w:rPr>
        <w:t>ZSV-H.</w:t>
      </w:r>
    </w:p>
  </w:footnote>
  <w:footnote w:id="23">
    <w:p w14:paraId="53CCFF35" w14:textId="1BF17712" w:rsidR="00E51827" w:rsidRPr="001C2126" w:rsidRDefault="00E51827" w:rsidP="002A5EB2">
      <w:pPr>
        <w:pStyle w:val="Notedebasdepage"/>
        <w:rPr>
          <w:lang w:val="fr-FR"/>
        </w:rPr>
      </w:pPr>
      <w:r w:rsidRPr="001C2126">
        <w:rPr>
          <w:lang w:val="fr-FR"/>
        </w:rPr>
        <w:tab/>
      </w:r>
      <w:r w:rsidRPr="0017324C">
        <w:rPr>
          <w:rStyle w:val="Appelnotedebasdep"/>
        </w:rPr>
        <w:footnoteRef/>
      </w:r>
      <w:r w:rsidRPr="001C2126">
        <w:rPr>
          <w:lang w:val="fr-FR"/>
        </w:rPr>
        <w:tab/>
      </w:r>
      <w:r w:rsidRPr="004B2EDD">
        <w:rPr>
          <w:lang w:val="fr-FR"/>
        </w:rPr>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B803DA">
        <w:rPr>
          <w:rFonts w:eastAsia="MS Mincho"/>
          <w:szCs w:val="22"/>
          <w:lang w:val="fr-FR"/>
        </w:rPr>
        <w:t>n</w:t>
      </w:r>
      <w:r w:rsidRPr="00B803DA">
        <w:rPr>
          <w:rFonts w:eastAsia="MS Mincho"/>
          <w:szCs w:val="22"/>
          <w:vertAlign w:val="superscript"/>
          <w:lang w:val="fr-FR"/>
        </w:rPr>
        <w:t>o</w:t>
      </w:r>
      <w:r>
        <w:rPr>
          <w:lang w:val="fr-FR"/>
        </w:rPr>
        <w:t> </w:t>
      </w:r>
      <w:hyperlink r:id="rId12" w:tgtFrame="_blank" w:tooltip="Protection of Public Order Act (the ZJRM-1)" w:history="1">
        <w:r w:rsidRPr="001C2126">
          <w:rPr>
            <w:lang w:val="fr-FR"/>
          </w:rPr>
          <w:t>70/06</w:t>
        </w:r>
      </w:hyperlink>
      <w:r w:rsidRPr="001C2126">
        <w:rPr>
          <w:lang w:val="fr-FR"/>
        </w:rPr>
        <w:t>.</w:t>
      </w:r>
    </w:p>
  </w:footnote>
  <w:footnote w:id="24">
    <w:p w14:paraId="7A676EBA" w14:textId="77777777" w:rsidR="00E51827" w:rsidRPr="001C2126" w:rsidRDefault="00E51827" w:rsidP="002A5EB2">
      <w:pPr>
        <w:pStyle w:val="Notedebasdepage"/>
        <w:rPr>
          <w:lang w:val="fr-FR"/>
        </w:rPr>
      </w:pPr>
      <w:r w:rsidRPr="001C2126">
        <w:rPr>
          <w:lang w:val="fr-FR"/>
        </w:rPr>
        <w:tab/>
      </w:r>
      <w:r w:rsidRPr="0017324C">
        <w:rPr>
          <w:rStyle w:val="Appelnotedebasdep"/>
        </w:rPr>
        <w:footnoteRef/>
      </w:r>
      <w:r w:rsidRPr="001C2126">
        <w:rPr>
          <w:lang w:val="fr-FR"/>
        </w:rPr>
        <w:tab/>
      </w:r>
      <w:r w:rsidRPr="00B1347A">
        <w:rPr>
          <w:lang w:val="fr-FR"/>
        </w:rPr>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6313D9">
        <w:rPr>
          <w:rFonts w:eastAsia="MS Mincho"/>
          <w:szCs w:val="22"/>
          <w:lang w:val="fr-FR"/>
        </w:rPr>
        <w:t>n</w:t>
      </w:r>
      <w:r w:rsidRPr="006313D9">
        <w:rPr>
          <w:rFonts w:eastAsia="MS Mincho"/>
          <w:szCs w:val="22"/>
          <w:vertAlign w:val="superscript"/>
          <w:lang w:val="fr-FR"/>
        </w:rPr>
        <w:t>o</w:t>
      </w:r>
      <w:r>
        <w:rPr>
          <w:rFonts w:eastAsia="MS Mincho"/>
          <w:szCs w:val="22"/>
          <w:vertAlign w:val="superscript"/>
          <w:lang w:val="fr-FR"/>
        </w:rPr>
        <w:t>s</w:t>
      </w:r>
      <w:r>
        <w:rPr>
          <w:lang w:val="fr-FR"/>
        </w:rPr>
        <w:t> </w:t>
      </w:r>
      <w:r w:rsidRPr="001C2126">
        <w:rPr>
          <w:lang w:val="fr-FR"/>
        </w:rPr>
        <w:t>101/05, 86/10.</w:t>
      </w:r>
    </w:p>
  </w:footnote>
  <w:footnote w:id="25">
    <w:p w14:paraId="6D0FCF40" w14:textId="77777777" w:rsidR="00E51827" w:rsidRPr="001C2126" w:rsidRDefault="00E51827" w:rsidP="002A5EB2">
      <w:pPr>
        <w:pStyle w:val="Notedebasdepage"/>
        <w:rPr>
          <w:lang w:val="fr-FR"/>
        </w:rPr>
      </w:pPr>
      <w:r w:rsidRPr="001C2126">
        <w:rPr>
          <w:lang w:val="fr-FR"/>
        </w:rPr>
        <w:tab/>
      </w:r>
      <w:r w:rsidRPr="0017324C">
        <w:rPr>
          <w:rStyle w:val="Appelnotedebasdep"/>
        </w:rPr>
        <w:footnoteRef/>
      </w:r>
      <w:r w:rsidRPr="001C2126">
        <w:rPr>
          <w:lang w:val="fr-FR"/>
        </w:rPr>
        <w:tab/>
      </w:r>
      <w:r w:rsidRPr="00C91EFA">
        <w:rPr>
          <w:lang w:val="fr-FR"/>
        </w:rPr>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932521">
        <w:rPr>
          <w:rFonts w:eastAsia="MS Mincho"/>
          <w:szCs w:val="22"/>
          <w:lang w:val="fr-FR"/>
        </w:rPr>
        <w:t>n</w:t>
      </w:r>
      <w:r w:rsidRPr="00932521">
        <w:rPr>
          <w:rFonts w:eastAsia="MS Mincho"/>
          <w:szCs w:val="22"/>
          <w:vertAlign w:val="superscript"/>
          <w:lang w:val="fr-FR"/>
        </w:rPr>
        <w:t>o</w:t>
      </w:r>
      <w:r>
        <w:rPr>
          <w:lang w:val="fr-FR"/>
        </w:rPr>
        <w:t> </w:t>
      </w:r>
      <w:r w:rsidRPr="001C2126">
        <w:rPr>
          <w:lang w:val="fr-FR"/>
        </w:rPr>
        <w:t xml:space="preserve">16/17 </w:t>
      </w:r>
      <w:r>
        <w:rPr>
          <w:lang w:val="fr-FR"/>
        </w:rPr>
        <w:t>− </w:t>
      </w:r>
      <w:r w:rsidRPr="00D67801">
        <w:rPr>
          <w:lang w:val="fr-FR"/>
        </w:rPr>
        <w:t>version officielle consolidée</w:t>
      </w:r>
      <w:r w:rsidRPr="001C2126">
        <w:rPr>
          <w:lang w:val="fr-FR"/>
        </w:rPr>
        <w:t>.</w:t>
      </w:r>
    </w:p>
  </w:footnote>
  <w:footnote w:id="26">
    <w:p w14:paraId="128EC9DB" w14:textId="77777777" w:rsidR="00E51827" w:rsidRPr="00D67801" w:rsidRDefault="00E51827" w:rsidP="002A5EB2">
      <w:pPr>
        <w:pStyle w:val="Notedebasdepage"/>
        <w:rPr>
          <w:lang w:val="fr-FR"/>
        </w:rPr>
      </w:pPr>
      <w:r w:rsidRPr="001C2126">
        <w:rPr>
          <w:lang w:val="fr-FR"/>
        </w:rPr>
        <w:tab/>
      </w:r>
      <w:r w:rsidRPr="0017324C">
        <w:rPr>
          <w:rStyle w:val="Appelnotedebasdep"/>
        </w:rPr>
        <w:footnoteRef/>
      </w:r>
      <w:r w:rsidRPr="00D67801">
        <w:rPr>
          <w:lang w:val="fr-FR"/>
        </w:rPr>
        <w:tab/>
        <w:t>La question de</w:t>
      </w:r>
      <w:r>
        <w:rPr>
          <w:lang w:val="fr-FR"/>
        </w:rPr>
        <w:t>s</w:t>
      </w:r>
      <w:r w:rsidRPr="00D67801">
        <w:rPr>
          <w:lang w:val="fr-FR"/>
        </w:rPr>
        <w:t xml:space="preserve"> </w:t>
      </w:r>
      <w:r>
        <w:rPr>
          <w:lang w:val="fr-FR"/>
        </w:rPr>
        <w:t>« personnes radiées »</w:t>
      </w:r>
      <w:r w:rsidRPr="00D67801">
        <w:rPr>
          <w:lang w:val="fr-FR"/>
        </w:rPr>
        <w:t xml:space="preserve"> est traitée en détail dans le </w:t>
      </w:r>
      <w:r>
        <w:rPr>
          <w:lang w:val="fr-FR"/>
        </w:rPr>
        <w:t>d</w:t>
      </w:r>
      <w:r w:rsidRPr="00D67801">
        <w:rPr>
          <w:lang w:val="fr-FR"/>
        </w:rPr>
        <w:t>ocument de base commun de la Slovénie</w:t>
      </w:r>
      <w:r>
        <w:rPr>
          <w:lang w:val="fr-FR"/>
        </w:rPr>
        <w:t xml:space="preserve"> </w:t>
      </w:r>
      <w:r w:rsidRPr="00D67801">
        <w:rPr>
          <w:lang w:val="fr-FR"/>
        </w:rPr>
        <w:t>publié par l</w:t>
      </w:r>
      <w:r>
        <w:rPr>
          <w:lang w:val="fr-FR"/>
        </w:rPr>
        <w:t>’</w:t>
      </w:r>
      <w:r w:rsidRPr="00D67801">
        <w:rPr>
          <w:lang w:val="fr-FR"/>
        </w:rPr>
        <w:t xml:space="preserve">ONU </w:t>
      </w:r>
      <w:r>
        <w:rPr>
          <w:lang w:val="fr-FR"/>
        </w:rPr>
        <w:t xml:space="preserve">sous la cote </w:t>
      </w:r>
      <w:r w:rsidRPr="00D67801">
        <w:rPr>
          <w:lang w:val="fr-FR"/>
        </w:rPr>
        <w:t>HRI/CORE/SVN/2014</w:t>
      </w:r>
      <w:r>
        <w:rPr>
          <w:lang w:val="fr-FR"/>
        </w:rPr>
        <w:t xml:space="preserve"> (par. </w:t>
      </w:r>
      <w:r w:rsidRPr="00D67801">
        <w:rPr>
          <w:lang w:val="fr-FR"/>
        </w:rPr>
        <w:t>266</w:t>
      </w:r>
      <w:r>
        <w:rPr>
          <w:lang w:val="fr-FR"/>
        </w:rPr>
        <w:t xml:space="preserve"> à </w:t>
      </w:r>
      <w:r w:rsidRPr="00D67801">
        <w:rPr>
          <w:lang w:val="fr-FR"/>
        </w:rPr>
        <w:t>270</w:t>
      </w:r>
      <w:r>
        <w:rPr>
          <w:lang w:val="fr-FR"/>
        </w:rPr>
        <w:t>)</w:t>
      </w:r>
      <w:r w:rsidRPr="00D67801">
        <w:rPr>
          <w:lang w:val="fr-FR"/>
        </w:rPr>
        <w:t>.</w:t>
      </w:r>
    </w:p>
  </w:footnote>
  <w:footnote w:id="27">
    <w:p w14:paraId="0AE296ED" w14:textId="1971A6DD" w:rsidR="00E51827" w:rsidRPr="00D67801" w:rsidRDefault="00E51827" w:rsidP="002A5EB2">
      <w:pPr>
        <w:pStyle w:val="Notedebasdepage"/>
        <w:rPr>
          <w:lang w:val="fr-FR"/>
        </w:rPr>
      </w:pPr>
      <w:r w:rsidRPr="00D67801">
        <w:rPr>
          <w:lang w:val="fr-FR"/>
        </w:rPr>
        <w:tab/>
      </w:r>
      <w:r w:rsidRPr="0017324C">
        <w:rPr>
          <w:rStyle w:val="Appelnotedebasdep"/>
        </w:rPr>
        <w:footnoteRef/>
      </w:r>
      <w:r w:rsidRPr="00D67801">
        <w:rPr>
          <w:lang w:val="fr-FR"/>
        </w:rPr>
        <w:tab/>
        <w:t>Journal officiel de la République de Slovénie [</w:t>
      </w:r>
      <w:proofErr w:type="spellStart"/>
      <w:r w:rsidRPr="00D67801">
        <w:rPr>
          <w:lang w:val="fr-FR"/>
        </w:rPr>
        <w:t>Uradni</w:t>
      </w:r>
      <w:proofErr w:type="spellEnd"/>
      <w:r w:rsidRPr="00D67801">
        <w:rPr>
          <w:lang w:val="fr-FR"/>
        </w:rPr>
        <w:t xml:space="preserve"> </w:t>
      </w:r>
      <w:proofErr w:type="spellStart"/>
      <w:r w:rsidRPr="00D67801">
        <w:rPr>
          <w:lang w:val="fr-FR"/>
        </w:rPr>
        <w:t>list</w:t>
      </w:r>
      <w:proofErr w:type="spellEnd"/>
      <w:r w:rsidRPr="00D67801">
        <w:rPr>
          <w:lang w:val="fr-FR"/>
        </w:rPr>
        <w:t xml:space="preserve"> RS], </w:t>
      </w:r>
      <w:r w:rsidRPr="00932521">
        <w:rPr>
          <w:rFonts w:eastAsia="MS Mincho"/>
          <w:szCs w:val="22"/>
          <w:lang w:val="fr-FR"/>
        </w:rPr>
        <w:t>n</w:t>
      </w:r>
      <w:r w:rsidRPr="00932521">
        <w:rPr>
          <w:rFonts w:eastAsia="MS Mincho"/>
          <w:szCs w:val="22"/>
          <w:vertAlign w:val="superscript"/>
          <w:lang w:val="fr-FR"/>
        </w:rPr>
        <w:t>o</w:t>
      </w:r>
      <w:r>
        <w:rPr>
          <w:lang w:val="fr-FR"/>
        </w:rPr>
        <w:t> </w:t>
      </w:r>
      <w:hyperlink r:id="rId13" w:tgtFrame="_blank" w:tooltip="the Act Amending the Act Regulating the Legal Status of Citizens of Former Yugoslavia Living in the Republic of Slovenia (the ZUSDDD-B)" w:history="1">
        <w:r w:rsidRPr="00D67801">
          <w:rPr>
            <w:lang w:val="fr-FR"/>
          </w:rPr>
          <w:t>50/10</w:t>
        </w:r>
      </w:hyperlink>
      <w:r w:rsidRPr="00D67801">
        <w:rPr>
          <w:lang w:val="fr-FR"/>
        </w:rPr>
        <w:t>.</w:t>
      </w:r>
    </w:p>
  </w:footnote>
  <w:footnote w:id="28">
    <w:p w14:paraId="31C4B6B3" w14:textId="6F7F689A" w:rsidR="00E51827" w:rsidRPr="00D67801" w:rsidRDefault="00E51827" w:rsidP="002A5EB2">
      <w:pPr>
        <w:pStyle w:val="Notedebasdepage"/>
        <w:rPr>
          <w:lang w:val="fr-FR"/>
        </w:rPr>
      </w:pPr>
      <w:r w:rsidRPr="00D67801">
        <w:rPr>
          <w:lang w:val="fr-FR"/>
        </w:rPr>
        <w:tab/>
      </w:r>
      <w:r w:rsidRPr="0017324C">
        <w:rPr>
          <w:rStyle w:val="Appelnotedebasdep"/>
        </w:rPr>
        <w:footnoteRef/>
      </w:r>
      <w:r w:rsidRPr="00D67801">
        <w:rPr>
          <w:lang w:val="fr-FR"/>
        </w:rPr>
        <w:tab/>
        <w:t>Loi sur l</w:t>
      </w:r>
      <w:r>
        <w:rPr>
          <w:lang w:val="fr-FR"/>
        </w:rPr>
        <w:t xml:space="preserve">’exécution </w:t>
      </w:r>
      <w:r w:rsidRPr="00D67801">
        <w:rPr>
          <w:lang w:val="fr-FR"/>
        </w:rPr>
        <w:t>des sanctions pénales (Journal officiel de la République de Slovénie [</w:t>
      </w:r>
      <w:proofErr w:type="spellStart"/>
      <w:r w:rsidRPr="00D67801">
        <w:rPr>
          <w:lang w:val="fr-FR"/>
        </w:rPr>
        <w:t>Uradni</w:t>
      </w:r>
      <w:proofErr w:type="spellEnd"/>
      <w:r w:rsidRPr="00D67801">
        <w:rPr>
          <w:lang w:val="fr-FR"/>
        </w:rPr>
        <w:t xml:space="preserve"> </w:t>
      </w:r>
      <w:proofErr w:type="spellStart"/>
      <w:r w:rsidRPr="00D67801">
        <w:rPr>
          <w:lang w:val="fr-FR"/>
        </w:rPr>
        <w:t>list</w:t>
      </w:r>
      <w:proofErr w:type="spellEnd"/>
      <w:r w:rsidRPr="00D67801">
        <w:rPr>
          <w:lang w:val="fr-FR"/>
        </w:rPr>
        <w:t xml:space="preserve"> RS], </w:t>
      </w:r>
      <w:r w:rsidRPr="00663A39">
        <w:rPr>
          <w:rFonts w:eastAsia="MS Mincho"/>
          <w:szCs w:val="22"/>
          <w:lang w:val="fr-FR"/>
        </w:rPr>
        <w:t>n</w:t>
      </w:r>
      <w:r w:rsidRPr="00663A39">
        <w:rPr>
          <w:rFonts w:eastAsia="MS Mincho"/>
          <w:szCs w:val="22"/>
          <w:vertAlign w:val="superscript"/>
          <w:lang w:val="fr-FR"/>
        </w:rPr>
        <w:t>o</w:t>
      </w:r>
      <w:r>
        <w:rPr>
          <w:rFonts w:eastAsia="MS Mincho"/>
          <w:szCs w:val="22"/>
          <w:vertAlign w:val="superscript"/>
          <w:lang w:val="fr-FR"/>
        </w:rPr>
        <w:t>s</w:t>
      </w:r>
      <w:r>
        <w:rPr>
          <w:lang w:val="fr-FR"/>
        </w:rPr>
        <w:t> </w:t>
      </w:r>
      <w:hyperlink r:id="rId14" w:tgtFrame="_blank" w:tooltip="Enforcement of Criminal Sanctions Act (official consolidated version)" w:history="1">
        <w:r w:rsidRPr="00D67801">
          <w:rPr>
            <w:lang w:val="fr-FR"/>
          </w:rPr>
          <w:t>110/06</w:t>
        </w:r>
      </w:hyperlink>
      <w:r w:rsidRPr="00D67801">
        <w:rPr>
          <w:lang w:val="fr-FR"/>
        </w:rPr>
        <w:t xml:space="preserve"> </w:t>
      </w:r>
      <w:r>
        <w:rPr>
          <w:lang w:val="fr-FR"/>
        </w:rPr>
        <w:t>− </w:t>
      </w:r>
      <w:r w:rsidRPr="00D67801">
        <w:rPr>
          <w:lang w:val="fr-FR"/>
        </w:rPr>
        <w:t xml:space="preserve">version officielle consolidée, </w:t>
      </w:r>
      <w:hyperlink r:id="rId15" w:tgtFrame="_blank" w:tooltip="Act Amending the Enforcement of Criminal Sanctions Act" w:history="1">
        <w:r w:rsidRPr="00D67801">
          <w:rPr>
            <w:lang w:val="fr-FR"/>
          </w:rPr>
          <w:t>76/08</w:t>
        </w:r>
      </w:hyperlink>
      <w:r w:rsidRPr="00D67801">
        <w:rPr>
          <w:lang w:val="fr-FR"/>
        </w:rPr>
        <w:t xml:space="preserve">, </w:t>
      </w:r>
      <w:hyperlink r:id="rId16" w:tgtFrame="_blank" w:tooltip="Act Amending the Enforcement of Criminal Sanctions Act" w:history="1">
        <w:r w:rsidRPr="00D67801">
          <w:rPr>
            <w:lang w:val="fr-FR"/>
          </w:rPr>
          <w:t>40/09</w:t>
        </w:r>
      </w:hyperlink>
      <w:r w:rsidRPr="00D67801">
        <w:rPr>
          <w:lang w:val="fr-FR"/>
        </w:rPr>
        <w:t xml:space="preserve">, </w:t>
      </w:r>
      <w:hyperlink r:id="rId17" w:tgtFrame="_blank" w:tooltip="Act Amending the Minor Offences Act" w:history="1">
        <w:r w:rsidRPr="00D67801">
          <w:rPr>
            <w:lang w:val="fr-FR"/>
          </w:rPr>
          <w:t>9/11</w:t>
        </w:r>
      </w:hyperlink>
      <w:r w:rsidRPr="00D67801">
        <w:rPr>
          <w:lang w:val="fr-FR"/>
        </w:rPr>
        <w:t xml:space="preserve"> – ZP-1G, </w:t>
      </w:r>
      <w:hyperlink r:id="rId18" w:tgtFrame="_blank" w:tooltip="Pension and Disability Insurance Act" w:history="1">
        <w:r w:rsidRPr="00D67801">
          <w:rPr>
            <w:lang w:val="fr-FR"/>
          </w:rPr>
          <w:t>96/12</w:t>
        </w:r>
      </w:hyperlink>
      <w:r w:rsidRPr="00D67801">
        <w:rPr>
          <w:lang w:val="fr-FR"/>
        </w:rPr>
        <w:t xml:space="preserve"> – ZPIZ-2, </w:t>
      </w:r>
      <w:hyperlink r:id="rId19" w:tgtFrame="_blank" w:tooltip="Act Amending the Enforcement of Criminal Sanctions Act" w:history="1">
        <w:r w:rsidRPr="00D67801">
          <w:rPr>
            <w:lang w:val="fr-FR"/>
          </w:rPr>
          <w:t>109/12</w:t>
        </w:r>
      </w:hyperlink>
      <w:r w:rsidRPr="00D67801">
        <w:rPr>
          <w:lang w:val="fr-FR"/>
        </w:rPr>
        <w:t xml:space="preserve">, </w:t>
      </w:r>
      <w:hyperlink r:id="rId20" w:tgtFrame="_blank" w:tooltip="Act Amending the Enforcement of Criminal Sanctions Act" w:history="1">
        <w:r w:rsidRPr="00D67801">
          <w:rPr>
            <w:lang w:val="fr-FR"/>
          </w:rPr>
          <w:t>54/15</w:t>
        </w:r>
      </w:hyperlink>
      <w:r w:rsidRPr="00D67801">
        <w:rPr>
          <w:lang w:val="fr-FR"/>
        </w:rPr>
        <w:t xml:space="preserve"> </w:t>
      </w:r>
      <w:r>
        <w:rPr>
          <w:lang w:val="fr-FR"/>
        </w:rPr>
        <w:t>et</w:t>
      </w:r>
      <w:r w:rsidRPr="00D67801">
        <w:rPr>
          <w:lang w:val="fr-FR"/>
        </w:rPr>
        <w:t xml:space="preserve"> </w:t>
      </w:r>
      <w:hyperlink r:id="rId21" w:tgtFrame="_blank" w:tooltip="Act Amending the Enforcement of Criminal Sanctions Act" w:history="1">
        <w:r w:rsidRPr="00D67801">
          <w:rPr>
            <w:lang w:val="fr-FR"/>
          </w:rPr>
          <w:t>11/18</w:t>
        </w:r>
      </w:hyperlink>
      <w:r w:rsidRPr="00D67801">
        <w:rPr>
          <w:lang w:val="fr-FR"/>
        </w:rPr>
        <w:t>).</w:t>
      </w:r>
    </w:p>
  </w:footnote>
  <w:footnote w:id="29">
    <w:p w14:paraId="62A1B822" w14:textId="2CB987D3" w:rsidR="00E51827" w:rsidRPr="008B449F" w:rsidRDefault="00E51827" w:rsidP="002A5EB2">
      <w:pPr>
        <w:pStyle w:val="Notedebasdepage"/>
        <w:rPr>
          <w:lang w:val="fr-FR"/>
        </w:rPr>
      </w:pPr>
      <w:r w:rsidRPr="00D67801">
        <w:rPr>
          <w:lang w:val="fr-FR"/>
        </w:rPr>
        <w:tab/>
      </w:r>
      <w:r w:rsidRPr="0017324C">
        <w:rPr>
          <w:rStyle w:val="Appelnotedebasdep"/>
        </w:rPr>
        <w:footnoteRef/>
      </w:r>
      <w:r w:rsidRPr="00D67801">
        <w:rPr>
          <w:lang w:val="fr-FR"/>
        </w:rPr>
        <w:tab/>
      </w:r>
      <w:r w:rsidRPr="005D1F32">
        <w:rPr>
          <w:lang w:val="fr-FR"/>
        </w:rPr>
        <w:t>Loi sur les fonctions et les pouvoirs de la police</w:t>
      </w:r>
      <w:r w:rsidRPr="00D67801">
        <w:rPr>
          <w:lang w:val="fr-FR"/>
        </w:rPr>
        <w:t xml:space="preserve"> (Journal officiel de la République de Slovénie [</w:t>
      </w:r>
      <w:proofErr w:type="spellStart"/>
      <w:r w:rsidRPr="00D67801">
        <w:rPr>
          <w:lang w:val="fr-FR"/>
        </w:rPr>
        <w:t>Uradni</w:t>
      </w:r>
      <w:proofErr w:type="spellEnd"/>
      <w:r w:rsidRPr="00D67801">
        <w:rPr>
          <w:lang w:val="fr-FR"/>
        </w:rPr>
        <w:t xml:space="preserve"> </w:t>
      </w:r>
      <w:proofErr w:type="spellStart"/>
      <w:r w:rsidRPr="00D67801">
        <w:rPr>
          <w:lang w:val="fr-FR"/>
        </w:rPr>
        <w:t>list</w:t>
      </w:r>
      <w:proofErr w:type="spellEnd"/>
      <w:r w:rsidRPr="00D67801">
        <w:rPr>
          <w:lang w:val="fr-FR"/>
        </w:rPr>
        <w:t xml:space="preserve"> RS], </w:t>
      </w:r>
      <w:r w:rsidRPr="00663A39">
        <w:rPr>
          <w:rFonts w:eastAsia="MS Mincho"/>
          <w:szCs w:val="22"/>
          <w:lang w:val="fr-FR"/>
        </w:rPr>
        <w:t>n</w:t>
      </w:r>
      <w:r w:rsidRPr="00663A39">
        <w:rPr>
          <w:rFonts w:eastAsia="MS Mincho"/>
          <w:szCs w:val="22"/>
          <w:vertAlign w:val="superscript"/>
          <w:lang w:val="fr-FR"/>
        </w:rPr>
        <w:t>o</w:t>
      </w:r>
      <w:r>
        <w:rPr>
          <w:rFonts w:eastAsia="MS Mincho"/>
          <w:szCs w:val="22"/>
          <w:vertAlign w:val="superscript"/>
          <w:lang w:val="fr-FR"/>
        </w:rPr>
        <w:t>s</w:t>
      </w:r>
      <w:r>
        <w:rPr>
          <w:lang w:val="fr-FR"/>
        </w:rPr>
        <w:t> </w:t>
      </w:r>
      <w:hyperlink r:id="rId22" w:tgtFrame="_blank" w:tooltip="Police Tasks and Powers Act (the ZNPPol)" w:history="1">
        <w:r w:rsidRPr="00D67801">
          <w:rPr>
            <w:lang w:val="fr-FR"/>
          </w:rPr>
          <w:t>15/13</w:t>
        </w:r>
      </w:hyperlink>
      <w:r w:rsidRPr="00D67801">
        <w:rPr>
          <w:lang w:val="fr-FR"/>
        </w:rPr>
        <w:t xml:space="preserve">, </w:t>
      </w:r>
      <w:hyperlink r:id="rId23" w:tgtFrame="_blank" w:tooltip="Corrigendum to the Police Tasks and Powers Act (ZNPPol)" w:history="1">
        <w:r w:rsidRPr="00D67801">
          <w:rPr>
            <w:lang w:val="fr-FR"/>
          </w:rPr>
          <w:t>23/15 – corr.</w:t>
        </w:r>
      </w:hyperlink>
      <w:r w:rsidRPr="00D67801">
        <w:rPr>
          <w:lang w:val="fr-FR"/>
        </w:rPr>
        <w:t xml:space="preserve"> </w:t>
      </w:r>
      <w:r w:rsidRPr="008B449F">
        <w:rPr>
          <w:lang w:val="fr-FR"/>
        </w:rPr>
        <w:t xml:space="preserve">et </w:t>
      </w:r>
      <w:hyperlink r:id="rId24" w:tgtFrame="_blank" w:tooltip="Act Amending the Police Tasks and Powers Act" w:history="1">
        <w:r w:rsidRPr="008B449F">
          <w:rPr>
            <w:lang w:val="fr-FR"/>
          </w:rPr>
          <w:t>10/17</w:t>
        </w:r>
      </w:hyperlink>
      <w:r w:rsidRPr="008B449F">
        <w:rPr>
          <w:lang w:val="fr-FR"/>
        </w:rPr>
        <w:t>).</w:t>
      </w:r>
    </w:p>
  </w:footnote>
  <w:footnote w:id="30">
    <w:p w14:paraId="7121D8A6" w14:textId="77777777" w:rsidR="00E51827" w:rsidRPr="008B449F" w:rsidRDefault="00E51827" w:rsidP="002A5EB2">
      <w:pPr>
        <w:pStyle w:val="Notedebasdepage"/>
        <w:rPr>
          <w:lang w:val="fr-FR"/>
        </w:rPr>
      </w:pPr>
      <w:r w:rsidRPr="008B449F">
        <w:rPr>
          <w:lang w:val="fr-FR"/>
        </w:rPr>
        <w:tab/>
      </w:r>
      <w:r w:rsidRPr="0017324C">
        <w:rPr>
          <w:rStyle w:val="Appelnotedebasdep"/>
        </w:rPr>
        <w:footnoteRef/>
      </w:r>
      <w:r w:rsidRPr="008B449F">
        <w:rPr>
          <w:lang w:val="fr-FR"/>
        </w:rPr>
        <w:tab/>
        <w:t>https://rm.coe.int/16806b7ee1.</w:t>
      </w:r>
    </w:p>
  </w:footnote>
  <w:footnote w:id="31">
    <w:p w14:paraId="3A815283" w14:textId="77777777" w:rsidR="00E51827" w:rsidRPr="008B449F" w:rsidRDefault="00E51827" w:rsidP="002A5EB2">
      <w:pPr>
        <w:pStyle w:val="Notedebasdepage"/>
        <w:rPr>
          <w:lang w:val="fr-FR"/>
        </w:rPr>
      </w:pPr>
      <w:r w:rsidRPr="008B449F">
        <w:rPr>
          <w:lang w:val="fr-FR"/>
        </w:rPr>
        <w:tab/>
      </w:r>
      <w:r w:rsidRPr="0017324C">
        <w:rPr>
          <w:rStyle w:val="Appelnotedebasdep"/>
        </w:rPr>
        <w:footnoteRef/>
      </w:r>
      <w:r w:rsidRPr="008B449F">
        <w:rPr>
          <w:lang w:val="fr-FR"/>
        </w:rPr>
        <w:tab/>
        <w:t xml:space="preserve">http://www.mp.gov.si/si/obrazci_evidence_mnenja_storitve/uporabni_seznami_imeniki_ </w:t>
      </w:r>
      <w:proofErr w:type="spellStart"/>
      <w:r w:rsidRPr="008B449F">
        <w:rPr>
          <w:lang w:val="fr-FR"/>
        </w:rPr>
        <w:t>in_evidence</w:t>
      </w:r>
      <w:proofErr w:type="spellEnd"/>
      <w:r w:rsidRPr="008B449F">
        <w:rPr>
          <w:lang w:val="fr-FR"/>
        </w:rPr>
        <w:t>/</w:t>
      </w:r>
      <w:proofErr w:type="spellStart"/>
      <w:r w:rsidRPr="008B449F">
        <w:rPr>
          <w:lang w:val="fr-FR"/>
        </w:rPr>
        <w:t>sodna_statistika</w:t>
      </w:r>
      <w:proofErr w:type="spellEnd"/>
      <w:r w:rsidRPr="008B449F">
        <w:rPr>
          <w:lang w:val="fr-FR"/>
        </w:rPr>
        <w:t>/.</w:t>
      </w:r>
    </w:p>
  </w:footnote>
  <w:footnote w:id="32">
    <w:p w14:paraId="0E474F53" w14:textId="77777777" w:rsidR="00E51827" w:rsidRPr="008B449F" w:rsidRDefault="00E51827" w:rsidP="002A5EB2">
      <w:pPr>
        <w:pStyle w:val="Notedebasdepage"/>
        <w:rPr>
          <w:lang w:val="fr-FR"/>
        </w:rPr>
      </w:pPr>
      <w:r w:rsidRPr="008B449F">
        <w:rPr>
          <w:lang w:val="fr-FR"/>
        </w:rPr>
        <w:tab/>
      </w:r>
      <w:r w:rsidRPr="0017324C">
        <w:rPr>
          <w:rStyle w:val="Appelnotedebasdep"/>
        </w:rPr>
        <w:footnoteRef/>
      </w:r>
      <w:r w:rsidRPr="008B449F">
        <w:rPr>
          <w:lang w:val="fr-FR"/>
        </w:rPr>
        <w:tab/>
        <w:t>http://www.mp.gov.si/si/medijsko_sredisce/novica/article/12447/7398/.</w:t>
      </w:r>
    </w:p>
  </w:footnote>
  <w:footnote w:id="33">
    <w:p w14:paraId="60BACD8F" w14:textId="77777777" w:rsidR="00E51827" w:rsidRPr="008B449F" w:rsidRDefault="00E51827" w:rsidP="002A5EB2">
      <w:pPr>
        <w:pStyle w:val="Notedebasdepage"/>
        <w:rPr>
          <w:lang w:val="fr-FR"/>
        </w:rPr>
      </w:pPr>
      <w:r w:rsidRPr="008B449F">
        <w:rPr>
          <w:lang w:val="fr-FR"/>
        </w:rPr>
        <w:tab/>
      </w:r>
      <w:r w:rsidRPr="0017324C">
        <w:rPr>
          <w:rStyle w:val="Appelnotedebasdep"/>
        </w:rPr>
        <w:footnoteRef/>
      </w:r>
      <w:r w:rsidRPr="008B449F">
        <w:rPr>
          <w:lang w:val="fr-FR"/>
        </w:rPr>
        <w:tab/>
        <w:t>http://ec.europa.eu/justice/effective-justice/scoreboard/index_en.htm.</w:t>
      </w:r>
    </w:p>
  </w:footnote>
  <w:footnote w:id="34">
    <w:p w14:paraId="796CDFCE" w14:textId="649C7E8C" w:rsidR="00E51827" w:rsidRPr="00A2479C" w:rsidRDefault="00E51827" w:rsidP="002A5EB2">
      <w:pPr>
        <w:pStyle w:val="Notedebasdepage"/>
        <w:rPr>
          <w:lang w:val="fr-FR"/>
        </w:rPr>
      </w:pPr>
      <w:r w:rsidRPr="008B449F">
        <w:rPr>
          <w:lang w:val="fr-FR"/>
        </w:rPr>
        <w:tab/>
      </w:r>
      <w:r w:rsidRPr="0017324C">
        <w:rPr>
          <w:rStyle w:val="Appelnotedebasdep"/>
        </w:rPr>
        <w:footnoteRef/>
      </w:r>
      <w:r w:rsidRPr="00A2479C">
        <w:rPr>
          <w:lang w:val="fr-FR"/>
        </w:rPr>
        <w:tab/>
        <w:t>Journal officiel de la République de Slovénie [</w:t>
      </w:r>
      <w:proofErr w:type="spellStart"/>
      <w:r w:rsidRPr="00A2479C">
        <w:rPr>
          <w:lang w:val="fr-FR"/>
        </w:rPr>
        <w:t>Uradni</w:t>
      </w:r>
      <w:proofErr w:type="spellEnd"/>
      <w:r w:rsidRPr="00A2479C">
        <w:rPr>
          <w:lang w:val="fr-FR"/>
        </w:rPr>
        <w:t xml:space="preserve"> </w:t>
      </w:r>
      <w:proofErr w:type="spellStart"/>
      <w:r w:rsidRPr="00A2479C">
        <w:rPr>
          <w:lang w:val="fr-FR"/>
        </w:rPr>
        <w:t>list</w:t>
      </w:r>
      <w:proofErr w:type="spellEnd"/>
      <w:r w:rsidRPr="00A2479C">
        <w:rPr>
          <w:lang w:val="fr-FR"/>
        </w:rPr>
        <w:t xml:space="preserve"> RS], </w:t>
      </w:r>
      <w:r w:rsidRPr="0025667E">
        <w:rPr>
          <w:rFonts w:eastAsia="MS Mincho"/>
          <w:szCs w:val="22"/>
          <w:lang w:val="fr-FR"/>
        </w:rPr>
        <w:t>n</w:t>
      </w:r>
      <w:r w:rsidRPr="0025667E">
        <w:rPr>
          <w:rFonts w:eastAsia="MS Mincho"/>
          <w:szCs w:val="22"/>
          <w:vertAlign w:val="superscript"/>
          <w:lang w:val="fr-FR"/>
        </w:rPr>
        <w:t>o</w:t>
      </w:r>
      <w:r>
        <w:rPr>
          <w:lang w:val="fr-FR"/>
        </w:rPr>
        <w:t> </w:t>
      </w:r>
      <w:hyperlink r:id="rId25" w:tgtFrame="_blank" w:tooltip="Probation Act (ZPro)" w:history="1">
        <w:r w:rsidRPr="00A2479C">
          <w:rPr>
            <w:lang w:val="fr-FR"/>
          </w:rPr>
          <w:t>27/17</w:t>
        </w:r>
      </w:hyperlink>
      <w:r w:rsidRPr="00A2479C">
        <w:rPr>
          <w:lang w:val="fr-FR"/>
        </w:rPr>
        <w:t>.</w:t>
      </w:r>
    </w:p>
  </w:footnote>
  <w:footnote w:id="35">
    <w:p w14:paraId="60D2E183" w14:textId="77777777" w:rsidR="00E51827" w:rsidRPr="00A2479C" w:rsidRDefault="00E51827" w:rsidP="002A5EB2">
      <w:pPr>
        <w:pStyle w:val="Notedebasdepage"/>
        <w:rPr>
          <w:lang w:val="fr-FR"/>
        </w:rPr>
      </w:pPr>
      <w:r w:rsidRPr="00A2479C">
        <w:rPr>
          <w:lang w:val="fr-FR"/>
        </w:rPr>
        <w:tab/>
      </w:r>
      <w:r w:rsidRPr="0017324C">
        <w:rPr>
          <w:rStyle w:val="Appelnotedebasdep"/>
        </w:rPr>
        <w:footnoteRef/>
      </w:r>
      <w:r w:rsidRPr="00A2479C">
        <w:rPr>
          <w:lang w:val="fr-FR"/>
        </w:rPr>
        <w:tab/>
        <w:t>Décisions de la Cour constitutionnelle de la République de Slovénie n</w:t>
      </w:r>
      <w:r w:rsidRPr="00820934">
        <w:rPr>
          <w:vertAlign w:val="superscript"/>
          <w:lang w:val="fr-FR"/>
        </w:rPr>
        <w:t>os</w:t>
      </w:r>
      <w:r>
        <w:rPr>
          <w:lang w:val="fr-FR"/>
        </w:rPr>
        <w:t> </w:t>
      </w:r>
      <w:r w:rsidRPr="00A2479C">
        <w:rPr>
          <w:lang w:val="fr-FR"/>
        </w:rPr>
        <w:t xml:space="preserve">Up-555/03 </w:t>
      </w:r>
      <w:r>
        <w:rPr>
          <w:lang w:val="fr-FR"/>
        </w:rPr>
        <w:t>et</w:t>
      </w:r>
      <w:r w:rsidRPr="00A2479C">
        <w:rPr>
          <w:lang w:val="fr-FR"/>
        </w:rPr>
        <w:t xml:space="preserve"> Up-827/04 du 6</w:t>
      </w:r>
      <w:r>
        <w:rPr>
          <w:lang w:val="fr-FR"/>
        </w:rPr>
        <w:t> </w:t>
      </w:r>
      <w:r w:rsidRPr="00A2479C">
        <w:rPr>
          <w:lang w:val="fr-FR"/>
        </w:rPr>
        <w:t>juillet 2006, Journal officiel de la République de Slovénie [</w:t>
      </w:r>
      <w:proofErr w:type="spellStart"/>
      <w:r w:rsidRPr="00A2479C">
        <w:rPr>
          <w:lang w:val="fr-FR"/>
        </w:rPr>
        <w:t>Uradni</w:t>
      </w:r>
      <w:proofErr w:type="spellEnd"/>
      <w:r w:rsidRPr="00A2479C">
        <w:rPr>
          <w:lang w:val="fr-FR"/>
        </w:rPr>
        <w:t xml:space="preserve"> </w:t>
      </w:r>
      <w:proofErr w:type="spellStart"/>
      <w:r w:rsidRPr="00A2479C">
        <w:rPr>
          <w:lang w:val="fr-FR"/>
        </w:rPr>
        <w:t>list</w:t>
      </w:r>
      <w:proofErr w:type="spellEnd"/>
      <w:r w:rsidRPr="00A2479C">
        <w:rPr>
          <w:lang w:val="fr-FR"/>
        </w:rPr>
        <w:t xml:space="preserve"> RS] </w:t>
      </w:r>
      <w:r w:rsidRPr="0025667E">
        <w:rPr>
          <w:rFonts w:eastAsia="MS Mincho"/>
          <w:szCs w:val="22"/>
          <w:lang w:val="fr-FR"/>
        </w:rPr>
        <w:t>n</w:t>
      </w:r>
      <w:r w:rsidRPr="0025667E">
        <w:rPr>
          <w:rFonts w:eastAsia="MS Mincho"/>
          <w:szCs w:val="22"/>
          <w:vertAlign w:val="superscript"/>
          <w:lang w:val="fr-FR"/>
        </w:rPr>
        <w:t>o</w:t>
      </w:r>
      <w:r>
        <w:rPr>
          <w:lang w:val="fr-FR"/>
        </w:rPr>
        <w:t> </w:t>
      </w:r>
      <w:r w:rsidRPr="00A2479C">
        <w:rPr>
          <w:lang w:val="fr-FR"/>
        </w:rPr>
        <w:t>78/2006</w:t>
      </w:r>
      <w:r>
        <w:rPr>
          <w:lang w:val="fr-FR"/>
        </w:rPr>
        <w:t xml:space="preserve"> </w:t>
      </w:r>
      <w:r w:rsidRPr="00A2479C">
        <w:rPr>
          <w:lang w:val="fr-FR"/>
        </w:rPr>
        <w:t>et décision de la Cour constitutionnelle XV, 92.</w:t>
      </w:r>
    </w:p>
  </w:footnote>
  <w:footnote w:id="36">
    <w:p w14:paraId="15224C36" w14:textId="77777777" w:rsidR="00E51827" w:rsidRPr="00A2479C" w:rsidRDefault="00E51827" w:rsidP="002A5EB2">
      <w:pPr>
        <w:pStyle w:val="Notedebasdepage"/>
        <w:rPr>
          <w:lang w:val="fr-FR"/>
        </w:rPr>
      </w:pPr>
      <w:r w:rsidRPr="00A2479C">
        <w:rPr>
          <w:lang w:val="fr-FR"/>
        </w:rPr>
        <w:tab/>
      </w:r>
      <w:r w:rsidRPr="0017324C">
        <w:rPr>
          <w:rStyle w:val="Appelnotedebasdep"/>
        </w:rPr>
        <w:footnoteRef/>
      </w:r>
      <w:r w:rsidRPr="00A2479C">
        <w:rPr>
          <w:lang w:val="fr-FR"/>
        </w:rPr>
        <w:tab/>
      </w:r>
      <w:bookmarkStart w:id="29" w:name="_Hlk38555065"/>
      <w:proofErr w:type="spellStart"/>
      <w:r w:rsidRPr="00A2479C">
        <w:rPr>
          <w:lang w:val="fr-FR"/>
        </w:rPr>
        <w:t>Matko</w:t>
      </w:r>
      <w:proofErr w:type="spellEnd"/>
      <w:r w:rsidRPr="00A2479C">
        <w:rPr>
          <w:lang w:val="fr-FR"/>
        </w:rPr>
        <w:t xml:space="preserve"> c. Slov</w:t>
      </w:r>
      <w:r>
        <w:rPr>
          <w:lang w:val="fr-FR"/>
        </w:rPr>
        <w:t>é</w:t>
      </w:r>
      <w:r w:rsidRPr="00A2479C">
        <w:rPr>
          <w:lang w:val="fr-FR"/>
        </w:rPr>
        <w:t>n</w:t>
      </w:r>
      <w:r>
        <w:rPr>
          <w:lang w:val="fr-FR"/>
        </w:rPr>
        <w:t>ie</w:t>
      </w:r>
      <w:r w:rsidRPr="00A2479C">
        <w:rPr>
          <w:lang w:val="fr-FR"/>
        </w:rPr>
        <w:t xml:space="preserve">, </w:t>
      </w:r>
      <w:r w:rsidRPr="0025667E">
        <w:rPr>
          <w:rFonts w:eastAsia="MS Mincho"/>
          <w:szCs w:val="22"/>
          <w:lang w:val="fr-FR"/>
        </w:rPr>
        <w:t>n</w:t>
      </w:r>
      <w:r w:rsidRPr="0025667E">
        <w:rPr>
          <w:rFonts w:eastAsia="MS Mincho"/>
          <w:szCs w:val="22"/>
          <w:vertAlign w:val="superscript"/>
          <w:lang w:val="fr-FR"/>
        </w:rPr>
        <w:t>o</w:t>
      </w:r>
      <w:r>
        <w:rPr>
          <w:lang w:val="fr-FR"/>
        </w:rPr>
        <w:t> </w:t>
      </w:r>
      <w:r w:rsidRPr="00A2479C">
        <w:rPr>
          <w:lang w:val="fr-FR"/>
        </w:rPr>
        <w:t xml:space="preserve">43393/98 </w:t>
      </w:r>
      <w:bookmarkEnd w:id="29"/>
      <w:r w:rsidRPr="00A2479C">
        <w:rPr>
          <w:lang w:val="fr-FR"/>
        </w:rPr>
        <w:t>du 2 novembre 2006.</w:t>
      </w:r>
    </w:p>
  </w:footnote>
  <w:footnote w:id="37">
    <w:p w14:paraId="5FD2837D" w14:textId="77777777" w:rsidR="00E51827" w:rsidRPr="00A2479C" w:rsidRDefault="00E51827" w:rsidP="002A5EB2">
      <w:pPr>
        <w:pStyle w:val="Notedebasdepage"/>
        <w:rPr>
          <w:lang w:val="fr-FR"/>
        </w:rPr>
      </w:pPr>
      <w:r w:rsidRPr="00A2479C">
        <w:rPr>
          <w:lang w:val="fr-FR"/>
        </w:rPr>
        <w:tab/>
      </w:r>
      <w:r w:rsidRPr="0017324C">
        <w:rPr>
          <w:rStyle w:val="Appelnotedebasdep"/>
        </w:rPr>
        <w:footnoteRef/>
      </w:r>
      <w:r w:rsidRPr="00A2479C">
        <w:rPr>
          <w:lang w:val="fr-FR"/>
        </w:rPr>
        <w:tab/>
        <w:t>La loi sur l</w:t>
      </w:r>
      <w:r>
        <w:rPr>
          <w:lang w:val="fr-FR"/>
        </w:rPr>
        <w:t>’</w:t>
      </w:r>
      <w:r w:rsidRPr="00A2479C">
        <w:rPr>
          <w:lang w:val="fr-FR"/>
        </w:rPr>
        <w:t>indemnisation des victimes de la criminalité</w:t>
      </w:r>
      <w:r>
        <w:rPr>
          <w:lang w:val="fr-FR"/>
        </w:rPr>
        <w:t xml:space="preserve"> </w:t>
      </w:r>
      <w:r w:rsidRPr="00A2479C">
        <w:rPr>
          <w:lang w:val="fr-FR"/>
        </w:rPr>
        <w:t>transpo</w:t>
      </w:r>
      <w:r>
        <w:rPr>
          <w:lang w:val="fr-FR"/>
        </w:rPr>
        <w:t xml:space="preserve">se </w:t>
      </w:r>
      <w:r w:rsidRPr="00A2479C">
        <w:rPr>
          <w:lang w:val="fr-FR"/>
        </w:rPr>
        <w:t>directe</w:t>
      </w:r>
      <w:r>
        <w:rPr>
          <w:lang w:val="fr-FR"/>
        </w:rPr>
        <w:t xml:space="preserve">ment </w:t>
      </w:r>
      <w:r w:rsidRPr="00A2479C">
        <w:rPr>
          <w:lang w:val="fr-FR"/>
        </w:rPr>
        <w:t xml:space="preserve">la </w:t>
      </w:r>
      <w:r w:rsidRPr="0001056E">
        <w:rPr>
          <w:lang w:val="fr-FR"/>
        </w:rPr>
        <w:t>directive 2004/80/CE du Conseil du 29</w:t>
      </w:r>
      <w:r>
        <w:rPr>
          <w:lang w:val="fr-FR"/>
        </w:rPr>
        <w:t> </w:t>
      </w:r>
      <w:r w:rsidRPr="0001056E">
        <w:rPr>
          <w:lang w:val="fr-FR"/>
        </w:rPr>
        <w:t>avril 2004 relative à l’indemnisation des victimes de la criminalité.</w:t>
      </w:r>
    </w:p>
  </w:footnote>
  <w:footnote w:id="38">
    <w:p w14:paraId="2A0B4461" w14:textId="0818FC52" w:rsidR="00E51827" w:rsidRPr="001C2126" w:rsidRDefault="00E51827" w:rsidP="002A5EB2">
      <w:pPr>
        <w:pStyle w:val="Notedebasdepage"/>
        <w:rPr>
          <w:lang w:val="fr-FR"/>
        </w:rPr>
      </w:pPr>
      <w:r w:rsidRPr="00A2479C">
        <w:rPr>
          <w:lang w:val="fr-FR"/>
        </w:rPr>
        <w:tab/>
      </w:r>
      <w:r w:rsidRPr="0017324C">
        <w:rPr>
          <w:rStyle w:val="Appelnotedebasdep"/>
        </w:rPr>
        <w:footnoteRef/>
      </w:r>
      <w:r w:rsidRPr="001C2126">
        <w:rPr>
          <w:lang w:val="fr-FR"/>
        </w:rPr>
        <w:tab/>
      </w:r>
      <w:r w:rsidRPr="003812DE">
        <w:rPr>
          <w:lang w:val="fr-FR"/>
        </w:rPr>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B25D30">
        <w:rPr>
          <w:rFonts w:eastAsia="MS Mincho"/>
          <w:szCs w:val="22"/>
          <w:lang w:val="fr-FR"/>
        </w:rPr>
        <w:t>n</w:t>
      </w:r>
      <w:r w:rsidRPr="00B25D30">
        <w:rPr>
          <w:rFonts w:eastAsia="MS Mincho"/>
          <w:szCs w:val="22"/>
          <w:vertAlign w:val="superscript"/>
          <w:lang w:val="fr-FR"/>
        </w:rPr>
        <w:t>o</w:t>
      </w:r>
      <w:r>
        <w:rPr>
          <w:rFonts w:eastAsia="MS Mincho"/>
          <w:szCs w:val="22"/>
          <w:vertAlign w:val="superscript"/>
          <w:lang w:val="fr-FR"/>
        </w:rPr>
        <w:t>s</w:t>
      </w:r>
      <w:r>
        <w:rPr>
          <w:lang w:val="fr-FR"/>
        </w:rPr>
        <w:t> </w:t>
      </w:r>
      <w:hyperlink r:id="rId26" w:tgtFrame="_blank" w:tooltip="Act Regulating Compensation for Damage Sustained as a Result of Erasure from the Register of Permanent Residents (ZPŠOIRSP)" w:history="1">
        <w:r w:rsidRPr="001C2126">
          <w:rPr>
            <w:lang w:val="fr-FR"/>
          </w:rPr>
          <w:t>99/13</w:t>
        </w:r>
      </w:hyperlink>
      <w:r w:rsidRPr="001C2126">
        <w:rPr>
          <w:lang w:val="fr-FR"/>
        </w:rPr>
        <w:t xml:space="preserve"> </w:t>
      </w:r>
      <w:r>
        <w:rPr>
          <w:lang w:val="fr-FR"/>
        </w:rPr>
        <w:t>et</w:t>
      </w:r>
      <w:r w:rsidRPr="001C2126">
        <w:rPr>
          <w:lang w:val="fr-FR"/>
        </w:rPr>
        <w:t xml:space="preserve"> </w:t>
      </w:r>
      <w:hyperlink r:id="rId27" w:tgtFrame="_blank" w:tooltip="Decision repealing Article 12 in conjunction with paragraph 1 of Article 28 of the Act Regulating Compensation for Damage Sustained as a Result of Erasure from the Register of Permanent Residents and Article 12 of the same Act with a period of deferment" w:history="1">
        <w:r w:rsidRPr="001C2126">
          <w:rPr>
            <w:lang w:val="fr-FR"/>
          </w:rPr>
          <w:t>24/18</w:t>
        </w:r>
      </w:hyperlink>
      <w:r w:rsidRPr="001C2126">
        <w:rPr>
          <w:lang w:val="fr-FR"/>
        </w:rPr>
        <w:t xml:space="preserve"> – </w:t>
      </w:r>
      <w:r>
        <w:rPr>
          <w:lang w:val="fr-FR"/>
        </w:rPr>
        <w:t>d</w:t>
      </w:r>
      <w:r w:rsidRPr="00A2479C">
        <w:rPr>
          <w:lang w:val="fr-FR"/>
        </w:rPr>
        <w:t>écision de la Cour constitutionnelle</w:t>
      </w:r>
      <w:r w:rsidRPr="001C2126">
        <w:rPr>
          <w:lang w:val="fr-FR"/>
        </w:rPr>
        <w:t xml:space="preserve"> (ZPŠOIRSP).</w:t>
      </w:r>
    </w:p>
  </w:footnote>
  <w:footnote w:id="39">
    <w:p w14:paraId="0D4AFB48" w14:textId="7AD00275" w:rsidR="00E51827" w:rsidRPr="002947F0" w:rsidRDefault="00E51827" w:rsidP="002A5EB2">
      <w:pPr>
        <w:pStyle w:val="Notedebasdepage"/>
        <w:rPr>
          <w:lang w:val="fr-FR"/>
        </w:rPr>
      </w:pPr>
      <w:r w:rsidRPr="001C2126">
        <w:rPr>
          <w:lang w:val="fr-FR"/>
        </w:rPr>
        <w:tab/>
      </w:r>
      <w:r w:rsidRPr="0017324C">
        <w:rPr>
          <w:rStyle w:val="Appelnotedebasdep"/>
        </w:rPr>
        <w:footnoteRef/>
      </w:r>
      <w:r w:rsidRPr="001C2126">
        <w:rPr>
          <w:lang w:val="fr-FR"/>
        </w:rPr>
        <w:tab/>
      </w:r>
      <w:r w:rsidRPr="002947F0">
        <w:rPr>
          <w:lang w:val="fr-FR"/>
        </w:rPr>
        <w:t>Journal officiel de la République de Slovénie [</w:t>
      </w:r>
      <w:proofErr w:type="spellStart"/>
      <w:r w:rsidRPr="002947F0">
        <w:rPr>
          <w:lang w:val="fr-FR"/>
        </w:rPr>
        <w:t>Uradni</w:t>
      </w:r>
      <w:proofErr w:type="spellEnd"/>
      <w:r w:rsidRPr="002947F0">
        <w:rPr>
          <w:lang w:val="fr-FR"/>
        </w:rPr>
        <w:t xml:space="preserve"> </w:t>
      </w:r>
      <w:proofErr w:type="spellStart"/>
      <w:r w:rsidRPr="002947F0">
        <w:rPr>
          <w:lang w:val="fr-FR"/>
        </w:rPr>
        <w:t>list</w:t>
      </w:r>
      <w:proofErr w:type="spellEnd"/>
      <w:r w:rsidRPr="002947F0">
        <w:rPr>
          <w:lang w:val="fr-FR"/>
        </w:rPr>
        <w:t xml:space="preserve"> RS], </w:t>
      </w:r>
      <w:r w:rsidRPr="00A92436">
        <w:rPr>
          <w:rFonts w:eastAsia="MS Mincho"/>
          <w:szCs w:val="22"/>
          <w:lang w:val="fr-FR"/>
        </w:rPr>
        <w:t>n</w:t>
      </w:r>
      <w:r w:rsidRPr="00A92436">
        <w:rPr>
          <w:rFonts w:eastAsia="MS Mincho"/>
          <w:szCs w:val="22"/>
          <w:vertAlign w:val="superscript"/>
          <w:lang w:val="fr-FR"/>
        </w:rPr>
        <w:t>o</w:t>
      </w:r>
      <w:r>
        <w:rPr>
          <w:rFonts w:eastAsia="MS Mincho"/>
          <w:szCs w:val="22"/>
          <w:vertAlign w:val="superscript"/>
          <w:lang w:val="fr-FR"/>
        </w:rPr>
        <w:t>s</w:t>
      </w:r>
      <w:r>
        <w:rPr>
          <w:lang w:val="fr-FR"/>
        </w:rPr>
        <w:t> </w:t>
      </w:r>
      <w:hyperlink r:id="rId28" w:tgtFrame="_blank" w:tooltip="Mental Health Act (ZDZdr)" w:history="1">
        <w:r w:rsidRPr="002947F0">
          <w:rPr>
            <w:lang w:val="fr-FR"/>
          </w:rPr>
          <w:t>77/08</w:t>
        </w:r>
      </w:hyperlink>
      <w:r w:rsidRPr="002947F0">
        <w:rPr>
          <w:lang w:val="fr-FR"/>
        </w:rPr>
        <w:t xml:space="preserve"> et </w:t>
      </w:r>
      <w:hyperlink r:id="rId29" w:tgtFrame="_blank" w:tooltip="Decision on the annulment of the third sentence of the second paragraph and the third sentence of the third paragraph of Article 74 of the Mental Health Act with a period of deferment" w:history="1">
        <w:r w:rsidRPr="002947F0">
          <w:rPr>
            <w:lang w:val="fr-FR"/>
          </w:rPr>
          <w:t>46/15</w:t>
        </w:r>
      </w:hyperlink>
      <w:r w:rsidRPr="002947F0">
        <w:rPr>
          <w:lang w:val="fr-FR"/>
        </w:rPr>
        <w:t xml:space="preserve"> – Décision </w:t>
      </w:r>
      <w:r>
        <w:rPr>
          <w:lang w:val="fr-FR"/>
        </w:rPr>
        <w:br/>
      </w:r>
      <w:r w:rsidRPr="002947F0">
        <w:rPr>
          <w:lang w:val="fr-FR"/>
        </w:rPr>
        <w:t>de la Cour constitutionnelle (</w:t>
      </w:r>
      <w:proofErr w:type="spellStart"/>
      <w:r w:rsidRPr="002947F0">
        <w:rPr>
          <w:lang w:val="fr-FR"/>
        </w:rPr>
        <w:t>ZDZdr</w:t>
      </w:r>
      <w:proofErr w:type="spellEnd"/>
      <w:r w:rsidRPr="002947F0">
        <w:rPr>
          <w:lang w:val="fr-FR"/>
        </w:rPr>
        <w:t>).</w:t>
      </w:r>
    </w:p>
  </w:footnote>
  <w:footnote w:id="40">
    <w:p w14:paraId="1096BBEC" w14:textId="77777777" w:rsidR="00E51827" w:rsidRPr="001C2126" w:rsidRDefault="00E51827" w:rsidP="002A5EB2">
      <w:pPr>
        <w:pStyle w:val="Notedebasdepage"/>
        <w:rPr>
          <w:lang w:val="fr-FR"/>
        </w:rPr>
      </w:pPr>
      <w:r w:rsidRPr="002947F0">
        <w:rPr>
          <w:lang w:val="fr-FR"/>
        </w:rPr>
        <w:tab/>
      </w:r>
      <w:r w:rsidRPr="0017324C">
        <w:rPr>
          <w:rStyle w:val="Appelnotedebasdep"/>
        </w:rPr>
        <w:footnoteRef/>
      </w:r>
      <w:r w:rsidRPr="002947F0">
        <w:rPr>
          <w:lang w:val="fr-FR"/>
        </w:rPr>
        <w:tab/>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A92436">
        <w:rPr>
          <w:rFonts w:eastAsia="MS Mincho"/>
          <w:szCs w:val="22"/>
          <w:lang w:val="fr-FR"/>
        </w:rPr>
        <w:t>n</w:t>
      </w:r>
      <w:r w:rsidRPr="00A92436">
        <w:rPr>
          <w:rFonts w:eastAsia="MS Mincho"/>
          <w:szCs w:val="22"/>
          <w:vertAlign w:val="superscript"/>
          <w:lang w:val="fr-FR"/>
        </w:rPr>
        <w:t>o</w:t>
      </w:r>
      <w:r>
        <w:rPr>
          <w:lang w:val="fr-FR"/>
        </w:rPr>
        <w:t> </w:t>
      </w:r>
      <w:r w:rsidRPr="001C2126">
        <w:rPr>
          <w:lang w:val="fr-FR"/>
        </w:rPr>
        <w:t xml:space="preserve">114/2006 – IT, </w:t>
      </w:r>
      <w:r w:rsidRPr="00A92436">
        <w:rPr>
          <w:rFonts w:eastAsia="MS Mincho"/>
          <w:szCs w:val="22"/>
          <w:lang w:val="fr-FR"/>
        </w:rPr>
        <w:t>n</w:t>
      </w:r>
      <w:r w:rsidRPr="00A92436">
        <w:rPr>
          <w:rFonts w:eastAsia="MS Mincho"/>
          <w:szCs w:val="22"/>
          <w:vertAlign w:val="superscript"/>
          <w:lang w:val="fr-FR"/>
        </w:rPr>
        <w:t>o</w:t>
      </w:r>
      <w:r>
        <w:rPr>
          <w:lang w:val="fr-FR"/>
        </w:rPr>
        <w:t> </w:t>
      </w:r>
      <w:r w:rsidRPr="001C2126">
        <w:rPr>
          <w:lang w:val="fr-FR"/>
        </w:rPr>
        <w:t xml:space="preserve">20 </w:t>
      </w:r>
      <w:r>
        <w:rPr>
          <w:lang w:val="fr-FR"/>
        </w:rPr>
        <w:br/>
        <w:t>du</w:t>
      </w:r>
      <w:r w:rsidRPr="001C2126">
        <w:rPr>
          <w:lang w:val="fr-FR"/>
        </w:rPr>
        <w:t xml:space="preserve"> 9</w:t>
      </w:r>
      <w:r>
        <w:rPr>
          <w:lang w:val="fr-FR"/>
        </w:rPr>
        <w:t> n</w:t>
      </w:r>
      <w:r w:rsidRPr="001C2126">
        <w:rPr>
          <w:lang w:val="fr-FR"/>
        </w:rPr>
        <w:t>ovembr</w:t>
      </w:r>
      <w:r>
        <w:rPr>
          <w:lang w:val="fr-FR"/>
        </w:rPr>
        <w:t>e</w:t>
      </w:r>
      <w:r w:rsidRPr="001C2126">
        <w:rPr>
          <w:lang w:val="fr-FR"/>
        </w:rPr>
        <w:t xml:space="preserve"> 2006.</w:t>
      </w:r>
    </w:p>
  </w:footnote>
  <w:footnote w:id="41">
    <w:p w14:paraId="01B3FA25" w14:textId="77777777" w:rsidR="00E51827" w:rsidRPr="00BD68D3" w:rsidRDefault="00E51827" w:rsidP="002A5EB2">
      <w:pPr>
        <w:pStyle w:val="Notedebasdepage"/>
        <w:rPr>
          <w:lang w:val="fr-FR"/>
        </w:rPr>
      </w:pPr>
      <w:r w:rsidRPr="001C2126">
        <w:rPr>
          <w:lang w:val="fr-FR"/>
        </w:rPr>
        <w:tab/>
      </w:r>
      <w:r w:rsidRPr="0017324C">
        <w:rPr>
          <w:rStyle w:val="Appelnotedebasdep"/>
        </w:rPr>
        <w:footnoteRef/>
      </w:r>
      <w:r w:rsidRPr="00BD68D3">
        <w:rPr>
          <w:lang w:val="fr-FR"/>
        </w:rPr>
        <w:tab/>
        <w:t xml:space="preserve">Des informations détaillées </w:t>
      </w:r>
      <w:r>
        <w:rPr>
          <w:lang w:val="fr-FR"/>
        </w:rPr>
        <w:t xml:space="preserve">sur le </w:t>
      </w:r>
      <w:r w:rsidRPr="00BD68D3">
        <w:rPr>
          <w:lang w:val="fr-FR"/>
        </w:rPr>
        <w:t xml:space="preserve">projet SKUPA-J </w:t>
      </w:r>
      <w:r w:rsidRPr="00951EC6">
        <w:rPr>
          <w:lang w:val="fr-FR"/>
        </w:rPr>
        <w:t xml:space="preserve">et </w:t>
      </w:r>
      <w:r>
        <w:rPr>
          <w:lang w:val="fr-FR"/>
        </w:rPr>
        <w:t>s</w:t>
      </w:r>
      <w:r w:rsidRPr="00951EC6">
        <w:rPr>
          <w:lang w:val="fr-FR"/>
        </w:rPr>
        <w:t xml:space="preserve">es activités </w:t>
      </w:r>
      <w:r>
        <w:rPr>
          <w:lang w:val="fr-FR"/>
        </w:rPr>
        <w:t xml:space="preserve">figurent </w:t>
      </w:r>
      <w:r w:rsidRPr="00BD68D3">
        <w:rPr>
          <w:lang w:val="fr-FR"/>
        </w:rPr>
        <w:t>sur le site web de la police</w:t>
      </w:r>
    </w:p>
    <w:p w14:paraId="709013C3" w14:textId="77777777" w:rsidR="00E51827" w:rsidRPr="00932085" w:rsidRDefault="00E51827" w:rsidP="002A5EB2">
      <w:pPr>
        <w:pStyle w:val="Notedebasdepage"/>
        <w:rPr>
          <w:lang w:val="fr-FR"/>
        </w:rPr>
      </w:pPr>
      <w:r w:rsidRPr="00BD68D3">
        <w:rPr>
          <w:lang w:val="fr-FR"/>
        </w:rPr>
        <w:tab/>
      </w:r>
      <w:r w:rsidRPr="00BD68D3">
        <w:rPr>
          <w:lang w:val="fr-FR"/>
        </w:rPr>
        <w:tab/>
      </w:r>
      <w:r>
        <w:rPr>
          <w:lang w:val="fr-FR"/>
        </w:rPr>
        <w:t>(</w:t>
      </w:r>
      <w:r w:rsidRPr="00932085">
        <w:rPr>
          <w:lang w:val="fr-FR"/>
        </w:rPr>
        <w:t>http://www.policija.si/index.php/component/content/article/216-projekti/71995-projekt-skupaj-za-krepitev-integracije-romskih-skupnosti</w:t>
      </w:r>
      <w:r>
        <w:rPr>
          <w:lang w:val="fr-FR"/>
        </w:rPr>
        <w:t>)</w:t>
      </w:r>
      <w:r w:rsidRPr="00932085">
        <w:rPr>
          <w:lang w:val="fr-FR"/>
        </w:rPr>
        <w:t>.</w:t>
      </w:r>
    </w:p>
  </w:footnote>
  <w:footnote w:id="42">
    <w:p w14:paraId="62531421" w14:textId="77777777" w:rsidR="00E51827" w:rsidRPr="006B33A2" w:rsidRDefault="00E51827" w:rsidP="002A5EB2">
      <w:pPr>
        <w:pStyle w:val="Notedebasdepage"/>
        <w:rPr>
          <w:lang w:val="fr-FR"/>
        </w:rPr>
      </w:pPr>
      <w:r w:rsidRPr="00932085">
        <w:rPr>
          <w:lang w:val="fr-FR"/>
        </w:rPr>
        <w:tab/>
      </w:r>
      <w:r w:rsidRPr="0017324C">
        <w:rPr>
          <w:rStyle w:val="Appelnotedebasdep"/>
        </w:rPr>
        <w:footnoteRef/>
      </w:r>
      <w:r w:rsidRPr="001C2126">
        <w:rPr>
          <w:lang w:val="fr-FR"/>
        </w:rPr>
        <w:tab/>
      </w:r>
      <w:r w:rsidRPr="006B33A2">
        <w:rPr>
          <w:lang w:val="fr-FR"/>
        </w:rPr>
        <w:t>Journal officiel de la République de Slovénie [</w:t>
      </w:r>
      <w:proofErr w:type="spellStart"/>
      <w:r w:rsidRPr="006B33A2">
        <w:rPr>
          <w:lang w:val="fr-FR"/>
        </w:rPr>
        <w:t>Uradni</w:t>
      </w:r>
      <w:proofErr w:type="spellEnd"/>
      <w:r w:rsidRPr="006B33A2">
        <w:rPr>
          <w:lang w:val="fr-FR"/>
        </w:rPr>
        <w:t xml:space="preserve"> </w:t>
      </w:r>
      <w:proofErr w:type="spellStart"/>
      <w:r w:rsidRPr="006B33A2">
        <w:rPr>
          <w:lang w:val="fr-FR"/>
        </w:rPr>
        <w:t>list</w:t>
      </w:r>
      <w:proofErr w:type="spellEnd"/>
      <w:r w:rsidRPr="006B33A2">
        <w:rPr>
          <w:lang w:val="fr-FR"/>
        </w:rPr>
        <w:t xml:space="preserve"> RS], </w:t>
      </w:r>
      <w:r w:rsidRPr="00C24C9F">
        <w:rPr>
          <w:rFonts w:eastAsia="MS Mincho"/>
          <w:szCs w:val="22"/>
          <w:lang w:val="fr-FR"/>
        </w:rPr>
        <w:t>n</w:t>
      </w:r>
      <w:r w:rsidRPr="00C24C9F">
        <w:rPr>
          <w:rFonts w:eastAsia="MS Mincho"/>
          <w:szCs w:val="22"/>
          <w:vertAlign w:val="superscript"/>
          <w:lang w:val="fr-FR"/>
        </w:rPr>
        <w:t>o</w:t>
      </w:r>
      <w:r>
        <w:rPr>
          <w:lang w:val="fr-FR"/>
        </w:rPr>
        <w:t> </w:t>
      </w:r>
      <w:r w:rsidRPr="006B33A2">
        <w:rPr>
          <w:lang w:val="fr-FR"/>
        </w:rPr>
        <w:t>33/07</w:t>
      </w:r>
      <w:r>
        <w:rPr>
          <w:lang w:val="fr-FR"/>
        </w:rPr>
        <w:t xml:space="preserve"> (</w:t>
      </w:r>
      <w:r w:rsidRPr="006B33A2">
        <w:rPr>
          <w:lang w:val="fr-FR"/>
        </w:rPr>
        <w:t>ZRomS-1</w:t>
      </w:r>
      <w:r>
        <w:rPr>
          <w:lang w:val="fr-FR"/>
        </w:rPr>
        <w:t>)</w:t>
      </w:r>
      <w:r w:rsidRPr="006B33A2">
        <w:rPr>
          <w:lang w:val="fr-FR"/>
        </w:rPr>
        <w:t>.</w:t>
      </w:r>
    </w:p>
  </w:footnote>
  <w:footnote w:id="43">
    <w:p w14:paraId="2838234F" w14:textId="77777777" w:rsidR="00E51827" w:rsidRPr="006B33A2" w:rsidRDefault="00E51827" w:rsidP="002A5EB2">
      <w:pPr>
        <w:pStyle w:val="Notedebasdepage"/>
        <w:rPr>
          <w:lang w:val="fr-FR"/>
        </w:rPr>
      </w:pPr>
      <w:r w:rsidRPr="006B33A2">
        <w:rPr>
          <w:lang w:val="fr-FR"/>
        </w:rPr>
        <w:tab/>
      </w:r>
      <w:r w:rsidRPr="0017324C">
        <w:rPr>
          <w:rStyle w:val="Appelnotedebasdep"/>
        </w:rPr>
        <w:footnoteRef/>
      </w:r>
      <w:r w:rsidRPr="006B33A2">
        <w:rPr>
          <w:lang w:val="fr-FR"/>
        </w:rPr>
        <w:tab/>
        <w:t>Le projet s</w:t>
      </w:r>
      <w:r>
        <w:rPr>
          <w:lang w:val="fr-FR"/>
        </w:rPr>
        <w:t>’</w:t>
      </w:r>
      <w:r w:rsidRPr="006B33A2">
        <w:rPr>
          <w:lang w:val="fr-FR"/>
        </w:rPr>
        <w:t>est déroulé du 1</w:t>
      </w:r>
      <w:r w:rsidRPr="00C24C9F">
        <w:rPr>
          <w:vertAlign w:val="superscript"/>
          <w:lang w:val="fr-FR"/>
        </w:rPr>
        <w:t>er</w:t>
      </w:r>
      <w:r w:rsidRPr="006B33A2">
        <w:rPr>
          <w:lang w:val="fr-FR"/>
        </w:rPr>
        <w:t xml:space="preserve"> août 2016 au 31 juillet 2017.</w:t>
      </w:r>
    </w:p>
  </w:footnote>
  <w:footnote w:id="44">
    <w:p w14:paraId="0CAF6811" w14:textId="77777777" w:rsidR="00E51827" w:rsidRPr="001C2126" w:rsidRDefault="00E51827" w:rsidP="002A5EB2">
      <w:pPr>
        <w:pStyle w:val="Notedebasdepage"/>
        <w:rPr>
          <w:lang w:val="fr-FR"/>
        </w:rPr>
      </w:pPr>
      <w:r w:rsidRPr="006B33A2">
        <w:rPr>
          <w:lang w:val="fr-FR"/>
        </w:rPr>
        <w:tab/>
      </w:r>
      <w:r w:rsidRPr="0017324C">
        <w:rPr>
          <w:rStyle w:val="Appelnotedebasdep"/>
        </w:rPr>
        <w:footnoteRef/>
      </w:r>
      <w:r w:rsidRPr="006B33A2">
        <w:rPr>
          <w:lang w:val="fr-FR"/>
        </w:rPr>
        <w:tab/>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C24C9F">
        <w:rPr>
          <w:rFonts w:eastAsia="MS Mincho"/>
          <w:szCs w:val="22"/>
          <w:lang w:val="fr-FR"/>
        </w:rPr>
        <w:t>n</w:t>
      </w:r>
      <w:r w:rsidRPr="00C24C9F">
        <w:rPr>
          <w:rFonts w:eastAsia="MS Mincho"/>
          <w:szCs w:val="22"/>
          <w:vertAlign w:val="superscript"/>
          <w:lang w:val="fr-FR"/>
        </w:rPr>
        <w:t>o</w:t>
      </w:r>
      <w:r>
        <w:rPr>
          <w:lang w:val="fr-FR"/>
        </w:rPr>
        <w:t> </w:t>
      </w:r>
      <w:r w:rsidRPr="001C2126">
        <w:rPr>
          <w:lang w:val="fr-FR"/>
        </w:rPr>
        <w:t>68/16.</w:t>
      </w:r>
    </w:p>
  </w:footnote>
  <w:footnote w:id="45">
    <w:p w14:paraId="403809E6" w14:textId="77777777" w:rsidR="00E51827" w:rsidRPr="001C2126" w:rsidRDefault="00E51827" w:rsidP="002A5EB2">
      <w:pPr>
        <w:pStyle w:val="Notedebasdepage"/>
        <w:rPr>
          <w:lang w:val="fr-FR"/>
        </w:rPr>
      </w:pPr>
      <w:r w:rsidRPr="001C2126">
        <w:rPr>
          <w:lang w:val="fr-FR"/>
        </w:rPr>
        <w:tab/>
      </w:r>
      <w:r w:rsidRPr="0017324C">
        <w:rPr>
          <w:rStyle w:val="Appelnotedebasdep"/>
        </w:rPr>
        <w:footnoteRef/>
      </w:r>
      <w:r w:rsidRPr="001C2126">
        <w:rPr>
          <w:lang w:val="fr-FR"/>
        </w:rPr>
        <w:tab/>
      </w:r>
      <w:r w:rsidRPr="006B33A2">
        <w:rPr>
          <w:lang w:val="fr-FR"/>
        </w:rPr>
        <w:t>Journal officiel de la République de Slovénie</w:t>
      </w:r>
      <w:r w:rsidRPr="00A47500">
        <w:rPr>
          <w:lang w:val="fr-FR"/>
        </w:rPr>
        <w:t xml:space="preserve"> </w:t>
      </w:r>
      <w:r w:rsidRPr="001C2126">
        <w:rPr>
          <w:lang w:val="fr-FR"/>
        </w:rPr>
        <w:t>[</w:t>
      </w:r>
      <w:proofErr w:type="spellStart"/>
      <w:r w:rsidRPr="001C2126">
        <w:rPr>
          <w:lang w:val="fr-FR"/>
        </w:rPr>
        <w:t>Uradni</w:t>
      </w:r>
      <w:proofErr w:type="spellEnd"/>
      <w:r w:rsidRPr="001C2126">
        <w:rPr>
          <w:lang w:val="fr-FR"/>
        </w:rPr>
        <w:t xml:space="preserve"> </w:t>
      </w:r>
      <w:proofErr w:type="spellStart"/>
      <w:r w:rsidRPr="001C2126">
        <w:rPr>
          <w:lang w:val="fr-FR"/>
        </w:rPr>
        <w:t>list</w:t>
      </w:r>
      <w:proofErr w:type="spellEnd"/>
      <w:r w:rsidRPr="001C2126">
        <w:rPr>
          <w:lang w:val="fr-FR"/>
        </w:rPr>
        <w:t xml:space="preserve"> RS], </w:t>
      </w:r>
      <w:r w:rsidRPr="00C24C9F">
        <w:rPr>
          <w:rFonts w:eastAsia="MS Mincho"/>
          <w:szCs w:val="22"/>
          <w:lang w:val="fr-FR"/>
        </w:rPr>
        <w:t>n</w:t>
      </w:r>
      <w:r w:rsidRPr="00C24C9F">
        <w:rPr>
          <w:rFonts w:eastAsia="MS Mincho"/>
          <w:szCs w:val="22"/>
          <w:vertAlign w:val="superscript"/>
          <w:lang w:val="fr-FR"/>
        </w:rPr>
        <w:t>o</w:t>
      </w:r>
      <w:r>
        <w:rPr>
          <w:rFonts w:eastAsia="MS Mincho"/>
          <w:szCs w:val="22"/>
          <w:vertAlign w:val="superscript"/>
          <w:lang w:val="fr-FR"/>
        </w:rPr>
        <w:t>s</w:t>
      </w:r>
      <w:r>
        <w:rPr>
          <w:lang w:val="fr-FR"/>
        </w:rPr>
        <w:t> </w:t>
      </w:r>
      <w:r w:rsidRPr="001C2126">
        <w:rPr>
          <w:lang w:val="fr-FR"/>
        </w:rPr>
        <w:t xml:space="preserve">78/00, 44/03, 86/04, 127/06, 7/07, 112/07, 25/08, 121/08, 66/09, 34/10 </w:t>
      </w:r>
      <w:r>
        <w:rPr>
          <w:lang w:val="fr-FR"/>
        </w:rPr>
        <w:t>et</w:t>
      </w:r>
      <w:r w:rsidRPr="001C2126">
        <w:rPr>
          <w:lang w:val="fr-FR"/>
        </w:rPr>
        <w:t xml:space="preserve">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F22A" w14:textId="1EFCC237" w:rsidR="00E51827" w:rsidRPr="002A5EB2" w:rsidRDefault="00E51827">
    <w:pPr>
      <w:pStyle w:val="En-tte"/>
    </w:pPr>
    <w:fldSimple w:instr=" TITLE  \* MERGEFORMAT ">
      <w:r w:rsidR="00356658">
        <w:t>CAT/C/SVN/4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9B38" w14:textId="3D0883D6" w:rsidR="00E51827" w:rsidRPr="002A5EB2" w:rsidRDefault="00E51827" w:rsidP="002A5EB2">
    <w:pPr>
      <w:pStyle w:val="En-tte"/>
      <w:jc w:val="right"/>
    </w:pPr>
    <w:fldSimple w:instr=" TITLE  \* MERGEFORMAT ">
      <w:r w:rsidR="00356658">
        <w:t>CAT/C/SVN/4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807CD7"/>
    <w:multiLevelType w:val="hybridMultilevel"/>
    <w:tmpl w:val="20D4CE74"/>
    <w:lvl w:ilvl="0" w:tplc="81564D6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00DCA"/>
    <w:multiLevelType w:val="hybridMultilevel"/>
    <w:tmpl w:val="857A425E"/>
    <w:lvl w:ilvl="0" w:tplc="3D9CD9F2">
      <w:numFmt w:val="bullet"/>
      <w:lvlText w:val="-"/>
      <w:lvlJc w:val="left"/>
      <w:pPr>
        <w:ind w:left="780" w:hanging="360"/>
      </w:pPr>
      <w:rPr>
        <w:rFonts w:ascii="Arial" w:eastAsia="Times New Roman"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1D7661A1"/>
    <w:multiLevelType w:val="hybridMultilevel"/>
    <w:tmpl w:val="37E0EC6C"/>
    <w:lvl w:ilvl="0" w:tplc="81564D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90A22"/>
    <w:multiLevelType w:val="hybridMultilevel"/>
    <w:tmpl w:val="0BFC4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535D6"/>
    <w:multiLevelType w:val="hybridMultilevel"/>
    <w:tmpl w:val="C862D966"/>
    <w:lvl w:ilvl="0" w:tplc="2C90F13A">
      <w:numFmt w:val="bullet"/>
      <w:lvlText w:val="-"/>
      <w:lvlJc w:val="left"/>
      <w:pPr>
        <w:ind w:left="615" w:hanging="360"/>
      </w:pPr>
      <w:rPr>
        <w:rFonts w:ascii="Calibri" w:eastAsiaTheme="minorHAnsi" w:hAnsi="Calibri" w:cs="Calibri"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20" w15:restartNumberingAfterBreak="0">
    <w:nsid w:val="35913EE7"/>
    <w:multiLevelType w:val="hybridMultilevel"/>
    <w:tmpl w:val="D242AF30"/>
    <w:lvl w:ilvl="0" w:tplc="81564D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9040CA"/>
    <w:multiLevelType w:val="hybridMultilevel"/>
    <w:tmpl w:val="87E28DF2"/>
    <w:lvl w:ilvl="0" w:tplc="04240001">
      <w:start w:val="1"/>
      <w:numFmt w:val="bullet"/>
      <w:lvlText w:val=""/>
      <w:lvlJc w:val="left"/>
      <w:pPr>
        <w:ind w:left="1494" w:hanging="360"/>
      </w:pPr>
      <w:rPr>
        <w:rFonts w:ascii="Symbol" w:hAnsi="Symbo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3" w15:restartNumberingAfterBreak="0">
    <w:nsid w:val="42452181"/>
    <w:multiLevelType w:val="hybridMultilevel"/>
    <w:tmpl w:val="2DA6A320"/>
    <w:lvl w:ilvl="0" w:tplc="81564D6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A54A6F"/>
    <w:multiLevelType w:val="hybridMultilevel"/>
    <w:tmpl w:val="92B0D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C037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6243A8F"/>
    <w:multiLevelType w:val="hybridMultilevel"/>
    <w:tmpl w:val="8B629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9114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5D2AF0"/>
    <w:multiLevelType w:val="hybridMultilevel"/>
    <w:tmpl w:val="E27415C8"/>
    <w:lvl w:ilvl="0" w:tplc="304E8E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0"/>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1"/>
  </w:num>
  <w:num w:numId="16">
    <w:abstractNumId w:val="11"/>
  </w:num>
  <w:num w:numId="17">
    <w:abstractNumId w:val="30"/>
  </w:num>
  <w:num w:numId="18">
    <w:abstractNumId w:val="21"/>
  </w:num>
  <w:num w:numId="19">
    <w:abstractNumId w:val="11"/>
  </w:num>
  <w:num w:numId="20">
    <w:abstractNumId w:val="18"/>
  </w:num>
  <w:num w:numId="21">
    <w:abstractNumId w:val="16"/>
  </w:num>
  <w:num w:numId="22">
    <w:abstractNumId w:val="10"/>
  </w:num>
  <w:num w:numId="23">
    <w:abstractNumId w:val="24"/>
  </w:num>
  <w:num w:numId="24">
    <w:abstractNumId w:val="26"/>
  </w:num>
  <w:num w:numId="25">
    <w:abstractNumId w:val="28"/>
  </w:num>
  <w:num w:numId="26">
    <w:abstractNumId w:val="13"/>
  </w:num>
  <w:num w:numId="27">
    <w:abstractNumId w:val="27"/>
  </w:num>
  <w:num w:numId="28">
    <w:abstractNumId w:val="14"/>
  </w:num>
  <w:num w:numId="29">
    <w:abstractNumId w:val="29"/>
  </w:num>
  <w:num w:numId="30">
    <w:abstractNumId w:val="19"/>
  </w:num>
  <w:num w:numId="31">
    <w:abstractNumId w:val="22"/>
  </w:num>
  <w:num w:numId="32">
    <w:abstractNumId w:val="15"/>
  </w:num>
  <w:num w:numId="33">
    <w:abstractNumId w:val="20"/>
  </w:num>
  <w:num w:numId="34">
    <w:abstractNumId w:val="17"/>
  </w:num>
  <w:num w:numId="35">
    <w:abstractNumId w:val="12"/>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2D0B"/>
    <w:rsid w:val="00023842"/>
    <w:rsid w:val="00035AE4"/>
    <w:rsid w:val="00037DF1"/>
    <w:rsid w:val="0007796D"/>
    <w:rsid w:val="000E61A8"/>
    <w:rsid w:val="00101756"/>
    <w:rsid w:val="00111F2F"/>
    <w:rsid w:val="0014365E"/>
    <w:rsid w:val="00144773"/>
    <w:rsid w:val="001622BE"/>
    <w:rsid w:val="00176178"/>
    <w:rsid w:val="001C0B9F"/>
    <w:rsid w:val="001F525A"/>
    <w:rsid w:val="0025667E"/>
    <w:rsid w:val="002A5EB2"/>
    <w:rsid w:val="002C42D6"/>
    <w:rsid w:val="00356658"/>
    <w:rsid w:val="003611CE"/>
    <w:rsid w:val="003D71A8"/>
    <w:rsid w:val="00446FE5"/>
    <w:rsid w:val="004D6539"/>
    <w:rsid w:val="004F046A"/>
    <w:rsid w:val="00553A1F"/>
    <w:rsid w:val="00561790"/>
    <w:rsid w:val="00573BE5"/>
    <w:rsid w:val="00586ED3"/>
    <w:rsid w:val="00587A52"/>
    <w:rsid w:val="005970D5"/>
    <w:rsid w:val="005A51D3"/>
    <w:rsid w:val="005B4E23"/>
    <w:rsid w:val="005E632D"/>
    <w:rsid w:val="005F0D57"/>
    <w:rsid w:val="006068D2"/>
    <w:rsid w:val="00621144"/>
    <w:rsid w:val="006304C7"/>
    <w:rsid w:val="006313D9"/>
    <w:rsid w:val="00652D0B"/>
    <w:rsid w:val="00654293"/>
    <w:rsid w:val="00663A39"/>
    <w:rsid w:val="00691203"/>
    <w:rsid w:val="006A7B90"/>
    <w:rsid w:val="006B271A"/>
    <w:rsid w:val="0071601D"/>
    <w:rsid w:val="00723A91"/>
    <w:rsid w:val="007432FB"/>
    <w:rsid w:val="007637C7"/>
    <w:rsid w:val="00766F59"/>
    <w:rsid w:val="007D119D"/>
    <w:rsid w:val="007E05AF"/>
    <w:rsid w:val="007F4F65"/>
    <w:rsid w:val="0080684C"/>
    <w:rsid w:val="00807D21"/>
    <w:rsid w:val="008403E7"/>
    <w:rsid w:val="00840C6C"/>
    <w:rsid w:val="00871C75"/>
    <w:rsid w:val="008776DC"/>
    <w:rsid w:val="00894C70"/>
    <w:rsid w:val="008B7CDB"/>
    <w:rsid w:val="008C3C0F"/>
    <w:rsid w:val="008F5532"/>
    <w:rsid w:val="008F5D8B"/>
    <w:rsid w:val="00903CF0"/>
    <w:rsid w:val="00932521"/>
    <w:rsid w:val="009705C8"/>
    <w:rsid w:val="00984F40"/>
    <w:rsid w:val="009C4D45"/>
    <w:rsid w:val="009F407B"/>
    <w:rsid w:val="009F531E"/>
    <w:rsid w:val="009F5F23"/>
    <w:rsid w:val="00A05770"/>
    <w:rsid w:val="00A1651F"/>
    <w:rsid w:val="00A37C92"/>
    <w:rsid w:val="00A61DE6"/>
    <w:rsid w:val="00A704A8"/>
    <w:rsid w:val="00A92436"/>
    <w:rsid w:val="00AA0CD3"/>
    <w:rsid w:val="00AA4C87"/>
    <w:rsid w:val="00AB1B55"/>
    <w:rsid w:val="00AE323C"/>
    <w:rsid w:val="00B25D30"/>
    <w:rsid w:val="00B50DFF"/>
    <w:rsid w:val="00B803DA"/>
    <w:rsid w:val="00B91E85"/>
    <w:rsid w:val="00BA41F4"/>
    <w:rsid w:val="00BC3D7B"/>
    <w:rsid w:val="00C02897"/>
    <w:rsid w:val="00C04E17"/>
    <w:rsid w:val="00C24C9F"/>
    <w:rsid w:val="00C637D8"/>
    <w:rsid w:val="00C73216"/>
    <w:rsid w:val="00CA5CE1"/>
    <w:rsid w:val="00CC5511"/>
    <w:rsid w:val="00CD326D"/>
    <w:rsid w:val="00D21E12"/>
    <w:rsid w:val="00D22D13"/>
    <w:rsid w:val="00D24AC2"/>
    <w:rsid w:val="00D868BE"/>
    <w:rsid w:val="00DB1831"/>
    <w:rsid w:val="00DD3BFD"/>
    <w:rsid w:val="00DE5265"/>
    <w:rsid w:val="00E25761"/>
    <w:rsid w:val="00E51827"/>
    <w:rsid w:val="00E554A4"/>
    <w:rsid w:val="00E73E2E"/>
    <w:rsid w:val="00EA0D23"/>
    <w:rsid w:val="00EA3F83"/>
    <w:rsid w:val="00EE34FC"/>
    <w:rsid w:val="00EE6EA3"/>
    <w:rsid w:val="00F11C0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63FF1"/>
  <w15:docId w15:val="{9DFE38A3-BCF4-435D-84A8-E1B7BDE2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table" w:customStyle="1" w:styleId="Tabelamrea1">
    <w:name w:val="Tabela – mreža1"/>
    <w:basedOn w:val="TableauNormal"/>
    <w:next w:val="Grilledutableau"/>
    <w:uiPriority w:val="39"/>
    <w:rsid w:val="002A5EB2"/>
    <w:pPr>
      <w:spacing w:after="0" w:line="240" w:lineRule="auto"/>
    </w:pPr>
    <w:rPr>
      <w:rFonts w:eastAsiaTheme="minorHAnsi"/>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auNormal"/>
    <w:next w:val="Grilledutableau"/>
    <w:uiPriority w:val="39"/>
    <w:rsid w:val="002A5EB2"/>
    <w:pPr>
      <w:spacing w:after="0" w:line="240" w:lineRule="auto"/>
    </w:pPr>
    <w:rPr>
      <w:rFonts w:eastAsiaTheme="minorHAnsi"/>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4-01-4208" TargetMode="External"/><Relationship Id="rId13" Type="http://schemas.openxmlformats.org/officeDocument/2006/relationships/hyperlink" Target="http://www.uradni-list.si/1/objava.jsp?sop=2010-01-2648" TargetMode="External"/><Relationship Id="rId18" Type="http://schemas.openxmlformats.org/officeDocument/2006/relationships/hyperlink" Target="http://www.uradni-list.si/1/objava.jsp?sop=2012-01-3693" TargetMode="External"/><Relationship Id="rId26" Type="http://schemas.openxmlformats.org/officeDocument/2006/relationships/hyperlink" Target="http://www.uradni-list.si/1/objava.jsp?sop=2013-01-3547" TargetMode="External"/><Relationship Id="rId3" Type="http://schemas.openxmlformats.org/officeDocument/2006/relationships/hyperlink" Target="http://www.uradni-list.si/1/objava.jsp?sop=2015-01-2227" TargetMode="External"/><Relationship Id="rId21" Type="http://schemas.openxmlformats.org/officeDocument/2006/relationships/hyperlink" Target="http://www.uradni-list.si/1/objava.jsp?sop=2018-01-0459" TargetMode="External"/><Relationship Id="rId7" Type="http://schemas.openxmlformats.org/officeDocument/2006/relationships/hyperlink" Target="http://www.uradni-list.si/1/objava.jsp?sop=2017-01-2438" TargetMode="External"/><Relationship Id="rId12" Type="http://schemas.openxmlformats.org/officeDocument/2006/relationships/hyperlink" Target="http://www.uradni-list.si/1/objava.jsp?sop=2006-01-2998" TargetMode="External"/><Relationship Id="rId17" Type="http://schemas.openxmlformats.org/officeDocument/2006/relationships/hyperlink" Target="http://www.uradni-list.si/1/objava.jsp?sop=2011-01-0318" TargetMode="External"/><Relationship Id="rId25" Type="http://schemas.openxmlformats.org/officeDocument/2006/relationships/hyperlink" Target="http://www.uradni-list.si/1/objava.jsp?sop=2017-01-1439" TargetMode="External"/><Relationship Id="rId2" Type="http://schemas.openxmlformats.org/officeDocument/2006/relationships/hyperlink" Target="http://www.uradni-list.si/1/objava.jsp?sop=2016-21-0263" TargetMode="External"/><Relationship Id="rId16" Type="http://schemas.openxmlformats.org/officeDocument/2006/relationships/hyperlink" Target="http://www.uradni-list.si/1/objava.jsp?sop=2009-01-1916" TargetMode="External"/><Relationship Id="rId20" Type="http://schemas.openxmlformats.org/officeDocument/2006/relationships/hyperlink" Target="http://www.uradni-list.si/1/objava.jsp?sop=2015-01-2228" TargetMode="External"/><Relationship Id="rId29" Type="http://schemas.openxmlformats.org/officeDocument/2006/relationships/hyperlink" Target="http://www.uradni-list.si/1/objava.jsp?sop=2015-01-1881" TargetMode="External"/><Relationship Id="rId1" Type="http://schemas.openxmlformats.org/officeDocument/2006/relationships/hyperlink" Target="http://www.uradni-list.si/1/objava.jsp?sop=2012-01-2065" TargetMode="External"/><Relationship Id="rId6" Type="http://schemas.openxmlformats.org/officeDocument/2006/relationships/hyperlink" Target="http://www.varuh-rs.si/publikacije-gradiva-izjave/porocila-varuha-v-vlogi-dpm/" TargetMode="External"/><Relationship Id="rId11" Type="http://schemas.openxmlformats.org/officeDocument/2006/relationships/hyperlink" Target="http://www.uradni-list.si/1/objava.jsp?sop=2017-01-2437" TargetMode="External"/><Relationship Id="rId24" Type="http://schemas.openxmlformats.org/officeDocument/2006/relationships/hyperlink" Target="http://www.uradni-list.si/1/objava.jsp?sop=2017-01-0462" TargetMode="External"/><Relationship Id="rId5" Type="http://schemas.openxmlformats.org/officeDocument/2006/relationships/hyperlink" Target="http://www.uradni-list.si/1/objava.jsp?sop=2017-01-1445" TargetMode="External"/><Relationship Id="rId15" Type="http://schemas.openxmlformats.org/officeDocument/2006/relationships/hyperlink" Target="http://www.uradni-list.si/1/objava.jsp?sop=2008-01-3346" TargetMode="External"/><Relationship Id="rId23" Type="http://schemas.openxmlformats.org/officeDocument/2006/relationships/hyperlink" Target="http://www.uradni-list.si/1/objava.jsp?sop=2015-21-0990" TargetMode="External"/><Relationship Id="rId28" Type="http://schemas.openxmlformats.org/officeDocument/2006/relationships/hyperlink" Target="http://www.uradni-list.si/1/objava.jsp?sop=2008-01-3448" TargetMode="External"/><Relationship Id="rId10" Type="http://schemas.openxmlformats.org/officeDocument/2006/relationships/hyperlink" Target="http://www.uradni-list.si/1/objava.jsp?sop=2016-01-2931" TargetMode="External"/><Relationship Id="rId19" Type="http://schemas.openxmlformats.org/officeDocument/2006/relationships/hyperlink" Target="http://www.uradni-list.si/1/objava.jsp?sop=2012-01-4318" TargetMode="External"/><Relationship Id="rId4" Type="http://schemas.openxmlformats.org/officeDocument/2006/relationships/hyperlink" Target="http://www.uradni-list.si/1/objava.jsp?sop=2016-01-1628" TargetMode="External"/><Relationship Id="rId9" Type="http://schemas.openxmlformats.org/officeDocument/2006/relationships/hyperlink" Target="http://www.uradni-list.si/1/objava.jsp?sop=2008-01-0487" TargetMode="External"/><Relationship Id="rId14" Type="http://schemas.openxmlformats.org/officeDocument/2006/relationships/hyperlink" Target="http://www.uradni-list.si/1/objava.jsp?sop=2006-01-4665" TargetMode="External"/><Relationship Id="rId22" Type="http://schemas.openxmlformats.org/officeDocument/2006/relationships/hyperlink" Target="http://www.uradni-list.si/1/objava.jsp?sop=2013-01-0435" TargetMode="External"/><Relationship Id="rId27" Type="http://schemas.openxmlformats.org/officeDocument/2006/relationships/hyperlink" Target="http://www.uradni-list.si/1/objava.jsp?sop=2018-01-10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35</Pages>
  <Words>19398</Words>
  <Characters>106693</Characters>
  <Application>Microsoft Office Word</Application>
  <DocSecurity>0</DocSecurity>
  <Lines>889</Lines>
  <Paragraphs>251</Paragraphs>
  <ScaleCrop>false</ScaleCrop>
  <HeadingPairs>
    <vt:vector size="2" baseType="variant">
      <vt:variant>
        <vt:lpstr>Titre</vt:lpstr>
      </vt:variant>
      <vt:variant>
        <vt:i4>1</vt:i4>
      </vt:variant>
    </vt:vector>
  </HeadingPairs>
  <TitlesOfParts>
    <vt:vector size="1" baseType="lpstr">
      <vt:lpstr>CAT/C/SVN/4</vt:lpstr>
    </vt:vector>
  </TitlesOfParts>
  <Company>DCM</Company>
  <LinksUpToDate>false</LinksUpToDate>
  <CharactersWithSpaces>125840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CAT/C/SVN/4</dc:title>
  <dc:subject/>
  <dc:creator>Valerie BERTIN</dc:creator>
  <cp:keywords/>
  <cp:lastModifiedBy>Valerie Bertin</cp:lastModifiedBy>
  <cp:revision>3</cp:revision>
  <cp:lastPrinted>2020-05-28T06:43:00Z</cp:lastPrinted>
  <dcterms:created xsi:type="dcterms:W3CDTF">2020-05-28T06:43:00Z</dcterms:created>
  <dcterms:modified xsi:type="dcterms:W3CDTF">2020-05-28T06:46:00Z</dcterms:modified>
</cp:coreProperties>
</file>