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B6530F" w:rsidRPr="00113FB6" w:rsidTr="009032E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D5AAC" w:rsidRPr="00B6530F" w:rsidRDefault="002D5AAC" w:rsidP="009032EF">
            <w:pPr>
              <w:pStyle w:val="H1G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9032EF" w:rsidRDefault="00BD33EE" w:rsidP="009032EF">
            <w:pPr>
              <w:suppressAutoHyphens/>
              <w:spacing w:after="80" w:line="300" w:lineRule="exact"/>
              <w:rPr>
                <w:sz w:val="28"/>
              </w:rPr>
            </w:pPr>
            <w:r w:rsidRPr="009032EF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9032EF" w:rsidRDefault="00E027BA" w:rsidP="009032EF">
            <w:pPr>
              <w:suppressAutoHyphens/>
              <w:jc w:val="right"/>
              <w:rPr>
                <w:lang w:val="fr-FR"/>
              </w:rPr>
            </w:pPr>
            <w:r w:rsidRPr="009032EF">
              <w:rPr>
                <w:sz w:val="40"/>
                <w:lang w:val="fr-FR"/>
              </w:rPr>
              <w:t>CMW</w:t>
            </w:r>
            <w:r w:rsidRPr="009032EF">
              <w:rPr>
                <w:lang w:val="fr-FR"/>
              </w:rPr>
              <w:t>/C/ARG/QPR/2</w:t>
            </w:r>
          </w:p>
        </w:tc>
      </w:tr>
      <w:tr w:rsidR="00B6530F" w:rsidRPr="00F671D8" w:rsidTr="009032E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F671D8" w:rsidRDefault="00FD482F" w:rsidP="009032EF">
            <w:pPr>
              <w:suppressAutoHyphens/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5645" cy="588645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9032EF" w:rsidRDefault="00410F55" w:rsidP="009032EF">
            <w:pPr>
              <w:suppressAutoHyphens/>
              <w:spacing w:before="120" w:line="360" w:lineRule="exact"/>
              <w:rPr>
                <w:b/>
                <w:sz w:val="34"/>
                <w:szCs w:val="34"/>
              </w:rPr>
            </w:pPr>
            <w:r w:rsidRPr="009032EF">
              <w:rPr>
                <w:b/>
                <w:sz w:val="34"/>
                <w:szCs w:val="34"/>
              </w:rPr>
              <w:t>Convención Internacional sobre</w:t>
            </w:r>
            <w:r w:rsidRPr="009032EF">
              <w:rPr>
                <w:b/>
                <w:sz w:val="34"/>
                <w:szCs w:val="34"/>
              </w:rPr>
              <w:br/>
              <w:t>la Protección de los Derechos de</w:t>
            </w:r>
            <w:r w:rsidRPr="009032EF">
              <w:rPr>
                <w:b/>
                <w:sz w:val="34"/>
                <w:szCs w:val="34"/>
              </w:rPr>
              <w:br/>
              <w:t>Todos los Trabajadores Migratorios</w:t>
            </w:r>
            <w:r w:rsidRPr="009032EF">
              <w:rPr>
                <w:b/>
                <w:sz w:val="34"/>
                <w:szCs w:val="34"/>
              </w:rPr>
              <w:br/>
              <w:t>y de sus Familiares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F671D8" w:rsidRDefault="00E027BA" w:rsidP="009032EF">
            <w:pPr>
              <w:suppressAutoHyphens/>
              <w:spacing w:before="240" w:line="240" w:lineRule="exact"/>
            </w:pPr>
            <w:r w:rsidRPr="00F671D8">
              <w:t xml:space="preserve">Distr. </w:t>
            </w:r>
            <w:r w:rsidR="0018680E">
              <w:t>general</w:t>
            </w:r>
          </w:p>
          <w:p w:rsidR="00E027BA" w:rsidRPr="00F671D8" w:rsidRDefault="004B4875" w:rsidP="009032EF">
            <w:pPr>
              <w:suppressAutoHyphens/>
              <w:spacing w:line="240" w:lineRule="exact"/>
            </w:pPr>
            <w:r>
              <w:t>2</w:t>
            </w:r>
            <w:r w:rsidR="00020CC5">
              <w:t>0</w:t>
            </w:r>
            <w:r w:rsidR="00E027BA" w:rsidRPr="00F671D8">
              <w:t xml:space="preserve"> de </w:t>
            </w:r>
            <w:r>
              <w:t>junio</w:t>
            </w:r>
            <w:r w:rsidR="005A60F8">
              <w:t xml:space="preserve"> </w:t>
            </w:r>
            <w:r w:rsidR="00E027BA" w:rsidRPr="00F671D8">
              <w:t>de 20</w:t>
            </w:r>
            <w:r w:rsidR="001937B9" w:rsidRPr="00F671D8">
              <w:t>1</w:t>
            </w:r>
            <w:r w:rsidR="00E027BA" w:rsidRPr="00F671D8">
              <w:t>8</w:t>
            </w:r>
          </w:p>
          <w:p w:rsidR="00E027BA" w:rsidRPr="00F671D8" w:rsidRDefault="00E027BA" w:rsidP="009032EF">
            <w:pPr>
              <w:suppressAutoHyphens/>
              <w:spacing w:line="240" w:lineRule="exact"/>
            </w:pPr>
          </w:p>
          <w:p w:rsidR="00E027BA" w:rsidRPr="00F671D8" w:rsidRDefault="00E027BA" w:rsidP="009032EF">
            <w:pPr>
              <w:suppressAutoHyphens/>
              <w:spacing w:line="240" w:lineRule="exact"/>
            </w:pPr>
            <w:r w:rsidRPr="00F671D8">
              <w:t>Original: español</w:t>
            </w:r>
          </w:p>
          <w:p w:rsidR="008E0F00" w:rsidRPr="00F671D8" w:rsidRDefault="00E027BA" w:rsidP="009032EF">
            <w:pPr>
              <w:suppressAutoHyphens/>
              <w:spacing w:line="240" w:lineRule="exact"/>
            </w:pPr>
            <w:r w:rsidRPr="00F671D8">
              <w:t>Españ</w:t>
            </w:r>
            <w:r w:rsidR="00460A81">
              <w:t>ol, francés e inglés únicamente</w:t>
            </w:r>
          </w:p>
        </w:tc>
      </w:tr>
    </w:tbl>
    <w:p w:rsidR="00E027BA" w:rsidRPr="00F671D8" w:rsidRDefault="00E027BA" w:rsidP="00E027BA">
      <w:pPr>
        <w:spacing w:before="120"/>
        <w:rPr>
          <w:b/>
          <w:bCs/>
          <w:sz w:val="24"/>
          <w:szCs w:val="24"/>
        </w:rPr>
      </w:pPr>
      <w:r w:rsidRPr="00F671D8">
        <w:rPr>
          <w:b/>
          <w:sz w:val="24"/>
        </w:rPr>
        <w:t xml:space="preserve">Comité de Protección de los Derechos de Todos los </w:t>
      </w:r>
      <w:r w:rsidRPr="00F671D8">
        <w:rPr>
          <w:b/>
          <w:sz w:val="24"/>
        </w:rPr>
        <w:br/>
        <w:t>Trabajadores Migratorios y de sus Familiares</w:t>
      </w:r>
    </w:p>
    <w:p w:rsidR="00E027BA" w:rsidRPr="00A91C20" w:rsidRDefault="00E027BA" w:rsidP="00A91C20">
      <w:pPr>
        <w:pStyle w:val="HChG"/>
      </w:pPr>
      <w:r w:rsidRPr="00A91C20">
        <w:tab/>
      </w:r>
      <w:r w:rsidRPr="00A91C20">
        <w:tab/>
        <w:t xml:space="preserve">Lista de cuestiones previa a la presentación del segundo informe periódico de </w:t>
      </w:r>
      <w:r w:rsidR="005A60F8" w:rsidRPr="00A91C20">
        <w:t xml:space="preserve">la </w:t>
      </w:r>
      <w:r w:rsidRPr="00A91C20">
        <w:t>Argentina</w:t>
      </w:r>
      <w:r w:rsidR="00020CC5" w:rsidRPr="00EF4985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335E78" w:rsidRPr="00020CC5" w:rsidRDefault="00335E78">
      <w:pPr>
        <w:pStyle w:val="HChG"/>
      </w:pPr>
      <w:r w:rsidRPr="00EF4985">
        <w:tab/>
      </w:r>
      <w:r w:rsidRPr="00EF4985">
        <w:tab/>
        <w:t>Sección I</w:t>
      </w:r>
    </w:p>
    <w:p w:rsidR="00335E78" w:rsidRPr="00020CC5" w:rsidRDefault="00335E78">
      <w:pPr>
        <w:pStyle w:val="H1G"/>
      </w:pPr>
      <w:r w:rsidRPr="00EF4985">
        <w:tab/>
        <w:t>A.</w:t>
      </w:r>
      <w:r w:rsidRPr="00EF4985">
        <w:tab/>
        <w:t>Información general</w:t>
      </w:r>
    </w:p>
    <w:p w:rsidR="006A101C" w:rsidRPr="00020CC5" w:rsidRDefault="00335E78">
      <w:pPr>
        <w:pStyle w:val="SingleTxtG"/>
      </w:pPr>
      <w:r w:rsidRPr="00020CC5">
        <w:t>1.</w:t>
      </w:r>
      <w:r w:rsidRPr="00020CC5">
        <w:tab/>
        <w:t>A la luz de la</w:t>
      </w:r>
      <w:r w:rsidR="00E117FF" w:rsidRPr="00020CC5">
        <w:t xml:space="preserve"> promulgación del </w:t>
      </w:r>
      <w:r w:rsidR="00ED631D" w:rsidRPr="00020CC5">
        <w:t>d</w:t>
      </w:r>
      <w:r w:rsidR="00E117FF" w:rsidRPr="00020CC5">
        <w:t xml:space="preserve">ecreto de </w:t>
      </w:r>
      <w:r w:rsidR="00ED631D" w:rsidRPr="00020CC5">
        <w:t>n</w:t>
      </w:r>
      <w:r w:rsidR="00E117FF" w:rsidRPr="00020CC5">
        <w:t xml:space="preserve">ecesidad y </w:t>
      </w:r>
      <w:r w:rsidR="00ED631D" w:rsidRPr="00020CC5">
        <w:t>u</w:t>
      </w:r>
      <w:r w:rsidR="00E117FF" w:rsidRPr="00020CC5">
        <w:t xml:space="preserve">rgencia </w:t>
      </w:r>
      <w:r w:rsidR="00ED631D" w:rsidRPr="00020CC5">
        <w:t>núm.</w:t>
      </w:r>
      <w:r w:rsidR="00B95256">
        <w:t> </w:t>
      </w:r>
      <w:r w:rsidR="00E117FF" w:rsidRPr="00020CC5">
        <w:t>70/</w:t>
      </w:r>
      <w:r w:rsidR="003A439F" w:rsidRPr="00020CC5">
        <w:t>20</w:t>
      </w:r>
      <w:r w:rsidR="00E117FF" w:rsidRPr="00020CC5">
        <w:t>17</w:t>
      </w:r>
      <w:r w:rsidR="0012609F" w:rsidRPr="00020CC5">
        <w:t>,</w:t>
      </w:r>
      <w:r w:rsidR="00E117FF" w:rsidRPr="00020CC5">
        <w:t xml:space="preserve"> que modifica </w:t>
      </w:r>
      <w:r w:rsidR="003A439F" w:rsidRPr="00020CC5">
        <w:t xml:space="preserve">sustancialmente </w:t>
      </w:r>
      <w:r w:rsidR="00E117FF" w:rsidRPr="00020CC5">
        <w:t>la</w:t>
      </w:r>
      <w:r w:rsidRPr="00020CC5">
        <w:t xml:space="preserve"> </w:t>
      </w:r>
      <w:r w:rsidR="00E117FF" w:rsidRPr="00020CC5">
        <w:t xml:space="preserve">Ley de Migraciones </w:t>
      </w:r>
      <w:r w:rsidR="00ED631D" w:rsidRPr="00020CC5">
        <w:t>núm.</w:t>
      </w:r>
      <w:r w:rsidR="00B95256">
        <w:t> </w:t>
      </w:r>
      <w:r w:rsidR="00E117FF" w:rsidRPr="00020CC5">
        <w:t>25871 (2004)</w:t>
      </w:r>
      <w:r w:rsidR="00310B6A" w:rsidRPr="00020CC5">
        <w:t xml:space="preserve"> y la Ley de Ciudadanía </w:t>
      </w:r>
      <w:r w:rsidR="00ED631D" w:rsidRPr="00020CC5">
        <w:t>núm.</w:t>
      </w:r>
      <w:r w:rsidR="00B95256">
        <w:t> </w:t>
      </w:r>
      <w:r w:rsidR="00310B6A" w:rsidRPr="00020CC5">
        <w:t xml:space="preserve">346, </w:t>
      </w:r>
      <w:r w:rsidR="003F62F8" w:rsidRPr="00020CC5">
        <w:t>s</w:t>
      </w:r>
      <w:r w:rsidR="00AB3223" w:rsidRPr="00020CC5">
        <w:t>e ruega</w:t>
      </w:r>
      <w:r w:rsidR="00096FC8" w:rsidRPr="00020CC5">
        <w:t xml:space="preserve"> </w:t>
      </w:r>
      <w:r w:rsidR="00D361E3" w:rsidRPr="00020CC5">
        <w:t>i</w:t>
      </w:r>
      <w:r w:rsidR="00E21E83" w:rsidRPr="00020CC5">
        <w:t>nform</w:t>
      </w:r>
      <w:r w:rsidR="00AB3223" w:rsidRPr="00020CC5">
        <w:t>ar</w:t>
      </w:r>
      <w:r w:rsidR="00E21E83" w:rsidRPr="00020CC5">
        <w:t xml:space="preserve"> sobre las acciones tomadas para mantener la armonía entre el marco normativo nacional y la Convención</w:t>
      </w:r>
      <w:r w:rsidR="0039318B" w:rsidRPr="00020CC5">
        <w:t>,</w:t>
      </w:r>
      <w:r w:rsidR="009E79C6" w:rsidRPr="00020CC5">
        <w:t xml:space="preserve"> </w:t>
      </w:r>
      <w:r w:rsidR="00261E61" w:rsidRPr="00020CC5">
        <w:t>considerando que</w:t>
      </w:r>
      <w:r w:rsidR="00E21E83" w:rsidRPr="00020CC5">
        <w:t xml:space="preserve"> la </w:t>
      </w:r>
      <w:r w:rsidR="00ED631D" w:rsidRPr="00020CC5">
        <w:t xml:space="preserve">promulgación </w:t>
      </w:r>
      <w:r w:rsidR="00E21E83" w:rsidRPr="00020CC5">
        <w:t xml:space="preserve">del </w:t>
      </w:r>
      <w:r w:rsidR="00ED631D" w:rsidRPr="00020CC5">
        <w:t>decreto núm.</w:t>
      </w:r>
      <w:r w:rsidR="00B95256">
        <w:t> </w:t>
      </w:r>
      <w:r w:rsidR="00261E61" w:rsidRPr="00020CC5">
        <w:t>70/2017</w:t>
      </w:r>
      <w:r w:rsidR="009E79C6" w:rsidRPr="00020CC5">
        <w:t xml:space="preserve"> </w:t>
      </w:r>
      <w:r w:rsidR="00E21E83" w:rsidRPr="00020CC5">
        <w:t xml:space="preserve">contradice claramente los compromisos de </w:t>
      </w:r>
      <w:r w:rsidR="002D64B3" w:rsidRPr="00020CC5">
        <w:t xml:space="preserve">la </w:t>
      </w:r>
      <w:r w:rsidR="00E21E83" w:rsidRPr="00020CC5">
        <w:t>Argentina en cuanto a los derechos, tratamiento y atención a los trabajadores migrantes y sus familias en el marco de la Convención.</w:t>
      </w:r>
      <w:r w:rsidR="000A47ED" w:rsidRPr="00020CC5">
        <w:t xml:space="preserve"> </w:t>
      </w:r>
      <w:r w:rsidR="00724818" w:rsidRPr="00020CC5">
        <w:t>Además,</w:t>
      </w:r>
      <w:r w:rsidR="001D495D" w:rsidRPr="00020CC5">
        <w:t xml:space="preserve"> sírvanse indicar </w:t>
      </w:r>
      <w:r w:rsidR="00174CCF" w:rsidRPr="00020CC5">
        <w:t>la opinión sobre el particular que ha</w:t>
      </w:r>
      <w:r w:rsidR="0039318B" w:rsidRPr="00020CC5">
        <w:t>n</w:t>
      </w:r>
      <w:r w:rsidR="00174CCF" w:rsidRPr="00020CC5">
        <w:t xml:space="preserve"> emitido tanto la </w:t>
      </w:r>
      <w:r w:rsidR="000E5B69" w:rsidRPr="00020CC5">
        <w:t>Defensoría</w:t>
      </w:r>
      <w:r w:rsidR="005C3BAA" w:rsidRPr="00020CC5">
        <w:t xml:space="preserve"> del Pueblo </w:t>
      </w:r>
      <w:r w:rsidR="00ED631D" w:rsidRPr="00020CC5">
        <w:t xml:space="preserve">como </w:t>
      </w:r>
      <w:r w:rsidR="001D495D" w:rsidRPr="00020CC5">
        <w:t>las organizaciones no gubernamentales</w:t>
      </w:r>
      <w:r w:rsidR="00671BAD" w:rsidRPr="00020CC5">
        <w:t>.</w:t>
      </w:r>
    </w:p>
    <w:p w:rsidR="00D361E3" w:rsidRPr="00EF4985" w:rsidRDefault="00A704FC">
      <w:pPr>
        <w:pStyle w:val="SingleTxtG"/>
      </w:pPr>
      <w:r w:rsidRPr="00EF4985">
        <w:t>2</w:t>
      </w:r>
      <w:r w:rsidR="00335E78" w:rsidRPr="00EF4985">
        <w:t>.</w:t>
      </w:r>
      <w:r w:rsidR="00335E78" w:rsidRPr="00EF4985">
        <w:tab/>
      </w:r>
      <w:r w:rsidR="00A127DA" w:rsidRPr="00020CC5">
        <w:t>D</w:t>
      </w:r>
      <w:r w:rsidR="00705CF3" w:rsidRPr="00020CC5">
        <w:t xml:space="preserve">ado el carácter federal del Estado </w:t>
      </w:r>
      <w:r w:rsidR="008A383A" w:rsidRPr="00020CC5">
        <w:t>p</w:t>
      </w:r>
      <w:r w:rsidR="00705CF3" w:rsidRPr="00020CC5">
        <w:t xml:space="preserve">arte, </w:t>
      </w:r>
      <w:r w:rsidR="00A127DA" w:rsidRPr="00020CC5">
        <w:t>sírva</w:t>
      </w:r>
      <w:r w:rsidR="008A2E46" w:rsidRPr="00020CC5">
        <w:t>n</w:t>
      </w:r>
      <w:r w:rsidR="00A127DA" w:rsidRPr="00020CC5">
        <w:t xml:space="preserve">se informar </w:t>
      </w:r>
      <w:r w:rsidR="00705CF3" w:rsidRPr="00020CC5">
        <w:t xml:space="preserve">acerca de las medidas </w:t>
      </w:r>
      <w:r w:rsidR="00885A27" w:rsidRPr="00020CC5">
        <w:t>que se han tomado</w:t>
      </w:r>
      <w:r w:rsidR="00A127DA" w:rsidRPr="00020CC5">
        <w:t xml:space="preserve"> para</w:t>
      </w:r>
      <w:r w:rsidR="00F10AF0">
        <w:t xml:space="preserve"> </w:t>
      </w:r>
      <w:r w:rsidR="00705CF3" w:rsidRPr="00F10AF0">
        <w:t>la</w:t>
      </w:r>
      <w:r w:rsidR="00F10AF0">
        <w:t xml:space="preserve"> </w:t>
      </w:r>
      <w:r w:rsidR="00261E61" w:rsidRPr="00F10AF0">
        <w:t xml:space="preserve">implementación </w:t>
      </w:r>
      <w:r w:rsidR="00705CF3" w:rsidRPr="00F10AF0">
        <w:t>de las legislaciones de todas las entidades federativas (provin</w:t>
      </w:r>
      <w:r w:rsidR="00705CF3" w:rsidRPr="00020CC5">
        <w:t>cias)</w:t>
      </w:r>
      <w:r w:rsidR="008F0661" w:rsidRPr="00020CC5">
        <w:t>,</w:t>
      </w:r>
      <w:r w:rsidR="00705CF3" w:rsidRPr="00020CC5">
        <w:t xml:space="preserve"> </w:t>
      </w:r>
      <w:r w:rsidR="00A127DA" w:rsidRPr="00020CC5">
        <w:t>en especial de frontera,</w:t>
      </w:r>
      <w:r w:rsidR="00705CF3" w:rsidRPr="00020CC5">
        <w:t xml:space="preserve"> </w:t>
      </w:r>
      <w:r w:rsidR="00A127DA" w:rsidRPr="00020CC5">
        <w:t xml:space="preserve">y </w:t>
      </w:r>
      <w:r w:rsidR="00705CF3" w:rsidRPr="00020CC5">
        <w:t xml:space="preserve">municipales </w:t>
      </w:r>
      <w:r w:rsidR="00A127DA" w:rsidRPr="00020CC5">
        <w:t>en e</w:t>
      </w:r>
      <w:r w:rsidR="00705CF3" w:rsidRPr="00020CC5">
        <w:t>l marco de la Convención, así como los mecanismos de coordinación institucional a fin de asegurar los derechos de la Convención a todos los trabajadores migrantes y sus familias. Se ruega incluir tanto las normas y prácticas provinciales y municipales en materia migratoria como laboral</w:t>
      </w:r>
      <w:r w:rsidR="009C3B95" w:rsidRPr="00020CC5">
        <w:t>es</w:t>
      </w:r>
      <w:r w:rsidR="00705CF3" w:rsidRPr="00020CC5">
        <w:t>, de protección a la niñez, de lucha contra la trata de personas, acceso a la justicia y cualquier otra que impacte en los derechos de trabajadores migrantes y sus familias.</w:t>
      </w:r>
      <w:r w:rsidR="00D361E3" w:rsidRPr="00020CC5">
        <w:t xml:space="preserve"> </w:t>
      </w:r>
      <w:r w:rsidR="0051315C" w:rsidRPr="00020CC5">
        <w:t>Sírvanse</w:t>
      </w:r>
      <w:r w:rsidR="00D361E3" w:rsidRPr="00020CC5">
        <w:t xml:space="preserve"> incluir los detalles del presupuesto asignado, coordinación, supervisión y evaluación de los procesos.</w:t>
      </w:r>
    </w:p>
    <w:p w:rsidR="00335E78" w:rsidRPr="00020CC5" w:rsidRDefault="00C87953" w:rsidP="009F2AD8">
      <w:pPr>
        <w:pStyle w:val="SingleTxtG"/>
      </w:pPr>
      <w:r w:rsidRPr="00020CC5">
        <w:t>3</w:t>
      </w:r>
      <w:r w:rsidR="00096FC8" w:rsidRPr="00020CC5">
        <w:t>.</w:t>
      </w:r>
      <w:r w:rsidR="00096FC8" w:rsidRPr="00020CC5">
        <w:tab/>
      </w:r>
      <w:r w:rsidR="00335E78" w:rsidRPr="00020CC5">
        <w:t>A la luz de</w:t>
      </w:r>
      <w:r w:rsidR="00631581" w:rsidRPr="00020CC5">
        <w:t>l</w:t>
      </w:r>
      <w:r w:rsidR="00335E78" w:rsidRPr="00020CC5">
        <w:t xml:space="preserve"> </w:t>
      </w:r>
      <w:r w:rsidR="00B85F12" w:rsidRPr="00020CC5">
        <w:t>Plan Nacional de Derechos Humanos para el período 2017-2020</w:t>
      </w:r>
      <w:r w:rsidR="00631581" w:rsidRPr="00020CC5">
        <w:t>,</w:t>
      </w:r>
      <w:r w:rsidR="00B85F12" w:rsidRPr="00020CC5">
        <w:t xml:space="preserve"> </w:t>
      </w:r>
      <w:r w:rsidR="00631581" w:rsidRPr="00020CC5">
        <w:t>se ruega informar</w:t>
      </w:r>
      <w:r w:rsidR="00335E78" w:rsidRPr="00020CC5">
        <w:t xml:space="preserve"> </w:t>
      </w:r>
      <w:r w:rsidR="0087431D" w:rsidRPr="00020CC5">
        <w:t xml:space="preserve">de </w:t>
      </w:r>
      <w:r w:rsidR="00885A27" w:rsidRPr="00020CC5">
        <w:t>qué</w:t>
      </w:r>
      <w:r w:rsidR="0087431D" w:rsidRPr="00020CC5">
        <w:t xml:space="preserve"> forma</w:t>
      </w:r>
      <w:r w:rsidR="006C5A94" w:rsidRPr="00020CC5">
        <w:t xml:space="preserve"> se</w:t>
      </w:r>
      <w:r w:rsidR="00335E78" w:rsidRPr="00020CC5">
        <w:t xml:space="preserve"> han fortalecido las competencias </w:t>
      </w:r>
      <w:r w:rsidR="00631581" w:rsidRPr="00020CC5">
        <w:t>del Defensor del Pueblo de la Nación</w:t>
      </w:r>
      <w:r w:rsidR="00335E78" w:rsidRPr="00020CC5">
        <w:t xml:space="preserve"> para investigar violaciones</w:t>
      </w:r>
      <w:r w:rsidR="009F2AD8">
        <w:t xml:space="preserve"> </w:t>
      </w:r>
      <w:r w:rsidR="00335E78" w:rsidRPr="00020CC5">
        <w:t>de los derechos humanos</w:t>
      </w:r>
      <w:r w:rsidR="00AB3223" w:rsidRPr="00020CC5">
        <w:t>.</w:t>
      </w:r>
      <w:r w:rsidR="00335E78" w:rsidRPr="00020CC5">
        <w:t xml:space="preserve"> </w:t>
      </w:r>
      <w:r w:rsidR="0005777E" w:rsidRPr="00020CC5">
        <w:t>Asimi</w:t>
      </w:r>
      <w:r w:rsidR="00AB3223" w:rsidRPr="00020CC5">
        <w:t xml:space="preserve">smo, sírvanse </w:t>
      </w:r>
      <w:r w:rsidR="008638F0" w:rsidRPr="00020CC5">
        <w:t>indi</w:t>
      </w:r>
      <w:r w:rsidR="00AB3223" w:rsidRPr="00020CC5">
        <w:t>car</w:t>
      </w:r>
      <w:r w:rsidR="008638F0" w:rsidRPr="00020CC5">
        <w:t xml:space="preserve"> la labor y alcance de gestión que tiene la Procuraduría Penitenciaria </w:t>
      </w:r>
      <w:r w:rsidR="00932F2D" w:rsidRPr="00020CC5">
        <w:t xml:space="preserve">de las Nación </w:t>
      </w:r>
      <w:r w:rsidR="008638F0" w:rsidRPr="00020CC5">
        <w:t xml:space="preserve">en </w:t>
      </w:r>
      <w:r w:rsidR="00335E78" w:rsidRPr="00020CC5">
        <w:t xml:space="preserve">centros de detención para migrantes. </w:t>
      </w:r>
      <w:r w:rsidR="006C5A94" w:rsidRPr="00020CC5">
        <w:t>Sírvanse informar sobre el papel desempeñado por l</w:t>
      </w:r>
      <w:r w:rsidR="0007538D" w:rsidRPr="00020CC5">
        <w:t>a</w:t>
      </w:r>
      <w:r w:rsidR="006C5A94" w:rsidRPr="00020CC5">
        <w:t xml:space="preserve"> Dirección Nacional de Pluralismo e Interculturalidad en implementar y promover los derech</w:t>
      </w:r>
      <w:r w:rsidR="00273585" w:rsidRPr="00020CC5">
        <w:t>os, reconocimiento y visibilizac</w:t>
      </w:r>
      <w:r w:rsidR="006C5A94" w:rsidRPr="00020CC5">
        <w:t>ión de la comunidad migrante.</w:t>
      </w:r>
    </w:p>
    <w:p w:rsidR="008638F0" w:rsidRPr="00020CC5" w:rsidRDefault="00C87953">
      <w:pPr>
        <w:pStyle w:val="SingleTxtG"/>
      </w:pPr>
      <w:r w:rsidRPr="00020CC5">
        <w:t>4</w:t>
      </w:r>
      <w:r w:rsidR="00B54E69" w:rsidRPr="00020CC5">
        <w:t>.</w:t>
      </w:r>
      <w:r w:rsidR="00096FC8" w:rsidRPr="00020CC5">
        <w:tab/>
      </w:r>
      <w:r w:rsidR="00AB3223" w:rsidRPr="00020CC5">
        <w:t xml:space="preserve">Se ruega </w:t>
      </w:r>
      <w:r w:rsidR="008638F0" w:rsidRPr="00020CC5">
        <w:t xml:space="preserve">hacer un </w:t>
      </w:r>
      <w:r w:rsidR="0007538D" w:rsidRPr="00020CC5">
        <w:t xml:space="preserve">informe </w:t>
      </w:r>
      <w:r w:rsidR="008638F0" w:rsidRPr="00020CC5">
        <w:t>específico de la implementación de cada una de las recomendaciones realizadas</w:t>
      </w:r>
      <w:r w:rsidR="00261E61" w:rsidRPr="00020CC5">
        <w:t xml:space="preserve"> por el Comité</w:t>
      </w:r>
      <w:r w:rsidR="008638F0" w:rsidRPr="00020CC5">
        <w:t xml:space="preserve"> en 2011, en el cual se pued</w:t>
      </w:r>
      <w:r w:rsidR="0007538D" w:rsidRPr="00020CC5">
        <w:t>a</w:t>
      </w:r>
      <w:r w:rsidR="008638F0" w:rsidRPr="00020CC5">
        <w:t>n evidenciar las mejoras normativas, la efectividad de la implementación y el impacto</w:t>
      </w:r>
      <w:r w:rsidR="0007538D" w:rsidRPr="00020CC5">
        <w:t xml:space="preserve"> y </w:t>
      </w:r>
      <w:r w:rsidR="00261E61" w:rsidRPr="00020CC5">
        <w:t>resultados</w:t>
      </w:r>
      <w:r w:rsidR="008638F0" w:rsidRPr="00020CC5">
        <w:t xml:space="preserve"> en los derechos de l</w:t>
      </w:r>
      <w:r w:rsidR="0007538D" w:rsidRPr="00020CC5">
        <w:t>o</w:t>
      </w:r>
      <w:r w:rsidR="008638F0" w:rsidRPr="00020CC5">
        <w:t xml:space="preserve">s migrantes. </w:t>
      </w:r>
      <w:r w:rsidR="00AB3223" w:rsidRPr="00020CC5">
        <w:t>Asimismo, el Comité a</w:t>
      </w:r>
      <w:r w:rsidR="008638F0" w:rsidRPr="00020CC5">
        <w:t>preciar</w:t>
      </w:r>
      <w:r w:rsidR="0007538D" w:rsidRPr="00020CC5">
        <w:t xml:space="preserve">ía recibir </w:t>
      </w:r>
      <w:r w:rsidR="008638F0" w:rsidRPr="00020CC5">
        <w:t xml:space="preserve">cifras oficiales de </w:t>
      </w:r>
      <w:r w:rsidR="0007538D" w:rsidRPr="00020CC5">
        <w:t xml:space="preserve">los </w:t>
      </w:r>
      <w:r w:rsidR="008638F0" w:rsidRPr="00020CC5">
        <w:lastRenderedPageBreak/>
        <w:t>resultados y/o estudios realizados para medir el cambio y los avances logrados</w:t>
      </w:r>
      <w:r w:rsidR="00261E61" w:rsidRPr="00020CC5">
        <w:t>, en virtud de las r</w:t>
      </w:r>
      <w:r w:rsidR="003F62F8" w:rsidRPr="00020CC5">
        <w:t xml:space="preserve">ecomendaciones </w:t>
      </w:r>
      <w:r w:rsidR="00127BB2" w:rsidRPr="00020CC5">
        <w:t>diri</w:t>
      </w:r>
      <w:r w:rsidR="003F62F8" w:rsidRPr="00020CC5">
        <w:t xml:space="preserve">gidas </w:t>
      </w:r>
      <w:r w:rsidR="003D3929" w:rsidRPr="00020CC5">
        <w:t xml:space="preserve">al </w:t>
      </w:r>
      <w:r w:rsidR="003F62F8" w:rsidRPr="00020CC5">
        <w:t>E</w:t>
      </w:r>
      <w:r w:rsidR="00261E61" w:rsidRPr="00020CC5">
        <w:t>stado parte</w:t>
      </w:r>
      <w:r w:rsidR="008638F0" w:rsidRPr="00020CC5">
        <w:t>.</w:t>
      </w:r>
    </w:p>
    <w:p w:rsidR="00810D32" w:rsidRPr="00020CC5" w:rsidRDefault="00C87953">
      <w:pPr>
        <w:pStyle w:val="SingleTxtG"/>
      </w:pPr>
      <w:r w:rsidRPr="00020CC5">
        <w:t>5</w:t>
      </w:r>
      <w:r w:rsidR="00335E78" w:rsidRPr="00020CC5">
        <w:t>.</w:t>
      </w:r>
      <w:r w:rsidR="00335E78" w:rsidRPr="00020CC5">
        <w:tab/>
      </w:r>
      <w:r w:rsidR="00705CF3" w:rsidRPr="00EF4985">
        <w:t xml:space="preserve">Sírvanse </w:t>
      </w:r>
      <w:r w:rsidR="00705CF3" w:rsidRPr="00020CC5">
        <w:t xml:space="preserve">indicar qué medidas se han adoptado para </w:t>
      </w:r>
      <w:r w:rsidR="0039318B" w:rsidRPr="00020CC5">
        <w:t>la reco</w:t>
      </w:r>
      <w:r w:rsidR="000C5342" w:rsidRPr="00020CC5">
        <w:t>lec</w:t>
      </w:r>
      <w:r w:rsidR="0039318B" w:rsidRPr="00020CC5">
        <w:t xml:space="preserve">ción </w:t>
      </w:r>
      <w:r w:rsidR="00705CF3" w:rsidRPr="00020CC5">
        <w:t>sistemátic</w:t>
      </w:r>
      <w:r w:rsidR="0039318B" w:rsidRPr="00020CC5">
        <w:t>a</w:t>
      </w:r>
      <w:r w:rsidR="00705CF3" w:rsidRPr="00020CC5">
        <w:t xml:space="preserve"> de datos desglosados sobre los migrantes a través del establecimiento de un sistema nacional de información sobre la migración según lo recomendado por el Comité en sus anteriores observaciones finales (CMW/C/ARG/CO/1, párr</w:t>
      </w:r>
      <w:r w:rsidR="00F10AF0" w:rsidRPr="00020CC5">
        <w:t>.</w:t>
      </w:r>
      <w:r w:rsidR="00F10AF0">
        <w:t> </w:t>
      </w:r>
      <w:r w:rsidR="00705CF3" w:rsidRPr="00F10AF0">
        <w:t>14).</w:t>
      </w:r>
      <w:r w:rsidR="00096FC8" w:rsidRPr="00F10AF0">
        <w:t xml:space="preserve"> </w:t>
      </w:r>
      <w:r w:rsidR="00AB3223" w:rsidRPr="00F10AF0">
        <w:t>Se ruega</w:t>
      </w:r>
      <w:r w:rsidR="00E21E83" w:rsidRPr="00F10AF0">
        <w:t xml:space="preserve"> inform</w:t>
      </w:r>
      <w:r w:rsidR="00AB3223" w:rsidRPr="00F10AF0">
        <w:t>ar sobre</w:t>
      </w:r>
      <w:r w:rsidR="00E21E83" w:rsidRPr="00F10AF0">
        <w:t xml:space="preserve"> las mejoras en la recolección, procesamiento y análisis de información. </w:t>
      </w:r>
      <w:r w:rsidR="00AB3223" w:rsidRPr="00F10AF0">
        <w:t>A este respecto, sírvanse e</w:t>
      </w:r>
      <w:r w:rsidR="00E21E83" w:rsidRPr="00F10AF0">
        <w:t xml:space="preserve">xplicar si se han creado mecanismos de acceso a datos para las instituciones de derechos humanos, así como </w:t>
      </w:r>
      <w:r w:rsidR="003D3929" w:rsidRPr="00F10AF0">
        <w:t xml:space="preserve">la </w:t>
      </w:r>
      <w:r w:rsidR="00E21E83" w:rsidRPr="00F10AF0">
        <w:t xml:space="preserve">presentación de estadísticas </w:t>
      </w:r>
      <w:r w:rsidR="0051315C" w:rsidRPr="00020CC5">
        <w:t>periódicas</w:t>
      </w:r>
      <w:r w:rsidR="00E21E83" w:rsidRPr="00020CC5">
        <w:t xml:space="preserve"> para evaluar el avance o retroceso de las políticas públicas en materia migratoria con participación de entidades públicas, </w:t>
      </w:r>
      <w:r w:rsidR="002D265F" w:rsidRPr="00020CC5">
        <w:t xml:space="preserve">la </w:t>
      </w:r>
      <w:r w:rsidR="00E21E83" w:rsidRPr="00020CC5">
        <w:t xml:space="preserve">sociedad civil y organizaciones </w:t>
      </w:r>
      <w:r w:rsidR="000A47ED" w:rsidRPr="00020CC5">
        <w:t xml:space="preserve">no gubernamentales, así como organismos de </w:t>
      </w:r>
      <w:r w:rsidR="002D265F" w:rsidRPr="00020CC5">
        <w:t xml:space="preserve">la </w:t>
      </w:r>
      <w:r w:rsidR="000A47ED" w:rsidRPr="00020CC5">
        <w:t>justicia.</w:t>
      </w:r>
    </w:p>
    <w:p w:rsidR="00B61BD4" w:rsidRPr="00020CC5" w:rsidRDefault="00533BC0">
      <w:pPr>
        <w:pStyle w:val="SingleTxtG"/>
      </w:pPr>
      <w:r w:rsidRPr="00020CC5">
        <w:t>6.</w:t>
      </w:r>
      <w:r w:rsidRPr="00020CC5">
        <w:tab/>
      </w:r>
      <w:r w:rsidR="000E5B69" w:rsidRPr="00020CC5">
        <w:t>Sírva</w:t>
      </w:r>
      <w:r w:rsidR="00A73119" w:rsidRPr="00020CC5">
        <w:t>n</w:t>
      </w:r>
      <w:r w:rsidR="000E5B69" w:rsidRPr="00020CC5">
        <w:t>se</w:t>
      </w:r>
      <w:r w:rsidR="00B61BD4" w:rsidRPr="00020CC5">
        <w:t xml:space="preserve"> informar acerca de los programas implementados para la </w:t>
      </w:r>
      <w:r w:rsidR="000E5B69" w:rsidRPr="00020CC5">
        <w:t>capacitación</w:t>
      </w:r>
      <w:r w:rsidR="00B61BD4" w:rsidRPr="00020CC5">
        <w:t xml:space="preserve"> y debida información a funcionarios públicos (autoridades judiciales, policiales, </w:t>
      </w:r>
      <w:r w:rsidR="000E5B69" w:rsidRPr="00020CC5">
        <w:t xml:space="preserve">aduaneras, </w:t>
      </w:r>
      <w:r w:rsidR="003D3929" w:rsidRPr="00020CC5">
        <w:t>entre otras</w:t>
      </w:r>
      <w:r w:rsidR="00B61BD4" w:rsidRPr="00020CC5">
        <w:t xml:space="preserve">), acerca de la legislación </w:t>
      </w:r>
      <w:r w:rsidR="000E5B69" w:rsidRPr="00020CC5">
        <w:t>vinculada al</w:t>
      </w:r>
      <w:r w:rsidR="00B61BD4" w:rsidRPr="00020CC5">
        <w:t xml:space="preserve"> ámbito de </w:t>
      </w:r>
      <w:r w:rsidR="00F1308F" w:rsidRPr="00020CC5">
        <w:t xml:space="preserve">la </w:t>
      </w:r>
      <w:r w:rsidR="00B61BD4" w:rsidRPr="00020CC5">
        <w:t>migración nacional e internacional.</w:t>
      </w:r>
    </w:p>
    <w:p w:rsidR="00335E78" w:rsidRPr="00020CC5" w:rsidRDefault="00335E78">
      <w:pPr>
        <w:pStyle w:val="H1G"/>
      </w:pPr>
      <w:r w:rsidRPr="00EF4985">
        <w:tab/>
        <w:t>B.</w:t>
      </w:r>
      <w:r w:rsidRPr="00EF4985">
        <w:tab/>
        <w:t>Información relativa a los artículos de la Convención</w:t>
      </w:r>
    </w:p>
    <w:p w:rsidR="00335E78" w:rsidRPr="00020CC5" w:rsidRDefault="00335E78">
      <w:pPr>
        <w:pStyle w:val="H23G"/>
      </w:pPr>
      <w:r w:rsidRPr="00EF4985">
        <w:tab/>
        <w:t>1.</w:t>
      </w:r>
      <w:r w:rsidRPr="00EF4985">
        <w:tab/>
        <w:t>Parte II de la Convención</w:t>
      </w:r>
    </w:p>
    <w:p w:rsidR="00335E78" w:rsidRPr="00020CC5" w:rsidRDefault="00335E78">
      <w:pPr>
        <w:pStyle w:val="H23G"/>
      </w:pPr>
      <w:r w:rsidRPr="00EF4985">
        <w:tab/>
      </w:r>
      <w:r w:rsidRPr="00EF4985">
        <w:tab/>
      </w:r>
      <w:r w:rsidR="00F10AF0" w:rsidRPr="00EF4985">
        <w:t>Artículo</w:t>
      </w:r>
      <w:r w:rsidR="00F10AF0">
        <w:t xml:space="preserve"> </w:t>
      </w:r>
      <w:r w:rsidRPr="00EF4985">
        <w:t>7</w:t>
      </w:r>
    </w:p>
    <w:p w:rsidR="00E21E83" w:rsidRPr="00F10AF0" w:rsidRDefault="00533BC0" w:rsidP="009F2AD8">
      <w:pPr>
        <w:pStyle w:val="SingleTxtG"/>
      </w:pPr>
      <w:r w:rsidRPr="00020CC5">
        <w:t>7</w:t>
      </w:r>
      <w:r w:rsidR="00335E78" w:rsidRPr="00020CC5">
        <w:t>.</w:t>
      </w:r>
      <w:r w:rsidR="00335E78" w:rsidRPr="00020CC5">
        <w:tab/>
      </w:r>
      <w:r w:rsidR="00631581" w:rsidRPr="00020CC5">
        <w:t>T</w:t>
      </w:r>
      <w:r w:rsidR="00335E78" w:rsidRPr="00020CC5">
        <w:t>e</w:t>
      </w:r>
      <w:r w:rsidR="00E412EE" w:rsidRPr="00020CC5">
        <w:t>nga</w:t>
      </w:r>
      <w:r w:rsidR="003D3929" w:rsidRPr="00020CC5">
        <w:t>n</w:t>
      </w:r>
      <w:r w:rsidR="00E412EE" w:rsidRPr="00020CC5">
        <w:t xml:space="preserve"> a bien explicar de qué modo</w:t>
      </w:r>
      <w:r w:rsidR="009F2AD8">
        <w:t xml:space="preserve"> </w:t>
      </w:r>
      <w:r w:rsidR="00261E61" w:rsidRPr="00020CC5">
        <w:t xml:space="preserve">se </w:t>
      </w:r>
      <w:r w:rsidR="00372794" w:rsidRPr="00020CC5">
        <w:t>a</w:t>
      </w:r>
      <w:r w:rsidR="00E412EE" w:rsidRPr="00020CC5">
        <w:t>segura</w:t>
      </w:r>
      <w:r w:rsidR="00335E78" w:rsidRPr="00020CC5">
        <w:t xml:space="preserve"> el disfrute de los derechos previstos en la Convención, sin distinción de ningún tipo, y si </w:t>
      </w:r>
      <w:r w:rsidR="008846AC" w:rsidRPr="00020CC5">
        <w:t>l</w:t>
      </w:r>
      <w:r w:rsidR="00335E78" w:rsidRPr="00020CC5">
        <w:t xml:space="preserve">a legislación </w:t>
      </w:r>
      <w:r w:rsidR="008846AC" w:rsidRPr="00020CC5">
        <w:t xml:space="preserve">del Estado parte </w:t>
      </w:r>
      <w:r w:rsidR="00335E78" w:rsidRPr="00020CC5">
        <w:t xml:space="preserve">contempla </w:t>
      </w:r>
      <w:r w:rsidR="00261E61" w:rsidRPr="00020CC5">
        <w:t xml:space="preserve">las prohibiciones de discriminación basadas en </w:t>
      </w:r>
      <w:r w:rsidR="00335E78" w:rsidRPr="00020CC5">
        <w:t xml:space="preserve">los motivos </w:t>
      </w:r>
      <w:r w:rsidR="00261E61" w:rsidRPr="00020CC5">
        <w:t>que dispone</w:t>
      </w:r>
      <w:r w:rsidR="00372794" w:rsidRPr="00020CC5">
        <w:t>n</w:t>
      </w:r>
      <w:r w:rsidR="00261E61" w:rsidRPr="00020CC5">
        <w:t xml:space="preserve"> </w:t>
      </w:r>
      <w:r w:rsidR="009E79C6" w:rsidRPr="00020CC5">
        <w:t xml:space="preserve"> </w:t>
      </w:r>
      <w:r w:rsidR="00335E78" w:rsidRPr="00020CC5">
        <w:t>la Convención y otros tratados internacionales.</w:t>
      </w:r>
      <w:r w:rsidR="00096FC8" w:rsidRPr="00020CC5">
        <w:t xml:space="preserve"> </w:t>
      </w:r>
      <w:r w:rsidR="00AB3223" w:rsidRPr="00020CC5">
        <w:t>Sírvanse i</w:t>
      </w:r>
      <w:r w:rsidR="00D361E3" w:rsidRPr="00020CC5">
        <w:t>nform</w:t>
      </w:r>
      <w:r w:rsidR="00AB3223" w:rsidRPr="00020CC5">
        <w:t>ar</w:t>
      </w:r>
      <w:r w:rsidR="00113FB6" w:rsidRPr="00020CC5">
        <w:t xml:space="preserve"> sobre la</w:t>
      </w:r>
      <w:r w:rsidR="00D361E3" w:rsidRPr="00020CC5">
        <w:t xml:space="preserve">s </w:t>
      </w:r>
      <w:r w:rsidR="00113FB6" w:rsidRPr="00020CC5">
        <w:t xml:space="preserve">medidas tomadas </w:t>
      </w:r>
      <w:r w:rsidR="00D361E3" w:rsidRPr="00020CC5">
        <w:t>en cumplimiento de</w:t>
      </w:r>
      <w:r w:rsidR="00261E61" w:rsidRPr="00020CC5">
        <w:t>l</w:t>
      </w:r>
      <w:r w:rsidR="00D361E3" w:rsidRPr="00020CC5">
        <w:t xml:space="preserve"> </w:t>
      </w:r>
      <w:r w:rsidR="00372794" w:rsidRPr="00020CC5">
        <w:t>artículo</w:t>
      </w:r>
      <w:r w:rsidR="00F10AF0">
        <w:t> </w:t>
      </w:r>
      <w:r w:rsidR="00D361E3" w:rsidRPr="00F10AF0">
        <w:t xml:space="preserve">7 de la </w:t>
      </w:r>
      <w:r w:rsidR="00AB3223" w:rsidRPr="00F10AF0">
        <w:t>C</w:t>
      </w:r>
      <w:r w:rsidR="00D361E3" w:rsidRPr="00F10AF0">
        <w:t xml:space="preserve">onvención con el fin de que no se aplique el </w:t>
      </w:r>
      <w:r w:rsidR="00372794" w:rsidRPr="00F10AF0">
        <w:t>decreto núm.</w:t>
      </w:r>
      <w:r w:rsidR="00B95256">
        <w:t> </w:t>
      </w:r>
      <w:r w:rsidR="00261E61" w:rsidRPr="00F10AF0">
        <w:t xml:space="preserve">70/2017 </w:t>
      </w:r>
      <w:r w:rsidR="00372794" w:rsidRPr="00020CC5">
        <w:t xml:space="preserve">para </w:t>
      </w:r>
      <w:r w:rsidR="00D361E3" w:rsidRPr="00020CC5">
        <w:t>criminalizar a l</w:t>
      </w:r>
      <w:r w:rsidR="00372794" w:rsidRPr="00020CC5">
        <w:t>o</w:t>
      </w:r>
      <w:r w:rsidR="00D361E3" w:rsidRPr="00020CC5">
        <w:t>s migrantes, se impida fomentar la xenofobia contra el extranjero y se corrijan los mensajes políticos y mediáticos que vinculan a la migración con la “inseguridad”</w:t>
      </w:r>
      <w:r w:rsidR="00292E8C" w:rsidRPr="00020CC5">
        <w:t>,</w:t>
      </w:r>
      <w:r w:rsidR="00002572" w:rsidRPr="00020CC5">
        <w:t xml:space="preserve"> según lo recomendado por el Comité (CMW/C/ARG/CO/1, </w:t>
      </w:r>
      <w:r w:rsidR="00372794" w:rsidRPr="00020CC5">
        <w:t>párr</w:t>
      </w:r>
      <w:r w:rsidR="00002572" w:rsidRPr="00020CC5">
        <w:t>.</w:t>
      </w:r>
      <w:r w:rsidR="00F10AF0">
        <w:t> </w:t>
      </w:r>
      <w:r w:rsidR="00002572" w:rsidRPr="00F10AF0">
        <w:t>18).</w:t>
      </w:r>
    </w:p>
    <w:p w:rsidR="00705CF3" w:rsidRPr="00F10AF0" w:rsidRDefault="00533BC0">
      <w:pPr>
        <w:pStyle w:val="SingleTxtG"/>
      </w:pPr>
      <w:r w:rsidRPr="00F10AF0">
        <w:t>8</w:t>
      </w:r>
      <w:r w:rsidR="00D04876" w:rsidRPr="00F10AF0">
        <w:t>.</w:t>
      </w:r>
      <w:r w:rsidR="00096FC8" w:rsidRPr="00020CC5">
        <w:tab/>
      </w:r>
      <w:r w:rsidR="00705CF3" w:rsidRPr="00020CC5">
        <w:t xml:space="preserve">Sírvanse indicar si el Estado parte ha adoptado medidas para ratificar el Convenio sobre los </w:t>
      </w:r>
      <w:r w:rsidR="00EB5621" w:rsidRPr="00020CC5">
        <w:t>T</w:t>
      </w:r>
      <w:r w:rsidR="00705CF3" w:rsidRPr="00020CC5">
        <w:t xml:space="preserve">rabajadores </w:t>
      </w:r>
      <w:r w:rsidR="00EB5621" w:rsidRPr="00020CC5">
        <w:t>M</w:t>
      </w:r>
      <w:r w:rsidR="00F84501" w:rsidRPr="00020CC5">
        <w:t xml:space="preserve">igrantes </w:t>
      </w:r>
      <w:r w:rsidR="00705CF3" w:rsidRPr="00020CC5">
        <w:t>(revisado)</w:t>
      </w:r>
      <w:r w:rsidR="00F84501" w:rsidRPr="00020CC5">
        <w:t>, 1949</w:t>
      </w:r>
      <w:r w:rsidR="00705CF3" w:rsidRPr="00020CC5">
        <w:t xml:space="preserve"> (</w:t>
      </w:r>
      <w:r w:rsidR="00F84501" w:rsidRPr="00020CC5">
        <w:t>núm.</w:t>
      </w:r>
      <w:r w:rsidR="00B95256">
        <w:t> </w:t>
      </w:r>
      <w:r w:rsidR="00705CF3" w:rsidRPr="00020CC5">
        <w:t xml:space="preserve">97) y el Convenio </w:t>
      </w:r>
      <w:r w:rsidR="00F84501" w:rsidRPr="00020CC5">
        <w:t xml:space="preserve">sobre los </w:t>
      </w:r>
      <w:r w:rsidR="00EB5621" w:rsidRPr="00020CC5">
        <w:t>T</w:t>
      </w:r>
      <w:r w:rsidR="00F84501" w:rsidRPr="00020CC5">
        <w:t xml:space="preserve">rabajadores </w:t>
      </w:r>
      <w:r w:rsidR="00EB5621" w:rsidRPr="00020CC5">
        <w:t>M</w:t>
      </w:r>
      <w:r w:rsidR="00F84501" w:rsidRPr="00020CC5">
        <w:t>igrantes (disposiciones complementarias), 1975 (núm.</w:t>
      </w:r>
      <w:r w:rsidR="00B95256">
        <w:t> </w:t>
      </w:r>
      <w:r w:rsidR="00F84501" w:rsidRPr="00020CC5">
        <w:t xml:space="preserve">143), </w:t>
      </w:r>
      <w:r w:rsidR="00705CF3" w:rsidRPr="00020CC5">
        <w:t xml:space="preserve">de la </w:t>
      </w:r>
      <w:r w:rsidR="00F84501" w:rsidRPr="00020CC5">
        <w:t>Organización Internacional del Trabajo (</w:t>
      </w:r>
      <w:r w:rsidR="00705CF3" w:rsidRPr="00020CC5">
        <w:t>OIT</w:t>
      </w:r>
      <w:r w:rsidR="00F84501" w:rsidRPr="00020CC5">
        <w:t xml:space="preserve">), </w:t>
      </w:r>
      <w:r w:rsidR="00705CF3" w:rsidRPr="00020CC5">
        <w:t>según lo recomendado por el Comité (CMW/C/ARG/CO/1, párr</w:t>
      </w:r>
      <w:r w:rsidR="00F10AF0" w:rsidRPr="00020CC5">
        <w:t>.</w:t>
      </w:r>
      <w:r w:rsidR="00F10AF0">
        <w:t> </w:t>
      </w:r>
      <w:r w:rsidR="00705CF3" w:rsidRPr="00F10AF0">
        <w:t>11).</w:t>
      </w:r>
    </w:p>
    <w:p w:rsidR="00335E78" w:rsidRPr="00F10AF0" w:rsidRDefault="00335E78">
      <w:pPr>
        <w:pStyle w:val="H23G"/>
      </w:pPr>
      <w:r w:rsidRPr="00F10AF0">
        <w:tab/>
        <w:t>2.</w:t>
      </w:r>
      <w:r w:rsidRPr="00F10AF0">
        <w:tab/>
        <w:t>Parte III de la Convención</w:t>
      </w:r>
    </w:p>
    <w:p w:rsidR="00335E78" w:rsidRPr="00F10AF0" w:rsidRDefault="00705CF3">
      <w:pPr>
        <w:pStyle w:val="H23G"/>
      </w:pPr>
      <w:r w:rsidRPr="00020CC5">
        <w:tab/>
      </w:r>
      <w:r w:rsidRPr="00020CC5">
        <w:tab/>
      </w:r>
      <w:r w:rsidR="00F10AF0" w:rsidRPr="00020CC5">
        <w:t>Artículos</w:t>
      </w:r>
      <w:r w:rsidR="00F10AF0">
        <w:t xml:space="preserve"> </w:t>
      </w:r>
      <w:r w:rsidRPr="00F10AF0">
        <w:t>8 a 2</w:t>
      </w:r>
      <w:r w:rsidR="00914317" w:rsidRPr="00F10AF0">
        <w:t>2</w:t>
      </w:r>
    </w:p>
    <w:p w:rsidR="007111F4" w:rsidRPr="00020CC5" w:rsidRDefault="00533BC0">
      <w:pPr>
        <w:pStyle w:val="SingleTxtG"/>
      </w:pPr>
      <w:r w:rsidRPr="00020CC5">
        <w:t>9</w:t>
      </w:r>
      <w:r w:rsidR="00335E78" w:rsidRPr="00020CC5">
        <w:t>.</w:t>
      </w:r>
      <w:r w:rsidR="00335E78" w:rsidRPr="00020CC5">
        <w:tab/>
      </w:r>
      <w:r w:rsidR="00AB3223" w:rsidRPr="00020CC5">
        <w:t>Tenga</w:t>
      </w:r>
      <w:r w:rsidR="00390CB6" w:rsidRPr="00020CC5">
        <w:t>n</w:t>
      </w:r>
      <w:r w:rsidR="00AB3223" w:rsidRPr="00020CC5">
        <w:t xml:space="preserve"> a bien i</w:t>
      </w:r>
      <w:r w:rsidR="00D361E3" w:rsidRPr="00020CC5">
        <w:t>nform</w:t>
      </w:r>
      <w:r w:rsidR="00AB3223" w:rsidRPr="00020CC5">
        <w:t>ar</w:t>
      </w:r>
      <w:r w:rsidR="00D361E3" w:rsidRPr="00020CC5">
        <w:t xml:space="preserve"> sobre las </w:t>
      </w:r>
      <w:r w:rsidR="00390CB6" w:rsidRPr="00020CC5">
        <w:t>l</w:t>
      </w:r>
      <w:r w:rsidR="00D361E3" w:rsidRPr="00020CC5">
        <w:t xml:space="preserve">eyes y </w:t>
      </w:r>
      <w:r w:rsidR="00390CB6" w:rsidRPr="00020CC5">
        <w:t xml:space="preserve">otra </w:t>
      </w:r>
      <w:r w:rsidR="00D361E3" w:rsidRPr="00020CC5">
        <w:t>normativa que protege</w:t>
      </w:r>
      <w:r w:rsidR="00390CB6" w:rsidRPr="00020CC5">
        <w:t>n</w:t>
      </w:r>
      <w:r w:rsidR="00D361E3" w:rsidRPr="00020CC5">
        <w:t xml:space="preserve"> a los trabajadores migrantes de la explotación laboral, trabajo forzoso y abusos sexuales (CMW/C/ARG/CO/</w:t>
      </w:r>
      <w:r w:rsidR="00390CB6" w:rsidRPr="00020CC5">
        <w:t>1</w:t>
      </w:r>
      <w:r w:rsidR="00D361E3" w:rsidRPr="00020CC5">
        <w:t>, párr</w:t>
      </w:r>
      <w:r w:rsidR="00F10AF0" w:rsidRPr="00020CC5">
        <w:t>.</w:t>
      </w:r>
      <w:r w:rsidR="00F10AF0">
        <w:t> </w:t>
      </w:r>
      <w:r w:rsidR="00D361E3" w:rsidRPr="00F10AF0">
        <w:t>21</w:t>
      </w:r>
      <w:r w:rsidR="00F07B34" w:rsidRPr="00F10AF0">
        <w:t>).</w:t>
      </w:r>
      <w:r w:rsidR="00D361E3" w:rsidRPr="00F10AF0">
        <w:t xml:space="preserve"> </w:t>
      </w:r>
      <w:r w:rsidR="00AB3223" w:rsidRPr="00F10AF0">
        <w:t>Sírvanse p</w:t>
      </w:r>
      <w:r w:rsidR="007111F4" w:rsidRPr="00F10AF0">
        <w:t>resent</w:t>
      </w:r>
      <w:r w:rsidR="0051315C" w:rsidRPr="00F10AF0">
        <w:t>ar</w:t>
      </w:r>
      <w:r w:rsidR="007111F4" w:rsidRPr="00F10AF0">
        <w:t xml:space="preserve"> los programas de control laboral, la entidad responsable y los mecanismos que existen para procesar denuncias </w:t>
      </w:r>
      <w:r w:rsidR="00261E61" w:rsidRPr="00EF4985">
        <w:t xml:space="preserve">sin que la </w:t>
      </w:r>
      <w:r w:rsidR="00390CB6" w:rsidRPr="00EF4985">
        <w:t xml:space="preserve">situación </w:t>
      </w:r>
      <w:r w:rsidR="00261E61" w:rsidRPr="00EF4985">
        <w:t xml:space="preserve">migratoria irregular sea </w:t>
      </w:r>
      <w:r w:rsidR="00390CB6" w:rsidRPr="00EF4985">
        <w:t xml:space="preserve">un </w:t>
      </w:r>
      <w:r w:rsidR="00261E61" w:rsidRPr="00EF4985">
        <w:t xml:space="preserve">impedimento o una barrera que desaliente a </w:t>
      </w:r>
      <w:r w:rsidR="00390CB6" w:rsidRPr="00EF4985">
        <w:t xml:space="preserve">los migrantes </w:t>
      </w:r>
      <w:r w:rsidR="00261E61" w:rsidRPr="00EF4985">
        <w:t>a presentar denuncia</w:t>
      </w:r>
      <w:r w:rsidR="00390CB6" w:rsidRPr="00EF4985">
        <w:t>s</w:t>
      </w:r>
      <w:r w:rsidR="00261E61" w:rsidRPr="00EF4985">
        <w:t xml:space="preserve"> o demanda</w:t>
      </w:r>
      <w:r w:rsidR="00390CB6" w:rsidRPr="00EF4985">
        <w:t>s</w:t>
      </w:r>
      <w:r w:rsidR="007111F4" w:rsidRPr="00A91C20">
        <w:t xml:space="preserve">. </w:t>
      </w:r>
      <w:r w:rsidR="00F07B34" w:rsidRPr="00F10AF0">
        <w:t>Sírvanse</w:t>
      </w:r>
      <w:r w:rsidR="007111F4" w:rsidRPr="00F10AF0">
        <w:t xml:space="preserve"> incluir estadísticas oficiales</w:t>
      </w:r>
      <w:r w:rsidR="00D361E3" w:rsidRPr="00F10AF0">
        <w:t xml:space="preserve"> y casos recibidos </w:t>
      </w:r>
      <w:r w:rsidR="00E43673" w:rsidRPr="00F10AF0">
        <w:t xml:space="preserve">y comparaciones </w:t>
      </w:r>
      <w:r w:rsidR="00D361E3" w:rsidRPr="00F10AF0">
        <w:t>con los casos resueltos</w:t>
      </w:r>
      <w:r w:rsidR="007111F4" w:rsidRPr="00020CC5">
        <w:t>.</w:t>
      </w:r>
    </w:p>
    <w:p w:rsidR="005D6C33" w:rsidRPr="00020CC5" w:rsidRDefault="00533BC0">
      <w:pPr>
        <w:pStyle w:val="SingleTxtG"/>
      </w:pPr>
      <w:r w:rsidRPr="00020CC5">
        <w:t>10</w:t>
      </w:r>
      <w:r w:rsidR="00096FC8" w:rsidRPr="00020CC5">
        <w:t>.</w:t>
      </w:r>
      <w:r w:rsidR="00096FC8" w:rsidRPr="00020CC5">
        <w:tab/>
      </w:r>
      <w:r w:rsidR="00335E78" w:rsidRPr="00020CC5">
        <w:t>Sírva</w:t>
      </w:r>
      <w:r w:rsidR="00A73119" w:rsidRPr="00020CC5">
        <w:t>n</w:t>
      </w:r>
      <w:r w:rsidR="00335E78" w:rsidRPr="00020CC5">
        <w:t>se detallar las medidas dirigidas específicamente a las mujeres migrante</w:t>
      </w:r>
      <w:r w:rsidR="00DC0EB8" w:rsidRPr="00020CC5">
        <w:t>s (argenti</w:t>
      </w:r>
      <w:r w:rsidR="00335E78" w:rsidRPr="00020CC5">
        <w:t xml:space="preserve">nas o extranjeras) </w:t>
      </w:r>
      <w:r w:rsidR="00DC0EB8" w:rsidRPr="00020CC5">
        <w:t>en tránsito</w:t>
      </w:r>
      <w:r w:rsidR="00335E78" w:rsidRPr="00020CC5">
        <w:t>, a fin de protegerlas contra cualquier clase de delitos, y particularmente de diferentes formas de violencia y abusos sexuales, así como para reparar los daños. Sírva</w:t>
      </w:r>
      <w:r w:rsidR="00A73119" w:rsidRPr="00020CC5">
        <w:t>n</w:t>
      </w:r>
      <w:r w:rsidR="00335E78" w:rsidRPr="00020CC5">
        <w:t xml:space="preserve">se </w:t>
      </w:r>
      <w:r w:rsidR="00777C0E" w:rsidRPr="00020CC5">
        <w:t xml:space="preserve">informar </w:t>
      </w:r>
      <w:r w:rsidR="00335E78" w:rsidRPr="00020CC5">
        <w:t xml:space="preserve">sobre los resultados, dificultades y aciertos de estas medidas, a través de datos cuantitativos y cualitativos, contemplando las directrices establecidas en la </w:t>
      </w:r>
      <w:r w:rsidR="00085992" w:rsidRPr="00020CC5">
        <w:t xml:space="preserve">recomendación </w:t>
      </w:r>
      <w:r w:rsidR="004A32B9" w:rsidRPr="00020CC5">
        <w:t>g</w:t>
      </w:r>
      <w:r w:rsidR="00335E78" w:rsidRPr="00020CC5">
        <w:t xml:space="preserve">eneral </w:t>
      </w:r>
      <w:r w:rsidR="004A32B9" w:rsidRPr="00020CC5">
        <w:t>núm</w:t>
      </w:r>
      <w:r w:rsidR="00335E78" w:rsidRPr="00020CC5">
        <w:t>.</w:t>
      </w:r>
      <w:r w:rsidR="00B95256">
        <w:t> </w:t>
      </w:r>
      <w:r w:rsidR="00335E78" w:rsidRPr="00020CC5">
        <w:t xml:space="preserve">26 </w:t>
      </w:r>
      <w:r w:rsidR="00085992" w:rsidRPr="00020CC5">
        <w:t>(</w:t>
      </w:r>
      <w:r w:rsidR="003C6C48" w:rsidRPr="00020CC5">
        <w:t>2008)</w:t>
      </w:r>
      <w:r w:rsidR="00085992" w:rsidRPr="00020CC5">
        <w:t xml:space="preserve"> sobre las trabajadoras migratorias, </w:t>
      </w:r>
      <w:r w:rsidR="00335E78" w:rsidRPr="00020CC5">
        <w:t xml:space="preserve">del Comité para la Eliminación de </w:t>
      </w:r>
      <w:r w:rsidR="00AC0382" w:rsidRPr="00020CC5">
        <w:t xml:space="preserve">la </w:t>
      </w:r>
      <w:r w:rsidR="00F528FF" w:rsidRPr="00020CC5">
        <w:t>Discriminación contra la Mujer.</w:t>
      </w:r>
    </w:p>
    <w:p w:rsidR="008843B9" w:rsidRPr="00020CC5" w:rsidRDefault="003755DF">
      <w:pPr>
        <w:pStyle w:val="SingleTxtG"/>
      </w:pPr>
      <w:r w:rsidRPr="00020CC5">
        <w:t>1</w:t>
      </w:r>
      <w:r w:rsidR="00533BC0" w:rsidRPr="00020CC5">
        <w:t>1</w:t>
      </w:r>
      <w:r w:rsidR="00096FC8" w:rsidRPr="00020CC5">
        <w:t>.</w:t>
      </w:r>
      <w:r w:rsidR="00096FC8" w:rsidRPr="00020CC5">
        <w:tab/>
      </w:r>
      <w:r w:rsidR="003C6C48" w:rsidRPr="00020CC5">
        <w:t>Teniendo en cuenta l</w:t>
      </w:r>
      <w:r w:rsidR="008843B9" w:rsidRPr="00020CC5">
        <w:t xml:space="preserve">as </w:t>
      </w:r>
      <w:r w:rsidR="003C6C48" w:rsidRPr="00020CC5">
        <w:t xml:space="preserve">importantes </w:t>
      </w:r>
      <w:r w:rsidR="008843B9" w:rsidRPr="00020CC5">
        <w:t xml:space="preserve">modificaciones introducidas por el </w:t>
      </w:r>
      <w:r w:rsidR="003C6C48" w:rsidRPr="00020CC5">
        <w:t>d</w:t>
      </w:r>
      <w:r w:rsidR="008843B9" w:rsidRPr="00020CC5">
        <w:t xml:space="preserve">ecreto </w:t>
      </w:r>
      <w:r w:rsidR="003C6C48" w:rsidRPr="00020CC5">
        <w:t>núm.</w:t>
      </w:r>
      <w:r w:rsidR="00B95256">
        <w:t> </w:t>
      </w:r>
      <w:r w:rsidR="008843B9" w:rsidRPr="00020CC5">
        <w:t xml:space="preserve">70/2017 a la Ley </w:t>
      </w:r>
      <w:r w:rsidR="003C6C48" w:rsidRPr="00020CC5">
        <w:t>núm.</w:t>
      </w:r>
      <w:r w:rsidR="00B95256">
        <w:t> </w:t>
      </w:r>
      <w:r w:rsidR="008843B9" w:rsidRPr="00020CC5">
        <w:t>2</w:t>
      </w:r>
      <w:r w:rsidR="003C6C48" w:rsidRPr="00020CC5">
        <w:t>5</w:t>
      </w:r>
      <w:r w:rsidR="008843B9" w:rsidRPr="00020CC5">
        <w:t>871</w:t>
      </w:r>
      <w:r w:rsidR="003C6C48" w:rsidRPr="00020CC5">
        <w:t xml:space="preserve">, </w:t>
      </w:r>
      <w:r w:rsidR="008843B9" w:rsidRPr="00020CC5">
        <w:t xml:space="preserve">y de acuerdo al enfoque de derechos que emana de la Convención </w:t>
      </w:r>
      <w:r w:rsidR="00164086" w:rsidRPr="00020CC5">
        <w:t xml:space="preserve">y </w:t>
      </w:r>
      <w:r w:rsidR="008843B9" w:rsidRPr="00020CC5">
        <w:t>las observaciones finales anteriores del Comité (CMW/C/ARG/CO/1, párr</w:t>
      </w:r>
      <w:r w:rsidR="003C6C48" w:rsidRPr="00020CC5">
        <w:t>s</w:t>
      </w:r>
      <w:r w:rsidR="008843B9" w:rsidRPr="00020CC5">
        <w:t>.</w:t>
      </w:r>
      <w:r w:rsidR="00F10AF0">
        <w:t> </w:t>
      </w:r>
      <w:r w:rsidR="008843B9" w:rsidRPr="00F10AF0">
        <w:t>23 a 28), t</w:t>
      </w:r>
      <w:r w:rsidR="008843B9" w:rsidRPr="00EF4985">
        <w:t>enga</w:t>
      </w:r>
      <w:r w:rsidR="003C6C48" w:rsidRPr="00EF4985">
        <w:t>n</w:t>
      </w:r>
      <w:r w:rsidR="008843B9" w:rsidRPr="00EF4985">
        <w:t xml:space="preserve"> a bien </w:t>
      </w:r>
      <w:r w:rsidR="00567DE5" w:rsidRPr="00EF4985">
        <w:t>considerar lo siguiente</w:t>
      </w:r>
      <w:r w:rsidR="008843B9" w:rsidRPr="00020CC5">
        <w:t>:</w:t>
      </w:r>
    </w:p>
    <w:p w:rsidR="008843B9" w:rsidRPr="00020CC5" w:rsidRDefault="00AA200D" w:rsidP="00EF4985">
      <w:pPr>
        <w:pStyle w:val="SingleTxtG"/>
      </w:pPr>
      <w:r>
        <w:tab/>
      </w:r>
      <w:r w:rsidR="008B2D17" w:rsidRPr="00A91C20">
        <w:t>a)</w:t>
      </w:r>
      <w:r w:rsidR="008B2D17" w:rsidRPr="00A91C20">
        <w:tab/>
      </w:r>
      <w:r w:rsidR="008843B9" w:rsidRPr="00A91C20">
        <w:t xml:space="preserve">La validez de 70/80 días </w:t>
      </w:r>
      <w:r w:rsidR="008843B9" w:rsidRPr="00F10AF0">
        <w:t xml:space="preserve">se reduce a 60 días corridos y se incorpora el permiso de permanencia transitoria, </w:t>
      </w:r>
      <w:r w:rsidR="00B5229E" w:rsidRPr="00020CC5">
        <w:t xml:space="preserve">con </w:t>
      </w:r>
      <w:r w:rsidR="008843B9" w:rsidRPr="00020CC5">
        <w:t>lo cual, en opinión de</w:t>
      </w:r>
      <w:r w:rsidR="00BF4D79" w:rsidRPr="00020CC5">
        <w:t>l</w:t>
      </w:r>
      <w:r w:rsidR="008843B9" w:rsidRPr="00020CC5">
        <w:t xml:space="preserve"> Comité, se reduce el tiempo para una efectiva y adecuada regularización migratoria;</w:t>
      </w:r>
    </w:p>
    <w:p w:rsidR="008843B9" w:rsidRPr="00020CC5" w:rsidRDefault="00AA200D" w:rsidP="00EF4985">
      <w:pPr>
        <w:pStyle w:val="SingleTxtG"/>
      </w:pPr>
      <w:r>
        <w:tab/>
      </w:r>
      <w:r w:rsidR="008B2D17" w:rsidRPr="00A91C20">
        <w:t>b)</w:t>
      </w:r>
      <w:r w:rsidR="008B2D17" w:rsidRPr="00A91C20">
        <w:tab/>
      </w:r>
      <w:r w:rsidR="00C54C82" w:rsidRPr="00A91C20">
        <w:t>Con respecto a l</w:t>
      </w:r>
      <w:r w:rsidR="008843B9" w:rsidRPr="00F10AF0">
        <w:t>os impedimentos de ingreso y permanencia basad</w:t>
      </w:r>
      <w:r w:rsidR="00B5229E" w:rsidRPr="00F10AF0">
        <w:t>os</w:t>
      </w:r>
      <w:r w:rsidR="008843B9" w:rsidRPr="00F10AF0">
        <w:t xml:space="preserve"> en antecedentes penales, condenas, ordenamientos judiciales</w:t>
      </w:r>
      <w:r w:rsidR="008843B9" w:rsidRPr="00020CC5">
        <w:t xml:space="preserve"> y de seguridad que hayan merecido penas de tres años o más</w:t>
      </w:r>
      <w:r w:rsidR="00C54C82" w:rsidRPr="00020CC5">
        <w:t xml:space="preserve">, </w:t>
      </w:r>
      <w:r w:rsidR="008843B9" w:rsidRPr="00020CC5">
        <w:t xml:space="preserve">en el </w:t>
      </w:r>
      <w:r w:rsidR="00B5229E" w:rsidRPr="00020CC5">
        <w:t>d</w:t>
      </w:r>
      <w:r w:rsidR="008843B9" w:rsidRPr="00020CC5">
        <w:t xml:space="preserve">ecreto actual no </w:t>
      </w:r>
      <w:r w:rsidR="00C54C82" w:rsidRPr="00020CC5">
        <w:t xml:space="preserve">se </w:t>
      </w:r>
      <w:r w:rsidR="008843B9" w:rsidRPr="00020CC5">
        <w:t xml:space="preserve">hace referencia a un mínimo, con el fin de garantizar el debido proceso y el </w:t>
      </w:r>
      <w:r w:rsidR="00397F38" w:rsidRPr="00020CC5">
        <w:t>derecho a una defensa adecuada.</w:t>
      </w:r>
      <w:r w:rsidR="009D09F6" w:rsidRPr="00020CC5">
        <w:t xml:space="preserve"> </w:t>
      </w:r>
      <w:r w:rsidR="00B5229E" w:rsidRPr="00020CC5">
        <w:t xml:space="preserve">Así pues, </w:t>
      </w:r>
      <w:r w:rsidR="009D09F6" w:rsidRPr="00020CC5">
        <w:t>sírvanse explicar los mecanismos que garanti</w:t>
      </w:r>
      <w:r w:rsidR="00B5229E" w:rsidRPr="00020CC5">
        <w:t>zan</w:t>
      </w:r>
      <w:r w:rsidR="009D09F6" w:rsidRPr="00020CC5">
        <w:t xml:space="preserve"> el derecho a la defensa y al debido proceso administrativo y judicial</w:t>
      </w:r>
      <w:r w:rsidR="00B5229E" w:rsidRPr="00020CC5">
        <w:t>,</w:t>
      </w:r>
      <w:r w:rsidR="009D09F6" w:rsidRPr="00020CC5">
        <w:t xml:space="preserve"> antes y </w:t>
      </w:r>
      <w:r w:rsidR="00B5229E" w:rsidRPr="00020CC5">
        <w:t xml:space="preserve">después de la vigencia del decreto. </w:t>
      </w:r>
      <w:r w:rsidR="009D09F6" w:rsidRPr="00020CC5">
        <w:t xml:space="preserve">Asimismo, </w:t>
      </w:r>
      <w:r w:rsidR="00B5229E" w:rsidRPr="00020CC5">
        <w:t xml:space="preserve">el Comité apreciará </w:t>
      </w:r>
      <w:r w:rsidR="009D09F6" w:rsidRPr="00020CC5">
        <w:t>recibir estadísticas;</w:t>
      </w:r>
    </w:p>
    <w:p w:rsidR="008843B9" w:rsidRPr="00020CC5" w:rsidRDefault="00AA200D" w:rsidP="00EF4985">
      <w:pPr>
        <w:pStyle w:val="SingleTxtG"/>
      </w:pPr>
      <w:r>
        <w:tab/>
      </w:r>
      <w:r w:rsidR="008B2D17" w:rsidRPr="00A91C20">
        <w:t>c)</w:t>
      </w:r>
      <w:r w:rsidR="008B2D17" w:rsidRPr="00A91C20">
        <w:tab/>
      </w:r>
      <w:r w:rsidR="008843B9" w:rsidRPr="00A91C20">
        <w:t>El plazo de notificación de domicilio ante la Dirección Nacional de Migraciones tiene un carácter sumario de dos d</w:t>
      </w:r>
      <w:r w:rsidR="008843B9" w:rsidRPr="00020CC5">
        <w:t>ías hábiles.</w:t>
      </w:r>
      <w:r w:rsidR="009E79C6" w:rsidRPr="00020CC5">
        <w:t xml:space="preserve"> </w:t>
      </w:r>
      <w:r w:rsidR="008843B9" w:rsidRPr="00020CC5">
        <w:t>Sírvanse informar si se han considerado excepci</w:t>
      </w:r>
      <w:r w:rsidR="00397F38" w:rsidRPr="00020CC5">
        <w:t>ones en caso de hechos fortuito</w:t>
      </w:r>
      <w:r w:rsidR="006957A4" w:rsidRPr="00020CC5">
        <w:t>s</w:t>
      </w:r>
      <w:r w:rsidR="00397F38" w:rsidRPr="00020CC5">
        <w:t>.</w:t>
      </w:r>
      <w:r w:rsidR="009E79C6" w:rsidRPr="00020CC5">
        <w:t xml:space="preserve"> </w:t>
      </w:r>
      <w:r w:rsidR="001A2D4E" w:rsidRPr="00020CC5">
        <w:t>Asimismo,</w:t>
      </w:r>
      <w:r w:rsidR="009D09F6" w:rsidRPr="00020CC5">
        <w:t xml:space="preserve"> se ruega indicar la cantidad de solicitudes de asistencia jurídica gratuita re</w:t>
      </w:r>
      <w:r w:rsidR="00C54C82" w:rsidRPr="00020CC5">
        <w:t xml:space="preserve">cibidas </w:t>
      </w:r>
      <w:r w:rsidR="009D09F6" w:rsidRPr="00020CC5">
        <w:t>por la Dirección Nacional de Migraciones durante 2017;</w:t>
      </w:r>
    </w:p>
    <w:p w:rsidR="008843B9" w:rsidRPr="00020CC5" w:rsidRDefault="00AA200D" w:rsidP="00EF4985">
      <w:pPr>
        <w:pStyle w:val="SingleTxtG"/>
      </w:pPr>
      <w:r>
        <w:tab/>
      </w:r>
      <w:r w:rsidR="008B2D17" w:rsidRPr="00A91C20">
        <w:t>d)</w:t>
      </w:r>
      <w:r w:rsidR="008B2D17" w:rsidRPr="00A91C20">
        <w:tab/>
      </w:r>
      <w:r w:rsidR="00B5229E" w:rsidRPr="00F10AF0">
        <w:t>L</w:t>
      </w:r>
      <w:r w:rsidR="008843B9" w:rsidRPr="00F10AF0">
        <w:t>a dispensa en los artículos</w:t>
      </w:r>
      <w:r w:rsidR="00F10AF0">
        <w:t> </w:t>
      </w:r>
      <w:r w:rsidR="008843B9" w:rsidRPr="00F10AF0">
        <w:t xml:space="preserve">22 y 29 en casos de la cancelación de residencia y posteriores a expulsión, será una facultad exclusiva de la normativa de migraciones, o sea de carácter administrativo, no pudiéndose </w:t>
      </w:r>
      <w:r w:rsidR="001A2D4E" w:rsidRPr="00020CC5">
        <w:t>revisar</w:t>
      </w:r>
      <w:r w:rsidR="008843B9" w:rsidRPr="00020CC5">
        <w:t xml:space="preserve"> judicialmente, </w:t>
      </w:r>
      <w:r w:rsidR="001A2D4E" w:rsidRPr="00020CC5">
        <w:t xml:space="preserve">por </w:t>
      </w:r>
      <w:r w:rsidR="008843B9" w:rsidRPr="00020CC5">
        <w:t xml:space="preserve">lo cual </w:t>
      </w:r>
      <w:r w:rsidR="001A2D4E" w:rsidRPr="00020CC5">
        <w:t xml:space="preserve">se </w:t>
      </w:r>
      <w:r w:rsidR="008843B9" w:rsidRPr="00020CC5">
        <w:t>recorta</w:t>
      </w:r>
      <w:r w:rsidR="00B5229E" w:rsidRPr="00020CC5">
        <w:t>n</w:t>
      </w:r>
      <w:r w:rsidR="008843B9" w:rsidRPr="00020CC5">
        <w:t xml:space="preserve"> </w:t>
      </w:r>
      <w:r w:rsidR="00397F38" w:rsidRPr="00020CC5">
        <w:t>los derechos al debido proceso;</w:t>
      </w:r>
      <w:r w:rsidR="008843B9" w:rsidRPr="00020CC5">
        <w:t xml:space="preserve"> </w:t>
      </w:r>
    </w:p>
    <w:p w:rsidR="00F528FF" w:rsidRPr="00020CC5" w:rsidRDefault="00AA200D" w:rsidP="00EF4985">
      <w:pPr>
        <w:pStyle w:val="SingleTxtG"/>
      </w:pPr>
      <w:r>
        <w:tab/>
      </w:r>
      <w:r w:rsidR="009D09F6" w:rsidRPr="00020CC5">
        <w:t>e</w:t>
      </w:r>
      <w:r w:rsidR="00F528FF" w:rsidRPr="00020CC5">
        <w:t>)</w:t>
      </w:r>
      <w:r w:rsidR="00096FC8" w:rsidRPr="00020CC5">
        <w:tab/>
      </w:r>
      <w:r w:rsidR="00F528FF" w:rsidRPr="00020CC5">
        <w:t>S</w:t>
      </w:r>
      <w:r w:rsidR="003D73AC" w:rsidRPr="00020CC5">
        <w:t xml:space="preserve">írvanse </w:t>
      </w:r>
      <w:r w:rsidR="00DA138E" w:rsidRPr="00020CC5">
        <w:t>proporcionar información sobre</w:t>
      </w:r>
      <w:r w:rsidR="003D73AC" w:rsidRPr="00020CC5">
        <w:t xml:space="preserve"> l</w:t>
      </w:r>
      <w:r w:rsidR="00B54E69" w:rsidRPr="00020CC5">
        <w:t xml:space="preserve">as medidas que han sido adoptadas para garantizar el derecho de defensa y el debido proceso a personas sujetas a procesos de expulsión y, en particular, </w:t>
      </w:r>
      <w:r w:rsidR="003D73AC" w:rsidRPr="00020CC5">
        <w:t>se ruega informar si existe un</w:t>
      </w:r>
      <w:r w:rsidR="00B54E69" w:rsidRPr="00020CC5">
        <w:t xml:space="preserve"> registro de la cantidad de casos en que se dio cumplimiento al </w:t>
      </w:r>
      <w:r w:rsidR="00F10AF0" w:rsidRPr="00020CC5">
        <w:t>artículo</w:t>
      </w:r>
      <w:r w:rsidR="00F10AF0">
        <w:t> </w:t>
      </w:r>
      <w:r w:rsidR="00B54E69" w:rsidRPr="00F10AF0">
        <w:t>86 de la Ley</w:t>
      </w:r>
      <w:r w:rsidR="00AF784D" w:rsidRPr="00F10AF0">
        <w:t xml:space="preserve"> de Migraciones</w:t>
      </w:r>
      <w:r w:rsidR="00B54E69" w:rsidRPr="00F10AF0">
        <w:t xml:space="preserve"> </w:t>
      </w:r>
      <w:r w:rsidR="00B5229E" w:rsidRPr="00020CC5">
        <w:t>núm.</w:t>
      </w:r>
      <w:r w:rsidR="00B95256">
        <w:t> </w:t>
      </w:r>
      <w:r w:rsidR="00B54E69" w:rsidRPr="00020CC5">
        <w:t xml:space="preserve">25871 con posterioridad a la entrada en vigencia </w:t>
      </w:r>
      <w:r w:rsidR="003D73AC" w:rsidRPr="00020CC5">
        <w:t xml:space="preserve">del </w:t>
      </w:r>
      <w:r w:rsidR="00B5229E" w:rsidRPr="00020CC5">
        <w:t>d</w:t>
      </w:r>
      <w:r w:rsidR="003D73AC" w:rsidRPr="00020CC5">
        <w:t xml:space="preserve">ecreto </w:t>
      </w:r>
      <w:r w:rsidR="00B5229E" w:rsidRPr="00020CC5">
        <w:t>núm.</w:t>
      </w:r>
      <w:r w:rsidR="00B95256">
        <w:t> </w:t>
      </w:r>
      <w:r w:rsidR="003D73AC" w:rsidRPr="00020CC5">
        <w:t>70/2017</w:t>
      </w:r>
      <w:r w:rsidR="00F528FF" w:rsidRPr="00020CC5">
        <w:t>;</w:t>
      </w:r>
    </w:p>
    <w:p w:rsidR="00490A62" w:rsidRPr="00020CC5" w:rsidRDefault="00AA200D" w:rsidP="00EF4985">
      <w:pPr>
        <w:pStyle w:val="SingleTxtG"/>
      </w:pPr>
      <w:r>
        <w:tab/>
      </w:r>
      <w:r w:rsidR="009D09F6" w:rsidRPr="00020CC5">
        <w:t>f</w:t>
      </w:r>
      <w:r w:rsidR="00490A62" w:rsidRPr="00020CC5">
        <w:t>)</w:t>
      </w:r>
      <w:r w:rsidR="00096FC8" w:rsidRPr="00020CC5">
        <w:tab/>
      </w:r>
      <w:r w:rsidR="0051315C" w:rsidRPr="00020CC5">
        <w:t>Sírvanse proporcionar</w:t>
      </w:r>
      <w:r w:rsidR="007111F4" w:rsidRPr="00020CC5">
        <w:t xml:space="preserve"> información sobre las medidas de protección tomadas para </w:t>
      </w:r>
      <w:r w:rsidR="009D09F6" w:rsidRPr="00020CC5">
        <w:t>asegurar</w:t>
      </w:r>
      <w:r w:rsidR="00036E78" w:rsidRPr="00020CC5">
        <w:t xml:space="preserve"> que </w:t>
      </w:r>
      <w:r w:rsidR="007111F4" w:rsidRPr="00020CC5">
        <w:t>el</w:t>
      </w:r>
      <w:r w:rsidR="00096FC8" w:rsidRPr="00020CC5">
        <w:t xml:space="preserve"> </w:t>
      </w:r>
      <w:r w:rsidR="00260457" w:rsidRPr="00020CC5">
        <w:t>decreto núm.</w:t>
      </w:r>
      <w:r w:rsidR="00B95256">
        <w:t> </w:t>
      </w:r>
      <w:r w:rsidR="00261E61" w:rsidRPr="00EF4985">
        <w:t>70/2017</w:t>
      </w:r>
      <w:r w:rsidR="007111F4" w:rsidRPr="00020CC5">
        <w:t xml:space="preserve"> </w:t>
      </w:r>
      <w:r w:rsidR="00036E78" w:rsidRPr="00020CC5">
        <w:t xml:space="preserve">está de acuerdo con la Convención </w:t>
      </w:r>
      <w:r w:rsidR="007111F4" w:rsidRPr="00020CC5">
        <w:t xml:space="preserve">y </w:t>
      </w:r>
      <w:r w:rsidR="00036E78" w:rsidRPr="00020CC5">
        <w:t xml:space="preserve">para </w:t>
      </w:r>
      <w:r w:rsidR="007111F4" w:rsidRPr="00020CC5">
        <w:t>evitar que se fomente la detención arbitraria, la prisión preventiva sin orden judicial y la privación de la libertad a migrantes por plazos indefinidos</w:t>
      </w:r>
      <w:r w:rsidR="00260457" w:rsidRPr="00020CC5">
        <w:t>,</w:t>
      </w:r>
      <w:r w:rsidR="007111F4" w:rsidRPr="00020CC5">
        <w:t xml:space="preserve"> inclusive sin tener una orden de expulsión</w:t>
      </w:r>
      <w:r w:rsidR="00260457" w:rsidRPr="00020CC5">
        <w:t xml:space="preserve"> o </w:t>
      </w:r>
      <w:r w:rsidR="007111F4" w:rsidRPr="00020CC5">
        <w:t>deportación, con el fin de respetar los compromisos de la Convenció</w:t>
      </w:r>
      <w:r w:rsidR="00E2054D" w:rsidRPr="00020CC5">
        <w:t xml:space="preserve">n </w:t>
      </w:r>
      <w:r w:rsidR="00260457" w:rsidRPr="00020CC5">
        <w:t>(a</w:t>
      </w:r>
      <w:r w:rsidR="00E2054D" w:rsidRPr="00020CC5">
        <w:t>rt.</w:t>
      </w:r>
      <w:r w:rsidR="00F10AF0">
        <w:t> </w:t>
      </w:r>
      <w:r w:rsidR="00E2054D" w:rsidRPr="00F10AF0">
        <w:t>16</w:t>
      </w:r>
      <w:r w:rsidR="00260457" w:rsidRPr="00F10AF0">
        <w:t>)</w:t>
      </w:r>
      <w:r w:rsidR="00E2054D" w:rsidRPr="00F10AF0">
        <w:t>;</w:t>
      </w:r>
    </w:p>
    <w:p w:rsidR="00D27D2D" w:rsidRPr="00020CC5" w:rsidRDefault="00AA200D" w:rsidP="00EF4985">
      <w:pPr>
        <w:pStyle w:val="SingleTxtG"/>
      </w:pPr>
      <w:r>
        <w:tab/>
      </w:r>
      <w:r w:rsidR="009D09F6" w:rsidRPr="00A91C20">
        <w:t>g</w:t>
      </w:r>
      <w:r w:rsidR="00490A62" w:rsidRPr="00F10AF0">
        <w:t>)</w:t>
      </w:r>
      <w:r w:rsidR="00096FC8" w:rsidRPr="00F10AF0">
        <w:tab/>
      </w:r>
      <w:r w:rsidR="00490A62" w:rsidRPr="00F10AF0">
        <w:t xml:space="preserve">Se ruega informar si se utilizan perfiles raciales o étnicos para la implementación del </w:t>
      </w:r>
      <w:r w:rsidR="00A81368" w:rsidRPr="00020CC5">
        <w:t>decreto núm.</w:t>
      </w:r>
      <w:r w:rsidR="00B95256">
        <w:t> </w:t>
      </w:r>
      <w:r w:rsidR="00A81368" w:rsidRPr="00020CC5">
        <w:t>7</w:t>
      </w:r>
      <w:r w:rsidR="00490A62" w:rsidRPr="00020CC5">
        <w:t>0/2017, y sobre cómo se aseguran los derechos de la niñez y la perspectiva de género en esos procedimientos</w:t>
      </w:r>
      <w:r w:rsidR="008B2D17" w:rsidRPr="00020CC5">
        <w:t>.</w:t>
      </w:r>
    </w:p>
    <w:p w:rsidR="00335E78" w:rsidRPr="00020CC5" w:rsidRDefault="00C87953">
      <w:pPr>
        <w:pStyle w:val="SingleTxtG"/>
      </w:pPr>
      <w:r w:rsidRPr="00EF4985">
        <w:t>1</w:t>
      </w:r>
      <w:r w:rsidR="00533BC0" w:rsidRPr="00EF4985">
        <w:t>2</w:t>
      </w:r>
      <w:r w:rsidR="004A72FA" w:rsidRPr="00EF4985">
        <w:t>.</w:t>
      </w:r>
      <w:r w:rsidR="004A72FA" w:rsidRPr="00EF4985">
        <w:tab/>
        <w:t>Sírvanse indicar</w:t>
      </w:r>
      <w:r w:rsidR="00335E78" w:rsidRPr="00EF4985">
        <w:t xml:space="preserve"> el número de visas humanitarias que se han co</w:t>
      </w:r>
      <w:r w:rsidR="00411999" w:rsidRPr="00EF4985">
        <w:t xml:space="preserve">ncedido desde la vigencia del </w:t>
      </w:r>
      <w:r w:rsidR="00EB0048" w:rsidRPr="00EF4985">
        <w:t>decreto núm.</w:t>
      </w:r>
      <w:r w:rsidR="00B95256">
        <w:t> </w:t>
      </w:r>
      <w:r w:rsidR="00411999" w:rsidRPr="00EF4985">
        <w:t>70/2017</w:t>
      </w:r>
      <w:r w:rsidR="00335E78" w:rsidRPr="00EF4985">
        <w:t xml:space="preserve">. En particular, sírvanse proporcionar datos sobre el número de permisos expedidos a los niños no acompañados, </w:t>
      </w:r>
      <w:r w:rsidR="00411999" w:rsidRPr="00EF4985">
        <w:t xml:space="preserve">que </w:t>
      </w:r>
      <w:r w:rsidR="00335E78" w:rsidRPr="00EF4985">
        <w:t xml:space="preserve">deben recibir visas humanitarias cuando es </w:t>
      </w:r>
      <w:r w:rsidR="00082636" w:rsidRPr="00EF4985">
        <w:t xml:space="preserve">necesario en virtud del </w:t>
      </w:r>
      <w:r w:rsidR="00335E78" w:rsidRPr="00EF4985">
        <w:t xml:space="preserve">interés superior del niño. Adicionalmente, se ruega informar si se han tomado medidas para garantizar que los funcionarios de </w:t>
      </w:r>
      <w:r w:rsidR="00411999" w:rsidRPr="00EF4985">
        <w:t xml:space="preserve">la Dirección Nacional de Migraciones </w:t>
      </w:r>
      <w:r w:rsidR="00F634D9" w:rsidRPr="00EF4985">
        <w:t xml:space="preserve">y otros organismos </w:t>
      </w:r>
      <w:r w:rsidR="00335E78" w:rsidRPr="00EF4985">
        <w:t>notifiquen de manera fehaciente a tod</w:t>
      </w:r>
      <w:r w:rsidR="00082636" w:rsidRPr="00EF4985">
        <w:t>o</w:t>
      </w:r>
      <w:r w:rsidR="00335E78" w:rsidRPr="00EF4985">
        <w:t>s l</w:t>
      </w:r>
      <w:r w:rsidR="00082636" w:rsidRPr="00EF4985">
        <w:t>o</w:t>
      </w:r>
      <w:r w:rsidR="00335E78" w:rsidRPr="00EF4985">
        <w:t>s migrantes, en particular los niños no acompañados</w:t>
      </w:r>
      <w:r w:rsidR="00261E61" w:rsidRPr="00EF4985">
        <w:t xml:space="preserve"> (que requieren tutor)</w:t>
      </w:r>
      <w:r w:rsidR="00335E78" w:rsidRPr="00EF4985">
        <w:t>, de su derecho a solicitar una visa humanitaria.</w:t>
      </w:r>
    </w:p>
    <w:p w:rsidR="00335E78" w:rsidRPr="00EF4985" w:rsidRDefault="00335E78">
      <w:pPr>
        <w:pStyle w:val="SingleTxtG"/>
      </w:pPr>
      <w:r w:rsidRPr="00EF4985">
        <w:t>1</w:t>
      </w:r>
      <w:r w:rsidR="00533BC0" w:rsidRPr="00EF4985">
        <w:t>3</w:t>
      </w:r>
      <w:r w:rsidRPr="00EF4985">
        <w:t>.</w:t>
      </w:r>
      <w:r w:rsidRPr="00EF4985">
        <w:tab/>
      </w:r>
      <w:r w:rsidR="00E85297" w:rsidRPr="00EF4985">
        <w:t>Se ruega b</w:t>
      </w:r>
      <w:r w:rsidR="00DE5F1C" w:rsidRPr="00EF4985">
        <w:t>rind</w:t>
      </w:r>
      <w:r w:rsidR="00E85297" w:rsidRPr="00EF4985">
        <w:t>ar</w:t>
      </w:r>
      <w:r w:rsidR="00DE5F1C" w:rsidRPr="00EF4985">
        <w:t xml:space="preserve"> información sobre los casos denunciados de persecución policial y acoso de autoridades migratorias a trabajadores migrantes informales, familias migrantes en situación de pobreza y grupos </w:t>
      </w:r>
      <w:r w:rsidR="00082636" w:rsidRPr="00EF4985">
        <w:t>de personas lesbianas, gais, bisexuales, transgénero e intersexuales</w:t>
      </w:r>
      <w:r w:rsidR="00A91C20">
        <w:t xml:space="preserve"> </w:t>
      </w:r>
      <w:r w:rsidR="00DE5F1C" w:rsidRPr="00EF4985">
        <w:t>con motivo de revisión de documentos migratorios, permisos de trabajo y otros</w:t>
      </w:r>
      <w:r w:rsidR="00C54C82" w:rsidRPr="00EF4985">
        <w:t>,</w:t>
      </w:r>
      <w:r w:rsidR="00DE5F1C" w:rsidRPr="00EF4985">
        <w:t xml:space="preserve"> que estarían justificando sus acciones al amparo de</w:t>
      </w:r>
      <w:r w:rsidR="00E10CF1" w:rsidRPr="00EF4985">
        <w:t>l decreto núm.</w:t>
      </w:r>
      <w:r w:rsidR="00B95256">
        <w:t> </w:t>
      </w:r>
      <w:r w:rsidR="00261E61" w:rsidRPr="00020CC5">
        <w:t>70/2017</w:t>
      </w:r>
      <w:r w:rsidR="00DE5F1C" w:rsidRPr="00EF4985">
        <w:t xml:space="preserve">. </w:t>
      </w:r>
      <w:r w:rsidRPr="00EF4985">
        <w:t>Sírvanse proporcionar información detallada sobre las medidas adoptadas para investigar las quejas de acoso, corrupción y abuso de autoridad</w:t>
      </w:r>
      <w:r w:rsidR="00D27D2D" w:rsidRPr="00EF4985">
        <w:t>,</w:t>
      </w:r>
      <w:r w:rsidRPr="00EF4985">
        <w:t xml:space="preserve"> </w:t>
      </w:r>
      <w:r w:rsidR="00E85297" w:rsidRPr="00EF4985">
        <w:t>e</w:t>
      </w:r>
      <w:r w:rsidR="00DE5F1C" w:rsidRPr="00EF4985">
        <w:t xml:space="preserve"> incluir </w:t>
      </w:r>
      <w:r w:rsidRPr="00EF4985">
        <w:t xml:space="preserve">información sobre el número de quejas recibidas e investigadas en los últimos </w:t>
      </w:r>
      <w:r w:rsidR="00E85297" w:rsidRPr="00EF4985">
        <w:t>siete</w:t>
      </w:r>
      <w:r w:rsidRPr="00EF4985">
        <w:t xml:space="preserve"> años, así como las medidas adoptadas para investigar, procesar y condenar a los agentes responsables, especificando la naturaleza de </w:t>
      </w:r>
      <w:r w:rsidR="00411999" w:rsidRPr="00EF4985">
        <w:t xml:space="preserve">los cargos y </w:t>
      </w:r>
      <w:r w:rsidRPr="00EF4985">
        <w:t>sentencias impuestas.</w:t>
      </w:r>
      <w:r w:rsidR="00705CF3" w:rsidRPr="00020CC5">
        <w:t xml:space="preserve"> </w:t>
      </w:r>
      <w:r w:rsidR="0045629E" w:rsidRPr="00020CC5">
        <w:t>So</w:t>
      </w:r>
      <w:r w:rsidR="00E92F8B" w:rsidRPr="00020CC5">
        <w:t>b</w:t>
      </w:r>
      <w:r w:rsidR="0045629E" w:rsidRPr="00020CC5">
        <w:t>re este particular</w:t>
      </w:r>
      <w:r w:rsidR="000A38F8" w:rsidRPr="00020CC5">
        <w:t>,</w:t>
      </w:r>
      <w:r w:rsidR="0045629E" w:rsidRPr="00020CC5">
        <w:t xml:space="preserve"> </w:t>
      </w:r>
      <w:r w:rsidR="00E92F8B" w:rsidRPr="00020CC5">
        <w:t>sería</w:t>
      </w:r>
      <w:r w:rsidR="0045629E" w:rsidRPr="00020CC5">
        <w:t xml:space="preserve"> importante conocer el </w:t>
      </w:r>
      <w:r w:rsidR="00E92F8B" w:rsidRPr="00020CC5">
        <w:t>número</w:t>
      </w:r>
      <w:r w:rsidR="0045629E" w:rsidRPr="00020CC5">
        <w:t xml:space="preserve"> de denuncias presentadas ante la</w:t>
      </w:r>
      <w:r w:rsidR="005B5C9D" w:rsidRPr="00020CC5">
        <w:t>s</w:t>
      </w:r>
      <w:r w:rsidR="0045629E" w:rsidRPr="00020CC5">
        <w:t xml:space="preserve"> autoridades judiciales sobre </w:t>
      </w:r>
      <w:r w:rsidR="00E92F8B" w:rsidRPr="00020CC5">
        <w:t xml:space="preserve">los casos de vendedores ambulantes informales en la vía </w:t>
      </w:r>
      <w:r w:rsidR="008D11F1" w:rsidRPr="00020CC5">
        <w:t>pública</w:t>
      </w:r>
      <w:r w:rsidR="00E92F8B" w:rsidRPr="00020CC5">
        <w:t xml:space="preserve">. </w:t>
      </w:r>
    </w:p>
    <w:p w:rsidR="00335E78" w:rsidRPr="00EF4985" w:rsidRDefault="00C87953">
      <w:pPr>
        <w:pStyle w:val="SingleTxtG"/>
      </w:pPr>
      <w:r w:rsidRPr="00EF4985">
        <w:t>1</w:t>
      </w:r>
      <w:r w:rsidR="00533BC0" w:rsidRPr="00EF4985">
        <w:t>4</w:t>
      </w:r>
      <w:r w:rsidR="00335E78" w:rsidRPr="00EF4985">
        <w:t>.</w:t>
      </w:r>
      <w:r w:rsidR="00096FC8" w:rsidRPr="00EF4985">
        <w:tab/>
      </w:r>
      <w:r w:rsidR="00335E78" w:rsidRPr="00EF4985">
        <w:t>Sírva</w:t>
      </w:r>
      <w:r w:rsidR="00A73119" w:rsidRPr="00EF4985">
        <w:t>n</w:t>
      </w:r>
      <w:r w:rsidR="00335E78" w:rsidRPr="00EF4985">
        <w:t>se indicar las medidas alternativas creadas y puestas en funcionamiento a los fines de que</w:t>
      </w:r>
      <w:r w:rsidR="00082636" w:rsidRPr="00EF4985">
        <w:t>,</w:t>
      </w:r>
      <w:r w:rsidR="00335E78" w:rsidRPr="00EF4985">
        <w:t xml:space="preserve"> cuando sea necesario, los niños y las familias estén alojad</w:t>
      </w:r>
      <w:r w:rsidR="00082636" w:rsidRPr="00EF4985">
        <w:t>o</w:t>
      </w:r>
      <w:r w:rsidR="00335E78" w:rsidRPr="00EF4985">
        <w:t xml:space="preserve">s en centros abiertos </w:t>
      </w:r>
      <w:r w:rsidR="00082636" w:rsidRPr="00EF4985">
        <w:t xml:space="preserve">destinados </w:t>
      </w:r>
      <w:r w:rsidR="00335E78" w:rsidRPr="00EF4985">
        <w:t>a la protección de sus derechos. Por favor brinde</w:t>
      </w:r>
      <w:r w:rsidR="00082636" w:rsidRPr="00EF4985">
        <w:t>n</w:t>
      </w:r>
      <w:r w:rsidR="00335E78" w:rsidRPr="00EF4985">
        <w:t xml:space="preserve"> estadísticas sobre las alternativas aplicadas desde 2011 hasta la fecha. Sírva</w:t>
      </w:r>
      <w:r w:rsidR="00A73119" w:rsidRPr="00EF4985">
        <w:t>n</w:t>
      </w:r>
      <w:r w:rsidR="00335E78" w:rsidRPr="00EF4985">
        <w:t xml:space="preserve">se brindar información sobre los organismos de protección de la niñez a cargo de esos establecimientos y procedimientos, sobre los recursos presupuestarios y de otra índole </w:t>
      </w:r>
      <w:r w:rsidR="00082636" w:rsidRPr="00EF4985">
        <w:t>—</w:t>
      </w:r>
      <w:r w:rsidR="00335E78" w:rsidRPr="00EF4985">
        <w:t xml:space="preserve">incluyendo a nivel federal, </w:t>
      </w:r>
      <w:r w:rsidR="007C4AE6" w:rsidRPr="00EF4985">
        <w:t>provincial</w:t>
      </w:r>
      <w:r w:rsidR="00335E78" w:rsidRPr="00EF4985">
        <w:t xml:space="preserve"> y municipal</w:t>
      </w:r>
      <w:r w:rsidR="00082636" w:rsidRPr="00EF4985">
        <w:t>—</w:t>
      </w:r>
      <w:r w:rsidR="00335E78" w:rsidRPr="00EF4985">
        <w:t xml:space="preserve"> y si los objetivos de protección de los derechos de los niños son considerados de manera prioritaria a los objetivos de la política de control migratori</w:t>
      </w:r>
      <w:r w:rsidR="007C4AE6" w:rsidRPr="00EF4985">
        <w:t>o.</w:t>
      </w:r>
      <w:r w:rsidR="00096FC8" w:rsidRPr="00EF4985">
        <w:t xml:space="preserve"> </w:t>
      </w:r>
      <w:r w:rsidR="007C4AE6" w:rsidRPr="00EF4985">
        <w:t>Asimismo, s</w:t>
      </w:r>
      <w:r w:rsidR="00335E78" w:rsidRPr="00EF4985">
        <w:t>írva</w:t>
      </w:r>
      <w:r w:rsidR="00A73119" w:rsidRPr="00EF4985">
        <w:t>n</w:t>
      </w:r>
      <w:r w:rsidR="00335E78" w:rsidRPr="00EF4985">
        <w:t>se indicar las medidas adoptadas para garantizar a todos los niños no acompañados el derecho a un tutor, a la asistencia jurídica, a ser oído</w:t>
      </w:r>
      <w:r w:rsidR="00082636" w:rsidRPr="00EF4985">
        <w:t>s</w:t>
      </w:r>
      <w:r w:rsidR="00335E78" w:rsidRPr="00EF4985">
        <w:t xml:space="preserve"> y a otras garantías de debido proceso, incluyendo el acceso a la justicia, en el marco de un procedimiento de determinación del interés superior del niño, un procedimiento migratorio o de otra índole que pu</w:t>
      </w:r>
      <w:r w:rsidR="00460A81" w:rsidRPr="00EF4985">
        <w:t xml:space="preserve">diera </w:t>
      </w:r>
      <w:r w:rsidR="00082636" w:rsidRPr="00EF4985">
        <w:t xml:space="preserve">tener efectos sobre </w:t>
      </w:r>
      <w:r w:rsidR="00460A81" w:rsidRPr="00EF4985">
        <w:t>sus derechos.</w:t>
      </w:r>
    </w:p>
    <w:p w:rsidR="00335E78" w:rsidRPr="00EF4985" w:rsidRDefault="00C87953">
      <w:pPr>
        <w:pStyle w:val="SingleTxtG"/>
      </w:pPr>
      <w:r w:rsidRPr="00EF4985">
        <w:t>1</w:t>
      </w:r>
      <w:r w:rsidR="00533BC0" w:rsidRPr="00EF4985">
        <w:t>5</w:t>
      </w:r>
      <w:r w:rsidR="00335E78" w:rsidRPr="00EF4985">
        <w:t>.</w:t>
      </w:r>
      <w:r w:rsidR="00335E78" w:rsidRPr="00EF4985">
        <w:tab/>
        <w:t xml:space="preserve">Sírvanse </w:t>
      </w:r>
      <w:r w:rsidR="007C4AE6" w:rsidRPr="00EF4985">
        <w:t xml:space="preserve">indicar si el Estado parte ha </w:t>
      </w:r>
      <w:r w:rsidR="00B6530F" w:rsidRPr="00EF4985">
        <w:t xml:space="preserve">desarrollado </w:t>
      </w:r>
      <w:r w:rsidR="00335E78" w:rsidRPr="00EF4985">
        <w:t xml:space="preserve">alternativas a la detención como un medio para validar y mejorar los mecanismos de identificación, derivación y acogida de los solicitantes </w:t>
      </w:r>
      <w:r w:rsidR="00460A81" w:rsidRPr="00EF4985">
        <w:t>de asilo y migrantes detenidos.</w:t>
      </w:r>
      <w:r w:rsidR="00CF747F" w:rsidRPr="00EF4985">
        <w:t xml:space="preserve"> En este sentido </w:t>
      </w:r>
      <w:r w:rsidR="001C5E3E" w:rsidRPr="00EF4985">
        <w:t>sírvanse</w:t>
      </w:r>
      <w:r w:rsidR="00CF747F" w:rsidRPr="00EF4985">
        <w:t xml:space="preserve"> informar acerca de los nuevos centros de retención temporal </w:t>
      </w:r>
      <w:r w:rsidR="00ED69F5" w:rsidRPr="00EF4985">
        <w:t xml:space="preserve">que se </w:t>
      </w:r>
      <w:r w:rsidR="00B62BD2" w:rsidRPr="00EF4985">
        <w:t>están</w:t>
      </w:r>
      <w:r w:rsidR="00CF747F" w:rsidRPr="00EF4985">
        <w:t xml:space="preserve"> implementando. </w:t>
      </w:r>
    </w:p>
    <w:p w:rsidR="00335E78" w:rsidRPr="00020CC5" w:rsidRDefault="00C87953">
      <w:pPr>
        <w:pStyle w:val="SingleTxtG"/>
      </w:pPr>
      <w:r w:rsidRPr="00EF4985">
        <w:t>1</w:t>
      </w:r>
      <w:r w:rsidR="00533BC0" w:rsidRPr="00EF4985">
        <w:t>6</w:t>
      </w:r>
      <w:r w:rsidR="00096FC8" w:rsidRPr="00EF4985">
        <w:t>.</w:t>
      </w:r>
      <w:r w:rsidR="00096FC8" w:rsidRPr="00EF4985">
        <w:tab/>
      </w:r>
      <w:r w:rsidR="00335E78" w:rsidRPr="00EF4985">
        <w:t xml:space="preserve">A la luz del </w:t>
      </w:r>
      <w:r w:rsidR="00F10AF0" w:rsidRPr="00EF4985">
        <w:t>artículo</w:t>
      </w:r>
      <w:r w:rsidR="00F10AF0">
        <w:t> </w:t>
      </w:r>
      <w:r w:rsidR="00335E78" w:rsidRPr="00EF4985">
        <w:t xml:space="preserve">16 de la Convención y la </w:t>
      </w:r>
      <w:r w:rsidR="00082636" w:rsidRPr="00EF4985">
        <w:t>o</w:t>
      </w:r>
      <w:r w:rsidR="00335E78" w:rsidRPr="00EF4985">
        <w:t>bser</w:t>
      </w:r>
      <w:r w:rsidR="00F634D9" w:rsidRPr="00EF4985">
        <w:t xml:space="preserve">vación </w:t>
      </w:r>
      <w:r w:rsidR="00082636" w:rsidRPr="00EF4985">
        <w:t>g</w:t>
      </w:r>
      <w:r w:rsidR="00F634D9" w:rsidRPr="00EF4985">
        <w:t xml:space="preserve">eneral </w:t>
      </w:r>
      <w:r w:rsidR="00082636" w:rsidRPr="00EF4985">
        <w:t>núm</w:t>
      </w:r>
      <w:r w:rsidR="00F634D9" w:rsidRPr="00EF4985">
        <w:t>.</w:t>
      </w:r>
      <w:r w:rsidR="00B95256">
        <w:t> </w:t>
      </w:r>
      <w:r w:rsidR="003B7473" w:rsidRPr="00EF4985">
        <w:t>3</w:t>
      </w:r>
      <w:r w:rsidR="00F634D9" w:rsidRPr="00EF4985">
        <w:t xml:space="preserve"> </w:t>
      </w:r>
      <w:r w:rsidR="00FF122B" w:rsidRPr="00EF4985">
        <w:t>(2017) sobre los principios generales relativos a los derechos humanos de los niños en el contexto de la migración internacional</w:t>
      </w:r>
      <w:r w:rsidR="00460A81" w:rsidRPr="00EF4985">
        <w:t>:</w:t>
      </w:r>
    </w:p>
    <w:p w:rsidR="00533BC0" w:rsidRPr="00EF4985" w:rsidRDefault="00AA200D" w:rsidP="00EF4985">
      <w:pPr>
        <w:pStyle w:val="SingleTxtG"/>
      </w:pPr>
      <w:r>
        <w:tab/>
      </w:r>
      <w:r w:rsidR="00096FC8" w:rsidRPr="00EF4985">
        <w:t>a)</w:t>
      </w:r>
      <w:r w:rsidR="00096FC8" w:rsidRPr="00EF4985">
        <w:tab/>
      </w:r>
      <w:r w:rsidR="00533BC0" w:rsidRPr="00EF4985">
        <w:t xml:space="preserve">Sírvanse proporcionar información sobre la retención migratoria (de adultos y de niños) y los mecanismos aplicados para que </w:t>
      </w:r>
      <w:r w:rsidR="00C86682" w:rsidRPr="00EF4985">
        <w:t>e</w:t>
      </w:r>
      <w:r w:rsidR="00533BC0" w:rsidRPr="00EF4985">
        <w:t>sta sea una medida de último recurso y asegurar el principio de excepcionalidad de la detención de adultos;</w:t>
      </w:r>
    </w:p>
    <w:p w:rsidR="00335E78" w:rsidRPr="00EF4985" w:rsidRDefault="00AA200D" w:rsidP="00EF4985">
      <w:pPr>
        <w:pStyle w:val="SingleTxtG"/>
      </w:pPr>
      <w:r>
        <w:tab/>
      </w:r>
      <w:r w:rsidR="00E85297" w:rsidRPr="00EF4985">
        <w:t>b)</w:t>
      </w:r>
      <w:r w:rsidR="00096FC8" w:rsidRPr="00EF4985">
        <w:tab/>
      </w:r>
      <w:r w:rsidR="00335E78" w:rsidRPr="00EF4985">
        <w:t>Sírva</w:t>
      </w:r>
      <w:r w:rsidR="00A73119" w:rsidRPr="00EF4985">
        <w:t>n</w:t>
      </w:r>
      <w:r w:rsidR="00335E78" w:rsidRPr="00EF4985">
        <w:t xml:space="preserve">se detallar cuáles serían los fundamentos que justifiquen </w:t>
      </w:r>
      <w:r w:rsidR="003B7473" w:rsidRPr="00EF4985">
        <w:t>la detención</w:t>
      </w:r>
      <w:r w:rsidR="00335E78" w:rsidRPr="00EF4985">
        <w:t xml:space="preserve"> </w:t>
      </w:r>
      <w:r w:rsidR="003B7473" w:rsidRPr="00EF4985">
        <w:t xml:space="preserve">como medida excepcional, y </w:t>
      </w:r>
      <w:r w:rsidR="00335E78" w:rsidRPr="00EF4985">
        <w:t xml:space="preserve">qué autoridad administrativa o judicial es competente para dictarla, cómo se garantiza que se </w:t>
      </w:r>
      <w:r w:rsidR="00261E61" w:rsidRPr="00EF4985">
        <w:t>trató</w:t>
      </w:r>
      <w:r w:rsidR="00335E78" w:rsidRPr="00EF4985">
        <w:t xml:space="preserve"> de una decisión debidamente fundada, y cómo se asegura el derecho a un recurso </w:t>
      </w:r>
      <w:r w:rsidR="00AB5FA1" w:rsidRPr="00EF4985">
        <w:t xml:space="preserve">judicial </w:t>
      </w:r>
      <w:r w:rsidR="00335E78" w:rsidRPr="00EF4985">
        <w:t xml:space="preserve">efectivo; </w:t>
      </w:r>
    </w:p>
    <w:p w:rsidR="00335E78" w:rsidRPr="00EF4985" w:rsidRDefault="00335E78" w:rsidP="00EF4985">
      <w:pPr>
        <w:pStyle w:val="SingleTxtG"/>
      </w:pPr>
      <w:r w:rsidRPr="00EF4985">
        <w:tab/>
        <w:t>c)</w:t>
      </w:r>
      <w:r w:rsidRPr="00EF4985">
        <w:tab/>
        <w:t>Indique</w:t>
      </w:r>
      <w:r w:rsidR="00C86682" w:rsidRPr="00EF4985">
        <w:t>n</w:t>
      </w:r>
      <w:r w:rsidRPr="00EF4985">
        <w:t xml:space="preserve"> si existen protocolos o procedimientos específicos para la identificación, no detención y atención de personas en situación especial de vulnerabilidad (solicitantes de asilo, mujeres embarazadas o con lactantes, víctimas de trata, de violencia familiar, </w:t>
      </w:r>
      <w:r w:rsidR="00082636" w:rsidRPr="00EF4985">
        <w:t>personas lesbianas, gais, bisexuales, transgénero e intersexuales</w:t>
      </w:r>
      <w:r w:rsidRPr="00EF4985">
        <w:t>, niñas, niño</w:t>
      </w:r>
      <w:r w:rsidR="00D9506B" w:rsidRPr="00EF4985">
        <w:t>s y adolescentes, entre otros);</w:t>
      </w:r>
    </w:p>
    <w:p w:rsidR="00335E78" w:rsidRPr="00EF4985" w:rsidRDefault="00335E78" w:rsidP="00EF4985">
      <w:pPr>
        <w:pStyle w:val="SingleTxtG"/>
      </w:pPr>
      <w:r w:rsidRPr="00EF4985">
        <w:tab/>
        <w:t>d)</w:t>
      </w:r>
      <w:r w:rsidRPr="00EF4985">
        <w:tab/>
        <w:t>Sírva</w:t>
      </w:r>
      <w:r w:rsidR="00A73119" w:rsidRPr="00EF4985">
        <w:t>n</w:t>
      </w:r>
      <w:r w:rsidRPr="00EF4985">
        <w:t>se brindar información cualitativa y cuantitativa sobre las medidas alternativas a la detención aplicadas, des</w:t>
      </w:r>
      <w:r w:rsidR="00C86682" w:rsidRPr="00EF4985">
        <w:t xml:space="preserve">glosadas </w:t>
      </w:r>
      <w:r w:rsidRPr="00EF4985">
        <w:t>por mes</w:t>
      </w:r>
      <w:r w:rsidR="00C86682" w:rsidRPr="00EF4985">
        <w:t xml:space="preserve"> o </w:t>
      </w:r>
      <w:r w:rsidRPr="00EF4985">
        <w:t xml:space="preserve">año, género, </w:t>
      </w:r>
      <w:r w:rsidR="00460A81" w:rsidRPr="00EF4985">
        <w:t>nacionalidad y medida aplicada;</w:t>
      </w:r>
    </w:p>
    <w:p w:rsidR="00335E78" w:rsidRPr="00EF4985" w:rsidRDefault="00335E78" w:rsidP="00EF4985">
      <w:pPr>
        <w:pStyle w:val="SingleTxtG"/>
      </w:pPr>
      <w:r w:rsidRPr="00EF4985">
        <w:tab/>
        <w:t>e)</w:t>
      </w:r>
      <w:r w:rsidRPr="00EF4985">
        <w:tab/>
        <w:t>Describa</w:t>
      </w:r>
      <w:r w:rsidR="00103AE1" w:rsidRPr="00EF4985">
        <w:t>n</w:t>
      </w:r>
      <w:r w:rsidRPr="00EF4985">
        <w:t xml:space="preserve"> cuáles son las medidas y protocolos dirigidos a facilitar el acceso a los lugares de deten</w:t>
      </w:r>
      <w:r w:rsidR="00B6530F" w:rsidRPr="00EF4985">
        <w:t xml:space="preserve">ción </w:t>
      </w:r>
      <w:r w:rsidR="00103AE1" w:rsidRPr="00EF4985">
        <w:t xml:space="preserve">a las </w:t>
      </w:r>
      <w:r w:rsidRPr="00EF4985">
        <w:t>organizaciones de promoción y defensa de los derechos de migrantes y solicitantes de asil</w:t>
      </w:r>
      <w:r w:rsidR="00460A81" w:rsidRPr="00EF4985">
        <w:t xml:space="preserve">o, y </w:t>
      </w:r>
      <w:r w:rsidR="00103AE1" w:rsidRPr="00EF4985">
        <w:t xml:space="preserve">la </w:t>
      </w:r>
      <w:r w:rsidR="00460A81" w:rsidRPr="00EF4985">
        <w:t>sociedad civil en general.</w:t>
      </w:r>
    </w:p>
    <w:p w:rsidR="00914317" w:rsidRPr="00EF4985" w:rsidRDefault="00E85297">
      <w:pPr>
        <w:pStyle w:val="SingleTxtG"/>
      </w:pPr>
      <w:r w:rsidRPr="00EF4985">
        <w:t>1</w:t>
      </w:r>
      <w:r w:rsidR="00533BC0" w:rsidRPr="00EF4985">
        <w:t>7</w:t>
      </w:r>
      <w:r w:rsidR="00914317" w:rsidRPr="00EF4985">
        <w:t>.</w:t>
      </w:r>
      <w:r w:rsidR="00096FC8" w:rsidRPr="00EF4985">
        <w:tab/>
      </w:r>
      <w:r w:rsidR="00914317" w:rsidRPr="00EF4985">
        <w:t>Sírva</w:t>
      </w:r>
      <w:r w:rsidR="00A73119" w:rsidRPr="00EF4985">
        <w:t>n</w:t>
      </w:r>
      <w:r w:rsidR="00914317" w:rsidRPr="00EF4985">
        <w:t xml:space="preserve">se indicar el número de personas afectadas por el proceso de expulsión sumarísimo </w:t>
      </w:r>
      <w:r w:rsidR="00103AE1" w:rsidRPr="00EF4985">
        <w:t xml:space="preserve">previsto en </w:t>
      </w:r>
      <w:r w:rsidR="00914317" w:rsidRPr="00EF4985">
        <w:t xml:space="preserve">el </w:t>
      </w:r>
      <w:r w:rsidR="00B97CDD" w:rsidRPr="00EF4985">
        <w:t>decreto núm.</w:t>
      </w:r>
      <w:r w:rsidR="00B95256">
        <w:t> </w:t>
      </w:r>
      <w:r w:rsidR="00261E61" w:rsidRPr="00EF4985">
        <w:t>70/2017</w:t>
      </w:r>
      <w:r w:rsidR="00914317" w:rsidRPr="00EF4985">
        <w:t>,</w:t>
      </w:r>
      <w:r w:rsidRPr="00EF4985">
        <w:t xml:space="preserve"> y</w:t>
      </w:r>
      <w:r w:rsidR="00914317" w:rsidRPr="00EF4985">
        <w:t xml:space="preserve"> la tasa de </w:t>
      </w:r>
      <w:r w:rsidR="00103AE1" w:rsidRPr="00EF4985">
        <w:t xml:space="preserve">aumento </w:t>
      </w:r>
      <w:r w:rsidR="00914317" w:rsidRPr="00EF4985">
        <w:t xml:space="preserve">de las expulsiones en consecuencia de la aplicación del </w:t>
      </w:r>
      <w:r w:rsidR="00103AE1" w:rsidRPr="00EF4985">
        <w:t>d</w:t>
      </w:r>
      <w:r w:rsidR="00914317" w:rsidRPr="00EF4985">
        <w:t xml:space="preserve">ecreto mencionado. </w:t>
      </w:r>
      <w:r w:rsidRPr="00EF4985">
        <w:t>Se ruega</w:t>
      </w:r>
      <w:r w:rsidR="00914317" w:rsidRPr="00EF4985">
        <w:t xml:space="preserve"> proporcionar información </w:t>
      </w:r>
      <w:r w:rsidRPr="00EF4985">
        <w:t>sobre</w:t>
      </w:r>
      <w:r w:rsidR="00914317" w:rsidRPr="00EF4985">
        <w:t xml:space="preserve"> la participación de entidades de derechos humanos como observadores de estos procesos y agentes que alerten sobre violaciones de derechos en el proceso de detención, durante el procesamiento administrativo y judicial del migrante y luego en el proceso de expulsión de</w:t>
      </w:r>
      <w:r w:rsidR="00C54C82" w:rsidRPr="00EF4985">
        <w:t xml:space="preserve">l Estado parte </w:t>
      </w:r>
      <w:r w:rsidR="00914317" w:rsidRPr="00EF4985">
        <w:t>(</w:t>
      </w:r>
      <w:r w:rsidR="002D64B3" w:rsidRPr="00EF4985">
        <w:t>a</w:t>
      </w:r>
      <w:r w:rsidR="00914317" w:rsidRPr="00EF4985">
        <w:t>rt</w:t>
      </w:r>
      <w:r w:rsidR="00103AE1" w:rsidRPr="00EF4985">
        <w:t>ículo</w:t>
      </w:r>
      <w:r w:rsidR="00F10AF0">
        <w:t> </w:t>
      </w:r>
      <w:r w:rsidR="00914317" w:rsidRPr="00EF4985">
        <w:t>22</w:t>
      </w:r>
      <w:r w:rsidR="00261E61" w:rsidRPr="00EF4985">
        <w:t xml:space="preserve"> de la Convención</w:t>
      </w:r>
      <w:r w:rsidR="00914317" w:rsidRPr="00EF4985">
        <w:t>)</w:t>
      </w:r>
      <w:r w:rsidR="00096FC8" w:rsidRPr="00EF4985">
        <w:t>.</w:t>
      </w:r>
    </w:p>
    <w:p w:rsidR="00914317" w:rsidRPr="00EF4985" w:rsidRDefault="00E85297">
      <w:pPr>
        <w:pStyle w:val="SingleTxtG"/>
      </w:pPr>
      <w:r w:rsidRPr="00EF4985">
        <w:t>1</w:t>
      </w:r>
      <w:r w:rsidR="00533BC0" w:rsidRPr="00EF4985">
        <w:t>8</w:t>
      </w:r>
      <w:r w:rsidR="00096FC8" w:rsidRPr="00EF4985">
        <w:t>.</w:t>
      </w:r>
      <w:r w:rsidR="00096FC8" w:rsidRPr="00EF4985">
        <w:tab/>
      </w:r>
      <w:r w:rsidRPr="00EF4985">
        <w:t xml:space="preserve">Sírvanse indicar </w:t>
      </w:r>
      <w:r w:rsidR="00914317" w:rsidRPr="00EF4985">
        <w:t xml:space="preserve">si </w:t>
      </w:r>
      <w:r w:rsidR="00AE06BB" w:rsidRPr="00EF4985">
        <w:t xml:space="preserve">existe </w:t>
      </w:r>
      <w:r w:rsidR="00914317" w:rsidRPr="00EF4985">
        <w:t>seguimien</w:t>
      </w:r>
      <w:r w:rsidR="00D361E3" w:rsidRPr="00EF4985">
        <w:t>to y apoyo a</w:t>
      </w:r>
      <w:r w:rsidR="00914317" w:rsidRPr="00EF4985">
        <w:t xml:space="preserve"> las familias divididas como consecuencia de la expulsión y </w:t>
      </w:r>
      <w:r w:rsidR="00AE06BB" w:rsidRPr="00EF4985">
        <w:t xml:space="preserve">las medidas de </w:t>
      </w:r>
      <w:r w:rsidR="00914317" w:rsidRPr="00EF4985">
        <w:t xml:space="preserve">protección </w:t>
      </w:r>
      <w:r w:rsidR="00AE06BB" w:rsidRPr="00EF4985">
        <w:t xml:space="preserve">de </w:t>
      </w:r>
      <w:r w:rsidR="00914317" w:rsidRPr="00EF4985">
        <w:t>los menores de edad cuando uno o sus dos padres fueron expulsados. En el mismo sentido</w:t>
      </w:r>
      <w:r w:rsidR="00AE06BB" w:rsidRPr="00EF4985">
        <w:t>,</w:t>
      </w:r>
      <w:r w:rsidR="00914317" w:rsidRPr="00EF4985">
        <w:t xml:space="preserve"> </w:t>
      </w:r>
      <w:r w:rsidR="00AE06BB" w:rsidRPr="00EF4985">
        <w:t xml:space="preserve">indiquen </w:t>
      </w:r>
      <w:r w:rsidR="00914317" w:rsidRPr="00EF4985">
        <w:t>las consideraciones y análisis realizado</w:t>
      </w:r>
      <w:r w:rsidR="00AE06BB" w:rsidRPr="00EF4985">
        <w:t>s</w:t>
      </w:r>
      <w:r w:rsidR="00914317" w:rsidRPr="00EF4985">
        <w:t xml:space="preserve"> </w:t>
      </w:r>
      <w:r w:rsidR="00AE06BB" w:rsidRPr="00EF4985">
        <w:t xml:space="preserve">en </w:t>
      </w:r>
      <w:r w:rsidR="00914317" w:rsidRPr="00EF4985">
        <w:t>caso de familias separad</w:t>
      </w:r>
      <w:r w:rsidR="00AE06BB" w:rsidRPr="00EF4985">
        <w:t>a</w:t>
      </w:r>
      <w:r w:rsidR="00914317" w:rsidRPr="00EF4985">
        <w:t>s por violencia intrafamiliar y que no podrían demostrar su vínculo o convivencia con el agresor</w:t>
      </w:r>
      <w:r w:rsidR="00AE06BB" w:rsidRPr="00EF4985">
        <w:t xml:space="preserve"> </w:t>
      </w:r>
      <w:r w:rsidR="00914317" w:rsidRPr="00EF4985">
        <w:t>pues ponen en riesgo su vida por demostrar un lazo familiar para no ser deportados</w:t>
      </w:r>
      <w:r w:rsidR="00261E61" w:rsidRPr="00EF4985">
        <w:t xml:space="preserve"> o iniciar un proceso de regulación migratoria</w:t>
      </w:r>
      <w:r w:rsidR="00914317" w:rsidRPr="00EF4985">
        <w:t>.</w:t>
      </w:r>
    </w:p>
    <w:p w:rsidR="00335E78" w:rsidRPr="00EF4985" w:rsidRDefault="003B241C">
      <w:pPr>
        <w:pStyle w:val="H23G"/>
      </w:pPr>
      <w:r w:rsidRPr="00EF4985">
        <w:tab/>
      </w:r>
      <w:r w:rsidR="003755DF" w:rsidRPr="00EF4985">
        <w:tab/>
      </w:r>
      <w:r w:rsidR="00F10AF0" w:rsidRPr="00EF4985">
        <w:t>Artículo</w:t>
      </w:r>
      <w:r w:rsidR="00F10AF0">
        <w:t xml:space="preserve"> </w:t>
      </w:r>
      <w:r w:rsidR="00335E78" w:rsidRPr="00EF4985">
        <w:t>23</w:t>
      </w:r>
    </w:p>
    <w:p w:rsidR="00157FD8" w:rsidRPr="00EF4985" w:rsidRDefault="00C87953">
      <w:pPr>
        <w:pStyle w:val="SingleTxtG"/>
      </w:pPr>
      <w:r w:rsidRPr="00EF4985">
        <w:t>1</w:t>
      </w:r>
      <w:r w:rsidR="00533BC0" w:rsidRPr="00EF4985">
        <w:t>9</w:t>
      </w:r>
      <w:r w:rsidR="0051315C" w:rsidRPr="00EF4985">
        <w:t>.</w:t>
      </w:r>
      <w:r w:rsidR="00096FC8" w:rsidRPr="00EF4985">
        <w:tab/>
      </w:r>
      <w:r w:rsidR="00335E78" w:rsidRPr="00EF4985">
        <w:t>Sírva</w:t>
      </w:r>
      <w:r w:rsidR="00A73119" w:rsidRPr="00EF4985">
        <w:t>n</w:t>
      </w:r>
      <w:r w:rsidR="00335E78" w:rsidRPr="00EF4985">
        <w:t xml:space="preserve">se describir detalladamente las políticas y medidas adoptadas para garantizar la protección consular </w:t>
      </w:r>
      <w:r w:rsidR="00AE06BB" w:rsidRPr="00EF4985">
        <w:t>de</w:t>
      </w:r>
      <w:r w:rsidR="00335E78" w:rsidRPr="00EF4985">
        <w:t xml:space="preserve"> los trabajadores migrantes y sus familias en </w:t>
      </w:r>
      <w:r w:rsidR="00A5716C" w:rsidRPr="00EF4985">
        <w:t>el exterior</w:t>
      </w:r>
      <w:r w:rsidR="00335E78" w:rsidRPr="00EF4985">
        <w:t>, incluyendo a quienes están en situación irregular, e</w:t>
      </w:r>
      <w:r w:rsidR="00460A81" w:rsidRPr="00EF4985">
        <w:t>n particular en lo referente a:</w:t>
      </w:r>
    </w:p>
    <w:p w:rsidR="00157FD8" w:rsidRPr="00EF4985" w:rsidRDefault="00AA200D" w:rsidP="00EF4985">
      <w:pPr>
        <w:pStyle w:val="SingleTxtG"/>
      </w:pPr>
      <w:r>
        <w:tab/>
      </w:r>
      <w:r w:rsidR="00D60DE2" w:rsidRPr="00EF4985">
        <w:t>a</w:t>
      </w:r>
      <w:r w:rsidR="00157FD8" w:rsidRPr="00EF4985">
        <w:t>)</w:t>
      </w:r>
      <w:r w:rsidR="00157FD8" w:rsidRPr="00EF4985">
        <w:tab/>
        <w:t>A</w:t>
      </w:r>
      <w:r w:rsidR="00335E78" w:rsidRPr="00EF4985">
        <w:t xml:space="preserve">sistencia jurídica gratuita en </w:t>
      </w:r>
      <w:r w:rsidR="00460A81" w:rsidRPr="00EF4985">
        <w:t>casos de detención y expulsión;</w:t>
      </w:r>
    </w:p>
    <w:p w:rsidR="00157FD8" w:rsidRPr="00EF4985" w:rsidRDefault="00AA200D" w:rsidP="00EF4985">
      <w:pPr>
        <w:pStyle w:val="SingleTxtG"/>
      </w:pPr>
      <w:r>
        <w:tab/>
      </w:r>
      <w:r w:rsidR="00D60DE2" w:rsidRPr="00EF4985">
        <w:t>b</w:t>
      </w:r>
      <w:r w:rsidR="00335E78" w:rsidRPr="00EF4985">
        <w:t>)</w:t>
      </w:r>
      <w:r w:rsidR="00157FD8" w:rsidRPr="00EF4985">
        <w:tab/>
        <w:t>P</w:t>
      </w:r>
      <w:r w:rsidR="00335E78" w:rsidRPr="00EF4985">
        <w:t xml:space="preserve">rocedimientos de reunificación familiar para que sus hijos o padres, según corresponda, se </w:t>
      </w:r>
      <w:r w:rsidR="00157FD8" w:rsidRPr="00EF4985">
        <w:t>reúnan con ellos;</w:t>
      </w:r>
    </w:p>
    <w:p w:rsidR="00157FD8" w:rsidRPr="00EF4985" w:rsidRDefault="00AA200D" w:rsidP="00EF4985">
      <w:pPr>
        <w:pStyle w:val="SingleTxtG"/>
      </w:pPr>
      <w:r>
        <w:tab/>
      </w:r>
      <w:r w:rsidR="00D60DE2" w:rsidRPr="00EF4985">
        <w:t>c</w:t>
      </w:r>
      <w:r w:rsidR="00335E78" w:rsidRPr="00EF4985">
        <w:t>)</w:t>
      </w:r>
      <w:r w:rsidR="00157FD8" w:rsidRPr="00EF4985">
        <w:tab/>
        <w:t>P</w:t>
      </w:r>
      <w:r w:rsidR="00335E78" w:rsidRPr="00EF4985">
        <w:t>revenir que padres e hijos sean separados como consecuencia de una medida de expulsión di</w:t>
      </w:r>
      <w:r w:rsidR="00157FD8" w:rsidRPr="00EF4985">
        <w:t>ctada por el Estado de destino;</w:t>
      </w:r>
    </w:p>
    <w:p w:rsidR="00335E78" w:rsidRPr="00EF4985" w:rsidRDefault="00AA200D" w:rsidP="00EF4985">
      <w:pPr>
        <w:pStyle w:val="SingleTxtG"/>
      </w:pPr>
      <w:r>
        <w:tab/>
      </w:r>
      <w:r w:rsidR="00D60DE2" w:rsidRPr="00EF4985">
        <w:t>d</w:t>
      </w:r>
      <w:r w:rsidR="00335E78" w:rsidRPr="00EF4985">
        <w:t>)</w:t>
      </w:r>
      <w:r w:rsidR="00157FD8" w:rsidRPr="00EF4985">
        <w:tab/>
        <w:t>E</w:t>
      </w:r>
      <w:r w:rsidR="00335E78" w:rsidRPr="00EF4985">
        <w:t xml:space="preserve">vitar que niños no acompañados o junto a sus madres sean detenidos en el país de destino en razón de su </w:t>
      </w:r>
      <w:r w:rsidR="00AE06BB" w:rsidRPr="00EF4985">
        <w:t xml:space="preserve">condición </w:t>
      </w:r>
      <w:r w:rsidR="00335E78" w:rsidRPr="00EF4985">
        <w:t>migratori</w:t>
      </w:r>
      <w:r w:rsidR="00AE06BB" w:rsidRPr="00EF4985">
        <w:t>a</w:t>
      </w:r>
      <w:r w:rsidR="00335E78" w:rsidRPr="00EF4985">
        <w:t>.</w:t>
      </w:r>
    </w:p>
    <w:p w:rsidR="00335E78" w:rsidRPr="00020CC5" w:rsidRDefault="00335E78" w:rsidP="00F10AF0">
      <w:pPr>
        <w:pStyle w:val="H23G"/>
      </w:pPr>
      <w:r w:rsidRPr="00EF4985">
        <w:tab/>
      </w:r>
      <w:r w:rsidRPr="00EF4985">
        <w:tab/>
      </w:r>
      <w:r w:rsidR="00F10AF0" w:rsidRPr="00EF4985">
        <w:t>Artículos</w:t>
      </w:r>
      <w:r w:rsidR="00F10AF0">
        <w:t xml:space="preserve"> </w:t>
      </w:r>
      <w:r w:rsidRPr="00EF4985">
        <w:t>25 a 30</w:t>
      </w:r>
    </w:p>
    <w:p w:rsidR="00335E78" w:rsidRPr="00020CC5" w:rsidRDefault="00533BC0" w:rsidP="009F2AD8">
      <w:pPr>
        <w:pStyle w:val="SingleTxtG"/>
      </w:pPr>
      <w:r w:rsidRPr="00EF4985">
        <w:t>20</w:t>
      </w:r>
      <w:r w:rsidR="00335E78" w:rsidRPr="00EF4985">
        <w:t>.</w:t>
      </w:r>
      <w:r w:rsidR="00335E78" w:rsidRPr="00EF4985">
        <w:tab/>
        <w:t>Se ruega aporten información sobre las medidas tomadas para garantizar en la práctica el derecho de igualdad de trato de los trabajadores migratorios y sus familiares, en particular l</w:t>
      </w:r>
      <w:r w:rsidR="00074246" w:rsidRPr="00EF4985">
        <w:t>a</w:t>
      </w:r>
      <w:r w:rsidR="00335E78" w:rsidRPr="00EF4985">
        <w:t>s trabajador</w:t>
      </w:r>
      <w:r w:rsidR="00D00BC4" w:rsidRPr="00EF4985">
        <w:t>e</w:t>
      </w:r>
      <w:r w:rsidR="00335E78" w:rsidRPr="00EF4985">
        <w:t>s migratorias y en especial en los sectores agrícola, de las manufacturas</w:t>
      </w:r>
      <w:r w:rsidR="00074246" w:rsidRPr="00EF4985">
        <w:t>,</w:t>
      </w:r>
      <w:r w:rsidR="00335E78" w:rsidRPr="00EF4985">
        <w:t xml:space="preserve"> </w:t>
      </w:r>
      <w:r w:rsidR="00074246" w:rsidRPr="00EF4985">
        <w:t xml:space="preserve">el servicio </w:t>
      </w:r>
      <w:r w:rsidR="00024F50" w:rsidRPr="00EF4985">
        <w:t>doméstico</w:t>
      </w:r>
      <w:r w:rsidR="00D00BC4" w:rsidRPr="00EF4985">
        <w:t xml:space="preserve"> y</w:t>
      </w:r>
      <w:r w:rsidR="009F2AD8">
        <w:t xml:space="preserve"> </w:t>
      </w:r>
      <w:r w:rsidR="00074246" w:rsidRPr="00EF4985">
        <w:t xml:space="preserve">los </w:t>
      </w:r>
      <w:r w:rsidR="00335E78" w:rsidRPr="00EF4985">
        <w:t>trabaj</w:t>
      </w:r>
      <w:r w:rsidR="00261E61" w:rsidRPr="00EF4985">
        <w:t>adores artesanales</w:t>
      </w:r>
      <w:r w:rsidR="00335E78" w:rsidRPr="00EF4985">
        <w:t xml:space="preserve">, y para vigilar de manera efectiva sus condiciones de empleo. </w:t>
      </w:r>
      <w:r w:rsidR="0081394A" w:rsidRPr="00EF4985">
        <w:t>Asimismo,</w:t>
      </w:r>
      <w:r w:rsidR="00335E78" w:rsidRPr="00EF4985">
        <w:t xml:space="preserve"> sírvanse indicar qué mecanismos de protección legal y laboral se han establecido para que los trabajadores migratorios gocen de un trato no menos favorable que el que reciben los nacionales en </w:t>
      </w:r>
      <w:r w:rsidR="00074246" w:rsidRPr="00EF4985">
        <w:t xml:space="preserve">lo </w:t>
      </w:r>
      <w:r w:rsidR="00335E78" w:rsidRPr="00EF4985">
        <w:t>que concierne a remuneración y condiciones de trabajo. Se ruega incluir información sobre las medidas que se han tomado para promover los derechos de los trabajadores migratorios en el extranjero. Tenga a bien incluir casos de migr</w:t>
      </w:r>
      <w:r w:rsidR="00460A81" w:rsidRPr="00EF4985">
        <w:t>antes trabajadores sexuales.</w:t>
      </w:r>
    </w:p>
    <w:p w:rsidR="003858A6" w:rsidRPr="00020CC5" w:rsidRDefault="003B241C">
      <w:pPr>
        <w:pStyle w:val="SingleTxtG"/>
      </w:pPr>
      <w:r w:rsidRPr="00EF4985">
        <w:t>2</w:t>
      </w:r>
      <w:r w:rsidR="00533BC0" w:rsidRPr="00EF4985">
        <w:t>1</w:t>
      </w:r>
      <w:r w:rsidR="00335E78" w:rsidRPr="00EF4985">
        <w:t>.</w:t>
      </w:r>
      <w:r w:rsidR="00335E78" w:rsidRPr="00EF4985">
        <w:tab/>
      </w:r>
      <w:r w:rsidRPr="00EF4985">
        <w:t xml:space="preserve">Sírvanse </w:t>
      </w:r>
      <w:r w:rsidRPr="00020CC5">
        <w:t>i</w:t>
      </w:r>
      <w:r w:rsidR="003858A6" w:rsidRPr="00020CC5">
        <w:t>nform</w:t>
      </w:r>
      <w:r w:rsidRPr="00020CC5">
        <w:t>ar</w:t>
      </w:r>
      <w:r w:rsidR="003858A6" w:rsidRPr="00020CC5">
        <w:t xml:space="preserve"> sobre las políticas nacionales vigentes para que el acceso a servicios de salud y atención de emergencia para migrantes sea en igualdad de condiciones que l</w:t>
      </w:r>
      <w:r w:rsidR="00074246" w:rsidRPr="00020CC5">
        <w:t>o</w:t>
      </w:r>
      <w:r w:rsidR="003858A6" w:rsidRPr="00020CC5">
        <w:t xml:space="preserve">s </w:t>
      </w:r>
      <w:r w:rsidR="00074246" w:rsidRPr="00020CC5">
        <w:t>argentinos</w:t>
      </w:r>
      <w:r w:rsidRPr="00020CC5">
        <w:t>.</w:t>
      </w:r>
      <w:r w:rsidR="003858A6" w:rsidRPr="00020CC5">
        <w:t xml:space="preserve"> </w:t>
      </w:r>
      <w:r w:rsidRPr="00020CC5">
        <w:t xml:space="preserve">Sírvanse proporcionar información sobre </w:t>
      </w:r>
      <w:r w:rsidR="003858A6" w:rsidRPr="00020CC5">
        <w:t>la atención, aclaración y resolución de los casos denunciados por los medios de comunicación y las organizaciones de la sociedad civil sobre prácticas excluyentes del personal de salud en detrimento de los trabajadores migrantes y sus familias</w:t>
      </w:r>
      <w:r w:rsidR="00805A81" w:rsidRPr="00020CC5">
        <w:t>,</w:t>
      </w:r>
      <w:r w:rsidR="003858A6" w:rsidRPr="00020CC5">
        <w:t xml:space="preserve"> </w:t>
      </w:r>
      <w:r w:rsidR="00805A81" w:rsidRPr="00020CC5">
        <w:t>c</w:t>
      </w:r>
      <w:r w:rsidR="003858A6" w:rsidRPr="00020CC5">
        <w:t xml:space="preserve">onsiderando </w:t>
      </w:r>
      <w:r w:rsidR="003858A6" w:rsidRPr="00EF4985">
        <w:t xml:space="preserve">la </w:t>
      </w:r>
      <w:r w:rsidR="00074246" w:rsidRPr="00EF4985">
        <w:t>o</w:t>
      </w:r>
      <w:r w:rsidR="003858A6" w:rsidRPr="00EF4985">
        <w:t xml:space="preserve">bservación </w:t>
      </w:r>
      <w:r w:rsidR="00074246" w:rsidRPr="00EF4985">
        <w:t>g</w:t>
      </w:r>
      <w:r w:rsidR="003858A6" w:rsidRPr="00EF4985">
        <w:t xml:space="preserve">eneral </w:t>
      </w:r>
      <w:r w:rsidR="00074246" w:rsidRPr="00EF4985">
        <w:t>núm.</w:t>
      </w:r>
      <w:r w:rsidR="00B95256">
        <w:t> </w:t>
      </w:r>
      <w:r w:rsidR="003858A6" w:rsidRPr="00EF4985">
        <w:t xml:space="preserve">2 </w:t>
      </w:r>
      <w:r w:rsidR="00074246" w:rsidRPr="00EF4985">
        <w:t>(2013) sobre los derechos de los trab</w:t>
      </w:r>
      <w:r w:rsidR="00805A81" w:rsidRPr="00EF4985">
        <w:t>a</w:t>
      </w:r>
      <w:r w:rsidR="00074246" w:rsidRPr="00EF4985">
        <w:t xml:space="preserve">jadores migratorios en situación irregular y de sus familiares, </w:t>
      </w:r>
      <w:r w:rsidR="003858A6" w:rsidRPr="00EF4985">
        <w:t>de este Comité</w:t>
      </w:r>
      <w:r w:rsidR="00074246" w:rsidRPr="00EF4985">
        <w:t>,</w:t>
      </w:r>
      <w:r w:rsidR="003858A6" w:rsidRPr="00EF4985">
        <w:t xml:space="preserve"> y la </w:t>
      </w:r>
      <w:r w:rsidR="00074246" w:rsidRPr="00EF4985">
        <w:t>o</w:t>
      </w:r>
      <w:r w:rsidR="003858A6" w:rsidRPr="00EF4985">
        <w:t xml:space="preserve">bservación </w:t>
      </w:r>
      <w:r w:rsidR="00074246" w:rsidRPr="00EF4985">
        <w:t>g</w:t>
      </w:r>
      <w:r w:rsidR="003858A6" w:rsidRPr="00EF4985">
        <w:t xml:space="preserve">eneral </w:t>
      </w:r>
      <w:r w:rsidR="00074246" w:rsidRPr="00EF4985">
        <w:t>núm.</w:t>
      </w:r>
      <w:r w:rsidR="00B95256">
        <w:t> </w:t>
      </w:r>
      <w:r w:rsidR="003858A6" w:rsidRPr="00EF4985">
        <w:t xml:space="preserve">14 </w:t>
      </w:r>
      <w:r w:rsidR="00805A81" w:rsidRPr="00EF4985">
        <w:t xml:space="preserve">(2000) sobre el derecho al disfrute del más alto nivel posible de salud, </w:t>
      </w:r>
      <w:r w:rsidR="003858A6" w:rsidRPr="00EF4985">
        <w:t>del Comité de Derechos Económicos, Sociales y Culturales.</w:t>
      </w:r>
      <w:r w:rsidR="003858A6" w:rsidRPr="00020CC5">
        <w:t xml:space="preserve"> Asimismo, se ruega informar sobre el </w:t>
      </w:r>
      <w:r w:rsidR="003858A6" w:rsidRPr="00EF4985">
        <w:t xml:space="preserve">proyecto de ley provincial presentado en la provincia de Jujuy, con el objetivo de establecer un </w:t>
      </w:r>
      <w:r w:rsidR="00074246" w:rsidRPr="00EF4985">
        <w:t>s</w:t>
      </w:r>
      <w:r w:rsidR="003858A6" w:rsidRPr="00EF4985">
        <w:t xml:space="preserve">istema </w:t>
      </w:r>
      <w:r w:rsidR="00074246" w:rsidRPr="00EF4985">
        <w:t>p</w:t>
      </w:r>
      <w:r w:rsidR="003858A6" w:rsidRPr="00EF4985">
        <w:t xml:space="preserve">rovincial de </w:t>
      </w:r>
      <w:r w:rsidR="00074246" w:rsidRPr="00EF4985">
        <w:t>s</w:t>
      </w:r>
      <w:r w:rsidR="003858A6" w:rsidRPr="00EF4985">
        <w:t xml:space="preserve">eguro de </w:t>
      </w:r>
      <w:r w:rsidR="00074246" w:rsidRPr="00EF4985">
        <w:t>s</w:t>
      </w:r>
      <w:r w:rsidR="003858A6" w:rsidRPr="00EF4985">
        <w:t xml:space="preserve">alud para </w:t>
      </w:r>
      <w:r w:rsidR="00074246" w:rsidRPr="00EF4985">
        <w:t>e</w:t>
      </w:r>
      <w:r w:rsidR="003858A6" w:rsidRPr="00EF4985">
        <w:t>xtranjeros, e indique</w:t>
      </w:r>
      <w:r w:rsidR="000E112C" w:rsidRPr="00EF4985">
        <w:t>n</w:t>
      </w:r>
      <w:r w:rsidR="003858A6" w:rsidRPr="00EF4985">
        <w:t xml:space="preserve"> si está previsto ampliar e</w:t>
      </w:r>
      <w:r w:rsidR="00074246" w:rsidRPr="00EF4985">
        <w:t>se</w:t>
      </w:r>
      <w:r w:rsidR="003858A6" w:rsidRPr="00EF4985">
        <w:t xml:space="preserve"> </w:t>
      </w:r>
      <w:r w:rsidR="00745294" w:rsidRPr="00EF4985">
        <w:t xml:space="preserve">sistema </w:t>
      </w:r>
      <w:r w:rsidR="003858A6" w:rsidRPr="00EF4985">
        <w:t>al resto de las provincias.</w:t>
      </w:r>
    </w:p>
    <w:p w:rsidR="00914317" w:rsidRPr="00020CC5" w:rsidRDefault="003B241C" w:rsidP="009F2AD8">
      <w:pPr>
        <w:pStyle w:val="SingleTxtG"/>
      </w:pPr>
      <w:r w:rsidRPr="00020CC5">
        <w:t>2</w:t>
      </w:r>
      <w:r w:rsidR="00533BC0" w:rsidRPr="00020CC5">
        <w:t>2</w:t>
      </w:r>
      <w:r w:rsidR="00914317" w:rsidRPr="00020CC5">
        <w:t>.</w:t>
      </w:r>
      <w:r w:rsidR="00096FC8" w:rsidRPr="00020CC5">
        <w:tab/>
      </w:r>
      <w:r w:rsidRPr="00020CC5">
        <w:t>Se ruega d</w:t>
      </w:r>
      <w:r w:rsidR="00914317" w:rsidRPr="00020CC5">
        <w:t>escrib</w:t>
      </w:r>
      <w:r w:rsidRPr="00020CC5">
        <w:t>ir</w:t>
      </w:r>
      <w:r w:rsidR="00914317" w:rsidRPr="00020CC5">
        <w:t xml:space="preserve"> las políticas y programas que han facilitado la inserción educativa de los estudiantes de familias migrantes</w:t>
      </w:r>
      <w:r w:rsidRPr="00020CC5">
        <w:t>.</w:t>
      </w:r>
      <w:r w:rsidR="00096FC8" w:rsidRPr="00020CC5">
        <w:t xml:space="preserve"> </w:t>
      </w:r>
      <w:r w:rsidRPr="00020CC5">
        <w:t>Sírvanse brindar información sobre</w:t>
      </w:r>
      <w:r w:rsidR="00914317" w:rsidRPr="00020CC5">
        <w:t xml:space="preserve"> los avances en </w:t>
      </w:r>
      <w:r w:rsidR="00745294" w:rsidRPr="00020CC5">
        <w:t xml:space="preserve">la </w:t>
      </w:r>
      <w:r w:rsidR="00914317" w:rsidRPr="00020CC5">
        <w:t xml:space="preserve">simplificación de requisitos y procesos expeditos para aceptar a menores de edad en centros educativos, así como los convenios </w:t>
      </w:r>
      <w:r w:rsidR="00506F87" w:rsidRPr="00020CC5">
        <w:t>que se han firmado</w:t>
      </w:r>
      <w:r w:rsidR="000F7706" w:rsidRPr="00020CC5">
        <w:t>, tanto para continuar estudios como para el ejercicio profes</w:t>
      </w:r>
      <w:r w:rsidR="001C5E3E" w:rsidRPr="00020CC5">
        <w:t>ional.</w:t>
      </w:r>
      <w:r w:rsidR="000F7706" w:rsidRPr="00020CC5">
        <w:t xml:space="preserve"> </w:t>
      </w:r>
      <w:r w:rsidR="001C5E3E" w:rsidRPr="00020CC5">
        <w:t>Además</w:t>
      </w:r>
      <w:r w:rsidR="00830F7E" w:rsidRPr="00020CC5">
        <w:t>,</w:t>
      </w:r>
      <w:r w:rsidR="001C5E3E" w:rsidRPr="00020CC5">
        <w:t xml:space="preserve"> sírvanse indicar si</w:t>
      </w:r>
      <w:r w:rsidR="009F2AD8">
        <w:t xml:space="preserve"> </w:t>
      </w:r>
      <w:r w:rsidR="00914317" w:rsidRPr="00020CC5">
        <w:t>los estudios técnicos y</w:t>
      </w:r>
      <w:r w:rsidR="00D12772" w:rsidRPr="00020CC5">
        <w:t xml:space="preserve"> profesionales</w:t>
      </w:r>
      <w:r w:rsidR="00914317" w:rsidRPr="00020CC5">
        <w:t xml:space="preserve"> superiores </w:t>
      </w:r>
      <w:r w:rsidR="00745294" w:rsidRPr="00020CC5">
        <w:t xml:space="preserve">son </w:t>
      </w:r>
      <w:r w:rsidR="00914317" w:rsidRPr="00020CC5">
        <w:t>homologados de manera ágil y oportuna en pro de la inserción laboral y social del migrante</w:t>
      </w:r>
      <w:r w:rsidR="00745294" w:rsidRPr="00020CC5">
        <w:t xml:space="preserve">, así como de </w:t>
      </w:r>
      <w:r w:rsidR="00261E61" w:rsidRPr="00020CC5">
        <w:t>migrantes argentinos y repatriados.</w:t>
      </w:r>
    </w:p>
    <w:p w:rsidR="00335E78" w:rsidRPr="00020CC5" w:rsidRDefault="003755DF">
      <w:pPr>
        <w:pStyle w:val="SingleTxtG"/>
      </w:pPr>
      <w:r w:rsidRPr="00020CC5">
        <w:t>2</w:t>
      </w:r>
      <w:r w:rsidR="00533BC0" w:rsidRPr="00020CC5">
        <w:t>3</w:t>
      </w:r>
      <w:r w:rsidR="00335E78" w:rsidRPr="00020CC5">
        <w:t>.</w:t>
      </w:r>
      <w:r w:rsidR="00335E78" w:rsidRPr="00020CC5">
        <w:tab/>
      </w:r>
      <w:r w:rsidR="001E7D01" w:rsidRPr="00020CC5">
        <w:t>Sírvanse</w:t>
      </w:r>
      <w:r w:rsidR="00335E78" w:rsidRPr="00020CC5">
        <w:t xml:space="preserve"> proporcionar información detallada sobre la situación de las trabajadoras migratorias domésticas, e indicar qué medidas se han adoptado para </w:t>
      </w:r>
      <w:r w:rsidR="0081394A" w:rsidRPr="00EF4985">
        <w:t xml:space="preserve">implementar la </w:t>
      </w:r>
      <w:r w:rsidR="001E7D01" w:rsidRPr="00020CC5">
        <w:t xml:space="preserve">Ley </w:t>
      </w:r>
      <w:r w:rsidR="00745294" w:rsidRPr="00020CC5">
        <w:t>núm.</w:t>
      </w:r>
      <w:r w:rsidR="00B95256">
        <w:t> </w:t>
      </w:r>
      <w:r w:rsidR="001E7D01" w:rsidRPr="00020CC5">
        <w:t>26844 que establece el Régimen Especial de Contrato de Trabajo para el Personal de Casas Particulares</w:t>
      </w:r>
      <w:r w:rsidR="0081394A" w:rsidRPr="00020CC5">
        <w:t>.</w:t>
      </w:r>
      <w:r w:rsidR="00096FC8" w:rsidRPr="00020CC5">
        <w:t xml:space="preserve"> </w:t>
      </w:r>
      <w:r w:rsidR="0081394A" w:rsidRPr="00020CC5">
        <w:t>Sírvanse indicar si dicha ley fortale</w:t>
      </w:r>
      <w:r w:rsidR="00220DAC" w:rsidRPr="00020CC5">
        <w:t xml:space="preserve">ce </w:t>
      </w:r>
      <w:r w:rsidR="00335E78" w:rsidRPr="00020CC5">
        <w:t xml:space="preserve">la supervisión de sus condiciones de trabajo, </w:t>
      </w:r>
      <w:r w:rsidR="00220DAC" w:rsidRPr="00020CC5">
        <w:t xml:space="preserve">la investigación </w:t>
      </w:r>
      <w:r w:rsidR="00335E78" w:rsidRPr="00020CC5">
        <w:t>y sanci</w:t>
      </w:r>
      <w:r w:rsidR="00220DAC" w:rsidRPr="00020CC5">
        <w:t>ón</w:t>
      </w:r>
      <w:r w:rsidR="00335E78" w:rsidRPr="00020CC5">
        <w:t xml:space="preserve"> </w:t>
      </w:r>
      <w:r w:rsidR="00220DAC" w:rsidRPr="00020CC5">
        <w:t>de</w:t>
      </w:r>
      <w:r w:rsidR="00335E78" w:rsidRPr="00020CC5">
        <w:t xml:space="preserve"> los responsables de abusos </w:t>
      </w:r>
      <w:r w:rsidR="00FD0AD7" w:rsidRPr="00020CC5">
        <w:t>y</w:t>
      </w:r>
      <w:r w:rsidR="00335E78" w:rsidRPr="00020CC5">
        <w:t xml:space="preserve"> </w:t>
      </w:r>
      <w:r w:rsidR="00220DAC" w:rsidRPr="00020CC5">
        <w:t xml:space="preserve">les </w:t>
      </w:r>
      <w:r w:rsidR="00335E78" w:rsidRPr="00020CC5">
        <w:t>informa</w:t>
      </w:r>
      <w:r w:rsidR="00220DAC" w:rsidRPr="00020CC5">
        <w:t xml:space="preserve"> </w:t>
      </w:r>
      <w:r w:rsidR="00335E78" w:rsidRPr="00020CC5">
        <w:t>sobre el mecanismo disponible para la presentación de quejas en contra de</w:t>
      </w:r>
      <w:r w:rsidR="00220DAC" w:rsidRPr="00020CC5">
        <w:t>l</w:t>
      </w:r>
      <w:r w:rsidR="00335E78" w:rsidRPr="00020CC5">
        <w:t xml:space="preserve"> empleador, así como medidas dirigidas a facilita</w:t>
      </w:r>
      <w:r w:rsidR="00460A81" w:rsidRPr="00020CC5">
        <w:t>r su regularización migratoria.</w:t>
      </w:r>
    </w:p>
    <w:p w:rsidR="00914317" w:rsidRPr="00020CC5" w:rsidRDefault="00C87953">
      <w:pPr>
        <w:pStyle w:val="SingleTxtG"/>
      </w:pPr>
      <w:r w:rsidRPr="00020CC5">
        <w:t>2</w:t>
      </w:r>
      <w:r w:rsidR="00533BC0" w:rsidRPr="00020CC5">
        <w:t>4</w:t>
      </w:r>
      <w:r w:rsidR="00335E78" w:rsidRPr="00020CC5">
        <w:t>.</w:t>
      </w:r>
      <w:r w:rsidR="00096FC8" w:rsidRPr="00020CC5">
        <w:tab/>
      </w:r>
      <w:r w:rsidR="001E7D01" w:rsidRPr="00020CC5">
        <w:t>A la luz de las recomendaciones anteriores del Comité (CMW/C/ARG/CO/</w:t>
      </w:r>
      <w:r w:rsidR="00261E61" w:rsidRPr="00020CC5">
        <w:t>1</w:t>
      </w:r>
      <w:r w:rsidR="001E7D01" w:rsidRPr="00020CC5">
        <w:t>, párr</w:t>
      </w:r>
      <w:r w:rsidR="00F10AF0" w:rsidRPr="00020CC5">
        <w:t>.</w:t>
      </w:r>
      <w:r w:rsidR="00F10AF0">
        <w:t> </w:t>
      </w:r>
      <w:r w:rsidR="001E7D01" w:rsidRPr="00F10AF0">
        <w:t xml:space="preserve">29) se solicita que indiquen los progresos realizados para </w:t>
      </w:r>
      <w:r w:rsidR="00154CBC" w:rsidRPr="00F10AF0">
        <w:t>revisar</w:t>
      </w:r>
      <w:r w:rsidR="00F329DE" w:rsidRPr="00F10AF0">
        <w:t xml:space="preserve"> el plazo</w:t>
      </w:r>
      <w:r w:rsidR="00154CBC" w:rsidRPr="00F10AF0">
        <w:t xml:space="preserve"> requerid</w:t>
      </w:r>
      <w:r w:rsidR="00F329DE" w:rsidRPr="00020CC5">
        <w:t>o</w:t>
      </w:r>
      <w:r w:rsidR="00154CBC" w:rsidRPr="00020CC5">
        <w:t xml:space="preserve"> de residencia en el caso de las prestaciones sociales no contributivas, con miras a garantizar su compatibilidad con los </w:t>
      </w:r>
      <w:r w:rsidR="00F10AF0" w:rsidRPr="00020CC5">
        <w:t>artículos</w:t>
      </w:r>
      <w:r w:rsidR="00F10AF0">
        <w:t> </w:t>
      </w:r>
      <w:r w:rsidR="00154CBC" w:rsidRPr="00F10AF0">
        <w:t xml:space="preserve">5 y 6 de la Ley de </w:t>
      </w:r>
      <w:r w:rsidR="00F329DE" w:rsidRPr="00020CC5">
        <w:t>M</w:t>
      </w:r>
      <w:r w:rsidR="00154CBC" w:rsidRPr="00020CC5">
        <w:t>igraciones y la Constitución Nacional.</w:t>
      </w:r>
      <w:r w:rsidR="00096FC8" w:rsidRPr="00020CC5">
        <w:t xml:space="preserve"> </w:t>
      </w:r>
      <w:r w:rsidR="003B241C" w:rsidRPr="00020CC5">
        <w:t>Sírvanse b</w:t>
      </w:r>
      <w:r w:rsidR="003858A6" w:rsidRPr="00020CC5">
        <w:t>rind</w:t>
      </w:r>
      <w:r w:rsidR="003B241C" w:rsidRPr="00020CC5">
        <w:t>ar</w:t>
      </w:r>
      <w:r w:rsidR="003858A6" w:rsidRPr="00020CC5">
        <w:t xml:space="preserve"> información que permita constatar en la práctica el acceso de los trabajadores migratorios y sus familias a la seguridad social y todos sus beneficios, sin diferencias o discriminación respecto a los argentinos. De la misma manera</w:t>
      </w:r>
      <w:r w:rsidR="003B241C" w:rsidRPr="00020CC5">
        <w:t>, sírvanse explicar</w:t>
      </w:r>
      <w:r w:rsidR="00220DAC" w:rsidRPr="00020CC5">
        <w:t>,</w:t>
      </w:r>
      <w:r w:rsidR="003858A6" w:rsidRPr="00020CC5">
        <w:t xml:space="preserve"> en el caso de los programas de asistencia</w:t>
      </w:r>
      <w:r w:rsidR="00220DAC" w:rsidRPr="00020CC5">
        <w:t xml:space="preserve"> y </w:t>
      </w:r>
      <w:r w:rsidR="003858A6" w:rsidRPr="00020CC5">
        <w:t xml:space="preserve">protección social, los medios implementados para superar las barreras que existen para migrantes </w:t>
      </w:r>
      <w:r w:rsidR="00220DAC" w:rsidRPr="00020CC5">
        <w:t xml:space="preserve">en </w:t>
      </w:r>
      <w:r w:rsidR="003858A6" w:rsidRPr="00020CC5">
        <w:t>situaciones de vulnerabilidad extrema y que sin embargo no son beneficiarios por no cumplir requisitos administrativos.</w:t>
      </w:r>
    </w:p>
    <w:p w:rsidR="00914317" w:rsidRPr="00EF4985" w:rsidRDefault="00096FC8">
      <w:pPr>
        <w:pStyle w:val="H23G"/>
      </w:pPr>
      <w:r w:rsidRPr="00EF4985">
        <w:tab/>
      </w:r>
      <w:r w:rsidRPr="00EF4985">
        <w:tab/>
      </w:r>
      <w:r w:rsidR="00F10AF0" w:rsidRPr="00EF4985">
        <w:t>Artículo</w:t>
      </w:r>
      <w:r w:rsidR="00F10AF0">
        <w:t xml:space="preserve"> </w:t>
      </w:r>
      <w:r w:rsidRPr="00EF4985">
        <w:t>33</w:t>
      </w:r>
    </w:p>
    <w:p w:rsidR="00914317" w:rsidRPr="00020CC5" w:rsidRDefault="003755DF">
      <w:pPr>
        <w:pStyle w:val="SingleTxtG"/>
      </w:pPr>
      <w:r w:rsidRPr="00A91C20">
        <w:t>2</w:t>
      </w:r>
      <w:r w:rsidR="00533BC0" w:rsidRPr="00A91C20">
        <w:t>5</w:t>
      </w:r>
      <w:r w:rsidR="003B241C" w:rsidRPr="00F10AF0">
        <w:t>.</w:t>
      </w:r>
      <w:r w:rsidR="00096FC8" w:rsidRPr="00F10AF0">
        <w:tab/>
      </w:r>
      <w:r w:rsidR="003B241C" w:rsidRPr="00F10AF0">
        <w:t>Sírvanse i</w:t>
      </w:r>
      <w:r w:rsidR="00914317" w:rsidRPr="00F10AF0">
        <w:t>nform</w:t>
      </w:r>
      <w:r w:rsidR="003B241C" w:rsidRPr="00F10AF0">
        <w:t>ar</w:t>
      </w:r>
      <w:r w:rsidR="00914317" w:rsidRPr="00F10AF0">
        <w:t xml:space="preserve"> sobre los canales de información e instituciones responsables de difundir entre la comunidad migrante los derechos que tienen en virtud de la Convención y en particular los derechos establecidos en la </w:t>
      </w:r>
      <w:r w:rsidR="003B241C" w:rsidRPr="00020CC5">
        <w:t>C</w:t>
      </w:r>
      <w:r w:rsidR="00914317" w:rsidRPr="00020CC5">
        <w:t>onstitución y leyes argentinas para su protección</w:t>
      </w:r>
      <w:r w:rsidR="00F329DE" w:rsidRPr="00020CC5">
        <w:t>.</w:t>
      </w:r>
      <w:r w:rsidR="00914317" w:rsidRPr="00020CC5">
        <w:t xml:space="preserve"> </w:t>
      </w:r>
      <w:r w:rsidR="00F329DE" w:rsidRPr="00020CC5">
        <w:t>C</w:t>
      </w:r>
      <w:r w:rsidR="00914317" w:rsidRPr="00020CC5">
        <w:t xml:space="preserve">onsiderando que el nuevo proceso sumarísimo del </w:t>
      </w:r>
      <w:r w:rsidR="00B97CDD" w:rsidRPr="00EF4985">
        <w:t>decreto núm.</w:t>
      </w:r>
      <w:r w:rsidR="00B95256">
        <w:t> </w:t>
      </w:r>
      <w:r w:rsidR="00F329DE" w:rsidRPr="00020CC5">
        <w:t>70/2017</w:t>
      </w:r>
      <w:r w:rsidR="00914317" w:rsidRPr="00020CC5">
        <w:t xml:space="preserve"> tiene plazos que no permiten acción ni reacción adecuada de parte del migrante afectado y que </w:t>
      </w:r>
      <w:r w:rsidR="00024F50" w:rsidRPr="00020CC5">
        <w:t xml:space="preserve">restringe la </w:t>
      </w:r>
      <w:r w:rsidR="00914317" w:rsidRPr="00020CC5">
        <w:t>asistencia jurídica</w:t>
      </w:r>
      <w:r w:rsidR="00F329DE" w:rsidRPr="00020CC5">
        <w:t xml:space="preserve">, sírvanse explicar cómo puede la persona migrante ser informada oportunamente sobre sus derechos y sus opciones para la defensa y </w:t>
      </w:r>
      <w:r w:rsidR="00220DAC" w:rsidRPr="00020CC5">
        <w:t xml:space="preserve">la </w:t>
      </w:r>
      <w:r w:rsidR="00F329DE" w:rsidRPr="00020CC5">
        <w:t>apelación de una resolución migratoria</w:t>
      </w:r>
      <w:r w:rsidR="00914317" w:rsidRPr="00020CC5">
        <w:t>.</w:t>
      </w:r>
    </w:p>
    <w:p w:rsidR="00335E78" w:rsidRPr="00020CC5" w:rsidRDefault="00335E78">
      <w:pPr>
        <w:pStyle w:val="H23G"/>
      </w:pPr>
      <w:r w:rsidRPr="00EF4985">
        <w:tab/>
        <w:t>3.</w:t>
      </w:r>
      <w:r w:rsidRPr="00EF4985">
        <w:tab/>
        <w:t>Parte IV de la Convención</w:t>
      </w:r>
    </w:p>
    <w:p w:rsidR="00335E78" w:rsidRPr="00020CC5" w:rsidRDefault="00335E78">
      <w:pPr>
        <w:pStyle w:val="H23G"/>
      </w:pPr>
      <w:r w:rsidRPr="00EF4985">
        <w:tab/>
      </w:r>
      <w:r w:rsidRPr="00EF4985">
        <w:tab/>
      </w:r>
      <w:r w:rsidR="00F10AF0" w:rsidRPr="00EF4985">
        <w:t>Artículo</w:t>
      </w:r>
      <w:r w:rsidR="00F10AF0">
        <w:t xml:space="preserve"> </w:t>
      </w:r>
      <w:r w:rsidRPr="00EF4985">
        <w:t>44</w:t>
      </w:r>
    </w:p>
    <w:p w:rsidR="003858A6" w:rsidRPr="00EF4985" w:rsidRDefault="00C87953">
      <w:pPr>
        <w:pStyle w:val="SingleTxtG"/>
      </w:pPr>
      <w:r w:rsidRPr="00EF4985">
        <w:t>2</w:t>
      </w:r>
      <w:r w:rsidR="00533BC0" w:rsidRPr="00EF4985">
        <w:t>6</w:t>
      </w:r>
      <w:r w:rsidR="00C641B5" w:rsidRPr="00EF4985">
        <w:t>.</w:t>
      </w:r>
      <w:r w:rsidR="00C641B5" w:rsidRPr="00EF4985">
        <w:tab/>
        <w:t xml:space="preserve">Tengan </w:t>
      </w:r>
      <w:r w:rsidR="00220DAC" w:rsidRPr="00EF4985">
        <w:t>a</w:t>
      </w:r>
      <w:r w:rsidR="00C641B5" w:rsidRPr="00EF4985">
        <w:t xml:space="preserve"> bien clarificar si el </w:t>
      </w:r>
      <w:r w:rsidR="00EB0048" w:rsidRPr="00EF4985">
        <w:t>decreto núm</w:t>
      </w:r>
      <w:r w:rsidR="00B95256" w:rsidRPr="00EF4985">
        <w:t>.</w:t>
      </w:r>
      <w:r w:rsidR="00B95256">
        <w:t> </w:t>
      </w:r>
      <w:r w:rsidR="00C641B5" w:rsidRPr="00EF4985">
        <w:t>70/2017 prohíbe la reunificación familiar en los casos de comisión de delitos penales que pueden deriv</w:t>
      </w:r>
      <w:r w:rsidR="00460A81" w:rsidRPr="00EF4985">
        <w:t>ar en una expulsión (</w:t>
      </w:r>
      <w:r w:rsidR="00B97CDD" w:rsidRPr="00EF4985">
        <w:t>a</w:t>
      </w:r>
      <w:r w:rsidR="00460A81" w:rsidRPr="00EF4985">
        <w:t>rts</w:t>
      </w:r>
      <w:r w:rsidR="00F10AF0" w:rsidRPr="00EF4985">
        <w:t>.</w:t>
      </w:r>
      <w:r w:rsidR="00F10AF0">
        <w:t> </w:t>
      </w:r>
      <w:r w:rsidR="00460A81" w:rsidRPr="00EF4985">
        <w:t>29 y</w:t>
      </w:r>
      <w:r w:rsidR="00A91C20">
        <w:t xml:space="preserve"> </w:t>
      </w:r>
      <w:r w:rsidR="00C641B5" w:rsidRPr="00EF4985">
        <w:t>62).</w:t>
      </w:r>
      <w:r w:rsidR="007A57DC" w:rsidRPr="00EF4985">
        <w:t xml:space="preserve"> </w:t>
      </w:r>
      <w:r w:rsidR="00C641B5" w:rsidRPr="00EF4985">
        <w:t>Asimismo, sírvanse informar</w:t>
      </w:r>
      <w:r w:rsidR="00335E78" w:rsidRPr="00EF4985">
        <w:t xml:space="preserve"> sobre programas y políticas encaminados a facilitar la </w:t>
      </w:r>
      <w:r w:rsidR="00441EF3" w:rsidRPr="00EF4985">
        <w:t xml:space="preserve">reunificación familiar de </w:t>
      </w:r>
      <w:r w:rsidR="00335E78" w:rsidRPr="00EF4985">
        <w:t xml:space="preserve">trabajadores migrantes </w:t>
      </w:r>
      <w:r w:rsidR="00220DAC" w:rsidRPr="00EF4985">
        <w:t xml:space="preserve">argentinos </w:t>
      </w:r>
      <w:r w:rsidR="00335E78" w:rsidRPr="00EF4985">
        <w:t>y otros familiares que residen en el extranjero. Sírva</w:t>
      </w:r>
      <w:r w:rsidR="00A73119" w:rsidRPr="00EF4985">
        <w:t>n</w:t>
      </w:r>
      <w:r w:rsidR="00335E78" w:rsidRPr="00EF4985">
        <w:t>se indicar acerca de los procedimientos y las medidas que tengan por objeto proteger el derecho a la vida familiar de los trabajadores migratorios en el Estado parte con sus familiares, incluyendo el derecho de los niños no acompañados a que sus pa</w:t>
      </w:r>
      <w:r w:rsidR="00C641B5" w:rsidRPr="00EF4985">
        <w:t xml:space="preserve">dres se reagrupen con ellos en </w:t>
      </w:r>
      <w:r w:rsidR="00335E78" w:rsidRPr="00EF4985">
        <w:t>el Estado parte o que ellos se reagrupen con sus padres que residen en el país de origen o en un tercer país, con base en las circunstancias de cada caso y el principio de</w:t>
      </w:r>
      <w:r w:rsidR="00220DAC" w:rsidRPr="00EF4985">
        <w:t>l</w:t>
      </w:r>
      <w:r w:rsidR="00335E78" w:rsidRPr="00EF4985">
        <w:t xml:space="preserve"> interés superior del niño. Se ruega dar a conocer si existe algún mecanismo de visitas temporales por vía regular y segura para </w:t>
      </w:r>
      <w:r w:rsidR="00220DAC" w:rsidRPr="00EF4985">
        <w:t xml:space="preserve">el </w:t>
      </w:r>
      <w:r w:rsidR="00335E78" w:rsidRPr="00EF4985">
        <w:t>encuentro entre padres e hijos, ya sea en el país de origen o destino.</w:t>
      </w:r>
    </w:p>
    <w:p w:rsidR="00096FC8" w:rsidRPr="00020CC5" w:rsidRDefault="003B241C">
      <w:pPr>
        <w:pStyle w:val="SingleTxtG"/>
      </w:pPr>
      <w:r w:rsidRPr="00020CC5">
        <w:t>2</w:t>
      </w:r>
      <w:r w:rsidR="00533BC0" w:rsidRPr="00020CC5">
        <w:t>7</w:t>
      </w:r>
      <w:r w:rsidR="003858A6" w:rsidRPr="00020CC5">
        <w:t>.</w:t>
      </w:r>
      <w:r w:rsidR="00096FC8" w:rsidRPr="00020CC5">
        <w:tab/>
      </w:r>
      <w:r w:rsidRPr="00020CC5">
        <w:t>Sírvanse p</w:t>
      </w:r>
      <w:r w:rsidR="003858A6" w:rsidRPr="00020CC5">
        <w:t>roporcion</w:t>
      </w:r>
      <w:r w:rsidRPr="00020CC5">
        <w:t>ar</w:t>
      </w:r>
      <w:r w:rsidR="003858A6" w:rsidRPr="00020CC5">
        <w:t xml:space="preserve"> información sobre los casos </w:t>
      </w:r>
      <w:r w:rsidR="00220DAC" w:rsidRPr="00020CC5">
        <w:t xml:space="preserve">de </w:t>
      </w:r>
      <w:r w:rsidR="003858A6" w:rsidRPr="00020CC5">
        <w:t xml:space="preserve">migrantes en </w:t>
      </w:r>
      <w:r w:rsidR="00963C8E" w:rsidRPr="00020CC5">
        <w:t xml:space="preserve">el Estado parte </w:t>
      </w:r>
      <w:r w:rsidR="003858A6" w:rsidRPr="00020CC5">
        <w:t>que solicitaron suspende</w:t>
      </w:r>
      <w:r w:rsidR="0051315C" w:rsidRPr="00020CC5">
        <w:t xml:space="preserve">r una orden de expulsión por sus </w:t>
      </w:r>
      <w:r w:rsidR="003858A6" w:rsidRPr="00020CC5">
        <w:t>derechos a la reunificación familiar, pues habrían sido perjudicad</w:t>
      </w:r>
      <w:r w:rsidR="000616D2" w:rsidRPr="00020CC5">
        <w:t>o</w:t>
      </w:r>
      <w:r w:rsidR="003858A6" w:rsidRPr="00020CC5">
        <w:t xml:space="preserve">s por la aplicación del </w:t>
      </w:r>
      <w:r w:rsidR="00B97CDD" w:rsidRPr="00EF4985">
        <w:t>decreto núm.</w:t>
      </w:r>
      <w:r w:rsidR="00B95256">
        <w:t> </w:t>
      </w:r>
      <w:r w:rsidR="00F329DE" w:rsidRPr="00EF4985">
        <w:t>70/2017</w:t>
      </w:r>
      <w:r w:rsidR="003858A6" w:rsidRPr="00A91C20">
        <w:t>. Del mismo modo</w:t>
      </w:r>
      <w:r w:rsidRPr="00A91C20">
        <w:t>,</w:t>
      </w:r>
      <w:r w:rsidR="003858A6" w:rsidRPr="00F10AF0">
        <w:t xml:space="preserve"> los casos en lo</w:t>
      </w:r>
      <w:r w:rsidR="00220DAC" w:rsidRPr="00F10AF0">
        <w:t>s</w:t>
      </w:r>
      <w:r w:rsidR="003858A6" w:rsidRPr="00F10AF0">
        <w:t xml:space="preserve"> que l</w:t>
      </w:r>
      <w:r w:rsidR="00220DAC" w:rsidRPr="00F10AF0">
        <w:t>o</w:t>
      </w:r>
      <w:r w:rsidR="00724818" w:rsidRPr="00F10AF0">
        <w:t>s</w:t>
      </w:r>
      <w:r w:rsidR="003858A6" w:rsidRPr="00F10AF0">
        <w:t xml:space="preserve"> </w:t>
      </w:r>
      <w:r w:rsidR="0051315C" w:rsidRPr="00020CC5">
        <w:t>migrantes</w:t>
      </w:r>
      <w:r w:rsidR="003858A6" w:rsidRPr="00020CC5">
        <w:t xml:space="preserve"> demuestra</w:t>
      </w:r>
      <w:r w:rsidR="007A57DC" w:rsidRPr="00020CC5">
        <w:t>n</w:t>
      </w:r>
      <w:r w:rsidR="003858A6" w:rsidRPr="00020CC5">
        <w:t xml:space="preserve"> su arraigo</w:t>
      </w:r>
      <w:r w:rsidR="00D27D2D" w:rsidRPr="00020CC5">
        <w:t>,</w:t>
      </w:r>
      <w:r w:rsidR="003858A6" w:rsidRPr="00020CC5">
        <w:t xml:space="preserve"> o necesidad de ayuda humanitaria para no ser expulsada</w:t>
      </w:r>
      <w:r w:rsidR="00220DAC" w:rsidRPr="00020CC5">
        <w:t>s,</w:t>
      </w:r>
      <w:r w:rsidR="003858A6" w:rsidRPr="00020CC5">
        <w:t xml:space="preserve"> y sin embargo con orden administrativa y sin un debido proceso</w:t>
      </w:r>
      <w:r w:rsidR="00220DAC" w:rsidRPr="00020CC5">
        <w:t xml:space="preserve"> son</w:t>
      </w:r>
      <w:r w:rsidR="003858A6" w:rsidRPr="00020CC5">
        <w:t xml:space="preserve"> obligad</w:t>
      </w:r>
      <w:r w:rsidR="00220DAC" w:rsidRPr="00020CC5">
        <w:t>os</w:t>
      </w:r>
      <w:r w:rsidR="003858A6" w:rsidRPr="00020CC5">
        <w:t xml:space="preserve"> a salir de</w:t>
      </w:r>
      <w:r w:rsidR="00963C8E" w:rsidRPr="00020CC5">
        <w:t>l Estado parte</w:t>
      </w:r>
      <w:r w:rsidR="003858A6" w:rsidRPr="00020CC5">
        <w:t xml:space="preserve">, a pesar de lo establecido en el </w:t>
      </w:r>
      <w:r w:rsidR="00220DAC" w:rsidRPr="00020CC5">
        <w:t>artículo</w:t>
      </w:r>
      <w:r w:rsidR="00F10AF0">
        <w:t> </w:t>
      </w:r>
      <w:r w:rsidR="003858A6" w:rsidRPr="00F10AF0">
        <w:t>56 de la Convención.</w:t>
      </w:r>
    </w:p>
    <w:p w:rsidR="00A82EF6" w:rsidRPr="00020CC5" w:rsidRDefault="00A82EF6">
      <w:pPr>
        <w:pStyle w:val="H23G"/>
      </w:pPr>
      <w:r w:rsidRPr="00EF4985">
        <w:tab/>
        <w:t>4.</w:t>
      </w:r>
      <w:r w:rsidRPr="00EF4985">
        <w:tab/>
        <w:t>Parte VI de la Convención</w:t>
      </w:r>
    </w:p>
    <w:p w:rsidR="00A82EF6" w:rsidRPr="00020CC5" w:rsidRDefault="00A82EF6">
      <w:pPr>
        <w:pStyle w:val="H23G"/>
      </w:pPr>
      <w:r w:rsidRPr="00EF4985">
        <w:tab/>
      </w:r>
      <w:r w:rsidRPr="00EF4985">
        <w:tab/>
        <w:t>Art</w:t>
      </w:r>
      <w:r w:rsidR="00F10AF0">
        <w:t>í</w:t>
      </w:r>
      <w:r w:rsidRPr="00EF4985">
        <w:t>culo</w:t>
      </w:r>
      <w:r w:rsidR="00F10AF0">
        <w:t xml:space="preserve"> </w:t>
      </w:r>
      <w:r w:rsidRPr="00EF4985">
        <w:t>64</w:t>
      </w:r>
    </w:p>
    <w:p w:rsidR="00A82EF6" w:rsidRPr="00020CC5" w:rsidRDefault="00A82EF6">
      <w:pPr>
        <w:pStyle w:val="SingleTxtG"/>
      </w:pPr>
      <w:r w:rsidRPr="00EF4985">
        <w:t>2</w:t>
      </w:r>
      <w:r w:rsidR="00533BC0" w:rsidRPr="00EF4985">
        <w:t>8</w:t>
      </w:r>
      <w:r w:rsidRPr="00EF4985">
        <w:t>.</w:t>
      </w:r>
      <w:r w:rsidRPr="00EF4985">
        <w:tab/>
        <w:t xml:space="preserve">Sírvanse proporcionar información sobre las medidas adoptadas, incluidas las consultas y la cooperación con otros Estados, para promover condiciones satisfactorias, equitativas y dignas en relación con la migración internacional de trabajadores migratorios y de sus familias, a través de acuerdos bilaterales y multilaterales, incluyendo políticas y programas, en particular con Bolivia, </w:t>
      </w:r>
      <w:r w:rsidR="00AA7604" w:rsidRPr="00EF4985">
        <w:t xml:space="preserve">el Perú, </w:t>
      </w:r>
      <w:r w:rsidR="007B353E" w:rsidRPr="00EF4985">
        <w:t xml:space="preserve">el </w:t>
      </w:r>
      <w:r w:rsidRPr="00EF4985">
        <w:t xml:space="preserve">Paraguay, y los </w:t>
      </w:r>
      <w:r w:rsidR="00AA7604" w:rsidRPr="00EF4985">
        <w:t xml:space="preserve">demás </w:t>
      </w:r>
      <w:r w:rsidR="007B353E" w:rsidRPr="00EF4985">
        <w:t xml:space="preserve">países miembros </w:t>
      </w:r>
      <w:r w:rsidRPr="00EF4985">
        <w:t>del MERCOSUR. Por favor, incluya</w:t>
      </w:r>
      <w:r w:rsidR="00691F90" w:rsidRPr="00EF4985">
        <w:t>n</w:t>
      </w:r>
      <w:r w:rsidRPr="00EF4985">
        <w:t xml:space="preserve"> información sobre cómo tales medidas se han incorporado en las políticas y programas de migración en general, y si ha habido una reducción en el número de violaciones de los derechos de los trabajadores migratorios y de sus familias como consecuencia de su aplicación. En especial, incluya</w:t>
      </w:r>
      <w:r w:rsidR="00691F90" w:rsidRPr="00EF4985">
        <w:t>n</w:t>
      </w:r>
      <w:r w:rsidRPr="00EF4985">
        <w:t xml:space="preserve"> la cooperación entre las autoridades de otros Estados para proteger a migrantes víctimas de delitos y sancionar a los responsables. Describa</w:t>
      </w:r>
      <w:r w:rsidR="00691F90" w:rsidRPr="00EF4985">
        <w:t>n</w:t>
      </w:r>
      <w:r w:rsidRPr="00EF4985">
        <w:t xml:space="preserve"> la forma en que estos acuerdos protegen derechos y garantías en los procedimientos de detención, repatriación, expulsión, y cómo facilitan y garantizan el derecho a la reunificación familiar, tanto en los países de origen como de tránsito o destino, así como la consideración que se realiza respecto de los casos de violaciones a los derechos humanos, desaparición de migrantes en tránsito, y los casos de búsqueda e identificación de migrantes víctimas de esos u otros delitos, y cómo se garantiza que las víctimas y sus familiares puedan acceder de manera efectiva a la justicia y la reparación en el territorio en el que se encuentren.</w:t>
      </w:r>
    </w:p>
    <w:p w:rsidR="00A82EF6" w:rsidRPr="00EF4985" w:rsidRDefault="00A82EF6">
      <w:pPr>
        <w:pStyle w:val="H23G"/>
      </w:pPr>
      <w:r w:rsidRPr="00EF4985">
        <w:tab/>
      </w:r>
      <w:r w:rsidRPr="00EF4985">
        <w:tab/>
        <w:t>Artículo</w:t>
      </w:r>
      <w:r w:rsidR="00F10AF0">
        <w:t xml:space="preserve"> </w:t>
      </w:r>
      <w:r w:rsidRPr="00EF4985">
        <w:t>67</w:t>
      </w:r>
    </w:p>
    <w:p w:rsidR="00A82EF6" w:rsidRPr="00020CC5" w:rsidRDefault="00A82EF6">
      <w:pPr>
        <w:pStyle w:val="SingleTxtG"/>
      </w:pPr>
      <w:r w:rsidRPr="00A91C20">
        <w:t>2</w:t>
      </w:r>
      <w:r w:rsidR="00533BC0" w:rsidRPr="00A91C20">
        <w:t>9</w:t>
      </w:r>
      <w:r w:rsidRPr="00F10AF0">
        <w:t>.</w:t>
      </w:r>
      <w:r w:rsidRPr="00F10AF0">
        <w:tab/>
        <w:t>Sírvanse proporcionar información sobre los programas de cooperación que existen entre el Estado parte y los correspondientes Estados de empleo para el retorno voluntario a</w:t>
      </w:r>
      <w:r w:rsidR="000E112C" w:rsidRPr="00020CC5">
        <w:t xml:space="preserve">l Estado parte </w:t>
      </w:r>
      <w:r w:rsidRPr="00020CC5">
        <w:t xml:space="preserve">de los trabajadores migratorios y de sus familiares cuando deciden regresar o cuando se encuentran en el Estado de empleo en situación irregular. Sírvanse proporcionar datos y estadísticas pertinentes. Proporciónese información sobre las medidas adoptadas tanto a nivel nacional como provincial y municipal para facilitar el retorno y prestar asistencia a los trabajadores migratorios </w:t>
      </w:r>
      <w:r w:rsidR="00F329DE" w:rsidRPr="00020CC5">
        <w:t xml:space="preserve">argentinos </w:t>
      </w:r>
      <w:r w:rsidRPr="00020CC5">
        <w:t xml:space="preserve">y a sus familiares para el reasentamiento y la reintegración en la vida económica y social del Estado parte. </w:t>
      </w:r>
    </w:p>
    <w:p w:rsidR="00A82EF6" w:rsidRPr="00020CC5" w:rsidRDefault="00533BC0">
      <w:pPr>
        <w:pStyle w:val="SingleTxtG"/>
      </w:pPr>
      <w:r w:rsidRPr="00020CC5">
        <w:t>30</w:t>
      </w:r>
      <w:r w:rsidR="00A82EF6" w:rsidRPr="00020CC5">
        <w:t>.</w:t>
      </w:r>
      <w:r w:rsidR="00A82EF6" w:rsidRPr="00020CC5">
        <w:tab/>
        <w:t>Sírvanse describir las medidas específicas existentes para proteger a las mujeres migrantes, que se encuentren o estén en tránsito en el Estado parte, contra todo tipo de delitos y, en particular, contra las diferentes formas de violencia y abusos sexuales, así como para proporcionar reparación a las víctimas. Sírvanse proporcionar datos cuantitativos y cualitativos sobre los resultados obtenidos, las dificultades encontradas y los aciertos de estas medidas, teniendo en cuenta las directrices establecidas por el Comité para la Eliminación de la Discriminación contra la Mujer en su recomendación general núm.</w:t>
      </w:r>
      <w:r w:rsidR="00B95256">
        <w:t> </w:t>
      </w:r>
      <w:r w:rsidR="00A82EF6" w:rsidRPr="00020CC5">
        <w:t>26 (2008) sobre las trabajadoras migratorias.</w:t>
      </w:r>
    </w:p>
    <w:p w:rsidR="00A82EF6" w:rsidRPr="00020CC5" w:rsidRDefault="00A82EF6">
      <w:pPr>
        <w:pStyle w:val="SingleTxtG"/>
      </w:pPr>
      <w:r w:rsidRPr="00020CC5">
        <w:t>3</w:t>
      </w:r>
      <w:r w:rsidR="00533BC0" w:rsidRPr="00020CC5">
        <w:t>1</w:t>
      </w:r>
      <w:r w:rsidRPr="00020CC5">
        <w:t>.</w:t>
      </w:r>
      <w:r w:rsidRPr="00020CC5">
        <w:tab/>
        <w:t>Sírvanse facilitar información sobre las medidas adoptadas por el Estado parte para garantizar los derechos de los niños migrantes y su protección frente a todo tipo de violencia o explotación, en particular de los niños no acompañados o en situación irregular, que se encuentren o estén en tránsito en el Estado parte, incluida la asignación de recursos suficientes para la aplicación efectiva de la legislación laboral y la protección de los niños contra la explotación económica. Sírvanse aportar información sobre las medidas adoptadas para proteger a los niños de los trabajos peligrosos, entre otras cosas mediante la aplicación del Convenio sobre las Peores Formas de Trabajo Infantil, 1999 (núm.</w:t>
      </w:r>
      <w:r w:rsidR="00B95256">
        <w:t> </w:t>
      </w:r>
      <w:r w:rsidRPr="00020CC5">
        <w:t>182) de la OIT, y el fortalecimiento del sistema de inspección del trabajo.</w:t>
      </w:r>
    </w:p>
    <w:p w:rsidR="00A82EF6" w:rsidRPr="00020CC5" w:rsidRDefault="00A82EF6">
      <w:pPr>
        <w:pStyle w:val="H23G"/>
      </w:pPr>
      <w:r w:rsidRPr="00020CC5">
        <w:tab/>
      </w:r>
      <w:r w:rsidRPr="00020CC5">
        <w:tab/>
      </w:r>
      <w:r w:rsidRPr="00EF4985">
        <w:t>Art</w:t>
      </w:r>
      <w:r w:rsidR="00F10AF0">
        <w:t>í</w:t>
      </w:r>
      <w:r w:rsidRPr="00EF4985">
        <w:t>culo</w:t>
      </w:r>
      <w:r w:rsidR="00F10AF0">
        <w:t xml:space="preserve"> </w:t>
      </w:r>
      <w:r w:rsidRPr="00EF4985">
        <w:t>68</w:t>
      </w:r>
    </w:p>
    <w:p w:rsidR="00A82EF6" w:rsidRPr="00EF4985" w:rsidRDefault="00A82EF6">
      <w:pPr>
        <w:pStyle w:val="SingleTxtG"/>
      </w:pPr>
      <w:r w:rsidRPr="00EF4985">
        <w:t>3</w:t>
      </w:r>
      <w:r w:rsidR="00533BC0" w:rsidRPr="00EF4985">
        <w:t>2</w:t>
      </w:r>
      <w:r w:rsidRPr="00EF4985">
        <w:t>.</w:t>
      </w:r>
      <w:r w:rsidRPr="00EF4985">
        <w:tab/>
        <w:t xml:space="preserve">En el marco de la Ley </w:t>
      </w:r>
      <w:r w:rsidR="00691F90" w:rsidRPr="00EF4985">
        <w:t>núm.</w:t>
      </w:r>
      <w:r w:rsidR="00B95256">
        <w:t> </w:t>
      </w:r>
      <w:r w:rsidRPr="00EF4985">
        <w:t xml:space="preserve">26842 sobre la </w:t>
      </w:r>
      <w:r w:rsidR="00691F90" w:rsidRPr="00EF4985">
        <w:t>p</w:t>
      </w:r>
      <w:r w:rsidRPr="00EF4985">
        <w:t>revención y sanción de la trata de personas y asistencia a sus víctimas (2012), sírvanse proporcionar datos desglosados sobre los casos de trata de personas registradas en los últimos siete años y si hubo un impacto positivo en personas mayores de 18 años que “aceptaban” las condiciones de los agresores. Asimismo, facilite</w:t>
      </w:r>
      <w:r w:rsidR="00D774E7" w:rsidRPr="00EF4985">
        <w:t>n</w:t>
      </w:r>
      <w:r w:rsidRPr="00EF4985">
        <w:t xml:space="preserve"> información sobre el mandato y las atribuciones del Consejo Federal para la Lucha contra la Trata y Explotación de Personas y para la Protección y Asistencia a las Víctimas, establecido en 2016, e indiquen cómo se llevan a la práctica sus competencias, incluyendo la investigación</w:t>
      </w:r>
      <w:r w:rsidR="00D774E7" w:rsidRPr="00EF4985">
        <w:t xml:space="preserve"> y </w:t>
      </w:r>
      <w:r w:rsidRPr="00EF4985">
        <w:t xml:space="preserve">enjuiciamiento en los tribunales </w:t>
      </w:r>
      <w:r w:rsidR="00D774E7" w:rsidRPr="00EF4985">
        <w:t>de</w:t>
      </w:r>
      <w:r w:rsidRPr="00EF4985">
        <w:t xml:space="preserve"> los responsables de la trata de personas. Sírvanse también proporcionar información detallada sobre el Programa </w:t>
      </w:r>
      <w:r w:rsidR="00D774E7" w:rsidRPr="00EF4985">
        <w:t>n</w:t>
      </w:r>
      <w:r w:rsidRPr="00EF4985">
        <w:t>acional de rescate y acompañamiento a personas damnificadas por el delito de trata (2012) e indi</w:t>
      </w:r>
      <w:r w:rsidR="00D774E7" w:rsidRPr="00EF4985">
        <w:t xml:space="preserve">quen </w:t>
      </w:r>
      <w:r w:rsidRPr="00EF4985">
        <w:t>información relativa a la creación de centros de acogida para niñas, adolescentes, jóvenes</w:t>
      </w:r>
      <w:r w:rsidR="00A73092" w:rsidRPr="00EF4985">
        <w:t>,</w:t>
      </w:r>
      <w:r w:rsidRPr="00EF4985">
        <w:t xml:space="preserve"> mujeres</w:t>
      </w:r>
      <w:r w:rsidR="00A73092" w:rsidRPr="00EF4985">
        <w:t xml:space="preserve"> y hombres</w:t>
      </w:r>
      <w:r w:rsidR="004B4283" w:rsidRPr="00EF4985">
        <w:t>,</w:t>
      </w:r>
      <w:r w:rsidRPr="00EF4985">
        <w:t xml:space="preserve"> que son víctimas de la trata. </w:t>
      </w:r>
    </w:p>
    <w:p w:rsidR="00A82EF6" w:rsidRPr="00EF4985" w:rsidRDefault="00A82EF6">
      <w:pPr>
        <w:pStyle w:val="H23G"/>
      </w:pPr>
      <w:r w:rsidRPr="00EF4985">
        <w:tab/>
      </w:r>
      <w:r w:rsidRPr="00EF4985">
        <w:tab/>
        <w:t>Art</w:t>
      </w:r>
      <w:r w:rsidR="00F10AF0">
        <w:t>í</w:t>
      </w:r>
      <w:r w:rsidRPr="00EF4985">
        <w:t>culo 69</w:t>
      </w:r>
    </w:p>
    <w:p w:rsidR="00A82EF6" w:rsidRPr="00EF4985" w:rsidRDefault="00A82EF6">
      <w:pPr>
        <w:pStyle w:val="SingleTxtG"/>
      </w:pPr>
      <w:r w:rsidRPr="00EF4985">
        <w:t>3</w:t>
      </w:r>
      <w:r w:rsidR="00533BC0" w:rsidRPr="00EF4985">
        <w:t>3</w:t>
      </w:r>
      <w:r w:rsidRPr="00EF4985">
        <w:t>.</w:t>
      </w:r>
      <w:r w:rsidRPr="00EF4985">
        <w:tab/>
        <w:t>Sírvanse indicar cu</w:t>
      </w:r>
      <w:r w:rsidR="004B4283" w:rsidRPr="00EF4985">
        <w:t>á</w:t>
      </w:r>
      <w:r w:rsidRPr="00EF4985">
        <w:t xml:space="preserve">les son </w:t>
      </w:r>
      <w:r w:rsidRPr="00020CC5">
        <w:t xml:space="preserve">los avances logrados en torno a la </w:t>
      </w:r>
      <w:r w:rsidR="00D774E7" w:rsidRPr="00020CC5">
        <w:t xml:space="preserve">anterior </w:t>
      </w:r>
      <w:r w:rsidRPr="00020CC5">
        <w:t>recomendación del Comité para incorporar visados, permisos de trabajo o permisos de estancia a trabajadores autónomos y por cuenta propia, con el objeto de darles igualdad de condiciones que todos los trabajadores migrantes (</w:t>
      </w:r>
      <w:r w:rsidR="00D774E7" w:rsidRPr="00020CC5">
        <w:t xml:space="preserve">CMW/C/ARG/CO/1, </w:t>
      </w:r>
      <w:r w:rsidRPr="00020CC5">
        <w:t>párr.</w:t>
      </w:r>
      <w:r w:rsidR="00F10AF0">
        <w:t> </w:t>
      </w:r>
      <w:r w:rsidRPr="00F10AF0">
        <w:t>34)</w:t>
      </w:r>
      <w:r w:rsidRPr="00EF4985">
        <w:t>, de conformidad con el artículo</w:t>
      </w:r>
      <w:r w:rsidR="00F10AF0">
        <w:t> </w:t>
      </w:r>
      <w:r w:rsidRPr="00EF4985">
        <w:t>2</w:t>
      </w:r>
      <w:r w:rsidR="00B95256">
        <w:t> </w:t>
      </w:r>
      <w:r w:rsidRPr="00EF4985">
        <w:t>h)</w:t>
      </w:r>
      <w:r w:rsidR="00D774E7" w:rsidRPr="00EF4985">
        <w:t>,</w:t>
      </w:r>
      <w:r w:rsidRPr="00EF4985">
        <w:t xml:space="preserve"> de la Convención y el artículo</w:t>
      </w:r>
      <w:r w:rsidR="00F10AF0">
        <w:t> </w:t>
      </w:r>
      <w:r w:rsidRPr="00EF4985">
        <w:t xml:space="preserve">23 del </w:t>
      </w:r>
      <w:r w:rsidR="00D774E7" w:rsidRPr="00EF4985">
        <w:t>d</w:t>
      </w:r>
      <w:r w:rsidRPr="00EF4985">
        <w:t xml:space="preserve">ecreto </w:t>
      </w:r>
      <w:r w:rsidR="00D774E7" w:rsidRPr="00EF4985">
        <w:t>núm.</w:t>
      </w:r>
      <w:r w:rsidR="00B95256">
        <w:t> </w:t>
      </w:r>
      <w:r w:rsidRPr="00EF4985">
        <w:t xml:space="preserve">616/2010, a fin de que los migrantes por cuenta propia de países no </w:t>
      </w:r>
      <w:r w:rsidR="00D774E7" w:rsidRPr="00EF4985">
        <w:t xml:space="preserve">miembros del </w:t>
      </w:r>
      <w:r w:rsidRPr="00EF4985">
        <w:t xml:space="preserve">MERCOSUR tengan acceso a los procedimientos de regularización. </w:t>
      </w:r>
      <w:r w:rsidRPr="00020CC5">
        <w:t>Sírvanse también proporcionar información sobre las experiencias positivas y los modelos de apoyo para la regularización de los trabajadores migratorios argentinos y sus familiares en el extranjero.</w:t>
      </w:r>
      <w:r w:rsidRPr="00EF4985">
        <w:t xml:space="preserve"> </w:t>
      </w:r>
    </w:p>
    <w:p w:rsidR="00A82EF6" w:rsidRPr="00EF4985" w:rsidRDefault="00A82EF6">
      <w:pPr>
        <w:pStyle w:val="SingleTxtG"/>
      </w:pPr>
      <w:r w:rsidRPr="00EF4985">
        <w:t>3</w:t>
      </w:r>
      <w:r w:rsidR="00533BC0" w:rsidRPr="00EF4985">
        <w:t>4</w:t>
      </w:r>
      <w:r w:rsidRPr="00EF4985">
        <w:t>.</w:t>
      </w:r>
      <w:r w:rsidRPr="00EF4985">
        <w:tab/>
        <w:t>Sírvanse brindar información sobre los programas de regularización migratoria implementados desde 2011.</w:t>
      </w:r>
      <w:r w:rsidR="00D774E7" w:rsidRPr="00EF4985">
        <w:t xml:space="preserve"> </w:t>
      </w:r>
      <w:r w:rsidRPr="00EF4985">
        <w:t>S</w:t>
      </w:r>
      <w:r w:rsidR="00830F7E" w:rsidRPr="00EF4985">
        <w:t>í</w:t>
      </w:r>
      <w:r w:rsidRPr="00EF4985">
        <w:t xml:space="preserve">rvanse informar sobre el proceso, plazo y costos del proceso de regularización para trabajadores migratorios, particularmente al amparo del Acuerdo </w:t>
      </w:r>
      <w:r w:rsidR="00D774E7" w:rsidRPr="00EF4985">
        <w:t xml:space="preserve">sobre </w:t>
      </w:r>
      <w:r w:rsidRPr="00EF4985">
        <w:t xml:space="preserve">Residencia </w:t>
      </w:r>
      <w:r w:rsidR="00D774E7" w:rsidRPr="00EF4985">
        <w:t xml:space="preserve">para los Nacionales de los Estados Partes del </w:t>
      </w:r>
      <w:r w:rsidRPr="00EF4985">
        <w:t>MERCOSUR y en el marco de la Convención, que facilite la regularización migratoria como medida de prevención ante las restricciones</w:t>
      </w:r>
      <w:r w:rsidR="009E2A8B" w:rsidRPr="00EF4985">
        <w:t xml:space="preserve"> o </w:t>
      </w:r>
      <w:r w:rsidRPr="00EF4985">
        <w:t xml:space="preserve">retrocesos del </w:t>
      </w:r>
      <w:r w:rsidR="009E2A8B" w:rsidRPr="00EF4985">
        <w:t>decreto núm.</w:t>
      </w:r>
      <w:r w:rsidR="00B95256">
        <w:t> </w:t>
      </w:r>
      <w:r w:rsidR="00F329DE" w:rsidRPr="00020CC5">
        <w:t>70/2017</w:t>
      </w:r>
      <w:r w:rsidRPr="00EF4985">
        <w:t xml:space="preserve">, que estarían afectando mayormente a personas en situación de pobreza o informalidad laboral. </w:t>
      </w:r>
      <w:r w:rsidR="009E2A8B" w:rsidRPr="00EF4985">
        <w:t xml:space="preserve">Indiquen </w:t>
      </w:r>
      <w:r w:rsidRPr="00EF4985">
        <w:t>estadísticas por nacionalidad, edad y género</w:t>
      </w:r>
      <w:r w:rsidR="009E2A8B" w:rsidRPr="00EF4985">
        <w:t>,</w:t>
      </w:r>
      <w:r w:rsidRPr="00EF4985">
        <w:t xml:space="preserve"> e inclusive presentación de casos.</w:t>
      </w:r>
    </w:p>
    <w:p w:rsidR="00A73092" w:rsidRPr="00EF4985" w:rsidRDefault="00533BC0">
      <w:pPr>
        <w:pStyle w:val="SingleTxtG"/>
      </w:pPr>
      <w:r w:rsidRPr="00EF4985">
        <w:t>35.</w:t>
      </w:r>
      <w:r w:rsidRPr="00EF4985">
        <w:tab/>
        <w:t>Sírva</w:t>
      </w:r>
      <w:r w:rsidR="00A73119" w:rsidRPr="00EF4985">
        <w:t>n</w:t>
      </w:r>
      <w:r w:rsidRPr="00EF4985">
        <w:t>se informar qu</w:t>
      </w:r>
      <w:r w:rsidR="009E2A8B" w:rsidRPr="00EF4985">
        <w:t>é</w:t>
      </w:r>
      <w:r w:rsidRPr="00EF4985">
        <w:t xml:space="preserve"> medidas han sido implementadas para garantizar canales regulares, seguros, accesibles y asequibles de la migración a través de la progresiva expansión de la liberalización de visas, así como regímenes de facilitación de visas de fácil acceso y/o medidas tales como programas de reasentamiento de refugiados, protección complementaria, protección temporal, visas humanitarias, visas para visitantes, reunificación familiar, visas de trabajo, residencia, jubilación y estudiantes, así como programas de patrocinio privado, entre otros.</w:t>
      </w:r>
    </w:p>
    <w:p w:rsidR="00A82EF6" w:rsidRPr="00EF4985" w:rsidRDefault="00A82EF6">
      <w:pPr>
        <w:pStyle w:val="H23G"/>
      </w:pPr>
      <w:r w:rsidRPr="00EF4985">
        <w:tab/>
      </w:r>
      <w:r w:rsidRPr="00EF4985">
        <w:tab/>
        <w:t>Art</w:t>
      </w:r>
      <w:r w:rsidR="00F10AF0">
        <w:t>í</w:t>
      </w:r>
      <w:r w:rsidRPr="00EF4985">
        <w:t>culo 83</w:t>
      </w:r>
    </w:p>
    <w:p w:rsidR="00A82EF6" w:rsidRPr="00EF4985" w:rsidRDefault="00A82EF6">
      <w:pPr>
        <w:pStyle w:val="SingleTxtG"/>
      </w:pPr>
      <w:r w:rsidRPr="00EF4985">
        <w:t>3</w:t>
      </w:r>
      <w:r w:rsidR="00533BC0" w:rsidRPr="00EF4985">
        <w:t>6</w:t>
      </w:r>
      <w:r w:rsidRPr="00EF4985">
        <w:t>.</w:t>
      </w:r>
      <w:r w:rsidRPr="00EF4985">
        <w:tab/>
        <w:t xml:space="preserve">Sírvanse proporcionar información sobre los procedimientos establecidos para que las víctimas de la aplicación del </w:t>
      </w:r>
      <w:r w:rsidR="009E2A8B" w:rsidRPr="00EF4985">
        <w:t>decreto núm.</w:t>
      </w:r>
      <w:r w:rsidR="00B95256">
        <w:t> </w:t>
      </w:r>
      <w:r w:rsidR="00F329DE" w:rsidRPr="00EF4985">
        <w:t xml:space="preserve">70/2017 </w:t>
      </w:r>
      <w:r w:rsidRPr="00EF4985">
        <w:t>por tratos discriminatorios, detención injustificada, expulsión no motivada y otras violaciones de derechos humanos, puedan presentar recursos y recibir resarcimiento y remedi</w:t>
      </w:r>
      <w:r w:rsidR="009E2A8B" w:rsidRPr="00EF4985">
        <w:t>o</w:t>
      </w:r>
      <w:r w:rsidRPr="00EF4985">
        <w:t>,</w:t>
      </w:r>
      <w:r w:rsidR="00A73092" w:rsidRPr="00EF4985">
        <w:t xml:space="preserve"> y obtener reparación integral</w:t>
      </w:r>
      <w:r w:rsidRPr="00EF4985">
        <w:t xml:space="preserve"> tanto para </w:t>
      </w:r>
      <w:r w:rsidR="009E2A8B" w:rsidRPr="00EF4985">
        <w:t xml:space="preserve">el </w:t>
      </w:r>
      <w:r w:rsidRPr="00EF4985">
        <w:t>migrante como para sus familias.</w:t>
      </w:r>
    </w:p>
    <w:p w:rsidR="00A82EF6" w:rsidRPr="00EF4985" w:rsidRDefault="00A82EF6">
      <w:pPr>
        <w:pStyle w:val="SingleTxtG"/>
      </w:pPr>
      <w:r w:rsidRPr="00EF4985">
        <w:t>3</w:t>
      </w:r>
      <w:r w:rsidR="00533BC0" w:rsidRPr="00EF4985">
        <w:t>7</w:t>
      </w:r>
      <w:r w:rsidRPr="00EF4985">
        <w:t>.</w:t>
      </w:r>
      <w:r w:rsidRPr="00EF4985">
        <w:tab/>
        <w:t xml:space="preserve">Sírvanse explicar las medidas de prevención, investigación, reparación y no repetición que ha establecido el </w:t>
      </w:r>
      <w:r w:rsidR="009E2A8B" w:rsidRPr="00EF4985">
        <w:t>E</w:t>
      </w:r>
      <w:r w:rsidRPr="00EF4985">
        <w:t xml:space="preserve">stado parte para que con mecanismos judiciales se resuelvan los casos de discriminación y hostigamientos a trabajadores migrantes y sus familias, especialmente los migrantes de origen </w:t>
      </w:r>
      <w:r w:rsidR="009E2A8B" w:rsidRPr="00EF4985">
        <w:t>s</w:t>
      </w:r>
      <w:r w:rsidRPr="00EF4985">
        <w:t xml:space="preserve">enegalés, </w:t>
      </w:r>
      <w:r w:rsidR="009E2A8B" w:rsidRPr="00EF4985">
        <w:t>d</w:t>
      </w:r>
      <w:r w:rsidRPr="00EF4985">
        <w:t xml:space="preserve">ominicano, </w:t>
      </w:r>
      <w:r w:rsidR="009E2A8B" w:rsidRPr="00EF4985">
        <w:t>p</w:t>
      </w:r>
      <w:r w:rsidRPr="00EF4985">
        <w:t>eruano</w:t>
      </w:r>
      <w:r w:rsidR="00A73092" w:rsidRPr="00EF4985">
        <w:t>,</w:t>
      </w:r>
      <w:r w:rsidR="009E2A8B" w:rsidRPr="00EF4985">
        <w:t xml:space="preserve"> b</w:t>
      </w:r>
      <w:r w:rsidRPr="00EF4985">
        <w:t>oliviano</w:t>
      </w:r>
      <w:r w:rsidR="00533BC0" w:rsidRPr="00EF4985">
        <w:t xml:space="preserve">, </w:t>
      </w:r>
      <w:r w:rsidR="009E2A8B" w:rsidRPr="00EF4985">
        <w:t>h</w:t>
      </w:r>
      <w:r w:rsidR="00533BC0" w:rsidRPr="00EF4985">
        <w:t>aitiano</w:t>
      </w:r>
      <w:r w:rsidR="00A73092" w:rsidRPr="00EF4985">
        <w:t xml:space="preserve"> y </w:t>
      </w:r>
      <w:r w:rsidR="009E2A8B" w:rsidRPr="00EF4985">
        <w:t>v</w:t>
      </w:r>
      <w:r w:rsidR="00A73092" w:rsidRPr="00EF4985">
        <w:t>enezolano</w:t>
      </w:r>
      <w:r w:rsidRPr="00EF4985">
        <w:t>.</w:t>
      </w:r>
    </w:p>
    <w:p w:rsidR="00A82EF6" w:rsidRPr="00020CC5" w:rsidRDefault="00A82EF6">
      <w:pPr>
        <w:pStyle w:val="HChG"/>
      </w:pPr>
      <w:r w:rsidRPr="00EF4985">
        <w:tab/>
      </w:r>
      <w:r w:rsidRPr="00EF4985">
        <w:tab/>
        <w:t>Sección II</w:t>
      </w:r>
    </w:p>
    <w:p w:rsidR="00A82EF6" w:rsidRPr="00020CC5" w:rsidRDefault="00A82EF6">
      <w:pPr>
        <w:pStyle w:val="SingleTxtG"/>
      </w:pPr>
      <w:r w:rsidRPr="00EF4985">
        <w:t>3</w:t>
      </w:r>
      <w:r w:rsidR="00533BC0" w:rsidRPr="00EF4985">
        <w:t>8</w:t>
      </w:r>
      <w:r w:rsidRPr="00EF4985">
        <w:t>.</w:t>
      </w:r>
      <w:r w:rsidRPr="00EF4985">
        <w:tab/>
        <w:t>En esta sección, el Comité invita al Estado parte a proporcionar brevemente (en tres páginas como máximo) la información relativa a la protección de los trabajadores migratorios y sus familiares, en lo que respecta a:</w:t>
      </w:r>
    </w:p>
    <w:p w:rsidR="00A82EF6" w:rsidRPr="00020CC5" w:rsidRDefault="00A82EF6">
      <w:pPr>
        <w:pStyle w:val="SingleTxtG"/>
      </w:pPr>
      <w:r w:rsidRPr="00EF4985">
        <w:tab/>
        <w:t>a)</w:t>
      </w:r>
      <w:r w:rsidRPr="00EF4985">
        <w:tab/>
        <w:t>Los proyectos de ley o leyes, y sus respectivos reglamentos;</w:t>
      </w:r>
    </w:p>
    <w:p w:rsidR="00A82EF6" w:rsidRPr="00020CC5" w:rsidRDefault="00FF5200">
      <w:pPr>
        <w:pStyle w:val="SingleTxtG"/>
      </w:pPr>
      <w:r w:rsidRPr="00EF4985">
        <w:tab/>
      </w:r>
      <w:r w:rsidR="00A82EF6" w:rsidRPr="00EF4985">
        <w:t>b)</w:t>
      </w:r>
      <w:r w:rsidR="00A82EF6" w:rsidRPr="00EF4985">
        <w:tab/>
        <w:t>Las instituciones (y su mandato) o las reformas institucionales;</w:t>
      </w:r>
    </w:p>
    <w:p w:rsidR="00A82EF6" w:rsidRPr="00020CC5" w:rsidRDefault="00A82EF6">
      <w:pPr>
        <w:pStyle w:val="SingleTxtG"/>
      </w:pPr>
      <w:r w:rsidRPr="00EF4985">
        <w:tab/>
        <w:t>c)</w:t>
      </w:r>
      <w:r w:rsidRPr="00EF4985">
        <w:tab/>
        <w:t>Las políticas, los programas y los planes de acción sobre migración y su alcance y financiación;</w:t>
      </w:r>
    </w:p>
    <w:p w:rsidR="00A82EF6" w:rsidRPr="00020CC5" w:rsidRDefault="00A82EF6">
      <w:pPr>
        <w:pStyle w:val="SingleTxtG"/>
      </w:pPr>
      <w:r w:rsidRPr="00EF4985">
        <w:tab/>
        <w:t>d)</w:t>
      </w:r>
      <w:r w:rsidRPr="00EF4985">
        <w:tab/>
        <w:t>Las ratificaciones recientes de instrumentos de derechos humanos, entre ellos el</w:t>
      </w:r>
      <w:r w:rsidR="00E651CE" w:rsidRPr="00020CC5">
        <w:t xml:space="preserve"> Convenio sobre los </w:t>
      </w:r>
      <w:r w:rsidR="00D127A1" w:rsidRPr="00020CC5">
        <w:t>T</w:t>
      </w:r>
      <w:r w:rsidR="00E651CE" w:rsidRPr="00020CC5">
        <w:t xml:space="preserve">rabajadores </w:t>
      </w:r>
      <w:r w:rsidR="00D127A1" w:rsidRPr="00020CC5">
        <w:t>M</w:t>
      </w:r>
      <w:r w:rsidR="00E651CE" w:rsidRPr="00020CC5">
        <w:t>igrantes (revisado), 1949 (núm.</w:t>
      </w:r>
      <w:r w:rsidR="00B95256">
        <w:t> </w:t>
      </w:r>
      <w:r w:rsidR="00E651CE" w:rsidRPr="00020CC5">
        <w:t>97)</w:t>
      </w:r>
      <w:r w:rsidR="00AD557A" w:rsidRPr="00020CC5">
        <w:t>,</w:t>
      </w:r>
      <w:r w:rsidR="00E651CE" w:rsidRPr="00020CC5">
        <w:t xml:space="preserve"> el Convenio sobre los </w:t>
      </w:r>
      <w:r w:rsidR="00D127A1" w:rsidRPr="00020CC5">
        <w:t>T</w:t>
      </w:r>
      <w:r w:rsidR="00E651CE" w:rsidRPr="00020CC5">
        <w:t xml:space="preserve">rabajadores </w:t>
      </w:r>
      <w:r w:rsidR="00D127A1" w:rsidRPr="00020CC5">
        <w:t>M</w:t>
      </w:r>
      <w:r w:rsidR="00E651CE" w:rsidRPr="00020CC5">
        <w:t>igrantes (disposiciones complementarias), 1975 (núm.</w:t>
      </w:r>
      <w:r w:rsidR="00B95256">
        <w:t> </w:t>
      </w:r>
      <w:r w:rsidR="00E651CE" w:rsidRPr="00020CC5">
        <w:t xml:space="preserve">143) </w:t>
      </w:r>
      <w:r w:rsidR="00AD557A" w:rsidRPr="00020CC5">
        <w:t xml:space="preserve">y el </w:t>
      </w:r>
      <w:r w:rsidRPr="00EF4985">
        <w:t xml:space="preserve">Convenio sobre las </w:t>
      </w:r>
      <w:r w:rsidR="00D127A1" w:rsidRPr="00EF4985">
        <w:t>T</w:t>
      </w:r>
      <w:r w:rsidRPr="00EF4985">
        <w:t xml:space="preserve">rabajadoras y los </w:t>
      </w:r>
      <w:r w:rsidR="00D127A1" w:rsidRPr="00EF4985">
        <w:t>T</w:t>
      </w:r>
      <w:r w:rsidRPr="00EF4985">
        <w:t xml:space="preserve">rabajadores </w:t>
      </w:r>
      <w:r w:rsidR="00D127A1" w:rsidRPr="00EF4985">
        <w:t>D</w:t>
      </w:r>
      <w:r w:rsidRPr="00EF4985">
        <w:t>omésticos, 2011 (</w:t>
      </w:r>
      <w:r w:rsidR="00B534CB" w:rsidRPr="00EF4985">
        <w:t>núm.</w:t>
      </w:r>
      <w:r w:rsidR="00B95256">
        <w:t> </w:t>
      </w:r>
      <w:r w:rsidRPr="00EF4985">
        <w:t>189)</w:t>
      </w:r>
      <w:r w:rsidR="00C805D9" w:rsidRPr="00EF4985">
        <w:t>, de la OIT</w:t>
      </w:r>
      <w:r w:rsidRPr="00EF4985">
        <w:t>;</w:t>
      </w:r>
    </w:p>
    <w:p w:rsidR="00A82EF6" w:rsidRPr="00EF4985" w:rsidRDefault="00A82EF6">
      <w:pPr>
        <w:pStyle w:val="SingleTxtG"/>
      </w:pPr>
      <w:r w:rsidRPr="00EF4985">
        <w:tab/>
        <w:t>e)</w:t>
      </w:r>
      <w:r w:rsidRPr="00EF4985">
        <w:tab/>
        <w:t>Los estudios amplios que se hayan hecho recientemente sobre la situación de los trabajadores migratorios y sus familiares.</w:t>
      </w:r>
    </w:p>
    <w:p w:rsidR="00A82EF6" w:rsidRPr="00020CC5" w:rsidRDefault="00A82EF6">
      <w:pPr>
        <w:pStyle w:val="HChG"/>
      </w:pPr>
      <w:r w:rsidRPr="00EF4985">
        <w:tab/>
      </w:r>
      <w:r w:rsidRPr="00EF4985">
        <w:tab/>
        <w:t>Sección III</w:t>
      </w:r>
    </w:p>
    <w:p w:rsidR="00A82EF6" w:rsidRPr="00020CC5" w:rsidRDefault="00A82EF6">
      <w:pPr>
        <w:pStyle w:val="H23G"/>
      </w:pPr>
      <w:r w:rsidRPr="00EF4985">
        <w:tab/>
      </w:r>
      <w:r w:rsidRPr="00EF4985">
        <w:tab/>
        <w:t>Datos, estimaciones oficiales, estadísticas y demás información</w:t>
      </w:r>
      <w:r w:rsidR="00F10AF0">
        <w:br/>
      </w:r>
      <w:r w:rsidRPr="00EF4985">
        <w:t>de que se disponga</w:t>
      </w:r>
    </w:p>
    <w:p w:rsidR="00A82EF6" w:rsidRPr="00A34DDB" w:rsidRDefault="00A82EF6">
      <w:pPr>
        <w:pStyle w:val="SingleTxtG"/>
      </w:pPr>
      <w:r w:rsidRPr="00EF4985">
        <w:t>3</w:t>
      </w:r>
      <w:r w:rsidR="00533BC0" w:rsidRPr="00EF4985">
        <w:t>9</w:t>
      </w:r>
      <w:r w:rsidRPr="00EF4985">
        <w:t>.</w:t>
      </w:r>
      <w:r w:rsidRPr="00EF4985">
        <w:tab/>
      </w:r>
      <w:r w:rsidRPr="00A34DDB">
        <w:t>Sírvanse proporcionar, si se dispone de ellos, datos estadísticos actualizados y desglosados e información cualitativa correspondientes a los tres últimos años sobre:</w:t>
      </w:r>
    </w:p>
    <w:p w:rsidR="00A82EF6" w:rsidRPr="00EF4985" w:rsidRDefault="00A82EF6">
      <w:pPr>
        <w:pStyle w:val="SingleTxtG"/>
      </w:pPr>
      <w:r w:rsidRPr="00EF4985">
        <w:tab/>
        <w:t>a)</w:t>
      </w:r>
      <w:r w:rsidRPr="00EF4985">
        <w:tab/>
        <w:t>El volumen y la naturaleza de las corrientes migratorias con destino al Estado parte o procedentes de este desde la entrada en vigor de la Convención en el Estado parte;</w:t>
      </w:r>
    </w:p>
    <w:p w:rsidR="00A82EF6" w:rsidRPr="00EF4985" w:rsidRDefault="00A82EF6">
      <w:pPr>
        <w:pStyle w:val="SingleTxtG"/>
      </w:pPr>
      <w:r w:rsidRPr="00EF4985">
        <w:tab/>
        <w:t>b)</w:t>
      </w:r>
      <w:r w:rsidRPr="00EF4985">
        <w:tab/>
        <w:t>Los trabajadores migratorios que se encuentran detenidos en el Estado parte y los trabajadores migratorios nacionales del Estado parte que permanecen detenidos en Estados de tránsito y empleo, incluyendo aquellos detenidos en razón de su situación migratoria;</w:t>
      </w:r>
    </w:p>
    <w:p w:rsidR="00A82EF6" w:rsidRPr="00A34DDB" w:rsidRDefault="00A82EF6">
      <w:pPr>
        <w:pStyle w:val="SingleTxtG"/>
      </w:pPr>
      <w:r w:rsidRPr="00EF4985">
        <w:tab/>
        <w:t>c)</w:t>
      </w:r>
      <w:r w:rsidRPr="00EF4985">
        <w:tab/>
      </w:r>
      <w:r w:rsidRPr="00A34DDB">
        <w:t>Los trabajadores migratorios y sus familiares que hayan sido expulsados del Estado parte;</w:t>
      </w:r>
    </w:p>
    <w:p w:rsidR="00A82EF6" w:rsidRPr="00A34DDB" w:rsidRDefault="00A82EF6">
      <w:pPr>
        <w:pStyle w:val="SingleTxtG"/>
      </w:pPr>
      <w:r w:rsidRPr="00EF4985">
        <w:tab/>
        <w:t>d)</w:t>
      </w:r>
      <w:r w:rsidRPr="00EF4985">
        <w:tab/>
      </w:r>
      <w:r w:rsidRPr="00A34DDB">
        <w:t>El número de niños migrantes no acompañados o separados de sus padres que se encuentran en el Estado parte;</w:t>
      </w:r>
    </w:p>
    <w:p w:rsidR="00A82EF6" w:rsidRPr="00A34DDB" w:rsidRDefault="00A82EF6">
      <w:pPr>
        <w:pStyle w:val="SingleTxtG"/>
      </w:pPr>
      <w:r w:rsidRPr="00EF4985">
        <w:tab/>
        <w:t>e)</w:t>
      </w:r>
      <w:r w:rsidRPr="00EF4985">
        <w:tab/>
        <w:t>Las remesas recibidas de los nacionales del Estado parte que trabajan en el extranjero;</w:t>
      </w:r>
    </w:p>
    <w:p w:rsidR="00A82EF6" w:rsidRPr="00A34DDB" w:rsidRDefault="00A82EF6">
      <w:pPr>
        <w:pStyle w:val="SingleTxtG"/>
      </w:pPr>
      <w:r w:rsidRPr="00EF4985">
        <w:tab/>
        <w:t>f)</w:t>
      </w:r>
      <w:r w:rsidRPr="00EF4985">
        <w:tab/>
        <w:t>Los casos denunciados de trata de migrantes, las investigaciones, los enjuiciamientos y las condenas dictadas contra los responsables de dichos actos (con datos desglosados por sexo, edad, nacionalidad y finalidad de la trata);</w:t>
      </w:r>
    </w:p>
    <w:p w:rsidR="00A82EF6" w:rsidRPr="00A34DDB" w:rsidRDefault="00A82EF6">
      <w:pPr>
        <w:pStyle w:val="SingleTxtG"/>
      </w:pPr>
      <w:r w:rsidRPr="00EF4985">
        <w:tab/>
        <w:t>g)</w:t>
      </w:r>
      <w:r w:rsidRPr="00EF4985">
        <w:tab/>
      </w:r>
      <w:r w:rsidRPr="00A34DDB">
        <w:t>Los servicios de asistencia jurídica prestados a los trabajadores migratorios y a sus familiares en el Estado parte y a los nacionales que trabajan en el extranjero o se encuentran en tránsito en un tercer Estado.</w:t>
      </w:r>
    </w:p>
    <w:p w:rsidR="00A82EF6" w:rsidRPr="00A34DDB" w:rsidRDefault="00FF5200">
      <w:pPr>
        <w:pStyle w:val="SingleTxtG"/>
      </w:pPr>
      <w:r w:rsidRPr="00EF4985">
        <w:t>40</w:t>
      </w:r>
      <w:r w:rsidR="00A82EF6" w:rsidRPr="00EF4985">
        <w:t>.</w:t>
      </w:r>
      <w:r w:rsidR="00A82EF6" w:rsidRPr="00EF4985">
        <w:tab/>
      </w:r>
      <w:r w:rsidR="00A82EF6" w:rsidRPr="00A34DDB">
        <w:t>Sírvanse facilitar información adicional sobre las novedades importantes que se hayan registrado y sobre las medidas de aplicación de la Convención que el Estado parte considere prioritarias, y sírvanse indicar si el Estado parte tiene la intención de formular las declaraciones previstas en los artículos</w:t>
      </w:r>
      <w:r w:rsidR="00F10AF0">
        <w:t> </w:t>
      </w:r>
      <w:r w:rsidR="00A82EF6" w:rsidRPr="00F10AF0">
        <w:t>76 y 77 de la Convención y, de ese modo, reconocer la competencia del Comité para recibir comunicaciones de Estados partes y de particulares, según lo recomendado el Comité (CMW/C/ARG/CO/1, párr.</w:t>
      </w:r>
      <w:r w:rsidR="00F10AF0">
        <w:t> </w:t>
      </w:r>
      <w:r w:rsidR="00A82EF6" w:rsidRPr="00F10AF0">
        <w:t>11).</w:t>
      </w:r>
      <w:r w:rsidR="00A82EF6" w:rsidRPr="00F10AF0">
        <w:rPr>
          <w:highlight w:val="green"/>
        </w:rPr>
        <w:t xml:space="preserve"> </w:t>
      </w:r>
    </w:p>
    <w:p w:rsidR="00460A81" w:rsidRDefault="00FF5200" w:rsidP="00EF4985">
      <w:pPr>
        <w:pStyle w:val="SingleTxtG"/>
        <w:rPr>
          <w:u w:val="single"/>
        </w:rPr>
      </w:pPr>
      <w:r w:rsidRPr="00EF4985">
        <w:t>41</w:t>
      </w:r>
      <w:r w:rsidR="00A82EF6" w:rsidRPr="00EF4985">
        <w:t>.</w:t>
      </w:r>
      <w:r w:rsidR="00A82EF6" w:rsidRPr="00EF4985">
        <w:tab/>
      </w:r>
      <w:r w:rsidR="00A82EF6" w:rsidRPr="00A34DDB">
        <w:t>Sírvanse presentar un documento básico actualizado de conformidad con las directrices armonizadas para la presentación de informes (HRI/GEN/2/Rev.6). De conformidad con el párrafo</w:t>
      </w:r>
      <w:r w:rsidR="00B95256">
        <w:t> </w:t>
      </w:r>
      <w:r w:rsidR="00A82EF6" w:rsidRPr="00A34DDB">
        <w:t>16 de la resolución</w:t>
      </w:r>
      <w:r w:rsidR="00B95256">
        <w:t> </w:t>
      </w:r>
      <w:r w:rsidR="00A82EF6" w:rsidRPr="00A34DDB">
        <w:t>68/268 de la Asamblea General, el documento básico no debe exceder de 42.400 palabras.</w:t>
      </w:r>
    </w:p>
    <w:p w:rsidR="00A34DDB" w:rsidRPr="00EF4985" w:rsidRDefault="00A34DDB" w:rsidP="00A91C20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4DDB" w:rsidRPr="00EF4985" w:rsidSect="00E02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C2" w:rsidRDefault="005202C2">
      <w:r>
        <w:separator/>
      </w:r>
    </w:p>
  </w:endnote>
  <w:endnote w:type="continuationSeparator" w:id="0">
    <w:p w:rsidR="005202C2" w:rsidRDefault="0052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76" w:rsidRPr="00EF4985" w:rsidRDefault="00E027BA" w:rsidP="00EF4985">
    <w:pPr>
      <w:pStyle w:val="Footer"/>
      <w:tabs>
        <w:tab w:val="right" w:pos="9638"/>
      </w:tabs>
      <w:rPr>
        <w:rFonts w:eastAsia="Times New Roman"/>
      </w:rPr>
    </w:pPr>
    <w:r w:rsidRPr="00EF4985">
      <w:rPr>
        <w:rFonts w:eastAsia="Times New Roman"/>
        <w:b/>
        <w:noProof/>
        <w:sz w:val="18"/>
      </w:rPr>
      <w:fldChar w:fldCharType="begin"/>
    </w:r>
    <w:r w:rsidRPr="00EF4985">
      <w:rPr>
        <w:rFonts w:eastAsia="Times New Roman"/>
        <w:b/>
        <w:noProof/>
        <w:sz w:val="18"/>
      </w:rPr>
      <w:instrText xml:space="preserve"> PAGE  \* MERGEFORMAT </w:instrText>
    </w:r>
    <w:r w:rsidRPr="00EF4985">
      <w:rPr>
        <w:rFonts w:eastAsia="Times New Roman"/>
        <w:b/>
        <w:noProof/>
        <w:sz w:val="18"/>
      </w:rPr>
      <w:fldChar w:fldCharType="separate"/>
    </w:r>
    <w:r w:rsidR="007468DD">
      <w:rPr>
        <w:rFonts w:eastAsia="Times New Roman"/>
        <w:b/>
        <w:noProof/>
        <w:sz w:val="18"/>
      </w:rPr>
      <w:t>2</w:t>
    </w:r>
    <w:r w:rsidRPr="00EF4985">
      <w:rPr>
        <w:rFonts w:eastAsia="Times New Roman"/>
        <w:b/>
        <w:noProof/>
        <w:sz w:val="18"/>
      </w:rPr>
      <w:fldChar w:fldCharType="end"/>
    </w:r>
    <w:r w:rsidR="00AA200D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76" w:rsidRPr="00EF4985" w:rsidRDefault="00E027BA" w:rsidP="00EF4985">
    <w:pPr>
      <w:pStyle w:val="Footer"/>
      <w:tabs>
        <w:tab w:val="right" w:pos="9638"/>
      </w:tabs>
      <w:rPr>
        <w:b/>
        <w:sz w:val="18"/>
      </w:rPr>
    </w:pPr>
    <w:r>
      <w:tab/>
    </w:r>
    <w:r w:rsidRPr="00E027BA">
      <w:rPr>
        <w:b/>
        <w:sz w:val="18"/>
      </w:rPr>
      <w:fldChar w:fldCharType="begin"/>
    </w:r>
    <w:r w:rsidRPr="00E027BA">
      <w:rPr>
        <w:b/>
        <w:sz w:val="18"/>
      </w:rPr>
      <w:instrText xml:space="preserve"> PAGE  \* MERGEFORMAT </w:instrText>
    </w:r>
    <w:r w:rsidRPr="00E027BA">
      <w:rPr>
        <w:b/>
        <w:sz w:val="18"/>
      </w:rPr>
      <w:fldChar w:fldCharType="separate"/>
    </w:r>
    <w:r w:rsidR="007468DD">
      <w:rPr>
        <w:b/>
        <w:noProof/>
        <w:sz w:val="18"/>
      </w:rPr>
      <w:t>9</w:t>
    </w:r>
    <w:r w:rsidRPr="00E027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C75" w:rsidRPr="0016401E" w:rsidRDefault="0016401E" w:rsidP="0016401E">
    <w:pPr>
      <w:pStyle w:val="Footer"/>
      <w:spacing w:before="120" w:line="240" w:lineRule="auto"/>
      <w:rPr>
        <w:sz w:val="20"/>
      </w:rPr>
    </w:pPr>
    <w:r>
      <w:rPr>
        <w:sz w:val="20"/>
      </w:rPr>
      <w:t>GE.18-10067  (S)</w:t>
    </w:r>
    <w:r>
      <w:rPr>
        <w:sz w:val="20"/>
      </w:rPr>
      <w:br/>
    </w:r>
    <w:r w:rsidRPr="0016401E">
      <w:rPr>
        <w:rFonts w:ascii="C39T30Lfz" w:hAnsi="C39T30Lfz"/>
        <w:sz w:val="56"/>
      </w:rPr>
      <w:t></w:t>
    </w:r>
    <w:r w:rsidRPr="0016401E">
      <w:rPr>
        <w:rFonts w:ascii="C39T30Lfz" w:hAnsi="C39T30Lfz"/>
        <w:sz w:val="56"/>
      </w:rPr>
      <w:t></w:t>
    </w:r>
    <w:r w:rsidRPr="0016401E">
      <w:rPr>
        <w:rFonts w:ascii="C39T30Lfz" w:hAnsi="C39T30Lfz"/>
        <w:sz w:val="56"/>
      </w:rPr>
      <w:t></w:t>
    </w:r>
    <w:r w:rsidRPr="0016401E">
      <w:rPr>
        <w:rFonts w:ascii="C39T30Lfz" w:hAnsi="C39T30Lfz"/>
        <w:sz w:val="56"/>
      </w:rPr>
      <w:t></w:t>
    </w:r>
    <w:r w:rsidRPr="0016401E">
      <w:rPr>
        <w:rFonts w:ascii="C39T30Lfz" w:hAnsi="C39T30Lfz"/>
        <w:sz w:val="56"/>
      </w:rPr>
      <w:t></w:t>
    </w:r>
    <w:r w:rsidRPr="0016401E">
      <w:rPr>
        <w:rFonts w:ascii="C39T30Lfz" w:hAnsi="C39T30Lfz"/>
        <w:sz w:val="56"/>
      </w:rPr>
      <w:t></w:t>
    </w:r>
    <w:r w:rsidRPr="0016401E">
      <w:rPr>
        <w:rFonts w:ascii="C39T30Lfz" w:hAnsi="C39T30Lfz"/>
        <w:sz w:val="56"/>
      </w:rPr>
      <w:t></w:t>
    </w:r>
    <w:r w:rsidRPr="0016401E">
      <w:rPr>
        <w:rFonts w:ascii="C39T30Lfz" w:hAnsi="C39T30Lfz"/>
        <w:sz w:val="56"/>
      </w:rPr>
      <w:t></w:t>
    </w:r>
    <w:r w:rsidRPr="0016401E">
      <w:rPr>
        <w:rFonts w:ascii="C39T30Lfz" w:hAnsi="C39T30Lfz"/>
        <w:sz w:val="56"/>
      </w:rPr>
      <w:t></w:t>
    </w:r>
    <w:r w:rsidRPr="0016401E"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margin">
            <wp:posOffset>4319905</wp:posOffset>
          </wp:positionH>
          <wp:positionV relativeFrom="margin">
            <wp:posOffset>9145270</wp:posOffset>
          </wp:positionV>
          <wp:extent cx="1087200" cy="230400"/>
          <wp:effectExtent l="0" t="0" r="0" b="0"/>
          <wp:wrapNone/>
          <wp:docPr id="3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Picture 1" descr="https://undocs.org/m2/QRCode.ashx?DS=CMW/C/ARG/QPR/2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MW/C/ARG/QPR/2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C2" w:rsidRPr="001075E9" w:rsidRDefault="005202C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02C2" w:rsidRDefault="005202C2">
      <w:r>
        <w:continuationSeparator/>
      </w:r>
    </w:p>
  </w:footnote>
  <w:footnote w:id="1">
    <w:p w:rsidR="00020CC5" w:rsidRPr="00EF4985" w:rsidRDefault="00020CC5" w:rsidP="00020CC5">
      <w:pPr>
        <w:pStyle w:val="FootnoteText"/>
        <w:rPr>
          <w:sz w:val="20"/>
        </w:rPr>
      </w:pPr>
      <w:r>
        <w:tab/>
      </w:r>
      <w:r w:rsidRPr="00EF4985">
        <w:rPr>
          <w:rStyle w:val="FootnoteReference"/>
          <w:sz w:val="20"/>
          <w:vertAlign w:val="baseline"/>
        </w:rPr>
        <w:t>*</w:t>
      </w:r>
      <w:r w:rsidRPr="00EF4985">
        <w:rPr>
          <w:rStyle w:val="FootnoteReference"/>
          <w:vertAlign w:val="baseline"/>
        </w:rPr>
        <w:tab/>
      </w:r>
      <w:r>
        <w:rPr>
          <w:szCs w:val="18"/>
        </w:rPr>
        <w:t>Aprobada por el Comité en su 28</w:t>
      </w:r>
      <w:r w:rsidRPr="008B2D17">
        <w:rPr>
          <w:szCs w:val="18"/>
        </w:rPr>
        <w:t>º período de sesiones (</w:t>
      </w:r>
      <w:r>
        <w:rPr>
          <w:szCs w:val="18"/>
        </w:rPr>
        <w:t>9</w:t>
      </w:r>
      <w:r w:rsidRPr="008B2D17">
        <w:rPr>
          <w:szCs w:val="18"/>
        </w:rPr>
        <w:t xml:space="preserve"> a </w:t>
      </w:r>
      <w:r>
        <w:rPr>
          <w:szCs w:val="18"/>
        </w:rPr>
        <w:t>20</w:t>
      </w:r>
      <w:r w:rsidRPr="008B2D17">
        <w:rPr>
          <w:szCs w:val="18"/>
        </w:rPr>
        <w:t xml:space="preserve"> de </w:t>
      </w:r>
      <w:r>
        <w:rPr>
          <w:szCs w:val="18"/>
        </w:rPr>
        <w:t xml:space="preserve">abril </w:t>
      </w:r>
      <w:r w:rsidRPr="008B2D17">
        <w:rPr>
          <w:szCs w:val="18"/>
        </w:rPr>
        <w:t>de 201</w:t>
      </w:r>
      <w:r>
        <w:rPr>
          <w:szCs w:val="18"/>
        </w:rPr>
        <w:t>8</w:t>
      </w:r>
      <w:r w:rsidRPr="008B2D17">
        <w:rPr>
          <w:rStyle w:val="FootnoteReference"/>
          <w:vertAlign w:val="baseline"/>
        </w:rPr>
        <w:t>)</w:t>
      </w:r>
      <w:r w:rsidRPr="00460A81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BA" w:rsidRPr="00EF4985" w:rsidRDefault="00E1283D">
    <w:pPr>
      <w:pStyle w:val="Header"/>
      <w:rPr>
        <w:rFonts w:eastAsia="Times New Roman"/>
      </w:rPr>
    </w:pPr>
    <w:r w:rsidRPr="00EF4985">
      <w:rPr>
        <w:rFonts w:eastAsia="Times New Roman"/>
      </w:rPr>
      <w:fldChar w:fldCharType="begin"/>
    </w:r>
    <w:r w:rsidRPr="00EF4985">
      <w:rPr>
        <w:rFonts w:eastAsia="Times New Roman"/>
      </w:rPr>
      <w:instrText xml:space="preserve"> TITLE  \* MERGEFORMAT </w:instrText>
    </w:r>
    <w:r w:rsidRPr="00EF4985">
      <w:rPr>
        <w:rFonts w:eastAsia="Times New Roman"/>
      </w:rPr>
      <w:fldChar w:fldCharType="separate"/>
    </w:r>
    <w:r w:rsidR="007468DD">
      <w:rPr>
        <w:rFonts w:eastAsia="Times New Roman"/>
      </w:rPr>
      <w:t>CMW/C/ARG/QPR/2</w:t>
    </w:r>
    <w:r w:rsidRPr="00EF4985">
      <w:rPr>
        <w:rFonts w:eastAsia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76" w:rsidRPr="00EF4985" w:rsidRDefault="00E1283D" w:rsidP="00EF4985">
    <w:pPr>
      <w:pStyle w:val="Header"/>
      <w:jc w:val="right"/>
      <w:rPr>
        <w:rFonts w:eastAsia="Times New Roman"/>
      </w:rPr>
    </w:pPr>
    <w:r w:rsidRPr="00EF4985">
      <w:rPr>
        <w:rFonts w:eastAsia="Times New Roman"/>
        <w:bCs/>
      </w:rPr>
      <w:fldChar w:fldCharType="begin"/>
    </w:r>
    <w:r w:rsidRPr="00EF4985">
      <w:rPr>
        <w:rFonts w:eastAsia="Times New Roman"/>
        <w:bCs/>
      </w:rPr>
      <w:instrText xml:space="preserve"> TITLE  \* MERGEFORMAT </w:instrText>
    </w:r>
    <w:r w:rsidRPr="00EF4985">
      <w:rPr>
        <w:rFonts w:eastAsia="Times New Roman"/>
        <w:bCs/>
      </w:rPr>
      <w:fldChar w:fldCharType="separate"/>
    </w:r>
    <w:r w:rsidR="007468DD">
      <w:rPr>
        <w:rFonts w:eastAsia="Times New Roman"/>
        <w:bCs/>
      </w:rPr>
      <w:t>CMW/C/ARG/QPR/2</w:t>
    </w:r>
    <w:r w:rsidRPr="00EF4985">
      <w:rPr>
        <w:rFonts w:eastAsia="Times New Roman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1E" w:rsidRDefault="00164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F76C09"/>
    <w:multiLevelType w:val="hybridMultilevel"/>
    <w:tmpl w:val="BFC0CE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1398F"/>
    <w:multiLevelType w:val="hybridMultilevel"/>
    <w:tmpl w:val="29A40426"/>
    <w:lvl w:ilvl="0" w:tplc="651C629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6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1"/>
  </w:num>
  <w:num w:numId="18">
    <w:abstractNumId w:val="15"/>
  </w:num>
  <w:num w:numId="19">
    <w:abstractNumId w:val="14"/>
  </w:num>
  <w:num w:numId="20">
    <w:abstractNumId w:val="12"/>
  </w:num>
  <w:num w:numId="21">
    <w:abstractNumId w:val="17"/>
  </w:num>
  <w:num w:numId="22">
    <w:abstractNumId w:val="16"/>
  </w:num>
  <w:num w:numId="23">
    <w:abstractNumId w:val="13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es-EC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27BA"/>
    <w:rsid w:val="00001963"/>
    <w:rsid w:val="00002572"/>
    <w:rsid w:val="00003109"/>
    <w:rsid w:val="000128A9"/>
    <w:rsid w:val="00020A3C"/>
    <w:rsid w:val="00020CC5"/>
    <w:rsid w:val="00024F50"/>
    <w:rsid w:val="00031B0D"/>
    <w:rsid w:val="00032630"/>
    <w:rsid w:val="00033EE1"/>
    <w:rsid w:val="00036E78"/>
    <w:rsid w:val="0005777E"/>
    <w:rsid w:val="000616D2"/>
    <w:rsid w:val="00065795"/>
    <w:rsid w:val="000666CA"/>
    <w:rsid w:val="00074246"/>
    <w:rsid w:val="0007538D"/>
    <w:rsid w:val="00082636"/>
    <w:rsid w:val="00085992"/>
    <w:rsid w:val="0009496F"/>
    <w:rsid w:val="00096FC8"/>
    <w:rsid w:val="000A21F3"/>
    <w:rsid w:val="000A38F8"/>
    <w:rsid w:val="000A47ED"/>
    <w:rsid w:val="000B57E7"/>
    <w:rsid w:val="000C1909"/>
    <w:rsid w:val="000C30B5"/>
    <w:rsid w:val="000C4752"/>
    <w:rsid w:val="000C5342"/>
    <w:rsid w:val="000D3EB0"/>
    <w:rsid w:val="000D4FD3"/>
    <w:rsid w:val="000D74A0"/>
    <w:rsid w:val="000E112C"/>
    <w:rsid w:val="000E2740"/>
    <w:rsid w:val="000E5B69"/>
    <w:rsid w:val="000F000A"/>
    <w:rsid w:val="000F09DF"/>
    <w:rsid w:val="000F61B2"/>
    <w:rsid w:val="000F63C1"/>
    <w:rsid w:val="000F7706"/>
    <w:rsid w:val="00101ED9"/>
    <w:rsid w:val="00103AE1"/>
    <w:rsid w:val="0010618F"/>
    <w:rsid w:val="001075E9"/>
    <w:rsid w:val="00113FB6"/>
    <w:rsid w:val="0012146C"/>
    <w:rsid w:val="001256EA"/>
    <w:rsid w:val="0012609F"/>
    <w:rsid w:val="00127BB2"/>
    <w:rsid w:val="0014165C"/>
    <w:rsid w:val="0015299C"/>
    <w:rsid w:val="00154651"/>
    <w:rsid w:val="00154CBC"/>
    <w:rsid w:val="00157FD8"/>
    <w:rsid w:val="001606FF"/>
    <w:rsid w:val="001634D8"/>
    <w:rsid w:val="0016401E"/>
    <w:rsid w:val="00164086"/>
    <w:rsid w:val="00174CCF"/>
    <w:rsid w:val="001764E8"/>
    <w:rsid w:val="00177E7E"/>
    <w:rsid w:val="00180183"/>
    <w:rsid w:val="00183642"/>
    <w:rsid w:val="0018649F"/>
    <w:rsid w:val="0018680E"/>
    <w:rsid w:val="00186D32"/>
    <w:rsid w:val="001929A3"/>
    <w:rsid w:val="001937B9"/>
    <w:rsid w:val="00196389"/>
    <w:rsid w:val="001A2D4E"/>
    <w:rsid w:val="001B49B3"/>
    <w:rsid w:val="001B7335"/>
    <w:rsid w:val="001B7F3B"/>
    <w:rsid w:val="001C5E3E"/>
    <w:rsid w:val="001C7A89"/>
    <w:rsid w:val="001D14A6"/>
    <w:rsid w:val="001D495D"/>
    <w:rsid w:val="001E79AD"/>
    <w:rsid w:val="001E7D01"/>
    <w:rsid w:val="001F0170"/>
    <w:rsid w:val="001F1A2F"/>
    <w:rsid w:val="00202779"/>
    <w:rsid w:val="00217674"/>
    <w:rsid w:val="00220DAC"/>
    <w:rsid w:val="00236C40"/>
    <w:rsid w:val="00236C9E"/>
    <w:rsid w:val="00257D01"/>
    <w:rsid w:val="00260457"/>
    <w:rsid w:val="00261E61"/>
    <w:rsid w:val="0026296F"/>
    <w:rsid w:val="00273585"/>
    <w:rsid w:val="002814CF"/>
    <w:rsid w:val="00292E8C"/>
    <w:rsid w:val="002A2EFC"/>
    <w:rsid w:val="002B0C66"/>
    <w:rsid w:val="002C0E18"/>
    <w:rsid w:val="002D265F"/>
    <w:rsid w:val="002D5AAC"/>
    <w:rsid w:val="002D64B3"/>
    <w:rsid w:val="002E0730"/>
    <w:rsid w:val="002E2135"/>
    <w:rsid w:val="00301299"/>
    <w:rsid w:val="00310B6A"/>
    <w:rsid w:val="00322004"/>
    <w:rsid w:val="0032324A"/>
    <w:rsid w:val="00335E78"/>
    <w:rsid w:val="003402C2"/>
    <w:rsid w:val="00360B00"/>
    <w:rsid w:val="003703B7"/>
    <w:rsid w:val="0037244C"/>
    <w:rsid w:val="00372794"/>
    <w:rsid w:val="0037455A"/>
    <w:rsid w:val="003755DF"/>
    <w:rsid w:val="00376B8E"/>
    <w:rsid w:val="00381C24"/>
    <w:rsid w:val="003858A6"/>
    <w:rsid w:val="00387600"/>
    <w:rsid w:val="00390CB6"/>
    <w:rsid w:val="0039318B"/>
    <w:rsid w:val="003958D0"/>
    <w:rsid w:val="00397F38"/>
    <w:rsid w:val="003A439F"/>
    <w:rsid w:val="003B00E5"/>
    <w:rsid w:val="003B241C"/>
    <w:rsid w:val="003B7473"/>
    <w:rsid w:val="003C2732"/>
    <w:rsid w:val="003C6C48"/>
    <w:rsid w:val="003D3929"/>
    <w:rsid w:val="003D595D"/>
    <w:rsid w:val="003D6092"/>
    <w:rsid w:val="003D62BE"/>
    <w:rsid w:val="003D73AC"/>
    <w:rsid w:val="003F62F8"/>
    <w:rsid w:val="00410F55"/>
    <w:rsid w:val="00411999"/>
    <w:rsid w:val="00414A16"/>
    <w:rsid w:val="00415C15"/>
    <w:rsid w:val="00427F10"/>
    <w:rsid w:val="00441EF3"/>
    <w:rsid w:val="00454E07"/>
    <w:rsid w:val="00456166"/>
    <w:rsid w:val="0045629E"/>
    <w:rsid w:val="00460A81"/>
    <w:rsid w:val="00471CC1"/>
    <w:rsid w:val="004747B1"/>
    <w:rsid w:val="00480237"/>
    <w:rsid w:val="00484699"/>
    <w:rsid w:val="00485200"/>
    <w:rsid w:val="00487017"/>
    <w:rsid w:val="00490A62"/>
    <w:rsid w:val="00494709"/>
    <w:rsid w:val="004A0357"/>
    <w:rsid w:val="004A32B9"/>
    <w:rsid w:val="004A72FA"/>
    <w:rsid w:val="004B4283"/>
    <w:rsid w:val="004B4875"/>
    <w:rsid w:val="004C767E"/>
    <w:rsid w:val="004D45DB"/>
    <w:rsid w:val="004F5040"/>
    <w:rsid w:val="0050108D"/>
    <w:rsid w:val="00506F87"/>
    <w:rsid w:val="0051315C"/>
    <w:rsid w:val="005202C2"/>
    <w:rsid w:val="00533BC0"/>
    <w:rsid w:val="005417F1"/>
    <w:rsid w:val="0054270B"/>
    <w:rsid w:val="00544D5E"/>
    <w:rsid w:val="0055389D"/>
    <w:rsid w:val="00563996"/>
    <w:rsid w:val="00567DE5"/>
    <w:rsid w:val="00571E78"/>
    <w:rsid w:val="00572E19"/>
    <w:rsid w:val="005732AF"/>
    <w:rsid w:val="00575A92"/>
    <w:rsid w:val="00582DC2"/>
    <w:rsid w:val="00591C28"/>
    <w:rsid w:val="005A60F8"/>
    <w:rsid w:val="005B5C9D"/>
    <w:rsid w:val="005C3BAA"/>
    <w:rsid w:val="005C43E4"/>
    <w:rsid w:val="005D6C33"/>
    <w:rsid w:val="005E1AD5"/>
    <w:rsid w:val="005F0B42"/>
    <w:rsid w:val="005F137B"/>
    <w:rsid w:val="00612146"/>
    <w:rsid w:val="0062726E"/>
    <w:rsid w:val="00631581"/>
    <w:rsid w:val="006423FB"/>
    <w:rsid w:val="00662AD0"/>
    <w:rsid w:val="006659B3"/>
    <w:rsid w:val="00671BAD"/>
    <w:rsid w:val="00691F90"/>
    <w:rsid w:val="0069402F"/>
    <w:rsid w:val="006957A4"/>
    <w:rsid w:val="006A101C"/>
    <w:rsid w:val="006C1883"/>
    <w:rsid w:val="006C1A03"/>
    <w:rsid w:val="006C3C92"/>
    <w:rsid w:val="006C5A94"/>
    <w:rsid w:val="006D5868"/>
    <w:rsid w:val="006E0B2D"/>
    <w:rsid w:val="006F35EE"/>
    <w:rsid w:val="007021FF"/>
    <w:rsid w:val="00705CF3"/>
    <w:rsid w:val="007111F4"/>
    <w:rsid w:val="007244F4"/>
    <w:rsid w:val="00724818"/>
    <w:rsid w:val="007319AE"/>
    <w:rsid w:val="00734293"/>
    <w:rsid w:val="00734B2C"/>
    <w:rsid w:val="00736D76"/>
    <w:rsid w:val="00745294"/>
    <w:rsid w:val="00746078"/>
    <w:rsid w:val="007468DD"/>
    <w:rsid w:val="007527D0"/>
    <w:rsid w:val="00757357"/>
    <w:rsid w:val="00766280"/>
    <w:rsid w:val="00777C0E"/>
    <w:rsid w:val="00784BF5"/>
    <w:rsid w:val="007862BF"/>
    <w:rsid w:val="00790997"/>
    <w:rsid w:val="007972A8"/>
    <w:rsid w:val="007A57DC"/>
    <w:rsid w:val="007B353E"/>
    <w:rsid w:val="007C36B1"/>
    <w:rsid w:val="007C4AE6"/>
    <w:rsid w:val="007C59A8"/>
    <w:rsid w:val="007D4AF2"/>
    <w:rsid w:val="007E2DD4"/>
    <w:rsid w:val="007E6045"/>
    <w:rsid w:val="00804E64"/>
    <w:rsid w:val="008053A7"/>
    <w:rsid w:val="00805A81"/>
    <w:rsid w:val="00807BFD"/>
    <w:rsid w:val="00810D32"/>
    <w:rsid w:val="0081394A"/>
    <w:rsid w:val="0081727C"/>
    <w:rsid w:val="00830F7E"/>
    <w:rsid w:val="00834B71"/>
    <w:rsid w:val="008461FE"/>
    <w:rsid w:val="008638F0"/>
    <w:rsid w:val="0086445C"/>
    <w:rsid w:val="008648FE"/>
    <w:rsid w:val="0087431D"/>
    <w:rsid w:val="00882504"/>
    <w:rsid w:val="008843B9"/>
    <w:rsid w:val="008846AC"/>
    <w:rsid w:val="00884AAC"/>
    <w:rsid w:val="00885A27"/>
    <w:rsid w:val="008A08D7"/>
    <w:rsid w:val="008A166B"/>
    <w:rsid w:val="008A2E46"/>
    <w:rsid w:val="008A383A"/>
    <w:rsid w:val="008A48E9"/>
    <w:rsid w:val="008B0D4C"/>
    <w:rsid w:val="008B2D17"/>
    <w:rsid w:val="008B6805"/>
    <w:rsid w:val="008C04E8"/>
    <w:rsid w:val="008D11F1"/>
    <w:rsid w:val="008D6EAD"/>
    <w:rsid w:val="008E0F00"/>
    <w:rsid w:val="008F0661"/>
    <w:rsid w:val="009032EF"/>
    <w:rsid w:val="00904363"/>
    <w:rsid w:val="00906890"/>
    <w:rsid w:val="00907BF6"/>
    <w:rsid w:val="00914317"/>
    <w:rsid w:val="00932F2D"/>
    <w:rsid w:val="00951972"/>
    <w:rsid w:val="00963C8E"/>
    <w:rsid w:val="00972A64"/>
    <w:rsid w:val="00986C75"/>
    <w:rsid w:val="009B5C81"/>
    <w:rsid w:val="009B6425"/>
    <w:rsid w:val="009C3B95"/>
    <w:rsid w:val="009D09F6"/>
    <w:rsid w:val="009E2A8B"/>
    <w:rsid w:val="009E79C6"/>
    <w:rsid w:val="009F0332"/>
    <w:rsid w:val="009F2AD8"/>
    <w:rsid w:val="009F40DA"/>
    <w:rsid w:val="00A127DA"/>
    <w:rsid w:val="00A14189"/>
    <w:rsid w:val="00A228C9"/>
    <w:rsid w:val="00A23467"/>
    <w:rsid w:val="00A24C26"/>
    <w:rsid w:val="00A34DDB"/>
    <w:rsid w:val="00A35BA8"/>
    <w:rsid w:val="00A428CD"/>
    <w:rsid w:val="00A5274B"/>
    <w:rsid w:val="00A5716C"/>
    <w:rsid w:val="00A704FC"/>
    <w:rsid w:val="00A72084"/>
    <w:rsid w:val="00A73092"/>
    <w:rsid w:val="00A73119"/>
    <w:rsid w:val="00A81368"/>
    <w:rsid w:val="00A82EF6"/>
    <w:rsid w:val="00A917B3"/>
    <w:rsid w:val="00A91C20"/>
    <w:rsid w:val="00AA200D"/>
    <w:rsid w:val="00AA7604"/>
    <w:rsid w:val="00AB13C8"/>
    <w:rsid w:val="00AB2DFB"/>
    <w:rsid w:val="00AB3223"/>
    <w:rsid w:val="00AB4B51"/>
    <w:rsid w:val="00AB5FA1"/>
    <w:rsid w:val="00AC0382"/>
    <w:rsid w:val="00AD557A"/>
    <w:rsid w:val="00AE06BB"/>
    <w:rsid w:val="00AF784D"/>
    <w:rsid w:val="00B07005"/>
    <w:rsid w:val="00B10CC7"/>
    <w:rsid w:val="00B13C03"/>
    <w:rsid w:val="00B51CF5"/>
    <w:rsid w:val="00B5229E"/>
    <w:rsid w:val="00B534CB"/>
    <w:rsid w:val="00B54E69"/>
    <w:rsid w:val="00B61BD4"/>
    <w:rsid w:val="00B62458"/>
    <w:rsid w:val="00B62BD2"/>
    <w:rsid w:val="00B6364D"/>
    <w:rsid w:val="00B6530F"/>
    <w:rsid w:val="00B82CD7"/>
    <w:rsid w:val="00B85F12"/>
    <w:rsid w:val="00B901FC"/>
    <w:rsid w:val="00B922FD"/>
    <w:rsid w:val="00B9301E"/>
    <w:rsid w:val="00B95256"/>
    <w:rsid w:val="00B97CDD"/>
    <w:rsid w:val="00BA2ECB"/>
    <w:rsid w:val="00BA74D1"/>
    <w:rsid w:val="00BC6277"/>
    <w:rsid w:val="00BD33EE"/>
    <w:rsid w:val="00BD7465"/>
    <w:rsid w:val="00BE1E2D"/>
    <w:rsid w:val="00BF2976"/>
    <w:rsid w:val="00BF4D79"/>
    <w:rsid w:val="00C33A96"/>
    <w:rsid w:val="00C44B7F"/>
    <w:rsid w:val="00C52605"/>
    <w:rsid w:val="00C54C82"/>
    <w:rsid w:val="00C55023"/>
    <w:rsid w:val="00C60F0C"/>
    <w:rsid w:val="00C62725"/>
    <w:rsid w:val="00C641B5"/>
    <w:rsid w:val="00C7419C"/>
    <w:rsid w:val="00C805C9"/>
    <w:rsid w:val="00C805D9"/>
    <w:rsid w:val="00C85EF1"/>
    <w:rsid w:val="00C86682"/>
    <w:rsid w:val="00C87953"/>
    <w:rsid w:val="00CA1679"/>
    <w:rsid w:val="00CA355E"/>
    <w:rsid w:val="00CA7207"/>
    <w:rsid w:val="00CB37E6"/>
    <w:rsid w:val="00CC0544"/>
    <w:rsid w:val="00CC5664"/>
    <w:rsid w:val="00CE101C"/>
    <w:rsid w:val="00CF651D"/>
    <w:rsid w:val="00CF747F"/>
    <w:rsid w:val="00CF7574"/>
    <w:rsid w:val="00D00BC4"/>
    <w:rsid w:val="00D01867"/>
    <w:rsid w:val="00D02145"/>
    <w:rsid w:val="00D04876"/>
    <w:rsid w:val="00D12772"/>
    <w:rsid w:val="00D127A1"/>
    <w:rsid w:val="00D232E4"/>
    <w:rsid w:val="00D27D2D"/>
    <w:rsid w:val="00D3098A"/>
    <w:rsid w:val="00D32FEC"/>
    <w:rsid w:val="00D33D63"/>
    <w:rsid w:val="00D361E3"/>
    <w:rsid w:val="00D40788"/>
    <w:rsid w:val="00D60DE2"/>
    <w:rsid w:val="00D667CE"/>
    <w:rsid w:val="00D774E7"/>
    <w:rsid w:val="00D8492D"/>
    <w:rsid w:val="00D90138"/>
    <w:rsid w:val="00D9506B"/>
    <w:rsid w:val="00DA138E"/>
    <w:rsid w:val="00DA4F4F"/>
    <w:rsid w:val="00DB6076"/>
    <w:rsid w:val="00DC0EB8"/>
    <w:rsid w:val="00DD1B3C"/>
    <w:rsid w:val="00DD56E3"/>
    <w:rsid w:val="00DE28D4"/>
    <w:rsid w:val="00DE58C4"/>
    <w:rsid w:val="00DE5F1C"/>
    <w:rsid w:val="00E027BA"/>
    <w:rsid w:val="00E10CF1"/>
    <w:rsid w:val="00E117FF"/>
    <w:rsid w:val="00E1190A"/>
    <w:rsid w:val="00E1283D"/>
    <w:rsid w:val="00E20056"/>
    <w:rsid w:val="00E2054D"/>
    <w:rsid w:val="00E21E83"/>
    <w:rsid w:val="00E271D4"/>
    <w:rsid w:val="00E32A51"/>
    <w:rsid w:val="00E3616F"/>
    <w:rsid w:val="00E412EE"/>
    <w:rsid w:val="00E43673"/>
    <w:rsid w:val="00E651CE"/>
    <w:rsid w:val="00E73F76"/>
    <w:rsid w:val="00E85297"/>
    <w:rsid w:val="00E87A8C"/>
    <w:rsid w:val="00E92F8B"/>
    <w:rsid w:val="00E9546D"/>
    <w:rsid w:val="00EB0048"/>
    <w:rsid w:val="00EB2941"/>
    <w:rsid w:val="00EB3182"/>
    <w:rsid w:val="00EB5621"/>
    <w:rsid w:val="00ED631D"/>
    <w:rsid w:val="00ED69F5"/>
    <w:rsid w:val="00EE172F"/>
    <w:rsid w:val="00EF030F"/>
    <w:rsid w:val="00EF1360"/>
    <w:rsid w:val="00EF3220"/>
    <w:rsid w:val="00EF4985"/>
    <w:rsid w:val="00EF6671"/>
    <w:rsid w:val="00F07B34"/>
    <w:rsid w:val="00F10AF0"/>
    <w:rsid w:val="00F1308F"/>
    <w:rsid w:val="00F15564"/>
    <w:rsid w:val="00F227BC"/>
    <w:rsid w:val="00F329DE"/>
    <w:rsid w:val="00F46290"/>
    <w:rsid w:val="00F528FF"/>
    <w:rsid w:val="00F62F2D"/>
    <w:rsid w:val="00F634D9"/>
    <w:rsid w:val="00F671D8"/>
    <w:rsid w:val="00F72069"/>
    <w:rsid w:val="00F721F6"/>
    <w:rsid w:val="00F80811"/>
    <w:rsid w:val="00F84501"/>
    <w:rsid w:val="00F94155"/>
    <w:rsid w:val="00FA0E89"/>
    <w:rsid w:val="00FB71C4"/>
    <w:rsid w:val="00FD0AD7"/>
    <w:rsid w:val="00FD2EF7"/>
    <w:rsid w:val="00FD482F"/>
    <w:rsid w:val="00FF122B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A75FEE14-F669-467F-AF5E-391D80E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20CC5"/>
    <w:pPr>
      <w:spacing w:line="240" w:lineRule="atLeast"/>
    </w:pPr>
    <w:rPr>
      <w:rFonts w:eastAsia="SimSun"/>
      <w:lang w:val="es-ES" w:eastAsia="es-ES"/>
    </w:rPr>
  </w:style>
  <w:style w:type="paragraph" w:styleId="Heading1">
    <w:name w:val="heading 1"/>
    <w:aliases w:val="Cuadro_G"/>
    <w:basedOn w:val="SingleTxtG"/>
    <w:next w:val="SingleTxtG"/>
    <w:link w:val="Heading1Char"/>
    <w:qFormat/>
    <w:rsid w:val="00020CC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020CC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020C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020C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020C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020C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020CC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020CC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020C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qFormat/>
    <w:rsid w:val="00020CC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020CC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020CC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semiHidden/>
    <w:rsid w:val="00106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0618F"/>
    <w:rPr>
      <w:rFonts w:ascii="Tahoma" w:hAnsi="Tahoma" w:cs="Tahoma"/>
      <w:sz w:val="16"/>
      <w:szCs w:val="16"/>
      <w:lang w:val="es-ES" w:eastAsia="es-ES"/>
    </w:rPr>
  </w:style>
  <w:style w:type="paragraph" w:customStyle="1" w:styleId="H1G">
    <w:name w:val="_ H_1_G"/>
    <w:basedOn w:val="Normal"/>
    <w:next w:val="Normal"/>
    <w:link w:val="H1GChar"/>
    <w:qFormat/>
    <w:rsid w:val="00020CC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20CC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20CC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20CC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qFormat/>
    <w:rsid w:val="00020CC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020CC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020CC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0CC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0CC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qFormat/>
    <w:rsid w:val="00020CC5"/>
    <w:rPr>
      <w:sz w:val="16"/>
    </w:rPr>
  </w:style>
  <w:style w:type="paragraph" w:customStyle="1" w:styleId="XLargeG">
    <w:name w:val="__XLarge_G"/>
    <w:basedOn w:val="Normal"/>
    <w:next w:val="Normal"/>
    <w:rsid w:val="00020CC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qFormat/>
    <w:rsid w:val="00020CC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020CC5"/>
    <w:pPr>
      <w:numPr>
        <w:numId w:val="3"/>
      </w:numPr>
    </w:pPr>
  </w:style>
  <w:style w:type="numbering" w:styleId="1ai">
    <w:name w:val="Outline List 1"/>
    <w:basedOn w:val="NoList"/>
    <w:semiHidden/>
    <w:rsid w:val="00020CC5"/>
    <w:pPr>
      <w:numPr>
        <w:numId w:val="4"/>
      </w:numPr>
    </w:pPr>
  </w:style>
  <w:style w:type="character" w:styleId="HTMLAcronym">
    <w:name w:val="HTML Acronym"/>
    <w:semiHidden/>
    <w:rsid w:val="00020CC5"/>
  </w:style>
  <w:style w:type="numbering" w:styleId="ArticleSection">
    <w:name w:val="Outline List 3"/>
    <w:basedOn w:val="NoList"/>
    <w:semiHidden/>
    <w:rsid w:val="00020CC5"/>
    <w:pPr>
      <w:numPr>
        <w:numId w:val="5"/>
      </w:numPr>
    </w:pPr>
  </w:style>
  <w:style w:type="paragraph" w:styleId="Closing">
    <w:name w:val="Closing"/>
    <w:basedOn w:val="Normal"/>
    <w:semiHidden/>
    <w:rsid w:val="00020CC5"/>
    <w:pPr>
      <w:ind w:left="4252"/>
    </w:pPr>
  </w:style>
  <w:style w:type="character" w:styleId="HTMLCite">
    <w:name w:val="HTML Cite"/>
    <w:semiHidden/>
    <w:rsid w:val="00020CC5"/>
    <w:rPr>
      <w:i/>
      <w:iCs/>
    </w:rPr>
  </w:style>
  <w:style w:type="character" w:styleId="HTMLCode">
    <w:name w:val="HTML Code"/>
    <w:semiHidden/>
    <w:rsid w:val="00020CC5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020CC5"/>
    <w:pPr>
      <w:spacing w:after="120"/>
      <w:ind w:left="283"/>
    </w:pPr>
  </w:style>
  <w:style w:type="paragraph" w:styleId="ListContinue2">
    <w:name w:val="List Continue 2"/>
    <w:basedOn w:val="Normal"/>
    <w:semiHidden/>
    <w:rsid w:val="00020CC5"/>
    <w:pPr>
      <w:spacing w:after="120"/>
      <w:ind w:left="566"/>
    </w:pPr>
  </w:style>
  <w:style w:type="paragraph" w:styleId="ListContinue3">
    <w:name w:val="List Continue 3"/>
    <w:basedOn w:val="Normal"/>
    <w:semiHidden/>
    <w:rsid w:val="00020CC5"/>
    <w:pPr>
      <w:spacing w:after="120"/>
      <w:ind w:left="849"/>
    </w:pPr>
  </w:style>
  <w:style w:type="paragraph" w:styleId="ListContinue4">
    <w:name w:val="List Continue 4"/>
    <w:basedOn w:val="Normal"/>
    <w:semiHidden/>
    <w:rsid w:val="00020CC5"/>
    <w:pPr>
      <w:spacing w:after="120"/>
      <w:ind w:left="1132"/>
    </w:pPr>
  </w:style>
  <w:style w:type="paragraph" w:styleId="ListContinue5">
    <w:name w:val="List Continue 5"/>
    <w:basedOn w:val="Normal"/>
    <w:semiHidden/>
    <w:rsid w:val="00020CC5"/>
    <w:pPr>
      <w:spacing w:after="120"/>
      <w:ind w:left="1415"/>
    </w:pPr>
  </w:style>
  <w:style w:type="character" w:styleId="HTMLDefinition">
    <w:name w:val="HTML Definition"/>
    <w:semiHidden/>
    <w:rsid w:val="00020CC5"/>
    <w:rPr>
      <w:i/>
      <w:iCs/>
    </w:rPr>
  </w:style>
  <w:style w:type="paragraph" w:styleId="HTMLAddress">
    <w:name w:val="HTML Address"/>
    <w:basedOn w:val="Normal"/>
    <w:semiHidden/>
    <w:rsid w:val="00020CC5"/>
    <w:rPr>
      <w:i/>
      <w:iCs/>
    </w:rPr>
  </w:style>
  <w:style w:type="paragraph" w:styleId="EnvelopeAddress">
    <w:name w:val="envelope address"/>
    <w:basedOn w:val="Normal"/>
    <w:semiHidden/>
    <w:rsid w:val="00020CC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020CC5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020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020CC5"/>
  </w:style>
  <w:style w:type="character" w:styleId="Emphasis">
    <w:name w:val="Emphasis"/>
    <w:semiHidden/>
    <w:rsid w:val="00020CC5"/>
    <w:rPr>
      <w:i/>
      <w:iCs/>
    </w:rPr>
  </w:style>
  <w:style w:type="paragraph" w:styleId="Date">
    <w:name w:val="Date"/>
    <w:basedOn w:val="Normal"/>
    <w:next w:val="Normal"/>
    <w:semiHidden/>
    <w:rsid w:val="00020CC5"/>
  </w:style>
  <w:style w:type="paragraph" w:styleId="Signature">
    <w:name w:val="Signature"/>
    <w:basedOn w:val="Normal"/>
    <w:semiHidden/>
    <w:rsid w:val="00020CC5"/>
    <w:pPr>
      <w:ind w:left="4252"/>
    </w:pPr>
  </w:style>
  <w:style w:type="paragraph" w:styleId="E-mailSignature">
    <w:name w:val="E-mail Signature"/>
    <w:basedOn w:val="Normal"/>
    <w:semiHidden/>
    <w:rsid w:val="00020CC5"/>
  </w:style>
  <w:style w:type="character" w:styleId="Hyperlink">
    <w:name w:val="Hyperlink"/>
    <w:rsid w:val="00020CC5"/>
    <w:rPr>
      <w:color w:val="0000FF"/>
      <w:u w:val="none"/>
    </w:rPr>
  </w:style>
  <w:style w:type="character" w:styleId="FollowedHyperlink">
    <w:name w:val="FollowedHyperlink"/>
    <w:rsid w:val="00020CC5"/>
    <w:rPr>
      <w:color w:val="0000FF"/>
      <w:u w:val="none"/>
    </w:rPr>
  </w:style>
  <w:style w:type="paragraph" w:styleId="HTMLPreformatted">
    <w:name w:val="HTML Preformatted"/>
    <w:basedOn w:val="Normal"/>
    <w:semiHidden/>
    <w:rsid w:val="00020CC5"/>
    <w:rPr>
      <w:rFonts w:ascii="Courier New" w:hAnsi="Courier New" w:cs="Courier New"/>
    </w:rPr>
  </w:style>
  <w:style w:type="paragraph" w:styleId="List">
    <w:name w:val="List"/>
    <w:basedOn w:val="Normal"/>
    <w:semiHidden/>
    <w:rsid w:val="00020CC5"/>
    <w:pPr>
      <w:ind w:left="283" w:hanging="283"/>
    </w:pPr>
  </w:style>
  <w:style w:type="paragraph" w:styleId="List2">
    <w:name w:val="List 2"/>
    <w:basedOn w:val="Normal"/>
    <w:semiHidden/>
    <w:rsid w:val="00020CC5"/>
    <w:pPr>
      <w:ind w:left="566" w:hanging="283"/>
    </w:pPr>
  </w:style>
  <w:style w:type="paragraph" w:styleId="List3">
    <w:name w:val="List 3"/>
    <w:basedOn w:val="Normal"/>
    <w:semiHidden/>
    <w:rsid w:val="00020CC5"/>
    <w:pPr>
      <w:ind w:left="849" w:hanging="283"/>
    </w:pPr>
  </w:style>
  <w:style w:type="paragraph" w:styleId="List4">
    <w:name w:val="List 4"/>
    <w:basedOn w:val="Normal"/>
    <w:semiHidden/>
    <w:rsid w:val="00020CC5"/>
    <w:pPr>
      <w:ind w:left="1132" w:hanging="283"/>
    </w:pPr>
  </w:style>
  <w:style w:type="paragraph" w:styleId="List5">
    <w:name w:val="List 5"/>
    <w:basedOn w:val="Normal"/>
    <w:semiHidden/>
    <w:rsid w:val="00020CC5"/>
    <w:pPr>
      <w:ind w:left="1415" w:hanging="283"/>
    </w:pPr>
  </w:style>
  <w:style w:type="paragraph" w:styleId="ListNumber">
    <w:name w:val="List Number"/>
    <w:basedOn w:val="Normal"/>
    <w:semiHidden/>
    <w:rsid w:val="00020CC5"/>
    <w:pPr>
      <w:numPr>
        <w:numId w:val="24"/>
      </w:numPr>
    </w:pPr>
  </w:style>
  <w:style w:type="paragraph" w:styleId="ListNumber2">
    <w:name w:val="List Number 2"/>
    <w:basedOn w:val="Normal"/>
    <w:semiHidden/>
    <w:rsid w:val="00020CC5"/>
    <w:pPr>
      <w:numPr>
        <w:numId w:val="25"/>
      </w:numPr>
    </w:pPr>
  </w:style>
  <w:style w:type="paragraph" w:styleId="ListNumber3">
    <w:name w:val="List Number 3"/>
    <w:basedOn w:val="Normal"/>
    <w:semiHidden/>
    <w:rsid w:val="00020CC5"/>
    <w:pPr>
      <w:numPr>
        <w:numId w:val="26"/>
      </w:numPr>
    </w:pPr>
  </w:style>
  <w:style w:type="paragraph" w:styleId="ListNumber4">
    <w:name w:val="List Number 4"/>
    <w:basedOn w:val="Normal"/>
    <w:semiHidden/>
    <w:rsid w:val="00020CC5"/>
    <w:pPr>
      <w:numPr>
        <w:numId w:val="27"/>
      </w:numPr>
    </w:pPr>
  </w:style>
  <w:style w:type="paragraph" w:styleId="ListNumber5">
    <w:name w:val="List Number 5"/>
    <w:basedOn w:val="Normal"/>
    <w:semiHidden/>
    <w:rsid w:val="00020CC5"/>
    <w:pPr>
      <w:numPr>
        <w:numId w:val="28"/>
      </w:numPr>
    </w:pPr>
  </w:style>
  <w:style w:type="paragraph" w:styleId="ListBullet">
    <w:name w:val="List Bullet"/>
    <w:basedOn w:val="Normal"/>
    <w:semiHidden/>
    <w:rsid w:val="00020CC5"/>
    <w:pPr>
      <w:numPr>
        <w:numId w:val="29"/>
      </w:numPr>
    </w:pPr>
  </w:style>
  <w:style w:type="paragraph" w:styleId="ListBullet2">
    <w:name w:val="List Bullet 2"/>
    <w:basedOn w:val="Normal"/>
    <w:semiHidden/>
    <w:rsid w:val="00020CC5"/>
    <w:pPr>
      <w:numPr>
        <w:numId w:val="30"/>
      </w:numPr>
    </w:pPr>
  </w:style>
  <w:style w:type="paragraph" w:styleId="ListBullet3">
    <w:name w:val="List Bullet 3"/>
    <w:basedOn w:val="Normal"/>
    <w:semiHidden/>
    <w:rsid w:val="00020CC5"/>
    <w:pPr>
      <w:numPr>
        <w:numId w:val="31"/>
      </w:numPr>
    </w:pPr>
  </w:style>
  <w:style w:type="paragraph" w:styleId="ListBullet4">
    <w:name w:val="List Bullet 4"/>
    <w:basedOn w:val="Normal"/>
    <w:semiHidden/>
    <w:rsid w:val="00020CC5"/>
    <w:pPr>
      <w:numPr>
        <w:numId w:val="32"/>
      </w:numPr>
    </w:pPr>
  </w:style>
  <w:style w:type="paragraph" w:styleId="ListBullet5">
    <w:name w:val="List Bullet 5"/>
    <w:basedOn w:val="Normal"/>
    <w:semiHidden/>
    <w:rsid w:val="00020CC5"/>
    <w:pPr>
      <w:numPr>
        <w:numId w:val="33"/>
      </w:numPr>
    </w:pPr>
  </w:style>
  <w:style w:type="character" w:styleId="HTMLTypewriter">
    <w:name w:val="HTML Typewriter"/>
    <w:semiHidden/>
    <w:rsid w:val="00020CC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020CC5"/>
    <w:rPr>
      <w:sz w:val="24"/>
      <w:szCs w:val="24"/>
    </w:rPr>
  </w:style>
  <w:style w:type="character" w:styleId="LineNumber">
    <w:name w:val="line number"/>
    <w:semiHidden/>
    <w:rsid w:val="00020CC5"/>
  </w:style>
  <w:style w:type="character" w:styleId="PageNumber">
    <w:name w:val="page number"/>
    <w:aliases w:val="7_G"/>
    <w:qFormat/>
    <w:rsid w:val="00020CC5"/>
    <w:rPr>
      <w:b/>
      <w:sz w:val="18"/>
    </w:rPr>
  </w:style>
  <w:style w:type="character" w:styleId="EndnoteReference">
    <w:name w:val="endnote reference"/>
    <w:aliases w:val="1_G"/>
    <w:qFormat/>
    <w:rsid w:val="00020CC5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020CC5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020CC5"/>
  </w:style>
  <w:style w:type="paragraph" w:styleId="BodyTextIndent2">
    <w:name w:val="Body Text Indent 2"/>
    <w:basedOn w:val="Normal"/>
    <w:semiHidden/>
    <w:rsid w:val="00020CC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20CC5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020CC5"/>
    <w:pPr>
      <w:spacing w:after="120"/>
      <w:ind w:left="283"/>
    </w:pPr>
  </w:style>
  <w:style w:type="paragraph" w:styleId="NormalIndent">
    <w:name w:val="Normal Indent"/>
    <w:basedOn w:val="Normal"/>
    <w:semiHidden/>
    <w:rsid w:val="00020CC5"/>
    <w:pPr>
      <w:ind w:left="567"/>
    </w:pPr>
  </w:style>
  <w:style w:type="paragraph" w:styleId="Subtitle">
    <w:name w:val="Subtitle"/>
    <w:basedOn w:val="Normal"/>
    <w:semiHidden/>
    <w:rsid w:val="00020CC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20CC5"/>
    <w:pPr>
      <w:spacing w:line="240" w:lineRule="atLeast"/>
    </w:pPr>
    <w:rPr>
      <w:rFonts w:eastAsia="SimSun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20CC5"/>
    <w:pPr>
      <w:spacing w:line="240" w:lineRule="atLeast"/>
    </w:pPr>
    <w:rPr>
      <w:rFonts w:eastAsia="SimSun"/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020CC5"/>
    <w:pPr>
      <w:spacing w:line="240" w:lineRule="atLeast"/>
    </w:pPr>
    <w:rPr>
      <w:rFonts w:eastAsia="SimSun"/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20CC5"/>
    <w:pPr>
      <w:spacing w:line="240" w:lineRule="atLeast"/>
    </w:pPr>
    <w:rPr>
      <w:rFonts w:eastAsia="SimSun"/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20CC5"/>
    <w:pPr>
      <w:spacing w:line="240" w:lineRule="atLeast"/>
    </w:pPr>
    <w:rPr>
      <w:rFonts w:eastAsia="SimSun"/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20CC5"/>
    <w:pPr>
      <w:spacing w:line="240" w:lineRule="atLeast"/>
    </w:pPr>
    <w:rPr>
      <w:rFonts w:eastAsia="SimSun"/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020CC5"/>
    <w:pPr>
      <w:spacing w:line="240" w:lineRule="atLeast"/>
    </w:pPr>
    <w:rPr>
      <w:rFonts w:eastAsia="SimSun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20CC5"/>
    <w:pPr>
      <w:spacing w:line="240" w:lineRule="atLeast"/>
    </w:pPr>
    <w:rPr>
      <w:rFonts w:eastAsia="SimSun"/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20CC5"/>
    <w:pPr>
      <w:spacing w:line="240" w:lineRule="atLeast"/>
    </w:pPr>
    <w:rPr>
      <w:rFonts w:eastAsia="SimSun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020CC5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020CC5"/>
    <w:pPr>
      <w:spacing w:after="120"/>
      <w:ind w:left="1440" w:right="1440"/>
    </w:pPr>
  </w:style>
  <w:style w:type="character" w:styleId="Strong">
    <w:name w:val="Strong"/>
    <w:semiHidden/>
    <w:rsid w:val="00020CC5"/>
    <w:rPr>
      <w:b/>
      <w:bCs/>
    </w:rPr>
  </w:style>
  <w:style w:type="paragraph" w:styleId="BodyText">
    <w:name w:val="Body Text"/>
    <w:basedOn w:val="Normal"/>
    <w:semiHidden/>
    <w:rsid w:val="00020CC5"/>
    <w:pPr>
      <w:spacing w:after="120"/>
    </w:pPr>
  </w:style>
  <w:style w:type="paragraph" w:styleId="BodyText2">
    <w:name w:val="Body Text 2"/>
    <w:basedOn w:val="Normal"/>
    <w:semiHidden/>
    <w:rsid w:val="00020CC5"/>
    <w:pPr>
      <w:spacing w:after="120" w:line="480" w:lineRule="auto"/>
    </w:pPr>
  </w:style>
  <w:style w:type="paragraph" w:styleId="BodyText3">
    <w:name w:val="Body Text 3"/>
    <w:basedOn w:val="Normal"/>
    <w:semiHidden/>
    <w:rsid w:val="00020CC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20CC5"/>
    <w:pPr>
      <w:ind w:firstLine="210"/>
    </w:pPr>
  </w:style>
  <w:style w:type="paragraph" w:styleId="BodyTextFirstIndent2">
    <w:name w:val="Body Text First Indent 2"/>
    <w:basedOn w:val="BodyTextIndent"/>
    <w:semiHidden/>
    <w:rsid w:val="00020CC5"/>
    <w:pPr>
      <w:ind w:firstLine="210"/>
    </w:pPr>
  </w:style>
  <w:style w:type="paragraph" w:styleId="EndnoteText">
    <w:name w:val="endnote text"/>
    <w:aliases w:val="2_G"/>
    <w:basedOn w:val="FootnoteText"/>
    <w:qFormat/>
    <w:rsid w:val="00020CC5"/>
  </w:style>
  <w:style w:type="paragraph" w:styleId="PlainText">
    <w:name w:val="Plain Text"/>
    <w:basedOn w:val="Normal"/>
    <w:semiHidden/>
    <w:rsid w:val="00020CC5"/>
    <w:rPr>
      <w:rFonts w:ascii="Courier New" w:hAnsi="Courier New" w:cs="Courier New"/>
    </w:rPr>
  </w:style>
  <w:style w:type="paragraph" w:styleId="Title">
    <w:name w:val="Title"/>
    <w:basedOn w:val="Normal"/>
    <w:semiHidden/>
    <w:rsid w:val="00020C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020CC5"/>
    <w:rPr>
      <w:i/>
      <w:iCs/>
    </w:rPr>
  </w:style>
  <w:style w:type="paragraph" w:customStyle="1" w:styleId="Bullet1G">
    <w:name w:val="_Bullet 1_G"/>
    <w:basedOn w:val="Normal"/>
    <w:qFormat/>
    <w:rsid w:val="00020CC5"/>
    <w:pPr>
      <w:numPr>
        <w:numId w:val="19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020CC5"/>
    <w:pPr>
      <w:numPr>
        <w:numId w:val="20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2E2135"/>
    <w:pPr>
      <w:numPr>
        <w:numId w:val="16"/>
      </w:numPr>
      <w:suppressAutoHyphens/>
      <w:kinsoku w:val="0"/>
      <w:overflowPunct w:val="0"/>
      <w:autoSpaceDE w:val="0"/>
      <w:autoSpaceDN w:val="0"/>
      <w:adjustRightInd w:val="0"/>
      <w:snapToGrid w:val="0"/>
    </w:pPr>
    <w:rPr>
      <w:lang w:eastAsia="en-US"/>
    </w:rPr>
  </w:style>
  <w:style w:type="character" w:customStyle="1" w:styleId="H1GChar">
    <w:name w:val="_ H_1_G Char"/>
    <w:link w:val="H1G"/>
    <w:locked/>
    <w:rsid w:val="00E027BA"/>
    <w:rPr>
      <w:rFonts w:eastAsia="DengXian"/>
      <w:b/>
      <w:sz w:val="24"/>
      <w:lang w:eastAsia="es-ES"/>
    </w:rPr>
  </w:style>
  <w:style w:type="character" w:customStyle="1" w:styleId="SingleTxtGChar">
    <w:name w:val="_ Single Txt_G Char"/>
    <w:link w:val="SingleTxtG"/>
    <w:locked/>
    <w:rsid w:val="00E027BA"/>
    <w:rPr>
      <w:rFonts w:eastAsia="DengXian"/>
      <w:lang w:eastAsia="es-ES"/>
    </w:rPr>
  </w:style>
  <w:style w:type="paragraph" w:customStyle="1" w:styleId="Default">
    <w:name w:val="Default"/>
    <w:rsid w:val="00335E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8638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8F0"/>
    <w:pPr>
      <w:spacing w:line="240" w:lineRule="auto"/>
    </w:pPr>
  </w:style>
  <w:style w:type="character" w:customStyle="1" w:styleId="CommentTextChar">
    <w:name w:val="Comment Text Char"/>
    <w:link w:val="CommentText"/>
    <w:semiHidden/>
    <w:rsid w:val="008638F0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8F0"/>
    <w:rPr>
      <w:b/>
      <w:bCs/>
    </w:rPr>
  </w:style>
  <w:style w:type="character" w:customStyle="1" w:styleId="CommentSubjectChar">
    <w:name w:val="Comment Subject Char"/>
    <w:link w:val="CommentSubject"/>
    <w:semiHidden/>
    <w:rsid w:val="008638F0"/>
    <w:rPr>
      <w:b/>
      <w:bCs/>
      <w:lang w:val="es-ES" w:eastAsia="es-ES"/>
    </w:rPr>
  </w:style>
  <w:style w:type="paragraph" w:styleId="IntenseQuote">
    <w:name w:val="Intense Quote"/>
    <w:basedOn w:val="Normal"/>
    <w:next w:val="Normal"/>
    <w:link w:val="IntenseQuoteChar"/>
    <w:uiPriority w:val="30"/>
    <w:rsid w:val="00020C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20CC5"/>
    <w:rPr>
      <w:rFonts w:eastAsia="DengXian"/>
      <w:b/>
      <w:bCs/>
      <w:i/>
      <w:iCs/>
      <w:color w:val="4F81BD"/>
      <w:lang w:eastAsia="es-ES"/>
    </w:rPr>
  </w:style>
  <w:style w:type="character" w:styleId="IntenseEmphasis">
    <w:name w:val="Intense Emphasis"/>
    <w:uiPriority w:val="21"/>
    <w:rsid w:val="00020CC5"/>
    <w:rPr>
      <w:b/>
      <w:bCs/>
      <w:i/>
      <w:iCs/>
      <w:color w:val="4F81BD"/>
    </w:rPr>
  </w:style>
  <w:style w:type="character" w:customStyle="1" w:styleId="Heading1Char">
    <w:name w:val="Heading 1 Char"/>
    <w:aliases w:val="Cuadro_G Char"/>
    <w:link w:val="Heading1"/>
    <w:rsid w:val="00020CC5"/>
    <w:rPr>
      <w:rFonts w:eastAsia="DengXian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CMW\CMW_S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3609-3AD4-4838-97C7-03063E9F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CMW_S.dotm</Template>
  <TotalTime>0</TotalTime>
  <Pages>9</Pages>
  <Words>5066</Words>
  <Characters>27866</Characters>
  <Application>Microsoft Office Word</Application>
  <DocSecurity>0</DocSecurity>
  <Lines>232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CMW/C/ARG/QPR/2</vt:lpstr>
      <vt:lpstr>CMW/C/ARG/QPR/2</vt:lpstr>
      <vt:lpstr>Naciones Unidas</vt:lpstr>
    </vt:vector>
  </TitlesOfParts>
  <Company>DCM</Company>
  <LinksUpToDate>false</LinksUpToDate>
  <CharactersWithSpaces>32867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CMW/C/ARG/QPR/2</dc:title>
  <dc:subject/>
  <dc:creator>Maria Luisa Zeballos Moreno</dc:creator>
  <cp:keywords/>
  <dc:description/>
  <cp:lastModifiedBy>Maria Luisa Zeballos Moreno</cp:lastModifiedBy>
  <cp:revision>3</cp:revision>
  <cp:lastPrinted>2018-06-20T12:05:00Z</cp:lastPrinted>
  <dcterms:created xsi:type="dcterms:W3CDTF">2018-06-20T12:05:00Z</dcterms:created>
  <dcterms:modified xsi:type="dcterms:W3CDTF">2018-06-20T12:05:00Z</dcterms:modified>
</cp:coreProperties>
</file>