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bookmarkStart w:id="0" w:name="_GoBack"/>
            <w:bookmarkEnd w:id="0"/>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B4112C" w:rsidP="0004630F">
            <w:pPr>
              <w:bidi w:val="0"/>
              <w:spacing w:after="20"/>
              <w:jc w:val="left"/>
              <w:rPr>
                <w:szCs w:val="20"/>
              </w:rPr>
            </w:pPr>
            <w:r w:rsidRPr="00B4112C">
              <w:rPr>
                <w:sz w:val="40"/>
                <w:szCs w:val="20"/>
              </w:rPr>
              <w:t>CRC</w:t>
            </w:r>
            <w:r>
              <w:rPr>
                <w:szCs w:val="20"/>
              </w:rPr>
              <w:t>/C/QAT/CO/3-4</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04630F" w:rsidP="0004630F">
            <w:pPr>
              <w:bidi w:val="0"/>
              <w:spacing w:before="240"/>
              <w:jc w:val="left"/>
            </w:pPr>
            <w:r>
              <w:t>Distr.: General</w:t>
            </w:r>
          </w:p>
          <w:p w:rsidR="0004630F" w:rsidRDefault="0004630F" w:rsidP="0004630F">
            <w:pPr>
              <w:bidi w:val="0"/>
              <w:jc w:val="left"/>
            </w:pPr>
            <w:r>
              <w:t>22 June 2017</w:t>
            </w:r>
          </w:p>
          <w:p w:rsidR="0004630F" w:rsidRDefault="0004630F" w:rsidP="0004630F">
            <w:pPr>
              <w:bidi w:val="0"/>
              <w:jc w:val="left"/>
            </w:pPr>
            <w:r>
              <w:t>Arabic</w:t>
            </w:r>
          </w:p>
          <w:p w:rsidR="0004630F" w:rsidRPr="008B4BC6" w:rsidRDefault="0004630F" w:rsidP="0004630F">
            <w:pPr>
              <w:bidi w:val="0"/>
              <w:jc w:val="left"/>
            </w:pPr>
            <w:r>
              <w:t>Original: English</w:t>
            </w:r>
          </w:p>
        </w:tc>
      </w:tr>
    </w:tbl>
    <w:p w:rsidR="0004630F" w:rsidRPr="00DF51D4" w:rsidRDefault="0004630F" w:rsidP="0004630F">
      <w:pPr>
        <w:spacing w:before="120" w:line="380" w:lineRule="exact"/>
        <w:textDirection w:val="tbRlV"/>
        <w:rPr>
          <w:b/>
          <w:bCs/>
          <w:sz w:val="36"/>
          <w:szCs w:val="36"/>
          <w:rtl/>
          <w:lang w:eastAsia="zh-TW"/>
        </w:rPr>
      </w:pPr>
      <w:r w:rsidRPr="00DF51D4">
        <w:rPr>
          <w:sz w:val="36"/>
          <w:szCs w:val="36"/>
          <w:rtl/>
          <w:cs/>
          <w:lang w:eastAsia="zh-TW"/>
        </w:rPr>
        <w:t>‎</w:t>
      </w:r>
      <w:r w:rsidRPr="00DF51D4">
        <w:rPr>
          <w:b/>
          <w:bCs/>
          <w:sz w:val="36"/>
          <w:szCs w:val="36"/>
          <w:rtl/>
          <w:cs/>
          <w:lang w:eastAsia="zh-TW"/>
        </w:rPr>
        <w:t>لجنة حقوق الطفل‏</w:t>
      </w:r>
    </w:p>
    <w:p w:rsidR="0004630F" w:rsidRPr="001B3A9A" w:rsidRDefault="007A00AF" w:rsidP="007A00AF">
      <w:pPr>
        <w:pStyle w:val="HChGA"/>
        <w:rPr>
          <w:rtl/>
          <w:lang w:eastAsia="zh-TW" w:bidi="ar-DZ"/>
        </w:rPr>
      </w:pPr>
      <w:r>
        <w:rPr>
          <w:rFonts w:hint="cs"/>
          <w:rtl/>
        </w:rPr>
        <w:tab/>
      </w:r>
      <w:r>
        <w:rPr>
          <w:rFonts w:hint="cs"/>
          <w:rtl/>
        </w:rPr>
        <w:tab/>
      </w:r>
      <w:dir w:val="rtl">
        <w:r w:rsidR="0004630F" w:rsidRPr="001B3A9A">
          <w:rPr>
            <w:rtl/>
            <w:lang w:eastAsia="zh-TW"/>
          </w:rPr>
          <w:t>الملاحظات الختامية بشأن التقرير الجامع للتقريرين الدوريين الثالث</w:t>
        </w:r>
        <w:r w:rsidR="00ED7A25">
          <w:rPr>
            <w:rFonts w:hint="cs"/>
            <w:rtl/>
            <w:lang w:eastAsia="zh-TW"/>
          </w:rPr>
          <w:t xml:space="preserve"> </w:t>
        </w:r>
        <w:r w:rsidR="0004630F" w:rsidRPr="001B3A9A">
          <w:rPr>
            <w:rtl/>
            <w:lang w:eastAsia="zh-TW"/>
          </w:rPr>
          <w:t>والرابع لقطر</w:t>
        </w:r>
        <w:r w:rsidR="007F53F4" w:rsidRPr="007F53F4">
          <w:rPr>
            <w:rStyle w:val="FootnoteReference"/>
            <w:sz w:val="20"/>
            <w:vertAlign w:val="baseline"/>
            <w:rtl/>
            <w:lang w:eastAsia="zh-TW"/>
          </w:rPr>
          <w:footnoteReference w:customMarkFollows="1" w:id="1"/>
          <w:t>*</w:t>
        </w:r>
        <w:r w:rsidR="00DF51D4">
          <w:t>‬</w:t>
        </w:r>
        <w:r w:rsidR="003E66B1">
          <w:t>‬</w:t>
        </w:r>
        <w:r w:rsidR="002E62F7">
          <w:t>‬</w:t>
        </w:r>
      </w:dir>
    </w:p>
    <w:p w:rsidR="0004630F" w:rsidRPr="001B3A9A" w:rsidRDefault="0004630F" w:rsidP="0004630F">
      <w:pPr>
        <w:pStyle w:val="HChGA"/>
        <w:rPr>
          <w:rtl/>
          <w:lang w:eastAsia="zh-TW"/>
        </w:rPr>
      </w:pPr>
      <w:r>
        <w:rPr>
          <w:rtl/>
          <w:lang w:eastAsia="zh-TW"/>
        </w:rPr>
        <w:tab/>
      </w:r>
      <w:r w:rsidRPr="001B3A9A">
        <w:rPr>
          <w:rtl/>
          <w:lang w:eastAsia="zh-TW"/>
        </w:rPr>
        <w:t>أولا</w:t>
      </w:r>
      <w:r>
        <w:rPr>
          <w:rFonts w:hint="cs"/>
          <w:rtl/>
          <w:lang w:eastAsia="zh-TW"/>
        </w:rPr>
        <w:t>ً</w:t>
      </w:r>
      <w:r w:rsidRPr="001B3A9A">
        <w:rPr>
          <w:rtl/>
          <w:lang w:eastAsia="zh-TW"/>
        </w:rPr>
        <w:t>-</w:t>
      </w:r>
      <w:r>
        <w:rPr>
          <w:rtl/>
          <w:lang w:eastAsia="zh-TW"/>
        </w:rPr>
        <w:tab/>
      </w:r>
      <w:r w:rsidRPr="001B3A9A">
        <w:rPr>
          <w:rtl/>
          <w:lang w:eastAsia="zh-TW"/>
        </w:rPr>
        <w:t>مقدمة</w:t>
      </w:r>
    </w:p>
    <w:p w:rsidR="0004630F" w:rsidRPr="000F7891" w:rsidRDefault="0004630F" w:rsidP="0004630F">
      <w:pPr>
        <w:pStyle w:val="SingleTxtGA"/>
        <w:rPr>
          <w:rFonts w:ascii="Traditional Arabic" w:hAnsi="Traditional Arabic"/>
          <w:spacing w:val="-4"/>
          <w:sz w:val="28"/>
          <w:szCs w:val="28"/>
          <w:rtl/>
          <w:lang w:eastAsia="zh-TW"/>
        </w:rPr>
      </w:pPr>
      <w:r>
        <w:rPr>
          <w:rtl/>
          <w:lang w:eastAsia="zh-TW"/>
        </w:rPr>
        <w:t>١</w:t>
      </w:r>
      <w:r w:rsidRPr="00DF51D4">
        <w:rPr>
          <w:spacing w:val="-4"/>
          <w:rtl/>
          <w:lang w:eastAsia="zh-TW"/>
        </w:rPr>
        <w:t>-</w:t>
      </w:r>
      <w:r w:rsidRPr="00DF51D4">
        <w:rPr>
          <w:spacing w:val="-4"/>
          <w:rtl/>
          <w:lang w:eastAsia="zh-TW"/>
        </w:rPr>
        <w:tab/>
      </w:r>
      <w:r w:rsidRPr="000F7891">
        <w:rPr>
          <w:spacing w:val="-6"/>
          <w:rtl/>
          <w:lang w:eastAsia="zh-TW"/>
        </w:rPr>
        <w:t>نظرت اللجنة في التقرير الجامع للتقريرين الدوريين الثالث والرابع لقطر (</w:t>
      </w:r>
      <w:r w:rsidRPr="000F7891">
        <w:rPr>
          <w:spacing w:val="-6"/>
          <w:lang w:eastAsia="zh-TW"/>
        </w:rPr>
        <w:t>CRC/C/QAT/3-4</w:t>
      </w:r>
      <w:r w:rsidRPr="000F7891">
        <w:rPr>
          <w:spacing w:val="-6"/>
          <w:rtl/>
          <w:lang w:eastAsia="zh-TW"/>
        </w:rPr>
        <w:t>) في جلستيها 2205 و2206 (انظر</w:t>
      </w:r>
      <w:r w:rsidRPr="000F7891">
        <w:rPr>
          <w:rFonts w:hint="cs"/>
          <w:spacing w:val="-6"/>
          <w:rtl/>
          <w:lang w:eastAsia="zh-TW"/>
        </w:rPr>
        <w:t xml:space="preserve"> </w:t>
      </w:r>
      <w:r w:rsidRPr="000F7891">
        <w:rPr>
          <w:spacing w:val="-6"/>
          <w:lang w:eastAsia="zh-TW"/>
        </w:rPr>
        <w:t>CRC/C/SR.2205</w:t>
      </w:r>
      <w:r w:rsidRPr="000F7891">
        <w:rPr>
          <w:spacing w:val="-6"/>
          <w:rtl/>
          <w:lang w:eastAsia="zh-TW"/>
        </w:rPr>
        <w:t xml:space="preserve"> و</w:t>
      </w:r>
      <w:r w:rsidRPr="000F7891">
        <w:rPr>
          <w:spacing w:val="-6"/>
          <w:lang w:val="es-ES" w:eastAsia="zh-TW"/>
        </w:rPr>
        <w:t>2206</w:t>
      </w:r>
      <w:r w:rsidRPr="000F7891">
        <w:rPr>
          <w:spacing w:val="-6"/>
          <w:rtl/>
          <w:lang w:eastAsia="zh-TW"/>
        </w:rPr>
        <w:t>) المعقودتين في 22 و23 أيار/</w:t>
      </w:r>
      <w:r w:rsidR="000F7891">
        <w:rPr>
          <w:rFonts w:hint="cs"/>
          <w:spacing w:val="-6"/>
          <w:rtl/>
          <w:lang w:eastAsia="zh-TW"/>
        </w:rPr>
        <w:t xml:space="preserve">        </w:t>
      </w:r>
      <w:r w:rsidRPr="000F7891">
        <w:rPr>
          <w:rFonts w:ascii="Traditional Arabic" w:hAnsi="Traditional Arabic"/>
          <w:spacing w:val="-4"/>
          <w:sz w:val="28"/>
          <w:szCs w:val="28"/>
          <w:rtl/>
          <w:lang w:eastAsia="zh-TW"/>
        </w:rPr>
        <w:t>مايو 2017، واعتمدت هذه الملاحظات الختامية في جلستها 2221 المعقودة في 2 حزيران/يونيه 2017.</w:t>
      </w:r>
      <w:r w:rsidRPr="000F7891">
        <w:rPr>
          <w:rFonts w:cs="Times New Roman" w:hint="cs"/>
          <w:spacing w:val="-4"/>
          <w:sz w:val="28"/>
          <w:szCs w:val="28"/>
          <w:rtl/>
          <w:lang w:eastAsia="zh-TW"/>
        </w:rPr>
        <w:t>‬</w:t>
      </w:r>
      <w:r w:rsidRPr="000F7891">
        <w:rPr>
          <w:rFonts w:ascii="Traditional Arabic" w:hAnsi="Traditional Arabic"/>
          <w:spacing w:val="-4"/>
          <w:sz w:val="28"/>
          <w:szCs w:val="28"/>
          <w:rtl/>
          <w:lang w:eastAsia="zh-TW"/>
        </w:rPr>
        <w:t xml:space="preserve"> </w:t>
      </w:r>
    </w:p>
    <w:p w:rsidR="0004630F" w:rsidRPr="001D29FA" w:rsidRDefault="0004630F" w:rsidP="0004630F">
      <w:pPr>
        <w:pStyle w:val="SingleTxtGA"/>
        <w:rPr>
          <w:rtl/>
          <w:lang w:eastAsia="zh-TW"/>
        </w:rPr>
      </w:pPr>
      <w:r>
        <w:rPr>
          <w:rtl/>
          <w:lang w:eastAsia="zh-TW"/>
        </w:rPr>
        <w:t>٢-</w:t>
      </w:r>
      <w:r>
        <w:rPr>
          <w:rtl/>
          <w:lang w:eastAsia="zh-TW"/>
        </w:rPr>
        <w:tab/>
        <w:t>وترحب اللجنة بتقديم الدولة الطرف تقريرها الجامع للتقريرين الثالث والرابع وبردودها الخطية على قائمة المسائل (</w:t>
      </w:r>
      <w:r w:rsidRPr="0004630F">
        <w:rPr>
          <w:lang w:eastAsia="zh-TW"/>
        </w:rPr>
        <w:t>CRC/C/QAT/Q/3-4/Add.1</w:t>
      </w:r>
      <w:r>
        <w:rPr>
          <w:rtl/>
          <w:lang w:eastAsia="zh-TW"/>
        </w:rPr>
        <w:t>)، الأمر الذي مكّن من فهم أوضاع حقوق الطفل في الدولة الطرف فهماً أفضل.</w:t>
      </w:r>
      <w:r>
        <w:rPr>
          <w:rFonts w:cs="Times New Roman" w:hint="cs"/>
          <w:rtl/>
          <w:lang w:eastAsia="zh-TW"/>
        </w:rPr>
        <w:t>‬</w:t>
      </w:r>
      <w:r>
        <w:rPr>
          <w:rtl/>
          <w:lang w:eastAsia="zh-TW"/>
        </w:rPr>
        <w:t xml:space="preserve"> </w:t>
      </w:r>
      <w:dir w:val="rtl">
        <w:r>
          <w:rPr>
            <w:rtl/>
            <w:lang w:eastAsia="zh-TW"/>
          </w:rPr>
          <w:t>وتعرب اللجنة عن تقديرها الحوار البناء مع وفد الدولة الطرف الذي يمثل قطاعات متعددة</w:t>
        </w:r>
        <w:r>
          <w:rPr>
            <w:rFonts w:hint="cs"/>
            <w:rtl/>
            <w:lang w:eastAsia="zh-TW"/>
          </w:rPr>
          <w:t xml:space="preserve">. </w:t>
        </w:r>
        <w:r>
          <w:t>‬</w:t>
        </w:r>
        <w:r w:rsidR="00DF51D4">
          <w:t>‬</w:t>
        </w:r>
        <w:r w:rsidR="003E66B1">
          <w:t>‬</w:t>
        </w:r>
        <w:r w:rsidR="002E62F7">
          <w:t>‬</w:t>
        </w:r>
      </w:dir>
    </w:p>
    <w:p w:rsidR="0004630F" w:rsidRPr="001B3A9A" w:rsidRDefault="0004630F" w:rsidP="0004630F">
      <w:pPr>
        <w:pStyle w:val="HChGA"/>
        <w:rPr>
          <w:rtl/>
          <w:lang w:eastAsia="zh-TW"/>
        </w:rPr>
      </w:pPr>
      <w:r w:rsidRPr="001B3A9A">
        <w:rPr>
          <w:rtl/>
          <w:lang w:eastAsia="zh-TW"/>
        </w:rPr>
        <w:tab/>
        <w:t>ثانيا</w:t>
      </w:r>
      <w:r>
        <w:rPr>
          <w:rFonts w:hint="cs"/>
          <w:rtl/>
          <w:lang w:eastAsia="zh-TW"/>
        </w:rPr>
        <w:t>ً</w:t>
      </w:r>
      <w:r w:rsidRPr="001B3A9A">
        <w:rPr>
          <w:rtl/>
          <w:lang w:eastAsia="zh-TW"/>
        </w:rPr>
        <w:t>-</w:t>
      </w:r>
      <w:r>
        <w:rPr>
          <w:rtl/>
          <w:lang w:eastAsia="zh-TW"/>
        </w:rPr>
        <w:tab/>
      </w:r>
      <w:r w:rsidRPr="001B3A9A">
        <w:rPr>
          <w:rtl/>
          <w:lang w:eastAsia="zh-TW"/>
        </w:rPr>
        <w:t>تدابير المتابعة التي اتخذتها الدولة الطرف والتقدم الذي أحرزته</w:t>
      </w:r>
      <w:r w:rsidRPr="001B3A9A">
        <w:rPr>
          <w:rFonts w:cs="Times New Roman" w:hint="cs"/>
          <w:rtl/>
          <w:lang w:eastAsia="zh-TW"/>
        </w:rPr>
        <w:t>‬</w:t>
      </w:r>
    </w:p>
    <w:p w:rsidR="0004630F" w:rsidRPr="001D29FA" w:rsidRDefault="0004630F" w:rsidP="007F53F4">
      <w:pPr>
        <w:pStyle w:val="SingleTxtGA"/>
        <w:rPr>
          <w:rtl/>
          <w:lang w:eastAsia="zh-TW"/>
        </w:rPr>
      </w:pPr>
      <w:r>
        <w:rPr>
          <w:rtl/>
          <w:lang w:eastAsia="zh-TW"/>
        </w:rPr>
        <w:t>٣-</w:t>
      </w:r>
      <w:r>
        <w:rPr>
          <w:rtl/>
          <w:lang w:eastAsia="zh-TW"/>
        </w:rPr>
        <w:tab/>
        <w:t xml:space="preserve">ترحب اللجنة بالتقدم الذي أحرزته الدولة الطرف في بعض المجالات، بما في ذلك التدابير التشريعية والمؤسسية </w:t>
      </w:r>
      <w:proofErr w:type="spellStart"/>
      <w:r>
        <w:rPr>
          <w:rtl/>
          <w:lang w:eastAsia="zh-TW"/>
        </w:rPr>
        <w:t>والسياساتية</w:t>
      </w:r>
      <w:proofErr w:type="spellEnd"/>
      <w:r>
        <w:rPr>
          <w:rtl/>
          <w:lang w:eastAsia="zh-TW"/>
        </w:rPr>
        <w:t xml:space="preserve"> المعتمدة لتنفيذ الاتفاقية، ولا سيما القانون رقم ١٥ لعام ٢٠١١ المتعلق بمكافحة </w:t>
      </w:r>
      <w:proofErr w:type="spellStart"/>
      <w:r>
        <w:rPr>
          <w:rtl/>
          <w:lang w:eastAsia="zh-TW"/>
        </w:rPr>
        <w:t>الاتجار</w:t>
      </w:r>
      <w:proofErr w:type="spellEnd"/>
      <w:r>
        <w:rPr>
          <w:rtl/>
          <w:lang w:eastAsia="zh-TW"/>
        </w:rPr>
        <w:t xml:space="preserve"> بالأشخاص. وترحب </w:t>
      </w:r>
      <w:r w:rsidR="00ED7A25">
        <w:rPr>
          <w:rtl/>
          <w:lang w:eastAsia="zh-TW"/>
        </w:rPr>
        <w:t>أيضاً</w:t>
      </w:r>
      <w:r>
        <w:rPr>
          <w:rtl/>
          <w:lang w:eastAsia="zh-TW"/>
        </w:rPr>
        <w:t xml:space="preserve"> بإنشاء وحدة لحقوق النساء والأطفال وذوي الإعاقات في اللجنة الوطنية لحقوق الإنسان.</w:t>
      </w:r>
      <w:r>
        <w:rPr>
          <w:rFonts w:hint="cs"/>
          <w:rtl/>
          <w:lang w:eastAsia="zh-TW"/>
        </w:rPr>
        <w:t xml:space="preserve"> </w:t>
      </w:r>
    </w:p>
    <w:p w:rsidR="0004630F" w:rsidRPr="001B3A9A" w:rsidRDefault="0004630F" w:rsidP="0004630F">
      <w:pPr>
        <w:pStyle w:val="HChGA"/>
        <w:rPr>
          <w:rtl/>
          <w:lang w:eastAsia="zh-TW"/>
        </w:rPr>
      </w:pPr>
      <w:r w:rsidRPr="001B3A9A">
        <w:rPr>
          <w:rtl/>
          <w:lang w:eastAsia="zh-TW"/>
        </w:rPr>
        <w:tab/>
        <w:t>ثالثا</w:t>
      </w:r>
      <w:r>
        <w:rPr>
          <w:rFonts w:hint="cs"/>
          <w:rtl/>
          <w:lang w:eastAsia="zh-TW"/>
        </w:rPr>
        <w:t>ً</w:t>
      </w:r>
      <w:r w:rsidRPr="001B3A9A">
        <w:rPr>
          <w:rtl/>
          <w:lang w:eastAsia="zh-TW"/>
        </w:rPr>
        <w:t>-</w:t>
      </w:r>
      <w:r>
        <w:rPr>
          <w:rtl/>
          <w:lang w:eastAsia="zh-TW"/>
        </w:rPr>
        <w:tab/>
      </w:r>
      <w:r w:rsidRPr="001B3A9A">
        <w:rPr>
          <w:rtl/>
          <w:lang w:eastAsia="zh-TW"/>
        </w:rPr>
        <w:t>دواعي القلق الرئيسية والتوصيات</w:t>
      </w:r>
    </w:p>
    <w:p w:rsidR="0004630F" w:rsidRPr="001D29FA" w:rsidRDefault="0004630F" w:rsidP="0004630F">
      <w:pPr>
        <w:pStyle w:val="SingleTxtGA"/>
        <w:rPr>
          <w:rtl/>
          <w:lang w:eastAsia="zh-TW"/>
        </w:rPr>
      </w:pPr>
      <w:r>
        <w:rPr>
          <w:rtl/>
          <w:lang w:eastAsia="zh-TW"/>
        </w:rPr>
        <w:t>٤-</w:t>
      </w:r>
      <w:r>
        <w:rPr>
          <w:rtl/>
          <w:lang w:eastAsia="zh-TW"/>
        </w:rPr>
        <w:tab/>
        <w:t>تذكّر اللجنة الدولة الطرف بترابط جميع الحقوق المكرسة في الاتفاقية وبعدم قابليتها للتجزئة، وتشدد على أهمية جميع التوصيات الواردة في هذه الملاحظات الختامية.</w:t>
      </w:r>
      <w:r>
        <w:rPr>
          <w:rFonts w:cs="Times New Roman" w:hint="cs"/>
          <w:rtl/>
          <w:lang w:eastAsia="zh-TW"/>
        </w:rPr>
        <w:t>‬</w:t>
      </w:r>
      <w:r>
        <w:rPr>
          <w:rtl/>
          <w:lang w:eastAsia="zh-TW"/>
        </w:rPr>
        <w:t xml:space="preserve"> </w:t>
      </w:r>
      <w:dir w:val="rtl">
        <w:r>
          <w:rPr>
            <w:rtl/>
            <w:lang w:eastAsia="zh-TW"/>
          </w:rPr>
          <w:t xml:space="preserve">وتود أن توجه انتباه الدولة الطرف إلى التوصيات المتعلقة بالمجالات التالية، وهي توصيات يجب اتخاذ تدابير </w:t>
        </w:r>
        <w:r>
          <w:rPr>
            <w:rtl/>
            <w:lang w:eastAsia="zh-TW"/>
          </w:rPr>
          <w:lastRenderedPageBreak/>
          <w:t>عاجلة بشأنها: تعريف الطفل عندما يتعلق الأمر بزواج الأطفال (الفقرة 12)، وعدم التمييز (الفقرتان 14 و16)، والجنسية (الفقرة 20)، والعقوبة البدنية (الفقرة 22)، والأطفال في حالات الهجرة (الفقرة 34)، وإدارة شؤون قضاء الأحداث (الفقرة 37).</w:t>
        </w:r>
        <w:r>
          <w:rPr>
            <w:rFonts w:cs="Times New Roman" w:hint="cs"/>
            <w:rtl/>
            <w:lang w:eastAsia="zh-TW"/>
          </w:rPr>
          <w:t>‬</w:t>
        </w:r>
        <w:r>
          <w:t>‬</w:t>
        </w:r>
        <w:r w:rsidR="00DF51D4">
          <w:t>‬</w:t>
        </w:r>
        <w:r w:rsidR="003E66B1">
          <w:t>‬</w:t>
        </w:r>
        <w:r w:rsidR="002E62F7">
          <w:t>‬</w:t>
        </w:r>
      </w:dir>
    </w:p>
    <w:p w:rsidR="0004630F" w:rsidRPr="001B3A9A" w:rsidRDefault="0004630F" w:rsidP="007F53F4">
      <w:pPr>
        <w:pStyle w:val="H1GA"/>
        <w:rPr>
          <w:rtl/>
          <w:lang w:eastAsia="zh-TW"/>
        </w:rPr>
      </w:pPr>
      <w:r w:rsidRPr="001B3A9A">
        <w:rPr>
          <w:rtl/>
          <w:lang w:eastAsia="zh-TW"/>
        </w:rPr>
        <w:tab/>
        <w:t>ألف-</w:t>
      </w:r>
      <w:r w:rsidR="007F53F4">
        <w:rPr>
          <w:rtl/>
          <w:lang w:eastAsia="zh-TW"/>
        </w:rPr>
        <w:tab/>
      </w:r>
      <w:r w:rsidRPr="001B3A9A">
        <w:rPr>
          <w:rtl/>
          <w:lang w:eastAsia="zh-TW"/>
        </w:rPr>
        <w:t>تدابير التنفيذ العامة (المواد 4 و42 و44(6))</w:t>
      </w:r>
      <w:r w:rsidRPr="001B3A9A">
        <w:rPr>
          <w:rFonts w:cs="Times New Roman" w:hint="cs"/>
          <w:rtl/>
          <w:lang w:eastAsia="zh-TW"/>
        </w:rPr>
        <w:t>‬</w:t>
      </w:r>
    </w:p>
    <w:p w:rsidR="0004630F" w:rsidRPr="001B3A9A" w:rsidRDefault="0004630F" w:rsidP="001563FF">
      <w:pPr>
        <w:pStyle w:val="H23GA"/>
        <w:spacing w:before="240"/>
        <w:rPr>
          <w:rtl/>
        </w:rPr>
      </w:pPr>
      <w:r w:rsidRPr="001B3A9A">
        <w:tab/>
      </w:r>
      <w:r w:rsidRPr="001B3A9A">
        <w:tab/>
      </w:r>
      <w:r w:rsidRPr="001B3A9A">
        <w:rPr>
          <w:rtl/>
        </w:rPr>
        <w:t>التحفظات</w:t>
      </w:r>
    </w:p>
    <w:p w:rsidR="0004630F" w:rsidRPr="007F53F4" w:rsidRDefault="007F53F4" w:rsidP="000F7891">
      <w:pPr>
        <w:pStyle w:val="SingleTxtGA"/>
        <w:rPr>
          <w:b/>
          <w:bCs/>
          <w:rtl/>
          <w:lang w:eastAsia="zh-TW"/>
        </w:rPr>
      </w:pPr>
      <w:r>
        <w:rPr>
          <w:rtl/>
          <w:lang w:eastAsia="zh-TW"/>
        </w:rPr>
        <w:t>٥-</w:t>
      </w:r>
      <w:r>
        <w:rPr>
          <w:rtl/>
          <w:lang w:eastAsia="zh-TW"/>
        </w:rPr>
        <w:tab/>
      </w:r>
      <w:r w:rsidR="0004630F" w:rsidRPr="007F53F4">
        <w:rPr>
          <w:b/>
          <w:bCs/>
          <w:rtl/>
          <w:lang w:eastAsia="zh-TW"/>
        </w:rPr>
        <w:t>تحيط اللجنة علما</w:t>
      </w:r>
      <w:r w:rsidR="00ED7A25">
        <w:rPr>
          <w:rFonts w:hint="cs"/>
          <w:b/>
          <w:bCs/>
          <w:rtl/>
          <w:lang w:eastAsia="zh-TW"/>
        </w:rPr>
        <w:t>ً</w:t>
      </w:r>
      <w:r w:rsidR="0004630F" w:rsidRPr="007F53F4">
        <w:rPr>
          <w:b/>
          <w:bCs/>
          <w:rtl/>
          <w:lang w:eastAsia="zh-TW"/>
        </w:rPr>
        <w:t xml:space="preserve"> بالمعلومات التي قدمها وفد الدولة الطرف والتي تفيد بأن هذه الأخيرة تعيد النظر حاليا</w:t>
      </w:r>
      <w:r w:rsidR="00ED7A25">
        <w:rPr>
          <w:rFonts w:hint="cs"/>
          <w:b/>
          <w:bCs/>
          <w:rtl/>
          <w:lang w:eastAsia="zh-TW"/>
        </w:rPr>
        <w:t>ً</w:t>
      </w:r>
      <w:r w:rsidR="0004630F" w:rsidRPr="007F53F4">
        <w:rPr>
          <w:b/>
          <w:bCs/>
          <w:rtl/>
          <w:lang w:eastAsia="zh-TW"/>
        </w:rPr>
        <w:t xml:space="preserve"> في تحفظاتها على المادتين 2 (عدم التمييز) و14 (حرية الفكر والوجدان والدين) قصد سحبها؛ وتماشيا</w:t>
      </w:r>
      <w:r>
        <w:rPr>
          <w:rFonts w:hint="cs"/>
          <w:b/>
          <w:bCs/>
          <w:rtl/>
          <w:lang w:eastAsia="zh-TW"/>
        </w:rPr>
        <w:t>ً</w:t>
      </w:r>
      <w:r w:rsidR="0004630F" w:rsidRPr="007F53F4">
        <w:rPr>
          <w:b/>
          <w:bCs/>
          <w:rtl/>
          <w:lang w:eastAsia="zh-TW"/>
        </w:rPr>
        <w:t xml:space="preserve"> مع توصياتها السابقة (انظر </w:t>
      </w:r>
      <w:r w:rsidR="000F7891">
        <w:rPr>
          <w:rFonts w:asciiTheme="majorBidi" w:hAnsiTheme="majorBidi" w:cstheme="majorBidi"/>
          <w:b/>
          <w:bCs/>
          <w:szCs w:val="20"/>
          <w:lang w:eastAsia="zh-TW"/>
        </w:rPr>
        <w:t>/2</w:t>
      </w:r>
      <w:r w:rsidR="0004630F" w:rsidRPr="007F53F4">
        <w:rPr>
          <w:rFonts w:asciiTheme="majorBidi" w:hAnsiTheme="majorBidi" w:cstheme="majorBidi"/>
          <w:b/>
          <w:bCs/>
          <w:szCs w:val="20"/>
          <w:rtl/>
          <w:lang w:eastAsia="zh-TW"/>
        </w:rPr>
        <w:t>CRC/C/QAT/CO</w:t>
      </w:r>
      <w:r w:rsidR="000F7891">
        <w:rPr>
          <w:rFonts w:hint="cs"/>
          <w:b/>
          <w:bCs/>
          <w:rtl/>
          <w:lang w:eastAsia="zh-TW"/>
        </w:rPr>
        <w:t xml:space="preserve"> </w:t>
      </w:r>
      <w:r w:rsidR="0004630F" w:rsidRPr="007F53F4">
        <w:rPr>
          <w:b/>
          <w:bCs/>
          <w:rtl/>
          <w:lang w:eastAsia="zh-TW"/>
        </w:rPr>
        <w:t xml:space="preserve">لعام 2009، الفقرة 10)، وفي ضوء إعلان وبرنامج عمل فيينا، التي اعتمدها المؤتمر العالمي لحقوق الإنسان في عام 1993، تحث الدولة الطرف على سحب تحفظاتها تلك التي تتعارض مع موضوع الاتفاقية والغرض منها. </w:t>
      </w:r>
    </w:p>
    <w:p w:rsidR="0004630F" w:rsidRPr="009221A4" w:rsidRDefault="0004630F" w:rsidP="001563FF">
      <w:pPr>
        <w:pStyle w:val="H23GA"/>
        <w:spacing w:before="240"/>
        <w:rPr>
          <w:rtl/>
        </w:rPr>
      </w:pPr>
      <w:r w:rsidRPr="009221A4">
        <w:tab/>
      </w:r>
      <w:r w:rsidRPr="009221A4">
        <w:tab/>
      </w:r>
      <w:dir w:val="rtl">
        <w:r w:rsidRPr="009221A4">
          <w:rPr>
            <w:rtl/>
          </w:rPr>
          <w:t xml:space="preserve">التشريعات </w:t>
        </w:r>
        <w:r>
          <w:t>‬</w:t>
        </w:r>
        <w:r w:rsidR="00DF51D4">
          <w:t>‬</w:t>
        </w:r>
        <w:r w:rsidR="003E66B1">
          <w:t>‬</w:t>
        </w:r>
        <w:r w:rsidR="002E62F7">
          <w:t>‬</w:t>
        </w:r>
      </w:dir>
    </w:p>
    <w:p w:rsidR="0004630F" w:rsidRPr="009221A4" w:rsidRDefault="007F53F4" w:rsidP="00713B40">
      <w:pPr>
        <w:pStyle w:val="SingleTxtGA"/>
        <w:rPr>
          <w:rtl/>
          <w:lang w:eastAsia="zh-TW"/>
        </w:rPr>
      </w:pPr>
      <w:r>
        <w:rPr>
          <w:rtl/>
          <w:lang w:eastAsia="zh-TW"/>
        </w:rPr>
        <w:t>٦-</w:t>
      </w:r>
      <w:r>
        <w:rPr>
          <w:rtl/>
          <w:lang w:eastAsia="zh-TW"/>
        </w:rPr>
        <w:tab/>
      </w:r>
      <w:r w:rsidR="0004630F" w:rsidRPr="007F53F4">
        <w:rPr>
          <w:b/>
          <w:bCs/>
          <w:rtl/>
          <w:lang w:eastAsia="zh-TW"/>
        </w:rPr>
        <w:t xml:space="preserve">إذ تلاحظ اللجنة أن مشروع القانون المتعلق بحقوق الطفل الذي أُعلن عنه أثناء الاستعراض السابق في عام 2009 لم يعتمد بعد، </w:t>
      </w:r>
      <w:r>
        <w:rPr>
          <w:b/>
          <w:bCs/>
          <w:rtl/>
          <w:lang w:eastAsia="zh-TW"/>
        </w:rPr>
        <w:t>تكرر توصيتها السابقة (انظر</w:t>
      </w:r>
      <w:r w:rsidR="0004630F" w:rsidRPr="007F53F4">
        <w:rPr>
          <w:b/>
          <w:bCs/>
          <w:rtl/>
          <w:lang w:eastAsia="zh-TW"/>
        </w:rPr>
        <w:t xml:space="preserve"> </w:t>
      </w:r>
      <w:r w:rsidR="00713B40">
        <w:rPr>
          <w:rFonts w:asciiTheme="majorBidi" w:hAnsiTheme="majorBidi" w:cstheme="majorBidi"/>
          <w:b/>
          <w:bCs/>
          <w:szCs w:val="20"/>
          <w:lang w:eastAsia="zh-TW"/>
        </w:rPr>
        <w:t>/2</w:t>
      </w:r>
      <w:r w:rsidR="0004630F" w:rsidRPr="007F53F4">
        <w:rPr>
          <w:rFonts w:asciiTheme="majorBidi" w:hAnsiTheme="majorBidi" w:cstheme="majorBidi"/>
          <w:b/>
          <w:bCs/>
          <w:szCs w:val="20"/>
          <w:rtl/>
          <w:lang w:eastAsia="zh-TW"/>
        </w:rPr>
        <w:t>CRC/C/QAT/CO</w:t>
      </w:r>
      <w:r w:rsidR="0004630F" w:rsidRPr="007F53F4">
        <w:rPr>
          <w:b/>
          <w:bCs/>
          <w:rtl/>
          <w:lang w:eastAsia="zh-TW"/>
        </w:rPr>
        <w:t>، الفقرة 12)، وتحث الدولةَ الطرف، على سبيل الأولوية، أن تنقح المشروع بحيث يتوافق كليا</w:t>
      </w:r>
      <w:r>
        <w:rPr>
          <w:rFonts w:hint="cs"/>
          <w:b/>
          <w:bCs/>
          <w:rtl/>
          <w:lang w:eastAsia="zh-TW"/>
        </w:rPr>
        <w:t>ً</w:t>
      </w:r>
      <w:r w:rsidR="0004630F" w:rsidRPr="007F53F4">
        <w:rPr>
          <w:b/>
          <w:bCs/>
          <w:rtl/>
          <w:lang w:eastAsia="zh-TW"/>
        </w:rPr>
        <w:t xml:space="preserve"> مع الاتفاقية وأن تتخذ جميع التدابير المناسبة للتعجيل باعتماده وتكفل تنفيذه بفعالية.</w:t>
      </w:r>
      <w:r w:rsidR="0004630F" w:rsidRPr="009221A4">
        <w:rPr>
          <w:rtl/>
          <w:lang w:eastAsia="zh-TW"/>
        </w:rPr>
        <w:t xml:space="preserve"> </w:t>
      </w:r>
    </w:p>
    <w:p w:rsidR="0004630F" w:rsidRPr="009221A4" w:rsidRDefault="0004630F" w:rsidP="001563FF">
      <w:pPr>
        <w:pStyle w:val="H23GA"/>
        <w:spacing w:before="240"/>
        <w:rPr>
          <w:rtl/>
        </w:rPr>
      </w:pPr>
      <w:r w:rsidRPr="009221A4">
        <w:tab/>
      </w:r>
      <w:r w:rsidRPr="009221A4">
        <w:tab/>
      </w:r>
      <w:dir w:val="rtl">
        <w:r w:rsidRPr="009221A4">
          <w:rPr>
            <w:rtl/>
          </w:rPr>
          <w:t>السياسة والاستراتيجية الشاملتان</w:t>
        </w:r>
        <w:r w:rsidR="00DF51D4">
          <w:t>‬</w:t>
        </w:r>
        <w:r w:rsidR="003E66B1">
          <w:t>‬</w:t>
        </w:r>
        <w:r w:rsidR="002E62F7">
          <w:t>‬</w:t>
        </w:r>
      </w:dir>
    </w:p>
    <w:p w:rsidR="0004630F" w:rsidRPr="001563FF" w:rsidRDefault="001563FF" w:rsidP="001563FF">
      <w:pPr>
        <w:pStyle w:val="SingleTxtGA"/>
        <w:rPr>
          <w:b/>
          <w:bCs/>
          <w:rtl/>
          <w:lang w:eastAsia="zh-TW"/>
        </w:rPr>
      </w:pPr>
      <w:r>
        <w:rPr>
          <w:rtl/>
          <w:lang w:eastAsia="zh-TW"/>
        </w:rPr>
        <w:t>٧-</w:t>
      </w:r>
      <w:r>
        <w:rPr>
          <w:rtl/>
          <w:lang w:eastAsia="zh-TW"/>
        </w:rPr>
        <w:tab/>
      </w:r>
      <w:r w:rsidR="0004630F" w:rsidRPr="001563FF">
        <w:rPr>
          <w:b/>
          <w:bCs/>
          <w:rtl/>
          <w:lang w:eastAsia="zh-TW"/>
        </w:rPr>
        <w:t xml:space="preserve">تحيط اللجنة </w:t>
      </w:r>
      <w:r w:rsidR="00ED7A25">
        <w:rPr>
          <w:b/>
          <w:bCs/>
          <w:rtl/>
          <w:lang w:eastAsia="zh-TW"/>
        </w:rPr>
        <w:t>علماً</w:t>
      </w:r>
      <w:r w:rsidR="0004630F" w:rsidRPr="001563FF">
        <w:rPr>
          <w:b/>
          <w:bCs/>
          <w:rtl/>
          <w:lang w:eastAsia="zh-TW"/>
        </w:rPr>
        <w:t xml:space="preserve"> بوجود رؤية قطر الوطنية 2030 وأركانها الاقتصادية والبيئية والبشرية والاجتماعية، وكذلك الاستراتيجيات وخطط العمل العديدة ذات العلاقة غير المباشرة بحقوق الطفل والتنمية والرفاهية، لكنها تشعر بالقلق لأن هذه الاستراتيجيا</w:t>
      </w:r>
      <w:r>
        <w:rPr>
          <w:b/>
          <w:bCs/>
          <w:rtl/>
          <w:lang w:eastAsia="zh-TW"/>
        </w:rPr>
        <w:t>ت لا</w:t>
      </w:r>
      <w:r>
        <w:rPr>
          <w:rFonts w:hint="cs"/>
          <w:b/>
          <w:bCs/>
          <w:rtl/>
          <w:lang w:eastAsia="zh-TW"/>
        </w:rPr>
        <w:t> </w:t>
      </w:r>
      <w:r w:rsidR="0004630F" w:rsidRPr="001563FF">
        <w:rPr>
          <w:b/>
          <w:bCs/>
          <w:rtl/>
          <w:lang w:eastAsia="zh-TW"/>
        </w:rPr>
        <w:t xml:space="preserve">تركز مباشرة على تلك الحقوق؛ ولذلك تكرر توصيتها السابقة (انظر </w:t>
      </w:r>
      <w:r w:rsidRPr="001563FF">
        <w:rPr>
          <w:b/>
          <w:bCs/>
          <w:lang w:eastAsia="zh-TW"/>
        </w:rPr>
        <w:t>CRC/C/QAT/CO/2</w:t>
      </w:r>
      <w:r w:rsidR="0004630F" w:rsidRPr="001563FF">
        <w:rPr>
          <w:b/>
          <w:bCs/>
          <w:rtl/>
          <w:lang w:eastAsia="zh-TW"/>
        </w:rPr>
        <w:t xml:space="preserve">، الفقرة ١٤) وتوصي الدولة الطرف باعتماد استراتيجية وطنية محددة للأطفال تغطي جميع مجالات الاتفاقية وإنشاء آليات لتقييم التقدم المحرز بانتظام وتحديد أوجه القصور المحتملة في تنفيذ خطة العمل الوطنية (انظر </w:t>
      </w:r>
      <w:r w:rsidR="0004630F" w:rsidRPr="001563FF">
        <w:rPr>
          <w:b/>
          <w:bCs/>
        </w:rPr>
        <w:t>CRC/C/QAT/3-4</w:t>
      </w:r>
      <w:r w:rsidR="0004630F" w:rsidRPr="001563FF">
        <w:rPr>
          <w:b/>
          <w:bCs/>
          <w:rtl/>
          <w:lang w:eastAsia="zh-TW"/>
        </w:rPr>
        <w:t xml:space="preserve">، الفقرة 67) من أجل اتخاذ إجراءات تصحيحية. </w:t>
      </w:r>
    </w:p>
    <w:p w:rsidR="0004630F" w:rsidRPr="009221A4" w:rsidRDefault="0004630F" w:rsidP="00912A9D">
      <w:pPr>
        <w:pStyle w:val="H23GA"/>
        <w:keepNext/>
        <w:spacing w:before="240"/>
        <w:rPr>
          <w:rtl/>
        </w:rPr>
      </w:pPr>
      <w:r w:rsidRPr="009221A4">
        <w:tab/>
      </w:r>
      <w:r w:rsidRPr="009221A4">
        <w:tab/>
      </w:r>
      <w:r w:rsidRPr="009221A4">
        <w:rPr>
          <w:rtl/>
        </w:rPr>
        <w:t>جمع البيانات</w:t>
      </w:r>
    </w:p>
    <w:p w:rsidR="0004630F" w:rsidRPr="00912A9D" w:rsidRDefault="00912A9D" w:rsidP="000F7891">
      <w:pPr>
        <w:pStyle w:val="SingleTxtGA"/>
        <w:rPr>
          <w:b/>
          <w:bCs/>
          <w:rtl/>
          <w:lang w:eastAsia="zh-TW"/>
        </w:rPr>
      </w:pPr>
      <w:r>
        <w:rPr>
          <w:rtl/>
          <w:lang w:eastAsia="zh-TW"/>
        </w:rPr>
        <w:t>٨-</w:t>
      </w:r>
      <w:r>
        <w:rPr>
          <w:rtl/>
          <w:lang w:eastAsia="zh-TW"/>
        </w:rPr>
        <w:tab/>
      </w:r>
      <w:r w:rsidR="0004630F" w:rsidRPr="00912A9D">
        <w:rPr>
          <w:b/>
          <w:bCs/>
          <w:rtl/>
          <w:lang w:eastAsia="zh-TW"/>
        </w:rPr>
        <w:t xml:space="preserve">توصي اللجنة الدولة الطرف، في معرض تعليقها العام رقم 5(2003) بشأن التدابير العامة لتنفيذ الاتفاقية، بمواصلة تدعيم آلياتها لجمع البيانات والحرص على تبادل البيانات والمؤشرات بين الوزارات المعنية واستخدامها في وضع السياسات والبرامج والمشاريع ورصدها وتقييمها من أجل تنفيذ الاتفاقية بفعالية (انظر </w:t>
      </w:r>
      <w:r w:rsidR="000F7891">
        <w:rPr>
          <w:rFonts w:asciiTheme="majorBidi" w:hAnsiTheme="majorBidi" w:cstheme="majorBidi"/>
          <w:b/>
          <w:bCs/>
          <w:szCs w:val="20"/>
          <w:lang w:eastAsia="zh-TW"/>
        </w:rPr>
        <w:t>/2</w:t>
      </w:r>
      <w:r w:rsidR="0004630F" w:rsidRPr="00912A9D">
        <w:rPr>
          <w:rFonts w:asciiTheme="majorBidi" w:hAnsiTheme="majorBidi" w:cstheme="majorBidi"/>
          <w:b/>
          <w:bCs/>
          <w:szCs w:val="20"/>
          <w:rtl/>
          <w:lang w:eastAsia="zh-TW"/>
        </w:rPr>
        <w:t>CRC/C/QAT/CO/</w:t>
      </w:r>
      <w:r w:rsidR="0004630F" w:rsidRPr="00912A9D">
        <w:rPr>
          <w:b/>
          <w:bCs/>
          <w:rtl/>
          <w:lang w:eastAsia="zh-TW"/>
        </w:rPr>
        <w:t xml:space="preserve">، الفقرة ١٨). </w:t>
      </w:r>
    </w:p>
    <w:p w:rsidR="0004630F" w:rsidRPr="009221A4" w:rsidRDefault="0004630F" w:rsidP="00912A9D">
      <w:pPr>
        <w:pStyle w:val="H23GA"/>
        <w:keepNext/>
        <w:spacing w:before="240"/>
        <w:textDirection w:val="tbRlV"/>
        <w:rPr>
          <w:bCs w:val="0"/>
          <w:rtl/>
          <w:lang w:eastAsia="zh-TW"/>
        </w:rPr>
      </w:pPr>
      <w:r w:rsidRPr="009221A4">
        <w:rPr>
          <w:lang w:eastAsia="zh-TW"/>
        </w:rPr>
        <w:lastRenderedPageBreak/>
        <w:tab/>
      </w:r>
      <w:r w:rsidRPr="009221A4">
        <w:rPr>
          <w:lang w:eastAsia="zh-TW"/>
        </w:rPr>
        <w:tab/>
      </w:r>
      <w:dir w:val="rtl">
        <w:r w:rsidRPr="009221A4">
          <w:rPr>
            <w:rtl/>
            <w:lang w:eastAsia="zh-TW"/>
          </w:rPr>
          <w:t>النشر والتوعية والتدريب</w:t>
        </w:r>
        <w:r w:rsidR="00DF51D4">
          <w:t>‬</w:t>
        </w:r>
        <w:r w:rsidR="003E66B1">
          <w:t>‬</w:t>
        </w:r>
        <w:r w:rsidR="002E62F7">
          <w:t>‬</w:t>
        </w:r>
      </w:dir>
    </w:p>
    <w:p w:rsidR="0004630F" w:rsidRPr="00912A9D" w:rsidRDefault="00912A9D" w:rsidP="00912A9D">
      <w:pPr>
        <w:pStyle w:val="SingleTxtGA"/>
        <w:rPr>
          <w:b/>
          <w:bCs/>
          <w:rtl/>
          <w:lang w:eastAsia="zh-TW"/>
        </w:rPr>
      </w:pPr>
      <w:r>
        <w:rPr>
          <w:rtl/>
          <w:lang w:eastAsia="zh-TW"/>
        </w:rPr>
        <w:t>٩-</w:t>
      </w:r>
      <w:r>
        <w:rPr>
          <w:rtl/>
          <w:lang w:eastAsia="zh-TW"/>
        </w:rPr>
        <w:tab/>
      </w:r>
      <w:r w:rsidR="0004630F" w:rsidRPr="00912A9D">
        <w:rPr>
          <w:b/>
          <w:bCs/>
          <w:rtl/>
          <w:lang w:eastAsia="zh-TW"/>
        </w:rPr>
        <w:t xml:space="preserve">توصي اللجنة الدولة الطرف بتدعيم برامج التوعية بالاتفاقية، بما في ذلك عن طريق زيادة مشاركة وسائط الإعلام ووسائل التواصل الاجتماعي، بطريقة تلائم الأطفال، وتشجيع مشاركة الأطفال أنفسهم بفعالية في الأنشطة الجماهيرية، والتأكد من اتخاذ تدابير موجهة إلى أولياء الأمور والمرشدين الاجتماعيين وموظفي إنفاذ القانون. </w:t>
      </w:r>
    </w:p>
    <w:p w:rsidR="0004630F" w:rsidRPr="009A6C69" w:rsidRDefault="0004630F" w:rsidP="00912A9D">
      <w:pPr>
        <w:pStyle w:val="H23GA"/>
        <w:keepNext/>
        <w:spacing w:before="240"/>
        <w:textDirection w:val="tbRlV"/>
        <w:rPr>
          <w:rFonts w:hint="cs"/>
          <w:b w:val="0"/>
          <w:bCs w:val="0"/>
          <w:rtl/>
          <w:lang w:eastAsia="zh-TW"/>
        </w:rPr>
      </w:pPr>
      <w:r w:rsidRPr="009A6C69">
        <w:rPr>
          <w:b w:val="0"/>
          <w:lang w:eastAsia="zh-TW"/>
        </w:rPr>
        <w:tab/>
      </w:r>
      <w:r w:rsidRPr="009A6C69">
        <w:rPr>
          <w:b w:val="0"/>
          <w:lang w:eastAsia="zh-TW"/>
        </w:rPr>
        <w:tab/>
      </w:r>
      <w:dir w:val="rtl">
        <w:r w:rsidR="00912A9D">
          <w:rPr>
            <w:b w:val="0"/>
            <w:rtl/>
            <w:lang w:eastAsia="zh-TW"/>
          </w:rPr>
          <w:t>حقوق الطفل وقطاع الأعمال</w:t>
        </w:r>
        <w:r>
          <w:t>‬</w:t>
        </w:r>
        <w:r w:rsidR="00DF51D4">
          <w:t>‬</w:t>
        </w:r>
        <w:r w:rsidR="003E66B1">
          <w:t>‬</w:t>
        </w:r>
        <w:r w:rsidR="002E62F7">
          <w:t>‬</w:t>
        </w:r>
      </w:dir>
    </w:p>
    <w:p w:rsidR="0004630F" w:rsidRPr="00F60693" w:rsidRDefault="00912A9D" w:rsidP="00912A9D">
      <w:pPr>
        <w:pStyle w:val="SingleTxtGA"/>
        <w:rPr>
          <w:rtl/>
          <w:lang w:eastAsia="zh-TW"/>
        </w:rPr>
      </w:pPr>
      <w:r>
        <w:rPr>
          <w:rtl/>
          <w:lang w:eastAsia="zh-TW"/>
        </w:rPr>
        <w:t>١٠-</w:t>
      </w:r>
      <w:r>
        <w:rPr>
          <w:rtl/>
          <w:lang w:eastAsia="zh-TW"/>
        </w:rPr>
        <w:tab/>
      </w:r>
      <w:r w:rsidR="0004630F" w:rsidRPr="00912A9D">
        <w:rPr>
          <w:b/>
          <w:bCs/>
          <w:rtl/>
          <w:lang w:eastAsia="zh-TW"/>
        </w:rPr>
        <w:t>تحيط اللجنة علما</w:t>
      </w:r>
      <w:r>
        <w:rPr>
          <w:rFonts w:hint="cs"/>
          <w:b/>
          <w:bCs/>
          <w:rtl/>
          <w:lang w:eastAsia="zh-TW"/>
        </w:rPr>
        <w:t>ً</w:t>
      </w:r>
      <w:r w:rsidR="0004630F" w:rsidRPr="00912A9D">
        <w:rPr>
          <w:b/>
          <w:bCs/>
          <w:rtl/>
          <w:lang w:eastAsia="zh-TW"/>
        </w:rPr>
        <w:t xml:space="preserve"> بوضع معايير المسؤولية الاجتماعية للشركات القطرية واعتماد العديد من التدابير المتعلقة بالمسؤولية الاجتماعية، لكنها تشعر بالقلق لأن هذه التدابير والمعايير تفتقر إلى منظور عن الطفل؛ وبالإشارة إلى تعليقها العام رقم ١٦(2013) عن التزامات الدول بشأن أثر قطاع الأعمال التجارية على حقوق الطفل، توصي الدولةَ الطرف بوضع لوائح وتنفيذها بحيث يمتثل قطاع الأعمال للمعايير الدولية والوطنية لحقوق الإنسان ومعايير العمل بخصوص حقوق الطفل.</w:t>
      </w:r>
      <w:r>
        <w:rPr>
          <w:rFonts w:hint="cs"/>
          <w:b/>
          <w:bCs/>
          <w:rtl/>
          <w:lang w:eastAsia="zh-TW"/>
        </w:rPr>
        <w:t xml:space="preserve"> </w:t>
      </w:r>
    </w:p>
    <w:p w:rsidR="0004630F" w:rsidRPr="009A6C69" w:rsidRDefault="0004630F" w:rsidP="00912A9D">
      <w:pPr>
        <w:pStyle w:val="H1GA"/>
        <w:rPr>
          <w:rtl/>
          <w:lang w:eastAsia="zh-TW"/>
        </w:rPr>
      </w:pPr>
      <w:r w:rsidRPr="009A6C69">
        <w:rPr>
          <w:rtl/>
          <w:lang w:eastAsia="zh-TW"/>
        </w:rPr>
        <w:tab/>
      </w:r>
      <w:r w:rsidR="00912A9D">
        <w:rPr>
          <w:rtl/>
          <w:lang w:eastAsia="zh-TW"/>
        </w:rPr>
        <w:t>باء-</w:t>
      </w:r>
      <w:r w:rsidR="00912A9D">
        <w:rPr>
          <w:rtl/>
          <w:lang w:eastAsia="zh-TW"/>
        </w:rPr>
        <w:tab/>
      </w:r>
      <w:r w:rsidRPr="009A6C69">
        <w:rPr>
          <w:rtl/>
          <w:lang w:eastAsia="zh-TW"/>
        </w:rPr>
        <w:t>تعريف الطفل (المادة 1)</w:t>
      </w:r>
      <w:r w:rsidRPr="009A6C69">
        <w:rPr>
          <w:rFonts w:cs="Times New Roman" w:hint="cs"/>
          <w:rtl/>
          <w:lang w:eastAsia="zh-TW"/>
        </w:rPr>
        <w:t>‬</w:t>
      </w:r>
      <w:r w:rsidRPr="009A6C69">
        <w:rPr>
          <w:rtl/>
          <w:lang w:eastAsia="zh-TW"/>
        </w:rPr>
        <w:t xml:space="preserve"> </w:t>
      </w:r>
    </w:p>
    <w:p w:rsidR="0004630F" w:rsidRPr="001D29FA" w:rsidRDefault="00912A9D" w:rsidP="00912A9D">
      <w:pPr>
        <w:pStyle w:val="SingleTxtGA"/>
        <w:rPr>
          <w:rtl/>
          <w:lang w:eastAsia="zh-TW"/>
        </w:rPr>
      </w:pPr>
      <w:r>
        <w:rPr>
          <w:rtl/>
          <w:lang w:eastAsia="zh-TW"/>
        </w:rPr>
        <w:t>١١-</w:t>
      </w:r>
      <w:r>
        <w:rPr>
          <w:rtl/>
          <w:lang w:eastAsia="zh-TW"/>
        </w:rPr>
        <w:tab/>
      </w:r>
      <w:r w:rsidR="0004630F">
        <w:rPr>
          <w:rtl/>
          <w:lang w:eastAsia="zh-TW"/>
        </w:rPr>
        <w:t xml:space="preserve">لا تزال اللجنة تشعر بقلق بالغ لأن الحد الأدنى لسن الزواج هو 18 سنة للفتيان و16 سنة للفتيات. </w:t>
      </w:r>
    </w:p>
    <w:p w:rsidR="0004630F" w:rsidRPr="00912A9D" w:rsidRDefault="00912A9D" w:rsidP="002D75A3">
      <w:pPr>
        <w:pStyle w:val="SingleTxtGA"/>
        <w:rPr>
          <w:b/>
          <w:bCs/>
          <w:rtl/>
          <w:lang w:eastAsia="zh-TW"/>
        </w:rPr>
      </w:pPr>
      <w:r>
        <w:rPr>
          <w:rtl/>
          <w:lang w:eastAsia="zh-TW"/>
        </w:rPr>
        <w:t>١٢-</w:t>
      </w:r>
      <w:r>
        <w:rPr>
          <w:rtl/>
          <w:lang w:eastAsia="zh-TW"/>
        </w:rPr>
        <w:tab/>
      </w:r>
      <w:r w:rsidR="0004630F" w:rsidRPr="00912A9D">
        <w:rPr>
          <w:b/>
          <w:bCs/>
          <w:rtl/>
          <w:lang w:eastAsia="zh-TW"/>
        </w:rPr>
        <w:t xml:space="preserve">وتكرر اللجنة توصيتها السابقة (انظر </w:t>
      </w:r>
      <w:r w:rsidR="002D75A3">
        <w:rPr>
          <w:rFonts w:asciiTheme="majorBidi" w:hAnsiTheme="majorBidi" w:cstheme="majorBidi"/>
          <w:b/>
          <w:bCs/>
          <w:szCs w:val="20"/>
          <w:lang w:eastAsia="zh-TW"/>
        </w:rPr>
        <w:t>/2</w:t>
      </w:r>
      <w:r w:rsidR="0004630F" w:rsidRPr="00912A9D">
        <w:rPr>
          <w:rFonts w:asciiTheme="majorBidi" w:hAnsiTheme="majorBidi" w:cstheme="majorBidi"/>
          <w:b/>
          <w:bCs/>
          <w:szCs w:val="20"/>
          <w:rtl/>
          <w:lang w:eastAsia="zh-TW"/>
        </w:rPr>
        <w:t>CRC/C/QAT/CO</w:t>
      </w:r>
      <w:r w:rsidR="0004630F" w:rsidRPr="00912A9D">
        <w:rPr>
          <w:b/>
          <w:bCs/>
          <w:rtl/>
          <w:lang w:eastAsia="zh-TW"/>
        </w:rPr>
        <w:t>، الفقرة 24) وتوصي الدولة الطرف برفع الحد الأدنى لسن زواج الفتيات إلى ١٨ عاما</w:t>
      </w:r>
      <w:r>
        <w:rPr>
          <w:rFonts w:hint="cs"/>
          <w:b/>
          <w:bCs/>
          <w:rtl/>
          <w:lang w:eastAsia="zh-TW"/>
        </w:rPr>
        <w:t>ً</w:t>
      </w:r>
      <w:r w:rsidR="0004630F" w:rsidRPr="00912A9D">
        <w:rPr>
          <w:b/>
          <w:bCs/>
          <w:rtl/>
          <w:lang w:eastAsia="zh-TW"/>
        </w:rPr>
        <w:t>.</w:t>
      </w:r>
      <w:r>
        <w:rPr>
          <w:rFonts w:hint="cs"/>
          <w:b/>
          <w:bCs/>
          <w:rtl/>
          <w:lang w:eastAsia="zh-TW"/>
        </w:rPr>
        <w:t xml:space="preserve"> </w:t>
      </w:r>
    </w:p>
    <w:p w:rsidR="0004630F" w:rsidRPr="009A6C69" w:rsidRDefault="0004630F" w:rsidP="00912A9D">
      <w:pPr>
        <w:pStyle w:val="H1GA"/>
        <w:rPr>
          <w:rtl/>
          <w:lang w:eastAsia="zh-TW"/>
        </w:rPr>
      </w:pPr>
      <w:r w:rsidRPr="009A6C69">
        <w:rPr>
          <w:rtl/>
          <w:lang w:eastAsia="zh-TW"/>
        </w:rPr>
        <w:tab/>
      </w:r>
      <w:r w:rsidR="00912A9D">
        <w:rPr>
          <w:rtl/>
          <w:lang w:eastAsia="zh-TW"/>
        </w:rPr>
        <w:t>جيم-</w:t>
      </w:r>
      <w:r w:rsidR="00912A9D">
        <w:rPr>
          <w:rtl/>
          <w:lang w:eastAsia="zh-TW"/>
        </w:rPr>
        <w:tab/>
      </w:r>
      <w:r w:rsidRPr="009A6C69">
        <w:rPr>
          <w:rtl/>
          <w:lang w:eastAsia="zh-TW"/>
        </w:rPr>
        <w:t>المبادئ العامة (المواد 2 و3 و6 و12)</w:t>
      </w:r>
      <w:r>
        <w:rPr>
          <w:rFonts w:cs="Times New Roman" w:hint="cs"/>
          <w:rtl/>
          <w:lang w:eastAsia="zh-TW"/>
        </w:rPr>
        <w:t>‬</w:t>
      </w:r>
    </w:p>
    <w:p w:rsidR="0004630F" w:rsidRPr="009A6C69" w:rsidRDefault="0004630F" w:rsidP="00912A9D">
      <w:pPr>
        <w:pStyle w:val="H23GA"/>
        <w:keepNext/>
        <w:spacing w:before="240"/>
        <w:textDirection w:val="tbRlV"/>
        <w:rPr>
          <w:b w:val="0"/>
          <w:bCs w:val="0"/>
          <w:rtl/>
          <w:lang w:eastAsia="zh-TW"/>
        </w:rPr>
      </w:pPr>
      <w:r w:rsidRPr="009A6C69">
        <w:rPr>
          <w:b w:val="0"/>
          <w:lang w:eastAsia="zh-TW"/>
        </w:rPr>
        <w:tab/>
      </w:r>
      <w:r w:rsidRPr="009A6C69">
        <w:rPr>
          <w:b w:val="0"/>
          <w:lang w:eastAsia="zh-TW"/>
        </w:rPr>
        <w:tab/>
      </w:r>
      <w:r w:rsidRPr="009A6C69">
        <w:rPr>
          <w:b w:val="0"/>
          <w:rtl/>
          <w:lang w:eastAsia="zh-TW"/>
        </w:rPr>
        <w:t>عدم التمييز</w:t>
      </w:r>
    </w:p>
    <w:p w:rsidR="0004630F" w:rsidRPr="001D29FA" w:rsidRDefault="00912A9D" w:rsidP="00912A9D">
      <w:pPr>
        <w:pStyle w:val="SingleTxtGA"/>
        <w:rPr>
          <w:rtl/>
          <w:lang w:eastAsia="zh-TW"/>
        </w:rPr>
      </w:pPr>
      <w:r>
        <w:rPr>
          <w:rtl/>
          <w:lang w:eastAsia="zh-TW"/>
        </w:rPr>
        <w:t>١٣-</w:t>
      </w:r>
      <w:r>
        <w:rPr>
          <w:rtl/>
          <w:lang w:eastAsia="zh-TW"/>
        </w:rPr>
        <w:tab/>
      </w:r>
      <w:r w:rsidR="0004630F">
        <w:rPr>
          <w:rtl/>
          <w:lang w:eastAsia="zh-TW"/>
        </w:rPr>
        <w:t xml:space="preserve">تعترف اللجنة بأن الدولة الطرف شرعت في اتخاذ إجراءات لتوفير التعليم للفتيات وتحسين سلامتهن وحمايتهن من العنف، لكنها تظل تشعر بالقلق لأنهن لا يزلن يتعرضن للتمييز الجنساني المتعدد الأشكال منذ مراحل الحياة الأولى وطوال مرحلة الطفولة والمراهقة بسبب استمرار المواقف والأعراف الضارة والتقليدية، وأنه لم تُبذل جهود </w:t>
      </w:r>
      <w:proofErr w:type="spellStart"/>
      <w:r w:rsidR="0004630F">
        <w:rPr>
          <w:rtl/>
          <w:lang w:eastAsia="zh-TW"/>
        </w:rPr>
        <w:t>ممنهجة</w:t>
      </w:r>
      <w:proofErr w:type="spellEnd"/>
      <w:r w:rsidR="0004630F">
        <w:rPr>
          <w:rtl/>
          <w:lang w:eastAsia="zh-TW"/>
        </w:rPr>
        <w:t>، بما في ذلك مع القيادات الدينية وصناع الرأي ووسائط الإعلام، لمكافحة المواقف والممارسات التمييزية وتغييرها.</w:t>
      </w:r>
    </w:p>
    <w:p w:rsidR="0004630F" w:rsidRPr="00912A9D" w:rsidRDefault="00912A9D" w:rsidP="00912A9D">
      <w:pPr>
        <w:pStyle w:val="SingleTxtGA"/>
        <w:rPr>
          <w:b/>
          <w:bCs/>
          <w:rtl/>
          <w:lang w:eastAsia="zh-TW"/>
        </w:rPr>
      </w:pPr>
      <w:r>
        <w:rPr>
          <w:rtl/>
          <w:lang w:eastAsia="zh-TW"/>
        </w:rPr>
        <w:t>١٤-</w:t>
      </w:r>
      <w:r>
        <w:rPr>
          <w:rtl/>
          <w:lang w:eastAsia="zh-TW"/>
        </w:rPr>
        <w:tab/>
      </w:r>
      <w:r w:rsidR="0004630F" w:rsidRPr="00912A9D">
        <w:rPr>
          <w:b/>
          <w:bCs/>
          <w:rtl/>
          <w:lang w:eastAsia="zh-TW"/>
        </w:rPr>
        <w:t>وتحث اللجنة الدولة الطرف على ما يلي:</w:t>
      </w:r>
    </w:p>
    <w:p w:rsidR="0004630F" w:rsidRPr="00912A9D" w:rsidRDefault="0004630F" w:rsidP="00912A9D">
      <w:pPr>
        <w:pStyle w:val="SingleTxtGA"/>
        <w:rPr>
          <w:b/>
          <w:bCs/>
          <w:rtl/>
          <w:lang w:eastAsia="zh-TW" w:bidi="ar-DZ"/>
        </w:rPr>
      </w:pPr>
      <w:r w:rsidRPr="00E36198">
        <w:rPr>
          <w:lang w:eastAsia="zh-TW"/>
        </w:rPr>
        <w:tab/>
      </w:r>
      <w:r w:rsidRPr="00E36198">
        <w:rPr>
          <w:rtl/>
          <w:lang w:eastAsia="zh-TW"/>
        </w:rPr>
        <w:t>(أ)</w:t>
      </w:r>
      <w:r w:rsidRPr="00E36198">
        <w:rPr>
          <w:rtl/>
          <w:lang w:eastAsia="zh-TW"/>
        </w:rPr>
        <w:tab/>
      </w:r>
      <w:r w:rsidRPr="00912A9D">
        <w:rPr>
          <w:b/>
          <w:bCs/>
          <w:rtl/>
          <w:lang w:eastAsia="zh-TW"/>
        </w:rPr>
        <w:t>رسم استراتيجية شاملة، بما في ذلك تحديد واضح للأهداف وإنشاء آلية للرصد، لتعديل المواقف والممارسات السلبية والقوالب النمطية الراسخة التي تنطوي على تمييز في حق الفتيات والقضاء عليها؛</w:t>
      </w:r>
    </w:p>
    <w:p w:rsidR="0004630F" w:rsidRPr="00912A9D" w:rsidRDefault="00912A9D" w:rsidP="00912A9D">
      <w:pPr>
        <w:pStyle w:val="SingleTxtGA"/>
        <w:rPr>
          <w:b/>
          <w:bCs/>
          <w:rtl/>
          <w:lang w:eastAsia="zh-TW"/>
        </w:rPr>
      </w:pPr>
      <w:r>
        <w:rPr>
          <w:rtl/>
          <w:lang w:eastAsia="zh-TW"/>
        </w:rPr>
        <w:tab/>
      </w:r>
      <w:r w:rsidR="0004630F" w:rsidRPr="00E36198">
        <w:rPr>
          <w:rtl/>
          <w:lang w:eastAsia="zh-TW"/>
        </w:rPr>
        <w:t>(ب)</w:t>
      </w:r>
      <w:r w:rsidR="0004630F" w:rsidRPr="00E36198">
        <w:rPr>
          <w:rtl/>
          <w:lang w:eastAsia="zh-TW"/>
        </w:rPr>
        <w:tab/>
      </w:r>
      <w:r w:rsidR="0004630F" w:rsidRPr="00912A9D">
        <w:rPr>
          <w:b/>
          <w:bCs/>
          <w:rtl/>
          <w:lang w:eastAsia="zh-TW"/>
        </w:rPr>
        <w:t xml:space="preserve">الاضطلاع بهذه الجهود بالتنسيق مع عدد كبير من أصحاب المصلحة، خاصة الفتيات، وإشراك جميع شرائح المجتمع، لتيسير التغيير الاجتماعي والثقافي وتهيئة بيئة </w:t>
      </w:r>
      <w:proofErr w:type="spellStart"/>
      <w:r w:rsidR="0004630F" w:rsidRPr="00912A9D">
        <w:rPr>
          <w:b/>
          <w:bCs/>
          <w:rtl/>
          <w:lang w:eastAsia="zh-TW"/>
        </w:rPr>
        <w:t>تمكينية</w:t>
      </w:r>
      <w:proofErr w:type="spellEnd"/>
      <w:r w:rsidR="0004630F" w:rsidRPr="00912A9D">
        <w:rPr>
          <w:b/>
          <w:bCs/>
          <w:rtl/>
          <w:lang w:eastAsia="zh-TW"/>
        </w:rPr>
        <w:t xml:space="preserve"> ترسّخ المساواة؛</w:t>
      </w:r>
    </w:p>
    <w:p w:rsidR="0004630F" w:rsidRPr="00912A9D" w:rsidRDefault="00912A9D" w:rsidP="00912A9D">
      <w:pPr>
        <w:pStyle w:val="SingleTxtGA"/>
        <w:rPr>
          <w:b/>
          <w:bCs/>
          <w:rtl/>
          <w:lang w:eastAsia="zh-TW"/>
        </w:rPr>
      </w:pPr>
      <w:r>
        <w:rPr>
          <w:rtl/>
          <w:lang w:eastAsia="zh-TW"/>
        </w:rPr>
        <w:lastRenderedPageBreak/>
        <w:tab/>
      </w:r>
      <w:r w:rsidR="0004630F" w:rsidRPr="00E36198">
        <w:rPr>
          <w:rtl/>
          <w:lang w:eastAsia="zh-TW"/>
        </w:rPr>
        <w:t>(ج)</w:t>
      </w:r>
      <w:r>
        <w:rPr>
          <w:rtl/>
          <w:lang w:eastAsia="zh-TW"/>
        </w:rPr>
        <w:tab/>
      </w:r>
      <w:r w:rsidR="0004630F" w:rsidRPr="00912A9D">
        <w:rPr>
          <w:b/>
          <w:bCs/>
          <w:rtl/>
          <w:lang w:eastAsia="zh-TW"/>
        </w:rPr>
        <w:t>رصد هذه الجهود وإجراء تقييم منتظم للتقدم المحرز نحو تحقيق الأهداف المحددة، وإدراج تقييم للنتائج المحرزة في تقريرها الدوري المقبل.</w:t>
      </w:r>
    </w:p>
    <w:p w:rsidR="0004630F" w:rsidRPr="001D29FA" w:rsidRDefault="00912A9D" w:rsidP="00912A9D">
      <w:pPr>
        <w:pStyle w:val="SingleTxtGA"/>
        <w:rPr>
          <w:rtl/>
          <w:lang w:eastAsia="zh-TW"/>
        </w:rPr>
      </w:pPr>
      <w:r>
        <w:rPr>
          <w:rtl/>
          <w:lang w:eastAsia="zh-TW"/>
        </w:rPr>
        <w:t>١٥-</w:t>
      </w:r>
      <w:r>
        <w:rPr>
          <w:rtl/>
          <w:lang w:eastAsia="zh-TW"/>
        </w:rPr>
        <w:tab/>
      </w:r>
      <w:r w:rsidR="0004630F">
        <w:rPr>
          <w:rtl/>
          <w:lang w:eastAsia="zh-TW"/>
        </w:rPr>
        <w:t xml:space="preserve">وتظل اللجنة تشعر بالقلق لأن الأطفال المولودين خارج إطار الزواج والأطفال ذوي الإعاقات وأطفال العمال المهاجرين لا يزالون يتعرضون للتمييز في الدولة الطرف. </w:t>
      </w:r>
    </w:p>
    <w:p w:rsidR="0004630F" w:rsidRPr="00912A9D" w:rsidRDefault="00912A9D" w:rsidP="00713B40">
      <w:pPr>
        <w:pStyle w:val="SingleTxtGA"/>
        <w:rPr>
          <w:b/>
          <w:bCs/>
          <w:rtl/>
          <w:lang w:eastAsia="zh-TW"/>
        </w:rPr>
      </w:pPr>
      <w:r>
        <w:rPr>
          <w:rtl/>
          <w:lang w:eastAsia="zh-TW"/>
        </w:rPr>
        <w:t>١٦-</w:t>
      </w:r>
      <w:r>
        <w:rPr>
          <w:rtl/>
          <w:lang w:eastAsia="zh-TW"/>
        </w:rPr>
        <w:tab/>
      </w:r>
      <w:r w:rsidR="0004630F" w:rsidRPr="00912A9D">
        <w:rPr>
          <w:b/>
          <w:bCs/>
          <w:rtl/>
          <w:lang w:eastAsia="zh-TW"/>
        </w:rPr>
        <w:t xml:space="preserve">وتكرر اللجنة توصيتها السابقة (انظر </w:t>
      </w:r>
      <w:r w:rsidR="00713B40">
        <w:rPr>
          <w:rFonts w:asciiTheme="majorBidi" w:hAnsiTheme="majorBidi" w:cstheme="majorBidi"/>
          <w:b/>
          <w:bCs/>
          <w:szCs w:val="20"/>
          <w:lang w:eastAsia="zh-TW"/>
        </w:rPr>
        <w:t>/2</w:t>
      </w:r>
      <w:r w:rsidR="0004630F" w:rsidRPr="00912A9D">
        <w:rPr>
          <w:rFonts w:asciiTheme="majorBidi" w:hAnsiTheme="majorBidi" w:cstheme="majorBidi"/>
          <w:b/>
          <w:bCs/>
          <w:szCs w:val="20"/>
          <w:rtl/>
          <w:lang w:eastAsia="zh-TW"/>
        </w:rPr>
        <w:t>CRC/C/QAT/CO</w:t>
      </w:r>
      <w:r w:rsidR="0004630F" w:rsidRPr="00912A9D">
        <w:rPr>
          <w:b/>
          <w:bCs/>
          <w:rtl/>
          <w:lang w:eastAsia="zh-TW"/>
        </w:rPr>
        <w:t>، الفقرة ٢٦) وتدعو الدولة الطرف إلى اعتماد استراتيجية استباقية وشاملة للقضاء على التمييز القانوني والفعلي على أي أساس كان وفي حق جميع الأطفال، مع إيلاء اعتبار خاص للأطفال المولودين خارج إطار الزواج والأطفال ذوي الإعاقات وأطفال العمال المهاجرين.</w:t>
      </w:r>
    </w:p>
    <w:p w:rsidR="0004630F" w:rsidRPr="00D85034" w:rsidRDefault="0004630F" w:rsidP="00912A9D">
      <w:pPr>
        <w:pStyle w:val="H23GA"/>
        <w:keepNext/>
        <w:spacing w:before="240"/>
        <w:textDirection w:val="tbRlV"/>
        <w:rPr>
          <w:bCs w:val="0"/>
          <w:rtl/>
          <w:lang w:eastAsia="zh-TW" w:bidi="ar-DZ"/>
        </w:rPr>
      </w:pPr>
      <w:r w:rsidRPr="00D85034">
        <w:rPr>
          <w:lang w:eastAsia="zh-TW"/>
        </w:rPr>
        <w:tab/>
      </w:r>
      <w:r w:rsidRPr="00D85034">
        <w:rPr>
          <w:lang w:eastAsia="zh-TW"/>
        </w:rPr>
        <w:tab/>
      </w:r>
      <w:dir w:val="rtl">
        <w:r w:rsidRPr="00D85034">
          <w:rPr>
            <w:rtl/>
            <w:lang w:eastAsia="zh-TW"/>
          </w:rPr>
          <w:t>مصالح الطفل الفضلى</w:t>
        </w:r>
        <w:r w:rsidR="00DF51D4">
          <w:t>‬</w:t>
        </w:r>
        <w:r w:rsidR="003E66B1">
          <w:t>‬</w:t>
        </w:r>
        <w:r w:rsidR="002E62F7">
          <w:t>‬</w:t>
        </w:r>
      </w:dir>
    </w:p>
    <w:p w:rsidR="0004630F" w:rsidRPr="00D85034" w:rsidRDefault="00912A9D" w:rsidP="00912A9D">
      <w:pPr>
        <w:pStyle w:val="SingleTxtGA"/>
        <w:rPr>
          <w:rtl/>
          <w:lang w:eastAsia="zh-TW"/>
        </w:rPr>
      </w:pPr>
      <w:r>
        <w:rPr>
          <w:rtl/>
          <w:lang w:eastAsia="zh-TW"/>
        </w:rPr>
        <w:t>١٧-</w:t>
      </w:r>
      <w:r>
        <w:rPr>
          <w:rtl/>
          <w:lang w:eastAsia="zh-TW"/>
        </w:rPr>
        <w:tab/>
      </w:r>
      <w:r w:rsidR="0004630F" w:rsidRPr="00E119BC">
        <w:rPr>
          <w:b/>
          <w:bCs/>
          <w:rtl/>
          <w:lang w:eastAsia="zh-TW"/>
        </w:rPr>
        <w:t>يساور اللجنة القلق لأن العديد من المعايير الواردة في تشريعات الدولة الطرف لتحديد مصالح الطفل الفضلى تشير إلى الشروط التي يجب أن يستوفيها البالغون بدلا</w:t>
      </w:r>
      <w:r w:rsidR="009D6B6E">
        <w:rPr>
          <w:rFonts w:hint="cs"/>
          <w:b/>
          <w:bCs/>
          <w:rtl/>
          <w:lang w:eastAsia="zh-TW"/>
        </w:rPr>
        <w:t>ً</w:t>
      </w:r>
      <w:r w:rsidR="0004630F" w:rsidRPr="00E119BC">
        <w:rPr>
          <w:b/>
          <w:bCs/>
          <w:rtl/>
          <w:lang w:eastAsia="zh-TW"/>
        </w:rPr>
        <w:t xml:space="preserve"> من مصالح الطفل الفضلى في كل حالة على حدة. وتوصي الدولةَ الطرف، في ضوء تعلي</w:t>
      </w:r>
      <w:r w:rsidRPr="00E119BC">
        <w:rPr>
          <w:b/>
          <w:bCs/>
          <w:rtl/>
          <w:lang w:eastAsia="zh-TW"/>
        </w:rPr>
        <w:t>قها العام رقم</w:t>
      </w:r>
      <w:r w:rsidRPr="00E119BC">
        <w:rPr>
          <w:rFonts w:hint="cs"/>
          <w:b/>
          <w:bCs/>
          <w:rtl/>
          <w:lang w:eastAsia="zh-TW"/>
        </w:rPr>
        <w:t> </w:t>
      </w:r>
      <w:r w:rsidR="0004630F" w:rsidRPr="00E119BC">
        <w:rPr>
          <w:b/>
          <w:bCs/>
          <w:rtl/>
          <w:lang w:eastAsia="zh-TW"/>
        </w:rPr>
        <w:t>14(2013) المتصل بحقّ الطفل في إيلاء الاعتبار الأول لمصالحه الفُضلى، ببذل المزيد من الجهود لإدراج هذا الحق في جميع التشريعات كما يجب، وتفسيره دوما</w:t>
      </w:r>
      <w:r w:rsidR="00310CB2">
        <w:rPr>
          <w:rFonts w:hint="cs"/>
          <w:b/>
          <w:bCs/>
          <w:rtl/>
          <w:lang w:eastAsia="zh-TW"/>
        </w:rPr>
        <w:t>ً</w:t>
      </w:r>
      <w:r w:rsidR="0004630F" w:rsidRPr="00E119BC">
        <w:rPr>
          <w:b/>
          <w:bCs/>
          <w:rtl/>
          <w:lang w:eastAsia="zh-TW"/>
        </w:rPr>
        <w:t xml:space="preserve"> من هذا المنظور وتطبيقه في جميع الإجراءات والقرارات الإدارية والقضائية، وفي جميع السياسات والبرامج والمشاريع التي تتعلق بالطفل وتؤثر فيه.</w:t>
      </w:r>
      <w:r w:rsidR="0004630F" w:rsidRPr="00E119BC">
        <w:rPr>
          <w:rFonts w:cs="Times New Roman" w:hint="cs"/>
          <w:b/>
          <w:bCs/>
          <w:rtl/>
          <w:lang w:eastAsia="zh-TW"/>
        </w:rPr>
        <w:t>‬</w:t>
      </w:r>
      <w:r w:rsidR="0004630F" w:rsidRPr="00E119BC">
        <w:rPr>
          <w:b/>
          <w:bCs/>
          <w:rtl/>
          <w:lang w:eastAsia="zh-TW"/>
        </w:rPr>
        <w:t xml:space="preserve"> </w:t>
      </w:r>
      <w:dir w:val="rtl">
        <w:r w:rsidR="0004630F" w:rsidRPr="00E119BC">
          <w:rPr>
            <w:b/>
            <w:bCs/>
            <w:rtl/>
            <w:lang w:eastAsia="zh-TW"/>
          </w:rPr>
          <w:t>وتشجع اللجنة الدولة الطرف في هذا الصدد على وضع إجراءات ومعايير استنادا</w:t>
        </w:r>
        <w:r w:rsidR="00310CB2">
          <w:rPr>
            <w:rFonts w:hint="cs"/>
            <w:b/>
            <w:bCs/>
            <w:rtl/>
            <w:lang w:eastAsia="zh-TW"/>
          </w:rPr>
          <w:t>ً</w:t>
        </w:r>
        <w:r w:rsidR="0004630F" w:rsidRPr="00E119BC">
          <w:rPr>
            <w:b/>
            <w:bCs/>
            <w:rtl/>
            <w:lang w:eastAsia="zh-TW"/>
          </w:rPr>
          <w:t xml:space="preserve"> إلى الأوضاع الملموسة للأطفال وحقوقهم، وتوفير التوجيه والتدريب لجميع الأشخاص المعنيين المخولين سلطة تحديد مصالح الطفل الفضلى في كل المجالات وجعل تلك المصالح تتصدر قائمة الأولويات.</w:t>
        </w:r>
        <w:r w:rsidR="0004630F" w:rsidRPr="00E119BC">
          <w:rPr>
            <w:rFonts w:cs="Times New Roman" w:hint="cs"/>
            <w:b/>
            <w:bCs/>
            <w:rtl/>
            <w:lang w:eastAsia="zh-TW"/>
          </w:rPr>
          <w:t>‬</w:t>
        </w:r>
        <w:r w:rsidR="0004630F" w:rsidRPr="00E119BC">
          <w:rPr>
            <w:b/>
            <w:bCs/>
            <w:rtl/>
            <w:lang w:eastAsia="zh-TW"/>
          </w:rPr>
          <w:t xml:space="preserve"> </w:t>
        </w:r>
        <w:r w:rsidR="0004630F" w:rsidRPr="00E119BC">
          <w:rPr>
            <w:b/>
            <w:bCs/>
          </w:rPr>
          <w:t>‬</w:t>
        </w:r>
        <w:r w:rsidR="00DF51D4">
          <w:t>‬</w:t>
        </w:r>
        <w:r w:rsidR="003E66B1">
          <w:t>‬</w:t>
        </w:r>
        <w:r w:rsidR="002E62F7">
          <w:t>‬</w:t>
        </w:r>
      </w:dir>
    </w:p>
    <w:p w:rsidR="0004630F" w:rsidRPr="00D85034" w:rsidRDefault="0004630F" w:rsidP="00912A9D">
      <w:pPr>
        <w:pStyle w:val="H23GA"/>
        <w:keepNext/>
        <w:spacing w:before="240"/>
        <w:textDirection w:val="tbRlV"/>
        <w:rPr>
          <w:bCs w:val="0"/>
          <w:rtl/>
          <w:lang w:eastAsia="zh-TW"/>
        </w:rPr>
      </w:pPr>
      <w:r w:rsidRPr="00D85034">
        <w:rPr>
          <w:lang w:eastAsia="zh-TW"/>
        </w:rPr>
        <w:tab/>
      </w:r>
      <w:r w:rsidRPr="00D85034">
        <w:rPr>
          <w:lang w:eastAsia="zh-TW"/>
        </w:rPr>
        <w:tab/>
      </w:r>
      <w:dir w:val="rtl">
        <w:r w:rsidRPr="00D85034">
          <w:rPr>
            <w:rtl/>
            <w:lang w:eastAsia="zh-TW"/>
          </w:rPr>
          <w:t>احترام آراء الطفل</w:t>
        </w:r>
        <w:r w:rsidR="00DF51D4">
          <w:t>‬</w:t>
        </w:r>
        <w:r w:rsidR="003E66B1">
          <w:t>‬</w:t>
        </w:r>
        <w:r w:rsidR="002E62F7">
          <w:t>‬</w:t>
        </w:r>
      </w:dir>
    </w:p>
    <w:p w:rsidR="0004630F" w:rsidRPr="00912A9D" w:rsidRDefault="00912A9D" w:rsidP="00912A9D">
      <w:pPr>
        <w:pStyle w:val="SingleTxtGA"/>
        <w:rPr>
          <w:b/>
          <w:bCs/>
          <w:rtl/>
          <w:lang w:eastAsia="zh-TW"/>
        </w:rPr>
      </w:pPr>
      <w:r>
        <w:rPr>
          <w:rtl/>
          <w:lang w:eastAsia="zh-TW"/>
        </w:rPr>
        <w:t>١٨-</w:t>
      </w:r>
      <w:r>
        <w:rPr>
          <w:rtl/>
          <w:lang w:eastAsia="zh-TW"/>
        </w:rPr>
        <w:tab/>
      </w:r>
      <w:r w:rsidR="0004630F" w:rsidRPr="00912A9D">
        <w:rPr>
          <w:b/>
          <w:bCs/>
          <w:rtl/>
          <w:lang w:eastAsia="zh-TW"/>
        </w:rPr>
        <w:t>توصي اللجنة الدولة الطرف بما يلي، في سيا</w:t>
      </w:r>
      <w:r>
        <w:rPr>
          <w:b/>
          <w:bCs/>
          <w:rtl/>
          <w:lang w:eastAsia="zh-TW"/>
        </w:rPr>
        <w:t>ق الإشارة إلى تعليقها العام رقم</w:t>
      </w:r>
      <w:r>
        <w:rPr>
          <w:rFonts w:hint="cs"/>
          <w:b/>
          <w:bCs/>
          <w:rtl/>
          <w:lang w:eastAsia="zh-TW"/>
        </w:rPr>
        <w:t> </w:t>
      </w:r>
      <w:r w:rsidR="0004630F" w:rsidRPr="00912A9D">
        <w:rPr>
          <w:b/>
          <w:bCs/>
          <w:rtl/>
          <w:lang w:eastAsia="zh-TW"/>
        </w:rPr>
        <w:t xml:space="preserve">12(2009) بشأن حق الطفل في الاستماع إليه: </w:t>
      </w:r>
    </w:p>
    <w:p w:rsidR="0004630F" w:rsidRPr="00912A9D" w:rsidRDefault="0004630F" w:rsidP="00912A9D">
      <w:pPr>
        <w:pStyle w:val="SingleTxtGA"/>
        <w:rPr>
          <w:b/>
          <w:bCs/>
          <w:rtl/>
          <w:lang w:eastAsia="zh-TW"/>
        </w:rPr>
      </w:pPr>
      <w:r w:rsidRPr="00D85034">
        <w:rPr>
          <w:lang w:eastAsia="zh-TW"/>
        </w:rPr>
        <w:tab/>
      </w:r>
      <w:r w:rsidRPr="00D85034">
        <w:rPr>
          <w:rtl/>
          <w:lang w:eastAsia="zh-TW"/>
        </w:rPr>
        <w:t>(أ)</w:t>
      </w:r>
      <w:r w:rsidRPr="00912A9D">
        <w:rPr>
          <w:b/>
          <w:bCs/>
          <w:rtl/>
          <w:lang w:eastAsia="zh-TW"/>
        </w:rPr>
        <w:tab/>
        <w:t>بذل المزيد من الجهود لتعريف جميع الأطفال بحقوقهم التي تكلفها الاتفاقية كي يتسنى لهم التعبير عن آرائهم وتيسير اتخاذهم قرارات مستنيرة؛</w:t>
      </w:r>
    </w:p>
    <w:p w:rsidR="0004630F" w:rsidRPr="00912A9D" w:rsidRDefault="00912A9D" w:rsidP="00912A9D">
      <w:pPr>
        <w:pStyle w:val="SingleTxtGA"/>
        <w:rPr>
          <w:b/>
          <w:bCs/>
          <w:rtl/>
          <w:lang w:eastAsia="zh-TW"/>
        </w:rPr>
      </w:pPr>
      <w:r>
        <w:rPr>
          <w:lang w:eastAsia="zh-TW"/>
        </w:rPr>
        <w:tab/>
      </w:r>
      <w:r w:rsidR="0004630F" w:rsidRPr="00D85034">
        <w:rPr>
          <w:rtl/>
          <w:lang w:eastAsia="zh-TW"/>
        </w:rPr>
        <w:t>(ب)</w:t>
      </w:r>
      <w:r>
        <w:rPr>
          <w:rtl/>
          <w:lang w:eastAsia="zh-TW"/>
        </w:rPr>
        <w:tab/>
      </w:r>
      <w:r w:rsidR="0004630F" w:rsidRPr="00912A9D">
        <w:rPr>
          <w:b/>
          <w:bCs/>
          <w:rtl/>
          <w:lang w:eastAsia="zh-TW"/>
        </w:rPr>
        <w:t>الحرص على إيلاء الاعتبار الواجب لآراء الأطفال في المحاكم، والمدارس، والعمليات الإدارية ذات الصلة والعمليات الأخرى المتعلقة بالأطفال، وفي المنزل، بطرق منها اعتماد التشريعات المناسبة، وتدريب أولياء الأمور والمهنيين العاملين مع الأطفال ومن أجلهم، ووضع إجراءات أو بروتوكولات لهؤلاء المهنيين تكفل احترامهم آراء الأطفال في الإجراءات الإدارية والقضائية.</w:t>
      </w:r>
    </w:p>
    <w:p w:rsidR="0004630F" w:rsidRPr="009A6C69" w:rsidRDefault="0004630F" w:rsidP="00E119BC">
      <w:pPr>
        <w:pStyle w:val="H1GA"/>
        <w:rPr>
          <w:rtl/>
          <w:lang w:eastAsia="zh-TW"/>
        </w:rPr>
      </w:pPr>
      <w:r w:rsidRPr="009A6C69">
        <w:rPr>
          <w:rtl/>
          <w:lang w:eastAsia="zh-TW"/>
        </w:rPr>
        <w:lastRenderedPageBreak/>
        <w:tab/>
        <w:t>دال-</w:t>
      </w:r>
      <w:r w:rsidR="00E119BC">
        <w:rPr>
          <w:rtl/>
          <w:lang w:eastAsia="zh-TW"/>
        </w:rPr>
        <w:tab/>
      </w:r>
      <w:r w:rsidRPr="009A6C69">
        <w:rPr>
          <w:rtl/>
          <w:lang w:eastAsia="zh-TW"/>
        </w:rPr>
        <w:t>الحقوق والحريات المدنية (المواد 7 و8 و13-17)</w:t>
      </w:r>
      <w:r>
        <w:rPr>
          <w:rFonts w:cs="Times New Roman" w:hint="cs"/>
          <w:rtl/>
          <w:lang w:eastAsia="zh-TW"/>
        </w:rPr>
        <w:t>‬</w:t>
      </w:r>
    </w:p>
    <w:p w:rsidR="0004630F" w:rsidRPr="009A6C69" w:rsidRDefault="0004630F" w:rsidP="00912A9D">
      <w:pPr>
        <w:pStyle w:val="H23GA"/>
        <w:keepNext/>
        <w:spacing w:before="240"/>
        <w:textDirection w:val="tbRlV"/>
        <w:rPr>
          <w:b w:val="0"/>
          <w:bCs w:val="0"/>
          <w:rtl/>
          <w:lang w:eastAsia="zh-TW" w:bidi="ar-DZ"/>
        </w:rPr>
      </w:pPr>
      <w:r>
        <w:rPr>
          <w:lang w:eastAsia="zh-TW"/>
        </w:rPr>
        <w:tab/>
      </w:r>
      <w:r>
        <w:rPr>
          <w:lang w:eastAsia="zh-TW"/>
        </w:rPr>
        <w:tab/>
      </w:r>
      <w:r w:rsidRPr="009A6C69">
        <w:rPr>
          <w:b w:val="0"/>
          <w:rtl/>
          <w:lang w:eastAsia="zh-TW"/>
        </w:rPr>
        <w:t>الجنسية</w:t>
      </w:r>
    </w:p>
    <w:p w:rsidR="0004630F" w:rsidRPr="001D29FA" w:rsidRDefault="00E119BC" w:rsidP="00E119BC">
      <w:pPr>
        <w:pStyle w:val="SingleTxtGA"/>
        <w:rPr>
          <w:rtl/>
          <w:lang w:eastAsia="zh-TW"/>
        </w:rPr>
      </w:pPr>
      <w:r>
        <w:rPr>
          <w:rtl/>
          <w:lang w:eastAsia="zh-TW"/>
        </w:rPr>
        <w:t>١٩-</w:t>
      </w:r>
      <w:r>
        <w:rPr>
          <w:rtl/>
          <w:lang w:eastAsia="zh-TW"/>
        </w:rPr>
        <w:tab/>
      </w:r>
      <w:r w:rsidR="0004630F">
        <w:rPr>
          <w:rtl/>
          <w:lang w:eastAsia="zh-TW"/>
        </w:rPr>
        <w:t>لا تزال اللجنة تشعر بقلق بالغ من أن قانون الجنسية لا يمنح الجنسية لأطفال القطريات والآباء غير القطريين، كما هي الحال عندما يكون الأب قطريا</w:t>
      </w:r>
      <w:r>
        <w:rPr>
          <w:rFonts w:hint="cs"/>
          <w:rtl/>
          <w:lang w:eastAsia="zh-TW"/>
        </w:rPr>
        <w:t>ً</w:t>
      </w:r>
      <w:r w:rsidR="0004630F">
        <w:rPr>
          <w:rtl/>
          <w:lang w:eastAsia="zh-TW"/>
        </w:rPr>
        <w:t>.</w:t>
      </w:r>
    </w:p>
    <w:p w:rsidR="0004630F" w:rsidRPr="00E96F07" w:rsidRDefault="00C030D1" w:rsidP="002D75A3">
      <w:pPr>
        <w:pStyle w:val="SingleTxtGA"/>
        <w:rPr>
          <w:rtl/>
          <w:lang w:eastAsia="zh-TW"/>
        </w:rPr>
      </w:pPr>
      <w:r>
        <w:rPr>
          <w:rtl/>
          <w:lang w:eastAsia="zh-TW"/>
        </w:rPr>
        <w:t>٢٠-</w:t>
      </w:r>
      <w:r>
        <w:rPr>
          <w:rtl/>
          <w:lang w:eastAsia="zh-TW"/>
        </w:rPr>
        <w:tab/>
      </w:r>
      <w:r w:rsidR="0004630F" w:rsidRPr="00C030D1">
        <w:rPr>
          <w:b/>
          <w:bCs/>
          <w:rtl/>
          <w:lang w:eastAsia="zh-TW"/>
        </w:rPr>
        <w:t xml:space="preserve">وتحث اللجنة الدولة الطرف، في إطار توصيتها السابقة (انظر </w:t>
      </w:r>
      <w:r w:rsidR="002D75A3">
        <w:rPr>
          <w:rFonts w:asciiTheme="majorBidi" w:hAnsiTheme="majorBidi" w:cstheme="majorBidi"/>
          <w:b/>
          <w:bCs/>
          <w:szCs w:val="20"/>
          <w:lang w:eastAsia="zh-TW"/>
        </w:rPr>
        <w:t>/2</w:t>
      </w:r>
      <w:r w:rsidR="0004630F" w:rsidRPr="00C030D1">
        <w:rPr>
          <w:rFonts w:asciiTheme="majorBidi" w:hAnsiTheme="majorBidi" w:cstheme="majorBidi"/>
          <w:b/>
          <w:bCs/>
          <w:szCs w:val="20"/>
          <w:rtl/>
          <w:lang w:eastAsia="zh-TW"/>
        </w:rPr>
        <w:t>CRC/C/QAT/CO</w:t>
      </w:r>
      <w:r w:rsidR="0004630F" w:rsidRPr="00C030D1">
        <w:rPr>
          <w:b/>
          <w:bCs/>
          <w:rtl/>
          <w:lang w:eastAsia="zh-TW"/>
        </w:rPr>
        <w:t>، الفقرة ٣٤) وتوصيات هيئات معاهدات أخرى والاستعراض الدوري الشامل، على مراجعة تشريعاتها المرتبطة بالجنسية بحيث ي</w:t>
      </w:r>
      <w:r>
        <w:rPr>
          <w:b/>
          <w:bCs/>
          <w:rtl/>
          <w:lang w:eastAsia="zh-TW"/>
        </w:rPr>
        <w:t>مكن نقل الجنسية إلى الأطفال مِن</w:t>
      </w:r>
      <w:r>
        <w:rPr>
          <w:rFonts w:hint="cs"/>
          <w:b/>
          <w:bCs/>
          <w:rtl/>
          <w:lang w:eastAsia="zh-TW"/>
        </w:rPr>
        <w:t> </w:t>
      </w:r>
      <w:r w:rsidR="0004630F" w:rsidRPr="00C030D1">
        <w:rPr>
          <w:b/>
          <w:bCs/>
          <w:rtl/>
          <w:lang w:eastAsia="zh-TW"/>
        </w:rPr>
        <w:t xml:space="preserve">طريق الأم والأب دون تمييز، خاصة بالنسبة إلى الأطفال الذين قد يصبحون عديمي الجنسية لولا ذلك. </w:t>
      </w:r>
      <w:dir w:val="rtl">
        <w:r w:rsidR="0004630F" w:rsidRPr="00C030D1">
          <w:rPr>
            <w:b/>
            <w:bCs/>
            <w:rtl/>
            <w:lang w:eastAsia="zh-TW"/>
          </w:rPr>
          <w:t>وتوصي اللجنة الدولة الطرف أيضاً بالنظر في إمكانية التصديق على الاتفاقية المتعلقة بوضع الأشخاص عديمي الجنسية لعام 1954، والاتفاقية المتعلقة بخفض حالات انعدام الجنسية لعام 1961، وبالتماس المساعدة التقنية من أجل تنفيذ هذه التوصيات من مفوضية الأمم المتحدة السامية لشؤون اللاجئين ومنظمة الأمم المتحدة للطفولة، في جملة جهات.</w:t>
        </w:r>
        <w:r w:rsidR="0004630F" w:rsidRPr="00C030D1">
          <w:rPr>
            <w:rFonts w:cs="Times New Roman" w:hint="cs"/>
            <w:b/>
            <w:bCs/>
            <w:rtl/>
            <w:lang w:eastAsia="zh-TW"/>
          </w:rPr>
          <w:t>‬</w:t>
        </w:r>
        <w:r w:rsidR="0004630F" w:rsidRPr="00C030D1">
          <w:rPr>
            <w:b/>
            <w:bCs/>
          </w:rPr>
          <w:t>‬</w:t>
        </w:r>
        <w:r>
          <w:rPr>
            <w:rFonts w:hint="cs"/>
            <w:rtl/>
            <w:lang w:eastAsia="zh-TW"/>
          </w:rPr>
          <w:t xml:space="preserve"> </w:t>
        </w:r>
        <w:r w:rsidR="00DF51D4">
          <w:t>‬</w:t>
        </w:r>
        <w:r w:rsidR="003E66B1">
          <w:t>‬</w:t>
        </w:r>
        <w:r w:rsidR="002E62F7">
          <w:t>‬</w:t>
        </w:r>
      </w:dir>
    </w:p>
    <w:p w:rsidR="0004630F" w:rsidRPr="009A6C69" w:rsidRDefault="0004630F" w:rsidP="00C030D1">
      <w:pPr>
        <w:pStyle w:val="H1GA"/>
        <w:rPr>
          <w:rtl/>
          <w:lang w:eastAsia="zh-TW"/>
        </w:rPr>
      </w:pPr>
      <w:r w:rsidRPr="009A6C69">
        <w:rPr>
          <w:rtl/>
          <w:lang w:eastAsia="zh-TW"/>
        </w:rPr>
        <w:tab/>
        <w:t>هاء-</w:t>
      </w:r>
      <w:r w:rsidR="00C030D1">
        <w:rPr>
          <w:rtl/>
          <w:lang w:eastAsia="zh-TW"/>
        </w:rPr>
        <w:tab/>
      </w:r>
      <w:r w:rsidRPr="009A6C69">
        <w:rPr>
          <w:rtl/>
          <w:lang w:eastAsia="zh-TW"/>
        </w:rPr>
        <w:t>العنف الممارس على الأطفال (المواد 19 و24(3) و28(2) و34 و37(أ) و39)</w:t>
      </w:r>
      <w:r w:rsidRPr="009A6C69">
        <w:rPr>
          <w:rFonts w:cs="Times New Roman" w:hint="cs"/>
          <w:rtl/>
          <w:lang w:eastAsia="zh-TW"/>
        </w:rPr>
        <w:t>‬</w:t>
      </w:r>
    </w:p>
    <w:p w:rsidR="0004630F" w:rsidRPr="00912A9D" w:rsidRDefault="0004630F" w:rsidP="00912A9D">
      <w:pPr>
        <w:pStyle w:val="H23GA"/>
        <w:keepNext/>
        <w:spacing w:before="240"/>
        <w:textDirection w:val="tbRlV"/>
        <w:rPr>
          <w:rtl/>
        </w:rPr>
      </w:pPr>
      <w:r w:rsidRPr="00912A9D">
        <w:tab/>
      </w:r>
      <w:r w:rsidRPr="00912A9D">
        <w:tab/>
      </w:r>
      <w:r w:rsidRPr="00912A9D">
        <w:rPr>
          <w:rtl/>
        </w:rPr>
        <w:t>العقوبة البدنية</w:t>
      </w:r>
    </w:p>
    <w:p w:rsidR="0004630F" w:rsidRPr="001D29FA" w:rsidRDefault="00C030D1" w:rsidP="00C030D1">
      <w:pPr>
        <w:pStyle w:val="SingleTxtGA"/>
        <w:rPr>
          <w:rtl/>
          <w:lang w:eastAsia="zh-TW"/>
        </w:rPr>
      </w:pPr>
      <w:r>
        <w:rPr>
          <w:rtl/>
          <w:lang w:eastAsia="zh-TW"/>
        </w:rPr>
        <w:t>٢١-</w:t>
      </w:r>
      <w:r>
        <w:rPr>
          <w:rtl/>
          <w:lang w:eastAsia="zh-TW"/>
        </w:rPr>
        <w:tab/>
      </w:r>
      <w:r w:rsidR="0004630F">
        <w:rPr>
          <w:rtl/>
          <w:lang w:eastAsia="zh-TW"/>
        </w:rPr>
        <w:t>لا يزال يساور اللجنة بالغ القلق لأن العقوبة البدنية مشروعة ومنتشرة في المنازل وفي مؤسسات الرعاية البديلة والرعاية النهارية والمدارس بوصفها عقوبة جنائية.</w:t>
      </w:r>
    </w:p>
    <w:p w:rsidR="0004630F" w:rsidRPr="00C030D1" w:rsidRDefault="00C030D1" w:rsidP="00C030D1">
      <w:pPr>
        <w:pStyle w:val="SingleTxtGA"/>
        <w:rPr>
          <w:b/>
          <w:bCs/>
          <w:rtl/>
          <w:lang w:eastAsia="zh-TW"/>
        </w:rPr>
      </w:pPr>
      <w:r>
        <w:rPr>
          <w:rtl/>
          <w:lang w:eastAsia="zh-TW"/>
        </w:rPr>
        <w:t>٢٢-</w:t>
      </w:r>
      <w:r>
        <w:rPr>
          <w:rtl/>
          <w:lang w:eastAsia="zh-TW"/>
        </w:rPr>
        <w:tab/>
      </w:r>
      <w:r w:rsidR="0004630F" w:rsidRPr="00C030D1">
        <w:rPr>
          <w:b/>
          <w:bCs/>
          <w:rtl/>
          <w:lang w:eastAsia="zh-TW"/>
        </w:rPr>
        <w:t>وفي سياق إشارة اللجنة إلى تعليقها العام رقم 8(2006) بشأن حق الطفل في الحماية من العقوبة البدنية وغيرها من ضروب العقوبة القاسية أو المهينة، تحث الدولةَ الطرف على الآتي:</w:t>
      </w:r>
      <w:r w:rsidR="0004630F" w:rsidRPr="00C030D1">
        <w:rPr>
          <w:rFonts w:cs="Times New Roman" w:hint="cs"/>
          <w:b/>
          <w:bCs/>
          <w:rtl/>
          <w:lang w:eastAsia="zh-TW"/>
        </w:rPr>
        <w:t>‬</w:t>
      </w:r>
      <w:r w:rsidR="0004630F" w:rsidRPr="00C030D1">
        <w:rPr>
          <w:b/>
          <w:bCs/>
          <w:rtl/>
          <w:lang w:eastAsia="zh-TW"/>
        </w:rPr>
        <w:t xml:space="preserve"> </w:t>
      </w:r>
    </w:p>
    <w:p w:rsidR="0004630F" w:rsidRPr="00C030D1" w:rsidRDefault="0004630F" w:rsidP="00C030D1">
      <w:pPr>
        <w:pStyle w:val="SingleTxtGA"/>
        <w:rPr>
          <w:b/>
          <w:bCs/>
          <w:rtl/>
          <w:lang w:eastAsia="zh-TW"/>
        </w:rPr>
      </w:pPr>
      <w:r w:rsidRPr="0019764C">
        <w:rPr>
          <w:lang w:eastAsia="zh-TW"/>
        </w:rPr>
        <w:tab/>
      </w:r>
      <w:r w:rsidRPr="0019764C">
        <w:rPr>
          <w:rtl/>
          <w:lang w:eastAsia="zh-TW"/>
        </w:rPr>
        <w:t>(أ)</w:t>
      </w:r>
      <w:r w:rsidRPr="0019764C">
        <w:rPr>
          <w:rtl/>
          <w:lang w:eastAsia="zh-TW"/>
        </w:rPr>
        <w:tab/>
      </w:r>
      <w:r w:rsidRPr="00C030D1">
        <w:rPr>
          <w:b/>
          <w:bCs/>
          <w:rtl/>
          <w:lang w:eastAsia="zh-TW"/>
        </w:rPr>
        <w:t>النص صراحة في مشروع القانون عن حقوق الطفل على حظر العقوبة البدنية في جميع الأماكن، بما فيها المنزل والمدرسة ونظام العدالة، دون أي استثناء؛</w:t>
      </w:r>
      <w:r w:rsidRPr="00C030D1">
        <w:rPr>
          <w:rFonts w:cs="Times New Roman" w:hint="cs"/>
          <w:b/>
          <w:bCs/>
          <w:rtl/>
          <w:lang w:eastAsia="zh-TW"/>
        </w:rPr>
        <w:t>‬</w:t>
      </w:r>
      <w:r w:rsidRPr="00C030D1">
        <w:rPr>
          <w:b/>
          <w:bCs/>
          <w:rtl/>
          <w:lang w:eastAsia="zh-TW"/>
        </w:rPr>
        <w:t xml:space="preserve"> </w:t>
      </w:r>
    </w:p>
    <w:p w:rsidR="0004630F" w:rsidRPr="00C030D1" w:rsidRDefault="0004630F" w:rsidP="00C030D1">
      <w:pPr>
        <w:pStyle w:val="SingleTxtGA"/>
        <w:rPr>
          <w:b/>
          <w:bCs/>
          <w:rtl/>
          <w:lang w:eastAsia="zh-TW"/>
        </w:rPr>
      </w:pPr>
      <w:r w:rsidRPr="0019764C">
        <w:rPr>
          <w:lang w:eastAsia="zh-TW"/>
        </w:rPr>
        <w:tab/>
      </w:r>
      <w:r w:rsidRPr="0019764C">
        <w:rPr>
          <w:rtl/>
          <w:lang w:eastAsia="zh-TW"/>
        </w:rPr>
        <w:t>(ب)</w:t>
      </w:r>
      <w:r w:rsidRPr="0019764C">
        <w:rPr>
          <w:rtl/>
          <w:lang w:eastAsia="zh-TW"/>
        </w:rPr>
        <w:tab/>
      </w:r>
      <w:r w:rsidRPr="00C030D1">
        <w:rPr>
          <w:b/>
          <w:bCs/>
          <w:rtl/>
          <w:lang w:eastAsia="zh-TW"/>
        </w:rPr>
        <w:t xml:space="preserve">التأكد من أن حظر العقوبة البدنية يُرصد ويُنْفذ كما يجب وأن الجناة يقدمون إلى السلطات الإدارية والقضائية المختصة؛ </w:t>
      </w:r>
    </w:p>
    <w:p w:rsidR="0004630F" w:rsidRPr="00C030D1" w:rsidRDefault="00C030D1" w:rsidP="002D75A3">
      <w:pPr>
        <w:pStyle w:val="SingleTxtGA"/>
        <w:rPr>
          <w:b/>
          <w:bCs/>
          <w:rtl/>
          <w:lang w:eastAsia="zh-TW"/>
        </w:rPr>
      </w:pPr>
      <w:r>
        <w:rPr>
          <w:rtl/>
          <w:lang w:eastAsia="zh-TW"/>
        </w:rPr>
        <w:tab/>
      </w:r>
      <w:r w:rsidR="0004630F" w:rsidRPr="0019764C">
        <w:rPr>
          <w:rtl/>
          <w:lang w:eastAsia="zh-TW"/>
        </w:rPr>
        <w:t>(ج)</w:t>
      </w:r>
      <w:r>
        <w:rPr>
          <w:b/>
          <w:bCs/>
          <w:rtl/>
          <w:lang w:eastAsia="zh-TW"/>
        </w:rPr>
        <w:tab/>
      </w:r>
      <w:r w:rsidR="0004630F" w:rsidRPr="00C030D1">
        <w:rPr>
          <w:b/>
          <w:bCs/>
          <w:rtl/>
          <w:lang w:eastAsia="zh-TW"/>
        </w:rPr>
        <w:t xml:space="preserve">تشجيع أشكال تربية الطفل وتأديبه الإيجابية وغير </w:t>
      </w:r>
      <w:proofErr w:type="spellStart"/>
      <w:r w:rsidR="00310CB2" w:rsidRPr="00C030D1">
        <w:rPr>
          <w:rFonts w:hint="cs"/>
          <w:b/>
          <w:bCs/>
          <w:rtl/>
          <w:lang w:eastAsia="zh-TW"/>
        </w:rPr>
        <w:t>العنف</w:t>
      </w:r>
      <w:r w:rsidR="002D75A3" w:rsidRPr="00C030D1">
        <w:rPr>
          <w:rFonts w:hint="cs"/>
          <w:b/>
          <w:bCs/>
          <w:rtl/>
          <w:lang w:eastAsia="zh-TW"/>
        </w:rPr>
        <w:t>ي</w:t>
      </w:r>
      <w:r w:rsidR="00310CB2" w:rsidRPr="00C030D1">
        <w:rPr>
          <w:rFonts w:hint="cs"/>
          <w:b/>
          <w:bCs/>
          <w:rtl/>
          <w:lang w:eastAsia="zh-TW"/>
        </w:rPr>
        <w:t>ة</w:t>
      </w:r>
      <w:proofErr w:type="spellEnd"/>
      <w:r w:rsidR="0004630F" w:rsidRPr="00C030D1">
        <w:rPr>
          <w:b/>
          <w:bCs/>
          <w:rtl/>
          <w:lang w:eastAsia="zh-TW"/>
        </w:rPr>
        <w:t xml:space="preserve"> والتي تقوم على المشاركة، في البيت، وتدعيم تدريب المعلمين وغيرهم من المهنيين الذين يعملون مع الأطفال ومن أجلهم على التأديب الإيجابي، وجعل المبادئ التوجيهية لضبط السلوك جزءا</w:t>
      </w:r>
      <w:r w:rsidR="00BC5EA8">
        <w:rPr>
          <w:rFonts w:hint="cs"/>
          <w:b/>
          <w:bCs/>
          <w:rtl/>
          <w:lang w:eastAsia="zh-TW"/>
        </w:rPr>
        <w:t>ً</w:t>
      </w:r>
      <w:r w:rsidR="0004630F" w:rsidRPr="00C030D1">
        <w:rPr>
          <w:b/>
          <w:bCs/>
          <w:rtl/>
          <w:lang w:eastAsia="zh-TW"/>
        </w:rPr>
        <w:t xml:space="preserve"> من جميع برامج التدريب أثناء الخدمة؛</w:t>
      </w:r>
    </w:p>
    <w:p w:rsidR="0004630F" w:rsidRPr="00C030D1" w:rsidRDefault="0004630F" w:rsidP="00C030D1">
      <w:pPr>
        <w:pStyle w:val="SingleTxtGA"/>
        <w:rPr>
          <w:b/>
          <w:bCs/>
          <w:rtl/>
          <w:lang w:eastAsia="zh-TW"/>
        </w:rPr>
      </w:pPr>
      <w:r w:rsidRPr="0019764C">
        <w:rPr>
          <w:lang w:eastAsia="zh-TW"/>
        </w:rPr>
        <w:tab/>
      </w:r>
      <w:r>
        <w:rPr>
          <w:rtl/>
          <w:lang w:eastAsia="zh-TW"/>
        </w:rPr>
        <w:t>(د)</w:t>
      </w:r>
      <w:r>
        <w:rPr>
          <w:rtl/>
          <w:lang w:eastAsia="zh-TW"/>
        </w:rPr>
        <w:tab/>
      </w:r>
      <w:r w:rsidRPr="00C030D1">
        <w:rPr>
          <w:b/>
          <w:bCs/>
          <w:rtl/>
          <w:lang w:eastAsia="zh-TW"/>
        </w:rPr>
        <w:t>إنشاء آلية للشكاوى كي يتمكن الأطفال من الإبلاغ عن الأشخاص الذين يمارسون العقوبة البدنية، دون التعرض لأذى وفي إطار من السرية؛</w:t>
      </w:r>
      <w:r w:rsidRPr="00C030D1">
        <w:rPr>
          <w:rFonts w:cs="Times New Roman" w:hint="cs"/>
          <w:b/>
          <w:bCs/>
          <w:rtl/>
          <w:lang w:eastAsia="zh-TW"/>
        </w:rPr>
        <w:t>‬</w:t>
      </w:r>
      <w:r w:rsidRPr="00C030D1">
        <w:rPr>
          <w:b/>
          <w:bCs/>
          <w:rtl/>
          <w:lang w:eastAsia="zh-TW"/>
        </w:rPr>
        <w:t xml:space="preserve"> </w:t>
      </w:r>
    </w:p>
    <w:p w:rsidR="0004630F" w:rsidRPr="00C030D1" w:rsidRDefault="00C030D1" w:rsidP="00C030D1">
      <w:pPr>
        <w:pStyle w:val="SingleTxtGA"/>
        <w:rPr>
          <w:b/>
          <w:bCs/>
          <w:rtl/>
          <w:lang w:eastAsia="zh-TW"/>
        </w:rPr>
      </w:pPr>
      <w:r>
        <w:rPr>
          <w:rtl/>
          <w:lang w:eastAsia="zh-TW"/>
        </w:rPr>
        <w:lastRenderedPageBreak/>
        <w:tab/>
      </w:r>
      <w:r w:rsidR="0004630F" w:rsidRPr="0019764C">
        <w:rPr>
          <w:rtl/>
          <w:lang w:eastAsia="zh-TW"/>
        </w:rPr>
        <w:t>(هـ)</w:t>
      </w:r>
      <w:r>
        <w:rPr>
          <w:rtl/>
          <w:lang w:eastAsia="zh-TW"/>
        </w:rPr>
        <w:tab/>
      </w:r>
      <w:r w:rsidR="0004630F" w:rsidRPr="00C030D1">
        <w:rPr>
          <w:b/>
          <w:bCs/>
          <w:rtl/>
          <w:lang w:eastAsia="zh-TW"/>
        </w:rPr>
        <w:t>تنظيم برامج توعية، بما فيها الحملات والدورات التدريبية وغيرها من الأنشطة لمنع العقوبة البدنية والتشجيع على التغيير الإيجابي للأفكار السائدة عن هذه العقوبة في جميع الأماكن.</w:t>
      </w:r>
      <w:r w:rsidR="0004630F" w:rsidRPr="00C030D1">
        <w:rPr>
          <w:rFonts w:cs="Times New Roman" w:hint="cs"/>
          <w:b/>
          <w:bCs/>
          <w:rtl/>
          <w:lang w:eastAsia="zh-TW"/>
        </w:rPr>
        <w:t>‬</w:t>
      </w:r>
    </w:p>
    <w:p w:rsidR="0004630F" w:rsidRPr="0019764C" w:rsidRDefault="0004630F" w:rsidP="00912A9D">
      <w:pPr>
        <w:pStyle w:val="H23GA"/>
        <w:keepNext/>
        <w:spacing w:before="240"/>
        <w:textDirection w:val="tbRlV"/>
        <w:rPr>
          <w:bCs w:val="0"/>
          <w:rtl/>
          <w:lang w:eastAsia="zh-TW"/>
        </w:rPr>
      </w:pPr>
      <w:r w:rsidRPr="0019764C">
        <w:rPr>
          <w:lang w:eastAsia="zh-TW"/>
        </w:rPr>
        <w:tab/>
      </w:r>
      <w:r w:rsidRPr="0019764C">
        <w:rPr>
          <w:lang w:eastAsia="zh-TW"/>
        </w:rPr>
        <w:tab/>
      </w:r>
      <w:dir w:val="rtl">
        <w:r w:rsidRPr="0019764C">
          <w:rPr>
            <w:rtl/>
            <w:lang w:eastAsia="zh-TW"/>
          </w:rPr>
          <w:t>الإيذاء والإهمال</w:t>
        </w:r>
        <w:r w:rsidRPr="0019764C">
          <w:rPr>
            <w:rtl/>
            <w:lang w:eastAsia="zh-TW"/>
          </w:rPr>
          <w:t>‬</w:t>
        </w:r>
        <w:r w:rsidRPr="0019764C">
          <w:rPr>
            <w:rtl/>
            <w:lang w:eastAsia="zh-TW"/>
          </w:rPr>
          <w:t>‬</w:t>
        </w:r>
        <w:r w:rsidRPr="0019764C">
          <w:rPr>
            <w:rtl/>
            <w:lang w:eastAsia="zh-TW"/>
          </w:rPr>
          <w:t>‬</w:t>
        </w:r>
        <w:r w:rsidRPr="0019764C">
          <w:rPr>
            <w:rtl/>
            <w:lang w:eastAsia="zh-TW"/>
          </w:rPr>
          <w:t>‬</w:t>
        </w:r>
        <w:r w:rsidRPr="0019764C">
          <w:rPr>
            <w:rtl/>
            <w:lang w:eastAsia="zh-TW"/>
          </w:rPr>
          <w:t>‬</w:t>
        </w:r>
        <w:r>
          <w:t>‬</w:t>
        </w:r>
        <w:r w:rsidR="00DF51D4">
          <w:t>‬</w:t>
        </w:r>
        <w:r w:rsidR="003E66B1">
          <w:t>‬</w:t>
        </w:r>
        <w:r w:rsidR="002E62F7">
          <w:t>‬</w:t>
        </w:r>
      </w:dir>
    </w:p>
    <w:p w:rsidR="0004630F" w:rsidRPr="00C030D1" w:rsidRDefault="00C030D1" w:rsidP="002346CB">
      <w:pPr>
        <w:pStyle w:val="SingleTxtGA"/>
        <w:rPr>
          <w:b/>
          <w:bCs/>
          <w:rtl/>
          <w:lang w:eastAsia="zh-TW"/>
        </w:rPr>
      </w:pPr>
      <w:r>
        <w:rPr>
          <w:rtl/>
          <w:lang w:eastAsia="zh-TW"/>
        </w:rPr>
        <w:t>٢٣-</w:t>
      </w:r>
      <w:r>
        <w:rPr>
          <w:rtl/>
          <w:lang w:eastAsia="zh-TW"/>
        </w:rPr>
        <w:tab/>
      </w:r>
      <w:r w:rsidR="0004630F" w:rsidRPr="00C030D1">
        <w:rPr>
          <w:b/>
          <w:bCs/>
          <w:rtl/>
          <w:lang w:eastAsia="zh-TW"/>
        </w:rPr>
        <w:t xml:space="preserve">في ضوء تعليق اللجنة العام رقم 13(2011) بشأن حق الطفل في التحرر من جميع أشكال العنف وتوصياتها السابقة (انظر </w:t>
      </w:r>
      <w:r w:rsidR="002346CB">
        <w:rPr>
          <w:b/>
          <w:bCs/>
          <w:lang w:eastAsia="zh-TW"/>
        </w:rPr>
        <w:t>/2</w:t>
      </w:r>
      <w:r w:rsidR="0004630F" w:rsidRPr="00C030D1">
        <w:rPr>
          <w:rFonts w:asciiTheme="majorBidi" w:hAnsiTheme="majorBidi" w:cstheme="majorBidi"/>
          <w:b/>
          <w:bCs/>
          <w:szCs w:val="20"/>
          <w:rtl/>
          <w:lang w:eastAsia="zh-TW"/>
        </w:rPr>
        <w:t>CRC/C/QAT/CO</w:t>
      </w:r>
      <w:r w:rsidR="0004630F" w:rsidRPr="00C030D1">
        <w:rPr>
          <w:b/>
          <w:bCs/>
          <w:rtl/>
          <w:lang w:eastAsia="zh-TW"/>
        </w:rPr>
        <w:t xml:space="preserve">، الفقرتان 49 و65)، ومع الإحاطة </w:t>
      </w:r>
      <w:r w:rsidR="00ED7A25">
        <w:rPr>
          <w:b/>
          <w:bCs/>
          <w:rtl/>
          <w:lang w:eastAsia="zh-TW"/>
        </w:rPr>
        <w:t>علماً</w:t>
      </w:r>
      <w:r w:rsidR="0004630F" w:rsidRPr="00C030D1">
        <w:rPr>
          <w:b/>
          <w:bCs/>
          <w:rtl/>
          <w:lang w:eastAsia="zh-TW"/>
        </w:rPr>
        <w:t xml:space="preserve"> بالمقصد 2 من الهدف 16 من أهداف التنمية المستدامة المتعلق بإنهاء إساءة معاملة الأطفال واستغلاله </w:t>
      </w:r>
      <w:proofErr w:type="spellStart"/>
      <w:r w:rsidR="0004630F" w:rsidRPr="00C030D1">
        <w:rPr>
          <w:b/>
          <w:bCs/>
          <w:rtl/>
          <w:lang w:eastAsia="zh-TW"/>
        </w:rPr>
        <w:t>والاتجار</w:t>
      </w:r>
      <w:proofErr w:type="spellEnd"/>
      <w:r w:rsidR="0004630F" w:rsidRPr="00C030D1">
        <w:rPr>
          <w:b/>
          <w:bCs/>
          <w:rtl/>
          <w:lang w:eastAsia="zh-TW"/>
        </w:rPr>
        <w:t xml:space="preserve"> بهم وجميع أشكال العنف المسلطة عليهم وتعذيبهم، توصي اللجنة الدولة الطرف بما يلي: </w:t>
      </w:r>
    </w:p>
    <w:p w:rsidR="0004630F" w:rsidRPr="00467079" w:rsidRDefault="00467079" w:rsidP="00467079">
      <w:pPr>
        <w:pStyle w:val="SingleTxtGA"/>
        <w:rPr>
          <w:b/>
          <w:bCs/>
          <w:rtl/>
          <w:lang w:eastAsia="zh-TW"/>
        </w:rPr>
      </w:pPr>
      <w:r>
        <w:rPr>
          <w:rtl/>
          <w:lang w:eastAsia="zh-TW"/>
        </w:rPr>
        <w:tab/>
      </w:r>
      <w:r>
        <w:rPr>
          <w:rFonts w:hint="cs"/>
          <w:rtl/>
          <w:lang w:eastAsia="zh-TW"/>
        </w:rPr>
        <w:t>(أ)</w:t>
      </w:r>
      <w:r>
        <w:rPr>
          <w:rtl/>
          <w:lang w:eastAsia="zh-TW"/>
        </w:rPr>
        <w:tab/>
      </w:r>
      <w:r w:rsidR="0004630F" w:rsidRPr="00467079">
        <w:rPr>
          <w:b/>
          <w:bCs/>
          <w:rtl/>
          <w:lang w:eastAsia="zh-TW"/>
        </w:rPr>
        <w:t xml:space="preserve">المضي في تدعيم برامج وحملات التوعية والتثقيف </w:t>
      </w:r>
      <w:r>
        <w:rPr>
          <w:rFonts w:hint="cs"/>
          <w:b/>
          <w:bCs/>
          <w:rtl/>
          <w:lang w:eastAsia="zh-TW"/>
        </w:rPr>
        <w:t xml:space="preserve">- </w:t>
      </w:r>
      <w:r w:rsidR="0004630F" w:rsidRPr="00467079">
        <w:rPr>
          <w:b/>
          <w:bCs/>
          <w:rtl/>
          <w:lang w:eastAsia="zh-TW"/>
        </w:rPr>
        <w:t>بما فيها الحملات</w:t>
      </w:r>
      <w:r>
        <w:rPr>
          <w:rFonts w:hint="cs"/>
          <w:b/>
          <w:bCs/>
          <w:rtl/>
          <w:lang w:eastAsia="zh-TW"/>
        </w:rPr>
        <w:t xml:space="preserve"> </w:t>
      </w:r>
      <w:r w:rsidR="0004630F" w:rsidRPr="00467079">
        <w:rPr>
          <w:b/>
          <w:bCs/>
          <w:rtl/>
          <w:lang w:eastAsia="zh-TW"/>
        </w:rPr>
        <w:t>- بمشاركة الأطفال، ووضع استراتيجية شاملة لمنع إيذاء الأطفال ومكافحته؛</w:t>
      </w:r>
      <w:r w:rsidR="0004630F" w:rsidRPr="00467079">
        <w:rPr>
          <w:rFonts w:cs="Times New Roman" w:hint="cs"/>
          <w:b/>
          <w:bCs/>
          <w:rtl/>
          <w:lang w:eastAsia="zh-TW"/>
        </w:rPr>
        <w:t>‬</w:t>
      </w:r>
    </w:p>
    <w:p w:rsidR="0004630F" w:rsidRPr="00467079" w:rsidRDefault="0004630F" w:rsidP="00467079">
      <w:pPr>
        <w:pStyle w:val="SingleTxtGA"/>
        <w:rPr>
          <w:b/>
          <w:bCs/>
          <w:rtl/>
          <w:lang w:eastAsia="zh-TW"/>
        </w:rPr>
      </w:pPr>
      <w:r w:rsidRPr="0019764C">
        <w:rPr>
          <w:lang w:eastAsia="zh-TW"/>
        </w:rPr>
        <w:tab/>
      </w:r>
      <w:r>
        <w:rPr>
          <w:rtl/>
          <w:lang w:eastAsia="zh-TW"/>
        </w:rPr>
        <w:t>(ب)</w:t>
      </w:r>
      <w:r>
        <w:rPr>
          <w:rtl/>
          <w:lang w:eastAsia="zh-TW"/>
        </w:rPr>
        <w:tab/>
      </w:r>
      <w:r w:rsidRPr="00467079">
        <w:rPr>
          <w:b/>
          <w:bCs/>
          <w:rtl/>
          <w:lang w:eastAsia="zh-TW"/>
        </w:rPr>
        <w:t xml:space="preserve">استحداث قاعدة بيانات وطنية تضم جميع حالات العنف المنزلي الممارس على الأطفال، وإجراء تقييم شامل لمدى انتشار هذا العنف وأسبابه وطبيعته؛ </w:t>
      </w:r>
    </w:p>
    <w:p w:rsidR="0004630F" w:rsidRPr="00467079" w:rsidRDefault="0004630F" w:rsidP="00467079">
      <w:pPr>
        <w:pStyle w:val="SingleTxtGA"/>
        <w:rPr>
          <w:b/>
          <w:bCs/>
          <w:rtl/>
          <w:lang w:eastAsia="zh-TW"/>
        </w:rPr>
      </w:pPr>
      <w:r w:rsidRPr="0019764C">
        <w:rPr>
          <w:lang w:eastAsia="zh-TW"/>
        </w:rPr>
        <w:tab/>
      </w:r>
      <w:r w:rsidRPr="0019764C">
        <w:rPr>
          <w:rtl/>
          <w:lang w:eastAsia="zh-TW"/>
        </w:rPr>
        <w:t>(ج)</w:t>
      </w:r>
      <w:r w:rsidRPr="0019764C">
        <w:rPr>
          <w:rtl/>
          <w:lang w:eastAsia="zh-TW"/>
        </w:rPr>
        <w:tab/>
      </w:r>
      <w:r w:rsidRPr="00467079">
        <w:rPr>
          <w:b/>
          <w:bCs/>
          <w:rtl/>
          <w:lang w:eastAsia="zh-TW"/>
        </w:rPr>
        <w:t xml:space="preserve">تشجيع البرامج المجتمعية الرامية إلى منع العنف المنزلي وإيذاء الأطفال وإهمالهم والتصدي لذلك كله بوسائل منها إشراك الضحايا السابقين والمتطوعين وأفراد المجتمع المحلي، وتوفير التدريب دعماً لهم؛ </w:t>
      </w:r>
    </w:p>
    <w:p w:rsidR="0004630F" w:rsidRPr="00467079" w:rsidRDefault="00467079" w:rsidP="00467079">
      <w:pPr>
        <w:pStyle w:val="SingleTxtGA"/>
        <w:rPr>
          <w:b/>
          <w:bCs/>
          <w:rtl/>
          <w:lang w:eastAsia="zh-TW"/>
        </w:rPr>
      </w:pPr>
      <w:r>
        <w:rPr>
          <w:rtl/>
          <w:lang w:eastAsia="zh-TW"/>
        </w:rPr>
        <w:tab/>
      </w:r>
      <w:r w:rsidR="0004630F" w:rsidRPr="0019764C">
        <w:rPr>
          <w:rtl/>
          <w:lang w:eastAsia="zh-TW"/>
        </w:rPr>
        <w:t>(د)</w:t>
      </w:r>
      <w:r>
        <w:rPr>
          <w:rtl/>
          <w:lang w:eastAsia="zh-TW"/>
        </w:rPr>
        <w:tab/>
      </w:r>
      <w:r w:rsidR="0004630F" w:rsidRPr="00467079">
        <w:rPr>
          <w:b/>
          <w:bCs/>
          <w:rtl/>
          <w:lang w:eastAsia="zh-TW"/>
        </w:rPr>
        <w:t xml:space="preserve">اتخاذ التدابير اللازمة لضمان عدم معاملة الأطفال ضحايا </w:t>
      </w:r>
      <w:proofErr w:type="spellStart"/>
      <w:r w:rsidR="0004630F" w:rsidRPr="00467079">
        <w:rPr>
          <w:b/>
          <w:bCs/>
          <w:rtl/>
          <w:lang w:eastAsia="zh-TW"/>
        </w:rPr>
        <w:t>الاتجار</w:t>
      </w:r>
      <w:proofErr w:type="spellEnd"/>
      <w:r w:rsidR="0004630F" w:rsidRPr="00467079">
        <w:rPr>
          <w:b/>
          <w:bCs/>
          <w:rtl/>
          <w:lang w:eastAsia="zh-TW"/>
        </w:rPr>
        <w:t xml:space="preserve"> والاستغلال والاعتداء الجنسيين معاملة الجناة.</w:t>
      </w:r>
      <w:r>
        <w:rPr>
          <w:rFonts w:hint="cs"/>
          <w:b/>
          <w:bCs/>
          <w:rtl/>
          <w:lang w:eastAsia="zh-TW"/>
        </w:rPr>
        <w:t xml:space="preserve"> </w:t>
      </w:r>
    </w:p>
    <w:p w:rsidR="0004630F" w:rsidRPr="0019764C" w:rsidRDefault="0004630F" w:rsidP="00912A9D">
      <w:pPr>
        <w:pStyle w:val="H23GA"/>
        <w:keepNext/>
        <w:spacing w:before="240"/>
        <w:textDirection w:val="tbRlV"/>
        <w:rPr>
          <w:bCs w:val="0"/>
          <w:rtl/>
          <w:lang w:eastAsia="zh-TW"/>
        </w:rPr>
      </w:pPr>
      <w:r w:rsidRPr="0019764C">
        <w:rPr>
          <w:lang w:eastAsia="zh-TW"/>
        </w:rPr>
        <w:tab/>
      </w:r>
      <w:r w:rsidRPr="0019764C">
        <w:rPr>
          <w:lang w:eastAsia="zh-TW"/>
        </w:rPr>
        <w:tab/>
      </w:r>
      <w:r w:rsidRPr="0019764C">
        <w:rPr>
          <w:rtl/>
          <w:lang w:eastAsia="zh-TW"/>
        </w:rPr>
        <w:t>العنف الجنساني</w:t>
      </w:r>
    </w:p>
    <w:p w:rsidR="0004630F" w:rsidRPr="00467079" w:rsidRDefault="00467079" w:rsidP="00B139CD">
      <w:pPr>
        <w:pStyle w:val="SingleTxtGA"/>
        <w:rPr>
          <w:b/>
          <w:bCs/>
          <w:rtl/>
          <w:lang w:eastAsia="zh-TW"/>
        </w:rPr>
      </w:pPr>
      <w:r>
        <w:rPr>
          <w:rtl/>
          <w:lang w:eastAsia="zh-TW"/>
        </w:rPr>
        <w:t>٢٤-</w:t>
      </w:r>
      <w:r>
        <w:rPr>
          <w:rtl/>
          <w:lang w:eastAsia="zh-TW"/>
        </w:rPr>
        <w:tab/>
      </w:r>
      <w:r w:rsidR="0004630F" w:rsidRPr="00467079">
        <w:rPr>
          <w:b/>
          <w:bCs/>
          <w:rtl/>
          <w:lang w:eastAsia="zh-TW"/>
        </w:rPr>
        <w:t xml:space="preserve">في ضوء المقصد 2 من الهدف 5 من أهداف التنمية المستدامة بشأن القضاء على جميع أشكال العنف المسلط على كل النساء والفتيات في المجالين العام والخاص، بما في ذلك </w:t>
      </w:r>
      <w:proofErr w:type="spellStart"/>
      <w:r w:rsidR="0004630F" w:rsidRPr="00467079">
        <w:rPr>
          <w:b/>
          <w:bCs/>
          <w:rtl/>
          <w:lang w:eastAsia="zh-TW"/>
        </w:rPr>
        <w:t>الاتجار</w:t>
      </w:r>
      <w:proofErr w:type="spellEnd"/>
      <w:r w:rsidR="0004630F" w:rsidRPr="00467079">
        <w:rPr>
          <w:b/>
          <w:bCs/>
          <w:rtl/>
          <w:lang w:eastAsia="zh-TW"/>
        </w:rPr>
        <w:t xml:space="preserve"> بهن واستغلالهن جنسيا</w:t>
      </w:r>
      <w:r w:rsidR="00B12EB6">
        <w:rPr>
          <w:rFonts w:hint="cs"/>
          <w:b/>
          <w:bCs/>
          <w:rtl/>
          <w:lang w:eastAsia="zh-TW"/>
        </w:rPr>
        <w:t>ً</w:t>
      </w:r>
      <w:r w:rsidR="0004630F" w:rsidRPr="00467079">
        <w:rPr>
          <w:b/>
          <w:bCs/>
          <w:rtl/>
          <w:lang w:eastAsia="zh-TW"/>
        </w:rPr>
        <w:t xml:space="preserve"> وغير ذلك من أنواع الاستغلال؛ وبالإشارة إلى التوصيات التي قدمتها اللجنة المعنية بالقض</w:t>
      </w:r>
      <w:r>
        <w:rPr>
          <w:b/>
          <w:bCs/>
          <w:rtl/>
          <w:lang w:eastAsia="zh-TW"/>
        </w:rPr>
        <w:t xml:space="preserve">اء على التمييز ضد المرأة (انظر </w:t>
      </w:r>
      <w:r w:rsidR="00B12EB6">
        <w:rPr>
          <w:rFonts w:asciiTheme="majorBidi" w:hAnsiTheme="majorBidi" w:cstheme="majorBidi"/>
          <w:b/>
          <w:bCs/>
          <w:szCs w:val="20"/>
          <w:lang w:eastAsia="zh-TW"/>
        </w:rPr>
        <w:t>/2</w:t>
      </w:r>
      <w:r w:rsidR="0004630F" w:rsidRPr="00467079">
        <w:rPr>
          <w:rFonts w:asciiTheme="majorBidi" w:hAnsiTheme="majorBidi" w:cstheme="majorBidi"/>
          <w:b/>
          <w:bCs/>
          <w:szCs w:val="20"/>
          <w:rtl/>
          <w:lang w:eastAsia="zh-TW"/>
        </w:rPr>
        <w:t>EDAW/C/QAT/CO</w:t>
      </w:r>
      <w:r w:rsidR="0004630F" w:rsidRPr="00467079">
        <w:rPr>
          <w:b/>
          <w:bCs/>
          <w:rtl/>
          <w:lang w:eastAsia="zh-TW"/>
        </w:rPr>
        <w:t xml:space="preserve">، الفقرة 24) واللجنة المعنية بحقوق الأشخاص ذوي الإعاقة (انظر </w:t>
      </w:r>
      <w:r w:rsidR="007577EC">
        <w:rPr>
          <w:rFonts w:asciiTheme="majorBidi" w:hAnsiTheme="majorBidi" w:cstheme="majorBidi"/>
          <w:b/>
          <w:bCs/>
          <w:szCs w:val="20"/>
          <w:lang w:eastAsia="zh-TW"/>
        </w:rPr>
        <w:t>/</w:t>
      </w:r>
      <w:r w:rsidR="007577EC">
        <w:rPr>
          <w:rFonts w:asciiTheme="majorBidi" w:hAnsiTheme="majorBidi" w:cstheme="majorBidi"/>
          <w:b/>
          <w:bCs/>
          <w:szCs w:val="20"/>
          <w:lang w:eastAsia="zh-TW"/>
        </w:rPr>
        <w:t>1</w:t>
      </w:r>
      <w:r w:rsidR="0004630F" w:rsidRPr="00467079">
        <w:rPr>
          <w:rFonts w:asciiTheme="majorBidi" w:hAnsiTheme="majorBidi" w:cstheme="majorBidi"/>
          <w:b/>
          <w:bCs/>
          <w:szCs w:val="20"/>
          <w:rtl/>
          <w:lang w:eastAsia="zh-TW"/>
        </w:rPr>
        <w:t>RPD/C/QAT/CO</w:t>
      </w:r>
      <w:r w:rsidR="00713B40">
        <w:rPr>
          <w:b/>
          <w:bCs/>
          <w:lang w:eastAsia="zh-TW"/>
        </w:rPr>
        <w:t>C</w:t>
      </w:r>
      <w:r w:rsidR="0004630F" w:rsidRPr="00467079">
        <w:rPr>
          <w:b/>
          <w:bCs/>
          <w:rtl/>
          <w:lang w:eastAsia="zh-TW"/>
        </w:rPr>
        <w:t>، الفقرة 32)، تحث اللجنة الدولة الطرف على الآتي:</w:t>
      </w:r>
      <w:r>
        <w:rPr>
          <w:rFonts w:hint="cs"/>
          <w:b/>
          <w:bCs/>
          <w:rtl/>
          <w:lang w:eastAsia="zh-TW"/>
        </w:rPr>
        <w:t xml:space="preserve"> </w:t>
      </w:r>
    </w:p>
    <w:p w:rsidR="0004630F" w:rsidRPr="00C92D37" w:rsidRDefault="00C92D37" w:rsidP="00C92D37">
      <w:pPr>
        <w:pStyle w:val="SingleTxtGA"/>
        <w:rPr>
          <w:b/>
          <w:bCs/>
          <w:rtl/>
          <w:lang w:eastAsia="zh-TW"/>
        </w:rPr>
      </w:pPr>
      <w:r>
        <w:rPr>
          <w:rtl/>
          <w:lang w:eastAsia="zh-TW"/>
        </w:rPr>
        <w:tab/>
      </w:r>
      <w:r w:rsidR="0004630F" w:rsidRPr="0019764C">
        <w:rPr>
          <w:rtl/>
          <w:lang w:eastAsia="zh-TW"/>
        </w:rPr>
        <w:t>(أ)</w:t>
      </w:r>
      <w:r>
        <w:rPr>
          <w:rtl/>
          <w:lang w:eastAsia="zh-TW"/>
        </w:rPr>
        <w:tab/>
      </w:r>
      <w:r w:rsidR="0004630F" w:rsidRPr="00C92D37">
        <w:rPr>
          <w:b/>
          <w:bCs/>
          <w:rtl/>
          <w:lang w:eastAsia="zh-TW"/>
        </w:rPr>
        <w:t>وضع نظام شامل للحماية من العنف المنزلي، كما يرد في استراتيجية التنمية الوطنية للدولة الطرف 2011-2016، واعتماد تشريعات محددة لتجريم جميع أشكال العنف بالنساء والفتيات، بما فيها العنف المنزلي والاغتصاب الزوجي، دون استثناء وضمن إطار زمني واضح؛</w:t>
      </w:r>
    </w:p>
    <w:p w:rsidR="0004630F" w:rsidRPr="00C92D37" w:rsidRDefault="0004630F" w:rsidP="00C92D37">
      <w:pPr>
        <w:pStyle w:val="SingleTxtGA"/>
        <w:rPr>
          <w:b/>
          <w:bCs/>
          <w:rtl/>
          <w:lang w:eastAsia="zh-TW"/>
        </w:rPr>
      </w:pPr>
      <w:r w:rsidRPr="0019764C">
        <w:rPr>
          <w:lang w:eastAsia="zh-TW"/>
        </w:rPr>
        <w:tab/>
      </w:r>
      <w:r w:rsidRPr="0019764C">
        <w:rPr>
          <w:rtl/>
          <w:lang w:eastAsia="zh-TW"/>
        </w:rPr>
        <w:t>(ب)</w:t>
      </w:r>
      <w:r w:rsidRPr="00C92D37">
        <w:rPr>
          <w:b/>
          <w:bCs/>
          <w:rtl/>
          <w:lang w:eastAsia="zh-TW"/>
        </w:rPr>
        <w:tab/>
        <w:t xml:space="preserve">ضمان التحقيق المستقل والنزيه في ادعاءات الجرائم المتصلة بالعنف الجنساني وتقديم الجناة إلى العدالة؛ </w:t>
      </w:r>
    </w:p>
    <w:p w:rsidR="0004630F" w:rsidRPr="00C92D37" w:rsidRDefault="0004630F" w:rsidP="00C92D37">
      <w:pPr>
        <w:pStyle w:val="SingleTxtGA"/>
        <w:rPr>
          <w:b/>
          <w:bCs/>
          <w:rtl/>
          <w:lang w:eastAsia="zh-TW"/>
        </w:rPr>
      </w:pPr>
      <w:r w:rsidRPr="0019764C">
        <w:rPr>
          <w:lang w:eastAsia="zh-TW"/>
        </w:rPr>
        <w:tab/>
      </w:r>
      <w:r w:rsidRPr="0019764C">
        <w:rPr>
          <w:rtl/>
          <w:lang w:eastAsia="zh-TW"/>
        </w:rPr>
        <w:t>(ج)</w:t>
      </w:r>
      <w:r w:rsidRPr="00C92D37">
        <w:rPr>
          <w:b/>
          <w:bCs/>
          <w:rtl/>
          <w:lang w:eastAsia="zh-TW"/>
        </w:rPr>
        <w:tab/>
        <w:t xml:space="preserve">التدريب المنتظم والموضوعي للقضاة والمحامين والمدعين العامين والشرطة وفئات مهنية أخرى على الإجراءات الموحدة التي تراعي نوع الجنس والطفل </w:t>
      </w:r>
      <w:r w:rsidRPr="00C92D37">
        <w:rPr>
          <w:b/>
          <w:bCs/>
          <w:rtl/>
          <w:lang w:eastAsia="zh-TW"/>
        </w:rPr>
        <w:lastRenderedPageBreak/>
        <w:t xml:space="preserve">للتعامل مع الأطفال الضحايا وعلى الكيفية التي يؤثر بها سلبا التنميطُ القائم على نوع الجنس الذي يمارسه القضاء في الإنفاذ الصارم للقانون؛ </w:t>
      </w:r>
    </w:p>
    <w:p w:rsidR="0004630F" w:rsidRPr="00C92D37" w:rsidRDefault="00C92D37" w:rsidP="00C92D37">
      <w:pPr>
        <w:pStyle w:val="SingleTxtGA"/>
        <w:rPr>
          <w:b/>
          <w:bCs/>
          <w:rtl/>
          <w:lang w:eastAsia="zh-TW"/>
        </w:rPr>
      </w:pPr>
      <w:r>
        <w:rPr>
          <w:lang w:eastAsia="zh-TW"/>
        </w:rPr>
        <w:tab/>
      </w:r>
      <w:r w:rsidR="0004630F" w:rsidRPr="0019764C">
        <w:rPr>
          <w:rtl/>
          <w:lang w:eastAsia="zh-TW"/>
        </w:rPr>
        <w:t>(د)</w:t>
      </w:r>
      <w:r>
        <w:rPr>
          <w:rtl/>
          <w:lang w:eastAsia="zh-TW"/>
        </w:rPr>
        <w:tab/>
      </w:r>
      <w:r w:rsidR="0004630F" w:rsidRPr="00C92D37">
        <w:rPr>
          <w:b/>
          <w:bCs/>
          <w:rtl/>
          <w:lang w:eastAsia="zh-TW"/>
        </w:rPr>
        <w:t>الانتظام في جمع البيانات عن العنف المسلط على النساء والفتيات وتصنيفها حسب العُمْر والعلاقة بين الضحية والجاني.</w:t>
      </w:r>
      <w:r w:rsidR="0004630F" w:rsidRPr="00C92D37">
        <w:rPr>
          <w:rFonts w:cs="Times New Roman" w:hint="cs"/>
          <w:b/>
          <w:bCs/>
          <w:rtl/>
          <w:lang w:eastAsia="zh-TW"/>
        </w:rPr>
        <w:t>‬</w:t>
      </w:r>
    </w:p>
    <w:p w:rsidR="0004630F" w:rsidRPr="0019764C" w:rsidRDefault="0004630F" w:rsidP="00912A9D">
      <w:pPr>
        <w:pStyle w:val="H23GA"/>
        <w:keepNext/>
        <w:spacing w:before="240"/>
        <w:textDirection w:val="tbRlV"/>
        <w:rPr>
          <w:bCs w:val="0"/>
          <w:rtl/>
          <w:lang w:eastAsia="zh-TW"/>
        </w:rPr>
      </w:pPr>
      <w:r w:rsidRPr="0019764C">
        <w:rPr>
          <w:lang w:eastAsia="zh-TW"/>
        </w:rPr>
        <w:tab/>
      </w:r>
      <w:r w:rsidRPr="0019764C">
        <w:rPr>
          <w:lang w:eastAsia="zh-TW"/>
        </w:rPr>
        <w:tab/>
      </w:r>
      <w:r w:rsidRPr="0019764C">
        <w:rPr>
          <w:rtl/>
          <w:lang w:eastAsia="zh-TW"/>
        </w:rPr>
        <w:t>الممارسات الضارة</w:t>
      </w:r>
    </w:p>
    <w:p w:rsidR="0004630F" w:rsidRPr="00D0281A" w:rsidRDefault="00C92D37" w:rsidP="00C92D37">
      <w:pPr>
        <w:pStyle w:val="SingleTxtGA"/>
        <w:rPr>
          <w:b/>
          <w:bCs/>
          <w:rtl/>
          <w:lang w:eastAsia="zh-TW"/>
        </w:rPr>
      </w:pPr>
      <w:r>
        <w:rPr>
          <w:rtl/>
          <w:lang w:eastAsia="zh-TW"/>
        </w:rPr>
        <w:t>٢٥-</w:t>
      </w:r>
      <w:r>
        <w:rPr>
          <w:rtl/>
          <w:lang w:eastAsia="zh-TW"/>
        </w:rPr>
        <w:tab/>
      </w:r>
      <w:r w:rsidR="0004630F" w:rsidRPr="00D0281A">
        <w:rPr>
          <w:b/>
          <w:bCs/>
          <w:rtl/>
          <w:lang w:eastAsia="zh-TW"/>
        </w:rPr>
        <w:t xml:space="preserve">تحث اللجنة الدولة الطرف على اتخاذ تدابير فعالة للقضاء على زواج الأطفال والتوعية بآثاره الضارة بالتعاون مع وسائط الإعلام والقيادات التقليدية والدينية والأسرة. وتحثها </w:t>
      </w:r>
      <w:r w:rsidR="00ED7A25">
        <w:rPr>
          <w:b/>
          <w:bCs/>
          <w:rtl/>
          <w:lang w:eastAsia="zh-TW"/>
        </w:rPr>
        <w:t>أيضاً</w:t>
      </w:r>
      <w:r w:rsidR="0004630F" w:rsidRPr="00D0281A">
        <w:rPr>
          <w:b/>
          <w:bCs/>
          <w:rtl/>
          <w:lang w:eastAsia="zh-TW"/>
        </w:rPr>
        <w:t xml:space="preserve"> على القضاء على تعدد الزوجات الذي يسبب أضرارا</w:t>
      </w:r>
      <w:r w:rsidR="00ED7A25">
        <w:rPr>
          <w:rFonts w:hint="cs"/>
          <w:b/>
          <w:bCs/>
          <w:rtl/>
          <w:lang w:eastAsia="zh-TW"/>
        </w:rPr>
        <w:t>ً</w:t>
      </w:r>
      <w:r w:rsidR="0004630F" w:rsidRPr="00D0281A">
        <w:rPr>
          <w:b/>
          <w:bCs/>
          <w:rtl/>
          <w:lang w:eastAsia="zh-TW"/>
        </w:rPr>
        <w:t xml:space="preserve"> عاطفية ومادية للأطفال، كما جاء في التوصية العامة المشتركة رقم ٣١ للجنة المعنية بالقضاء على التمييز ضد المرأة/التعليق العام رقم ١٨ للجنة حقوق الطفل (2014) بشأن الممارسات الضارة؛ وكثيرا</w:t>
      </w:r>
      <w:r w:rsidR="00ED7A25">
        <w:rPr>
          <w:rFonts w:hint="cs"/>
          <w:b/>
          <w:bCs/>
          <w:rtl/>
          <w:lang w:eastAsia="zh-TW"/>
        </w:rPr>
        <w:t>ً</w:t>
      </w:r>
      <w:r w:rsidR="0004630F" w:rsidRPr="00D0281A">
        <w:rPr>
          <w:b/>
          <w:bCs/>
          <w:rtl/>
          <w:lang w:eastAsia="zh-TW"/>
        </w:rPr>
        <w:t xml:space="preserve"> ما يكون للضرر عواقب وخيمة على رفاههم.</w:t>
      </w:r>
    </w:p>
    <w:p w:rsidR="0004630F" w:rsidRPr="0019764C" w:rsidRDefault="0004630F" w:rsidP="00D0281A">
      <w:pPr>
        <w:pStyle w:val="H1GA"/>
        <w:rPr>
          <w:rtl/>
          <w:lang w:eastAsia="zh-TW"/>
        </w:rPr>
      </w:pPr>
      <w:r w:rsidRPr="0019764C">
        <w:rPr>
          <w:rtl/>
          <w:lang w:eastAsia="zh-TW"/>
        </w:rPr>
        <w:tab/>
        <w:t>واو-</w:t>
      </w:r>
      <w:r w:rsidR="00D0281A">
        <w:rPr>
          <w:rtl/>
          <w:lang w:eastAsia="zh-TW"/>
        </w:rPr>
        <w:tab/>
      </w:r>
      <w:r w:rsidRPr="0019764C">
        <w:rPr>
          <w:rtl/>
          <w:lang w:eastAsia="zh-TW"/>
        </w:rPr>
        <w:t>البيئة الأسرية والرعاية البديلة (المواد 5 و9-11 و18(1) و(2) و20 و21 و25 و27(4))</w:t>
      </w:r>
      <w:r w:rsidRPr="0019764C">
        <w:rPr>
          <w:rFonts w:cs="Times New Roman" w:hint="cs"/>
          <w:rtl/>
          <w:lang w:eastAsia="zh-TW"/>
        </w:rPr>
        <w:t>‬</w:t>
      </w:r>
    </w:p>
    <w:p w:rsidR="0004630F" w:rsidRPr="0019764C" w:rsidRDefault="0004630F" w:rsidP="00912A9D">
      <w:pPr>
        <w:pStyle w:val="H23GA"/>
        <w:keepNext/>
        <w:spacing w:before="240"/>
        <w:textDirection w:val="tbRlV"/>
        <w:rPr>
          <w:bCs w:val="0"/>
          <w:rtl/>
          <w:lang w:eastAsia="zh-TW" w:bidi="ar-DZ"/>
        </w:rPr>
      </w:pPr>
      <w:r w:rsidRPr="0019764C">
        <w:rPr>
          <w:lang w:eastAsia="zh-TW"/>
        </w:rPr>
        <w:tab/>
      </w:r>
      <w:r w:rsidRPr="0019764C">
        <w:rPr>
          <w:lang w:eastAsia="zh-TW"/>
        </w:rPr>
        <w:tab/>
      </w:r>
      <w:dir w:val="rtl">
        <w:r w:rsidR="00D0281A">
          <w:rPr>
            <w:rtl/>
            <w:lang w:eastAsia="zh-TW"/>
          </w:rPr>
          <w:t>البيئة الأسرية</w:t>
        </w:r>
        <w:r w:rsidR="00DF51D4">
          <w:t>‬</w:t>
        </w:r>
        <w:r w:rsidR="003E66B1">
          <w:t>‬</w:t>
        </w:r>
        <w:r w:rsidR="002E62F7">
          <w:t>‬</w:t>
        </w:r>
      </w:dir>
    </w:p>
    <w:p w:rsidR="0004630F" w:rsidRPr="00D0281A" w:rsidRDefault="00D0281A" w:rsidP="00D0281A">
      <w:pPr>
        <w:pStyle w:val="SingleTxtGA"/>
        <w:rPr>
          <w:b/>
          <w:bCs/>
          <w:rtl/>
          <w:lang w:eastAsia="zh-TW"/>
        </w:rPr>
      </w:pPr>
      <w:r>
        <w:rPr>
          <w:rtl/>
          <w:lang w:eastAsia="zh-TW"/>
        </w:rPr>
        <w:t>٢٦-</w:t>
      </w:r>
      <w:r>
        <w:rPr>
          <w:rtl/>
          <w:lang w:eastAsia="zh-TW"/>
        </w:rPr>
        <w:tab/>
      </w:r>
      <w:r w:rsidR="0004630F" w:rsidRPr="00D0281A">
        <w:rPr>
          <w:b/>
          <w:bCs/>
          <w:rtl/>
          <w:lang w:eastAsia="zh-TW"/>
        </w:rPr>
        <w:t xml:space="preserve">توصي اللجنة الدولة الطرف بما يلي: </w:t>
      </w:r>
    </w:p>
    <w:p w:rsidR="0004630F" w:rsidRPr="00D0281A" w:rsidRDefault="0004630F" w:rsidP="00D0281A">
      <w:pPr>
        <w:pStyle w:val="SingleTxtGA"/>
        <w:rPr>
          <w:b/>
          <w:bCs/>
          <w:rtl/>
          <w:lang w:eastAsia="zh-TW"/>
        </w:rPr>
      </w:pPr>
      <w:r w:rsidRPr="0019764C">
        <w:rPr>
          <w:lang w:eastAsia="zh-TW"/>
        </w:rPr>
        <w:tab/>
      </w:r>
      <w:r w:rsidRPr="0019764C">
        <w:rPr>
          <w:rtl/>
          <w:lang w:eastAsia="zh-TW"/>
        </w:rPr>
        <w:t>(أ)</w:t>
      </w:r>
      <w:r w:rsidRPr="00D0281A">
        <w:rPr>
          <w:b/>
          <w:bCs/>
          <w:rtl/>
          <w:lang w:eastAsia="zh-TW"/>
        </w:rPr>
        <w:tab/>
        <w:t xml:space="preserve">ضمان تقاسم الأمهات والآباء المسؤوليات القانونية بالتساوي لتربية أطفالهما وتنشئتهم؛ </w:t>
      </w:r>
    </w:p>
    <w:p w:rsidR="0004630F" w:rsidRPr="00D0281A" w:rsidRDefault="00D0281A" w:rsidP="00D0281A">
      <w:pPr>
        <w:pStyle w:val="SingleTxtGA"/>
        <w:rPr>
          <w:b/>
          <w:bCs/>
          <w:rtl/>
          <w:lang w:eastAsia="zh-TW"/>
        </w:rPr>
      </w:pPr>
      <w:r>
        <w:rPr>
          <w:rtl/>
          <w:lang w:eastAsia="zh-TW"/>
        </w:rPr>
        <w:tab/>
      </w:r>
      <w:r w:rsidR="0004630F">
        <w:rPr>
          <w:rtl/>
          <w:lang w:eastAsia="zh-TW"/>
        </w:rPr>
        <w:t>(ب)</w:t>
      </w:r>
      <w:r>
        <w:rPr>
          <w:rtl/>
          <w:lang w:eastAsia="zh-TW"/>
        </w:rPr>
        <w:tab/>
      </w:r>
      <w:r w:rsidR="0004630F" w:rsidRPr="00D0281A">
        <w:rPr>
          <w:b/>
          <w:bCs/>
          <w:rtl/>
          <w:lang w:eastAsia="zh-TW"/>
        </w:rPr>
        <w:t xml:space="preserve">ضمان </w:t>
      </w:r>
      <w:proofErr w:type="spellStart"/>
      <w:r w:rsidR="0004630F" w:rsidRPr="00D0281A">
        <w:rPr>
          <w:b/>
          <w:bCs/>
          <w:rtl/>
          <w:lang w:eastAsia="zh-TW"/>
        </w:rPr>
        <w:t>انبناء</w:t>
      </w:r>
      <w:proofErr w:type="spellEnd"/>
      <w:r w:rsidR="0004630F" w:rsidRPr="00D0281A">
        <w:rPr>
          <w:b/>
          <w:bCs/>
          <w:rtl/>
          <w:lang w:eastAsia="zh-TW"/>
        </w:rPr>
        <w:t xml:space="preserve"> جميع القرارات المتعلقة بالأطفال في حالات الطلاق على أساس حالة كل طفل وإلغاء جميع أحكام قانون الأسرة التي لها تأثير سلبي على الأطفال، مثل الآتي:</w:t>
      </w:r>
    </w:p>
    <w:p w:rsidR="0004630F" w:rsidRPr="0069590B" w:rsidRDefault="0004630F" w:rsidP="0069590B">
      <w:pPr>
        <w:pStyle w:val="Bullet1GA"/>
        <w:tabs>
          <w:tab w:val="clear" w:pos="2495"/>
        </w:tabs>
        <w:bidi/>
        <w:ind w:left="2693" w:hanging="655"/>
        <w:rPr>
          <w:b/>
          <w:bCs/>
          <w:rtl/>
          <w:lang w:eastAsia="zh-TW"/>
        </w:rPr>
      </w:pPr>
      <w:r w:rsidRPr="0069590B">
        <w:rPr>
          <w:b/>
          <w:bCs/>
          <w:rtl/>
          <w:lang w:eastAsia="zh-TW"/>
        </w:rPr>
        <w:t xml:space="preserve">تلك التي تجيز الطلاق، ولا سيما في حالات الــخُلع دون ضمانات الحماية الكافية للأمهات والأطفال؛ </w:t>
      </w:r>
    </w:p>
    <w:p w:rsidR="0004630F" w:rsidRPr="0069590B" w:rsidRDefault="0004630F" w:rsidP="0069590B">
      <w:pPr>
        <w:pStyle w:val="Bullet1GA"/>
        <w:tabs>
          <w:tab w:val="clear" w:pos="2495"/>
        </w:tabs>
        <w:bidi/>
        <w:ind w:left="2693" w:hanging="655"/>
        <w:rPr>
          <w:b/>
          <w:bCs/>
          <w:rtl/>
          <w:lang w:eastAsia="zh-TW"/>
        </w:rPr>
      </w:pPr>
      <w:r w:rsidRPr="0069590B">
        <w:rPr>
          <w:b/>
          <w:bCs/>
          <w:rtl/>
          <w:lang w:eastAsia="zh-TW"/>
        </w:rPr>
        <w:t xml:space="preserve">تلك التي تسند الحضانة إلى الأم أو الأب على أساس سن الفتيان والفتيات، دون تقييم فردي لمصالح الطفل الفضلى؛ </w:t>
      </w:r>
    </w:p>
    <w:p w:rsidR="0004630F" w:rsidRPr="00D0281A" w:rsidRDefault="00D0281A" w:rsidP="00D0281A">
      <w:pPr>
        <w:pStyle w:val="SingleTxtGA"/>
        <w:rPr>
          <w:b/>
          <w:bCs/>
          <w:rtl/>
          <w:lang w:eastAsia="zh-TW"/>
        </w:rPr>
      </w:pPr>
      <w:r>
        <w:rPr>
          <w:rtl/>
          <w:lang w:eastAsia="zh-TW"/>
        </w:rPr>
        <w:tab/>
      </w:r>
      <w:r w:rsidR="0004630F">
        <w:rPr>
          <w:rtl/>
          <w:lang w:eastAsia="zh-TW"/>
        </w:rPr>
        <w:t>(ج)</w:t>
      </w:r>
      <w:r>
        <w:rPr>
          <w:rtl/>
          <w:lang w:eastAsia="zh-TW"/>
        </w:rPr>
        <w:tab/>
      </w:r>
      <w:r w:rsidR="0004630F" w:rsidRPr="00D0281A">
        <w:rPr>
          <w:b/>
          <w:bCs/>
          <w:rtl/>
          <w:lang w:eastAsia="zh-TW"/>
        </w:rPr>
        <w:t>اعتبار تمكين الطفل من التعبير عن وجهة نظره في الحضانة بعد الطلاق حقا</w:t>
      </w:r>
      <w:r>
        <w:rPr>
          <w:rFonts w:hint="cs"/>
          <w:b/>
          <w:bCs/>
          <w:rtl/>
          <w:lang w:eastAsia="zh-TW"/>
        </w:rPr>
        <w:t>ً</w:t>
      </w:r>
      <w:r w:rsidR="0004630F" w:rsidRPr="00D0281A">
        <w:rPr>
          <w:b/>
          <w:bCs/>
          <w:rtl/>
          <w:lang w:eastAsia="zh-TW"/>
        </w:rPr>
        <w:t xml:space="preserve"> وليس واجبا</w:t>
      </w:r>
      <w:r>
        <w:rPr>
          <w:rFonts w:hint="cs"/>
          <w:b/>
          <w:bCs/>
          <w:rtl/>
          <w:lang w:eastAsia="zh-TW"/>
        </w:rPr>
        <w:t>ً</w:t>
      </w:r>
      <w:r w:rsidR="0004630F" w:rsidRPr="00D0281A">
        <w:rPr>
          <w:b/>
          <w:bCs/>
          <w:rtl/>
          <w:lang w:eastAsia="zh-TW"/>
        </w:rPr>
        <w:t>.</w:t>
      </w:r>
      <w:r>
        <w:rPr>
          <w:rFonts w:hint="cs"/>
          <w:b/>
          <w:bCs/>
          <w:rtl/>
          <w:lang w:eastAsia="zh-TW"/>
        </w:rPr>
        <w:t xml:space="preserve"> </w:t>
      </w:r>
    </w:p>
    <w:p w:rsidR="0004630F" w:rsidRPr="0019764C" w:rsidRDefault="0004630F" w:rsidP="0046598E">
      <w:pPr>
        <w:pStyle w:val="H23GA"/>
        <w:keepNext/>
        <w:spacing w:before="240"/>
        <w:textDirection w:val="tbRlV"/>
        <w:rPr>
          <w:bCs w:val="0"/>
          <w:rtl/>
          <w:lang w:eastAsia="zh-TW"/>
        </w:rPr>
      </w:pPr>
      <w:r w:rsidRPr="0019764C">
        <w:rPr>
          <w:lang w:eastAsia="zh-TW"/>
        </w:rPr>
        <w:tab/>
      </w:r>
      <w:r w:rsidRPr="0019764C">
        <w:rPr>
          <w:lang w:eastAsia="zh-TW"/>
        </w:rPr>
        <w:tab/>
      </w:r>
      <w:dir w:val="rtl">
        <w:r w:rsidRPr="0019764C">
          <w:rPr>
            <w:rtl/>
            <w:lang w:eastAsia="zh-TW"/>
          </w:rPr>
          <w:t>الأطفال المحرومون من بيئة أسرية</w:t>
        </w:r>
        <w:r w:rsidR="00DF51D4">
          <w:t>‬</w:t>
        </w:r>
        <w:r w:rsidR="003E66B1">
          <w:t>‬</w:t>
        </w:r>
        <w:r w:rsidR="002E62F7">
          <w:t>‬</w:t>
        </w:r>
      </w:dir>
    </w:p>
    <w:p w:rsidR="0004630F" w:rsidRPr="0046598E" w:rsidRDefault="0046598E" w:rsidP="0046598E">
      <w:pPr>
        <w:pStyle w:val="SingleTxtGA"/>
        <w:rPr>
          <w:b/>
          <w:bCs/>
          <w:rtl/>
          <w:lang w:eastAsia="zh-TW"/>
        </w:rPr>
      </w:pPr>
      <w:r>
        <w:rPr>
          <w:rtl/>
          <w:lang w:eastAsia="zh-TW"/>
        </w:rPr>
        <w:t>٢٧-</w:t>
      </w:r>
      <w:r>
        <w:rPr>
          <w:rtl/>
          <w:lang w:eastAsia="zh-TW"/>
        </w:rPr>
        <w:tab/>
      </w:r>
      <w:r w:rsidR="0004630F" w:rsidRPr="0046598E">
        <w:rPr>
          <w:b/>
          <w:bCs/>
          <w:rtl/>
          <w:lang w:eastAsia="zh-TW"/>
        </w:rPr>
        <w:t>توصي اللجنة الدولة الطرف بالآتي في إطار لفت انتباهها إلى المبادئ التوجيهية للرعاية البديلة للأطفال:</w:t>
      </w:r>
    </w:p>
    <w:p w:rsidR="0004630F" w:rsidRPr="0046598E" w:rsidRDefault="0004630F" w:rsidP="0046598E">
      <w:pPr>
        <w:pStyle w:val="SingleTxtGA"/>
        <w:rPr>
          <w:b/>
          <w:bCs/>
          <w:rtl/>
          <w:lang w:eastAsia="zh-TW"/>
        </w:rPr>
      </w:pPr>
      <w:r w:rsidRPr="0019764C">
        <w:rPr>
          <w:lang w:eastAsia="zh-TW"/>
        </w:rPr>
        <w:tab/>
      </w:r>
      <w:r w:rsidRPr="0019764C">
        <w:rPr>
          <w:rtl/>
          <w:lang w:eastAsia="zh-TW"/>
        </w:rPr>
        <w:t>(أ)</w:t>
      </w:r>
      <w:r w:rsidRPr="0019764C">
        <w:rPr>
          <w:rtl/>
          <w:lang w:eastAsia="zh-TW"/>
        </w:rPr>
        <w:tab/>
      </w:r>
      <w:r w:rsidRPr="0046598E">
        <w:rPr>
          <w:b/>
          <w:bCs/>
          <w:rtl/>
          <w:lang w:eastAsia="zh-TW"/>
        </w:rPr>
        <w:t xml:space="preserve">دعم الرعاية الأسرية لجميع الأطفال وتيسيرها، دون تمييز بسبب الانتماء </w:t>
      </w:r>
      <w:proofErr w:type="spellStart"/>
      <w:r w:rsidRPr="0046598E">
        <w:rPr>
          <w:b/>
          <w:bCs/>
          <w:rtl/>
          <w:lang w:eastAsia="zh-TW"/>
        </w:rPr>
        <w:t>الإثني</w:t>
      </w:r>
      <w:proofErr w:type="spellEnd"/>
      <w:r w:rsidRPr="0046598E">
        <w:rPr>
          <w:b/>
          <w:bCs/>
          <w:rtl/>
          <w:lang w:eastAsia="zh-TW"/>
        </w:rPr>
        <w:t xml:space="preserve"> أو القومي، حيثما أمكن، ولأطفال الأسر الوحيدة العائل، ووضع نظام </w:t>
      </w:r>
      <w:r w:rsidRPr="0046598E">
        <w:rPr>
          <w:b/>
          <w:bCs/>
          <w:rtl/>
          <w:lang w:eastAsia="zh-TW"/>
        </w:rPr>
        <w:lastRenderedPageBreak/>
        <w:t xml:space="preserve">لكفالة الأطفال الذين لا يمكنهم الإقامة مع أسرهم، قصد الحد من الإيداع في مؤسسات الرعاية؛ </w:t>
      </w:r>
    </w:p>
    <w:p w:rsidR="0004630F" w:rsidRPr="0046598E" w:rsidRDefault="0004630F" w:rsidP="0046598E">
      <w:pPr>
        <w:pStyle w:val="SingleTxtGA"/>
        <w:rPr>
          <w:b/>
          <w:bCs/>
          <w:rtl/>
          <w:lang w:eastAsia="zh-TW"/>
        </w:rPr>
      </w:pPr>
      <w:r w:rsidRPr="0019764C">
        <w:rPr>
          <w:lang w:eastAsia="zh-TW"/>
        </w:rPr>
        <w:tab/>
      </w:r>
      <w:r w:rsidRPr="0019764C">
        <w:rPr>
          <w:rtl/>
          <w:lang w:eastAsia="zh-TW"/>
        </w:rPr>
        <w:t>(ب)</w:t>
      </w:r>
      <w:r w:rsidRPr="0046598E">
        <w:rPr>
          <w:b/>
          <w:bCs/>
          <w:rtl/>
          <w:lang w:eastAsia="zh-TW"/>
        </w:rPr>
        <w:tab/>
        <w:t>توفير ضمانات ومعايير واضحة تعتمد على كل من احتياجات الطفل ومصالحه الفضلى، ولتحديد ما إذا كان ينبغي إيداع الطفل في إطار الرعاية البديلة؛</w:t>
      </w:r>
    </w:p>
    <w:p w:rsidR="0004630F" w:rsidRPr="0046598E" w:rsidRDefault="0046598E" w:rsidP="0046598E">
      <w:pPr>
        <w:pStyle w:val="SingleTxtGA"/>
        <w:rPr>
          <w:b/>
          <w:bCs/>
          <w:rtl/>
          <w:lang w:eastAsia="zh-TW"/>
        </w:rPr>
      </w:pPr>
      <w:r>
        <w:rPr>
          <w:lang w:eastAsia="zh-TW"/>
        </w:rPr>
        <w:tab/>
      </w:r>
      <w:r w:rsidR="0004630F" w:rsidRPr="0019764C">
        <w:rPr>
          <w:rtl/>
          <w:lang w:eastAsia="zh-TW"/>
        </w:rPr>
        <w:t>(ج)</w:t>
      </w:r>
      <w:r>
        <w:rPr>
          <w:rtl/>
          <w:lang w:eastAsia="zh-TW"/>
        </w:rPr>
        <w:tab/>
      </w:r>
      <w:r w:rsidR="0004630F" w:rsidRPr="0046598E">
        <w:rPr>
          <w:b/>
          <w:bCs/>
          <w:rtl/>
          <w:lang w:eastAsia="zh-TW"/>
        </w:rPr>
        <w:t xml:space="preserve">إجراء استعراض دوري لظروف إيداع الطفل لدى نظام الكفالة ومؤسسات الرعاية، ومراقبة نوعية الرعاية المقدمة فيهما، بطرق منها توفير قنوات يسهل الوصول إليها للإبلاغ عن حالات إساءة معاملة </w:t>
      </w:r>
      <w:r>
        <w:rPr>
          <w:b/>
          <w:bCs/>
          <w:rtl/>
          <w:lang w:eastAsia="zh-TW"/>
        </w:rPr>
        <w:t>الأطفال ورصدها وإنصاف ضحاياها</w:t>
      </w:r>
      <w:r>
        <w:rPr>
          <w:rFonts w:hint="cs"/>
          <w:b/>
          <w:bCs/>
          <w:rtl/>
          <w:lang w:eastAsia="zh-TW"/>
        </w:rPr>
        <w:t xml:space="preserve">. </w:t>
      </w:r>
    </w:p>
    <w:p w:rsidR="0004630F" w:rsidRPr="0019764C" w:rsidRDefault="0004630F" w:rsidP="00912A9D">
      <w:pPr>
        <w:pStyle w:val="H23GA"/>
        <w:keepNext/>
        <w:spacing w:before="240"/>
        <w:textDirection w:val="tbRlV"/>
        <w:rPr>
          <w:bCs w:val="0"/>
          <w:rtl/>
          <w:lang w:eastAsia="zh-TW"/>
        </w:rPr>
      </w:pPr>
      <w:r w:rsidRPr="0019764C">
        <w:rPr>
          <w:lang w:eastAsia="zh-TW"/>
        </w:rPr>
        <w:tab/>
      </w:r>
      <w:r w:rsidRPr="0019764C">
        <w:rPr>
          <w:lang w:eastAsia="zh-TW"/>
        </w:rPr>
        <w:tab/>
      </w:r>
      <w:dir w:val="rtl">
        <w:r w:rsidRPr="0019764C">
          <w:rPr>
            <w:rtl/>
            <w:lang w:eastAsia="zh-TW"/>
          </w:rPr>
          <w:t>الأطفال المسجونون مع أمهاتهم</w:t>
        </w:r>
        <w:r w:rsidRPr="0019764C">
          <w:rPr>
            <w:rtl/>
            <w:lang w:eastAsia="zh-TW"/>
          </w:rPr>
          <w:t>‬</w:t>
        </w:r>
        <w:r>
          <w:t>‬</w:t>
        </w:r>
        <w:r w:rsidR="00DF51D4">
          <w:t>‬</w:t>
        </w:r>
        <w:r w:rsidR="003E66B1">
          <w:t>‬</w:t>
        </w:r>
        <w:r w:rsidR="002E62F7">
          <w:t>‬</w:t>
        </w:r>
      </w:dir>
    </w:p>
    <w:p w:rsidR="0004630F" w:rsidRPr="0046598E" w:rsidRDefault="0046598E" w:rsidP="0046598E">
      <w:pPr>
        <w:pStyle w:val="SingleTxtGA"/>
        <w:rPr>
          <w:b/>
          <w:bCs/>
          <w:rtl/>
          <w:lang w:eastAsia="zh-TW"/>
        </w:rPr>
      </w:pPr>
      <w:r>
        <w:rPr>
          <w:rtl/>
          <w:lang w:eastAsia="zh-TW"/>
        </w:rPr>
        <w:t>٢٨-</w:t>
      </w:r>
      <w:r>
        <w:rPr>
          <w:rtl/>
          <w:lang w:eastAsia="zh-TW"/>
        </w:rPr>
        <w:tab/>
      </w:r>
      <w:r w:rsidR="0004630F" w:rsidRPr="0046598E">
        <w:rPr>
          <w:b/>
          <w:bCs/>
          <w:rtl/>
          <w:lang w:eastAsia="zh-TW"/>
        </w:rPr>
        <w:t>توصي اللجنة الدولة الطرف بأن تعطي الأولوية لمصالح الطفل الفضلى بأن تنظر في بدائل لاحتجاز الأمهات، وأن توفر، في حالة عدم وجود هذه البدائل فقط، جميع الموارد البشرية والمالية اللازمة، وجميع أشكال الدعم اللازم للأطفال الذين يعيشون مع أمهاتهم في مراكز الاحتجاز، وتوفير أي دعم نفسي أو غيره للأطفال الذين حُكم على والديهم بالإعدام.</w:t>
      </w:r>
      <w:r w:rsidR="0004630F" w:rsidRPr="0046598E">
        <w:rPr>
          <w:rFonts w:cs="Times New Roman" w:hint="cs"/>
          <w:b/>
          <w:bCs/>
          <w:rtl/>
          <w:lang w:eastAsia="zh-TW"/>
        </w:rPr>
        <w:t>‬</w:t>
      </w:r>
    </w:p>
    <w:p w:rsidR="0004630F" w:rsidRPr="0019764C" w:rsidRDefault="0004630F" w:rsidP="0046598E">
      <w:pPr>
        <w:pStyle w:val="H1GA"/>
        <w:rPr>
          <w:rtl/>
          <w:lang w:eastAsia="zh-TW"/>
        </w:rPr>
      </w:pPr>
      <w:r w:rsidRPr="0019764C">
        <w:rPr>
          <w:rtl/>
          <w:lang w:eastAsia="zh-TW"/>
        </w:rPr>
        <w:tab/>
      </w:r>
      <w:r w:rsidR="0046598E">
        <w:rPr>
          <w:rtl/>
          <w:lang w:eastAsia="zh-TW"/>
        </w:rPr>
        <w:t>زاي-</w:t>
      </w:r>
      <w:r w:rsidR="0046598E">
        <w:rPr>
          <w:rtl/>
          <w:lang w:eastAsia="zh-TW"/>
        </w:rPr>
        <w:tab/>
      </w:r>
      <w:r w:rsidRPr="0019764C">
        <w:rPr>
          <w:rtl/>
          <w:lang w:eastAsia="zh-TW"/>
        </w:rPr>
        <w:t>الإعاقة والصحة الأساسية والرعاية (المواد 6 و18(3) و23 و24 و26 و27(1)-(3) و33)</w:t>
      </w:r>
    </w:p>
    <w:p w:rsidR="0004630F" w:rsidRPr="0019764C" w:rsidRDefault="0004630F" w:rsidP="00912A9D">
      <w:pPr>
        <w:pStyle w:val="H23GA"/>
        <w:keepNext/>
        <w:spacing w:before="240"/>
        <w:textDirection w:val="tbRlV"/>
        <w:rPr>
          <w:bCs w:val="0"/>
          <w:rtl/>
          <w:lang w:eastAsia="zh-TW"/>
        </w:rPr>
      </w:pPr>
      <w:r w:rsidRPr="0019764C">
        <w:rPr>
          <w:lang w:eastAsia="zh-TW"/>
        </w:rPr>
        <w:tab/>
      </w:r>
      <w:r w:rsidRPr="0019764C">
        <w:rPr>
          <w:lang w:eastAsia="zh-TW"/>
        </w:rPr>
        <w:tab/>
      </w:r>
      <w:r w:rsidRPr="0019764C">
        <w:rPr>
          <w:rtl/>
          <w:lang w:eastAsia="zh-TW"/>
        </w:rPr>
        <w:t>الأطفال ذوو الإعاقات</w:t>
      </w:r>
    </w:p>
    <w:p w:rsidR="0004630F" w:rsidRPr="000D046F" w:rsidRDefault="0046598E" w:rsidP="00B139CD">
      <w:pPr>
        <w:pStyle w:val="SingleTxtGA"/>
        <w:rPr>
          <w:b/>
          <w:bCs/>
          <w:rtl/>
          <w:lang w:eastAsia="zh-TW"/>
        </w:rPr>
      </w:pPr>
      <w:r w:rsidRPr="000D046F">
        <w:rPr>
          <w:rtl/>
          <w:lang w:eastAsia="zh-TW"/>
        </w:rPr>
        <w:t>٢٩-</w:t>
      </w:r>
      <w:r w:rsidRPr="000D046F">
        <w:rPr>
          <w:rtl/>
          <w:lang w:eastAsia="zh-TW"/>
        </w:rPr>
        <w:tab/>
      </w:r>
      <w:r w:rsidR="0004630F" w:rsidRPr="000D046F">
        <w:rPr>
          <w:b/>
          <w:bCs/>
          <w:rtl/>
          <w:lang w:eastAsia="zh-TW"/>
        </w:rPr>
        <w:t xml:space="preserve">في الوقت الذي تلاحظ فيه اللجنة اعتماد الاستراتيجية الوطنية </w:t>
      </w:r>
      <w:r w:rsidR="000D046F">
        <w:rPr>
          <w:rFonts w:hint="cs"/>
          <w:b/>
          <w:bCs/>
          <w:rtl/>
          <w:lang w:eastAsia="zh-TW"/>
        </w:rPr>
        <w:t xml:space="preserve"> </w:t>
      </w:r>
      <w:r w:rsidR="000D046F">
        <w:rPr>
          <w:b/>
          <w:bCs/>
          <w:rtl/>
          <w:lang w:eastAsia="zh-TW"/>
        </w:rPr>
        <w:t>للصحة</w:t>
      </w:r>
      <w:r w:rsidR="000D046F">
        <w:rPr>
          <w:rFonts w:hint="cs"/>
          <w:b/>
          <w:bCs/>
          <w:rtl/>
          <w:lang w:eastAsia="zh-TW"/>
        </w:rPr>
        <w:t> </w:t>
      </w:r>
      <w:r w:rsidR="0004630F" w:rsidRPr="000D046F">
        <w:rPr>
          <w:b/>
          <w:bCs/>
          <w:rtl/>
          <w:lang w:eastAsia="zh-TW"/>
        </w:rPr>
        <w:t>2011</w:t>
      </w:r>
      <w:r w:rsidR="000D046F">
        <w:rPr>
          <w:rFonts w:hint="cs"/>
          <w:b/>
          <w:bCs/>
          <w:rtl/>
          <w:lang w:eastAsia="zh-TW"/>
        </w:rPr>
        <w:t>-</w:t>
      </w:r>
      <w:r w:rsidR="0004630F" w:rsidRPr="000D046F">
        <w:rPr>
          <w:b/>
          <w:bCs/>
          <w:rtl/>
          <w:lang w:eastAsia="zh-TW"/>
        </w:rPr>
        <w:t xml:space="preserve">2016 التي تشمل مكوّنا عن التعليم الجامع، وبالإشارة إلى تعليقها العام رقم 9(2006) بشأن حقوق الأطفال المعوقين، وتوصيتها السابقة (انظر </w:t>
      </w:r>
      <w:r w:rsidR="00B139CD">
        <w:rPr>
          <w:rFonts w:asciiTheme="majorBidi" w:hAnsiTheme="majorBidi" w:cstheme="majorBidi"/>
          <w:b/>
          <w:bCs/>
          <w:szCs w:val="20"/>
          <w:lang w:eastAsia="zh-TW"/>
        </w:rPr>
        <w:t>/2</w:t>
      </w:r>
      <w:r w:rsidR="0004630F" w:rsidRPr="000D046F">
        <w:rPr>
          <w:rFonts w:asciiTheme="majorBidi" w:hAnsiTheme="majorBidi" w:cstheme="majorBidi"/>
          <w:b/>
          <w:bCs/>
          <w:szCs w:val="20"/>
          <w:rtl/>
          <w:lang w:eastAsia="zh-TW"/>
        </w:rPr>
        <w:t>RC/C/QAT/CO</w:t>
      </w:r>
      <w:r w:rsidR="00B139CD">
        <w:rPr>
          <w:rFonts w:asciiTheme="majorBidi" w:hAnsiTheme="majorBidi" w:cstheme="majorBidi"/>
          <w:b/>
          <w:bCs/>
          <w:szCs w:val="20"/>
          <w:lang w:eastAsia="zh-TW"/>
        </w:rPr>
        <w:t>C</w:t>
      </w:r>
      <w:r w:rsidR="0004630F" w:rsidRPr="000D046F">
        <w:rPr>
          <w:b/>
          <w:bCs/>
          <w:rtl/>
          <w:lang w:eastAsia="zh-TW"/>
        </w:rPr>
        <w:t xml:space="preserve">، الفقرة 51)، وتوصية اللجنة بشأن حقوق ذوي الإعاقات (انظر </w:t>
      </w:r>
      <w:r w:rsidR="00B139CD">
        <w:rPr>
          <w:rFonts w:asciiTheme="majorBidi" w:hAnsiTheme="majorBidi" w:cstheme="majorBidi"/>
          <w:b/>
          <w:bCs/>
          <w:szCs w:val="20"/>
          <w:lang w:eastAsia="zh-TW"/>
        </w:rPr>
        <w:t>/2</w:t>
      </w:r>
      <w:r w:rsidR="0004630F" w:rsidRPr="000D046F">
        <w:rPr>
          <w:rFonts w:asciiTheme="majorBidi" w:hAnsiTheme="majorBidi" w:cstheme="majorBidi"/>
          <w:b/>
          <w:bCs/>
          <w:szCs w:val="20"/>
          <w:rtl/>
          <w:lang w:eastAsia="zh-TW"/>
        </w:rPr>
        <w:t>CRPD/C/QAT/CO</w:t>
      </w:r>
      <w:r w:rsidR="0004630F" w:rsidRPr="000D046F">
        <w:rPr>
          <w:b/>
          <w:bCs/>
          <w:rtl/>
          <w:lang w:eastAsia="zh-TW"/>
        </w:rPr>
        <w:t>، الفقرتان 16 و44)، توصي بأن تستمر الدولة الطرف في الأخذ بالنهج القائم على حقوق الإنسان في مجال الإعاقة، موليةً اهتماما خاصا للفتيات ذوات الإعاقات والأطفال ذوي الإعاقات الذين يعيشون خارج المدينة، وكذلك:</w:t>
      </w:r>
    </w:p>
    <w:p w:rsidR="0004630F" w:rsidRPr="000D046F" w:rsidRDefault="0004630F" w:rsidP="000D046F">
      <w:pPr>
        <w:pStyle w:val="SingleTxtGA"/>
        <w:rPr>
          <w:b/>
          <w:bCs/>
          <w:rtl/>
          <w:lang w:eastAsia="zh-TW"/>
        </w:rPr>
      </w:pPr>
      <w:r w:rsidRPr="0019764C">
        <w:rPr>
          <w:lang w:eastAsia="zh-TW"/>
        </w:rPr>
        <w:tab/>
      </w:r>
      <w:r w:rsidRPr="0019764C">
        <w:rPr>
          <w:rtl/>
          <w:lang w:eastAsia="zh-TW"/>
        </w:rPr>
        <w:t>(أ)</w:t>
      </w:r>
      <w:r w:rsidRPr="0019764C">
        <w:rPr>
          <w:rtl/>
          <w:lang w:eastAsia="zh-TW"/>
        </w:rPr>
        <w:tab/>
      </w:r>
      <w:r w:rsidRPr="000D046F">
        <w:rPr>
          <w:b/>
          <w:bCs/>
          <w:rtl/>
          <w:lang w:eastAsia="zh-TW"/>
        </w:rPr>
        <w:t>مواصلة جمع بيانات مصنفة عن الأطفال ذوي الإعاقات، ووضع نظام تشخيص للإعاقة يتسم بالكفاءة، وهو أمر ضروري لرسم سياسات برامج تلائم هؤلاء الأطفال؛</w:t>
      </w:r>
      <w:r w:rsidRPr="000D046F">
        <w:rPr>
          <w:rFonts w:cs="Times New Roman" w:hint="cs"/>
          <w:b/>
          <w:bCs/>
          <w:rtl/>
          <w:lang w:eastAsia="zh-TW"/>
        </w:rPr>
        <w:t>‬</w:t>
      </w:r>
    </w:p>
    <w:p w:rsidR="0004630F" w:rsidRPr="000D046F" w:rsidRDefault="0004630F" w:rsidP="000D046F">
      <w:pPr>
        <w:pStyle w:val="SingleTxtGA"/>
        <w:rPr>
          <w:b/>
          <w:bCs/>
          <w:rtl/>
          <w:lang w:eastAsia="zh-TW"/>
        </w:rPr>
      </w:pPr>
      <w:r w:rsidRPr="0019764C">
        <w:rPr>
          <w:lang w:eastAsia="zh-TW"/>
        </w:rPr>
        <w:tab/>
      </w:r>
      <w:r w:rsidRPr="0019764C">
        <w:rPr>
          <w:rtl/>
          <w:lang w:eastAsia="zh-TW"/>
        </w:rPr>
        <w:t>(ب)</w:t>
      </w:r>
      <w:r w:rsidRPr="000D046F">
        <w:rPr>
          <w:b/>
          <w:bCs/>
          <w:rtl/>
          <w:lang w:eastAsia="zh-TW"/>
        </w:rPr>
        <w:tab/>
        <w:t>تدعيم تدابيرها لضمان حصول الأطفال ذوي الإعاقات على الرعاية الصحية، بما في ذلك برامج الكشف والتدخل المبكرين؛</w:t>
      </w:r>
      <w:r w:rsidRPr="000D046F">
        <w:rPr>
          <w:rFonts w:cs="Times New Roman" w:hint="cs"/>
          <w:b/>
          <w:bCs/>
          <w:rtl/>
          <w:lang w:eastAsia="zh-TW"/>
        </w:rPr>
        <w:t>‬</w:t>
      </w:r>
    </w:p>
    <w:p w:rsidR="0004630F" w:rsidRPr="000D046F" w:rsidRDefault="0004630F" w:rsidP="000D046F">
      <w:pPr>
        <w:pStyle w:val="SingleTxtGA"/>
        <w:rPr>
          <w:b/>
          <w:bCs/>
          <w:rtl/>
          <w:lang w:eastAsia="zh-TW"/>
        </w:rPr>
      </w:pPr>
      <w:r w:rsidRPr="0019764C">
        <w:rPr>
          <w:lang w:eastAsia="zh-TW"/>
        </w:rPr>
        <w:tab/>
      </w:r>
      <w:r w:rsidRPr="0019764C">
        <w:rPr>
          <w:rtl/>
          <w:lang w:eastAsia="zh-TW"/>
        </w:rPr>
        <w:t>(ج)</w:t>
      </w:r>
      <w:r w:rsidRPr="000D046F">
        <w:rPr>
          <w:b/>
          <w:bCs/>
          <w:rtl/>
          <w:lang w:eastAsia="zh-TW"/>
        </w:rPr>
        <w:tab/>
        <w:t xml:space="preserve">إعادة توجيه الموارد من البيئات التعليمية المنفصلة إلى التعليم الجامع الجيد، مع توفير ترتيبات </w:t>
      </w:r>
      <w:proofErr w:type="spellStart"/>
      <w:r w:rsidRPr="000D046F">
        <w:rPr>
          <w:b/>
          <w:bCs/>
          <w:rtl/>
          <w:lang w:eastAsia="zh-TW"/>
        </w:rPr>
        <w:t>تيسيرية</w:t>
      </w:r>
      <w:proofErr w:type="spellEnd"/>
      <w:r w:rsidRPr="000D046F">
        <w:rPr>
          <w:b/>
          <w:bCs/>
          <w:rtl/>
          <w:lang w:eastAsia="zh-TW"/>
        </w:rPr>
        <w:t xml:space="preserve"> معقولة ودعم فردي وبيئات دراسية يسهل الوصول إليها ومناهج ميسرة لجميع الطلاب ذوي الإعاقات في المدارس العادية، وتقديم التدريب الإلزامي أثناء الخدمة لكل المدرسين والموظفين في المرافق التعليمية في مجال التعليم الجامع؛</w:t>
      </w:r>
      <w:r w:rsidRPr="000D046F">
        <w:rPr>
          <w:rFonts w:cs="Times New Roman" w:hint="cs"/>
          <w:b/>
          <w:bCs/>
          <w:rtl/>
          <w:lang w:eastAsia="zh-TW"/>
        </w:rPr>
        <w:t>‬</w:t>
      </w:r>
      <w:r w:rsidRPr="000D046F">
        <w:rPr>
          <w:b/>
          <w:bCs/>
          <w:rtl/>
          <w:lang w:eastAsia="zh-TW"/>
        </w:rPr>
        <w:t xml:space="preserve"> </w:t>
      </w:r>
    </w:p>
    <w:p w:rsidR="0004630F" w:rsidRPr="000D046F" w:rsidRDefault="0004630F" w:rsidP="000D046F">
      <w:pPr>
        <w:pStyle w:val="SingleTxtGA"/>
        <w:rPr>
          <w:b/>
          <w:bCs/>
          <w:rtl/>
          <w:lang w:eastAsia="zh-TW"/>
        </w:rPr>
      </w:pPr>
      <w:r w:rsidRPr="0019764C">
        <w:rPr>
          <w:lang w:eastAsia="zh-TW"/>
        </w:rPr>
        <w:lastRenderedPageBreak/>
        <w:tab/>
      </w:r>
      <w:r w:rsidRPr="0019764C">
        <w:rPr>
          <w:rtl/>
          <w:lang w:eastAsia="zh-TW"/>
        </w:rPr>
        <w:t>(د)</w:t>
      </w:r>
      <w:r w:rsidRPr="000D046F">
        <w:rPr>
          <w:b/>
          <w:bCs/>
          <w:rtl/>
          <w:lang w:eastAsia="zh-TW"/>
        </w:rPr>
        <w:tab/>
        <w:t>تدريب مدرسين ومهنيين متخصصين في الفصول الجامعة وتعيينهم لتقديم الدعم والمساعدة لآحاد الأطفال الذين يواجهون صعوبات في التعلم؛</w:t>
      </w:r>
    </w:p>
    <w:p w:rsidR="0004630F" w:rsidRPr="000D046F" w:rsidRDefault="000D046F" w:rsidP="000D046F">
      <w:pPr>
        <w:pStyle w:val="SingleTxtGA"/>
        <w:rPr>
          <w:b/>
          <w:bCs/>
          <w:rtl/>
          <w:lang w:eastAsia="zh-TW"/>
        </w:rPr>
      </w:pPr>
      <w:r>
        <w:rPr>
          <w:rtl/>
          <w:lang w:eastAsia="zh-TW"/>
        </w:rPr>
        <w:tab/>
      </w:r>
      <w:r w:rsidR="0004630F" w:rsidRPr="0019764C">
        <w:rPr>
          <w:rtl/>
          <w:lang w:eastAsia="zh-TW"/>
        </w:rPr>
        <w:t>(هـ)</w:t>
      </w:r>
      <w:r>
        <w:rPr>
          <w:rtl/>
          <w:lang w:eastAsia="zh-TW"/>
        </w:rPr>
        <w:tab/>
      </w:r>
      <w:r w:rsidR="0004630F" w:rsidRPr="000D046F">
        <w:rPr>
          <w:b/>
          <w:bCs/>
          <w:rtl/>
          <w:lang w:eastAsia="zh-TW"/>
        </w:rPr>
        <w:t>تنظيم حملات توعية تستهدف الموظفين الحكوميين وعامة الناس والأسر من أجل مكافحة الوصم والإجحاف اللذين يعانيهما الأطفال ذوو الإ</w:t>
      </w:r>
      <w:r w:rsidR="006931FC">
        <w:rPr>
          <w:b/>
          <w:bCs/>
          <w:rtl/>
          <w:lang w:eastAsia="zh-TW"/>
        </w:rPr>
        <w:t>عاقات وترويج صورة إيجابية عنهم</w:t>
      </w:r>
      <w:r w:rsidR="006931FC">
        <w:rPr>
          <w:rFonts w:hint="cs"/>
          <w:b/>
          <w:bCs/>
          <w:rtl/>
          <w:lang w:eastAsia="zh-TW"/>
        </w:rPr>
        <w:t>؛</w:t>
      </w:r>
    </w:p>
    <w:p w:rsidR="0004630F" w:rsidRPr="000D046F" w:rsidRDefault="000D046F" w:rsidP="000D046F">
      <w:pPr>
        <w:pStyle w:val="SingleTxtGA"/>
        <w:rPr>
          <w:b/>
          <w:bCs/>
          <w:rtl/>
          <w:lang w:eastAsia="zh-TW"/>
        </w:rPr>
      </w:pPr>
      <w:r>
        <w:rPr>
          <w:rtl/>
          <w:lang w:eastAsia="zh-TW"/>
        </w:rPr>
        <w:tab/>
      </w:r>
      <w:r w:rsidR="0004630F" w:rsidRPr="0019764C">
        <w:rPr>
          <w:rtl/>
          <w:lang w:eastAsia="zh-TW"/>
        </w:rPr>
        <w:t>(و)</w:t>
      </w:r>
      <w:r>
        <w:rPr>
          <w:rtl/>
          <w:lang w:eastAsia="zh-TW"/>
        </w:rPr>
        <w:tab/>
      </w:r>
      <w:r w:rsidR="0004630F" w:rsidRPr="000D046F">
        <w:rPr>
          <w:b/>
          <w:bCs/>
          <w:rtl/>
          <w:lang w:eastAsia="zh-TW"/>
        </w:rPr>
        <w:t>توفير ضمانات لحماية حقوق الفتيات والفتيان ذوي الإعاقات، والحرص على استشارتهم في جميع الأمور التي تهمهم، وتقديم المساعدة المناسبة لهم في ذلك الصدد.</w:t>
      </w:r>
      <w:r w:rsidR="0004630F" w:rsidRPr="000D046F">
        <w:rPr>
          <w:rFonts w:cs="Times New Roman" w:hint="cs"/>
          <w:b/>
          <w:bCs/>
          <w:rtl/>
          <w:lang w:eastAsia="zh-TW"/>
        </w:rPr>
        <w:t>‬</w:t>
      </w:r>
      <w:r w:rsidR="0004630F" w:rsidRPr="000D046F">
        <w:rPr>
          <w:b/>
          <w:bCs/>
          <w:rtl/>
          <w:lang w:eastAsia="zh-TW"/>
        </w:rPr>
        <w:t xml:space="preserve"> </w:t>
      </w:r>
    </w:p>
    <w:p w:rsidR="0004630F" w:rsidRPr="0019764C" w:rsidRDefault="0004630F" w:rsidP="00912A9D">
      <w:pPr>
        <w:pStyle w:val="H23GA"/>
        <w:keepNext/>
        <w:spacing w:before="240"/>
        <w:textDirection w:val="tbRlV"/>
        <w:rPr>
          <w:bCs w:val="0"/>
          <w:rtl/>
          <w:lang w:eastAsia="zh-TW" w:bidi="ar-DZ"/>
        </w:rPr>
      </w:pPr>
      <w:r w:rsidRPr="0019764C">
        <w:rPr>
          <w:lang w:eastAsia="zh-TW"/>
        </w:rPr>
        <w:tab/>
      </w:r>
      <w:r w:rsidRPr="0019764C">
        <w:rPr>
          <w:lang w:eastAsia="zh-TW"/>
        </w:rPr>
        <w:tab/>
      </w:r>
      <w:dir w:val="rtl">
        <w:r w:rsidR="000D046F">
          <w:rPr>
            <w:rtl/>
            <w:lang w:eastAsia="zh-TW"/>
          </w:rPr>
          <w:t>صحة المراهقين</w:t>
        </w:r>
        <w:r w:rsidR="00DF51D4">
          <w:t>‬</w:t>
        </w:r>
        <w:r w:rsidR="003E66B1">
          <w:t>‬</w:t>
        </w:r>
        <w:r w:rsidR="002E62F7">
          <w:t>‬</w:t>
        </w:r>
      </w:dir>
    </w:p>
    <w:p w:rsidR="0004630F" w:rsidRPr="0019764C" w:rsidRDefault="000D046F" w:rsidP="00F11A18">
      <w:pPr>
        <w:pStyle w:val="SingleTxtGA"/>
        <w:rPr>
          <w:rtl/>
          <w:lang w:eastAsia="zh-TW"/>
        </w:rPr>
      </w:pPr>
      <w:r w:rsidRPr="00731132">
        <w:rPr>
          <w:spacing w:val="-4"/>
          <w:rtl/>
          <w:lang w:eastAsia="zh-TW"/>
        </w:rPr>
        <w:t>٣٠-</w:t>
      </w:r>
      <w:r w:rsidRPr="00731132">
        <w:rPr>
          <w:spacing w:val="-4"/>
          <w:rtl/>
          <w:lang w:eastAsia="zh-TW"/>
        </w:rPr>
        <w:tab/>
      </w:r>
      <w:r w:rsidR="0004630F" w:rsidRPr="00731132">
        <w:rPr>
          <w:b/>
          <w:bCs/>
          <w:spacing w:val="-4"/>
          <w:rtl/>
          <w:lang w:eastAsia="zh-TW"/>
        </w:rPr>
        <w:t xml:space="preserve">توصي اللجنة الدولة الطرف بالآتي في إطار إشارتها إلى تعليقها العام </w:t>
      </w:r>
      <w:r w:rsidR="00F11A18">
        <w:rPr>
          <w:rFonts w:hint="cs"/>
          <w:b/>
          <w:bCs/>
          <w:spacing w:val="-4"/>
          <w:rtl/>
          <w:lang w:eastAsia="zh-TW"/>
        </w:rPr>
        <w:t xml:space="preserve">                   </w:t>
      </w:r>
      <w:r w:rsidR="0004630F" w:rsidRPr="00731132">
        <w:rPr>
          <w:b/>
          <w:bCs/>
          <w:spacing w:val="-4"/>
          <w:rtl/>
          <w:lang w:eastAsia="zh-TW"/>
        </w:rPr>
        <w:t>رقم 4(2003)</w:t>
      </w:r>
      <w:r w:rsidR="0004630F" w:rsidRPr="00731132">
        <w:rPr>
          <w:b/>
          <w:bCs/>
          <w:rtl/>
          <w:lang w:eastAsia="zh-TW"/>
        </w:rPr>
        <w:t xml:space="preserve"> بشأن صحة المراهقين ونموهم في سياق الاتفاقية، وتوصية اللجنة المعنية بالقضاء على التمييز ضد المرأة (انظر </w:t>
      </w:r>
      <w:r w:rsidR="00F11A18">
        <w:rPr>
          <w:rFonts w:asciiTheme="majorBidi" w:hAnsiTheme="majorBidi" w:cstheme="majorBidi"/>
          <w:b/>
          <w:bCs/>
          <w:szCs w:val="20"/>
          <w:lang w:eastAsia="zh-TW"/>
        </w:rPr>
        <w:t>/</w:t>
      </w:r>
      <w:r w:rsidR="00F11A18">
        <w:rPr>
          <w:rFonts w:asciiTheme="majorBidi" w:hAnsiTheme="majorBidi" w:cstheme="majorBidi"/>
          <w:b/>
          <w:bCs/>
          <w:szCs w:val="20"/>
          <w:lang w:eastAsia="zh-TW"/>
        </w:rPr>
        <w:t>1</w:t>
      </w:r>
      <w:r w:rsidR="0004630F" w:rsidRPr="00731132">
        <w:rPr>
          <w:rFonts w:asciiTheme="majorBidi" w:hAnsiTheme="majorBidi" w:cstheme="majorBidi"/>
          <w:b/>
          <w:bCs/>
          <w:szCs w:val="20"/>
          <w:rtl/>
          <w:lang w:eastAsia="zh-TW"/>
        </w:rPr>
        <w:t>EDAW/C/QAT/CO</w:t>
      </w:r>
      <w:r w:rsidR="00F11A18">
        <w:rPr>
          <w:b/>
          <w:bCs/>
          <w:lang w:val="fr-CH" w:eastAsia="zh-TW"/>
        </w:rPr>
        <w:t>C</w:t>
      </w:r>
      <w:r w:rsidR="0004630F" w:rsidRPr="00731132">
        <w:rPr>
          <w:b/>
          <w:bCs/>
          <w:rtl/>
          <w:lang w:eastAsia="zh-TW"/>
        </w:rPr>
        <w:t>، الفقرة 40):</w:t>
      </w:r>
    </w:p>
    <w:p w:rsidR="0004630F" w:rsidRPr="00731132" w:rsidRDefault="0004630F" w:rsidP="00731132">
      <w:pPr>
        <w:pStyle w:val="SingleTxtGA"/>
        <w:rPr>
          <w:b/>
          <w:bCs/>
          <w:rtl/>
          <w:lang w:eastAsia="zh-TW"/>
        </w:rPr>
      </w:pPr>
      <w:r w:rsidRPr="0019764C">
        <w:rPr>
          <w:lang w:eastAsia="zh-TW"/>
        </w:rPr>
        <w:tab/>
      </w:r>
      <w:r w:rsidRPr="0019764C">
        <w:rPr>
          <w:rtl/>
          <w:lang w:eastAsia="zh-TW"/>
        </w:rPr>
        <w:t>(أ)</w:t>
      </w:r>
      <w:r w:rsidRPr="0019764C">
        <w:rPr>
          <w:rtl/>
          <w:lang w:eastAsia="zh-TW"/>
        </w:rPr>
        <w:tab/>
      </w:r>
      <w:r w:rsidRPr="00731132">
        <w:rPr>
          <w:b/>
          <w:bCs/>
          <w:rtl/>
          <w:lang w:eastAsia="zh-TW"/>
        </w:rPr>
        <w:t xml:space="preserve">شطب الإجهاض من قائمة الجرائم في جميع الظروف، وتيسير سبل الإجهاض المأمون وخدمات الرعاية بعد الإجهاض للمراهقات، والتأكد من أن يُنصت دوماً إلى آرائهن وأن تُولى الاعتبار الواجب في إطار عملية صنع القرار؛ </w:t>
      </w:r>
    </w:p>
    <w:p w:rsidR="0004630F" w:rsidRPr="00731132" w:rsidRDefault="0004630F" w:rsidP="00731132">
      <w:pPr>
        <w:pStyle w:val="SingleTxtGA"/>
        <w:rPr>
          <w:b/>
          <w:bCs/>
          <w:rtl/>
          <w:lang w:eastAsia="zh-TW"/>
        </w:rPr>
      </w:pPr>
      <w:r w:rsidRPr="0019764C">
        <w:rPr>
          <w:lang w:eastAsia="zh-TW"/>
        </w:rPr>
        <w:tab/>
      </w:r>
      <w:r w:rsidRPr="0019764C">
        <w:rPr>
          <w:rtl/>
          <w:lang w:eastAsia="zh-TW"/>
        </w:rPr>
        <w:t>(ب)</w:t>
      </w:r>
      <w:r w:rsidRPr="00731132">
        <w:rPr>
          <w:b/>
          <w:bCs/>
          <w:rtl/>
          <w:lang w:eastAsia="zh-TW"/>
        </w:rPr>
        <w:tab/>
        <w:t>اعتماد سياسة شاملة بشأن الصحة الجنسية والإنجابية لصالح المراهقين والحرص على أن يكون التعليم المتعلق بالصحة الجنسية والإنجابية جزءاً من المناهج الدراسية الإلزامية وموجهاً إلى المراهقات والمراهقين، مع التركيز خاصة على مسألة منع الحمل المبكر والإصابة بالأمراض المنقولة جنسياً؛</w:t>
      </w:r>
      <w:r w:rsidRPr="00731132">
        <w:rPr>
          <w:rFonts w:cs="Times New Roman" w:hint="cs"/>
          <w:b/>
          <w:bCs/>
          <w:rtl/>
          <w:lang w:eastAsia="zh-TW"/>
        </w:rPr>
        <w:t>‬</w:t>
      </w:r>
    </w:p>
    <w:p w:rsidR="0004630F" w:rsidRPr="00731132" w:rsidRDefault="0004630F" w:rsidP="00731132">
      <w:pPr>
        <w:pStyle w:val="SingleTxtGA"/>
        <w:rPr>
          <w:b/>
          <w:bCs/>
          <w:rtl/>
          <w:lang w:eastAsia="zh-TW"/>
        </w:rPr>
      </w:pPr>
      <w:r w:rsidRPr="0019764C">
        <w:rPr>
          <w:lang w:eastAsia="zh-TW"/>
        </w:rPr>
        <w:tab/>
      </w:r>
      <w:r w:rsidRPr="0019764C">
        <w:rPr>
          <w:rtl/>
          <w:lang w:eastAsia="zh-TW"/>
        </w:rPr>
        <w:t>(ج)</w:t>
      </w:r>
      <w:r w:rsidRPr="00731132">
        <w:rPr>
          <w:b/>
          <w:bCs/>
          <w:rtl/>
          <w:lang w:eastAsia="zh-TW"/>
        </w:rPr>
        <w:tab/>
        <w:t>معالجة مسألة تعاطي المخدرات بين الأطفال والمراهقين، بسبل منها إمداد الأطفال والمراهقين بمعلومات دقيقة وموضوعية، إضافة إلى تعليمهم المهارات الحياتية من أجل الوقاية من تعاطي مواد الإدمان، بما فيها التبغ والكحول، واستحداث خدمات في المتناول وملائمة للشباب لعلاجهم من إدمان المخدرات والحد من أضرار الإدمان؛</w:t>
      </w:r>
      <w:r w:rsidRPr="00731132">
        <w:rPr>
          <w:rFonts w:cs="Times New Roman" w:hint="cs"/>
          <w:b/>
          <w:bCs/>
          <w:rtl/>
          <w:lang w:eastAsia="zh-TW"/>
        </w:rPr>
        <w:t>‬</w:t>
      </w:r>
    </w:p>
    <w:p w:rsidR="0004630F" w:rsidRPr="00731132" w:rsidRDefault="0004630F" w:rsidP="00731132">
      <w:pPr>
        <w:pStyle w:val="SingleTxtGA"/>
        <w:rPr>
          <w:b/>
          <w:bCs/>
          <w:rtl/>
          <w:lang w:eastAsia="zh-TW"/>
        </w:rPr>
      </w:pPr>
      <w:r w:rsidRPr="0019764C">
        <w:rPr>
          <w:lang w:eastAsia="zh-TW"/>
        </w:rPr>
        <w:tab/>
      </w:r>
      <w:r w:rsidRPr="0019764C">
        <w:rPr>
          <w:rtl/>
          <w:lang w:eastAsia="zh-TW"/>
        </w:rPr>
        <w:t>(د)</w:t>
      </w:r>
      <w:r w:rsidRPr="00731132">
        <w:rPr>
          <w:b/>
          <w:bCs/>
          <w:rtl/>
          <w:lang w:eastAsia="zh-TW"/>
        </w:rPr>
        <w:tab/>
        <w:t>تعزيز جهودها لمكافحة سمنة الأطفال عن طريق ضبط تسويق الأغذية غير الصحية، خاصة في الحالات التي يركز فيها هذا التسويق على الأطفال، ولضبط إتاحة هذه الأغذية في المدارس وغيرها من الأماكن؛</w:t>
      </w:r>
      <w:r w:rsidRPr="00731132">
        <w:rPr>
          <w:rFonts w:cs="Times New Roman" w:hint="cs"/>
          <w:b/>
          <w:bCs/>
          <w:rtl/>
          <w:lang w:eastAsia="zh-TW"/>
        </w:rPr>
        <w:t>‬</w:t>
      </w:r>
      <w:r w:rsidRPr="00731132">
        <w:rPr>
          <w:b/>
          <w:bCs/>
          <w:rtl/>
          <w:lang w:eastAsia="zh-TW"/>
        </w:rPr>
        <w:t xml:space="preserve"> </w:t>
      </w:r>
    </w:p>
    <w:p w:rsidR="0004630F" w:rsidRPr="00731132" w:rsidRDefault="00731132" w:rsidP="00731132">
      <w:pPr>
        <w:pStyle w:val="SingleTxtGA"/>
        <w:rPr>
          <w:b/>
          <w:bCs/>
          <w:rtl/>
        </w:rPr>
      </w:pPr>
      <w:r>
        <w:rPr>
          <w:rtl/>
          <w:lang w:eastAsia="zh-TW"/>
        </w:rPr>
        <w:tab/>
      </w:r>
      <w:r w:rsidR="0004630F" w:rsidRPr="0019764C">
        <w:rPr>
          <w:rtl/>
          <w:lang w:eastAsia="zh-TW"/>
        </w:rPr>
        <w:t>(هـ)</w:t>
      </w:r>
      <w:r>
        <w:rPr>
          <w:rtl/>
          <w:lang w:eastAsia="zh-TW"/>
        </w:rPr>
        <w:tab/>
      </w:r>
      <w:r w:rsidR="0004630F" w:rsidRPr="00731132">
        <w:rPr>
          <w:b/>
          <w:bCs/>
          <w:rtl/>
        </w:rPr>
        <w:t>استحداث خدمات الصحة النفسية المجتمعية وتدعيم الأنشطة الوقائية في المدرسة والبيت ومراكز الرعاية.</w:t>
      </w:r>
    </w:p>
    <w:p w:rsidR="0004630F" w:rsidRPr="0019764C" w:rsidRDefault="0004630F" w:rsidP="00731132">
      <w:pPr>
        <w:pStyle w:val="H1GA"/>
        <w:rPr>
          <w:rtl/>
          <w:lang w:eastAsia="zh-TW"/>
        </w:rPr>
      </w:pPr>
      <w:r w:rsidRPr="0019764C">
        <w:rPr>
          <w:rtl/>
          <w:lang w:eastAsia="zh-TW"/>
        </w:rPr>
        <w:lastRenderedPageBreak/>
        <w:tab/>
        <w:t>حاء-</w:t>
      </w:r>
      <w:r w:rsidR="00731132">
        <w:rPr>
          <w:rtl/>
          <w:lang w:eastAsia="zh-TW"/>
        </w:rPr>
        <w:tab/>
      </w:r>
      <w:r w:rsidRPr="0019764C">
        <w:rPr>
          <w:rtl/>
          <w:lang w:eastAsia="zh-TW"/>
        </w:rPr>
        <w:t>التعليم والترفيه والأنشطة الثقافية (المواد 28-31)</w:t>
      </w:r>
    </w:p>
    <w:p w:rsidR="0004630F" w:rsidRPr="0019764C" w:rsidRDefault="0004630F" w:rsidP="00912A9D">
      <w:pPr>
        <w:pStyle w:val="H23GA"/>
        <w:keepNext/>
        <w:spacing w:before="240"/>
        <w:textDirection w:val="tbRlV"/>
        <w:rPr>
          <w:bCs w:val="0"/>
          <w:rtl/>
          <w:lang w:eastAsia="zh-TW" w:bidi="ar-DZ"/>
        </w:rPr>
      </w:pPr>
      <w:r w:rsidRPr="0019764C">
        <w:rPr>
          <w:sz w:val="34"/>
          <w:szCs w:val="34"/>
          <w:rtl/>
          <w:lang w:eastAsia="zh-TW"/>
        </w:rPr>
        <w:tab/>
      </w:r>
      <w:r w:rsidRPr="0019764C">
        <w:rPr>
          <w:sz w:val="34"/>
          <w:szCs w:val="34"/>
          <w:rtl/>
          <w:lang w:eastAsia="zh-TW"/>
        </w:rPr>
        <w:tab/>
      </w:r>
      <w:r w:rsidRPr="0019764C">
        <w:rPr>
          <w:lang w:eastAsia="zh-TW"/>
        </w:rPr>
        <w:t xml:space="preserve">  </w:t>
      </w:r>
      <w:dir w:val="rtl">
        <w:r w:rsidRPr="0019764C">
          <w:rPr>
            <w:rtl/>
            <w:lang w:eastAsia="zh-TW"/>
          </w:rPr>
          <w:t>التعليم، بما في ذلك التدريب والتوجيه المهني</w:t>
        </w:r>
        <w:r w:rsidR="00ED7A25">
          <w:rPr>
            <w:rtl/>
            <w:lang w:eastAsia="zh-TW"/>
          </w:rPr>
          <w:t>ان/التثقيف في مجال حقوق الإنسان</w:t>
        </w:r>
        <w:r w:rsidR="00DF51D4">
          <w:t>‬</w:t>
        </w:r>
        <w:r w:rsidR="003E66B1">
          <w:t>‬</w:t>
        </w:r>
        <w:r w:rsidR="002E62F7">
          <w:t>‬</w:t>
        </w:r>
      </w:dir>
    </w:p>
    <w:p w:rsidR="0004630F" w:rsidRPr="00731132" w:rsidRDefault="00731132" w:rsidP="00713B40">
      <w:pPr>
        <w:pStyle w:val="SingleTxtGA"/>
        <w:rPr>
          <w:b/>
          <w:bCs/>
          <w:rtl/>
          <w:lang w:eastAsia="zh-TW"/>
        </w:rPr>
      </w:pPr>
      <w:r>
        <w:rPr>
          <w:rtl/>
          <w:lang w:eastAsia="zh-TW"/>
        </w:rPr>
        <w:t>٣١-</w:t>
      </w:r>
      <w:r>
        <w:rPr>
          <w:rtl/>
          <w:lang w:eastAsia="zh-TW"/>
        </w:rPr>
        <w:tab/>
      </w:r>
      <w:r w:rsidR="0004630F" w:rsidRPr="00731132">
        <w:rPr>
          <w:b/>
          <w:bCs/>
          <w:rtl/>
          <w:lang w:eastAsia="zh-TW"/>
        </w:rPr>
        <w:t xml:space="preserve">ترحب اللجنة بالجهود المستمرة التي تبذلها الدولة الطرف لتعزيز التعليم، لكنها تكرر توصيتها السابقة (انظر </w:t>
      </w:r>
      <w:r w:rsidR="00713B40">
        <w:rPr>
          <w:rFonts w:asciiTheme="majorBidi" w:hAnsiTheme="majorBidi" w:cstheme="majorBidi"/>
          <w:b/>
          <w:bCs/>
          <w:szCs w:val="20"/>
          <w:lang w:eastAsia="zh-TW"/>
        </w:rPr>
        <w:t>/2</w:t>
      </w:r>
      <w:r w:rsidR="0004630F" w:rsidRPr="00731132">
        <w:rPr>
          <w:rFonts w:asciiTheme="majorBidi" w:hAnsiTheme="majorBidi" w:cstheme="majorBidi"/>
          <w:b/>
          <w:bCs/>
          <w:szCs w:val="20"/>
          <w:rtl/>
          <w:lang w:eastAsia="zh-TW"/>
        </w:rPr>
        <w:t>CRC/C/QAT/CO</w:t>
      </w:r>
      <w:r w:rsidR="0004630F" w:rsidRPr="00731132">
        <w:rPr>
          <w:b/>
          <w:bCs/>
          <w:rtl/>
          <w:lang w:eastAsia="zh-TW"/>
        </w:rPr>
        <w:t xml:space="preserve">، الفقرة ٥٧)؛ وبالإشارة إلى تعليقها العام رقم ١(2001) بشأن أهداف التعليم وتوصية اللجنة المعنية بالقضاء على التمييز ضد المرأة (انظر </w:t>
      </w:r>
      <w:r w:rsidR="00713B40">
        <w:rPr>
          <w:rFonts w:asciiTheme="majorBidi" w:hAnsiTheme="majorBidi" w:cstheme="majorBidi"/>
          <w:b/>
          <w:bCs/>
          <w:szCs w:val="20"/>
          <w:lang w:eastAsia="zh-TW"/>
        </w:rPr>
        <w:t>/1</w:t>
      </w:r>
      <w:r w:rsidR="0004630F" w:rsidRPr="00731132">
        <w:rPr>
          <w:rFonts w:asciiTheme="majorBidi" w:hAnsiTheme="majorBidi" w:cstheme="majorBidi"/>
          <w:b/>
          <w:bCs/>
          <w:szCs w:val="20"/>
          <w:rtl/>
          <w:lang w:eastAsia="zh-TW"/>
        </w:rPr>
        <w:t>CEDAW/C/QAT/CO</w:t>
      </w:r>
      <w:r w:rsidR="0004630F" w:rsidRPr="00731132">
        <w:rPr>
          <w:b/>
          <w:bCs/>
          <w:rtl/>
          <w:lang w:eastAsia="zh-TW"/>
        </w:rPr>
        <w:t xml:space="preserve">، الفقرة ٣٤)، توصي الدولةَ الطرف بما يلي: </w:t>
      </w:r>
    </w:p>
    <w:p w:rsidR="0004630F" w:rsidRPr="00731132" w:rsidRDefault="0004630F" w:rsidP="00731132">
      <w:pPr>
        <w:pStyle w:val="SingleTxtGA"/>
        <w:rPr>
          <w:b/>
          <w:bCs/>
          <w:rtl/>
          <w:lang w:eastAsia="zh-TW"/>
        </w:rPr>
      </w:pPr>
      <w:r w:rsidRPr="0019764C">
        <w:rPr>
          <w:lang w:eastAsia="zh-TW"/>
        </w:rPr>
        <w:tab/>
      </w:r>
      <w:r w:rsidRPr="0019764C">
        <w:rPr>
          <w:rtl/>
          <w:lang w:eastAsia="zh-TW"/>
        </w:rPr>
        <w:t>(أ)</w:t>
      </w:r>
      <w:r w:rsidRPr="0019764C">
        <w:rPr>
          <w:rtl/>
          <w:lang w:eastAsia="zh-TW"/>
        </w:rPr>
        <w:tab/>
      </w:r>
      <w:r w:rsidRPr="00731132">
        <w:rPr>
          <w:b/>
          <w:bCs/>
          <w:rtl/>
          <w:lang w:eastAsia="zh-TW"/>
        </w:rPr>
        <w:t xml:space="preserve">تدعيم جهودها الرامية إلى توسيع نطاق المناهج التعليمية الخالية من القوالب النمطية، ومعالجة الأسباب البنيوية للتمييز الجنساني، وتنويع الخيارات التعليمية والمهنية للفتيات والفتيان؛ </w:t>
      </w:r>
    </w:p>
    <w:p w:rsidR="0004630F" w:rsidRPr="00731132" w:rsidRDefault="00731132" w:rsidP="00731132">
      <w:pPr>
        <w:pStyle w:val="SingleTxtGA"/>
        <w:rPr>
          <w:b/>
          <w:bCs/>
          <w:rtl/>
          <w:lang w:eastAsia="zh-TW"/>
        </w:rPr>
      </w:pPr>
      <w:r>
        <w:rPr>
          <w:rtl/>
          <w:lang w:eastAsia="zh-TW"/>
        </w:rPr>
        <w:tab/>
      </w:r>
      <w:r w:rsidR="0004630F" w:rsidRPr="0019764C">
        <w:rPr>
          <w:rtl/>
          <w:lang w:eastAsia="zh-TW"/>
        </w:rPr>
        <w:t>(ب)</w:t>
      </w:r>
      <w:r>
        <w:rPr>
          <w:rtl/>
          <w:lang w:eastAsia="zh-TW"/>
        </w:rPr>
        <w:tab/>
      </w:r>
      <w:r w:rsidR="0004630F" w:rsidRPr="00731132">
        <w:rPr>
          <w:b/>
          <w:bCs/>
          <w:rtl/>
          <w:lang w:eastAsia="zh-TW"/>
        </w:rPr>
        <w:t xml:space="preserve">إعداد خطة عمل وطنية للتثقيف في مجال حقوق الإنسان، على </w:t>
      </w:r>
      <w:r w:rsidR="00713B40">
        <w:rPr>
          <w:rFonts w:hint="cs"/>
          <w:b/>
          <w:bCs/>
          <w:rtl/>
          <w:lang w:eastAsia="zh-TW"/>
        </w:rPr>
        <w:t xml:space="preserve">          </w:t>
      </w:r>
      <w:r w:rsidR="0004630F" w:rsidRPr="00731132">
        <w:rPr>
          <w:b/>
          <w:bCs/>
          <w:rtl/>
          <w:lang w:eastAsia="zh-TW"/>
        </w:rPr>
        <w:t>ما أوصى به البرنامج العالمي للتثقيف في مجال حقوق الإنسان.</w:t>
      </w:r>
    </w:p>
    <w:p w:rsidR="0004630F" w:rsidRPr="0019764C" w:rsidRDefault="0004630F" w:rsidP="00731132">
      <w:pPr>
        <w:pStyle w:val="H1GA"/>
        <w:rPr>
          <w:rtl/>
          <w:lang w:eastAsia="zh-TW"/>
        </w:rPr>
      </w:pPr>
      <w:r w:rsidRPr="00731132">
        <w:rPr>
          <w:rFonts w:ascii="Times New Roman Bold" w:hAnsi="Times New Roman Bold"/>
          <w:spacing w:val="-2"/>
          <w:rtl/>
          <w:lang w:eastAsia="zh-TW"/>
        </w:rPr>
        <w:tab/>
        <w:t>طاء</w:t>
      </w:r>
      <w:r w:rsidR="00731132" w:rsidRPr="00731132">
        <w:rPr>
          <w:rFonts w:ascii="Times New Roman Bold" w:hAnsi="Times New Roman Bold"/>
          <w:spacing w:val="-2"/>
          <w:rtl/>
          <w:lang w:eastAsia="zh-TW"/>
        </w:rPr>
        <w:t>-</w:t>
      </w:r>
      <w:r w:rsidR="00731132" w:rsidRPr="00731132">
        <w:rPr>
          <w:rFonts w:ascii="Times New Roman Bold" w:hAnsi="Times New Roman Bold"/>
          <w:spacing w:val="-2"/>
          <w:rtl/>
          <w:lang w:eastAsia="zh-TW"/>
        </w:rPr>
        <w:tab/>
      </w:r>
      <w:r w:rsidRPr="00731132">
        <w:rPr>
          <w:rFonts w:ascii="Times New Roman Bold" w:hAnsi="Times New Roman Bold"/>
          <w:spacing w:val="-2"/>
          <w:rtl/>
          <w:lang w:eastAsia="zh-TW"/>
        </w:rPr>
        <w:t>تدابير الحماية الخاصة (المواد 22 و30 و32 و33 و35 و36 و37(ب)-(د)</w:t>
      </w:r>
      <w:r w:rsidRPr="0019764C">
        <w:rPr>
          <w:rtl/>
          <w:lang w:eastAsia="zh-TW"/>
        </w:rPr>
        <w:t xml:space="preserve"> و38-40)</w:t>
      </w:r>
    </w:p>
    <w:p w:rsidR="0004630F" w:rsidRPr="0019764C" w:rsidRDefault="0004630F" w:rsidP="00912A9D">
      <w:pPr>
        <w:pStyle w:val="H23GA"/>
        <w:keepNext/>
        <w:spacing w:before="240"/>
        <w:textDirection w:val="tbRlV"/>
        <w:rPr>
          <w:bCs w:val="0"/>
          <w:rtl/>
          <w:lang w:eastAsia="zh-TW" w:bidi="ar-DZ"/>
        </w:rPr>
      </w:pPr>
      <w:r w:rsidRPr="0019764C">
        <w:rPr>
          <w:lang w:eastAsia="zh-TW"/>
        </w:rPr>
        <w:tab/>
      </w:r>
      <w:r w:rsidRPr="0019764C">
        <w:rPr>
          <w:lang w:eastAsia="zh-TW"/>
        </w:rPr>
        <w:tab/>
      </w:r>
      <w:dir w:val="rtl">
        <w:r w:rsidRPr="0019764C">
          <w:rPr>
            <w:rtl/>
            <w:lang w:eastAsia="zh-TW"/>
          </w:rPr>
          <w:t xml:space="preserve">الأطفال </w:t>
        </w:r>
        <w:r w:rsidR="00731132">
          <w:rPr>
            <w:rtl/>
            <w:lang w:eastAsia="zh-TW"/>
          </w:rPr>
          <w:t>اللاجئون وملتمسو اللجوء</w:t>
        </w:r>
        <w:r w:rsidR="00DF51D4">
          <w:t>‬</w:t>
        </w:r>
        <w:r w:rsidR="003E66B1">
          <w:t>‬</w:t>
        </w:r>
        <w:r w:rsidR="002E62F7">
          <w:t>‬</w:t>
        </w:r>
      </w:dir>
    </w:p>
    <w:p w:rsidR="0004630F" w:rsidRPr="00731132" w:rsidRDefault="00731132" w:rsidP="00731132">
      <w:pPr>
        <w:pStyle w:val="SingleTxtGA"/>
        <w:rPr>
          <w:b/>
          <w:bCs/>
          <w:rtl/>
          <w:lang w:eastAsia="zh-TW"/>
        </w:rPr>
      </w:pPr>
      <w:r>
        <w:rPr>
          <w:rtl/>
          <w:lang w:eastAsia="zh-TW"/>
        </w:rPr>
        <w:t>٣٢-</w:t>
      </w:r>
      <w:r>
        <w:rPr>
          <w:rtl/>
          <w:lang w:eastAsia="zh-TW"/>
        </w:rPr>
        <w:tab/>
      </w:r>
      <w:r w:rsidR="0004630F" w:rsidRPr="00731132">
        <w:rPr>
          <w:b/>
          <w:bCs/>
          <w:rtl/>
          <w:lang w:eastAsia="zh-TW"/>
        </w:rPr>
        <w:t>تلاحظ اللجنة جهود الدولة الطرف لضمان حصول الأطفال السوريين على التعليم الأساسي، وتشيد بتوطيد تدابير تسهيل إصدار وثائق التسجيل المدني وتسجيل المواليد حرصا على حصول جميع الأطفال المولودين في الدولة الطرف على شهادة ميلاد، لكنها توصيها بالآتي:</w:t>
      </w:r>
    </w:p>
    <w:p w:rsidR="0004630F" w:rsidRPr="007F689B" w:rsidRDefault="00731132" w:rsidP="00731132">
      <w:pPr>
        <w:pStyle w:val="SingleTxtGA"/>
        <w:rPr>
          <w:rFonts w:ascii="Times New Roman Bold" w:hAnsi="Times New Roman Bold"/>
          <w:b/>
          <w:bCs/>
          <w:spacing w:val="-2"/>
          <w:rtl/>
          <w:lang w:eastAsia="zh-TW"/>
        </w:rPr>
      </w:pPr>
      <w:r>
        <w:rPr>
          <w:rtl/>
          <w:lang w:eastAsia="zh-TW"/>
        </w:rPr>
        <w:tab/>
      </w:r>
      <w:r w:rsidR="0004630F" w:rsidRPr="0019764C">
        <w:rPr>
          <w:rtl/>
          <w:lang w:eastAsia="zh-TW"/>
        </w:rPr>
        <w:t>(أ)</w:t>
      </w:r>
      <w:r w:rsidR="0004630F" w:rsidRPr="00731132">
        <w:rPr>
          <w:b/>
          <w:bCs/>
          <w:rtl/>
          <w:lang w:eastAsia="zh-TW"/>
        </w:rPr>
        <w:tab/>
        <w:t xml:space="preserve">تحسين التنسيق بين المؤسسات الحكومية وشبه الحكومية التي تُعنى بحقوق </w:t>
      </w:r>
      <w:r w:rsidR="0004630F" w:rsidRPr="007F689B">
        <w:rPr>
          <w:rFonts w:ascii="Times New Roman Bold" w:hAnsi="Times New Roman Bold"/>
          <w:b/>
          <w:bCs/>
          <w:spacing w:val="-2"/>
          <w:rtl/>
          <w:lang w:eastAsia="zh-TW"/>
        </w:rPr>
        <w:t>الطفل وتوثيق التعاون مع مفوضية الأمم المتحدة لشؤون اللاجئين بالتوقيع على مذكرة تفاهم؛</w:t>
      </w:r>
    </w:p>
    <w:p w:rsidR="0004630F" w:rsidRPr="00731132" w:rsidRDefault="00731132" w:rsidP="00731132">
      <w:pPr>
        <w:pStyle w:val="SingleTxtGA"/>
        <w:rPr>
          <w:b/>
          <w:bCs/>
          <w:rtl/>
          <w:lang w:eastAsia="zh-TW"/>
        </w:rPr>
      </w:pPr>
      <w:r>
        <w:rPr>
          <w:rtl/>
          <w:lang w:eastAsia="zh-TW"/>
        </w:rPr>
        <w:tab/>
      </w:r>
      <w:r w:rsidR="0004630F" w:rsidRPr="0019764C">
        <w:rPr>
          <w:rtl/>
          <w:lang w:eastAsia="zh-TW"/>
        </w:rPr>
        <w:t>(ب)</w:t>
      </w:r>
      <w:r>
        <w:rPr>
          <w:rtl/>
          <w:lang w:eastAsia="zh-TW"/>
        </w:rPr>
        <w:tab/>
      </w:r>
      <w:r w:rsidR="0004630F" w:rsidRPr="00731132">
        <w:rPr>
          <w:b/>
          <w:bCs/>
          <w:rtl/>
          <w:lang w:eastAsia="zh-TW"/>
        </w:rPr>
        <w:t>النظر في الانضمام إلى الاتفاقية الخاصة بوضع اللاجئين والاتفاقية بشأن وضع الأشخاص عديمي الجنسية والاتفاقية المتعلقة بخفض حالات انعدام الجنسية.</w:t>
      </w:r>
      <w:r w:rsidR="0004630F" w:rsidRPr="00731132">
        <w:rPr>
          <w:rFonts w:cs="Times New Roman" w:hint="cs"/>
          <w:b/>
          <w:bCs/>
          <w:rtl/>
          <w:lang w:eastAsia="zh-TW"/>
        </w:rPr>
        <w:t>‬</w:t>
      </w:r>
      <w:r>
        <w:rPr>
          <w:rFonts w:cs="Times New Roman" w:hint="cs"/>
          <w:b/>
          <w:bCs/>
          <w:rtl/>
          <w:lang w:eastAsia="zh-TW"/>
        </w:rPr>
        <w:t xml:space="preserve"> </w:t>
      </w:r>
    </w:p>
    <w:p w:rsidR="0004630F" w:rsidRPr="00C6384B" w:rsidRDefault="0004630F" w:rsidP="00912A9D">
      <w:pPr>
        <w:pStyle w:val="H23GA"/>
        <w:keepNext/>
        <w:spacing w:before="240"/>
        <w:textDirection w:val="tbRlV"/>
        <w:rPr>
          <w:b w:val="0"/>
          <w:bCs w:val="0"/>
          <w:rtl/>
          <w:lang w:eastAsia="zh-TW" w:bidi="ar-DZ"/>
        </w:rPr>
      </w:pPr>
      <w:r w:rsidRPr="00C6384B">
        <w:rPr>
          <w:b w:val="0"/>
          <w:lang w:eastAsia="zh-TW"/>
        </w:rPr>
        <w:tab/>
      </w:r>
      <w:r w:rsidRPr="00C6384B">
        <w:rPr>
          <w:b w:val="0"/>
          <w:lang w:eastAsia="zh-TW"/>
        </w:rPr>
        <w:tab/>
      </w:r>
      <w:dir w:val="rtl">
        <w:r w:rsidR="00731132">
          <w:rPr>
            <w:b w:val="0"/>
            <w:rtl/>
            <w:lang w:eastAsia="zh-TW"/>
          </w:rPr>
          <w:t>الأطفال في حالات الهجرة</w:t>
        </w:r>
        <w:r w:rsidR="00DF51D4">
          <w:t>‬</w:t>
        </w:r>
        <w:r w:rsidR="003E66B1">
          <w:t>‬</w:t>
        </w:r>
        <w:r w:rsidR="002E62F7">
          <w:t>‬</w:t>
        </w:r>
      </w:dir>
    </w:p>
    <w:p w:rsidR="0004630F" w:rsidRPr="001D29FA" w:rsidRDefault="00731132" w:rsidP="00731132">
      <w:pPr>
        <w:pStyle w:val="SingleTxtGA"/>
        <w:rPr>
          <w:rtl/>
          <w:lang w:eastAsia="zh-TW"/>
        </w:rPr>
      </w:pPr>
      <w:r>
        <w:rPr>
          <w:rtl/>
          <w:lang w:eastAsia="zh-TW"/>
        </w:rPr>
        <w:t>٣٣-</w:t>
      </w:r>
      <w:r>
        <w:rPr>
          <w:rtl/>
          <w:lang w:eastAsia="zh-TW"/>
        </w:rPr>
        <w:tab/>
      </w:r>
      <w:r w:rsidR="0004630F">
        <w:rPr>
          <w:rtl/>
          <w:lang w:eastAsia="zh-TW"/>
        </w:rPr>
        <w:t>تلاحظ اللجنة اعتماد القانون رقم ٢١(2015) الذي ينظم دخول المهاجرين ومغادرتهم وإقامتهم والذي يدعم وحدة الأسرة، غير أنها تشعر بقلق شديد مما يلي:</w:t>
      </w:r>
    </w:p>
    <w:p w:rsidR="0004630F" w:rsidRPr="001D29FA" w:rsidRDefault="0004630F" w:rsidP="00731132">
      <w:pPr>
        <w:pStyle w:val="SingleTxtGA"/>
        <w:rPr>
          <w:rtl/>
          <w:lang w:eastAsia="zh-TW"/>
        </w:rPr>
      </w:pPr>
      <w:r>
        <w:rPr>
          <w:lang w:eastAsia="zh-TW"/>
        </w:rPr>
        <w:tab/>
      </w:r>
      <w:r>
        <w:rPr>
          <w:rtl/>
          <w:lang w:eastAsia="zh-TW"/>
        </w:rPr>
        <w:t>(أ)</w:t>
      </w:r>
      <w:r>
        <w:rPr>
          <w:rtl/>
          <w:lang w:eastAsia="zh-TW"/>
        </w:rPr>
        <w:tab/>
        <w:t>الممارسة التي تقضي باحتجاز أو سجن المهاجرات مع الأطفال في مرافق احتجاز المهاجرين ريثما يرحّلون؛</w:t>
      </w:r>
    </w:p>
    <w:p w:rsidR="0004630F" w:rsidRPr="001D29FA" w:rsidRDefault="00731132" w:rsidP="00731132">
      <w:pPr>
        <w:pStyle w:val="SingleTxtGA"/>
        <w:rPr>
          <w:rtl/>
          <w:lang w:eastAsia="zh-TW"/>
        </w:rPr>
      </w:pPr>
      <w:r>
        <w:rPr>
          <w:rtl/>
          <w:lang w:eastAsia="zh-TW"/>
        </w:rPr>
        <w:tab/>
      </w:r>
      <w:r w:rsidR="0004630F">
        <w:rPr>
          <w:rtl/>
          <w:lang w:eastAsia="zh-TW"/>
        </w:rPr>
        <w:t>(ب)</w:t>
      </w:r>
      <w:r>
        <w:rPr>
          <w:rtl/>
          <w:lang w:eastAsia="zh-TW"/>
        </w:rPr>
        <w:tab/>
      </w:r>
      <w:r w:rsidR="0004630F">
        <w:rPr>
          <w:rtl/>
          <w:lang w:eastAsia="zh-TW"/>
        </w:rPr>
        <w:t xml:space="preserve">الآثار التي تحدثها حالة العمال المهاجرين، لا سيما العاملات المنزليات، على حق أطفالهم في أوطانهم في بيئة أسرية، خاصة أن نظام الكفالة المفروض عليهم يؤدي إلى </w:t>
      </w:r>
      <w:r w:rsidR="0004630F">
        <w:rPr>
          <w:rtl/>
          <w:lang w:eastAsia="zh-TW"/>
        </w:rPr>
        <w:lastRenderedPageBreak/>
        <w:t>ظروف عمل شبيهة بالرق، وأن مصادرة جوازات سفرهم والقيود الفعلية التي تقيد حرية تنقلهم تحد من قدرتهم على العودة إلى أوطانهم، الأمر الذي يحرم أطفالهم من بيئة أسرية.</w:t>
      </w:r>
    </w:p>
    <w:p w:rsidR="0004630F" w:rsidRPr="00731132" w:rsidRDefault="00731132" w:rsidP="00E25595">
      <w:pPr>
        <w:pStyle w:val="SingleTxtGA"/>
        <w:rPr>
          <w:b/>
          <w:bCs/>
          <w:rtl/>
          <w:lang w:eastAsia="zh-TW"/>
        </w:rPr>
      </w:pPr>
      <w:r>
        <w:rPr>
          <w:rtl/>
          <w:lang w:eastAsia="zh-TW"/>
        </w:rPr>
        <w:t>٣٤-</w:t>
      </w:r>
      <w:r>
        <w:rPr>
          <w:rtl/>
          <w:lang w:eastAsia="zh-TW"/>
        </w:rPr>
        <w:tab/>
      </w:r>
      <w:r w:rsidR="0004630F" w:rsidRPr="00731132">
        <w:rPr>
          <w:b/>
          <w:bCs/>
          <w:rtl/>
          <w:lang w:eastAsia="zh-TW"/>
        </w:rPr>
        <w:t>وتحث اللجنة الدولة الطرف على الآتي في سياق الإشارة إلى توصيات المقرر الخاص المعني بحقوق الإنسان للمهاجرين الواردة في تقريره عن بعثته إلى قطر (</w:t>
      </w:r>
      <w:r w:rsidR="00E25595">
        <w:rPr>
          <w:b/>
          <w:bCs/>
          <w:lang w:val="fr-CH" w:eastAsia="zh-TW"/>
        </w:rPr>
        <w:t>A/HRC/26/35/Add.1</w:t>
      </w:r>
      <w:r w:rsidR="0004630F" w:rsidRPr="00731132">
        <w:rPr>
          <w:b/>
          <w:bCs/>
          <w:rtl/>
          <w:lang w:eastAsia="zh-TW"/>
        </w:rPr>
        <w:t>):</w:t>
      </w:r>
    </w:p>
    <w:p w:rsidR="0004630F" w:rsidRPr="00731132" w:rsidRDefault="0004630F" w:rsidP="00731132">
      <w:pPr>
        <w:pStyle w:val="SingleTxtGA"/>
        <w:rPr>
          <w:b/>
          <w:bCs/>
          <w:rtl/>
          <w:lang w:eastAsia="zh-TW"/>
        </w:rPr>
      </w:pPr>
      <w:r w:rsidRPr="00116FE1">
        <w:rPr>
          <w:lang w:eastAsia="zh-TW"/>
        </w:rPr>
        <w:tab/>
      </w:r>
      <w:r w:rsidRPr="00116FE1">
        <w:rPr>
          <w:rtl/>
          <w:lang w:eastAsia="zh-TW"/>
        </w:rPr>
        <w:t>(أ)</w:t>
      </w:r>
      <w:r w:rsidRPr="00116FE1">
        <w:rPr>
          <w:rtl/>
          <w:lang w:eastAsia="zh-TW"/>
        </w:rPr>
        <w:tab/>
      </w:r>
      <w:r w:rsidRPr="00731132">
        <w:rPr>
          <w:b/>
          <w:bCs/>
          <w:rtl/>
          <w:lang w:eastAsia="zh-TW"/>
        </w:rPr>
        <w:t>الامتناع عن احتجاز الأطفال والأسر التي لديها أطفال في مرافق احتجاز المهاجرين وفقا</w:t>
      </w:r>
      <w:r w:rsidR="00731132">
        <w:rPr>
          <w:rFonts w:hint="cs"/>
          <w:b/>
          <w:bCs/>
          <w:rtl/>
          <w:lang w:eastAsia="zh-TW"/>
        </w:rPr>
        <w:t>ً</w:t>
      </w:r>
      <w:r w:rsidRPr="00731132">
        <w:rPr>
          <w:b/>
          <w:bCs/>
          <w:rtl/>
          <w:lang w:eastAsia="zh-TW"/>
        </w:rPr>
        <w:t xml:space="preserve"> لمبادئ مصالح الطفل الفضلى ووحدة الأسرة؛ والاستخدام </w:t>
      </w:r>
      <w:proofErr w:type="spellStart"/>
      <w:r w:rsidRPr="00731132">
        <w:rPr>
          <w:b/>
          <w:bCs/>
          <w:rtl/>
          <w:lang w:eastAsia="zh-TW"/>
        </w:rPr>
        <w:t>الممنهج</w:t>
      </w:r>
      <w:proofErr w:type="spellEnd"/>
      <w:r w:rsidRPr="00731132">
        <w:rPr>
          <w:b/>
          <w:bCs/>
          <w:rtl/>
          <w:lang w:eastAsia="zh-TW"/>
        </w:rPr>
        <w:t xml:space="preserve"> للتدابير غير </w:t>
      </w:r>
      <w:proofErr w:type="spellStart"/>
      <w:r w:rsidRPr="00731132">
        <w:rPr>
          <w:b/>
          <w:bCs/>
          <w:rtl/>
          <w:lang w:eastAsia="zh-TW"/>
        </w:rPr>
        <w:t>الاحتجازية</w:t>
      </w:r>
      <w:proofErr w:type="spellEnd"/>
      <w:r w:rsidRPr="00731132">
        <w:rPr>
          <w:b/>
          <w:bCs/>
          <w:rtl/>
          <w:lang w:eastAsia="zh-TW"/>
        </w:rPr>
        <w:t xml:space="preserve"> بدلا</w:t>
      </w:r>
      <w:r w:rsidR="00731132">
        <w:rPr>
          <w:rFonts w:hint="cs"/>
          <w:b/>
          <w:bCs/>
          <w:rtl/>
          <w:lang w:eastAsia="zh-TW"/>
        </w:rPr>
        <w:t>ً</w:t>
      </w:r>
      <w:r w:rsidRPr="00731132">
        <w:rPr>
          <w:b/>
          <w:bCs/>
          <w:rtl/>
          <w:lang w:eastAsia="zh-TW"/>
        </w:rPr>
        <w:t xml:space="preserve"> من الاحتجاز؛ وإنشاء ملاجئ لتلك الفئات من المهاجرين؛</w:t>
      </w:r>
    </w:p>
    <w:p w:rsidR="0004630F" w:rsidRPr="00731132" w:rsidRDefault="00731132" w:rsidP="00731132">
      <w:pPr>
        <w:pStyle w:val="SingleTxtGA"/>
        <w:rPr>
          <w:b/>
          <w:bCs/>
          <w:rtl/>
          <w:lang w:eastAsia="zh-TW"/>
        </w:rPr>
      </w:pPr>
      <w:r>
        <w:rPr>
          <w:rtl/>
          <w:lang w:eastAsia="zh-TW"/>
        </w:rPr>
        <w:tab/>
      </w:r>
      <w:r w:rsidR="0004630F" w:rsidRPr="00116FE1">
        <w:rPr>
          <w:rtl/>
          <w:lang w:eastAsia="zh-TW"/>
        </w:rPr>
        <w:t>(ب)</w:t>
      </w:r>
      <w:r>
        <w:rPr>
          <w:rtl/>
          <w:lang w:eastAsia="zh-TW"/>
        </w:rPr>
        <w:tab/>
      </w:r>
      <w:r w:rsidR="0004630F" w:rsidRPr="00731132">
        <w:rPr>
          <w:b/>
          <w:bCs/>
          <w:rtl/>
          <w:lang w:eastAsia="zh-TW"/>
        </w:rPr>
        <w:t>اتخاذ جميع التدابير اللازمة، خاصة التدابير التشريعية، لتوفير ظروف عمل لائقة للعمال المهاجرين، إضافة إلى حقهم في حياة أسرية مع أطفالهم.</w:t>
      </w:r>
      <w:r w:rsidR="0004630F" w:rsidRPr="00731132">
        <w:rPr>
          <w:rFonts w:cs="Times New Roman" w:hint="cs"/>
          <w:b/>
          <w:bCs/>
          <w:rtl/>
          <w:lang w:eastAsia="zh-TW"/>
        </w:rPr>
        <w:t>‬</w:t>
      </w:r>
      <w:r w:rsidR="0004630F" w:rsidRPr="00731132">
        <w:rPr>
          <w:b/>
          <w:bCs/>
          <w:rtl/>
          <w:lang w:eastAsia="zh-TW"/>
        </w:rPr>
        <w:t xml:space="preserve"> </w:t>
      </w:r>
      <w:dir w:val="rtl">
        <w:r w:rsidR="0004630F" w:rsidRPr="00731132">
          <w:rPr>
            <w:b/>
            <w:bCs/>
            <w:rtl/>
            <w:lang w:eastAsia="zh-TW"/>
          </w:rPr>
          <w:t>وينبغي في هذا الصدد، دون إبطاء، إلغاء نظام الكفالة المفروض على العمال المنزليين المهاجرين، وتنظيم عمل العمال المهاجرين، بمن فيهم العمال المنزليون، والإشراف عليه كما يجب.</w:t>
        </w:r>
        <w:r w:rsidR="0004630F" w:rsidRPr="00731132">
          <w:rPr>
            <w:b/>
            <w:bCs/>
          </w:rPr>
          <w:t>‬</w:t>
        </w:r>
        <w:r w:rsidRPr="00731132">
          <w:rPr>
            <w:rFonts w:hint="cs"/>
            <w:b/>
            <w:bCs/>
            <w:rtl/>
            <w:lang w:eastAsia="zh-TW"/>
          </w:rPr>
          <w:t xml:space="preserve"> </w:t>
        </w:r>
        <w:r w:rsidR="00DF51D4">
          <w:t>‬</w:t>
        </w:r>
        <w:r w:rsidR="003E66B1">
          <w:t>‬</w:t>
        </w:r>
        <w:r w:rsidR="002E62F7">
          <w:t>‬</w:t>
        </w:r>
      </w:dir>
    </w:p>
    <w:p w:rsidR="0004630F" w:rsidRPr="00116FE1" w:rsidRDefault="0004630F" w:rsidP="00912A9D">
      <w:pPr>
        <w:pStyle w:val="H23GA"/>
        <w:keepNext/>
        <w:spacing w:before="240"/>
        <w:textDirection w:val="tbRlV"/>
        <w:rPr>
          <w:bCs w:val="0"/>
          <w:rtl/>
          <w:lang w:eastAsia="zh-TW" w:bidi="ar-DZ"/>
        </w:rPr>
      </w:pPr>
      <w:r w:rsidRPr="00116FE1">
        <w:rPr>
          <w:lang w:eastAsia="zh-TW"/>
        </w:rPr>
        <w:tab/>
      </w:r>
      <w:r w:rsidRPr="00116FE1">
        <w:rPr>
          <w:lang w:eastAsia="zh-TW"/>
        </w:rPr>
        <w:tab/>
      </w:r>
      <w:dir w:val="rtl">
        <w:r w:rsidRPr="00116FE1">
          <w:rPr>
            <w:rtl/>
            <w:lang w:eastAsia="zh-TW"/>
          </w:rPr>
          <w:t>الاستغلال الاقتص</w:t>
        </w:r>
        <w:r w:rsidR="00731132">
          <w:rPr>
            <w:rtl/>
            <w:lang w:eastAsia="zh-TW"/>
          </w:rPr>
          <w:t>ادي، بما في ذلك عمل الأطفال</w:t>
        </w:r>
        <w:r w:rsidR="00731132">
          <w:rPr>
            <w:rtl/>
            <w:lang w:eastAsia="zh-TW"/>
          </w:rPr>
          <w:t>‬</w:t>
        </w:r>
        <w:r w:rsidR="00DF51D4">
          <w:t>‬</w:t>
        </w:r>
        <w:r w:rsidR="003E66B1">
          <w:t>‬</w:t>
        </w:r>
        <w:r w:rsidR="002E62F7">
          <w:t>‬</w:t>
        </w:r>
      </w:dir>
    </w:p>
    <w:p w:rsidR="0004630F" w:rsidRPr="00731132" w:rsidRDefault="00731132" w:rsidP="00A7574A">
      <w:pPr>
        <w:pStyle w:val="SingleTxtGA"/>
        <w:rPr>
          <w:b/>
          <w:bCs/>
          <w:rtl/>
          <w:lang w:eastAsia="zh-TW"/>
        </w:rPr>
      </w:pPr>
      <w:r>
        <w:rPr>
          <w:rtl/>
          <w:lang w:eastAsia="zh-TW"/>
        </w:rPr>
        <w:t>٣٥-</w:t>
      </w:r>
      <w:r>
        <w:rPr>
          <w:rtl/>
          <w:lang w:eastAsia="zh-TW"/>
        </w:rPr>
        <w:tab/>
      </w:r>
      <w:r w:rsidR="0004630F" w:rsidRPr="00731132">
        <w:rPr>
          <w:b/>
          <w:bCs/>
          <w:rtl/>
          <w:lang w:eastAsia="zh-TW"/>
        </w:rPr>
        <w:t xml:space="preserve">تشارك اللجنة القلق الذي أعربت عنه اللجنة المعنية بالقضاء على التمييز ضد المرأة في ٢٠١٤ بخصوص الاستغلال الاقتصادي والجنسي للفتيات اللواتي يشتغلن عاملات منزليات (انظر </w:t>
      </w:r>
      <w:r w:rsidR="00A7574A">
        <w:rPr>
          <w:b/>
          <w:bCs/>
          <w:lang w:eastAsia="zh-TW"/>
        </w:rPr>
        <w:t>/1</w:t>
      </w:r>
      <w:r w:rsidR="0004630F" w:rsidRPr="00731132">
        <w:rPr>
          <w:rFonts w:asciiTheme="majorBidi" w:hAnsiTheme="majorBidi" w:cstheme="majorBidi"/>
          <w:b/>
          <w:bCs/>
          <w:szCs w:val="20"/>
          <w:rtl/>
          <w:lang w:eastAsia="zh-TW"/>
        </w:rPr>
        <w:t>CEDAW/C/QAT/CO</w:t>
      </w:r>
      <w:r w:rsidR="0004630F" w:rsidRPr="00731132">
        <w:rPr>
          <w:b/>
          <w:bCs/>
          <w:rtl/>
          <w:lang w:eastAsia="zh-TW"/>
        </w:rPr>
        <w:t>، الفقرة 25)، وتحث الدولةَ الطرف على ضمان التنفيذ الفعال للتشريعات التي تحظر استخدام الأطفال عمالا منزليين، وعلى اتخاذ تدابير تكفل مساءلة من يستغلون الأطفال في العمل المنزلي.</w:t>
      </w:r>
    </w:p>
    <w:p w:rsidR="0004630F" w:rsidRPr="00912A9D" w:rsidRDefault="0004630F" w:rsidP="00912A9D">
      <w:pPr>
        <w:pStyle w:val="H23GA"/>
        <w:keepNext/>
        <w:spacing w:before="240"/>
        <w:textDirection w:val="tbRlV"/>
        <w:rPr>
          <w:rtl/>
        </w:rPr>
      </w:pPr>
      <w:r w:rsidRPr="00912A9D">
        <w:tab/>
      </w:r>
      <w:r w:rsidRPr="00912A9D">
        <w:tab/>
      </w:r>
      <w:r w:rsidRPr="00912A9D">
        <w:rPr>
          <w:rtl/>
        </w:rPr>
        <w:t>إدارة شؤون قضاء الأحداث</w:t>
      </w:r>
    </w:p>
    <w:p w:rsidR="0004630F" w:rsidRPr="001D29FA" w:rsidRDefault="00731132" w:rsidP="00731132">
      <w:pPr>
        <w:pStyle w:val="SingleTxtGA"/>
        <w:rPr>
          <w:rtl/>
          <w:lang w:eastAsia="zh-TW"/>
        </w:rPr>
      </w:pPr>
      <w:r>
        <w:rPr>
          <w:rtl/>
          <w:lang w:eastAsia="zh-TW"/>
        </w:rPr>
        <w:t>٣٦-</w:t>
      </w:r>
      <w:r>
        <w:rPr>
          <w:rtl/>
          <w:lang w:eastAsia="zh-TW"/>
        </w:rPr>
        <w:tab/>
      </w:r>
      <w:r w:rsidR="0004630F">
        <w:rPr>
          <w:rtl/>
          <w:lang w:eastAsia="zh-TW"/>
        </w:rPr>
        <w:t>تحيط اللجنة علما</w:t>
      </w:r>
      <w:r>
        <w:rPr>
          <w:rFonts w:hint="cs"/>
          <w:rtl/>
          <w:lang w:eastAsia="zh-TW"/>
        </w:rPr>
        <w:t>ً</w:t>
      </w:r>
      <w:r w:rsidR="0004630F">
        <w:rPr>
          <w:rtl/>
          <w:lang w:eastAsia="zh-TW"/>
        </w:rPr>
        <w:t xml:space="preserve"> بالمعلومات التي قدمتها الدولة الطرف عن الاستعراض الجاري لنظام قضاء الأحداث لديها، وأن مشروع قانون حقوق الطفل معروض حاليا على اللجنة الدائمة المعنية بالقضايا التشريعية، </w:t>
      </w:r>
      <w:dir w:val="rtl">
        <w:r w:rsidR="0004630F">
          <w:rPr>
            <w:rtl/>
            <w:lang w:eastAsia="zh-TW"/>
          </w:rPr>
          <w:t>غير أنها لا تزال تشعر بقلق بالغ إزاء ما يلي:</w:t>
        </w:r>
        <w:r w:rsidR="0004630F">
          <w:rPr>
            <w:rFonts w:cs="Times New Roman" w:hint="cs"/>
            <w:rtl/>
            <w:lang w:eastAsia="zh-TW"/>
          </w:rPr>
          <w:t>‬</w:t>
        </w:r>
        <w:r w:rsidR="0004630F">
          <w:t>‬</w:t>
        </w:r>
        <w:r w:rsidR="00DF51D4">
          <w:t>‬</w:t>
        </w:r>
        <w:r w:rsidR="003E66B1">
          <w:t>‬</w:t>
        </w:r>
        <w:r w:rsidR="002E62F7">
          <w:t>‬</w:t>
        </w:r>
      </w:dir>
    </w:p>
    <w:p w:rsidR="0004630F" w:rsidRPr="001D29FA" w:rsidRDefault="0004630F" w:rsidP="007F689B">
      <w:pPr>
        <w:pStyle w:val="SingleTxtGA"/>
        <w:rPr>
          <w:rtl/>
          <w:lang w:eastAsia="zh-TW"/>
        </w:rPr>
      </w:pPr>
      <w:r>
        <w:rPr>
          <w:lang w:eastAsia="zh-TW"/>
        </w:rPr>
        <w:tab/>
      </w:r>
      <w:r>
        <w:rPr>
          <w:rtl/>
          <w:lang w:eastAsia="zh-TW"/>
        </w:rPr>
        <w:t>(أ)</w:t>
      </w:r>
      <w:r>
        <w:rPr>
          <w:rtl/>
          <w:lang w:eastAsia="zh-TW"/>
        </w:rPr>
        <w:tab/>
        <w:t>لا يزال سن المسؤولية الجنائية محددا في ٧ سنوات، وهو منخفض للغاية؛</w:t>
      </w:r>
    </w:p>
    <w:p w:rsidR="0004630F" w:rsidRPr="001D29FA" w:rsidRDefault="0004630F" w:rsidP="007F689B">
      <w:pPr>
        <w:pStyle w:val="SingleTxtGA"/>
        <w:rPr>
          <w:rtl/>
          <w:lang w:eastAsia="zh-TW"/>
        </w:rPr>
      </w:pPr>
      <w:r>
        <w:rPr>
          <w:lang w:eastAsia="zh-TW"/>
        </w:rPr>
        <w:tab/>
      </w:r>
      <w:r>
        <w:rPr>
          <w:rtl/>
          <w:lang w:eastAsia="zh-TW"/>
        </w:rPr>
        <w:t>(ب)</w:t>
      </w:r>
      <w:r>
        <w:rPr>
          <w:rtl/>
          <w:lang w:eastAsia="zh-TW"/>
        </w:rPr>
        <w:tab/>
        <w:t>يمكن إصدار أحكام السجن المؤبد والأشغال الشاقة والجلد على عدد من الجرائم التي يرتكبها الأطفال الذين تتجاوز أعمارهم ١٦ عاما، على نحو ما أكدته الدولة الطرف في ردودها على قائمة المسائل (الفقرة ٧٢)؛</w:t>
      </w:r>
    </w:p>
    <w:p w:rsidR="0004630F" w:rsidRPr="007F689B" w:rsidRDefault="007F689B" w:rsidP="007F689B">
      <w:pPr>
        <w:pStyle w:val="SingleTxtGA"/>
        <w:rPr>
          <w:spacing w:val="-6"/>
          <w:rtl/>
          <w:lang w:eastAsia="zh-TW"/>
        </w:rPr>
      </w:pPr>
      <w:r w:rsidRPr="007F689B">
        <w:rPr>
          <w:spacing w:val="-6"/>
          <w:rtl/>
          <w:lang w:eastAsia="zh-TW"/>
        </w:rPr>
        <w:tab/>
      </w:r>
      <w:r w:rsidR="0004630F" w:rsidRPr="007F689B">
        <w:rPr>
          <w:spacing w:val="-6"/>
          <w:rtl/>
          <w:lang w:eastAsia="zh-TW"/>
        </w:rPr>
        <w:t>(ج)</w:t>
      </w:r>
      <w:r w:rsidRPr="007F689B">
        <w:rPr>
          <w:spacing w:val="-6"/>
          <w:rtl/>
          <w:lang w:eastAsia="zh-TW"/>
        </w:rPr>
        <w:tab/>
      </w:r>
      <w:r w:rsidR="0004630F" w:rsidRPr="007F689B">
        <w:rPr>
          <w:spacing w:val="-6"/>
          <w:rtl/>
          <w:lang w:eastAsia="zh-TW"/>
        </w:rPr>
        <w:t>لم تُنشأ بعد محكمة الأطفال الواردة في استراتيجية التنمية الوطنية 2011-2016.</w:t>
      </w:r>
    </w:p>
    <w:p w:rsidR="0004630F" w:rsidRPr="007F689B" w:rsidRDefault="007F689B" w:rsidP="00A7574A">
      <w:pPr>
        <w:pStyle w:val="SingleTxtGA"/>
        <w:rPr>
          <w:b/>
          <w:bCs/>
          <w:rtl/>
          <w:lang w:eastAsia="zh-TW"/>
        </w:rPr>
      </w:pPr>
      <w:r>
        <w:rPr>
          <w:rtl/>
          <w:lang w:eastAsia="zh-TW"/>
        </w:rPr>
        <w:t>٣٧-</w:t>
      </w:r>
      <w:r>
        <w:rPr>
          <w:rtl/>
          <w:lang w:eastAsia="zh-TW"/>
        </w:rPr>
        <w:tab/>
      </w:r>
      <w:r w:rsidR="0004630F" w:rsidRPr="007F689B">
        <w:rPr>
          <w:b/>
          <w:bCs/>
          <w:rtl/>
          <w:lang w:eastAsia="zh-TW"/>
        </w:rPr>
        <w:t xml:space="preserve">وتكرر اللجنة توصيتها السابقة (انظر </w:t>
      </w:r>
      <w:r w:rsidR="00A7574A">
        <w:rPr>
          <w:rFonts w:asciiTheme="majorBidi" w:hAnsiTheme="majorBidi" w:cstheme="majorBidi"/>
          <w:b/>
          <w:bCs/>
          <w:szCs w:val="20"/>
          <w:lang w:eastAsia="zh-TW"/>
        </w:rPr>
        <w:t>/2</w:t>
      </w:r>
      <w:r w:rsidR="0004630F" w:rsidRPr="007F689B">
        <w:rPr>
          <w:rFonts w:asciiTheme="majorBidi" w:hAnsiTheme="majorBidi" w:cstheme="majorBidi"/>
          <w:b/>
          <w:bCs/>
          <w:szCs w:val="20"/>
          <w:rtl/>
          <w:lang w:eastAsia="zh-TW"/>
        </w:rPr>
        <w:t>CRC/C/QAT/CO</w:t>
      </w:r>
      <w:r w:rsidR="0004630F" w:rsidRPr="007F689B">
        <w:rPr>
          <w:b/>
          <w:bCs/>
          <w:rtl/>
          <w:lang w:eastAsia="zh-TW"/>
        </w:rPr>
        <w:t>، الفقرة 71)، وتحث الدولة الطرف على جعل نظام قضاء الأحداث لديها متماشيا</w:t>
      </w:r>
      <w:r w:rsidR="00F62662">
        <w:rPr>
          <w:rFonts w:hint="cs"/>
          <w:b/>
          <w:bCs/>
          <w:rtl/>
          <w:lang w:eastAsia="zh-TW"/>
        </w:rPr>
        <w:t>ً</w:t>
      </w:r>
      <w:r w:rsidR="0004630F" w:rsidRPr="007F689B">
        <w:rPr>
          <w:b/>
          <w:bCs/>
          <w:rtl/>
          <w:lang w:eastAsia="zh-TW"/>
        </w:rPr>
        <w:t xml:space="preserve"> كليا</w:t>
      </w:r>
      <w:r w:rsidR="00F62662">
        <w:rPr>
          <w:rFonts w:hint="cs"/>
          <w:b/>
          <w:bCs/>
          <w:rtl/>
          <w:lang w:eastAsia="zh-TW"/>
        </w:rPr>
        <w:t>ً</w:t>
      </w:r>
      <w:r w:rsidR="0004630F" w:rsidRPr="007F689B">
        <w:rPr>
          <w:b/>
          <w:bCs/>
          <w:rtl/>
          <w:lang w:eastAsia="zh-TW"/>
        </w:rPr>
        <w:t xml:space="preserve"> مع الاتفاقية والمعايير الأخرى ذات الصلة. وتحثها خاصة على الآتي:</w:t>
      </w:r>
    </w:p>
    <w:p w:rsidR="0004630F" w:rsidRPr="007F689B" w:rsidRDefault="0004630F" w:rsidP="007F689B">
      <w:pPr>
        <w:pStyle w:val="SingleTxtGA"/>
        <w:rPr>
          <w:b/>
          <w:bCs/>
          <w:rtl/>
          <w:lang w:eastAsia="zh-TW"/>
        </w:rPr>
      </w:pPr>
      <w:r w:rsidRPr="00B942F7">
        <w:rPr>
          <w:lang w:eastAsia="zh-TW"/>
        </w:rPr>
        <w:tab/>
      </w:r>
      <w:r w:rsidRPr="00B942F7">
        <w:rPr>
          <w:rtl/>
          <w:lang w:eastAsia="zh-TW"/>
        </w:rPr>
        <w:t>(أ)</w:t>
      </w:r>
      <w:r w:rsidRPr="007F689B">
        <w:rPr>
          <w:b/>
          <w:bCs/>
          <w:rtl/>
          <w:lang w:eastAsia="zh-TW"/>
        </w:rPr>
        <w:tab/>
        <w:t xml:space="preserve">المسارعة إلى اعتماد مشروع القانون المتعلق بحقوق الطفل والتعجيل برفع الحد الأدنى لسن المسؤولية الجنائية </w:t>
      </w:r>
      <w:r w:rsidR="00ED7A25">
        <w:rPr>
          <w:b/>
          <w:bCs/>
          <w:rtl/>
          <w:lang w:eastAsia="zh-TW"/>
        </w:rPr>
        <w:t>وفقاً</w:t>
      </w:r>
      <w:r w:rsidRPr="007F689B">
        <w:rPr>
          <w:b/>
          <w:bCs/>
          <w:rtl/>
          <w:lang w:eastAsia="zh-TW"/>
        </w:rPr>
        <w:t xml:space="preserve"> للمعايير المقبولة دوليا؛ </w:t>
      </w:r>
    </w:p>
    <w:p w:rsidR="0004630F" w:rsidRPr="007F689B" w:rsidRDefault="0004630F" w:rsidP="007F689B">
      <w:pPr>
        <w:pStyle w:val="SingleTxtGA"/>
        <w:rPr>
          <w:b/>
          <w:bCs/>
          <w:rtl/>
          <w:lang w:eastAsia="zh-TW"/>
        </w:rPr>
      </w:pPr>
      <w:r w:rsidRPr="00B942F7">
        <w:rPr>
          <w:lang w:eastAsia="zh-TW"/>
        </w:rPr>
        <w:lastRenderedPageBreak/>
        <w:tab/>
      </w:r>
      <w:r w:rsidRPr="00B942F7">
        <w:rPr>
          <w:rtl/>
          <w:lang w:eastAsia="zh-TW"/>
        </w:rPr>
        <w:t>(ب)</w:t>
      </w:r>
      <w:r w:rsidRPr="007F689B">
        <w:rPr>
          <w:b/>
          <w:bCs/>
          <w:rtl/>
          <w:lang w:eastAsia="zh-TW"/>
        </w:rPr>
        <w:tab/>
        <w:t>إلغاء جميع الأحكام القانونية المحلية التي تنص على السجن المؤبد والأشغال الشاقة والجلد على الجرائم التي يرتكبها أشخاص دون ١٨ سنة من العمر؛</w:t>
      </w:r>
    </w:p>
    <w:p w:rsidR="0004630F" w:rsidRPr="007F689B" w:rsidRDefault="007F689B" w:rsidP="007F689B">
      <w:pPr>
        <w:pStyle w:val="SingleTxtGA"/>
        <w:rPr>
          <w:b/>
          <w:bCs/>
          <w:rtl/>
          <w:lang w:eastAsia="zh-TW"/>
        </w:rPr>
      </w:pPr>
      <w:r>
        <w:rPr>
          <w:rtl/>
          <w:lang w:eastAsia="zh-TW"/>
        </w:rPr>
        <w:tab/>
      </w:r>
      <w:r w:rsidR="0004630F" w:rsidRPr="00B942F7">
        <w:rPr>
          <w:rtl/>
          <w:lang w:eastAsia="zh-TW"/>
        </w:rPr>
        <w:t>(ج)</w:t>
      </w:r>
      <w:r>
        <w:rPr>
          <w:rtl/>
          <w:lang w:eastAsia="zh-TW"/>
        </w:rPr>
        <w:tab/>
      </w:r>
      <w:r w:rsidR="0004630F" w:rsidRPr="007F689B">
        <w:rPr>
          <w:b/>
          <w:bCs/>
          <w:rtl/>
          <w:lang w:eastAsia="zh-TW"/>
        </w:rPr>
        <w:t>إنشاء محكمة للأطفال، كما جاء في استراتيجية التنمية الوطنية للدولة الطرف 2011-2016؛</w:t>
      </w:r>
    </w:p>
    <w:p w:rsidR="0004630F" w:rsidRPr="007F689B" w:rsidRDefault="0004630F" w:rsidP="007F689B">
      <w:pPr>
        <w:pStyle w:val="SingleTxtGA"/>
        <w:rPr>
          <w:b/>
          <w:bCs/>
          <w:rtl/>
          <w:lang w:eastAsia="zh-TW"/>
        </w:rPr>
      </w:pPr>
      <w:r w:rsidRPr="00B942F7">
        <w:rPr>
          <w:lang w:eastAsia="zh-TW"/>
        </w:rPr>
        <w:tab/>
      </w:r>
      <w:r w:rsidRPr="00B942F7">
        <w:rPr>
          <w:rtl/>
          <w:lang w:eastAsia="zh-TW"/>
        </w:rPr>
        <w:t>(د)</w:t>
      </w:r>
      <w:r w:rsidRPr="007F689B">
        <w:rPr>
          <w:b/>
          <w:bCs/>
          <w:rtl/>
          <w:lang w:eastAsia="zh-TW"/>
        </w:rPr>
        <w:tab/>
        <w:t>ضمان تقديم مساعدة قانونية تتسم بالكفاءة والاستقلالية للأطفال الجانحين في مرحلة مبكرة من الإجراءات وطوال الإجراءات القانونية؛</w:t>
      </w:r>
    </w:p>
    <w:p w:rsidR="0004630F" w:rsidRPr="007F689B" w:rsidRDefault="0004630F" w:rsidP="007F689B">
      <w:pPr>
        <w:pStyle w:val="SingleTxtGA"/>
        <w:rPr>
          <w:b/>
          <w:bCs/>
          <w:rtl/>
          <w:lang w:eastAsia="zh-TW"/>
        </w:rPr>
      </w:pPr>
      <w:r w:rsidRPr="00B942F7">
        <w:rPr>
          <w:lang w:eastAsia="zh-TW"/>
        </w:rPr>
        <w:tab/>
      </w:r>
      <w:r w:rsidRPr="00B942F7">
        <w:rPr>
          <w:rtl/>
          <w:lang w:eastAsia="zh-TW"/>
        </w:rPr>
        <w:t>(هـ)</w:t>
      </w:r>
      <w:r w:rsidRPr="007F689B">
        <w:rPr>
          <w:b/>
          <w:bCs/>
          <w:rtl/>
          <w:lang w:eastAsia="zh-TW"/>
        </w:rPr>
        <w:tab/>
        <w:t xml:space="preserve">تشجيع التدابير غير القضائية في حالة الأطفال المتهمين بارتكاب جرائم، مثل التحويل أو الإفراج تحت المراقبة أو الوساطة أو الإرشاد أو الخدمة المجتمعية؛ وحيثما أمكن، الأخذ بالتدابير البديلة عند إصدار الأحكام بحيث لا يُلجأ إلى الاحتجاز إلا عند الضرورة القصوى ولأقصر مدة ممكنة وأن تُراجَع بانتظام قصد سحبها؛ </w:t>
      </w:r>
    </w:p>
    <w:p w:rsidR="0004630F" w:rsidRPr="007F689B" w:rsidRDefault="007F689B" w:rsidP="007F689B">
      <w:pPr>
        <w:pStyle w:val="SingleTxtGA"/>
        <w:rPr>
          <w:b/>
          <w:bCs/>
          <w:rtl/>
          <w:lang w:eastAsia="zh-TW"/>
        </w:rPr>
      </w:pPr>
      <w:r>
        <w:rPr>
          <w:rtl/>
          <w:lang w:eastAsia="zh-TW"/>
        </w:rPr>
        <w:tab/>
      </w:r>
      <w:r w:rsidR="0004630F" w:rsidRPr="00B942F7">
        <w:rPr>
          <w:rtl/>
          <w:lang w:eastAsia="zh-TW"/>
        </w:rPr>
        <w:t>(و)</w:t>
      </w:r>
      <w:r>
        <w:rPr>
          <w:rtl/>
        </w:rPr>
        <w:tab/>
      </w:r>
      <w:dir w:val="rtl">
        <w:r w:rsidR="0004630F" w:rsidRPr="007F689B">
          <w:rPr>
            <w:b/>
            <w:bCs/>
            <w:rtl/>
            <w:lang w:eastAsia="zh-TW"/>
          </w:rPr>
          <w:t>التأكد، حيثما وجب الاحتجاز، من عدم احتجاز الأطفال مع الكبار ومن توافق ظروف الاحتجاز مع المعايير الدولية، بما فيها المتصلة بالحصول على خدمات التعليم والصحة.</w:t>
        </w:r>
        <w:r w:rsidR="0004630F" w:rsidRPr="007F689B">
          <w:rPr>
            <w:rFonts w:cs="Times New Roman" w:hint="cs"/>
            <w:b/>
            <w:bCs/>
            <w:rtl/>
            <w:lang w:eastAsia="zh-TW"/>
          </w:rPr>
          <w:t>‬</w:t>
        </w:r>
        <w:r w:rsidR="0004630F" w:rsidRPr="007F689B">
          <w:rPr>
            <w:b/>
            <w:bCs/>
          </w:rPr>
          <w:t>‬</w:t>
        </w:r>
        <w:r>
          <w:rPr>
            <w:rFonts w:hint="cs"/>
            <w:b/>
            <w:bCs/>
            <w:rtl/>
          </w:rPr>
          <w:t xml:space="preserve"> </w:t>
        </w:r>
        <w:r w:rsidR="00DF51D4">
          <w:t>‬</w:t>
        </w:r>
        <w:r w:rsidR="003E66B1">
          <w:t>‬</w:t>
        </w:r>
        <w:r w:rsidR="002E62F7">
          <w:t>‬</w:t>
        </w:r>
      </w:dir>
    </w:p>
    <w:p w:rsidR="0004630F" w:rsidRPr="00B942F7" w:rsidRDefault="0004630F" w:rsidP="00912A9D">
      <w:pPr>
        <w:pStyle w:val="H23GA"/>
        <w:keepNext/>
        <w:spacing w:before="240"/>
        <w:textDirection w:val="tbRlV"/>
        <w:rPr>
          <w:bCs w:val="0"/>
          <w:rtl/>
          <w:lang w:eastAsia="zh-TW" w:bidi="ar-DZ"/>
        </w:rPr>
      </w:pPr>
      <w:r w:rsidRPr="00B942F7">
        <w:rPr>
          <w:lang w:eastAsia="zh-TW"/>
        </w:rPr>
        <w:tab/>
      </w:r>
      <w:r w:rsidRPr="00B942F7">
        <w:rPr>
          <w:lang w:eastAsia="zh-TW"/>
        </w:rPr>
        <w:tab/>
      </w:r>
      <w:dir w:val="rtl">
        <w:r w:rsidRPr="00B942F7">
          <w:rPr>
            <w:rtl/>
            <w:lang w:eastAsia="zh-TW"/>
          </w:rPr>
          <w:t>الأطفال ضحايا الجر</w:t>
        </w:r>
        <w:r w:rsidR="007F689B">
          <w:rPr>
            <w:rtl/>
            <w:lang w:eastAsia="zh-TW"/>
          </w:rPr>
          <w:t>ائم والشهود عليها</w:t>
        </w:r>
        <w:r w:rsidR="00DF51D4">
          <w:t>‬</w:t>
        </w:r>
        <w:r w:rsidR="003E66B1">
          <w:t>‬</w:t>
        </w:r>
        <w:r w:rsidR="002E62F7">
          <w:t>‬</w:t>
        </w:r>
      </w:dir>
    </w:p>
    <w:p w:rsidR="0004630F" w:rsidRPr="007F689B" w:rsidRDefault="0004630F" w:rsidP="007F689B">
      <w:pPr>
        <w:pStyle w:val="SingleTxtGA"/>
        <w:rPr>
          <w:b/>
          <w:bCs/>
          <w:rtl/>
          <w:lang w:eastAsia="zh-TW"/>
        </w:rPr>
      </w:pPr>
      <w:r w:rsidRPr="00B942F7">
        <w:rPr>
          <w:rtl/>
          <w:lang w:eastAsia="zh-TW"/>
        </w:rPr>
        <w:t>٣٨-</w:t>
      </w:r>
      <w:r w:rsidR="007F689B">
        <w:rPr>
          <w:rtl/>
          <w:lang w:eastAsia="zh-TW"/>
        </w:rPr>
        <w:tab/>
      </w:r>
      <w:r w:rsidRPr="007F689B">
        <w:rPr>
          <w:b/>
          <w:bCs/>
          <w:rtl/>
          <w:lang w:eastAsia="zh-TW"/>
        </w:rPr>
        <w:t xml:space="preserve">توصي اللجنة بأن تضمن الدولة الطرف، باعتمادها الأحكام والنظم القانونية المناسبة، توفير الحماية المنصوص عليها في الاتفاقية لجميع الأطفال الضحايا </w:t>
      </w:r>
      <w:r w:rsidR="00C7528F">
        <w:rPr>
          <w:rFonts w:hint="cs"/>
          <w:b/>
          <w:bCs/>
          <w:rtl/>
          <w:lang w:eastAsia="zh-TW"/>
        </w:rPr>
        <w:t xml:space="preserve">               </w:t>
      </w:r>
      <w:r w:rsidRPr="007F689B">
        <w:rPr>
          <w:b/>
          <w:bCs/>
          <w:rtl/>
          <w:lang w:eastAsia="zh-TW"/>
        </w:rPr>
        <w:t xml:space="preserve">و/أو الأطفال الشهود على جرائم من قبيل الإيذاء والعنف المنزلي والاستغلال الجنسي والاقتصادي والخطف </w:t>
      </w:r>
      <w:proofErr w:type="spellStart"/>
      <w:r w:rsidRPr="007F689B">
        <w:rPr>
          <w:b/>
          <w:bCs/>
          <w:rtl/>
          <w:lang w:eastAsia="zh-TW"/>
        </w:rPr>
        <w:t>والاتجار</w:t>
      </w:r>
      <w:proofErr w:type="spellEnd"/>
      <w:r w:rsidRPr="007F689B">
        <w:rPr>
          <w:b/>
          <w:bCs/>
          <w:rtl/>
          <w:lang w:eastAsia="zh-TW"/>
        </w:rPr>
        <w:t>، وبأن تراعي مراعاة تامة مبادئ الأمم المتحدة التوجيهية بشأن العدالة في الأمور المتعلقة بالأطفال ضحايا الجرائم والشهود عليها، لا</w:t>
      </w:r>
      <w:r w:rsidR="00F62662">
        <w:rPr>
          <w:rFonts w:hint="cs"/>
          <w:b/>
          <w:bCs/>
          <w:rtl/>
          <w:lang w:eastAsia="zh-TW"/>
        </w:rPr>
        <w:t xml:space="preserve"> </w:t>
      </w:r>
      <w:r w:rsidRPr="007F689B">
        <w:rPr>
          <w:b/>
          <w:bCs/>
          <w:rtl/>
          <w:lang w:eastAsia="zh-TW"/>
        </w:rPr>
        <w:t xml:space="preserve">سيما اجتناب الاتصال المباشر بين الأطفال الضحايا والشهود والجناة المزعومين في كل مرحلة من الإجراءات القضائية وتطبيق معايير رفيعة لجمع الأدلة. </w:t>
      </w:r>
    </w:p>
    <w:p w:rsidR="0004630F" w:rsidRPr="00B942F7" w:rsidRDefault="0004630F" w:rsidP="007F689B">
      <w:pPr>
        <w:pStyle w:val="H23GA"/>
        <w:keepNext/>
        <w:spacing w:before="240"/>
        <w:textDirection w:val="tbRlV"/>
        <w:rPr>
          <w:bCs w:val="0"/>
          <w:rtl/>
          <w:lang w:eastAsia="zh-TW"/>
        </w:rPr>
      </w:pPr>
      <w:r w:rsidRPr="00B942F7">
        <w:rPr>
          <w:lang w:eastAsia="zh-TW"/>
        </w:rPr>
        <w:tab/>
      </w:r>
      <w:r w:rsidRPr="00B942F7">
        <w:rPr>
          <w:lang w:eastAsia="zh-TW"/>
        </w:rPr>
        <w:tab/>
      </w:r>
      <w:dir w:val="rtl">
        <w:r w:rsidRPr="00B942F7">
          <w:rPr>
            <w:rtl/>
            <w:lang w:eastAsia="zh-TW"/>
          </w:rPr>
          <w:t>متابعة ملاحظات اللجنة الختامية وتوصياتها السابقة بخصوص تنفيذ البروتوكول الاختياري الملحق باتفاقية حقوق الطفل بشأن بيع الأطفال واستغلال الأطفال في البغاء وفي المواد الإباحية</w:t>
        </w:r>
        <w:r>
          <w:t>‬</w:t>
        </w:r>
        <w:r w:rsidR="00DF51D4">
          <w:t>‬</w:t>
        </w:r>
        <w:r w:rsidR="003E66B1">
          <w:t>‬</w:t>
        </w:r>
        <w:r w:rsidR="002E62F7">
          <w:t>‬</w:t>
        </w:r>
      </w:dir>
    </w:p>
    <w:p w:rsidR="0004630F" w:rsidRPr="007F689B" w:rsidRDefault="007F689B" w:rsidP="00713B40">
      <w:pPr>
        <w:pStyle w:val="SingleTxtGA"/>
        <w:rPr>
          <w:b/>
          <w:bCs/>
          <w:rtl/>
          <w:lang w:eastAsia="zh-TW"/>
        </w:rPr>
      </w:pPr>
      <w:r>
        <w:rPr>
          <w:rtl/>
          <w:lang w:eastAsia="zh-TW"/>
        </w:rPr>
        <w:t>٣٩-</w:t>
      </w:r>
      <w:r>
        <w:rPr>
          <w:rtl/>
          <w:lang w:eastAsia="zh-TW"/>
        </w:rPr>
        <w:tab/>
      </w:r>
      <w:r w:rsidR="0004630F" w:rsidRPr="007F689B">
        <w:rPr>
          <w:b/>
          <w:bCs/>
          <w:rtl/>
          <w:lang w:eastAsia="zh-TW"/>
        </w:rPr>
        <w:t xml:space="preserve">ترحب اللجنة باعتماد القانون رقم ١٥(2011) المتعلق </w:t>
      </w:r>
      <w:proofErr w:type="spellStart"/>
      <w:r w:rsidR="0004630F" w:rsidRPr="007F689B">
        <w:rPr>
          <w:b/>
          <w:bCs/>
          <w:rtl/>
          <w:lang w:eastAsia="zh-TW"/>
        </w:rPr>
        <w:t>بالاتجار</w:t>
      </w:r>
      <w:proofErr w:type="spellEnd"/>
      <w:r w:rsidR="0004630F" w:rsidRPr="007F689B">
        <w:rPr>
          <w:b/>
          <w:bCs/>
          <w:rtl/>
          <w:lang w:eastAsia="zh-TW"/>
        </w:rPr>
        <w:t xml:space="preserve"> بالأشخاص، لكنها تأسف على أن ملاحظاتها الختامية لعام 2006 المتصلة بت</w:t>
      </w:r>
      <w:r w:rsidR="00ED7A25">
        <w:rPr>
          <w:b/>
          <w:bCs/>
          <w:rtl/>
          <w:lang w:eastAsia="zh-TW"/>
        </w:rPr>
        <w:t xml:space="preserve">قرير الدولة الطرف الأولي بموجب </w:t>
      </w:r>
      <w:r w:rsidR="0004630F" w:rsidRPr="007F689B">
        <w:rPr>
          <w:b/>
          <w:bCs/>
          <w:rtl/>
          <w:lang w:eastAsia="zh-TW"/>
        </w:rPr>
        <w:t>البروتوكول الاختياري الملحق باتفاقية حقوق الطفل بشأن بيع الأطفال واستغلال الأطفال في البغاء وفي المواد الإباحية (</w:t>
      </w:r>
      <w:r w:rsidR="00713B40">
        <w:rPr>
          <w:b/>
          <w:bCs/>
          <w:sz w:val="22"/>
          <w:szCs w:val="22"/>
          <w:lang w:eastAsia="zh-TW"/>
        </w:rPr>
        <w:t>/1</w:t>
      </w:r>
      <w:r w:rsidR="0004630F" w:rsidRPr="007F689B">
        <w:rPr>
          <w:b/>
          <w:bCs/>
          <w:sz w:val="22"/>
          <w:szCs w:val="22"/>
          <w:rtl/>
          <w:lang w:eastAsia="zh-TW"/>
        </w:rPr>
        <w:t>CRC/C/OPSC/QAT</w:t>
      </w:r>
      <w:r w:rsidR="0004630F" w:rsidRPr="007F689B">
        <w:rPr>
          <w:b/>
          <w:bCs/>
          <w:rtl/>
          <w:lang w:eastAsia="zh-TW"/>
        </w:rPr>
        <w:t xml:space="preserve">) لم تنفذ بالكامل، وتكرر بالخصوص توصيتها السابقة التي تدعو فيها الدولة الطرف إلى أن تجمع بطريقة </w:t>
      </w:r>
      <w:proofErr w:type="spellStart"/>
      <w:r w:rsidR="0004630F" w:rsidRPr="007F689B">
        <w:rPr>
          <w:b/>
          <w:bCs/>
          <w:rtl/>
          <w:lang w:eastAsia="zh-TW"/>
        </w:rPr>
        <w:t>ممنهجة</w:t>
      </w:r>
      <w:proofErr w:type="spellEnd"/>
      <w:r w:rsidR="0004630F" w:rsidRPr="007F689B">
        <w:rPr>
          <w:b/>
          <w:bCs/>
          <w:rtl/>
          <w:lang w:eastAsia="zh-TW"/>
        </w:rPr>
        <w:t xml:space="preserve"> البيانات في جميع المجالات التي يشملها البروتوكول الاختياري وتوائم تشريعاتها مع البروتوكول الاختياري قصد إلغاء شرط التجريم المزدوج لتمكين الولاية خارج الحدود الإقليمية. وتوصي اللجنة الدولة الطرف باعتماد تدابير لمنع الاستغلال الجنسي للأطفال والسياحة بدافع ممارسة الجنس مع الأطفال، خاصة في إطار كأس العالم لعام 2022 الذي سوف تستضيفه الدولة الطرف.</w:t>
      </w:r>
      <w:r>
        <w:rPr>
          <w:rFonts w:hint="cs"/>
          <w:b/>
          <w:bCs/>
          <w:rtl/>
          <w:lang w:eastAsia="zh-TW"/>
        </w:rPr>
        <w:t xml:space="preserve"> </w:t>
      </w:r>
    </w:p>
    <w:p w:rsidR="0004630F" w:rsidRPr="00B942F7" w:rsidRDefault="0004630F" w:rsidP="007F689B">
      <w:pPr>
        <w:pStyle w:val="H1GA"/>
        <w:rPr>
          <w:rtl/>
          <w:lang w:eastAsia="zh-TW"/>
        </w:rPr>
      </w:pPr>
      <w:r w:rsidRPr="00B942F7">
        <w:rPr>
          <w:rtl/>
          <w:lang w:eastAsia="zh-TW"/>
        </w:rPr>
        <w:lastRenderedPageBreak/>
        <w:tab/>
        <w:t>ياء-</w:t>
      </w:r>
      <w:r w:rsidR="007F689B">
        <w:rPr>
          <w:rtl/>
          <w:lang w:eastAsia="zh-TW"/>
        </w:rPr>
        <w:tab/>
      </w:r>
      <w:r w:rsidRPr="00B942F7">
        <w:rPr>
          <w:rtl/>
          <w:lang w:eastAsia="zh-TW"/>
        </w:rPr>
        <w:t>التصديق على البروتوكول الاختياري المتعلق بإجراء تقديم البلاغات</w:t>
      </w:r>
    </w:p>
    <w:p w:rsidR="0004630F" w:rsidRPr="007F689B" w:rsidRDefault="0004630F" w:rsidP="007F689B">
      <w:pPr>
        <w:pStyle w:val="SingleTxtGA"/>
        <w:rPr>
          <w:b/>
          <w:bCs/>
          <w:rtl/>
          <w:lang w:eastAsia="zh-TW"/>
        </w:rPr>
      </w:pPr>
      <w:r w:rsidRPr="00B942F7">
        <w:rPr>
          <w:rtl/>
          <w:lang w:eastAsia="zh-TW"/>
        </w:rPr>
        <w:t>٤٠</w:t>
      </w:r>
      <w:r w:rsidR="003E66B1">
        <w:rPr>
          <w:rFonts w:hint="cs"/>
          <w:rtl/>
          <w:lang w:eastAsia="zh-TW"/>
        </w:rPr>
        <w:t>-</w:t>
      </w:r>
      <w:r w:rsidR="007F689B">
        <w:rPr>
          <w:rtl/>
          <w:lang w:eastAsia="zh-TW"/>
        </w:rPr>
        <w:tab/>
      </w:r>
      <w:r w:rsidRPr="007F689B">
        <w:rPr>
          <w:b/>
          <w:bCs/>
          <w:rtl/>
          <w:lang w:eastAsia="zh-TW"/>
        </w:rPr>
        <w:t>توصي اللجنة بأن تصدق الدولة الطرف على البروتوكول الاختياري لاتفاقية حقوق الطفل المتعلق بإجراء تقديم البلاغات من أجل الارتقاء بمستوى إعمال حقوق الطفل.</w:t>
      </w:r>
      <w:r w:rsidRPr="007F689B">
        <w:rPr>
          <w:rFonts w:cs="Times New Roman" w:hint="cs"/>
          <w:b/>
          <w:bCs/>
          <w:rtl/>
          <w:lang w:eastAsia="zh-TW"/>
        </w:rPr>
        <w:t>‬</w:t>
      </w:r>
      <w:r w:rsidRPr="007F689B">
        <w:rPr>
          <w:b/>
          <w:bCs/>
          <w:rtl/>
          <w:lang w:eastAsia="zh-TW"/>
        </w:rPr>
        <w:t xml:space="preserve"> </w:t>
      </w:r>
    </w:p>
    <w:p w:rsidR="0004630F" w:rsidRPr="00B942F7" w:rsidRDefault="0004630F" w:rsidP="007F689B">
      <w:pPr>
        <w:pStyle w:val="H1GA"/>
        <w:rPr>
          <w:rtl/>
          <w:lang w:eastAsia="zh-TW"/>
        </w:rPr>
      </w:pPr>
      <w:r w:rsidRPr="00B942F7">
        <w:rPr>
          <w:rtl/>
          <w:lang w:eastAsia="zh-TW"/>
        </w:rPr>
        <w:tab/>
      </w:r>
      <w:r w:rsidR="007F689B">
        <w:rPr>
          <w:rtl/>
          <w:lang w:eastAsia="zh-TW"/>
        </w:rPr>
        <w:t>كاف-</w:t>
      </w:r>
      <w:r w:rsidR="007F689B">
        <w:rPr>
          <w:rtl/>
          <w:lang w:eastAsia="zh-TW"/>
        </w:rPr>
        <w:tab/>
      </w:r>
      <w:r w:rsidRPr="00B942F7">
        <w:rPr>
          <w:rtl/>
          <w:lang w:eastAsia="zh-TW"/>
        </w:rPr>
        <w:t>التصديق على الصكوك الدولية لحقوق الإنسان</w:t>
      </w:r>
    </w:p>
    <w:p w:rsidR="0004630F" w:rsidRPr="00B942F7" w:rsidRDefault="007F689B" w:rsidP="007F689B">
      <w:pPr>
        <w:pStyle w:val="SingleTxtGA"/>
        <w:rPr>
          <w:rtl/>
          <w:lang w:eastAsia="zh-TW"/>
        </w:rPr>
      </w:pPr>
      <w:r>
        <w:rPr>
          <w:rtl/>
          <w:lang w:eastAsia="zh-TW"/>
        </w:rPr>
        <w:t>٤١-</w:t>
      </w:r>
      <w:r>
        <w:rPr>
          <w:rtl/>
          <w:lang w:eastAsia="zh-TW"/>
        </w:rPr>
        <w:tab/>
      </w:r>
      <w:r w:rsidR="0004630F" w:rsidRPr="007F689B">
        <w:rPr>
          <w:b/>
          <w:bCs/>
          <w:rtl/>
          <w:lang w:eastAsia="zh-TW"/>
        </w:rPr>
        <w:t>توصي اللجنة الدولة الطرف، من أجل الارتقاء بمستوى إعمال حقوق الطفل، بأن تنظر في التصديق على صكوك حقوق الإنسان الأساسية التالية التي لم تنضم إليها بعد:</w:t>
      </w:r>
      <w:r w:rsidR="0004630F" w:rsidRPr="007F689B">
        <w:rPr>
          <w:rFonts w:cs="Times New Roman" w:hint="cs"/>
          <w:b/>
          <w:bCs/>
          <w:rtl/>
          <w:lang w:eastAsia="zh-TW"/>
        </w:rPr>
        <w:t>‬</w:t>
      </w:r>
    </w:p>
    <w:p w:rsidR="0004630F" w:rsidRPr="007F689B" w:rsidRDefault="0004630F" w:rsidP="007F689B">
      <w:pPr>
        <w:pStyle w:val="SingleTxtGA"/>
        <w:rPr>
          <w:b/>
          <w:bCs/>
          <w:rtl/>
          <w:lang w:eastAsia="zh-TW"/>
        </w:rPr>
      </w:pPr>
      <w:r w:rsidRPr="00B942F7">
        <w:rPr>
          <w:lang w:eastAsia="zh-TW"/>
        </w:rPr>
        <w:tab/>
      </w:r>
      <w:r w:rsidRPr="00B942F7">
        <w:rPr>
          <w:rtl/>
          <w:lang w:eastAsia="zh-TW"/>
        </w:rPr>
        <w:t>(أ)</w:t>
      </w:r>
      <w:r w:rsidRPr="007F689B">
        <w:rPr>
          <w:b/>
          <w:bCs/>
          <w:rtl/>
          <w:lang w:eastAsia="zh-TW"/>
        </w:rPr>
        <w:tab/>
        <w:t>العهد الدولي الخاص بالحقوق المدنية والسياسية وبروتوكوله الاختياري الثاني الهادف إلى إلغاء عقوبة الإعدام؛</w:t>
      </w:r>
      <w:r w:rsidRPr="007F689B">
        <w:rPr>
          <w:rFonts w:cs="Times New Roman" w:hint="cs"/>
          <w:b/>
          <w:bCs/>
          <w:rtl/>
          <w:lang w:eastAsia="zh-TW"/>
        </w:rPr>
        <w:t>‬</w:t>
      </w:r>
    </w:p>
    <w:p w:rsidR="0004630F" w:rsidRPr="007F689B" w:rsidRDefault="0004630F" w:rsidP="007F689B">
      <w:pPr>
        <w:pStyle w:val="SingleTxtGA"/>
        <w:rPr>
          <w:b/>
          <w:bCs/>
          <w:rtl/>
          <w:lang w:eastAsia="zh-TW"/>
        </w:rPr>
      </w:pPr>
      <w:r w:rsidRPr="00B942F7">
        <w:rPr>
          <w:lang w:eastAsia="zh-TW"/>
        </w:rPr>
        <w:tab/>
      </w:r>
      <w:r w:rsidRPr="00B942F7">
        <w:rPr>
          <w:rtl/>
          <w:lang w:eastAsia="zh-TW"/>
        </w:rPr>
        <w:t>(ب)</w:t>
      </w:r>
      <w:r w:rsidRPr="007F689B">
        <w:rPr>
          <w:b/>
          <w:bCs/>
          <w:rtl/>
          <w:lang w:eastAsia="zh-TW"/>
        </w:rPr>
        <w:tab/>
        <w:t xml:space="preserve">العهد الدولي الخاص بالحقوق الاقتصادية والاجتماعية والثقافية؛ </w:t>
      </w:r>
    </w:p>
    <w:p w:rsidR="0004630F" w:rsidRPr="007F689B" w:rsidRDefault="0004630F" w:rsidP="007F689B">
      <w:pPr>
        <w:pStyle w:val="SingleTxtGA"/>
        <w:rPr>
          <w:b/>
          <w:bCs/>
          <w:rtl/>
          <w:lang w:eastAsia="zh-TW"/>
        </w:rPr>
      </w:pPr>
      <w:r w:rsidRPr="00B942F7">
        <w:rPr>
          <w:lang w:eastAsia="zh-TW"/>
        </w:rPr>
        <w:tab/>
      </w:r>
      <w:r w:rsidRPr="00B942F7">
        <w:rPr>
          <w:rtl/>
          <w:lang w:eastAsia="zh-TW"/>
        </w:rPr>
        <w:t>(ج)</w:t>
      </w:r>
      <w:r w:rsidRPr="007F689B">
        <w:rPr>
          <w:b/>
          <w:bCs/>
          <w:rtl/>
          <w:lang w:eastAsia="zh-TW"/>
        </w:rPr>
        <w:tab/>
        <w:t>الاتفاقية الدولية لحماية جميع الأشخاص من الاختفاء القسري؛</w:t>
      </w:r>
    </w:p>
    <w:p w:rsidR="0004630F" w:rsidRPr="007F689B" w:rsidRDefault="0004630F" w:rsidP="007F689B">
      <w:pPr>
        <w:pStyle w:val="SingleTxtGA"/>
        <w:rPr>
          <w:b/>
          <w:bCs/>
          <w:rtl/>
          <w:lang w:eastAsia="zh-TW"/>
        </w:rPr>
      </w:pPr>
      <w:r w:rsidRPr="00B942F7">
        <w:rPr>
          <w:lang w:eastAsia="zh-TW"/>
        </w:rPr>
        <w:tab/>
      </w:r>
      <w:r w:rsidRPr="00B942F7">
        <w:rPr>
          <w:rtl/>
          <w:lang w:eastAsia="zh-TW"/>
        </w:rPr>
        <w:t>(د)</w:t>
      </w:r>
      <w:r w:rsidRPr="007F689B">
        <w:rPr>
          <w:b/>
          <w:bCs/>
          <w:rtl/>
          <w:lang w:eastAsia="zh-TW"/>
        </w:rPr>
        <w:tab/>
        <w:t xml:space="preserve">الاتفاقية الدولية لحماية حقوق جميع العمال المهاجرين وأفراد أسرهم؛ </w:t>
      </w:r>
    </w:p>
    <w:p w:rsidR="0004630F" w:rsidRPr="007F689B" w:rsidRDefault="0004630F" w:rsidP="007F689B">
      <w:pPr>
        <w:pStyle w:val="SingleTxtGA"/>
        <w:rPr>
          <w:b/>
          <w:bCs/>
          <w:rtl/>
          <w:lang w:eastAsia="zh-TW"/>
        </w:rPr>
      </w:pPr>
      <w:r w:rsidRPr="00B942F7">
        <w:rPr>
          <w:lang w:eastAsia="zh-TW"/>
        </w:rPr>
        <w:tab/>
      </w:r>
      <w:r w:rsidRPr="00B942F7">
        <w:rPr>
          <w:rtl/>
          <w:lang w:eastAsia="zh-TW"/>
        </w:rPr>
        <w:t>(هـ)</w:t>
      </w:r>
      <w:r w:rsidRPr="007F689B">
        <w:rPr>
          <w:b/>
          <w:bCs/>
          <w:rtl/>
          <w:lang w:eastAsia="zh-TW"/>
        </w:rPr>
        <w:tab/>
        <w:t>البروتوكول الاختياري لاتفاقية مناهضة التعذيب وغيره من ضروب المعاملة أو العقوبة القاسية أو اللاإنسانية أو المهينة</w:t>
      </w:r>
      <w:r w:rsidR="007F689B">
        <w:rPr>
          <w:rFonts w:hint="cs"/>
          <w:b/>
          <w:bCs/>
          <w:rtl/>
          <w:lang w:eastAsia="zh-TW"/>
        </w:rPr>
        <w:t xml:space="preserve">. </w:t>
      </w:r>
    </w:p>
    <w:p w:rsidR="0004630F" w:rsidRPr="00B942F7" w:rsidRDefault="0004630F" w:rsidP="007F689B">
      <w:pPr>
        <w:pStyle w:val="HChGA"/>
        <w:rPr>
          <w:rtl/>
          <w:lang w:eastAsia="zh-TW"/>
        </w:rPr>
      </w:pPr>
      <w:r w:rsidRPr="00B942F7">
        <w:rPr>
          <w:rtl/>
          <w:lang w:eastAsia="zh-TW"/>
        </w:rPr>
        <w:tab/>
        <w:t>خامسا</w:t>
      </w:r>
      <w:r w:rsidR="007F689B">
        <w:rPr>
          <w:rFonts w:hint="cs"/>
          <w:rtl/>
          <w:lang w:eastAsia="zh-TW"/>
        </w:rPr>
        <w:t>ً</w:t>
      </w:r>
      <w:r w:rsidRPr="00B942F7">
        <w:rPr>
          <w:rtl/>
          <w:lang w:eastAsia="zh-TW"/>
        </w:rPr>
        <w:t>-</w:t>
      </w:r>
      <w:r w:rsidR="007F689B">
        <w:rPr>
          <w:rtl/>
          <w:lang w:eastAsia="zh-TW"/>
        </w:rPr>
        <w:tab/>
      </w:r>
      <w:r w:rsidRPr="00B942F7">
        <w:rPr>
          <w:rtl/>
          <w:lang w:eastAsia="zh-TW"/>
        </w:rPr>
        <w:t>التنفيذ والإبلاغ</w:t>
      </w:r>
    </w:p>
    <w:p w:rsidR="0004630F" w:rsidRPr="00B942F7" w:rsidRDefault="0004630F" w:rsidP="007F689B">
      <w:pPr>
        <w:pStyle w:val="H1GA"/>
        <w:rPr>
          <w:rtl/>
          <w:lang w:eastAsia="zh-TW"/>
        </w:rPr>
      </w:pPr>
      <w:r w:rsidRPr="00B942F7">
        <w:rPr>
          <w:rtl/>
          <w:lang w:eastAsia="zh-TW"/>
        </w:rPr>
        <w:tab/>
        <w:t>ألف-</w:t>
      </w:r>
      <w:r w:rsidR="007F689B">
        <w:rPr>
          <w:rtl/>
          <w:lang w:eastAsia="zh-TW"/>
        </w:rPr>
        <w:tab/>
      </w:r>
      <w:r w:rsidRPr="00B942F7">
        <w:rPr>
          <w:rtl/>
          <w:lang w:eastAsia="zh-TW"/>
        </w:rPr>
        <w:t>المتابعة والنشر</w:t>
      </w:r>
    </w:p>
    <w:p w:rsidR="0004630F" w:rsidRPr="007F689B" w:rsidRDefault="007F689B" w:rsidP="007F689B">
      <w:pPr>
        <w:pStyle w:val="SingleTxtGA"/>
        <w:rPr>
          <w:b/>
          <w:bCs/>
          <w:rtl/>
          <w:lang w:eastAsia="zh-TW"/>
        </w:rPr>
      </w:pPr>
      <w:r>
        <w:rPr>
          <w:rtl/>
          <w:lang w:eastAsia="zh-TW"/>
        </w:rPr>
        <w:t>٤٢-</w:t>
      </w:r>
      <w:r>
        <w:rPr>
          <w:rtl/>
          <w:lang w:eastAsia="zh-TW"/>
        </w:rPr>
        <w:tab/>
      </w:r>
      <w:r w:rsidR="0004630F" w:rsidRPr="007F689B">
        <w:rPr>
          <w:b/>
          <w:bCs/>
          <w:rtl/>
          <w:lang w:eastAsia="zh-TW"/>
        </w:rPr>
        <w:t>توصي اللجنة بأن تتخذ الدولة الطرف جميع التدابير الملائمة لضمان التنفيذ الكامل للتوصيات الواردة في هذه الملاحظات الختامية.</w:t>
      </w:r>
      <w:r w:rsidR="0004630F" w:rsidRPr="007F689B">
        <w:rPr>
          <w:rFonts w:cs="Times New Roman" w:hint="cs"/>
          <w:b/>
          <w:bCs/>
          <w:rtl/>
          <w:lang w:eastAsia="zh-TW"/>
        </w:rPr>
        <w:t>‬</w:t>
      </w:r>
      <w:r w:rsidR="0004630F" w:rsidRPr="007F689B">
        <w:rPr>
          <w:b/>
          <w:bCs/>
          <w:rtl/>
          <w:lang w:eastAsia="zh-TW"/>
        </w:rPr>
        <w:t xml:space="preserve"> </w:t>
      </w:r>
      <w:dir w:val="rtl">
        <w:r w:rsidR="0004630F" w:rsidRPr="007F689B">
          <w:rPr>
            <w:b/>
            <w:bCs/>
            <w:rtl/>
            <w:lang w:eastAsia="zh-TW"/>
          </w:rPr>
          <w:t>وتوصي أيضاً بإتاحة التقرير الجامع للتقريرين الدوريين الثالث والرابع والردود الخطية على قائمة المسائل وهذه الملاحظات الختامية على نطاق واسع بلغات البلد.</w:t>
        </w:r>
        <w:r w:rsidR="0004630F" w:rsidRPr="007F689B">
          <w:rPr>
            <w:rFonts w:cs="Times New Roman" w:hint="cs"/>
            <w:b/>
            <w:bCs/>
            <w:rtl/>
            <w:lang w:eastAsia="zh-TW"/>
          </w:rPr>
          <w:t>‬</w:t>
        </w:r>
        <w:r w:rsidR="0004630F" w:rsidRPr="007F689B">
          <w:rPr>
            <w:b/>
            <w:bCs/>
            <w:rtl/>
            <w:lang w:eastAsia="zh-TW"/>
          </w:rPr>
          <w:t xml:space="preserve"> </w:t>
        </w:r>
        <w:r w:rsidR="0004630F" w:rsidRPr="007F689B">
          <w:rPr>
            <w:b/>
            <w:bCs/>
          </w:rPr>
          <w:t>‬</w:t>
        </w:r>
        <w:r w:rsidR="00DF51D4">
          <w:t>‬</w:t>
        </w:r>
        <w:r w:rsidR="003E66B1">
          <w:t>‬</w:t>
        </w:r>
        <w:r w:rsidR="002E62F7">
          <w:t>‬</w:t>
        </w:r>
      </w:dir>
    </w:p>
    <w:p w:rsidR="0004630F" w:rsidRPr="00B942F7" w:rsidRDefault="0004630F" w:rsidP="007F689B">
      <w:pPr>
        <w:pStyle w:val="H1GA"/>
        <w:rPr>
          <w:rtl/>
          <w:lang w:eastAsia="zh-TW"/>
        </w:rPr>
      </w:pPr>
      <w:r w:rsidRPr="00B942F7">
        <w:rPr>
          <w:rtl/>
          <w:lang w:eastAsia="zh-TW"/>
        </w:rPr>
        <w:tab/>
        <w:t>باء-</w:t>
      </w:r>
      <w:r w:rsidR="007F689B">
        <w:rPr>
          <w:rtl/>
          <w:lang w:eastAsia="zh-TW"/>
        </w:rPr>
        <w:tab/>
      </w:r>
      <w:dir w:val="rtl">
        <w:r w:rsidRPr="00B942F7">
          <w:rPr>
            <w:rtl/>
            <w:lang w:eastAsia="zh-TW"/>
          </w:rPr>
          <w:t>الآلية الوطنية للإبلاغ والمتابعة</w:t>
        </w:r>
        <w:r w:rsidRPr="00B942F7">
          <w:rPr>
            <w:rFonts w:cs="Times New Roman" w:hint="cs"/>
            <w:rtl/>
            <w:lang w:eastAsia="zh-TW"/>
          </w:rPr>
          <w:t>‬</w:t>
        </w:r>
        <w:r>
          <w:t>‬</w:t>
        </w:r>
        <w:r w:rsidR="00DF51D4">
          <w:t>‬</w:t>
        </w:r>
        <w:r w:rsidR="003E66B1">
          <w:t>‬</w:t>
        </w:r>
        <w:r w:rsidR="002E62F7">
          <w:t>‬</w:t>
        </w:r>
      </w:dir>
    </w:p>
    <w:p w:rsidR="0004630F" w:rsidRPr="007F689B" w:rsidRDefault="007F689B" w:rsidP="007F689B">
      <w:pPr>
        <w:pStyle w:val="SingleTxtGA"/>
        <w:rPr>
          <w:b/>
          <w:bCs/>
          <w:rtl/>
          <w:lang w:eastAsia="zh-TW"/>
        </w:rPr>
      </w:pPr>
      <w:r>
        <w:rPr>
          <w:rtl/>
          <w:lang w:eastAsia="zh-TW"/>
        </w:rPr>
        <w:t>٤٣</w:t>
      </w:r>
      <w:r>
        <w:rPr>
          <w:rFonts w:hint="cs"/>
          <w:rtl/>
          <w:lang w:eastAsia="zh-TW"/>
        </w:rPr>
        <w:t>-</w:t>
      </w:r>
      <w:r>
        <w:rPr>
          <w:rtl/>
          <w:lang w:eastAsia="zh-TW"/>
        </w:rPr>
        <w:tab/>
      </w:r>
      <w:r w:rsidR="0004630F" w:rsidRPr="007F689B">
        <w:rPr>
          <w:b/>
          <w:bCs/>
          <w:rtl/>
          <w:lang w:eastAsia="zh-TW"/>
        </w:rPr>
        <w:t>توصي اللجنة الدولة الطرف بإنشاء آلية وطنية للإبلاغ والمتابعة بوصفها هيئة حكومية دائمة مكلفة بتنسيق التقارير وإعدادها للآليات الدولية والإقليمية لحقوق الإنسان والتعامل مع هذه الآليات، إضافة إلى تنسيق متابعة الالتزامات التعاهدية والتوصيات والقرارات الصادرة عن تلك الآليات وتنفيذها وتعقّبها على الصعيد الوطني. وتشدد اللجنة على أنه ينبغي دعم هذه الهيئة دعما</w:t>
      </w:r>
      <w:r w:rsidR="00ED7A25">
        <w:rPr>
          <w:rFonts w:hint="cs"/>
          <w:b/>
          <w:bCs/>
          <w:rtl/>
          <w:lang w:eastAsia="zh-TW"/>
        </w:rPr>
        <w:t>ً</w:t>
      </w:r>
      <w:r w:rsidR="0004630F" w:rsidRPr="007F689B">
        <w:rPr>
          <w:b/>
          <w:bCs/>
          <w:rtl/>
          <w:lang w:eastAsia="zh-TW"/>
        </w:rPr>
        <w:t xml:space="preserve"> كافيا</w:t>
      </w:r>
      <w:r w:rsidR="00ED7A25">
        <w:rPr>
          <w:rFonts w:hint="cs"/>
          <w:b/>
          <w:bCs/>
          <w:rtl/>
          <w:lang w:eastAsia="zh-TW"/>
        </w:rPr>
        <w:t>ً</w:t>
      </w:r>
      <w:r w:rsidR="0004630F" w:rsidRPr="007F689B">
        <w:rPr>
          <w:b/>
          <w:bCs/>
          <w:rtl/>
          <w:lang w:eastAsia="zh-TW"/>
        </w:rPr>
        <w:t xml:space="preserve"> ومستمرا</w:t>
      </w:r>
      <w:r w:rsidR="00ED7A25">
        <w:rPr>
          <w:rFonts w:hint="cs"/>
          <w:b/>
          <w:bCs/>
          <w:rtl/>
          <w:lang w:eastAsia="zh-TW"/>
        </w:rPr>
        <w:t>ً</w:t>
      </w:r>
      <w:r w:rsidR="0004630F" w:rsidRPr="007F689B">
        <w:rPr>
          <w:b/>
          <w:bCs/>
          <w:rtl/>
          <w:lang w:eastAsia="zh-TW"/>
        </w:rPr>
        <w:t xml:space="preserve"> بموظفين مخصوصين، وينبغي أيضا</w:t>
      </w:r>
      <w:r>
        <w:rPr>
          <w:rFonts w:hint="cs"/>
          <w:b/>
          <w:bCs/>
          <w:rtl/>
          <w:lang w:eastAsia="zh-TW"/>
        </w:rPr>
        <w:t>ً</w:t>
      </w:r>
      <w:r w:rsidR="0004630F" w:rsidRPr="007F689B">
        <w:rPr>
          <w:b/>
          <w:bCs/>
          <w:rtl/>
          <w:lang w:eastAsia="zh-TW"/>
        </w:rPr>
        <w:t xml:space="preserve"> أن تكون قادرة على التشاور الدائم مع المؤسسة الوطنية لحقوق الإنسان والمجتمع المدني. </w:t>
      </w:r>
    </w:p>
    <w:p w:rsidR="0004630F" w:rsidRPr="00B942F7" w:rsidRDefault="0004630F" w:rsidP="007F689B">
      <w:pPr>
        <w:pStyle w:val="H1GA"/>
        <w:rPr>
          <w:rtl/>
          <w:lang w:eastAsia="zh-TW"/>
        </w:rPr>
      </w:pPr>
      <w:r w:rsidRPr="00B942F7">
        <w:rPr>
          <w:rtl/>
          <w:lang w:eastAsia="zh-TW"/>
        </w:rPr>
        <w:lastRenderedPageBreak/>
        <w:tab/>
        <w:t>جيم-</w:t>
      </w:r>
      <w:r w:rsidR="007F689B">
        <w:rPr>
          <w:rtl/>
          <w:lang w:eastAsia="zh-TW"/>
        </w:rPr>
        <w:tab/>
      </w:r>
      <w:r w:rsidRPr="00B942F7">
        <w:rPr>
          <w:rtl/>
          <w:lang w:eastAsia="zh-TW"/>
        </w:rPr>
        <w:t xml:space="preserve">التقرير المقبل </w:t>
      </w:r>
    </w:p>
    <w:p w:rsidR="0004630F" w:rsidRPr="007F689B" w:rsidRDefault="007F689B" w:rsidP="00C7528F">
      <w:pPr>
        <w:pStyle w:val="SingleTxtGA"/>
        <w:rPr>
          <w:b/>
          <w:bCs/>
          <w:rtl/>
          <w:lang w:eastAsia="zh-TW"/>
        </w:rPr>
      </w:pPr>
      <w:r>
        <w:rPr>
          <w:rtl/>
          <w:lang w:eastAsia="zh-TW"/>
        </w:rPr>
        <w:t>٤٤-</w:t>
      </w:r>
      <w:r>
        <w:rPr>
          <w:rtl/>
          <w:lang w:eastAsia="zh-TW"/>
        </w:rPr>
        <w:tab/>
      </w:r>
      <w:dir w:val="rtl">
        <w:r w:rsidR="0004630F" w:rsidRPr="007F689B">
          <w:rPr>
            <w:b/>
            <w:bCs/>
            <w:rtl/>
            <w:lang w:eastAsia="zh-TW"/>
          </w:rPr>
          <w:t>تدعو اللجنة الدولة الطرف إلى تقديم تقريرها الجامع للتقريرين الدوريين الخامس والسادس في موعد أقصاه 2 أيار/مايو 2023 وتضمينه معلومات عن متابعة هذه الملاحظات الختامية.</w:t>
        </w:r>
        <w:r w:rsidR="0004630F" w:rsidRPr="007F689B">
          <w:rPr>
            <w:rFonts w:cs="Times New Roman" w:hint="cs"/>
            <w:b/>
            <w:bCs/>
            <w:rtl/>
            <w:lang w:eastAsia="zh-TW"/>
          </w:rPr>
          <w:t>‬</w:t>
        </w:r>
        <w:r w:rsidR="0004630F" w:rsidRPr="007F689B">
          <w:rPr>
            <w:b/>
            <w:bCs/>
            <w:rtl/>
            <w:lang w:eastAsia="zh-TW"/>
          </w:rPr>
          <w:t xml:space="preserve"> </w:t>
        </w:r>
        <w:dir w:val="rtl">
          <w:r w:rsidR="0004630F" w:rsidRPr="007F689B">
            <w:rPr>
              <w:b/>
              <w:bCs/>
              <w:rtl/>
              <w:lang w:eastAsia="zh-TW"/>
            </w:rPr>
            <w:t xml:space="preserve">وينبغي إعداد التقرير </w:t>
          </w:r>
          <w:r w:rsidR="00ED7A25">
            <w:rPr>
              <w:b/>
              <w:bCs/>
              <w:rtl/>
              <w:lang w:eastAsia="zh-TW"/>
            </w:rPr>
            <w:t>وفقاً</w:t>
          </w:r>
          <w:r w:rsidR="0004630F" w:rsidRPr="007F689B">
            <w:rPr>
              <w:b/>
              <w:bCs/>
              <w:rtl/>
              <w:lang w:eastAsia="zh-TW"/>
            </w:rPr>
            <w:t xml:space="preserve"> للمبادئ التوجيهية المنسقة لتقديم التقارير المتعلقة بمعاهدة بعينها، التي اعتمدت في 31 كانون الثاني/يناير 2014 (</w:t>
          </w:r>
          <w:r w:rsidR="00C7528F">
            <w:rPr>
              <w:b/>
              <w:bCs/>
              <w:lang w:val="fr-CH" w:eastAsia="zh-TW"/>
            </w:rPr>
            <w:t>CRC/C/58/Rev.3</w:t>
          </w:r>
          <w:r w:rsidR="0004630F" w:rsidRPr="007F689B">
            <w:rPr>
              <w:b/>
              <w:bCs/>
              <w:rtl/>
              <w:lang w:eastAsia="zh-TW"/>
            </w:rPr>
            <w:t>)، على ألا يتجاوز عدد كلماته 200 21 كلمة (انظر قرار الجمعية العامة 68/268، الفقرة 16).</w:t>
          </w:r>
          <w:r w:rsidR="0004630F" w:rsidRPr="007F689B">
            <w:rPr>
              <w:rFonts w:cs="Times New Roman" w:hint="cs"/>
              <w:b/>
              <w:bCs/>
              <w:rtl/>
              <w:lang w:eastAsia="zh-TW"/>
            </w:rPr>
            <w:t>‬</w:t>
          </w:r>
          <w:r w:rsidR="0004630F" w:rsidRPr="007F689B">
            <w:rPr>
              <w:b/>
              <w:bCs/>
              <w:rtl/>
              <w:lang w:eastAsia="zh-TW"/>
            </w:rPr>
            <w:t xml:space="preserve"> فإن تجاوز عدد كلمات التقرير المقدَّم الحد الأقصى المنصوص عليه، طُلب إلى الدولة الطرف اختصاره عملاً بالقرار السالف الذكر.</w:t>
          </w:r>
          <w:r w:rsidR="0004630F" w:rsidRPr="007F689B">
            <w:rPr>
              <w:rFonts w:cs="Times New Roman" w:hint="cs"/>
              <w:b/>
              <w:bCs/>
              <w:rtl/>
              <w:lang w:eastAsia="zh-TW"/>
            </w:rPr>
            <w:t>‬</w:t>
          </w:r>
          <w:r w:rsidR="0004630F" w:rsidRPr="007F689B">
            <w:rPr>
              <w:b/>
              <w:bCs/>
              <w:rtl/>
              <w:lang w:eastAsia="zh-TW"/>
            </w:rPr>
            <w:t xml:space="preserve"> </w:t>
          </w:r>
          <w:r w:rsidR="0004630F" w:rsidRPr="007F689B">
            <w:rPr>
              <w:rFonts w:ascii="Traditional Arabic" w:hAnsi="Traditional Arabic" w:hint="cs"/>
              <w:b/>
              <w:bCs/>
              <w:rtl/>
              <w:lang w:eastAsia="zh-TW"/>
            </w:rPr>
            <w:t>وإن</w:t>
          </w:r>
          <w:r w:rsidR="0004630F" w:rsidRPr="007F689B">
            <w:rPr>
              <w:b/>
              <w:bCs/>
              <w:rtl/>
              <w:lang w:eastAsia="zh-TW"/>
            </w:rPr>
            <w:t xml:space="preserve"> </w:t>
          </w:r>
          <w:r w:rsidR="0004630F" w:rsidRPr="007F689B">
            <w:rPr>
              <w:rFonts w:ascii="Traditional Arabic" w:hAnsi="Traditional Arabic" w:hint="cs"/>
              <w:b/>
              <w:bCs/>
              <w:rtl/>
              <w:lang w:eastAsia="zh-TW"/>
            </w:rPr>
            <w:t>تعذّر</w:t>
          </w:r>
          <w:r w:rsidR="0004630F" w:rsidRPr="007F689B">
            <w:rPr>
              <w:b/>
              <w:bCs/>
              <w:rtl/>
              <w:lang w:eastAsia="zh-TW"/>
            </w:rPr>
            <w:t xml:space="preserve"> </w:t>
          </w:r>
          <w:r w:rsidR="0004630F" w:rsidRPr="007F689B">
            <w:rPr>
              <w:rFonts w:ascii="Traditional Arabic" w:hAnsi="Traditional Arabic" w:hint="cs"/>
              <w:b/>
              <w:bCs/>
              <w:rtl/>
              <w:lang w:eastAsia="zh-TW"/>
            </w:rPr>
            <w:t>على</w:t>
          </w:r>
          <w:r w:rsidR="0004630F" w:rsidRPr="007F689B">
            <w:rPr>
              <w:b/>
              <w:bCs/>
              <w:rtl/>
              <w:lang w:eastAsia="zh-TW"/>
            </w:rPr>
            <w:t xml:space="preserve"> </w:t>
          </w:r>
          <w:r w:rsidR="0004630F" w:rsidRPr="007F689B">
            <w:rPr>
              <w:rFonts w:ascii="Traditional Arabic" w:hAnsi="Traditional Arabic" w:hint="cs"/>
              <w:b/>
              <w:bCs/>
              <w:rtl/>
              <w:lang w:eastAsia="zh-TW"/>
            </w:rPr>
            <w:t>الدولة</w:t>
          </w:r>
          <w:r w:rsidR="0004630F" w:rsidRPr="007F689B">
            <w:rPr>
              <w:b/>
              <w:bCs/>
              <w:rtl/>
              <w:lang w:eastAsia="zh-TW"/>
            </w:rPr>
            <w:t xml:space="preserve"> </w:t>
          </w:r>
          <w:r w:rsidR="0004630F" w:rsidRPr="007F689B">
            <w:rPr>
              <w:rFonts w:ascii="Traditional Arabic" w:hAnsi="Traditional Arabic" w:hint="cs"/>
              <w:b/>
              <w:bCs/>
              <w:rtl/>
              <w:lang w:eastAsia="zh-TW"/>
            </w:rPr>
            <w:t>الطرف</w:t>
          </w:r>
          <w:r w:rsidR="0004630F" w:rsidRPr="007F689B">
            <w:rPr>
              <w:b/>
              <w:bCs/>
              <w:rtl/>
              <w:lang w:eastAsia="zh-TW"/>
            </w:rPr>
            <w:t xml:space="preserve"> </w:t>
          </w:r>
          <w:r w:rsidR="0004630F" w:rsidRPr="007F689B">
            <w:rPr>
              <w:rFonts w:ascii="Traditional Arabic" w:hAnsi="Traditional Arabic" w:hint="cs"/>
              <w:b/>
              <w:bCs/>
              <w:rtl/>
              <w:lang w:eastAsia="zh-TW"/>
            </w:rPr>
            <w:t>مراجعة</w:t>
          </w:r>
          <w:r w:rsidR="0004630F" w:rsidRPr="007F689B">
            <w:rPr>
              <w:b/>
              <w:bCs/>
              <w:rtl/>
              <w:lang w:eastAsia="zh-TW"/>
            </w:rPr>
            <w:t xml:space="preserve"> </w:t>
          </w:r>
          <w:r w:rsidR="0004630F" w:rsidRPr="007F689B">
            <w:rPr>
              <w:rFonts w:ascii="Traditional Arabic" w:hAnsi="Traditional Arabic" w:hint="cs"/>
              <w:b/>
              <w:bCs/>
              <w:rtl/>
              <w:lang w:eastAsia="zh-TW"/>
            </w:rPr>
            <w:t>التقرير</w:t>
          </w:r>
          <w:r w:rsidR="0004630F" w:rsidRPr="007F689B">
            <w:rPr>
              <w:b/>
              <w:bCs/>
              <w:rtl/>
              <w:lang w:eastAsia="zh-TW"/>
            </w:rPr>
            <w:t xml:space="preserve"> </w:t>
          </w:r>
          <w:r w:rsidR="0004630F" w:rsidRPr="007F689B">
            <w:rPr>
              <w:rFonts w:ascii="Traditional Arabic" w:hAnsi="Traditional Arabic" w:hint="cs"/>
              <w:b/>
              <w:bCs/>
              <w:rtl/>
              <w:lang w:eastAsia="zh-TW"/>
            </w:rPr>
            <w:t>وتقديمه</w:t>
          </w:r>
          <w:r w:rsidR="0004630F" w:rsidRPr="007F689B">
            <w:rPr>
              <w:b/>
              <w:bCs/>
              <w:rtl/>
              <w:lang w:eastAsia="zh-TW"/>
            </w:rPr>
            <w:t xml:space="preserve"> </w:t>
          </w:r>
          <w:r w:rsidR="0004630F" w:rsidRPr="007F689B">
            <w:rPr>
              <w:rFonts w:ascii="Traditional Arabic" w:hAnsi="Traditional Arabic" w:hint="cs"/>
              <w:b/>
              <w:bCs/>
              <w:rtl/>
              <w:lang w:eastAsia="zh-TW"/>
            </w:rPr>
            <w:t>من</w:t>
          </w:r>
          <w:r w:rsidR="0004630F" w:rsidRPr="007F689B">
            <w:rPr>
              <w:b/>
              <w:bCs/>
              <w:rtl/>
              <w:lang w:eastAsia="zh-TW"/>
            </w:rPr>
            <w:t xml:space="preserve"> جديد، لم يمكن ضمان ترجمته كي تنظر فيه هيئة المعاهدة.</w:t>
          </w:r>
          <w:r w:rsidR="0004630F" w:rsidRPr="007F689B">
            <w:rPr>
              <w:rFonts w:cs="Times New Roman" w:hint="cs"/>
              <w:b/>
              <w:bCs/>
              <w:rtl/>
              <w:lang w:eastAsia="zh-TW"/>
            </w:rPr>
            <w:t>‬</w:t>
          </w:r>
          <w:r w:rsidR="0004630F" w:rsidRPr="007F689B">
            <w:rPr>
              <w:b/>
              <w:bCs/>
              <w:rtl/>
              <w:lang w:eastAsia="zh-TW"/>
            </w:rPr>
            <w:t xml:space="preserve"> </w:t>
          </w:r>
          <w:r w:rsidR="0004630F" w:rsidRPr="007F689B">
            <w:rPr>
              <w:b/>
              <w:bCs/>
            </w:rPr>
            <w:t>‬</w:t>
          </w:r>
          <w:r w:rsidR="0004630F" w:rsidRPr="007F689B">
            <w:rPr>
              <w:b/>
              <w:bCs/>
            </w:rPr>
            <w:t>‬</w:t>
          </w:r>
          <w:r w:rsidR="00DF51D4">
            <w:t>‬</w:t>
          </w:r>
          <w:r w:rsidR="00DF51D4">
            <w:t>‬</w:t>
          </w:r>
          <w:r w:rsidR="003E66B1">
            <w:t>‬</w:t>
          </w:r>
          <w:r w:rsidR="003E66B1">
            <w:t>‬</w:t>
          </w:r>
          <w:r w:rsidR="002E62F7">
            <w:t>‬</w:t>
          </w:r>
          <w:r w:rsidR="002E62F7">
            <w:t>‬</w:t>
          </w:r>
        </w:dir>
      </w:dir>
    </w:p>
    <w:p w:rsidR="0004630F" w:rsidRPr="007F689B" w:rsidRDefault="007F689B" w:rsidP="007A00AF">
      <w:pPr>
        <w:pStyle w:val="SingleTxtGA"/>
        <w:rPr>
          <w:b/>
          <w:bCs/>
          <w:rtl/>
          <w:lang w:eastAsia="zh-TW"/>
        </w:rPr>
      </w:pPr>
      <w:r>
        <w:rPr>
          <w:rtl/>
          <w:lang w:eastAsia="zh-TW"/>
        </w:rPr>
        <w:t>٤٥-</w:t>
      </w:r>
      <w:r>
        <w:rPr>
          <w:rtl/>
          <w:lang w:eastAsia="zh-TW"/>
        </w:rPr>
        <w:tab/>
      </w:r>
      <w:r w:rsidR="0004630F" w:rsidRPr="007F689B">
        <w:rPr>
          <w:b/>
          <w:bCs/>
          <w:rtl/>
          <w:lang w:eastAsia="zh-TW"/>
        </w:rPr>
        <w:t xml:space="preserve">وتدعو اللجنة أيضاً الدولة الطرف إلى تقديم وثيقة أساسية محدثة لا يتجاوز عدد كلماتها 400 42 كلمة، </w:t>
      </w:r>
      <w:r w:rsidR="00ED7A25">
        <w:rPr>
          <w:b/>
          <w:bCs/>
          <w:rtl/>
          <w:lang w:eastAsia="zh-TW"/>
        </w:rPr>
        <w:t>وفقاً</w:t>
      </w:r>
      <w:r w:rsidR="0004630F" w:rsidRPr="007F689B">
        <w:rPr>
          <w:b/>
          <w:bCs/>
          <w:rtl/>
          <w:lang w:eastAsia="zh-TW"/>
        </w:rPr>
        <w:t xml:space="preserve"> لمتطلبات الوثيقة الأساسية الموحدة الواردة في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(انظر </w:t>
      </w:r>
      <w:r w:rsidR="007A00AF">
        <w:rPr>
          <w:b/>
          <w:bCs/>
          <w:lang w:val="fr-CH" w:eastAsia="zh-TW"/>
        </w:rPr>
        <w:t>H</w:t>
      </w:r>
      <w:r w:rsidR="007A00AF">
        <w:rPr>
          <w:b/>
          <w:bCs/>
          <w:lang w:val="fr-CH" w:eastAsia="zh-TW"/>
        </w:rPr>
        <w:t>R</w:t>
      </w:r>
      <w:r w:rsidR="007A00AF">
        <w:rPr>
          <w:b/>
          <w:bCs/>
          <w:lang w:val="fr-CH" w:eastAsia="zh-TW"/>
        </w:rPr>
        <w:t>I</w:t>
      </w:r>
      <w:r w:rsidR="007A00AF">
        <w:rPr>
          <w:b/>
          <w:bCs/>
          <w:lang w:val="fr-CH" w:eastAsia="zh-TW"/>
        </w:rPr>
        <w:t>/</w:t>
      </w:r>
      <w:r w:rsidR="007A00AF">
        <w:rPr>
          <w:b/>
          <w:bCs/>
          <w:lang w:val="fr-CH" w:eastAsia="zh-TW"/>
        </w:rPr>
        <w:t>GEN</w:t>
      </w:r>
      <w:r w:rsidR="007A00AF">
        <w:rPr>
          <w:b/>
          <w:bCs/>
          <w:lang w:val="fr-CH" w:eastAsia="zh-TW"/>
        </w:rPr>
        <w:t>/</w:t>
      </w:r>
      <w:r w:rsidR="007A00AF">
        <w:rPr>
          <w:b/>
          <w:bCs/>
          <w:lang w:val="fr-CH" w:eastAsia="zh-TW"/>
        </w:rPr>
        <w:t>2</w:t>
      </w:r>
      <w:r w:rsidR="007A00AF">
        <w:rPr>
          <w:b/>
          <w:bCs/>
          <w:lang w:val="fr-CH" w:eastAsia="zh-TW"/>
        </w:rPr>
        <w:t>/</w:t>
      </w:r>
      <w:proofErr w:type="spellStart"/>
      <w:r w:rsidR="007A00AF">
        <w:rPr>
          <w:b/>
          <w:bCs/>
          <w:lang w:val="fr-CH" w:eastAsia="zh-TW"/>
        </w:rPr>
        <w:t>Rev</w:t>
      </w:r>
      <w:proofErr w:type="spellEnd"/>
      <w:r w:rsidR="007A00AF">
        <w:rPr>
          <w:b/>
          <w:bCs/>
          <w:lang w:val="fr-CH" w:eastAsia="zh-TW"/>
        </w:rPr>
        <w:t>.</w:t>
      </w:r>
      <w:r w:rsidR="007A00AF">
        <w:rPr>
          <w:b/>
          <w:bCs/>
          <w:lang w:eastAsia="zh-TW"/>
        </w:rPr>
        <w:t>6</w:t>
      </w:r>
      <w:r w:rsidR="0004630F" w:rsidRPr="007F689B">
        <w:rPr>
          <w:b/>
          <w:bCs/>
          <w:rtl/>
          <w:lang w:eastAsia="zh-TW"/>
        </w:rPr>
        <w:t xml:space="preserve">، الفصل الأول) والفقرة 16 من قرار الجمعية </w:t>
      </w:r>
      <w:r w:rsidR="00C7528F">
        <w:rPr>
          <w:rFonts w:hint="cs"/>
          <w:b/>
          <w:bCs/>
          <w:rtl/>
          <w:lang w:eastAsia="zh-TW"/>
        </w:rPr>
        <w:t xml:space="preserve">                 </w:t>
      </w:r>
      <w:r w:rsidR="0004630F" w:rsidRPr="007F689B">
        <w:rPr>
          <w:b/>
          <w:bCs/>
          <w:rtl/>
          <w:lang w:eastAsia="zh-TW"/>
        </w:rPr>
        <w:t>العامة 68/268.</w:t>
      </w:r>
      <w:r w:rsidR="0004630F" w:rsidRPr="007F689B">
        <w:rPr>
          <w:rFonts w:cs="Times New Roman" w:hint="cs"/>
          <w:b/>
          <w:bCs/>
          <w:rtl/>
          <w:lang w:eastAsia="zh-TW"/>
        </w:rPr>
        <w:t>‬</w:t>
      </w:r>
    </w:p>
    <w:p w:rsidR="0004630F" w:rsidRPr="001D29FA" w:rsidRDefault="0004630F" w:rsidP="0004630F">
      <w:pPr>
        <w:spacing w:before="240"/>
        <w:jc w:val="center"/>
        <w:rPr>
          <w:u w:val="single"/>
        </w:rPr>
      </w:pPr>
      <w:r w:rsidRPr="001D29FA">
        <w:rPr>
          <w:u w:val="single"/>
        </w:rPr>
        <w:tab/>
      </w:r>
      <w:r w:rsidRPr="001D29FA">
        <w:rPr>
          <w:u w:val="single"/>
        </w:rPr>
        <w:tab/>
      </w:r>
      <w:r w:rsidRPr="001D29FA">
        <w:rPr>
          <w:u w:val="single"/>
        </w:rPr>
        <w:tab/>
      </w:r>
    </w:p>
    <w:sectPr w:rsidR="0004630F" w:rsidRPr="001D29FA" w:rsidSect="00B4112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10" w:rsidRPr="002901D9" w:rsidRDefault="00067910" w:rsidP="002901D9">
      <w:pPr>
        <w:spacing w:after="60" w:line="240" w:lineRule="auto"/>
        <w:rPr>
          <w:i/>
          <w:iCs/>
        </w:rPr>
      </w:pPr>
      <w:r>
        <w:rPr>
          <w:rFonts w:hint="cs"/>
          <w:i/>
          <w:iCs/>
          <w:rtl/>
        </w:rPr>
        <w:t>الحواشي</w:t>
      </w:r>
    </w:p>
  </w:endnote>
  <w:endnote w:type="continuationSeparator" w:id="0">
    <w:p w:rsidR="00067910" w:rsidRDefault="0006791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2C" w:rsidRPr="0004630F" w:rsidRDefault="0004630F" w:rsidP="0004630F">
    <w:pPr>
      <w:pStyle w:val="Footer"/>
      <w:tabs>
        <w:tab w:val="right" w:pos="9598"/>
      </w:tabs>
      <w:rPr>
        <w:sz w:val="17"/>
      </w:rPr>
    </w:pPr>
    <w:r>
      <w:rPr>
        <w:sz w:val="17"/>
      </w:rPr>
      <w:t>GE.17-10395</w:t>
    </w:r>
    <w:r>
      <w:rPr>
        <w:sz w:val="17"/>
      </w:rPr>
      <w:tab/>
    </w:r>
    <w:r w:rsidRPr="0004630F">
      <w:rPr>
        <w:b/>
        <w:sz w:val="18"/>
      </w:rPr>
      <w:fldChar w:fldCharType="begin"/>
    </w:r>
    <w:r w:rsidRPr="0004630F">
      <w:rPr>
        <w:b/>
        <w:sz w:val="18"/>
      </w:rPr>
      <w:instrText xml:space="preserve"> PAGE  \* MERGEFORMAT </w:instrText>
    </w:r>
    <w:r w:rsidRPr="0004630F">
      <w:rPr>
        <w:b/>
        <w:sz w:val="18"/>
      </w:rPr>
      <w:fldChar w:fldCharType="separate"/>
    </w:r>
    <w:r w:rsidR="00904876">
      <w:rPr>
        <w:b/>
        <w:noProof/>
        <w:sz w:val="18"/>
      </w:rPr>
      <w:t>14</w:t>
    </w:r>
    <w:r w:rsidRPr="0004630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04630F" w:rsidRDefault="0004630F" w:rsidP="006959B0">
    <w:pPr>
      <w:pStyle w:val="Footer"/>
      <w:tabs>
        <w:tab w:val="right" w:pos="9599"/>
      </w:tabs>
      <w:jc w:val="left"/>
      <w:rPr>
        <w:b/>
        <w:sz w:val="18"/>
        <w:lang w:val="en-US"/>
      </w:rPr>
    </w:pPr>
    <w:r w:rsidRPr="0004630F">
      <w:rPr>
        <w:b/>
        <w:sz w:val="18"/>
        <w:lang w:val="en-US"/>
      </w:rPr>
      <w:fldChar w:fldCharType="begin"/>
    </w:r>
    <w:r w:rsidRPr="0004630F">
      <w:rPr>
        <w:b/>
        <w:sz w:val="18"/>
        <w:lang w:val="en-US"/>
      </w:rPr>
      <w:instrText xml:space="preserve"> PAGE  \* MERGEFORMAT </w:instrText>
    </w:r>
    <w:r w:rsidRPr="0004630F">
      <w:rPr>
        <w:b/>
        <w:sz w:val="18"/>
        <w:lang w:val="en-US"/>
      </w:rPr>
      <w:fldChar w:fldCharType="separate"/>
    </w:r>
    <w:r w:rsidR="00904876">
      <w:rPr>
        <w:b/>
        <w:noProof/>
        <w:sz w:val="18"/>
        <w:lang w:val="en-US"/>
      </w:rPr>
      <w:t>13</w:t>
    </w:r>
    <w:r w:rsidRPr="0004630F">
      <w:rPr>
        <w:b/>
        <w:sz w:val="18"/>
        <w:lang w:val="en-US"/>
      </w:rPr>
      <w:fldChar w:fldCharType="end"/>
    </w:r>
    <w:r>
      <w:rPr>
        <w:b/>
        <w:sz w:val="18"/>
        <w:lang w:val="en-US"/>
      </w:rPr>
      <w:tab/>
    </w:r>
    <w:r>
      <w:rPr>
        <w:sz w:val="17"/>
        <w:lang w:val="en-US"/>
      </w:rPr>
      <w:t>GE.17-10395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0" w:rsidRDefault="00B4112C" w:rsidP="006E444F">
    <w:pPr>
      <w:pStyle w:val="Footer"/>
      <w:spacing w:before="360"/>
      <w:jc w:val="right"/>
      <w:rPr>
        <w:sz w:val="20"/>
        <w:szCs w:val="20"/>
      </w:rPr>
    </w:pPr>
    <w:r>
      <w:rPr>
        <w:sz w:val="20"/>
        <w:szCs w:val="20"/>
      </w:rPr>
      <w:t>GE.17-10395</w:t>
    </w:r>
    <w:r w:rsidR="001D5AC0">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B4112C" w:rsidRPr="00B4112C" w:rsidRDefault="00B4112C" w:rsidP="00B4112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10" w:rsidRDefault="00067910" w:rsidP="00CB28F9">
      <w:pPr>
        <w:pStyle w:val="Footer"/>
        <w:bidi/>
        <w:spacing w:after="80" w:line="200" w:lineRule="exact"/>
        <w:ind w:left="680"/>
      </w:pPr>
      <w:r>
        <w:rPr>
          <w:rtl/>
        </w:rPr>
        <w:t>__________</w:t>
      </w:r>
    </w:p>
  </w:footnote>
  <w:footnote w:type="continuationSeparator" w:id="0">
    <w:p w:rsidR="00067910" w:rsidRDefault="00067910" w:rsidP="00656392">
      <w:pPr>
        <w:spacing w:line="240" w:lineRule="auto"/>
      </w:pPr>
      <w:r>
        <w:continuationSeparator/>
      </w:r>
    </w:p>
  </w:footnote>
  <w:footnote w:id="1">
    <w:p w:rsidR="007F53F4" w:rsidRPr="007F53F4" w:rsidRDefault="007F53F4" w:rsidP="007F53F4">
      <w:pPr>
        <w:pStyle w:val="FootnoteText1"/>
        <w:rPr>
          <w:lang w:bidi="ar-DZ"/>
        </w:rPr>
      </w:pPr>
      <w:r>
        <w:rPr>
          <w:rtl/>
          <w:lang w:bidi="ar-DZ"/>
        </w:rPr>
        <w:t>*</w:t>
      </w:r>
      <w:r>
        <w:rPr>
          <w:rtl/>
          <w:lang w:bidi="ar-DZ"/>
        </w:rPr>
        <w:tab/>
      </w:r>
      <w:r w:rsidRPr="007F53F4">
        <w:rPr>
          <w:rtl/>
          <w:lang w:bidi="ar-DZ"/>
        </w:rPr>
        <w:t>اعتمدتها اللجنة في دورتها الخامسة والسبعين (15 أيار/مايو - 2 حزيران/يونيه 2017).</w:t>
      </w:r>
      <w:r>
        <w:rPr>
          <w:rFonts w:hint="cs"/>
          <w:rtl/>
          <w:lang w:bidi="ar-D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2C" w:rsidRPr="0004630F" w:rsidRDefault="0004630F" w:rsidP="0004630F">
    <w:pPr>
      <w:pStyle w:val="Header"/>
      <w:jc w:val="right"/>
    </w:pPr>
    <w:r w:rsidRPr="0004630F">
      <w:t>CRC/C/QAT/CO/3-4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2C" w:rsidRPr="0004630F" w:rsidRDefault="0004630F" w:rsidP="0004630F">
    <w:pPr>
      <w:pStyle w:val="Header"/>
      <w:jc w:val="left"/>
    </w:pPr>
    <w:r w:rsidRPr="0004630F">
      <w:t>CRC/C/QAT/CO/3-4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9B60521A"/>
    <w:lvl w:ilvl="0" w:tplc="14EACE60">
      <w:start w:val="1"/>
      <w:numFmt w:val="decimal"/>
      <w:pStyle w:val="Bullet1GA"/>
      <w:lvlText w:val="'%1'"/>
      <w:lvlJc w:val="left"/>
      <w:pPr>
        <w:tabs>
          <w:tab w:val="num" w:pos="2495"/>
        </w:tabs>
        <w:ind w:left="2495" w:hanging="545"/>
      </w:pPr>
      <w:rPr>
        <w:rFonts w:hint="default"/>
        <w:b w:val="0"/>
        <w:bCs w:val="0"/>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67910"/>
    <w:rsid w:val="000076D5"/>
    <w:rsid w:val="00043663"/>
    <w:rsid w:val="0004630F"/>
    <w:rsid w:val="000505CF"/>
    <w:rsid w:val="00067910"/>
    <w:rsid w:val="000D046F"/>
    <w:rsid w:val="000D701C"/>
    <w:rsid w:val="000E2A71"/>
    <w:rsid w:val="000F7891"/>
    <w:rsid w:val="001563FF"/>
    <w:rsid w:val="00160263"/>
    <w:rsid w:val="00181F96"/>
    <w:rsid w:val="001A1371"/>
    <w:rsid w:val="001B346A"/>
    <w:rsid w:val="001D5AC0"/>
    <w:rsid w:val="001E1CAD"/>
    <w:rsid w:val="001E290D"/>
    <w:rsid w:val="002144FA"/>
    <w:rsid w:val="0023469A"/>
    <w:rsid w:val="002346CB"/>
    <w:rsid w:val="00243C8A"/>
    <w:rsid w:val="00267A0E"/>
    <w:rsid w:val="002901D9"/>
    <w:rsid w:val="002976C2"/>
    <w:rsid w:val="002D2D42"/>
    <w:rsid w:val="002D75A3"/>
    <w:rsid w:val="00310CB2"/>
    <w:rsid w:val="003260FF"/>
    <w:rsid w:val="00343D95"/>
    <w:rsid w:val="00374341"/>
    <w:rsid w:val="003C50EA"/>
    <w:rsid w:val="003D1062"/>
    <w:rsid w:val="003E66B1"/>
    <w:rsid w:val="00420D7B"/>
    <w:rsid w:val="00450B21"/>
    <w:rsid w:val="00453B63"/>
    <w:rsid w:val="00455780"/>
    <w:rsid w:val="0045649E"/>
    <w:rsid w:val="0046598E"/>
    <w:rsid w:val="00467079"/>
    <w:rsid w:val="004A14A6"/>
    <w:rsid w:val="004B0A1C"/>
    <w:rsid w:val="004D298E"/>
    <w:rsid w:val="00523BAE"/>
    <w:rsid w:val="0054472E"/>
    <w:rsid w:val="005662A9"/>
    <w:rsid w:val="005827D4"/>
    <w:rsid w:val="0059622A"/>
    <w:rsid w:val="005C5878"/>
    <w:rsid w:val="005C7CEA"/>
    <w:rsid w:val="005D3C0B"/>
    <w:rsid w:val="005E5217"/>
    <w:rsid w:val="005F0FA4"/>
    <w:rsid w:val="005F30EE"/>
    <w:rsid w:val="0060473A"/>
    <w:rsid w:val="00656392"/>
    <w:rsid w:val="0068781D"/>
    <w:rsid w:val="006931FC"/>
    <w:rsid w:val="0069590B"/>
    <w:rsid w:val="006959B0"/>
    <w:rsid w:val="006B3E27"/>
    <w:rsid w:val="006B6507"/>
    <w:rsid w:val="006C104C"/>
    <w:rsid w:val="006E444F"/>
    <w:rsid w:val="00713B40"/>
    <w:rsid w:val="00717E3A"/>
    <w:rsid w:val="00731132"/>
    <w:rsid w:val="00733704"/>
    <w:rsid w:val="007577EC"/>
    <w:rsid w:val="0078071A"/>
    <w:rsid w:val="007A00AF"/>
    <w:rsid w:val="007F53F4"/>
    <w:rsid w:val="007F689B"/>
    <w:rsid w:val="00852A9A"/>
    <w:rsid w:val="008F49E1"/>
    <w:rsid w:val="0090370F"/>
    <w:rsid w:val="00904876"/>
    <w:rsid w:val="00912A9D"/>
    <w:rsid w:val="009269D2"/>
    <w:rsid w:val="00942135"/>
    <w:rsid w:val="009521B0"/>
    <w:rsid w:val="00994130"/>
    <w:rsid w:val="009A7E9F"/>
    <w:rsid w:val="009D6B6E"/>
    <w:rsid w:val="009E3855"/>
    <w:rsid w:val="009E5018"/>
    <w:rsid w:val="00A12B37"/>
    <w:rsid w:val="00A32708"/>
    <w:rsid w:val="00A65558"/>
    <w:rsid w:val="00A7574A"/>
    <w:rsid w:val="00AB6758"/>
    <w:rsid w:val="00B12EB6"/>
    <w:rsid w:val="00B13763"/>
    <w:rsid w:val="00B139CD"/>
    <w:rsid w:val="00B4112C"/>
    <w:rsid w:val="00B477A4"/>
    <w:rsid w:val="00B54045"/>
    <w:rsid w:val="00BC5EA8"/>
    <w:rsid w:val="00BD7FE2"/>
    <w:rsid w:val="00C030D1"/>
    <w:rsid w:val="00C438D7"/>
    <w:rsid w:val="00C7528F"/>
    <w:rsid w:val="00C81B50"/>
    <w:rsid w:val="00C92D37"/>
    <w:rsid w:val="00CB28F9"/>
    <w:rsid w:val="00CD1801"/>
    <w:rsid w:val="00D0281A"/>
    <w:rsid w:val="00D10EF1"/>
    <w:rsid w:val="00D42810"/>
    <w:rsid w:val="00D914A7"/>
    <w:rsid w:val="00DD13C3"/>
    <w:rsid w:val="00DD596E"/>
    <w:rsid w:val="00DD621E"/>
    <w:rsid w:val="00DF0575"/>
    <w:rsid w:val="00DF51D4"/>
    <w:rsid w:val="00E119BC"/>
    <w:rsid w:val="00E25595"/>
    <w:rsid w:val="00E70E04"/>
    <w:rsid w:val="00E76499"/>
    <w:rsid w:val="00EC05A7"/>
    <w:rsid w:val="00EC4B6B"/>
    <w:rsid w:val="00ED7A25"/>
    <w:rsid w:val="00EF1EE5"/>
    <w:rsid w:val="00F11A18"/>
    <w:rsid w:val="00F62662"/>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unhideWhenUsed/>
    <w:rsid w:val="001A1371"/>
    <w:pPr>
      <w:spacing w:line="240" w:lineRule="auto"/>
    </w:pPr>
    <w:rPr>
      <w:szCs w:val="20"/>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04630F"/>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04630F"/>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04630F"/>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04630F"/>
    <w:pPr>
      <w:suppressAutoHyphens/>
      <w:bidi w:val="0"/>
      <w:spacing w:after="120"/>
      <w:ind w:left="1134" w:right="1134"/>
      <w:jc w:val="both"/>
    </w:pPr>
    <w:rPr>
      <w:rFonts w:eastAsia="SimSun" w:hAnsiTheme="minorHAnsi" w:hint="cs"/>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unhideWhenUsed/>
    <w:rsid w:val="001A1371"/>
    <w:pPr>
      <w:spacing w:line="240" w:lineRule="auto"/>
    </w:pPr>
    <w:rPr>
      <w:szCs w:val="20"/>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04630F"/>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04630F"/>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04630F"/>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04630F"/>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8977-673D-4475-8544-0A27EFD8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14</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CRC/C/QAT/CO/3-4</vt:lpstr>
    </vt:vector>
  </TitlesOfParts>
  <Company>DCM</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CRC/C/QAT/CO/3-4</dc:title>
  <dc:subject>GE.1710395</dc:subject>
  <dc:creator>Ihab RIZ-ABG</dc:creator>
  <cp:keywords>ODS No.1717267</cp:keywords>
  <dc:description>Distr.: General_x000d_
22 June 2017_x000d_
Original: English</dc:description>
  <cp:lastModifiedBy>Tpsara</cp:lastModifiedBy>
  <cp:revision>2</cp:revision>
  <cp:lastPrinted>2017-07-26T09:16:00Z</cp:lastPrinted>
  <dcterms:created xsi:type="dcterms:W3CDTF">2017-07-26T15:17:00Z</dcterms:created>
  <dcterms:modified xsi:type="dcterms:W3CDTF">2017-07-26T15:17:00Z</dcterms:modified>
</cp:coreProperties>
</file>